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3.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55"/>
        <w:gridCol w:w="4605"/>
      </w:tblGrid>
      <w:tr w:rsidR="00E9417C" w:rsidRPr="00E9417C" w14:paraId="534F1797" w14:textId="77777777" w:rsidTr="002451F3">
        <w:tc>
          <w:tcPr>
            <w:tcW w:w="4788" w:type="dxa"/>
          </w:tcPr>
          <w:p w14:paraId="55B76C35" w14:textId="77777777" w:rsidR="00E9417C" w:rsidRPr="00E9417C" w:rsidRDefault="00E9417C" w:rsidP="00E9417C">
            <w:pPr>
              <w:tabs>
                <w:tab w:val="left" w:pos="-1440"/>
                <w:tab w:val="left" w:pos="-720"/>
                <w:tab w:val="left" w:pos="1"/>
              </w:tabs>
              <w:jc w:val="both"/>
              <w:rPr>
                <w:rFonts w:ascii="Arial" w:hAnsi="Arial"/>
                <w:b/>
                <w:szCs w:val="20"/>
                <w:lang w:val="en-US" w:eastAsia="zh-CN" w:bidi="ar-SA"/>
              </w:rPr>
            </w:pPr>
            <w:r w:rsidRPr="00E9417C">
              <w:rPr>
                <w:rFonts w:ascii="Arial" w:hAnsi="Arial"/>
                <w:b/>
                <w:noProof/>
                <w:szCs w:val="20"/>
                <w:lang w:val="en-US" w:eastAsia="en-US" w:bidi="ar-SA"/>
              </w:rPr>
              <w:drawing>
                <wp:inline distT="0" distB="0" distL="0" distR="0" wp14:anchorId="3CBBDDE9" wp14:editId="0E3D0505">
                  <wp:extent cx="2613804" cy="551245"/>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tc>
        <w:tc>
          <w:tcPr>
            <w:tcW w:w="4788" w:type="dxa"/>
          </w:tcPr>
          <w:p w14:paraId="78BF05D1" w14:textId="77777777" w:rsidR="00E9417C" w:rsidRPr="00E9417C" w:rsidRDefault="00E9417C" w:rsidP="00E9417C">
            <w:pPr>
              <w:tabs>
                <w:tab w:val="left" w:pos="-1440"/>
                <w:tab w:val="left" w:pos="-720"/>
                <w:tab w:val="left" w:pos="1"/>
              </w:tabs>
              <w:jc w:val="both"/>
              <w:rPr>
                <w:rFonts w:ascii="Arial" w:hAnsi="Arial"/>
                <w:b/>
                <w:szCs w:val="20"/>
                <w:lang w:val="en-US" w:eastAsia="zh-CN" w:bidi="ar-SA"/>
              </w:rPr>
            </w:pPr>
            <w:r w:rsidRPr="00E9417C">
              <w:rPr>
                <w:rFonts w:ascii="Arial" w:hAnsi="Arial"/>
                <w:b/>
                <w:noProof/>
                <w:szCs w:val="20"/>
                <w:lang w:val="en-US" w:eastAsia="en-US" w:bidi="ar-SA"/>
              </w:rPr>
              <w:drawing>
                <wp:anchor distT="0" distB="0" distL="114300" distR="114300" simplePos="0" relativeHeight="251659264" behindDoc="1" locked="0" layoutInCell="1" allowOverlap="1" wp14:anchorId="55F64E55" wp14:editId="6527F196">
                  <wp:simplePos x="0" y="0"/>
                  <wp:positionH relativeFrom="column">
                    <wp:posOffset>1651635</wp:posOffset>
                  </wp:positionH>
                  <wp:positionV relativeFrom="paragraph">
                    <wp:posOffset>20320</wp:posOffset>
                  </wp:positionV>
                  <wp:extent cx="1304290" cy="548640"/>
                  <wp:effectExtent l="0" t="0" r="0" b="3810"/>
                  <wp:wrapTight wrapText="bothSides">
                    <wp:wrapPolygon edited="0">
                      <wp:start x="0" y="0"/>
                      <wp:lineTo x="0" y="21000"/>
                      <wp:lineTo x="21137" y="21000"/>
                      <wp:lineTo x="21137" y="0"/>
                      <wp:lineTo x="0" y="0"/>
                    </wp:wrapPolygon>
                  </wp:wrapTight>
                  <wp:docPr id="3" name="Picture 3" descr="logo_greysca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_greyscale"/>
                          <pic:cNvPicPr>
                            <a:picLocks noChangeAspect="1" noChangeArrowheads="1"/>
                          </pic:cNvPicPr>
                        </pic:nvPicPr>
                        <pic:blipFill>
                          <a:blip r:embed="rId9" cstate="print">
                            <a:extLst>
                              <a:ext uri="{28A0092B-C50C-407E-A947-70E740481C1C}">
                                <a14:useLocalDpi xmlns:a14="http://schemas.microsoft.com/office/drawing/2010/main" val="0"/>
                              </a:ext>
                            </a:extLst>
                          </a:blip>
                          <a:srcRect t="13083" b="16718"/>
                          <a:stretch>
                            <a:fillRect/>
                          </a:stretch>
                        </pic:blipFill>
                        <pic:spPr bwMode="auto">
                          <a:xfrm>
                            <a:off x="0" y="0"/>
                            <a:ext cx="1304290" cy="548640"/>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14:paraId="1C48CEA7" w14:textId="77777777" w:rsidR="00E9417C" w:rsidRPr="00E9417C" w:rsidRDefault="00E9417C" w:rsidP="00E9417C">
      <w:pPr>
        <w:pBdr>
          <w:bottom w:val="single" w:sz="18" w:space="1" w:color="auto"/>
        </w:pBdr>
        <w:tabs>
          <w:tab w:val="left" w:pos="-1440"/>
          <w:tab w:val="left" w:pos="-720"/>
          <w:tab w:val="left" w:pos="1"/>
        </w:tabs>
        <w:jc w:val="both"/>
        <w:rPr>
          <w:rFonts w:ascii="Arial" w:hAnsi="Arial"/>
          <w:b/>
          <w:sz w:val="2"/>
          <w:szCs w:val="2"/>
          <w:lang w:val="en-CA" w:eastAsia="en-US" w:bidi="ar-SA"/>
        </w:rPr>
      </w:pPr>
    </w:p>
    <w:p w14:paraId="302CAB7E" w14:textId="12ECF860" w:rsidR="00E9417C" w:rsidRPr="00E9417C" w:rsidRDefault="00E9417C" w:rsidP="00E9417C">
      <w:pPr>
        <w:jc w:val="right"/>
        <w:rPr>
          <w:rFonts w:ascii="Arial" w:hAnsi="Arial"/>
          <w:b/>
          <w:caps/>
          <w:szCs w:val="20"/>
          <w:lang w:val="en-CA" w:eastAsia="en-US" w:bidi="ar-SA"/>
        </w:rPr>
      </w:pPr>
      <w:r>
        <w:rPr>
          <w:rFonts w:ascii="Arial" w:hAnsi="Arial"/>
          <w:b/>
          <w:caps/>
          <w:szCs w:val="20"/>
          <w:lang w:val="en-CA" w:eastAsia="en-US" w:bidi="ar-SA"/>
        </w:rPr>
        <w:t>9B18N015</w:t>
      </w:r>
    </w:p>
    <w:p w14:paraId="3C1CE399" w14:textId="77777777" w:rsidR="00D75295" w:rsidRPr="00D717E3" w:rsidRDefault="00D75295" w:rsidP="00D75295">
      <w:pPr>
        <w:jc w:val="right"/>
        <w:rPr>
          <w:rFonts w:ascii="Arial" w:hAnsi="Arial"/>
          <w:b/>
          <w:sz w:val="28"/>
          <w:szCs w:val="28"/>
          <w:lang w:val="en-GB"/>
        </w:rPr>
      </w:pPr>
    </w:p>
    <w:p w14:paraId="3B542C10" w14:textId="77777777" w:rsidR="00013360" w:rsidRPr="00D717E3" w:rsidRDefault="00013360" w:rsidP="00D75295">
      <w:pPr>
        <w:jc w:val="right"/>
        <w:rPr>
          <w:rFonts w:ascii="Arial" w:hAnsi="Arial"/>
          <w:b/>
          <w:sz w:val="28"/>
          <w:szCs w:val="28"/>
          <w:lang w:val="en-GB"/>
        </w:rPr>
      </w:pPr>
    </w:p>
    <w:p w14:paraId="272B4698" w14:textId="2778E5C7" w:rsidR="00FF289C" w:rsidRPr="00D717E3" w:rsidRDefault="004D1398" w:rsidP="003336A8">
      <w:pPr>
        <w:pStyle w:val="CaseTitle"/>
        <w:spacing w:after="0" w:line="240" w:lineRule="auto"/>
        <w:outlineLvl w:val="0"/>
        <w:rPr>
          <w:sz w:val="20"/>
          <w:szCs w:val="20"/>
          <w:lang w:val="en-GB"/>
        </w:rPr>
      </w:pPr>
      <w:r w:rsidRPr="00D717E3">
        <w:rPr>
          <w:lang w:val="en-GB"/>
        </w:rPr>
        <w:t>Nintendo: An Outsider as Successor</w:t>
      </w:r>
      <w:r w:rsidR="00FF289C" w:rsidRPr="00D717E3">
        <w:rPr>
          <w:rFonts w:eastAsiaTheme="minorEastAsia"/>
          <w:bCs w:val="0"/>
          <w:caps w:val="0"/>
          <w:color w:val="auto"/>
          <w:vertAlign w:val="superscript"/>
          <w:lang w:val="en-GB" w:eastAsia="ja-JP"/>
        </w:rPr>
        <w:endnoteReference w:id="1"/>
      </w:r>
    </w:p>
    <w:p w14:paraId="423FF475" w14:textId="77777777" w:rsidR="00CA3976" w:rsidRPr="00D717E3" w:rsidRDefault="00CA3976" w:rsidP="00013360">
      <w:pPr>
        <w:pStyle w:val="CaseTitle"/>
        <w:spacing w:after="0" w:line="240" w:lineRule="auto"/>
        <w:rPr>
          <w:sz w:val="20"/>
          <w:szCs w:val="20"/>
          <w:lang w:val="en-GB"/>
        </w:rPr>
      </w:pPr>
    </w:p>
    <w:p w14:paraId="2A921209" w14:textId="77777777" w:rsidR="00013360" w:rsidRPr="00D717E3" w:rsidRDefault="00013360" w:rsidP="00013360">
      <w:pPr>
        <w:pStyle w:val="CaseTitle"/>
        <w:spacing w:after="0" w:line="240" w:lineRule="auto"/>
        <w:rPr>
          <w:sz w:val="20"/>
          <w:szCs w:val="20"/>
          <w:lang w:val="en-GB"/>
        </w:rPr>
      </w:pPr>
    </w:p>
    <w:p w14:paraId="40CA9B77" w14:textId="77777777" w:rsidR="00627C63" w:rsidRPr="00D717E3" w:rsidRDefault="00FF289C" w:rsidP="00627C63">
      <w:pPr>
        <w:pStyle w:val="StyleCopyrightStatementAfter0ptBottomSinglesolidline1"/>
        <w:rPr>
          <w:lang w:val="en-GB"/>
        </w:rPr>
      </w:pPr>
      <w:r w:rsidRPr="00D717E3">
        <w:rPr>
          <w:lang w:val="en-GB"/>
        </w:rPr>
        <w:t>Ruth S K Tan and Yupana Wiwattanakantang</w:t>
      </w:r>
      <w:r w:rsidR="001C7777" w:rsidRPr="00D717E3">
        <w:rPr>
          <w:lang w:val="en-GB"/>
        </w:rPr>
        <w:t xml:space="preserve"> </w:t>
      </w:r>
      <w:r w:rsidR="004B632F" w:rsidRPr="00D717E3">
        <w:rPr>
          <w:lang w:val="en-GB"/>
        </w:rPr>
        <w:t xml:space="preserve">wrote this </w:t>
      </w:r>
      <w:r w:rsidR="00152682" w:rsidRPr="00D717E3">
        <w:rPr>
          <w:lang w:val="en-GB"/>
        </w:rPr>
        <w:t>case</w:t>
      </w:r>
      <w:r w:rsidR="004B632F" w:rsidRPr="00D717E3">
        <w:rPr>
          <w:lang w:val="en-GB"/>
        </w:rPr>
        <w:t xml:space="preserve"> </w:t>
      </w:r>
      <w:r w:rsidR="00152682" w:rsidRPr="00D717E3">
        <w:rPr>
          <w:lang w:val="en-GB"/>
        </w:rPr>
        <w:t>solely to provide material for class discussion. The</w:t>
      </w:r>
      <w:r w:rsidR="001C7777" w:rsidRPr="00D717E3">
        <w:rPr>
          <w:lang w:val="en-GB"/>
        </w:rPr>
        <w:t xml:space="preserve"> author</w:t>
      </w:r>
      <w:r w:rsidR="001A22D1" w:rsidRPr="00D717E3">
        <w:rPr>
          <w:lang w:val="en-GB"/>
        </w:rPr>
        <w:t>s</w:t>
      </w:r>
      <w:r w:rsidR="00152682" w:rsidRPr="00D717E3">
        <w:rPr>
          <w:lang w:val="en-GB"/>
        </w:rPr>
        <w:t xml:space="preserve"> do not intend to illustrate either effective or ineffective handling of a managerial situation. The author</w:t>
      </w:r>
      <w:r w:rsidR="001A22D1" w:rsidRPr="00D717E3">
        <w:rPr>
          <w:lang w:val="en-GB"/>
        </w:rPr>
        <w:t>s</w:t>
      </w:r>
      <w:r w:rsidR="00152682" w:rsidRPr="00D717E3">
        <w:rPr>
          <w:lang w:val="en-GB"/>
        </w:rPr>
        <w:t xml:space="preserve"> may have disguised certain names and other identifying information to protect confidentiality.</w:t>
      </w:r>
    </w:p>
    <w:p w14:paraId="37BB06E9" w14:textId="77777777" w:rsidR="00751E0B" w:rsidRPr="00D717E3" w:rsidRDefault="00751E0B" w:rsidP="00751E0B">
      <w:pPr>
        <w:pStyle w:val="StyleCopyrightStatementAfter0ptBottomSinglesolidline1"/>
        <w:rPr>
          <w:lang w:val="en-GB"/>
        </w:rPr>
      </w:pPr>
    </w:p>
    <w:p w14:paraId="4E859CC2" w14:textId="77777777" w:rsidR="00B45E21" w:rsidRPr="00D717E3" w:rsidRDefault="00B45E21" w:rsidP="00B45E21">
      <w:pPr>
        <w:pBdr>
          <w:top w:val="single" w:sz="8" w:space="4" w:color="auto"/>
        </w:pBdr>
        <w:tabs>
          <w:tab w:val="right" w:pos="9360"/>
        </w:tabs>
        <w:autoSpaceDE w:val="0"/>
        <w:autoSpaceDN w:val="0"/>
        <w:adjustRightInd w:val="0"/>
        <w:jc w:val="both"/>
        <w:textAlignment w:val="center"/>
        <w:rPr>
          <w:rFonts w:ascii="Arial" w:hAnsi="Arial"/>
          <w:i/>
          <w:iCs/>
          <w:color w:val="000000"/>
          <w:sz w:val="16"/>
          <w:szCs w:val="20"/>
          <w:lang w:val="en-GB" w:eastAsia="en-US" w:bidi="ar-SA"/>
        </w:rPr>
      </w:pPr>
      <w:r w:rsidRPr="00D717E3">
        <w:rPr>
          <w:rFonts w:ascii="Arial" w:hAnsi="Arial"/>
          <w:i/>
          <w:iCs/>
          <w:color w:val="000000"/>
          <w:sz w:val="16"/>
          <w:szCs w:val="20"/>
          <w:lang w:val="en-GB" w:eastAsia="en-US" w:bidi="ar-SA"/>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10" w:history="1">
        <w:r w:rsidRPr="00D717E3">
          <w:rPr>
            <w:rFonts w:ascii="Arial" w:hAnsi="Arial"/>
            <w:i/>
            <w:iCs/>
            <w:color w:val="000000"/>
            <w:sz w:val="16"/>
            <w:szCs w:val="20"/>
            <w:lang w:val="en-GB" w:eastAsia="en-US" w:bidi="ar-SA"/>
          </w:rPr>
          <w:t>cases@ivey.ca</w:t>
        </w:r>
      </w:hyperlink>
      <w:r w:rsidRPr="00D717E3">
        <w:rPr>
          <w:rFonts w:ascii="Arial" w:hAnsi="Arial"/>
          <w:i/>
          <w:iCs/>
          <w:color w:val="000000"/>
          <w:sz w:val="16"/>
          <w:szCs w:val="20"/>
          <w:lang w:val="en-GB" w:eastAsia="en-US" w:bidi="ar-SA"/>
        </w:rPr>
        <w:t xml:space="preserve">; </w:t>
      </w:r>
      <w:hyperlink r:id="rId11" w:history="1">
        <w:r w:rsidRPr="00D717E3">
          <w:rPr>
            <w:rFonts w:ascii="Arial" w:hAnsi="Arial"/>
            <w:i/>
            <w:iCs/>
            <w:color w:val="000000"/>
            <w:sz w:val="16"/>
            <w:szCs w:val="20"/>
            <w:lang w:val="en-GB" w:eastAsia="en-US" w:bidi="ar-SA"/>
          </w:rPr>
          <w:t>www.iveycases.com</w:t>
        </w:r>
      </w:hyperlink>
      <w:r w:rsidRPr="00D717E3">
        <w:rPr>
          <w:rFonts w:ascii="Arial" w:hAnsi="Arial"/>
          <w:i/>
          <w:iCs/>
          <w:color w:val="000000"/>
          <w:sz w:val="16"/>
          <w:szCs w:val="20"/>
          <w:lang w:val="en-GB" w:eastAsia="en-US" w:bidi="ar-SA"/>
        </w:rPr>
        <w:t>.</w:t>
      </w:r>
    </w:p>
    <w:p w14:paraId="76DB9670" w14:textId="77777777" w:rsidR="00B45E21" w:rsidRPr="00D717E3" w:rsidRDefault="00B45E21" w:rsidP="00B45E21">
      <w:pPr>
        <w:pBdr>
          <w:top w:val="single" w:sz="8" w:space="4" w:color="auto"/>
        </w:pBdr>
        <w:tabs>
          <w:tab w:val="right" w:pos="9360"/>
        </w:tabs>
        <w:autoSpaceDE w:val="0"/>
        <w:autoSpaceDN w:val="0"/>
        <w:adjustRightInd w:val="0"/>
        <w:jc w:val="both"/>
        <w:textAlignment w:val="center"/>
        <w:rPr>
          <w:rFonts w:ascii="Arial" w:hAnsi="Arial"/>
          <w:i/>
          <w:iCs/>
          <w:color w:val="000000"/>
          <w:sz w:val="16"/>
          <w:szCs w:val="20"/>
          <w:lang w:val="en-GB" w:eastAsia="en-US" w:bidi="ar-SA"/>
        </w:rPr>
      </w:pPr>
    </w:p>
    <w:p w14:paraId="659A3EEF" w14:textId="4E67CAAA" w:rsidR="00751E0B" w:rsidRPr="00D717E3" w:rsidRDefault="00E9417C" w:rsidP="00B45E21">
      <w:pPr>
        <w:pStyle w:val="StyleStyleCopyrightStatementAfter0ptBottomSinglesolid"/>
        <w:outlineLvl w:val="0"/>
        <w:rPr>
          <w:rFonts w:cs="Arial"/>
          <w:szCs w:val="16"/>
          <w:lang w:val="en-GB"/>
        </w:rPr>
      </w:pPr>
      <w:r>
        <w:t xml:space="preserve">Copyright © 2018, </w:t>
      </w:r>
      <w:r w:rsidRPr="004415A3">
        <w:rPr>
          <w:lang w:val="en-CA"/>
        </w:rPr>
        <w:t>National University of Singapore and Ivey School of Business Foundation</w:t>
      </w:r>
      <w:r w:rsidR="00634C30">
        <w:rPr>
          <w:rFonts w:cs="Arial"/>
          <w:iCs w:val="0"/>
          <w:color w:val="auto"/>
          <w:szCs w:val="16"/>
          <w:lang w:val="en-GB"/>
        </w:rPr>
        <w:tab/>
        <w:t>Version: 2019</w:t>
      </w:r>
      <w:r w:rsidR="00B45E21" w:rsidRPr="00D717E3">
        <w:rPr>
          <w:rFonts w:cs="Arial"/>
          <w:iCs w:val="0"/>
          <w:color w:val="auto"/>
          <w:szCs w:val="16"/>
          <w:lang w:val="en-GB"/>
        </w:rPr>
        <w:t>-</w:t>
      </w:r>
      <w:r w:rsidR="0012024C">
        <w:rPr>
          <w:rFonts w:cs="Arial"/>
          <w:iCs w:val="0"/>
          <w:color w:val="auto"/>
          <w:szCs w:val="16"/>
          <w:lang w:val="en-GB"/>
        </w:rPr>
        <w:t>0</w:t>
      </w:r>
      <w:r w:rsidR="00634C30">
        <w:rPr>
          <w:rFonts w:cs="Arial"/>
          <w:iCs w:val="0"/>
          <w:color w:val="auto"/>
          <w:szCs w:val="16"/>
          <w:lang w:val="en-GB"/>
        </w:rPr>
        <w:t>7</w:t>
      </w:r>
      <w:r w:rsidR="0012024C">
        <w:rPr>
          <w:rFonts w:cs="Arial"/>
          <w:iCs w:val="0"/>
          <w:color w:val="auto"/>
          <w:szCs w:val="16"/>
          <w:lang w:val="en-GB"/>
        </w:rPr>
        <w:t>-</w:t>
      </w:r>
      <w:r w:rsidR="00634C30">
        <w:rPr>
          <w:rFonts w:cs="Arial"/>
          <w:iCs w:val="0"/>
          <w:color w:val="auto"/>
          <w:szCs w:val="16"/>
          <w:lang w:val="en-GB"/>
        </w:rPr>
        <w:t>22</w:t>
      </w:r>
    </w:p>
    <w:p w14:paraId="696D3AA0" w14:textId="77777777" w:rsidR="00751E0B" w:rsidRPr="00D717E3" w:rsidRDefault="00751E0B" w:rsidP="00751E0B">
      <w:pPr>
        <w:pStyle w:val="StyleCopyrightStatementAfter0ptBottomSinglesolidline1"/>
        <w:rPr>
          <w:rFonts w:ascii="Times New Roman" w:hAnsi="Times New Roman"/>
          <w:sz w:val="18"/>
          <w:lang w:val="en-GB"/>
        </w:rPr>
      </w:pPr>
    </w:p>
    <w:p w14:paraId="1E6F0A3B" w14:textId="77777777" w:rsidR="004B632F" w:rsidRPr="00D717E3" w:rsidRDefault="004B632F" w:rsidP="004B632F">
      <w:pPr>
        <w:pStyle w:val="StyleCopyrightStatementAfter0ptBottomSinglesolidline1"/>
        <w:rPr>
          <w:rFonts w:ascii="Times New Roman" w:hAnsi="Times New Roman"/>
          <w:sz w:val="18"/>
          <w:lang w:val="en-GB"/>
        </w:rPr>
      </w:pPr>
    </w:p>
    <w:p w14:paraId="24E847D0" w14:textId="709F6F20" w:rsidR="00FF289C" w:rsidRPr="00A45EA6" w:rsidRDefault="00FF289C" w:rsidP="00A45EA6">
      <w:pPr>
        <w:pStyle w:val="BodyTextMain"/>
      </w:pPr>
      <w:r w:rsidRPr="00A45EA6">
        <w:rPr>
          <w:rFonts w:eastAsiaTheme="minorEastAsia"/>
        </w:rPr>
        <w:t>Janua</w:t>
      </w:r>
      <w:bookmarkStart w:id="0" w:name="_GoBack"/>
      <w:bookmarkEnd w:id="0"/>
      <w:r w:rsidRPr="00A45EA6">
        <w:rPr>
          <w:rFonts w:eastAsiaTheme="minorEastAsia"/>
        </w:rPr>
        <w:t>ry 2014 was an unusually cold winter in Tokyo</w:t>
      </w:r>
      <w:r w:rsidR="004932CF" w:rsidRPr="00A45EA6">
        <w:rPr>
          <w:rFonts w:eastAsiaTheme="minorEastAsia"/>
        </w:rPr>
        <w:t>, Japan</w:t>
      </w:r>
      <w:r w:rsidRPr="00A45EA6">
        <w:rPr>
          <w:rFonts w:eastAsiaTheme="minorEastAsia"/>
        </w:rPr>
        <w:t>. Nintendo</w:t>
      </w:r>
      <w:r w:rsidR="00E57413" w:rsidRPr="00A45EA6">
        <w:rPr>
          <w:rFonts w:eastAsiaTheme="minorEastAsia"/>
        </w:rPr>
        <w:t xml:space="preserve"> Co.</w:t>
      </w:r>
      <w:r w:rsidR="004D6BA4" w:rsidRPr="00A45EA6">
        <w:rPr>
          <w:rFonts w:eastAsiaTheme="minorEastAsia"/>
        </w:rPr>
        <w:t>,</w:t>
      </w:r>
      <w:r w:rsidR="00E57413" w:rsidRPr="00A45EA6">
        <w:rPr>
          <w:rFonts w:eastAsiaTheme="minorEastAsia"/>
        </w:rPr>
        <w:t xml:space="preserve"> Ltd. (Nintendo)</w:t>
      </w:r>
      <w:r w:rsidRPr="00A45EA6">
        <w:rPr>
          <w:rFonts w:eastAsiaTheme="minorEastAsia"/>
        </w:rPr>
        <w:t xml:space="preserve"> had the daunting task </w:t>
      </w:r>
      <w:r w:rsidR="004932CF" w:rsidRPr="00A45EA6">
        <w:rPr>
          <w:rFonts w:eastAsiaTheme="minorEastAsia"/>
        </w:rPr>
        <w:t xml:space="preserve">at that time </w:t>
      </w:r>
      <w:r w:rsidRPr="00A45EA6">
        <w:rPr>
          <w:rFonts w:eastAsiaTheme="minorEastAsia"/>
        </w:rPr>
        <w:t>of informing investors at an Osaka press conference that it had downgraded its annual earnings forecast for a third straight year. The predicted huge annual loss of ¥35 billion</w:t>
      </w:r>
      <w:r w:rsidR="004932CF" w:rsidRPr="00A45EA6">
        <w:rPr>
          <w:rStyle w:val="EndnoteReference"/>
          <w:rFonts w:eastAsiaTheme="minorEastAsia"/>
        </w:rPr>
        <w:endnoteReference w:id="2"/>
      </w:r>
      <w:r w:rsidRPr="00A45EA6">
        <w:rPr>
          <w:rFonts w:eastAsiaTheme="minorEastAsia"/>
        </w:rPr>
        <w:t xml:space="preserve"> </w:t>
      </w:r>
      <w:r w:rsidRPr="00A45EA6">
        <w:t>(US$335.76 million)</w:t>
      </w:r>
      <w:r w:rsidR="00050B5C" w:rsidRPr="00A45EA6">
        <w:t xml:space="preserve"> </w:t>
      </w:r>
      <w:r w:rsidRPr="00A45EA6">
        <w:rPr>
          <w:rFonts w:eastAsiaTheme="minorEastAsia"/>
        </w:rPr>
        <w:t xml:space="preserve">was due to </w:t>
      </w:r>
      <w:r w:rsidR="004932CF" w:rsidRPr="00A45EA6">
        <w:rPr>
          <w:rFonts w:eastAsiaTheme="minorEastAsia"/>
        </w:rPr>
        <w:t xml:space="preserve">the company’s </w:t>
      </w:r>
      <w:r w:rsidRPr="00A45EA6">
        <w:rPr>
          <w:rFonts w:eastAsiaTheme="minorEastAsia"/>
        </w:rPr>
        <w:t xml:space="preserve">lacklustre performance. </w:t>
      </w:r>
      <w:r w:rsidR="004932CF" w:rsidRPr="00A45EA6">
        <w:rPr>
          <w:rFonts w:eastAsiaTheme="minorEastAsia"/>
        </w:rPr>
        <w:t xml:space="preserve">Its </w:t>
      </w:r>
      <w:r w:rsidRPr="00A45EA6">
        <w:rPr>
          <w:rFonts w:eastAsiaTheme="minorEastAsia"/>
        </w:rPr>
        <w:t>main products</w:t>
      </w:r>
      <w:r w:rsidR="00C31175" w:rsidRPr="00A45EA6">
        <w:rPr>
          <w:rFonts w:eastAsiaTheme="minorEastAsia"/>
        </w:rPr>
        <w:t>,</w:t>
      </w:r>
      <w:r w:rsidRPr="00A45EA6">
        <w:rPr>
          <w:rFonts w:eastAsiaTheme="minorEastAsia"/>
        </w:rPr>
        <w:t xml:space="preserve"> </w:t>
      </w:r>
      <w:r w:rsidR="00C31175" w:rsidRPr="00A45EA6">
        <w:rPr>
          <w:rFonts w:eastAsiaTheme="minorEastAsia"/>
        </w:rPr>
        <w:t xml:space="preserve">video game console </w:t>
      </w:r>
      <w:r w:rsidRPr="00A45EA6">
        <w:rPr>
          <w:rFonts w:eastAsiaTheme="minorEastAsia"/>
        </w:rPr>
        <w:t xml:space="preserve">Wii U and </w:t>
      </w:r>
      <w:r w:rsidR="00C31175" w:rsidRPr="00A45EA6">
        <w:rPr>
          <w:rFonts w:eastAsiaTheme="minorEastAsia"/>
        </w:rPr>
        <w:t xml:space="preserve">portable game system </w:t>
      </w:r>
      <w:r w:rsidRPr="00A45EA6">
        <w:rPr>
          <w:rFonts w:eastAsiaTheme="minorEastAsia"/>
        </w:rPr>
        <w:t>3DS</w:t>
      </w:r>
      <w:r w:rsidR="00C31175" w:rsidRPr="00A45EA6">
        <w:rPr>
          <w:rFonts w:eastAsiaTheme="minorEastAsia"/>
        </w:rPr>
        <w:t>,</w:t>
      </w:r>
      <w:r w:rsidRPr="00A45EA6">
        <w:rPr>
          <w:rFonts w:eastAsiaTheme="minorEastAsia"/>
        </w:rPr>
        <w:t xml:space="preserve"> </w:t>
      </w:r>
      <w:r w:rsidR="00AD4A7B" w:rsidRPr="00A45EA6">
        <w:rPr>
          <w:rFonts w:eastAsiaTheme="minorEastAsia"/>
        </w:rPr>
        <w:t xml:space="preserve">had </w:t>
      </w:r>
      <w:r w:rsidRPr="00A45EA6">
        <w:rPr>
          <w:rFonts w:eastAsiaTheme="minorEastAsia"/>
        </w:rPr>
        <w:t>not impress</w:t>
      </w:r>
      <w:r w:rsidR="00AD4A7B" w:rsidRPr="00A45EA6">
        <w:rPr>
          <w:rFonts w:eastAsiaTheme="minorEastAsia"/>
        </w:rPr>
        <w:t>ed</w:t>
      </w:r>
      <w:r w:rsidRPr="00A45EA6">
        <w:rPr>
          <w:rFonts w:eastAsiaTheme="minorEastAsia"/>
        </w:rPr>
        <w:t xml:space="preserve"> its fans</w:t>
      </w:r>
      <w:r w:rsidR="00C31175" w:rsidRPr="00A45EA6">
        <w:rPr>
          <w:rFonts w:eastAsiaTheme="minorEastAsia"/>
        </w:rPr>
        <w:t>,</w:t>
      </w:r>
      <w:r w:rsidRPr="00A45EA6">
        <w:rPr>
          <w:rFonts w:eastAsiaTheme="minorEastAsia"/>
        </w:rPr>
        <w:t xml:space="preserve"> who </w:t>
      </w:r>
      <w:r w:rsidR="00C31175" w:rsidRPr="00A45EA6">
        <w:rPr>
          <w:rFonts w:eastAsiaTheme="minorEastAsia"/>
        </w:rPr>
        <w:t xml:space="preserve">had </w:t>
      </w:r>
      <w:r w:rsidRPr="00A45EA6">
        <w:rPr>
          <w:rFonts w:eastAsiaTheme="minorEastAsia"/>
        </w:rPr>
        <w:t xml:space="preserve">moved to mobile gaming. Nintendo’s </w:t>
      </w:r>
      <w:r w:rsidR="00C31175" w:rsidRPr="00A45EA6">
        <w:rPr>
          <w:rFonts w:eastAsiaTheme="minorEastAsia"/>
        </w:rPr>
        <w:t>p</w:t>
      </w:r>
      <w:r w:rsidRPr="00A45EA6">
        <w:rPr>
          <w:rFonts w:eastAsiaTheme="minorEastAsia"/>
        </w:rPr>
        <w:t>resident, Satoru Iwata</w:t>
      </w:r>
      <w:r w:rsidR="00C31175" w:rsidRPr="00A45EA6">
        <w:rPr>
          <w:rFonts w:eastAsiaTheme="minorEastAsia"/>
        </w:rPr>
        <w:t>,</w:t>
      </w:r>
      <w:r w:rsidRPr="00A45EA6">
        <w:rPr>
          <w:rFonts w:eastAsiaTheme="minorEastAsia"/>
        </w:rPr>
        <w:t xml:space="preserve"> apologi</w:t>
      </w:r>
      <w:r w:rsidR="00C31175" w:rsidRPr="00A45EA6">
        <w:rPr>
          <w:rFonts w:eastAsiaTheme="minorEastAsia"/>
        </w:rPr>
        <w:t>zed</w:t>
      </w:r>
      <w:r w:rsidRPr="00A45EA6">
        <w:rPr>
          <w:rFonts w:eastAsiaTheme="minorEastAsia"/>
        </w:rPr>
        <w:t xml:space="preserve"> for the company</w:t>
      </w:r>
      <w:r w:rsidR="00C31175" w:rsidRPr="00A45EA6">
        <w:rPr>
          <w:rFonts w:eastAsiaTheme="minorEastAsia"/>
        </w:rPr>
        <w:t>’</w:t>
      </w:r>
      <w:r w:rsidRPr="00A45EA6">
        <w:rPr>
          <w:rFonts w:eastAsiaTheme="minorEastAsia"/>
        </w:rPr>
        <w:t>s underperformance</w:t>
      </w:r>
      <w:r w:rsidR="00C31175" w:rsidRPr="00A45EA6">
        <w:rPr>
          <w:rFonts w:eastAsiaTheme="minorEastAsia"/>
        </w:rPr>
        <w:t>,</w:t>
      </w:r>
      <w:r w:rsidRPr="00A45EA6">
        <w:rPr>
          <w:rFonts w:eastAsiaTheme="minorEastAsia"/>
        </w:rPr>
        <w:t xml:space="preserve"> but investors were left wondering whether Nintendo had any forthcoming cool</w:t>
      </w:r>
      <w:r w:rsidR="00401651" w:rsidRPr="00A45EA6">
        <w:rPr>
          <w:rFonts w:eastAsiaTheme="minorEastAsia"/>
        </w:rPr>
        <w:t>,</w:t>
      </w:r>
      <w:r w:rsidRPr="00A45EA6">
        <w:rPr>
          <w:rFonts w:eastAsiaTheme="minorEastAsia"/>
        </w:rPr>
        <w:t xml:space="preserve"> revolutionary games.</w:t>
      </w:r>
      <w:r w:rsidRPr="00A45EA6">
        <w:rPr>
          <w:rFonts w:eastAsiaTheme="minorEastAsia"/>
          <w:vertAlign w:val="superscript"/>
        </w:rPr>
        <w:endnoteReference w:id="3"/>
      </w:r>
      <w:r w:rsidRPr="00A45EA6">
        <w:rPr>
          <w:rFonts w:eastAsiaTheme="minorEastAsia"/>
        </w:rPr>
        <w:t xml:space="preserve"> </w:t>
      </w:r>
      <w:r w:rsidR="00A46763" w:rsidRPr="00A45EA6">
        <w:rPr>
          <w:rFonts w:eastAsiaTheme="minorEastAsia"/>
        </w:rPr>
        <w:t>In January 2014</w:t>
      </w:r>
      <w:r w:rsidR="00756854" w:rsidRPr="00A45EA6">
        <w:rPr>
          <w:rFonts w:eastAsiaTheme="minorEastAsia"/>
        </w:rPr>
        <w:t xml:space="preserve">, </w:t>
      </w:r>
      <w:r w:rsidRPr="00A45EA6">
        <w:rPr>
          <w:rFonts w:eastAsiaTheme="minorEastAsia"/>
        </w:rPr>
        <w:t>Nintendo’s share price dropped 1</w:t>
      </w:r>
      <w:r w:rsidR="00756854" w:rsidRPr="00A45EA6">
        <w:rPr>
          <w:rFonts w:eastAsiaTheme="minorEastAsia"/>
        </w:rPr>
        <w:t>2</w:t>
      </w:r>
      <w:r w:rsidRPr="00A45EA6">
        <w:rPr>
          <w:rFonts w:eastAsiaTheme="minorEastAsia"/>
        </w:rPr>
        <w:t xml:space="preserve"> per cent.</w:t>
      </w:r>
    </w:p>
    <w:p w14:paraId="7E17A9E3" w14:textId="77777777" w:rsidR="00FF289C" w:rsidRPr="00D717E3" w:rsidRDefault="00FF289C" w:rsidP="00FF289C">
      <w:pPr>
        <w:pStyle w:val="BodyTextMain"/>
        <w:rPr>
          <w:rFonts w:eastAsiaTheme="minorEastAsia"/>
          <w:sz w:val="20"/>
          <w:lang w:val="en-GB" w:eastAsia="ja-JP"/>
        </w:rPr>
      </w:pPr>
    </w:p>
    <w:p w14:paraId="6CDD5390" w14:textId="2F771D7B" w:rsidR="00FF289C" w:rsidRPr="00781BC6" w:rsidRDefault="00FF289C" w:rsidP="00781BC6">
      <w:pPr>
        <w:pStyle w:val="BodyTextMain"/>
      </w:pPr>
      <w:r w:rsidRPr="00781BC6">
        <w:rPr>
          <w:rFonts w:eastAsiaTheme="minorEastAsia"/>
        </w:rPr>
        <w:t xml:space="preserve">Nintendo had just lost its </w:t>
      </w:r>
      <w:r w:rsidR="00401651" w:rsidRPr="00781BC6">
        <w:rPr>
          <w:rFonts w:eastAsiaTheme="minorEastAsia"/>
        </w:rPr>
        <w:t xml:space="preserve">visionary and charismatic </w:t>
      </w:r>
      <w:r w:rsidRPr="00781BC6">
        <w:rPr>
          <w:rFonts w:eastAsiaTheme="minorEastAsia"/>
        </w:rPr>
        <w:t xml:space="preserve">leader, Hiroshi Yamauchi, in the fall of 2013. Yamauchi </w:t>
      </w:r>
      <w:r w:rsidR="006266B7" w:rsidRPr="00781BC6">
        <w:rPr>
          <w:rFonts w:eastAsiaTheme="minorEastAsia"/>
        </w:rPr>
        <w:t xml:space="preserve">had </w:t>
      </w:r>
      <w:r w:rsidRPr="00781BC6">
        <w:rPr>
          <w:rFonts w:eastAsiaTheme="minorEastAsia"/>
        </w:rPr>
        <w:t xml:space="preserve">transformed his family </w:t>
      </w:r>
      <w:r w:rsidR="006266B7" w:rsidRPr="00781BC6">
        <w:rPr>
          <w:rFonts w:eastAsiaTheme="minorEastAsia"/>
        </w:rPr>
        <w:t xml:space="preserve">playing </w:t>
      </w:r>
      <w:r w:rsidRPr="00781BC6">
        <w:rPr>
          <w:rFonts w:eastAsiaTheme="minorEastAsia"/>
        </w:rPr>
        <w:t>card</w:t>
      </w:r>
      <w:r w:rsidR="006266B7" w:rsidRPr="00781BC6">
        <w:rPr>
          <w:rFonts w:eastAsiaTheme="minorEastAsia"/>
        </w:rPr>
        <w:t>s</w:t>
      </w:r>
      <w:r w:rsidRPr="00781BC6">
        <w:rPr>
          <w:rFonts w:eastAsiaTheme="minorEastAsia"/>
        </w:rPr>
        <w:t xml:space="preserve"> company into an empire and </w:t>
      </w:r>
      <w:r w:rsidR="006266B7" w:rsidRPr="00781BC6">
        <w:rPr>
          <w:rFonts w:eastAsiaTheme="minorEastAsia"/>
        </w:rPr>
        <w:t xml:space="preserve">had </w:t>
      </w:r>
      <w:r w:rsidRPr="00781BC6">
        <w:rPr>
          <w:rFonts w:eastAsiaTheme="minorEastAsia"/>
        </w:rPr>
        <w:t xml:space="preserve">introduced </w:t>
      </w:r>
      <w:r w:rsidRPr="00781BC6">
        <w:t xml:space="preserve">many iconic characters and games </w:t>
      </w:r>
      <w:r w:rsidR="006266B7" w:rsidRPr="00781BC6">
        <w:t>to the world, including</w:t>
      </w:r>
      <w:r w:rsidRPr="00781BC6">
        <w:rPr>
          <w:rFonts w:eastAsiaTheme="minorEastAsia"/>
        </w:rPr>
        <w:t xml:space="preserve"> </w:t>
      </w:r>
      <w:r w:rsidRPr="00781BC6">
        <w:rPr>
          <w:rFonts w:eastAsiaTheme="minorEastAsia"/>
          <w:i/>
        </w:rPr>
        <w:t xml:space="preserve">Donkey Kong, Super Mario, </w:t>
      </w:r>
      <w:r w:rsidR="006266B7" w:rsidRPr="00781BC6">
        <w:rPr>
          <w:rFonts w:eastAsiaTheme="minorEastAsia"/>
          <w:i/>
        </w:rPr>
        <w:t>Pokémon</w:t>
      </w:r>
      <w:r w:rsidRPr="00781BC6">
        <w:rPr>
          <w:rFonts w:eastAsiaTheme="minorEastAsia"/>
          <w:i/>
        </w:rPr>
        <w:t>,</w:t>
      </w:r>
      <w:r w:rsidRPr="00781BC6">
        <w:rPr>
          <w:rFonts w:eastAsiaTheme="minorEastAsia"/>
        </w:rPr>
        <w:t xml:space="preserve"> </w:t>
      </w:r>
      <w:r w:rsidR="00AD4A7B" w:rsidRPr="00781BC6">
        <w:rPr>
          <w:rFonts w:eastAsiaTheme="minorEastAsia"/>
        </w:rPr>
        <w:t xml:space="preserve">the </w:t>
      </w:r>
      <w:r w:rsidR="00401651" w:rsidRPr="00781BC6">
        <w:rPr>
          <w:rFonts w:eastAsiaTheme="minorEastAsia"/>
        </w:rPr>
        <w:t xml:space="preserve">hand-held game console Game Boy, </w:t>
      </w:r>
      <w:r w:rsidRPr="00781BC6">
        <w:rPr>
          <w:rFonts w:eastAsiaTheme="minorEastAsia"/>
        </w:rPr>
        <w:t>and the Wii</w:t>
      </w:r>
      <w:r w:rsidR="006266B7" w:rsidRPr="00781BC6">
        <w:rPr>
          <w:rFonts w:eastAsiaTheme="minorEastAsia"/>
        </w:rPr>
        <w:t xml:space="preserve"> video game console</w:t>
      </w:r>
      <w:r w:rsidRPr="00781BC6">
        <w:rPr>
          <w:rFonts w:eastAsiaTheme="minorEastAsia"/>
        </w:rPr>
        <w:t>. He had instilled in Nintendo the philosophy that creativity was always important, even more</w:t>
      </w:r>
      <w:r w:rsidR="009F4A72" w:rsidRPr="00781BC6">
        <w:rPr>
          <w:rFonts w:eastAsiaTheme="minorEastAsia"/>
        </w:rPr>
        <w:t xml:space="preserve"> so</w:t>
      </w:r>
      <w:r w:rsidRPr="00781BC6">
        <w:rPr>
          <w:rFonts w:eastAsiaTheme="minorEastAsia"/>
        </w:rPr>
        <w:t xml:space="preserve"> than technological advancement.</w:t>
      </w:r>
      <w:r w:rsidRPr="00781BC6">
        <w:rPr>
          <w:rFonts w:eastAsiaTheme="minorEastAsia"/>
          <w:vertAlign w:val="superscript"/>
        </w:rPr>
        <w:endnoteReference w:id="4"/>
      </w:r>
    </w:p>
    <w:p w14:paraId="01DB9CF3" w14:textId="77777777" w:rsidR="00FF289C" w:rsidRPr="00781BC6" w:rsidRDefault="00FF289C" w:rsidP="00781BC6">
      <w:pPr>
        <w:pStyle w:val="BodyTextMain"/>
        <w:rPr>
          <w:rFonts w:eastAsiaTheme="minorEastAsia"/>
        </w:rPr>
      </w:pPr>
    </w:p>
    <w:p w14:paraId="6120BD77" w14:textId="6F59B32A" w:rsidR="00FF289C" w:rsidRPr="00781BC6" w:rsidRDefault="00FF289C" w:rsidP="00781BC6">
      <w:pPr>
        <w:pStyle w:val="BodyTextMain"/>
        <w:rPr>
          <w:rFonts w:eastAsiaTheme="minorEastAsia"/>
        </w:rPr>
      </w:pPr>
      <w:r w:rsidRPr="00781BC6">
        <w:rPr>
          <w:rFonts w:eastAsiaTheme="minorEastAsia"/>
        </w:rPr>
        <w:t xml:space="preserve">Yamauchi </w:t>
      </w:r>
      <w:r w:rsidR="006266B7" w:rsidRPr="00781BC6">
        <w:rPr>
          <w:rFonts w:eastAsiaTheme="minorEastAsia"/>
        </w:rPr>
        <w:t xml:space="preserve">had </w:t>
      </w:r>
      <w:r w:rsidRPr="00781BC6">
        <w:rPr>
          <w:rFonts w:eastAsiaTheme="minorEastAsia"/>
        </w:rPr>
        <w:t>left his family with a huge inheritance but also a huge dilemma. His offspring stood to inherit more than 10 per</w:t>
      </w:r>
      <w:r w:rsidR="006266B7" w:rsidRPr="00781BC6">
        <w:rPr>
          <w:rFonts w:eastAsiaTheme="minorEastAsia"/>
        </w:rPr>
        <w:t xml:space="preserve"> </w:t>
      </w:r>
      <w:r w:rsidRPr="00781BC6">
        <w:rPr>
          <w:rFonts w:eastAsiaTheme="minorEastAsia"/>
        </w:rPr>
        <w:t>cent of Nintendo</w:t>
      </w:r>
      <w:r w:rsidR="006266B7" w:rsidRPr="00781BC6">
        <w:rPr>
          <w:rFonts w:eastAsiaTheme="minorEastAsia"/>
        </w:rPr>
        <w:t>,</w:t>
      </w:r>
      <w:r w:rsidRPr="00781BC6">
        <w:rPr>
          <w:rFonts w:eastAsiaTheme="minorEastAsia"/>
        </w:rPr>
        <w:t xml:space="preserve"> but they </w:t>
      </w:r>
      <w:r w:rsidR="006266B7" w:rsidRPr="00781BC6">
        <w:rPr>
          <w:rFonts w:eastAsiaTheme="minorEastAsia"/>
        </w:rPr>
        <w:t>had</w:t>
      </w:r>
      <w:r w:rsidRPr="00781BC6">
        <w:rPr>
          <w:rFonts w:eastAsiaTheme="minorEastAsia"/>
        </w:rPr>
        <w:t xml:space="preserve"> to settle an enormous inheritance bill within a year</w:t>
      </w:r>
      <w:r w:rsidR="00AD4A7B" w:rsidRPr="00781BC6">
        <w:rPr>
          <w:rFonts w:eastAsiaTheme="minorEastAsia"/>
        </w:rPr>
        <w:t xml:space="preserve">; </w:t>
      </w:r>
      <w:r w:rsidRPr="00781BC6">
        <w:rPr>
          <w:rFonts w:eastAsiaTheme="minorEastAsia"/>
        </w:rPr>
        <w:t>Japan’s inheritance tax was one of the highest in the world. Yamauchi’s heirs would be taxed at the highest rate of 50 per cent. The Yamauchi heirs sought the company’s advice on this matter.</w:t>
      </w:r>
      <w:r w:rsidR="001562DA" w:rsidRPr="00781BC6">
        <w:rPr>
          <w:rFonts w:eastAsiaTheme="minorEastAsia"/>
        </w:rPr>
        <w:t xml:space="preserve"> </w:t>
      </w:r>
      <w:r w:rsidRPr="00781BC6">
        <w:rPr>
          <w:rFonts w:eastAsiaTheme="minorEastAsia"/>
        </w:rPr>
        <w:t>How should Nintendo solve the current financial trouble?</w:t>
      </w:r>
    </w:p>
    <w:p w14:paraId="401157FF" w14:textId="77777777" w:rsidR="00FF289C" w:rsidRPr="00781BC6" w:rsidRDefault="00FF289C" w:rsidP="00781BC6">
      <w:pPr>
        <w:pStyle w:val="BodyTextMain"/>
        <w:rPr>
          <w:rFonts w:eastAsiaTheme="minorEastAsia"/>
        </w:rPr>
      </w:pPr>
    </w:p>
    <w:p w14:paraId="7469B357" w14:textId="77777777" w:rsidR="00FF289C" w:rsidRPr="00781BC6" w:rsidRDefault="00FF289C" w:rsidP="00781BC6">
      <w:pPr>
        <w:pStyle w:val="BodyTextMain"/>
        <w:rPr>
          <w:rFonts w:eastAsiaTheme="minorEastAsia"/>
        </w:rPr>
      </w:pPr>
    </w:p>
    <w:p w14:paraId="16120B6A" w14:textId="38B420F5" w:rsidR="00FF289C" w:rsidRPr="00D717E3" w:rsidRDefault="00FF289C" w:rsidP="003336A8">
      <w:pPr>
        <w:pStyle w:val="Casehead1"/>
        <w:outlineLvl w:val="0"/>
        <w:rPr>
          <w:lang w:val="en-GB"/>
        </w:rPr>
      </w:pPr>
      <w:r w:rsidRPr="00D717E3">
        <w:rPr>
          <w:lang w:val="en-GB"/>
        </w:rPr>
        <w:t xml:space="preserve">Hiroshi Yamauchi </w:t>
      </w:r>
      <w:r w:rsidR="006266B7" w:rsidRPr="00D717E3">
        <w:rPr>
          <w:lang w:val="en-GB"/>
        </w:rPr>
        <w:t>and</w:t>
      </w:r>
      <w:r w:rsidRPr="00D717E3">
        <w:rPr>
          <w:lang w:val="en-GB"/>
        </w:rPr>
        <w:t xml:space="preserve"> the rise of NINTENDO </w:t>
      </w:r>
    </w:p>
    <w:p w14:paraId="4D4CB042" w14:textId="77777777" w:rsidR="00FF289C" w:rsidRPr="00D717E3" w:rsidRDefault="00FF289C" w:rsidP="00FF289C">
      <w:pPr>
        <w:pStyle w:val="BodyTextMain"/>
        <w:rPr>
          <w:rFonts w:eastAsiaTheme="minorEastAsia"/>
          <w:sz w:val="20"/>
          <w:lang w:val="en-GB" w:eastAsia="ja-JP"/>
        </w:rPr>
      </w:pPr>
    </w:p>
    <w:p w14:paraId="1212AA26" w14:textId="00D23233" w:rsidR="00FF289C" w:rsidRPr="00781BC6" w:rsidRDefault="00FF289C" w:rsidP="00781BC6">
      <w:pPr>
        <w:pStyle w:val="BodyTextMain"/>
        <w:rPr>
          <w:rFonts w:eastAsiaTheme="minorEastAsia"/>
        </w:rPr>
      </w:pPr>
      <w:r w:rsidRPr="00D717E3">
        <w:rPr>
          <w:rFonts w:eastAsiaTheme="minorEastAsia"/>
          <w:lang w:val="en-GB" w:eastAsia="ja-JP"/>
        </w:rPr>
        <w:t xml:space="preserve">In </w:t>
      </w:r>
      <w:r w:rsidRPr="00781BC6">
        <w:rPr>
          <w:rFonts w:eastAsiaTheme="minorEastAsia"/>
        </w:rPr>
        <w:t>1889, Fusajiro Yamauchi, a craftsman, opened a small shop in Kyoto. He designed playing cards and added interesting stories and colours</w:t>
      </w:r>
      <w:r w:rsidR="008E04DF" w:rsidRPr="00781BC6">
        <w:rPr>
          <w:rFonts w:eastAsiaTheme="minorEastAsia"/>
        </w:rPr>
        <w:t xml:space="preserve"> to them</w:t>
      </w:r>
      <w:r w:rsidRPr="00781BC6">
        <w:rPr>
          <w:rFonts w:eastAsiaTheme="minorEastAsia"/>
        </w:rPr>
        <w:t xml:space="preserve">. To attract attention, he named his shop using three </w:t>
      </w:r>
      <w:r w:rsidRPr="00781BC6">
        <w:rPr>
          <w:rFonts w:eastAsiaTheme="minorEastAsia"/>
          <w:i/>
        </w:rPr>
        <w:t>kanji</w:t>
      </w:r>
      <w:r w:rsidRPr="00781BC6">
        <w:rPr>
          <w:rFonts w:eastAsiaTheme="minorEastAsia"/>
        </w:rPr>
        <w:t xml:space="preserve"> characters</w:t>
      </w:r>
      <w:r w:rsidR="008E04DF" w:rsidRPr="00781BC6">
        <w:rPr>
          <w:rFonts w:eastAsiaTheme="minorEastAsia"/>
        </w:rPr>
        <w:t>—</w:t>
      </w:r>
      <w:r w:rsidRPr="00781BC6">
        <w:rPr>
          <w:rFonts w:eastAsiaTheme="minorEastAsia"/>
          <w:i/>
        </w:rPr>
        <w:t>nin, ten</w:t>
      </w:r>
      <w:r w:rsidR="008E04DF" w:rsidRPr="00781BC6">
        <w:rPr>
          <w:rFonts w:eastAsiaTheme="minorEastAsia"/>
          <w:i/>
        </w:rPr>
        <w:t>,</w:t>
      </w:r>
      <w:r w:rsidRPr="00781BC6">
        <w:rPr>
          <w:rFonts w:eastAsiaTheme="minorEastAsia"/>
        </w:rPr>
        <w:t xml:space="preserve"> and </w:t>
      </w:r>
      <w:r w:rsidRPr="00781BC6">
        <w:rPr>
          <w:rFonts w:eastAsiaTheme="minorEastAsia"/>
          <w:i/>
        </w:rPr>
        <w:t>do</w:t>
      </w:r>
      <w:r w:rsidR="00AD4A7B" w:rsidRPr="00781BC6">
        <w:rPr>
          <w:rFonts w:eastAsiaTheme="minorEastAsia"/>
        </w:rPr>
        <w:t>—</w:t>
      </w:r>
      <w:r w:rsidRPr="00781BC6">
        <w:rPr>
          <w:rFonts w:eastAsiaTheme="minorEastAsia"/>
        </w:rPr>
        <w:t>which taken together meant “leave luck to heaven” or “work hard but in the end, it is in heaven’s hands.”</w:t>
      </w:r>
      <w:r w:rsidRPr="00781BC6">
        <w:rPr>
          <w:rFonts w:eastAsiaTheme="minorEastAsia"/>
          <w:vertAlign w:val="superscript"/>
        </w:rPr>
        <w:endnoteReference w:id="5"/>
      </w:r>
    </w:p>
    <w:p w14:paraId="711622EF" w14:textId="77777777" w:rsidR="00FF289C" w:rsidRPr="00781BC6" w:rsidRDefault="00FF289C" w:rsidP="00781BC6">
      <w:pPr>
        <w:pStyle w:val="BodyTextMain"/>
        <w:rPr>
          <w:rFonts w:eastAsiaTheme="minorEastAsia"/>
        </w:rPr>
      </w:pPr>
    </w:p>
    <w:p w14:paraId="79470E53" w14:textId="3186A7E5" w:rsidR="00FF289C" w:rsidRPr="00781BC6" w:rsidRDefault="00FF289C" w:rsidP="00781BC6">
      <w:pPr>
        <w:pStyle w:val="BodyTextMain"/>
        <w:rPr>
          <w:rFonts w:eastAsiaTheme="minorEastAsia"/>
        </w:rPr>
      </w:pPr>
      <w:r w:rsidRPr="00781BC6">
        <w:rPr>
          <w:rFonts w:eastAsiaTheme="minorEastAsia"/>
        </w:rPr>
        <w:t xml:space="preserve">Fusajiro passed the business to his adopted son-in-law, Sekiryo, in 1929. Following the family tradition, Sekiryo </w:t>
      </w:r>
      <w:r w:rsidR="008E04DF" w:rsidRPr="00781BC6">
        <w:rPr>
          <w:rFonts w:eastAsiaTheme="minorEastAsia"/>
        </w:rPr>
        <w:t xml:space="preserve">had </w:t>
      </w:r>
      <w:r w:rsidRPr="00781BC6">
        <w:rPr>
          <w:rFonts w:eastAsiaTheme="minorEastAsia"/>
        </w:rPr>
        <w:t>also adopted his son-in-law, Shikanojo. Unfortunately, Shikanojo abandoned the family in 1932</w:t>
      </w:r>
      <w:r w:rsidR="008E04DF" w:rsidRPr="00781BC6">
        <w:rPr>
          <w:rFonts w:eastAsiaTheme="minorEastAsia"/>
        </w:rPr>
        <w:t>,</w:t>
      </w:r>
      <w:r w:rsidRPr="00781BC6">
        <w:rPr>
          <w:rFonts w:eastAsiaTheme="minorEastAsia"/>
        </w:rPr>
        <w:t xml:space="preserve"> leaving behind his five-year-old son, Hiroshi. Hiroshi </w:t>
      </w:r>
      <w:r w:rsidR="00D27B01" w:rsidRPr="00781BC6">
        <w:rPr>
          <w:rFonts w:eastAsiaTheme="minorEastAsia"/>
        </w:rPr>
        <w:t xml:space="preserve">Yamauchi </w:t>
      </w:r>
      <w:r w:rsidRPr="00781BC6">
        <w:rPr>
          <w:rFonts w:eastAsiaTheme="minorEastAsia"/>
        </w:rPr>
        <w:t>was raised by his grandparents</w:t>
      </w:r>
      <w:r w:rsidR="008E04DF" w:rsidRPr="00781BC6">
        <w:rPr>
          <w:rFonts w:eastAsiaTheme="minorEastAsia"/>
        </w:rPr>
        <w:t>,</w:t>
      </w:r>
      <w:r w:rsidRPr="00781BC6">
        <w:rPr>
          <w:rFonts w:eastAsiaTheme="minorEastAsia"/>
        </w:rPr>
        <w:t xml:space="preserve"> and </w:t>
      </w:r>
      <w:r w:rsidR="008E04DF" w:rsidRPr="00781BC6">
        <w:rPr>
          <w:rFonts w:eastAsiaTheme="minorEastAsia"/>
        </w:rPr>
        <w:lastRenderedPageBreak/>
        <w:t xml:space="preserve">although he </w:t>
      </w:r>
      <w:r w:rsidRPr="00781BC6">
        <w:rPr>
          <w:rFonts w:eastAsiaTheme="minorEastAsia"/>
        </w:rPr>
        <w:t xml:space="preserve">went </w:t>
      </w:r>
      <w:r w:rsidR="008E04DF" w:rsidRPr="00781BC6">
        <w:rPr>
          <w:rFonts w:eastAsiaTheme="minorEastAsia"/>
        </w:rPr>
        <w:t xml:space="preserve">on </w:t>
      </w:r>
      <w:r w:rsidRPr="00781BC6">
        <w:rPr>
          <w:rFonts w:eastAsiaTheme="minorEastAsia"/>
        </w:rPr>
        <w:t xml:space="preserve">to study at Waseda University in Tokyo, </w:t>
      </w:r>
      <w:r w:rsidR="008E04DF" w:rsidRPr="00781BC6">
        <w:rPr>
          <w:rFonts w:eastAsiaTheme="minorEastAsia"/>
        </w:rPr>
        <w:t>he</w:t>
      </w:r>
      <w:r w:rsidRPr="00781BC6">
        <w:rPr>
          <w:rFonts w:eastAsiaTheme="minorEastAsia"/>
        </w:rPr>
        <w:t xml:space="preserve"> soon had to drop out and return to Kyoto when his grand</w:t>
      </w:r>
      <w:r w:rsidR="008E04DF" w:rsidRPr="00781BC6">
        <w:rPr>
          <w:rFonts w:eastAsiaTheme="minorEastAsia"/>
        </w:rPr>
        <w:t>father</w:t>
      </w:r>
      <w:r w:rsidRPr="00781BC6">
        <w:rPr>
          <w:rFonts w:eastAsiaTheme="minorEastAsia"/>
        </w:rPr>
        <w:t xml:space="preserve"> suffered a stroke in 1949.</w:t>
      </w:r>
      <w:r w:rsidRPr="00781BC6">
        <w:rPr>
          <w:rFonts w:eastAsiaTheme="minorEastAsia"/>
          <w:vertAlign w:val="superscript"/>
        </w:rPr>
        <w:endnoteReference w:id="6"/>
      </w:r>
    </w:p>
    <w:p w14:paraId="498CDFC7" w14:textId="77777777" w:rsidR="00B45E21" w:rsidRPr="00781BC6" w:rsidRDefault="00B45E21" w:rsidP="00781BC6">
      <w:pPr>
        <w:pStyle w:val="BodyTextMain"/>
        <w:rPr>
          <w:rFonts w:eastAsiaTheme="minorEastAsia"/>
        </w:rPr>
      </w:pPr>
    </w:p>
    <w:p w14:paraId="5B5A1452" w14:textId="1685C848" w:rsidR="00FF289C" w:rsidRPr="00781BC6" w:rsidRDefault="00D27B01" w:rsidP="00781BC6">
      <w:pPr>
        <w:pStyle w:val="BodyTextMain"/>
        <w:rPr>
          <w:rFonts w:eastAsiaTheme="minorEastAsia"/>
        </w:rPr>
      </w:pPr>
      <w:r w:rsidRPr="00781BC6">
        <w:rPr>
          <w:rFonts w:eastAsiaTheme="minorEastAsia"/>
        </w:rPr>
        <w:t>Yamauchi</w:t>
      </w:r>
      <w:r w:rsidR="00FF289C" w:rsidRPr="00781BC6">
        <w:rPr>
          <w:rFonts w:eastAsiaTheme="minorEastAsia"/>
        </w:rPr>
        <w:t xml:space="preserve"> took the leadership role </w:t>
      </w:r>
      <w:r w:rsidR="00401651" w:rsidRPr="00781BC6">
        <w:rPr>
          <w:rFonts w:eastAsiaTheme="minorEastAsia"/>
        </w:rPr>
        <w:t>of</w:t>
      </w:r>
      <w:r w:rsidR="008E04DF" w:rsidRPr="00781BC6">
        <w:rPr>
          <w:rFonts w:eastAsiaTheme="minorEastAsia"/>
        </w:rPr>
        <w:t xml:space="preserve"> the business </w:t>
      </w:r>
      <w:r w:rsidR="00FF289C" w:rsidRPr="00781BC6">
        <w:rPr>
          <w:rFonts w:eastAsiaTheme="minorEastAsia"/>
        </w:rPr>
        <w:t xml:space="preserve">at </w:t>
      </w:r>
      <w:r w:rsidR="008E04DF" w:rsidRPr="00781BC6">
        <w:rPr>
          <w:rFonts w:eastAsiaTheme="minorEastAsia"/>
        </w:rPr>
        <w:t xml:space="preserve">age </w:t>
      </w:r>
      <w:r w:rsidR="00FF289C" w:rsidRPr="00781BC6">
        <w:rPr>
          <w:rFonts w:eastAsiaTheme="minorEastAsia"/>
        </w:rPr>
        <w:t>22 and quickly made his presence felt. He fired all family members and replaced long</w:t>
      </w:r>
      <w:r w:rsidR="008E04DF" w:rsidRPr="00781BC6">
        <w:rPr>
          <w:rFonts w:eastAsiaTheme="minorEastAsia"/>
        </w:rPr>
        <w:t>-</w:t>
      </w:r>
      <w:r w:rsidR="00FF289C" w:rsidRPr="00781BC6">
        <w:rPr>
          <w:rFonts w:eastAsiaTheme="minorEastAsia"/>
        </w:rPr>
        <w:t xml:space="preserve">time employees. In </w:t>
      </w:r>
      <w:r w:rsidR="008E04DF" w:rsidRPr="00781BC6">
        <w:rPr>
          <w:rFonts w:eastAsiaTheme="minorEastAsia"/>
        </w:rPr>
        <w:t xml:space="preserve">the </w:t>
      </w:r>
      <w:r w:rsidR="00FF289C" w:rsidRPr="00781BC6">
        <w:rPr>
          <w:rFonts w:eastAsiaTheme="minorEastAsia"/>
        </w:rPr>
        <w:t xml:space="preserve">1950s, he </w:t>
      </w:r>
      <w:r w:rsidR="008E04DF" w:rsidRPr="00781BC6">
        <w:rPr>
          <w:rFonts w:eastAsiaTheme="minorEastAsia"/>
        </w:rPr>
        <w:t xml:space="preserve">began </w:t>
      </w:r>
      <w:r w:rsidR="00FF289C" w:rsidRPr="00781BC6">
        <w:rPr>
          <w:rFonts w:eastAsiaTheme="minorEastAsia"/>
        </w:rPr>
        <w:t>mass producing plastic playing cards and printed the hugely popular Disney characters on the</w:t>
      </w:r>
      <w:r w:rsidR="008E04DF" w:rsidRPr="00781BC6">
        <w:rPr>
          <w:rFonts w:eastAsiaTheme="minorEastAsia"/>
        </w:rPr>
        <w:t>m</w:t>
      </w:r>
      <w:r w:rsidR="00FF289C" w:rsidRPr="00781BC6">
        <w:rPr>
          <w:rFonts w:eastAsiaTheme="minorEastAsia"/>
        </w:rPr>
        <w:t>. He then ventured into many businesses</w:t>
      </w:r>
      <w:r w:rsidR="00AD4A7B" w:rsidRPr="00781BC6">
        <w:rPr>
          <w:rFonts w:eastAsiaTheme="minorEastAsia"/>
        </w:rPr>
        <w:t>,</w:t>
      </w:r>
      <w:r w:rsidR="00FF289C" w:rsidRPr="00781BC6">
        <w:rPr>
          <w:rFonts w:eastAsiaTheme="minorEastAsia"/>
        </w:rPr>
        <w:t xml:space="preserve"> including sugar, instant rice, taxis, and even </w:t>
      </w:r>
      <w:r w:rsidR="008E04DF" w:rsidRPr="00781BC6">
        <w:rPr>
          <w:rFonts w:eastAsiaTheme="minorEastAsia"/>
        </w:rPr>
        <w:t>“</w:t>
      </w:r>
      <w:r w:rsidR="00FF289C" w:rsidRPr="00781BC6">
        <w:rPr>
          <w:rFonts w:eastAsiaTheme="minorEastAsia"/>
        </w:rPr>
        <w:t>love hotels</w:t>
      </w:r>
      <w:r w:rsidR="008E04DF" w:rsidRPr="00781BC6">
        <w:rPr>
          <w:rFonts w:eastAsiaTheme="minorEastAsia"/>
        </w:rPr>
        <w:t>” (a type of short-stay hotel originating in Japan)</w:t>
      </w:r>
      <w:r w:rsidR="00AD4A7B" w:rsidRPr="00781BC6">
        <w:rPr>
          <w:rFonts w:eastAsiaTheme="minorEastAsia"/>
        </w:rPr>
        <w:t>,</w:t>
      </w:r>
      <w:r w:rsidR="00FF289C" w:rsidRPr="00781BC6">
        <w:rPr>
          <w:rFonts w:eastAsiaTheme="minorEastAsia"/>
        </w:rPr>
        <w:t xml:space="preserve"> but failed</w:t>
      </w:r>
      <w:r w:rsidR="00320C7E" w:rsidRPr="00781BC6">
        <w:rPr>
          <w:rFonts w:eastAsiaTheme="minorEastAsia"/>
        </w:rPr>
        <w:t xml:space="preserve"> in these ventures,</w:t>
      </w:r>
      <w:r w:rsidR="00FF289C" w:rsidRPr="00781BC6">
        <w:rPr>
          <w:rFonts w:eastAsiaTheme="minorEastAsia"/>
        </w:rPr>
        <w:t xml:space="preserve"> putting Nintendo </w:t>
      </w:r>
      <w:r w:rsidR="00320C7E" w:rsidRPr="00781BC6">
        <w:rPr>
          <w:rFonts w:eastAsiaTheme="minorEastAsia"/>
        </w:rPr>
        <w:t>at</w:t>
      </w:r>
      <w:r w:rsidR="00FF289C" w:rsidRPr="00781BC6">
        <w:rPr>
          <w:rFonts w:eastAsiaTheme="minorEastAsia"/>
        </w:rPr>
        <w:t xml:space="preserve"> the brink of bankruptcy in the late 1960s. Eventually he realized that Nintendo’s greatest asset was the extensive distribution network his family had meticulously built up </w:t>
      </w:r>
      <w:r w:rsidR="00401651" w:rsidRPr="00781BC6">
        <w:rPr>
          <w:rFonts w:eastAsiaTheme="minorEastAsia"/>
        </w:rPr>
        <w:t>over</w:t>
      </w:r>
      <w:r w:rsidR="00FF289C" w:rsidRPr="00781BC6">
        <w:rPr>
          <w:rFonts w:eastAsiaTheme="minorEastAsia"/>
        </w:rPr>
        <w:t xml:space="preserve"> decades of selling playing cards. His focus then shifted toward products that could be sold through this distribution network, and </w:t>
      </w:r>
      <w:r w:rsidR="00320C7E" w:rsidRPr="00781BC6">
        <w:rPr>
          <w:rFonts w:eastAsiaTheme="minorEastAsia"/>
        </w:rPr>
        <w:t xml:space="preserve">he </w:t>
      </w:r>
      <w:r w:rsidR="00FF289C" w:rsidRPr="00781BC6">
        <w:rPr>
          <w:rFonts w:eastAsiaTheme="minorEastAsia"/>
        </w:rPr>
        <w:t>experimented with several electrical toys before settling on video</w:t>
      </w:r>
      <w:r w:rsidR="00320C7E" w:rsidRPr="00781BC6">
        <w:rPr>
          <w:rFonts w:eastAsiaTheme="minorEastAsia"/>
        </w:rPr>
        <w:t xml:space="preserve"> </w:t>
      </w:r>
      <w:r w:rsidR="00FF289C" w:rsidRPr="00781BC6">
        <w:rPr>
          <w:rFonts w:eastAsiaTheme="minorEastAsia"/>
        </w:rPr>
        <w:t>games.</w:t>
      </w:r>
      <w:r w:rsidR="00FF289C" w:rsidRPr="00781BC6">
        <w:rPr>
          <w:rFonts w:eastAsiaTheme="minorEastAsia"/>
          <w:vertAlign w:val="superscript"/>
        </w:rPr>
        <w:endnoteReference w:id="7"/>
      </w:r>
    </w:p>
    <w:p w14:paraId="29CA6CF3" w14:textId="77777777" w:rsidR="001562DA" w:rsidRPr="00781BC6" w:rsidRDefault="001562DA" w:rsidP="00781BC6">
      <w:pPr>
        <w:pStyle w:val="BodyTextMain"/>
        <w:rPr>
          <w:rFonts w:eastAsiaTheme="minorEastAsia"/>
        </w:rPr>
      </w:pPr>
    </w:p>
    <w:p w14:paraId="55C273FA" w14:textId="5CC72A30" w:rsidR="00FF289C" w:rsidRPr="00781BC6" w:rsidRDefault="00FF289C" w:rsidP="00781BC6">
      <w:pPr>
        <w:pStyle w:val="BodyTextMain"/>
        <w:rPr>
          <w:rFonts w:eastAsiaTheme="minorEastAsia"/>
        </w:rPr>
      </w:pPr>
      <w:r w:rsidRPr="00781BC6">
        <w:rPr>
          <w:rFonts w:eastAsiaTheme="minorEastAsia"/>
        </w:rPr>
        <w:t>Yamauchi</w:t>
      </w:r>
      <w:r w:rsidRPr="00781BC6">
        <w:t xml:space="preserve"> saw the potential of the </w:t>
      </w:r>
      <w:r w:rsidR="00FC1A4F" w:rsidRPr="00781BC6">
        <w:t xml:space="preserve">video </w:t>
      </w:r>
      <w:r w:rsidRPr="00781BC6">
        <w:t xml:space="preserve">game industry. In 1980, </w:t>
      </w:r>
      <w:r w:rsidRPr="00781BC6">
        <w:rPr>
          <w:rFonts w:eastAsiaTheme="minorEastAsia"/>
        </w:rPr>
        <w:t>Nintendo released the portable liquid crystal display (LCD) game machine Game &amp; Watch</w:t>
      </w:r>
      <w:r w:rsidR="009F4A72" w:rsidRPr="00781BC6">
        <w:rPr>
          <w:rFonts w:eastAsiaTheme="minorEastAsia"/>
        </w:rPr>
        <w:t>,</w:t>
      </w:r>
      <w:r w:rsidRPr="00781BC6">
        <w:rPr>
          <w:rFonts w:eastAsiaTheme="minorEastAsia"/>
        </w:rPr>
        <w:t xml:space="preserve"> which sold 43.4 million units globally. In 1981, Nintendo released </w:t>
      </w:r>
      <w:r w:rsidRPr="00781BC6">
        <w:rPr>
          <w:i/>
        </w:rPr>
        <w:t>Donkey Kong</w:t>
      </w:r>
      <w:r w:rsidR="009F4A72" w:rsidRPr="00781BC6">
        <w:t>,</w:t>
      </w:r>
      <w:r w:rsidRPr="00781BC6">
        <w:t xml:space="preserve"> created by Shigeru Miyamoto. It became a big </w:t>
      </w:r>
      <w:r w:rsidR="00787911" w:rsidRPr="00781BC6">
        <w:t>success</w:t>
      </w:r>
      <w:r w:rsidRPr="00781BC6">
        <w:rPr>
          <w:rFonts w:eastAsiaTheme="minorEastAsia"/>
        </w:rPr>
        <w:t>. The main character was later re</w:t>
      </w:r>
      <w:r w:rsidR="00787911" w:rsidRPr="00781BC6">
        <w:rPr>
          <w:rFonts w:eastAsiaTheme="minorEastAsia"/>
        </w:rPr>
        <w:t>-</w:t>
      </w:r>
      <w:r w:rsidRPr="00781BC6">
        <w:rPr>
          <w:rFonts w:eastAsiaTheme="minorEastAsia"/>
        </w:rPr>
        <w:t>named Mario. In 198</w:t>
      </w:r>
      <w:r w:rsidR="00634C30">
        <w:rPr>
          <w:rFonts w:eastAsiaTheme="minorEastAsia"/>
        </w:rPr>
        <w:t>3, Nintendo released the Famicom</w:t>
      </w:r>
      <w:r w:rsidRPr="00781BC6">
        <w:rPr>
          <w:rFonts w:eastAsiaTheme="minorEastAsia"/>
        </w:rPr>
        <w:t xml:space="preserve"> (</w:t>
      </w:r>
      <w:r w:rsidRPr="00781BC6">
        <w:t>short for “family computer</w:t>
      </w:r>
      <w:r w:rsidR="00787911" w:rsidRPr="00781BC6">
        <w:t>”</w:t>
      </w:r>
      <w:r w:rsidRPr="00781BC6">
        <w:rPr>
          <w:rFonts w:eastAsiaTheme="minorEastAsia"/>
        </w:rPr>
        <w:t>)</w:t>
      </w:r>
      <w:r w:rsidR="00787911" w:rsidRPr="00781BC6">
        <w:rPr>
          <w:rFonts w:eastAsiaTheme="minorEastAsia"/>
        </w:rPr>
        <w:t>,</w:t>
      </w:r>
      <w:r w:rsidRPr="00781BC6">
        <w:rPr>
          <w:rFonts w:eastAsiaTheme="minorEastAsia"/>
        </w:rPr>
        <w:t xml:space="preserve"> which was known as the Nintendo Entertainment System outside </w:t>
      </w:r>
      <w:r w:rsidR="00787911" w:rsidRPr="00781BC6">
        <w:rPr>
          <w:rFonts w:eastAsiaTheme="minorEastAsia"/>
        </w:rPr>
        <w:t xml:space="preserve">of </w:t>
      </w:r>
      <w:r w:rsidRPr="00781BC6">
        <w:rPr>
          <w:rFonts w:eastAsiaTheme="minorEastAsia"/>
        </w:rPr>
        <w:t xml:space="preserve">Japan. </w:t>
      </w:r>
      <w:r w:rsidR="00787911" w:rsidRPr="00781BC6">
        <w:rPr>
          <w:rFonts w:eastAsiaTheme="minorEastAsia"/>
        </w:rPr>
        <w:t>The company sold m</w:t>
      </w:r>
      <w:r w:rsidRPr="00781BC6">
        <w:rPr>
          <w:rFonts w:eastAsiaTheme="minorEastAsia"/>
        </w:rPr>
        <w:t xml:space="preserve">ore than 60 million units </w:t>
      </w:r>
      <w:r w:rsidR="00787911" w:rsidRPr="00781BC6">
        <w:rPr>
          <w:rFonts w:eastAsiaTheme="minorEastAsia"/>
        </w:rPr>
        <w:t>of the Nintendo Entertainment System</w:t>
      </w:r>
      <w:r w:rsidRPr="00781BC6">
        <w:rPr>
          <w:rFonts w:eastAsiaTheme="minorEastAsia"/>
        </w:rPr>
        <w:t>.</w:t>
      </w:r>
      <w:r w:rsidRPr="00781BC6">
        <w:rPr>
          <w:rFonts w:eastAsiaTheme="minorEastAsia"/>
        </w:rPr>
        <w:endnoteReference w:id="8"/>
      </w:r>
      <w:r w:rsidRPr="00781BC6">
        <w:t xml:space="preserve"> </w:t>
      </w:r>
    </w:p>
    <w:p w14:paraId="1FE82586" w14:textId="77777777" w:rsidR="00FF289C" w:rsidRPr="00D717E3" w:rsidRDefault="00FF289C" w:rsidP="00FF289C">
      <w:pPr>
        <w:pStyle w:val="BodyTextMain"/>
        <w:rPr>
          <w:color w:val="000000"/>
          <w:sz w:val="20"/>
          <w:lang w:val="en-GB" w:eastAsia="ja-JP"/>
        </w:rPr>
      </w:pPr>
    </w:p>
    <w:p w14:paraId="27F44825" w14:textId="1571297A" w:rsidR="00FF289C" w:rsidRPr="00781BC6" w:rsidRDefault="00634C30" w:rsidP="00781BC6">
      <w:pPr>
        <w:pStyle w:val="BodyTextMain"/>
        <w:rPr>
          <w:rFonts w:eastAsiaTheme="minorEastAsia"/>
        </w:rPr>
      </w:pPr>
      <w:r>
        <w:t>With Famicom</w:t>
      </w:r>
      <w:r w:rsidR="00FF289C" w:rsidRPr="00781BC6">
        <w:t xml:space="preserve">, </w:t>
      </w:r>
      <w:r w:rsidR="00FF289C" w:rsidRPr="00781BC6">
        <w:rPr>
          <w:rFonts w:eastAsiaTheme="minorEastAsia"/>
        </w:rPr>
        <w:t>Yamauchi had found a new business model</w:t>
      </w:r>
      <w:r w:rsidR="00787911" w:rsidRPr="00781BC6">
        <w:rPr>
          <w:rFonts w:eastAsiaTheme="minorEastAsia"/>
        </w:rPr>
        <w:t>.</w:t>
      </w:r>
      <w:r w:rsidR="00FF289C" w:rsidRPr="00781BC6">
        <w:rPr>
          <w:rFonts w:eastAsiaTheme="minorEastAsia"/>
        </w:rPr>
        <w:t xml:space="preserve"> </w:t>
      </w:r>
      <w:r w:rsidR="00787911" w:rsidRPr="00781BC6">
        <w:rPr>
          <w:rFonts w:eastAsiaTheme="minorEastAsia"/>
        </w:rPr>
        <w:t>H</w:t>
      </w:r>
      <w:r w:rsidR="00FF289C" w:rsidRPr="00781BC6">
        <w:rPr>
          <w:rFonts w:eastAsiaTheme="minorEastAsia"/>
        </w:rPr>
        <w:t>e told Shoshinkai, a Japanese wholesaler group, to “forgo profits on the hardware. Famicom is just a tool to sell our games. This is how we shall make our money.”</w:t>
      </w:r>
      <w:r w:rsidR="00FF289C" w:rsidRPr="00781BC6">
        <w:rPr>
          <w:rFonts w:eastAsiaTheme="minorEastAsia"/>
          <w:vertAlign w:val="superscript"/>
        </w:rPr>
        <w:endnoteReference w:id="9"/>
      </w:r>
      <w:r w:rsidR="00FF289C" w:rsidRPr="00781BC6">
        <w:rPr>
          <w:rFonts w:eastAsiaTheme="minorEastAsia"/>
          <w:vertAlign w:val="superscript"/>
        </w:rPr>
        <w:t xml:space="preserve"> </w:t>
      </w:r>
      <w:r w:rsidR="00FF289C" w:rsidRPr="00781BC6">
        <w:rPr>
          <w:rFonts w:eastAsiaTheme="minorEastAsia"/>
        </w:rPr>
        <w:t xml:space="preserve">His vision also </w:t>
      </w:r>
      <w:r w:rsidR="007F3772" w:rsidRPr="00781BC6">
        <w:rPr>
          <w:rFonts w:eastAsiaTheme="minorEastAsia"/>
        </w:rPr>
        <w:t>included</w:t>
      </w:r>
      <w:r w:rsidR="00FF289C" w:rsidRPr="00781BC6">
        <w:rPr>
          <w:rFonts w:eastAsiaTheme="minorEastAsia"/>
        </w:rPr>
        <w:t xml:space="preserve"> open</w:t>
      </w:r>
      <w:r w:rsidR="007F3772" w:rsidRPr="00781BC6">
        <w:rPr>
          <w:rFonts w:eastAsiaTheme="minorEastAsia"/>
        </w:rPr>
        <w:t>ing</w:t>
      </w:r>
      <w:r w:rsidR="00FF289C" w:rsidRPr="00781BC6">
        <w:rPr>
          <w:rFonts w:eastAsiaTheme="minorEastAsia"/>
        </w:rPr>
        <w:t xml:space="preserve"> up the hand</w:t>
      </w:r>
      <w:r w:rsidR="007F3772" w:rsidRPr="00781BC6">
        <w:rPr>
          <w:rFonts w:eastAsiaTheme="minorEastAsia"/>
        </w:rPr>
        <w:t>-</w:t>
      </w:r>
      <w:r w:rsidR="00FF289C" w:rsidRPr="00781BC6">
        <w:rPr>
          <w:rFonts w:eastAsiaTheme="minorEastAsia"/>
        </w:rPr>
        <w:t>held game market to women and children</w:t>
      </w:r>
      <w:r w:rsidR="00FF289C" w:rsidRPr="00781BC6">
        <w:t>.</w:t>
      </w:r>
    </w:p>
    <w:p w14:paraId="61806B56" w14:textId="77777777" w:rsidR="00FF289C" w:rsidRPr="00781BC6" w:rsidRDefault="00FF289C" w:rsidP="00781BC6">
      <w:pPr>
        <w:pStyle w:val="BodyTextMain"/>
      </w:pPr>
    </w:p>
    <w:p w14:paraId="16A2AF6A" w14:textId="5F004A85" w:rsidR="00FF289C" w:rsidRPr="00781BC6" w:rsidRDefault="00FF289C" w:rsidP="00781BC6">
      <w:pPr>
        <w:pStyle w:val="BodyTextMain"/>
        <w:rPr>
          <w:rFonts w:eastAsiaTheme="minorEastAsia"/>
        </w:rPr>
      </w:pPr>
      <w:r w:rsidRPr="00781BC6">
        <w:t xml:space="preserve">In </w:t>
      </w:r>
      <w:r w:rsidRPr="00781BC6">
        <w:rPr>
          <w:rFonts w:eastAsiaTheme="minorEastAsia"/>
        </w:rPr>
        <w:t xml:space="preserve">1989, Nintendo released the first portable game system, Game Boy, which </w:t>
      </w:r>
      <w:r w:rsidRPr="00781BC6">
        <w:t>revolutionized portable gaming. Game Boy had full-featured</w:t>
      </w:r>
      <w:r w:rsidR="00AD4A7B" w:rsidRPr="00781BC6">
        <w:t>,</w:t>
      </w:r>
      <w:r w:rsidRPr="00781BC6">
        <w:t xml:space="preserve"> </w:t>
      </w:r>
      <w:r w:rsidR="0085125E" w:rsidRPr="00781BC6">
        <w:t>eight</w:t>
      </w:r>
      <w:r w:rsidRPr="00781BC6">
        <w:t>-bit games in a black</w:t>
      </w:r>
      <w:r w:rsidR="007F3772" w:rsidRPr="00781BC6">
        <w:t>-</w:t>
      </w:r>
      <w:r w:rsidRPr="00781BC6">
        <w:t>and</w:t>
      </w:r>
      <w:r w:rsidR="007F3772" w:rsidRPr="00781BC6">
        <w:t>-</w:t>
      </w:r>
      <w:r w:rsidRPr="00781BC6">
        <w:t>white LCD format, wh</w:t>
      </w:r>
      <w:r w:rsidR="0085125E" w:rsidRPr="00781BC6">
        <w:t>ereas</w:t>
      </w:r>
      <w:r w:rsidRPr="00781BC6">
        <w:t xml:space="preserve"> the existing portable gaming was much like a watch, consisting of crudely</w:t>
      </w:r>
      <w:r w:rsidR="0085125E" w:rsidRPr="00781BC6">
        <w:t>-</w:t>
      </w:r>
      <w:r w:rsidRPr="00781BC6">
        <w:t xml:space="preserve">made LCD units </w:t>
      </w:r>
      <w:r w:rsidR="0085125E" w:rsidRPr="00781BC6">
        <w:t>that</w:t>
      </w:r>
      <w:r w:rsidRPr="00781BC6">
        <w:t xml:space="preserve"> swapped and projected images onto a static background. </w:t>
      </w:r>
    </w:p>
    <w:p w14:paraId="7A3041EE" w14:textId="77777777" w:rsidR="00FF289C" w:rsidRPr="00781BC6" w:rsidRDefault="00FF289C" w:rsidP="00781BC6">
      <w:pPr>
        <w:pStyle w:val="BodyTextMain"/>
        <w:rPr>
          <w:rFonts w:eastAsiaTheme="minorEastAsia"/>
        </w:rPr>
      </w:pPr>
    </w:p>
    <w:p w14:paraId="285E5228" w14:textId="256142F8" w:rsidR="00FF289C" w:rsidRPr="00D717E3" w:rsidRDefault="00FF289C" w:rsidP="00FF289C">
      <w:pPr>
        <w:pStyle w:val="BodyTextMain"/>
        <w:rPr>
          <w:rFonts w:eastAsiaTheme="minorEastAsia"/>
          <w:lang w:val="en-GB" w:eastAsia="ja-JP"/>
        </w:rPr>
      </w:pPr>
      <w:r w:rsidRPr="00781BC6">
        <w:rPr>
          <w:rFonts w:eastAsiaTheme="minorEastAsia"/>
        </w:rPr>
        <w:t>To enter the U</w:t>
      </w:r>
      <w:r w:rsidR="007F3772" w:rsidRPr="00781BC6">
        <w:rPr>
          <w:rFonts w:eastAsiaTheme="minorEastAsia"/>
        </w:rPr>
        <w:t>.</w:t>
      </w:r>
      <w:r w:rsidRPr="00781BC6">
        <w:rPr>
          <w:rFonts w:eastAsiaTheme="minorEastAsia"/>
        </w:rPr>
        <w:t>S</w:t>
      </w:r>
      <w:r w:rsidR="007F3772" w:rsidRPr="00781BC6">
        <w:rPr>
          <w:rFonts w:eastAsiaTheme="minorEastAsia"/>
        </w:rPr>
        <w:t>.</w:t>
      </w:r>
      <w:r w:rsidRPr="00781BC6">
        <w:rPr>
          <w:rFonts w:eastAsiaTheme="minorEastAsia"/>
        </w:rPr>
        <w:t xml:space="preserve"> market, Nintendo launched t</w:t>
      </w:r>
      <w:r w:rsidRPr="00781BC6">
        <w:t>he Game Boy version of</w:t>
      </w:r>
      <w:r w:rsidR="001F0A22" w:rsidRPr="00D717E3">
        <w:rPr>
          <w:color w:val="222222"/>
          <w:shd w:val="clear" w:color="auto" w:fill="FFFFFF"/>
          <w:lang w:val="en-GB" w:eastAsia="ja-JP"/>
        </w:rPr>
        <w:t xml:space="preserve"> </w:t>
      </w:r>
      <w:r w:rsidRPr="00781BC6">
        <w:rPr>
          <w:i/>
        </w:rPr>
        <w:t xml:space="preserve">Tetris </w:t>
      </w:r>
      <w:r w:rsidRPr="00781BC6">
        <w:t>and quickly dominated the U</w:t>
      </w:r>
      <w:r w:rsidR="007F3772" w:rsidRPr="00781BC6">
        <w:t>.</w:t>
      </w:r>
      <w:r w:rsidRPr="00781BC6">
        <w:t>S</w:t>
      </w:r>
      <w:r w:rsidR="007F3772" w:rsidRPr="00781BC6">
        <w:t>.</w:t>
      </w:r>
      <w:r w:rsidRPr="00781BC6">
        <w:t xml:space="preserve"> video game market.</w:t>
      </w:r>
      <w:r w:rsidRPr="00781BC6">
        <w:rPr>
          <w:rFonts w:eastAsiaTheme="minorEastAsia"/>
        </w:rPr>
        <w:t xml:space="preserve"> In 1990, Nintendo released </w:t>
      </w:r>
      <w:r w:rsidRPr="00D717E3">
        <w:rPr>
          <w:i/>
          <w:color w:val="333333"/>
          <w:shd w:val="clear" w:color="auto" w:fill="FFFFFF"/>
          <w:lang w:val="en-GB" w:eastAsia="ja-JP"/>
        </w:rPr>
        <w:t>Super Mario</w:t>
      </w:r>
      <w:r w:rsidR="0085125E" w:rsidRPr="00781BC6">
        <w:t>,</w:t>
      </w:r>
      <w:r w:rsidRPr="00781BC6">
        <w:t xml:space="preserve"> which</w:t>
      </w:r>
      <w:r w:rsidRPr="00781BC6">
        <w:rPr>
          <w:rFonts w:eastAsiaTheme="minorEastAsia"/>
        </w:rPr>
        <w:t xml:space="preserve"> became a big hit</w:t>
      </w:r>
      <w:r w:rsidR="0085125E" w:rsidRPr="00781BC6">
        <w:rPr>
          <w:rFonts w:eastAsiaTheme="minorEastAsia"/>
        </w:rPr>
        <w:t>,</w:t>
      </w:r>
      <w:r w:rsidRPr="00781BC6">
        <w:rPr>
          <w:rFonts w:eastAsiaTheme="minorEastAsia"/>
        </w:rPr>
        <w:t xml:space="preserve"> selling </w:t>
      </w:r>
      <w:r w:rsidRPr="00781BC6">
        <w:t>nearly 120 million units.</w:t>
      </w:r>
      <w:r w:rsidRPr="00781BC6">
        <w:rPr>
          <w:rFonts w:eastAsiaTheme="minorEastAsia"/>
          <w:vertAlign w:val="superscript"/>
        </w:rPr>
        <w:endnoteReference w:id="10"/>
      </w:r>
      <w:r w:rsidRPr="00781BC6">
        <w:t xml:space="preserve"> With </w:t>
      </w:r>
      <w:r w:rsidRPr="00781BC6">
        <w:rPr>
          <w:i/>
        </w:rPr>
        <w:t xml:space="preserve">Donkey Kong </w:t>
      </w:r>
      <w:r w:rsidRPr="00781BC6">
        <w:t xml:space="preserve">and </w:t>
      </w:r>
      <w:r w:rsidRPr="00781BC6">
        <w:rPr>
          <w:i/>
        </w:rPr>
        <w:t>Super Mario</w:t>
      </w:r>
      <w:r w:rsidRPr="00781BC6">
        <w:t xml:space="preserve">, Nintendo had a virtual monopoly </w:t>
      </w:r>
      <w:r w:rsidR="00B90291" w:rsidRPr="00781BC6">
        <w:t xml:space="preserve">on </w:t>
      </w:r>
      <w:r w:rsidRPr="00781BC6">
        <w:t>the game market.</w:t>
      </w:r>
      <w:r w:rsidRPr="00E9417C">
        <w:rPr>
          <w:rFonts w:eastAsiaTheme="minorEastAsia"/>
          <w:vertAlign w:val="superscript"/>
        </w:rPr>
        <w:endnoteReference w:id="11"/>
      </w:r>
      <w:r w:rsidRPr="00781BC6">
        <w:rPr>
          <w:rFonts w:eastAsiaTheme="minorEastAsia"/>
        </w:rPr>
        <w:t xml:space="preserve"> </w:t>
      </w:r>
      <w:r w:rsidRPr="00781BC6">
        <w:t>Nintendo rode into the global game market for families when it released</w:t>
      </w:r>
      <w:r w:rsidRPr="00D717E3">
        <w:rPr>
          <w:color w:val="000000" w:themeColor="text1"/>
          <w:shd w:val="clear" w:color="auto" w:fill="FFFFFF"/>
          <w:lang w:val="en-GB" w:eastAsia="ja-JP"/>
        </w:rPr>
        <w:t xml:space="preserve"> </w:t>
      </w:r>
      <w:r w:rsidR="0085125E" w:rsidRPr="00781BC6">
        <w:rPr>
          <w:i/>
        </w:rPr>
        <w:t>Pokémon</w:t>
      </w:r>
      <w:r w:rsidRPr="00781BC6">
        <w:rPr>
          <w:color w:val="000000" w:themeColor="text1"/>
          <w:shd w:val="clear" w:color="auto" w:fill="FFFFFF"/>
          <w:lang w:val="en-GB" w:eastAsia="ja-JP"/>
        </w:rPr>
        <w:t xml:space="preserve"> </w:t>
      </w:r>
      <w:r w:rsidRPr="00781BC6">
        <w:t xml:space="preserve">in 1996, </w:t>
      </w:r>
      <w:r w:rsidR="00401651" w:rsidRPr="00781BC6">
        <w:t>selling</w:t>
      </w:r>
      <w:r w:rsidRPr="00781BC6">
        <w:rPr>
          <w:rFonts w:eastAsiaTheme="minorEastAsia"/>
        </w:rPr>
        <w:t xml:space="preserve"> almost 220 million units</w:t>
      </w:r>
      <w:r w:rsidRPr="00781BC6">
        <w:t xml:space="preserve">. </w:t>
      </w:r>
      <w:r w:rsidR="004D1398" w:rsidRPr="00781BC6">
        <w:t>Some experts felt that this “</w:t>
      </w:r>
      <w:r w:rsidRPr="00781BC6">
        <w:t>marked the beginning of the proliferation of mobile technology and the growth of ubiquitous gaming</w:t>
      </w:r>
      <w:r w:rsidRPr="00781BC6">
        <w:rPr>
          <w:rFonts w:eastAsiaTheme="minorEastAsia"/>
        </w:rPr>
        <w:t>.</w:t>
      </w:r>
      <w:r w:rsidR="004D1398" w:rsidRPr="00781BC6">
        <w:rPr>
          <w:rFonts w:eastAsiaTheme="minorEastAsia"/>
        </w:rPr>
        <w:t>”</w:t>
      </w:r>
      <w:r w:rsidR="004D1398" w:rsidRPr="00781BC6">
        <w:rPr>
          <w:rFonts w:eastAsiaTheme="minorEastAsia"/>
          <w:vertAlign w:val="superscript"/>
        </w:rPr>
        <w:endnoteReference w:id="12"/>
      </w:r>
    </w:p>
    <w:p w14:paraId="45828466" w14:textId="77777777" w:rsidR="00FF289C" w:rsidRPr="00781BC6" w:rsidRDefault="00FF289C" w:rsidP="00781BC6">
      <w:pPr>
        <w:pStyle w:val="BodyTextMain"/>
      </w:pPr>
    </w:p>
    <w:p w14:paraId="3B1E1BEA" w14:textId="1F52E6E5" w:rsidR="00FF289C" w:rsidRPr="00781BC6" w:rsidRDefault="00FF289C" w:rsidP="00781BC6">
      <w:pPr>
        <w:pStyle w:val="BodyTextMain"/>
        <w:rPr>
          <w:rFonts w:eastAsiaTheme="minorEastAsia"/>
        </w:rPr>
      </w:pPr>
      <w:r w:rsidRPr="00781BC6">
        <w:rPr>
          <w:rFonts w:eastAsiaTheme="minorEastAsia"/>
        </w:rPr>
        <w:t xml:space="preserve">Interestingly, Yamauchi was neither an engineer nor a </w:t>
      </w:r>
      <w:r w:rsidR="00401651" w:rsidRPr="00781BC6">
        <w:rPr>
          <w:rFonts w:eastAsiaTheme="minorEastAsia"/>
        </w:rPr>
        <w:t xml:space="preserve">video </w:t>
      </w:r>
      <w:r w:rsidRPr="00781BC6">
        <w:rPr>
          <w:rFonts w:eastAsiaTheme="minorEastAsia"/>
        </w:rPr>
        <w:t>game designer. Instead</w:t>
      </w:r>
      <w:r w:rsidR="0085125E" w:rsidRPr="00781BC6">
        <w:rPr>
          <w:rFonts w:eastAsiaTheme="minorEastAsia"/>
        </w:rPr>
        <w:t>,</w:t>
      </w:r>
      <w:r w:rsidRPr="00781BC6">
        <w:rPr>
          <w:rFonts w:eastAsiaTheme="minorEastAsia"/>
        </w:rPr>
        <w:t xml:space="preserve"> he had great vision, ideas, and leadership. Yamauchi sought talented employees for Nintendo. He realized that artists, not technicians, made the best games. Truly skilled game artists conceptualize</w:t>
      </w:r>
      <w:r w:rsidR="00D27B01" w:rsidRPr="00781BC6">
        <w:rPr>
          <w:rFonts w:eastAsiaTheme="minorEastAsia"/>
        </w:rPr>
        <w:t>d</w:t>
      </w:r>
      <w:r w:rsidRPr="00781BC6">
        <w:rPr>
          <w:rFonts w:eastAsiaTheme="minorEastAsia"/>
        </w:rPr>
        <w:t xml:space="preserve"> entire immersive world</w:t>
      </w:r>
      <w:r w:rsidR="00B90291" w:rsidRPr="00781BC6">
        <w:rPr>
          <w:rFonts w:eastAsiaTheme="minorEastAsia"/>
        </w:rPr>
        <w:t>s</w:t>
      </w:r>
      <w:r w:rsidRPr="00781BC6">
        <w:rPr>
          <w:rFonts w:eastAsiaTheme="minorEastAsia"/>
        </w:rPr>
        <w:t xml:space="preserve">, </w:t>
      </w:r>
      <w:r w:rsidR="006204BA" w:rsidRPr="00781BC6">
        <w:rPr>
          <w:rFonts w:eastAsiaTheme="minorEastAsia"/>
        </w:rPr>
        <w:t>transforming their work into emotive art that captured the depth and feeling of the characters</w:t>
      </w:r>
      <w:r w:rsidRPr="00781BC6">
        <w:rPr>
          <w:rFonts w:eastAsiaTheme="minorEastAsia"/>
        </w:rPr>
        <w:t xml:space="preserve">. </w:t>
      </w:r>
    </w:p>
    <w:p w14:paraId="0D21B834" w14:textId="77777777" w:rsidR="00FF289C" w:rsidRPr="00781BC6" w:rsidRDefault="00FF289C" w:rsidP="00781BC6">
      <w:pPr>
        <w:pStyle w:val="BodyTextMain"/>
        <w:rPr>
          <w:rFonts w:eastAsiaTheme="minorEastAsia"/>
        </w:rPr>
      </w:pPr>
    </w:p>
    <w:p w14:paraId="61A44E59" w14:textId="4A70A343" w:rsidR="00FF289C" w:rsidRPr="00781BC6" w:rsidRDefault="00FF289C" w:rsidP="00781BC6">
      <w:pPr>
        <w:pStyle w:val="BodyTextMain"/>
        <w:rPr>
          <w:rFonts w:eastAsiaTheme="minorEastAsia"/>
        </w:rPr>
      </w:pPr>
      <w:r w:rsidRPr="00781BC6">
        <w:rPr>
          <w:rFonts w:eastAsiaTheme="minorEastAsia"/>
        </w:rPr>
        <w:t xml:space="preserve">Yamauchi placed game designers </w:t>
      </w:r>
      <w:r w:rsidRPr="00781BC6">
        <w:t>at the helm of hardware design.</w:t>
      </w:r>
      <w:r w:rsidRPr="00781BC6">
        <w:rPr>
          <w:vertAlign w:val="superscript"/>
        </w:rPr>
        <w:endnoteReference w:id="13"/>
      </w:r>
      <w:r w:rsidRPr="00781BC6">
        <w:t xml:space="preserve"> Consoles served as game platform</w:t>
      </w:r>
      <w:r w:rsidR="00B90291" w:rsidRPr="00781BC6">
        <w:t>s</w:t>
      </w:r>
      <w:r w:rsidRPr="00781BC6">
        <w:t xml:space="preserve"> and were designed to suit the game concepts.</w:t>
      </w:r>
      <w:r w:rsidRPr="00781BC6">
        <w:rPr>
          <w:rFonts w:eastAsiaTheme="minorEastAsia"/>
        </w:rPr>
        <w:t xml:space="preserve"> </w:t>
      </w:r>
      <w:r w:rsidRPr="00781BC6">
        <w:t>This approach gave Nintendo an enormous competitive advantage</w:t>
      </w:r>
      <w:r w:rsidR="0087414F" w:rsidRPr="00781BC6">
        <w:t>,</w:t>
      </w:r>
      <w:r w:rsidR="001F0A22" w:rsidRPr="00781BC6">
        <w:t xml:space="preserve"> </w:t>
      </w:r>
      <w:r w:rsidRPr="00781BC6">
        <w:rPr>
          <w:rFonts w:eastAsiaTheme="minorEastAsia"/>
        </w:rPr>
        <w:t>as it allowed flexibility in game development.</w:t>
      </w:r>
      <w:r w:rsidR="004D0A64" w:rsidRPr="00781BC6">
        <w:rPr>
          <w:rFonts w:eastAsiaTheme="minorEastAsia"/>
        </w:rPr>
        <w:t xml:space="preserve"> </w:t>
      </w:r>
      <w:r w:rsidR="00D676F9" w:rsidRPr="00781BC6">
        <w:rPr>
          <w:rFonts w:eastAsiaTheme="minorEastAsia"/>
        </w:rPr>
        <w:t>Nintendo’s designers could develop games</w:t>
      </w:r>
      <w:r w:rsidRPr="00781BC6">
        <w:t xml:space="preserve"> faster and cheaper than </w:t>
      </w:r>
      <w:r w:rsidR="00D676F9" w:rsidRPr="00781BC6">
        <w:t>its rivals</w:t>
      </w:r>
      <w:r w:rsidR="00B90291" w:rsidRPr="00781BC6">
        <w:t>,</w:t>
      </w:r>
      <w:r w:rsidR="00D676F9" w:rsidRPr="00781BC6">
        <w:t xml:space="preserve"> who </w:t>
      </w:r>
      <w:r w:rsidRPr="00781BC6">
        <w:t xml:space="preserve">relied heavily on </w:t>
      </w:r>
      <w:r w:rsidR="00D676F9" w:rsidRPr="00781BC6">
        <w:t xml:space="preserve">existing </w:t>
      </w:r>
      <w:r w:rsidRPr="00781BC6">
        <w:t>hardware to support the software games.</w:t>
      </w:r>
    </w:p>
    <w:p w14:paraId="775E93A8" w14:textId="77777777" w:rsidR="00FF289C" w:rsidRPr="00781BC6" w:rsidRDefault="00FF289C" w:rsidP="00781BC6">
      <w:pPr>
        <w:pStyle w:val="BodyTextMain"/>
        <w:rPr>
          <w:rFonts w:eastAsiaTheme="minorEastAsia"/>
        </w:rPr>
      </w:pPr>
    </w:p>
    <w:p w14:paraId="02538062" w14:textId="754091F1" w:rsidR="00FF289C" w:rsidRPr="00781BC6" w:rsidRDefault="00FF289C" w:rsidP="00781BC6">
      <w:pPr>
        <w:pStyle w:val="BodyTextMain"/>
        <w:rPr>
          <w:rFonts w:eastAsiaTheme="minorEastAsia"/>
          <w:i/>
        </w:rPr>
      </w:pPr>
      <w:r w:rsidRPr="00781BC6">
        <w:rPr>
          <w:rFonts w:eastAsiaTheme="minorEastAsia"/>
        </w:rPr>
        <w:t>To develop cool games, Yamauchi established game-design research groups R&amp;D1</w:t>
      </w:r>
      <w:r w:rsidR="0087414F" w:rsidRPr="00781BC6">
        <w:rPr>
          <w:rFonts w:eastAsiaTheme="minorEastAsia"/>
        </w:rPr>
        <w:t xml:space="preserve"> (Research and Development 1)</w:t>
      </w:r>
      <w:r w:rsidRPr="00781BC6">
        <w:rPr>
          <w:rFonts w:eastAsiaTheme="minorEastAsia"/>
        </w:rPr>
        <w:t xml:space="preserve">, R&amp;D2, </w:t>
      </w:r>
      <w:r w:rsidR="0087414F" w:rsidRPr="00781BC6">
        <w:rPr>
          <w:rFonts w:eastAsiaTheme="minorEastAsia"/>
        </w:rPr>
        <w:t xml:space="preserve">and </w:t>
      </w:r>
      <w:r w:rsidRPr="00781BC6">
        <w:rPr>
          <w:rFonts w:eastAsiaTheme="minorEastAsia"/>
        </w:rPr>
        <w:t>R&amp;D3</w:t>
      </w:r>
      <w:r w:rsidR="0087414F" w:rsidRPr="00781BC6">
        <w:rPr>
          <w:rFonts w:eastAsiaTheme="minorEastAsia"/>
        </w:rPr>
        <w:t>,</w:t>
      </w:r>
      <w:r w:rsidRPr="00781BC6">
        <w:rPr>
          <w:rFonts w:eastAsiaTheme="minorEastAsia"/>
        </w:rPr>
        <w:t xml:space="preserve"> led by creative young talents</w:t>
      </w:r>
      <w:r w:rsidR="0087414F" w:rsidRPr="00781BC6">
        <w:rPr>
          <w:rFonts w:eastAsiaTheme="minorEastAsia"/>
        </w:rPr>
        <w:t>,</w:t>
      </w:r>
      <w:r w:rsidRPr="00781BC6">
        <w:rPr>
          <w:rFonts w:eastAsiaTheme="minorEastAsia"/>
        </w:rPr>
        <w:t xml:space="preserve"> </w:t>
      </w:r>
      <w:r w:rsidR="0087414F" w:rsidRPr="00781BC6">
        <w:rPr>
          <w:rFonts w:eastAsiaTheme="minorEastAsia"/>
        </w:rPr>
        <w:t>a</w:t>
      </w:r>
      <w:r w:rsidRPr="00781BC6">
        <w:rPr>
          <w:rFonts w:eastAsiaTheme="minorEastAsia"/>
        </w:rPr>
        <w:t xml:space="preserve"> few of </w:t>
      </w:r>
      <w:r w:rsidR="0087414F" w:rsidRPr="00781BC6">
        <w:rPr>
          <w:rFonts w:eastAsiaTheme="minorEastAsia"/>
        </w:rPr>
        <w:t>whom</w:t>
      </w:r>
      <w:r w:rsidRPr="00781BC6">
        <w:rPr>
          <w:rFonts w:eastAsiaTheme="minorEastAsia"/>
        </w:rPr>
        <w:t xml:space="preserve"> became well-known game gurus. Yamauchi cultivated these young talents by setting them to compete against one another.</w:t>
      </w:r>
      <w:r w:rsidRPr="00781BC6">
        <w:rPr>
          <w:rFonts w:eastAsiaTheme="minorEastAsia"/>
          <w:vertAlign w:val="superscript"/>
        </w:rPr>
        <w:endnoteReference w:id="14"/>
      </w:r>
      <w:r w:rsidRPr="00781BC6">
        <w:rPr>
          <w:rFonts w:eastAsiaTheme="minorEastAsia"/>
        </w:rPr>
        <w:t xml:space="preserve"> A </w:t>
      </w:r>
      <w:r w:rsidRPr="00781BC6">
        <w:rPr>
          <w:rFonts w:eastAsiaTheme="minorEastAsia"/>
        </w:rPr>
        <w:lastRenderedPageBreak/>
        <w:t xml:space="preserve">well-known story </w:t>
      </w:r>
      <w:r w:rsidR="00E320C2" w:rsidRPr="00781BC6">
        <w:rPr>
          <w:rFonts w:eastAsiaTheme="minorEastAsia"/>
        </w:rPr>
        <w:t xml:space="preserve">within Nintendo </w:t>
      </w:r>
      <w:r w:rsidRPr="00781BC6">
        <w:rPr>
          <w:rFonts w:eastAsiaTheme="minorEastAsia"/>
        </w:rPr>
        <w:t xml:space="preserve">was </w:t>
      </w:r>
      <w:r w:rsidR="0087414F" w:rsidRPr="00781BC6">
        <w:rPr>
          <w:rFonts w:eastAsiaTheme="minorEastAsia"/>
        </w:rPr>
        <w:t>of</w:t>
      </w:r>
      <w:r w:rsidRPr="00781BC6">
        <w:rPr>
          <w:rFonts w:eastAsiaTheme="minorEastAsia"/>
        </w:rPr>
        <w:t xml:space="preserve"> Yamauchi challenging Gunpei Yokoi, the leader of the R&amp;D1 research group, to invent something that would drive kids crazy. Yokoi’s group came up with Game Boy,</w:t>
      </w:r>
      <w:r w:rsidRPr="00D717E3">
        <w:rPr>
          <w:rFonts w:eastAsiaTheme="minorEastAsia"/>
          <w:lang w:val="en-GB" w:eastAsia="ja-JP"/>
        </w:rPr>
        <w:t xml:space="preserve"> </w:t>
      </w:r>
      <w:r w:rsidRPr="00781BC6">
        <w:rPr>
          <w:rFonts w:eastAsiaTheme="minorEastAsia"/>
        </w:rPr>
        <w:t>Game &amp; Watch,</w:t>
      </w:r>
      <w:r w:rsidRPr="00D717E3">
        <w:rPr>
          <w:rFonts w:eastAsiaTheme="minorEastAsia"/>
          <w:lang w:val="en-GB" w:eastAsia="ja-JP"/>
        </w:rPr>
        <w:t xml:space="preserve"> </w:t>
      </w:r>
      <w:r w:rsidRPr="00781BC6">
        <w:rPr>
          <w:rFonts w:eastAsiaTheme="minorEastAsia"/>
          <w:i/>
        </w:rPr>
        <w:t>Ultra Hand</w:t>
      </w:r>
      <w:r w:rsidR="00AD63E9" w:rsidRPr="00781BC6">
        <w:rPr>
          <w:rFonts w:eastAsiaTheme="minorEastAsia"/>
          <w:i/>
        </w:rPr>
        <w:t>,</w:t>
      </w:r>
      <w:r w:rsidRPr="00781BC6">
        <w:rPr>
          <w:rFonts w:eastAsiaTheme="minorEastAsia"/>
          <w:i/>
        </w:rPr>
        <w:t xml:space="preserve"> Love Tester, Metroid, Kid Icarus, </w:t>
      </w:r>
      <w:r w:rsidRPr="00781BC6">
        <w:rPr>
          <w:rFonts w:eastAsiaTheme="minorEastAsia"/>
        </w:rPr>
        <w:t>and</w:t>
      </w:r>
      <w:r w:rsidRPr="00781BC6">
        <w:rPr>
          <w:rFonts w:eastAsiaTheme="minorEastAsia"/>
          <w:i/>
        </w:rPr>
        <w:t xml:space="preserve"> Excitebike.</w:t>
      </w:r>
    </w:p>
    <w:p w14:paraId="3C71B5BA" w14:textId="77777777" w:rsidR="00B45E21" w:rsidRPr="00D717E3" w:rsidRDefault="00B45E21" w:rsidP="00FF289C">
      <w:pPr>
        <w:pStyle w:val="BodyTextMain"/>
        <w:rPr>
          <w:rFonts w:eastAsiaTheme="minorEastAsia"/>
          <w:color w:val="0F0F0F"/>
          <w:lang w:val="en-GB" w:eastAsia="ja-JP" w:bidi="th-TH"/>
        </w:rPr>
      </w:pPr>
    </w:p>
    <w:p w14:paraId="7BCA5EB3" w14:textId="77777777" w:rsidR="00FF289C" w:rsidRPr="00781BC6" w:rsidRDefault="00FF289C" w:rsidP="00781BC6">
      <w:pPr>
        <w:pStyle w:val="BodyTextMain"/>
        <w:rPr>
          <w:rFonts w:eastAsiaTheme="minorEastAsia"/>
        </w:rPr>
      </w:pPr>
      <w:r w:rsidRPr="00781BC6">
        <w:rPr>
          <w:rFonts w:eastAsiaTheme="minorEastAsia"/>
        </w:rPr>
        <w:t>Shigeru Miyamoto led the R&amp;D4 group in designing graphics for Nintendo’s new product, the video game.</w:t>
      </w:r>
      <w:r w:rsidRPr="00D717E3">
        <w:rPr>
          <w:rFonts w:eastAsiaTheme="minorEastAsia"/>
          <w:lang w:val="en-GB" w:eastAsia="ja-JP" w:bidi="th-TH"/>
        </w:rPr>
        <w:t xml:space="preserve"> </w:t>
      </w:r>
      <w:r w:rsidRPr="00781BC6">
        <w:rPr>
          <w:rFonts w:eastAsiaTheme="minorEastAsia"/>
        </w:rPr>
        <w:t>His group launched various hit products, namely</w:t>
      </w:r>
      <w:r w:rsidRPr="00D717E3">
        <w:rPr>
          <w:rFonts w:eastAsiaTheme="minorEastAsia"/>
          <w:lang w:val="en-GB" w:eastAsia="ja-JP" w:bidi="th-TH"/>
        </w:rPr>
        <w:t xml:space="preserve"> </w:t>
      </w:r>
      <w:r w:rsidRPr="00781BC6">
        <w:rPr>
          <w:rFonts w:eastAsiaTheme="minorEastAsia"/>
          <w:i/>
        </w:rPr>
        <w:t xml:space="preserve">Mario Brothers, The Legend of Zelda, </w:t>
      </w:r>
      <w:r w:rsidRPr="00781BC6">
        <w:rPr>
          <w:rFonts w:eastAsiaTheme="minorEastAsia"/>
        </w:rPr>
        <w:t xml:space="preserve">and </w:t>
      </w:r>
      <w:r w:rsidRPr="00781BC6">
        <w:rPr>
          <w:rFonts w:eastAsiaTheme="minorEastAsia"/>
          <w:i/>
        </w:rPr>
        <w:t>Donkey Kong</w:t>
      </w:r>
      <w:r w:rsidRPr="00D717E3">
        <w:rPr>
          <w:rFonts w:eastAsiaTheme="minorEastAsia"/>
          <w:lang w:val="en-GB" w:eastAsia="ja-JP" w:bidi="th-TH"/>
        </w:rPr>
        <w:t xml:space="preserve">. </w:t>
      </w:r>
      <w:r w:rsidRPr="00781BC6">
        <w:rPr>
          <w:rFonts w:eastAsiaTheme="minorEastAsia"/>
        </w:rPr>
        <w:t xml:space="preserve">The Mario franchise appeared in more than 200 games, with the </w:t>
      </w:r>
      <w:r w:rsidRPr="00781BC6">
        <w:rPr>
          <w:rFonts w:eastAsiaTheme="minorEastAsia"/>
          <w:i/>
        </w:rPr>
        <w:t>Super Mario</w:t>
      </w:r>
      <w:r w:rsidRPr="00781BC6">
        <w:rPr>
          <w:rFonts w:eastAsiaTheme="minorEastAsia"/>
        </w:rPr>
        <w:t xml:space="preserve"> series alone selling more than</w:t>
      </w:r>
      <w:r w:rsidRPr="00D717E3">
        <w:rPr>
          <w:rFonts w:eastAsiaTheme="minorEastAsia"/>
          <w:color w:val="1E1717"/>
          <w:lang w:val="en-GB" w:eastAsia="ja-JP" w:bidi="th-TH"/>
        </w:rPr>
        <w:t xml:space="preserve"> </w:t>
      </w:r>
      <w:r w:rsidRPr="00781BC6">
        <w:rPr>
          <w:rFonts w:eastAsiaTheme="minorEastAsia"/>
        </w:rPr>
        <w:t>260 million units.</w:t>
      </w:r>
      <w:r w:rsidRPr="00781BC6">
        <w:rPr>
          <w:rFonts w:eastAsiaTheme="minorEastAsia"/>
          <w:vertAlign w:val="superscript"/>
        </w:rPr>
        <w:endnoteReference w:id="15"/>
      </w:r>
      <w:r w:rsidRPr="00781BC6">
        <w:rPr>
          <w:rFonts w:eastAsiaTheme="minorEastAsia"/>
        </w:rPr>
        <w:t xml:space="preserve"> Miyamoto became known as the master in the games world. </w:t>
      </w:r>
    </w:p>
    <w:p w14:paraId="1D9FE5D3" w14:textId="77777777" w:rsidR="00FF289C" w:rsidRPr="00781BC6" w:rsidRDefault="00FF289C" w:rsidP="00781BC6">
      <w:pPr>
        <w:pStyle w:val="BodyTextMain"/>
        <w:rPr>
          <w:rFonts w:eastAsiaTheme="minorEastAsia"/>
        </w:rPr>
      </w:pPr>
    </w:p>
    <w:p w14:paraId="1A409F9A" w14:textId="77777777" w:rsidR="00FF289C" w:rsidRPr="00781BC6" w:rsidRDefault="00FF289C" w:rsidP="00781BC6">
      <w:pPr>
        <w:pStyle w:val="BodyTextMain"/>
        <w:rPr>
          <w:rFonts w:eastAsiaTheme="minorEastAsia"/>
        </w:rPr>
      </w:pPr>
      <w:r w:rsidRPr="00781BC6">
        <w:rPr>
          <w:rFonts w:eastAsiaTheme="minorEastAsia"/>
        </w:rPr>
        <w:t xml:space="preserve">Miyamoto described the atmosphere at Nintendo: </w:t>
      </w:r>
    </w:p>
    <w:p w14:paraId="3C37A984" w14:textId="77777777" w:rsidR="00FF289C" w:rsidRPr="00781BC6" w:rsidRDefault="00FF289C" w:rsidP="00781BC6">
      <w:pPr>
        <w:pStyle w:val="BodyTextMain"/>
      </w:pPr>
    </w:p>
    <w:p w14:paraId="3E6F0D3D" w14:textId="05A6B300" w:rsidR="00FF289C" w:rsidRPr="00781BC6" w:rsidRDefault="00FF289C" w:rsidP="00781BC6">
      <w:pPr>
        <w:pStyle w:val="BodyTextMain"/>
        <w:ind w:left="720"/>
      </w:pPr>
      <w:r w:rsidRPr="00781BC6">
        <w:t>When I first decided to go to work for a company, I wanted to create things, so I wasn</w:t>
      </w:r>
      <w:r w:rsidR="00AD63E9" w:rsidRPr="00781BC6">
        <w:t>’</w:t>
      </w:r>
      <w:r w:rsidRPr="00781BC6">
        <w:t>t looking for a company to work for—I was looking for a company to sponsor me so that I could create the things that I wanted. Because as an artist, that</w:t>
      </w:r>
      <w:r w:rsidR="00AD63E9" w:rsidRPr="00781BC6">
        <w:t>’</w:t>
      </w:r>
      <w:r w:rsidRPr="00781BC6">
        <w:t>s really what you want—you want someone to sponsor you as an artist.</w:t>
      </w:r>
      <w:r w:rsidR="001562DA" w:rsidRPr="00781BC6">
        <w:t xml:space="preserve"> </w:t>
      </w:r>
      <w:r w:rsidRPr="00781BC6">
        <w:t>The best situation is, as an artist, the company gives you the freedom to create what you want, and the company is able to generate profit off of what you create, and you</w:t>
      </w:r>
      <w:r w:rsidR="00AD63E9" w:rsidRPr="00781BC6">
        <w:t>’</w:t>
      </w:r>
      <w:r w:rsidRPr="00781BC6">
        <w:t>ve got the freedom to use as much of that profit as you want to create your next thing. So, I</w:t>
      </w:r>
      <w:r w:rsidR="00AD63E9" w:rsidRPr="00781BC6">
        <w:t>’</w:t>
      </w:r>
      <w:r w:rsidRPr="00781BC6">
        <w:t>ve never had a reason to leave the company.</w:t>
      </w:r>
      <w:r w:rsidRPr="00781BC6">
        <w:rPr>
          <w:vertAlign w:val="superscript"/>
        </w:rPr>
        <w:endnoteReference w:id="16"/>
      </w:r>
    </w:p>
    <w:p w14:paraId="455BA04C" w14:textId="77777777" w:rsidR="00FF289C" w:rsidRPr="00781BC6" w:rsidRDefault="00FF289C" w:rsidP="00781BC6">
      <w:pPr>
        <w:pStyle w:val="BodyTextMain"/>
        <w:rPr>
          <w:rFonts w:eastAsiaTheme="minorEastAsia"/>
        </w:rPr>
      </w:pPr>
    </w:p>
    <w:p w14:paraId="672153DB" w14:textId="666056BC" w:rsidR="00FF289C" w:rsidRPr="00781BC6" w:rsidRDefault="00FF289C" w:rsidP="00781BC6">
      <w:pPr>
        <w:pStyle w:val="BodyTextMain"/>
        <w:rPr>
          <w:rFonts w:eastAsiaTheme="minorEastAsia"/>
        </w:rPr>
      </w:pPr>
      <w:r w:rsidRPr="00781BC6">
        <w:rPr>
          <w:rFonts w:eastAsiaTheme="minorEastAsia"/>
        </w:rPr>
        <w:t>Besides in-house t</w:t>
      </w:r>
      <w:r w:rsidR="00376C0F" w:rsidRPr="00781BC6">
        <w:rPr>
          <w:rFonts w:eastAsiaTheme="minorEastAsia"/>
        </w:rPr>
        <w:t>alent</w:t>
      </w:r>
      <w:r w:rsidRPr="00781BC6">
        <w:rPr>
          <w:rFonts w:eastAsiaTheme="minorEastAsia"/>
        </w:rPr>
        <w:t>, Yamauchi recruited talent from outside Nintendo. Masayuki Uemura, headhunted from Sharp</w:t>
      </w:r>
      <w:r w:rsidR="00AD63E9" w:rsidRPr="00781BC6">
        <w:rPr>
          <w:rFonts w:eastAsiaTheme="minorEastAsia"/>
        </w:rPr>
        <w:t xml:space="preserve"> Corporation</w:t>
      </w:r>
      <w:r w:rsidRPr="00781BC6">
        <w:rPr>
          <w:rFonts w:eastAsiaTheme="minorEastAsia"/>
        </w:rPr>
        <w:t xml:space="preserve">, helped develop the </w:t>
      </w:r>
      <w:r w:rsidR="00AD63E9" w:rsidRPr="00781BC6">
        <w:rPr>
          <w:rFonts w:eastAsiaTheme="minorEastAsia"/>
        </w:rPr>
        <w:t>Famicom</w:t>
      </w:r>
      <w:r w:rsidRPr="00781BC6">
        <w:rPr>
          <w:rFonts w:eastAsiaTheme="minorEastAsia"/>
        </w:rPr>
        <w:t>. Satoru Iwata, recruited from HAL Laboratory</w:t>
      </w:r>
      <w:r w:rsidR="00AD63E9" w:rsidRPr="00781BC6">
        <w:rPr>
          <w:rFonts w:eastAsiaTheme="minorEastAsia"/>
        </w:rPr>
        <w:t>, Inc.</w:t>
      </w:r>
      <w:r w:rsidRPr="00781BC6">
        <w:rPr>
          <w:rFonts w:eastAsiaTheme="minorEastAsia"/>
        </w:rPr>
        <w:t xml:space="preserve">, played a major role in developing the famous </w:t>
      </w:r>
      <w:r w:rsidR="00AD63E9" w:rsidRPr="00781BC6">
        <w:rPr>
          <w:rFonts w:eastAsiaTheme="minorEastAsia"/>
          <w:i/>
        </w:rPr>
        <w:t>Pokémon</w:t>
      </w:r>
      <w:r w:rsidRPr="00781BC6">
        <w:rPr>
          <w:rFonts w:eastAsiaTheme="minorEastAsia"/>
          <w:i/>
        </w:rPr>
        <w:t xml:space="preserve"> </w:t>
      </w:r>
      <w:r w:rsidRPr="00781BC6">
        <w:rPr>
          <w:rFonts w:eastAsiaTheme="minorEastAsia"/>
        </w:rPr>
        <w:t xml:space="preserve">game in 1996. This practice </w:t>
      </w:r>
      <w:r w:rsidR="00AD63E9" w:rsidRPr="00781BC6">
        <w:rPr>
          <w:rFonts w:eastAsiaTheme="minorEastAsia"/>
        </w:rPr>
        <w:t xml:space="preserve">of recruiting talent from other firms </w:t>
      </w:r>
      <w:r w:rsidRPr="00781BC6">
        <w:rPr>
          <w:rFonts w:eastAsiaTheme="minorEastAsia"/>
        </w:rPr>
        <w:t>was</w:t>
      </w:r>
      <w:r w:rsidR="00AD63E9" w:rsidRPr="00781BC6">
        <w:rPr>
          <w:rFonts w:eastAsiaTheme="minorEastAsia"/>
        </w:rPr>
        <w:t>, and continued to be,</w:t>
      </w:r>
      <w:r w:rsidRPr="00781BC6">
        <w:rPr>
          <w:rFonts w:eastAsiaTheme="minorEastAsia"/>
        </w:rPr>
        <w:t xml:space="preserve"> uncommon among large Japanese companies.</w:t>
      </w:r>
    </w:p>
    <w:p w14:paraId="049AE702" w14:textId="77777777" w:rsidR="00FF289C" w:rsidRPr="00781BC6" w:rsidRDefault="00FF289C" w:rsidP="00781BC6">
      <w:pPr>
        <w:pStyle w:val="BodyTextMain"/>
        <w:rPr>
          <w:rFonts w:eastAsiaTheme="minorEastAsia"/>
        </w:rPr>
      </w:pPr>
    </w:p>
    <w:p w14:paraId="459CE129" w14:textId="77777777" w:rsidR="00FF289C" w:rsidRPr="00781BC6" w:rsidRDefault="00FF289C" w:rsidP="00781BC6">
      <w:pPr>
        <w:pStyle w:val="BodyTextMain"/>
        <w:rPr>
          <w:rFonts w:eastAsiaTheme="minorEastAsia"/>
        </w:rPr>
      </w:pPr>
      <w:r w:rsidRPr="00781BC6">
        <w:rPr>
          <w:rFonts w:eastAsiaTheme="minorEastAsia"/>
        </w:rPr>
        <w:t>Yamauchi also crafted an excellent production system that ensured high profit margins. The production of video game machines was basically outsourced to smaller suppliers, allowing Nintendo to maintain a relatively small staff with low overhead costs.</w:t>
      </w:r>
      <w:r w:rsidRPr="00781BC6">
        <w:rPr>
          <w:rFonts w:eastAsiaTheme="minorEastAsia"/>
          <w:vertAlign w:val="superscript"/>
        </w:rPr>
        <w:endnoteReference w:id="17"/>
      </w:r>
      <w:r w:rsidRPr="00781BC6">
        <w:rPr>
          <w:rFonts w:eastAsiaTheme="minorEastAsia"/>
          <w:vertAlign w:val="superscript"/>
        </w:rPr>
        <w:t xml:space="preserve"> </w:t>
      </w:r>
    </w:p>
    <w:p w14:paraId="2E76CCE5" w14:textId="77777777" w:rsidR="00FF289C" w:rsidRPr="00781BC6" w:rsidRDefault="00FF289C" w:rsidP="00781BC6">
      <w:pPr>
        <w:pStyle w:val="BodyTextMain"/>
        <w:rPr>
          <w:rFonts w:eastAsiaTheme="minorEastAsia"/>
        </w:rPr>
      </w:pPr>
    </w:p>
    <w:p w14:paraId="1E9F2F5B" w14:textId="4E3AF28D" w:rsidR="00FF289C" w:rsidRPr="00781BC6" w:rsidRDefault="00FF289C" w:rsidP="00781BC6">
      <w:pPr>
        <w:pStyle w:val="BodyTextMain"/>
        <w:rPr>
          <w:rFonts w:eastAsiaTheme="minorEastAsia"/>
        </w:rPr>
      </w:pPr>
      <w:r w:rsidRPr="00781BC6">
        <w:rPr>
          <w:rFonts w:eastAsiaTheme="minorEastAsia"/>
        </w:rPr>
        <w:t>Yamauchi was well-known for managing Nintendo with high-speed</w:t>
      </w:r>
      <w:r w:rsidR="00AD63E9" w:rsidRPr="00781BC6">
        <w:rPr>
          <w:rFonts w:eastAsiaTheme="minorEastAsia"/>
        </w:rPr>
        <w:t>,</w:t>
      </w:r>
      <w:r w:rsidRPr="00781BC6">
        <w:rPr>
          <w:rFonts w:eastAsiaTheme="minorEastAsia"/>
        </w:rPr>
        <w:t xml:space="preserve"> top</w:t>
      </w:r>
      <w:r w:rsidR="00AD63E9" w:rsidRPr="00781BC6">
        <w:rPr>
          <w:rFonts w:eastAsiaTheme="minorEastAsia"/>
        </w:rPr>
        <w:t>–</w:t>
      </w:r>
      <w:r w:rsidRPr="00781BC6">
        <w:rPr>
          <w:rFonts w:eastAsiaTheme="minorEastAsia"/>
        </w:rPr>
        <w:t>down autocratic rule. As Yokoi said in 1996</w:t>
      </w:r>
      <w:r w:rsidR="00AD63E9" w:rsidRPr="00781BC6">
        <w:rPr>
          <w:rFonts w:eastAsiaTheme="minorEastAsia"/>
        </w:rPr>
        <w:t>,</w:t>
      </w:r>
      <w:r w:rsidRPr="00781BC6">
        <w:rPr>
          <w:rFonts w:eastAsiaTheme="minorEastAsia"/>
        </w:rPr>
        <w:t xml:space="preserve"> “</w:t>
      </w:r>
      <w:r w:rsidR="009D62FA" w:rsidRPr="00781BC6">
        <w:rPr>
          <w:rFonts w:eastAsiaTheme="minorEastAsia"/>
        </w:rPr>
        <w:t>W</w:t>
      </w:r>
      <w:r w:rsidRPr="00781BC6">
        <w:rPr>
          <w:rFonts w:eastAsiaTheme="minorEastAsia"/>
        </w:rPr>
        <w:t xml:space="preserve">hen I suggested the production of a handy flat game machine, the </w:t>
      </w:r>
      <w:r w:rsidR="009D62FA" w:rsidRPr="00781BC6">
        <w:rPr>
          <w:rFonts w:eastAsiaTheme="minorEastAsia"/>
        </w:rPr>
        <w:t>p</w:t>
      </w:r>
      <w:r w:rsidRPr="00781BC6">
        <w:rPr>
          <w:rFonts w:eastAsiaTheme="minorEastAsia"/>
        </w:rPr>
        <w:t xml:space="preserve">resident [Yamauchi] immediately told me to start developing, whereas the </w:t>
      </w:r>
      <w:r w:rsidR="00BC10FA" w:rsidRPr="00781BC6">
        <w:rPr>
          <w:rFonts w:eastAsiaTheme="minorEastAsia"/>
        </w:rPr>
        <w:t>S</w:t>
      </w:r>
      <w:r w:rsidRPr="00781BC6">
        <w:rPr>
          <w:rFonts w:eastAsiaTheme="minorEastAsia"/>
        </w:rPr>
        <w:t xml:space="preserve">ales and </w:t>
      </w:r>
      <w:r w:rsidR="00BC10FA" w:rsidRPr="00781BC6">
        <w:rPr>
          <w:rFonts w:eastAsiaTheme="minorEastAsia"/>
        </w:rPr>
        <w:t>M</w:t>
      </w:r>
      <w:r w:rsidRPr="00781BC6">
        <w:rPr>
          <w:rFonts w:eastAsiaTheme="minorEastAsia"/>
        </w:rPr>
        <w:t>arketing guys didn’t listen to me</w:t>
      </w:r>
      <w:r w:rsidR="00AD63E9" w:rsidRPr="00781BC6">
        <w:rPr>
          <w:rFonts w:eastAsiaTheme="minorEastAsia"/>
        </w:rPr>
        <w:t>.</w:t>
      </w:r>
      <w:r w:rsidRPr="00781BC6">
        <w:rPr>
          <w:rFonts w:eastAsiaTheme="minorEastAsia"/>
        </w:rPr>
        <w:t>”</w:t>
      </w:r>
      <w:r w:rsidRPr="00781BC6">
        <w:rPr>
          <w:rFonts w:eastAsiaTheme="minorEastAsia"/>
          <w:vertAlign w:val="superscript"/>
        </w:rPr>
        <w:endnoteReference w:id="18"/>
      </w:r>
      <w:r w:rsidRPr="00781BC6">
        <w:rPr>
          <w:rFonts w:eastAsiaTheme="minorEastAsia"/>
        </w:rPr>
        <w:t xml:space="preserve"> </w:t>
      </w:r>
    </w:p>
    <w:p w14:paraId="5BE87872" w14:textId="77777777" w:rsidR="00FF289C" w:rsidRPr="00781BC6" w:rsidRDefault="00FF289C" w:rsidP="00781BC6">
      <w:pPr>
        <w:pStyle w:val="BodyTextMain"/>
        <w:rPr>
          <w:rFonts w:eastAsiaTheme="minorEastAsia"/>
        </w:rPr>
      </w:pPr>
    </w:p>
    <w:p w14:paraId="006184B6" w14:textId="3B843078" w:rsidR="00FF289C" w:rsidRPr="00781BC6" w:rsidRDefault="009D62FA" w:rsidP="00781BC6">
      <w:pPr>
        <w:pStyle w:val="BodyTextMain"/>
        <w:rPr>
          <w:rFonts w:eastAsiaTheme="minorEastAsia"/>
        </w:rPr>
      </w:pPr>
      <w:r w:rsidRPr="00781BC6">
        <w:t>S</w:t>
      </w:r>
      <w:r w:rsidR="00FF289C" w:rsidRPr="00781BC6">
        <w:t>oftware entrepreneur</w:t>
      </w:r>
      <w:r w:rsidR="00FF289C" w:rsidRPr="00781BC6">
        <w:rPr>
          <w:rFonts w:eastAsiaTheme="minorEastAsia"/>
        </w:rPr>
        <w:t xml:space="preserve"> Henk Rogers, </w:t>
      </w:r>
      <w:r w:rsidRPr="00781BC6">
        <w:rPr>
          <w:rFonts w:eastAsiaTheme="minorEastAsia"/>
        </w:rPr>
        <w:t xml:space="preserve">a close friend of Yamauchi, </w:t>
      </w:r>
      <w:r w:rsidR="00FF289C" w:rsidRPr="00781BC6">
        <w:rPr>
          <w:rFonts w:eastAsiaTheme="minorEastAsia"/>
        </w:rPr>
        <w:t xml:space="preserve">said </w:t>
      </w:r>
      <w:r w:rsidR="000A552F" w:rsidRPr="00781BC6">
        <w:rPr>
          <w:rFonts w:eastAsiaTheme="minorEastAsia"/>
        </w:rPr>
        <w:t xml:space="preserve">this </w:t>
      </w:r>
      <w:r w:rsidR="00FF289C" w:rsidRPr="00781BC6">
        <w:rPr>
          <w:rFonts w:eastAsiaTheme="minorEastAsia"/>
        </w:rPr>
        <w:t>about him: “As I grew to know him more, he seemed to become more isolated, even from his own family. He was tough as nails and quick to reach a decision. When he did, everybody fell in line. He was a difficult man to please. If you publicly disagreed with him, your days were numbered.”</w:t>
      </w:r>
      <w:r w:rsidR="00FF289C" w:rsidRPr="00781BC6">
        <w:rPr>
          <w:rFonts w:eastAsiaTheme="minorEastAsia"/>
          <w:vertAlign w:val="superscript"/>
        </w:rPr>
        <w:endnoteReference w:id="19"/>
      </w:r>
    </w:p>
    <w:p w14:paraId="382CDEAF" w14:textId="77777777" w:rsidR="00FF289C" w:rsidRPr="00781BC6" w:rsidRDefault="00FF289C" w:rsidP="00781BC6">
      <w:pPr>
        <w:pStyle w:val="BodyTextMain"/>
        <w:rPr>
          <w:rFonts w:eastAsiaTheme="minorEastAsia"/>
        </w:rPr>
      </w:pPr>
    </w:p>
    <w:p w14:paraId="2C67ABA1" w14:textId="3B14F980" w:rsidR="00FF289C" w:rsidRPr="00781BC6" w:rsidRDefault="00FF289C" w:rsidP="00781BC6">
      <w:pPr>
        <w:pStyle w:val="BodyTextMain"/>
      </w:pPr>
      <w:r w:rsidRPr="00781BC6">
        <w:t>Rogers highly admired Yamauchi</w:t>
      </w:r>
      <w:r w:rsidR="00A70836" w:rsidRPr="00781BC6">
        <w:t xml:space="preserve"> but did not see him in the last 10 years of his life</w:t>
      </w:r>
      <w:r w:rsidR="00A46763" w:rsidRPr="00781BC6">
        <w:t>.</w:t>
      </w:r>
      <w:r w:rsidR="009D62FA" w:rsidRPr="00781BC6">
        <w:t xml:space="preserve"> </w:t>
      </w:r>
      <w:r w:rsidR="001562DA" w:rsidRPr="00781BC6">
        <w:t>“</w:t>
      </w:r>
      <w:r w:rsidR="00A70836" w:rsidRPr="00781BC6">
        <w:t>I wish I could have seen him one more time. He was my mentor, although I knew I would never be like him. There will never be another Yamauchi in the game industry.”</w:t>
      </w:r>
      <w:r w:rsidRPr="00781BC6">
        <w:rPr>
          <w:vertAlign w:val="superscript"/>
        </w:rPr>
        <w:endnoteReference w:id="20"/>
      </w:r>
    </w:p>
    <w:p w14:paraId="20300F5D" w14:textId="77777777" w:rsidR="00FF289C" w:rsidRPr="00781BC6" w:rsidRDefault="00FF289C" w:rsidP="00781BC6">
      <w:pPr>
        <w:pStyle w:val="BodyTextMain"/>
      </w:pPr>
    </w:p>
    <w:p w14:paraId="6ECA2E63" w14:textId="77777777" w:rsidR="001562DA" w:rsidRPr="00781BC6" w:rsidRDefault="001562DA" w:rsidP="00781BC6">
      <w:pPr>
        <w:pStyle w:val="BodyTextMain"/>
      </w:pPr>
    </w:p>
    <w:p w14:paraId="5D62705E" w14:textId="14F72730" w:rsidR="00FF289C" w:rsidRPr="00781BC6" w:rsidRDefault="00FF289C" w:rsidP="00781BC6">
      <w:pPr>
        <w:pStyle w:val="Casehead1"/>
        <w:rPr>
          <w:rFonts w:eastAsiaTheme="minorEastAsia"/>
        </w:rPr>
      </w:pPr>
      <w:r w:rsidRPr="00781BC6">
        <w:rPr>
          <w:rFonts w:eastAsiaTheme="minorEastAsia"/>
        </w:rPr>
        <w:t xml:space="preserve">YAMAUCHI </w:t>
      </w:r>
      <w:r w:rsidR="00535C3F" w:rsidRPr="00781BC6">
        <w:rPr>
          <w:rFonts w:eastAsiaTheme="minorEastAsia"/>
        </w:rPr>
        <w:t>and</w:t>
      </w:r>
      <w:r w:rsidRPr="00781BC6">
        <w:rPr>
          <w:rFonts w:eastAsiaTheme="minorEastAsia"/>
        </w:rPr>
        <w:t xml:space="preserve"> HIS FAMILY</w:t>
      </w:r>
    </w:p>
    <w:p w14:paraId="247DAF46" w14:textId="77777777" w:rsidR="00FF289C" w:rsidRPr="00D717E3" w:rsidRDefault="00FF289C" w:rsidP="00FF289C">
      <w:pPr>
        <w:pStyle w:val="BodyTextMain"/>
        <w:rPr>
          <w:rFonts w:eastAsiaTheme="minorEastAsia"/>
          <w:sz w:val="20"/>
          <w:lang w:val="en-GB" w:eastAsia="ja-JP"/>
        </w:rPr>
      </w:pPr>
    </w:p>
    <w:p w14:paraId="04B9E434" w14:textId="5E342F25" w:rsidR="00FF289C" w:rsidRDefault="00FF289C" w:rsidP="00FF289C">
      <w:pPr>
        <w:pStyle w:val="BodyTextMain"/>
        <w:rPr>
          <w:rFonts w:eastAsiaTheme="minorEastAsia"/>
          <w:lang w:val="en-GB" w:eastAsia="ja-JP" w:bidi="th-TH"/>
        </w:rPr>
      </w:pPr>
      <w:r w:rsidRPr="00781BC6">
        <w:rPr>
          <w:rFonts w:eastAsiaTheme="minorEastAsia"/>
        </w:rPr>
        <w:t>Yamauchi had one son and two daughters. His son, Katsuhito, worked at the Canadian subsidiary of Nintendo for a year before joining Nintendo Japan</w:t>
      </w:r>
      <w:r w:rsidR="00535C3F" w:rsidRPr="00781BC6">
        <w:rPr>
          <w:rFonts w:eastAsiaTheme="minorEastAsia"/>
        </w:rPr>
        <w:t>,</w:t>
      </w:r>
      <w:r w:rsidRPr="00781BC6">
        <w:rPr>
          <w:rFonts w:eastAsiaTheme="minorEastAsia"/>
        </w:rPr>
        <w:t xml:space="preserve"> first in the movie production department</w:t>
      </w:r>
      <w:r w:rsidR="00B90291" w:rsidRPr="00781BC6">
        <w:rPr>
          <w:rFonts w:eastAsiaTheme="minorEastAsia"/>
        </w:rPr>
        <w:t>,</w:t>
      </w:r>
      <w:r w:rsidRPr="00781BC6">
        <w:rPr>
          <w:rFonts w:eastAsiaTheme="minorEastAsia"/>
        </w:rPr>
        <w:t xml:space="preserve"> producing</w:t>
      </w:r>
      <w:r w:rsidRPr="00D717E3">
        <w:rPr>
          <w:rFonts w:eastAsiaTheme="minorEastAsia"/>
          <w:lang w:val="en-GB" w:eastAsia="ja-JP"/>
        </w:rPr>
        <w:t xml:space="preserve"> </w:t>
      </w:r>
      <w:r w:rsidRPr="00D717E3">
        <w:rPr>
          <w:rFonts w:eastAsiaTheme="minorEastAsia"/>
          <w:i/>
          <w:lang w:val="en-GB" w:eastAsia="ja-JP"/>
        </w:rPr>
        <w:t>Pokémon</w:t>
      </w:r>
      <w:r w:rsidRPr="00D717E3">
        <w:rPr>
          <w:rFonts w:eastAsiaTheme="minorEastAsia"/>
          <w:lang w:val="en-GB" w:eastAsia="ja-JP"/>
        </w:rPr>
        <w:t xml:space="preserve"> movies</w:t>
      </w:r>
      <w:r w:rsidR="00B90291" w:rsidRPr="00D717E3">
        <w:rPr>
          <w:rFonts w:eastAsiaTheme="minorEastAsia"/>
          <w:lang w:val="en-GB" w:eastAsia="ja-JP"/>
        </w:rPr>
        <w:t>,</w:t>
      </w:r>
      <w:r w:rsidRPr="00D717E3">
        <w:rPr>
          <w:rFonts w:eastAsiaTheme="minorEastAsia"/>
          <w:lang w:val="en-GB" w:eastAsia="ja-JP"/>
        </w:rPr>
        <w:t xml:space="preserve"> and then in the corporate marketing group.</w:t>
      </w:r>
      <w:r w:rsidRPr="00D717E3">
        <w:rPr>
          <w:rFonts w:eastAsiaTheme="minorEastAsia"/>
          <w:vertAlign w:val="superscript"/>
          <w:lang w:val="en-GB" w:eastAsia="ja-JP"/>
        </w:rPr>
        <w:endnoteReference w:id="21"/>
      </w:r>
      <w:r w:rsidRPr="00D717E3">
        <w:rPr>
          <w:rFonts w:eastAsiaTheme="minorEastAsia"/>
          <w:lang w:val="en-GB" w:eastAsia="ja-JP"/>
        </w:rPr>
        <w:t xml:space="preserve"> One of his daughters was married to a doctor. The other daughter, Yoko, </w:t>
      </w:r>
      <w:r w:rsidR="00BC10FA" w:rsidRPr="00D717E3">
        <w:rPr>
          <w:rFonts w:eastAsiaTheme="minorEastAsia"/>
          <w:lang w:val="en-GB" w:eastAsia="ja-JP"/>
        </w:rPr>
        <w:t xml:space="preserve">was </w:t>
      </w:r>
      <w:r w:rsidRPr="00D717E3">
        <w:rPr>
          <w:rFonts w:eastAsiaTheme="minorEastAsia"/>
          <w:lang w:val="en-GB" w:eastAsia="ja-JP"/>
        </w:rPr>
        <w:t xml:space="preserve">married </w:t>
      </w:r>
      <w:r w:rsidR="00BC10FA" w:rsidRPr="00D717E3">
        <w:rPr>
          <w:rFonts w:eastAsiaTheme="minorEastAsia"/>
          <w:lang w:val="en-GB" w:eastAsia="ja-JP"/>
        </w:rPr>
        <w:t xml:space="preserve">to </w:t>
      </w:r>
      <w:r w:rsidRPr="00D717E3">
        <w:rPr>
          <w:rFonts w:eastAsiaTheme="minorEastAsia"/>
          <w:lang w:val="en-GB" w:eastAsia="ja-JP"/>
        </w:rPr>
        <w:t>Minoru Arakawa, who</w:t>
      </w:r>
      <w:r w:rsidRPr="00D717E3">
        <w:rPr>
          <w:rFonts w:eastAsiaTheme="minorEastAsia"/>
          <w:lang w:val="en-GB" w:eastAsia="ja-JP" w:bidi="th-TH"/>
        </w:rPr>
        <w:t xml:space="preserve"> </w:t>
      </w:r>
      <w:r w:rsidR="00BC10FA" w:rsidRPr="00D717E3">
        <w:rPr>
          <w:rFonts w:eastAsiaTheme="minorEastAsia"/>
          <w:lang w:val="en-GB" w:eastAsia="ja-JP" w:bidi="th-TH"/>
        </w:rPr>
        <w:t xml:space="preserve">had </w:t>
      </w:r>
      <w:r w:rsidRPr="00D717E3">
        <w:rPr>
          <w:rFonts w:eastAsiaTheme="minorEastAsia"/>
          <w:lang w:val="en-GB" w:eastAsia="ja-JP" w:bidi="th-TH"/>
        </w:rPr>
        <w:t xml:space="preserve">graduated from the prestigious Kyoto University as a civil engineer and went on to </w:t>
      </w:r>
      <w:r w:rsidR="00535C3F" w:rsidRPr="00D717E3">
        <w:rPr>
          <w:rFonts w:eastAsiaTheme="minorEastAsia"/>
          <w:lang w:val="en-GB" w:eastAsia="ja-JP" w:bidi="th-TH"/>
        </w:rPr>
        <w:t>study at the Massachusetts Institute of Technology</w:t>
      </w:r>
      <w:r w:rsidRPr="00D717E3">
        <w:rPr>
          <w:rFonts w:eastAsiaTheme="minorEastAsia"/>
          <w:lang w:val="en-GB" w:eastAsia="ja-JP" w:bidi="th-TH"/>
        </w:rPr>
        <w:t xml:space="preserve">. He worked </w:t>
      </w:r>
      <w:r w:rsidR="002313AE" w:rsidRPr="00D717E3">
        <w:rPr>
          <w:rFonts w:eastAsiaTheme="minorEastAsia"/>
          <w:lang w:val="en-GB" w:eastAsia="ja-JP" w:bidi="th-TH"/>
        </w:rPr>
        <w:lastRenderedPageBreak/>
        <w:t>at</w:t>
      </w:r>
      <w:r w:rsidRPr="00D717E3">
        <w:rPr>
          <w:rFonts w:eastAsiaTheme="minorEastAsia"/>
          <w:lang w:val="en-GB" w:eastAsia="ja-JP" w:bidi="th-TH"/>
        </w:rPr>
        <w:t xml:space="preserve"> Marubeni</w:t>
      </w:r>
      <w:r w:rsidR="00535C3F" w:rsidRPr="00D717E3">
        <w:rPr>
          <w:rFonts w:eastAsiaTheme="minorEastAsia"/>
          <w:lang w:val="en-GB" w:eastAsia="ja-JP" w:bidi="th-TH"/>
        </w:rPr>
        <w:t xml:space="preserve"> Corporation in its</w:t>
      </w:r>
      <w:r w:rsidRPr="00D717E3">
        <w:rPr>
          <w:rFonts w:eastAsiaTheme="minorEastAsia"/>
          <w:lang w:val="en-GB" w:eastAsia="ja-JP" w:bidi="th-TH"/>
        </w:rPr>
        <w:t xml:space="preserve"> real estate </w:t>
      </w:r>
      <w:r w:rsidR="00535C3F" w:rsidRPr="00D717E3">
        <w:rPr>
          <w:rFonts w:eastAsiaTheme="minorEastAsia"/>
          <w:lang w:val="en-GB" w:eastAsia="ja-JP" w:bidi="th-TH"/>
        </w:rPr>
        <w:t>division</w:t>
      </w:r>
      <w:r w:rsidRPr="00D717E3">
        <w:rPr>
          <w:rFonts w:eastAsiaTheme="minorEastAsia"/>
          <w:lang w:val="en-GB" w:eastAsia="ja-JP" w:bidi="th-TH"/>
        </w:rPr>
        <w:t xml:space="preserve"> and headed up the development of a condominium complex in Vancouver.</w:t>
      </w:r>
      <w:r w:rsidRPr="00D717E3">
        <w:rPr>
          <w:rFonts w:eastAsiaTheme="minorEastAsia"/>
          <w:vertAlign w:val="superscript"/>
          <w:lang w:val="en-GB" w:eastAsia="ja-JP" w:bidi="th-TH"/>
        </w:rPr>
        <w:endnoteReference w:id="22"/>
      </w:r>
      <w:r w:rsidRPr="00D717E3">
        <w:rPr>
          <w:rFonts w:eastAsiaTheme="minorEastAsia"/>
          <w:lang w:val="en-GB" w:eastAsia="ja-JP" w:bidi="th-TH"/>
        </w:rPr>
        <w:t xml:space="preserve"> </w:t>
      </w:r>
    </w:p>
    <w:p w14:paraId="1D91D208" w14:textId="77777777" w:rsidR="00781BC6" w:rsidRPr="00D717E3" w:rsidRDefault="00781BC6" w:rsidP="00FF289C">
      <w:pPr>
        <w:pStyle w:val="BodyTextMain"/>
        <w:rPr>
          <w:rFonts w:eastAsiaTheme="minorEastAsia"/>
          <w:lang w:val="en-GB" w:eastAsia="ja-JP"/>
        </w:rPr>
      </w:pPr>
    </w:p>
    <w:p w14:paraId="0BF5ECE9" w14:textId="184D9BC6" w:rsidR="00FF289C" w:rsidRPr="00D717E3" w:rsidRDefault="00FF289C" w:rsidP="00FF289C">
      <w:pPr>
        <w:pStyle w:val="BodyTextMain"/>
        <w:rPr>
          <w:rFonts w:eastAsiaTheme="minorEastAsia"/>
          <w:lang w:val="en-GB" w:eastAsia="ja-JP"/>
        </w:rPr>
      </w:pPr>
      <w:r w:rsidRPr="00D717E3">
        <w:rPr>
          <w:rFonts w:eastAsiaTheme="minorEastAsia"/>
          <w:lang w:val="en-GB" w:eastAsia="ja-JP"/>
        </w:rPr>
        <w:t>Yamauchi’s life and passion was truly his business. His deep involvement in the company meant he was an “unavailable” father</w:t>
      </w:r>
      <w:r w:rsidR="00B90291" w:rsidRPr="00D717E3">
        <w:rPr>
          <w:rFonts w:eastAsiaTheme="minorEastAsia"/>
          <w:lang w:val="en-GB" w:eastAsia="ja-JP"/>
        </w:rPr>
        <w:t>,</w:t>
      </w:r>
      <w:r w:rsidRPr="00D717E3">
        <w:rPr>
          <w:rFonts w:eastAsiaTheme="minorEastAsia"/>
          <w:lang w:val="en-GB" w:eastAsia="ja-JP"/>
        </w:rPr>
        <w:t xml:space="preserve"> who was often elusive and angry.</w:t>
      </w:r>
      <w:r w:rsidRPr="00D717E3">
        <w:rPr>
          <w:rFonts w:eastAsiaTheme="minorEastAsia"/>
          <w:vertAlign w:val="superscript"/>
          <w:lang w:val="en-GB" w:eastAsia="ja-JP"/>
        </w:rPr>
        <w:endnoteReference w:id="23"/>
      </w:r>
      <w:r w:rsidRPr="00D717E3">
        <w:rPr>
          <w:rFonts w:eastAsiaTheme="minorEastAsia"/>
          <w:lang w:val="en-GB" w:eastAsia="ja-JP"/>
        </w:rPr>
        <w:t xml:space="preserve"> Nintendo became a wedge between him and his children</w:t>
      </w:r>
      <w:r w:rsidR="00535C3F" w:rsidRPr="00D717E3">
        <w:rPr>
          <w:rFonts w:eastAsiaTheme="minorEastAsia"/>
          <w:lang w:val="en-GB" w:eastAsia="ja-JP"/>
        </w:rPr>
        <w:t>;</w:t>
      </w:r>
      <w:r w:rsidRPr="00D717E3">
        <w:rPr>
          <w:rFonts w:eastAsiaTheme="minorEastAsia"/>
          <w:lang w:val="en-GB" w:eastAsia="ja-JP"/>
        </w:rPr>
        <w:t xml:space="preserve"> </w:t>
      </w:r>
      <w:r w:rsidR="00535C3F" w:rsidRPr="00D717E3">
        <w:rPr>
          <w:rFonts w:eastAsiaTheme="minorEastAsia"/>
          <w:lang w:val="en-GB" w:eastAsia="ja-JP"/>
        </w:rPr>
        <w:t>t</w:t>
      </w:r>
      <w:r w:rsidRPr="00D717E3">
        <w:rPr>
          <w:rFonts w:eastAsiaTheme="minorEastAsia"/>
          <w:lang w:val="en-GB" w:eastAsia="ja-JP"/>
        </w:rPr>
        <w:t>hey hated Nintendo for consuming him.</w:t>
      </w:r>
      <w:r w:rsidRPr="00D717E3">
        <w:rPr>
          <w:rFonts w:eastAsiaTheme="minorEastAsia"/>
          <w:vertAlign w:val="superscript"/>
          <w:lang w:val="en-GB" w:eastAsia="ja-JP"/>
        </w:rPr>
        <w:endnoteReference w:id="24"/>
      </w:r>
      <w:r w:rsidRPr="00D717E3">
        <w:rPr>
          <w:rFonts w:eastAsiaTheme="minorEastAsia"/>
          <w:lang w:val="en-GB" w:eastAsia="ja-JP"/>
        </w:rPr>
        <w:t xml:space="preserve"> In a BBC interview in 2004, Arakawa said</w:t>
      </w:r>
      <w:r w:rsidR="00535C3F" w:rsidRPr="00D717E3">
        <w:rPr>
          <w:rFonts w:eastAsiaTheme="minorEastAsia"/>
          <w:lang w:val="en-GB" w:eastAsia="ja-JP"/>
        </w:rPr>
        <w:t>,</w:t>
      </w:r>
      <w:r w:rsidRPr="00D717E3">
        <w:rPr>
          <w:rFonts w:eastAsiaTheme="minorEastAsia"/>
          <w:lang w:val="en-GB" w:eastAsia="ja-JP"/>
        </w:rPr>
        <w:t xml:space="preserve"> “Mr Yamauchi’s life is all business. He will continue to think about Nintendo until he dies</w:t>
      </w:r>
      <w:r w:rsidR="00535C3F" w:rsidRPr="00D717E3">
        <w:rPr>
          <w:rFonts w:eastAsiaTheme="minorEastAsia"/>
          <w:lang w:val="en-GB" w:eastAsia="ja-JP"/>
        </w:rPr>
        <w:t>.</w:t>
      </w:r>
      <w:r w:rsidRPr="00D717E3">
        <w:rPr>
          <w:rFonts w:eastAsiaTheme="minorEastAsia"/>
          <w:lang w:val="en-GB" w:eastAsia="ja-JP"/>
        </w:rPr>
        <w:t>”</w:t>
      </w:r>
      <w:r w:rsidRPr="00D717E3">
        <w:rPr>
          <w:rFonts w:eastAsiaTheme="minorEastAsia"/>
          <w:vertAlign w:val="superscript"/>
          <w:lang w:val="en-GB" w:eastAsia="ja-JP"/>
        </w:rPr>
        <w:endnoteReference w:id="25"/>
      </w:r>
      <w:r w:rsidRPr="00D717E3">
        <w:rPr>
          <w:rFonts w:eastAsiaTheme="minorEastAsia"/>
          <w:lang w:val="en-GB" w:eastAsia="ja-JP"/>
        </w:rPr>
        <w:t xml:space="preserve"> </w:t>
      </w:r>
    </w:p>
    <w:p w14:paraId="748E5685" w14:textId="77777777" w:rsidR="00FF289C" w:rsidRPr="00D717E3" w:rsidRDefault="00FF289C" w:rsidP="001562DA">
      <w:pPr>
        <w:pStyle w:val="BodyTextMain"/>
        <w:rPr>
          <w:sz w:val="20"/>
          <w:lang w:val="en-GB"/>
        </w:rPr>
      </w:pPr>
    </w:p>
    <w:p w14:paraId="139A2F25" w14:textId="77777777" w:rsidR="001562DA" w:rsidRPr="00D717E3" w:rsidRDefault="001562DA" w:rsidP="001562DA">
      <w:pPr>
        <w:pStyle w:val="BodyTextMain"/>
        <w:rPr>
          <w:sz w:val="20"/>
          <w:lang w:val="en-GB"/>
        </w:rPr>
      </w:pPr>
    </w:p>
    <w:p w14:paraId="1D0F579D" w14:textId="77777777" w:rsidR="00FF289C" w:rsidRPr="00D717E3" w:rsidRDefault="00FF289C" w:rsidP="003336A8">
      <w:pPr>
        <w:pStyle w:val="Casehead1"/>
        <w:keepNext/>
        <w:outlineLvl w:val="0"/>
        <w:rPr>
          <w:rFonts w:eastAsiaTheme="minorEastAsia"/>
          <w:lang w:val="en-GB" w:eastAsia="ja-JP"/>
        </w:rPr>
      </w:pPr>
      <w:r w:rsidRPr="00D717E3">
        <w:rPr>
          <w:rFonts w:eastAsiaTheme="minorEastAsia"/>
          <w:lang w:val="en-GB" w:eastAsia="ja-JP"/>
        </w:rPr>
        <w:t xml:space="preserve">YAMAUCHI SUCCESSOR PLANNING </w:t>
      </w:r>
    </w:p>
    <w:p w14:paraId="70A0EC36" w14:textId="77777777" w:rsidR="00FF289C" w:rsidRPr="00D717E3" w:rsidRDefault="00FF289C" w:rsidP="001562DA">
      <w:pPr>
        <w:pStyle w:val="BodyTextMain"/>
        <w:keepNext/>
        <w:rPr>
          <w:sz w:val="20"/>
          <w:lang w:val="en-GB"/>
        </w:rPr>
      </w:pPr>
    </w:p>
    <w:p w14:paraId="6892CD13" w14:textId="130192E2" w:rsidR="00FF289C" w:rsidRPr="00781BC6" w:rsidRDefault="00FF289C" w:rsidP="00781BC6">
      <w:pPr>
        <w:pStyle w:val="BodyTextMain"/>
        <w:rPr>
          <w:rFonts w:eastAsiaTheme="minorEastAsia"/>
        </w:rPr>
      </w:pPr>
      <w:r w:rsidRPr="00781BC6">
        <w:rPr>
          <w:rFonts w:eastAsiaTheme="minorEastAsia"/>
        </w:rPr>
        <w:t xml:space="preserve">Yamauchi was impressed by his son-in-law Arakawa’s experience and persuaded him to join Nintendo. In 1979, Arakawa was appointed as the president of Nintendo of America. Arakawa was instrumental in helping Nintendo take over the American living room. He oversaw the introduction of famous products such as </w:t>
      </w:r>
      <w:r w:rsidR="00C56756" w:rsidRPr="00781BC6">
        <w:rPr>
          <w:rFonts w:eastAsiaTheme="minorEastAsia"/>
        </w:rPr>
        <w:t>arcade games</w:t>
      </w:r>
      <w:r w:rsidR="00C56756" w:rsidRPr="00D717E3">
        <w:rPr>
          <w:rFonts w:eastAsiaTheme="minorEastAsia"/>
          <w:lang w:val="en-GB" w:eastAsia="ja-JP" w:bidi="th-TH"/>
        </w:rPr>
        <w:t xml:space="preserve"> </w:t>
      </w:r>
      <w:r w:rsidRPr="00781BC6">
        <w:rPr>
          <w:rFonts w:eastAsiaTheme="minorEastAsia"/>
          <w:i/>
        </w:rPr>
        <w:t>Space Fever</w:t>
      </w:r>
      <w:r w:rsidR="00C56756" w:rsidRPr="00781BC6">
        <w:rPr>
          <w:rFonts w:eastAsiaTheme="minorEastAsia"/>
          <w:i/>
        </w:rPr>
        <w:t xml:space="preserve"> </w:t>
      </w:r>
      <w:r w:rsidR="00C56756" w:rsidRPr="00781BC6">
        <w:rPr>
          <w:rFonts w:eastAsiaTheme="minorEastAsia"/>
        </w:rPr>
        <w:t>and</w:t>
      </w:r>
      <w:r w:rsidRPr="00781BC6">
        <w:rPr>
          <w:rFonts w:eastAsiaTheme="minorEastAsia"/>
        </w:rPr>
        <w:t xml:space="preserve"> </w:t>
      </w:r>
      <w:r w:rsidRPr="00781BC6">
        <w:rPr>
          <w:rFonts w:eastAsiaTheme="minorEastAsia"/>
          <w:i/>
        </w:rPr>
        <w:t>Radarscope</w:t>
      </w:r>
      <w:r w:rsidRPr="00D717E3">
        <w:rPr>
          <w:rFonts w:eastAsiaTheme="minorEastAsia"/>
          <w:lang w:val="en-GB" w:eastAsia="ja-JP" w:bidi="th-TH"/>
        </w:rPr>
        <w:t xml:space="preserve">, </w:t>
      </w:r>
      <w:r w:rsidRPr="00781BC6">
        <w:rPr>
          <w:rFonts w:eastAsiaTheme="minorEastAsia"/>
        </w:rPr>
        <w:t>Game &amp; Watch, and Game Boy.</w:t>
      </w:r>
      <w:r w:rsidRPr="00781BC6">
        <w:rPr>
          <w:rFonts w:eastAsiaTheme="minorEastAsia"/>
          <w:vertAlign w:val="superscript"/>
        </w:rPr>
        <w:endnoteReference w:id="26"/>
      </w:r>
      <w:r w:rsidRPr="00781BC6">
        <w:rPr>
          <w:rFonts w:eastAsiaTheme="minorEastAsia"/>
          <w:vertAlign w:val="superscript"/>
        </w:rPr>
        <w:t xml:space="preserve"> </w:t>
      </w:r>
      <w:r w:rsidRPr="00781BC6">
        <w:rPr>
          <w:rFonts w:eastAsiaTheme="minorEastAsia"/>
        </w:rPr>
        <w:t xml:space="preserve">By 1990, Nintendo of America </w:t>
      </w:r>
      <w:r w:rsidR="00C56756" w:rsidRPr="00781BC6">
        <w:rPr>
          <w:rFonts w:eastAsiaTheme="minorEastAsia"/>
        </w:rPr>
        <w:t xml:space="preserve">had </w:t>
      </w:r>
      <w:r w:rsidRPr="00781BC6">
        <w:rPr>
          <w:rFonts w:eastAsiaTheme="minorEastAsia"/>
        </w:rPr>
        <w:t xml:space="preserve">sold almost 30 million consoles. The Nintendo Entertainment System could be found in one out of three American homes. Arakawa was promoted to serve on Nintendo’s board </w:t>
      </w:r>
      <w:r w:rsidR="00C56756" w:rsidRPr="00781BC6">
        <w:rPr>
          <w:rFonts w:eastAsiaTheme="minorEastAsia"/>
        </w:rPr>
        <w:t>and</w:t>
      </w:r>
      <w:r w:rsidRPr="00781BC6">
        <w:rPr>
          <w:rFonts w:eastAsiaTheme="minorEastAsia"/>
        </w:rPr>
        <w:t xml:space="preserve"> took on </w:t>
      </w:r>
      <w:r w:rsidR="00C56756" w:rsidRPr="00781BC6">
        <w:rPr>
          <w:rFonts w:eastAsiaTheme="minorEastAsia"/>
        </w:rPr>
        <w:t xml:space="preserve">the </w:t>
      </w:r>
      <w:r w:rsidRPr="00781BC6">
        <w:rPr>
          <w:rFonts w:eastAsiaTheme="minorEastAsia"/>
        </w:rPr>
        <w:t xml:space="preserve">double role </w:t>
      </w:r>
      <w:r w:rsidR="00C56756" w:rsidRPr="00781BC6">
        <w:rPr>
          <w:rFonts w:eastAsiaTheme="minorEastAsia"/>
        </w:rPr>
        <w:t>of</w:t>
      </w:r>
      <w:r w:rsidRPr="00781BC6">
        <w:rPr>
          <w:rFonts w:eastAsiaTheme="minorEastAsia"/>
        </w:rPr>
        <w:t xml:space="preserve"> president/chairman of Nintendo of America in 1999. It </w:t>
      </w:r>
      <w:r w:rsidR="00C56756" w:rsidRPr="00781BC6">
        <w:rPr>
          <w:rFonts w:eastAsiaTheme="minorEastAsia"/>
        </w:rPr>
        <w:t>seemed</w:t>
      </w:r>
      <w:r w:rsidRPr="00781BC6">
        <w:rPr>
          <w:rFonts w:eastAsiaTheme="minorEastAsia"/>
        </w:rPr>
        <w:t xml:space="preserve"> clear that Arakawa </w:t>
      </w:r>
      <w:r w:rsidR="00C56756" w:rsidRPr="00781BC6">
        <w:rPr>
          <w:rFonts w:eastAsiaTheme="minorEastAsia"/>
        </w:rPr>
        <w:t>would be</w:t>
      </w:r>
      <w:r w:rsidRPr="00781BC6">
        <w:rPr>
          <w:rFonts w:eastAsiaTheme="minorEastAsia"/>
        </w:rPr>
        <w:t xml:space="preserve"> Yamauchi’s successor. </w:t>
      </w:r>
    </w:p>
    <w:p w14:paraId="62D23CAC" w14:textId="77777777" w:rsidR="00FF289C" w:rsidRPr="00781BC6" w:rsidRDefault="00FF289C" w:rsidP="00781BC6">
      <w:pPr>
        <w:pStyle w:val="BodyTextMain"/>
        <w:rPr>
          <w:rFonts w:eastAsiaTheme="minorEastAsia"/>
        </w:rPr>
      </w:pPr>
    </w:p>
    <w:p w14:paraId="366E8C78" w14:textId="6AE05120" w:rsidR="00FF289C" w:rsidRPr="00781BC6" w:rsidRDefault="00FF289C" w:rsidP="00781BC6">
      <w:pPr>
        <w:pStyle w:val="BodyTextMain"/>
        <w:rPr>
          <w:rFonts w:eastAsiaTheme="minorEastAsia"/>
        </w:rPr>
      </w:pPr>
      <w:r w:rsidRPr="00781BC6">
        <w:rPr>
          <w:rFonts w:eastAsiaTheme="minorEastAsia"/>
        </w:rPr>
        <w:t>To everyone’s surprise, however, on January 8, 2002</w:t>
      </w:r>
      <w:r w:rsidR="00C56756" w:rsidRPr="00781BC6">
        <w:rPr>
          <w:rFonts w:eastAsiaTheme="minorEastAsia"/>
        </w:rPr>
        <w:t>,</w:t>
      </w:r>
      <w:r w:rsidRPr="00781BC6">
        <w:rPr>
          <w:rFonts w:eastAsiaTheme="minorEastAsia"/>
        </w:rPr>
        <w:t xml:space="preserve"> </w:t>
      </w:r>
      <w:r w:rsidR="00C56756" w:rsidRPr="00781BC6">
        <w:rPr>
          <w:rFonts w:eastAsiaTheme="minorEastAsia"/>
        </w:rPr>
        <w:t xml:space="preserve">at age 55 </w:t>
      </w:r>
      <w:r w:rsidRPr="00781BC6">
        <w:rPr>
          <w:rFonts w:eastAsiaTheme="minorEastAsia"/>
        </w:rPr>
        <w:t>Arakawa announced his resignation and left Nintendo, saying he needed some rest.</w:t>
      </w:r>
      <w:r w:rsidRPr="00781BC6">
        <w:rPr>
          <w:rFonts w:eastAsiaTheme="minorEastAsia"/>
          <w:vertAlign w:val="superscript"/>
        </w:rPr>
        <w:endnoteReference w:id="27"/>
      </w:r>
      <w:r w:rsidRPr="00781BC6">
        <w:rPr>
          <w:rFonts w:eastAsiaTheme="minorEastAsia"/>
        </w:rPr>
        <w:t xml:space="preserve"> Yamauchi was cited by the Japanese media as saying</w:t>
      </w:r>
      <w:r w:rsidR="00C56756" w:rsidRPr="00781BC6">
        <w:rPr>
          <w:rFonts w:eastAsiaTheme="minorEastAsia"/>
        </w:rPr>
        <w:t>,</w:t>
      </w:r>
      <w:r w:rsidRPr="00781BC6">
        <w:rPr>
          <w:rFonts w:eastAsiaTheme="minorEastAsia"/>
        </w:rPr>
        <w:t xml:space="preserve"> “Arakawa is not suitable for Nintendo’s presidency as he is too nice.”</w:t>
      </w:r>
      <w:r w:rsidRPr="00781BC6">
        <w:rPr>
          <w:rFonts w:eastAsiaTheme="minorEastAsia"/>
          <w:vertAlign w:val="superscript"/>
        </w:rPr>
        <w:endnoteReference w:id="28"/>
      </w:r>
      <w:r w:rsidRPr="00781BC6">
        <w:rPr>
          <w:rFonts w:eastAsiaTheme="minorEastAsia"/>
          <w:vertAlign w:val="superscript"/>
        </w:rPr>
        <w:t xml:space="preserve"> </w:t>
      </w:r>
    </w:p>
    <w:p w14:paraId="4A0FA658" w14:textId="77777777" w:rsidR="00FF289C" w:rsidRPr="00781BC6" w:rsidRDefault="00FF289C" w:rsidP="00781BC6">
      <w:pPr>
        <w:pStyle w:val="BodyTextMain"/>
        <w:rPr>
          <w:rFonts w:eastAsiaTheme="minorEastAsia"/>
        </w:rPr>
      </w:pPr>
    </w:p>
    <w:p w14:paraId="556D5423" w14:textId="71580CFC" w:rsidR="00FF289C" w:rsidRPr="00781BC6" w:rsidRDefault="00C56756" w:rsidP="00781BC6">
      <w:pPr>
        <w:pStyle w:val="BodyTextMain"/>
      </w:pPr>
      <w:r w:rsidRPr="00781BC6">
        <w:t>The two</w:t>
      </w:r>
      <w:r w:rsidR="00FF289C" w:rsidRPr="00781BC6">
        <w:t xml:space="preserve"> men were indeed different. Yamauchi was an incredibly colourful character, known </w:t>
      </w:r>
      <w:r w:rsidR="00B90291" w:rsidRPr="00781BC6">
        <w:t xml:space="preserve">to </w:t>
      </w:r>
      <w:r w:rsidRPr="00781BC6">
        <w:t>be</w:t>
      </w:r>
      <w:r w:rsidR="00B90291" w:rsidRPr="00781BC6">
        <w:t xml:space="preserve"> </w:t>
      </w:r>
      <w:r w:rsidR="00FF289C" w:rsidRPr="00781BC6">
        <w:t>unpredictable and outspoken, who occasionally made “bizarre pronouncements about his business rivals.”</w:t>
      </w:r>
      <w:r w:rsidR="00FF289C" w:rsidRPr="00781BC6">
        <w:rPr>
          <w:vertAlign w:val="superscript"/>
        </w:rPr>
        <w:endnoteReference w:id="29"/>
      </w:r>
      <w:r w:rsidR="00FF289C" w:rsidRPr="00781BC6">
        <w:t xml:space="preserve"> Yamauchi once publicly chastised </w:t>
      </w:r>
      <w:r w:rsidR="00FF289C" w:rsidRPr="00781BC6">
        <w:rPr>
          <w:rFonts w:eastAsiaTheme="minorEastAsia"/>
        </w:rPr>
        <w:t>Arakawa</w:t>
      </w:r>
      <w:r w:rsidR="00FF289C" w:rsidRPr="00781BC6">
        <w:t xml:space="preserve"> for his lackadaisical response to Sega </w:t>
      </w:r>
      <w:r w:rsidR="008913B1" w:rsidRPr="00781BC6">
        <w:t>Enterprises Ltd.</w:t>
      </w:r>
      <w:r w:rsidR="00994627" w:rsidRPr="00781BC6">
        <w:t xml:space="preserve"> </w:t>
      </w:r>
      <w:r w:rsidR="00FF289C" w:rsidRPr="00781BC6">
        <w:t>and promoted the more aggressive Howard Lincoln as chairman of Nintendo of America in 1994.</w:t>
      </w:r>
      <w:r w:rsidR="00FF289C" w:rsidRPr="00781BC6">
        <w:rPr>
          <w:vertAlign w:val="superscript"/>
        </w:rPr>
        <w:endnoteReference w:id="30"/>
      </w:r>
    </w:p>
    <w:p w14:paraId="5E419835" w14:textId="77777777" w:rsidR="00FF289C" w:rsidRPr="00D717E3" w:rsidRDefault="00FF289C" w:rsidP="00FF289C">
      <w:pPr>
        <w:pStyle w:val="BodyTextMain"/>
        <w:rPr>
          <w:rFonts w:eastAsiaTheme="minorEastAsia"/>
          <w:sz w:val="20"/>
          <w:lang w:val="en-GB" w:eastAsia="ja-JP"/>
        </w:rPr>
      </w:pPr>
    </w:p>
    <w:p w14:paraId="15790CC3" w14:textId="77777777" w:rsidR="001562DA" w:rsidRPr="00D717E3" w:rsidRDefault="001562DA" w:rsidP="00FF289C">
      <w:pPr>
        <w:pStyle w:val="BodyTextMain"/>
        <w:rPr>
          <w:rFonts w:eastAsiaTheme="minorEastAsia"/>
          <w:sz w:val="20"/>
          <w:lang w:val="en-GB" w:eastAsia="ja-JP"/>
        </w:rPr>
      </w:pPr>
    </w:p>
    <w:p w14:paraId="5FEB50B5" w14:textId="03027360" w:rsidR="00FF289C" w:rsidRPr="00E9417C" w:rsidRDefault="00FF289C" w:rsidP="00E9417C">
      <w:pPr>
        <w:pStyle w:val="Casehead1"/>
      </w:pPr>
      <w:r w:rsidRPr="00E9417C">
        <w:t>SATORU IWATA AS SUCCESSOR</w:t>
      </w:r>
    </w:p>
    <w:p w14:paraId="61840E9D" w14:textId="77777777" w:rsidR="00FF289C" w:rsidRPr="00D717E3" w:rsidRDefault="00FF289C" w:rsidP="001562DA">
      <w:pPr>
        <w:pStyle w:val="BodyTextMain"/>
        <w:rPr>
          <w:sz w:val="20"/>
          <w:lang w:val="en-GB"/>
        </w:rPr>
      </w:pPr>
    </w:p>
    <w:p w14:paraId="2231753A" w14:textId="59F72179" w:rsidR="00FF289C" w:rsidRPr="00781BC6" w:rsidRDefault="00FF289C" w:rsidP="00781BC6">
      <w:pPr>
        <w:pStyle w:val="BodyTextMain"/>
      </w:pPr>
      <w:r w:rsidRPr="00781BC6">
        <w:t>In May 2002, Yamauchi named Satoru Iwata as Nintendo’s new president. Iwata had worked at Nintendo for</w:t>
      </w:r>
      <w:r w:rsidR="00994627" w:rsidRPr="00781BC6">
        <w:t xml:space="preserve"> just</w:t>
      </w:r>
      <w:r w:rsidRPr="00781BC6">
        <w:t xml:space="preserve"> two years</w:t>
      </w:r>
      <w:r w:rsidR="009A06DA" w:rsidRPr="00781BC6">
        <w:t>,</w:t>
      </w:r>
      <w:r w:rsidRPr="00781BC6">
        <w:t xml:space="preserve"> </w:t>
      </w:r>
      <w:r w:rsidR="00994627" w:rsidRPr="00781BC6">
        <w:t xml:space="preserve">yet </w:t>
      </w:r>
      <w:r w:rsidR="009A06DA" w:rsidRPr="00781BC6">
        <w:t xml:space="preserve">he </w:t>
      </w:r>
      <w:r w:rsidRPr="00781BC6">
        <w:t>w</w:t>
      </w:r>
      <w:r w:rsidR="006F0D24" w:rsidRPr="00781BC6">
        <w:t>as chosen to</w:t>
      </w:r>
      <w:r w:rsidRPr="00781BC6">
        <w:t xml:space="preserve"> lead </w:t>
      </w:r>
      <w:r w:rsidRPr="00781BC6">
        <w:rPr>
          <w:rFonts w:eastAsiaTheme="minorEastAsia"/>
        </w:rPr>
        <w:t xml:space="preserve">the </w:t>
      </w:r>
      <w:r w:rsidR="006F0D24" w:rsidRPr="00781BC6">
        <w:rPr>
          <w:rFonts w:eastAsiaTheme="minorEastAsia"/>
        </w:rPr>
        <w:t>US$20</w:t>
      </w:r>
      <w:r w:rsidR="009A06DA" w:rsidRPr="00781BC6">
        <w:rPr>
          <w:rFonts w:eastAsiaTheme="minorEastAsia"/>
        </w:rPr>
        <w:t xml:space="preserve"> </w:t>
      </w:r>
      <w:r w:rsidR="006F0D24" w:rsidRPr="00781BC6">
        <w:rPr>
          <w:rFonts w:eastAsiaTheme="minorEastAsia"/>
        </w:rPr>
        <w:t xml:space="preserve">billion </w:t>
      </w:r>
      <w:r w:rsidRPr="00781BC6">
        <w:rPr>
          <w:rFonts w:eastAsiaTheme="minorEastAsia"/>
        </w:rPr>
        <w:t xml:space="preserve">global company (see Exhibit 1). At the press conference, Yamauchi </w:t>
      </w:r>
      <w:r w:rsidR="00994627" w:rsidRPr="00781BC6">
        <w:rPr>
          <w:rFonts w:eastAsiaTheme="minorEastAsia"/>
        </w:rPr>
        <w:t>spoke</w:t>
      </w:r>
      <w:r w:rsidRPr="00781BC6">
        <w:rPr>
          <w:rFonts w:eastAsiaTheme="minorEastAsia"/>
        </w:rPr>
        <w:t xml:space="preserve"> highly </w:t>
      </w:r>
      <w:r w:rsidR="00994627" w:rsidRPr="00781BC6">
        <w:rPr>
          <w:rFonts w:eastAsiaTheme="minorEastAsia"/>
        </w:rPr>
        <w:t>of</w:t>
      </w:r>
      <w:r w:rsidRPr="00781BC6">
        <w:rPr>
          <w:rFonts w:eastAsiaTheme="minorEastAsia"/>
        </w:rPr>
        <w:t xml:space="preserve"> his 42</w:t>
      </w:r>
      <w:r w:rsidR="00994627" w:rsidRPr="00781BC6">
        <w:rPr>
          <w:rFonts w:eastAsiaTheme="minorEastAsia"/>
        </w:rPr>
        <w:t>-</w:t>
      </w:r>
      <w:r w:rsidRPr="00781BC6">
        <w:rPr>
          <w:rFonts w:eastAsiaTheme="minorEastAsia"/>
        </w:rPr>
        <w:t>year-old successor:</w:t>
      </w:r>
      <w:r w:rsidRPr="00781BC6">
        <w:rPr>
          <w:rFonts w:eastAsiaTheme="minorEastAsia"/>
          <w:vertAlign w:val="superscript"/>
        </w:rPr>
        <w:endnoteReference w:id="31"/>
      </w:r>
    </w:p>
    <w:p w14:paraId="5E6B03E4" w14:textId="77777777" w:rsidR="00FF289C" w:rsidRPr="00D717E3" w:rsidRDefault="00FF289C" w:rsidP="00FF289C">
      <w:pPr>
        <w:pStyle w:val="BodyTextMain"/>
        <w:rPr>
          <w:rFonts w:eastAsiaTheme="minorEastAsia"/>
          <w:sz w:val="20"/>
          <w:lang w:val="en-GB" w:eastAsia="ja-JP"/>
        </w:rPr>
      </w:pPr>
    </w:p>
    <w:p w14:paraId="4A812927" w14:textId="5785DA31" w:rsidR="00FF289C" w:rsidRPr="00781BC6" w:rsidRDefault="00FF289C" w:rsidP="00781BC6">
      <w:pPr>
        <w:pStyle w:val="BodyTextMain"/>
        <w:ind w:left="720"/>
        <w:rPr>
          <w:rFonts w:eastAsiaTheme="minorEastAsia"/>
        </w:rPr>
      </w:pPr>
      <w:r w:rsidRPr="00781BC6">
        <w:rPr>
          <w:rFonts w:eastAsiaTheme="minorEastAsia"/>
        </w:rPr>
        <w:t>Taking into account the things I’ve encountered in my experiences as Nintendo president, I have come to the conclusion that it requires a special talent to manage a company in this industry. I selected Iwata-san based on that criteria. Over the long</w:t>
      </w:r>
      <w:r w:rsidR="00994627" w:rsidRPr="00781BC6">
        <w:rPr>
          <w:rFonts w:eastAsiaTheme="minorEastAsia"/>
        </w:rPr>
        <w:t xml:space="preserve"> </w:t>
      </w:r>
      <w:r w:rsidRPr="00781BC6">
        <w:rPr>
          <w:rFonts w:eastAsiaTheme="minorEastAsia"/>
        </w:rPr>
        <w:t>term</w:t>
      </w:r>
      <w:r w:rsidR="00994627" w:rsidRPr="00781BC6">
        <w:rPr>
          <w:rFonts w:eastAsiaTheme="minorEastAsia"/>
        </w:rPr>
        <w:t>,</w:t>
      </w:r>
      <w:r w:rsidRPr="00781BC6">
        <w:rPr>
          <w:rFonts w:eastAsiaTheme="minorEastAsia"/>
        </w:rPr>
        <w:t xml:space="preserve"> I don’t know whether Iwata-san will maintain Nintendo’s position or lead the company to even greater heights of success. At the very least, I believe him to be the best person for the job. [Iwata] has the instincts you need to survive in this business.</w:t>
      </w:r>
    </w:p>
    <w:p w14:paraId="5814A983" w14:textId="77777777" w:rsidR="00FF289C" w:rsidRPr="00781BC6" w:rsidRDefault="00FF289C" w:rsidP="00781BC6">
      <w:pPr>
        <w:pStyle w:val="BodyTextMain"/>
        <w:rPr>
          <w:rFonts w:eastAsiaTheme="minorEastAsia"/>
        </w:rPr>
      </w:pPr>
    </w:p>
    <w:p w14:paraId="2BB7F975" w14:textId="77ED3414" w:rsidR="00FF289C" w:rsidRPr="00781BC6" w:rsidRDefault="00FF289C" w:rsidP="00781BC6">
      <w:pPr>
        <w:pStyle w:val="BodyTextMain"/>
        <w:rPr>
          <w:rFonts w:eastAsiaTheme="minorEastAsia"/>
        </w:rPr>
      </w:pPr>
      <w:r w:rsidRPr="00781BC6">
        <w:rPr>
          <w:rFonts w:eastAsiaTheme="minorEastAsia"/>
        </w:rPr>
        <w:t>Born in Hokkaido in 1959, Iwata was fascinated with technology from a young age. He studied computer science at the Tokyo Institute of Technology. His first career was at HAL Laborator</w:t>
      </w:r>
      <w:r w:rsidR="00994627" w:rsidRPr="00781BC6">
        <w:rPr>
          <w:rFonts w:eastAsiaTheme="minorEastAsia"/>
        </w:rPr>
        <w:t>y, Inc.</w:t>
      </w:r>
      <w:r w:rsidRPr="00781BC6">
        <w:rPr>
          <w:rFonts w:eastAsiaTheme="minorEastAsia"/>
        </w:rPr>
        <w:t xml:space="preserve">, </w:t>
      </w:r>
      <w:r w:rsidR="00994627" w:rsidRPr="00781BC6">
        <w:rPr>
          <w:rFonts w:eastAsiaTheme="minorEastAsia"/>
        </w:rPr>
        <w:t>which</w:t>
      </w:r>
      <w:r w:rsidR="009A06DA" w:rsidRPr="00781BC6">
        <w:rPr>
          <w:rFonts w:eastAsiaTheme="minorEastAsia"/>
        </w:rPr>
        <w:t>,</w:t>
      </w:r>
      <w:r w:rsidR="00994627" w:rsidRPr="00781BC6">
        <w:rPr>
          <w:rFonts w:eastAsiaTheme="minorEastAsia"/>
        </w:rPr>
        <w:t xml:space="preserve"> at that time</w:t>
      </w:r>
      <w:r w:rsidR="009A06DA" w:rsidRPr="00781BC6">
        <w:rPr>
          <w:rFonts w:eastAsiaTheme="minorEastAsia"/>
        </w:rPr>
        <w:t>,</w:t>
      </w:r>
      <w:r w:rsidR="00994627" w:rsidRPr="00781BC6">
        <w:rPr>
          <w:rFonts w:eastAsiaTheme="minorEastAsia"/>
        </w:rPr>
        <w:t xml:space="preserve"> was</w:t>
      </w:r>
      <w:r w:rsidRPr="00781BC6">
        <w:rPr>
          <w:rFonts w:eastAsiaTheme="minorEastAsia"/>
        </w:rPr>
        <w:t xml:space="preserve"> a small game software start-up </w:t>
      </w:r>
      <w:r w:rsidR="00994627" w:rsidRPr="00781BC6">
        <w:rPr>
          <w:rFonts w:eastAsiaTheme="minorEastAsia"/>
        </w:rPr>
        <w:t xml:space="preserve">that was </w:t>
      </w:r>
      <w:r w:rsidRPr="00781BC6">
        <w:rPr>
          <w:rFonts w:eastAsiaTheme="minorEastAsia"/>
        </w:rPr>
        <w:t>developing game titles for Nintendo</w:t>
      </w:r>
      <w:r w:rsidR="00994627" w:rsidRPr="00781BC6">
        <w:rPr>
          <w:rFonts w:eastAsiaTheme="minorEastAsia"/>
        </w:rPr>
        <w:t>’</w:t>
      </w:r>
      <w:r w:rsidRPr="00781BC6">
        <w:rPr>
          <w:rFonts w:eastAsiaTheme="minorEastAsia"/>
        </w:rPr>
        <w:t>s early consoles. When HAL</w:t>
      </w:r>
      <w:r w:rsidR="00994627" w:rsidRPr="00781BC6">
        <w:rPr>
          <w:rFonts w:eastAsiaTheme="minorEastAsia"/>
        </w:rPr>
        <w:t xml:space="preserve"> Laboratory, Inc.</w:t>
      </w:r>
      <w:r w:rsidRPr="00781BC6">
        <w:rPr>
          <w:rFonts w:eastAsiaTheme="minorEastAsia"/>
        </w:rPr>
        <w:t xml:space="preserve"> collapsed in 1992, Iwata took over and revived the business. Iwata joined Nintendo as the head of the </w:t>
      </w:r>
      <w:r w:rsidR="00601AC9" w:rsidRPr="00781BC6">
        <w:rPr>
          <w:rFonts w:eastAsiaTheme="minorEastAsia"/>
        </w:rPr>
        <w:t xml:space="preserve">corporate planning </w:t>
      </w:r>
      <w:r w:rsidRPr="00781BC6">
        <w:rPr>
          <w:rFonts w:eastAsiaTheme="minorEastAsia"/>
        </w:rPr>
        <w:t xml:space="preserve">division in 2000 and </w:t>
      </w:r>
      <w:r w:rsidR="00994627" w:rsidRPr="00781BC6">
        <w:rPr>
          <w:rFonts w:eastAsiaTheme="minorEastAsia"/>
        </w:rPr>
        <w:t xml:space="preserve">as </w:t>
      </w:r>
      <w:r w:rsidRPr="00781BC6">
        <w:rPr>
          <w:rFonts w:eastAsiaTheme="minorEastAsia"/>
        </w:rPr>
        <w:t xml:space="preserve">a board member. One of his famous products was the </w:t>
      </w:r>
      <w:r w:rsidR="00994627" w:rsidRPr="00781BC6">
        <w:rPr>
          <w:rFonts w:eastAsiaTheme="minorEastAsia"/>
        </w:rPr>
        <w:t xml:space="preserve">home video console </w:t>
      </w:r>
      <w:r w:rsidRPr="00781BC6">
        <w:rPr>
          <w:rFonts w:eastAsiaTheme="minorEastAsia"/>
        </w:rPr>
        <w:t>GameCube.</w:t>
      </w:r>
    </w:p>
    <w:p w14:paraId="4BE9C270" w14:textId="77777777" w:rsidR="00FF289C" w:rsidRPr="00D717E3" w:rsidRDefault="00FF289C" w:rsidP="00FF289C">
      <w:pPr>
        <w:pStyle w:val="BodyTextMain"/>
        <w:rPr>
          <w:rFonts w:eastAsiaTheme="minorEastAsia"/>
          <w:color w:val="2E2E2E"/>
          <w:sz w:val="20"/>
          <w:lang w:val="en-GB" w:eastAsia="ja-JP" w:bidi="th-TH"/>
        </w:rPr>
      </w:pPr>
    </w:p>
    <w:p w14:paraId="61D520B9" w14:textId="61F3DF45" w:rsidR="00FF289C" w:rsidRPr="001900AD" w:rsidRDefault="00FF289C" w:rsidP="00781BC6">
      <w:pPr>
        <w:pStyle w:val="BodyTextMain"/>
        <w:rPr>
          <w:rFonts w:eastAsiaTheme="minorEastAsia"/>
          <w:spacing w:val="-2"/>
        </w:rPr>
      </w:pPr>
      <w:r w:rsidRPr="001900AD">
        <w:rPr>
          <w:rFonts w:eastAsiaTheme="minorEastAsia"/>
          <w:spacing w:val="-2"/>
        </w:rPr>
        <w:lastRenderedPageBreak/>
        <w:t xml:space="preserve">Yamauchi remained </w:t>
      </w:r>
      <w:r w:rsidR="00994627" w:rsidRPr="001900AD">
        <w:rPr>
          <w:rFonts w:eastAsiaTheme="minorEastAsia"/>
          <w:spacing w:val="-2"/>
        </w:rPr>
        <w:t>c</w:t>
      </w:r>
      <w:r w:rsidRPr="001900AD">
        <w:rPr>
          <w:rFonts w:eastAsiaTheme="minorEastAsia"/>
          <w:spacing w:val="-2"/>
        </w:rPr>
        <w:t>hairman of the board until June 2005</w:t>
      </w:r>
      <w:r w:rsidR="00AA3BDD" w:rsidRPr="001900AD">
        <w:rPr>
          <w:rFonts w:eastAsiaTheme="minorEastAsia"/>
          <w:spacing w:val="-2"/>
        </w:rPr>
        <w:t xml:space="preserve"> and</w:t>
      </w:r>
      <w:r w:rsidRPr="001900AD">
        <w:rPr>
          <w:rFonts w:eastAsiaTheme="minorEastAsia"/>
          <w:spacing w:val="-2"/>
        </w:rPr>
        <w:t xml:space="preserve"> then continued serving Nintendo as an advisor. Iwata routinely consulted Yamauchi o</w:t>
      </w:r>
      <w:r w:rsidR="00FF58EF" w:rsidRPr="001900AD">
        <w:rPr>
          <w:rFonts w:eastAsiaTheme="minorEastAsia"/>
          <w:spacing w:val="-2"/>
        </w:rPr>
        <w:t>n</w:t>
      </w:r>
      <w:r w:rsidRPr="001900AD">
        <w:rPr>
          <w:rFonts w:eastAsiaTheme="minorEastAsia"/>
          <w:spacing w:val="-2"/>
        </w:rPr>
        <w:t xml:space="preserve"> corporate policies. Yamauchi’s </w:t>
      </w:r>
      <w:r w:rsidR="006B59F1" w:rsidRPr="001900AD">
        <w:rPr>
          <w:rFonts w:eastAsiaTheme="minorEastAsia"/>
          <w:spacing w:val="-2"/>
        </w:rPr>
        <w:t xml:space="preserve">close involvement in Nintendo’s operations </w:t>
      </w:r>
      <w:r w:rsidRPr="001900AD">
        <w:rPr>
          <w:rFonts w:eastAsiaTheme="minorEastAsia"/>
          <w:spacing w:val="-2"/>
        </w:rPr>
        <w:t xml:space="preserve">could be </w:t>
      </w:r>
      <w:r w:rsidR="006B59F1" w:rsidRPr="001900AD">
        <w:rPr>
          <w:rFonts w:eastAsiaTheme="minorEastAsia"/>
          <w:spacing w:val="-2"/>
        </w:rPr>
        <w:t xml:space="preserve">seen from his statement to </w:t>
      </w:r>
      <w:r w:rsidR="00601AC9" w:rsidRPr="001900AD">
        <w:rPr>
          <w:rFonts w:eastAsiaTheme="minorEastAsia"/>
          <w:spacing w:val="-2"/>
        </w:rPr>
        <w:t>t</w:t>
      </w:r>
      <w:r w:rsidR="003F6CBD" w:rsidRPr="001900AD">
        <w:rPr>
          <w:rFonts w:eastAsiaTheme="minorEastAsia"/>
          <w:spacing w:val="-2"/>
        </w:rPr>
        <w:t xml:space="preserve">he Nihon Keizai Shinbun </w:t>
      </w:r>
      <w:r w:rsidR="006B59F1" w:rsidRPr="001900AD">
        <w:rPr>
          <w:rFonts w:eastAsiaTheme="minorEastAsia"/>
          <w:spacing w:val="-2"/>
        </w:rPr>
        <w:t xml:space="preserve">prior to the launch of </w:t>
      </w:r>
      <w:r w:rsidRPr="001900AD">
        <w:rPr>
          <w:rFonts w:eastAsiaTheme="minorEastAsia"/>
          <w:spacing w:val="-2"/>
        </w:rPr>
        <w:t>the two</w:t>
      </w:r>
      <w:r w:rsidR="00FF58EF" w:rsidRPr="001900AD">
        <w:rPr>
          <w:rFonts w:eastAsiaTheme="minorEastAsia"/>
          <w:spacing w:val="-2"/>
        </w:rPr>
        <w:t>-</w:t>
      </w:r>
      <w:r w:rsidRPr="001900AD">
        <w:rPr>
          <w:rFonts w:eastAsiaTheme="minorEastAsia"/>
          <w:spacing w:val="-2"/>
        </w:rPr>
        <w:t>screen Nintendo DS hand-held device in 2004</w:t>
      </w:r>
      <w:r w:rsidR="00E80F81" w:rsidRPr="001900AD">
        <w:rPr>
          <w:rFonts w:eastAsiaTheme="minorEastAsia"/>
          <w:spacing w:val="-2"/>
        </w:rPr>
        <w:t>,</w:t>
      </w:r>
      <w:r w:rsidR="006B59F1" w:rsidRPr="001900AD">
        <w:rPr>
          <w:rFonts w:eastAsiaTheme="minorEastAsia"/>
          <w:spacing w:val="-2"/>
        </w:rPr>
        <w:t xml:space="preserve"> where he stressed </w:t>
      </w:r>
      <w:r w:rsidR="00601AC9" w:rsidRPr="001900AD">
        <w:rPr>
          <w:rFonts w:eastAsiaTheme="minorEastAsia"/>
          <w:spacing w:val="-2"/>
        </w:rPr>
        <w:t xml:space="preserve">the </w:t>
      </w:r>
      <w:r w:rsidR="006B59F1" w:rsidRPr="001900AD">
        <w:rPr>
          <w:rFonts w:eastAsiaTheme="minorEastAsia"/>
          <w:spacing w:val="-2"/>
        </w:rPr>
        <w:t xml:space="preserve">importance </w:t>
      </w:r>
      <w:r w:rsidR="00E80F81" w:rsidRPr="001900AD">
        <w:rPr>
          <w:rFonts w:eastAsiaTheme="minorEastAsia"/>
          <w:spacing w:val="-2"/>
        </w:rPr>
        <w:t xml:space="preserve">of the device’s success </w:t>
      </w:r>
      <w:r w:rsidR="006B59F1" w:rsidRPr="001900AD">
        <w:rPr>
          <w:rFonts w:eastAsiaTheme="minorEastAsia"/>
          <w:spacing w:val="-2"/>
        </w:rPr>
        <w:t>to the future</w:t>
      </w:r>
      <w:r w:rsidR="00E80F81" w:rsidRPr="001900AD">
        <w:rPr>
          <w:rFonts w:eastAsiaTheme="minorEastAsia"/>
          <w:spacing w:val="-2"/>
        </w:rPr>
        <w:t xml:space="preserve"> of the company</w:t>
      </w:r>
      <w:r w:rsidRPr="001900AD">
        <w:rPr>
          <w:rFonts w:eastAsiaTheme="minorEastAsia"/>
          <w:spacing w:val="-2"/>
        </w:rPr>
        <w:t>: “If the DS succeeds, we will rise to heaven, but if it fails we will sink to hell</w:t>
      </w:r>
      <w:r w:rsidR="00AA3BDD" w:rsidRPr="001900AD">
        <w:rPr>
          <w:rFonts w:eastAsiaTheme="minorEastAsia"/>
          <w:spacing w:val="-2"/>
        </w:rPr>
        <w:t>.</w:t>
      </w:r>
      <w:r w:rsidRPr="001900AD">
        <w:rPr>
          <w:rFonts w:eastAsiaTheme="minorEastAsia"/>
          <w:spacing w:val="-2"/>
        </w:rPr>
        <w:t>”</w:t>
      </w:r>
      <w:r w:rsidRPr="001900AD">
        <w:rPr>
          <w:rFonts w:eastAsiaTheme="minorEastAsia"/>
          <w:spacing w:val="-2"/>
          <w:vertAlign w:val="superscript"/>
        </w:rPr>
        <w:endnoteReference w:id="32"/>
      </w:r>
    </w:p>
    <w:p w14:paraId="48553179" w14:textId="77777777" w:rsidR="00FF289C" w:rsidRPr="001900AD" w:rsidRDefault="00FF289C" w:rsidP="00781BC6">
      <w:pPr>
        <w:pStyle w:val="BodyTextMain"/>
        <w:rPr>
          <w:rFonts w:eastAsiaTheme="minorEastAsia"/>
          <w:spacing w:val="-2"/>
        </w:rPr>
      </w:pPr>
    </w:p>
    <w:p w14:paraId="0757C7C0" w14:textId="63C94B95" w:rsidR="00FF289C" w:rsidRPr="00781BC6" w:rsidRDefault="00FF289C" w:rsidP="00781BC6">
      <w:pPr>
        <w:pStyle w:val="BodyTextMain"/>
      </w:pPr>
      <w:r w:rsidRPr="00781BC6">
        <w:rPr>
          <w:rFonts w:eastAsiaTheme="minorEastAsia"/>
        </w:rPr>
        <w:t>In 2006, Nintendo launched a new niche with the Wii console</w:t>
      </w:r>
      <w:r w:rsidR="00B92447" w:rsidRPr="00781BC6">
        <w:rPr>
          <w:rFonts w:eastAsiaTheme="minorEastAsia"/>
        </w:rPr>
        <w:t>,</w:t>
      </w:r>
      <w:r w:rsidRPr="00781BC6">
        <w:rPr>
          <w:rFonts w:eastAsiaTheme="minorEastAsia"/>
        </w:rPr>
        <w:t xml:space="preserve"> designed </w:t>
      </w:r>
      <w:r w:rsidR="00B92447" w:rsidRPr="00781BC6">
        <w:rPr>
          <w:rFonts w:eastAsiaTheme="minorEastAsia"/>
        </w:rPr>
        <w:t>explicitly for</w:t>
      </w:r>
      <w:r w:rsidRPr="00781BC6">
        <w:rPr>
          <w:rFonts w:eastAsiaTheme="minorEastAsia"/>
        </w:rPr>
        <w:t xml:space="preserve"> the family. </w:t>
      </w:r>
      <w:r w:rsidRPr="00781BC6">
        <w:t>The Wii</w:t>
      </w:r>
      <w:r w:rsidR="00B92447" w:rsidRPr="00781BC6">
        <w:t>,</w:t>
      </w:r>
      <w:r w:rsidRPr="00781BC6">
        <w:t xml:space="preserve"> with motion control and accessibility embedded into its very design</w:t>
      </w:r>
      <w:r w:rsidR="00B92447" w:rsidRPr="00781BC6">
        <w:t>,</w:t>
      </w:r>
      <w:r w:rsidRPr="00781BC6">
        <w:t xml:space="preserve"> </w:t>
      </w:r>
      <w:r w:rsidRPr="00781BC6">
        <w:rPr>
          <w:rFonts w:eastAsiaTheme="minorEastAsia"/>
        </w:rPr>
        <w:t xml:space="preserve">became the best-selling game console of all time. </w:t>
      </w:r>
      <w:r w:rsidR="00B92447" w:rsidRPr="00781BC6">
        <w:rPr>
          <w:rFonts w:eastAsiaTheme="minorEastAsia"/>
        </w:rPr>
        <w:t>It</w:t>
      </w:r>
      <w:r w:rsidR="001F0A22" w:rsidRPr="00781BC6">
        <w:rPr>
          <w:rFonts w:eastAsiaTheme="minorEastAsia"/>
        </w:rPr>
        <w:t xml:space="preserve"> </w:t>
      </w:r>
      <w:r w:rsidRPr="00781BC6">
        <w:rPr>
          <w:rFonts w:eastAsiaTheme="minorEastAsia"/>
        </w:rPr>
        <w:t>was the first home video game system to sell over 10 million consoles in a single year. Nintendo</w:t>
      </w:r>
      <w:r w:rsidR="00B92447" w:rsidRPr="00781BC6">
        <w:rPr>
          <w:rFonts w:eastAsiaTheme="minorEastAsia"/>
        </w:rPr>
        <w:t>’</w:t>
      </w:r>
      <w:r w:rsidRPr="00781BC6">
        <w:rPr>
          <w:rFonts w:eastAsiaTheme="minorEastAsia"/>
        </w:rPr>
        <w:t xml:space="preserve">s cash pile and stock price skyrocketed (see Exhibit 1). Nintendo’s share price reached </w:t>
      </w:r>
      <w:r w:rsidR="00B92447" w:rsidRPr="00781BC6">
        <w:rPr>
          <w:rFonts w:eastAsiaTheme="minorEastAsia"/>
        </w:rPr>
        <w:t>a</w:t>
      </w:r>
      <w:r w:rsidRPr="00781BC6">
        <w:rPr>
          <w:rFonts w:eastAsiaTheme="minorEastAsia"/>
        </w:rPr>
        <w:t xml:space="preserve"> peak in November 2007 at ¥72,100 per share. Yamauchi’s personal fortune leapt to US$7.8 billion in 2007</w:t>
      </w:r>
      <w:r w:rsidR="00E80F81" w:rsidRPr="00781BC6">
        <w:rPr>
          <w:rFonts w:eastAsiaTheme="minorEastAsia"/>
        </w:rPr>
        <w:t>;</w:t>
      </w:r>
      <w:r w:rsidR="003F6CBD" w:rsidRPr="00781BC6">
        <w:rPr>
          <w:rFonts w:eastAsiaTheme="minorEastAsia"/>
        </w:rPr>
        <w:t xml:space="preserve"> </w:t>
      </w:r>
      <w:r w:rsidR="00E80F81" w:rsidRPr="00781BC6">
        <w:rPr>
          <w:rFonts w:eastAsiaTheme="minorEastAsia"/>
        </w:rPr>
        <w:t xml:space="preserve">he </w:t>
      </w:r>
      <w:r w:rsidR="003F6CBD" w:rsidRPr="00781BC6">
        <w:rPr>
          <w:rFonts w:eastAsiaTheme="minorEastAsia"/>
        </w:rPr>
        <w:t xml:space="preserve">was ranked as the </w:t>
      </w:r>
      <w:r w:rsidR="00601AC9" w:rsidRPr="00781BC6">
        <w:rPr>
          <w:rFonts w:eastAsiaTheme="minorEastAsia"/>
        </w:rPr>
        <w:t>third-</w:t>
      </w:r>
      <w:r w:rsidRPr="00781BC6">
        <w:rPr>
          <w:rFonts w:eastAsiaTheme="minorEastAsia"/>
        </w:rPr>
        <w:t>richest man in Japan</w:t>
      </w:r>
      <w:r w:rsidR="003F6CBD" w:rsidRPr="00781BC6">
        <w:rPr>
          <w:rFonts w:eastAsiaTheme="minorEastAsia"/>
        </w:rPr>
        <w:t xml:space="preserve"> by Forbes</w:t>
      </w:r>
      <w:r w:rsidRPr="00781BC6">
        <w:rPr>
          <w:rFonts w:eastAsiaTheme="minorEastAsia"/>
        </w:rPr>
        <w:t>.</w:t>
      </w:r>
      <w:r w:rsidRPr="00781BC6">
        <w:rPr>
          <w:rFonts w:eastAsiaTheme="minorEastAsia"/>
          <w:vertAlign w:val="superscript"/>
        </w:rPr>
        <w:endnoteReference w:id="33"/>
      </w:r>
      <w:r w:rsidRPr="00781BC6">
        <w:rPr>
          <w:rFonts w:eastAsiaTheme="minorEastAsia"/>
          <w:vertAlign w:val="superscript"/>
        </w:rPr>
        <w:t xml:space="preserve"> </w:t>
      </w:r>
    </w:p>
    <w:p w14:paraId="4D96CD97" w14:textId="77777777" w:rsidR="00FF289C" w:rsidRPr="00781BC6" w:rsidRDefault="00FF289C" w:rsidP="00781BC6">
      <w:pPr>
        <w:pStyle w:val="BodyTextMain"/>
      </w:pPr>
    </w:p>
    <w:p w14:paraId="2D5A0694" w14:textId="77777777" w:rsidR="001562DA" w:rsidRPr="00781BC6" w:rsidRDefault="001562DA" w:rsidP="00781BC6">
      <w:pPr>
        <w:pStyle w:val="BodyTextMain"/>
      </w:pPr>
    </w:p>
    <w:p w14:paraId="71BB24BE" w14:textId="239E7682" w:rsidR="00FF289C" w:rsidRPr="00781BC6" w:rsidRDefault="00FF289C" w:rsidP="00781BC6">
      <w:pPr>
        <w:pStyle w:val="Casehead1"/>
        <w:rPr>
          <w:rFonts w:eastAsiaTheme="minorEastAsia"/>
        </w:rPr>
      </w:pPr>
      <w:r w:rsidRPr="00781BC6">
        <w:rPr>
          <w:rFonts w:eastAsiaTheme="minorEastAsia"/>
        </w:rPr>
        <w:t>NINTENDO’S FIRST LOSS IN THREE DECADES</w:t>
      </w:r>
    </w:p>
    <w:p w14:paraId="337D8A14" w14:textId="77777777" w:rsidR="00FF289C" w:rsidRPr="00D717E3" w:rsidRDefault="00FF289C" w:rsidP="001562DA">
      <w:pPr>
        <w:pStyle w:val="BodyTextMain"/>
        <w:keepNext/>
        <w:rPr>
          <w:rFonts w:eastAsiaTheme="minorEastAsia"/>
          <w:color w:val="262626"/>
          <w:sz w:val="20"/>
          <w:lang w:val="en-GB" w:eastAsia="ja-JP" w:bidi="th-TH"/>
        </w:rPr>
      </w:pPr>
    </w:p>
    <w:p w14:paraId="7227013F" w14:textId="3C657416" w:rsidR="00FF289C" w:rsidRPr="00781BC6" w:rsidRDefault="00FF289C" w:rsidP="00781BC6">
      <w:pPr>
        <w:pStyle w:val="BodyTextMain"/>
        <w:rPr>
          <w:rFonts w:eastAsiaTheme="minorEastAsia"/>
        </w:rPr>
      </w:pPr>
      <w:r w:rsidRPr="00781BC6">
        <w:rPr>
          <w:rFonts w:eastAsiaTheme="minorEastAsia"/>
        </w:rPr>
        <w:t xml:space="preserve">Nintendo </w:t>
      </w:r>
      <w:r w:rsidR="00F47071" w:rsidRPr="00781BC6">
        <w:rPr>
          <w:rFonts w:eastAsiaTheme="minorEastAsia"/>
        </w:rPr>
        <w:t xml:space="preserve">was </w:t>
      </w:r>
      <w:r w:rsidRPr="00781BC6">
        <w:rPr>
          <w:rFonts w:eastAsiaTheme="minorEastAsia"/>
        </w:rPr>
        <w:t>fight</w:t>
      </w:r>
      <w:r w:rsidR="00F47071" w:rsidRPr="00781BC6">
        <w:rPr>
          <w:rFonts w:eastAsiaTheme="minorEastAsia"/>
        </w:rPr>
        <w:t>ing</w:t>
      </w:r>
      <w:r w:rsidRPr="00781BC6">
        <w:rPr>
          <w:rFonts w:eastAsiaTheme="minorEastAsia"/>
        </w:rPr>
        <w:t xml:space="preserve"> an uphill battle in the new era of the </w:t>
      </w:r>
      <w:r w:rsidR="00FC1A4F" w:rsidRPr="00781BC6">
        <w:rPr>
          <w:rFonts w:eastAsiaTheme="minorEastAsia"/>
        </w:rPr>
        <w:t xml:space="preserve">video </w:t>
      </w:r>
      <w:r w:rsidRPr="00781BC6">
        <w:rPr>
          <w:rFonts w:eastAsiaTheme="minorEastAsia"/>
        </w:rPr>
        <w:t xml:space="preserve">game industry. In 2011, </w:t>
      </w:r>
      <w:r w:rsidR="00F47071" w:rsidRPr="00781BC6">
        <w:rPr>
          <w:rFonts w:eastAsiaTheme="minorEastAsia"/>
        </w:rPr>
        <w:t>it</w:t>
      </w:r>
      <w:r w:rsidRPr="00781BC6">
        <w:rPr>
          <w:rFonts w:eastAsiaTheme="minorEastAsia"/>
        </w:rPr>
        <w:t xml:space="preserve"> launched its new 3DS console </w:t>
      </w:r>
      <w:r w:rsidRPr="00781BC6">
        <w:t>featuring an offbeat</w:t>
      </w:r>
      <w:r w:rsidR="00F47071" w:rsidRPr="00781BC6">
        <w:t>,</w:t>
      </w:r>
      <w:r w:rsidRPr="00781BC6">
        <w:t xml:space="preserve"> stereoscopic</w:t>
      </w:r>
      <w:r w:rsidR="00601AC9" w:rsidRPr="00781BC6">
        <w:t>,</w:t>
      </w:r>
      <w:r w:rsidRPr="00781BC6">
        <w:t xml:space="preserve"> </w:t>
      </w:r>
      <w:r w:rsidR="00F47071" w:rsidRPr="00781BC6">
        <w:t>three-dimensional</w:t>
      </w:r>
      <w:r w:rsidRPr="00781BC6">
        <w:t xml:space="preserve"> display but </w:t>
      </w:r>
      <w:r w:rsidRPr="00781BC6">
        <w:rPr>
          <w:rFonts w:eastAsiaTheme="minorEastAsia"/>
        </w:rPr>
        <w:t>failed to impress fans. Iwata took</w:t>
      </w:r>
      <w:r w:rsidRPr="00781BC6">
        <w:t xml:space="preserve"> personal responsibility and cut his own salary by 50 </w:t>
      </w:r>
      <w:r w:rsidRPr="00781BC6">
        <w:rPr>
          <w:rFonts w:eastAsiaTheme="minorEastAsia"/>
        </w:rPr>
        <w:t>per cent</w:t>
      </w:r>
      <w:r w:rsidR="00601AC9" w:rsidRPr="00781BC6">
        <w:rPr>
          <w:rFonts w:eastAsiaTheme="minorEastAsia"/>
        </w:rPr>
        <w:t>,</w:t>
      </w:r>
      <w:r w:rsidRPr="00781BC6">
        <w:rPr>
          <w:rFonts w:eastAsiaTheme="minorEastAsia"/>
        </w:rPr>
        <w:t xml:space="preserve"> to around $770,000</w:t>
      </w:r>
      <w:r w:rsidRPr="00781BC6">
        <w:t>.</w:t>
      </w:r>
      <w:r w:rsidRPr="00781BC6">
        <w:rPr>
          <w:vertAlign w:val="superscript"/>
        </w:rPr>
        <w:endnoteReference w:id="34"/>
      </w:r>
    </w:p>
    <w:p w14:paraId="5D67C1E0" w14:textId="77777777" w:rsidR="00FF289C" w:rsidRPr="00781BC6" w:rsidRDefault="00FF289C" w:rsidP="00781BC6">
      <w:pPr>
        <w:pStyle w:val="BodyTextMain"/>
        <w:rPr>
          <w:rFonts w:eastAsiaTheme="minorEastAsia"/>
        </w:rPr>
      </w:pPr>
    </w:p>
    <w:p w14:paraId="70858F1B" w14:textId="13E5CD5D" w:rsidR="00FF289C" w:rsidRPr="00781BC6" w:rsidRDefault="00FF289C" w:rsidP="00781BC6">
      <w:pPr>
        <w:pStyle w:val="BodyTextMain"/>
        <w:rPr>
          <w:rFonts w:eastAsiaTheme="minorEastAsia"/>
        </w:rPr>
      </w:pPr>
      <w:r w:rsidRPr="00781BC6">
        <w:rPr>
          <w:rFonts w:eastAsiaTheme="minorEastAsia"/>
        </w:rPr>
        <w:t>In March 2012, Nintendo suffered its first annual loss in three decades. Its revenue fell 35 per cent from the previous year (see Exhibit 2)</w:t>
      </w:r>
      <w:r w:rsidR="00F47071" w:rsidRPr="00781BC6">
        <w:rPr>
          <w:rFonts w:eastAsiaTheme="minorEastAsia"/>
        </w:rPr>
        <w:t>,</w:t>
      </w:r>
      <w:r w:rsidRPr="00781BC6">
        <w:rPr>
          <w:rFonts w:eastAsiaTheme="minorEastAsia"/>
        </w:rPr>
        <w:t xml:space="preserve"> and losses totalled US$531.1 million. In November 2012, Nintendo released the Wii U, </w:t>
      </w:r>
      <w:r w:rsidR="00F47071" w:rsidRPr="00781BC6">
        <w:rPr>
          <w:rFonts w:eastAsiaTheme="minorEastAsia"/>
        </w:rPr>
        <w:t>the Wii’s</w:t>
      </w:r>
      <w:r w:rsidRPr="00781BC6">
        <w:rPr>
          <w:rFonts w:eastAsiaTheme="minorEastAsia"/>
        </w:rPr>
        <w:t xml:space="preserve"> successor. </w:t>
      </w:r>
      <w:r w:rsidR="00F47071" w:rsidRPr="00781BC6">
        <w:rPr>
          <w:rFonts w:eastAsiaTheme="minorEastAsia"/>
        </w:rPr>
        <w:t>It</w:t>
      </w:r>
      <w:r w:rsidRPr="00781BC6">
        <w:rPr>
          <w:rFonts w:eastAsiaTheme="minorEastAsia"/>
        </w:rPr>
        <w:t xml:space="preserve"> was </w:t>
      </w:r>
      <w:r w:rsidR="00F47071" w:rsidRPr="00781BC6">
        <w:rPr>
          <w:rFonts w:eastAsiaTheme="minorEastAsia"/>
        </w:rPr>
        <w:t>Nintendo’s</w:t>
      </w:r>
      <w:r w:rsidRPr="00781BC6">
        <w:rPr>
          <w:rFonts w:eastAsiaTheme="minorEastAsia"/>
        </w:rPr>
        <w:t xml:space="preserve"> first </w:t>
      </w:r>
      <w:r w:rsidR="0012024C" w:rsidRPr="00781BC6">
        <w:rPr>
          <w:rFonts w:eastAsiaTheme="minorEastAsia"/>
        </w:rPr>
        <w:t xml:space="preserve">Wii </w:t>
      </w:r>
      <w:r w:rsidRPr="00781BC6">
        <w:rPr>
          <w:rFonts w:eastAsiaTheme="minorEastAsia"/>
        </w:rPr>
        <w:t xml:space="preserve">console in </w:t>
      </w:r>
      <w:r w:rsidR="0012024C" w:rsidRPr="00781BC6">
        <w:rPr>
          <w:rFonts w:eastAsiaTheme="minorEastAsia"/>
        </w:rPr>
        <w:t xml:space="preserve">six </w:t>
      </w:r>
      <w:r w:rsidRPr="00781BC6">
        <w:rPr>
          <w:rFonts w:eastAsiaTheme="minorEastAsia"/>
        </w:rPr>
        <w:t xml:space="preserve">years and came with a dedicated </w:t>
      </w:r>
      <w:r w:rsidRPr="00781BC6">
        <w:rPr>
          <w:rFonts w:eastAsiaTheme="minorEastAsia"/>
          <w:i/>
        </w:rPr>
        <w:t>Super Mario</w:t>
      </w:r>
      <w:r w:rsidRPr="00781BC6">
        <w:rPr>
          <w:rFonts w:eastAsiaTheme="minorEastAsia"/>
        </w:rPr>
        <w:t xml:space="preserve"> game title. Its main new feature was a touch-screen controller with a 6.2-inch high-definition screen, allowing the player to see an aspect of the game that was different from what appeared on the television screen. Unfortunately, the Wii U could not impress the market.</w:t>
      </w:r>
    </w:p>
    <w:p w14:paraId="4ECFEBC1" w14:textId="77777777" w:rsidR="00FF289C" w:rsidRPr="00781BC6" w:rsidRDefault="00FF289C" w:rsidP="00781BC6">
      <w:pPr>
        <w:pStyle w:val="BodyTextMain"/>
        <w:rPr>
          <w:rFonts w:eastAsiaTheme="minorEastAsia"/>
        </w:rPr>
      </w:pPr>
    </w:p>
    <w:p w14:paraId="19942927" w14:textId="1B234B7B" w:rsidR="00FF289C" w:rsidRPr="00781BC6" w:rsidRDefault="00FF289C" w:rsidP="00781BC6">
      <w:pPr>
        <w:pStyle w:val="BodyTextMain"/>
        <w:rPr>
          <w:rFonts w:eastAsiaTheme="minorEastAsia"/>
        </w:rPr>
      </w:pPr>
      <w:r w:rsidRPr="00781BC6">
        <w:rPr>
          <w:rFonts w:eastAsiaTheme="minorEastAsia"/>
        </w:rPr>
        <w:t>Sony</w:t>
      </w:r>
      <w:r w:rsidR="003F39F9" w:rsidRPr="00781BC6">
        <w:rPr>
          <w:rFonts w:eastAsiaTheme="minorEastAsia"/>
        </w:rPr>
        <w:t xml:space="preserve"> Corporation</w:t>
      </w:r>
      <w:r w:rsidRPr="00781BC6">
        <w:rPr>
          <w:rFonts w:eastAsiaTheme="minorEastAsia"/>
        </w:rPr>
        <w:t xml:space="preserve">’s </w:t>
      </w:r>
      <w:r w:rsidR="003F39F9" w:rsidRPr="00781BC6">
        <w:rPr>
          <w:rFonts w:eastAsiaTheme="minorEastAsia"/>
        </w:rPr>
        <w:t xml:space="preserve">(Sony’s) </w:t>
      </w:r>
      <w:r w:rsidRPr="00781BC6">
        <w:rPr>
          <w:rFonts w:eastAsiaTheme="minorEastAsia"/>
        </w:rPr>
        <w:t>PlayStation 4 and Microsoft</w:t>
      </w:r>
      <w:r w:rsidR="003F39F9" w:rsidRPr="00781BC6">
        <w:rPr>
          <w:rFonts w:eastAsiaTheme="minorEastAsia"/>
        </w:rPr>
        <w:t xml:space="preserve"> Corporation</w:t>
      </w:r>
      <w:r w:rsidR="00B92447" w:rsidRPr="00781BC6">
        <w:rPr>
          <w:rFonts w:eastAsiaTheme="minorEastAsia"/>
        </w:rPr>
        <w:t>’</w:t>
      </w:r>
      <w:r w:rsidRPr="00781BC6">
        <w:rPr>
          <w:rFonts w:eastAsiaTheme="minorEastAsia"/>
        </w:rPr>
        <w:t xml:space="preserve">s </w:t>
      </w:r>
      <w:r w:rsidR="003F39F9" w:rsidRPr="00781BC6">
        <w:rPr>
          <w:rFonts w:eastAsiaTheme="minorEastAsia"/>
        </w:rPr>
        <w:t xml:space="preserve">(Microsoft’s) </w:t>
      </w:r>
      <w:r w:rsidRPr="00781BC6">
        <w:rPr>
          <w:rFonts w:eastAsiaTheme="minorEastAsia"/>
        </w:rPr>
        <w:t>Xb</w:t>
      </w:r>
      <w:r w:rsidR="00277F27" w:rsidRPr="00781BC6">
        <w:rPr>
          <w:rFonts w:eastAsiaTheme="minorEastAsia"/>
        </w:rPr>
        <w:t xml:space="preserve">ox One </w:t>
      </w:r>
      <w:r w:rsidR="003F39F9" w:rsidRPr="00781BC6">
        <w:rPr>
          <w:rFonts w:eastAsiaTheme="minorEastAsia"/>
        </w:rPr>
        <w:t xml:space="preserve">were </w:t>
      </w:r>
      <w:r w:rsidR="00277F27" w:rsidRPr="00781BC6">
        <w:rPr>
          <w:rFonts w:eastAsiaTheme="minorEastAsia"/>
        </w:rPr>
        <w:t xml:space="preserve">launched in </w:t>
      </w:r>
      <w:r w:rsidR="003F39F9" w:rsidRPr="00781BC6">
        <w:rPr>
          <w:rFonts w:eastAsiaTheme="minorEastAsia"/>
        </w:rPr>
        <w:t>late</w:t>
      </w:r>
      <w:r w:rsidR="00277F27" w:rsidRPr="00781BC6">
        <w:rPr>
          <w:rFonts w:eastAsiaTheme="minorEastAsia"/>
        </w:rPr>
        <w:t xml:space="preserve"> 2013 </w:t>
      </w:r>
      <w:r w:rsidR="006C3A8C" w:rsidRPr="00781BC6">
        <w:rPr>
          <w:rFonts w:eastAsiaTheme="minorEastAsia"/>
        </w:rPr>
        <w:t>and</w:t>
      </w:r>
      <w:r w:rsidRPr="00781BC6">
        <w:rPr>
          <w:rFonts w:eastAsiaTheme="minorEastAsia"/>
        </w:rPr>
        <w:t xml:space="preserve"> greeted by lines of fans. The devices were faster and offered more animation capabilities than Nintendo</w:t>
      </w:r>
      <w:r w:rsidR="003F39F9" w:rsidRPr="00781BC6">
        <w:rPr>
          <w:rFonts w:eastAsiaTheme="minorEastAsia"/>
        </w:rPr>
        <w:t>’</w:t>
      </w:r>
      <w:r w:rsidRPr="00781BC6">
        <w:rPr>
          <w:rFonts w:eastAsiaTheme="minorEastAsia"/>
        </w:rPr>
        <w:t xml:space="preserve">s Wii U. </w:t>
      </w:r>
      <w:r w:rsidR="003F39F9" w:rsidRPr="00781BC6">
        <w:rPr>
          <w:rFonts w:eastAsiaTheme="minorEastAsia"/>
        </w:rPr>
        <w:t xml:space="preserve">The </w:t>
      </w:r>
      <w:r w:rsidRPr="00781BC6">
        <w:rPr>
          <w:rFonts w:eastAsiaTheme="minorEastAsia"/>
        </w:rPr>
        <w:t xml:space="preserve">PlayStation 4 helped Sony reclaim the </w:t>
      </w:r>
      <w:r w:rsidR="00601AC9" w:rsidRPr="00781BC6">
        <w:rPr>
          <w:rFonts w:eastAsiaTheme="minorEastAsia"/>
        </w:rPr>
        <w:t>number-</w:t>
      </w:r>
      <w:r w:rsidRPr="00781BC6">
        <w:rPr>
          <w:rFonts w:eastAsiaTheme="minorEastAsia"/>
        </w:rPr>
        <w:t xml:space="preserve">one position in the game console market for the first time in eight years (see Exhibit 3). </w:t>
      </w:r>
    </w:p>
    <w:p w14:paraId="63FB6F11" w14:textId="77777777" w:rsidR="00FF289C" w:rsidRPr="00781BC6" w:rsidRDefault="00FF289C" w:rsidP="00781BC6">
      <w:pPr>
        <w:pStyle w:val="BodyTextMain"/>
      </w:pPr>
    </w:p>
    <w:p w14:paraId="3FE0DE54" w14:textId="77777777" w:rsidR="001562DA" w:rsidRPr="00781BC6" w:rsidRDefault="001562DA" w:rsidP="00781BC6">
      <w:pPr>
        <w:pStyle w:val="BodyTextMain"/>
      </w:pPr>
    </w:p>
    <w:p w14:paraId="30BE1FB9" w14:textId="74748A5F" w:rsidR="00FF289C" w:rsidRPr="00E9417C" w:rsidRDefault="003F39F9" w:rsidP="00E9417C">
      <w:pPr>
        <w:pStyle w:val="Casehead1"/>
      </w:pPr>
      <w:r w:rsidRPr="00E9417C">
        <w:t xml:space="preserve">rise of </w:t>
      </w:r>
      <w:r w:rsidR="00FF289C" w:rsidRPr="00E9417C">
        <w:t>MOBILE GAMES</w:t>
      </w:r>
    </w:p>
    <w:p w14:paraId="08D3C292" w14:textId="77777777" w:rsidR="00FF289C" w:rsidRPr="00D717E3" w:rsidRDefault="00FF289C" w:rsidP="00FF289C">
      <w:pPr>
        <w:pStyle w:val="BodyTextMain"/>
        <w:rPr>
          <w:sz w:val="20"/>
          <w:lang w:val="en-GB" w:eastAsia="ja-JP"/>
        </w:rPr>
      </w:pPr>
    </w:p>
    <w:p w14:paraId="3EDBFDA8" w14:textId="2299DF81" w:rsidR="00FF289C" w:rsidRPr="00781BC6" w:rsidRDefault="00FF289C" w:rsidP="00781BC6">
      <w:pPr>
        <w:pStyle w:val="BodyTextMain"/>
      </w:pPr>
      <w:r w:rsidRPr="00781BC6">
        <w:t xml:space="preserve">Apple </w:t>
      </w:r>
      <w:r w:rsidR="003F39F9" w:rsidRPr="00781BC6">
        <w:t xml:space="preserve">Inc. (Apple) </w:t>
      </w:r>
      <w:r w:rsidRPr="00781BC6">
        <w:t xml:space="preserve">drastically changed the mobile industry with </w:t>
      </w:r>
      <w:r w:rsidR="003F39F9" w:rsidRPr="00781BC6">
        <w:t xml:space="preserve">the 2007 launch of the </w:t>
      </w:r>
      <w:r w:rsidRPr="00781BC6">
        <w:t>iPhone 2G, w</w:t>
      </w:r>
      <w:r w:rsidR="003F39F9" w:rsidRPr="00781BC6">
        <w:t>hich had</w:t>
      </w:r>
      <w:r w:rsidRPr="00781BC6">
        <w:t xml:space="preserve"> a desktop-like interface and r</w:t>
      </w:r>
      <w:r w:rsidR="003F39F9" w:rsidRPr="00781BC6">
        <w:t>an</w:t>
      </w:r>
      <w:r w:rsidRPr="00781BC6">
        <w:t xml:space="preserve"> on </w:t>
      </w:r>
      <w:r w:rsidR="003F39F9" w:rsidRPr="00781BC6">
        <w:t xml:space="preserve">an </w:t>
      </w:r>
      <w:r w:rsidRPr="00781BC6">
        <w:t>iOS</w:t>
      </w:r>
      <w:r w:rsidR="003F39F9" w:rsidRPr="00781BC6">
        <w:t xml:space="preserve"> operating system</w:t>
      </w:r>
      <w:r w:rsidRPr="00781BC6">
        <w:t>. In July 2008, the App Store opened with 500 apps</w:t>
      </w:r>
      <w:r w:rsidR="00BF4E89" w:rsidRPr="00781BC6">
        <w:t>,</w:t>
      </w:r>
      <w:r w:rsidRPr="00781BC6">
        <w:t xml:space="preserve"> to be followed</w:t>
      </w:r>
      <w:r w:rsidR="00BF4E89" w:rsidRPr="00781BC6">
        <w:t xml:space="preserve"> later (in early 2012)</w:t>
      </w:r>
      <w:r w:rsidRPr="00781BC6">
        <w:t xml:space="preserve"> by Google Play</w:t>
      </w:r>
      <w:r w:rsidR="00BF4E89" w:rsidRPr="00781BC6">
        <w:t>, a digital distribution service developed by Google</w:t>
      </w:r>
      <w:r w:rsidRPr="00781BC6">
        <w:t xml:space="preserve">. Technological evolutions </w:t>
      </w:r>
      <w:r w:rsidR="002777C7" w:rsidRPr="00781BC6">
        <w:t xml:space="preserve">between 2007 and 2013 </w:t>
      </w:r>
      <w:r w:rsidRPr="00781BC6">
        <w:t>in smartphone and tablet devices</w:t>
      </w:r>
      <w:r w:rsidR="00BF4E89" w:rsidRPr="00781BC6">
        <w:t>,</w:t>
      </w:r>
      <w:r w:rsidRPr="00781BC6">
        <w:t xml:space="preserve"> including faster processors, larger screens, more input points, and better overall graphics capabilities, had enhanced</w:t>
      </w:r>
      <w:r w:rsidR="00BF4E89" w:rsidRPr="00781BC6">
        <w:t xml:space="preserve"> the</w:t>
      </w:r>
      <w:r w:rsidRPr="00781BC6">
        <w:t xml:space="preserve"> innovation of cutting-edge mobile games.</w:t>
      </w:r>
    </w:p>
    <w:p w14:paraId="189EECBA" w14:textId="77777777" w:rsidR="00FF289C" w:rsidRPr="00781BC6" w:rsidRDefault="00FF289C" w:rsidP="00781BC6">
      <w:pPr>
        <w:pStyle w:val="BodyTextMain"/>
      </w:pPr>
    </w:p>
    <w:p w14:paraId="23EC551E" w14:textId="612797CA" w:rsidR="00FF289C" w:rsidRPr="001900AD" w:rsidRDefault="00FF289C" w:rsidP="00781BC6">
      <w:pPr>
        <w:pStyle w:val="BodyTextMain"/>
        <w:rPr>
          <w:spacing w:val="-2"/>
        </w:rPr>
      </w:pPr>
      <w:r w:rsidRPr="001900AD">
        <w:rPr>
          <w:rFonts w:eastAsiaTheme="minorEastAsia"/>
          <w:spacing w:val="-2"/>
        </w:rPr>
        <w:t>The app store ecosystem</w:t>
      </w:r>
      <w:r w:rsidR="00601AC9" w:rsidRPr="001900AD">
        <w:rPr>
          <w:rFonts w:eastAsiaTheme="minorEastAsia"/>
          <w:spacing w:val="-2"/>
        </w:rPr>
        <w:t>—</w:t>
      </w:r>
      <w:r w:rsidR="00C209CB" w:rsidRPr="001900AD">
        <w:rPr>
          <w:rFonts w:eastAsiaTheme="minorEastAsia"/>
          <w:spacing w:val="-2"/>
        </w:rPr>
        <w:t xml:space="preserve">made up </w:t>
      </w:r>
      <w:r w:rsidR="00DE4EC0" w:rsidRPr="001900AD">
        <w:rPr>
          <w:rFonts w:eastAsiaTheme="minorEastAsia"/>
          <w:spacing w:val="-2"/>
        </w:rPr>
        <w:t xml:space="preserve">of </w:t>
      </w:r>
      <w:r w:rsidRPr="001900AD">
        <w:rPr>
          <w:rFonts w:eastAsiaTheme="minorEastAsia"/>
          <w:spacing w:val="-2"/>
        </w:rPr>
        <w:t>big players</w:t>
      </w:r>
      <w:r w:rsidR="00DE4EC0" w:rsidRPr="001900AD">
        <w:rPr>
          <w:rFonts w:eastAsiaTheme="minorEastAsia"/>
          <w:spacing w:val="-2"/>
        </w:rPr>
        <w:t xml:space="preserve"> such as</w:t>
      </w:r>
      <w:r w:rsidRPr="001900AD">
        <w:rPr>
          <w:rFonts w:eastAsiaTheme="minorEastAsia"/>
          <w:spacing w:val="-2"/>
        </w:rPr>
        <w:t xml:space="preserve"> Apple</w:t>
      </w:r>
      <w:r w:rsidR="00601AC9" w:rsidRPr="001900AD">
        <w:rPr>
          <w:rFonts w:eastAsiaTheme="minorEastAsia"/>
          <w:spacing w:val="-2"/>
        </w:rPr>
        <w:t>,</w:t>
      </w:r>
      <w:r w:rsidRPr="001900AD">
        <w:rPr>
          <w:rFonts w:eastAsiaTheme="minorEastAsia"/>
          <w:spacing w:val="-2"/>
        </w:rPr>
        <w:t xml:space="preserve"> Google</w:t>
      </w:r>
      <w:r w:rsidR="00601AC9" w:rsidRPr="001900AD">
        <w:rPr>
          <w:rFonts w:eastAsiaTheme="minorEastAsia"/>
          <w:spacing w:val="-2"/>
        </w:rPr>
        <w:t>,</w:t>
      </w:r>
      <w:r w:rsidRPr="001900AD">
        <w:rPr>
          <w:rFonts w:eastAsiaTheme="minorEastAsia"/>
          <w:spacing w:val="-2"/>
        </w:rPr>
        <w:t xml:space="preserve"> </w:t>
      </w:r>
      <w:r w:rsidR="00AB47BA" w:rsidRPr="001900AD">
        <w:rPr>
          <w:rFonts w:eastAsiaTheme="minorEastAsia"/>
          <w:spacing w:val="-2"/>
        </w:rPr>
        <w:t xml:space="preserve">and </w:t>
      </w:r>
      <w:r w:rsidRPr="001900AD">
        <w:rPr>
          <w:rFonts w:eastAsiaTheme="minorEastAsia"/>
          <w:spacing w:val="-2"/>
        </w:rPr>
        <w:t>Facebook</w:t>
      </w:r>
      <w:r w:rsidR="00DE4EC0" w:rsidRPr="001900AD">
        <w:rPr>
          <w:rFonts w:eastAsiaTheme="minorEastAsia"/>
          <w:spacing w:val="-2"/>
        </w:rPr>
        <w:t>, Inc., which</w:t>
      </w:r>
      <w:r w:rsidRPr="001900AD">
        <w:rPr>
          <w:rFonts w:eastAsiaTheme="minorEastAsia"/>
          <w:spacing w:val="-2"/>
        </w:rPr>
        <w:t xml:space="preserve"> entered the market in 2012</w:t>
      </w:r>
      <w:r w:rsidR="00601AC9" w:rsidRPr="001900AD">
        <w:rPr>
          <w:rFonts w:eastAsiaTheme="minorEastAsia"/>
          <w:spacing w:val="-2"/>
        </w:rPr>
        <w:t>—</w:t>
      </w:r>
      <w:r w:rsidRPr="001900AD">
        <w:rPr>
          <w:rFonts w:eastAsiaTheme="minorEastAsia"/>
          <w:spacing w:val="-2"/>
        </w:rPr>
        <w:t xml:space="preserve">and </w:t>
      </w:r>
      <w:r w:rsidR="00A91D3E" w:rsidRPr="001900AD">
        <w:rPr>
          <w:rFonts w:eastAsiaTheme="minorEastAsia"/>
          <w:spacing w:val="-2"/>
        </w:rPr>
        <w:t>f</w:t>
      </w:r>
      <w:r w:rsidRPr="001900AD">
        <w:rPr>
          <w:spacing w:val="-2"/>
        </w:rPr>
        <w:t>ree</w:t>
      </w:r>
      <w:r w:rsidR="00C209CB" w:rsidRPr="001900AD">
        <w:rPr>
          <w:spacing w:val="-2"/>
        </w:rPr>
        <w:t>-</w:t>
      </w:r>
      <w:r w:rsidRPr="001900AD">
        <w:rPr>
          <w:spacing w:val="-2"/>
        </w:rPr>
        <w:t>to</w:t>
      </w:r>
      <w:r w:rsidR="00C209CB" w:rsidRPr="001900AD">
        <w:rPr>
          <w:spacing w:val="-2"/>
        </w:rPr>
        <w:t>-</w:t>
      </w:r>
      <w:r w:rsidR="00A91D3E" w:rsidRPr="001900AD">
        <w:rPr>
          <w:spacing w:val="-2"/>
        </w:rPr>
        <w:t>p</w:t>
      </w:r>
      <w:r w:rsidRPr="001900AD">
        <w:rPr>
          <w:spacing w:val="-2"/>
        </w:rPr>
        <w:t xml:space="preserve">lay </w:t>
      </w:r>
      <w:r w:rsidR="00AA167D" w:rsidRPr="001900AD">
        <w:rPr>
          <w:spacing w:val="-2"/>
        </w:rPr>
        <w:t xml:space="preserve">games </w:t>
      </w:r>
      <w:r w:rsidRPr="001900AD">
        <w:rPr>
          <w:spacing w:val="-2"/>
        </w:rPr>
        <w:t xml:space="preserve">on </w:t>
      </w:r>
      <w:r w:rsidR="00AB47BA" w:rsidRPr="001900AD">
        <w:rPr>
          <w:spacing w:val="-2"/>
        </w:rPr>
        <w:t>personal computers</w:t>
      </w:r>
      <w:r w:rsidRPr="001900AD">
        <w:rPr>
          <w:rFonts w:eastAsiaTheme="minorEastAsia"/>
          <w:spacing w:val="-2"/>
        </w:rPr>
        <w:t xml:space="preserve"> allowed game developers </w:t>
      </w:r>
      <w:r w:rsidRPr="001900AD">
        <w:rPr>
          <w:spacing w:val="-2"/>
        </w:rPr>
        <w:t xml:space="preserve">from all over the world </w:t>
      </w:r>
      <w:r w:rsidRPr="001900AD">
        <w:rPr>
          <w:rFonts w:eastAsiaTheme="minorEastAsia"/>
          <w:spacing w:val="-2"/>
        </w:rPr>
        <w:t xml:space="preserve">to publish their games for a worldwide audience and to continuously improve and expand their game in terms of gameplay and business model. Basically, the </w:t>
      </w:r>
      <w:r w:rsidR="00FC1A4F" w:rsidRPr="001900AD">
        <w:rPr>
          <w:rFonts w:eastAsiaTheme="minorEastAsia"/>
          <w:spacing w:val="-2"/>
        </w:rPr>
        <w:t xml:space="preserve">video </w:t>
      </w:r>
      <w:r w:rsidRPr="001900AD">
        <w:rPr>
          <w:rFonts w:eastAsiaTheme="minorEastAsia"/>
          <w:spacing w:val="-2"/>
        </w:rPr>
        <w:t>game industry had shifted from games developed as a product to games run as a service.</w:t>
      </w:r>
      <w:r w:rsidRPr="001900AD">
        <w:rPr>
          <w:rFonts w:eastAsiaTheme="minorEastAsia"/>
          <w:spacing w:val="-2"/>
          <w:vertAlign w:val="superscript"/>
        </w:rPr>
        <w:endnoteReference w:id="35"/>
      </w:r>
      <w:r w:rsidRPr="001900AD">
        <w:rPr>
          <w:rFonts w:eastAsiaTheme="minorEastAsia"/>
          <w:spacing w:val="-2"/>
        </w:rPr>
        <w:t xml:space="preserve"> </w:t>
      </w:r>
      <w:r w:rsidR="00601AC9" w:rsidRPr="001900AD">
        <w:rPr>
          <w:rFonts w:eastAsiaTheme="minorEastAsia"/>
          <w:spacing w:val="-2"/>
        </w:rPr>
        <w:t xml:space="preserve">Unlike </w:t>
      </w:r>
      <w:r w:rsidRPr="001900AD">
        <w:rPr>
          <w:rFonts w:eastAsiaTheme="minorEastAsia"/>
          <w:spacing w:val="-2"/>
        </w:rPr>
        <w:t>the existing business model by Sony, Microsoft, and Nintendo</w:t>
      </w:r>
      <w:r w:rsidR="001D7538" w:rsidRPr="001900AD">
        <w:rPr>
          <w:rFonts w:eastAsiaTheme="minorEastAsia"/>
          <w:spacing w:val="-2"/>
        </w:rPr>
        <w:t>,</w:t>
      </w:r>
      <w:r w:rsidRPr="001900AD">
        <w:rPr>
          <w:rFonts w:eastAsiaTheme="minorEastAsia"/>
          <w:spacing w:val="-2"/>
        </w:rPr>
        <w:t xml:space="preserve"> in which games were played on closed platforms</w:t>
      </w:r>
      <w:r w:rsidR="00601AC9" w:rsidRPr="001900AD">
        <w:rPr>
          <w:rFonts w:eastAsiaTheme="minorEastAsia"/>
          <w:spacing w:val="-2"/>
        </w:rPr>
        <w:t>, this new model allowed consumers to choose more broadly from the app stores by clicking and downloading</w:t>
      </w:r>
      <w:r w:rsidRPr="001900AD">
        <w:rPr>
          <w:rFonts w:eastAsiaTheme="minorEastAsia"/>
          <w:spacing w:val="-2"/>
        </w:rPr>
        <w:t>.</w:t>
      </w:r>
      <w:r w:rsidR="005E3A62" w:rsidRPr="001900AD">
        <w:rPr>
          <w:rStyle w:val="EndnoteReference"/>
          <w:rFonts w:eastAsiaTheme="minorEastAsia"/>
          <w:spacing w:val="-2"/>
        </w:rPr>
        <w:endnoteReference w:id="36"/>
      </w:r>
      <w:r w:rsidR="00601AC9" w:rsidRPr="001900AD">
        <w:rPr>
          <w:rFonts w:eastAsiaTheme="minorEastAsia"/>
          <w:spacing w:val="-2"/>
        </w:rPr>
        <w:t xml:space="preserve"> </w:t>
      </w:r>
      <w:r w:rsidRPr="001900AD">
        <w:rPr>
          <w:spacing w:val="-2"/>
        </w:rPr>
        <w:t xml:space="preserve">The traditional console game designers now faced the challenge of </w:t>
      </w:r>
      <w:r w:rsidR="001D7538" w:rsidRPr="001900AD">
        <w:rPr>
          <w:spacing w:val="-2"/>
        </w:rPr>
        <w:t xml:space="preserve">dealing with </w:t>
      </w:r>
      <w:r w:rsidRPr="001900AD">
        <w:rPr>
          <w:spacing w:val="-2"/>
        </w:rPr>
        <w:t xml:space="preserve">decades-old graphics and costly game development. </w:t>
      </w:r>
    </w:p>
    <w:p w14:paraId="1AF5FA71" w14:textId="5CCAEC89" w:rsidR="00FF289C" w:rsidRPr="00781BC6" w:rsidRDefault="00FF289C" w:rsidP="00781BC6">
      <w:pPr>
        <w:pStyle w:val="BodyTextMain"/>
      </w:pPr>
      <w:r w:rsidRPr="00781BC6">
        <w:lastRenderedPageBreak/>
        <w:t xml:space="preserve">Mobile platforms had also attracted a whole new audience, </w:t>
      </w:r>
      <w:r w:rsidR="0037019D" w:rsidRPr="00781BC6">
        <w:t xml:space="preserve">people </w:t>
      </w:r>
      <w:r w:rsidRPr="00781BC6">
        <w:t xml:space="preserve">who previously had not </w:t>
      </w:r>
      <w:r w:rsidR="0037019D" w:rsidRPr="00781BC6">
        <w:t>considered</w:t>
      </w:r>
      <w:r w:rsidRPr="00781BC6">
        <w:t xml:space="preserve"> themselves as gamers. Apple’s App Store </w:t>
      </w:r>
      <w:r w:rsidR="00A202DF" w:rsidRPr="00781BC6">
        <w:t>was</w:t>
      </w:r>
      <w:r w:rsidRPr="00781BC6">
        <w:t xml:space="preserve"> the biggest single platform in </w:t>
      </w:r>
      <w:r w:rsidR="00A202DF" w:rsidRPr="00781BC6">
        <w:t xml:space="preserve">the </w:t>
      </w:r>
      <w:r w:rsidRPr="00781BC6">
        <w:t>mobile</w:t>
      </w:r>
      <w:r w:rsidR="00A202DF" w:rsidRPr="00781BC6">
        <w:t xml:space="preserve"> industry</w:t>
      </w:r>
      <w:r w:rsidRPr="00781BC6">
        <w:t xml:space="preserve">, accounting for around 50 per cent of mobile game market revenues. Analysts forecasted that Apple and Google would earn around </w:t>
      </w:r>
      <w:r w:rsidR="0037019D" w:rsidRPr="00781BC6">
        <w:t>US</w:t>
      </w:r>
      <w:r w:rsidRPr="00781BC6">
        <w:t xml:space="preserve">$4 billion and </w:t>
      </w:r>
      <w:r w:rsidR="0037019D" w:rsidRPr="00781BC6">
        <w:t>US</w:t>
      </w:r>
      <w:r w:rsidRPr="00781BC6">
        <w:t>$3 billion</w:t>
      </w:r>
      <w:r w:rsidR="0037019D" w:rsidRPr="00781BC6">
        <w:t>,</w:t>
      </w:r>
      <w:r w:rsidRPr="00781BC6">
        <w:t xml:space="preserve"> respectively</w:t>
      </w:r>
      <w:r w:rsidR="0037019D" w:rsidRPr="00781BC6">
        <w:t>,</w:t>
      </w:r>
      <w:r w:rsidRPr="00781BC6">
        <w:t xml:space="preserve"> in game revenues in 2014, eclipsing Nintendo’s game revenue of </w:t>
      </w:r>
      <w:r w:rsidR="0037019D" w:rsidRPr="00781BC6">
        <w:t>US</w:t>
      </w:r>
      <w:r w:rsidRPr="00781BC6">
        <w:t>$2.4 billion in 2013.</w:t>
      </w:r>
      <w:r w:rsidRPr="00781BC6">
        <w:rPr>
          <w:vertAlign w:val="superscript"/>
        </w:rPr>
        <w:endnoteReference w:id="37"/>
      </w:r>
      <w:r w:rsidRPr="00781BC6">
        <w:t xml:space="preserve"> Amazon</w:t>
      </w:r>
      <w:r w:rsidR="0037019D" w:rsidRPr="00781BC6">
        <w:t>.com</w:t>
      </w:r>
      <w:r w:rsidRPr="00781BC6">
        <w:t xml:space="preserve"> </w:t>
      </w:r>
      <w:r w:rsidR="0075347D" w:rsidRPr="00781BC6">
        <w:t xml:space="preserve">Inc. </w:t>
      </w:r>
      <w:r w:rsidRPr="00781BC6">
        <w:t xml:space="preserve">and </w:t>
      </w:r>
      <w:r w:rsidR="00A202DF" w:rsidRPr="00781BC6">
        <w:t>several</w:t>
      </w:r>
      <w:r w:rsidRPr="00781BC6">
        <w:t xml:space="preserve"> Chinese app stores </w:t>
      </w:r>
      <w:r w:rsidR="00A202DF" w:rsidRPr="00781BC6">
        <w:t>would also likely</w:t>
      </w:r>
      <w:r w:rsidRPr="00781BC6">
        <w:t xml:space="preserve"> grab a significant market share in Android games</w:t>
      </w:r>
      <w:r w:rsidR="0037019D" w:rsidRPr="00781BC6">
        <w:t>;</w:t>
      </w:r>
      <w:r w:rsidRPr="00781BC6">
        <w:t xml:space="preserve"> </w:t>
      </w:r>
      <w:r w:rsidR="0037019D" w:rsidRPr="00781BC6">
        <w:t>m</w:t>
      </w:r>
      <w:r w:rsidRPr="00781BC6">
        <w:t xml:space="preserve">ajor Chinese </w:t>
      </w:r>
      <w:r w:rsidR="0037019D" w:rsidRPr="00781BC6">
        <w:t xml:space="preserve">app </w:t>
      </w:r>
      <w:r w:rsidRPr="00781BC6">
        <w:t>stores included 360 Mobile Assistant, Tencent’s MyApp, Xiaomi</w:t>
      </w:r>
      <w:r w:rsidR="00A202DF" w:rsidRPr="00781BC6">
        <w:t xml:space="preserve"> Inc.</w:t>
      </w:r>
      <w:r w:rsidRPr="00781BC6">
        <w:t>’s MIUI, and Baidu</w:t>
      </w:r>
      <w:r w:rsidR="00A202DF" w:rsidRPr="00781BC6">
        <w:t xml:space="preserve"> Inc.’s</w:t>
      </w:r>
      <w:r w:rsidRPr="00781BC6">
        <w:t xml:space="preserve"> Mobile Assistant.</w:t>
      </w:r>
    </w:p>
    <w:p w14:paraId="69958742" w14:textId="77777777" w:rsidR="00FF289C" w:rsidRPr="00781BC6" w:rsidRDefault="00FF289C" w:rsidP="00781BC6">
      <w:pPr>
        <w:pStyle w:val="BodyTextMain"/>
        <w:rPr>
          <w:rFonts w:eastAsiaTheme="minorEastAsia"/>
        </w:rPr>
      </w:pPr>
    </w:p>
    <w:p w14:paraId="2872D063" w14:textId="050CA77A" w:rsidR="00FF289C" w:rsidRPr="00781BC6" w:rsidRDefault="00FF289C" w:rsidP="00781BC6">
      <w:pPr>
        <w:pStyle w:val="BodyTextMain"/>
      </w:pPr>
      <w:r w:rsidRPr="00781BC6">
        <w:t xml:space="preserve">The global </w:t>
      </w:r>
      <w:r w:rsidR="007311AC" w:rsidRPr="00781BC6">
        <w:t xml:space="preserve">video </w:t>
      </w:r>
      <w:r w:rsidRPr="00781BC6">
        <w:t>game market was expected to grow at a compound annual growth rate of 6.7 per cent to $86.1 billion by 2016. According to market researcher Newzoo, the</w:t>
      </w:r>
      <w:r w:rsidR="00A202DF" w:rsidRPr="00781BC6">
        <w:t xml:space="preserve">re </w:t>
      </w:r>
      <w:r w:rsidR="001D7538" w:rsidRPr="00781BC6">
        <w:t>had been</w:t>
      </w:r>
      <w:r w:rsidR="00A202DF" w:rsidRPr="00781BC6">
        <w:t xml:space="preserve"> a</w:t>
      </w:r>
      <w:r w:rsidRPr="00781BC6">
        <w:t xml:space="preserve"> shift away from console games </w:t>
      </w:r>
      <w:r w:rsidRPr="00781BC6">
        <w:rPr>
          <w:rFonts w:eastAsiaTheme="minorEastAsia"/>
        </w:rPr>
        <w:t>to</w:t>
      </w:r>
      <w:r w:rsidR="00A202DF" w:rsidRPr="00781BC6">
        <w:rPr>
          <w:rFonts w:eastAsiaTheme="minorEastAsia"/>
        </w:rPr>
        <w:t>wards</w:t>
      </w:r>
      <w:r w:rsidRPr="00781BC6">
        <w:rPr>
          <w:rFonts w:eastAsiaTheme="minorEastAsia"/>
        </w:rPr>
        <w:t xml:space="preserve"> </w:t>
      </w:r>
      <w:r w:rsidR="001B2EEA" w:rsidRPr="00781BC6">
        <w:rPr>
          <w:rFonts w:eastAsiaTheme="minorEastAsia"/>
        </w:rPr>
        <w:t xml:space="preserve">games on </w:t>
      </w:r>
      <w:r w:rsidRPr="00781BC6">
        <w:rPr>
          <w:rFonts w:eastAsiaTheme="minorEastAsia"/>
        </w:rPr>
        <w:t xml:space="preserve">smartphones, tablets, </w:t>
      </w:r>
      <w:r w:rsidR="00A202DF" w:rsidRPr="00781BC6">
        <w:rPr>
          <w:rFonts w:eastAsiaTheme="minorEastAsia"/>
        </w:rPr>
        <w:t>the I</w:t>
      </w:r>
      <w:r w:rsidRPr="00781BC6">
        <w:rPr>
          <w:rFonts w:eastAsiaTheme="minorEastAsia"/>
        </w:rPr>
        <w:t>nternet</w:t>
      </w:r>
      <w:r w:rsidR="00A202DF" w:rsidRPr="00781BC6">
        <w:rPr>
          <w:rFonts w:eastAsiaTheme="minorEastAsia"/>
        </w:rPr>
        <w:t>,</w:t>
      </w:r>
      <w:r w:rsidRPr="00781BC6">
        <w:rPr>
          <w:rFonts w:eastAsiaTheme="minorEastAsia"/>
        </w:rPr>
        <w:t xml:space="preserve"> and social networks </w:t>
      </w:r>
      <w:r w:rsidRPr="00781BC6">
        <w:t>(</w:t>
      </w:r>
      <w:r w:rsidRPr="00781BC6">
        <w:rPr>
          <w:rFonts w:eastAsiaTheme="minorEastAsia"/>
        </w:rPr>
        <w:t xml:space="preserve">see Exhibit 3). </w:t>
      </w:r>
      <w:r w:rsidRPr="00781BC6">
        <w:t xml:space="preserve">  </w:t>
      </w:r>
    </w:p>
    <w:p w14:paraId="57B11E89" w14:textId="77777777" w:rsidR="00FF289C" w:rsidRPr="00781BC6" w:rsidRDefault="00FF289C" w:rsidP="00781BC6">
      <w:pPr>
        <w:pStyle w:val="BodyTextMain"/>
        <w:rPr>
          <w:rFonts w:eastAsiaTheme="minorEastAsia"/>
        </w:rPr>
      </w:pPr>
    </w:p>
    <w:p w14:paraId="40ED4CEE" w14:textId="77777777" w:rsidR="001562DA" w:rsidRPr="00781BC6" w:rsidRDefault="001562DA" w:rsidP="00781BC6">
      <w:pPr>
        <w:pStyle w:val="BodyTextMain"/>
        <w:rPr>
          <w:rFonts w:eastAsiaTheme="minorEastAsia"/>
        </w:rPr>
      </w:pPr>
    </w:p>
    <w:p w14:paraId="6AAD1429" w14:textId="77777777" w:rsidR="00FF289C" w:rsidRPr="00D717E3" w:rsidRDefault="00FF289C" w:rsidP="003336A8">
      <w:pPr>
        <w:pStyle w:val="Casehead1"/>
        <w:outlineLvl w:val="0"/>
        <w:rPr>
          <w:lang w:val="en-GB"/>
        </w:rPr>
      </w:pPr>
      <w:r w:rsidRPr="00D717E3">
        <w:rPr>
          <w:lang w:val="en-GB"/>
        </w:rPr>
        <w:t>MASSIVE EARNINGS DOWNGRADE</w:t>
      </w:r>
    </w:p>
    <w:p w14:paraId="0CEB5099" w14:textId="77777777" w:rsidR="00FF289C" w:rsidRPr="00D717E3" w:rsidRDefault="00FF289C" w:rsidP="006C3A8C">
      <w:pPr>
        <w:pStyle w:val="BodyTextMain"/>
        <w:rPr>
          <w:rFonts w:eastAsiaTheme="minorEastAsia"/>
          <w:sz w:val="20"/>
          <w:lang w:val="en-GB" w:eastAsia="ja-JP"/>
        </w:rPr>
      </w:pPr>
    </w:p>
    <w:p w14:paraId="3A7FC00B" w14:textId="4E4567B8" w:rsidR="00FF289C" w:rsidRPr="00D717E3" w:rsidRDefault="00FF289C" w:rsidP="006C3A8C">
      <w:pPr>
        <w:pStyle w:val="BodyTextMain"/>
        <w:rPr>
          <w:rFonts w:eastAsiaTheme="minorEastAsia"/>
          <w:color w:val="262626"/>
          <w:lang w:val="en-GB" w:eastAsia="ja-JP" w:bidi="th-TH"/>
        </w:rPr>
      </w:pPr>
      <w:r w:rsidRPr="00781BC6">
        <w:rPr>
          <w:rFonts w:eastAsiaTheme="minorEastAsia"/>
        </w:rPr>
        <w:t xml:space="preserve">Nintendo was slow to adapt to </w:t>
      </w:r>
      <w:r w:rsidR="0068763A" w:rsidRPr="00781BC6">
        <w:rPr>
          <w:rFonts w:eastAsiaTheme="minorEastAsia"/>
        </w:rPr>
        <w:t>the</w:t>
      </w:r>
      <w:r w:rsidRPr="00781BC6">
        <w:rPr>
          <w:rFonts w:eastAsiaTheme="minorEastAsia"/>
        </w:rPr>
        <w:t xml:space="preserve"> changing industry.</w:t>
      </w:r>
      <w:r w:rsidRPr="00781BC6">
        <w:rPr>
          <w:rFonts w:eastAsiaTheme="minorEastAsia"/>
          <w:vertAlign w:val="superscript"/>
        </w:rPr>
        <w:endnoteReference w:id="38"/>
      </w:r>
      <w:r w:rsidRPr="00781BC6">
        <w:rPr>
          <w:rFonts w:eastAsiaTheme="minorEastAsia"/>
        </w:rPr>
        <w:t xml:space="preserve"> The family-focused content of Nintendo had lost its appeal</w:t>
      </w:r>
      <w:r w:rsidR="0075347D" w:rsidRPr="00781BC6">
        <w:rPr>
          <w:rFonts w:eastAsiaTheme="minorEastAsia"/>
        </w:rPr>
        <w:t>; y</w:t>
      </w:r>
      <w:r w:rsidRPr="00781BC6">
        <w:rPr>
          <w:rFonts w:eastAsiaTheme="minorEastAsia"/>
        </w:rPr>
        <w:t xml:space="preserve">et Nintendo still held onto its business model </w:t>
      </w:r>
      <w:r w:rsidR="0068763A" w:rsidRPr="00781BC6">
        <w:rPr>
          <w:rFonts w:eastAsiaTheme="minorEastAsia"/>
        </w:rPr>
        <w:t xml:space="preserve">by directly </w:t>
      </w:r>
      <w:r w:rsidRPr="00781BC6">
        <w:rPr>
          <w:rFonts w:eastAsiaTheme="minorEastAsia"/>
        </w:rPr>
        <w:t>selling its much-loved characters</w:t>
      </w:r>
      <w:r w:rsidR="0068763A" w:rsidRPr="00781BC6">
        <w:rPr>
          <w:rFonts w:eastAsiaTheme="minorEastAsia"/>
        </w:rPr>
        <w:t>,</w:t>
      </w:r>
      <w:r w:rsidRPr="00781BC6">
        <w:rPr>
          <w:rFonts w:eastAsiaTheme="minorEastAsia"/>
        </w:rPr>
        <w:t xml:space="preserve"> such as Super Mario</w:t>
      </w:r>
      <w:r w:rsidR="0068763A" w:rsidRPr="00781BC6">
        <w:rPr>
          <w:rFonts w:eastAsiaTheme="minorEastAsia"/>
        </w:rPr>
        <w:t>, and much-loved game series</w:t>
      </w:r>
      <w:r w:rsidR="00EB3F08" w:rsidRPr="00781BC6">
        <w:rPr>
          <w:rFonts w:eastAsiaTheme="minorEastAsia"/>
        </w:rPr>
        <w:t>,</w:t>
      </w:r>
      <w:r w:rsidR="0068763A" w:rsidRPr="00781BC6">
        <w:rPr>
          <w:rFonts w:eastAsiaTheme="minorEastAsia"/>
        </w:rPr>
        <w:t xml:space="preserve"> such as</w:t>
      </w:r>
      <w:r w:rsidR="0068763A" w:rsidRPr="00D717E3">
        <w:rPr>
          <w:rFonts w:eastAsiaTheme="minorEastAsia"/>
          <w:color w:val="0E0E0E"/>
          <w:lang w:val="en-GB" w:eastAsia="ja-JP" w:bidi="th-TH"/>
        </w:rPr>
        <w:t xml:space="preserve"> </w:t>
      </w:r>
      <w:r w:rsidR="00781BC6" w:rsidRPr="00781BC6">
        <w:rPr>
          <w:rFonts w:eastAsiaTheme="minorEastAsia"/>
          <w:i/>
          <w:color w:val="0E0E0E"/>
          <w:lang w:val="en-GB" w:eastAsia="ja-JP" w:bidi="th-TH"/>
        </w:rPr>
        <w:t>T</w:t>
      </w:r>
      <w:r w:rsidRPr="00781BC6">
        <w:rPr>
          <w:rFonts w:eastAsiaTheme="minorEastAsia"/>
          <w:i/>
        </w:rPr>
        <w:t>he Legend of Zelda</w:t>
      </w:r>
      <w:r w:rsidRPr="00D717E3">
        <w:rPr>
          <w:rFonts w:eastAsiaTheme="minorEastAsia"/>
          <w:color w:val="0E0E0E"/>
          <w:lang w:val="en-GB" w:eastAsia="ja-JP" w:bidi="th-TH"/>
        </w:rPr>
        <w:t xml:space="preserve"> and other iconic games</w:t>
      </w:r>
      <w:r w:rsidR="0068763A" w:rsidRPr="00D717E3">
        <w:rPr>
          <w:rFonts w:eastAsiaTheme="minorEastAsia"/>
          <w:color w:val="0E0E0E"/>
          <w:lang w:val="en-GB" w:eastAsia="ja-JP" w:bidi="th-TH"/>
        </w:rPr>
        <w:t>,</w:t>
      </w:r>
      <w:r w:rsidRPr="00D717E3">
        <w:rPr>
          <w:rFonts w:eastAsiaTheme="minorEastAsia"/>
          <w:color w:val="0E0E0E"/>
          <w:lang w:val="en-GB" w:eastAsia="ja-JP" w:bidi="th-TH"/>
        </w:rPr>
        <w:t xml:space="preserve"> </w:t>
      </w:r>
      <w:r w:rsidRPr="00D717E3">
        <w:rPr>
          <w:rFonts w:eastAsiaTheme="minorEastAsia"/>
          <w:color w:val="262626"/>
          <w:lang w:val="en-GB" w:eastAsia="ja-JP" w:bidi="th-TH"/>
        </w:rPr>
        <w:t xml:space="preserve">or by licensing them to other developers. </w:t>
      </w:r>
    </w:p>
    <w:p w14:paraId="4911CA79" w14:textId="77777777" w:rsidR="0068763A" w:rsidRPr="00D717E3" w:rsidRDefault="0068763A" w:rsidP="00FF289C">
      <w:pPr>
        <w:pStyle w:val="BodyTextMain"/>
        <w:rPr>
          <w:rFonts w:eastAsiaTheme="minorEastAsia"/>
          <w:color w:val="0E0E0E"/>
          <w:lang w:val="en-GB" w:eastAsia="ja-JP" w:bidi="th-TH"/>
        </w:rPr>
      </w:pPr>
    </w:p>
    <w:p w14:paraId="51F74441" w14:textId="7474292D" w:rsidR="00FF289C" w:rsidRPr="00781BC6" w:rsidRDefault="00FF289C" w:rsidP="00781BC6">
      <w:pPr>
        <w:pStyle w:val="BodyTextMain"/>
        <w:rPr>
          <w:rFonts w:eastAsiaTheme="minorEastAsia"/>
        </w:rPr>
      </w:pPr>
      <w:r w:rsidRPr="00781BC6">
        <w:rPr>
          <w:rFonts w:eastAsiaTheme="minorEastAsia"/>
        </w:rPr>
        <w:t xml:space="preserve">Iwata </w:t>
      </w:r>
      <w:r w:rsidR="0068763A" w:rsidRPr="00781BC6">
        <w:rPr>
          <w:rFonts w:eastAsiaTheme="minorEastAsia"/>
        </w:rPr>
        <w:t>continued to</w:t>
      </w:r>
      <w:r w:rsidRPr="00781BC6">
        <w:rPr>
          <w:rFonts w:eastAsiaTheme="minorEastAsia"/>
        </w:rPr>
        <w:t xml:space="preserve"> insist </w:t>
      </w:r>
      <w:r w:rsidR="0068763A" w:rsidRPr="00781BC6">
        <w:rPr>
          <w:rFonts w:eastAsiaTheme="minorEastAsia"/>
        </w:rPr>
        <w:t>up</w:t>
      </w:r>
      <w:r w:rsidRPr="00781BC6">
        <w:rPr>
          <w:rFonts w:eastAsiaTheme="minorEastAsia"/>
        </w:rPr>
        <w:t xml:space="preserve">on “no mobile,” arguing that </w:t>
      </w:r>
      <w:r w:rsidR="0068763A" w:rsidRPr="00781BC6">
        <w:rPr>
          <w:rFonts w:eastAsiaTheme="minorEastAsia"/>
        </w:rPr>
        <w:t>the company’s</w:t>
      </w:r>
      <w:r w:rsidRPr="00781BC6">
        <w:rPr>
          <w:rFonts w:eastAsiaTheme="minorEastAsia"/>
        </w:rPr>
        <w:t xml:space="preserve"> success depended on keeping the player experience </w:t>
      </w:r>
      <w:r w:rsidR="00616DEF" w:rsidRPr="00781BC6">
        <w:rPr>
          <w:rFonts w:eastAsiaTheme="minorEastAsia"/>
        </w:rPr>
        <w:t xml:space="preserve">alive </w:t>
      </w:r>
      <w:r w:rsidRPr="00781BC6">
        <w:rPr>
          <w:rFonts w:eastAsiaTheme="minorEastAsia"/>
        </w:rPr>
        <w:t>on its own dedicated hardware.</w:t>
      </w:r>
      <w:r w:rsidRPr="00781BC6">
        <w:rPr>
          <w:rFonts w:eastAsiaTheme="minorEastAsia"/>
          <w:vertAlign w:val="superscript"/>
        </w:rPr>
        <w:endnoteReference w:id="39"/>
      </w:r>
      <w:r w:rsidRPr="00781BC6">
        <w:rPr>
          <w:rFonts w:eastAsiaTheme="minorEastAsia"/>
        </w:rPr>
        <w:t xml:space="preserve"> Fortunately, Nintendo had </w:t>
      </w:r>
      <w:r w:rsidR="00616DEF" w:rsidRPr="00781BC6">
        <w:rPr>
          <w:rFonts w:eastAsiaTheme="minorEastAsia"/>
        </w:rPr>
        <w:t xml:space="preserve">a </w:t>
      </w:r>
      <w:r w:rsidRPr="00781BC6">
        <w:rPr>
          <w:rFonts w:eastAsiaTheme="minorEastAsia"/>
        </w:rPr>
        <w:t xml:space="preserve">strong balance sheet with zero debt outstanding and large cash reserves of ¥478 billion </w:t>
      </w:r>
      <w:r w:rsidR="0075347D" w:rsidRPr="00781BC6">
        <w:rPr>
          <w:rFonts w:eastAsiaTheme="minorEastAsia"/>
        </w:rPr>
        <w:t>(</w:t>
      </w:r>
      <w:r w:rsidRPr="00781BC6">
        <w:rPr>
          <w:rFonts w:eastAsiaTheme="minorEastAsia"/>
        </w:rPr>
        <w:t>US$</w:t>
      </w:r>
      <w:r w:rsidR="00917F05" w:rsidRPr="00781BC6">
        <w:rPr>
          <w:rFonts w:eastAsiaTheme="minorEastAsia"/>
        </w:rPr>
        <w:t>5,093</w:t>
      </w:r>
      <w:r w:rsidRPr="00781BC6">
        <w:rPr>
          <w:rFonts w:eastAsiaTheme="minorEastAsia"/>
        </w:rPr>
        <w:t xml:space="preserve"> billion</w:t>
      </w:r>
      <w:r w:rsidR="0075347D" w:rsidRPr="00781BC6">
        <w:rPr>
          <w:rFonts w:eastAsiaTheme="minorEastAsia"/>
        </w:rPr>
        <w:t xml:space="preserve">) </w:t>
      </w:r>
      <w:r w:rsidRPr="00781BC6">
        <w:rPr>
          <w:rFonts w:eastAsiaTheme="minorEastAsia"/>
        </w:rPr>
        <w:t>as of the end of fiscal year March 31, 2013. Its cash holding ratio (cash</w:t>
      </w:r>
      <w:r w:rsidR="0075347D" w:rsidRPr="00781BC6">
        <w:rPr>
          <w:rFonts w:eastAsiaTheme="minorEastAsia"/>
        </w:rPr>
        <w:t xml:space="preserve"> ÷ </w:t>
      </w:r>
      <w:r w:rsidRPr="00781BC6">
        <w:rPr>
          <w:rFonts w:eastAsiaTheme="minorEastAsia"/>
        </w:rPr>
        <w:t>total asset</w:t>
      </w:r>
      <w:r w:rsidR="0075347D" w:rsidRPr="00781BC6">
        <w:rPr>
          <w:rFonts w:eastAsiaTheme="minorEastAsia"/>
        </w:rPr>
        <w:t>s</w:t>
      </w:r>
      <w:r w:rsidRPr="00781BC6">
        <w:rPr>
          <w:rFonts w:eastAsiaTheme="minorEastAsia"/>
        </w:rPr>
        <w:t>) was 33.1 per cent, much higher than the industry average of 16.4 per cent (see Exhibit 1). It was Yamauchi’s policy to have deep pockets</w:t>
      </w:r>
      <w:r w:rsidR="00616DEF" w:rsidRPr="00781BC6">
        <w:rPr>
          <w:rFonts w:eastAsiaTheme="minorEastAsia"/>
        </w:rPr>
        <w:t>,</w:t>
      </w:r>
      <w:r w:rsidRPr="00781BC6">
        <w:rPr>
          <w:rFonts w:eastAsiaTheme="minorEastAsia"/>
        </w:rPr>
        <w:t xml:space="preserve"> as the </w:t>
      </w:r>
      <w:r w:rsidR="00FC1A4F" w:rsidRPr="00781BC6">
        <w:rPr>
          <w:rFonts w:eastAsiaTheme="minorEastAsia"/>
        </w:rPr>
        <w:t xml:space="preserve">video </w:t>
      </w:r>
      <w:r w:rsidRPr="00781BC6">
        <w:rPr>
          <w:rFonts w:eastAsiaTheme="minorEastAsia"/>
        </w:rPr>
        <w:t>game industry was about innovation and the market was tremendously competitive and always changing.</w:t>
      </w:r>
      <w:r w:rsidRPr="00781BC6">
        <w:rPr>
          <w:rFonts w:eastAsiaTheme="minorEastAsia"/>
          <w:vertAlign w:val="superscript"/>
        </w:rPr>
        <w:endnoteReference w:id="40"/>
      </w:r>
      <w:r w:rsidRPr="00781BC6">
        <w:rPr>
          <w:rFonts w:eastAsiaTheme="minorEastAsia"/>
          <w:vertAlign w:val="superscript"/>
        </w:rPr>
        <w:t xml:space="preserve"> </w:t>
      </w:r>
      <w:r w:rsidR="00A0540E" w:rsidRPr="00781BC6">
        <w:rPr>
          <w:rFonts w:eastAsiaTheme="minorEastAsia"/>
        </w:rPr>
        <w:t>Iwata said that Yamauchi’s</w:t>
      </w:r>
      <w:r w:rsidRPr="00781BC6">
        <w:rPr>
          <w:rFonts w:eastAsiaTheme="minorEastAsia"/>
        </w:rPr>
        <w:t xml:space="preserve"> final words before his death were to </w:t>
      </w:r>
      <w:r w:rsidR="00A0540E" w:rsidRPr="00781BC6">
        <w:rPr>
          <w:rFonts w:eastAsiaTheme="minorEastAsia"/>
        </w:rPr>
        <w:t xml:space="preserve">tell Iwata to </w:t>
      </w:r>
      <w:r w:rsidRPr="00781BC6">
        <w:rPr>
          <w:rFonts w:eastAsiaTheme="minorEastAsia"/>
        </w:rPr>
        <w:t>kill himself if the Wii U failed</w:t>
      </w:r>
      <w:r w:rsidR="00A0540E" w:rsidRPr="00781BC6">
        <w:rPr>
          <w:rFonts w:eastAsiaTheme="minorEastAsia"/>
        </w:rPr>
        <w:t>.</w:t>
      </w:r>
      <w:r w:rsidRPr="00781BC6">
        <w:rPr>
          <w:rFonts w:eastAsia="SimSun"/>
          <w:vertAlign w:val="superscript"/>
        </w:rPr>
        <w:endnoteReference w:id="41"/>
      </w:r>
      <w:r w:rsidRPr="00781BC6">
        <w:rPr>
          <w:rFonts w:eastAsiaTheme="minorEastAsia"/>
        </w:rPr>
        <w:t xml:space="preserve"> </w:t>
      </w:r>
    </w:p>
    <w:p w14:paraId="16025EC9" w14:textId="77777777" w:rsidR="00FF289C" w:rsidRPr="00781BC6" w:rsidRDefault="00FF289C" w:rsidP="00781BC6">
      <w:pPr>
        <w:pStyle w:val="BodyTextMain"/>
        <w:rPr>
          <w:rFonts w:eastAsiaTheme="minorEastAsia"/>
        </w:rPr>
      </w:pPr>
    </w:p>
    <w:p w14:paraId="73FB1172" w14:textId="2D6BFFF7" w:rsidR="00FF289C" w:rsidRPr="00781BC6" w:rsidRDefault="00FF289C" w:rsidP="00781BC6">
      <w:pPr>
        <w:pStyle w:val="BodyTextMain"/>
        <w:rPr>
          <w:rFonts w:eastAsiaTheme="minorEastAsia"/>
        </w:rPr>
      </w:pPr>
      <w:r w:rsidRPr="00781BC6">
        <w:rPr>
          <w:rFonts w:eastAsiaTheme="minorEastAsia"/>
        </w:rPr>
        <w:t>Early in January 2014, Nintendo shocked the market by announcing a massive earnings downgrade, mostly due to poor sales of its struggling Wii U console. Nintendo expected to make another loss</w:t>
      </w:r>
      <w:r w:rsidR="00AA6323" w:rsidRPr="00781BC6">
        <w:rPr>
          <w:rFonts w:eastAsiaTheme="minorEastAsia"/>
        </w:rPr>
        <w:t>,</w:t>
      </w:r>
      <w:r w:rsidRPr="00781BC6">
        <w:rPr>
          <w:rFonts w:eastAsiaTheme="minorEastAsia"/>
        </w:rPr>
        <w:t xml:space="preserve"> of around </w:t>
      </w:r>
      <w:r w:rsidR="00AA6323" w:rsidRPr="00781BC6">
        <w:rPr>
          <w:rFonts w:eastAsiaTheme="minorEastAsia"/>
        </w:rPr>
        <w:t>US</w:t>
      </w:r>
      <w:r w:rsidRPr="00781BC6">
        <w:rPr>
          <w:rFonts w:eastAsiaTheme="minorEastAsia"/>
        </w:rPr>
        <w:t>$250 million. Iwata held himself responsible and took a 50 per cent pay cut. The seven board members also took</w:t>
      </w:r>
      <w:r w:rsidR="00AA6323" w:rsidRPr="00781BC6">
        <w:rPr>
          <w:rFonts w:eastAsiaTheme="minorEastAsia"/>
        </w:rPr>
        <w:t xml:space="preserve"> pay cuts, of</w:t>
      </w:r>
      <w:r w:rsidRPr="00781BC6">
        <w:rPr>
          <w:rFonts w:eastAsiaTheme="minorEastAsia"/>
        </w:rPr>
        <w:t xml:space="preserve"> 20</w:t>
      </w:r>
      <w:r w:rsidR="00AA6323" w:rsidRPr="00781BC6">
        <w:rPr>
          <w:rFonts w:eastAsiaTheme="minorEastAsia"/>
        </w:rPr>
        <w:t>–</w:t>
      </w:r>
      <w:r w:rsidRPr="00781BC6">
        <w:rPr>
          <w:rFonts w:eastAsiaTheme="minorEastAsia"/>
        </w:rPr>
        <w:t>30</w:t>
      </w:r>
      <w:r w:rsidR="00AA6323" w:rsidRPr="00781BC6">
        <w:rPr>
          <w:rFonts w:eastAsiaTheme="minorEastAsia"/>
        </w:rPr>
        <w:t xml:space="preserve"> </w:t>
      </w:r>
      <w:r w:rsidRPr="00781BC6">
        <w:rPr>
          <w:rFonts w:eastAsiaTheme="minorEastAsia"/>
        </w:rPr>
        <w:t>per</w:t>
      </w:r>
      <w:r w:rsidR="00AA6323" w:rsidRPr="00781BC6">
        <w:rPr>
          <w:rFonts w:eastAsiaTheme="minorEastAsia"/>
        </w:rPr>
        <w:t xml:space="preserve"> </w:t>
      </w:r>
      <w:r w:rsidRPr="00781BC6">
        <w:rPr>
          <w:rFonts w:eastAsiaTheme="minorEastAsia"/>
        </w:rPr>
        <w:t>cent.</w:t>
      </w:r>
      <w:r w:rsidRPr="00781BC6">
        <w:rPr>
          <w:rFonts w:eastAsiaTheme="minorEastAsia"/>
          <w:vertAlign w:val="superscript"/>
        </w:rPr>
        <w:endnoteReference w:id="42"/>
      </w:r>
      <w:r w:rsidRPr="00781BC6">
        <w:rPr>
          <w:rFonts w:eastAsiaTheme="minorEastAsia"/>
        </w:rPr>
        <w:t xml:space="preserve"> </w:t>
      </w:r>
    </w:p>
    <w:p w14:paraId="01D926BF" w14:textId="77777777" w:rsidR="00FF289C" w:rsidRPr="00781BC6" w:rsidRDefault="00FF289C" w:rsidP="00781BC6">
      <w:pPr>
        <w:pStyle w:val="BodyTextMain"/>
        <w:rPr>
          <w:rFonts w:eastAsiaTheme="minorEastAsia"/>
        </w:rPr>
      </w:pPr>
    </w:p>
    <w:p w14:paraId="02B02942" w14:textId="77777777" w:rsidR="001562DA" w:rsidRPr="00D717E3" w:rsidRDefault="001562DA" w:rsidP="001562DA">
      <w:pPr>
        <w:pStyle w:val="BodyTextMain"/>
        <w:rPr>
          <w:sz w:val="20"/>
          <w:lang w:val="en-GB"/>
        </w:rPr>
      </w:pPr>
    </w:p>
    <w:p w14:paraId="3B2B817A" w14:textId="77777777" w:rsidR="00FF289C" w:rsidRPr="00D717E3" w:rsidRDefault="00FF289C" w:rsidP="003336A8">
      <w:pPr>
        <w:pStyle w:val="Casehead1"/>
        <w:outlineLvl w:val="0"/>
        <w:rPr>
          <w:rFonts w:eastAsiaTheme="minorEastAsia"/>
          <w:lang w:val="en-GB" w:eastAsia="ja-JP"/>
        </w:rPr>
      </w:pPr>
      <w:r w:rsidRPr="00D717E3">
        <w:rPr>
          <w:rFonts w:eastAsiaTheme="minorEastAsia"/>
          <w:lang w:val="en-GB" w:eastAsia="ja-JP"/>
        </w:rPr>
        <w:t xml:space="preserve">YAMAUCHI’S INHERITANCE </w:t>
      </w:r>
    </w:p>
    <w:p w14:paraId="0F12EE26" w14:textId="77777777" w:rsidR="00FF289C" w:rsidRPr="00D717E3" w:rsidRDefault="00FF289C" w:rsidP="001562DA">
      <w:pPr>
        <w:pStyle w:val="BodyTextMain"/>
        <w:rPr>
          <w:sz w:val="20"/>
          <w:lang w:val="en-GB"/>
        </w:rPr>
      </w:pPr>
    </w:p>
    <w:p w14:paraId="6446E8EA" w14:textId="27BBECD1" w:rsidR="00FF289C" w:rsidRPr="00781BC6" w:rsidRDefault="00FF289C" w:rsidP="00781BC6">
      <w:pPr>
        <w:pStyle w:val="BodyTextMain"/>
        <w:rPr>
          <w:rFonts w:eastAsiaTheme="minorEastAsia"/>
        </w:rPr>
      </w:pPr>
      <w:r w:rsidRPr="00781BC6">
        <w:rPr>
          <w:rFonts w:eastAsiaTheme="minorEastAsia"/>
        </w:rPr>
        <w:t>Yamauchi passed away at the age of 85 on September 19, 2013, and the news was reported by the media worldwide. Yamauchi</w:t>
      </w:r>
      <w:r w:rsidR="00B55597" w:rsidRPr="00781BC6">
        <w:rPr>
          <w:rFonts w:eastAsiaTheme="minorEastAsia"/>
        </w:rPr>
        <w:t>’s</w:t>
      </w:r>
      <w:r w:rsidRPr="00781BC6">
        <w:rPr>
          <w:rFonts w:eastAsiaTheme="minorEastAsia"/>
        </w:rPr>
        <w:t xml:space="preserve"> net worth as estimated by </w:t>
      </w:r>
      <w:r w:rsidRPr="00781BC6">
        <w:rPr>
          <w:rFonts w:eastAsiaTheme="minorEastAsia"/>
          <w:i/>
        </w:rPr>
        <w:t>Forbes</w:t>
      </w:r>
      <w:r w:rsidRPr="00781BC6">
        <w:rPr>
          <w:rFonts w:eastAsiaTheme="minorEastAsia"/>
        </w:rPr>
        <w:t xml:space="preserve"> was around </w:t>
      </w:r>
      <w:r w:rsidR="00B55597" w:rsidRPr="00781BC6">
        <w:rPr>
          <w:rFonts w:eastAsiaTheme="minorEastAsia"/>
        </w:rPr>
        <w:t>US</w:t>
      </w:r>
      <w:r w:rsidRPr="00781BC6">
        <w:rPr>
          <w:rFonts w:eastAsiaTheme="minorEastAsia"/>
        </w:rPr>
        <w:t xml:space="preserve">$2.1 billion, </w:t>
      </w:r>
      <w:r w:rsidR="00B55597" w:rsidRPr="00781BC6">
        <w:rPr>
          <w:rFonts w:eastAsiaTheme="minorEastAsia"/>
        </w:rPr>
        <w:t xml:space="preserve">and his </w:t>
      </w:r>
      <w:r w:rsidRPr="00781BC6">
        <w:rPr>
          <w:rFonts w:eastAsiaTheme="minorEastAsia"/>
        </w:rPr>
        <w:t>rank</w:t>
      </w:r>
      <w:r w:rsidR="00B55597" w:rsidRPr="00781BC6">
        <w:rPr>
          <w:rFonts w:eastAsiaTheme="minorEastAsia"/>
        </w:rPr>
        <w:t xml:space="preserve">ing in terms of wealth was </w:t>
      </w:r>
      <w:r w:rsidRPr="00781BC6">
        <w:rPr>
          <w:rFonts w:eastAsiaTheme="minorEastAsia"/>
        </w:rPr>
        <w:t>12th</w:t>
      </w:r>
      <w:r w:rsidR="00B55597" w:rsidRPr="00781BC6">
        <w:rPr>
          <w:rFonts w:eastAsiaTheme="minorEastAsia"/>
        </w:rPr>
        <w:t>-</w:t>
      </w:r>
      <w:r w:rsidRPr="00781BC6">
        <w:rPr>
          <w:rFonts w:eastAsiaTheme="minorEastAsia"/>
        </w:rPr>
        <w:t>richest person in Japan and 491</w:t>
      </w:r>
      <w:r w:rsidR="00B55597" w:rsidRPr="00781BC6">
        <w:rPr>
          <w:rFonts w:eastAsiaTheme="minorEastAsia"/>
        </w:rPr>
        <w:t>st-</w:t>
      </w:r>
      <w:r w:rsidRPr="00781BC6">
        <w:rPr>
          <w:rFonts w:eastAsiaTheme="minorEastAsia"/>
        </w:rPr>
        <w:t xml:space="preserve">richest </w:t>
      </w:r>
      <w:r w:rsidR="00B55597" w:rsidRPr="00781BC6">
        <w:rPr>
          <w:rFonts w:eastAsiaTheme="minorEastAsia"/>
        </w:rPr>
        <w:t xml:space="preserve">person </w:t>
      </w:r>
      <w:r w:rsidRPr="00781BC6">
        <w:rPr>
          <w:rFonts w:eastAsiaTheme="minorEastAsia"/>
        </w:rPr>
        <w:t>in the world in April 2013.</w:t>
      </w:r>
      <w:r w:rsidRPr="00781BC6">
        <w:rPr>
          <w:rFonts w:eastAsiaTheme="minorEastAsia"/>
          <w:vertAlign w:val="superscript"/>
        </w:rPr>
        <w:endnoteReference w:id="43"/>
      </w:r>
      <w:r w:rsidRPr="00781BC6">
        <w:rPr>
          <w:rFonts w:eastAsiaTheme="minorEastAsia"/>
        </w:rPr>
        <w:t xml:space="preserve"> His wealth included </w:t>
      </w:r>
      <w:r w:rsidR="000D58F3" w:rsidRPr="00781BC6">
        <w:rPr>
          <w:rFonts w:eastAsiaTheme="minorEastAsia"/>
        </w:rPr>
        <w:t xml:space="preserve">his 11 per cent stake in </w:t>
      </w:r>
      <w:r w:rsidRPr="00781BC6">
        <w:rPr>
          <w:rFonts w:eastAsiaTheme="minorEastAsia"/>
        </w:rPr>
        <w:t>Nintendo</w:t>
      </w:r>
      <w:r w:rsidR="00A0540E" w:rsidRPr="00781BC6">
        <w:rPr>
          <w:rFonts w:eastAsiaTheme="minorEastAsia"/>
        </w:rPr>
        <w:t>.</w:t>
      </w:r>
      <w:r w:rsidRPr="00781BC6">
        <w:rPr>
          <w:rFonts w:eastAsiaTheme="minorEastAsia"/>
          <w:vertAlign w:val="superscript"/>
        </w:rPr>
        <w:endnoteReference w:id="44"/>
      </w:r>
      <w:r w:rsidRPr="00781BC6">
        <w:rPr>
          <w:rFonts w:eastAsiaTheme="minorEastAsia"/>
          <w:vertAlign w:val="superscript"/>
        </w:rPr>
        <w:t xml:space="preserve"> </w:t>
      </w:r>
      <w:r w:rsidRPr="00781BC6">
        <w:rPr>
          <w:rFonts w:eastAsiaTheme="minorEastAsia"/>
        </w:rPr>
        <w:t>At a price of ¥11,560 per share, th</w:t>
      </w:r>
      <w:r w:rsidR="000D58F3" w:rsidRPr="00781BC6">
        <w:rPr>
          <w:rFonts w:eastAsiaTheme="minorEastAsia"/>
        </w:rPr>
        <w:t xml:space="preserve">is amounted to </w:t>
      </w:r>
      <w:r w:rsidRPr="00781BC6">
        <w:rPr>
          <w:rFonts w:eastAsiaTheme="minorEastAsia"/>
        </w:rPr>
        <w:t>¥</w:t>
      </w:r>
      <w:r w:rsidR="0075347D" w:rsidRPr="00781BC6">
        <w:rPr>
          <w:rFonts w:eastAsiaTheme="minorEastAsia"/>
        </w:rPr>
        <w:t>155 </w:t>
      </w:r>
      <w:r w:rsidRPr="00781BC6">
        <w:rPr>
          <w:rFonts w:eastAsiaTheme="minorEastAsia"/>
        </w:rPr>
        <w:t>billion (US</w:t>
      </w:r>
      <w:r w:rsidR="00B55597" w:rsidRPr="00781BC6">
        <w:rPr>
          <w:rFonts w:eastAsiaTheme="minorEastAsia"/>
        </w:rPr>
        <w:t>$</w:t>
      </w:r>
      <w:r w:rsidRPr="00781BC6">
        <w:rPr>
          <w:rFonts w:eastAsiaTheme="minorEastAsia"/>
        </w:rPr>
        <w:t>1.64 billion) (see Exhibit</w:t>
      </w:r>
      <w:r w:rsidR="00B92447" w:rsidRPr="00781BC6">
        <w:rPr>
          <w:rFonts w:eastAsiaTheme="minorEastAsia"/>
        </w:rPr>
        <w:t>s 4 and</w:t>
      </w:r>
      <w:r w:rsidRPr="00781BC6">
        <w:rPr>
          <w:rFonts w:eastAsiaTheme="minorEastAsia"/>
        </w:rPr>
        <w:t xml:space="preserve"> 5).</w:t>
      </w:r>
    </w:p>
    <w:p w14:paraId="0F62534B" w14:textId="77777777" w:rsidR="00FF289C" w:rsidRPr="00781BC6" w:rsidRDefault="00FF289C" w:rsidP="00781BC6">
      <w:pPr>
        <w:pStyle w:val="BodyTextMain"/>
        <w:rPr>
          <w:rFonts w:eastAsiaTheme="minorEastAsia"/>
        </w:rPr>
      </w:pPr>
    </w:p>
    <w:p w14:paraId="4A222881" w14:textId="42907E3D" w:rsidR="00FF289C" w:rsidRPr="00781BC6" w:rsidRDefault="00FF289C" w:rsidP="00781BC6">
      <w:pPr>
        <w:pStyle w:val="BodyTextMain"/>
        <w:rPr>
          <w:rFonts w:eastAsiaTheme="minorEastAsia"/>
        </w:rPr>
      </w:pPr>
      <w:r w:rsidRPr="00781BC6">
        <w:rPr>
          <w:rFonts w:eastAsiaTheme="minorEastAsia"/>
        </w:rPr>
        <w:t>Japan imposed both gift and inheritance tax on beneficiaries. As of 2013, the gift and inheritance taxes were levied progressively on the fair market value of net assets. The maximum inheritance tax was 50 per cent on net assets over ¥300 million. There were some basic exemptions for inheritance tax</w:t>
      </w:r>
      <w:r w:rsidR="00B55597" w:rsidRPr="00781BC6">
        <w:rPr>
          <w:rFonts w:eastAsiaTheme="minorEastAsia"/>
        </w:rPr>
        <w:t>,</w:t>
      </w:r>
      <w:r w:rsidRPr="00781BC6">
        <w:rPr>
          <w:rFonts w:eastAsiaTheme="minorEastAsia"/>
        </w:rPr>
        <w:t xml:space="preserve"> namely, ¥50 million plus ¥10 million for each legal heir.</w:t>
      </w:r>
      <w:r w:rsidRPr="00781BC6">
        <w:rPr>
          <w:rFonts w:eastAsia="SimSun"/>
          <w:vertAlign w:val="superscript"/>
        </w:rPr>
        <w:endnoteReference w:id="45"/>
      </w:r>
      <w:r w:rsidRPr="00781BC6">
        <w:rPr>
          <w:rFonts w:eastAsiaTheme="minorEastAsia"/>
        </w:rPr>
        <w:t xml:space="preserve"> For the gift tax, the basic annual exemption </w:t>
      </w:r>
      <w:r w:rsidR="0012024C" w:rsidRPr="00781BC6">
        <w:rPr>
          <w:rFonts w:eastAsiaTheme="minorEastAsia"/>
        </w:rPr>
        <w:t xml:space="preserve">for all gifts received </w:t>
      </w:r>
      <w:r w:rsidRPr="00781BC6">
        <w:rPr>
          <w:rFonts w:eastAsiaTheme="minorEastAsia"/>
        </w:rPr>
        <w:t>was ¥1.1 million</w:t>
      </w:r>
      <w:r w:rsidR="00B55597" w:rsidRPr="00781BC6">
        <w:rPr>
          <w:rFonts w:eastAsiaTheme="minorEastAsia"/>
        </w:rPr>
        <w:t>,</w:t>
      </w:r>
      <w:r w:rsidRPr="00781BC6">
        <w:rPr>
          <w:rFonts w:eastAsiaTheme="minorEastAsia"/>
        </w:rPr>
        <w:t xml:space="preserve"> which was applied to all gifts received by the recipient during the year. </w:t>
      </w:r>
      <w:r w:rsidR="00D27B15" w:rsidRPr="00781BC6">
        <w:rPr>
          <w:rFonts w:eastAsiaTheme="minorEastAsia"/>
        </w:rPr>
        <w:t xml:space="preserve">For residential property, </w:t>
      </w:r>
      <w:r w:rsidR="0012024C" w:rsidRPr="00781BC6">
        <w:rPr>
          <w:rFonts w:eastAsiaTheme="minorEastAsia"/>
        </w:rPr>
        <w:t xml:space="preserve">a </w:t>
      </w:r>
      <w:r w:rsidR="00C61DB2" w:rsidRPr="00781BC6">
        <w:rPr>
          <w:rFonts w:eastAsiaTheme="minorEastAsia"/>
        </w:rPr>
        <w:t xml:space="preserve">one-time gift </w:t>
      </w:r>
      <w:r w:rsidR="00D27B15" w:rsidRPr="00781BC6">
        <w:rPr>
          <w:rFonts w:eastAsiaTheme="minorEastAsia"/>
        </w:rPr>
        <w:t xml:space="preserve">of up to </w:t>
      </w:r>
      <w:r w:rsidRPr="00781BC6">
        <w:rPr>
          <w:rFonts w:eastAsiaTheme="minorEastAsia"/>
        </w:rPr>
        <w:t xml:space="preserve">¥20 million </w:t>
      </w:r>
      <w:r w:rsidR="00C61DB2" w:rsidRPr="00781BC6">
        <w:rPr>
          <w:rFonts w:eastAsiaTheme="minorEastAsia"/>
        </w:rPr>
        <w:t xml:space="preserve">to a spouse </w:t>
      </w:r>
      <w:r w:rsidR="0012024C" w:rsidRPr="00781BC6">
        <w:rPr>
          <w:rFonts w:eastAsiaTheme="minorEastAsia"/>
        </w:rPr>
        <w:t>was</w:t>
      </w:r>
      <w:r w:rsidR="00D27B15" w:rsidRPr="00781BC6">
        <w:rPr>
          <w:rFonts w:eastAsiaTheme="minorEastAsia"/>
        </w:rPr>
        <w:t xml:space="preserve"> allowed if the couple had been</w:t>
      </w:r>
      <w:r w:rsidRPr="00781BC6">
        <w:rPr>
          <w:rFonts w:eastAsiaTheme="minorEastAsia"/>
        </w:rPr>
        <w:t xml:space="preserve"> married for </w:t>
      </w:r>
      <w:r w:rsidRPr="00781BC6">
        <w:rPr>
          <w:rFonts w:eastAsiaTheme="minorEastAsia"/>
        </w:rPr>
        <w:lastRenderedPageBreak/>
        <w:t xml:space="preserve">more than 20 years. In addition, a person aged 65 or older was allowed a one-time gift of up to ¥25 million to descendants aged 20 or older. </w:t>
      </w:r>
    </w:p>
    <w:p w14:paraId="1B78C8EA" w14:textId="77777777" w:rsidR="00FF289C" w:rsidRPr="00781BC6" w:rsidRDefault="00FF289C" w:rsidP="00781BC6">
      <w:pPr>
        <w:pStyle w:val="BodyTextMain"/>
        <w:rPr>
          <w:rFonts w:eastAsiaTheme="minorEastAsia"/>
        </w:rPr>
      </w:pPr>
    </w:p>
    <w:p w14:paraId="71DD51D7" w14:textId="6F78D5DB" w:rsidR="003C3D29" w:rsidRPr="00781BC6" w:rsidRDefault="00FF289C" w:rsidP="00781BC6">
      <w:pPr>
        <w:pStyle w:val="BodyTextMain"/>
        <w:rPr>
          <w:rFonts w:eastAsiaTheme="minorEastAsia"/>
        </w:rPr>
      </w:pPr>
      <w:r w:rsidRPr="00781BC6">
        <w:rPr>
          <w:rFonts w:eastAsiaTheme="minorEastAsia"/>
        </w:rPr>
        <w:t>Applying the highest tax rate of 50 per cent, the Yamauchi family’s tax obligation on the inherited shares alone would be about ¥77 billion</w:t>
      </w:r>
      <w:r w:rsidR="00D643D2" w:rsidRPr="00781BC6">
        <w:rPr>
          <w:rFonts w:eastAsiaTheme="minorEastAsia"/>
        </w:rPr>
        <w:t>,</w:t>
      </w:r>
      <w:r w:rsidRPr="00781BC6">
        <w:rPr>
          <w:rFonts w:eastAsiaTheme="minorEastAsia"/>
        </w:rPr>
        <w:t xml:space="preserve"> to be paid within one year. </w:t>
      </w:r>
      <w:r w:rsidR="003C3D29" w:rsidRPr="00781BC6">
        <w:rPr>
          <w:rFonts w:eastAsiaTheme="minorEastAsia"/>
        </w:rPr>
        <w:t xml:space="preserve">The family had a few options to obtain cash. They could sell the shares either in the stock market or to strategic buyers such as Sony, </w:t>
      </w:r>
      <w:r w:rsidR="0075347D" w:rsidRPr="00781BC6">
        <w:rPr>
          <w:rFonts w:eastAsiaTheme="minorEastAsia"/>
        </w:rPr>
        <w:t xml:space="preserve">the </w:t>
      </w:r>
      <w:r w:rsidR="00D643D2" w:rsidRPr="00781BC6">
        <w:rPr>
          <w:rFonts w:eastAsiaTheme="minorEastAsia"/>
        </w:rPr>
        <w:t xml:space="preserve">Walt </w:t>
      </w:r>
      <w:r w:rsidR="003C3D29" w:rsidRPr="00781BC6">
        <w:rPr>
          <w:rFonts w:eastAsiaTheme="minorEastAsia"/>
        </w:rPr>
        <w:t>Disney</w:t>
      </w:r>
      <w:r w:rsidR="00D643D2" w:rsidRPr="00781BC6">
        <w:rPr>
          <w:rFonts w:eastAsiaTheme="minorEastAsia"/>
        </w:rPr>
        <w:t xml:space="preserve"> Company,</w:t>
      </w:r>
      <w:r w:rsidR="003C3D29" w:rsidRPr="00781BC6">
        <w:rPr>
          <w:rFonts w:eastAsiaTheme="minorEastAsia"/>
        </w:rPr>
        <w:t xml:space="preserve"> and Microsoft. Alternatively, they could try to negotiate with the company to pay special dividends or conduct share buybacks. </w:t>
      </w:r>
    </w:p>
    <w:p w14:paraId="5CB23F81" w14:textId="77777777" w:rsidR="003C3D29" w:rsidRPr="00781BC6" w:rsidRDefault="003C3D29" w:rsidP="00781BC6">
      <w:pPr>
        <w:pStyle w:val="BodyTextMain"/>
        <w:rPr>
          <w:rFonts w:eastAsiaTheme="minorEastAsia"/>
        </w:rPr>
      </w:pPr>
    </w:p>
    <w:p w14:paraId="634185A0" w14:textId="118A4F06" w:rsidR="003C3D29" w:rsidRPr="00781BC6" w:rsidRDefault="0075347D" w:rsidP="00781BC6">
      <w:pPr>
        <w:pStyle w:val="BodyTextMain"/>
        <w:rPr>
          <w:rFonts w:eastAsiaTheme="minorHAnsi"/>
        </w:rPr>
      </w:pPr>
      <w:r w:rsidRPr="00781BC6">
        <w:rPr>
          <w:rFonts w:eastAsiaTheme="minorHAnsi"/>
        </w:rPr>
        <w:t>Unlike in</w:t>
      </w:r>
      <w:r w:rsidR="00176EC3" w:rsidRPr="00781BC6">
        <w:rPr>
          <w:rFonts w:eastAsiaTheme="minorHAnsi"/>
        </w:rPr>
        <w:t xml:space="preserve"> the U</w:t>
      </w:r>
      <w:r w:rsidR="00153A43" w:rsidRPr="00781BC6">
        <w:rPr>
          <w:rFonts w:eastAsiaTheme="minorHAnsi"/>
        </w:rPr>
        <w:t xml:space="preserve">nited </w:t>
      </w:r>
      <w:r w:rsidR="00176EC3" w:rsidRPr="00781BC6">
        <w:rPr>
          <w:rFonts w:eastAsiaTheme="minorHAnsi"/>
        </w:rPr>
        <w:t>S</w:t>
      </w:r>
      <w:r w:rsidR="00153A43" w:rsidRPr="00781BC6">
        <w:rPr>
          <w:rFonts w:eastAsiaTheme="minorHAnsi"/>
        </w:rPr>
        <w:t>tates</w:t>
      </w:r>
      <w:r w:rsidR="00176EC3" w:rsidRPr="00781BC6">
        <w:rPr>
          <w:rFonts w:eastAsiaTheme="minorHAnsi"/>
        </w:rPr>
        <w:t>,</w:t>
      </w:r>
      <w:r w:rsidR="001B1479" w:rsidRPr="00781BC6">
        <w:rPr>
          <w:rFonts w:eastAsiaTheme="minorHAnsi"/>
        </w:rPr>
        <w:t xml:space="preserve"> where repurchased shares </w:t>
      </w:r>
      <w:r w:rsidR="00CE08FC" w:rsidRPr="00781BC6">
        <w:rPr>
          <w:rFonts w:eastAsiaTheme="minorHAnsi"/>
        </w:rPr>
        <w:t>were</w:t>
      </w:r>
      <w:r w:rsidR="001B1479" w:rsidRPr="00781BC6">
        <w:rPr>
          <w:rFonts w:eastAsiaTheme="minorHAnsi"/>
        </w:rPr>
        <w:t xml:space="preserve"> cancelled,</w:t>
      </w:r>
      <w:r w:rsidR="00176EC3" w:rsidRPr="00781BC6">
        <w:rPr>
          <w:rFonts w:eastAsiaTheme="minorHAnsi"/>
        </w:rPr>
        <w:t xml:space="preserve"> </w:t>
      </w:r>
      <w:r w:rsidRPr="00781BC6">
        <w:rPr>
          <w:rFonts w:eastAsiaTheme="minorHAnsi"/>
        </w:rPr>
        <w:t xml:space="preserve">in Japan, </w:t>
      </w:r>
      <w:r w:rsidR="00176EC3" w:rsidRPr="00781BC6">
        <w:rPr>
          <w:rFonts w:eastAsiaTheme="minorHAnsi"/>
        </w:rPr>
        <w:t xml:space="preserve">companies </w:t>
      </w:r>
      <w:r w:rsidR="00CE08FC" w:rsidRPr="00781BC6">
        <w:rPr>
          <w:rFonts w:eastAsiaTheme="minorHAnsi"/>
        </w:rPr>
        <w:t>were</w:t>
      </w:r>
      <w:r w:rsidR="00D25625" w:rsidRPr="00781BC6">
        <w:rPr>
          <w:rFonts w:eastAsiaTheme="minorHAnsi"/>
        </w:rPr>
        <w:t xml:space="preserve"> allowed to</w:t>
      </w:r>
      <w:r w:rsidR="00176EC3" w:rsidRPr="00781BC6">
        <w:rPr>
          <w:rFonts w:eastAsiaTheme="minorHAnsi"/>
        </w:rPr>
        <w:t xml:space="preserve"> </w:t>
      </w:r>
      <w:r w:rsidR="001B1479" w:rsidRPr="00781BC6">
        <w:rPr>
          <w:rFonts w:eastAsiaTheme="minorHAnsi"/>
        </w:rPr>
        <w:t>retain</w:t>
      </w:r>
      <w:r w:rsidR="004977D0" w:rsidRPr="00781BC6">
        <w:rPr>
          <w:rFonts w:eastAsiaTheme="minorHAnsi"/>
        </w:rPr>
        <w:t xml:space="preserve"> </w:t>
      </w:r>
      <w:r w:rsidR="00CE08FC" w:rsidRPr="00781BC6">
        <w:rPr>
          <w:rFonts w:eastAsiaTheme="minorHAnsi"/>
        </w:rPr>
        <w:t xml:space="preserve">the shares </w:t>
      </w:r>
      <w:r w:rsidR="004977D0" w:rsidRPr="00781BC6">
        <w:rPr>
          <w:rFonts w:eastAsiaTheme="minorHAnsi"/>
        </w:rPr>
        <w:t>as</w:t>
      </w:r>
      <w:r w:rsidR="003C3D29" w:rsidRPr="00781BC6">
        <w:rPr>
          <w:rFonts w:eastAsiaTheme="minorHAnsi"/>
        </w:rPr>
        <w:t xml:space="preserve"> treasury stock</w:t>
      </w:r>
      <w:r w:rsidR="004977D0" w:rsidRPr="00781BC6">
        <w:rPr>
          <w:rFonts w:eastAsiaTheme="minorHAnsi"/>
        </w:rPr>
        <w:t xml:space="preserve">, </w:t>
      </w:r>
      <w:r w:rsidRPr="00781BC6">
        <w:rPr>
          <w:rFonts w:eastAsiaTheme="minorHAnsi"/>
        </w:rPr>
        <w:t>which</w:t>
      </w:r>
      <w:r w:rsidR="003C3D29" w:rsidRPr="00781BC6">
        <w:rPr>
          <w:rFonts w:eastAsiaTheme="minorHAnsi"/>
        </w:rPr>
        <w:t xml:space="preserve"> </w:t>
      </w:r>
      <w:r w:rsidR="00CE08FC" w:rsidRPr="00781BC6">
        <w:rPr>
          <w:rFonts w:eastAsiaTheme="minorHAnsi"/>
        </w:rPr>
        <w:t>could</w:t>
      </w:r>
      <w:r w:rsidR="003C3D29" w:rsidRPr="00781BC6">
        <w:rPr>
          <w:rFonts w:eastAsiaTheme="minorHAnsi"/>
        </w:rPr>
        <w:t xml:space="preserve"> be </w:t>
      </w:r>
      <w:r w:rsidR="004977D0" w:rsidRPr="00781BC6">
        <w:rPr>
          <w:rFonts w:eastAsiaTheme="minorHAnsi"/>
        </w:rPr>
        <w:t>re</w:t>
      </w:r>
      <w:r w:rsidR="003C3D29" w:rsidRPr="00781BC6">
        <w:rPr>
          <w:rFonts w:eastAsiaTheme="minorHAnsi"/>
        </w:rPr>
        <w:t xml:space="preserve">issued at the </w:t>
      </w:r>
      <w:r w:rsidR="004977D0" w:rsidRPr="00781BC6">
        <w:rPr>
          <w:rFonts w:eastAsiaTheme="minorHAnsi"/>
        </w:rPr>
        <w:t>management</w:t>
      </w:r>
      <w:r w:rsidR="003C3D29" w:rsidRPr="00781BC6">
        <w:rPr>
          <w:rFonts w:eastAsiaTheme="minorHAnsi"/>
        </w:rPr>
        <w:t>’s discretion</w:t>
      </w:r>
      <w:r w:rsidRPr="00781BC6">
        <w:rPr>
          <w:rFonts w:eastAsiaTheme="minorHAnsi"/>
        </w:rPr>
        <w:t>,</w:t>
      </w:r>
      <w:r w:rsidR="003C3D29" w:rsidRPr="00781BC6">
        <w:rPr>
          <w:rFonts w:eastAsiaTheme="minorHAnsi"/>
        </w:rPr>
        <w:t xml:space="preserve"> without shareholders’ approval, in contrast to regular equity issues. </w:t>
      </w:r>
      <w:r w:rsidR="008434DE" w:rsidRPr="00781BC6">
        <w:t>Treasury stock d</w:t>
      </w:r>
      <w:r w:rsidR="00CE08FC" w:rsidRPr="00781BC6">
        <w:t>id</w:t>
      </w:r>
      <w:r w:rsidR="008434DE" w:rsidRPr="00781BC6">
        <w:t xml:space="preserve"> not confer any voting rights or rights to dividends</w:t>
      </w:r>
      <w:r w:rsidR="00CE08FC" w:rsidRPr="00781BC6">
        <w:t>,</w:t>
      </w:r>
      <w:r w:rsidR="008434DE" w:rsidRPr="00781BC6">
        <w:t xml:space="preserve"> and </w:t>
      </w:r>
      <w:r w:rsidRPr="00781BC6">
        <w:t xml:space="preserve">was </w:t>
      </w:r>
      <w:r w:rsidR="008434DE" w:rsidRPr="00781BC6">
        <w:t xml:space="preserve">recorded in the balance sheet as a reduction in the number of shares outstanding. Therefore, </w:t>
      </w:r>
      <w:r w:rsidR="008434DE" w:rsidRPr="00781BC6">
        <w:rPr>
          <w:rFonts w:eastAsiaTheme="minorHAnsi"/>
        </w:rPr>
        <w:t>t</w:t>
      </w:r>
      <w:r w:rsidR="004977D0" w:rsidRPr="00781BC6">
        <w:rPr>
          <w:rFonts w:eastAsiaTheme="minorHAnsi"/>
        </w:rPr>
        <w:t xml:space="preserve">reasury stock </w:t>
      </w:r>
      <w:r w:rsidR="00CE08FC" w:rsidRPr="00781BC6">
        <w:rPr>
          <w:rFonts w:eastAsiaTheme="minorHAnsi"/>
        </w:rPr>
        <w:t>was</w:t>
      </w:r>
      <w:r w:rsidR="004977D0" w:rsidRPr="00781BC6">
        <w:rPr>
          <w:rFonts w:eastAsiaTheme="minorHAnsi"/>
        </w:rPr>
        <w:t xml:space="preserve"> often used to increase insider control and protect the company against activist shareholders. Treasury stock </w:t>
      </w:r>
      <w:r w:rsidR="00CE08FC" w:rsidRPr="00781BC6">
        <w:rPr>
          <w:rFonts w:eastAsiaTheme="minorHAnsi"/>
        </w:rPr>
        <w:t>was</w:t>
      </w:r>
      <w:r w:rsidR="008434DE" w:rsidRPr="00781BC6">
        <w:rPr>
          <w:rFonts w:eastAsiaTheme="minorHAnsi"/>
        </w:rPr>
        <w:t xml:space="preserve"> also</w:t>
      </w:r>
      <w:r w:rsidR="004977D0" w:rsidRPr="00781BC6">
        <w:rPr>
          <w:rFonts w:eastAsiaTheme="minorHAnsi"/>
        </w:rPr>
        <w:t xml:space="preserve"> used </w:t>
      </w:r>
      <w:r w:rsidR="001B1479" w:rsidRPr="00781BC6">
        <w:rPr>
          <w:rFonts w:eastAsiaTheme="minorHAnsi"/>
        </w:rPr>
        <w:t>to finance</w:t>
      </w:r>
      <w:r w:rsidR="00D25625" w:rsidRPr="00781BC6">
        <w:rPr>
          <w:rFonts w:eastAsiaTheme="minorHAnsi"/>
        </w:rPr>
        <w:t xml:space="preserve"> </w:t>
      </w:r>
      <w:r w:rsidR="00153A43" w:rsidRPr="00781BC6">
        <w:rPr>
          <w:rFonts w:eastAsiaTheme="minorHAnsi"/>
        </w:rPr>
        <w:t>mergers and acquisitions</w:t>
      </w:r>
      <w:r w:rsidR="001B1479" w:rsidRPr="00781BC6">
        <w:rPr>
          <w:rFonts w:eastAsiaTheme="minorHAnsi"/>
        </w:rPr>
        <w:t xml:space="preserve"> or strategic alliance activities.</w:t>
      </w:r>
      <w:r w:rsidR="00D25625" w:rsidRPr="00781BC6">
        <w:rPr>
          <w:rFonts w:eastAsiaTheme="minorHAnsi"/>
        </w:rPr>
        <w:t xml:space="preserve"> Treasury stock </w:t>
      </w:r>
      <w:r w:rsidR="00CE08FC" w:rsidRPr="00781BC6">
        <w:rPr>
          <w:rFonts w:eastAsiaTheme="minorHAnsi"/>
        </w:rPr>
        <w:t>could</w:t>
      </w:r>
      <w:r w:rsidR="00D25625" w:rsidRPr="00781BC6">
        <w:rPr>
          <w:rFonts w:eastAsiaTheme="minorHAnsi"/>
        </w:rPr>
        <w:t xml:space="preserve"> also be transferred to</w:t>
      </w:r>
      <w:r w:rsidR="008434DE" w:rsidRPr="00781BC6">
        <w:rPr>
          <w:rFonts w:eastAsiaTheme="minorHAnsi"/>
        </w:rPr>
        <w:t xml:space="preserve"> employee incentive schemes.</w:t>
      </w:r>
    </w:p>
    <w:p w14:paraId="778425D8" w14:textId="77777777" w:rsidR="007B2909" w:rsidRPr="00781BC6" w:rsidRDefault="007B2909" w:rsidP="00781BC6">
      <w:pPr>
        <w:pStyle w:val="BodyTextMain"/>
        <w:rPr>
          <w:rFonts w:eastAsiaTheme="minorEastAsia"/>
        </w:rPr>
      </w:pPr>
    </w:p>
    <w:p w14:paraId="03C069A4" w14:textId="68F19B9B" w:rsidR="00FF289C" w:rsidRPr="00781BC6" w:rsidRDefault="00FF289C" w:rsidP="00781BC6">
      <w:pPr>
        <w:pStyle w:val="BodyTextMain"/>
        <w:rPr>
          <w:rFonts w:eastAsiaTheme="minorEastAsia"/>
        </w:rPr>
      </w:pPr>
      <w:r w:rsidRPr="00781BC6">
        <w:rPr>
          <w:rFonts w:eastAsiaTheme="minorEastAsia"/>
        </w:rPr>
        <w:t xml:space="preserve">Unlike other wealthy </w:t>
      </w:r>
      <w:r w:rsidR="00CE08FC" w:rsidRPr="00781BC6">
        <w:rPr>
          <w:rFonts w:eastAsiaTheme="minorEastAsia"/>
        </w:rPr>
        <w:t>individuals</w:t>
      </w:r>
      <w:r w:rsidRPr="00781BC6">
        <w:rPr>
          <w:rFonts w:eastAsiaTheme="minorEastAsia"/>
        </w:rPr>
        <w:t xml:space="preserve">, Yamauchi </w:t>
      </w:r>
      <w:r w:rsidR="005E396D" w:rsidRPr="00781BC6">
        <w:rPr>
          <w:rFonts w:eastAsiaTheme="minorEastAsia"/>
        </w:rPr>
        <w:t>had</w:t>
      </w:r>
      <w:r w:rsidRPr="00781BC6">
        <w:rPr>
          <w:rFonts w:eastAsiaTheme="minorEastAsia"/>
        </w:rPr>
        <w:t xml:space="preserve"> not set up charitable foundations. He once said</w:t>
      </w:r>
      <w:r w:rsidR="00153A43" w:rsidRPr="00781BC6">
        <w:rPr>
          <w:rFonts w:eastAsiaTheme="minorEastAsia"/>
        </w:rPr>
        <w:t>,</w:t>
      </w:r>
      <w:r w:rsidRPr="00781BC6">
        <w:rPr>
          <w:rFonts w:eastAsiaTheme="minorEastAsia"/>
        </w:rPr>
        <w:t xml:space="preserve"> “I think I am involved in community service sufficiently. I am the biggest individual taxpayer in Kyoto, and Nintendo is the largest taxpayer overall.”</w:t>
      </w:r>
      <w:r w:rsidRPr="00781BC6">
        <w:rPr>
          <w:rFonts w:eastAsiaTheme="minorEastAsia"/>
          <w:vertAlign w:val="superscript"/>
        </w:rPr>
        <w:endnoteReference w:id="46"/>
      </w:r>
      <w:r w:rsidRPr="00781BC6">
        <w:rPr>
          <w:rFonts w:eastAsiaTheme="minorEastAsia"/>
        </w:rPr>
        <w:t xml:space="preserve"> In 1992, Yamauchi acquired a major stake </w:t>
      </w:r>
      <w:r w:rsidR="00CE08FC" w:rsidRPr="00781BC6">
        <w:rPr>
          <w:rFonts w:eastAsiaTheme="minorEastAsia"/>
        </w:rPr>
        <w:t>in</w:t>
      </w:r>
      <w:r w:rsidRPr="00781BC6">
        <w:rPr>
          <w:rFonts w:eastAsiaTheme="minorEastAsia"/>
        </w:rPr>
        <w:t xml:space="preserve"> the Seattle Mariners</w:t>
      </w:r>
      <w:r w:rsidR="00D643D2" w:rsidRPr="00781BC6">
        <w:rPr>
          <w:rFonts w:eastAsiaTheme="minorEastAsia"/>
        </w:rPr>
        <w:t>,</w:t>
      </w:r>
      <w:r w:rsidRPr="00781BC6">
        <w:rPr>
          <w:rFonts w:eastAsiaTheme="minorEastAsia"/>
        </w:rPr>
        <w:t xml:space="preserve"> </w:t>
      </w:r>
      <w:r w:rsidR="00811FB0" w:rsidRPr="00781BC6">
        <w:rPr>
          <w:rFonts w:eastAsiaTheme="minorEastAsia"/>
        </w:rPr>
        <w:t xml:space="preserve">the Major League Baseball team, </w:t>
      </w:r>
      <w:r w:rsidRPr="00781BC6">
        <w:rPr>
          <w:rFonts w:eastAsiaTheme="minorEastAsia"/>
        </w:rPr>
        <w:t xml:space="preserve">even though he had no interest in baseball and </w:t>
      </w:r>
      <w:r w:rsidR="00D643D2" w:rsidRPr="00781BC6">
        <w:rPr>
          <w:rFonts w:eastAsiaTheme="minorEastAsia"/>
        </w:rPr>
        <w:t xml:space="preserve">had </w:t>
      </w:r>
      <w:r w:rsidRPr="00781BC6">
        <w:rPr>
          <w:rFonts w:eastAsiaTheme="minorEastAsia"/>
        </w:rPr>
        <w:t xml:space="preserve">never </w:t>
      </w:r>
      <w:r w:rsidR="00D643D2" w:rsidRPr="00781BC6">
        <w:rPr>
          <w:rFonts w:eastAsiaTheme="minorEastAsia"/>
        </w:rPr>
        <w:t>gone</w:t>
      </w:r>
      <w:r w:rsidRPr="00781BC6">
        <w:rPr>
          <w:rFonts w:eastAsiaTheme="minorEastAsia"/>
        </w:rPr>
        <w:t xml:space="preserve"> to a baseball game in his life. He saw the public relation</w:t>
      </w:r>
      <w:r w:rsidR="00D643D2" w:rsidRPr="00781BC6">
        <w:rPr>
          <w:rFonts w:eastAsiaTheme="minorEastAsia"/>
        </w:rPr>
        <w:t>s</w:t>
      </w:r>
      <w:r w:rsidRPr="00781BC6">
        <w:rPr>
          <w:rFonts w:eastAsiaTheme="minorEastAsia"/>
        </w:rPr>
        <w:t xml:space="preserve"> value </w:t>
      </w:r>
      <w:r w:rsidR="00D643D2" w:rsidRPr="00781BC6">
        <w:rPr>
          <w:rFonts w:eastAsiaTheme="minorEastAsia"/>
        </w:rPr>
        <w:t>in</w:t>
      </w:r>
      <w:r w:rsidRPr="00781BC6">
        <w:rPr>
          <w:rFonts w:eastAsiaTheme="minorEastAsia"/>
        </w:rPr>
        <w:t xml:space="preserve"> rescuing the financially troubled major league team for Seattle, where Nintendo of America was located. </w:t>
      </w:r>
      <w:r w:rsidR="001A5D74" w:rsidRPr="00781BC6">
        <w:rPr>
          <w:rFonts w:eastAsiaTheme="minorEastAsia"/>
        </w:rPr>
        <w:t xml:space="preserve">Yamauchi personally provided US$75 million of the </w:t>
      </w:r>
      <w:r w:rsidRPr="00781BC6">
        <w:rPr>
          <w:rFonts w:eastAsiaTheme="minorEastAsia"/>
        </w:rPr>
        <w:t>US$1</w:t>
      </w:r>
      <w:r w:rsidR="001A5D74" w:rsidRPr="00781BC6">
        <w:rPr>
          <w:rFonts w:eastAsiaTheme="minorEastAsia"/>
        </w:rPr>
        <w:t>25</w:t>
      </w:r>
      <w:r w:rsidRPr="00781BC6">
        <w:rPr>
          <w:rFonts w:eastAsiaTheme="minorEastAsia"/>
        </w:rPr>
        <w:t xml:space="preserve"> million</w:t>
      </w:r>
      <w:r w:rsidR="001A5D74" w:rsidRPr="00781BC6">
        <w:rPr>
          <w:rFonts w:eastAsiaTheme="minorEastAsia"/>
        </w:rPr>
        <w:t xml:space="preserve"> purchase price (60 per cent ownership)</w:t>
      </w:r>
      <w:r w:rsidRPr="00781BC6">
        <w:rPr>
          <w:rFonts w:eastAsiaTheme="minorEastAsia"/>
        </w:rPr>
        <w:t>,</w:t>
      </w:r>
      <w:r w:rsidR="001A5D74" w:rsidRPr="00781BC6">
        <w:rPr>
          <w:rFonts w:eastAsiaTheme="minorEastAsia"/>
        </w:rPr>
        <w:t xml:space="preserve"> but had less than 50 per cent of the voting stock</w:t>
      </w:r>
      <w:r w:rsidRPr="00781BC6">
        <w:rPr>
          <w:rFonts w:eastAsiaTheme="minorEastAsia"/>
        </w:rPr>
        <w:t>.</w:t>
      </w:r>
      <w:r w:rsidRPr="00781BC6">
        <w:rPr>
          <w:rFonts w:eastAsiaTheme="minorEastAsia"/>
          <w:vertAlign w:val="superscript"/>
        </w:rPr>
        <w:endnoteReference w:id="47"/>
      </w:r>
      <w:r w:rsidRPr="00781BC6">
        <w:rPr>
          <w:rFonts w:eastAsiaTheme="minorEastAsia"/>
          <w:vertAlign w:val="superscript"/>
        </w:rPr>
        <w:t xml:space="preserve"> </w:t>
      </w:r>
    </w:p>
    <w:p w14:paraId="679F488E" w14:textId="77777777" w:rsidR="0068763A" w:rsidRPr="00781BC6" w:rsidRDefault="0068763A" w:rsidP="00781BC6">
      <w:pPr>
        <w:pStyle w:val="BodyTextMain"/>
        <w:rPr>
          <w:rFonts w:eastAsiaTheme="minorEastAsia"/>
        </w:rPr>
      </w:pPr>
    </w:p>
    <w:p w14:paraId="64AF4D3F" w14:textId="77777777" w:rsidR="0068763A" w:rsidRPr="00D717E3" w:rsidRDefault="0068763A" w:rsidP="00FF289C">
      <w:pPr>
        <w:pStyle w:val="BodyTextMain"/>
        <w:rPr>
          <w:rFonts w:eastAsiaTheme="minorEastAsia"/>
          <w:color w:val="1A1A1A"/>
          <w:lang w:val="en-GB" w:eastAsia="ja-JP" w:bidi="th-TH"/>
        </w:rPr>
      </w:pPr>
    </w:p>
    <w:p w14:paraId="7A905250" w14:textId="05056E14" w:rsidR="00FF289C" w:rsidRPr="00D717E3" w:rsidRDefault="00FF289C" w:rsidP="003336A8">
      <w:pPr>
        <w:pStyle w:val="Casehead1"/>
        <w:outlineLvl w:val="0"/>
        <w:rPr>
          <w:rFonts w:eastAsiaTheme="minorEastAsia"/>
          <w:lang w:val="en-GB" w:eastAsia="ja-JP" w:bidi="th-TH"/>
        </w:rPr>
      </w:pPr>
      <w:r w:rsidRPr="00D717E3">
        <w:rPr>
          <w:rFonts w:eastAsiaTheme="minorEastAsia"/>
          <w:lang w:val="en-GB" w:eastAsia="ja-JP" w:bidi="th-TH"/>
        </w:rPr>
        <w:t>WHAT TO DO</w:t>
      </w:r>
      <w:r w:rsidR="0068763A" w:rsidRPr="00D717E3">
        <w:rPr>
          <w:rFonts w:eastAsiaTheme="minorEastAsia"/>
          <w:lang w:val="en-GB" w:eastAsia="ja-JP" w:bidi="th-TH"/>
        </w:rPr>
        <w:t xml:space="preserve"> now</w:t>
      </w:r>
      <w:r w:rsidRPr="00D717E3">
        <w:rPr>
          <w:rFonts w:eastAsiaTheme="minorEastAsia"/>
          <w:lang w:val="en-GB" w:eastAsia="ja-JP" w:bidi="th-TH"/>
        </w:rPr>
        <w:t>?</w:t>
      </w:r>
    </w:p>
    <w:p w14:paraId="0DB2CBEA" w14:textId="77777777" w:rsidR="00FF289C" w:rsidRPr="00D717E3" w:rsidRDefault="00FF289C" w:rsidP="001562DA">
      <w:pPr>
        <w:pStyle w:val="BodyTextMain"/>
        <w:rPr>
          <w:sz w:val="18"/>
          <w:lang w:val="en-GB" w:bidi="th-TH"/>
        </w:rPr>
      </w:pPr>
    </w:p>
    <w:p w14:paraId="1F45856F" w14:textId="02065CD8" w:rsidR="00E40509" w:rsidRPr="001900AD" w:rsidRDefault="00FF289C" w:rsidP="001900AD">
      <w:pPr>
        <w:pStyle w:val="BodyTextMain"/>
      </w:pPr>
      <w:r w:rsidRPr="001900AD">
        <w:rPr>
          <w:rFonts w:eastAsiaTheme="minorEastAsia"/>
        </w:rPr>
        <w:t>Nintendo was facing many challenges and obstacles</w:t>
      </w:r>
      <w:r w:rsidR="00F9428A" w:rsidRPr="001900AD">
        <w:rPr>
          <w:rFonts w:eastAsiaTheme="minorEastAsia"/>
        </w:rPr>
        <w:t xml:space="preserve"> and</w:t>
      </w:r>
      <w:r w:rsidRPr="001900AD">
        <w:rPr>
          <w:rFonts w:eastAsiaTheme="minorEastAsia"/>
        </w:rPr>
        <w:t xml:space="preserve"> </w:t>
      </w:r>
      <w:r w:rsidR="00F9428A" w:rsidRPr="001900AD">
        <w:rPr>
          <w:rFonts w:eastAsiaTheme="minorEastAsia"/>
        </w:rPr>
        <w:t xml:space="preserve">had to consider how to </w:t>
      </w:r>
      <w:r w:rsidR="00B15A44" w:rsidRPr="001900AD">
        <w:rPr>
          <w:rFonts w:eastAsiaTheme="minorEastAsia"/>
        </w:rPr>
        <w:t>deal with</w:t>
      </w:r>
      <w:r w:rsidR="00F9428A" w:rsidRPr="001900AD">
        <w:rPr>
          <w:rFonts w:eastAsiaTheme="minorEastAsia"/>
        </w:rPr>
        <w:t xml:space="preserve"> the Yamauchi family’s inheritance tax.</w:t>
      </w:r>
      <w:r w:rsidRPr="001900AD">
        <w:rPr>
          <w:rFonts w:eastAsiaTheme="minorEastAsia"/>
        </w:rPr>
        <w:t xml:space="preserve"> Should Nintendo consider dividends or share buybacks? Should Nintendo merge with a large company such as Sony, Microsoft, or </w:t>
      </w:r>
      <w:r w:rsidR="00D643D2" w:rsidRPr="001900AD">
        <w:rPr>
          <w:rFonts w:eastAsiaTheme="minorEastAsia"/>
        </w:rPr>
        <w:t xml:space="preserve">the Walt </w:t>
      </w:r>
      <w:r w:rsidRPr="001900AD">
        <w:rPr>
          <w:rFonts w:eastAsiaTheme="minorEastAsia"/>
        </w:rPr>
        <w:t>Disney</w:t>
      </w:r>
      <w:r w:rsidR="00D643D2" w:rsidRPr="001900AD">
        <w:rPr>
          <w:rFonts w:eastAsiaTheme="minorEastAsia"/>
        </w:rPr>
        <w:t xml:space="preserve"> Company</w:t>
      </w:r>
      <w:r w:rsidRPr="001900AD">
        <w:rPr>
          <w:rFonts w:eastAsiaTheme="minorEastAsia"/>
        </w:rPr>
        <w:t xml:space="preserve">? </w:t>
      </w:r>
      <w:r w:rsidR="00D643D2" w:rsidRPr="001900AD">
        <w:rPr>
          <w:rFonts w:eastAsiaTheme="minorEastAsia"/>
        </w:rPr>
        <w:t>Should it consider</w:t>
      </w:r>
      <w:r w:rsidRPr="001900AD">
        <w:rPr>
          <w:rFonts w:eastAsiaTheme="minorEastAsia"/>
        </w:rPr>
        <w:t xml:space="preserve"> acquiring suppliers to </w:t>
      </w:r>
      <w:r w:rsidR="00D643D2" w:rsidRPr="001900AD">
        <w:rPr>
          <w:rFonts w:eastAsiaTheme="minorEastAsia"/>
        </w:rPr>
        <w:t>gain</w:t>
      </w:r>
      <w:r w:rsidRPr="001900AD">
        <w:rPr>
          <w:rFonts w:eastAsiaTheme="minorEastAsia"/>
        </w:rPr>
        <w:t xml:space="preserve"> better </w:t>
      </w:r>
      <w:r w:rsidRPr="001900AD">
        <w:t>control over the retail side of the supply chain such as production of its games, consoles, and merchandise?</w:t>
      </w:r>
    </w:p>
    <w:p w14:paraId="491CBA5B" w14:textId="77777777" w:rsidR="00E40509" w:rsidRPr="00D717E3" w:rsidRDefault="00E40509">
      <w:pPr>
        <w:spacing w:after="200" w:line="276" w:lineRule="auto"/>
        <w:rPr>
          <w:color w:val="231F20"/>
          <w:shd w:val="clear" w:color="auto" w:fill="FFFFFF"/>
          <w:lang w:val="en-GB"/>
        </w:rPr>
        <w:sectPr w:rsidR="00E40509" w:rsidRPr="00D717E3" w:rsidSect="00751E0B">
          <w:headerReference w:type="default" r:id="rId12"/>
          <w:endnotePr>
            <w:numFmt w:val="decimal"/>
          </w:endnotePr>
          <w:pgSz w:w="12240" w:h="15840" w:code="1"/>
          <w:pgMar w:top="1080" w:right="1440" w:bottom="1440" w:left="1440" w:header="1080" w:footer="720" w:gutter="0"/>
          <w:cols w:space="720"/>
          <w:titlePg/>
          <w:docGrid w:linePitch="360"/>
        </w:sectPr>
      </w:pPr>
    </w:p>
    <w:p w14:paraId="4635D24B" w14:textId="272CABF0" w:rsidR="00E40509" w:rsidRPr="00D717E3" w:rsidRDefault="00E40509">
      <w:pPr>
        <w:pStyle w:val="ExhibitHeading"/>
        <w:rPr>
          <w:lang w:val="en-GB"/>
        </w:rPr>
      </w:pPr>
      <w:r w:rsidRPr="00D717E3">
        <w:rPr>
          <w:lang w:val="en-GB"/>
        </w:rPr>
        <w:lastRenderedPageBreak/>
        <w:t xml:space="preserve">Exhibit 1: nintendo balance sheet (in </w:t>
      </w:r>
      <w:r w:rsidR="00D51026" w:rsidRPr="00D717E3">
        <w:rPr>
          <w:rFonts w:eastAsiaTheme="minorEastAsia"/>
          <w:lang w:val="en-GB"/>
        </w:rPr>
        <w:t xml:space="preserve">¥ </w:t>
      </w:r>
      <w:r w:rsidRPr="00D717E3">
        <w:rPr>
          <w:lang w:val="en-GB"/>
        </w:rPr>
        <w:t>millions, 200</w:t>
      </w:r>
      <w:r w:rsidR="003336A8" w:rsidRPr="00D717E3">
        <w:rPr>
          <w:lang w:val="en-GB"/>
        </w:rPr>
        <w:t>8</w:t>
      </w:r>
      <w:r w:rsidR="00D51026" w:rsidRPr="00D717E3">
        <w:rPr>
          <w:lang w:val="en-GB"/>
        </w:rPr>
        <w:t>–</w:t>
      </w:r>
      <w:r w:rsidRPr="00D717E3">
        <w:rPr>
          <w:lang w:val="en-GB"/>
        </w:rPr>
        <w:t>2014)</w:t>
      </w:r>
    </w:p>
    <w:p w14:paraId="0726020C" w14:textId="77777777" w:rsidR="00E40509" w:rsidRPr="00D717E3" w:rsidRDefault="00E40509" w:rsidP="00E40509">
      <w:pPr>
        <w:pStyle w:val="BodyTextMain"/>
        <w:rPr>
          <w:shd w:val="clear" w:color="auto" w:fill="FFFFFF"/>
          <w:lang w:val="en-GB" w:eastAsia="ja-JP"/>
        </w:rPr>
      </w:pPr>
    </w:p>
    <w:tbl>
      <w:tblPr>
        <w:tblStyle w:val="TableGrid"/>
        <w:tblW w:w="12505" w:type="dxa"/>
        <w:jc w:val="center"/>
        <w:tblLook w:val="04A0" w:firstRow="1" w:lastRow="0" w:firstColumn="1" w:lastColumn="0" w:noHBand="0" w:noVBand="1"/>
      </w:tblPr>
      <w:tblGrid>
        <w:gridCol w:w="3386"/>
        <w:gridCol w:w="1217"/>
        <w:gridCol w:w="1217"/>
        <w:gridCol w:w="1257"/>
        <w:gridCol w:w="1257"/>
        <w:gridCol w:w="1257"/>
        <w:gridCol w:w="1257"/>
        <w:gridCol w:w="1657"/>
      </w:tblGrid>
      <w:tr w:rsidR="00CC38F8" w:rsidRPr="00D717E3" w14:paraId="57134488" w14:textId="77777777" w:rsidTr="00014998">
        <w:trPr>
          <w:trHeight w:val="285"/>
          <w:jc w:val="center"/>
        </w:trPr>
        <w:tc>
          <w:tcPr>
            <w:tcW w:w="3386" w:type="dxa"/>
          </w:tcPr>
          <w:p w14:paraId="582927DA" w14:textId="77777777" w:rsidR="00CC38F8" w:rsidRPr="00D717E3" w:rsidRDefault="00CC38F8" w:rsidP="00BE6FC1">
            <w:pPr>
              <w:ind w:right="-138"/>
              <w:jc w:val="center"/>
              <w:rPr>
                <w:rFonts w:ascii="Arial" w:hAnsi="Arial" w:cs="Arial"/>
                <w:b/>
                <w:sz w:val="20"/>
                <w:szCs w:val="20"/>
                <w:lang w:val="en-GB" w:eastAsia="zh-CN"/>
              </w:rPr>
            </w:pPr>
          </w:p>
        </w:tc>
        <w:tc>
          <w:tcPr>
            <w:tcW w:w="1217" w:type="dxa"/>
          </w:tcPr>
          <w:p w14:paraId="3DEAB774" w14:textId="77777777" w:rsidR="00CC38F8" w:rsidRPr="00D717E3" w:rsidRDefault="00CC38F8" w:rsidP="00BE6FC1">
            <w:pPr>
              <w:ind w:right="-138"/>
              <w:jc w:val="center"/>
              <w:textAlignment w:val="bottom"/>
              <w:rPr>
                <w:rFonts w:ascii="Arial" w:hAnsi="Arial" w:cs="Arial"/>
                <w:b/>
                <w:sz w:val="20"/>
                <w:szCs w:val="20"/>
                <w:lang w:val="en-GB" w:eastAsia="zh-CN"/>
              </w:rPr>
            </w:pPr>
            <w:r w:rsidRPr="00D717E3">
              <w:rPr>
                <w:rFonts w:ascii="Arial" w:hAnsi="Arial" w:cs="Arial"/>
                <w:b/>
                <w:color w:val="000000"/>
                <w:kern w:val="24"/>
                <w:sz w:val="20"/>
                <w:szCs w:val="20"/>
                <w:lang w:val="en-GB" w:eastAsia="zh-CN"/>
              </w:rPr>
              <w:t>FY2008</w:t>
            </w:r>
          </w:p>
        </w:tc>
        <w:tc>
          <w:tcPr>
            <w:tcW w:w="1217" w:type="dxa"/>
          </w:tcPr>
          <w:p w14:paraId="708CAE23" w14:textId="77777777" w:rsidR="00CC38F8" w:rsidRPr="00D717E3" w:rsidRDefault="00CC38F8" w:rsidP="00BE6FC1">
            <w:pPr>
              <w:ind w:right="-138"/>
              <w:jc w:val="center"/>
              <w:textAlignment w:val="bottom"/>
              <w:rPr>
                <w:rFonts w:ascii="Arial" w:hAnsi="Arial" w:cs="Arial"/>
                <w:b/>
                <w:sz w:val="20"/>
                <w:szCs w:val="20"/>
                <w:lang w:val="en-GB" w:eastAsia="zh-CN"/>
              </w:rPr>
            </w:pPr>
            <w:r w:rsidRPr="00D717E3">
              <w:rPr>
                <w:rFonts w:ascii="Arial" w:hAnsi="Arial" w:cs="Arial"/>
                <w:b/>
                <w:color w:val="000000" w:themeColor="text1"/>
                <w:kern w:val="24"/>
                <w:sz w:val="20"/>
                <w:szCs w:val="20"/>
                <w:lang w:val="en-GB"/>
              </w:rPr>
              <w:t>FY2009</w:t>
            </w:r>
          </w:p>
        </w:tc>
        <w:tc>
          <w:tcPr>
            <w:tcW w:w="1257" w:type="dxa"/>
          </w:tcPr>
          <w:p w14:paraId="60015C1D" w14:textId="77777777" w:rsidR="00CC38F8" w:rsidRPr="00D717E3" w:rsidRDefault="00CC38F8" w:rsidP="00BE6FC1">
            <w:pPr>
              <w:ind w:right="-138"/>
              <w:jc w:val="center"/>
              <w:textAlignment w:val="bottom"/>
              <w:rPr>
                <w:rFonts w:ascii="Arial" w:hAnsi="Arial" w:cs="Arial"/>
                <w:b/>
                <w:sz w:val="20"/>
                <w:szCs w:val="20"/>
                <w:lang w:val="en-GB" w:eastAsia="zh-CN"/>
              </w:rPr>
            </w:pPr>
            <w:r w:rsidRPr="00D717E3">
              <w:rPr>
                <w:rFonts w:ascii="Arial" w:hAnsi="Arial" w:cs="Arial"/>
                <w:b/>
                <w:color w:val="000000" w:themeColor="text1"/>
                <w:kern w:val="24"/>
                <w:sz w:val="20"/>
                <w:szCs w:val="20"/>
                <w:lang w:val="en-GB"/>
              </w:rPr>
              <w:t>FY2010</w:t>
            </w:r>
          </w:p>
        </w:tc>
        <w:tc>
          <w:tcPr>
            <w:tcW w:w="1257" w:type="dxa"/>
          </w:tcPr>
          <w:p w14:paraId="2F37B7DA" w14:textId="77777777" w:rsidR="00CC38F8" w:rsidRPr="00D717E3" w:rsidRDefault="00CC38F8" w:rsidP="00BE6FC1">
            <w:pPr>
              <w:ind w:right="-138"/>
              <w:jc w:val="center"/>
              <w:textAlignment w:val="bottom"/>
              <w:rPr>
                <w:rFonts w:ascii="Arial" w:hAnsi="Arial" w:cs="Arial"/>
                <w:b/>
                <w:sz w:val="20"/>
                <w:szCs w:val="20"/>
                <w:lang w:val="en-GB" w:eastAsia="zh-CN"/>
              </w:rPr>
            </w:pPr>
            <w:r w:rsidRPr="00D717E3">
              <w:rPr>
                <w:rFonts w:ascii="Arial" w:hAnsi="Arial" w:cs="Arial"/>
                <w:b/>
                <w:color w:val="000000" w:themeColor="text1"/>
                <w:kern w:val="24"/>
                <w:sz w:val="20"/>
                <w:szCs w:val="20"/>
                <w:lang w:val="en-GB"/>
              </w:rPr>
              <w:t>FY2011</w:t>
            </w:r>
          </w:p>
        </w:tc>
        <w:tc>
          <w:tcPr>
            <w:tcW w:w="1257" w:type="dxa"/>
          </w:tcPr>
          <w:p w14:paraId="0794EE94" w14:textId="77777777" w:rsidR="00CC38F8" w:rsidRPr="00D717E3" w:rsidRDefault="00CC38F8" w:rsidP="00BE6FC1">
            <w:pPr>
              <w:ind w:right="-138"/>
              <w:jc w:val="center"/>
              <w:textAlignment w:val="bottom"/>
              <w:rPr>
                <w:rFonts w:ascii="Arial" w:hAnsi="Arial" w:cs="Arial"/>
                <w:b/>
                <w:sz w:val="20"/>
                <w:szCs w:val="20"/>
                <w:lang w:val="en-GB" w:eastAsia="zh-CN"/>
              </w:rPr>
            </w:pPr>
            <w:r w:rsidRPr="00D717E3">
              <w:rPr>
                <w:rFonts w:ascii="Arial" w:hAnsi="Arial" w:cs="Arial"/>
                <w:b/>
                <w:color w:val="000000" w:themeColor="text1"/>
                <w:kern w:val="24"/>
                <w:sz w:val="20"/>
                <w:szCs w:val="20"/>
                <w:lang w:val="en-GB"/>
              </w:rPr>
              <w:t>FY2012</w:t>
            </w:r>
          </w:p>
        </w:tc>
        <w:tc>
          <w:tcPr>
            <w:tcW w:w="1257" w:type="dxa"/>
          </w:tcPr>
          <w:p w14:paraId="77916912" w14:textId="77777777" w:rsidR="00CC38F8" w:rsidRPr="00D717E3" w:rsidRDefault="00CC38F8" w:rsidP="00BE6FC1">
            <w:pPr>
              <w:ind w:right="-138"/>
              <w:jc w:val="center"/>
              <w:textAlignment w:val="bottom"/>
              <w:rPr>
                <w:rFonts w:ascii="Arial" w:hAnsi="Arial" w:cs="Arial"/>
                <w:b/>
                <w:sz w:val="20"/>
                <w:szCs w:val="20"/>
                <w:lang w:val="en-GB" w:eastAsia="zh-CN"/>
              </w:rPr>
            </w:pPr>
            <w:r w:rsidRPr="00D717E3">
              <w:rPr>
                <w:rFonts w:ascii="Arial" w:hAnsi="Arial" w:cs="Arial"/>
                <w:b/>
                <w:color w:val="000000" w:themeColor="text1"/>
                <w:kern w:val="24"/>
                <w:sz w:val="20"/>
                <w:szCs w:val="20"/>
                <w:lang w:val="en-GB"/>
              </w:rPr>
              <w:t>FY2013</w:t>
            </w:r>
          </w:p>
        </w:tc>
        <w:tc>
          <w:tcPr>
            <w:tcW w:w="1657" w:type="dxa"/>
          </w:tcPr>
          <w:p w14:paraId="2078D86B" w14:textId="77777777" w:rsidR="00CC38F8" w:rsidRPr="00D717E3" w:rsidRDefault="00CC38F8" w:rsidP="00BE6FC1">
            <w:pPr>
              <w:ind w:right="-138"/>
              <w:jc w:val="center"/>
              <w:textAlignment w:val="bottom"/>
              <w:rPr>
                <w:rFonts w:ascii="Arial" w:hAnsi="Arial" w:cs="Arial"/>
                <w:b/>
                <w:sz w:val="20"/>
                <w:szCs w:val="20"/>
                <w:lang w:val="en-GB" w:eastAsia="zh-CN"/>
              </w:rPr>
            </w:pPr>
            <w:r w:rsidRPr="00D717E3">
              <w:rPr>
                <w:rFonts w:ascii="Arial" w:hAnsi="Arial" w:cs="Arial"/>
                <w:b/>
                <w:color w:val="000000" w:themeColor="text1"/>
                <w:kern w:val="24"/>
                <w:sz w:val="20"/>
                <w:szCs w:val="20"/>
                <w:lang w:val="en-GB"/>
              </w:rPr>
              <w:t>FY2014</w:t>
            </w:r>
          </w:p>
        </w:tc>
      </w:tr>
      <w:tr w:rsidR="00CC38F8" w:rsidRPr="00D717E3" w14:paraId="2E9B42D3" w14:textId="77777777" w:rsidTr="00014998">
        <w:trPr>
          <w:jc w:val="center"/>
        </w:trPr>
        <w:tc>
          <w:tcPr>
            <w:tcW w:w="3386" w:type="dxa"/>
          </w:tcPr>
          <w:p w14:paraId="1938F012" w14:textId="77777777" w:rsidR="00CC38F8" w:rsidRPr="00D717E3" w:rsidRDefault="00CC38F8" w:rsidP="00CC38F8">
            <w:pPr>
              <w:ind w:right="-138"/>
              <w:textAlignment w:val="bottom"/>
              <w:rPr>
                <w:rFonts w:ascii="Arial" w:hAnsi="Arial" w:cs="Arial"/>
                <w:b/>
                <w:sz w:val="20"/>
                <w:szCs w:val="20"/>
                <w:lang w:val="en-GB" w:eastAsia="zh-CN"/>
              </w:rPr>
            </w:pPr>
            <w:r w:rsidRPr="00D717E3">
              <w:rPr>
                <w:rFonts w:ascii="Arial" w:hAnsi="Arial" w:cs="Arial"/>
                <w:b/>
                <w:color w:val="000000"/>
                <w:kern w:val="24"/>
                <w:sz w:val="20"/>
                <w:szCs w:val="20"/>
                <w:lang w:val="en-GB" w:eastAsia="zh-CN"/>
              </w:rPr>
              <w:t>12 Months Ending</w:t>
            </w:r>
          </w:p>
        </w:tc>
        <w:tc>
          <w:tcPr>
            <w:tcW w:w="1217" w:type="dxa"/>
          </w:tcPr>
          <w:p w14:paraId="385EB423" w14:textId="23C95438" w:rsidR="00CC38F8" w:rsidRPr="00D717E3" w:rsidRDefault="00CC38F8" w:rsidP="00BE6FC1">
            <w:pPr>
              <w:ind w:right="-138"/>
              <w:jc w:val="center"/>
              <w:textAlignment w:val="bottom"/>
              <w:rPr>
                <w:rFonts w:ascii="Arial" w:hAnsi="Arial" w:cs="Arial"/>
                <w:b/>
                <w:sz w:val="20"/>
                <w:szCs w:val="20"/>
                <w:lang w:val="en-GB" w:eastAsia="zh-CN"/>
              </w:rPr>
            </w:pPr>
            <w:r w:rsidRPr="00D717E3">
              <w:rPr>
                <w:rFonts w:ascii="Arial" w:hAnsi="Arial" w:cs="Arial"/>
                <w:b/>
                <w:color w:val="000000"/>
                <w:kern w:val="24"/>
                <w:sz w:val="20"/>
                <w:szCs w:val="20"/>
                <w:lang w:val="en-GB" w:eastAsia="zh-CN"/>
              </w:rPr>
              <w:t>03/31/2008</w:t>
            </w:r>
          </w:p>
        </w:tc>
        <w:tc>
          <w:tcPr>
            <w:tcW w:w="1217" w:type="dxa"/>
          </w:tcPr>
          <w:p w14:paraId="24317523" w14:textId="7DB0B777" w:rsidR="00CC38F8" w:rsidRPr="00D717E3" w:rsidRDefault="00CC38F8" w:rsidP="00BE6FC1">
            <w:pPr>
              <w:ind w:right="-138"/>
              <w:jc w:val="center"/>
              <w:textAlignment w:val="bottom"/>
              <w:rPr>
                <w:rFonts w:ascii="Arial" w:hAnsi="Arial" w:cs="Arial"/>
                <w:b/>
                <w:sz w:val="20"/>
                <w:szCs w:val="20"/>
                <w:lang w:val="en-GB" w:eastAsia="zh-CN"/>
              </w:rPr>
            </w:pPr>
            <w:r w:rsidRPr="00D717E3">
              <w:rPr>
                <w:rFonts w:ascii="Arial" w:hAnsi="Arial" w:cs="Arial"/>
                <w:b/>
                <w:color w:val="000000" w:themeColor="text1"/>
                <w:kern w:val="24"/>
                <w:sz w:val="20"/>
                <w:szCs w:val="20"/>
                <w:lang w:val="en-GB"/>
              </w:rPr>
              <w:t>03/31/2009</w:t>
            </w:r>
          </w:p>
        </w:tc>
        <w:tc>
          <w:tcPr>
            <w:tcW w:w="1257" w:type="dxa"/>
          </w:tcPr>
          <w:p w14:paraId="18679210" w14:textId="77777777" w:rsidR="00CC38F8" w:rsidRPr="00D717E3" w:rsidRDefault="00CC38F8" w:rsidP="00BE6FC1">
            <w:pPr>
              <w:ind w:right="-138"/>
              <w:jc w:val="center"/>
              <w:textAlignment w:val="bottom"/>
              <w:rPr>
                <w:rFonts w:ascii="Arial" w:hAnsi="Arial" w:cs="Arial"/>
                <w:b/>
                <w:sz w:val="20"/>
                <w:szCs w:val="20"/>
                <w:lang w:val="en-GB" w:eastAsia="zh-CN"/>
              </w:rPr>
            </w:pPr>
            <w:r w:rsidRPr="00D717E3">
              <w:rPr>
                <w:rFonts w:ascii="Arial" w:hAnsi="Arial" w:cs="Arial"/>
                <w:b/>
                <w:color w:val="000000" w:themeColor="text1"/>
                <w:kern w:val="24"/>
                <w:sz w:val="20"/>
                <w:szCs w:val="20"/>
                <w:lang w:val="en-GB"/>
              </w:rPr>
              <w:t>03/31/2010</w:t>
            </w:r>
          </w:p>
        </w:tc>
        <w:tc>
          <w:tcPr>
            <w:tcW w:w="1257" w:type="dxa"/>
          </w:tcPr>
          <w:p w14:paraId="585B3B30" w14:textId="77777777" w:rsidR="00CC38F8" w:rsidRPr="00D717E3" w:rsidRDefault="00CC38F8" w:rsidP="00BE6FC1">
            <w:pPr>
              <w:ind w:right="-138"/>
              <w:jc w:val="center"/>
              <w:textAlignment w:val="bottom"/>
              <w:rPr>
                <w:rFonts w:ascii="Arial" w:hAnsi="Arial" w:cs="Arial"/>
                <w:b/>
                <w:sz w:val="20"/>
                <w:szCs w:val="20"/>
                <w:lang w:val="en-GB" w:eastAsia="zh-CN"/>
              </w:rPr>
            </w:pPr>
            <w:r w:rsidRPr="00D717E3">
              <w:rPr>
                <w:rFonts w:ascii="Arial" w:hAnsi="Arial" w:cs="Arial"/>
                <w:b/>
                <w:color w:val="000000" w:themeColor="text1"/>
                <w:kern w:val="24"/>
                <w:sz w:val="20"/>
                <w:szCs w:val="20"/>
                <w:lang w:val="en-GB"/>
              </w:rPr>
              <w:t>03/31/2011</w:t>
            </w:r>
          </w:p>
        </w:tc>
        <w:tc>
          <w:tcPr>
            <w:tcW w:w="1257" w:type="dxa"/>
          </w:tcPr>
          <w:p w14:paraId="3EFA964D" w14:textId="77777777" w:rsidR="00CC38F8" w:rsidRPr="00D717E3" w:rsidRDefault="00CC38F8" w:rsidP="00BE6FC1">
            <w:pPr>
              <w:ind w:right="-138"/>
              <w:jc w:val="center"/>
              <w:textAlignment w:val="bottom"/>
              <w:rPr>
                <w:rFonts w:ascii="Arial" w:hAnsi="Arial" w:cs="Arial"/>
                <w:b/>
                <w:sz w:val="20"/>
                <w:szCs w:val="20"/>
                <w:lang w:val="en-GB" w:eastAsia="zh-CN"/>
              </w:rPr>
            </w:pPr>
            <w:r w:rsidRPr="00D717E3">
              <w:rPr>
                <w:rFonts w:ascii="Arial" w:hAnsi="Arial" w:cs="Arial"/>
                <w:b/>
                <w:color w:val="000000" w:themeColor="text1"/>
                <w:kern w:val="24"/>
                <w:sz w:val="20"/>
                <w:szCs w:val="20"/>
                <w:lang w:val="en-GB"/>
              </w:rPr>
              <w:t>03/31/2012</w:t>
            </w:r>
          </w:p>
        </w:tc>
        <w:tc>
          <w:tcPr>
            <w:tcW w:w="1257" w:type="dxa"/>
          </w:tcPr>
          <w:p w14:paraId="2E64D719" w14:textId="77777777" w:rsidR="00CC38F8" w:rsidRPr="00D717E3" w:rsidRDefault="00CC38F8" w:rsidP="00BE6FC1">
            <w:pPr>
              <w:ind w:right="-138"/>
              <w:jc w:val="center"/>
              <w:textAlignment w:val="bottom"/>
              <w:rPr>
                <w:rFonts w:ascii="Arial" w:hAnsi="Arial" w:cs="Arial"/>
                <w:b/>
                <w:sz w:val="20"/>
                <w:szCs w:val="20"/>
                <w:lang w:val="en-GB" w:eastAsia="zh-CN"/>
              </w:rPr>
            </w:pPr>
            <w:r w:rsidRPr="00D717E3">
              <w:rPr>
                <w:rFonts w:ascii="Arial" w:hAnsi="Arial" w:cs="Arial"/>
                <w:b/>
                <w:color w:val="000000" w:themeColor="text1"/>
                <w:kern w:val="24"/>
                <w:sz w:val="20"/>
                <w:szCs w:val="20"/>
                <w:lang w:val="en-GB"/>
              </w:rPr>
              <w:t>03/31/2013</w:t>
            </w:r>
          </w:p>
        </w:tc>
        <w:tc>
          <w:tcPr>
            <w:tcW w:w="1657" w:type="dxa"/>
          </w:tcPr>
          <w:p w14:paraId="6D9CACBA" w14:textId="77777777" w:rsidR="00CC38F8" w:rsidRPr="00D717E3" w:rsidRDefault="00CC38F8" w:rsidP="00BE6FC1">
            <w:pPr>
              <w:ind w:right="-138"/>
              <w:jc w:val="center"/>
              <w:textAlignment w:val="bottom"/>
              <w:rPr>
                <w:rFonts w:ascii="Arial" w:hAnsi="Arial" w:cs="Arial"/>
                <w:b/>
                <w:sz w:val="20"/>
                <w:szCs w:val="20"/>
                <w:lang w:val="en-GB" w:eastAsia="zh-CN"/>
              </w:rPr>
            </w:pPr>
            <w:r w:rsidRPr="00D717E3">
              <w:rPr>
                <w:rFonts w:ascii="Arial" w:hAnsi="Arial" w:cs="Arial"/>
                <w:b/>
                <w:color w:val="000000" w:themeColor="text1"/>
                <w:kern w:val="24"/>
                <w:sz w:val="20"/>
                <w:szCs w:val="20"/>
                <w:lang w:val="en-GB"/>
              </w:rPr>
              <w:t>03/31/2014</w:t>
            </w:r>
          </w:p>
        </w:tc>
      </w:tr>
      <w:tr w:rsidR="00CC38F8" w:rsidRPr="00D717E3" w14:paraId="54BB8212" w14:textId="77777777" w:rsidTr="00014998">
        <w:trPr>
          <w:jc w:val="center"/>
        </w:trPr>
        <w:tc>
          <w:tcPr>
            <w:tcW w:w="3386" w:type="dxa"/>
          </w:tcPr>
          <w:p w14:paraId="155F57D2" w14:textId="77777777" w:rsidR="00CC38F8" w:rsidRPr="00D717E3" w:rsidRDefault="00CC38F8" w:rsidP="00BE6FC1">
            <w:pPr>
              <w:ind w:right="-138"/>
              <w:textAlignment w:val="bottom"/>
              <w:rPr>
                <w:rFonts w:ascii="Arial" w:hAnsi="Arial" w:cs="Arial"/>
                <w:b/>
                <w:sz w:val="20"/>
                <w:szCs w:val="20"/>
                <w:lang w:val="en-GB" w:eastAsia="zh-CN"/>
              </w:rPr>
            </w:pPr>
            <w:r w:rsidRPr="00D717E3">
              <w:rPr>
                <w:rFonts w:ascii="Arial" w:hAnsi="Arial" w:cs="Arial"/>
                <w:b/>
                <w:color w:val="000000"/>
                <w:kern w:val="24"/>
                <w:sz w:val="20"/>
                <w:szCs w:val="20"/>
                <w:lang w:val="en-GB" w:eastAsia="zh-CN"/>
              </w:rPr>
              <w:t>ASSETS</w:t>
            </w:r>
          </w:p>
        </w:tc>
        <w:tc>
          <w:tcPr>
            <w:tcW w:w="1217" w:type="dxa"/>
          </w:tcPr>
          <w:p w14:paraId="05B8CB7D" w14:textId="77777777" w:rsidR="00CC38F8" w:rsidRPr="00D717E3" w:rsidRDefault="00CC38F8" w:rsidP="00BE6FC1">
            <w:pPr>
              <w:ind w:right="-138"/>
              <w:jc w:val="center"/>
              <w:rPr>
                <w:rFonts w:ascii="Arial" w:hAnsi="Arial" w:cs="Arial"/>
                <w:sz w:val="20"/>
                <w:szCs w:val="20"/>
                <w:lang w:val="en-GB" w:eastAsia="zh-CN"/>
              </w:rPr>
            </w:pPr>
          </w:p>
        </w:tc>
        <w:tc>
          <w:tcPr>
            <w:tcW w:w="1217" w:type="dxa"/>
          </w:tcPr>
          <w:p w14:paraId="1D6336BB" w14:textId="77777777" w:rsidR="00CC38F8" w:rsidRPr="00D717E3" w:rsidRDefault="00CC38F8" w:rsidP="00BE6FC1">
            <w:pPr>
              <w:ind w:right="-138"/>
              <w:jc w:val="center"/>
              <w:rPr>
                <w:rFonts w:ascii="Arial" w:hAnsi="Arial" w:cs="Arial"/>
                <w:sz w:val="20"/>
                <w:szCs w:val="20"/>
                <w:lang w:val="en-GB" w:eastAsia="zh-CN"/>
              </w:rPr>
            </w:pPr>
          </w:p>
        </w:tc>
        <w:tc>
          <w:tcPr>
            <w:tcW w:w="1257" w:type="dxa"/>
          </w:tcPr>
          <w:p w14:paraId="02375FE1" w14:textId="77777777" w:rsidR="00CC38F8" w:rsidRPr="00D717E3" w:rsidRDefault="00CC38F8" w:rsidP="00BE6FC1">
            <w:pPr>
              <w:ind w:right="-138"/>
              <w:jc w:val="center"/>
              <w:rPr>
                <w:rFonts w:ascii="Arial" w:hAnsi="Arial" w:cs="Arial"/>
                <w:sz w:val="20"/>
                <w:szCs w:val="20"/>
                <w:lang w:val="en-GB" w:eastAsia="zh-CN"/>
              </w:rPr>
            </w:pPr>
          </w:p>
        </w:tc>
        <w:tc>
          <w:tcPr>
            <w:tcW w:w="1257" w:type="dxa"/>
          </w:tcPr>
          <w:p w14:paraId="2165FA34" w14:textId="77777777" w:rsidR="00CC38F8" w:rsidRPr="00D717E3" w:rsidRDefault="00CC38F8" w:rsidP="00BE6FC1">
            <w:pPr>
              <w:ind w:right="-138"/>
              <w:jc w:val="center"/>
              <w:rPr>
                <w:rFonts w:ascii="Arial" w:hAnsi="Arial" w:cs="Arial"/>
                <w:sz w:val="20"/>
                <w:szCs w:val="20"/>
                <w:lang w:val="en-GB" w:eastAsia="zh-CN"/>
              </w:rPr>
            </w:pPr>
          </w:p>
        </w:tc>
        <w:tc>
          <w:tcPr>
            <w:tcW w:w="1257" w:type="dxa"/>
          </w:tcPr>
          <w:p w14:paraId="603C70F6" w14:textId="77777777" w:rsidR="00CC38F8" w:rsidRPr="00D717E3" w:rsidRDefault="00CC38F8" w:rsidP="00BE6FC1">
            <w:pPr>
              <w:ind w:right="-138"/>
              <w:jc w:val="center"/>
              <w:rPr>
                <w:rFonts w:ascii="Arial" w:hAnsi="Arial" w:cs="Arial"/>
                <w:sz w:val="20"/>
                <w:szCs w:val="20"/>
                <w:lang w:val="en-GB" w:eastAsia="zh-CN"/>
              </w:rPr>
            </w:pPr>
          </w:p>
        </w:tc>
        <w:tc>
          <w:tcPr>
            <w:tcW w:w="1257" w:type="dxa"/>
          </w:tcPr>
          <w:p w14:paraId="09C67692" w14:textId="77777777" w:rsidR="00CC38F8" w:rsidRPr="00D717E3" w:rsidRDefault="00CC38F8" w:rsidP="00BE6FC1">
            <w:pPr>
              <w:ind w:right="-138"/>
              <w:jc w:val="center"/>
              <w:rPr>
                <w:rFonts w:ascii="Arial" w:hAnsi="Arial" w:cs="Arial"/>
                <w:sz w:val="20"/>
                <w:szCs w:val="20"/>
                <w:lang w:val="en-GB" w:eastAsia="zh-CN"/>
              </w:rPr>
            </w:pPr>
          </w:p>
        </w:tc>
        <w:tc>
          <w:tcPr>
            <w:tcW w:w="1657" w:type="dxa"/>
          </w:tcPr>
          <w:p w14:paraId="1DBF736B" w14:textId="77777777" w:rsidR="00CC38F8" w:rsidRPr="00D717E3" w:rsidRDefault="00CC38F8" w:rsidP="00BE6FC1">
            <w:pPr>
              <w:ind w:right="-138"/>
              <w:jc w:val="center"/>
              <w:rPr>
                <w:rFonts w:ascii="Arial" w:hAnsi="Arial" w:cs="Arial"/>
                <w:sz w:val="20"/>
                <w:szCs w:val="20"/>
                <w:lang w:val="en-GB" w:eastAsia="zh-CN"/>
              </w:rPr>
            </w:pPr>
          </w:p>
        </w:tc>
      </w:tr>
      <w:tr w:rsidR="00CC38F8" w:rsidRPr="00D717E3" w14:paraId="7AA4BB0C" w14:textId="77777777" w:rsidTr="00014998">
        <w:trPr>
          <w:jc w:val="center"/>
        </w:trPr>
        <w:tc>
          <w:tcPr>
            <w:tcW w:w="3386" w:type="dxa"/>
          </w:tcPr>
          <w:p w14:paraId="3879E134" w14:textId="77777777" w:rsidR="00CC38F8" w:rsidRPr="00D717E3" w:rsidRDefault="00CC38F8" w:rsidP="00BE6FC1">
            <w:pPr>
              <w:ind w:right="-138"/>
              <w:textAlignment w:val="bottom"/>
              <w:rPr>
                <w:rFonts w:ascii="Arial" w:hAnsi="Arial" w:cs="Arial"/>
                <w:sz w:val="20"/>
                <w:szCs w:val="20"/>
                <w:lang w:val="en-GB" w:eastAsia="zh-CN"/>
              </w:rPr>
            </w:pPr>
            <w:r w:rsidRPr="00D717E3">
              <w:rPr>
                <w:rFonts w:ascii="Arial" w:hAnsi="Arial" w:cs="Arial"/>
                <w:color w:val="000000"/>
                <w:kern w:val="24"/>
                <w:sz w:val="20"/>
                <w:szCs w:val="20"/>
                <w:lang w:val="en-GB" w:eastAsia="zh-CN"/>
              </w:rPr>
              <w:t>Cash &amp; Cash Equivalent</w:t>
            </w:r>
          </w:p>
        </w:tc>
        <w:tc>
          <w:tcPr>
            <w:tcW w:w="1217" w:type="dxa"/>
          </w:tcPr>
          <w:p w14:paraId="36C15A9D" w14:textId="77777777" w:rsidR="00CC38F8" w:rsidRPr="00D717E3" w:rsidRDefault="00CC38F8" w:rsidP="0012024C">
            <w:pPr>
              <w:ind w:right="-90"/>
              <w:jc w:val="right"/>
              <w:textAlignment w:val="bottom"/>
              <w:rPr>
                <w:rFonts w:ascii="Arial" w:hAnsi="Arial" w:cs="Arial"/>
                <w:sz w:val="20"/>
                <w:szCs w:val="20"/>
                <w:lang w:val="en-GB" w:eastAsia="zh-CN"/>
              </w:rPr>
            </w:pPr>
            <w:r w:rsidRPr="00D717E3">
              <w:rPr>
                <w:rFonts w:ascii="Arial" w:hAnsi="Arial" w:cs="Arial"/>
                <w:color w:val="000000"/>
                <w:kern w:val="24"/>
                <w:sz w:val="20"/>
                <w:szCs w:val="20"/>
                <w:lang w:val="en-GB" w:eastAsia="zh-CN"/>
              </w:rPr>
              <w:t>899,251</w:t>
            </w:r>
          </w:p>
        </w:tc>
        <w:tc>
          <w:tcPr>
            <w:tcW w:w="1217" w:type="dxa"/>
          </w:tcPr>
          <w:p w14:paraId="32BE00E4" w14:textId="77777777" w:rsidR="00CC38F8" w:rsidRPr="00D717E3" w:rsidRDefault="00CC38F8" w:rsidP="0012024C">
            <w:pPr>
              <w:ind w:right="-90"/>
              <w:jc w:val="right"/>
              <w:textAlignment w:val="bottom"/>
              <w:rPr>
                <w:rFonts w:ascii="Arial" w:hAnsi="Arial" w:cs="Arial"/>
                <w:sz w:val="20"/>
                <w:szCs w:val="20"/>
                <w:lang w:val="en-GB" w:eastAsia="zh-CN"/>
              </w:rPr>
            </w:pPr>
            <w:r w:rsidRPr="00D717E3">
              <w:rPr>
                <w:rFonts w:ascii="Arial" w:hAnsi="Arial" w:cs="Arial"/>
                <w:color w:val="000000" w:themeColor="text1"/>
                <w:kern w:val="24"/>
                <w:sz w:val="20"/>
                <w:szCs w:val="20"/>
                <w:lang w:val="en-GB"/>
              </w:rPr>
              <w:t>756,201</w:t>
            </w:r>
          </w:p>
        </w:tc>
        <w:tc>
          <w:tcPr>
            <w:tcW w:w="1257" w:type="dxa"/>
          </w:tcPr>
          <w:p w14:paraId="3E350C16" w14:textId="77777777" w:rsidR="00CC38F8" w:rsidRPr="00D717E3" w:rsidRDefault="00CC38F8" w:rsidP="0012024C">
            <w:pPr>
              <w:ind w:right="-90"/>
              <w:jc w:val="right"/>
              <w:textAlignment w:val="bottom"/>
              <w:rPr>
                <w:rFonts w:ascii="Arial" w:hAnsi="Arial" w:cs="Arial"/>
                <w:sz w:val="20"/>
                <w:szCs w:val="20"/>
                <w:lang w:val="en-GB" w:eastAsia="zh-CN"/>
              </w:rPr>
            </w:pPr>
            <w:r w:rsidRPr="00D717E3">
              <w:rPr>
                <w:rFonts w:ascii="Arial" w:hAnsi="Arial" w:cs="Arial"/>
                <w:color w:val="000000" w:themeColor="text1"/>
                <w:kern w:val="24"/>
                <w:sz w:val="20"/>
                <w:szCs w:val="20"/>
                <w:lang w:val="en-GB"/>
              </w:rPr>
              <w:t>886,995</w:t>
            </w:r>
          </w:p>
        </w:tc>
        <w:tc>
          <w:tcPr>
            <w:tcW w:w="1257" w:type="dxa"/>
          </w:tcPr>
          <w:p w14:paraId="141D78FE" w14:textId="77777777" w:rsidR="00CC38F8" w:rsidRPr="00D717E3" w:rsidRDefault="00CC38F8" w:rsidP="0012024C">
            <w:pPr>
              <w:ind w:right="-90"/>
              <w:jc w:val="right"/>
              <w:textAlignment w:val="bottom"/>
              <w:rPr>
                <w:rFonts w:ascii="Arial" w:hAnsi="Arial" w:cs="Arial"/>
                <w:sz w:val="20"/>
                <w:szCs w:val="20"/>
                <w:lang w:val="en-GB" w:eastAsia="zh-CN"/>
              </w:rPr>
            </w:pPr>
            <w:r w:rsidRPr="00D717E3">
              <w:rPr>
                <w:rFonts w:ascii="Arial" w:hAnsi="Arial" w:cs="Arial"/>
                <w:color w:val="000000" w:themeColor="text1"/>
                <w:kern w:val="24"/>
                <w:sz w:val="20"/>
                <w:szCs w:val="20"/>
                <w:lang w:val="en-GB"/>
              </w:rPr>
              <w:t>812,870</w:t>
            </w:r>
          </w:p>
        </w:tc>
        <w:tc>
          <w:tcPr>
            <w:tcW w:w="1257" w:type="dxa"/>
          </w:tcPr>
          <w:p w14:paraId="49B76950" w14:textId="77777777" w:rsidR="00CC38F8" w:rsidRPr="00D717E3" w:rsidRDefault="00CC38F8" w:rsidP="0012024C">
            <w:pPr>
              <w:ind w:right="-90"/>
              <w:jc w:val="right"/>
              <w:textAlignment w:val="bottom"/>
              <w:rPr>
                <w:rFonts w:ascii="Arial" w:hAnsi="Arial" w:cs="Arial"/>
                <w:sz w:val="20"/>
                <w:szCs w:val="20"/>
                <w:lang w:val="en-GB" w:eastAsia="zh-CN"/>
              </w:rPr>
            </w:pPr>
            <w:r w:rsidRPr="00D717E3">
              <w:rPr>
                <w:rFonts w:ascii="Arial" w:hAnsi="Arial" w:cs="Arial"/>
                <w:color w:val="000000" w:themeColor="text1"/>
                <w:kern w:val="24"/>
                <w:sz w:val="20"/>
                <w:szCs w:val="20"/>
                <w:lang w:val="en-GB"/>
              </w:rPr>
              <w:t>462,021</w:t>
            </w:r>
          </w:p>
        </w:tc>
        <w:tc>
          <w:tcPr>
            <w:tcW w:w="1257" w:type="dxa"/>
          </w:tcPr>
          <w:p w14:paraId="1C4FEF04" w14:textId="77777777" w:rsidR="00CC38F8" w:rsidRPr="00D717E3" w:rsidRDefault="00CC38F8" w:rsidP="0012024C">
            <w:pPr>
              <w:ind w:right="-90"/>
              <w:jc w:val="right"/>
              <w:textAlignment w:val="bottom"/>
              <w:rPr>
                <w:rFonts w:ascii="Arial" w:hAnsi="Arial" w:cs="Arial"/>
                <w:sz w:val="20"/>
                <w:szCs w:val="20"/>
                <w:lang w:val="en-GB" w:eastAsia="zh-CN"/>
              </w:rPr>
            </w:pPr>
            <w:r w:rsidRPr="00D717E3">
              <w:rPr>
                <w:rFonts w:ascii="Arial" w:hAnsi="Arial" w:cs="Arial"/>
                <w:color w:val="000000" w:themeColor="text1"/>
                <w:kern w:val="24"/>
                <w:sz w:val="20"/>
                <w:szCs w:val="20"/>
                <w:lang w:val="en-GB"/>
              </w:rPr>
              <w:t>478,761</w:t>
            </w:r>
          </w:p>
        </w:tc>
        <w:tc>
          <w:tcPr>
            <w:tcW w:w="1657" w:type="dxa"/>
          </w:tcPr>
          <w:p w14:paraId="419134D6" w14:textId="77777777" w:rsidR="00CC38F8" w:rsidRPr="00D717E3" w:rsidRDefault="00CC38F8" w:rsidP="0012024C">
            <w:pPr>
              <w:ind w:right="-90"/>
              <w:jc w:val="right"/>
              <w:textAlignment w:val="bottom"/>
              <w:rPr>
                <w:rFonts w:ascii="Arial" w:hAnsi="Arial" w:cs="Arial"/>
                <w:sz w:val="20"/>
                <w:szCs w:val="20"/>
                <w:lang w:val="en-GB" w:eastAsia="zh-CN"/>
              </w:rPr>
            </w:pPr>
            <w:r w:rsidRPr="00D717E3">
              <w:rPr>
                <w:rFonts w:ascii="Arial" w:hAnsi="Arial" w:cs="Arial"/>
                <w:color w:val="000000" w:themeColor="text1"/>
                <w:kern w:val="24"/>
                <w:sz w:val="20"/>
                <w:szCs w:val="20"/>
                <w:lang w:val="en-GB"/>
              </w:rPr>
              <w:t>474,297</w:t>
            </w:r>
          </w:p>
        </w:tc>
      </w:tr>
      <w:tr w:rsidR="00CC38F8" w:rsidRPr="00D717E3" w14:paraId="52BE4E2B" w14:textId="77777777" w:rsidTr="00014998">
        <w:trPr>
          <w:jc w:val="center"/>
        </w:trPr>
        <w:tc>
          <w:tcPr>
            <w:tcW w:w="3386" w:type="dxa"/>
          </w:tcPr>
          <w:p w14:paraId="1CA8BC3D" w14:textId="461EE2B8" w:rsidR="00CC38F8" w:rsidRPr="00D717E3" w:rsidRDefault="00CC38F8" w:rsidP="00F23EAA">
            <w:pPr>
              <w:ind w:right="-138"/>
              <w:textAlignment w:val="bottom"/>
              <w:rPr>
                <w:rFonts w:ascii="Arial" w:hAnsi="Arial" w:cs="Arial"/>
                <w:sz w:val="20"/>
                <w:szCs w:val="20"/>
                <w:lang w:val="en-GB" w:eastAsia="zh-CN"/>
              </w:rPr>
            </w:pPr>
            <w:r w:rsidRPr="00D717E3">
              <w:rPr>
                <w:rFonts w:ascii="Arial" w:hAnsi="Arial" w:cs="Arial"/>
                <w:color w:val="000000"/>
                <w:kern w:val="24"/>
                <w:sz w:val="20"/>
                <w:szCs w:val="20"/>
                <w:lang w:val="en-GB" w:eastAsia="zh-CN"/>
              </w:rPr>
              <w:t>Short-</w:t>
            </w:r>
            <w:r w:rsidR="00F23EAA" w:rsidRPr="00D717E3">
              <w:rPr>
                <w:rFonts w:ascii="Arial" w:hAnsi="Arial" w:cs="Arial"/>
                <w:color w:val="000000"/>
                <w:kern w:val="24"/>
                <w:sz w:val="20"/>
                <w:szCs w:val="20"/>
                <w:lang w:val="en-GB" w:eastAsia="zh-CN"/>
              </w:rPr>
              <w:t>T</w:t>
            </w:r>
            <w:r w:rsidRPr="00D717E3">
              <w:rPr>
                <w:rFonts w:ascii="Arial" w:hAnsi="Arial" w:cs="Arial"/>
                <w:color w:val="000000"/>
                <w:kern w:val="24"/>
                <w:sz w:val="20"/>
                <w:szCs w:val="20"/>
                <w:lang w:val="en-GB" w:eastAsia="zh-CN"/>
              </w:rPr>
              <w:t>erm Investments</w:t>
            </w:r>
          </w:p>
        </w:tc>
        <w:tc>
          <w:tcPr>
            <w:tcW w:w="1217" w:type="dxa"/>
          </w:tcPr>
          <w:p w14:paraId="104A33D3" w14:textId="77777777" w:rsidR="00CC38F8" w:rsidRPr="00D717E3" w:rsidRDefault="00CC38F8" w:rsidP="0012024C">
            <w:pPr>
              <w:ind w:right="-90"/>
              <w:jc w:val="right"/>
              <w:textAlignment w:val="bottom"/>
              <w:rPr>
                <w:rFonts w:ascii="Arial" w:hAnsi="Arial" w:cs="Arial"/>
                <w:sz w:val="20"/>
                <w:szCs w:val="20"/>
                <w:lang w:val="en-GB" w:eastAsia="zh-CN"/>
              </w:rPr>
            </w:pPr>
            <w:r w:rsidRPr="00D717E3">
              <w:rPr>
                <w:rFonts w:ascii="Arial" w:hAnsi="Arial" w:cs="Arial"/>
                <w:color w:val="000000"/>
                <w:kern w:val="24"/>
                <w:sz w:val="20"/>
                <w:szCs w:val="20"/>
                <w:lang w:val="en-GB" w:eastAsia="zh-CN"/>
              </w:rPr>
              <w:t>353,070</w:t>
            </w:r>
          </w:p>
        </w:tc>
        <w:tc>
          <w:tcPr>
            <w:tcW w:w="1217" w:type="dxa"/>
          </w:tcPr>
          <w:p w14:paraId="09B2D9F5" w14:textId="77777777" w:rsidR="00CC38F8" w:rsidRPr="00D717E3" w:rsidRDefault="00CC38F8" w:rsidP="0012024C">
            <w:pPr>
              <w:ind w:right="-90"/>
              <w:jc w:val="right"/>
              <w:textAlignment w:val="bottom"/>
              <w:rPr>
                <w:rFonts w:ascii="Arial" w:hAnsi="Arial" w:cs="Arial"/>
                <w:sz w:val="20"/>
                <w:szCs w:val="20"/>
                <w:lang w:val="en-GB" w:eastAsia="zh-CN"/>
              </w:rPr>
            </w:pPr>
            <w:r w:rsidRPr="00D717E3">
              <w:rPr>
                <w:rFonts w:ascii="Arial" w:hAnsi="Arial" w:cs="Arial"/>
                <w:color w:val="000000" w:themeColor="text1"/>
                <w:kern w:val="24"/>
                <w:sz w:val="20"/>
                <w:szCs w:val="20"/>
                <w:lang w:val="en-GB"/>
              </w:rPr>
              <w:t>463,947</w:t>
            </w:r>
          </w:p>
        </w:tc>
        <w:tc>
          <w:tcPr>
            <w:tcW w:w="1257" w:type="dxa"/>
          </w:tcPr>
          <w:p w14:paraId="2D60373D" w14:textId="77777777" w:rsidR="00CC38F8" w:rsidRPr="00D717E3" w:rsidRDefault="00CC38F8" w:rsidP="0012024C">
            <w:pPr>
              <w:ind w:right="-90"/>
              <w:jc w:val="right"/>
              <w:textAlignment w:val="bottom"/>
              <w:rPr>
                <w:rFonts w:ascii="Arial" w:hAnsi="Arial" w:cs="Arial"/>
                <w:sz w:val="20"/>
                <w:szCs w:val="20"/>
                <w:lang w:val="en-GB" w:eastAsia="zh-CN"/>
              </w:rPr>
            </w:pPr>
            <w:r w:rsidRPr="00D717E3">
              <w:rPr>
                <w:rFonts w:ascii="Arial" w:hAnsi="Arial" w:cs="Arial"/>
                <w:color w:val="000000" w:themeColor="text1"/>
                <w:kern w:val="24"/>
                <w:sz w:val="20"/>
                <w:szCs w:val="20"/>
                <w:lang w:val="en-GB"/>
              </w:rPr>
              <w:t>365,326</w:t>
            </w:r>
          </w:p>
        </w:tc>
        <w:tc>
          <w:tcPr>
            <w:tcW w:w="1257" w:type="dxa"/>
          </w:tcPr>
          <w:p w14:paraId="5F33F194" w14:textId="77777777" w:rsidR="00CC38F8" w:rsidRPr="00D717E3" w:rsidRDefault="00CC38F8" w:rsidP="0012024C">
            <w:pPr>
              <w:ind w:right="-90"/>
              <w:jc w:val="right"/>
              <w:textAlignment w:val="bottom"/>
              <w:rPr>
                <w:rFonts w:ascii="Arial" w:hAnsi="Arial" w:cs="Arial"/>
                <w:sz w:val="20"/>
                <w:szCs w:val="20"/>
                <w:lang w:val="en-GB" w:eastAsia="zh-CN"/>
              </w:rPr>
            </w:pPr>
            <w:r w:rsidRPr="00D717E3">
              <w:rPr>
                <w:rFonts w:ascii="Arial" w:hAnsi="Arial" w:cs="Arial"/>
                <w:color w:val="000000" w:themeColor="text1"/>
                <w:kern w:val="24"/>
                <w:sz w:val="20"/>
                <w:szCs w:val="20"/>
                <w:lang w:val="en-GB"/>
              </w:rPr>
              <w:t>358,206</w:t>
            </w:r>
          </w:p>
        </w:tc>
        <w:tc>
          <w:tcPr>
            <w:tcW w:w="1257" w:type="dxa"/>
          </w:tcPr>
          <w:p w14:paraId="66C7B379" w14:textId="77777777" w:rsidR="00CC38F8" w:rsidRPr="00D717E3" w:rsidRDefault="00CC38F8" w:rsidP="0012024C">
            <w:pPr>
              <w:ind w:right="-90"/>
              <w:jc w:val="right"/>
              <w:textAlignment w:val="bottom"/>
              <w:rPr>
                <w:rFonts w:ascii="Arial" w:hAnsi="Arial" w:cs="Arial"/>
                <w:sz w:val="20"/>
                <w:szCs w:val="20"/>
                <w:lang w:val="en-GB" w:eastAsia="zh-CN"/>
              </w:rPr>
            </w:pPr>
            <w:r w:rsidRPr="00D717E3">
              <w:rPr>
                <w:rFonts w:ascii="Arial" w:hAnsi="Arial" w:cs="Arial"/>
                <w:color w:val="000000" w:themeColor="text1"/>
                <w:kern w:val="24"/>
                <w:sz w:val="20"/>
                <w:szCs w:val="20"/>
                <w:lang w:val="en-GB"/>
              </w:rPr>
              <w:t>496,301</w:t>
            </w:r>
          </w:p>
        </w:tc>
        <w:tc>
          <w:tcPr>
            <w:tcW w:w="1257" w:type="dxa"/>
          </w:tcPr>
          <w:p w14:paraId="163D1AB3" w14:textId="77777777" w:rsidR="00CC38F8" w:rsidRPr="00D717E3" w:rsidRDefault="00CC38F8" w:rsidP="0012024C">
            <w:pPr>
              <w:ind w:right="-90"/>
              <w:jc w:val="right"/>
              <w:textAlignment w:val="bottom"/>
              <w:rPr>
                <w:rFonts w:ascii="Arial" w:hAnsi="Arial" w:cs="Arial"/>
                <w:sz w:val="20"/>
                <w:szCs w:val="20"/>
                <w:lang w:val="en-GB" w:eastAsia="zh-CN"/>
              </w:rPr>
            </w:pPr>
            <w:r w:rsidRPr="00D717E3">
              <w:rPr>
                <w:rFonts w:ascii="Arial" w:hAnsi="Arial" w:cs="Arial"/>
                <w:color w:val="000000" w:themeColor="text1"/>
                <w:kern w:val="24"/>
                <w:sz w:val="20"/>
                <w:szCs w:val="20"/>
                <w:lang w:val="en-GB"/>
              </w:rPr>
              <w:t>424,540</w:t>
            </w:r>
          </w:p>
        </w:tc>
        <w:tc>
          <w:tcPr>
            <w:tcW w:w="1657" w:type="dxa"/>
          </w:tcPr>
          <w:p w14:paraId="41361487" w14:textId="77777777" w:rsidR="00CC38F8" w:rsidRPr="00D717E3" w:rsidRDefault="00CC38F8" w:rsidP="0012024C">
            <w:pPr>
              <w:ind w:right="-90"/>
              <w:jc w:val="right"/>
              <w:textAlignment w:val="bottom"/>
              <w:rPr>
                <w:rFonts w:ascii="Arial" w:hAnsi="Arial" w:cs="Arial"/>
                <w:sz w:val="20"/>
                <w:szCs w:val="20"/>
                <w:lang w:val="en-GB" w:eastAsia="zh-CN"/>
              </w:rPr>
            </w:pPr>
            <w:r w:rsidRPr="00D717E3">
              <w:rPr>
                <w:rFonts w:ascii="Arial" w:hAnsi="Arial" w:cs="Arial"/>
                <w:color w:val="000000" w:themeColor="text1"/>
                <w:kern w:val="24"/>
                <w:sz w:val="20"/>
                <w:szCs w:val="20"/>
                <w:lang w:val="en-GB"/>
              </w:rPr>
              <w:t>320,918</w:t>
            </w:r>
          </w:p>
        </w:tc>
      </w:tr>
      <w:tr w:rsidR="00CC38F8" w:rsidRPr="00D717E3" w14:paraId="27AAF5F4" w14:textId="77777777" w:rsidTr="00014998">
        <w:trPr>
          <w:jc w:val="center"/>
        </w:trPr>
        <w:tc>
          <w:tcPr>
            <w:tcW w:w="3386" w:type="dxa"/>
          </w:tcPr>
          <w:p w14:paraId="69C99A44" w14:textId="77777777" w:rsidR="00CC38F8" w:rsidRPr="00D717E3" w:rsidRDefault="00CC38F8" w:rsidP="00BE6FC1">
            <w:pPr>
              <w:ind w:right="-138"/>
              <w:textAlignment w:val="bottom"/>
              <w:rPr>
                <w:rFonts w:ascii="Arial" w:hAnsi="Arial" w:cs="Arial"/>
                <w:sz w:val="20"/>
                <w:szCs w:val="20"/>
                <w:lang w:val="en-GB" w:eastAsia="zh-CN"/>
              </w:rPr>
            </w:pPr>
            <w:r w:rsidRPr="00D717E3">
              <w:rPr>
                <w:rFonts w:ascii="Arial" w:hAnsi="Arial" w:cs="Arial"/>
                <w:color w:val="000000"/>
                <w:kern w:val="24"/>
                <w:sz w:val="20"/>
                <w:szCs w:val="20"/>
                <w:lang w:val="en-GB" w:eastAsia="zh-CN"/>
              </w:rPr>
              <w:t>Accounts &amp; Notes Receivable</w:t>
            </w:r>
          </w:p>
        </w:tc>
        <w:tc>
          <w:tcPr>
            <w:tcW w:w="1217" w:type="dxa"/>
          </w:tcPr>
          <w:p w14:paraId="763009F4" w14:textId="77777777" w:rsidR="00CC38F8" w:rsidRPr="00D717E3" w:rsidRDefault="00CC38F8" w:rsidP="0012024C">
            <w:pPr>
              <w:ind w:right="-90"/>
              <w:jc w:val="right"/>
              <w:textAlignment w:val="bottom"/>
              <w:rPr>
                <w:rFonts w:ascii="Arial" w:hAnsi="Arial" w:cs="Arial"/>
                <w:sz w:val="20"/>
                <w:szCs w:val="20"/>
                <w:lang w:val="en-GB" w:eastAsia="zh-CN"/>
              </w:rPr>
            </w:pPr>
            <w:r w:rsidRPr="00D717E3">
              <w:rPr>
                <w:rFonts w:ascii="Arial" w:hAnsi="Arial" w:cs="Arial"/>
                <w:color w:val="000000"/>
                <w:kern w:val="24"/>
                <w:sz w:val="20"/>
                <w:szCs w:val="20"/>
                <w:lang w:val="en-GB" w:eastAsia="zh-CN"/>
              </w:rPr>
              <w:t>145,611</w:t>
            </w:r>
          </w:p>
        </w:tc>
        <w:tc>
          <w:tcPr>
            <w:tcW w:w="1217" w:type="dxa"/>
          </w:tcPr>
          <w:p w14:paraId="2BFABB05" w14:textId="77777777" w:rsidR="00CC38F8" w:rsidRPr="00D717E3" w:rsidRDefault="00CC38F8" w:rsidP="0012024C">
            <w:pPr>
              <w:ind w:right="-90"/>
              <w:jc w:val="right"/>
              <w:textAlignment w:val="bottom"/>
              <w:rPr>
                <w:rFonts w:ascii="Arial" w:hAnsi="Arial" w:cs="Arial"/>
                <w:sz w:val="20"/>
                <w:szCs w:val="20"/>
                <w:lang w:val="en-GB" w:eastAsia="zh-CN"/>
              </w:rPr>
            </w:pPr>
            <w:r w:rsidRPr="00D717E3">
              <w:rPr>
                <w:rFonts w:ascii="Arial" w:hAnsi="Arial" w:cs="Arial"/>
                <w:color w:val="000000" w:themeColor="text1"/>
                <w:kern w:val="24"/>
                <w:sz w:val="20"/>
                <w:szCs w:val="20"/>
                <w:lang w:val="en-GB"/>
              </w:rPr>
              <w:t>135,149</w:t>
            </w:r>
          </w:p>
        </w:tc>
        <w:tc>
          <w:tcPr>
            <w:tcW w:w="1257" w:type="dxa"/>
          </w:tcPr>
          <w:p w14:paraId="4CE57F84" w14:textId="77777777" w:rsidR="00CC38F8" w:rsidRPr="00D717E3" w:rsidRDefault="00CC38F8" w:rsidP="0012024C">
            <w:pPr>
              <w:ind w:right="-90"/>
              <w:jc w:val="right"/>
              <w:textAlignment w:val="bottom"/>
              <w:rPr>
                <w:rFonts w:ascii="Arial" w:hAnsi="Arial" w:cs="Arial"/>
                <w:sz w:val="20"/>
                <w:szCs w:val="20"/>
                <w:lang w:val="en-GB" w:eastAsia="zh-CN"/>
              </w:rPr>
            </w:pPr>
            <w:r w:rsidRPr="00D717E3">
              <w:rPr>
                <w:rFonts w:ascii="Arial" w:hAnsi="Arial" w:cs="Arial"/>
                <w:color w:val="000000" w:themeColor="text1"/>
                <w:kern w:val="24"/>
                <w:sz w:val="20"/>
                <w:szCs w:val="20"/>
                <w:lang w:val="en-GB"/>
              </w:rPr>
              <w:t>130,809</w:t>
            </w:r>
          </w:p>
        </w:tc>
        <w:tc>
          <w:tcPr>
            <w:tcW w:w="1257" w:type="dxa"/>
          </w:tcPr>
          <w:p w14:paraId="1B59B67C" w14:textId="77777777" w:rsidR="00CC38F8" w:rsidRPr="00D717E3" w:rsidRDefault="00CC38F8" w:rsidP="0012024C">
            <w:pPr>
              <w:ind w:right="-90"/>
              <w:jc w:val="right"/>
              <w:textAlignment w:val="bottom"/>
              <w:rPr>
                <w:rFonts w:ascii="Arial" w:hAnsi="Arial" w:cs="Arial"/>
                <w:sz w:val="20"/>
                <w:szCs w:val="20"/>
                <w:lang w:val="en-GB" w:eastAsia="zh-CN"/>
              </w:rPr>
            </w:pPr>
            <w:r w:rsidRPr="00D717E3">
              <w:rPr>
                <w:rFonts w:ascii="Arial" w:hAnsi="Arial" w:cs="Arial"/>
                <w:color w:val="000000" w:themeColor="text1"/>
                <w:kern w:val="24"/>
                <w:sz w:val="20"/>
                <w:szCs w:val="20"/>
                <w:lang w:val="en-GB"/>
              </w:rPr>
              <w:t>134,933</w:t>
            </w:r>
          </w:p>
        </w:tc>
        <w:tc>
          <w:tcPr>
            <w:tcW w:w="1257" w:type="dxa"/>
          </w:tcPr>
          <w:p w14:paraId="5BBA6A1E" w14:textId="77777777" w:rsidR="00CC38F8" w:rsidRPr="00D717E3" w:rsidRDefault="00CC38F8" w:rsidP="0012024C">
            <w:pPr>
              <w:ind w:right="-90"/>
              <w:jc w:val="right"/>
              <w:textAlignment w:val="bottom"/>
              <w:rPr>
                <w:rFonts w:ascii="Arial" w:hAnsi="Arial" w:cs="Arial"/>
                <w:sz w:val="20"/>
                <w:szCs w:val="20"/>
                <w:lang w:val="en-GB" w:eastAsia="zh-CN"/>
              </w:rPr>
            </w:pPr>
            <w:r w:rsidRPr="00D717E3">
              <w:rPr>
                <w:rFonts w:ascii="Arial" w:hAnsi="Arial" w:cs="Arial"/>
                <w:color w:val="000000" w:themeColor="text1"/>
                <w:kern w:val="24"/>
                <w:sz w:val="20"/>
                <w:szCs w:val="20"/>
                <w:lang w:val="en-GB"/>
              </w:rPr>
              <w:t>41,229</w:t>
            </w:r>
          </w:p>
        </w:tc>
        <w:tc>
          <w:tcPr>
            <w:tcW w:w="1257" w:type="dxa"/>
          </w:tcPr>
          <w:p w14:paraId="1985EE26" w14:textId="77777777" w:rsidR="00CC38F8" w:rsidRPr="00D717E3" w:rsidRDefault="00CC38F8" w:rsidP="0012024C">
            <w:pPr>
              <w:ind w:right="-90"/>
              <w:jc w:val="right"/>
              <w:textAlignment w:val="bottom"/>
              <w:rPr>
                <w:rFonts w:ascii="Arial" w:hAnsi="Arial" w:cs="Arial"/>
                <w:sz w:val="20"/>
                <w:szCs w:val="20"/>
                <w:lang w:val="en-GB" w:eastAsia="zh-CN"/>
              </w:rPr>
            </w:pPr>
            <w:r w:rsidRPr="00D717E3">
              <w:rPr>
                <w:rFonts w:ascii="Arial" w:hAnsi="Arial" w:cs="Arial"/>
                <w:color w:val="000000" w:themeColor="text1"/>
                <w:kern w:val="24"/>
                <w:sz w:val="20"/>
                <w:szCs w:val="20"/>
                <w:lang w:val="en-GB"/>
              </w:rPr>
              <w:t>45,439</w:t>
            </w:r>
          </w:p>
        </w:tc>
        <w:tc>
          <w:tcPr>
            <w:tcW w:w="1657" w:type="dxa"/>
          </w:tcPr>
          <w:p w14:paraId="420DD4D6" w14:textId="77777777" w:rsidR="00CC38F8" w:rsidRPr="00D717E3" w:rsidRDefault="00CC38F8" w:rsidP="0012024C">
            <w:pPr>
              <w:ind w:right="-90"/>
              <w:jc w:val="right"/>
              <w:textAlignment w:val="bottom"/>
              <w:rPr>
                <w:rFonts w:ascii="Arial" w:hAnsi="Arial" w:cs="Arial"/>
                <w:sz w:val="20"/>
                <w:szCs w:val="20"/>
                <w:lang w:val="en-GB" w:eastAsia="zh-CN"/>
              </w:rPr>
            </w:pPr>
            <w:r w:rsidRPr="00D717E3">
              <w:rPr>
                <w:rFonts w:ascii="Arial" w:hAnsi="Arial" w:cs="Arial"/>
                <w:color w:val="000000" w:themeColor="text1"/>
                <w:kern w:val="24"/>
                <w:sz w:val="20"/>
                <w:szCs w:val="20"/>
                <w:lang w:val="en-GB"/>
              </w:rPr>
              <w:t>28,640</w:t>
            </w:r>
          </w:p>
        </w:tc>
      </w:tr>
      <w:tr w:rsidR="00CC38F8" w:rsidRPr="00D717E3" w14:paraId="6363AF8F" w14:textId="77777777" w:rsidTr="00014998">
        <w:trPr>
          <w:jc w:val="center"/>
        </w:trPr>
        <w:tc>
          <w:tcPr>
            <w:tcW w:w="3386" w:type="dxa"/>
          </w:tcPr>
          <w:p w14:paraId="64AA4DCE" w14:textId="77777777" w:rsidR="00CC38F8" w:rsidRPr="00D717E3" w:rsidRDefault="00CC38F8" w:rsidP="00BE6FC1">
            <w:pPr>
              <w:ind w:right="-138"/>
              <w:textAlignment w:val="bottom"/>
              <w:rPr>
                <w:rFonts w:ascii="Arial" w:hAnsi="Arial" w:cs="Arial"/>
                <w:sz w:val="20"/>
                <w:szCs w:val="20"/>
                <w:lang w:val="en-GB" w:eastAsia="zh-CN"/>
              </w:rPr>
            </w:pPr>
            <w:r w:rsidRPr="00D717E3">
              <w:rPr>
                <w:rFonts w:ascii="Arial" w:hAnsi="Arial" w:cs="Arial"/>
                <w:color w:val="000000"/>
                <w:kern w:val="24"/>
                <w:sz w:val="20"/>
                <w:szCs w:val="20"/>
                <w:lang w:val="en-GB" w:eastAsia="zh-CN"/>
              </w:rPr>
              <w:t>Inventories</w:t>
            </w:r>
          </w:p>
        </w:tc>
        <w:tc>
          <w:tcPr>
            <w:tcW w:w="1217" w:type="dxa"/>
          </w:tcPr>
          <w:p w14:paraId="7477D291" w14:textId="77777777" w:rsidR="00CC38F8" w:rsidRPr="00D717E3" w:rsidRDefault="00CC38F8" w:rsidP="0012024C">
            <w:pPr>
              <w:ind w:right="-90"/>
              <w:jc w:val="right"/>
              <w:textAlignment w:val="bottom"/>
              <w:rPr>
                <w:rFonts w:ascii="Arial" w:hAnsi="Arial" w:cs="Arial"/>
                <w:sz w:val="20"/>
                <w:szCs w:val="20"/>
                <w:lang w:val="en-GB" w:eastAsia="zh-CN"/>
              </w:rPr>
            </w:pPr>
            <w:r w:rsidRPr="00D717E3">
              <w:rPr>
                <w:rFonts w:ascii="Arial" w:hAnsi="Arial" w:cs="Arial"/>
                <w:color w:val="000000"/>
                <w:kern w:val="24"/>
                <w:sz w:val="20"/>
                <w:szCs w:val="20"/>
                <w:lang w:val="en-GB" w:eastAsia="zh-CN"/>
              </w:rPr>
              <w:t>104,842</w:t>
            </w:r>
          </w:p>
        </w:tc>
        <w:tc>
          <w:tcPr>
            <w:tcW w:w="1217" w:type="dxa"/>
          </w:tcPr>
          <w:p w14:paraId="33D5F2BF" w14:textId="77777777" w:rsidR="00CC38F8" w:rsidRPr="00D717E3" w:rsidRDefault="00CC38F8" w:rsidP="0012024C">
            <w:pPr>
              <w:ind w:right="-90"/>
              <w:jc w:val="right"/>
              <w:textAlignment w:val="bottom"/>
              <w:rPr>
                <w:rFonts w:ascii="Arial" w:hAnsi="Arial" w:cs="Arial"/>
                <w:sz w:val="20"/>
                <w:szCs w:val="20"/>
                <w:lang w:val="en-GB" w:eastAsia="zh-CN"/>
              </w:rPr>
            </w:pPr>
            <w:r w:rsidRPr="00D717E3">
              <w:rPr>
                <w:rFonts w:ascii="Arial" w:hAnsi="Arial" w:cs="Arial"/>
                <w:color w:val="000000" w:themeColor="text1"/>
                <w:kern w:val="24"/>
                <w:sz w:val="20"/>
                <w:szCs w:val="20"/>
                <w:lang w:val="en-GB"/>
              </w:rPr>
              <w:t>144,752</w:t>
            </w:r>
          </w:p>
        </w:tc>
        <w:tc>
          <w:tcPr>
            <w:tcW w:w="1257" w:type="dxa"/>
          </w:tcPr>
          <w:p w14:paraId="31CE5CC8" w14:textId="77777777" w:rsidR="00CC38F8" w:rsidRPr="00D717E3" w:rsidRDefault="00CC38F8" w:rsidP="0012024C">
            <w:pPr>
              <w:ind w:right="-90"/>
              <w:jc w:val="right"/>
              <w:textAlignment w:val="bottom"/>
              <w:rPr>
                <w:rFonts w:ascii="Arial" w:hAnsi="Arial" w:cs="Arial"/>
                <w:sz w:val="20"/>
                <w:szCs w:val="20"/>
                <w:lang w:val="en-GB" w:eastAsia="zh-CN"/>
              </w:rPr>
            </w:pPr>
            <w:r w:rsidRPr="00D717E3">
              <w:rPr>
                <w:rFonts w:ascii="Arial" w:hAnsi="Arial" w:cs="Arial"/>
                <w:color w:val="000000" w:themeColor="text1"/>
                <w:kern w:val="24"/>
                <w:sz w:val="20"/>
                <w:szCs w:val="20"/>
                <w:lang w:val="en-GB"/>
              </w:rPr>
              <w:t>124,673</w:t>
            </w:r>
          </w:p>
        </w:tc>
        <w:tc>
          <w:tcPr>
            <w:tcW w:w="1257" w:type="dxa"/>
          </w:tcPr>
          <w:p w14:paraId="54CA44DD" w14:textId="77777777" w:rsidR="00CC38F8" w:rsidRPr="00D717E3" w:rsidRDefault="00CC38F8" w:rsidP="0012024C">
            <w:pPr>
              <w:ind w:right="-90"/>
              <w:jc w:val="right"/>
              <w:textAlignment w:val="bottom"/>
              <w:rPr>
                <w:rFonts w:ascii="Arial" w:hAnsi="Arial" w:cs="Arial"/>
                <w:sz w:val="20"/>
                <w:szCs w:val="20"/>
                <w:lang w:val="en-GB" w:eastAsia="zh-CN"/>
              </w:rPr>
            </w:pPr>
            <w:r w:rsidRPr="00D717E3">
              <w:rPr>
                <w:rFonts w:ascii="Arial" w:hAnsi="Arial" w:cs="Arial"/>
                <w:color w:val="000000" w:themeColor="text1"/>
                <w:kern w:val="24"/>
                <w:sz w:val="20"/>
                <w:szCs w:val="20"/>
                <w:lang w:val="en-GB"/>
              </w:rPr>
              <w:t>92,712</w:t>
            </w:r>
          </w:p>
        </w:tc>
        <w:tc>
          <w:tcPr>
            <w:tcW w:w="1257" w:type="dxa"/>
          </w:tcPr>
          <w:p w14:paraId="6EC0B4D0" w14:textId="77777777" w:rsidR="00CC38F8" w:rsidRPr="00D717E3" w:rsidRDefault="00CC38F8" w:rsidP="0012024C">
            <w:pPr>
              <w:ind w:right="-90"/>
              <w:jc w:val="right"/>
              <w:textAlignment w:val="bottom"/>
              <w:rPr>
                <w:rFonts w:ascii="Arial" w:hAnsi="Arial" w:cs="Arial"/>
                <w:sz w:val="20"/>
                <w:szCs w:val="20"/>
                <w:lang w:val="en-GB" w:eastAsia="zh-CN"/>
              </w:rPr>
            </w:pPr>
            <w:r w:rsidRPr="00D717E3">
              <w:rPr>
                <w:rFonts w:ascii="Arial" w:hAnsi="Arial" w:cs="Arial"/>
                <w:color w:val="000000" w:themeColor="text1"/>
                <w:kern w:val="24"/>
                <w:sz w:val="20"/>
                <w:szCs w:val="20"/>
                <w:lang w:val="en-GB"/>
              </w:rPr>
              <w:t>78,444</w:t>
            </w:r>
          </w:p>
        </w:tc>
        <w:tc>
          <w:tcPr>
            <w:tcW w:w="1257" w:type="dxa"/>
          </w:tcPr>
          <w:p w14:paraId="71E58A4B" w14:textId="77777777" w:rsidR="00CC38F8" w:rsidRPr="00D717E3" w:rsidRDefault="00CC38F8" w:rsidP="0012024C">
            <w:pPr>
              <w:ind w:right="-90"/>
              <w:jc w:val="right"/>
              <w:textAlignment w:val="bottom"/>
              <w:rPr>
                <w:rFonts w:ascii="Arial" w:hAnsi="Arial" w:cs="Arial"/>
                <w:sz w:val="20"/>
                <w:szCs w:val="20"/>
                <w:lang w:val="en-GB" w:eastAsia="zh-CN"/>
              </w:rPr>
            </w:pPr>
            <w:r w:rsidRPr="00D717E3">
              <w:rPr>
                <w:rFonts w:ascii="Arial" w:hAnsi="Arial" w:cs="Arial"/>
                <w:color w:val="000000" w:themeColor="text1"/>
                <w:kern w:val="24"/>
                <w:sz w:val="20"/>
                <w:szCs w:val="20"/>
                <w:lang w:val="en-GB"/>
              </w:rPr>
              <w:t>178,721</w:t>
            </w:r>
          </w:p>
        </w:tc>
        <w:tc>
          <w:tcPr>
            <w:tcW w:w="1657" w:type="dxa"/>
          </w:tcPr>
          <w:p w14:paraId="0DF74D78" w14:textId="77777777" w:rsidR="00CC38F8" w:rsidRPr="00D717E3" w:rsidRDefault="00CC38F8" w:rsidP="0012024C">
            <w:pPr>
              <w:ind w:right="-90"/>
              <w:jc w:val="right"/>
              <w:textAlignment w:val="bottom"/>
              <w:rPr>
                <w:rFonts w:ascii="Arial" w:hAnsi="Arial" w:cs="Arial"/>
                <w:sz w:val="20"/>
                <w:szCs w:val="20"/>
                <w:lang w:val="en-GB" w:eastAsia="zh-CN"/>
              </w:rPr>
            </w:pPr>
            <w:r w:rsidRPr="00D717E3">
              <w:rPr>
                <w:rFonts w:ascii="Arial" w:hAnsi="Arial" w:cs="Arial"/>
                <w:color w:val="000000" w:themeColor="text1"/>
                <w:kern w:val="24"/>
                <w:sz w:val="20"/>
                <w:szCs w:val="20"/>
                <w:lang w:val="en-GB"/>
              </w:rPr>
              <w:t>160,799</w:t>
            </w:r>
          </w:p>
        </w:tc>
      </w:tr>
      <w:tr w:rsidR="00CC38F8" w:rsidRPr="00D717E3" w14:paraId="7E56316E" w14:textId="77777777" w:rsidTr="00014998">
        <w:trPr>
          <w:jc w:val="center"/>
        </w:trPr>
        <w:tc>
          <w:tcPr>
            <w:tcW w:w="3386" w:type="dxa"/>
          </w:tcPr>
          <w:p w14:paraId="0252FF48" w14:textId="77777777" w:rsidR="00CC38F8" w:rsidRPr="00D717E3" w:rsidRDefault="00CC38F8" w:rsidP="00BE6FC1">
            <w:pPr>
              <w:ind w:right="-138"/>
              <w:textAlignment w:val="bottom"/>
              <w:rPr>
                <w:rFonts w:ascii="Arial" w:hAnsi="Arial" w:cs="Arial"/>
                <w:sz w:val="20"/>
                <w:szCs w:val="20"/>
                <w:lang w:val="en-GB" w:eastAsia="zh-CN"/>
              </w:rPr>
            </w:pPr>
            <w:r w:rsidRPr="00D717E3">
              <w:rPr>
                <w:rFonts w:ascii="Arial" w:hAnsi="Arial" w:cs="Arial"/>
                <w:color w:val="000000"/>
                <w:kern w:val="24"/>
                <w:sz w:val="20"/>
                <w:szCs w:val="20"/>
                <w:lang w:val="en-GB" w:eastAsia="zh-CN"/>
              </w:rPr>
              <w:t>Other Current Assets</w:t>
            </w:r>
          </w:p>
        </w:tc>
        <w:tc>
          <w:tcPr>
            <w:tcW w:w="1217" w:type="dxa"/>
          </w:tcPr>
          <w:p w14:paraId="45182A13" w14:textId="77777777" w:rsidR="00CC38F8" w:rsidRPr="00D717E3" w:rsidRDefault="00CC38F8" w:rsidP="0012024C">
            <w:pPr>
              <w:ind w:right="-90"/>
              <w:jc w:val="right"/>
              <w:textAlignment w:val="bottom"/>
              <w:rPr>
                <w:rFonts w:ascii="Arial" w:hAnsi="Arial" w:cs="Arial"/>
                <w:sz w:val="20"/>
                <w:szCs w:val="20"/>
                <w:lang w:val="en-GB" w:eastAsia="zh-CN"/>
              </w:rPr>
            </w:pPr>
            <w:r w:rsidRPr="00D717E3">
              <w:rPr>
                <w:rFonts w:ascii="Arial" w:hAnsi="Arial" w:cs="Arial"/>
                <w:color w:val="000000"/>
                <w:kern w:val="24"/>
                <w:sz w:val="20"/>
                <w:szCs w:val="20"/>
                <w:lang w:val="en-GB" w:eastAsia="zh-CN"/>
              </w:rPr>
              <w:t>144,060</w:t>
            </w:r>
          </w:p>
        </w:tc>
        <w:tc>
          <w:tcPr>
            <w:tcW w:w="1217" w:type="dxa"/>
          </w:tcPr>
          <w:p w14:paraId="4B12E83B" w14:textId="77777777" w:rsidR="00CC38F8" w:rsidRPr="00D717E3" w:rsidRDefault="00CC38F8" w:rsidP="0012024C">
            <w:pPr>
              <w:ind w:right="-90"/>
              <w:jc w:val="right"/>
              <w:textAlignment w:val="bottom"/>
              <w:rPr>
                <w:rFonts w:ascii="Arial" w:hAnsi="Arial" w:cs="Arial"/>
                <w:sz w:val="20"/>
                <w:szCs w:val="20"/>
                <w:lang w:val="en-GB" w:eastAsia="zh-CN"/>
              </w:rPr>
            </w:pPr>
            <w:r w:rsidRPr="00D717E3">
              <w:rPr>
                <w:rFonts w:ascii="Arial" w:hAnsi="Arial" w:cs="Arial"/>
                <w:color w:val="000000" w:themeColor="text1"/>
                <w:kern w:val="24"/>
                <w:sz w:val="20"/>
                <w:szCs w:val="20"/>
                <w:lang w:val="en-GB"/>
              </w:rPr>
              <w:t>148,676</w:t>
            </w:r>
          </w:p>
        </w:tc>
        <w:tc>
          <w:tcPr>
            <w:tcW w:w="1257" w:type="dxa"/>
          </w:tcPr>
          <w:p w14:paraId="2F63FB4C" w14:textId="77777777" w:rsidR="00CC38F8" w:rsidRPr="00D717E3" w:rsidRDefault="00CC38F8" w:rsidP="0012024C">
            <w:pPr>
              <w:ind w:right="-90"/>
              <w:jc w:val="right"/>
              <w:textAlignment w:val="bottom"/>
              <w:rPr>
                <w:rFonts w:ascii="Arial" w:hAnsi="Arial" w:cs="Arial"/>
                <w:sz w:val="20"/>
                <w:szCs w:val="20"/>
                <w:lang w:val="en-GB" w:eastAsia="zh-CN"/>
              </w:rPr>
            </w:pPr>
            <w:r w:rsidRPr="00D717E3">
              <w:rPr>
                <w:rFonts w:ascii="Arial" w:hAnsi="Arial" w:cs="Arial"/>
                <w:color w:val="000000" w:themeColor="text1"/>
                <w:kern w:val="24"/>
                <w:sz w:val="20"/>
                <w:szCs w:val="20"/>
                <w:lang w:val="en-GB"/>
              </w:rPr>
              <w:t>83,585</w:t>
            </w:r>
          </w:p>
        </w:tc>
        <w:tc>
          <w:tcPr>
            <w:tcW w:w="1257" w:type="dxa"/>
          </w:tcPr>
          <w:p w14:paraId="29AC609D" w14:textId="77777777" w:rsidR="00CC38F8" w:rsidRPr="00D717E3" w:rsidRDefault="00CC38F8" w:rsidP="0012024C">
            <w:pPr>
              <w:ind w:right="-90"/>
              <w:jc w:val="right"/>
              <w:textAlignment w:val="bottom"/>
              <w:rPr>
                <w:rFonts w:ascii="Arial" w:hAnsi="Arial" w:cs="Arial"/>
                <w:sz w:val="20"/>
                <w:szCs w:val="20"/>
                <w:lang w:val="en-GB" w:eastAsia="zh-CN"/>
              </w:rPr>
            </w:pPr>
            <w:r w:rsidRPr="00D717E3">
              <w:rPr>
                <w:rFonts w:ascii="Arial" w:hAnsi="Arial" w:cs="Arial"/>
                <w:color w:val="000000" w:themeColor="text1"/>
                <w:kern w:val="24"/>
                <w:sz w:val="20"/>
                <w:szCs w:val="20"/>
                <w:lang w:val="en-GB"/>
              </w:rPr>
              <w:t>69,985</w:t>
            </w:r>
          </w:p>
        </w:tc>
        <w:tc>
          <w:tcPr>
            <w:tcW w:w="1257" w:type="dxa"/>
          </w:tcPr>
          <w:p w14:paraId="55031DE2" w14:textId="77777777" w:rsidR="00CC38F8" w:rsidRPr="00D717E3" w:rsidRDefault="00CC38F8" w:rsidP="0012024C">
            <w:pPr>
              <w:ind w:right="-90"/>
              <w:jc w:val="right"/>
              <w:textAlignment w:val="bottom"/>
              <w:rPr>
                <w:rFonts w:ascii="Arial" w:hAnsi="Arial" w:cs="Arial"/>
                <w:sz w:val="20"/>
                <w:szCs w:val="20"/>
                <w:lang w:val="en-GB" w:eastAsia="zh-CN"/>
              </w:rPr>
            </w:pPr>
            <w:r w:rsidRPr="00D717E3">
              <w:rPr>
                <w:rFonts w:ascii="Arial" w:hAnsi="Arial" w:cs="Arial"/>
                <w:color w:val="000000" w:themeColor="text1"/>
                <w:kern w:val="24"/>
                <w:sz w:val="20"/>
                <w:szCs w:val="20"/>
                <w:lang w:val="en-GB"/>
              </w:rPr>
              <w:t>62,791</w:t>
            </w:r>
          </w:p>
        </w:tc>
        <w:tc>
          <w:tcPr>
            <w:tcW w:w="1257" w:type="dxa"/>
          </w:tcPr>
          <w:p w14:paraId="739E3F70" w14:textId="77777777" w:rsidR="00CC38F8" w:rsidRPr="00D717E3" w:rsidRDefault="00CC38F8" w:rsidP="0012024C">
            <w:pPr>
              <w:ind w:right="-90"/>
              <w:jc w:val="right"/>
              <w:textAlignment w:val="bottom"/>
              <w:rPr>
                <w:rFonts w:ascii="Arial" w:hAnsi="Arial" w:cs="Arial"/>
                <w:sz w:val="20"/>
                <w:szCs w:val="20"/>
                <w:lang w:val="en-GB" w:eastAsia="zh-CN"/>
              </w:rPr>
            </w:pPr>
            <w:r w:rsidRPr="00D717E3">
              <w:rPr>
                <w:rFonts w:ascii="Arial" w:hAnsi="Arial" w:cs="Arial"/>
                <w:color w:val="000000" w:themeColor="text1"/>
                <w:kern w:val="24"/>
                <w:sz w:val="20"/>
                <w:szCs w:val="20"/>
                <w:lang w:val="en-GB"/>
              </w:rPr>
              <w:t>64,789</w:t>
            </w:r>
          </w:p>
        </w:tc>
        <w:tc>
          <w:tcPr>
            <w:tcW w:w="1657" w:type="dxa"/>
          </w:tcPr>
          <w:p w14:paraId="18F4B1D0" w14:textId="77777777" w:rsidR="00CC38F8" w:rsidRPr="00D717E3" w:rsidRDefault="00CC38F8" w:rsidP="0012024C">
            <w:pPr>
              <w:ind w:right="-90"/>
              <w:jc w:val="right"/>
              <w:textAlignment w:val="bottom"/>
              <w:rPr>
                <w:rFonts w:ascii="Arial" w:hAnsi="Arial" w:cs="Arial"/>
                <w:sz w:val="20"/>
                <w:szCs w:val="20"/>
                <w:lang w:val="en-GB" w:eastAsia="zh-CN"/>
              </w:rPr>
            </w:pPr>
            <w:r w:rsidRPr="00D717E3">
              <w:rPr>
                <w:rFonts w:ascii="Arial" w:hAnsi="Arial" w:cs="Arial"/>
                <w:color w:val="000000" w:themeColor="text1"/>
                <w:kern w:val="24"/>
                <w:sz w:val="20"/>
                <w:szCs w:val="20"/>
                <w:lang w:val="en-GB"/>
              </w:rPr>
              <w:t>39,482</w:t>
            </w:r>
          </w:p>
        </w:tc>
      </w:tr>
      <w:tr w:rsidR="00CC38F8" w:rsidRPr="00D717E3" w14:paraId="487D0B86" w14:textId="77777777" w:rsidTr="00014998">
        <w:trPr>
          <w:jc w:val="center"/>
        </w:trPr>
        <w:tc>
          <w:tcPr>
            <w:tcW w:w="3386" w:type="dxa"/>
          </w:tcPr>
          <w:p w14:paraId="4BB343FE" w14:textId="77777777" w:rsidR="00CC38F8" w:rsidRPr="00D717E3" w:rsidRDefault="00CC38F8" w:rsidP="00BE6FC1">
            <w:pPr>
              <w:ind w:right="-138"/>
              <w:textAlignment w:val="bottom"/>
              <w:rPr>
                <w:rFonts w:ascii="Arial" w:hAnsi="Arial" w:cs="Arial"/>
                <w:b/>
                <w:sz w:val="20"/>
                <w:szCs w:val="20"/>
                <w:lang w:val="en-GB" w:eastAsia="zh-CN"/>
              </w:rPr>
            </w:pPr>
            <w:r w:rsidRPr="00D717E3">
              <w:rPr>
                <w:rFonts w:ascii="Arial" w:hAnsi="Arial" w:cs="Arial"/>
                <w:b/>
                <w:color w:val="000000"/>
                <w:kern w:val="24"/>
                <w:sz w:val="20"/>
                <w:szCs w:val="20"/>
                <w:lang w:val="en-GB" w:eastAsia="zh-CN"/>
              </w:rPr>
              <w:t>TOTAL CURRENT ASSETS</w:t>
            </w:r>
          </w:p>
        </w:tc>
        <w:tc>
          <w:tcPr>
            <w:tcW w:w="1217" w:type="dxa"/>
          </w:tcPr>
          <w:p w14:paraId="37444B01" w14:textId="77777777" w:rsidR="00CC38F8" w:rsidRPr="00D717E3" w:rsidRDefault="00CC38F8" w:rsidP="0012024C">
            <w:pPr>
              <w:ind w:right="-90"/>
              <w:jc w:val="right"/>
              <w:textAlignment w:val="bottom"/>
              <w:rPr>
                <w:rFonts w:ascii="Arial" w:hAnsi="Arial" w:cs="Arial"/>
                <w:b/>
                <w:sz w:val="20"/>
                <w:szCs w:val="20"/>
                <w:lang w:val="en-GB" w:eastAsia="zh-CN"/>
              </w:rPr>
            </w:pPr>
            <w:r w:rsidRPr="00D717E3">
              <w:rPr>
                <w:rFonts w:ascii="Arial" w:hAnsi="Arial" w:cs="Arial"/>
                <w:b/>
                <w:color w:val="000000"/>
                <w:kern w:val="24"/>
                <w:sz w:val="20"/>
                <w:szCs w:val="20"/>
                <w:lang w:val="en-GB" w:eastAsia="zh-CN"/>
              </w:rPr>
              <w:t>1,646,834</w:t>
            </w:r>
          </w:p>
        </w:tc>
        <w:tc>
          <w:tcPr>
            <w:tcW w:w="1217" w:type="dxa"/>
          </w:tcPr>
          <w:p w14:paraId="51FE3623" w14:textId="77777777" w:rsidR="00CC38F8" w:rsidRPr="00D717E3" w:rsidRDefault="00CC38F8" w:rsidP="0012024C">
            <w:pPr>
              <w:ind w:right="-90"/>
              <w:jc w:val="right"/>
              <w:textAlignment w:val="bottom"/>
              <w:rPr>
                <w:rFonts w:ascii="Arial" w:hAnsi="Arial" w:cs="Arial"/>
                <w:b/>
                <w:sz w:val="20"/>
                <w:szCs w:val="20"/>
                <w:lang w:val="en-GB" w:eastAsia="zh-CN"/>
              </w:rPr>
            </w:pPr>
            <w:r w:rsidRPr="00D717E3">
              <w:rPr>
                <w:rFonts w:ascii="Arial" w:hAnsi="Arial" w:cs="Arial"/>
                <w:b/>
                <w:color w:val="000000" w:themeColor="text1"/>
                <w:kern w:val="24"/>
                <w:sz w:val="20"/>
                <w:szCs w:val="20"/>
                <w:lang w:val="en-GB"/>
              </w:rPr>
              <w:t>1,648,725</w:t>
            </w:r>
          </w:p>
        </w:tc>
        <w:tc>
          <w:tcPr>
            <w:tcW w:w="1257" w:type="dxa"/>
          </w:tcPr>
          <w:p w14:paraId="206FAF37" w14:textId="77777777" w:rsidR="00CC38F8" w:rsidRPr="00D717E3" w:rsidRDefault="00CC38F8" w:rsidP="0012024C">
            <w:pPr>
              <w:ind w:right="-90"/>
              <w:jc w:val="right"/>
              <w:textAlignment w:val="bottom"/>
              <w:rPr>
                <w:rFonts w:ascii="Arial" w:hAnsi="Arial" w:cs="Arial"/>
                <w:b/>
                <w:sz w:val="20"/>
                <w:szCs w:val="20"/>
                <w:lang w:val="en-GB" w:eastAsia="zh-CN"/>
              </w:rPr>
            </w:pPr>
            <w:r w:rsidRPr="00D717E3">
              <w:rPr>
                <w:rFonts w:ascii="Arial" w:hAnsi="Arial" w:cs="Arial"/>
                <w:b/>
                <w:color w:val="000000" w:themeColor="text1"/>
                <w:kern w:val="24"/>
                <w:sz w:val="20"/>
                <w:szCs w:val="20"/>
                <w:lang w:val="en-GB"/>
              </w:rPr>
              <w:t>1,591,388</w:t>
            </w:r>
          </w:p>
        </w:tc>
        <w:tc>
          <w:tcPr>
            <w:tcW w:w="1257" w:type="dxa"/>
          </w:tcPr>
          <w:p w14:paraId="77A183EE" w14:textId="77777777" w:rsidR="00CC38F8" w:rsidRPr="00D717E3" w:rsidRDefault="00CC38F8" w:rsidP="0012024C">
            <w:pPr>
              <w:ind w:right="-90"/>
              <w:jc w:val="right"/>
              <w:textAlignment w:val="bottom"/>
              <w:rPr>
                <w:rFonts w:ascii="Arial" w:hAnsi="Arial" w:cs="Arial"/>
                <w:b/>
                <w:sz w:val="20"/>
                <w:szCs w:val="20"/>
                <w:lang w:val="en-GB" w:eastAsia="zh-CN"/>
              </w:rPr>
            </w:pPr>
            <w:r w:rsidRPr="00D717E3">
              <w:rPr>
                <w:rFonts w:ascii="Arial" w:hAnsi="Arial" w:cs="Arial"/>
                <w:b/>
                <w:color w:val="000000" w:themeColor="text1"/>
                <w:kern w:val="24"/>
                <w:sz w:val="20"/>
                <w:szCs w:val="20"/>
                <w:lang w:val="en-GB"/>
              </w:rPr>
              <w:t>1,468,706</w:t>
            </w:r>
          </w:p>
        </w:tc>
        <w:tc>
          <w:tcPr>
            <w:tcW w:w="1257" w:type="dxa"/>
          </w:tcPr>
          <w:p w14:paraId="0A4F2F16" w14:textId="77777777" w:rsidR="00CC38F8" w:rsidRPr="00D717E3" w:rsidRDefault="00CC38F8" w:rsidP="0012024C">
            <w:pPr>
              <w:ind w:right="-90"/>
              <w:jc w:val="right"/>
              <w:textAlignment w:val="bottom"/>
              <w:rPr>
                <w:rFonts w:ascii="Arial" w:hAnsi="Arial" w:cs="Arial"/>
                <w:b/>
                <w:sz w:val="20"/>
                <w:szCs w:val="20"/>
                <w:lang w:val="en-GB" w:eastAsia="zh-CN"/>
              </w:rPr>
            </w:pPr>
            <w:r w:rsidRPr="00D717E3">
              <w:rPr>
                <w:rFonts w:ascii="Arial" w:hAnsi="Arial" w:cs="Arial"/>
                <w:b/>
                <w:color w:val="000000" w:themeColor="text1"/>
                <w:kern w:val="24"/>
                <w:sz w:val="20"/>
                <w:szCs w:val="20"/>
                <w:lang w:val="en-GB"/>
              </w:rPr>
              <w:t>1,140,786</w:t>
            </w:r>
          </w:p>
        </w:tc>
        <w:tc>
          <w:tcPr>
            <w:tcW w:w="1257" w:type="dxa"/>
          </w:tcPr>
          <w:p w14:paraId="1ACE0894" w14:textId="77777777" w:rsidR="00CC38F8" w:rsidRPr="00D717E3" w:rsidRDefault="00CC38F8" w:rsidP="0012024C">
            <w:pPr>
              <w:ind w:right="-90"/>
              <w:jc w:val="right"/>
              <w:textAlignment w:val="bottom"/>
              <w:rPr>
                <w:rFonts w:ascii="Arial" w:hAnsi="Arial" w:cs="Arial"/>
                <w:b/>
                <w:sz w:val="20"/>
                <w:szCs w:val="20"/>
                <w:lang w:val="en-GB" w:eastAsia="zh-CN"/>
              </w:rPr>
            </w:pPr>
            <w:r w:rsidRPr="00D717E3">
              <w:rPr>
                <w:rFonts w:ascii="Arial" w:hAnsi="Arial" w:cs="Arial"/>
                <w:b/>
                <w:color w:val="000000" w:themeColor="text1"/>
                <w:kern w:val="24"/>
                <w:sz w:val="20"/>
                <w:szCs w:val="20"/>
                <w:lang w:val="en-GB"/>
              </w:rPr>
              <w:t>1,192,250</w:t>
            </w:r>
          </w:p>
        </w:tc>
        <w:tc>
          <w:tcPr>
            <w:tcW w:w="1657" w:type="dxa"/>
          </w:tcPr>
          <w:p w14:paraId="6D2BE856" w14:textId="3DF9A2E1" w:rsidR="00EE17B8" w:rsidRPr="00D717E3" w:rsidRDefault="00CC38F8" w:rsidP="0012024C">
            <w:pPr>
              <w:ind w:right="-90"/>
              <w:jc w:val="right"/>
              <w:textAlignment w:val="bottom"/>
              <w:rPr>
                <w:rFonts w:ascii="Arial" w:hAnsi="Arial" w:cs="Arial"/>
                <w:b/>
                <w:color w:val="000000" w:themeColor="text1"/>
                <w:kern w:val="24"/>
                <w:sz w:val="20"/>
                <w:szCs w:val="20"/>
                <w:lang w:val="en-GB"/>
              </w:rPr>
            </w:pPr>
            <w:r w:rsidRPr="00D717E3">
              <w:rPr>
                <w:rFonts w:ascii="Arial" w:hAnsi="Arial" w:cs="Arial"/>
                <w:b/>
                <w:color w:val="000000" w:themeColor="text1"/>
                <w:kern w:val="24"/>
                <w:sz w:val="20"/>
                <w:szCs w:val="20"/>
                <w:lang w:val="en-GB"/>
              </w:rPr>
              <w:t>1,024,136</w:t>
            </w:r>
          </w:p>
        </w:tc>
      </w:tr>
      <w:tr w:rsidR="00CC38F8" w:rsidRPr="00D717E3" w14:paraId="654DC6BE" w14:textId="77777777" w:rsidTr="00014998">
        <w:trPr>
          <w:jc w:val="center"/>
        </w:trPr>
        <w:tc>
          <w:tcPr>
            <w:tcW w:w="3386" w:type="dxa"/>
          </w:tcPr>
          <w:p w14:paraId="002FFD42" w14:textId="06970D40" w:rsidR="00CC38F8" w:rsidRPr="00D717E3" w:rsidRDefault="00CC38F8" w:rsidP="00F23EAA">
            <w:pPr>
              <w:ind w:right="-138"/>
              <w:textAlignment w:val="bottom"/>
              <w:rPr>
                <w:rFonts w:ascii="Arial" w:hAnsi="Arial" w:cs="Arial"/>
                <w:sz w:val="20"/>
                <w:szCs w:val="20"/>
                <w:lang w:val="en-GB" w:eastAsia="zh-CN"/>
              </w:rPr>
            </w:pPr>
            <w:r w:rsidRPr="00D717E3">
              <w:rPr>
                <w:rFonts w:ascii="Arial" w:hAnsi="Arial" w:cs="Arial"/>
                <w:color w:val="000000"/>
                <w:kern w:val="24"/>
                <w:sz w:val="20"/>
                <w:szCs w:val="20"/>
                <w:lang w:val="en-GB" w:eastAsia="zh-CN"/>
              </w:rPr>
              <w:t>LT Investments &amp; LT Receivables</w:t>
            </w:r>
          </w:p>
        </w:tc>
        <w:tc>
          <w:tcPr>
            <w:tcW w:w="1217" w:type="dxa"/>
          </w:tcPr>
          <w:p w14:paraId="4C137DD4" w14:textId="77777777" w:rsidR="00CC38F8" w:rsidRPr="00D717E3" w:rsidRDefault="00CC38F8" w:rsidP="0012024C">
            <w:pPr>
              <w:ind w:right="-90"/>
              <w:jc w:val="right"/>
              <w:textAlignment w:val="bottom"/>
              <w:rPr>
                <w:rFonts w:ascii="Arial" w:hAnsi="Arial" w:cs="Arial"/>
                <w:sz w:val="20"/>
                <w:szCs w:val="20"/>
                <w:lang w:val="en-GB" w:eastAsia="zh-CN"/>
              </w:rPr>
            </w:pPr>
            <w:r w:rsidRPr="00D717E3">
              <w:rPr>
                <w:rFonts w:ascii="Arial" w:hAnsi="Arial" w:cs="Arial"/>
                <w:color w:val="000000"/>
                <w:kern w:val="24"/>
                <w:sz w:val="20"/>
                <w:szCs w:val="20"/>
                <w:lang w:val="en-GB" w:eastAsia="zh-CN"/>
              </w:rPr>
              <w:t>66,870</w:t>
            </w:r>
          </w:p>
        </w:tc>
        <w:tc>
          <w:tcPr>
            <w:tcW w:w="1217" w:type="dxa"/>
          </w:tcPr>
          <w:p w14:paraId="22CF1858" w14:textId="77777777" w:rsidR="00CC38F8" w:rsidRPr="00D717E3" w:rsidRDefault="00CC38F8" w:rsidP="0012024C">
            <w:pPr>
              <w:ind w:right="-90"/>
              <w:jc w:val="right"/>
              <w:textAlignment w:val="bottom"/>
              <w:rPr>
                <w:rFonts w:ascii="Arial" w:hAnsi="Arial" w:cs="Arial"/>
                <w:sz w:val="20"/>
                <w:szCs w:val="20"/>
                <w:lang w:val="en-GB" w:eastAsia="zh-CN"/>
              </w:rPr>
            </w:pPr>
            <w:r w:rsidRPr="00D717E3">
              <w:rPr>
                <w:rFonts w:ascii="Arial" w:hAnsi="Arial" w:cs="Arial"/>
                <w:color w:val="000000" w:themeColor="text1"/>
                <w:kern w:val="24"/>
                <w:sz w:val="20"/>
                <w:szCs w:val="20"/>
                <w:lang w:val="en-GB"/>
              </w:rPr>
              <w:t>48,085</w:t>
            </w:r>
          </w:p>
        </w:tc>
        <w:tc>
          <w:tcPr>
            <w:tcW w:w="1257" w:type="dxa"/>
          </w:tcPr>
          <w:p w14:paraId="7DE5A029" w14:textId="77777777" w:rsidR="00CC38F8" w:rsidRPr="00D717E3" w:rsidRDefault="00CC38F8" w:rsidP="0012024C">
            <w:pPr>
              <w:ind w:right="-90"/>
              <w:jc w:val="right"/>
              <w:textAlignment w:val="bottom"/>
              <w:rPr>
                <w:rFonts w:ascii="Arial" w:hAnsi="Arial" w:cs="Arial"/>
                <w:sz w:val="20"/>
                <w:szCs w:val="20"/>
                <w:lang w:val="en-GB" w:eastAsia="zh-CN"/>
              </w:rPr>
            </w:pPr>
            <w:r w:rsidRPr="00D717E3">
              <w:rPr>
                <w:rFonts w:ascii="Arial" w:hAnsi="Arial" w:cs="Arial"/>
                <w:color w:val="000000" w:themeColor="text1"/>
                <w:kern w:val="24"/>
                <w:sz w:val="20"/>
                <w:szCs w:val="20"/>
                <w:lang w:val="en-GB"/>
              </w:rPr>
              <w:t>38,117</w:t>
            </w:r>
          </w:p>
        </w:tc>
        <w:tc>
          <w:tcPr>
            <w:tcW w:w="1257" w:type="dxa"/>
          </w:tcPr>
          <w:p w14:paraId="6D3E4DF0" w14:textId="77777777" w:rsidR="00CC38F8" w:rsidRPr="00D717E3" w:rsidRDefault="00CC38F8" w:rsidP="0012024C">
            <w:pPr>
              <w:ind w:right="-90"/>
              <w:jc w:val="right"/>
              <w:textAlignment w:val="bottom"/>
              <w:rPr>
                <w:rFonts w:ascii="Arial" w:hAnsi="Arial" w:cs="Arial"/>
                <w:sz w:val="20"/>
                <w:szCs w:val="20"/>
                <w:lang w:val="en-GB" w:eastAsia="zh-CN"/>
              </w:rPr>
            </w:pPr>
            <w:r w:rsidRPr="00D717E3">
              <w:rPr>
                <w:rFonts w:ascii="Arial" w:hAnsi="Arial" w:cs="Arial"/>
                <w:color w:val="000000" w:themeColor="text1"/>
                <w:kern w:val="24"/>
                <w:sz w:val="20"/>
                <w:szCs w:val="20"/>
                <w:lang w:val="en-GB"/>
              </w:rPr>
              <w:t>32,228</w:t>
            </w:r>
          </w:p>
        </w:tc>
        <w:tc>
          <w:tcPr>
            <w:tcW w:w="1257" w:type="dxa"/>
          </w:tcPr>
          <w:p w14:paraId="0A40D292" w14:textId="77777777" w:rsidR="00CC38F8" w:rsidRPr="00D717E3" w:rsidRDefault="00CC38F8" w:rsidP="0012024C">
            <w:pPr>
              <w:ind w:right="-90"/>
              <w:jc w:val="right"/>
              <w:textAlignment w:val="bottom"/>
              <w:rPr>
                <w:rFonts w:ascii="Arial" w:hAnsi="Arial" w:cs="Arial"/>
                <w:sz w:val="20"/>
                <w:szCs w:val="20"/>
                <w:lang w:val="en-GB" w:eastAsia="zh-CN"/>
              </w:rPr>
            </w:pPr>
            <w:r w:rsidRPr="00D717E3">
              <w:rPr>
                <w:rFonts w:ascii="Arial" w:hAnsi="Arial" w:cs="Arial"/>
                <w:color w:val="000000" w:themeColor="text1"/>
                <w:kern w:val="24"/>
                <w:sz w:val="20"/>
                <w:szCs w:val="20"/>
                <w:lang w:val="en-GB"/>
              </w:rPr>
              <w:t>61,205</w:t>
            </w:r>
          </w:p>
        </w:tc>
        <w:tc>
          <w:tcPr>
            <w:tcW w:w="1257" w:type="dxa"/>
          </w:tcPr>
          <w:p w14:paraId="73DAF18B" w14:textId="77777777" w:rsidR="00CC38F8" w:rsidRPr="00D717E3" w:rsidRDefault="00CC38F8" w:rsidP="0012024C">
            <w:pPr>
              <w:ind w:right="-90"/>
              <w:jc w:val="right"/>
              <w:textAlignment w:val="bottom"/>
              <w:rPr>
                <w:rFonts w:ascii="Arial" w:hAnsi="Arial" w:cs="Arial"/>
                <w:sz w:val="20"/>
                <w:szCs w:val="20"/>
                <w:lang w:val="en-GB" w:eastAsia="zh-CN"/>
              </w:rPr>
            </w:pPr>
            <w:r w:rsidRPr="00D717E3">
              <w:rPr>
                <w:rFonts w:ascii="Arial" w:hAnsi="Arial" w:cs="Arial"/>
                <w:color w:val="000000" w:themeColor="text1"/>
                <w:kern w:val="24"/>
                <w:sz w:val="20"/>
                <w:szCs w:val="20"/>
                <w:lang w:val="en-GB"/>
              </w:rPr>
              <w:t>103,362</w:t>
            </w:r>
          </w:p>
        </w:tc>
        <w:tc>
          <w:tcPr>
            <w:tcW w:w="1657" w:type="dxa"/>
          </w:tcPr>
          <w:p w14:paraId="31715EC7" w14:textId="77777777" w:rsidR="00CC38F8" w:rsidRPr="00D717E3" w:rsidRDefault="00CC38F8" w:rsidP="0012024C">
            <w:pPr>
              <w:ind w:right="-90"/>
              <w:jc w:val="right"/>
              <w:textAlignment w:val="bottom"/>
              <w:rPr>
                <w:rFonts w:ascii="Arial" w:hAnsi="Arial" w:cs="Arial"/>
                <w:sz w:val="20"/>
                <w:szCs w:val="20"/>
                <w:lang w:val="en-GB" w:eastAsia="zh-CN"/>
              </w:rPr>
            </w:pPr>
            <w:r w:rsidRPr="00D717E3">
              <w:rPr>
                <w:rFonts w:ascii="Arial" w:hAnsi="Arial" w:cs="Arial"/>
                <w:color w:val="000000" w:themeColor="text1"/>
                <w:kern w:val="24"/>
                <w:sz w:val="20"/>
                <w:szCs w:val="20"/>
                <w:lang w:val="en-GB"/>
              </w:rPr>
              <w:t>113,372</w:t>
            </w:r>
          </w:p>
        </w:tc>
      </w:tr>
      <w:tr w:rsidR="00CC38F8" w:rsidRPr="00D717E3" w14:paraId="3D6E570A" w14:textId="77777777" w:rsidTr="00014998">
        <w:trPr>
          <w:jc w:val="center"/>
        </w:trPr>
        <w:tc>
          <w:tcPr>
            <w:tcW w:w="3386" w:type="dxa"/>
          </w:tcPr>
          <w:p w14:paraId="73CE47AE" w14:textId="77777777" w:rsidR="00CC38F8" w:rsidRPr="00D717E3" w:rsidRDefault="00CC38F8" w:rsidP="00BE6FC1">
            <w:pPr>
              <w:ind w:right="-138"/>
              <w:textAlignment w:val="bottom"/>
              <w:rPr>
                <w:rFonts w:ascii="Arial" w:hAnsi="Arial" w:cs="Arial"/>
                <w:sz w:val="20"/>
                <w:szCs w:val="20"/>
                <w:lang w:val="en-GB" w:eastAsia="zh-CN"/>
              </w:rPr>
            </w:pPr>
            <w:r w:rsidRPr="00D717E3">
              <w:rPr>
                <w:rFonts w:ascii="Arial" w:hAnsi="Arial" w:cs="Arial"/>
                <w:color w:val="000000"/>
                <w:kern w:val="24"/>
                <w:sz w:val="20"/>
                <w:szCs w:val="20"/>
                <w:lang w:val="en-GB" w:eastAsia="zh-CN"/>
              </w:rPr>
              <w:t>Net Fixed Assets</w:t>
            </w:r>
          </w:p>
        </w:tc>
        <w:tc>
          <w:tcPr>
            <w:tcW w:w="1217" w:type="dxa"/>
          </w:tcPr>
          <w:p w14:paraId="4BA0C430" w14:textId="77777777" w:rsidR="00CC38F8" w:rsidRPr="00D717E3" w:rsidRDefault="00CC38F8" w:rsidP="0012024C">
            <w:pPr>
              <w:ind w:right="-90"/>
              <w:jc w:val="right"/>
              <w:textAlignment w:val="bottom"/>
              <w:rPr>
                <w:rFonts w:ascii="Arial" w:hAnsi="Arial" w:cs="Arial"/>
                <w:sz w:val="20"/>
                <w:szCs w:val="20"/>
                <w:lang w:val="en-GB" w:eastAsia="zh-CN"/>
              </w:rPr>
            </w:pPr>
            <w:r w:rsidRPr="00D717E3">
              <w:rPr>
                <w:rFonts w:ascii="Arial" w:hAnsi="Arial" w:cs="Arial"/>
                <w:color w:val="000000"/>
                <w:kern w:val="24"/>
                <w:sz w:val="20"/>
                <w:szCs w:val="20"/>
                <w:lang w:val="en-GB" w:eastAsia="zh-CN"/>
              </w:rPr>
              <w:t>55,150</w:t>
            </w:r>
          </w:p>
        </w:tc>
        <w:tc>
          <w:tcPr>
            <w:tcW w:w="1217" w:type="dxa"/>
          </w:tcPr>
          <w:p w14:paraId="71934784" w14:textId="77777777" w:rsidR="00CC38F8" w:rsidRPr="00D717E3" w:rsidRDefault="00CC38F8" w:rsidP="0012024C">
            <w:pPr>
              <w:ind w:right="-90"/>
              <w:jc w:val="right"/>
              <w:textAlignment w:val="bottom"/>
              <w:rPr>
                <w:rFonts w:ascii="Arial" w:hAnsi="Arial" w:cs="Arial"/>
                <w:sz w:val="20"/>
                <w:szCs w:val="20"/>
                <w:lang w:val="en-GB" w:eastAsia="zh-CN"/>
              </w:rPr>
            </w:pPr>
            <w:r w:rsidRPr="00D717E3">
              <w:rPr>
                <w:rFonts w:ascii="Arial" w:hAnsi="Arial" w:cs="Arial"/>
                <w:color w:val="000000" w:themeColor="text1"/>
                <w:kern w:val="24"/>
                <w:sz w:val="20"/>
                <w:szCs w:val="20"/>
                <w:lang w:val="en-GB"/>
              </w:rPr>
              <w:t>71,064</w:t>
            </w:r>
          </w:p>
        </w:tc>
        <w:tc>
          <w:tcPr>
            <w:tcW w:w="1257" w:type="dxa"/>
          </w:tcPr>
          <w:p w14:paraId="3A2B8A3D" w14:textId="77777777" w:rsidR="00CC38F8" w:rsidRPr="00D717E3" w:rsidRDefault="00CC38F8" w:rsidP="0012024C">
            <w:pPr>
              <w:ind w:right="-90"/>
              <w:jc w:val="right"/>
              <w:textAlignment w:val="bottom"/>
              <w:rPr>
                <w:rFonts w:ascii="Arial" w:hAnsi="Arial" w:cs="Arial"/>
                <w:sz w:val="20"/>
                <w:szCs w:val="20"/>
                <w:lang w:val="en-GB" w:eastAsia="zh-CN"/>
              </w:rPr>
            </w:pPr>
            <w:r w:rsidRPr="00D717E3">
              <w:rPr>
                <w:rFonts w:ascii="Arial" w:hAnsi="Arial" w:cs="Arial"/>
                <w:color w:val="000000" w:themeColor="text1"/>
                <w:kern w:val="24"/>
                <w:sz w:val="20"/>
                <w:szCs w:val="20"/>
                <w:lang w:val="en-GB"/>
              </w:rPr>
              <w:t>79,586</w:t>
            </w:r>
          </w:p>
        </w:tc>
        <w:tc>
          <w:tcPr>
            <w:tcW w:w="1257" w:type="dxa"/>
          </w:tcPr>
          <w:p w14:paraId="33632698" w14:textId="77777777" w:rsidR="00CC38F8" w:rsidRPr="00D717E3" w:rsidRDefault="00CC38F8" w:rsidP="0012024C">
            <w:pPr>
              <w:ind w:right="-90"/>
              <w:jc w:val="right"/>
              <w:textAlignment w:val="bottom"/>
              <w:rPr>
                <w:rFonts w:ascii="Arial" w:hAnsi="Arial" w:cs="Arial"/>
                <w:sz w:val="20"/>
                <w:szCs w:val="20"/>
                <w:lang w:val="en-GB" w:eastAsia="zh-CN"/>
              </w:rPr>
            </w:pPr>
            <w:r w:rsidRPr="00D717E3">
              <w:rPr>
                <w:rFonts w:ascii="Arial" w:hAnsi="Arial" w:cs="Arial"/>
                <w:color w:val="000000" w:themeColor="text1"/>
                <w:kern w:val="24"/>
                <w:sz w:val="20"/>
                <w:szCs w:val="20"/>
                <w:lang w:val="en-GB"/>
              </w:rPr>
              <w:t>80,864</w:t>
            </w:r>
          </w:p>
        </w:tc>
        <w:tc>
          <w:tcPr>
            <w:tcW w:w="1257" w:type="dxa"/>
          </w:tcPr>
          <w:p w14:paraId="7DCC664A" w14:textId="77777777" w:rsidR="00CC38F8" w:rsidRPr="00D717E3" w:rsidRDefault="00CC38F8" w:rsidP="0012024C">
            <w:pPr>
              <w:ind w:right="-90"/>
              <w:jc w:val="right"/>
              <w:textAlignment w:val="bottom"/>
              <w:rPr>
                <w:rFonts w:ascii="Arial" w:hAnsi="Arial" w:cs="Arial"/>
                <w:sz w:val="20"/>
                <w:szCs w:val="20"/>
                <w:lang w:val="en-GB" w:eastAsia="zh-CN"/>
              </w:rPr>
            </w:pPr>
            <w:r w:rsidRPr="00D717E3">
              <w:rPr>
                <w:rFonts w:ascii="Arial" w:hAnsi="Arial" w:cs="Arial"/>
                <w:color w:val="000000" w:themeColor="text1"/>
                <w:kern w:val="24"/>
                <w:sz w:val="20"/>
                <w:szCs w:val="20"/>
                <w:lang w:val="en-GB"/>
              </w:rPr>
              <w:t>87,856</w:t>
            </w:r>
          </w:p>
        </w:tc>
        <w:tc>
          <w:tcPr>
            <w:tcW w:w="1257" w:type="dxa"/>
          </w:tcPr>
          <w:p w14:paraId="257D1341" w14:textId="77777777" w:rsidR="00CC38F8" w:rsidRPr="00D717E3" w:rsidRDefault="00CC38F8" w:rsidP="0012024C">
            <w:pPr>
              <w:ind w:right="-90"/>
              <w:jc w:val="right"/>
              <w:textAlignment w:val="bottom"/>
              <w:rPr>
                <w:rFonts w:ascii="Arial" w:hAnsi="Arial" w:cs="Arial"/>
                <w:sz w:val="20"/>
                <w:szCs w:val="20"/>
                <w:lang w:val="en-GB" w:eastAsia="zh-CN"/>
              </w:rPr>
            </w:pPr>
            <w:r w:rsidRPr="00D717E3">
              <w:rPr>
                <w:rFonts w:ascii="Arial" w:hAnsi="Arial" w:cs="Arial"/>
                <w:color w:val="000000" w:themeColor="text1"/>
                <w:kern w:val="24"/>
                <w:sz w:val="20"/>
                <w:szCs w:val="20"/>
                <w:lang w:val="en-GB"/>
              </w:rPr>
              <w:t>86,152</w:t>
            </w:r>
          </w:p>
        </w:tc>
        <w:tc>
          <w:tcPr>
            <w:tcW w:w="1657" w:type="dxa"/>
          </w:tcPr>
          <w:p w14:paraId="4A586D85" w14:textId="77777777" w:rsidR="00CC38F8" w:rsidRPr="00D717E3" w:rsidRDefault="00CC38F8" w:rsidP="0012024C">
            <w:pPr>
              <w:ind w:right="-90"/>
              <w:jc w:val="right"/>
              <w:textAlignment w:val="bottom"/>
              <w:rPr>
                <w:rFonts w:ascii="Arial" w:hAnsi="Arial" w:cs="Arial"/>
                <w:sz w:val="20"/>
                <w:szCs w:val="20"/>
                <w:lang w:val="en-GB" w:eastAsia="zh-CN"/>
              </w:rPr>
            </w:pPr>
            <w:r w:rsidRPr="00D717E3">
              <w:rPr>
                <w:rFonts w:ascii="Arial" w:hAnsi="Arial" w:cs="Arial"/>
                <w:color w:val="000000" w:themeColor="text1"/>
                <w:kern w:val="24"/>
                <w:sz w:val="20"/>
                <w:szCs w:val="20"/>
                <w:lang w:val="en-GB"/>
              </w:rPr>
              <w:t>94,190</w:t>
            </w:r>
          </w:p>
        </w:tc>
      </w:tr>
      <w:tr w:rsidR="00CC38F8" w:rsidRPr="00D717E3" w14:paraId="4082B107" w14:textId="77777777" w:rsidTr="00014998">
        <w:trPr>
          <w:jc w:val="center"/>
        </w:trPr>
        <w:tc>
          <w:tcPr>
            <w:tcW w:w="3386" w:type="dxa"/>
          </w:tcPr>
          <w:p w14:paraId="4D0DFEA9" w14:textId="77777777" w:rsidR="00CC38F8" w:rsidRPr="00D717E3" w:rsidRDefault="00CC38F8" w:rsidP="00BE6FC1">
            <w:pPr>
              <w:ind w:right="-138"/>
              <w:textAlignment w:val="bottom"/>
              <w:rPr>
                <w:rFonts w:ascii="Arial" w:hAnsi="Arial" w:cs="Arial"/>
                <w:sz w:val="20"/>
                <w:szCs w:val="20"/>
                <w:lang w:val="en-GB" w:eastAsia="zh-CN"/>
              </w:rPr>
            </w:pPr>
            <w:r w:rsidRPr="00D717E3">
              <w:rPr>
                <w:rFonts w:ascii="Arial" w:hAnsi="Arial" w:cs="Arial"/>
                <w:color w:val="000000"/>
                <w:kern w:val="24"/>
                <w:sz w:val="20"/>
                <w:szCs w:val="20"/>
                <w:lang w:val="en-GB" w:eastAsia="zh-CN"/>
              </w:rPr>
              <w:t>Gross Fixed Assets</w:t>
            </w:r>
          </w:p>
        </w:tc>
        <w:tc>
          <w:tcPr>
            <w:tcW w:w="1217" w:type="dxa"/>
          </w:tcPr>
          <w:p w14:paraId="2CEF860B" w14:textId="77777777" w:rsidR="00CC38F8" w:rsidRPr="00D717E3" w:rsidRDefault="00CC38F8" w:rsidP="0012024C">
            <w:pPr>
              <w:ind w:right="-90"/>
              <w:jc w:val="right"/>
              <w:textAlignment w:val="bottom"/>
              <w:rPr>
                <w:rFonts w:ascii="Arial" w:hAnsi="Arial" w:cs="Arial"/>
                <w:sz w:val="20"/>
                <w:szCs w:val="20"/>
                <w:lang w:val="en-GB" w:eastAsia="zh-CN"/>
              </w:rPr>
            </w:pPr>
            <w:r w:rsidRPr="00D717E3">
              <w:rPr>
                <w:rFonts w:ascii="Arial" w:hAnsi="Arial" w:cs="Arial"/>
                <w:color w:val="000000"/>
                <w:kern w:val="24"/>
                <w:sz w:val="20"/>
                <w:szCs w:val="20"/>
                <w:lang w:val="en-GB" w:eastAsia="zh-CN"/>
              </w:rPr>
              <w:t>102,079</w:t>
            </w:r>
          </w:p>
        </w:tc>
        <w:tc>
          <w:tcPr>
            <w:tcW w:w="1217" w:type="dxa"/>
          </w:tcPr>
          <w:p w14:paraId="7BF61601" w14:textId="77777777" w:rsidR="00CC38F8" w:rsidRPr="00D717E3" w:rsidRDefault="00CC38F8" w:rsidP="0012024C">
            <w:pPr>
              <w:ind w:right="-90"/>
              <w:jc w:val="right"/>
              <w:textAlignment w:val="bottom"/>
              <w:rPr>
                <w:rFonts w:ascii="Arial" w:hAnsi="Arial" w:cs="Arial"/>
                <w:sz w:val="20"/>
                <w:szCs w:val="20"/>
                <w:lang w:val="en-GB" w:eastAsia="zh-CN"/>
              </w:rPr>
            </w:pPr>
            <w:r w:rsidRPr="00D717E3">
              <w:rPr>
                <w:rFonts w:ascii="Arial" w:hAnsi="Arial" w:cs="Arial"/>
                <w:color w:val="000000" w:themeColor="text1"/>
                <w:kern w:val="24"/>
                <w:sz w:val="20"/>
                <w:szCs w:val="20"/>
                <w:lang w:val="en-GB"/>
              </w:rPr>
              <w:t>119,458</w:t>
            </w:r>
          </w:p>
        </w:tc>
        <w:tc>
          <w:tcPr>
            <w:tcW w:w="1257" w:type="dxa"/>
          </w:tcPr>
          <w:p w14:paraId="2AB7258B" w14:textId="77777777" w:rsidR="00CC38F8" w:rsidRPr="00D717E3" w:rsidRDefault="00CC38F8" w:rsidP="0012024C">
            <w:pPr>
              <w:ind w:right="-90"/>
              <w:jc w:val="right"/>
              <w:textAlignment w:val="bottom"/>
              <w:rPr>
                <w:rFonts w:ascii="Arial" w:hAnsi="Arial" w:cs="Arial"/>
                <w:sz w:val="20"/>
                <w:szCs w:val="20"/>
                <w:lang w:val="en-GB" w:eastAsia="zh-CN"/>
              </w:rPr>
            </w:pPr>
            <w:r w:rsidRPr="00D717E3">
              <w:rPr>
                <w:rFonts w:ascii="Arial" w:hAnsi="Arial" w:cs="Arial"/>
                <w:color w:val="000000" w:themeColor="text1"/>
                <w:kern w:val="24"/>
                <w:sz w:val="20"/>
                <w:szCs w:val="20"/>
                <w:lang w:val="en-GB"/>
              </w:rPr>
              <w:t>131,223</w:t>
            </w:r>
          </w:p>
        </w:tc>
        <w:tc>
          <w:tcPr>
            <w:tcW w:w="1257" w:type="dxa"/>
          </w:tcPr>
          <w:p w14:paraId="4F27FEAA" w14:textId="77777777" w:rsidR="00CC38F8" w:rsidRPr="00D717E3" w:rsidRDefault="00CC38F8" w:rsidP="0012024C">
            <w:pPr>
              <w:ind w:right="-90"/>
              <w:jc w:val="right"/>
              <w:textAlignment w:val="bottom"/>
              <w:rPr>
                <w:rFonts w:ascii="Arial" w:hAnsi="Arial" w:cs="Arial"/>
                <w:sz w:val="20"/>
                <w:szCs w:val="20"/>
                <w:lang w:val="en-GB" w:eastAsia="zh-CN"/>
              </w:rPr>
            </w:pPr>
            <w:r w:rsidRPr="00D717E3">
              <w:rPr>
                <w:rFonts w:ascii="Arial" w:hAnsi="Arial" w:cs="Arial"/>
                <w:color w:val="000000" w:themeColor="text1"/>
                <w:kern w:val="24"/>
                <w:sz w:val="20"/>
                <w:szCs w:val="20"/>
                <w:lang w:val="en-GB"/>
              </w:rPr>
              <w:t>132,441</w:t>
            </w:r>
          </w:p>
        </w:tc>
        <w:tc>
          <w:tcPr>
            <w:tcW w:w="1257" w:type="dxa"/>
          </w:tcPr>
          <w:p w14:paraId="4C61B04D" w14:textId="77777777" w:rsidR="00CC38F8" w:rsidRPr="00D717E3" w:rsidRDefault="00CC38F8" w:rsidP="0012024C">
            <w:pPr>
              <w:ind w:right="-90"/>
              <w:jc w:val="right"/>
              <w:textAlignment w:val="bottom"/>
              <w:rPr>
                <w:rFonts w:ascii="Arial" w:hAnsi="Arial" w:cs="Arial"/>
                <w:sz w:val="20"/>
                <w:szCs w:val="20"/>
                <w:lang w:val="en-GB" w:eastAsia="zh-CN"/>
              </w:rPr>
            </w:pPr>
            <w:r w:rsidRPr="00D717E3">
              <w:rPr>
                <w:rFonts w:ascii="Arial" w:hAnsi="Arial" w:cs="Arial"/>
                <w:color w:val="000000" w:themeColor="text1"/>
                <w:kern w:val="24"/>
                <w:sz w:val="20"/>
                <w:szCs w:val="20"/>
                <w:lang w:val="en-GB"/>
              </w:rPr>
              <w:t>145,741</w:t>
            </w:r>
          </w:p>
        </w:tc>
        <w:tc>
          <w:tcPr>
            <w:tcW w:w="1257" w:type="dxa"/>
          </w:tcPr>
          <w:p w14:paraId="5AB54D11" w14:textId="77777777" w:rsidR="00CC38F8" w:rsidRPr="00D717E3" w:rsidRDefault="00CC38F8" w:rsidP="0012024C">
            <w:pPr>
              <w:ind w:right="-90"/>
              <w:jc w:val="right"/>
              <w:textAlignment w:val="bottom"/>
              <w:rPr>
                <w:rFonts w:ascii="Arial" w:hAnsi="Arial" w:cs="Arial"/>
                <w:sz w:val="20"/>
                <w:szCs w:val="20"/>
                <w:lang w:val="en-GB" w:eastAsia="zh-CN"/>
              </w:rPr>
            </w:pPr>
            <w:r w:rsidRPr="00D717E3">
              <w:rPr>
                <w:rFonts w:ascii="Arial" w:hAnsi="Arial" w:cs="Arial"/>
                <w:color w:val="000000" w:themeColor="text1"/>
                <w:kern w:val="24"/>
                <w:sz w:val="20"/>
                <w:szCs w:val="20"/>
                <w:lang w:val="en-GB"/>
              </w:rPr>
              <w:t>153,987</w:t>
            </w:r>
          </w:p>
        </w:tc>
        <w:tc>
          <w:tcPr>
            <w:tcW w:w="1657" w:type="dxa"/>
          </w:tcPr>
          <w:p w14:paraId="785A6FDF" w14:textId="77777777" w:rsidR="00CC38F8" w:rsidRPr="00D717E3" w:rsidRDefault="00CC38F8" w:rsidP="0012024C">
            <w:pPr>
              <w:ind w:right="-90"/>
              <w:jc w:val="right"/>
              <w:textAlignment w:val="bottom"/>
              <w:rPr>
                <w:rFonts w:ascii="Arial" w:hAnsi="Arial" w:cs="Arial"/>
                <w:sz w:val="20"/>
                <w:szCs w:val="20"/>
                <w:lang w:val="en-GB" w:eastAsia="zh-CN"/>
              </w:rPr>
            </w:pPr>
            <w:r w:rsidRPr="00D717E3">
              <w:rPr>
                <w:rFonts w:ascii="Arial" w:hAnsi="Arial" w:cs="Arial"/>
                <w:color w:val="000000" w:themeColor="text1"/>
                <w:kern w:val="24"/>
                <w:sz w:val="20"/>
                <w:szCs w:val="20"/>
                <w:lang w:val="en-GB"/>
              </w:rPr>
              <w:t>157,326</w:t>
            </w:r>
          </w:p>
        </w:tc>
      </w:tr>
      <w:tr w:rsidR="00CC38F8" w:rsidRPr="00D717E3" w14:paraId="4AECAFF7" w14:textId="77777777" w:rsidTr="00014998">
        <w:trPr>
          <w:jc w:val="center"/>
        </w:trPr>
        <w:tc>
          <w:tcPr>
            <w:tcW w:w="3386" w:type="dxa"/>
          </w:tcPr>
          <w:p w14:paraId="70CE2C7C" w14:textId="268411E4" w:rsidR="00CC38F8" w:rsidRPr="00D717E3" w:rsidRDefault="00CC38F8" w:rsidP="00BE6FC1">
            <w:pPr>
              <w:ind w:right="-138"/>
              <w:textAlignment w:val="bottom"/>
              <w:rPr>
                <w:rFonts w:ascii="Arial" w:hAnsi="Arial" w:cs="Arial"/>
                <w:sz w:val="20"/>
                <w:szCs w:val="20"/>
                <w:lang w:val="en-GB" w:eastAsia="zh-CN"/>
              </w:rPr>
            </w:pPr>
            <w:r w:rsidRPr="00D717E3">
              <w:rPr>
                <w:rFonts w:ascii="Arial" w:hAnsi="Arial" w:cs="Arial"/>
                <w:color w:val="000000"/>
                <w:kern w:val="24"/>
                <w:sz w:val="20"/>
                <w:szCs w:val="20"/>
                <w:lang w:val="en-GB" w:eastAsia="zh-CN"/>
              </w:rPr>
              <w:t>Accumulated Depreciation</w:t>
            </w:r>
          </w:p>
        </w:tc>
        <w:tc>
          <w:tcPr>
            <w:tcW w:w="1217" w:type="dxa"/>
          </w:tcPr>
          <w:p w14:paraId="308D942C" w14:textId="77777777" w:rsidR="00CC38F8" w:rsidRPr="00D717E3" w:rsidRDefault="00CC38F8" w:rsidP="0012024C">
            <w:pPr>
              <w:ind w:right="-90"/>
              <w:jc w:val="right"/>
              <w:textAlignment w:val="bottom"/>
              <w:rPr>
                <w:rFonts w:ascii="Arial" w:hAnsi="Arial" w:cs="Arial"/>
                <w:sz w:val="20"/>
                <w:szCs w:val="20"/>
                <w:lang w:val="en-GB" w:eastAsia="zh-CN"/>
              </w:rPr>
            </w:pPr>
            <w:r w:rsidRPr="00D717E3">
              <w:rPr>
                <w:rFonts w:ascii="Arial" w:hAnsi="Arial" w:cs="Arial"/>
                <w:color w:val="000000"/>
                <w:kern w:val="24"/>
                <w:sz w:val="20"/>
                <w:szCs w:val="20"/>
                <w:lang w:val="en-GB" w:eastAsia="zh-CN"/>
              </w:rPr>
              <w:t>46,929</w:t>
            </w:r>
          </w:p>
        </w:tc>
        <w:tc>
          <w:tcPr>
            <w:tcW w:w="1217" w:type="dxa"/>
          </w:tcPr>
          <w:p w14:paraId="427A3107" w14:textId="77777777" w:rsidR="00CC38F8" w:rsidRPr="00D717E3" w:rsidRDefault="00CC38F8" w:rsidP="0012024C">
            <w:pPr>
              <w:ind w:right="-90"/>
              <w:jc w:val="right"/>
              <w:textAlignment w:val="bottom"/>
              <w:rPr>
                <w:rFonts w:ascii="Arial" w:hAnsi="Arial" w:cs="Arial"/>
                <w:sz w:val="20"/>
                <w:szCs w:val="20"/>
                <w:lang w:val="en-GB" w:eastAsia="zh-CN"/>
              </w:rPr>
            </w:pPr>
            <w:r w:rsidRPr="00D717E3">
              <w:rPr>
                <w:rFonts w:ascii="Arial" w:hAnsi="Arial" w:cs="Arial"/>
                <w:color w:val="000000" w:themeColor="text1"/>
                <w:kern w:val="24"/>
                <w:sz w:val="20"/>
                <w:szCs w:val="20"/>
                <w:lang w:val="en-GB"/>
              </w:rPr>
              <w:t>48,394</w:t>
            </w:r>
          </w:p>
        </w:tc>
        <w:tc>
          <w:tcPr>
            <w:tcW w:w="1257" w:type="dxa"/>
          </w:tcPr>
          <w:p w14:paraId="64B7B999" w14:textId="77777777" w:rsidR="00CC38F8" w:rsidRPr="00D717E3" w:rsidRDefault="00CC38F8" w:rsidP="0012024C">
            <w:pPr>
              <w:ind w:right="-90"/>
              <w:jc w:val="right"/>
              <w:textAlignment w:val="bottom"/>
              <w:rPr>
                <w:rFonts w:ascii="Arial" w:hAnsi="Arial" w:cs="Arial"/>
                <w:sz w:val="20"/>
                <w:szCs w:val="20"/>
                <w:lang w:val="en-GB" w:eastAsia="zh-CN"/>
              </w:rPr>
            </w:pPr>
            <w:r w:rsidRPr="00D717E3">
              <w:rPr>
                <w:rFonts w:ascii="Arial" w:hAnsi="Arial" w:cs="Arial"/>
                <w:color w:val="000000" w:themeColor="text1"/>
                <w:kern w:val="24"/>
                <w:sz w:val="20"/>
                <w:szCs w:val="20"/>
                <w:lang w:val="en-GB"/>
              </w:rPr>
              <w:t>51,637</w:t>
            </w:r>
          </w:p>
        </w:tc>
        <w:tc>
          <w:tcPr>
            <w:tcW w:w="1257" w:type="dxa"/>
          </w:tcPr>
          <w:p w14:paraId="77581D89" w14:textId="77777777" w:rsidR="00CC38F8" w:rsidRPr="00D717E3" w:rsidRDefault="00CC38F8" w:rsidP="0012024C">
            <w:pPr>
              <w:ind w:right="-90"/>
              <w:jc w:val="right"/>
              <w:textAlignment w:val="bottom"/>
              <w:rPr>
                <w:rFonts w:ascii="Arial" w:hAnsi="Arial" w:cs="Arial"/>
                <w:sz w:val="20"/>
                <w:szCs w:val="20"/>
                <w:lang w:val="en-GB" w:eastAsia="zh-CN"/>
              </w:rPr>
            </w:pPr>
            <w:r w:rsidRPr="00D717E3">
              <w:rPr>
                <w:rFonts w:ascii="Arial" w:hAnsi="Arial" w:cs="Arial"/>
                <w:color w:val="000000" w:themeColor="text1"/>
                <w:kern w:val="24"/>
                <w:sz w:val="20"/>
                <w:szCs w:val="20"/>
                <w:lang w:val="en-GB"/>
              </w:rPr>
              <w:t>51,577</w:t>
            </w:r>
          </w:p>
        </w:tc>
        <w:tc>
          <w:tcPr>
            <w:tcW w:w="1257" w:type="dxa"/>
          </w:tcPr>
          <w:p w14:paraId="0A7213BF" w14:textId="77777777" w:rsidR="00CC38F8" w:rsidRPr="00D717E3" w:rsidRDefault="00CC38F8" w:rsidP="0012024C">
            <w:pPr>
              <w:ind w:right="-90"/>
              <w:jc w:val="right"/>
              <w:textAlignment w:val="bottom"/>
              <w:rPr>
                <w:rFonts w:ascii="Arial" w:hAnsi="Arial" w:cs="Arial"/>
                <w:sz w:val="20"/>
                <w:szCs w:val="20"/>
                <w:lang w:val="en-GB" w:eastAsia="zh-CN"/>
              </w:rPr>
            </w:pPr>
            <w:r w:rsidRPr="00D717E3">
              <w:rPr>
                <w:rFonts w:ascii="Arial" w:hAnsi="Arial" w:cs="Arial"/>
                <w:color w:val="000000" w:themeColor="text1"/>
                <w:kern w:val="24"/>
                <w:sz w:val="20"/>
                <w:szCs w:val="20"/>
                <w:lang w:val="en-GB"/>
              </w:rPr>
              <w:t>57,885</w:t>
            </w:r>
          </w:p>
        </w:tc>
        <w:tc>
          <w:tcPr>
            <w:tcW w:w="1257" w:type="dxa"/>
          </w:tcPr>
          <w:p w14:paraId="556C4D58" w14:textId="77777777" w:rsidR="00CC38F8" w:rsidRPr="00D717E3" w:rsidRDefault="00CC38F8" w:rsidP="0012024C">
            <w:pPr>
              <w:ind w:right="-90"/>
              <w:jc w:val="right"/>
              <w:textAlignment w:val="bottom"/>
              <w:rPr>
                <w:rFonts w:ascii="Arial" w:hAnsi="Arial" w:cs="Arial"/>
                <w:sz w:val="20"/>
                <w:szCs w:val="20"/>
                <w:lang w:val="en-GB" w:eastAsia="zh-CN"/>
              </w:rPr>
            </w:pPr>
            <w:r w:rsidRPr="00D717E3">
              <w:rPr>
                <w:rFonts w:ascii="Arial" w:hAnsi="Arial" w:cs="Arial"/>
                <w:color w:val="000000" w:themeColor="text1"/>
                <w:kern w:val="24"/>
                <w:sz w:val="20"/>
                <w:szCs w:val="20"/>
                <w:lang w:val="en-GB"/>
              </w:rPr>
              <w:t>67,835</w:t>
            </w:r>
          </w:p>
        </w:tc>
        <w:tc>
          <w:tcPr>
            <w:tcW w:w="1657" w:type="dxa"/>
          </w:tcPr>
          <w:p w14:paraId="36E00355" w14:textId="77777777" w:rsidR="00CC38F8" w:rsidRPr="00D717E3" w:rsidRDefault="00CC38F8" w:rsidP="0012024C">
            <w:pPr>
              <w:ind w:right="-90"/>
              <w:jc w:val="right"/>
              <w:textAlignment w:val="bottom"/>
              <w:rPr>
                <w:rFonts w:ascii="Arial" w:hAnsi="Arial" w:cs="Arial"/>
                <w:sz w:val="20"/>
                <w:szCs w:val="20"/>
                <w:lang w:val="en-GB" w:eastAsia="zh-CN"/>
              </w:rPr>
            </w:pPr>
            <w:r w:rsidRPr="00D717E3">
              <w:rPr>
                <w:rFonts w:ascii="Arial" w:hAnsi="Arial" w:cs="Arial"/>
                <w:color w:val="000000" w:themeColor="text1"/>
                <w:kern w:val="24"/>
                <w:sz w:val="20"/>
                <w:szCs w:val="20"/>
                <w:lang w:val="en-GB"/>
              </w:rPr>
              <w:t>63,136</w:t>
            </w:r>
          </w:p>
        </w:tc>
      </w:tr>
      <w:tr w:rsidR="00CC38F8" w:rsidRPr="00D717E3" w14:paraId="32931DF0" w14:textId="77777777" w:rsidTr="00014998">
        <w:trPr>
          <w:jc w:val="center"/>
        </w:trPr>
        <w:tc>
          <w:tcPr>
            <w:tcW w:w="3386" w:type="dxa"/>
          </w:tcPr>
          <w:p w14:paraId="752779A2" w14:textId="29EC8556" w:rsidR="00CC38F8" w:rsidRPr="00D717E3" w:rsidRDefault="00CC38F8" w:rsidP="00F23EAA">
            <w:pPr>
              <w:ind w:right="-138"/>
              <w:textAlignment w:val="bottom"/>
              <w:rPr>
                <w:rFonts w:ascii="Arial" w:hAnsi="Arial" w:cs="Arial"/>
                <w:sz w:val="20"/>
                <w:szCs w:val="20"/>
                <w:lang w:val="en-GB" w:eastAsia="zh-CN"/>
              </w:rPr>
            </w:pPr>
            <w:r w:rsidRPr="00D717E3">
              <w:rPr>
                <w:rFonts w:ascii="Arial" w:hAnsi="Arial" w:cs="Arial"/>
                <w:color w:val="000000"/>
                <w:kern w:val="24"/>
                <w:sz w:val="20"/>
                <w:szCs w:val="20"/>
                <w:lang w:val="en-GB" w:eastAsia="zh-CN"/>
              </w:rPr>
              <w:t>Other Long-</w:t>
            </w:r>
            <w:r w:rsidR="00F23EAA" w:rsidRPr="00D717E3">
              <w:rPr>
                <w:rFonts w:ascii="Arial" w:hAnsi="Arial" w:cs="Arial"/>
                <w:color w:val="000000"/>
                <w:kern w:val="24"/>
                <w:sz w:val="20"/>
                <w:szCs w:val="20"/>
                <w:lang w:val="en-GB" w:eastAsia="zh-CN"/>
              </w:rPr>
              <w:t>T</w:t>
            </w:r>
            <w:r w:rsidRPr="00D717E3">
              <w:rPr>
                <w:rFonts w:ascii="Arial" w:hAnsi="Arial" w:cs="Arial"/>
                <w:color w:val="000000"/>
                <w:kern w:val="24"/>
                <w:sz w:val="20"/>
                <w:szCs w:val="20"/>
                <w:lang w:val="en-GB" w:eastAsia="zh-CN"/>
              </w:rPr>
              <w:t>erm Assets</w:t>
            </w:r>
          </w:p>
        </w:tc>
        <w:tc>
          <w:tcPr>
            <w:tcW w:w="1217" w:type="dxa"/>
          </w:tcPr>
          <w:p w14:paraId="06723311" w14:textId="77777777" w:rsidR="00CC38F8" w:rsidRPr="00D717E3" w:rsidRDefault="00CC38F8" w:rsidP="0012024C">
            <w:pPr>
              <w:ind w:right="-90"/>
              <w:jc w:val="right"/>
              <w:textAlignment w:val="bottom"/>
              <w:rPr>
                <w:rFonts w:ascii="Arial" w:hAnsi="Arial" w:cs="Arial"/>
                <w:sz w:val="20"/>
                <w:szCs w:val="20"/>
                <w:lang w:val="en-GB" w:eastAsia="zh-CN"/>
              </w:rPr>
            </w:pPr>
            <w:r w:rsidRPr="00D717E3">
              <w:rPr>
                <w:rFonts w:ascii="Arial" w:hAnsi="Arial" w:cs="Arial"/>
                <w:color w:val="000000"/>
                <w:kern w:val="24"/>
                <w:sz w:val="20"/>
                <w:szCs w:val="20"/>
                <w:lang w:val="en-GB" w:eastAsia="zh-CN"/>
              </w:rPr>
              <w:t>33,636</w:t>
            </w:r>
          </w:p>
        </w:tc>
        <w:tc>
          <w:tcPr>
            <w:tcW w:w="1217" w:type="dxa"/>
          </w:tcPr>
          <w:p w14:paraId="661DC65A" w14:textId="77777777" w:rsidR="00CC38F8" w:rsidRPr="00D717E3" w:rsidRDefault="00CC38F8" w:rsidP="0012024C">
            <w:pPr>
              <w:ind w:right="-90"/>
              <w:jc w:val="right"/>
              <w:textAlignment w:val="bottom"/>
              <w:rPr>
                <w:rFonts w:ascii="Arial" w:hAnsi="Arial" w:cs="Arial"/>
                <w:sz w:val="20"/>
                <w:szCs w:val="20"/>
                <w:lang w:val="en-GB" w:eastAsia="zh-CN"/>
              </w:rPr>
            </w:pPr>
            <w:r w:rsidRPr="00D717E3">
              <w:rPr>
                <w:rFonts w:ascii="Arial" w:hAnsi="Arial" w:cs="Arial"/>
                <w:color w:val="000000" w:themeColor="text1"/>
                <w:kern w:val="24"/>
                <w:sz w:val="20"/>
                <w:szCs w:val="20"/>
                <w:lang w:val="en-GB"/>
              </w:rPr>
              <w:t>42,893</w:t>
            </w:r>
          </w:p>
        </w:tc>
        <w:tc>
          <w:tcPr>
            <w:tcW w:w="1257" w:type="dxa"/>
          </w:tcPr>
          <w:p w14:paraId="1F4F46DC" w14:textId="77777777" w:rsidR="00CC38F8" w:rsidRPr="00D717E3" w:rsidRDefault="00CC38F8" w:rsidP="0012024C">
            <w:pPr>
              <w:ind w:right="-90"/>
              <w:jc w:val="right"/>
              <w:textAlignment w:val="bottom"/>
              <w:rPr>
                <w:rFonts w:ascii="Arial" w:hAnsi="Arial" w:cs="Arial"/>
                <w:sz w:val="20"/>
                <w:szCs w:val="20"/>
                <w:lang w:val="en-GB" w:eastAsia="zh-CN"/>
              </w:rPr>
            </w:pPr>
            <w:r w:rsidRPr="00D717E3">
              <w:rPr>
                <w:rFonts w:ascii="Arial" w:hAnsi="Arial" w:cs="Arial"/>
                <w:color w:val="000000" w:themeColor="text1"/>
                <w:kern w:val="24"/>
                <w:sz w:val="20"/>
                <w:szCs w:val="20"/>
                <w:lang w:val="en-GB"/>
              </w:rPr>
              <w:t>51,895</w:t>
            </w:r>
          </w:p>
        </w:tc>
        <w:tc>
          <w:tcPr>
            <w:tcW w:w="1257" w:type="dxa"/>
          </w:tcPr>
          <w:p w14:paraId="3F5E296F" w14:textId="77777777" w:rsidR="00CC38F8" w:rsidRPr="00D717E3" w:rsidRDefault="00CC38F8" w:rsidP="0012024C">
            <w:pPr>
              <w:ind w:right="-90"/>
              <w:jc w:val="right"/>
              <w:textAlignment w:val="bottom"/>
              <w:rPr>
                <w:rFonts w:ascii="Arial" w:hAnsi="Arial" w:cs="Arial"/>
                <w:sz w:val="20"/>
                <w:szCs w:val="20"/>
                <w:lang w:val="en-GB" w:eastAsia="zh-CN"/>
              </w:rPr>
            </w:pPr>
            <w:r w:rsidRPr="00D717E3">
              <w:rPr>
                <w:rFonts w:ascii="Arial" w:hAnsi="Arial" w:cs="Arial"/>
                <w:color w:val="000000" w:themeColor="text1"/>
                <w:kern w:val="24"/>
                <w:sz w:val="20"/>
                <w:szCs w:val="20"/>
                <w:lang w:val="en-GB"/>
              </w:rPr>
              <w:t>52,499</w:t>
            </w:r>
          </w:p>
        </w:tc>
        <w:tc>
          <w:tcPr>
            <w:tcW w:w="1257" w:type="dxa"/>
          </w:tcPr>
          <w:p w14:paraId="1A68540E" w14:textId="77777777" w:rsidR="00CC38F8" w:rsidRPr="00D717E3" w:rsidRDefault="00CC38F8" w:rsidP="0012024C">
            <w:pPr>
              <w:ind w:right="-90"/>
              <w:jc w:val="right"/>
              <w:textAlignment w:val="bottom"/>
              <w:rPr>
                <w:rFonts w:ascii="Arial" w:hAnsi="Arial" w:cs="Arial"/>
                <w:sz w:val="20"/>
                <w:szCs w:val="20"/>
                <w:lang w:val="en-GB" w:eastAsia="zh-CN"/>
              </w:rPr>
            </w:pPr>
            <w:r w:rsidRPr="00D717E3">
              <w:rPr>
                <w:rFonts w:ascii="Arial" w:hAnsi="Arial" w:cs="Arial"/>
                <w:color w:val="000000" w:themeColor="text1"/>
                <w:kern w:val="24"/>
                <w:sz w:val="20"/>
                <w:szCs w:val="20"/>
                <w:lang w:val="en-GB"/>
              </w:rPr>
              <w:t>78,554</w:t>
            </w:r>
          </w:p>
        </w:tc>
        <w:tc>
          <w:tcPr>
            <w:tcW w:w="1257" w:type="dxa"/>
          </w:tcPr>
          <w:p w14:paraId="2F6D5090" w14:textId="77777777" w:rsidR="00CC38F8" w:rsidRPr="00D717E3" w:rsidRDefault="00CC38F8" w:rsidP="0012024C">
            <w:pPr>
              <w:ind w:right="-90"/>
              <w:jc w:val="right"/>
              <w:textAlignment w:val="bottom"/>
              <w:rPr>
                <w:rFonts w:ascii="Arial" w:hAnsi="Arial" w:cs="Arial"/>
                <w:sz w:val="20"/>
                <w:szCs w:val="20"/>
                <w:lang w:val="en-GB" w:eastAsia="zh-CN"/>
              </w:rPr>
            </w:pPr>
            <w:r w:rsidRPr="00D717E3">
              <w:rPr>
                <w:rFonts w:ascii="Arial" w:hAnsi="Arial" w:cs="Arial"/>
                <w:color w:val="000000" w:themeColor="text1"/>
                <w:kern w:val="24"/>
                <w:sz w:val="20"/>
                <w:szCs w:val="20"/>
                <w:lang w:val="en-GB"/>
              </w:rPr>
              <w:t>66,114</w:t>
            </w:r>
          </w:p>
        </w:tc>
        <w:tc>
          <w:tcPr>
            <w:tcW w:w="1657" w:type="dxa"/>
          </w:tcPr>
          <w:p w14:paraId="0FB875FD" w14:textId="77777777" w:rsidR="00CC38F8" w:rsidRPr="00D717E3" w:rsidRDefault="00CC38F8" w:rsidP="0012024C">
            <w:pPr>
              <w:ind w:right="-90"/>
              <w:jc w:val="right"/>
              <w:textAlignment w:val="bottom"/>
              <w:rPr>
                <w:rFonts w:ascii="Arial" w:hAnsi="Arial" w:cs="Arial"/>
                <w:sz w:val="20"/>
                <w:szCs w:val="20"/>
                <w:lang w:val="en-GB" w:eastAsia="zh-CN"/>
              </w:rPr>
            </w:pPr>
            <w:r w:rsidRPr="00D717E3">
              <w:rPr>
                <w:rFonts w:ascii="Arial" w:hAnsi="Arial" w:cs="Arial"/>
                <w:color w:val="000000" w:themeColor="text1"/>
                <w:kern w:val="24"/>
                <w:sz w:val="20"/>
                <w:szCs w:val="20"/>
                <w:lang w:val="en-GB"/>
              </w:rPr>
              <w:t>74,712</w:t>
            </w:r>
          </w:p>
        </w:tc>
      </w:tr>
      <w:tr w:rsidR="00CC38F8" w:rsidRPr="00D717E3" w14:paraId="065EE7E9" w14:textId="77777777" w:rsidTr="00014998">
        <w:trPr>
          <w:jc w:val="center"/>
        </w:trPr>
        <w:tc>
          <w:tcPr>
            <w:tcW w:w="3386" w:type="dxa"/>
          </w:tcPr>
          <w:p w14:paraId="50F04E69" w14:textId="77777777" w:rsidR="00CC38F8" w:rsidRPr="00D717E3" w:rsidRDefault="00CC38F8" w:rsidP="00BE6FC1">
            <w:pPr>
              <w:ind w:right="-138"/>
              <w:textAlignment w:val="bottom"/>
              <w:rPr>
                <w:rFonts w:ascii="Arial" w:hAnsi="Arial" w:cs="Arial"/>
                <w:b/>
                <w:sz w:val="20"/>
                <w:szCs w:val="20"/>
                <w:lang w:val="en-GB" w:eastAsia="zh-CN"/>
              </w:rPr>
            </w:pPr>
            <w:r w:rsidRPr="00D717E3">
              <w:rPr>
                <w:rFonts w:ascii="Arial" w:hAnsi="Arial" w:cs="Arial"/>
                <w:b/>
                <w:color w:val="000000"/>
                <w:kern w:val="24"/>
                <w:sz w:val="20"/>
                <w:szCs w:val="20"/>
                <w:lang w:val="en-GB" w:eastAsia="zh-CN"/>
              </w:rPr>
              <w:t>TOTAL LONG-TERM ASSETS</w:t>
            </w:r>
          </w:p>
        </w:tc>
        <w:tc>
          <w:tcPr>
            <w:tcW w:w="1217" w:type="dxa"/>
          </w:tcPr>
          <w:p w14:paraId="2DFD0443" w14:textId="77777777" w:rsidR="00CC38F8" w:rsidRPr="00D717E3" w:rsidRDefault="00CC38F8" w:rsidP="0012024C">
            <w:pPr>
              <w:ind w:right="-90"/>
              <w:jc w:val="right"/>
              <w:textAlignment w:val="bottom"/>
              <w:rPr>
                <w:rFonts w:ascii="Arial" w:hAnsi="Arial" w:cs="Arial"/>
                <w:b/>
                <w:sz w:val="20"/>
                <w:szCs w:val="20"/>
                <w:lang w:val="en-GB" w:eastAsia="zh-CN"/>
              </w:rPr>
            </w:pPr>
            <w:r w:rsidRPr="00D717E3">
              <w:rPr>
                <w:rFonts w:ascii="Arial" w:hAnsi="Arial" w:cs="Arial"/>
                <w:b/>
                <w:color w:val="000000"/>
                <w:kern w:val="24"/>
                <w:sz w:val="20"/>
                <w:szCs w:val="20"/>
                <w:lang w:val="en-GB" w:eastAsia="zh-CN"/>
              </w:rPr>
              <w:t>155,656</w:t>
            </w:r>
          </w:p>
        </w:tc>
        <w:tc>
          <w:tcPr>
            <w:tcW w:w="1217" w:type="dxa"/>
          </w:tcPr>
          <w:p w14:paraId="5E994A51" w14:textId="77777777" w:rsidR="00CC38F8" w:rsidRPr="00D717E3" w:rsidRDefault="00CC38F8" w:rsidP="0012024C">
            <w:pPr>
              <w:ind w:right="-90"/>
              <w:jc w:val="right"/>
              <w:textAlignment w:val="bottom"/>
              <w:rPr>
                <w:rFonts w:ascii="Arial" w:hAnsi="Arial" w:cs="Arial"/>
                <w:b/>
                <w:sz w:val="20"/>
                <w:szCs w:val="20"/>
                <w:lang w:val="en-GB" w:eastAsia="zh-CN"/>
              </w:rPr>
            </w:pPr>
            <w:r w:rsidRPr="00D717E3">
              <w:rPr>
                <w:rFonts w:ascii="Arial" w:hAnsi="Arial" w:cs="Arial"/>
                <w:b/>
                <w:color w:val="000000" w:themeColor="text1"/>
                <w:kern w:val="24"/>
                <w:sz w:val="20"/>
                <w:szCs w:val="20"/>
                <w:lang w:val="en-GB"/>
              </w:rPr>
              <w:t>162,042</w:t>
            </w:r>
          </w:p>
        </w:tc>
        <w:tc>
          <w:tcPr>
            <w:tcW w:w="1257" w:type="dxa"/>
          </w:tcPr>
          <w:p w14:paraId="39C4E64F" w14:textId="77777777" w:rsidR="00CC38F8" w:rsidRPr="00D717E3" w:rsidRDefault="00CC38F8" w:rsidP="0012024C">
            <w:pPr>
              <w:ind w:right="-90"/>
              <w:jc w:val="right"/>
              <w:textAlignment w:val="bottom"/>
              <w:rPr>
                <w:rFonts w:ascii="Arial" w:hAnsi="Arial" w:cs="Arial"/>
                <w:b/>
                <w:sz w:val="20"/>
                <w:szCs w:val="20"/>
                <w:lang w:val="en-GB" w:eastAsia="zh-CN"/>
              </w:rPr>
            </w:pPr>
            <w:r w:rsidRPr="00D717E3">
              <w:rPr>
                <w:rFonts w:ascii="Arial" w:hAnsi="Arial" w:cs="Arial"/>
                <w:b/>
                <w:color w:val="000000" w:themeColor="text1"/>
                <w:kern w:val="24"/>
                <w:sz w:val="20"/>
                <w:szCs w:val="20"/>
                <w:lang w:val="en-GB"/>
              </w:rPr>
              <w:t>169,598</w:t>
            </w:r>
          </w:p>
        </w:tc>
        <w:tc>
          <w:tcPr>
            <w:tcW w:w="1257" w:type="dxa"/>
          </w:tcPr>
          <w:p w14:paraId="51C43938" w14:textId="77777777" w:rsidR="00CC38F8" w:rsidRPr="00D717E3" w:rsidRDefault="00CC38F8" w:rsidP="0012024C">
            <w:pPr>
              <w:ind w:right="-90"/>
              <w:jc w:val="right"/>
              <w:textAlignment w:val="bottom"/>
              <w:rPr>
                <w:rFonts w:ascii="Arial" w:hAnsi="Arial" w:cs="Arial"/>
                <w:b/>
                <w:sz w:val="20"/>
                <w:szCs w:val="20"/>
                <w:lang w:val="en-GB" w:eastAsia="zh-CN"/>
              </w:rPr>
            </w:pPr>
            <w:r w:rsidRPr="00D717E3">
              <w:rPr>
                <w:rFonts w:ascii="Arial" w:hAnsi="Arial" w:cs="Arial"/>
                <w:b/>
                <w:color w:val="000000" w:themeColor="text1"/>
                <w:kern w:val="24"/>
                <w:sz w:val="20"/>
                <w:szCs w:val="20"/>
                <w:lang w:val="en-GB"/>
              </w:rPr>
              <w:t>165,591</w:t>
            </w:r>
          </w:p>
        </w:tc>
        <w:tc>
          <w:tcPr>
            <w:tcW w:w="1257" w:type="dxa"/>
          </w:tcPr>
          <w:p w14:paraId="6FD3EEFC" w14:textId="77777777" w:rsidR="00CC38F8" w:rsidRPr="00D717E3" w:rsidRDefault="00CC38F8" w:rsidP="0012024C">
            <w:pPr>
              <w:ind w:right="-90"/>
              <w:jc w:val="right"/>
              <w:textAlignment w:val="bottom"/>
              <w:rPr>
                <w:rFonts w:ascii="Arial" w:hAnsi="Arial" w:cs="Arial"/>
                <w:b/>
                <w:sz w:val="20"/>
                <w:szCs w:val="20"/>
                <w:lang w:val="en-GB" w:eastAsia="zh-CN"/>
              </w:rPr>
            </w:pPr>
            <w:r w:rsidRPr="00D717E3">
              <w:rPr>
                <w:rFonts w:ascii="Arial" w:hAnsi="Arial" w:cs="Arial"/>
                <w:b/>
                <w:color w:val="000000" w:themeColor="text1"/>
                <w:kern w:val="24"/>
                <w:sz w:val="20"/>
                <w:szCs w:val="20"/>
                <w:lang w:val="en-GB"/>
              </w:rPr>
              <w:t>227,615</w:t>
            </w:r>
          </w:p>
        </w:tc>
        <w:tc>
          <w:tcPr>
            <w:tcW w:w="1257" w:type="dxa"/>
          </w:tcPr>
          <w:p w14:paraId="30842AFD" w14:textId="77777777" w:rsidR="00CC38F8" w:rsidRPr="00D717E3" w:rsidRDefault="00CC38F8" w:rsidP="0012024C">
            <w:pPr>
              <w:ind w:right="-90"/>
              <w:jc w:val="right"/>
              <w:textAlignment w:val="bottom"/>
              <w:rPr>
                <w:rFonts w:ascii="Arial" w:hAnsi="Arial" w:cs="Arial"/>
                <w:b/>
                <w:sz w:val="20"/>
                <w:szCs w:val="20"/>
                <w:lang w:val="en-GB" w:eastAsia="zh-CN"/>
              </w:rPr>
            </w:pPr>
            <w:r w:rsidRPr="00D717E3">
              <w:rPr>
                <w:rFonts w:ascii="Arial" w:hAnsi="Arial" w:cs="Arial"/>
                <w:b/>
                <w:color w:val="000000" w:themeColor="text1"/>
                <w:kern w:val="24"/>
                <w:sz w:val="20"/>
                <w:szCs w:val="20"/>
                <w:lang w:val="en-GB"/>
              </w:rPr>
              <w:t>255,628</w:t>
            </w:r>
          </w:p>
        </w:tc>
        <w:tc>
          <w:tcPr>
            <w:tcW w:w="1657" w:type="dxa"/>
          </w:tcPr>
          <w:p w14:paraId="5972060C" w14:textId="15871065" w:rsidR="00EE17B8" w:rsidRPr="00D717E3" w:rsidRDefault="00CC38F8" w:rsidP="0012024C">
            <w:pPr>
              <w:ind w:right="-90"/>
              <w:jc w:val="right"/>
              <w:textAlignment w:val="bottom"/>
              <w:rPr>
                <w:rFonts w:ascii="Arial" w:hAnsi="Arial" w:cs="Arial"/>
                <w:b/>
                <w:color w:val="000000" w:themeColor="text1"/>
                <w:kern w:val="24"/>
                <w:sz w:val="20"/>
                <w:szCs w:val="20"/>
                <w:lang w:val="en-GB"/>
              </w:rPr>
            </w:pPr>
            <w:r w:rsidRPr="00D717E3">
              <w:rPr>
                <w:rFonts w:ascii="Arial" w:hAnsi="Arial" w:cs="Arial"/>
                <w:b/>
                <w:color w:val="000000" w:themeColor="text1"/>
                <w:kern w:val="24"/>
                <w:sz w:val="20"/>
                <w:szCs w:val="20"/>
                <w:lang w:val="en-GB"/>
              </w:rPr>
              <w:t>282,274</w:t>
            </w:r>
          </w:p>
        </w:tc>
      </w:tr>
      <w:tr w:rsidR="00CC38F8" w:rsidRPr="00D717E3" w14:paraId="4F92F0EE" w14:textId="77777777" w:rsidTr="00014998">
        <w:trPr>
          <w:jc w:val="center"/>
        </w:trPr>
        <w:tc>
          <w:tcPr>
            <w:tcW w:w="3386" w:type="dxa"/>
          </w:tcPr>
          <w:p w14:paraId="01F37831" w14:textId="77777777" w:rsidR="00CC38F8" w:rsidRPr="00D717E3" w:rsidRDefault="00CC38F8" w:rsidP="00BE6FC1">
            <w:pPr>
              <w:ind w:right="-138"/>
              <w:textAlignment w:val="bottom"/>
              <w:rPr>
                <w:rFonts w:ascii="Arial" w:hAnsi="Arial" w:cs="Arial"/>
                <w:b/>
                <w:sz w:val="20"/>
                <w:szCs w:val="20"/>
                <w:lang w:val="en-GB" w:eastAsia="zh-CN"/>
              </w:rPr>
            </w:pPr>
            <w:r w:rsidRPr="00D717E3">
              <w:rPr>
                <w:rFonts w:ascii="Arial" w:hAnsi="Arial" w:cs="Arial"/>
                <w:b/>
                <w:color w:val="000000"/>
                <w:kern w:val="24"/>
                <w:sz w:val="20"/>
                <w:szCs w:val="20"/>
                <w:lang w:val="en-GB" w:eastAsia="zh-CN"/>
              </w:rPr>
              <w:t>TOTAL ASSETS</w:t>
            </w:r>
          </w:p>
        </w:tc>
        <w:tc>
          <w:tcPr>
            <w:tcW w:w="1217" w:type="dxa"/>
          </w:tcPr>
          <w:p w14:paraId="74569929" w14:textId="77777777" w:rsidR="00CC38F8" w:rsidRPr="00D717E3" w:rsidRDefault="00CC38F8" w:rsidP="0012024C">
            <w:pPr>
              <w:ind w:right="-90"/>
              <w:jc w:val="right"/>
              <w:textAlignment w:val="bottom"/>
              <w:rPr>
                <w:rFonts w:ascii="Arial" w:hAnsi="Arial" w:cs="Arial"/>
                <w:b/>
                <w:sz w:val="20"/>
                <w:szCs w:val="20"/>
                <w:lang w:val="en-GB" w:eastAsia="zh-CN"/>
              </w:rPr>
            </w:pPr>
            <w:r w:rsidRPr="00D717E3">
              <w:rPr>
                <w:rFonts w:ascii="Arial" w:hAnsi="Arial" w:cs="Arial"/>
                <w:b/>
                <w:color w:val="000000"/>
                <w:kern w:val="24"/>
                <w:sz w:val="20"/>
                <w:szCs w:val="20"/>
                <w:lang w:val="en-GB" w:eastAsia="zh-CN"/>
              </w:rPr>
              <w:t>1,802,490</w:t>
            </w:r>
          </w:p>
        </w:tc>
        <w:tc>
          <w:tcPr>
            <w:tcW w:w="1217" w:type="dxa"/>
          </w:tcPr>
          <w:p w14:paraId="393E9DED" w14:textId="77777777" w:rsidR="00CC38F8" w:rsidRPr="00D717E3" w:rsidRDefault="00CC38F8" w:rsidP="0012024C">
            <w:pPr>
              <w:ind w:right="-90"/>
              <w:jc w:val="right"/>
              <w:textAlignment w:val="bottom"/>
              <w:rPr>
                <w:rFonts w:ascii="Arial" w:hAnsi="Arial" w:cs="Arial"/>
                <w:b/>
                <w:sz w:val="20"/>
                <w:szCs w:val="20"/>
                <w:lang w:val="en-GB" w:eastAsia="zh-CN"/>
              </w:rPr>
            </w:pPr>
            <w:r w:rsidRPr="00D717E3">
              <w:rPr>
                <w:rFonts w:ascii="Arial" w:hAnsi="Arial" w:cs="Arial"/>
                <w:b/>
                <w:color w:val="000000" w:themeColor="text1"/>
                <w:kern w:val="24"/>
                <w:sz w:val="20"/>
                <w:szCs w:val="20"/>
                <w:lang w:val="en-GB"/>
              </w:rPr>
              <w:t>1,810,767</w:t>
            </w:r>
          </w:p>
        </w:tc>
        <w:tc>
          <w:tcPr>
            <w:tcW w:w="1257" w:type="dxa"/>
          </w:tcPr>
          <w:p w14:paraId="323D6A62" w14:textId="77777777" w:rsidR="00CC38F8" w:rsidRPr="00D717E3" w:rsidRDefault="00CC38F8" w:rsidP="0012024C">
            <w:pPr>
              <w:ind w:right="-90"/>
              <w:jc w:val="right"/>
              <w:textAlignment w:val="bottom"/>
              <w:rPr>
                <w:rFonts w:ascii="Arial" w:hAnsi="Arial" w:cs="Arial"/>
                <w:b/>
                <w:sz w:val="20"/>
                <w:szCs w:val="20"/>
                <w:lang w:val="en-GB" w:eastAsia="zh-CN"/>
              </w:rPr>
            </w:pPr>
            <w:r w:rsidRPr="00D717E3">
              <w:rPr>
                <w:rFonts w:ascii="Arial" w:hAnsi="Arial" w:cs="Arial"/>
                <w:b/>
                <w:color w:val="000000" w:themeColor="text1"/>
                <w:kern w:val="24"/>
                <w:sz w:val="20"/>
                <w:szCs w:val="20"/>
                <w:lang w:val="en-GB"/>
              </w:rPr>
              <w:t>1,760,986</w:t>
            </w:r>
          </w:p>
        </w:tc>
        <w:tc>
          <w:tcPr>
            <w:tcW w:w="1257" w:type="dxa"/>
          </w:tcPr>
          <w:p w14:paraId="792710E8" w14:textId="77777777" w:rsidR="00CC38F8" w:rsidRPr="00D717E3" w:rsidRDefault="00CC38F8" w:rsidP="0012024C">
            <w:pPr>
              <w:ind w:right="-90"/>
              <w:jc w:val="right"/>
              <w:textAlignment w:val="bottom"/>
              <w:rPr>
                <w:rFonts w:ascii="Arial" w:hAnsi="Arial" w:cs="Arial"/>
                <w:b/>
                <w:sz w:val="20"/>
                <w:szCs w:val="20"/>
                <w:lang w:val="en-GB" w:eastAsia="zh-CN"/>
              </w:rPr>
            </w:pPr>
            <w:r w:rsidRPr="00D717E3">
              <w:rPr>
                <w:rFonts w:ascii="Arial" w:hAnsi="Arial" w:cs="Arial"/>
                <w:b/>
                <w:color w:val="000000" w:themeColor="text1"/>
                <w:kern w:val="24"/>
                <w:sz w:val="20"/>
                <w:szCs w:val="20"/>
                <w:lang w:val="en-GB"/>
              </w:rPr>
              <w:t>1,634,297</w:t>
            </w:r>
          </w:p>
        </w:tc>
        <w:tc>
          <w:tcPr>
            <w:tcW w:w="1257" w:type="dxa"/>
          </w:tcPr>
          <w:p w14:paraId="6AC09648" w14:textId="77777777" w:rsidR="00CC38F8" w:rsidRPr="00D717E3" w:rsidRDefault="00CC38F8" w:rsidP="0012024C">
            <w:pPr>
              <w:ind w:right="-90"/>
              <w:jc w:val="right"/>
              <w:textAlignment w:val="bottom"/>
              <w:rPr>
                <w:rFonts w:ascii="Arial" w:hAnsi="Arial" w:cs="Arial"/>
                <w:b/>
                <w:sz w:val="20"/>
                <w:szCs w:val="20"/>
                <w:lang w:val="en-GB" w:eastAsia="zh-CN"/>
              </w:rPr>
            </w:pPr>
            <w:r w:rsidRPr="00D717E3">
              <w:rPr>
                <w:rFonts w:ascii="Arial" w:hAnsi="Arial" w:cs="Arial"/>
                <w:b/>
                <w:color w:val="000000" w:themeColor="text1"/>
                <w:kern w:val="24"/>
                <w:sz w:val="20"/>
                <w:szCs w:val="20"/>
                <w:lang w:val="en-GB"/>
              </w:rPr>
              <w:t>1,368,401</w:t>
            </w:r>
          </w:p>
        </w:tc>
        <w:tc>
          <w:tcPr>
            <w:tcW w:w="1257" w:type="dxa"/>
          </w:tcPr>
          <w:p w14:paraId="795227B0" w14:textId="77777777" w:rsidR="00CC38F8" w:rsidRPr="00D717E3" w:rsidRDefault="00CC38F8" w:rsidP="0012024C">
            <w:pPr>
              <w:ind w:right="-90"/>
              <w:jc w:val="right"/>
              <w:textAlignment w:val="bottom"/>
              <w:rPr>
                <w:rFonts w:ascii="Arial" w:hAnsi="Arial" w:cs="Arial"/>
                <w:b/>
                <w:sz w:val="20"/>
                <w:szCs w:val="20"/>
                <w:lang w:val="en-GB" w:eastAsia="zh-CN"/>
              </w:rPr>
            </w:pPr>
            <w:r w:rsidRPr="00D717E3">
              <w:rPr>
                <w:rFonts w:ascii="Arial" w:hAnsi="Arial" w:cs="Arial"/>
                <w:b/>
                <w:color w:val="000000" w:themeColor="text1"/>
                <w:kern w:val="24"/>
                <w:sz w:val="20"/>
                <w:szCs w:val="20"/>
                <w:lang w:val="en-GB"/>
              </w:rPr>
              <w:t>1,447,878</w:t>
            </w:r>
          </w:p>
        </w:tc>
        <w:tc>
          <w:tcPr>
            <w:tcW w:w="1657" w:type="dxa"/>
          </w:tcPr>
          <w:p w14:paraId="5FC97B7A" w14:textId="06765AFF" w:rsidR="00EE17B8" w:rsidRPr="00D717E3" w:rsidRDefault="00CC38F8" w:rsidP="0012024C">
            <w:pPr>
              <w:ind w:right="-90"/>
              <w:jc w:val="right"/>
              <w:textAlignment w:val="bottom"/>
              <w:rPr>
                <w:rFonts w:ascii="Arial" w:hAnsi="Arial" w:cs="Arial"/>
                <w:b/>
                <w:color w:val="000000" w:themeColor="text1"/>
                <w:kern w:val="24"/>
                <w:sz w:val="20"/>
                <w:szCs w:val="20"/>
                <w:lang w:val="en-GB"/>
              </w:rPr>
            </w:pPr>
            <w:r w:rsidRPr="00D717E3">
              <w:rPr>
                <w:rFonts w:ascii="Arial" w:hAnsi="Arial" w:cs="Arial"/>
                <w:b/>
                <w:color w:val="000000" w:themeColor="text1"/>
                <w:kern w:val="24"/>
                <w:sz w:val="20"/>
                <w:szCs w:val="20"/>
                <w:lang w:val="en-GB"/>
              </w:rPr>
              <w:t>1,306,410</w:t>
            </w:r>
          </w:p>
        </w:tc>
      </w:tr>
      <w:tr w:rsidR="00CC38F8" w:rsidRPr="00D717E3" w14:paraId="158C7746" w14:textId="77777777" w:rsidTr="00014998">
        <w:trPr>
          <w:jc w:val="center"/>
        </w:trPr>
        <w:tc>
          <w:tcPr>
            <w:tcW w:w="3386" w:type="dxa"/>
          </w:tcPr>
          <w:p w14:paraId="5331ACBB" w14:textId="1D5B563F" w:rsidR="00CC38F8" w:rsidRPr="00D717E3" w:rsidRDefault="00CC38F8" w:rsidP="005A79B5">
            <w:pPr>
              <w:ind w:right="-138"/>
              <w:textAlignment w:val="bottom"/>
              <w:rPr>
                <w:rFonts w:ascii="Arial" w:hAnsi="Arial" w:cs="Arial"/>
                <w:sz w:val="20"/>
                <w:szCs w:val="20"/>
                <w:lang w:val="en-GB" w:eastAsia="zh-CN"/>
              </w:rPr>
            </w:pPr>
            <w:r w:rsidRPr="00D717E3">
              <w:rPr>
                <w:rFonts w:ascii="Arial" w:hAnsi="Arial" w:cs="Arial"/>
                <w:color w:val="000000"/>
                <w:kern w:val="24"/>
                <w:sz w:val="20"/>
                <w:szCs w:val="20"/>
                <w:lang w:val="en-GB" w:eastAsia="zh-CN"/>
              </w:rPr>
              <w:t>Liabilities &amp; Shareholders</w:t>
            </w:r>
            <w:r w:rsidR="00271B03" w:rsidRPr="00D717E3">
              <w:rPr>
                <w:rFonts w:ascii="Arial" w:hAnsi="Arial" w:cs="Arial"/>
                <w:color w:val="000000"/>
                <w:kern w:val="24"/>
                <w:sz w:val="20"/>
                <w:szCs w:val="20"/>
                <w:lang w:val="en-GB" w:eastAsia="zh-CN"/>
              </w:rPr>
              <w:t>’</w:t>
            </w:r>
            <w:r w:rsidRPr="00D717E3">
              <w:rPr>
                <w:rFonts w:ascii="Arial" w:hAnsi="Arial" w:cs="Arial"/>
                <w:color w:val="000000"/>
                <w:kern w:val="24"/>
                <w:sz w:val="20"/>
                <w:szCs w:val="20"/>
                <w:lang w:val="en-GB" w:eastAsia="zh-CN"/>
              </w:rPr>
              <w:t xml:space="preserve"> Equity</w:t>
            </w:r>
          </w:p>
        </w:tc>
        <w:tc>
          <w:tcPr>
            <w:tcW w:w="1217" w:type="dxa"/>
          </w:tcPr>
          <w:p w14:paraId="33BC6CB5" w14:textId="77777777" w:rsidR="00CC38F8" w:rsidRPr="00D717E3" w:rsidRDefault="00CC38F8" w:rsidP="0012024C">
            <w:pPr>
              <w:ind w:right="-90"/>
              <w:jc w:val="right"/>
              <w:rPr>
                <w:rFonts w:ascii="Arial" w:hAnsi="Arial" w:cs="Arial"/>
                <w:sz w:val="20"/>
                <w:szCs w:val="20"/>
                <w:lang w:val="en-GB" w:eastAsia="zh-CN"/>
              </w:rPr>
            </w:pPr>
          </w:p>
        </w:tc>
        <w:tc>
          <w:tcPr>
            <w:tcW w:w="1217" w:type="dxa"/>
          </w:tcPr>
          <w:p w14:paraId="5EA32F5F" w14:textId="77777777" w:rsidR="00CC38F8" w:rsidRPr="00D717E3" w:rsidRDefault="00CC38F8" w:rsidP="0012024C">
            <w:pPr>
              <w:ind w:right="-90"/>
              <w:jc w:val="right"/>
              <w:rPr>
                <w:rFonts w:ascii="Arial" w:hAnsi="Arial" w:cs="Arial"/>
                <w:sz w:val="20"/>
                <w:szCs w:val="20"/>
                <w:lang w:val="en-GB" w:eastAsia="zh-CN"/>
              </w:rPr>
            </w:pPr>
          </w:p>
        </w:tc>
        <w:tc>
          <w:tcPr>
            <w:tcW w:w="1257" w:type="dxa"/>
          </w:tcPr>
          <w:p w14:paraId="355D44A0" w14:textId="77777777" w:rsidR="00CC38F8" w:rsidRPr="00D717E3" w:rsidRDefault="00CC38F8" w:rsidP="0012024C">
            <w:pPr>
              <w:ind w:right="-90"/>
              <w:jc w:val="right"/>
              <w:rPr>
                <w:rFonts w:ascii="Arial" w:hAnsi="Arial" w:cs="Arial"/>
                <w:sz w:val="20"/>
                <w:szCs w:val="20"/>
                <w:lang w:val="en-GB" w:eastAsia="zh-CN"/>
              </w:rPr>
            </w:pPr>
          </w:p>
        </w:tc>
        <w:tc>
          <w:tcPr>
            <w:tcW w:w="1257" w:type="dxa"/>
          </w:tcPr>
          <w:p w14:paraId="561E844B" w14:textId="77777777" w:rsidR="00CC38F8" w:rsidRPr="00D717E3" w:rsidRDefault="00CC38F8" w:rsidP="0012024C">
            <w:pPr>
              <w:ind w:right="-90"/>
              <w:jc w:val="right"/>
              <w:rPr>
                <w:rFonts w:ascii="Arial" w:hAnsi="Arial" w:cs="Arial"/>
                <w:sz w:val="20"/>
                <w:szCs w:val="20"/>
                <w:lang w:val="en-GB" w:eastAsia="zh-CN"/>
              </w:rPr>
            </w:pPr>
          </w:p>
        </w:tc>
        <w:tc>
          <w:tcPr>
            <w:tcW w:w="1257" w:type="dxa"/>
          </w:tcPr>
          <w:p w14:paraId="6BC606BD" w14:textId="77777777" w:rsidR="00CC38F8" w:rsidRPr="00D717E3" w:rsidRDefault="00CC38F8" w:rsidP="0012024C">
            <w:pPr>
              <w:ind w:right="-90"/>
              <w:jc w:val="right"/>
              <w:rPr>
                <w:rFonts w:ascii="Arial" w:hAnsi="Arial" w:cs="Arial"/>
                <w:sz w:val="20"/>
                <w:szCs w:val="20"/>
                <w:lang w:val="en-GB" w:eastAsia="zh-CN"/>
              </w:rPr>
            </w:pPr>
          </w:p>
        </w:tc>
        <w:tc>
          <w:tcPr>
            <w:tcW w:w="1257" w:type="dxa"/>
          </w:tcPr>
          <w:p w14:paraId="26FD642B" w14:textId="77777777" w:rsidR="00CC38F8" w:rsidRPr="00D717E3" w:rsidRDefault="00CC38F8" w:rsidP="0012024C">
            <w:pPr>
              <w:ind w:right="-90"/>
              <w:jc w:val="right"/>
              <w:rPr>
                <w:rFonts w:ascii="Arial" w:hAnsi="Arial" w:cs="Arial"/>
                <w:sz w:val="20"/>
                <w:szCs w:val="20"/>
                <w:lang w:val="en-GB" w:eastAsia="zh-CN"/>
              </w:rPr>
            </w:pPr>
          </w:p>
        </w:tc>
        <w:tc>
          <w:tcPr>
            <w:tcW w:w="1657" w:type="dxa"/>
          </w:tcPr>
          <w:p w14:paraId="61F8817D" w14:textId="77777777" w:rsidR="00CC38F8" w:rsidRPr="00D717E3" w:rsidRDefault="00CC38F8" w:rsidP="0012024C">
            <w:pPr>
              <w:ind w:right="-90"/>
              <w:jc w:val="right"/>
              <w:rPr>
                <w:rFonts w:ascii="Arial" w:hAnsi="Arial" w:cs="Arial"/>
                <w:sz w:val="20"/>
                <w:szCs w:val="20"/>
                <w:lang w:val="en-GB" w:eastAsia="zh-CN"/>
              </w:rPr>
            </w:pPr>
          </w:p>
        </w:tc>
      </w:tr>
      <w:tr w:rsidR="00CC38F8" w:rsidRPr="00D717E3" w14:paraId="47588FD8" w14:textId="77777777" w:rsidTr="00014998">
        <w:trPr>
          <w:jc w:val="center"/>
        </w:trPr>
        <w:tc>
          <w:tcPr>
            <w:tcW w:w="3386" w:type="dxa"/>
          </w:tcPr>
          <w:p w14:paraId="48C86A42" w14:textId="77777777" w:rsidR="00CC38F8" w:rsidRPr="00D717E3" w:rsidRDefault="00CC38F8" w:rsidP="00BE6FC1">
            <w:pPr>
              <w:ind w:right="-138"/>
              <w:textAlignment w:val="bottom"/>
              <w:rPr>
                <w:rFonts w:ascii="Arial" w:hAnsi="Arial" w:cs="Arial"/>
                <w:sz w:val="20"/>
                <w:szCs w:val="20"/>
                <w:lang w:val="en-GB" w:eastAsia="zh-CN"/>
              </w:rPr>
            </w:pPr>
            <w:r w:rsidRPr="00D717E3">
              <w:rPr>
                <w:rFonts w:ascii="Arial" w:hAnsi="Arial" w:cs="Arial"/>
                <w:color w:val="000000"/>
                <w:kern w:val="24"/>
                <w:sz w:val="20"/>
                <w:szCs w:val="20"/>
                <w:lang w:val="en-GB" w:eastAsia="zh-CN"/>
              </w:rPr>
              <w:t>Accounts Payable</w:t>
            </w:r>
          </w:p>
        </w:tc>
        <w:tc>
          <w:tcPr>
            <w:tcW w:w="1217" w:type="dxa"/>
          </w:tcPr>
          <w:p w14:paraId="4BA137CC" w14:textId="77777777" w:rsidR="00CC38F8" w:rsidRPr="00D717E3" w:rsidRDefault="00CC38F8" w:rsidP="0012024C">
            <w:pPr>
              <w:ind w:right="-90"/>
              <w:jc w:val="right"/>
              <w:textAlignment w:val="bottom"/>
              <w:rPr>
                <w:rFonts w:ascii="Arial" w:hAnsi="Arial" w:cs="Arial"/>
                <w:sz w:val="20"/>
                <w:szCs w:val="20"/>
                <w:lang w:val="en-GB" w:eastAsia="zh-CN"/>
              </w:rPr>
            </w:pPr>
            <w:r w:rsidRPr="00D717E3">
              <w:rPr>
                <w:rFonts w:ascii="Arial" w:hAnsi="Arial" w:cs="Arial"/>
                <w:color w:val="000000"/>
                <w:kern w:val="24"/>
                <w:sz w:val="20"/>
                <w:szCs w:val="20"/>
                <w:lang w:val="en-GB" w:eastAsia="zh-CN"/>
              </w:rPr>
              <w:t>335,820</w:t>
            </w:r>
          </w:p>
        </w:tc>
        <w:tc>
          <w:tcPr>
            <w:tcW w:w="1217" w:type="dxa"/>
          </w:tcPr>
          <w:p w14:paraId="02E67471" w14:textId="77777777" w:rsidR="00CC38F8" w:rsidRPr="00D717E3" w:rsidRDefault="00CC38F8" w:rsidP="0012024C">
            <w:pPr>
              <w:ind w:right="-90"/>
              <w:jc w:val="right"/>
              <w:textAlignment w:val="bottom"/>
              <w:rPr>
                <w:rFonts w:ascii="Arial" w:hAnsi="Arial" w:cs="Arial"/>
                <w:sz w:val="20"/>
                <w:szCs w:val="20"/>
                <w:lang w:val="en-GB" w:eastAsia="zh-CN"/>
              </w:rPr>
            </w:pPr>
            <w:r w:rsidRPr="00D717E3">
              <w:rPr>
                <w:rFonts w:ascii="Arial" w:hAnsi="Arial" w:cs="Arial"/>
                <w:color w:val="000000" w:themeColor="text1"/>
                <w:kern w:val="24"/>
                <w:sz w:val="20"/>
                <w:szCs w:val="20"/>
                <w:lang w:val="en-GB"/>
              </w:rPr>
              <w:t>356,774</w:t>
            </w:r>
          </w:p>
        </w:tc>
        <w:tc>
          <w:tcPr>
            <w:tcW w:w="1257" w:type="dxa"/>
          </w:tcPr>
          <w:p w14:paraId="5E0DB2AB" w14:textId="77777777" w:rsidR="00CC38F8" w:rsidRPr="00D717E3" w:rsidRDefault="00CC38F8" w:rsidP="0012024C">
            <w:pPr>
              <w:ind w:right="-90"/>
              <w:jc w:val="right"/>
              <w:textAlignment w:val="bottom"/>
              <w:rPr>
                <w:rFonts w:ascii="Arial" w:hAnsi="Arial" w:cs="Arial"/>
                <w:sz w:val="20"/>
                <w:szCs w:val="20"/>
                <w:lang w:val="en-GB" w:eastAsia="zh-CN"/>
              </w:rPr>
            </w:pPr>
            <w:r w:rsidRPr="00D717E3">
              <w:rPr>
                <w:rFonts w:ascii="Arial" w:hAnsi="Arial" w:cs="Arial"/>
                <w:color w:val="000000" w:themeColor="text1"/>
                <w:kern w:val="24"/>
                <w:sz w:val="20"/>
                <w:szCs w:val="20"/>
                <w:lang w:val="en-GB"/>
              </w:rPr>
              <w:t>264,613</w:t>
            </w:r>
          </w:p>
        </w:tc>
        <w:tc>
          <w:tcPr>
            <w:tcW w:w="1257" w:type="dxa"/>
          </w:tcPr>
          <w:p w14:paraId="4E8C3CFD" w14:textId="77777777" w:rsidR="00CC38F8" w:rsidRPr="00D717E3" w:rsidRDefault="00CC38F8" w:rsidP="0012024C">
            <w:pPr>
              <w:ind w:right="-90"/>
              <w:jc w:val="right"/>
              <w:textAlignment w:val="bottom"/>
              <w:rPr>
                <w:rFonts w:ascii="Arial" w:hAnsi="Arial" w:cs="Arial"/>
                <w:sz w:val="20"/>
                <w:szCs w:val="20"/>
                <w:lang w:val="en-GB" w:eastAsia="zh-CN"/>
              </w:rPr>
            </w:pPr>
            <w:r w:rsidRPr="00D717E3">
              <w:rPr>
                <w:rFonts w:ascii="Arial" w:hAnsi="Arial" w:cs="Arial"/>
                <w:color w:val="000000" w:themeColor="text1"/>
                <w:kern w:val="24"/>
                <w:sz w:val="20"/>
                <w:szCs w:val="20"/>
                <w:lang w:val="en-GB"/>
              </w:rPr>
              <w:t>214,646</w:t>
            </w:r>
          </w:p>
        </w:tc>
        <w:tc>
          <w:tcPr>
            <w:tcW w:w="1257" w:type="dxa"/>
          </w:tcPr>
          <w:p w14:paraId="750C91D8" w14:textId="77777777" w:rsidR="00CC38F8" w:rsidRPr="00D717E3" w:rsidRDefault="00CC38F8" w:rsidP="0012024C">
            <w:pPr>
              <w:ind w:right="-90"/>
              <w:jc w:val="right"/>
              <w:textAlignment w:val="bottom"/>
              <w:rPr>
                <w:rFonts w:ascii="Arial" w:hAnsi="Arial" w:cs="Arial"/>
                <w:sz w:val="20"/>
                <w:szCs w:val="20"/>
                <w:lang w:val="en-GB" w:eastAsia="zh-CN"/>
              </w:rPr>
            </w:pPr>
            <w:r w:rsidRPr="00D717E3">
              <w:rPr>
                <w:rFonts w:ascii="Arial" w:hAnsi="Arial" w:cs="Arial"/>
                <w:color w:val="000000" w:themeColor="text1"/>
                <w:kern w:val="24"/>
                <w:sz w:val="20"/>
                <w:szCs w:val="20"/>
                <w:lang w:val="en-GB"/>
              </w:rPr>
              <w:t>86,700</w:t>
            </w:r>
          </w:p>
        </w:tc>
        <w:tc>
          <w:tcPr>
            <w:tcW w:w="1257" w:type="dxa"/>
          </w:tcPr>
          <w:p w14:paraId="7E4406CC" w14:textId="77777777" w:rsidR="00CC38F8" w:rsidRPr="00D717E3" w:rsidRDefault="00CC38F8" w:rsidP="0012024C">
            <w:pPr>
              <w:ind w:right="-90"/>
              <w:jc w:val="right"/>
              <w:textAlignment w:val="bottom"/>
              <w:rPr>
                <w:rFonts w:ascii="Arial" w:hAnsi="Arial" w:cs="Arial"/>
                <w:sz w:val="20"/>
                <w:szCs w:val="20"/>
                <w:lang w:val="en-GB" w:eastAsia="zh-CN"/>
              </w:rPr>
            </w:pPr>
            <w:r w:rsidRPr="00D717E3">
              <w:rPr>
                <w:rFonts w:ascii="Arial" w:hAnsi="Arial" w:cs="Arial"/>
                <w:color w:val="000000" w:themeColor="text1"/>
                <w:kern w:val="24"/>
                <w:sz w:val="20"/>
                <w:szCs w:val="20"/>
                <w:lang w:val="en-GB"/>
              </w:rPr>
              <w:t>107,045</w:t>
            </w:r>
          </w:p>
        </w:tc>
        <w:tc>
          <w:tcPr>
            <w:tcW w:w="1657" w:type="dxa"/>
          </w:tcPr>
          <w:p w14:paraId="12C5BFB7" w14:textId="77777777" w:rsidR="00CC38F8" w:rsidRPr="00D717E3" w:rsidRDefault="00CC38F8" w:rsidP="0012024C">
            <w:pPr>
              <w:ind w:right="-90"/>
              <w:jc w:val="right"/>
              <w:textAlignment w:val="bottom"/>
              <w:rPr>
                <w:rFonts w:ascii="Arial" w:hAnsi="Arial" w:cs="Arial"/>
                <w:sz w:val="20"/>
                <w:szCs w:val="20"/>
                <w:lang w:val="en-GB" w:eastAsia="zh-CN"/>
              </w:rPr>
            </w:pPr>
            <w:r w:rsidRPr="00D717E3">
              <w:rPr>
                <w:rFonts w:ascii="Arial" w:hAnsi="Arial" w:cs="Arial"/>
                <w:color w:val="000000" w:themeColor="text1"/>
                <w:kern w:val="24"/>
                <w:sz w:val="20"/>
                <w:szCs w:val="20"/>
                <w:lang w:val="en-GB"/>
              </w:rPr>
              <w:t>47,665</w:t>
            </w:r>
          </w:p>
        </w:tc>
      </w:tr>
      <w:tr w:rsidR="00CC38F8" w:rsidRPr="00D717E3" w14:paraId="0F0C2014" w14:textId="77777777" w:rsidTr="00014998">
        <w:trPr>
          <w:jc w:val="center"/>
        </w:trPr>
        <w:tc>
          <w:tcPr>
            <w:tcW w:w="3386" w:type="dxa"/>
          </w:tcPr>
          <w:p w14:paraId="2B932C6F" w14:textId="54086F19" w:rsidR="00CC38F8" w:rsidRPr="00D717E3" w:rsidRDefault="00CC38F8" w:rsidP="005A79B5">
            <w:pPr>
              <w:ind w:right="-138"/>
              <w:textAlignment w:val="bottom"/>
              <w:rPr>
                <w:rFonts w:ascii="Arial" w:hAnsi="Arial" w:cs="Arial"/>
                <w:sz w:val="20"/>
                <w:szCs w:val="20"/>
                <w:lang w:val="en-GB" w:eastAsia="zh-CN"/>
              </w:rPr>
            </w:pPr>
            <w:r w:rsidRPr="00D717E3">
              <w:rPr>
                <w:rFonts w:ascii="Arial" w:hAnsi="Arial" w:cs="Arial"/>
                <w:color w:val="000000"/>
                <w:kern w:val="24"/>
                <w:sz w:val="20"/>
                <w:szCs w:val="20"/>
                <w:lang w:val="en-GB" w:eastAsia="zh-CN"/>
              </w:rPr>
              <w:t>Short-</w:t>
            </w:r>
            <w:r w:rsidR="00271B03" w:rsidRPr="00D717E3">
              <w:rPr>
                <w:rFonts w:ascii="Arial" w:hAnsi="Arial" w:cs="Arial"/>
                <w:color w:val="000000"/>
                <w:kern w:val="24"/>
                <w:sz w:val="20"/>
                <w:szCs w:val="20"/>
                <w:lang w:val="en-GB" w:eastAsia="zh-CN"/>
              </w:rPr>
              <w:t>t</w:t>
            </w:r>
            <w:r w:rsidRPr="00D717E3">
              <w:rPr>
                <w:rFonts w:ascii="Arial" w:hAnsi="Arial" w:cs="Arial"/>
                <w:color w:val="000000"/>
                <w:kern w:val="24"/>
                <w:sz w:val="20"/>
                <w:szCs w:val="20"/>
                <w:lang w:val="en-GB" w:eastAsia="zh-CN"/>
              </w:rPr>
              <w:t>erm Borrowings</w:t>
            </w:r>
          </w:p>
        </w:tc>
        <w:tc>
          <w:tcPr>
            <w:tcW w:w="1217" w:type="dxa"/>
          </w:tcPr>
          <w:p w14:paraId="481C656E" w14:textId="77777777" w:rsidR="00CC38F8" w:rsidRPr="00D717E3" w:rsidRDefault="00CC38F8" w:rsidP="0012024C">
            <w:pPr>
              <w:ind w:right="-90"/>
              <w:jc w:val="right"/>
              <w:textAlignment w:val="bottom"/>
              <w:rPr>
                <w:rFonts w:ascii="Arial" w:hAnsi="Arial" w:cs="Arial"/>
                <w:sz w:val="20"/>
                <w:szCs w:val="20"/>
                <w:lang w:val="en-GB" w:eastAsia="zh-CN"/>
              </w:rPr>
            </w:pPr>
            <w:r w:rsidRPr="00D717E3">
              <w:rPr>
                <w:rFonts w:ascii="Arial" w:hAnsi="Arial" w:cs="Arial"/>
                <w:color w:val="000000"/>
                <w:kern w:val="24"/>
                <w:sz w:val="20"/>
                <w:szCs w:val="20"/>
                <w:lang w:val="en-GB" w:eastAsia="zh-CN"/>
              </w:rPr>
              <w:t>-</w:t>
            </w:r>
          </w:p>
        </w:tc>
        <w:tc>
          <w:tcPr>
            <w:tcW w:w="1217" w:type="dxa"/>
          </w:tcPr>
          <w:p w14:paraId="046C1544" w14:textId="77777777" w:rsidR="00CC38F8" w:rsidRPr="00D717E3" w:rsidRDefault="00CC38F8" w:rsidP="0012024C">
            <w:pPr>
              <w:ind w:right="-90"/>
              <w:jc w:val="right"/>
              <w:textAlignment w:val="bottom"/>
              <w:rPr>
                <w:rFonts w:ascii="Arial" w:hAnsi="Arial" w:cs="Arial"/>
                <w:sz w:val="20"/>
                <w:szCs w:val="20"/>
                <w:lang w:val="en-GB" w:eastAsia="zh-CN"/>
              </w:rPr>
            </w:pPr>
            <w:r w:rsidRPr="00D717E3">
              <w:rPr>
                <w:rFonts w:ascii="Arial" w:hAnsi="Arial" w:cs="Arial"/>
                <w:color w:val="000000" w:themeColor="text1"/>
                <w:kern w:val="24"/>
                <w:sz w:val="20"/>
                <w:szCs w:val="20"/>
                <w:lang w:val="en-GB"/>
              </w:rPr>
              <w:t>9</w:t>
            </w:r>
          </w:p>
        </w:tc>
        <w:tc>
          <w:tcPr>
            <w:tcW w:w="1257" w:type="dxa"/>
          </w:tcPr>
          <w:p w14:paraId="41787F2F" w14:textId="77777777" w:rsidR="00CC38F8" w:rsidRPr="00D717E3" w:rsidRDefault="00CC38F8" w:rsidP="0012024C">
            <w:pPr>
              <w:ind w:right="-90"/>
              <w:jc w:val="right"/>
              <w:textAlignment w:val="bottom"/>
              <w:rPr>
                <w:rFonts w:ascii="Arial" w:hAnsi="Arial" w:cs="Arial"/>
                <w:sz w:val="20"/>
                <w:szCs w:val="20"/>
                <w:lang w:val="en-GB" w:eastAsia="zh-CN"/>
              </w:rPr>
            </w:pPr>
            <w:r w:rsidRPr="00D717E3">
              <w:rPr>
                <w:rFonts w:ascii="Arial" w:hAnsi="Arial" w:cs="Arial"/>
                <w:color w:val="000000" w:themeColor="text1"/>
                <w:kern w:val="24"/>
                <w:sz w:val="20"/>
                <w:szCs w:val="20"/>
                <w:lang w:val="en-GB"/>
              </w:rPr>
              <w:t>190</w:t>
            </w:r>
          </w:p>
        </w:tc>
        <w:tc>
          <w:tcPr>
            <w:tcW w:w="1257" w:type="dxa"/>
          </w:tcPr>
          <w:p w14:paraId="46B411BB" w14:textId="77777777" w:rsidR="00CC38F8" w:rsidRPr="00D717E3" w:rsidRDefault="00CC38F8" w:rsidP="0012024C">
            <w:pPr>
              <w:ind w:right="-90"/>
              <w:jc w:val="right"/>
              <w:textAlignment w:val="bottom"/>
              <w:rPr>
                <w:rFonts w:ascii="Arial" w:hAnsi="Arial" w:cs="Arial"/>
                <w:sz w:val="20"/>
                <w:szCs w:val="20"/>
                <w:lang w:val="en-GB" w:eastAsia="zh-CN"/>
              </w:rPr>
            </w:pPr>
            <w:r w:rsidRPr="00D717E3">
              <w:rPr>
                <w:rFonts w:ascii="Arial" w:hAnsi="Arial" w:cs="Arial"/>
                <w:color w:val="000000" w:themeColor="text1"/>
                <w:kern w:val="24"/>
                <w:sz w:val="20"/>
                <w:szCs w:val="20"/>
                <w:lang w:val="en-GB"/>
              </w:rPr>
              <w:t>187</w:t>
            </w:r>
          </w:p>
        </w:tc>
        <w:tc>
          <w:tcPr>
            <w:tcW w:w="1257" w:type="dxa"/>
          </w:tcPr>
          <w:p w14:paraId="0518FCBE" w14:textId="77777777" w:rsidR="00CC38F8" w:rsidRPr="00D717E3" w:rsidRDefault="00CC38F8" w:rsidP="0012024C">
            <w:pPr>
              <w:ind w:right="-90"/>
              <w:jc w:val="right"/>
              <w:textAlignment w:val="bottom"/>
              <w:rPr>
                <w:rFonts w:ascii="Arial" w:hAnsi="Arial" w:cs="Arial"/>
                <w:sz w:val="20"/>
                <w:szCs w:val="20"/>
                <w:lang w:val="en-GB" w:eastAsia="zh-CN"/>
              </w:rPr>
            </w:pPr>
            <w:r w:rsidRPr="00D717E3">
              <w:rPr>
                <w:rFonts w:ascii="Arial" w:hAnsi="Arial" w:cs="Arial"/>
                <w:color w:val="000000" w:themeColor="text1"/>
                <w:kern w:val="24"/>
                <w:sz w:val="20"/>
                <w:szCs w:val="20"/>
                <w:lang w:val="en-GB"/>
              </w:rPr>
              <w:t>57</w:t>
            </w:r>
          </w:p>
        </w:tc>
        <w:tc>
          <w:tcPr>
            <w:tcW w:w="1257" w:type="dxa"/>
          </w:tcPr>
          <w:p w14:paraId="2AA4B547" w14:textId="77777777" w:rsidR="00CC38F8" w:rsidRPr="00D717E3" w:rsidRDefault="00CC38F8" w:rsidP="0012024C">
            <w:pPr>
              <w:ind w:right="-90"/>
              <w:jc w:val="right"/>
              <w:textAlignment w:val="bottom"/>
              <w:rPr>
                <w:rFonts w:ascii="Arial" w:hAnsi="Arial" w:cs="Arial"/>
                <w:sz w:val="20"/>
                <w:szCs w:val="20"/>
                <w:lang w:val="en-GB" w:eastAsia="zh-CN"/>
              </w:rPr>
            </w:pPr>
            <w:r w:rsidRPr="00D717E3">
              <w:rPr>
                <w:rFonts w:ascii="Arial" w:hAnsi="Arial" w:cs="Arial"/>
                <w:color w:val="000000" w:themeColor="text1"/>
                <w:kern w:val="24"/>
                <w:sz w:val="20"/>
                <w:szCs w:val="20"/>
                <w:lang w:val="en-GB"/>
              </w:rPr>
              <w:t>75</w:t>
            </w:r>
          </w:p>
        </w:tc>
        <w:tc>
          <w:tcPr>
            <w:tcW w:w="1657" w:type="dxa"/>
          </w:tcPr>
          <w:p w14:paraId="0BCB3DBD" w14:textId="77777777" w:rsidR="00CC38F8" w:rsidRPr="00D717E3" w:rsidRDefault="00CC38F8" w:rsidP="0012024C">
            <w:pPr>
              <w:ind w:right="-90"/>
              <w:jc w:val="right"/>
              <w:textAlignment w:val="bottom"/>
              <w:rPr>
                <w:rFonts w:ascii="Arial" w:hAnsi="Arial" w:cs="Arial"/>
                <w:sz w:val="20"/>
                <w:szCs w:val="20"/>
                <w:lang w:val="en-GB" w:eastAsia="zh-CN"/>
              </w:rPr>
            </w:pPr>
            <w:r w:rsidRPr="00D717E3">
              <w:rPr>
                <w:rFonts w:ascii="Arial" w:hAnsi="Arial" w:cs="Arial"/>
                <w:color w:val="000000" w:themeColor="text1"/>
                <w:kern w:val="24"/>
                <w:sz w:val="20"/>
                <w:szCs w:val="20"/>
                <w:lang w:val="en-GB"/>
              </w:rPr>
              <w:t>19</w:t>
            </w:r>
          </w:p>
        </w:tc>
      </w:tr>
      <w:tr w:rsidR="00CC38F8" w:rsidRPr="00D717E3" w14:paraId="473B9535" w14:textId="77777777" w:rsidTr="00014998">
        <w:trPr>
          <w:jc w:val="center"/>
        </w:trPr>
        <w:tc>
          <w:tcPr>
            <w:tcW w:w="3386" w:type="dxa"/>
          </w:tcPr>
          <w:p w14:paraId="5F375D61" w14:textId="427ABD4C" w:rsidR="00CC38F8" w:rsidRPr="00D717E3" w:rsidRDefault="00CC38F8" w:rsidP="00F23EAA">
            <w:pPr>
              <w:ind w:right="-138"/>
              <w:textAlignment w:val="bottom"/>
              <w:rPr>
                <w:rFonts w:ascii="Arial" w:hAnsi="Arial" w:cs="Arial"/>
                <w:sz w:val="20"/>
                <w:szCs w:val="20"/>
                <w:lang w:val="en-GB" w:eastAsia="zh-CN"/>
              </w:rPr>
            </w:pPr>
            <w:r w:rsidRPr="00D717E3">
              <w:rPr>
                <w:rFonts w:ascii="Arial" w:hAnsi="Arial" w:cs="Arial"/>
                <w:color w:val="000000"/>
                <w:kern w:val="24"/>
                <w:sz w:val="20"/>
                <w:szCs w:val="20"/>
                <w:lang w:val="en-GB" w:eastAsia="zh-CN"/>
              </w:rPr>
              <w:t>Other Short-</w:t>
            </w:r>
            <w:r w:rsidR="00F23EAA" w:rsidRPr="00D717E3">
              <w:rPr>
                <w:rFonts w:ascii="Arial" w:hAnsi="Arial" w:cs="Arial"/>
                <w:color w:val="000000"/>
                <w:kern w:val="24"/>
                <w:sz w:val="20"/>
                <w:szCs w:val="20"/>
                <w:lang w:val="en-GB" w:eastAsia="zh-CN"/>
              </w:rPr>
              <w:t>T</w:t>
            </w:r>
            <w:r w:rsidRPr="00D717E3">
              <w:rPr>
                <w:rFonts w:ascii="Arial" w:hAnsi="Arial" w:cs="Arial"/>
                <w:color w:val="000000"/>
                <w:kern w:val="24"/>
                <w:sz w:val="20"/>
                <w:szCs w:val="20"/>
                <w:lang w:val="en-GB" w:eastAsia="zh-CN"/>
              </w:rPr>
              <w:t>erm Liabilities</w:t>
            </w:r>
          </w:p>
        </w:tc>
        <w:tc>
          <w:tcPr>
            <w:tcW w:w="1217" w:type="dxa"/>
          </w:tcPr>
          <w:p w14:paraId="6A064254" w14:textId="77777777" w:rsidR="00CC38F8" w:rsidRPr="00D717E3" w:rsidRDefault="00CC38F8" w:rsidP="0012024C">
            <w:pPr>
              <w:ind w:right="-90"/>
              <w:jc w:val="right"/>
              <w:textAlignment w:val="bottom"/>
              <w:rPr>
                <w:rFonts w:ascii="Arial" w:hAnsi="Arial" w:cs="Arial"/>
                <w:sz w:val="20"/>
                <w:szCs w:val="20"/>
                <w:lang w:val="en-GB" w:eastAsia="zh-CN"/>
              </w:rPr>
            </w:pPr>
            <w:r w:rsidRPr="00D717E3">
              <w:rPr>
                <w:rFonts w:ascii="Arial" w:hAnsi="Arial" w:cs="Arial"/>
                <w:color w:val="000000"/>
                <w:kern w:val="24"/>
                <w:sz w:val="20"/>
                <w:szCs w:val="20"/>
                <w:lang w:val="en-GB" w:eastAsia="zh-CN"/>
              </w:rPr>
              <w:t>231,402</w:t>
            </w:r>
          </w:p>
        </w:tc>
        <w:tc>
          <w:tcPr>
            <w:tcW w:w="1217" w:type="dxa"/>
          </w:tcPr>
          <w:p w14:paraId="0D2B8688" w14:textId="77777777" w:rsidR="00CC38F8" w:rsidRPr="00D717E3" w:rsidRDefault="00CC38F8" w:rsidP="0012024C">
            <w:pPr>
              <w:ind w:right="-90"/>
              <w:jc w:val="right"/>
              <w:textAlignment w:val="bottom"/>
              <w:rPr>
                <w:rFonts w:ascii="Arial" w:hAnsi="Arial" w:cs="Arial"/>
                <w:sz w:val="20"/>
                <w:szCs w:val="20"/>
                <w:lang w:val="en-GB" w:eastAsia="zh-CN"/>
              </w:rPr>
            </w:pPr>
            <w:r w:rsidRPr="00D717E3">
              <w:rPr>
                <w:rFonts w:ascii="Arial" w:hAnsi="Arial" w:cs="Arial"/>
                <w:color w:val="000000" w:themeColor="text1"/>
                <w:kern w:val="24"/>
                <w:sz w:val="20"/>
                <w:szCs w:val="20"/>
                <w:lang w:val="en-GB"/>
              </w:rPr>
              <w:t>184,131</w:t>
            </w:r>
          </w:p>
        </w:tc>
        <w:tc>
          <w:tcPr>
            <w:tcW w:w="1257" w:type="dxa"/>
          </w:tcPr>
          <w:p w14:paraId="59D4C61A" w14:textId="77777777" w:rsidR="00CC38F8" w:rsidRPr="00D717E3" w:rsidRDefault="00CC38F8" w:rsidP="0012024C">
            <w:pPr>
              <w:ind w:right="-90"/>
              <w:jc w:val="right"/>
              <w:textAlignment w:val="bottom"/>
              <w:rPr>
                <w:rFonts w:ascii="Arial" w:hAnsi="Arial" w:cs="Arial"/>
                <w:sz w:val="20"/>
                <w:szCs w:val="20"/>
                <w:lang w:val="en-GB" w:eastAsia="zh-CN"/>
              </w:rPr>
            </w:pPr>
            <w:r w:rsidRPr="00D717E3">
              <w:rPr>
                <w:rFonts w:ascii="Arial" w:hAnsi="Arial" w:cs="Arial"/>
                <w:color w:val="000000" w:themeColor="text1"/>
                <w:kern w:val="24"/>
                <w:sz w:val="20"/>
                <w:szCs w:val="20"/>
                <w:lang w:val="en-GB"/>
              </w:rPr>
              <w:t>142,734</w:t>
            </w:r>
          </w:p>
        </w:tc>
        <w:tc>
          <w:tcPr>
            <w:tcW w:w="1257" w:type="dxa"/>
          </w:tcPr>
          <w:p w14:paraId="52C0C436" w14:textId="77777777" w:rsidR="00CC38F8" w:rsidRPr="00D717E3" w:rsidRDefault="00CC38F8" w:rsidP="0012024C">
            <w:pPr>
              <w:ind w:right="-90"/>
              <w:jc w:val="right"/>
              <w:textAlignment w:val="bottom"/>
              <w:rPr>
                <w:rFonts w:ascii="Arial" w:hAnsi="Arial" w:cs="Arial"/>
                <w:sz w:val="20"/>
                <w:szCs w:val="20"/>
                <w:lang w:val="en-GB" w:eastAsia="zh-CN"/>
              </w:rPr>
            </w:pPr>
            <w:r w:rsidRPr="00D717E3">
              <w:rPr>
                <w:rFonts w:ascii="Arial" w:hAnsi="Arial" w:cs="Arial"/>
                <w:color w:val="000000" w:themeColor="text1"/>
                <w:kern w:val="24"/>
                <w:sz w:val="20"/>
                <w:szCs w:val="20"/>
                <w:lang w:val="en-GB"/>
              </w:rPr>
              <w:t>118,468</w:t>
            </w:r>
          </w:p>
        </w:tc>
        <w:tc>
          <w:tcPr>
            <w:tcW w:w="1257" w:type="dxa"/>
          </w:tcPr>
          <w:p w14:paraId="4834339E" w14:textId="77777777" w:rsidR="00CC38F8" w:rsidRPr="00D717E3" w:rsidRDefault="00CC38F8" w:rsidP="0012024C">
            <w:pPr>
              <w:ind w:right="-90"/>
              <w:jc w:val="right"/>
              <w:textAlignment w:val="bottom"/>
              <w:rPr>
                <w:rFonts w:ascii="Arial" w:hAnsi="Arial" w:cs="Arial"/>
                <w:sz w:val="20"/>
                <w:szCs w:val="20"/>
                <w:lang w:val="en-GB" w:eastAsia="zh-CN"/>
              </w:rPr>
            </w:pPr>
            <w:r w:rsidRPr="00D717E3">
              <w:rPr>
                <w:rFonts w:ascii="Arial" w:hAnsi="Arial" w:cs="Arial"/>
                <w:color w:val="000000" w:themeColor="text1"/>
                <w:kern w:val="24"/>
                <w:sz w:val="20"/>
                <w:szCs w:val="20"/>
                <w:lang w:val="en-GB"/>
              </w:rPr>
              <w:t>68,681</w:t>
            </w:r>
          </w:p>
        </w:tc>
        <w:tc>
          <w:tcPr>
            <w:tcW w:w="1257" w:type="dxa"/>
          </w:tcPr>
          <w:p w14:paraId="15AD12BC" w14:textId="77777777" w:rsidR="00CC38F8" w:rsidRPr="00D717E3" w:rsidRDefault="00CC38F8" w:rsidP="0012024C">
            <w:pPr>
              <w:ind w:right="-90"/>
              <w:jc w:val="right"/>
              <w:textAlignment w:val="bottom"/>
              <w:rPr>
                <w:rFonts w:ascii="Arial" w:hAnsi="Arial" w:cs="Arial"/>
                <w:sz w:val="20"/>
                <w:szCs w:val="20"/>
                <w:lang w:val="en-GB" w:eastAsia="zh-CN"/>
              </w:rPr>
            </w:pPr>
            <w:r w:rsidRPr="00D717E3">
              <w:rPr>
                <w:rFonts w:ascii="Arial" w:hAnsi="Arial" w:cs="Arial"/>
                <w:color w:val="000000" w:themeColor="text1"/>
                <w:kern w:val="24"/>
                <w:sz w:val="20"/>
                <w:szCs w:val="20"/>
                <w:lang w:val="en-GB"/>
              </w:rPr>
              <w:t>87,355</w:t>
            </w:r>
          </w:p>
        </w:tc>
        <w:tc>
          <w:tcPr>
            <w:tcW w:w="1657" w:type="dxa"/>
          </w:tcPr>
          <w:p w14:paraId="2BB48413" w14:textId="77777777" w:rsidR="00CC38F8" w:rsidRPr="00D717E3" w:rsidRDefault="00CC38F8" w:rsidP="0012024C">
            <w:pPr>
              <w:ind w:right="-90"/>
              <w:jc w:val="right"/>
              <w:textAlignment w:val="bottom"/>
              <w:rPr>
                <w:rFonts w:ascii="Arial" w:hAnsi="Arial" w:cs="Arial"/>
                <w:sz w:val="20"/>
                <w:szCs w:val="20"/>
                <w:lang w:val="en-GB" w:eastAsia="zh-CN"/>
              </w:rPr>
            </w:pPr>
            <w:r w:rsidRPr="00D717E3">
              <w:rPr>
                <w:rFonts w:ascii="Arial" w:hAnsi="Arial" w:cs="Arial"/>
                <w:color w:val="000000" w:themeColor="text1"/>
                <w:kern w:val="24"/>
                <w:sz w:val="20"/>
                <w:szCs w:val="20"/>
                <w:lang w:val="en-GB"/>
              </w:rPr>
              <w:t>107,968</w:t>
            </w:r>
          </w:p>
        </w:tc>
      </w:tr>
      <w:tr w:rsidR="00CC38F8" w:rsidRPr="00D717E3" w14:paraId="2100A835" w14:textId="77777777" w:rsidTr="00014998">
        <w:trPr>
          <w:jc w:val="center"/>
        </w:trPr>
        <w:tc>
          <w:tcPr>
            <w:tcW w:w="3386" w:type="dxa"/>
          </w:tcPr>
          <w:p w14:paraId="53D7F6F5" w14:textId="77777777" w:rsidR="00CC38F8" w:rsidRPr="00D717E3" w:rsidRDefault="00CC38F8" w:rsidP="00BE6FC1">
            <w:pPr>
              <w:ind w:right="-138"/>
              <w:textAlignment w:val="bottom"/>
              <w:rPr>
                <w:rFonts w:ascii="Arial" w:hAnsi="Arial" w:cs="Arial"/>
                <w:b/>
                <w:sz w:val="20"/>
                <w:szCs w:val="20"/>
                <w:lang w:val="en-GB" w:eastAsia="zh-CN"/>
              </w:rPr>
            </w:pPr>
            <w:r w:rsidRPr="00D717E3">
              <w:rPr>
                <w:rFonts w:ascii="Arial" w:hAnsi="Arial" w:cs="Arial"/>
                <w:b/>
                <w:color w:val="000000"/>
                <w:kern w:val="24"/>
                <w:sz w:val="20"/>
                <w:szCs w:val="20"/>
                <w:lang w:val="en-GB" w:eastAsia="zh-CN"/>
              </w:rPr>
              <w:t>TOTAL CURRENT LIABILITIES</w:t>
            </w:r>
          </w:p>
        </w:tc>
        <w:tc>
          <w:tcPr>
            <w:tcW w:w="1217" w:type="dxa"/>
          </w:tcPr>
          <w:p w14:paraId="1F29F3A4" w14:textId="77777777" w:rsidR="00CC38F8" w:rsidRPr="00D717E3" w:rsidRDefault="00CC38F8" w:rsidP="0012024C">
            <w:pPr>
              <w:ind w:right="-90"/>
              <w:jc w:val="right"/>
              <w:textAlignment w:val="bottom"/>
              <w:rPr>
                <w:rFonts w:ascii="Arial" w:hAnsi="Arial" w:cs="Arial"/>
                <w:b/>
                <w:sz w:val="20"/>
                <w:szCs w:val="20"/>
                <w:lang w:val="en-GB" w:eastAsia="zh-CN"/>
              </w:rPr>
            </w:pPr>
            <w:r w:rsidRPr="00D717E3">
              <w:rPr>
                <w:rFonts w:ascii="Arial" w:hAnsi="Arial" w:cs="Arial"/>
                <w:b/>
                <w:color w:val="000000"/>
                <w:kern w:val="24"/>
                <w:sz w:val="20"/>
                <w:szCs w:val="20"/>
                <w:lang w:val="en-GB" w:eastAsia="zh-CN"/>
              </w:rPr>
              <w:t>567,222</w:t>
            </w:r>
          </w:p>
        </w:tc>
        <w:tc>
          <w:tcPr>
            <w:tcW w:w="1217" w:type="dxa"/>
          </w:tcPr>
          <w:p w14:paraId="27749DDE" w14:textId="77777777" w:rsidR="00CC38F8" w:rsidRPr="00D717E3" w:rsidRDefault="00CC38F8" w:rsidP="0012024C">
            <w:pPr>
              <w:ind w:right="-90"/>
              <w:jc w:val="right"/>
              <w:textAlignment w:val="bottom"/>
              <w:rPr>
                <w:rFonts w:ascii="Arial" w:hAnsi="Arial" w:cs="Arial"/>
                <w:b/>
                <w:sz w:val="20"/>
                <w:szCs w:val="20"/>
                <w:lang w:val="en-GB" w:eastAsia="zh-CN"/>
              </w:rPr>
            </w:pPr>
            <w:r w:rsidRPr="00D717E3">
              <w:rPr>
                <w:rFonts w:ascii="Arial" w:hAnsi="Arial" w:cs="Arial"/>
                <w:b/>
                <w:color w:val="000000" w:themeColor="text1"/>
                <w:kern w:val="24"/>
                <w:sz w:val="20"/>
                <w:szCs w:val="20"/>
                <w:lang w:val="en-GB"/>
              </w:rPr>
              <w:t>540,914</w:t>
            </w:r>
          </w:p>
        </w:tc>
        <w:tc>
          <w:tcPr>
            <w:tcW w:w="1257" w:type="dxa"/>
          </w:tcPr>
          <w:p w14:paraId="3FD90578" w14:textId="77777777" w:rsidR="00CC38F8" w:rsidRPr="00D717E3" w:rsidRDefault="00CC38F8" w:rsidP="0012024C">
            <w:pPr>
              <w:ind w:right="-90"/>
              <w:jc w:val="right"/>
              <w:textAlignment w:val="bottom"/>
              <w:rPr>
                <w:rFonts w:ascii="Arial" w:hAnsi="Arial" w:cs="Arial"/>
                <w:b/>
                <w:sz w:val="20"/>
                <w:szCs w:val="20"/>
                <w:lang w:val="en-GB" w:eastAsia="zh-CN"/>
              </w:rPr>
            </w:pPr>
            <w:r w:rsidRPr="00D717E3">
              <w:rPr>
                <w:rFonts w:ascii="Arial" w:hAnsi="Arial" w:cs="Arial"/>
                <w:b/>
                <w:color w:val="000000" w:themeColor="text1"/>
                <w:kern w:val="24"/>
                <w:sz w:val="20"/>
                <w:szCs w:val="20"/>
                <w:lang w:val="en-GB"/>
              </w:rPr>
              <w:t>407,537</w:t>
            </w:r>
          </w:p>
        </w:tc>
        <w:tc>
          <w:tcPr>
            <w:tcW w:w="1257" w:type="dxa"/>
          </w:tcPr>
          <w:p w14:paraId="03B3B2CD" w14:textId="77777777" w:rsidR="00CC38F8" w:rsidRPr="00D717E3" w:rsidRDefault="00CC38F8" w:rsidP="0012024C">
            <w:pPr>
              <w:ind w:right="-90"/>
              <w:jc w:val="right"/>
              <w:textAlignment w:val="bottom"/>
              <w:rPr>
                <w:rFonts w:ascii="Arial" w:hAnsi="Arial" w:cs="Arial"/>
                <w:b/>
                <w:sz w:val="20"/>
                <w:szCs w:val="20"/>
                <w:lang w:val="en-GB" w:eastAsia="zh-CN"/>
              </w:rPr>
            </w:pPr>
            <w:r w:rsidRPr="00D717E3">
              <w:rPr>
                <w:rFonts w:ascii="Arial" w:hAnsi="Arial" w:cs="Arial"/>
                <w:b/>
                <w:color w:val="000000" w:themeColor="text1"/>
                <w:kern w:val="24"/>
                <w:sz w:val="20"/>
                <w:szCs w:val="20"/>
                <w:lang w:val="en-GB"/>
              </w:rPr>
              <w:t>333,301</w:t>
            </w:r>
          </w:p>
        </w:tc>
        <w:tc>
          <w:tcPr>
            <w:tcW w:w="1257" w:type="dxa"/>
          </w:tcPr>
          <w:p w14:paraId="1FDF0CA9" w14:textId="77777777" w:rsidR="00CC38F8" w:rsidRPr="00D717E3" w:rsidRDefault="00CC38F8" w:rsidP="0012024C">
            <w:pPr>
              <w:ind w:right="-90"/>
              <w:jc w:val="right"/>
              <w:textAlignment w:val="bottom"/>
              <w:rPr>
                <w:rFonts w:ascii="Arial" w:hAnsi="Arial" w:cs="Arial"/>
                <w:b/>
                <w:sz w:val="20"/>
                <w:szCs w:val="20"/>
                <w:lang w:val="en-GB" w:eastAsia="zh-CN"/>
              </w:rPr>
            </w:pPr>
            <w:r w:rsidRPr="00D717E3">
              <w:rPr>
                <w:rFonts w:ascii="Arial" w:hAnsi="Arial" w:cs="Arial"/>
                <w:b/>
                <w:color w:val="000000" w:themeColor="text1"/>
                <w:kern w:val="24"/>
                <w:sz w:val="20"/>
                <w:szCs w:val="20"/>
                <w:lang w:val="en-GB"/>
              </w:rPr>
              <w:t>155,438</w:t>
            </w:r>
          </w:p>
        </w:tc>
        <w:tc>
          <w:tcPr>
            <w:tcW w:w="1257" w:type="dxa"/>
          </w:tcPr>
          <w:p w14:paraId="4AF56CFC" w14:textId="77777777" w:rsidR="00CC38F8" w:rsidRPr="00D717E3" w:rsidRDefault="00CC38F8" w:rsidP="0012024C">
            <w:pPr>
              <w:ind w:right="-90"/>
              <w:jc w:val="right"/>
              <w:textAlignment w:val="bottom"/>
              <w:rPr>
                <w:rFonts w:ascii="Arial" w:hAnsi="Arial" w:cs="Arial"/>
                <w:b/>
                <w:sz w:val="20"/>
                <w:szCs w:val="20"/>
                <w:lang w:val="en-GB" w:eastAsia="zh-CN"/>
              </w:rPr>
            </w:pPr>
            <w:r w:rsidRPr="00D717E3">
              <w:rPr>
                <w:rFonts w:ascii="Arial" w:hAnsi="Arial" w:cs="Arial"/>
                <w:b/>
                <w:color w:val="000000" w:themeColor="text1"/>
                <w:kern w:val="24"/>
                <w:sz w:val="20"/>
                <w:szCs w:val="20"/>
                <w:lang w:val="en-GB"/>
              </w:rPr>
              <w:t>194,475</w:t>
            </w:r>
          </w:p>
        </w:tc>
        <w:tc>
          <w:tcPr>
            <w:tcW w:w="1657" w:type="dxa"/>
          </w:tcPr>
          <w:p w14:paraId="4462E53A" w14:textId="7C312259" w:rsidR="00C37C38" w:rsidRPr="00D717E3" w:rsidRDefault="00CC38F8" w:rsidP="0012024C">
            <w:pPr>
              <w:ind w:right="-90"/>
              <w:jc w:val="right"/>
              <w:textAlignment w:val="bottom"/>
              <w:rPr>
                <w:rFonts w:ascii="Arial" w:hAnsi="Arial" w:cs="Arial"/>
                <w:b/>
                <w:sz w:val="20"/>
                <w:szCs w:val="20"/>
                <w:lang w:val="en-GB" w:eastAsia="zh-CN"/>
              </w:rPr>
            </w:pPr>
            <w:r w:rsidRPr="00D717E3">
              <w:rPr>
                <w:rFonts w:ascii="Arial" w:hAnsi="Arial" w:cs="Arial"/>
                <w:b/>
                <w:color w:val="000000" w:themeColor="text1"/>
                <w:kern w:val="24"/>
                <w:sz w:val="20"/>
                <w:szCs w:val="20"/>
                <w:lang w:val="en-GB"/>
              </w:rPr>
              <w:t>155,652</w:t>
            </w:r>
          </w:p>
        </w:tc>
      </w:tr>
      <w:tr w:rsidR="00CC38F8" w:rsidRPr="00D717E3" w14:paraId="238D3058" w14:textId="77777777" w:rsidTr="00014998">
        <w:trPr>
          <w:jc w:val="center"/>
        </w:trPr>
        <w:tc>
          <w:tcPr>
            <w:tcW w:w="3386" w:type="dxa"/>
          </w:tcPr>
          <w:p w14:paraId="3141AD55" w14:textId="5D3B0E75" w:rsidR="00CC38F8" w:rsidRPr="00D717E3" w:rsidRDefault="00CC38F8" w:rsidP="00F23EAA">
            <w:pPr>
              <w:ind w:right="-138"/>
              <w:textAlignment w:val="bottom"/>
              <w:rPr>
                <w:rFonts w:ascii="Arial" w:hAnsi="Arial" w:cs="Arial"/>
                <w:sz w:val="20"/>
                <w:szCs w:val="20"/>
                <w:lang w:val="en-GB" w:eastAsia="zh-CN"/>
              </w:rPr>
            </w:pPr>
            <w:r w:rsidRPr="00D717E3">
              <w:rPr>
                <w:rFonts w:ascii="Arial" w:hAnsi="Arial" w:cs="Arial"/>
                <w:color w:val="000000"/>
                <w:kern w:val="24"/>
                <w:sz w:val="20"/>
                <w:szCs w:val="20"/>
                <w:lang w:val="en-GB" w:eastAsia="zh-CN"/>
              </w:rPr>
              <w:t>Long-</w:t>
            </w:r>
            <w:r w:rsidR="00F23EAA" w:rsidRPr="00D717E3">
              <w:rPr>
                <w:rFonts w:ascii="Arial" w:hAnsi="Arial" w:cs="Arial"/>
                <w:color w:val="000000"/>
                <w:kern w:val="24"/>
                <w:sz w:val="20"/>
                <w:szCs w:val="20"/>
                <w:lang w:val="en-GB" w:eastAsia="zh-CN"/>
              </w:rPr>
              <w:t>T</w:t>
            </w:r>
            <w:r w:rsidRPr="00D717E3">
              <w:rPr>
                <w:rFonts w:ascii="Arial" w:hAnsi="Arial" w:cs="Arial"/>
                <w:color w:val="000000"/>
                <w:kern w:val="24"/>
                <w:sz w:val="20"/>
                <w:szCs w:val="20"/>
                <w:lang w:val="en-GB" w:eastAsia="zh-CN"/>
              </w:rPr>
              <w:t>erm Borrowings</w:t>
            </w:r>
          </w:p>
        </w:tc>
        <w:tc>
          <w:tcPr>
            <w:tcW w:w="1217" w:type="dxa"/>
          </w:tcPr>
          <w:p w14:paraId="3FA35292" w14:textId="77777777" w:rsidR="00CC38F8" w:rsidRPr="00D717E3" w:rsidRDefault="00CC38F8" w:rsidP="0012024C">
            <w:pPr>
              <w:ind w:right="-90"/>
              <w:jc w:val="right"/>
              <w:textAlignment w:val="bottom"/>
              <w:rPr>
                <w:rFonts w:ascii="Arial" w:hAnsi="Arial" w:cs="Arial"/>
                <w:sz w:val="20"/>
                <w:szCs w:val="20"/>
                <w:lang w:val="en-GB" w:eastAsia="zh-CN"/>
              </w:rPr>
            </w:pPr>
            <w:r w:rsidRPr="00D717E3">
              <w:rPr>
                <w:rFonts w:ascii="Arial" w:hAnsi="Arial" w:cs="Arial"/>
                <w:color w:val="000000"/>
                <w:kern w:val="24"/>
                <w:sz w:val="20"/>
                <w:szCs w:val="20"/>
                <w:lang w:val="en-GB" w:eastAsia="zh-CN"/>
              </w:rPr>
              <w:t>-</w:t>
            </w:r>
          </w:p>
        </w:tc>
        <w:tc>
          <w:tcPr>
            <w:tcW w:w="1217" w:type="dxa"/>
          </w:tcPr>
          <w:p w14:paraId="77A389D2" w14:textId="77777777" w:rsidR="00CC38F8" w:rsidRPr="00D717E3" w:rsidRDefault="00CC38F8" w:rsidP="0012024C">
            <w:pPr>
              <w:ind w:right="-90"/>
              <w:jc w:val="right"/>
              <w:textAlignment w:val="bottom"/>
              <w:rPr>
                <w:rFonts w:ascii="Arial" w:hAnsi="Arial" w:cs="Arial"/>
                <w:sz w:val="20"/>
                <w:szCs w:val="20"/>
                <w:lang w:val="en-GB" w:eastAsia="zh-CN"/>
              </w:rPr>
            </w:pPr>
            <w:r w:rsidRPr="00D717E3">
              <w:rPr>
                <w:rFonts w:ascii="Arial" w:hAnsi="Arial" w:cs="Arial"/>
                <w:color w:val="000000" w:themeColor="text1"/>
                <w:kern w:val="24"/>
                <w:sz w:val="20"/>
                <w:szCs w:val="20"/>
                <w:lang w:val="en-GB"/>
              </w:rPr>
              <w:t>15</w:t>
            </w:r>
          </w:p>
        </w:tc>
        <w:tc>
          <w:tcPr>
            <w:tcW w:w="1257" w:type="dxa"/>
          </w:tcPr>
          <w:p w14:paraId="57EB34E0" w14:textId="77777777" w:rsidR="00CC38F8" w:rsidRPr="00D717E3" w:rsidRDefault="00CC38F8" w:rsidP="0012024C">
            <w:pPr>
              <w:ind w:right="-90"/>
              <w:jc w:val="right"/>
              <w:textAlignment w:val="bottom"/>
              <w:rPr>
                <w:rFonts w:ascii="Arial" w:hAnsi="Arial" w:cs="Arial"/>
                <w:sz w:val="20"/>
                <w:szCs w:val="20"/>
                <w:lang w:val="en-GB" w:eastAsia="zh-CN"/>
              </w:rPr>
            </w:pPr>
            <w:r w:rsidRPr="00D717E3">
              <w:rPr>
                <w:rFonts w:ascii="Arial" w:hAnsi="Arial" w:cs="Arial"/>
                <w:color w:val="000000" w:themeColor="text1"/>
                <w:kern w:val="24"/>
                <w:sz w:val="20"/>
                <w:szCs w:val="20"/>
                <w:lang w:val="en-GB"/>
              </w:rPr>
              <w:t>157</w:t>
            </w:r>
          </w:p>
        </w:tc>
        <w:tc>
          <w:tcPr>
            <w:tcW w:w="1257" w:type="dxa"/>
          </w:tcPr>
          <w:p w14:paraId="75584B51" w14:textId="77777777" w:rsidR="00CC38F8" w:rsidRPr="00D717E3" w:rsidRDefault="00CC38F8" w:rsidP="0012024C">
            <w:pPr>
              <w:ind w:right="-90"/>
              <w:jc w:val="right"/>
              <w:textAlignment w:val="bottom"/>
              <w:rPr>
                <w:rFonts w:ascii="Arial" w:hAnsi="Arial" w:cs="Arial"/>
                <w:sz w:val="20"/>
                <w:szCs w:val="20"/>
                <w:lang w:val="en-GB" w:eastAsia="zh-CN"/>
              </w:rPr>
            </w:pPr>
            <w:r w:rsidRPr="00D717E3">
              <w:rPr>
                <w:rFonts w:ascii="Arial" w:hAnsi="Arial" w:cs="Arial"/>
                <w:color w:val="000000" w:themeColor="text1"/>
                <w:kern w:val="24"/>
                <w:sz w:val="20"/>
                <w:szCs w:val="20"/>
                <w:lang w:val="en-GB"/>
              </w:rPr>
              <w:t>94</w:t>
            </w:r>
          </w:p>
        </w:tc>
        <w:tc>
          <w:tcPr>
            <w:tcW w:w="1257" w:type="dxa"/>
          </w:tcPr>
          <w:p w14:paraId="574E4960" w14:textId="77777777" w:rsidR="00CC38F8" w:rsidRPr="00D717E3" w:rsidRDefault="00CC38F8" w:rsidP="0012024C">
            <w:pPr>
              <w:ind w:right="-90"/>
              <w:jc w:val="right"/>
              <w:textAlignment w:val="bottom"/>
              <w:rPr>
                <w:rFonts w:ascii="Arial" w:hAnsi="Arial" w:cs="Arial"/>
                <w:sz w:val="20"/>
                <w:szCs w:val="20"/>
                <w:lang w:val="en-GB" w:eastAsia="zh-CN"/>
              </w:rPr>
            </w:pPr>
            <w:r w:rsidRPr="00D717E3">
              <w:rPr>
                <w:rFonts w:ascii="Arial" w:hAnsi="Arial" w:cs="Arial"/>
                <w:color w:val="000000" w:themeColor="text1"/>
                <w:kern w:val="24"/>
                <w:sz w:val="20"/>
                <w:szCs w:val="20"/>
                <w:lang w:val="en-GB"/>
              </w:rPr>
              <w:t>69</w:t>
            </w:r>
          </w:p>
        </w:tc>
        <w:tc>
          <w:tcPr>
            <w:tcW w:w="1257" w:type="dxa"/>
          </w:tcPr>
          <w:p w14:paraId="7161D7E4" w14:textId="5D7F7EF0" w:rsidR="00CC38F8" w:rsidRPr="00D717E3" w:rsidRDefault="00D51026" w:rsidP="0012024C">
            <w:pPr>
              <w:ind w:right="-90"/>
              <w:jc w:val="right"/>
              <w:textAlignment w:val="bottom"/>
              <w:rPr>
                <w:rFonts w:ascii="Arial" w:hAnsi="Arial" w:cs="Arial"/>
                <w:sz w:val="20"/>
                <w:szCs w:val="20"/>
                <w:lang w:val="en-GB" w:eastAsia="zh-CN"/>
              </w:rPr>
            </w:pPr>
            <w:r w:rsidRPr="00D717E3">
              <w:rPr>
                <w:rFonts w:ascii="Arial" w:hAnsi="Arial" w:cs="Arial"/>
                <w:color w:val="000000" w:themeColor="text1"/>
                <w:kern w:val="24"/>
                <w:sz w:val="20"/>
                <w:szCs w:val="20"/>
                <w:lang w:val="en-GB"/>
              </w:rPr>
              <w:t>-</w:t>
            </w:r>
          </w:p>
        </w:tc>
        <w:tc>
          <w:tcPr>
            <w:tcW w:w="1657" w:type="dxa"/>
          </w:tcPr>
          <w:p w14:paraId="51A434DF" w14:textId="77777777" w:rsidR="00CC38F8" w:rsidRPr="00D717E3" w:rsidRDefault="00CC38F8" w:rsidP="0012024C">
            <w:pPr>
              <w:ind w:right="-90"/>
              <w:jc w:val="right"/>
              <w:textAlignment w:val="bottom"/>
              <w:rPr>
                <w:rFonts w:ascii="Arial" w:hAnsi="Arial" w:cs="Arial"/>
                <w:sz w:val="20"/>
                <w:szCs w:val="20"/>
                <w:lang w:val="en-GB" w:eastAsia="zh-CN"/>
              </w:rPr>
            </w:pPr>
            <w:r w:rsidRPr="00D717E3">
              <w:rPr>
                <w:rFonts w:ascii="Arial" w:hAnsi="Arial" w:cs="Arial"/>
                <w:color w:val="000000" w:themeColor="text1"/>
                <w:kern w:val="24"/>
                <w:sz w:val="20"/>
                <w:szCs w:val="20"/>
                <w:lang w:val="en-GB"/>
              </w:rPr>
              <w:t>25</w:t>
            </w:r>
          </w:p>
        </w:tc>
      </w:tr>
      <w:tr w:rsidR="00CC38F8" w:rsidRPr="00D717E3" w14:paraId="2E30A017" w14:textId="77777777" w:rsidTr="00014998">
        <w:trPr>
          <w:jc w:val="center"/>
        </w:trPr>
        <w:tc>
          <w:tcPr>
            <w:tcW w:w="3386" w:type="dxa"/>
          </w:tcPr>
          <w:p w14:paraId="7A8477EE" w14:textId="3AE165E9" w:rsidR="00CC38F8" w:rsidRPr="00D717E3" w:rsidRDefault="00CC38F8" w:rsidP="00F23EAA">
            <w:pPr>
              <w:ind w:right="-138"/>
              <w:textAlignment w:val="bottom"/>
              <w:rPr>
                <w:rFonts w:ascii="Arial" w:hAnsi="Arial" w:cs="Arial"/>
                <w:sz w:val="20"/>
                <w:szCs w:val="20"/>
                <w:lang w:val="en-GB" w:eastAsia="zh-CN"/>
              </w:rPr>
            </w:pPr>
            <w:r w:rsidRPr="00D717E3">
              <w:rPr>
                <w:rFonts w:ascii="Arial" w:hAnsi="Arial" w:cs="Arial"/>
                <w:color w:val="000000"/>
                <w:kern w:val="24"/>
                <w:sz w:val="20"/>
                <w:szCs w:val="20"/>
                <w:lang w:val="en-GB" w:eastAsia="zh-CN"/>
              </w:rPr>
              <w:t>Other Long-</w:t>
            </w:r>
            <w:r w:rsidR="00F23EAA" w:rsidRPr="00D717E3">
              <w:rPr>
                <w:rFonts w:ascii="Arial" w:hAnsi="Arial" w:cs="Arial"/>
                <w:color w:val="000000"/>
                <w:kern w:val="24"/>
                <w:sz w:val="20"/>
                <w:szCs w:val="20"/>
                <w:lang w:val="en-GB" w:eastAsia="zh-CN"/>
              </w:rPr>
              <w:t>T</w:t>
            </w:r>
            <w:r w:rsidRPr="00D717E3">
              <w:rPr>
                <w:rFonts w:ascii="Arial" w:hAnsi="Arial" w:cs="Arial"/>
                <w:color w:val="000000"/>
                <w:kern w:val="24"/>
                <w:sz w:val="20"/>
                <w:szCs w:val="20"/>
                <w:lang w:val="en-GB" w:eastAsia="zh-CN"/>
              </w:rPr>
              <w:t>erm Liabilities</w:t>
            </w:r>
          </w:p>
        </w:tc>
        <w:tc>
          <w:tcPr>
            <w:tcW w:w="1217" w:type="dxa"/>
          </w:tcPr>
          <w:p w14:paraId="46F9EF1B" w14:textId="77777777" w:rsidR="00CC38F8" w:rsidRPr="00D717E3" w:rsidRDefault="00CC38F8" w:rsidP="0012024C">
            <w:pPr>
              <w:ind w:right="-90"/>
              <w:jc w:val="right"/>
              <w:textAlignment w:val="bottom"/>
              <w:rPr>
                <w:rFonts w:ascii="Arial" w:hAnsi="Arial" w:cs="Arial"/>
                <w:sz w:val="20"/>
                <w:szCs w:val="20"/>
                <w:lang w:val="en-GB" w:eastAsia="zh-CN"/>
              </w:rPr>
            </w:pPr>
            <w:r w:rsidRPr="00D717E3">
              <w:rPr>
                <w:rFonts w:ascii="Arial" w:hAnsi="Arial" w:cs="Arial"/>
                <w:color w:val="000000"/>
                <w:kern w:val="24"/>
                <w:sz w:val="20"/>
                <w:szCs w:val="20"/>
                <w:lang w:val="en-GB" w:eastAsia="zh-CN"/>
              </w:rPr>
              <w:t>5,295</w:t>
            </w:r>
          </w:p>
        </w:tc>
        <w:tc>
          <w:tcPr>
            <w:tcW w:w="1217" w:type="dxa"/>
          </w:tcPr>
          <w:p w14:paraId="7D56AC35" w14:textId="77777777" w:rsidR="00CC38F8" w:rsidRPr="00D717E3" w:rsidRDefault="00CC38F8" w:rsidP="0012024C">
            <w:pPr>
              <w:ind w:right="-90"/>
              <w:jc w:val="right"/>
              <w:textAlignment w:val="bottom"/>
              <w:rPr>
                <w:rFonts w:ascii="Arial" w:hAnsi="Arial" w:cs="Arial"/>
                <w:sz w:val="20"/>
                <w:szCs w:val="20"/>
                <w:lang w:val="en-GB" w:eastAsia="zh-CN"/>
              </w:rPr>
            </w:pPr>
            <w:r w:rsidRPr="00D717E3">
              <w:rPr>
                <w:rFonts w:ascii="Arial" w:hAnsi="Arial" w:cs="Arial"/>
                <w:color w:val="000000" w:themeColor="text1"/>
                <w:kern w:val="24"/>
                <w:sz w:val="20"/>
                <w:szCs w:val="20"/>
                <w:lang w:val="en-GB"/>
              </w:rPr>
              <w:t>15,907</w:t>
            </w:r>
          </w:p>
        </w:tc>
        <w:tc>
          <w:tcPr>
            <w:tcW w:w="1257" w:type="dxa"/>
          </w:tcPr>
          <w:p w14:paraId="01195F73" w14:textId="77777777" w:rsidR="00CC38F8" w:rsidRPr="00D717E3" w:rsidRDefault="00CC38F8" w:rsidP="0012024C">
            <w:pPr>
              <w:ind w:right="-90"/>
              <w:jc w:val="right"/>
              <w:textAlignment w:val="bottom"/>
              <w:rPr>
                <w:rFonts w:ascii="Arial" w:hAnsi="Arial" w:cs="Arial"/>
                <w:sz w:val="20"/>
                <w:szCs w:val="20"/>
                <w:lang w:val="en-GB" w:eastAsia="zh-CN"/>
              </w:rPr>
            </w:pPr>
            <w:r w:rsidRPr="00D717E3">
              <w:rPr>
                <w:rFonts w:ascii="Arial" w:hAnsi="Arial" w:cs="Arial"/>
                <w:color w:val="000000" w:themeColor="text1"/>
                <w:kern w:val="24"/>
                <w:sz w:val="20"/>
                <w:szCs w:val="20"/>
                <w:lang w:val="en-GB"/>
              </w:rPr>
              <w:t>16,707</w:t>
            </w:r>
          </w:p>
        </w:tc>
        <w:tc>
          <w:tcPr>
            <w:tcW w:w="1257" w:type="dxa"/>
          </w:tcPr>
          <w:p w14:paraId="456F6B5C" w14:textId="77777777" w:rsidR="00CC38F8" w:rsidRPr="00D717E3" w:rsidRDefault="00CC38F8" w:rsidP="0012024C">
            <w:pPr>
              <w:ind w:right="-90"/>
              <w:jc w:val="right"/>
              <w:textAlignment w:val="bottom"/>
              <w:rPr>
                <w:rFonts w:ascii="Arial" w:hAnsi="Arial" w:cs="Arial"/>
                <w:sz w:val="20"/>
                <w:szCs w:val="20"/>
                <w:lang w:val="en-GB" w:eastAsia="zh-CN"/>
              </w:rPr>
            </w:pPr>
            <w:r w:rsidRPr="00D717E3">
              <w:rPr>
                <w:rFonts w:ascii="Arial" w:hAnsi="Arial" w:cs="Arial"/>
                <w:color w:val="000000" w:themeColor="text1"/>
                <w:kern w:val="24"/>
                <w:sz w:val="20"/>
                <w:szCs w:val="20"/>
                <w:lang w:val="en-GB"/>
              </w:rPr>
              <w:t>19,041</w:t>
            </w:r>
          </w:p>
        </w:tc>
        <w:tc>
          <w:tcPr>
            <w:tcW w:w="1257" w:type="dxa"/>
          </w:tcPr>
          <w:p w14:paraId="5E76852F" w14:textId="77777777" w:rsidR="00CC38F8" w:rsidRPr="00D717E3" w:rsidRDefault="00CC38F8" w:rsidP="0012024C">
            <w:pPr>
              <w:ind w:right="-90"/>
              <w:jc w:val="right"/>
              <w:textAlignment w:val="bottom"/>
              <w:rPr>
                <w:rFonts w:ascii="Arial" w:hAnsi="Arial" w:cs="Arial"/>
                <w:sz w:val="20"/>
                <w:szCs w:val="20"/>
                <w:lang w:val="en-GB" w:eastAsia="zh-CN"/>
              </w:rPr>
            </w:pPr>
            <w:r w:rsidRPr="00D717E3">
              <w:rPr>
                <w:rFonts w:ascii="Arial" w:hAnsi="Arial" w:cs="Arial"/>
                <w:color w:val="000000" w:themeColor="text1"/>
                <w:kern w:val="24"/>
                <w:sz w:val="20"/>
                <w:szCs w:val="20"/>
                <w:lang w:val="en-GB"/>
              </w:rPr>
              <w:t>21,869</w:t>
            </w:r>
          </w:p>
        </w:tc>
        <w:tc>
          <w:tcPr>
            <w:tcW w:w="1257" w:type="dxa"/>
          </w:tcPr>
          <w:p w14:paraId="03E03C70" w14:textId="77777777" w:rsidR="00CC38F8" w:rsidRPr="00D717E3" w:rsidRDefault="00CC38F8" w:rsidP="0012024C">
            <w:pPr>
              <w:ind w:right="-90"/>
              <w:jc w:val="right"/>
              <w:textAlignment w:val="bottom"/>
              <w:rPr>
                <w:rFonts w:ascii="Arial" w:hAnsi="Arial" w:cs="Arial"/>
                <w:sz w:val="20"/>
                <w:szCs w:val="20"/>
                <w:lang w:val="en-GB" w:eastAsia="zh-CN"/>
              </w:rPr>
            </w:pPr>
            <w:r w:rsidRPr="00D717E3">
              <w:rPr>
                <w:rFonts w:ascii="Arial" w:hAnsi="Arial" w:cs="Arial"/>
                <w:color w:val="000000" w:themeColor="text1"/>
                <w:kern w:val="24"/>
                <w:sz w:val="20"/>
                <w:szCs w:val="20"/>
                <w:lang w:val="en-GB"/>
              </w:rPr>
              <w:t>25,883</w:t>
            </w:r>
          </w:p>
        </w:tc>
        <w:tc>
          <w:tcPr>
            <w:tcW w:w="1657" w:type="dxa"/>
          </w:tcPr>
          <w:p w14:paraId="4C7B386E" w14:textId="77777777" w:rsidR="00CC38F8" w:rsidRPr="00D717E3" w:rsidRDefault="00CC38F8" w:rsidP="0012024C">
            <w:pPr>
              <w:ind w:right="-90"/>
              <w:jc w:val="right"/>
              <w:textAlignment w:val="bottom"/>
              <w:rPr>
                <w:rFonts w:ascii="Arial" w:hAnsi="Arial" w:cs="Arial"/>
                <w:sz w:val="20"/>
                <w:szCs w:val="20"/>
                <w:lang w:val="en-GB" w:eastAsia="zh-CN"/>
              </w:rPr>
            </w:pPr>
            <w:r w:rsidRPr="00D717E3">
              <w:rPr>
                <w:rFonts w:ascii="Arial" w:hAnsi="Arial" w:cs="Arial"/>
                <w:color w:val="000000" w:themeColor="text1"/>
                <w:kern w:val="24"/>
                <w:sz w:val="20"/>
                <w:szCs w:val="20"/>
                <w:lang w:val="en-GB"/>
              </w:rPr>
              <w:t>32,295</w:t>
            </w:r>
          </w:p>
        </w:tc>
      </w:tr>
      <w:tr w:rsidR="00CC38F8" w:rsidRPr="00D717E3" w14:paraId="7784BEC5" w14:textId="77777777" w:rsidTr="00014998">
        <w:trPr>
          <w:jc w:val="center"/>
        </w:trPr>
        <w:tc>
          <w:tcPr>
            <w:tcW w:w="3386" w:type="dxa"/>
          </w:tcPr>
          <w:p w14:paraId="1A7A5AD0" w14:textId="77777777" w:rsidR="00CC38F8" w:rsidRPr="00D717E3" w:rsidRDefault="00CC38F8" w:rsidP="00BE6FC1">
            <w:pPr>
              <w:ind w:right="-138"/>
              <w:textAlignment w:val="bottom"/>
              <w:rPr>
                <w:rFonts w:ascii="Arial" w:hAnsi="Arial" w:cs="Arial"/>
                <w:b/>
                <w:sz w:val="20"/>
                <w:szCs w:val="20"/>
                <w:lang w:val="en-GB" w:eastAsia="zh-CN"/>
              </w:rPr>
            </w:pPr>
            <w:r w:rsidRPr="00D717E3">
              <w:rPr>
                <w:rFonts w:ascii="Arial" w:hAnsi="Arial" w:cs="Arial"/>
                <w:b/>
                <w:color w:val="000000"/>
                <w:kern w:val="24"/>
                <w:sz w:val="20"/>
                <w:szCs w:val="20"/>
                <w:lang w:val="en-GB" w:eastAsia="zh-CN"/>
              </w:rPr>
              <w:t>TOTAL LONG-TERM LIABILITIES</w:t>
            </w:r>
          </w:p>
        </w:tc>
        <w:tc>
          <w:tcPr>
            <w:tcW w:w="1217" w:type="dxa"/>
          </w:tcPr>
          <w:p w14:paraId="62FAA9D6" w14:textId="77777777" w:rsidR="00CC38F8" w:rsidRPr="00D717E3" w:rsidRDefault="00CC38F8" w:rsidP="0012024C">
            <w:pPr>
              <w:ind w:right="-90"/>
              <w:jc w:val="right"/>
              <w:textAlignment w:val="bottom"/>
              <w:rPr>
                <w:rFonts w:ascii="Arial" w:hAnsi="Arial" w:cs="Arial"/>
                <w:b/>
                <w:sz w:val="20"/>
                <w:szCs w:val="20"/>
                <w:lang w:val="en-GB" w:eastAsia="zh-CN"/>
              </w:rPr>
            </w:pPr>
            <w:r w:rsidRPr="00D717E3">
              <w:rPr>
                <w:rFonts w:ascii="Arial" w:hAnsi="Arial" w:cs="Arial"/>
                <w:b/>
                <w:color w:val="000000"/>
                <w:kern w:val="24"/>
                <w:sz w:val="20"/>
                <w:szCs w:val="20"/>
                <w:lang w:val="en-GB" w:eastAsia="zh-CN"/>
              </w:rPr>
              <w:t>5,295</w:t>
            </w:r>
          </w:p>
        </w:tc>
        <w:tc>
          <w:tcPr>
            <w:tcW w:w="1217" w:type="dxa"/>
          </w:tcPr>
          <w:p w14:paraId="4552737F" w14:textId="77777777" w:rsidR="00CC38F8" w:rsidRPr="00D717E3" w:rsidRDefault="00CC38F8" w:rsidP="0012024C">
            <w:pPr>
              <w:ind w:right="-90"/>
              <w:jc w:val="right"/>
              <w:textAlignment w:val="bottom"/>
              <w:rPr>
                <w:rFonts w:ascii="Arial" w:hAnsi="Arial" w:cs="Arial"/>
                <w:b/>
                <w:sz w:val="20"/>
                <w:szCs w:val="20"/>
                <w:lang w:val="en-GB" w:eastAsia="zh-CN"/>
              </w:rPr>
            </w:pPr>
            <w:r w:rsidRPr="00D717E3">
              <w:rPr>
                <w:rFonts w:ascii="Arial" w:hAnsi="Arial" w:cs="Arial"/>
                <w:b/>
                <w:color w:val="000000" w:themeColor="text1"/>
                <w:kern w:val="24"/>
                <w:sz w:val="20"/>
                <w:szCs w:val="20"/>
                <w:lang w:val="en-GB"/>
              </w:rPr>
              <w:t>15,922</w:t>
            </w:r>
          </w:p>
        </w:tc>
        <w:tc>
          <w:tcPr>
            <w:tcW w:w="1257" w:type="dxa"/>
          </w:tcPr>
          <w:p w14:paraId="0725B98A" w14:textId="77777777" w:rsidR="00CC38F8" w:rsidRPr="00D717E3" w:rsidRDefault="00CC38F8" w:rsidP="0012024C">
            <w:pPr>
              <w:ind w:right="-90"/>
              <w:jc w:val="right"/>
              <w:textAlignment w:val="bottom"/>
              <w:rPr>
                <w:rFonts w:ascii="Arial" w:hAnsi="Arial" w:cs="Arial"/>
                <w:b/>
                <w:sz w:val="20"/>
                <w:szCs w:val="20"/>
                <w:lang w:val="en-GB" w:eastAsia="zh-CN"/>
              </w:rPr>
            </w:pPr>
            <w:r w:rsidRPr="00D717E3">
              <w:rPr>
                <w:rFonts w:ascii="Arial" w:hAnsi="Arial" w:cs="Arial"/>
                <w:b/>
                <w:color w:val="000000" w:themeColor="text1"/>
                <w:kern w:val="24"/>
                <w:sz w:val="20"/>
                <w:szCs w:val="20"/>
                <w:lang w:val="en-GB"/>
              </w:rPr>
              <w:t>16,864</w:t>
            </w:r>
          </w:p>
        </w:tc>
        <w:tc>
          <w:tcPr>
            <w:tcW w:w="1257" w:type="dxa"/>
          </w:tcPr>
          <w:p w14:paraId="4D4B93E9" w14:textId="77777777" w:rsidR="00CC38F8" w:rsidRPr="00D717E3" w:rsidRDefault="00CC38F8" w:rsidP="0012024C">
            <w:pPr>
              <w:ind w:right="-90"/>
              <w:jc w:val="right"/>
              <w:textAlignment w:val="bottom"/>
              <w:rPr>
                <w:rFonts w:ascii="Arial" w:hAnsi="Arial" w:cs="Arial"/>
                <w:b/>
                <w:sz w:val="20"/>
                <w:szCs w:val="20"/>
                <w:lang w:val="en-GB" w:eastAsia="zh-CN"/>
              </w:rPr>
            </w:pPr>
            <w:r w:rsidRPr="00D717E3">
              <w:rPr>
                <w:rFonts w:ascii="Arial" w:hAnsi="Arial" w:cs="Arial"/>
                <w:b/>
                <w:color w:val="000000" w:themeColor="text1"/>
                <w:kern w:val="24"/>
                <w:sz w:val="20"/>
                <w:szCs w:val="20"/>
                <w:lang w:val="en-GB"/>
              </w:rPr>
              <w:t>19,135</w:t>
            </w:r>
          </w:p>
        </w:tc>
        <w:tc>
          <w:tcPr>
            <w:tcW w:w="1257" w:type="dxa"/>
          </w:tcPr>
          <w:p w14:paraId="677634FF" w14:textId="77777777" w:rsidR="00CC38F8" w:rsidRPr="00D717E3" w:rsidRDefault="00CC38F8" w:rsidP="0012024C">
            <w:pPr>
              <w:ind w:right="-90"/>
              <w:jc w:val="right"/>
              <w:textAlignment w:val="bottom"/>
              <w:rPr>
                <w:rFonts w:ascii="Arial" w:hAnsi="Arial" w:cs="Arial"/>
                <w:b/>
                <w:sz w:val="20"/>
                <w:szCs w:val="20"/>
                <w:lang w:val="en-GB" w:eastAsia="zh-CN"/>
              </w:rPr>
            </w:pPr>
            <w:r w:rsidRPr="00D717E3">
              <w:rPr>
                <w:rFonts w:ascii="Arial" w:hAnsi="Arial" w:cs="Arial"/>
                <w:b/>
                <w:color w:val="000000" w:themeColor="text1"/>
                <w:kern w:val="24"/>
                <w:sz w:val="20"/>
                <w:szCs w:val="20"/>
                <w:lang w:val="en-GB"/>
              </w:rPr>
              <w:t>21,938</w:t>
            </w:r>
          </w:p>
        </w:tc>
        <w:tc>
          <w:tcPr>
            <w:tcW w:w="1257" w:type="dxa"/>
          </w:tcPr>
          <w:p w14:paraId="3CDC154B" w14:textId="77777777" w:rsidR="00CC38F8" w:rsidRPr="00D717E3" w:rsidRDefault="00CC38F8" w:rsidP="0012024C">
            <w:pPr>
              <w:ind w:right="-90"/>
              <w:jc w:val="right"/>
              <w:textAlignment w:val="bottom"/>
              <w:rPr>
                <w:rFonts w:ascii="Arial" w:hAnsi="Arial" w:cs="Arial"/>
                <w:b/>
                <w:sz w:val="20"/>
                <w:szCs w:val="20"/>
                <w:lang w:val="en-GB" w:eastAsia="zh-CN"/>
              </w:rPr>
            </w:pPr>
            <w:r w:rsidRPr="00D717E3">
              <w:rPr>
                <w:rFonts w:ascii="Arial" w:hAnsi="Arial" w:cs="Arial"/>
                <w:b/>
                <w:color w:val="000000" w:themeColor="text1"/>
                <w:kern w:val="24"/>
                <w:sz w:val="20"/>
                <w:szCs w:val="20"/>
                <w:lang w:val="en-GB"/>
              </w:rPr>
              <w:t>25,883</w:t>
            </w:r>
          </w:p>
        </w:tc>
        <w:tc>
          <w:tcPr>
            <w:tcW w:w="1657" w:type="dxa"/>
          </w:tcPr>
          <w:p w14:paraId="6229C558" w14:textId="77777777" w:rsidR="00CC38F8" w:rsidRPr="00D717E3" w:rsidRDefault="00CC38F8" w:rsidP="0012024C">
            <w:pPr>
              <w:ind w:right="-90"/>
              <w:jc w:val="right"/>
              <w:textAlignment w:val="bottom"/>
              <w:rPr>
                <w:rFonts w:ascii="Arial" w:hAnsi="Arial" w:cs="Arial"/>
                <w:b/>
                <w:sz w:val="20"/>
                <w:szCs w:val="20"/>
                <w:lang w:val="en-GB" w:eastAsia="zh-CN"/>
              </w:rPr>
            </w:pPr>
            <w:r w:rsidRPr="00D717E3">
              <w:rPr>
                <w:rFonts w:ascii="Arial" w:hAnsi="Arial" w:cs="Arial"/>
                <w:b/>
                <w:color w:val="000000" w:themeColor="text1"/>
                <w:kern w:val="24"/>
                <w:sz w:val="20"/>
                <w:szCs w:val="20"/>
                <w:lang w:val="en-GB"/>
              </w:rPr>
              <w:t>32,320</w:t>
            </w:r>
          </w:p>
        </w:tc>
      </w:tr>
      <w:tr w:rsidR="00CC38F8" w:rsidRPr="00D717E3" w14:paraId="35CEAED9" w14:textId="77777777" w:rsidTr="00014998">
        <w:trPr>
          <w:jc w:val="center"/>
        </w:trPr>
        <w:tc>
          <w:tcPr>
            <w:tcW w:w="3386" w:type="dxa"/>
          </w:tcPr>
          <w:p w14:paraId="3A978ACC" w14:textId="77777777" w:rsidR="00CC38F8" w:rsidRPr="00D717E3" w:rsidRDefault="00CC38F8" w:rsidP="00BE6FC1">
            <w:pPr>
              <w:ind w:right="-138"/>
              <w:textAlignment w:val="bottom"/>
              <w:rPr>
                <w:rFonts w:ascii="Arial" w:hAnsi="Arial" w:cs="Arial"/>
                <w:b/>
                <w:sz w:val="20"/>
                <w:szCs w:val="20"/>
                <w:lang w:val="en-GB" w:eastAsia="zh-CN"/>
              </w:rPr>
            </w:pPr>
            <w:r w:rsidRPr="00D717E3">
              <w:rPr>
                <w:rFonts w:ascii="Arial" w:hAnsi="Arial" w:cs="Arial"/>
                <w:b/>
                <w:color w:val="000000"/>
                <w:kern w:val="24"/>
                <w:sz w:val="20"/>
                <w:szCs w:val="20"/>
                <w:lang w:val="en-GB" w:eastAsia="zh-CN"/>
              </w:rPr>
              <w:t>TOTAL LIABILITIES</w:t>
            </w:r>
          </w:p>
        </w:tc>
        <w:tc>
          <w:tcPr>
            <w:tcW w:w="1217" w:type="dxa"/>
          </w:tcPr>
          <w:p w14:paraId="62B47811" w14:textId="77777777" w:rsidR="00CC38F8" w:rsidRPr="00D717E3" w:rsidRDefault="00CC38F8" w:rsidP="0012024C">
            <w:pPr>
              <w:ind w:right="-90"/>
              <w:jc w:val="right"/>
              <w:textAlignment w:val="bottom"/>
              <w:rPr>
                <w:rFonts w:ascii="Arial" w:hAnsi="Arial" w:cs="Arial"/>
                <w:b/>
                <w:sz w:val="20"/>
                <w:szCs w:val="20"/>
                <w:lang w:val="en-GB" w:eastAsia="zh-CN"/>
              </w:rPr>
            </w:pPr>
            <w:r w:rsidRPr="00D717E3">
              <w:rPr>
                <w:rFonts w:ascii="Arial" w:hAnsi="Arial" w:cs="Arial"/>
                <w:b/>
                <w:color w:val="000000"/>
                <w:kern w:val="24"/>
                <w:sz w:val="20"/>
                <w:szCs w:val="20"/>
                <w:lang w:val="en-GB" w:eastAsia="zh-CN"/>
              </w:rPr>
              <w:t>572,517</w:t>
            </w:r>
          </w:p>
        </w:tc>
        <w:tc>
          <w:tcPr>
            <w:tcW w:w="1217" w:type="dxa"/>
          </w:tcPr>
          <w:p w14:paraId="406F1AB6" w14:textId="77777777" w:rsidR="00CC38F8" w:rsidRPr="00D717E3" w:rsidRDefault="00CC38F8" w:rsidP="0012024C">
            <w:pPr>
              <w:ind w:right="-90"/>
              <w:jc w:val="right"/>
              <w:textAlignment w:val="bottom"/>
              <w:rPr>
                <w:rFonts w:ascii="Arial" w:hAnsi="Arial" w:cs="Arial"/>
                <w:b/>
                <w:sz w:val="20"/>
                <w:szCs w:val="20"/>
                <w:lang w:val="en-GB" w:eastAsia="zh-CN"/>
              </w:rPr>
            </w:pPr>
            <w:r w:rsidRPr="00D717E3">
              <w:rPr>
                <w:rFonts w:ascii="Arial" w:hAnsi="Arial" w:cs="Arial"/>
                <w:b/>
                <w:color w:val="000000" w:themeColor="text1"/>
                <w:kern w:val="24"/>
                <w:sz w:val="20"/>
                <w:szCs w:val="20"/>
                <w:lang w:val="en-GB"/>
              </w:rPr>
              <w:t>556,836</w:t>
            </w:r>
          </w:p>
        </w:tc>
        <w:tc>
          <w:tcPr>
            <w:tcW w:w="1257" w:type="dxa"/>
          </w:tcPr>
          <w:p w14:paraId="01609F99" w14:textId="77777777" w:rsidR="00CC38F8" w:rsidRPr="00D717E3" w:rsidRDefault="00CC38F8" w:rsidP="0012024C">
            <w:pPr>
              <w:ind w:right="-90"/>
              <w:jc w:val="right"/>
              <w:textAlignment w:val="bottom"/>
              <w:rPr>
                <w:rFonts w:ascii="Arial" w:hAnsi="Arial" w:cs="Arial"/>
                <w:b/>
                <w:sz w:val="20"/>
                <w:szCs w:val="20"/>
                <w:lang w:val="en-GB" w:eastAsia="zh-CN"/>
              </w:rPr>
            </w:pPr>
            <w:r w:rsidRPr="00D717E3">
              <w:rPr>
                <w:rFonts w:ascii="Arial" w:hAnsi="Arial" w:cs="Arial"/>
                <w:b/>
                <w:color w:val="000000" w:themeColor="text1"/>
                <w:kern w:val="24"/>
                <w:sz w:val="20"/>
                <w:szCs w:val="20"/>
                <w:lang w:val="en-GB"/>
              </w:rPr>
              <w:t>424,401</w:t>
            </w:r>
          </w:p>
        </w:tc>
        <w:tc>
          <w:tcPr>
            <w:tcW w:w="1257" w:type="dxa"/>
          </w:tcPr>
          <w:p w14:paraId="72D75E23" w14:textId="77777777" w:rsidR="00CC38F8" w:rsidRPr="00D717E3" w:rsidRDefault="00CC38F8" w:rsidP="0012024C">
            <w:pPr>
              <w:ind w:right="-90"/>
              <w:jc w:val="right"/>
              <w:textAlignment w:val="bottom"/>
              <w:rPr>
                <w:rFonts w:ascii="Arial" w:hAnsi="Arial" w:cs="Arial"/>
                <w:b/>
                <w:sz w:val="20"/>
                <w:szCs w:val="20"/>
                <w:lang w:val="en-GB" w:eastAsia="zh-CN"/>
              </w:rPr>
            </w:pPr>
            <w:r w:rsidRPr="00D717E3">
              <w:rPr>
                <w:rFonts w:ascii="Arial" w:hAnsi="Arial" w:cs="Arial"/>
                <w:b/>
                <w:color w:val="000000" w:themeColor="text1"/>
                <w:kern w:val="24"/>
                <w:sz w:val="20"/>
                <w:szCs w:val="20"/>
                <w:lang w:val="en-GB"/>
              </w:rPr>
              <w:t>352,436</w:t>
            </w:r>
          </w:p>
        </w:tc>
        <w:tc>
          <w:tcPr>
            <w:tcW w:w="1257" w:type="dxa"/>
          </w:tcPr>
          <w:p w14:paraId="4B434F57" w14:textId="77777777" w:rsidR="00CC38F8" w:rsidRPr="00D717E3" w:rsidRDefault="00CC38F8" w:rsidP="0012024C">
            <w:pPr>
              <w:ind w:right="-90"/>
              <w:jc w:val="right"/>
              <w:textAlignment w:val="bottom"/>
              <w:rPr>
                <w:rFonts w:ascii="Arial" w:hAnsi="Arial" w:cs="Arial"/>
                <w:b/>
                <w:sz w:val="20"/>
                <w:szCs w:val="20"/>
                <w:lang w:val="en-GB" w:eastAsia="zh-CN"/>
              </w:rPr>
            </w:pPr>
            <w:r w:rsidRPr="00D717E3">
              <w:rPr>
                <w:rFonts w:ascii="Arial" w:hAnsi="Arial" w:cs="Arial"/>
                <w:b/>
                <w:color w:val="000000" w:themeColor="text1"/>
                <w:kern w:val="24"/>
                <w:sz w:val="20"/>
                <w:szCs w:val="20"/>
                <w:lang w:val="en-GB"/>
              </w:rPr>
              <w:t>177,376</w:t>
            </w:r>
          </w:p>
        </w:tc>
        <w:tc>
          <w:tcPr>
            <w:tcW w:w="1257" w:type="dxa"/>
          </w:tcPr>
          <w:p w14:paraId="70478DE6" w14:textId="77777777" w:rsidR="00CC38F8" w:rsidRPr="00D717E3" w:rsidRDefault="00CC38F8" w:rsidP="0012024C">
            <w:pPr>
              <w:ind w:right="-90"/>
              <w:jc w:val="right"/>
              <w:textAlignment w:val="bottom"/>
              <w:rPr>
                <w:rFonts w:ascii="Arial" w:hAnsi="Arial" w:cs="Arial"/>
                <w:b/>
                <w:sz w:val="20"/>
                <w:szCs w:val="20"/>
                <w:lang w:val="en-GB" w:eastAsia="zh-CN"/>
              </w:rPr>
            </w:pPr>
            <w:r w:rsidRPr="00D717E3">
              <w:rPr>
                <w:rFonts w:ascii="Arial" w:hAnsi="Arial" w:cs="Arial"/>
                <w:b/>
                <w:color w:val="000000" w:themeColor="text1"/>
                <w:kern w:val="24"/>
                <w:sz w:val="20"/>
                <w:szCs w:val="20"/>
                <w:lang w:val="en-GB"/>
              </w:rPr>
              <w:t>220,358</w:t>
            </w:r>
          </w:p>
        </w:tc>
        <w:tc>
          <w:tcPr>
            <w:tcW w:w="1657" w:type="dxa"/>
          </w:tcPr>
          <w:p w14:paraId="041BB3D5" w14:textId="4396ACF7" w:rsidR="00C37C38" w:rsidRPr="00D717E3" w:rsidRDefault="00CC38F8" w:rsidP="0012024C">
            <w:pPr>
              <w:ind w:right="-90"/>
              <w:jc w:val="right"/>
              <w:textAlignment w:val="bottom"/>
              <w:rPr>
                <w:rFonts w:ascii="Arial" w:hAnsi="Arial" w:cs="Arial"/>
                <w:b/>
                <w:color w:val="000000" w:themeColor="text1"/>
                <w:kern w:val="24"/>
                <w:sz w:val="20"/>
                <w:szCs w:val="20"/>
                <w:lang w:val="en-GB"/>
              </w:rPr>
            </w:pPr>
            <w:r w:rsidRPr="00D717E3">
              <w:rPr>
                <w:rFonts w:ascii="Arial" w:hAnsi="Arial" w:cs="Arial"/>
                <w:b/>
                <w:color w:val="000000" w:themeColor="text1"/>
                <w:kern w:val="24"/>
                <w:sz w:val="20"/>
                <w:szCs w:val="20"/>
                <w:lang w:val="en-GB"/>
              </w:rPr>
              <w:t>187,972</w:t>
            </w:r>
          </w:p>
        </w:tc>
      </w:tr>
      <w:tr w:rsidR="00CC38F8" w:rsidRPr="00D717E3" w14:paraId="43C8D210" w14:textId="77777777" w:rsidTr="00014998">
        <w:trPr>
          <w:jc w:val="center"/>
        </w:trPr>
        <w:tc>
          <w:tcPr>
            <w:tcW w:w="3386" w:type="dxa"/>
          </w:tcPr>
          <w:p w14:paraId="551684B6" w14:textId="77777777" w:rsidR="00CC38F8" w:rsidRPr="00D717E3" w:rsidRDefault="00CC38F8" w:rsidP="00BE6FC1">
            <w:pPr>
              <w:ind w:right="-138"/>
              <w:textAlignment w:val="bottom"/>
              <w:rPr>
                <w:rFonts w:ascii="Arial" w:hAnsi="Arial" w:cs="Arial"/>
                <w:sz w:val="20"/>
                <w:szCs w:val="20"/>
                <w:lang w:val="en-GB" w:eastAsia="zh-CN"/>
              </w:rPr>
            </w:pPr>
            <w:r w:rsidRPr="00D717E3">
              <w:rPr>
                <w:rFonts w:ascii="Arial" w:hAnsi="Arial" w:cs="Arial"/>
                <w:color w:val="000000"/>
                <w:kern w:val="24"/>
                <w:sz w:val="20"/>
                <w:szCs w:val="20"/>
                <w:lang w:val="en-GB" w:eastAsia="zh-CN"/>
              </w:rPr>
              <w:t>Total Preferred Equity</w:t>
            </w:r>
          </w:p>
        </w:tc>
        <w:tc>
          <w:tcPr>
            <w:tcW w:w="1217" w:type="dxa"/>
          </w:tcPr>
          <w:p w14:paraId="5BEE17B4" w14:textId="77777777" w:rsidR="00CC38F8" w:rsidRPr="00D717E3" w:rsidRDefault="00CC38F8" w:rsidP="0012024C">
            <w:pPr>
              <w:ind w:right="-90"/>
              <w:jc w:val="right"/>
              <w:rPr>
                <w:rFonts w:ascii="Arial" w:hAnsi="Arial" w:cs="Arial"/>
                <w:sz w:val="20"/>
                <w:szCs w:val="20"/>
                <w:lang w:val="en-GB" w:eastAsia="zh-CN"/>
              </w:rPr>
            </w:pPr>
          </w:p>
        </w:tc>
        <w:tc>
          <w:tcPr>
            <w:tcW w:w="1217" w:type="dxa"/>
          </w:tcPr>
          <w:p w14:paraId="58102935" w14:textId="77777777" w:rsidR="00CC38F8" w:rsidRPr="00D717E3" w:rsidRDefault="00CC38F8" w:rsidP="0012024C">
            <w:pPr>
              <w:ind w:right="-90"/>
              <w:jc w:val="right"/>
              <w:rPr>
                <w:rFonts w:ascii="Arial" w:hAnsi="Arial" w:cs="Arial"/>
                <w:sz w:val="20"/>
                <w:szCs w:val="20"/>
                <w:lang w:val="en-GB" w:eastAsia="zh-CN"/>
              </w:rPr>
            </w:pPr>
          </w:p>
        </w:tc>
        <w:tc>
          <w:tcPr>
            <w:tcW w:w="1257" w:type="dxa"/>
          </w:tcPr>
          <w:p w14:paraId="7F09C7C4" w14:textId="77777777" w:rsidR="00CC38F8" w:rsidRPr="00D717E3" w:rsidRDefault="00CC38F8" w:rsidP="0012024C">
            <w:pPr>
              <w:ind w:right="-90"/>
              <w:jc w:val="right"/>
              <w:rPr>
                <w:rFonts w:ascii="Arial" w:hAnsi="Arial" w:cs="Arial"/>
                <w:sz w:val="20"/>
                <w:szCs w:val="20"/>
                <w:lang w:val="en-GB" w:eastAsia="zh-CN"/>
              </w:rPr>
            </w:pPr>
          </w:p>
        </w:tc>
        <w:tc>
          <w:tcPr>
            <w:tcW w:w="1257" w:type="dxa"/>
          </w:tcPr>
          <w:p w14:paraId="3541B186" w14:textId="77777777" w:rsidR="00CC38F8" w:rsidRPr="00D717E3" w:rsidRDefault="00CC38F8" w:rsidP="0012024C">
            <w:pPr>
              <w:ind w:right="-90"/>
              <w:jc w:val="right"/>
              <w:rPr>
                <w:rFonts w:ascii="Arial" w:hAnsi="Arial" w:cs="Arial"/>
                <w:sz w:val="20"/>
                <w:szCs w:val="20"/>
                <w:lang w:val="en-GB" w:eastAsia="zh-CN"/>
              </w:rPr>
            </w:pPr>
          </w:p>
        </w:tc>
        <w:tc>
          <w:tcPr>
            <w:tcW w:w="1257" w:type="dxa"/>
          </w:tcPr>
          <w:p w14:paraId="34443D51" w14:textId="77777777" w:rsidR="00CC38F8" w:rsidRPr="00D717E3" w:rsidRDefault="00CC38F8" w:rsidP="0012024C">
            <w:pPr>
              <w:ind w:right="-90"/>
              <w:jc w:val="right"/>
              <w:rPr>
                <w:rFonts w:ascii="Arial" w:hAnsi="Arial" w:cs="Arial"/>
                <w:sz w:val="20"/>
                <w:szCs w:val="20"/>
                <w:lang w:val="en-GB" w:eastAsia="zh-CN"/>
              </w:rPr>
            </w:pPr>
          </w:p>
        </w:tc>
        <w:tc>
          <w:tcPr>
            <w:tcW w:w="1257" w:type="dxa"/>
          </w:tcPr>
          <w:p w14:paraId="38F12BE3" w14:textId="77777777" w:rsidR="00CC38F8" w:rsidRPr="00D717E3" w:rsidRDefault="00CC38F8" w:rsidP="0012024C">
            <w:pPr>
              <w:ind w:right="-90"/>
              <w:jc w:val="right"/>
              <w:rPr>
                <w:rFonts w:ascii="Arial" w:hAnsi="Arial" w:cs="Arial"/>
                <w:sz w:val="20"/>
                <w:szCs w:val="20"/>
                <w:lang w:val="en-GB" w:eastAsia="zh-CN"/>
              </w:rPr>
            </w:pPr>
          </w:p>
        </w:tc>
        <w:tc>
          <w:tcPr>
            <w:tcW w:w="1657" w:type="dxa"/>
          </w:tcPr>
          <w:p w14:paraId="172D66AE" w14:textId="77777777" w:rsidR="00CC38F8" w:rsidRPr="00D717E3" w:rsidRDefault="00CC38F8" w:rsidP="0012024C">
            <w:pPr>
              <w:ind w:right="-90"/>
              <w:jc w:val="right"/>
              <w:rPr>
                <w:rFonts w:ascii="Arial" w:hAnsi="Arial" w:cs="Arial"/>
                <w:sz w:val="20"/>
                <w:szCs w:val="20"/>
                <w:lang w:val="en-GB" w:eastAsia="zh-CN"/>
              </w:rPr>
            </w:pPr>
          </w:p>
        </w:tc>
      </w:tr>
      <w:tr w:rsidR="00CC38F8" w:rsidRPr="00D717E3" w14:paraId="52868DC1" w14:textId="77777777" w:rsidTr="00014998">
        <w:trPr>
          <w:jc w:val="center"/>
        </w:trPr>
        <w:tc>
          <w:tcPr>
            <w:tcW w:w="3386" w:type="dxa"/>
          </w:tcPr>
          <w:p w14:paraId="0A2F9A24" w14:textId="77777777" w:rsidR="00CC38F8" w:rsidRPr="00D717E3" w:rsidRDefault="00CC38F8" w:rsidP="00BE6FC1">
            <w:pPr>
              <w:ind w:right="-138"/>
              <w:textAlignment w:val="bottom"/>
              <w:rPr>
                <w:rFonts w:ascii="Arial" w:hAnsi="Arial" w:cs="Arial"/>
                <w:sz w:val="20"/>
                <w:szCs w:val="20"/>
                <w:lang w:val="en-GB" w:eastAsia="zh-CN"/>
              </w:rPr>
            </w:pPr>
            <w:r w:rsidRPr="00D717E3">
              <w:rPr>
                <w:rFonts w:ascii="Arial" w:hAnsi="Arial" w:cs="Arial"/>
                <w:color w:val="000000"/>
                <w:kern w:val="24"/>
                <w:sz w:val="20"/>
                <w:szCs w:val="20"/>
                <w:lang w:val="en-GB" w:eastAsia="zh-CN"/>
              </w:rPr>
              <w:t>Minority Interest</w:t>
            </w:r>
          </w:p>
        </w:tc>
        <w:tc>
          <w:tcPr>
            <w:tcW w:w="1217" w:type="dxa"/>
          </w:tcPr>
          <w:p w14:paraId="5F3900E3" w14:textId="77777777" w:rsidR="00CC38F8" w:rsidRPr="00D717E3" w:rsidRDefault="00CC38F8" w:rsidP="0012024C">
            <w:pPr>
              <w:ind w:right="-90"/>
              <w:jc w:val="right"/>
              <w:textAlignment w:val="bottom"/>
              <w:rPr>
                <w:rFonts w:ascii="Arial" w:hAnsi="Arial" w:cs="Arial"/>
                <w:sz w:val="20"/>
                <w:szCs w:val="20"/>
                <w:lang w:val="en-GB" w:eastAsia="zh-CN"/>
              </w:rPr>
            </w:pPr>
            <w:r w:rsidRPr="00D717E3">
              <w:rPr>
                <w:rFonts w:ascii="Arial" w:hAnsi="Arial" w:cs="Arial"/>
                <w:color w:val="000000"/>
                <w:kern w:val="24"/>
                <w:sz w:val="20"/>
                <w:szCs w:val="20"/>
                <w:lang w:val="en-GB" w:eastAsia="zh-CN"/>
              </w:rPr>
              <w:t>98</w:t>
            </w:r>
          </w:p>
        </w:tc>
        <w:tc>
          <w:tcPr>
            <w:tcW w:w="1217" w:type="dxa"/>
          </w:tcPr>
          <w:p w14:paraId="28E3EBF1" w14:textId="77777777" w:rsidR="00CC38F8" w:rsidRPr="00D717E3" w:rsidRDefault="00CC38F8" w:rsidP="0012024C">
            <w:pPr>
              <w:ind w:right="-90"/>
              <w:jc w:val="right"/>
              <w:textAlignment w:val="bottom"/>
              <w:rPr>
                <w:rFonts w:ascii="Arial" w:hAnsi="Arial" w:cs="Arial"/>
                <w:sz w:val="20"/>
                <w:szCs w:val="20"/>
                <w:lang w:val="en-GB" w:eastAsia="zh-CN"/>
              </w:rPr>
            </w:pPr>
            <w:r w:rsidRPr="00D717E3">
              <w:rPr>
                <w:rFonts w:ascii="Arial" w:hAnsi="Arial" w:cs="Arial"/>
                <w:color w:val="000000" w:themeColor="text1"/>
                <w:kern w:val="24"/>
                <w:sz w:val="20"/>
                <w:szCs w:val="20"/>
                <w:lang w:val="en-GB"/>
              </w:rPr>
              <w:t>25</w:t>
            </w:r>
          </w:p>
        </w:tc>
        <w:tc>
          <w:tcPr>
            <w:tcW w:w="1257" w:type="dxa"/>
          </w:tcPr>
          <w:p w14:paraId="4ADF5078" w14:textId="77777777" w:rsidR="00CC38F8" w:rsidRPr="00D717E3" w:rsidRDefault="00CC38F8" w:rsidP="0012024C">
            <w:pPr>
              <w:ind w:right="-90"/>
              <w:jc w:val="right"/>
              <w:textAlignment w:val="bottom"/>
              <w:rPr>
                <w:rFonts w:ascii="Arial" w:hAnsi="Arial" w:cs="Arial"/>
                <w:sz w:val="20"/>
                <w:szCs w:val="20"/>
                <w:lang w:val="en-GB" w:eastAsia="zh-CN"/>
              </w:rPr>
            </w:pPr>
            <w:r w:rsidRPr="00D717E3">
              <w:rPr>
                <w:rFonts w:ascii="Arial" w:hAnsi="Arial" w:cs="Arial"/>
                <w:color w:val="000000" w:themeColor="text1"/>
                <w:kern w:val="24"/>
                <w:sz w:val="20"/>
                <w:szCs w:val="20"/>
                <w:lang w:val="en-GB"/>
              </w:rPr>
              <w:t>174</w:t>
            </w:r>
          </w:p>
        </w:tc>
        <w:tc>
          <w:tcPr>
            <w:tcW w:w="1257" w:type="dxa"/>
          </w:tcPr>
          <w:p w14:paraId="741EF637" w14:textId="77777777" w:rsidR="00CC38F8" w:rsidRPr="00D717E3" w:rsidRDefault="00CC38F8" w:rsidP="0012024C">
            <w:pPr>
              <w:ind w:right="-90"/>
              <w:jc w:val="right"/>
              <w:textAlignment w:val="bottom"/>
              <w:rPr>
                <w:rFonts w:ascii="Arial" w:hAnsi="Arial" w:cs="Arial"/>
                <w:sz w:val="20"/>
                <w:szCs w:val="20"/>
                <w:lang w:val="en-GB" w:eastAsia="zh-CN"/>
              </w:rPr>
            </w:pPr>
            <w:r w:rsidRPr="00D717E3">
              <w:rPr>
                <w:rFonts w:ascii="Arial" w:hAnsi="Arial" w:cs="Arial"/>
                <w:color w:val="000000" w:themeColor="text1"/>
                <w:kern w:val="24"/>
                <w:sz w:val="20"/>
                <w:szCs w:val="20"/>
                <w:lang w:val="en-GB"/>
              </w:rPr>
              <w:t>224</w:t>
            </w:r>
          </w:p>
        </w:tc>
        <w:tc>
          <w:tcPr>
            <w:tcW w:w="1257" w:type="dxa"/>
          </w:tcPr>
          <w:p w14:paraId="62D88806" w14:textId="77777777" w:rsidR="00CC38F8" w:rsidRPr="00D717E3" w:rsidRDefault="00CC38F8" w:rsidP="0012024C">
            <w:pPr>
              <w:ind w:right="-90"/>
              <w:jc w:val="right"/>
              <w:textAlignment w:val="bottom"/>
              <w:rPr>
                <w:rFonts w:ascii="Arial" w:hAnsi="Arial" w:cs="Arial"/>
                <w:sz w:val="20"/>
                <w:szCs w:val="20"/>
                <w:lang w:val="en-GB" w:eastAsia="zh-CN"/>
              </w:rPr>
            </w:pPr>
            <w:r w:rsidRPr="00D717E3">
              <w:rPr>
                <w:rFonts w:ascii="Arial" w:hAnsi="Arial" w:cs="Arial"/>
                <w:color w:val="000000" w:themeColor="text1"/>
                <w:kern w:val="24"/>
                <w:sz w:val="20"/>
                <w:szCs w:val="20"/>
                <w:lang w:val="en-GB"/>
              </w:rPr>
              <w:t>81</w:t>
            </w:r>
          </w:p>
        </w:tc>
        <w:tc>
          <w:tcPr>
            <w:tcW w:w="1257" w:type="dxa"/>
          </w:tcPr>
          <w:p w14:paraId="27E74BB0" w14:textId="77777777" w:rsidR="00CC38F8" w:rsidRPr="00D717E3" w:rsidRDefault="00CC38F8" w:rsidP="0012024C">
            <w:pPr>
              <w:ind w:right="-90"/>
              <w:jc w:val="right"/>
              <w:textAlignment w:val="bottom"/>
              <w:rPr>
                <w:rFonts w:ascii="Arial" w:hAnsi="Arial" w:cs="Arial"/>
                <w:sz w:val="20"/>
                <w:szCs w:val="20"/>
                <w:lang w:val="en-GB" w:eastAsia="zh-CN"/>
              </w:rPr>
            </w:pPr>
            <w:r w:rsidRPr="00D717E3">
              <w:rPr>
                <w:rFonts w:ascii="Arial" w:hAnsi="Arial" w:cs="Arial"/>
                <w:color w:val="000000" w:themeColor="text1"/>
                <w:kern w:val="24"/>
                <w:sz w:val="20"/>
                <w:szCs w:val="20"/>
                <w:lang w:val="en-GB"/>
              </w:rPr>
              <w:t>131</w:t>
            </w:r>
          </w:p>
        </w:tc>
        <w:tc>
          <w:tcPr>
            <w:tcW w:w="1657" w:type="dxa"/>
          </w:tcPr>
          <w:p w14:paraId="6F4F5BED" w14:textId="77777777" w:rsidR="00CC38F8" w:rsidRPr="00D717E3" w:rsidRDefault="00CC38F8" w:rsidP="0012024C">
            <w:pPr>
              <w:ind w:right="-90"/>
              <w:jc w:val="right"/>
              <w:textAlignment w:val="bottom"/>
              <w:rPr>
                <w:rFonts w:ascii="Arial" w:hAnsi="Arial" w:cs="Arial"/>
                <w:sz w:val="20"/>
                <w:szCs w:val="20"/>
                <w:lang w:val="en-GB" w:eastAsia="zh-CN"/>
              </w:rPr>
            </w:pPr>
            <w:r w:rsidRPr="00D717E3">
              <w:rPr>
                <w:rFonts w:ascii="Arial" w:hAnsi="Arial" w:cs="Arial"/>
                <w:color w:val="000000" w:themeColor="text1"/>
                <w:kern w:val="24"/>
                <w:sz w:val="20"/>
                <w:szCs w:val="20"/>
                <w:lang w:val="en-GB"/>
              </w:rPr>
              <w:t>157</w:t>
            </w:r>
          </w:p>
        </w:tc>
      </w:tr>
      <w:tr w:rsidR="00CC38F8" w:rsidRPr="00D717E3" w14:paraId="0F2CC3E5" w14:textId="77777777" w:rsidTr="00014998">
        <w:trPr>
          <w:jc w:val="center"/>
        </w:trPr>
        <w:tc>
          <w:tcPr>
            <w:tcW w:w="3386" w:type="dxa"/>
          </w:tcPr>
          <w:p w14:paraId="0EF90C4B" w14:textId="77777777" w:rsidR="00CC38F8" w:rsidRPr="00D717E3" w:rsidRDefault="00CC38F8" w:rsidP="00BE6FC1">
            <w:pPr>
              <w:ind w:right="-138"/>
              <w:textAlignment w:val="bottom"/>
              <w:rPr>
                <w:rFonts w:ascii="Arial" w:hAnsi="Arial" w:cs="Arial"/>
                <w:sz w:val="20"/>
                <w:szCs w:val="20"/>
                <w:lang w:val="en-GB" w:eastAsia="zh-CN"/>
              </w:rPr>
            </w:pPr>
            <w:r w:rsidRPr="00D717E3">
              <w:rPr>
                <w:rFonts w:ascii="Arial" w:hAnsi="Arial" w:cs="Arial"/>
                <w:color w:val="000000"/>
                <w:kern w:val="24"/>
                <w:sz w:val="20"/>
                <w:szCs w:val="20"/>
                <w:lang w:val="en-GB" w:eastAsia="zh-CN"/>
              </w:rPr>
              <w:t>Share Capital &amp; APIC</w:t>
            </w:r>
          </w:p>
        </w:tc>
        <w:tc>
          <w:tcPr>
            <w:tcW w:w="1217" w:type="dxa"/>
          </w:tcPr>
          <w:p w14:paraId="0359514C" w14:textId="77777777" w:rsidR="00CC38F8" w:rsidRPr="00D717E3" w:rsidRDefault="00CC38F8" w:rsidP="0012024C">
            <w:pPr>
              <w:ind w:right="-90"/>
              <w:jc w:val="right"/>
              <w:textAlignment w:val="bottom"/>
              <w:rPr>
                <w:rFonts w:ascii="Arial" w:hAnsi="Arial" w:cs="Arial"/>
                <w:sz w:val="20"/>
                <w:szCs w:val="20"/>
                <w:lang w:val="en-GB" w:eastAsia="zh-CN"/>
              </w:rPr>
            </w:pPr>
            <w:r w:rsidRPr="00D717E3">
              <w:rPr>
                <w:rFonts w:ascii="Arial" w:hAnsi="Arial" w:cs="Arial"/>
                <w:color w:val="000000"/>
                <w:kern w:val="24"/>
                <w:sz w:val="20"/>
                <w:szCs w:val="20"/>
                <w:lang w:val="en-GB" w:eastAsia="zh-CN"/>
              </w:rPr>
              <w:t>21,705</w:t>
            </w:r>
          </w:p>
        </w:tc>
        <w:tc>
          <w:tcPr>
            <w:tcW w:w="1217" w:type="dxa"/>
          </w:tcPr>
          <w:p w14:paraId="14907EFE" w14:textId="77777777" w:rsidR="00CC38F8" w:rsidRPr="00D717E3" w:rsidRDefault="00CC38F8" w:rsidP="0012024C">
            <w:pPr>
              <w:ind w:right="-90"/>
              <w:jc w:val="right"/>
              <w:textAlignment w:val="bottom"/>
              <w:rPr>
                <w:rFonts w:ascii="Arial" w:hAnsi="Arial" w:cs="Arial"/>
                <w:sz w:val="20"/>
                <w:szCs w:val="20"/>
                <w:lang w:val="en-GB" w:eastAsia="zh-CN"/>
              </w:rPr>
            </w:pPr>
            <w:r w:rsidRPr="00D717E3">
              <w:rPr>
                <w:rFonts w:ascii="Arial" w:hAnsi="Arial" w:cs="Arial"/>
                <w:color w:val="000000" w:themeColor="text1"/>
                <w:kern w:val="24"/>
                <w:sz w:val="20"/>
                <w:szCs w:val="20"/>
                <w:lang w:val="en-GB"/>
              </w:rPr>
              <w:t>21,791</w:t>
            </w:r>
          </w:p>
        </w:tc>
        <w:tc>
          <w:tcPr>
            <w:tcW w:w="1257" w:type="dxa"/>
          </w:tcPr>
          <w:p w14:paraId="06649A76" w14:textId="77777777" w:rsidR="00CC38F8" w:rsidRPr="00D717E3" w:rsidRDefault="00CC38F8" w:rsidP="0012024C">
            <w:pPr>
              <w:ind w:right="-90"/>
              <w:jc w:val="right"/>
              <w:textAlignment w:val="bottom"/>
              <w:rPr>
                <w:rFonts w:ascii="Arial" w:hAnsi="Arial" w:cs="Arial"/>
                <w:sz w:val="20"/>
                <w:szCs w:val="20"/>
                <w:lang w:val="en-GB" w:eastAsia="zh-CN"/>
              </w:rPr>
            </w:pPr>
            <w:r w:rsidRPr="00D717E3">
              <w:rPr>
                <w:rFonts w:ascii="Arial" w:hAnsi="Arial" w:cs="Arial"/>
                <w:color w:val="000000" w:themeColor="text1"/>
                <w:kern w:val="24"/>
                <w:sz w:val="20"/>
                <w:szCs w:val="20"/>
                <w:lang w:val="en-GB"/>
              </w:rPr>
              <w:t>21,798</w:t>
            </w:r>
          </w:p>
        </w:tc>
        <w:tc>
          <w:tcPr>
            <w:tcW w:w="1257" w:type="dxa"/>
          </w:tcPr>
          <w:p w14:paraId="5C865F95" w14:textId="77777777" w:rsidR="00CC38F8" w:rsidRPr="00D717E3" w:rsidRDefault="00CC38F8" w:rsidP="0012024C">
            <w:pPr>
              <w:ind w:right="-90"/>
              <w:jc w:val="right"/>
              <w:textAlignment w:val="bottom"/>
              <w:rPr>
                <w:rFonts w:ascii="Arial" w:hAnsi="Arial" w:cs="Arial"/>
                <w:sz w:val="20"/>
                <w:szCs w:val="20"/>
                <w:lang w:val="en-GB" w:eastAsia="zh-CN"/>
              </w:rPr>
            </w:pPr>
            <w:r w:rsidRPr="00D717E3">
              <w:rPr>
                <w:rFonts w:ascii="Arial" w:hAnsi="Arial" w:cs="Arial"/>
                <w:color w:val="000000" w:themeColor="text1"/>
                <w:kern w:val="24"/>
                <w:sz w:val="20"/>
                <w:szCs w:val="20"/>
                <w:lang w:val="en-GB"/>
              </w:rPr>
              <w:t>21,799</w:t>
            </w:r>
          </w:p>
        </w:tc>
        <w:tc>
          <w:tcPr>
            <w:tcW w:w="1257" w:type="dxa"/>
          </w:tcPr>
          <w:p w14:paraId="2A0DB23E" w14:textId="77777777" w:rsidR="00CC38F8" w:rsidRPr="00D717E3" w:rsidRDefault="00CC38F8" w:rsidP="0012024C">
            <w:pPr>
              <w:ind w:right="-90"/>
              <w:jc w:val="right"/>
              <w:textAlignment w:val="bottom"/>
              <w:rPr>
                <w:rFonts w:ascii="Arial" w:hAnsi="Arial" w:cs="Arial"/>
                <w:sz w:val="20"/>
                <w:szCs w:val="20"/>
                <w:lang w:val="en-GB" w:eastAsia="zh-CN"/>
              </w:rPr>
            </w:pPr>
            <w:r w:rsidRPr="00D717E3">
              <w:rPr>
                <w:rFonts w:ascii="Arial" w:hAnsi="Arial" w:cs="Arial"/>
                <w:color w:val="000000" w:themeColor="text1"/>
                <w:kern w:val="24"/>
                <w:sz w:val="20"/>
                <w:szCs w:val="20"/>
                <w:lang w:val="en-GB"/>
              </w:rPr>
              <w:t>21,799</w:t>
            </w:r>
          </w:p>
        </w:tc>
        <w:tc>
          <w:tcPr>
            <w:tcW w:w="1257" w:type="dxa"/>
          </w:tcPr>
          <w:p w14:paraId="6A7BC991" w14:textId="77777777" w:rsidR="00CC38F8" w:rsidRPr="00D717E3" w:rsidRDefault="00CC38F8" w:rsidP="0012024C">
            <w:pPr>
              <w:ind w:right="-90"/>
              <w:jc w:val="right"/>
              <w:textAlignment w:val="bottom"/>
              <w:rPr>
                <w:rFonts w:ascii="Arial" w:hAnsi="Arial" w:cs="Arial"/>
                <w:sz w:val="20"/>
                <w:szCs w:val="20"/>
                <w:lang w:val="en-GB" w:eastAsia="zh-CN"/>
              </w:rPr>
            </w:pPr>
            <w:r w:rsidRPr="00D717E3">
              <w:rPr>
                <w:rFonts w:ascii="Arial" w:hAnsi="Arial" w:cs="Arial"/>
                <w:color w:val="000000" w:themeColor="text1"/>
                <w:kern w:val="24"/>
                <w:sz w:val="20"/>
                <w:szCs w:val="20"/>
                <w:lang w:val="en-GB"/>
              </w:rPr>
              <w:t>21,799</w:t>
            </w:r>
          </w:p>
        </w:tc>
        <w:tc>
          <w:tcPr>
            <w:tcW w:w="1657" w:type="dxa"/>
          </w:tcPr>
          <w:p w14:paraId="29F09FBC" w14:textId="77777777" w:rsidR="00CC38F8" w:rsidRPr="00D717E3" w:rsidRDefault="00CC38F8" w:rsidP="0012024C">
            <w:pPr>
              <w:ind w:right="-90"/>
              <w:jc w:val="right"/>
              <w:textAlignment w:val="bottom"/>
              <w:rPr>
                <w:rFonts w:ascii="Arial" w:hAnsi="Arial" w:cs="Arial"/>
                <w:sz w:val="20"/>
                <w:szCs w:val="20"/>
                <w:lang w:val="en-GB" w:eastAsia="zh-CN"/>
              </w:rPr>
            </w:pPr>
            <w:r w:rsidRPr="00D717E3">
              <w:rPr>
                <w:rFonts w:ascii="Arial" w:hAnsi="Arial" w:cs="Arial"/>
                <w:color w:val="000000" w:themeColor="text1"/>
                <w:kern w:val="24"/>
                <w:sz w:val="20"/>
                <w:szCs w:val="20"/>
                <w:lang w:val="en-GB"/>
              </w:rPr>
              <w:t>21,799</w:t>
            </w:r>
          </w:p>
        </w:tc>
      </w:tr>
      <w:tr w:rsidR="00CC38F8" w:rsidRPr="00D717E3" w14:paraId="2A10697D" w14:textId="77777777" w:rsidTr="00014998">
        <w:trPr>
          <w:jc w:val="center"/>
        </w:trPr>
        <w:tc>
          <w:tcPr>
            <w:tcW w:w="3386" w:type="dxa"/>
          </w:tcPr>
          <w:p w14:paraId="4363DE71" w14:textId="77777777" w:rsidR="00CC38F8" w:rsidRPr="00D717E3" w:rsidRDefault="00CC38F8" w:rsidP="00BE6FC1">
            <w:pPr>
              <w:ind w:right="-138"/>
              <w:textAlignment w:val="bottom"/>
              <w:rPr>
                <w:rFonts w:ascii="Arial" w:hAnsi="Arial" w:cs="Arial"/>
                <w:sz w:val="20"/>
                <w:szCs w:val="20"/>
                <w:lang w:val="en-GB" w:eastAsia="zh-CN"/>
              </w:rPr>
            </w:pPr>
            <w:r w:rsidRPr="00D717E3">
              <w:rPr>
                <w:rFonts w:ascii="Arial" w:hAnsi="Arial" w:cs="Arial"/>
                <w:color w:val="000000"/>
                <w:kern w:val="24"/>
                <w:sz w:val="20"/>
                <w:szCs w:val="20"/>
                <w:lang w:val="en-GB" w:eastAsia="zh-CN"/>
              </w:rPr>
              <w:t>Retained Earnings</w:t>
            </w:r>
          </w:p>
        </w:tc>
        <w:tc>
          <w:tcPr>
            <w:tcW w:w="1217" w:type="dxa"/>
          </w:tcPr>
          <w:p w14:paraId="69595C01" w14:textId="77777777" w:rsidR="00CC38F8" w:rsidRPr="00D717E3" w:rsidRDefault="00CC38F8" w:rsidP="0012024C">
            <w:pPr>
              <w:ind w:right="-90"/>
              <w:jc w:val="right"/>
              <w:textAlignment w:val="bottom"/>
              <w:rPr>
                <w:rFonts w:ascii="Arial" w:hAnsi="Arial" w:cs="Arial"/>
                <w:sz w:val="20"/>
                <w:szCs w:val="20"/>
                <w:lang w:val="en-GB" w:eastAsia="zh-CN"/>
              </w:rPr>
            </w:pPr>
            <w:r w:rsidRPr="00D717E3">
              <w:rPr>
                <w:rFonts w:ascii="Arial" w:hAnsi="Arial" w:cs="Arial"/>
                <w:color w:val="000000"/>
                <w:kern w:val="24"/>
                <w:sz w:val="20"/>
                <w:szCs w:val="20"/>
                <w:lang w:val="en-GB" w:eastAsia="zh-CN"/>
              </w:rPr>
              <w:t>1,208,170</w:t>
            </w:r>
          </w:p>
        </w:tc>
        <w:tc>
          <w:tcPr>
            <w:tcW w:w="1217" w:type="dxa"/>
          </w:tcPr>
          <w:p w14:paraId="242B9318" w14:textId="77777777" w:rsidR="00CC38F8" w:rsidRPr="00D717E3" w:rsidRDefault="00CC38F8" w:rsidP="0012024C">
            <w:pPr>
              <w:ind w:right="-90"/>
              <w:jc w:val="right"/>
              <w:textAlignment w:val="bottom"/>
              <w:rPr>
                <w:rFonts w:ascii="Arial" w:hAnsi="Arial" w:cs="Arial"/>
                <w:sz w:val="20"/>
                <w:szCs w:val="20"/>
                <w:lang w:val="en-GB" w:eastAsia="zh-CN"/>
              </w:rPr>
            </w:pPr>
            <w:r w:rsidRPr="00D717E3">
              <w:rPr>
                <w:rFonts w:ascii="Arial" w:hAnsi="Arial" w:cs="Arial"/>
                <w:color w:val="000000" w:themeColor="text1"/>
                <w:kern w:val="24"/>
                <w:sz w:val="20"/>
                <w:szCs w:val="20"/>
                <w:lang w:val="en-GB"/>
              </w:rPr>
              <w:t>1,232,115</w:t>
            </w:r>
          </w:p>
        </w:tc>
        <w:tc>
          <w:tcPr>
            <w:tcW w:w="1257" w:type="dxa"/>
          </w:tcPr>
          <w:p w14:paraId="36B6B571" w14:textId="77777777" w:rsidR="00CC38F8" w:rsidRPr="00D717E3" w:rsidRDefault="00CC38F8" w:rsidP="0012024C">
            <w:pPr>
              <w:ind w:right="-90"/>
              <w:jc w:val="right"/>
              <w:textAlignment w:val="bottom"/>
              <w:rPr>
                <w:rFonts w:ascii="Arial" w:hAnsi="Arial" w:cs="Arial"/>
                <w:sz w:val="20"/>
                <w:szCs w:val="20"/>
                <w:lang w:val="en-GB" w:eastAsia="zh-CN"/>
              </w:rPr>
            </w:pPr>
            <w:r w:rsidRPr="00D717E3">
              <w:rPr>
                <w:rFonts w:ascii="Arial" w:hAnsi="Arial" w:cs="Arial"/>
                <w:color w:val="000000" w:themeColor="text1"/>
                <w:kern w:val="24"/>
                <w:sz w:val="20"/>
                <w:szCs w:val="20"/>
                <w:lang w:val="en-GB"/>
              </w:rPr>
              <w:t>1,314,613</w:t>
            </w:r>
          </w:p>
        </w:tc>
        <w:tc>
          <w:tcPr>
            <w:tcW w:w="1257" w:type="dxa"/>
          </w:tcPr>
          <w:p w14:paraId="1A5B92F5" w14:textId="77777777" w:rsidR="00CC38F8" w:rsidRPr="00D717E3" w:rsidRDefault="00CC38F8" w:rsidP="0012024C">
            <w:pPr>
              <w:ind w:right="-90"/>
              <w:jc w:val="right"/>
              <w:textAlignment w:val="bottom"/>
              <w:rPr>
                <w:rFonts w:ascii="Arial" w:hAnsi="Arial" w:cs="Arial"/>
                <w:sz w:val="20"/>
                <w:szCs w:val="20"/>
                <w:lang w:val="en-GB" w:eastAsia="zh-CN"/>
              </w:rPr>
            </w:pPr>
            <w:r w:rsidRPr="00D717E3">
              <w:rPr>
                <w:rFonts w:ascii="Arial" w:hAnsi="Arial" w:cs="Arial"/>
                <w:color w:val="000000" w:themeColor="text1"/>
                <w:kern w:val="24"/>
                <w:sz w:val="20"/>
                <w:szCs w:val="20"/>
                <w:lang w:val="en-GB"/>
              </w:rPr>
              <w:t>1,259,838</w:t>
            </w:r>
          </w:p>
        </w:tc>
        <w:tc>
          <w:tcPr>
            <w:tcW w:w="1257" w:type="dxa"/>
          </w:tcPr>
          <w:p w14:paraId="462191DA" w14:textId="77777777" w:rsidR="00CC38F8" w:rsidRPr="00D717E3" w:rsidRDefault="00CC38F8" w:rsidP="0012024C">
            <w:pPr>
              <w:ind w:right="-90"/>
              <w:jc w:val="right"/>
              <w:textAlignment w:val="bottom"/>
              <w:rPr>
                <w:rFonts w:ascii="Arial" w:hAnsi="Arial" w:cs="Arial"/>
                <w:sz w:val="20"/>
                <w:szCs w:val="20"/>
                <w:lang w:val="en-GB" w:eastAsia="zh-CN"/>
              </w:rPr>
            </w:pPr>
            <w:r w:rsidRPr="00D717E3">
              <w:rPr>
                <w:rFonts w:ascii="Arial" w:hAnsi="Arial" w:cs="Arial"/>
                <w:color w:val="000000" w:themeColor="text1"/>
                <w:kern w:val="24"/>
                <w:sz w:val="20"/>
                <w:szCs w:val="20"/>
                <w:lang w:val="en-GB"/>
              </w:rPr>
              <w:t>1,169,145</w:t>
            </w:r>
          </w:p>
        </w:tc>
        <w:tc>
          <w:tcPr>
            <w:tcW w:w="1257" w:type="dxa"/>
          </w:tcPr>
          <w:p w14:paraId="10E531AA" w14:textId="77777777" w:rsidR="00CC38F8" w:rsidRPr="00D717E3" w:rsidRDefault="00CC38F8" w:rsidP="0012024C">
            <w:pPr>
              <w:ind w:right="-90"/>
              <w:jc w:val="right"/>
              <w:textAlignment w:val="bottom"/>
              <w:rPr>
                <w:rFonts w:ascii="Arial" w:hAnsi="Arial" w:cs="Arial"/>
                <w:sz w:val="20"/>
                <w:szCs w:val="20"/>
                <w:lang w:val="en-GB" w:eastAsia="zh-CN"/>
              </w:rPr>
            </w:pPr>
            <w:r w:rsidRPr="00D717E3">
              <w:rPr>
                <w:rFonts w:ascii="Arial" w:hAnsi="Arial" w:cs="Arial"/>
                <w:color w:val="000000" w:themeColor="text1"/>
                <w:kern w:val="24"/>
                <w:sz w:val="20"/>
                <w:szCs w:val="20"/>
                <w:lang w:val="en-GB"/>
              </w:rPr>
              <w:t>1,205,590</w:t>
            </w:r>
          </w:p>
        </w:tc>
        <w:tc>
          <w:tcPr>
            <w:tcW w:w="1657" w:type="dxa"/>
          </w:tcPr>
          <w:p w14:paraId="43AEF597" w14:textId="77777777" w:rsidR="00CC38F8" w:rsidRPr="00D717E3" w:rsidRDefault="00CC38F8" w:rsidP="0012024C">
            <w:pPr>
              <w:ind w:right="-90"/>
              <w:jc w:val="right"/>
              <w:textAlignment w:val="bottom"/>
              <w:rPr>
                <w:rFonts w:ascii="Arial" w:hAnsi="Arial" w:cs="Arial"/>
                <w:sz w:val="20"/>
                <w:szCs w:val="20"/>
                <w:lang w:val="en-GB" w:eastAsia="zh-CN"/>
              </w:rPr>
            </w:pPr>
            <w:r w:rsidRPr="00D717E3">
              <w:rPr>
                <w:rFonts w:ascii="Arial" w:hAnsi="Arial" w:cs="Arial"/>
                <w:color w:val="000000" w:themeColor="text1"/>
                <w:kern w:val="24"/>
                <w:sz w:val="20"/>
                <w:szCs w:val="20"/>
                <w:lang w:val="en-GB"/>
              </w:rPr>
              <w:t>1,096,482</w:t>
            </w:r>
          </w:p>
        </w:tc>
      </w:tr>
      <w:tr w:rsidR="00CC38F8" w:rsidRPr="00D717E3" w14:paraId="0CAF06CC" w14:textId="77777777" w:rsidTr="00014998">
        <w:trPr>
          <w:jc w:val="center"/>
        </w:trPr>
        <w:tc>
          <w:tcPr>
            <w:tcW w:w="3386" w:type="dxa"/>
          </w:tcPr>
          <w:p w14:paraId="52ABACC3" w14:textId="77777777" w:rsidR="00CC38F8" w:rsidRPr="00D717E3" w:rsidRDefault="00CC38F8" w:rsidP="00BE6FC1">
            <w:pPr>
              <w:ind w:right="-138"/>
              <w:textAlignment w:val="bottom"/>
              <w:rPr>
                <w:rFonts w:ascii="Arial" w:hAnsi="Arial" w:cs="Arial"/>
                <w:b/>
                <w:sz w:val="20"/>
                <w:szCs w:val="20"/>
                <w:lang w:val="en-GB" w:eastAsia="zh-CN"/>
              </w:rPr>
            </w:pPr>
            <w:r w:rsidRPr="00D717E3">
              <w:rPr>
                <w:rFonts w:ascii="Arial" w:hAnsi="Arial" w:cs="Arial"/>
                <w:b/>
                <w:color w:val="000000"/>
                <w:kern w:val="24"/>
                <w:sz w:val="20"/>
                <w:szCs w:val="20"/>
                <w:lang w:val="en-GB" w:eastAsia="zh-CN"/>
              </w:rPr>
              <w:t>TOTAL EQUITY</w:t>
            </w:r>
          </w:p>
        </w:tc>
        <w:tc>
          <w:tcPr>
            <w:tcW w:w="1217" w:type="dxa"/>
          </w:tcPr>
          <w:p w14:paraId="1F0F9234" w14:textId="77777777" w:rsidR="00CC38F8" w:rsidRPr="00D717E3" w:rsidRDefault="00CC38F8" w:rsidP="0012024C">
            <w:pPr>
              <w:ind w:right="-90"/>
              <w:jc w:val="right"/>
              <w:textAlignment w:val="bottom"/>
              <w:rPr>
                <w:rFonts w:ascii="Arial" w:hAnsi="Arial" w:cs="Arial"/>
                <w:b/>
                <w:sz w:val="20"/>
                <w:szCs w:val="20"/>
                <w:lang w:val="en-GB" w:eastAsia="zh-CN"/>
              </w:rPr>
            </w:pPr>
            <w:r w:rsidRPr="00D717E3">
              <w:rPr>
                <w:rFonts w:ascii="Arial" w:hAnsi="Arial" w:cs="Arial"/>
                <w:b/>
                <w:color w:val="000000"/>
                <w:kern w:val="24"/>
                <w:sz w:val="20"/>
                <w:szCs w:val="20"/>
                <w:lang w:val="en-GB" w:eastAsia="zh-CN"/>
              </w:rPr>
              <w:t>1,229,973</w:t>
            </w:r>
          </w:p>
        </w:tc>
        <w:tc>
          <w:tcPr>
            <w:tcW w:w="1217" w:type="dxa"/>
          </w:tcPr>
          <w:p w14:paraId="336894CE" w14:textId="77777777" w:rsidR="00CC38F8" w:rsidRPr="00D717E3" w:rsidRDefault="00CC38F8" w:rsidP="0012024C">
            <w:pPr>
              <w:ind w:right="-90"/>
              <w:jc w:val="right"/>
              <w:textAlignment w:val="bottom"/>
              <w:rPr>
                <w:rFonts w:ascii="Arial" w:hAnsi="Arial" w:cs="Arial"/>
                <w:b/>
                <w:sz w:val="20"/>
                <w:szCs w:val="20"/>
                <w:lang w:val="en-GB" w:eastAsia="zh-CN"/>
              </w:rPr>
            </w:pPr>
            <w:r w:rsidRPr="00D717E3">
              <w:rPr>
                <w:rFonts w:ascii="Arial" w:hAnsi="Arial" w:cs="Arial"/>
                <w:b/>
                <w:color w:val="000000" w:themeColor="text1"/>
                <w:kern w:val="24"/>
                <w:sz w:val="20"/>
                <w:szCs w:val="20"/>
                <w:lang w:val="en-GB"/>
              </w:rPr>
              <w:t>1,253,931</w:t>
            </w:r>
          </w:p>
        </w:tc>
        <w:tc>
          <w:tcPr>
            <w:tcW w:w="1257" w:type="dxa"/>
          </w:tcPr>
          <w:p w14:paraId="4E217A5A" w14:textId="77777777" w:rsidR="00CC38F8" w:rsidRPr="00D717E3" w:rsidRDefault="00CC38F8" w:rsidP="0012024C">
            <w:pPr>
              <w:ind w:right="-90"/>
              <w:jc w:val="right"/>
              <w:textAlignment w:val="bottom"/>
              <w:rPr>
                <w:rFonts w:ascii="Arial" w:hAnsi="Arial" w:cs="Arial"/>
                <w:b/>
                <w:sz w:val="20"/>
                <w:szCs w:val="20"/>
                <w:lang w:val="en-GB" w:eastAsia="zh-CN"/>
              </w:rPr>
            </w:pPr>
            <w:r w:rsidRPr="00D717E3">
              <w:rPr>
                <w:rFonts w:ascii="Arial" w:hAnsi="Arial" w:cs="Arial"/>
                <w:b/>
                <w:color w:val="000000" w:themeColor="text1"/>
                <w:kern w:val="24"/>
                <w:sz w:val="20"/>
                <w:szCs w:val="20"/>
                <w:lang w:val="en-GB"/>
              </w:rPr>
              <w:t>1,336,585</w:t>
            </w:r>
          </w:p>
        </w:tc>
        <w:tc>
          <w:tcPr>
            <w:tcW w:w="1257" w:type="dxa"/>
          </w:tcPr>
          <w:p w14:paraId="755FAE87" w14:textId="77777777" w:rsidR="00CC38F8" w:rsidRPr="00D717E3" w:rsidRDefault="00CC38F8" w:rsidP="0012024C">
            <w:pPr>
              <w:ind w:right="-90"/>
              <w:jc w:val="right"/>
              <w:textAlignment w:val="bottom"/>
              <w:rPr>
                <w:rFonts w:ascii="Arial" w:hAnsi="Arial" w:cs="Arial"/>
                <w:b/>
                <w:sz w:val="20"/>
                <w:szCs w:val="20"/>
                <w:lang w:val="en-GB" w:eastAsia="zh-CN"/>
              </w:rPr>
            </w:pPr>
            <w:r w:rsidRPr="00D717E3">
              <w:rPr>
                <w:rFonts w:ascii="Arial" w:hAnsi="Arial" w:cs="Arial"/>
                <w:b/>
                <w:color w:val="000000" w:themeColor="text1"/>
                <w:kern w:val="24"/>
                <w:sz w:val="20"/>
                <w:szCs w:val="20"/>
                <w:lang w:val="en-GB"/>
              </w:rPr>
              <w:t>1,281,861</w:t>
            </w:r>
          </w:p>
        </w:tc>
        <w:tc>
          <w:tcPr>
            <w:tcW w:w="1257" w:type="dxa"/>
          </w:tcPr>
          <w:p w14:paraId="72B75718" w14:textId="77777777" w:rsidR="00CC38F8" w:rsidRPr="00D717E3" w:rsidRDefault="00CC38F8" w:rsidP="0012024C">
            <w:pPr>
              <w:ind w:right="-90"/>
              <w:jc w:val="right"/>
              <w:textAlignment w:val="bottom"/>
              <w:rPr>
                <w:rFonts w:ascii="Arial" w:hAnsi="Arial" w:cs="Arial"/>
                <w:b/>
                <w:sz w:val="20"/>
                <w:szCs w:val="20"/>
                <w:lang w:val="en-GB" w:eastAsia="zh-CN"/>
              </w:rPr>
            </w:pPr>
            <w:r w:rsidRPr="00D717E3">
              <w:rPr>
                <w:rFonts w:ascii="Arial" w:hAnsi="Arial" w:cs="Arial"/>
                <w:b/>
                <w:color w:val="000000" w:themeColor="text1"/>
                <w:kern w:val="24"/>
                <w:sz w:val="20"/>
                <w:szCs w:val="20"/>
                <w:lang w:val="en-GB"/>
              </w:rPr>
              <w:t>1,191,025</w:t>
            </w:r>
          </w:p>
        </w:tc>
        <w:tc>
          <w:tcPr>
            <w:tcW w:w="1257" w:type="dxa"/>
          </w:tcPr>
          <w:p w14:paraId="7E951CD7" w14:textId="77777777" w:rsidR="00CC38F8" w:rsidRPr="00D717E3" w:rsidRDefault="00CC38F8" w:rsidP="0012024C">
            <w:pPr>
              <w:ind w:right="-90"/>
              <w:jc w:val="right"/>
              <w:textAlignment w:val="bottom"/>
              <w:rPr>
                <w:rFonts w:ascii="Arial" w:hAnsi="Arial" w:cs="Arial"/>
                <w:b/>
                <w:sz w:val="20"/>
                <w:szCs w:val="20"/>
                <w:lang w:val="en-GB" w:eastAsia="zh-CN"/>
              </w:rPr>
            </w:pPr>
            <w:r w:rsidRPr="00D717E3">
              <w:rPr>
                <w:rFonts w:ascii="Arial" w:hAnsi="Arial" w:cs="Arial"/>
                <w:b/>
                <w:color w:val="000000" w:themeColor="text1"/>
                <w:kern w:val="24"/>
                <w:sz w:val="20"/>
                <w:szCs w:val="20"/>
                <w:lang w:val="en-GB"/>
              </w:rPr>
              <w:t>1,227,520</w:t>
            </w:r>
          </w:p>
        </w:tc>
        <w:tc>
          <w:tcPr>
            <w:tcW w:w="1657" w:type="dxa"/>
          </w:tcPr>
          <w:p w14:paraId="39805E50" w14:textId="4B42251D" w:rsidR="00C37C38" w:rsidRPr="00D717E3" w:rsidRDefault="00CC38F8" w:rsidP="0012024C">
            <w:pPr>
              <w:ind w:right="-90"/>
              <w:jc w:val="right"/>
              <w:textAlignment w:val="bottom"/>
              <w:rPr>
                <w:rFonts w:ascii="Arial" w:hAnsi="Arial" w:cs="Arial"/>
                <w:b/>
                <w:color w:val="000000" w:themeColor="text1"/>
                <w:kern w:val="24"/>
                <w:sz w:val="20"/>
                <w:szCs w:val="20"/>
                <w:lang w:val="en-GB"/>
              </w:rPr>
            </w:pPr>
            <w:r w:rsidRPr="00D717E3">
              <w:rPr>
                <w:rFonts w:ascii="Arial" w:hAnsi="Arial" w:cs="Arial"/>
                <w:b/>
                <w:color w:val="000000" w:themeColor="text1"/>
                <w:kern w:val="24"/>
                <w:sz w:val="20"/>
                <w:szCs w:val="20"/>
                <w:lang w:val="en-GB"/>
              </w:rPr>
              <w:t>1,118,438</w:t>
            </w:r>
          </w:p>
        </w:tc>
      </w:tr>
      <w:tr w:rsidR="00CC38F8" w:rsidRPr="00D717E3" w14:paraId="2B81D21D" w14:textId="77777777" w:rsidTr="00014998">
        <w:trPr>
          <w:jc w:val="center"/>
        </w:trPr>
        <w:tc>
          <w:tcPr>
            <w:tcW w:w="3386" w:type="dxa"/>
          </w:tcPr>
          <w:p w14:paraId="31A46A85" w14:textId="77777777" w:rsidR="00CC38F8" w:rsidRPr="00D717E3" w:rsidRDefault="00CC38F8" w:rsidP="00BE6FC1">
            <w:pPr>
              <w:ind w:right="-138"/>
              <w:textAlignment w:val="bottom"/>
              <w:rPr>
                <w:rFonts w:ascii="Arial" w:hAnsi="Arial" w:cs="Arial"/>
                <w:b/>
                <w:sz w:val="20"/>
                <w:szCs w:val="20"/>
                <w:lang w:val="en-GB" w:eastAsia="zh-CN"/>
              </w:rPr>
            </w:pPr>
            <w:r w:rsidRPr="00D717E3">
              <w:rPr>
                <w:rFonts w:ascii="Arial" w:hAnsi="Arial" w:cs="Arial"/>
                <w:b/>
                <w:color w:val="000000"/>
                <w:kern w:val="24"/>
                <w:sz w:val="20"/>
                <w:szCs w:val="20"/>
                <w:lang w:val="en-GB" w:eastAsia="zh-CN"/>
              </w:rPr>
              <w:t>TOTAL LIABILITIES &amp; EQUITY</w:t>
            </w:r>
          </w:p>
        </w:tc>
        <w:tc>
          <w:tcPr>
            <w:tcW w:w="1217" w:type="dxa"/>
          </w:tcPr>
          <w:p w14:paraId="0B9742D1" w14:textId="77777777" w:rsidR="00CC38F8" w:rsidRPr="00D717E3" w:rsidRDefault="00CC38F8" w:rsidP="0012024C">
            <w:pPr>
              <w:ind w:right="-90"/>
              <w:jc w:val="right"/>
              <w:textAlignment w:val="bottom"/>
              <w:rPr>
                <w:rFonts w:ascii="Arial" w:hAnsi="Arial" w:cs="Arial"/>
                <w:b/>
                <w:sz w:val="20"/>
                <w:szCs w:val="20"/>
                <w:lang w:val="en-GB" w:eastAsia="zh-CN"/>
              </w:rPr>
            </w:pPr>
            <w:r w:rsidRPr="00D717E3">
              <w:rPr>
                <w:rFonts w:ascii="Arial" w:hAnsi="Arial" w:cs="Arial"/>
                <w:b/>
                <w:color w:val="000000"/>
                <w:kern w:val="24"/>
                <w:sz w:val="20"/>
                <w:szCs w:val="20"/>
                <w:lang w:val="en-GB" w:eastAsia="zh-CN"/>
              </w:rPr>
              <w:t>1,802,490</w:t>
            </w:r>
          </w:p>
        </w:tc>
        <w:tc>
          <w:tcPr>
            <w:tcW w:w="1217" w:type="dxa"/>
          </w:tcPr>
          <w:p w14:paraId="44EAFEE1" w14:textId="77777777" w:rsidR="00CC38F8" w:rsidRPr="00D717E3" w:rsidRDefault="00CC38F8" w:rsidP="0012024C">
            <w:pPr>
              <w:ind w:right="-90"/>
              <w:jc w:val="right"/>
              <w:textAlignment w:val="bottom"/>
              <w:rPr>
                <w:rFonts w:ascii="Arial" w:hAnsi="Arial" w:cs="Arial"/>
                <w:b/>
                <w:sz w:val="20"/>
                <w:szCs w:val="20"/>
                <w:lang w:val="en-GB" w:eastAsia="zh-CN"/>
              </w:rPr>
            </w:pPr>
            <w:r w:rsidRPr="00D717E3">
              <w:rPr>
                <w:rFonts w:ascii="Arial" w:hAnsi="Arial" w:cs="Arial"/>
                <w:b/>
                <w:color w:val="000000" w:themeColor="text1"/>
                <w:kern w:val="24"/>
                <w:sz w:val="20"/>
                <w:szCs w:val="20"/>
                <w:lang w:val="en-GB"/>
              </w:rPr>
              <w:t>1,810,767</w:t>
            </w:r>
          </w:p>
        </w:tc>
        <w:tc>
          <w:tcPr>
            <w:tcW w:w="1257" w:type="dxa"/>
          </w:tcPr>
          <w:p w14:paraId="0640C500" w14:textId="77777777" w:rsidR="00CC38F8" w:rsidRPr="00D717E3" w:rsidRDefault="00CC38F8" w:rsidP="0012024C">
            <w:pPr>
              <w:ind w:right="-90"/>
              <w:jc w:val="right"/>
              <w:textAlignment w:val="bottom"/>
              <w:rPr>
                <w:rFonts w:ascii="Arial" w:hAnsi="Arial" w:cs="Arial"/>
                <w:b/>
                <w:sz w:val="20"/>
                <w:szCs w:val="20"/>
                <w:lang w:val="en-GB" w:eastAsia="zh-CN"/>
              </w:rPr>
            </w:pPr>
            <w:r w:rsidRPr="00D717E3">
              <w:rPr>
                <w:rFonts w:ascii="Arial" w:hAnsi="Arial" w:cs="Arial"/>
                <w:b/>
                <w:color w:val="000000" w:themeColor="text1"/>
                <w:kern w:val="24"/>
                <w:sz w:val="20"/>
                <w:szCs w:val="20"/>
                <w:lang w:val="en-GB"/>
              </w:rPr>
              <w:t>1,760,986</w:t>
            </w:r>
          </w:p>
        </w:tc>
        <w:tc>
          <w:tcPr>
            <w:tcW w:w="1257" w:type="dxa"/>
          </w:tcPr>
          <w:p w14:paraId="7DD23A82" w14:textId="77777777" w:rsidR="00CC38F8" w:rsidRPr="00D717E3" w:rsidRDefault="00CC38F8" w:rsidP="0012024C">
            <w:pPr>
              <w:ind w:right="-90"/>
              <w:jc w:val="right"/>
              <w:textAlignment w:val="bottom"/>
              <w:rPr>
                <w:rFonts w:ascii="Arial" w:hAnsi="Arial" w:cs="Arial"/>
                <w:b/>
                <w:sz w:val="20"/>
                <w:szCs w:val="20"/>
                <w:lang w:val="en-GB" w:eastAsia="zh-CN"/>
              </w:rPr>
            </w:pPr>
            <w:r w:rsidRPr="00D717E3">
              <w:rPr>
                <w:rFonts w:ascii="Arial" w:hAnsi="Arial" w:cs="Arial"/>
                <w:b/>
                <w:color w:val="000000" w:themeColor="text1"/>
                <w:kern w:val="24"/>
                <w:sz w:val="20"/>
                <w:szCs w:val="20"/>
                <w:lang w:val="en-GB"/>
              </w:rPr>
              <w:t>1,634,297</w:t>
            </w:r>
          </w:p>
        </w:tc>
        <w:tc>
          <w:tcPr>
            <w:tcW w:w="1257" w:type="dxa"/>
          </w:tcPr>
          <w:p w14:paraId="051B7F32" w14:textId="77777777" w:rsidR="00CC38F8" w:rsidRPr="00D717E3" w:rsidRDefault="00CC38F8" w:rsidP="0012024C">
            <w:pPr>
              <w:ind w:right="-90"/>
              <w:jc w:val="right"/>
              <w:textAlignment w:val="bottom"/>
              <w:rPr>
                <w:rFonts w:ascii="Arial" w:hAnsi="Arial" w:cs="Arial"/>
                <w:b/>
                <w:sz w:val="20"/>
                <w:szCs w:val="20"/>
                <w:lang w:val="en-GB" w:eastAsia="zh-CN"/>
              </w:rPr>
            </w:pPr>
            <w:r w:rsidRPr="00D717E3">
              <w:rPr>
                <w:rFonts w:ascii="Arial" w:hAnsi="Arial" w:cs="Arial"/>
                <w:b/>
                <w:color w:val="000000" w:themeColor="text1"/>
                <w:kern w:val="24"/>
                <w:sz w:val="20"/>
                <w:szCs w:val="20"/>
                <w:lang w:val="en-GB"/>
              </w:rPr>
              <w:t>1,368,401</w:t>
            </w:r>
          </w:p>
        </w:tc>
        <w:tc>
          <w:tcPr>
            <w:tcW w:w="1257" w:type="dxa"/>
          </w:tcPr>
          <w:p w14:paraId="0AEB5F48" w14:textId="77777777" w:rsidR="00CC38F8" w:rsidRPr="00D717E3" w:rsidRDefault="00CC38F8" w:rsidP="0012024C">
            <w:pPr>
              <w:ind w:right="-90"/>
              <w:jc w:val="right"/>
              <w:textAlignment w:val="bottom"/>
              <w:rPr>
                <w:rFonts w:ascii="Arial" w:hAnsi="Arial" w:cs="Arial"/>
                <w:b/>
                <w:sz w:val="20"/>
                <w:szCs w:val="20"/>
                <w:lang w:val="en-GB" w:eastAsia="zh-CN"/>
              </w:rPr>
            </w:pPr>
            <w:r w:rsidRPr="00D717E3">
              <w:rPr>
                <w:rFonts w:ascii="Arial" w:hAnsi="Arial" w:cs="Arial"/>
                <w:b/>
                <w:color w:val="000000" w:themeColor="text1"/>
                <w:kern w:val="24"/>
                <w:sz w:val="20"/>
                <w:szCs w:val="20"/>
                <w:lang w:val="en-GB"/>
              </w:rPr>
              <w:t>1,447,878</w:t>
            </w:r>
          </w:p>
        </w:tc>
        <w:tc>
          <w:tcPr>
            <w:tcW w:w="1657" w:type="dxa"/>
          </w:tcPr>
          <w:p w14:paraId="02B316E4" w14:textId="28297EAA" w:rsidR="00EE17B8" w:rsidRPr="00D717E3" w:rsidRDefault="00CC38F8" w:rsidP="0012024C">
            <w:pPr>
              <w:ind w:right="-90"/>
              <w:jc w:val="right"/>
              <w:textAlignment w:val="bottom"/>
              <w:rPr>
                <w:rFonts w:ascii="Arial" w:hAnsi="Arial" w:cs="Arial"/>
                <w:b/>
                <w:sz w:val="20"/>
                <w:szCs w:val="20"/>
                <w:lang w:val="en-GB" w:eastAsia="zh-CN"/>
              </w:rPr>
            </w:pPr>
            <w:r w:rsidRPr="00D717E3">
              <w:rPr>
                <w:rFonts w:ascii="Arial" w:hAnsi="Arial" w:cs="Arial"/>
                <w:b/>
                <w:color w:val="000000" w:themeColor="text1"/>
                <w:kern w:val="24"/>
                <w:sz w:val="20"/>
                <w:szCs w:val="20"/>
                <w:lang w:val="en-GB"/>
              </w:rPr>
              <w:t>1,306,410</w:t>
            </w:r>
          </w:p>
        </w:tc>
      </w:tr>
    </w:tbl>
    <w:p w14:paraId="2E667F9A" w14:textId="77777777" w:rsidR="00E40509" w:rsidRPr="00D717E3" w:rsidRDefault="00E40509" w:rsidP="006472AF">
      <w:pPr>
        <w:pStyle w:val="Footnote"/>
        <w:rPr>
          <w:shd w:val="clear" w:color="auto" w:fill="FFFFFF"/>
          <w:lang w:val="en-GB"/>
        </w:rPr>
      </w:pPr>
    </w:p>
    <w:p w14:paraId="72E5D6C5" w14:textId="3133DFF3" w:rsidR="00271B03" w:rsidRPr="00D717E3" w:rsidRDefault="00271B03" w:rsidP="00014998">
      <w:pPr>
        <w:pStyle w:val="Footnote"/>
        <w:rPr>
          <w:rFonts w:eastAsiaTheme="minorEastAsia"/>
          <w:lang w:val="en-GB"/>
        </w:rPr>
      </w:pPr>
      <w:r w:rsidRPr="00D717E3">
        <w:rPr>
          <w:rFonts w:eastAsiaTheme="minorEastAsia"/>
          <w:lang w:val="en-GB"/>
        </w:rPr>
        <w:t xml:space="preserve">Note: </w:t>
      </w:r>
      <w:r w:rsidR="00D51026" w:rsidRPr="00D717E3">
        <w:rPr>
          <w:rFonts w:eastAsiaTheme="minorEastAsia"/>
          <w:lang w:val="en-GB"/>
        </w:rPr>
        <w:t xml:space="preserve">¥ = JPY = Japanese yen; US$1 = ¥105.28 on January 1, 2014; </w:t>
      </w:r>
      <w:r w:rsidRPr="00D717E3">
        <w:rPr>
          <w:rFonts w:eastAsiaTheme="minorEastAsia"/>
          <w:lang w:val="en-GB"/>
        </w:rPr>
        <w:t>FY = fiscal year; LT = long-term; APIC = additional paid-in capital</w:t>
      </w:r>
      <w:r w:rsidR="00AA4859" w:rsidRPr="00D717E3">
        <w:rPr>
          <w:rFonts w:eastAsiaTheme="minorEastAsia"/>
          <w:lang w:val="en-GB"/>
        </w:rPr>
        <w:t>.</w:t>
      </w:r>
    </w:p>
    <w:p w14:paraId="0529B23E" w14:textId="2CC9E72B" w:rsidR="00014998" w:rsidRDefault="00CC38F8" w:rsidP="00050B5C">
      <w:pPr>
        <w:pStyle w:val="Footnote"/>
        <w:rPr>
          <w:rFonts w:eastAsiaTheme="minorEastAsia"/>
          <w:lang w:val="en-GB"/>
        </w:rPr>
      </w:pPr>
      <w:r w:rsidRPr="00D717E3">
        <w:rPr>
          <w:rFonts w:eastAsiaTheme="minorEastAsia"/>
          <w:lang w:val="en-GB"/>
        </w:rPr>
        <w:t>Source: Nintendo, “Annual Filings: Income Statement for TYO: 7974 (Nintendo) March 31, 2000–March 31, 2014,” Bloomberg LP, accessed October 31, 2016.</w:t>
      </w:r>
    </w:p>
    <w:p w14:paraId="58B62DFE" w14:textId="77777777" w:rsidR="003A0C92" w:rsidRPr="00D717E3" w:rsidRDefault="003A0C92" w:rsidP="00050B5C">
      <w:pPr>
        <w:pStyle w:val="Footnote"/>
        <w:rPr>
          <w:b/>
          <w:caps/>
          <w:sz w:val="20"/>
          <w:szCs w:val="20"/>
          <w:lang w:val="en-GB"/>
        </w:rPr>
      </w:pPr>
    </w:p>
    <w:p w14:paraId="0B92D431" w14:textId="49ED9197" w:rsidR="00CC38F8" w:rsidRPr="00D717E3" w:rsidRDefault="00EE17B8" w:rsidP="006472AF">
      <w:pPr>
        <w:pStyle w:val="ExhibitHeading"/>
        <w:rPr>
          <w:color w:val="231F20"/>
          <w:shd w:val="clear" w:color="auto" w:fill="FFFFFF"/>
          <w:lang w:val="en-GB"/>
        </w:rPr>
      </w:pPr>
      <w:r w:rsidRPr="00D717E3">
        <w:rPr>
          <w:lang w:val="en-GB"/>
        </w:rPr>
        <w:lastRenderedPageBreak/>
        <w:t xml:space="preserve">EXHIBIT 2: NINTENDO INCOME STATEMENT (in </w:t>
      </w:r>
      <w:r w:rsidR="00D51026" w:rsidRPr="00D717E3">
        <w:rPr>
          <w:rFonts w:eastAsiaTheme="minorEastAsia"/>
          <w:lang w:val="en-GB"/>
        </w:rPr>
        <w:t xml:space="preserve">¥ </w:t>
      </w:r>
      <w:r w:rsidRPr="00D717E3">
        <w:rPr>
          <w:lang w:val="en-GB"/>
        </w:rPr>
        <w:t>millions</w:t>
      </w:r>
      <w:r w:rsidR="00CC38F8" w:rsidRPr="00D717E3">
        <w:rPr>
          <w:lang w:val="en-GB"/>
        </w:rPr>
        <w:t>, 2000</w:t>
      </w:r>
      <w:r w:rsidR="00D51026" w:rsidRPr="00D717E3">
        <w:rPr>
          <w:lang w:val="en-GB"/>
        </w:rPr>
        <w:t>–</w:t>
      </w:r>
      <w:r w:rsidR="00CC38F8" w:rsidRPr="00D717E3">
        <w:rPr>
          <w:lang w:val="en-GB"/>
        </w:rPr>
        <w:t>2014)</w:t>
      </w:r>
    </w:p>
    <w:p w14:paraId="1AE31D24" w14:textId="77777777" w:rsidR="00CC38F8" w:rsidRPr="00D717E3" w:rsidRDefault="00CC38F8" w:rsidP="001562DA">
      <w:pPr>
        <w:pStyle w:val="BodyTextMain"/>
        <w:rPr>
          <w:color w:val="231F20"/>
          <w:sz w:val="24"/>
          <w:szCs w:val="24"/>
          <w:shd w:val="clear" w:color="auto" w:fill="FFFFFF"/>
          <w:lang w:val="en-GB" w:eastAsia="ja-JP"/>
        </w:rPr>
      </w:pPr>
    </w:p>
    <w:tbl>
      <w:tblPr>
        <w:tblStyle w:val="TableGrid70"/>
        <w:tblW w:w="4847" w:type="pct"/>
        <w:jc w:val="center"/>
        <w:tblLook w:val="0600" w:firstRow="0" w:lastRow="0" w:firstColumn="0" w:lastColumn="0" w:noHBand="1" w:noVBand="1"/>
      </w:tblPr>
      <w:tblGrid>
        <w:gridCol w:w="3108"/>
        <w:gridCol w:w="1316"/>
        <w:gridCol w:w="1316"/>
        <w:gridCol w:w="1316"/>
        <w:gridCol w:w="1316"/>
        <w:gridCol w:w="1316"/>
        <w:gridCol w:w="1316"/>
        <w:gridCol w:w="1314"/>
        <w:gridCol w:w="241"/>
      </w:tblGrid>
      <w:tr w:rsidR="00CC38F8" w:rsidRPr="00D717E3" w14:paraId="152D222E" w14:textId="77777777" w:rsidTr="006472AF">
        <w:trPr>
          <w:trHeight w:val="264"/>
          <w:jc w:val="center"/>
        </w:trPr>
        <w:tc>
          <w:tcPr>
            <w:tcW w:w="1237" w:type="pct"/>
            <w:tcBorders>
              <w:top w:val="single" w:sz="4" w:space="0" w:color="auto"/>
            </w:tcBorders>
            <w:hideMark/>
          </w:tcPr>
          <w:p w14:paraId="6B37024E" w14:textId="77777777" w:rsidR="00CC38F8" w:rsidRPr="00D717E3" w:rsidRDefault="00CC38F8" w:rsidP="00CC38F8">
            <w:pPr>
              <w:pStyle w:val="ExhibitText"/>
              <w:jc w:val="left"/>
              <w:rPr>
                <w:rFonts w:eastAsiaTheme="minorEastAsia"/>
                <w:b/>
                <w:lang w:val="en-GB"/>
              </w:rPr>
            </w:pPr>
          </w:p>
        </w:tc>
        <w:tc>
          <w:tcPr>
            <w:tcW w:w="524" w:type="pct"/>
            <w:tcBorders>
              <w:top w:val="single" w:sz="4" w:space="0" w:color="auto"/>
            </w:tcBorders>
            <w:hideMark/>
          </w:tcPr>
          <w:p w14:paraId="3860503D" w14:textId="77777777" w:rsidR="00CC38F8" w:rsidRPr="00D717E3" w:rsidRDefault="00CC38F8" w:rsidP="00F23EAA">
            <w:pPr>
              <w:pStyle w:val="ExhibitText"/>
              <w:jc w:val="center"/>
              <w:rPr>
                <w:rFonts w:eastAsiaTheme="minorEastAsia"/>
                <w:b/>
                <w:lang w:val="en-GB"/>
              </w:rPr>
            </w:pPr>
            <w:r w:rsidRPr="00D717E3">
              <w:rPr>
                <w:rFonts w:eastAsiaTheme="minorEastAsia"/>
                <w:b/>
                <w:color w:val="000000"/>
                <w:kern w:val="24"/>
                <w:lang w:val="en-GB"/>
              </w:rPr>
              <w:t>FY2008</w:t>
            </w:r>
          </w:p>
        </w:tc>
        <w:tc>
          <w:tcPr>
            <w:tcW w:w="524" w:type="pct"/>
            <w:tcBorders>
              <w:top w:val="single" w:sz="4" w:space="0" w:color="auto"/>
            </w:tcBorders>
            <w:hideMark/>
          </w:tcPr>
          <w:p w14:paraId="61F30F32" w14:textId="77777777" w:rsidR="00CC38F8" w:rsidRPr="00D717E3" w:rsidRDefault="00CC38F8" w:rsidP="00F23EAA">
            <w:pPr>
              <w:pStyle w:val="ExhibitText"/>
              <w:jc w:val="center"/>
              <w:rPr>
                <w:rFonts w:eastAsiaTheme="minorEastAsia"/>
                <w:b/>
                <w:lang w:val="en-GB"/>
              </w:rPr>
            </w:pPr>
            <w:r w:rsidRPr="00D717E3">
              <w:rPr>
                <w:rFonts w:eastAsiaTheme="minorEastAsia"/>
                <w:b/>
                <w:color w:val="000000"/>
                <w:kern w:val="24"/>
                <w:lang w:val="en-GB"/>
              </w:rPr>
              <w:t>FY2009</w:t>
            </w:r>
          </w:p>
        </w:tc>
        <w:tc>
          <w:tcPr>
            <w:tcW w:w="524" w:type="pct"/>
            <w:tcBorders>
              <w:top w:val="single" w:sz="4" w:space="0" w:color="auto"/>
            </w:tcBorders>
            <w:hideMark/>
          </w:tcPr>
          <w:p w14:paraId="449AE59A" w14:textId="77777777" w:rsidR="00CC38F8" w:rsidRPr="00D717E3" w:rsidRDefault="00CC38F8" w:rsidP="00F23EAA">
            <w:pPr>
              <w:pStyle w:val="ExhibitText"/>
              <w:jc w:val="center"/>
              <w:rPr>
                <w:rFonts w:eastAsiaTheme="minorEastAsia"/>
                <w:b/>
                <w:lang w:val="en-GB"/>
              </w:rPr>
            </w:pPr>
            <w:r w:rsidRPr="00D717E3">
              <w:rPr>
                <w:rFonts w:eastAsiaTheme="minorEastAsia"/>
                <w:b/>
                <w:color w:val="000000"/>
                <w:kern w:val="24"/>
                <w:lang w:val="en-GB"/>
              </w:rPr>
              <w:t>FY2010</w:t>
            </w:r>
          </w:p>
        </w:tc>
        <w:tc>
          <w:tcPr>
            <w:tcW w:w="524" w:type="pct"/>
            <w:tcBorders>
              <w:top w:val="single" w:sz="4" w:space="0" w:color="auto"/>
            </w:tcBorders>
            <w:hideMark/>
          </w:tcPr>
          <w:p w14:paraId="05672921" w14:textId="77777777" w:rsidR="00CC38F8" w:rsidRPr="00D717E3" w:rsidRDefault="00CC38F8" w:rsidP="00F23EAA">
            <w:pPr>
              <w:pStyle w:val="ExhibitText"/>
              <w:jc w:val="center"/>
              <w:rPr>
                <w:rFonts w:eastAsiaTheme="minorEastAsia"/>
                <w:b/>
                <w:lang w:val="en-GB"/>
              </w:rPr>
            </w:pPr>
            <w:r w:rsidRPr="00D717E3">
              <w:rPr>
                <w:rFonts w:eastAsiaTheme="minorEastAsia"/>
                <w:b/>
                <w:color w:val="000000"/>
                <w:kern w:val="24"/>
                <w:lang w:val="en-GB"/>
              </w:rPr>
              <w:t>FY2011</w:t>
            </w:r>
          </w:p>
        </w:tc>
        <w:tc>
          <w:tcPr>
            <w:tcW w:w="524" w:type="pct"/>
            <w:tcBorders>
              <w:top w:val="single" w:sz="4" w:space="0" w:color="auto"/>
            </w:tcBorders>
            <w:hideMark/>
          </w:tcPr>
          <w:p w14:paraId="61A184D8" w14:textId="77777777" w:rsidR="00CC38F8" w:rsidRPr="00D717E3" w:rsidRDefault="00CC38F8" w:rsidP="00F23EAA">
            <w:pPr>
              <w:pStyle w:val="ExhibitText"/>
              <w:jc w:val="center"/>
              <w:rPr>
                <w:rFonts w:eastAsiaTheme="minorEastAsia"/>
                <w:b/>
                <w:lang w:val="en-GB"/>
              </w:rPr>
            </w:pPr>
            <w:r w:rsidRPr="00D717E3">
              <w:rPr>
                <w:rFonts w:eastAsiaTheme="minorEastAsia"/>
                <w:b/>
                <w:color w:val="000000"/>
                <w:kern w:val="24"/>
                <w:lang w:val="en-GB"/>
              </w:rPr>
              <w:t>FY2012</w:t>
            </w:r>
          </w:p>
        </w:tc>
        <w:tc>
          <w:tcPr>
            <w:tcW w:w="524" w:type="pct"/>
            <w:tcBorders>
              <w:top w:val="single" w:sz="4" w:space="0" w:color="auto"/>
            </w:tcBorders>
            <w:hideMark/>
          </w:tcPr>
          <w:p w14:paraId="0C72329B" w14:textId="77777777" w:rsidR="00CC38F8" w:rsidRPr="00D717E3" w:rsidRDefault="00CC38F8" w:rsidP="00F23EAA">
            <w:pPr>
              <w:pStyle w:val="ExhibitText"/>
              <w:jc w:val="center"/>
              <w:rPr>
                <w:rFonts w:eastAsiaTheme="minorEastAsia"/>
                <w:b/>
                <w:lang w:val="en-GB"/>
              </w:rPr>
            </w:pPr>
            <w:r w:rsidRPr="00D717E3">
              <w:rPr>
                <w:rFonts w:eastAsiaTheme="minorEastAsia"/>
                <w:b/>
                <w:color w:val="000000"/>
                <w:kern w:val="24"/>
                <w:lang w:val="en-GB"/>
              </w:rPr>
              <w:t>FY2013</w:t>
            </w:r>
          </w:p>
        </w:tc>
        <w:tc>
          <w:tcPr>
            <w:tcW w:w="523" w:type="pct"/>
            <w:tcBorders>
              <w:top w:val="single" w:sz="4" w:space="0" w:color="auto"/>
            </w:tcBorders>
            <w:hideMark/>
          </w:tcPr>
          <w:p w14:paraId="140C1983" w14:textId="42D491BF" w:rsidR="00EE17B8" w:rsidRPr="00D717E3" w:rsidRDefault="00CC38F8" w:rsidP="00F23EAA">
            <w:pPr>
              <w:pStyle w:val="ExhibitText"/>
              <w:jc w:val="center"/>
              <w:rPr>
                <w:rFonts w:eastAsiaTheme="minorEastAsia"/>
                <w:b/>
                <w:lang w:val="en-GB"/>
              </w:rPr>
            </w:pPr>
            <w:r w:rsidRPr="00D717E3">
              <w:rPr>
                <w:rFonts w:eastAsiaTheme="minorEastAsia"/>
                <w:b/>
                <w:color w:val="000000"/>
                <w:kern w:val="24"/>
                <w:lang w:val="en-GB"/>
              </w:rPr>
              <w:t>FY2014</w:t>
            </w:r>
          </w:p>
        </w:tc>
        <w:tc>
          <w:tcPr>
            <w:tcW w:w="98" w:type="pct"/>
            <w:tcBorders>
              <w:top w:val="nil"/>
              <w:bottom w:val="nil"/>
              <w:right w:val="nil"/>
            </w:tcBorders>
          </w:tcPr>
          <w:p w14:paraId="2F3B68B8" w14:textId="77777777" w:rsidR="00CC38F8" w:rsidRPr="00D717E3" w:rsidRDefault="00CC38F8" w:rsidP="00CC38F8">
            <w:pPr>
              <w:pStyle w:val="ExhibitText"/>
              <w:rPr>
                <w:rFonts w:eastAsiaTheme="minorEastAsia"/>
                <w:b/>
                <w:lang w:val="en-GB"/>
              </w:rPr>
            </w:pPr>
          </w:p>
        </w:tc>
      </w:tr>
      <w:tr w:rsidR="00CC38F8" w:rsidRPr="00D717E3" w14:paraId="3A7E0A3A" w14:textId="77777777" w:rsidTr="006472AF">
        <w:trPr>
          <w:trHeight w:val="64"/>
          <w:jc w:val="center"/>
        </w:trPr>
        <w:tc>
          <w:tcPr>
            <w:tcW w:w="1237" w:type="pct"/>
            <w:hideMark/>
          </w:tcPr>
          <w:p w14:paraId="7F84EF30" w14:textId="77777777" w:rsidR="00CC38F8" w:rsidRPr="00D717E3" w:rsidRDefault="00CC38F8" w:rsidP="00CC38F8">
            <w:pPr>
              <w:pStyle w:val="ExhibitText"/>
              <w:jc w:val="left"/>
              <w:rPr>
                <w:rFonts w:eastAsiaTheme="minorEastAsia"/>
                <w:b/>
                <w:lang w:val="en-GB"/>
              </w:rPr>
            </w:pPr>
            <w:r w:rsidRPr="00D717E3">
              <w:rPr>
                <w:rFonts w:eastAsiaTheme="minorEastAsia"/>
                <w:b/>
                <w:color w:val="000000"/>
                <w:kern w:val="24"/>
                <w:lang w:val="en-GB"/>
              </w:rPr>
              <w:t>12 Months Ending</w:t>
            </w:r>
          </w:p>
        </w:tc>
        <w:tc>
          <w:tcPr>
            <w:tcW w:w="524" w:type="pct"/>
            <w:hideMark/>
          </w:tcPr>
          <w:p w14:paraId="29D8F249" w14:textId="77777777" w:rsidR="00CC38F8" w:rsidRPr="00D717E3" w:rsidRDefault="00CC38F8" w:rsidP="00F23EAA">
            <w:pPr>
              <w:pStyle w:val="ExhibitText"/>
              <w:jc w:val="center"/>
              <w:rPr>
                <w:rFonts w:eastAsiaTheme="minorEastAsia"/>
                <w:b/>
                <w:lang w:val="en-GB"/>
              </w:rPr>
            </w:pPr>
            <w:r w:rsidRPr="00D717E3">
              <w:rPr>
                <w:rFonts w:eastAsiaTheme="minorEastAsia"/>
                <w:b/>
                <w:color w:val="000000"/>
                <w:kern w:val="24"/>
                <w:lang w:val="en-GB"/>
              </w:rPr>
              <w:t>03/31/2008</w:t>
            </w:r>
          </w:p>
        </w:tc>
        <w:tc>
          <w:tcPr>
            <w:tcW w:w="524" w:type="pct"/>
            <w:hideMark/>
          </w:tcPr>
          <w:p w14:paraId="02D39917" w14:textId="77777777" w:rsidR="00CC38F8" w:rsidRPr="00D717E3" w:rsidRDefault="00CC38F8" w:rsidP="00F23EAA">
            <w:pPr>
              <w:pStyle w:val="ExhibitText"/>
              <w:jc w:val="center"/>
              <w:rPr>
                <w:rFonts w:eastAsiaTheme="minorEastAsia"/>
                <w:b/>
                <w:lang w:val="en-GB"/>
              </w:rPr>
            </w:pPr>
            <w:r w:rsidRPr="00D717E3">
              <w:rPr>
                <w:rFonts w:eastAsiaTheme="minorEastAsia"/>
                <w:b/>
                <w:color w:val="000000"/>
                <w:kern w:val="24"/>
                <w:lang w:val="en-GB"/>
              </w:rPr>
              <w:t>03/31/2009</w:t>
            </w:r>
          </w:p>
        </w:tc>
        <w:tc>
          <w:tcPr>
            <w:tcW w:w="524" w:type="pct"/>
            <w:hideMark/>
          </w:tcPr>
          <w:p w14:paraId="0AA4AE2C" w14:textId="77777777" w:rsidR="00CC38F8" w:rsidRPr="00D717E3" w:rsidRDefault="00CC38F8" w:rsidP="00F23EAA">
            <w:pPr>
              <w:pStyle w:val="ExhibitText"/>
              <w:jc w:val="center"/>
              <w:rPr>
                <w:rFonts w:eastAsiaTheme="minorEastAsia"/>
                <w:b/>
                <w:lang w:val="en-GB"/>
              </w:rPr>
            </w:pPr>
            <w:r w:rsidRPr="00D717E3">
              <w:rPr>
                <w:rFonts w:eastAsiaTheme="minorEastAsia"/>
                <w:b/>
                <w:color w:val="000000"/>
                <w:kern w:val="24"/>
                <w:lang w:val="en-GB"/>
              </w:rPr>
              <w:t>03/31/2010</w:t>
            </w:r>
          </w:p>
        </w:tc>
        <w:tc>
          <w:tcPr>
            <w:tcW w:w="524" w:type="pct"/>
            <w:hideMark/>
          </w:tcPr>
          <w:p w14:paraId="6ABA84E8" w14:textId="77777777" w:rsidR="00CC38F8" w:rsidRPr="00D717E3" w:rsidRDefault="00CC38F8" w:rsidP="00F23EAA">
            <w:pPr>
              <w:pStyle w:val="ExhibitText"/>
              <w:jc w:val="center"/>
              <w:rPr>
                <w:rFonts w:eastAsiaTheme="minorEastAsia"/>
                <w:b/>
                <w:lang w:val="en-GB"/>
              </w:rPr>
            </w:pPr>
            <w:r w:rsidRPr="00D717E3">
              <w:rPr>
                <w:rFonts w:eastAsiaTheme="minorEastAsia"/>
                <w:b/>
                <w:color w:val="000000"/>
                <w:kern w:val="24"/>
                <w:lang w:val="en-GB"/>
              </w:rPr>
              <w:t>03/31/2011</w:t>
            </w:r>
          </w:p>
        </w:tc>
        <w:tc>
          <w:tcPr>
            <w:tcW w:w="524" w:type="pct"/>
            <w:hideMark/>
          </w:tcPr>
          <w:p w14:paraId="1089AE96" w14:textId="77777777" w:rsidR="00CC38F8" w:rsidRPr="00D717E3" w:rsidRDefault="00CC38F8" w:rsidP="00F23EAA">
            <w:pPr>
              <w:pStyle w:val="ExhibitText"/>
              <w:jc w:val="center"/>
              <w:rPr>
                <w:rFonts w:eastAsiaTheme="minorEastAsia"/>
                <w:b/>
                <w:lang w:val="en-GB"/>
              </w:rPr>
            </w:pPr>
            <w:r w:rsidRPr="00D717E3">
              <w:rPr>
                <w:rFonts w:eastAsiaTheme="minorEastAsia"/>
                <w:b/>
                <w:color w:val="000000"/>
                <w:kern w:val="24"/>
                <w:lang w:val="en-GB"/>
              </w:rPr>
              <w:t>03/31/2012</w:t>
            </w:r>
          </w:p>
        </w:tc>
        <w:tc>
          <w:tcPr>
            <w:tcW w:w="524" w:type="pct"/>
            <w:hideMark/>
          </w:tcPr>
          <w:p w14:paraId="0CFB73C8" w14:textId="77777777" w:rsidR="00CC38F8" w:rsidRPr="00D717E3" w:rsidRDefault="00CC38F8" w:rsidP="00F23EAA">
            <w:pPr>
              <w:pStyle w:val="ExhibitText"/>
              <w:jc w:val="center"/>
              <w:rPr>
                <w:rFonts w:eastAsiaTheme="minorEastAsia"/>
                <w:b/>
                <w:lang w:val="en-GB"/>
              </w:rPr>
            </w:pPr>
            <w:r w:rsidRPr="00D717E3">
              <w:rPr>
                <w:rFonts w:eastAsiaTheme="minorEastAsia"/>
                <w:b/>
                <w:color w:val="000000"/>
                <w:kern w:val="24"/>
                <w:lang w:val="en-GB"/>
              </w:rPr>
              <w:t>03/31/2013</w:t>
            </w:r>
          </w:p>
        </w:tc>
        <w:tc>
          <w:tcPr>
            <w:tcW w:w="523" w:type="pct"/>
            <w:hideMark/>
          </w:tcPr>
          <w:p w14:paraId="2595777B" w14:textId="6FE81969" w:rsidR="00EE17B8" w:rsidRPr="00D717E3" w:rsidRDefault="00CC38F8" w:rsidP="00F23EAA">
            <w:pPr>
              <w:pStyle w:val="ExhibitText"/>
              <w:jc w:val="center"/>
              <w:rPr>
                <w:rFonts w:eastAsiaTheme="minorEastAsia"/>
                <w:b/>
                <w:lang w:val="en-GB"/>
              </w:rPr>
            </w:pPr>
            <w:r w:rsidRPr="00D717E3">
              <w:rPr>
                <w:rFonts w:eastAsiaTheme="minorEastAsia"/>
                <w:b/>
                <w:color w:val="000000"/>
                <w:kern w:val="24"/>
                <w:lang w:val="en-GB"/>
              </w:rPr>
              <w:t>03/31/2014</w:t>
            </w:r>
          </w:p>
        </w:tc>
        <w:tc>
          <w:tcPr>
            <w:tcW w:w="98" w:type="pct"/>
            <w:tcBorders>
              <w:top w:val="nil"/>
              <w:bottom w:val="nil"/>
              <w:right w:val="nil"/>
            </w:tcBorders>
          </w:tcPr>
          <w:p w14:paraId="72156985" w14:textId="77777777" w:rsidR="00CC38F8" w:rsidRPr="00D717E3" w:rsidRDefault="00CC38F8" w:rsidP="00CC38F8">
            <w:pPr>
              <w:pStyle w:val="ExhibitText"/>
              <w:rPr>
                <w:rFonts w:eastAsiaTheme="minorEastAsia"/>
                <w:b/>
                <w:lang w:val="en-GB"/>
              </w:rPr>
            </w:pPr>
          </w:p>
        </w:tc>
      </w:tr>
      <w:tr w:rsidR="00CC38F8" w:rsidRPr="00D717E3" w14:paraId="57D53B2D" w14:textId="77777777" w:rsidTr="006472AF">
        <w:trPr>
          <w:trHeight w:val="264"/>
          <w:jc w:val="center"/>
        </w:trPr>
        <w:tc>
          <w:tcPr>
            <w:tcW w:w="1237" w:type="pct"/>
            <w:hideMark/>
          </w:tcPr>
          <w:p w14:paraId="105B371A" w14:textId="77777777" w:rsidR="00CC38F8" w:rsidRPr="00D717E3" w:rsidRDefault="00CC38F8" w:rsidP="00CC38F8">
            <w:pPr>
              <w:pStyle w:val="ExhibitText"/>
              <w:jc w:val="left"/>
              <w:rPr>
                <w:rFonts w:eastAsiaTheme="minorEastAsia"/>
                <w:b/>
                <w:lang w:val="en-GB"/>
              </w:rPr>
            </w:pPr>
            <w:r w:rsidRPr="00D717E3">
              <w:rPr>
                <w:rFonts w:eastAsiaTheme="minorEastAsia"/>
                <w:b/>
                <w:color w:val="000000"/>
                <w:kern w:val="24"/>
                <w:lang w:val="en-GB"/>
              </w:rPr>
              <w:t>Revenue</w:t>
            </w:r>
          </w:p>
        </w:tc>
        <w:tc>
          <w:tcPr>
            <w:tcW w:w="524" w:type="pct"/>
            <w:hideMark/>
          </w:tcPr>
          <w:p w14:paraId="165DA6BB" w14:textId="77777777" w:rsidR="00CC38F8" w:rsidRPr="00D717E3" w:rsidRDefault="00CC38F8" w:rsidP="00F23EAA">
            <w:pPr>
              <w:pStyle w:val="ExhibitText"/>
              <w:jc w:val="right"/>
              <w:rPr>
                <w:rFonts w:eastAsiaTheme="minorEastAsia"/>
                <w:b/>
                <w:lang w:val="en-GB"/>
              </w:rPr>
            </w:pPr>
            <w:r w:rsidRPr="00D717E3">
              <w:rPr>
                <w:rFonts w:eastAsiaTheme="minorEastAsia"/>
                <w:b/>
                <w:color w:val="000000"/>
                <w:kern w:val="24"/>
                <w:lang w:val="en-GB"/>
              </w:rPr>
              <w:t>1,672,423</w:t>
            </w:r>
          </w:p>
        </w:tc>
        <w:tc>
          <w:tcPr>
            <w:tcW w:w="524" w:type="pct"/>
            <w:hideMark/>
          </w:tcPr>
          <w:p w14:paraId="21D215F3" w14:textId="77777777" w:rsidR="00CC38F8" w:rsidRPr="00D717E3" w:rsidRDefault="00CC38F8" w:rsidP="00F23EAA">
            <w:pPr>
              <w:pStyle w:val="ExhibitText"/>
              <w:jc w:val="right"/>
              <w:rPr>
                <w:rFonts w:eastAsiaTheme="minorEastAsia"/>
                <w:b/>
                <w:lang w:val="en-GB"/>
              </w:rPr>
            </w:pPr>
            <w:r w:rsidRPr="00D717E3">
              <w:rPr>
                <w:rFonts w:eastAsiaTheme="minorEastAsia"/>
                <w:b/>
                <w:color w:val="000000"/>
                <w:kern w:val="24"/>
                <w:lang w:val="en-GB"/>
              </w:rPr>
              <w:t>1,838,622</w:t>
            </w:r>
          </w:p>
        </w:tc>
        <w:tc>
          <w:tcPr>
            <w:tcW w:w="524" w:type="pct"/>
            <w:hideMark/>
          </w:tcPr>
          <w:p w14:paraId="13A0BFBB" w14:textId="77777777" w:rsidR="00CC38F8" w:rsidRPr="00D717E3" w:rsidRDefault="00CC38F8" w:rsidP="00F23EAA">
            <w:pPr>
              <w:pStyle w:val="ExhibitText"/>
              <w:jc w:val="right"/>
              <w:rPr>
                <w:rFonts w:eastAsiaTheme="minorEastAsia"/>
                <w:b/>
                <w:lang w:val="en-GB"/>
              </w:rPr>
            </w:pPr>
            <w:r w:rsidRPr="00D717E3">
              <w:rPr>
                <w:rFonts w:eastAsiaTheme="minorEastAsia"/>
                <w:b/>
                <w:color w:val="000000"/>
                <w:kern w:val="24"/>
                <w:lang w:val="en-GB"/>
              </w:rPr>
              <w:t>1,434,365</w:t>
            </w:r>
          </w:p>
        </w:tc>
        <w:tc>
          <w:tcPr>
            <w:tcW w:w="524" w:type="pct"/>
            <w:hideMark/>
          </w:tcPr>
          <w:p w14:paraId="18E8221B" w14:textId="77777777" w:rsidR="00CC38F8" w:rsidRPr="00D717E3" w:rsidRDefault="00CC38F8" w:rsidP="00F23EAA">
            <w:pPr>
              <w:pStyle w:val="ExhibitText"/>
              <w:jc w:val="right"/>
              <w:rPr>
                <w:rFonts w:eastAsiaTheme="minorEastAsia"/>
                <w:b/>
                <w:lang w:val="en-GB"/>
              </w:rPr>
            </w:pPr>
            <w:r w:rsidRPr="00D717E3">
              <w:rPr>
                <w:rFonts w:eastAsiaTheme="minorEastAsia"/>
                <w:b/>
                <w:color w:val="000000"/>
                <w:kern w:val="24"/>
                <w:lang w:val="en-GB"/>
              </w:rPr>
              <w:t>1,014,345</w:t>
            </w:r>
          </w:p>
        </w:tc>
        <w:tc>
          <w:tcPr>
            <w:tcW w:w="524" w:type="pct"/>
            <w:hideMark/>
          </w:tcPr>
          <w:p w14:paraId="1C712FFD" w14:textId="77777777" w:rsidR="00CC38F8" w:rsidRPr="00D717E3" w:rsidRDefault="00CC38F8" w:rsidP="00F23EAA">
            <w:pPr>
              <w:pStyle w:val="ExhibitText"/>
              <w:jc w:val="right"/>
              <w:rPr>
                <w:rFonts w:eastAsiaTheme="minorEastAsia"/>
                <w:b/>
                <w:lang w:val="en-GB"/>
              </w:rPr>
            </w:pPr>
            <w:r w:rsidRPr="00D717E3">
              <w:rPr>
                <w:rFonts w:eastAsiaTheme="minorEastAsia"/>
                <w:b/>
                <w:color w:val="000000"/>
                <w:kern w:val="24"/>
                <w:lang w:val="en-GB"/>
              </w:rPr>
              <w:t>647,652</w:t>
            </w:r>
          </w:p>
        </w:tc>
        <w:tc>
          <w:tcPr>
            <w:tcW w:w="524" w:type="pct"/>
            <w:hideMark/>
          </w:tcPr>
          <w:p w14:paraId="3D4AD002" w14:textId="77777777" w:rsidR="00CC38F8" w:rsidRPr="00D717E3" w:rsidRDefault="00CC38F8" w:rsidP="00F23EAA">
            <w:pPr>
              <w:pStyle w:val="ExhibitText"/>
              <w:jc w:val="right"/>
              <w:rPr>
                <w:rFonts w:eastAsiaTheme="minorEastAsia"/>
                <w:b/>
                <w:lang w:val="en-GB"/>
              </w:rPr>
            </w:pPr>
            <w:r w:rsidRPr="00D717E3">
              <w:rPr>
                <w:rFonts w:eastAsiaTheme="minorEastAsia"/>
                <w:b/>
                <w:color w:val="000000"/>
                <w:kern w:val="24"/>
                <w:lang w:val="en-GB"/>
              </w:rPr>
              <w:t>635,422</w:t>
            </w:r>
          </w:p>
        </w:tc>
        <w:tc>
          <w:tcPr>
            <w:tcW w:w="523" w:type="pct"/>
            <w:hideMark/>
          </w:tcPr>
          <w:p w14:paraId="7A1AA10F" w14:textId="3623C6DC" w:rsidR="00EE17B8" w:rsidRPr="00D717E3" w:rsidRDefault="00CC38F8" w:rsidP="00F23EAA">
            <w:pPr>
              <w:pStyle w:val="ExhibitText"/>
              <w:jc w:val="right"/>
              <w:rPr>
                <w:rFonts w:eastAsiaTheme="minorEastAsia"/>
                <w:b/>
                <w:lang w:val="en-GB"/>
              </w:rPr>
            </w:pPr>
            <w:r w:rsidRPr="00D717E3">
              <w:rPr>
                <w:rFonts w:eastAsiaTheme="minorEastAsia"/>
                <w:b/>
                <w:color w:val="000000"/>
                <w:kern w:val="24"/>
                <w:lang w:val="en-GB"/>
              </w:rPr>
              <w:t>571,726</w:t>
            </w:r>
          </w:p>
        </w:tc>
        <w:tc>
          <w:tcPr>
            <w:tcW w:w="98" w:type="pct"/>
            <w:tcBorders>
              <w:top w:val="nil"/>
              <w:bottom w:val="nil"/>
              <w:right w:val="nil"/>
            </w:tcBorders>
          </w:tcPr>
          <w:p w14:paraId="6AA1AF76" w14:textId="77777777" w:rsidR="00CC38F8" w:rsidRPr="00D717E3" w:rsidRDefault="00CC38F8" w:rsidP="00CC38F8">
            <w:pPr>
              <w:pStyle w:val="ExhibitText"/>
              <w:rPr>
                <w:rFonts w:eastAsiaTheme="minorEastAsia"/>
                <w:lang w:val="en-GB"/>
              </w:rPr>
            </w:pPr>
          </w:p>
        </w:tc>
      </w:tr>
      <w:tr w:rsidR="00CC38F8" w:rsidRPr="00D717E3" w14:paraId="530E7DCE" w14:textId="77777777" w:rsidTr="006472AF">
        <w:trPr>
          <w:trHeight w:val="64"/>
          <w:jc w:val="center"/>
        </w:trPr>
        <w:tc>
          <w:tcPr>
            <w:tcW w:w="1237" w:type="pct"/>
            <w:hideMark/>
          </w:tcPr>
          <w:p w14:paraId="2A4C0A1C" w14:textId="77777777" w:rsidR="00CC38F8" w:rsidRPr="00D717E3" w:rsidRDefault="00CC38F8" w:rsidP="00CC38F8">
            <w:pPr>
              <w:pStyle w:val="ExhibitText"/>
              <w:jc w:val="left"/>
              <w:rPr>
                <w:rFonts w:eastAsiaTheme="minorEastAsia"/>
                <w:lang w:val="en-GB"/>
              </w:rPr>
            </w:pPr>
            <w:r w:rsidRPr="00D717E3">
              <w:rPr>
                <w:rFonts w:eastAsiaTheme="minorEastAsia"/>
                <w:color w:val="000000"/>
                <w:kern w:val="24"/>
                <w:lang w:val="en-GB"/>
              </w:rPr>
              <w:t>Cost of Revenue</w:t>
            </w:r>
          </w:p>
        </w:tc>
        <w:tc>
          <w:tcPr>
            <w:tcW w:w="524" w:type="pct"/>
            <w:hideMark/>
          </w:tcPr>
          <w:p w14:paraId="422CA911" w14:textId="77777777" w:rsidR="00CC38F8" w:rsidRPr="00D717E3" w:rsidRDefault="00CC38F8" w:rsidP="00F23EAA">
            <w:pPr>
              <w:pStyle w:val="ExhibitText"/>
              <w:jc w:val="right"/>
              <w:rPr>
                <w:rFonts w:eastAsiaTheme="minorEastAsia"/>
                <w:lang w:val="en-GB"/>
              </w:rPr>
            </w:pPr>
            <w:r w:rsidRPr="00D717E3">
              <w:rPr>
                <w:rFonts w:eastAsiaTheme="minorEastAsia"/>
                <w:color w:val="000000"/>
                <w:kern w:val="24"/>
                <w:lang w:val="en-GB"/>
              </w:rPr>
              <w:t>972,362</w:t>
            </w:r>
          </w:p>
        </w:tc>
        <w:tc>
          <w:tcPr>
            <w:tcW w:w="524" w:type="pct"/>
            <w:hideMark/>
          </w:tcPr>
          <w:p w14:paraId="465EC34C" w14:textId="77777777" w:rsidR="00CC38F8" w:rsidRPr="00D717E3" w:rsidRDefault="00CC38F8" w:rsidP="00F23EAA">
            <w:pPr>
              <w:pStyle w:val="ExhibitText"/>
              <w:jc w:val="right"/>
              <w:rPr>
                <w:rFonts w:eastAsiaTheme="minorEastAsia"/>
                <w:lang w:val="en-GB"/>
              </w:rPr>
            </w:pPr>
            <w:r w:rsidRPr="00D717E3">
              <w:rPr>
                <w:rFonts w:eastAsiaTheme="minorEastAsia"/>
                <w:color w:val="000000"/>
                <w:kern w:val="24"/>
                <w:lang w:val="en-GB"/>
              </w:rPr>
              <w:t>1,044,981</w:t>
            </w:r>
          </w:p>
        </w:tc>
        <w:tc>
          <w:tcPr>
            <w:tcW w:w="524" w:type="pct"/>
            <w:hideMark/>
          </w:tcPr>
          <w:p w14:paraId="3C771772" w14:textId="77777777" w:rsidR="00CC38F8" w:rsidRPr="00D717E3" w:rsidRDefault="00CC38F8" w:rsidP="00F23EAA">
            <w:pPr>
              <w:pStyle w:val="ExhibitText"/>
              <w:jc w:val="right"/>
              <w:rPr>
                <w:rFonts w:eastAsiaTheme="minorEastAsia"/>
                <w:lang w:val="en-GB"/>
              </w:rPr>
            </w:pPr>
            <w:r w:rsidRPr="00D717E3">
              <w:rPr>
                <w:rFonts w:eastAsiaTheme="minorEastAsia"/>
                <w:color w:val="000000"/>
                <w:kern w:val="24"/>
                <w:lang w:val="en-GB"/>
              </w:rPr>
              <w:t>859,131</w:t>
            </w:r>
          </w:p>
        </w:tc>
        <w:tc>
          <w:tcPr>
            <w:tcW w:w="524" w:type="pct"/>
            <w:hideMark/>
          </w:tcPr>
          <w:p w14:paraId="3FCB4C47" w14:textId="77777777" w:rsidR="00CC38F8" w:rsidRPr="00D717E3" w:rsidRDefault="00CC38F8" w:rsidP="00F23EAA">
            <w:pPr>
              <w:pStyle w:val="ExhibitText"/>
              <w:jc w:val="right"/>
              <w:rPr>
                <w:rFonts w:eastAsiaTheme="minorEastAsia"/>
                <w:lang w:val="en-GB"/>
              </w:rPr>
            </w:pPr>
            <w:r w:rsidRPr="00D717E3">
              <w:rPr>
                <w:rFonts w:eastAsiaTheme="minorEastAsia"/>
                <w:color w:val="000000"/>
                <w:kern w:val="24"/>
                <w:lang w:val="en-GB"/>
              </w:rPr>
              <w:t>626,379</w:t>
            </w:r>
          </w:p>
        </w:tc>
        <w:tc>
          <w:tcPr>
            <w:tcW w:w="524" w:type="pct"/>
            <w:hideMark/>
          </w:tcPr>
          <w:p w14:paraId="753A0DCA" w14:textId="77777777" w:rsidR="00CC38F8" w:rsidRPr="00D717E3" w:rsidRDefault="00CC38F8" w:rsidP="00F23EAA">
            <w:pPr>
              <w:pStyle w:val="ExhibitText"/>
              <w:jc w:val="right"/>
              <w:rPr>
                <w:rFonts w:eastAsiaTheme="minorEastAsia"/>
                <w:lang w:val="en-GB"/>
              </w:rPr>
            </w:pPr>
            <w:r w:rsidRPr="00D717E3">
              <w:rPr>
                <w:rFonts w:eastAsiaTheme="minorEastAsia"/>
                <w:color w:val="000000"/>
                <w:kern w:val="24"/>
                <w:lang w:val="en-GB"/>
              </w:rPr>
              <w:t>493,997</w:t>
            </w:r>
          </w:p>
        </w:tc>
        <w:tc>
          <w:tcPr>
            <w:tcW w:w="524" w:type="pct"/>
            <w:hideMark/>
          </w:tcPr>
          <w:p w14:paraId="4F3001F5" w14:textId="77777777" w:rsidR="00CC38F8" w:rsidRPr="00D717E3" w:rsidRDefault="00CC38F8" w:rsidP="00F23EAA">
            <w:pPr>
              <w:pStyle w:val="ExhibitText"/>
              <w:jc w:val="right"/>
              <w:rPr>
                <w:rFonts w:eastAsiaTheme="minorEastAsia"/>
                <w:lang w:val="en-GB"/>
              </w:rPr>
            </w:pPr>
            <w:r w:rsidRPr="00D717E3">
              <w:rPr>
                <w:rFonts w:eastAsiaTheme="minorEastAsia"/>
                <w:color w:val="000000"/>
                <w:kern w:val="24"/>
                <w:lang w:val="en-GB"/>
              </w:rPr>
              <w:t>495,068</w:t>
            </w:r>
          </w:p>
        </w:tc>
        <w:tc>
          <w:tcPr>
            <w:tcW w:w="523" w:type="pct"/>
            <w:hideMark/>
          </w:tcPr>
          <w:p w14:paraId="7FC7EC57" w14:textId="1590A730" w:rsidR="00EE17B8" w:rsidRPr="00D717E3" w:rsidRDefault="00CC38F8" w:rsidP="00F23EAA">
            <w:pPr>
              <w:pStyle w:val="ExhibitText"/>
              <w:jc w:val="right"/>
              <w:rPr>
                <w:rFonts w:eastAsiaTheme="minorEastAsia"/>
                <w:lang w:val="en-GB"/>
              </w:rPr>
            </w:pPr>
            <w:r w:rsidRPr="00D717E3">
              <w:rPr>
                <w:rFonts w:eastAsiaTheme="minorEastAsia"/>
                <w:color w:val="000000"/>
                <w:kern w:val="24"/>
                <w:lang w:val="en-GB"/>
              </w:rPr>
              <w:t>408,506</w:t>
            </w:r>
          </w:p>
        </w:tc>
        <w:tc>
          <w:tcPr>
            <w:tcW w:w="98" w:type="pct"/>
            <w:tcBorders>
              <w:top w:val="nil"/>
              <w:bottom w:val="nil"/>
              <w:right w:val="nil"/>
            </w:tcBorders>
          </w:tcPr>
          <w:p w14:paraId="33C2CBBA" w14:textId="77777777" w:rsidR="00CC38F8" w:rsidRPr="00D717E3" w:rsidRDefault="00CC38F8" w:rsidP="00CC38F8">
            <w:pPr>
              <w:pStyle w:val="ExhibitText"/>
              <w:rPr>
                <w:rFonts w:eastAsiaTheme="minorEastAsia"/>
                <w:lang w:val="en-GB"/>
              </w:rPr>
            </w:pPr>
          </w:p>
        </w:tc>
      </w:tr>
      <w:tr w:rsidR="00CC38F8" w:rsidRPr="00D717E3" w14:paraId="08B70E46" w14:textId="77777777" w:rsidTr="006472AF">
        <w:trPr>
          <w:trHeight w:val="64"/>
          <w:jc w:val="center"/>
        </w:trPr>
        <w:tc>
          <w:tcPr>
            <w:tcW w:w="1237" w:type="pct"/>
            <w:hideMark/>
          </w:tcPr>
          <w:p w14:paraId="6DFD1C81" w14:textId="77777777" w:rsidR="00CC38F8" w:rsidRPr="00D717E3" w:rsidRDefault="00CC38F8" w:rsidP="00CC38F8">
            <w:pPr>
              <w:pStyle w:val="ExhibitText"/>
              <w:jc w:val="left"/>
              <w:rPr>
                <w:rFonts w:eastAsiaTheme="minorEastAsia"/>
                <w:b/>
                <w:lang w:val="en-GB"/>
              </w:rPr>
            </w:pPr>
            <w:r w:rsidRPr="00D717E3">
              <w:rPr>
                <w:rFonts w:eastAsiaTheme="minorEastAsia"/>
                <w:b/>
                <w:color w:val="000000"/>
                <w:kern w:val="24"/>
                <w:lang w:val="en-GB"/>
              </w:rPr>
              <w:t>Gross Profit</w:t>
            </w:r>
          </w:p>
        </w:tc>
        <w:tc>
          <w:tcPr>
            <w:tcW w:w="524" w:type="pct"/>
            <w:hideMark/>
          </w:tcPr>
          <w:p w14:paraId="223B6472" w14:textId="77777777" w:rsidR="00CC38F8" w:rsidRPr="00D717E3" w:rsidRDefault="00CC38F8" w:rsidP="00F23EAA">
            <w:pPr>
              <w:pStyle w:val="ExhibitText"/>
              <w:jc w:val="right"/>
              <w:rPr>
                <w:rFonts w:eastAsiaTheme="minorEastAsia"/>
                <w:b/>
                <w:lang w:val="en-GB"/>
              </w:rPr>
            </w:pPr>
            <w:r w:rsidRPr="00D717E3">
              <w:rPr>
                <w:rFonts w:eastAsiaTheme="minorEastAsia"/>
                <w:b/>
                <w:color w:val="000000"/>
                <w:kern w:val="24"/>
                <w:lang w:val="en-GB"/>
              </w:rPr>
              <w:t>700,061</w:t>
            </w:r>
          </w:p>
        </w:tc>
        <w:tc>
          <w:tcPr>
            <w:tcW w:w="524" w:type="pct"/>
            <w:hideMark/>
          </w:tcPr>
          <w:p w14:paraId="5B892C53" w14:textId="77777777" w:rsidR="00CC38F8" w:rsidRPr="00D717E3" w:rsidRDefault="00CC38F8" w:rsidP="00F23EAA">
            <w:pPr>
              <w:pStyle w:val="ExhibitText"/>
              <w:jc w:val="right"/>
              <w:rPr>
                <w:rFonts w:eastAsiaTheme="minorEastAsia"/>
                <w:b/>
                <w:lang w:val="en-GB"/>
              </w:rPr>
            </w:pPr>
            <w:r w:rsidRPr="00D717E3">
              <w:rPr>
                <w:rFonts w:eastAsiaTheme="minorEastAsia"/>
                <w:b/>
                <w:color w:val="000000"/>
                <w:kern w:val="24"/>
                <w:lang w:val="en-GB"/>
              </w:rPr>
              <w:t>793,641</w:t>
            </w:r>
          </w:p>
        </w:tc>
        <w:tc>
          <w:tcPr>
            <w:tcW w:w="524" w:type="pct"/>
            <w:hideMark/>
          </w:tcPr>
          <w:p w14:paraId="38764DDC" w14:textId="77777777" w:rsidR="00CC38F8" w:rsidRPr="00D717E3" w:rsidRDefault="00CC38F8" w:rsidP="00F23EAA">
            <w:pPr>
              <w:pStyle w:val="ExhibitText"/>
              <w:jc w:val="right"/>
              <w:rPr>
                <w:rFonts w:eastAsiaTheme="minorEastAsia"/>
                <w:b/>
                <w:lang w:val="en-GB"/>
              </w:rPr>
            </w:pPr>
            <w:r w:rsidRPr="00D717E3">
              <w:rPr>
                <w:rFonts w:eastAsiaTheme="minorEastAsia"/>
                <w:b/>
                <w:color w:val="000000"/>
                <w:kern w:val="24"/>
                <w:lang w:val="en-GB"/>
              </w:rPr>
              <w:t>575,234</w:t>
            </w:r>
          </w:p>
        </w:tc>
        <w:tc>
          <w:tcPr>
            <w:tcW w:w="524" w:type="pct"/>
            <w:hideMark/>
          </w:tcPr>
          <w:p w14:paraId="2D95C55E" w14:textId="77777777" w:rsidR="00CC38F8" w:rsidRPr="00D717E3" w:rsidRDefault="00CC38F8" w:rsidP="00F23EAA">
            <w:pPr>
              <w:pStyle w:val="ExhibitText"/>
              <w:jc w:val="right"/>
              <w:rPr>
                <w:rFonts w:eastAsiaTheme="minorEastAsia"/>
                <w:b/>
                <w:lang w:val="en-GB"/>
              </w:rPr>
            </w:pPr>
            <w:r w:rsidRPr="00D717E3">
              <w:rPr>
                <w:rFonts w:eastAsiaTheme="minorEastAsia"/>
                <w:b/>
                <w:color w:val="000000"/>
                <w:kern w:val="24"/>
                <w:lang w:val="en-GB"/>
              </w:rPr>
              <w:t>387,966</w:t>
            </w:r>
          </w:p>
        </w:tc>
        <w:tc>
          <w:tcPr>
            <w:tcW w:w="524" w:type="pct"/>
            <w:hideMark/>
          </w:tcPr>
          <w:p w14:paraId="65C175D2" w14:textId="77777777" w:rsidR="00CC38F8" w:rsidRPr="00D717E3" w:rsidRDefault="00CC38F8" w:rsidP="00F23EAA">
            <w:pPr>
              <w:pStyle w:val="ExhibitText"/>
              <w:jc w:val="right"/>
              <w:rPr>
                <w:rFonts w:eastAsiaTheme="minorEastAsia"/>
                <w:b/>
                <w:lang w:val="en-GB"/>
              </w:rPr>
            </w:pPr>
            <w:r w:rsidRPr="00D717E3">
              <w:rPr>
                <w:rFonts w:eastAsiaTheme="minorEastAsia"/>
                <w:b/>
                <w:color w:val="000000"/>
                <w:kern w:val="24"/>
                <w:lang w:val="en-GB"/>
              </w:rPr>
              <w:t>153,655</w:t>
            </w:r>
          </w:p>
        </w:tc>
        <w:tc>
          <w:tcPr>
            <w:tcW w:w="524" w:type="pct"/>
            <w:hideMark/>
          </w:tcPr>
          <w:p w14:paraId="49D1EEDA" w14:textId="77777777" w:rsidR="00CC38F8" w:rsidRPr="00D717E3" w:rsidRDefault="00CC38F8" w:rsidP="00F23EAA">
            <w:pPr>
              <w:pStyle w:val="ExhibitText"/>
              <w:jc w:val="right"/>
              <w:rPr>
                <w:rFonts w:eastAsiaTheme="minorEastAsia"/>
                <w:b/>
                <w:lang w:val="en-GB"/>
              </w:rPr>
            </w:pPr>
            <w:r w:rsidRPr="00D717E3">
              <w:rPr>
                <w:rFonts w:eastAsiaTheme="minorEastAsia"/>
                <w:b/>
                <w:color w:val="000000"/>
                <w:kern w:val="24"/>
                <w:lang w:val="en-GB"/>
              </w:rPr>
              <w:t>140,354</w:t>
            </w:r>
          </w:p>
        </w:tc>
        <w:tc>
          <w:tcPr>
            <w:tcW w:w="523" w:type="pct"/>
            <w:hideMark/>
          </w:tcPr>
          <w:p w14:paraId="15C4FAD0" w14:textId="696A97EE" w:rsidR="00EE17B8" w:rsidRPr="00D717E3" w:rsidRDefault="00CC38F8" w:rsidP="00F23EAA">
            <w:pPr>
              <w:pStyle w:val="ExhibitText"/>
              <w:jc w:val="right"/>
              <w:rPr>
                <w:rFonts w:eastAsiaTheme="minorEastAsia"/>
                <w:b/>
                <w:lang w:val="en-GB"/>
              </w:rPr>
            </w:pPr>
            <w:r w:rsidRPr="00D717E3">
              <w:rPr>
                <w:rFonts w:eastAsiaTheme="minorEastAsia"/>
                <w:b/>
                <w:color w:val="000000"/>
                <w:kern w:val="24"/>
                <w:lang w:val="en-GB"/>
              </w:rPr>
              <w:t>163,220</w:t>
            </w:r>
          </w:p>
        </w:tc>
        <w:tc>
          <w:tcPr>
            <w:tcW w:w="98" w:type="pct"/>
            <w:tcBorders>
              <w:top w:val="nil"/>
              <w:bottom w:val="nil"/>
              <w:right w:val="nil"/>
            </w:tcBorders>
          </w:tcPr>
          <w:p w14:paraId="40D6BA54" w14:textId="77777777" w:rsidR="00CC38F8" w:rsidRPr="00D717E3" w:rsidRDefault="00CC38F8" w:rsidP="00CC38F8">
            <w:pPr>
              <w:pStyle w:val="ExhibitText"/>
              <w:rPr>
                <w:rFonts w:eastAsiaTheme="minorEastAsia"/>
                <w:lang w:val="en-GB"/>
              </w:rPr>
            </w:pPr>
          </w:p>
        </w:tc>
      </w:tr>
      <w:tr w:rsidR="00CC38F8" w:rsidRPr="00D717E3" w14:paraId="61920BC7" w14:textId="77777777" w:rsidTr="006472AF">
        <w:trPr>
          <w:trHeight w:val="64"/>
          <w:jc w:val="center"/>
        </w:trPr>
        <w:tc>
          <w:tcPr>
            <w:tcW w:w="1237" w:type="pct"/>
            <w:hideMark/>
          </w:tcPr>
          <w:p w14:paraId="71AB3A2A" w14:textId="77777777" w:rsidR="00CC38F8" w:rsidRPr="00D717E3" w:rsidRDefault="00CC38F8" w:rsidP="00CC38F8">
            <w:pPr>
              <w:pStyle w:val="ExhibitText"/>
              <w:jc w:val="left"/>
              <w:rPr>
                <w:rFonts w:eastAsiaTheme="minorEastAsia"/>
                <w:lang w:val="en-GB"/>
              </w:rPr>
            </w:pPr>
            <w:r w:rsidRPr="00D717E3">
              <w:rPr>
                <w:rFonts w:eastAsiaTheme="minorEastAsia"/>
                <w:color w:val="000000"/>
                <w:kern w:val="24"/>
                <w:lang w:val="en-GB"/>
              </w:rPr>
              <w:t>Operating Expenses</w:t>
            </w:r>
          </w:p>
        </w:tc>
        <w:tc>
          <w:tcPr>
            <w:tcW w:w="524" w:type="pct"/>
            <w:hideMark/>
          </w:tcPr>
          <w:p w14:paraId="50E359F0" w14:textId="77777777" w:rsidR="00CC38F8" w:rsidRPr="00D717E3" w:rsidRDefault="00CC38F8" w:rsidP="00F23EAA">
            <w:pPr>
              <w:pStyle w:val="ExhibitText"/>
              <w:jc w:val="right"/>
              <w:rPr>
                <w:rFonts w:eastAsiaTheme="minorEastAsia"/>
                <w:lang w:val="en-GB"/>
              </w:rPr>
            </w:pPr>
            <w:r w:rsidRPr="00D717E3">
              <w:rPr>
                <w:rFonts w:eastAsiaTheme="minorEastAsia"/>
                <w:color w:val="000000"/>
                <w:kern w:val="24"/>
                <w:lang w:val="en-GB"/>
              </w:rPr>
              <w:t>212,841</w:t>
            </w:r>
          </w:p>
        </w:tc>
        <w:tc>
          <w:tcPr>
            <w:tcW w:w="524" w:type="pct"/>
            <w:hideMark/>
          </w:tcPr>
          <w:p w14:paraId="3CFE2F9E" w14:textId="77777777" w:rsidR="00CC38F8" w:rsidRPr="00D717E3" w:rsidRDefault="00CC38F8" w:rsidP="00F23EAA">
            <w:pPr>
              <w:pStyle w:val="ExhibitText"/>
              <w:jc w:val="right"/>
              <w:rPr>
                <w:rFonts w:eastAsiaTheme="minorEastAsia"/>
                <w:lang w:val="en-GB"/>
              </w:rPr>
            </w:pPr>
            <w:r w:rsidRPr="00D717E3">
              <w:rPr>
                <w:rFonts w:eastAsiaTheme="minorEastAsia"/>
                <w:color w:val="000000"/>
                <w:kern w:val="24"/>
                <w:lang w:val="en-GB"/>
              </w:rPr>
              <w:t>238,378</w:t>
            </w:r>
          </w:p>
        </w:tc>
        <w:tc>
          <w:tcPr>
            <w:tcW w:w="524" w:type="pct"/>
            <w:hideMark/>
          </w:tcPr>
          <w:p w14:paraId="7E759BA8" w14:textId="77777777" w:rsidR="00CC38F8" w:rsidRPr="00D717E3" w:rsidRDefault="00CC38F8" w:rsidP="00F23EAA">
            <w:pPr>
              <w:pStyle w:val="ExhibitText"/>
              <w:jc w:val="right"/>
              <w:rPr>
                <w:rFonts w:eastAsiaTheme="minorEastAsia"/>
                <w:lang w:val="en-GB"/>
              </w:rPr>
            </w:pPr>
            <w:r w:rsidRPr="00D717E3">
              <w:rPr>
                <w:rFonts w:eastAsiaTheme="minorEastAsia"/>
                <w:color w:val="000000"/>
                <w:kern w:val="24"/>
                <w:lang w:val="en-GB"/>
              </w:rPr>
              <w:t>218,667</w:t>
            </w:r>
          </w:p>
        </w:tc>
        <w:tc>
          <w:tcPr>
            <w:tcW w:w="524" w:type="pct"/>
            <w:hideMark/>
          </w:tcPr>
          <w:p w14:paraId="00E18561" w14:textId="77777777" w:rsidR="00CC38F8" w:rsidRPr="00D717E3" w:rsidRDefault="00CC38F8" w:rsidP="00F23EAA">
            <w:pPr>
              <w:pStyle w:val="ExhibitText"/>
              <w:jc w:val="right"/>
              <w:rPr>
                <w:rFonts w:eastAsiaTheme="minorEastAsia"/>
                <w:lang w:val="en-GB"/>
              </w:rPr>
            </w:pPr>
            <w:r w:rsidRPr="00D717E3">
              <w:rPr>
                <w:rFonts w:eastAsiaTheme="minorEastAsia"/>
                <w:color w:val="000000"/>
                <w:kern w:val="24"/>
                <w:lang w:val="en-GB"/>
              </w:rPr>
              <w:t>216,890</w:t>
            </w:r>
          </w:p>
        </w:tc>
        <w:tc>
          <w:tcPr>
            <w:tcW w:w="524" w:type="pct"/>
            <w:hideMark/>
          </w:tcPr>
          <w:p w14:paraId="66C68BC4" w14:textId="77777777" w:rsidR="00CC38F8" w:rsidRPr="00D717E3" w:rsidRDefault="00CC38F8" w:rsidP="00F23EAA">
            <w:pPr>
              <w:pStyle w:val="ExhibitText"/>
              <w:jc w:val="right"/>
              <w:rPr>
                <w:rFonts w:eastAsiaTheme="minorEastAsia"/>
                <w:lang w:val="en-GB"/>
              </w:rPr>
            </w:pPr>
            <w:r w:rsidRPr="00D717E3">
              <w:rPr>
                <w:rFonts w:eastAsiaTheme="minorEastAsia"/>
                <w:color w:val="000000"/>
                <w:kern w:val="24"/>
                <w:lang w:val="en-GB"/>
              </w:rPr>
              <w:t>190,975</w:t>
            </w:r>
          </w:p>
        </w:tc>
        <w:tc>
          <w:tcPr>
            <w:tcW w:w="524" w:type="pct"/>
            <w:hideMark/>
          </w:tcPr>
          <w:p w14:paraId="69ECBA84" w14:textId="77777777" w:rsidR="00CC38F8" w:rsidRPr="00D717E3" w:rsidRDefault="00CC38F8" w:rsidP="00F23EAA">
            <w:pPr>
              <w:pStyle w:val="ExhibitText"/>
              <w:jc w:val="right"/>
              <w:rPr>
                <w:rFonts w:eastAsiaTheme="minorEastAsia"/>
                <w:lang w:val="en-GB"/>
              </w:rPr>
            </w:pPr>
            <w:r w:rsidRPr="00D717E3">
              <w:rPr>
                <w:rFonts w:eastAsiaTheme="minorEastAsia"/>
                <w:color w:val="000000"/>
                <w:kern w:val="24"/>
                <w:lang w:val="en-GB"/>
              </w:rPr>
              <w:t>176,764</w:t>
            </w:r>
          </w:p>
        </w:tc>
        <w:tc>
          <w:tcPr>
            <w:tcW w:w="523" w:type="pct"/>
            <w:hideMark/>
          </w:tcPr>
          <w:p w14:paraId="39BC36DD" w14:textId="395367D8" w:rsidR="00EE17B8" w:rsidRPr="00D717E3" w:rsidRDefault="00CC38F8" w:rsidP="00F23EAA">
            <w:pPr>
              <w:pStyle w:val="ExhibitText"/>
              <w:jc w:val="right"/>
              <w:rPr>
                <w:rFonts w:eastAsiaTheme="minorEastAsia"/>
                <w:lang w:val="en-GB"/>
              </w:rPr>
            </w:pPr>
            <w:r w:rsidRPr="00D717E3">
              <w:rPr>
                <w:rFonts w:eastAsiaTheme="minorEastAsia"/>
                <w:color w:val="000000"/>
                <w:kern w:val="24"/>
                <w:lang w:val="en-GB"/>
              </w:rPr>
              <w:t>209,645</w:t>
            </w:r>
          </w:p>
        </w:tc>
        <w:tc>
          <w:tcPr>
            <w:tcW w:w="98" w:type="pct"/>
            <w:tcBorders>
              <w:top w:val="nil"/>
              <w:bottom w:val="nil"/>
              <w:right w:val="nil"/>
            </w:tcBorders>
          </w:tcPr>
          <w:p w14:paraId="04919F1F" w14:textId="77777777" w:rsidR="00CC38F8" w:rsidRPr="00D717E3" w:rsidRDefault="00CC38F8" w:rsidP="00CC38F8">
            <w:pPr>
              <w:pStyle w:val="ExhibitText"/>
              <w:rPr>
                <w:rFonts w:eastAsiaTheme="minorEastAsia"/>
                <w:lang w:val="en-GB"/>
              </w:rPr>
            </w:pPr>
          </w:p>
        </w:tc>
      </w:tr>
      <w:tr w:rsidR="00CC38F8" w:rsidRPr="00D717E3" w14:paraId="0278C435" w14:textId="77777777" w:rsidTr="006472AF">
        <w:trPr>
          <w:trHeight w:val="64"/>
          <w:jc w:val="center"/>
        </w:trPr>
        <w:tc>
          <w:tcPr>
            <w:tcW w:w="1237" w:type="pct"/>
            <w:hideMark/>
          </w:tcPr>
          <w:p w14:paraId="3ADAAEE1" w14:textId="77777777" w:rsidR="00CC38F8" w:rsidRPr="00D717E3" w:rsidRDefault="00CC38F8" w:rsidP="00CC38F8">
            <w:pPr>
              <w:pStyle w:val="ExhibitText"/>
              <w:jc w:val="left"/>
              <w:rPr>
                <w:rFonts w:eastAsiaTheme="minorEastAsia"/>
                <w:lang w:val="en-GB"/>
              </w:rPr>
            </w:pPr>
            <w:r w:rsidRPr="00D717E3">
              <w:rPr>
                <w:rFonts w:eastAsiaTheme="minorEastAsia"/>
                <w:color w:val="000000"/>
                <w:kern w:val="24"/>
                <w:lang w:val="en-GB"/>
              </w:rPr>
              <w:t>Operating Income or Losses</w:t>
            </w:r>
          </w:p>
        </w:tc>
        <w:tc>
          <w:tcPr>
            <w:tcW w:w="524" w:type="pct"/>
            <w:hideMark/>
          </w:tcPr>
          <w:p w14:paraId="7273C28E" w14:textId="77777777" w:rsidR="00CC38F8" w:rsidRPr="00D717E3" w:rsidRDefault="00CC38F8" w:rsidP="00F23EAA">
            <w:pPr>
              <w:pStyle w:val="ExhibitText"/>
              <w:jc w:val="right"/>
              <w:rPr>
                <w:rFonts w:eastAsiaTheme="minorEastAsia"/>
                <w:lang w:val="en-GB"/>
              </w:rPr>
            </w:pPr>
            <w:r w:rsidRPr="00D717E3">
              <w:rPr>
                <w:rFonts w:eastAsiaTheme="minorEastAsia"/>
                <w:color w:val="000000"/>
                <w:kern w:val="24"/>
                <w:lang w:val="en-GB"/>
              </w:rPr>
              <w:t>487,220</w:t>
            </w:r>
          </w:p>
        </w:tc>
        <w:tc>
          <w:tcPr>
            <w:tcW w:w="524" w:type="pct"/>
            <w:hideMark/>
          </w:tcPr>
          <w:p w14:paraId="5DFBB31A" w14:textId="77777777" w:rsidR="00CC38F8" w:rsidRPr="00D717E3" w:rsidRDefault="00CC38F8" w:rsidP="00F23EAA">
            <w:pPr>
              <w:pStyle w:val="ExhibitText"/>
              <w:jc w:val="right"/>
              <w:rPr>
                <w:rFonts w:eastAsiaTheme="minorEastAsia"/>
                <w:lang w:val="en-GB"/>
              </w:rPr>
            </w:pPr>
            <w:r w:rsidRPr="00D717E3">
              <w:rPr>
                <w:rFonts w:eastAsiaTheme="minorEastAsia"/>
                <w:color w:val="000000"/>
                <w:kern w:val="24"/>
                <w:lang w:val="en-GB"/>
              </w:rPr>
              <w:t>555,263</w:t>
            </w:r>
          </w:p>
        </w:tc>
        <w:tc>
          <w:tcPr>
            <w:tcW w:w="524" w:type="pct"/>
            <w:hideMark/>
          </w:tcPr>
          <w:p w14:paraId="1C12CD7B" w14:textId="77777777" w:rsidR="00CC38F8" w:rsidRPr="00D717E3" w:rsidRDefault="00CC38F8" w:rsidP="00F23EAA">
            <w:pPr>
              <w:pStyle w:val="ExhibitText"/>
              <w:jc w:val="right"/>
              <w:rPr>
                <w:rFonts w:eastAsiaTheme="minorEastAsia"/>
                <w:lang w:val="en-GB"/>
              </w:rPr>
            </w:pPr>
            <w:r w:rsidRPr="00D717E3">
              <w:rPr>
                <w:rFonts w:eastAsiaTheme="minorEastAsia"/>
                <w:color w:val="000000"/>
                <w:kern w:val="24"/>
                <w:lang w:val="en-GB"/>
              </w:rPr>
              <w:t>356,567</w:t>
            </w:r>
          </w:p>
        </w:tc>
        <w:tc>
          <w:tcPr>
            <w:tcW w:w="524" w:type="pct"/>
            <w:hideMark/>
          </w:tcPr>
          <w:p w14:paraId="1861A3C7" w14:textId="77777777" w:rsidR="00CC38F8" w:rsidRPr="00D717E3" w:rsidRDefault="00CC38F8" w:rsidP="00F23EAA">
            <w:pPr>
              <w:pStyle w:val="ExhibitText"/>
              <w:jc w:val="right"/>
              <w:rPr>
                <w:rFonts w:eastAsiaTheme="minorEastAsia"/>
                <w:lang w:val="en-GB"/>
              </w:rPr>
            </w:pPr>
            <w:r w:rsidRPr="00D717E3">
              <w:rPr>
                <w:rFonts w:eastAsiaTheme="minorEastAsia"/>
                <w:color w:val="000000"/>
                <w:kern w:val="24"/>
                <w:lang w:val="en-GB"/>
              </w:rPr>
              <w:t>171,076</w:t>
            </w:r>
          </w:p>
        </w:tc>
        <w:tc>
          <w:tcPr>
            <w:tcW w:w="524" w:type="pct"/>
            <w:hideMark/>
          </w:tcPr>
          <w:p w14:paraId="74D4D6B1" w14:textId="39F72659" w:rsidR="00CC38F8" w:rsidRPr="00D717E3" w:rsidRDefault="00CA18B4" w:rsidP="00F23EAA">
            <w:pPr>
              <w:pStyle w:val="ExhibitText"/>
              <w:jc w:val="right"/>
              <w:rPr>
                <w:rFonts w:eastAsiaTheme="minorEastAsia"/>
                <w:lang w:val="en-GB"/>
              </w:rPr>
            </w:pPr>
            <w:r w:rsidRPr="00D717E3">
              <w:rPr>
                <w:rFonts w:eastAsiaTheme="minorEastAsia"/>
                <w:color w:val="000000"/>
                <w:kern w:val="24"/>
                <w:lang w:val="en-GB"/>
              </w:rPr>
              <w:t>−</w:t>
            </w:r>
            <w:r w:rsidR="00CC38F8" w:rsidRPr="00D717E3">
              <w:rPr>
                <w:rFonts w:eastAsiaTheme="minorEastAsia"/>
                <w:color w:val="000000"/>
                <w:kern w:val="24"/>
                <w:lang w:val="en-GB"/>
              </w:rPr>
              <w:t>37,320</w:t>
            </w:r>
          </w:p>
        </w:tc>
        <w:tc>
          <w:tcPr>
            <w:tcW w:w="524" w:type="pct"/>
            <w:hideMark/>
          </w:tcPr>
          <w:p w14:paraId="243D367E" w14:textId="5986EBAA" w:rsidR="00CC38F8" w:rsidRPr="00D717E3" w:rsidRDefault="00CA18B4" w:rsidP="00F23EAA">
            <w:pPr>
              <w:pStyle w:val="ExhibitText"/>
              <w:jc w:val="right"/>
              <w:rPr>
                <w:rFonts w:eastAsiaTheme="minorEastAsia"/>
                <w:lang w:val="en-GB"/>
              </w:rPr>
            </w:pPr>
            <w:r w:rsidRPr="00D717E3">
              <w:rPr>
                <w:rFonts w:eastAsiaTheme="minorEastAsia"/>
                <w:color w:val="000000"/>
                <w:kern w:val="24"/>
                <w:lang w:val="en-GB"/>
              </w:rPr>
              <w:t>−</w:t>
            </w:r>
            <w:r w:rsidR="00CC38F8" w:rsidRPr="00D717E3">
              <w:rPr>
                <w:rFonts w:eastAsiaTheme="minorEastAsia"/>
                <w:color w:val="000000"/>
                <w:kern w:val="24"/>
                <w:lang w:val="en-GB"/>
              </w:rPr>
              <w:t>36,410</w:t>
            </w:r>
          </w:p>
        </w:tc>
        <w:tc>
          <w:tcPr>
            <w:tcW w:w="523" w:type="pct"/>
            <w:hideMark/>
          </w:tcPr>
          <w:p w14:paraId="5B6052B8" w14:textId="280BAF9A" w:rsidR="00EE17B8" w:rsidRPr="00D717E3" w:rsidRDefault="00CA18B4" w:rsidP="00F23EAA">
            <w:pPr>
              <w:pStyle w:val="ExhibitText"/>
              <w:jc w:val="right"/>
              <w:rPr>
                <w:rFonts w:eastAsiaTheme="minorEastAsia"/>
                <w:lang w:val="en-GB"/>
              </w:rPr>
            </w:pPr>
            <w:r w:rsidRPr="00D717E3">
              <w:rPr>
                <w:rFonts w:eastAsiaTheme="minorEastAsia"/>
                <w:color w:val="000000"/>
                <w:kern w:val="24"/>
                <w:lang w:val="en-GB"/>
              </w:rPr>
              <w:t>−</w:t>
            </w:r>
            <w:r w:rsidR="00CC38F8" w:rsidRPr="00D717E3">
              <w:rPr>
                <w:rFonts w:eastAsiaTheme="minorEastAsia"/>
                <w:color w:val="000000"/>
                <w:kern w:val="24"/>
                <w:lang w:val="en-GB"/>
              </w:rPr>
              <w:t>46,425</w:t>
            </w:r>
          </w:p>
        </w:tc>
        <w:tc>
          <w:tcPr>
            <w:tcW w:w="98" w:type="pct"/>
            <w:tcBorders>
              <w:top w:val="nil"/>
              <w:bottom w:val="nil"/>
              <w:right w:val="nil"/>
            </w:tcBorders>
          </w:tcPr>
          <w:p w14:paraId="1952399C" w14:textId="77777777" w:rsidR="00CC38F8" w:rsidRPr="00D717E3" w:rsidRDefault="00CC38F8" w:rsidP="00CC38F8">
            <w:pPr>
              <w:pStyle w:val="ExhibitText"/>
              <w:rPr>
                <w:rFonts w:eastAsiaTheme="minorEastAsia"/>
                <w:lang w:val="en-GB"/>
              </w:rPr>
            </w:pPr>
          </w:p>
        </w:tc>
      </w:tr>
      <w:tr w:rsidR="00CC38F8" w:rsidRPr="00D717E3" w14:paraId="083C4A7D" w14:textId="77777777" w:rsidTr="006472AF">
        <w:trPr>
          <w:trHeight w:val="64"/>
          <w:jc w:val="center"/>
        </w:trPr>
        <w:tc>
          <w:tcPr>
            <w:tcW w:w="1237" w:type="pct"/>
            <w:hideMark/>
          </w:tcPr>
          <w:p w14:paraId="6E0BD102" w14:textId="7FFDCDC0" w:rsidR="00CC38F8" w:rsidRPr="00D717E3" w:rsidRDefault="00D51026" w:rsidP="00F23EAA">
            <w:pPr>
              <w:pStyle w:val="ExhibitText"/>
              <w:jc w:val="left"/>
              <w:rPr>
                <w:rFonts w:eastAsiaTheme="minorEastAsia"/>
                <w:lang w:val="en-GB"/>
              </w:rPr>
            </w:pPr>
            <w:r w:rsidRPr="00D717E3">
              <w:rPr>
                <w:rFonts w:eastAsiaTheme="minorEastAsia"/>
                <w:color w:val="000000"/>
                <w:kern w:val="24"/>
                <w:lang w:val="en-GB"/>
              </w:rPr>
              <w:t xml:space="preserve"> </w:t>
            </w:r>
            <w:r w:rsidR="00CC38F8" w:rsidRPr="00D717E3">
              <w:rPr>
                <w:rFonts w:eastAsiaTheme="minorEastAsia"/>
                <w:color w:val="000000"/>
                <w:kern w:val="24"/>
                <w:lang w:val="en-GB"/>
              </w:rPr>
              <w:t xml:space="preserve"> Foreign Exchange Losses (Gain)</w:t>
            </w:r>
          </w:p>
        </w:tc>
        <w:tc>
          <w:tcPr>
            <w:tcW w:w="524" w:type="pct"/>
            <w:hideMark/>
          </w:tcPr>
          <w:p w14:paraId="565E3CED" w14:textId="77777777" w:rsidR="00CC38F8" w:rsidRPr="00D717E3" w:rsidRDefault="00CC38F8" w:rsidP="00F23EAA">
            <w:pPr>
              <w:pStyle w:val="ExhibitText"/>
              <w:jc w:val="right"/>
              <w:rPr>
                <w:rFonts w:eastAsiaTheme="minorEastAsia"/>
                <w:lang w:val="en-GB"/>
              </w:rPr>
            </w:pPr>
            <w:r w:rsidRPr="00D717E3">
              <w:rPr>
                <w:rFonts w:eastAsiaTheme="minorEastAsia"/>
                <w:color w:val="000000"/>
                <w:kern w:val="24"/>
                <w:lang w:val="en-GB"/>
              </w:rPr>
              <w:t>92,346</w:t>
            </w:r>
          </w:p>
        </w:tc>
        <w:tc>
          <w:tcPr>
            <w:tcW w:w="524" w:type="pct"/>
            <w:hideMark/>
          </w:tcPr>
          <w:p w14:paraId="785442F6" w14:textId="77777777" w:rsidR="00CC38F8" w:rsidRPr="00D717E3" w:rsidRDefault="00CC38F8" w:rsidP="00F23EAA">
            <w:pPr>
              <w:pStyle w:val="ExhibitText"/>
              <w:jc w:val="right"/>
              <w:rPr>
                <w:rFonts w:eastAsiaTheme="minorEastAsia"/>
                <w:lang w:val="en-GB"/>
              </w:rPr>
            </w:pPr>
            <w:r w:rsidRPr="00D717E3">
              <w:rPr>
                <w:rFonts w:eastAsiaTheme="minorEastAsia"/>
                <w:color w:val="000000"/>
                <w:kern w:val="24"/>
                <w:lang w:val="en-GB"/>
              </w:rPr>
              <w:t>133,908</w:t>
            </w:r>
          </w:p>
        </w:tc>
        <w:tc>
          <w:tcPr>
            <w:tcW w:w="524" w:type="pct"/>
            <w:hideMark/>
          </w:tcPr>
          <w:p w14:paraId="5399C2AA" w14:textId="77777777" w:rsidR="00CC38F8" w:rsidRPr="00D717E3" w:rsidRDefault="00CC38F8" w:rsidP="00F23EAA">
            <w:pPr>
              <w:pStyle w:val="ExhibitText"/>
              <w:jc w:val="right"/>
              <w:rPr>
                <w:rFonts w:eastAsiaTheme="minorEastAsia"/>
                <w:lang w:val="en-GB"/>
              </w:rPr>
            </w:pPr>
            <w:r w:rsidRPr="00D717E3">
              <w:rPr>
                <w:rFonts w:eastAsiaTheme="minorEastAsia"/>
                <w:color w:val="000000"/>
                <w:kern w:val="24"/>
                <w:lang w:val="en-GB"/>
              </w:rPr>
              <w:t>204</w:t>
            </w:r>
          </w:p>
        </w:tc>
        <w:tc>
          <w:tcPr>
            <w:tcW w:w="524" w:type="pct"/>
            <w:hideMark/>
          </w:tcPr>
          <w:p w14:paraId="4CCDD1CB" w14:textId="77777777" w:rsidR="00CC38F8" w:rsidRPr="00D717E3" w:rsidRDefault="00CC38F8" w:rsidP="00F23EAA">
            <w:pPr>
              <w:pStyle w:val="ExhibitText"/>
              <w:jc w:val="right"/>
              <w:rPr>
                <w:rFonts w:eastAsiaTheme="minorEastAsia"/>
                <w:lang w:val="en-GB"/>
              </w:rPr>
            </w:pPr>
            <w:r w:rsidRPr="00D717E3">
              <w:rPr>
                <w:rFonts w:eastAsiaTheme="minorEastAsia"/>
                <w:color w:val="000000"/>
                <w:kern w:val="24"/>
                <w:lang w:val="en-GB"/>
              </w:rPr>
              <w:t>49,429</w:t>
            </w:r>
          </w:p>
        </w:tc>
        <w:tc>
          <w:tcPr>
            <w:tcW w:w="524" w:type="pct"/>
            <w:hideMark/>
          </w:tcPr>
          <w:p w14:paraId="0EF63104" w14:textId="77777777" w:rsidR="00CC38F8" w:rsidRPr="00D717E3" w:rsidRDefault="00CC38F8" w:rsidP="00F23EAA">
            <w:pPr>
              <w:pStyle w:val="ExhibitText"/>
              <w:jc w:val="right"/>
              <w:rPr>
                <w:rFonts w:eastAsiaTheme="minorEastAsia"/>
                <w:lang w:val="en-GB"/>
              </w:rPr>
            </w:pPr>
            <w:r w:rsidRPr="00D717E3">
              <w:rPr>
                <w:rFonts w:eastAsiaTheme="minorEastAsia"/>
                <w:color w:val="000000"/>
                <w:kern w:val="24"/>
                <w:lang w:val="en-GB"/>
              </w:rPr>
              <w:t>27,768</w:t>
            </w:r>
          </w:p>
        </w:tc>
        <w:tc>
          <w:tcPr>
            <w:tcW w:w="524" w:type="pct"/>
            <w:hideMark/>
          </w:tcPr>
          <w:p w14:paraId="15C318E2" w14:textId="77777777" w:rsidR="00CC38F8" w:rsidRPr="00D717E3" w:rsidRDefault="00CC38F8" w:rsidP="00F23EAA">
            <w:pPr>
              <w:pStyle w:val="ExhibitText"/>
              <w:jc w:val="right"/>
              <w:rPr>
                <w:rFonts w:eastAsiaTheme="minorEastAsia"/>
                <w:lang w:val="en-GB"/>
              </w:rPr>
            </w:pPr>
            <w:r w:rsidRPr="00D717E3">
              <w:rPr>
                <w:rFonts w:eastAsiaTheme="minorEastAsia"/>
                <w:color w:val="000000"/>
                <w:kern w:val="24"/>
                <w:lang w:val="en-GB"/>
              </w:rPr>
              <w:t>-39,506</w:t>
            </w:r>
          </w:p>
        </w:tc>
        <w:tc>
          <w:tcPr>
            <w:tcW w:w="523" w:type="pct"/>
            <w:hideMark/>
          </w:tcPr>
          <w:p w14:paraId="789E52F1" w14:textId="77777777" w:rsidR="00CC38F8" w:rsidRPr="00D717E3" w:rsidRDefault="00CC38F8" w:rsidP="00F23EAA">
            <w:pPr>
              <w:pStyle w:val="ExhibitText"/>
              <w:jc w:val="right"/>
              <w:rPr>
                <w:rFonts w:eastAsiaTheme="minorEastAsia"/>
                <w:lang w:val="en-GB"/>
              </w:rPr>
            </w:pPr>
            <w:r w:rsidRPr="00D717E3">
              <w:rPr>
                <w:rFonts w:eastAsiaTheme="minorEastAsia"/>
                <w:color w:val="000000"/>
                <w:kern w:val="24"/>
                <w:lang w:val="en-GB"/>
              </w:rPr>
              <w:t>-39,287</w:t>
            </w:r>
          </w:p>
        </w:tc>
        <w:tc>
          <w:tcPr>
            <w:tcW w:w="98" w:type="pct"/>
            <w:tcBorders>
              <w:top w:val="nil"/>
              <w:bottom w:val="nil"/>
              <w:right w:val="nil"/>
            </w:tcBorders>
          </w:tcPr>
          <w:p w14:paraId="6CE0D445" w14:textId="77777777" w:rsidR="00CC38F8" w:rsidRPr="00D717E3" w:rsidRDefault="00CC38F8" w:rsidP="00CC38F8">
            <w:pPr>
              <w:pStyle w:val="ExhibitText"/>
              <w:rPr>
                <w:rFonts w:eastAsiaTheme="minorEastAsia"/>
                <w:lang w:val="en-GB"/>
              </w:rPr>
            </w:pPr>
          </w:p>
        </w:tc>
      </w:tr>
      <w:tr w:rsidR="00CC38F8" w:rsidRPr="00D717E3" w14:paraId="64A66062" w14:textId="77777777" w:rsidTr="006472AF">
        <w:trPr>
          <w:trHeight w:val="64"/>
          <w:jc w:val="center"/>
        </w:trPr>
        <w:tc>
          <w:tcPr>
            <w:tcW w:w="1237" w:type="pct"/>
            <w:hideMark/>
          </w:tcPr>
          <w:p w14:paraId="0C0254C9" w14:textId="0FD62842" w:rsidR="00CC38F8" w:rsidRPr="00D717E3" w:rsidRDefault="00D51026" w:rsidP="00F23EAA">
            <w:pPr>
              <w:pStyle w:val="ExhibitText"/>
              <w:jc w:val="left"/>
              <w:rPr>
                <w:rFonts w:eastAsiaTheme="minorEastAsia"/>
                <w:lang w:val="en-GB"/>
              </w:rPr>
            </w:pPr>
            <w:r w:rsidRPr="00D717E3">
              <w:rPr>
                <w:rFonts w:eastAsiaTheme="minorEastAsia"/>
                <w:color w:val="000000"/>
                <w:kern w:val="24"/>
                <w:lang w:val="en-GB"/>
              </w:rPr>
              <w:t xml:space="preserve"> </w:t>
            </w:r>
            <w:r w:rsidR="00CC38F8" w:rsidRPr="00D717E3">
              <w:rPr>
                <w:rFonts w:eastAsiaTheme="minorEastAsia"/>
                <w:color w:val="000000"/>
                <w:kern w:val="24"/>
                <w:lang w:val="en-GB"/>
              </w:rPr>
              <w:t xml:space="preserve"> Net Non-Operating Losses (Gain)</w:t>
            </w:r>
          </w:p>
        </w:tc>
        <w:tc>
          <w:tcPr>
            <w:tcW w:w="524" w:type="pct"/>
            <w:hideMark/>
          </w:tcPr>
          <w:p w14:paraId="507B5F69" w14:textId="7C637D98" w:rsidR="00CC38F8" w:rsidRPr="00D717E3" w:rsidRDefault="00CA18B4" w:rsidP="00F23EAA">
            <w:pPr>
              <w:pStyle w:val="ExhibitText"/>
              <w:jc w:val="right"/>
              <w:rPr>
                <w:rFonts w:eastAsiaTheme="minorEastAsia"/>
                <w:lang w:val="en-GB"/>
              </w:rPr>
            </w:pPr>
            <w:r w:rsidRPr="00D717E3">
              <w:rPr>
                <w:rFonts w:eastAsiaTheme="minorEastAsia"/>
                <w:color w:val="000000"/>
                <w:kern w:val="24"/>
                <w:lang w:val="en-GB"/>
              </w:rPr>
              <w:t>−</w:t>
            </w:r>
            <w:r w:rsidR="00CC38F8" w:rsidRPr="00D717E3">
              <w:rPr>
                <w:rFonts w:eastAsiaTheme="minorEastAsia"/>
                <w:color w:val="000000"/>
                <w:kern w:val="24"/>
                <w:lang w:val="en-GB"/>
              </w:rPr>
              <w:t>38,901</w:t>
            </w:r>
          </w:p>
        </w:tc>
        <w:tc>
          <w:tcPr>
            <w:tcW w:w="524" w:type="pct"/>
            <w:hideMark/>
          </w:tcPr>
          <w:p w14:paraId="2808286C" w14:textId="25D31F28" w:rsidR="00CC38F8" w:rsidRPr="00D717E3" w:rsidRDefault="00CA18B4" w:rsidP="00F23EAA">
            <w:pPr>
              <w:pStyle w:val="ExhibitText"/>
              <w:jc w:val="right"/>
              <w:rPr>
                <w:rFonts w:eastAsiaTheme="minorEastAsia"/>
                <w:lang w:val="en-GB"/>
              </w:rPr>
            </w:pPr>
            <w:r w:rsidRPr="00D717E3">
              <w:rPr>
                <w:rFonts w:eastAsiaTheme="minorEastAsia"/>
                <w:color w:val="000000"/>
                <w:kern w:val="24"/>
                <w:lang w:val="en-GB"/>
              </w:rPr>
              <w:t>−</w:t>
            </w:r>
            <w:r w:rsidR="00CC38F8" w:rsidRPr="00D717E3">
              <w:rPr>
                <w:rFonts w:eastAsiaTheme="minorEastAsia"/>
                <w:color w:val="000000"/>
                <w:kern w:val="24"/>
                <w:lang w:val="en-GB"/>
              </w:rPr>
              <w:t>26,778</w:t>
            </w:r>
          </w:p>
        </w:tc>
        <w:tc>
          <w:tcPr>
            <w:tcW w:w="524" w:type="pct"/>
            <w:hideMark/>
          </w:tcPr>
          <w:p w14:paraId="5C037294" w14:textId="2F5EF755" w:rsidR="00CC38F8" w:rsidRPr="00D717E3" w:rsidRDefault="00CA18B4" w:rsidP="00F23EAA">
            <w:pPr>
              <w:pStyle w:val="ExhibitText"/>
              <w:jc w:val="right"/>
              <w:rPr>
                <w:rFonts w:eastAsiaTheme="minorEastAsia"/>
                <w:lang w:val="en-GB"/>
              </w:rPr>
            </w:pPr>
            <w:r w:rsidRPr="00D717E3">
              <w:rPr>
                <w:rFonts w:eastAsiaTheme="minorEastAsia"/>
                <w:color w:val="000000"/>
                <w:kern w:val="24"/>
                <w:lang w:val="en-GB"/>
              </w:rPr>
              <w:t>−</w:t>
            </w:r>
            <w:r w:rsidR="00CC38F8" w:rsidRPr="00D717E3">
              <w:rPr>
                <w:rFonts w:eastAsiaTheme="minorEastAsia"/>
                <w:color w:val="000000"/>
                <w:kern w:val="24"/>
                <w:lang w:val="en-GB"/>
              </w:rPr>
              <w:t>11,078</w:t>
            </w:r>
          </w:p>
        </w:tc>
        <w:tc>
          <w:tcPr>
            <w:tcW w:w="524" w:type="pct"/>
            <w:hideMark/>
          </w:tcPr>
          <w:p w14:paraId="0B4F6C37" w14:textId="69433B63" w:rsidR="00CC38F8" w:rsidRPr="00D717E3" w:rsidRDefault="00CA18B4" w:rsidP="00F23EAA">
            <w:pPr>
              <w:pStyle w:val="ExhibitText"/>
              <w:jc w:val="right"/>
              <w:rPr>
                <w:rFonts w:eastAsiaTheme="minorEastAsia"/>
                <w:lang w:val="en-GB"/>
              </w:rPr>
            </w:pPr>
            <w:r w:rsidRPr="00D717E3">
              <w:rPr>
                <w:rFonts w:eastAsiaTheme="minorEastAsia"/>
                <w:color w:val="000000"/>
                <w:kern w:val="24"/>
                <w:lang w:val="en-GB"/>
              </w:rPr>
              <w:t>−</w:t>
            </w:r>
            <w:r w:rsidR="00CC38F8" w:rsidRPr="00D717E3">
              <w:rPr>
                <w:rFonts w:eastAsiaTheme="minorEastAsia"/>
                <w:color w:val="000000"/>
                <w:kern w:val="24"/>
                <w:lang w:val="en-GB"/>
              </w:rPr>
              <w:t>6,285</w:t>
            </w:r>
          </w:p>
        </w:tc>
        <w:tc>
          <w:tcPr>
            <w:tcW w:w="524" w:type="pct"/>
            <w:hideMark/>
          </w:tcPr>
          <w:p w14:paraId="00F7224C" w14:textId="534A380E" w:rsidR="00CC38F8" w:rsidRPr="00D717E3" w:rsidRDefault="00CA18B4" w:rsidP="00F23EAA">
            <w:pPr>
              <w:pStyle w:val="ExhibitText"/>
              <w:jc w:val="right"/>
              <w:rPr>
                <w:rFonts w:eastAsiaTheme="minorEastAsia"/>
                <w:lang w:val="en-GB"/>
              </w:rPr>
            </w:pPr>
            <w:r w:rsidRPr="00D717E3">
              <w:rPr>
                <w:rFonts w:eastAsiaTheme="minorEastAsia"/>
                <w:color w:val="000000"/>
                <w:kern w:val="24"/>
                <w:lang w:val="en-GB"/>
              </w:rPr>
              <w:t>−</w:t>
            </w:r>
            <w:r w:rsidR="00CC38F8" w:rsidRPr="00D717E3">
              <w:rPr>
                <w:rFonts w:eastAsiaTheme="minorEastAsia"/>
                <w:color w:val="000000"/>
                <w:kern w:val="24"/>
                <w:lang w:val="en-GB"/>
              </w:rPr>
              <w:t>4,212</w:t>
            </w:r>
          </w:p>
        </w:tc>
        <w:tc>
          <w:tcPr>
            <w:tcW w:w="524" w:type="pct"/>
            <w:hideMark/>
          </w:tcPr>
          <w:p w14:paraId="23EB6673" w14:textId="61554AEC" w:rsidR="00CC38F8" w:rsidRPr="00D717E3" w:rsidRDefault="00CA18B4" w:rsidP="00F23EAA">
            <w:pPr>
              <w:pStyle w:val="ExhibitText"/>
              <w:jc w:val="right"/>
              <w:rPr>
                <w:rFonts w:eastAsiaTheme="minorEastAsia"/>
                <w:lang w:val="en-GB"/>
              </w:rPr>
            </w:pPr>
            <w:r w:rsidRPr="00D717E3">
              <w:rPr>
                <w:rFonts w:eastAsiaTheme="minorEastAsia"/>
                <w:color w:val="000000"/>
                <w:kern w:val="24"/>
                <w:lang w:val="en-GB"/>
              </w:rPr>
              <w:t>−</w:t>
            </w:r>
            <w:r w:rsidR="00CC38F8" w:rsidRPr="00D717E3">
              <w:rPr>
                <w:rFonts w:eastAsiaTheme="minorEastAsia"/>
                <w:color w:val="000000"/>
                <w:kern w:val="24"/>
                <w:lang w:val="en-GB"/>
              </w:rPr>
              <w:t>7,100</w:t>
            </w:r>
          </w:p>
        </w:tc>
        <w:tc>
          <w:tcPr>
            <w:tcW w:w="523" w:type="pct"/>
            <w:hideMark/>
          </w:tcPr>
          <w:p w14:paraId="18C5FD08" w14:textId="202837C6" w:rsidR="00CC38F8" w:rsidRPr="00D717E3" w:rsidRDefault="00CA18B4" w:rsidP="00F23EAA">
            <w:pPr>
              <w:pStyle w:val="ExhibitText"/>
              <w:jc w:val="right"/>
              <w:rPr>
                <w:rFonts w:eastAsiaTheme="minorEastAsia"/>
                <w:lang w:val="en-GB"/>
              </w:rPr>
            </w:pPr>
            <w:r w:rsidRPr="00D717E3">
              <w:rPr>
                <w:rFonts w:eastAsiaTheme="minorEastAsia"/>
                <w:color w:val="000000"/>
                <w:kern w:val="24"/>
                <w:lang w:val="en-GB"/>
              </w:rPr>
              <w:t>−</w:t>
            </w:r>
            <w:r w:rsidR="00CC38F8" w:rsidRPr="00D717E3">
              <w:rPr>
                <w:rFonts w:eastAsiaTheme="minorEastAsia"/>
                <w:color w:val="000000"/>
                <w:kern w:val="24"/>
                <w:lang w:val="en-GB"/>
              </w:rPr>
              <w:t>18,067</w:t>
            </w:r>
          </w:p>
        </w:tc>
        <w:tc>
          <w:tcPr>
            <w:tcW w:w="98" w:type="pct"/>
            <w:tcBorders>
              <w:top w:val="nil"/>
              <w:bottom w:val="nil"/>
              <w:right w:val="nil"/>
            </w:tcBorders>
          </w:tcPr>
          <w:p w14:paraId="7E88E42C" w14:textId="77777777" w:rsidR="00CC38F8" w:rsidRPr="00D717E3" w:rsidRDefault="00CC38F8" w:rsidP="00CC38F8">
            <w:pPr>
              <w:pStyle w:val="ExhibitText"/>
              <w:rPr>
                <w:rFonts w:eastAsiaTheme="minorEastAsia"/>
                <w:lang w:val="en-GB"/>
              </w:rPr>
            </w:pPr>
          </w:p>
        </w:tc>
      </w:tr>
      <w:tr w:rsidR="00CC38F8" w:rsidRPr="00D717E3" w14:paraId="64867EC6" w14:textId="77777777" w:rsidTr="006472AF">
        <w:trPr>
          <w:trHeight w:val="64"/>
          <w:jc w:val="center"/>
        </w:trPr>
        <w:tc>
          <w:tcPr>
            <w:tcW w:w="1237" w:type="pct"/>
            <w:hideMark/>
          </w:tcPr>
          <w:p w14:paraId="5DCC8384" w14:textId="00756DA8" w:rsidR="00CC38F8" w:rsidRPr="00D717E3" w:rsidRDefault="00CC38F8" w:rsidP="00CC38F8">
            <w:pPr>
              <w:pStyle w:val="ExhibitText"/>
              <w:jc w:val="left"/>
              <w:rPr>
                <w:rFonts w:eastAsiaTheme="minorEastAsia"/>
                <w:b/>
                <w:lang w:val="en-GB"/>
              </w:rPr>
            </w:pPr>
            <w:r w:rsidRPr="00D717E3">
              <w:rPr>
                <w:rFonts w:eastAsiaTheme="minorEastAsia"/>
                <w:b/>
                <w:color w:val="000000"/>
                <w:kern w:val="24"/>
                <w:lang w:val="en-GB"/>
              </w:rPr>
              <w:t>Pre</w:t>
            </w:r>
            <w:r w:rsidR="00D51026" w:rsidRPr="00D717E3">
              <w:rPr>
                <w:rFonts w:eastAsiaTheme="minorEastAsia"/>
                <w:b/>
                <w:color w:val="000000"/>
                <w:kern w:val="24"/>
                <w:lang w:val="en-GB"/>
              </w:rPr>
              <w:t>-</w:t>
            </w:r>
            <w:r w:rsidRPr="00D717E3">
              <w:rPr>
                <w:rFonts w:eastAsiaTheme="minorEastAsia"/>
                <w:b/>
                <w:color w:val="000000"/>
                <w:kern w:val="24"/>
                <w:lang w:val="en-GB"/>
              </w:rPr>
              <w:t>tax Income</w:t>
            </w:r>
          </w:p>
        </w:tc>
        <w:tc>
          <w:tcPr>
            <w:tcW w:w="524" w:type="pct"/>
            <w:hideMark/>
          </w:tcPr>
          <w:p w14:paraId="09DE38B9" w14:textId="77777777" w:rsidR="00CC38F8" w:rsidRPr="00D717E3" w:rsidRDefault="00CC38F8" w:rsidP="00F23EAA">
            <w:pPr>
              <w:pStyle w:val="ExhibitText"/>
              <w:jc w:val="right"/>
              <w:rPr>
                <w:rFonts w:eastAsiaTheme="minorEastAsia"/>
                <w:b/>
                <w:lang w:val="en-GB"/>
              </w:rPr>
            </w:pPr>
            <w:r w:rsidRPr="00D717E3">
              <w:rPr>
                <w:rFonts w:eastAsiaTheme="minorEastAsia"/>
                <w:b/>
                <w:color w:val="000000"/>
                <w:kern w:val="24"/>
                <w:lang w:val="en-GB"/>
              </w:rPr>
              <w:t>433,775</w:t>
            </w:r>
          </w:p>
        </w:tc>
        <w:tc>
          <w:tcPr>
            <w:tcW w:w="524" w:type="pct"/>
            <w:hideMark/>
          </w:tcPr>
          <w:p w14:paraId="2D32B58C" w14:textId="77777777" w:rsidR="00CC38F8" w:rsidRPr="00D717E3" w:rsidRDefault="00CC38F8" w:rsidP="00F23EAA">
            <w:pPr>
              <w:pStyle w:val="ExhibitText"/>
              <w:jc w:val="right"/>
              <w:rPr>
                <w:rFonts w:eastAsiaTheme="minorEastAsia"/>
                <w:b/>
                <w:lang w:val="en-GB"/>
              </w:rPr>
            </w:pPr>
            <w:r w:rsidRPr="00D717E3">
              <w:rPr>
                <w:rFonts w:eastAsiaTheme="minorEastAsia"/>
                <w:b/>
                <w:color w:val="000000"/>
                <w:kern w:val="24"/>
                <w:lang w:val="en-GB"/>
              </w:rPr>
              <w:t>448,132</w:t>
            </w:r>
          </w:p>
        </w:tc>
        <w:tc>
          <w:tcPr>
            <w:tcW w:w="524" w:type="pct"/>
            <w:hideMark/>
          </w:tcPr>
          <w:p w14:paraId="0D6B9960" w14:textId="77777777" w:rsidR="00CC38F8" w:rsidRPr="00D717E3" w:rsidRDefault="00CC38F8" w:rsidP="00F23EAA">
            <w:pPr>
              <w:pStyle w:val="ExhibitText"/>
              <w:jc w:val="right"/>
              <w:rPr>
                <w:rFonts w:eastAsiaTheme="minorEastAsia"/>
                <w:b/>
                <w:lang w:val="en-GB"/>
              </w:rPr>
            </w:pPr>
            <w:r w:rsidRPr="00D717E3">
              <w:rPr>
                <w:rFonts w:eastAsiaTheme="minorEastAsia"/>
                <w:b/>
                <w:color w:val="000000"/>
                <w:kern w:val="24"/>
                <w:lang w:val="en-GB"/>
              </w:rPr>
              <w:t>367,441</w:t>
            </w:r>
          </w:p>
        </w:tc>
        <w:tc>
          <w:tcPr>
            <w:tcW w:w="524" w:type="pct"/>
            <w:hideMark/>
          </w:tcPr>
          <w:p w14:paraId="73E79F5C" w14:textId="77777777" w:rsidR="00CC38F8" w:rsidRPr="00D717E3" w:rsidRDefault="00CC38F8" w:rsidP="00F23EAA">
            <w:pPr>
              <w:pStyle w:val="ExhibitText"/>
              <w:jc w:val="right"/>
              <w:rPr>
                <w:rFonts w:eastAsiaTheme="minorEastAsia"/>
                <w:b/>
                <w:lang w:val="en-GB"/>
              </w:rPr>
            </w:pPr>
            <w:r w:rsidRPr="00D717E3">
              <w:rPr>
                <w:rFonts w:eastAsiaTheme="minorEastAsia"/>
                <w:b/>
                <w:color w:val="000000"/>
                <w:kern w:val="24"/>
                <w:lang w:val="en-GB"/>
              </w:rPr>
              <w:t>127,932</w:t>
            </w:r>
          </w:p>
        </w:tc>
        <w:tc>
          <w:tcPr>
            <w:tcW w:w="524" w:type="pct"/>
            <w:hideMark/>
          </w:tcPr>
          <w:p w14:paraId="17D98210" w14:textId="41F059F5" w:rsidR="00CC38F8" w:rsidRPr="00D717E3" w:rsidRDefault="00CA18B4" w:rsidP="00F23EAA">
            <w:pPr>
              <w:pStyle w:val="ExhibitText"/>
              <w:jc w:val="right"/>
              <w:rPr>
                <w:rFonts w:eastAsiaTheme="minorEastAsia"/>
                <w:b/>
                <w:lang w:val="en-GB"/>
              </w:rPr>
            </w:pPr>
            <w:r w:rsidRPr="00D717E3">
              <w:rPr>
                <w:rFonts w:eastAsiaTheme="minorEastAsia"/>
                <w:b/>
                <w:color w:val="000000"/>
                <w:kern w:val="24"/>
                <w:lang w:val="en-GB"/>
              </w:rPr>
              <w:t>−</w:t>
            </w:r>
            <w:r w:rsidR="00CC38F8" w:rsidRPr="00D717E3">
              <w:rPr>
                <w:rFonts w:eastAsiaTheme="minorEastAsia"/>
                <w:b/>
                <w:color w:val="000000"/>
                <w:kern w:val="24"/>
                <w:lang w:val="en-GB"/>
              </w:rPr>
              <w:t>60,876</w:t>
            </w:r>
          </w:p>
        </w:tc>
        <w:tc>
          <w:tcPr>
            <w:tcW w:w="524" w:type="pct"/>
            <w:hideMark/>
          </w:tcPr>
          <w:p w14:paraId="0E5F5A2F" w14:textId="77777777" w:rsidR="00CC38F8" w:rsidRPr="00D717E3" w:rsidRDefault="00CC38F8" w:rsidP="00F23EAA">
            <w:pPr>
              <w:pStyle w:val="ExhibitText"/>
              <w:jc w:val="right"/>
              <w:rPr>
                <w:rFonts w:eastAsiaTheme="minorEastAsia"/>
                <w:b/>
                <w:lang w:val="en-GB"/>
              </w:rPr>
            </w:pPr>
            <w:r w:rsidRPr="00D717E3">
              <w:rPr>
                <w:rFonts w:eastAsiaTheme="minorEastAsia"/>
                <w:b/>
                <w:color w:val="000000"/>
                <w:kern w:val="24"/>
                <w:lang w:val="en-GB"/>
              </w:rPr>
              <w:t>10,196</w:t>
            </w:r>
          </w:p>
        </w:tc>
        <w:tc>
          <w:tcPr>
            <w:tcW w:w="523" w:type="pct"/>
            <w:hideMark/>
          </w:tcPr>
          <w:p w14:paraId="7B1383A7" w14:textId="1C7460DE" w:rsidR="00EE17B8" w:rsidRPr="00D717E3" w:rsidRDefault="00CC38F8" w:rsidP="00F23EAA">
            <w:pPr>
              <w:pStyle w:val="ExhibitText"/>
              <w:jc w:val="right"/>
              <w:rPr>
                <w:rFonts w:eastAsiaTheme="minorEastAsia"/>
                <w:b/>
                <w:lang w:val="en-GB"/>
              </w:rPr>
            </w:pPr>
            <w:r w:rsidRPr="00D717E3">
              <w:rPr>
                <w:rFonts w:eastAsiaTheme="minorEastAsia"/>
                <w:b/>
                <w:color w:val="000000"/>
                <w:kern w:val="24"/>
                <w:lang w:val="en-GB"/>
              </w:rPr>
              <w:t>10,929</w:t>
            </w:r>
          </w:p>
        </w:tc>
        <w:tc>
          <w:tcPr>
            <w:tcW w:w="98" w:type="pct"/>
            <w:tcBorders>
              <w:top w:val="nil"/>
              <w:bottom w:val="nil"/>
              <w:right w:val="nil"/>
            </w:tcBorders>
          </w:tcPr>
          <w:p w14:paraId="36AEA1EB" w14:textId="77777777" w:rsidR="00CC38F8" w:rsidRPr="00D717E3" w:rsidRDefault="00CC38F8" w:rsidP="00CC38F8">
            <w:pPr>
              <w:pStyle w:val="ExhibitText"/>
              <w:rPr>
                <w:rFonts w:eastAsiaTheme="minorEastAsia"/>
                <w:b/>
                <w:lang w:val="en-GB"/>
              </w:rPr>
            </w:pPr>
          </w:p>
        </w:tc>
      </w:tr>
      <w:tr w:rsidR="00CC38F8" w:rsidRPr="00D717E3" w14:paraId="49153F3E" w14:textId="77777777" w:rsidTr="006472AF">
        <w:trPr>
          <w:trHeight w:val="64"/>
          <w:jc w:val="center"/>
        </w:trPr>
        <w:tc>
          <w:tcPr>
            <w:tcW w:w="1237" w:type="pct"/>
            <w:hideMark/>
          </w:tcPr>
          <w:p w14:paraId="16BA59EF" w14:textId="3CB7DA3B" w:rsidR="00CC38F8" w:rsidRPr="00D717E3" w:rsidRDefault="00D51026" w:rsidP="005A79B5">
            <w:pPr>
              <w:pStyle w:val="ExhibitText"/>
              <w:jc w:val="left"/>
              <w:rPr>
                <w:rFonts w:eastAsiaTheme="minorEastAsia"/>
                <w:lang w:val="en-GB"/>
              </w:rPr>
            </w:pPr>
            <w:r w:rsidRPr="00D717E3">
              <w:rPr>
                <w:rFonts w:eastAsiaTheme="minorEastAsia"/>
                <w:color w:val="000000"/>
                <w:kern w:val="24"/>
                <w:lang w:val="en-GB"/>
              </w:rPr>
              <w:t xml:space="preserve"> </w:t>
            </w:r>
            <w:r w:rsidR="00CC38F8" w:rsidRPr="00D717E3">
              <w:rPr>
                <w:rFonts w:eastAsiaTheme="minorEastAsia"/>
                <w:color w:val="000000"/>
                <w:kern w:val="24"/>
                <w:lang w:val="en-GB"/>
              </w:rPr>
              <w:t xml:space="preserve"> Income Tax Expense (Benefit)</w:t>
            </w:r>
          </w:p>
        </w:tc>
        <w:tc>
          <w:tcPr>
            <w:tcW w:w="524" w:type="pct"/>
            <w:hideMark/>
          </w:tcPr>
          <w:p w14:paraId="0618DDCD" w14:textId="77777777" w:rsidR="00CC38F8" w:rsidRPr="00D717E3" w:rsidRDefault="00CC38F8" w:rsidP="00F23EAA">
            <w:pPr>
              <w:pStyle w:val="ExhibitText"/>
              <w:jc w:val="right"/>
              <w:rPr>
                <w:rFonts w:eastAsiaTheme="minorEastAsia"/>
                <w:lang w:val="en-GB"/>
              </w:rPr>
            </w:pPr>
            <w:r w:rsidRPr="00D717E3">
              <w:rPr>
                <w:rFonts w:eastAsiaTheme="minorEastAsia"/>
                <w:color w:val="000000"/>
                <w:kern w:val="24"/>
                <w:lang w:val="en-GB"/>
              </w:rPr>
              <w:t>176,532</w:t>
            </w:r>
          </w:p>
        </w:tc>
        <w:tc>
          <w:tcPr>
            <w:tcW w:w="524" w:type="pct"/>
            <w:hideMark/>
          </w:tcPr>
          <w:p w14:paraId="0301A8E4" w14:textId="77777777" w:rsidR="00CC38F8" w:rsidRPr="00D717E3" w:rsidRDefault="00CC38F8" w:rsidP="00F23EAA">
            <w:pPr>
              <w:pStyle w:val="ExhibitText"/>
              <w:jc w:val="right"/>
              <w:rPr>
                <w:rFonts w:eastAsiaTheme="minorEastAsia"/>
                <w:lang w:val="en-GB"/>
              </w:rPr>
            </w:pPr>
            <w:r w:rsidRPr="00D717E3">
              <w:rPr>
                <w:rFonts w:eastAsiaTheme="minorEastAsia"/>
                <w:color w:val="000000"/>
                <w:kern w:val="24"/>
                <w:lang w:val="en-GB"/>
              </w:rPr>
              <w:t>169,134</w:t>
            </w:r>
          </w:p>
        </w:tc>
        <w:tc>
          <w:tcPr>
            <w:tcW w:w="524" w:type="pct"/>
            <w:hideMark/>
          </w:tcPr>
          <w:p w14:paraId="71B8D4C5" w14:textId="77777777" w:rsidR="00CC38F8" w:rsidRPr="00D717E3" w:rsidRDefault="00CC38F8" w:rsidP="00F23EAA">
            <w:pPr>
              <w:pStyle w:val="ExhibitText"/>
              <w:jc w:val="right"/>
              <w:rPr>
                <w:rFonts w:eastAsiaTheme="minorEastAsia"/>
                <w:lang w:val="en-GB"/>
              </w:rPr>
            </w:pPr>
            <w:r w:rsidRPr="00D717E3">
              <w:rPr>
                <w:rFonts w:eastAsiaTheme="minorEastAsia"/>
                <w:color w:val="000000"/>
                <w:kern w:val="24"/>
                <w:lang w:val="en-GB"/>
              </w:rPr>
              <w:t>138,895</w:t>
            </w:r>
          </w:p>
        </w:tc>
        <w:tc>
          <w:tcPr>
            <w:tcW w:w="524" w:type="pct"/>
            <w:hideMark/>
          </w:tcPr>
          <w:p w14:paraId="5AC76E45" w14:textId="77777777" w:rsidR="00CC38F8" w:rsidRPr="00D717E3" w:rsidRDefault="00CC38F8" w:rsidP="00F23EAA">
            <w:pPr>
              <w:pStyle w:val="ExhibitText"/>
              <w:jc w:val="right"/>
              <w:rPr>
                <w:rFonts w:eastAsiaTheme="minorEastAsia"/>
                <w:lang w:val="en-GB"/>
              </w:rPr>
            </w:pPr>
            <w:r w:rsidRPr="00D717E3">
              <w:rPr>
                <w:rFonts w:eastAsiaTheme="minorEastAsia"/>
                <w:color w:val="000000"/>
                <w:kern w:val="24"/>
                <w:lang w:val="en-GB"/>
              </w:rPr>
              <w:t>50,261</w:t>
            </w:r>
          </w:p>
        </w:tc>
        <w:tc>
          <w:tcPr>
            <w:tcW w:w="524" w:type="pct"/>
            <w:hideMark/>
          </w:tcPr>
          <w:p w14:paraId="2FDE42C8" w14:textId="743BD52F" w:rsidR="00CC38F8" w:rsidRPr="00D717E3" w:rsidRDefault="00CA18B4" w:rsidP="00F23EAA">
            <w:pPr>
              <w:pStyle w:val="ExhibitText"/>
              <w:jc w:val="right"/>
              <w:rPr>
                <w:rFonts w:eastAsiaTheme="minorEastAsia"/>
                <w:lang w:val="en-GB"/>
              </w:rPr>
            </w:pPr>
            <w:r w:rsidRPr="00D717E3">
              <w:rPr>
                <w:rFonts w:eastAsiaTheme="minorEastAsia"/>
                <w:color w:val="000000"/>
                <w:kern w:val="24"/>
                <w:lang w:val="en-GB"/>
              </w:rPr>
              <w:t>−</w:t>
            </w:r>
            <w:r w:rsidR="00CC38F8" w:rsidRPr="00D717E3">
              <w:rPr>
                <w:rFonts w:eastAsiaTheme="minorEastAsia"/>
                <w:color w:val="000000"/>
                <w:kern w:val="24"/>
                <w:lang w:val="en-GB"/>
              </w:rPr>
              <w:t>17,659</w:t>
            </w:r>
          </w:p>
        </w:tc>
        <w:tc>
          <w:tcPr>
            <w:tcW w:w="524" w:type="pct"/>
            <w:hideMark/>
          </w:tcPr>
          <w:p w14:paraId="7CB4B3D7" w14:textId="77777777" w:rsidR="00CC38F8" w:rsidRPr="00D717E3" w:rsidRDefault="00CC38F8" w:rsidP="00F23EAA">
            <w:pPr>
              <w:pStyle w:val="ExhibitText"/>
              <w:jc w:val="right"/>
              <w:rPr>
                <w:rFonts w:eastAsiaTheme="minorEastAsia"/>
                <w:lang w:val="en-GB"/>
              </w:rPr>
            </w:pPr>
            <w:r w:rsidRPr="00D717E3">
              <w:rPr>
                <w:rFonts w:eastAsiaTheme="minorEastAsia"/>
                <w:color w:val="000000"/>
                <w:kern w:val="24"/>
                <w:lang w:val="en-GB"/>
              </w:rPr>
              <w:t>3,029</w:t>
            </w:r>
          </w:p>
        </w:tc>
        <w:tc>
          <w:tcPr>
            <w:tcW w:w="523" w:type="pct"/>
            <w:hideMark/>
          </w:tcPr>
          <w:p w14:paraId="3B64405B" w14:textId="77777777" w:rsidR="00CC38F8" w:rsidRPr="00D717E3" w:rsidRDefault="00CC38F8" w:rsidP="00F23EAA">
            <w:pPr>
              <w:pStyle w:val="ExhibitText"/>
              <w:jc w:val="right"/>
              <w:rPr>
                <w:rFonts w:eastAsiaTheme="minorEastAsia"/>
                <w:lang w:val="en-GB"/>
              </w:rPr>
            </w:pPr>
            <w:r w:rsidRPr="00D717E3">
              <w:rPr>
                <w:rFonts w:eastAsiaTheme="minorEastAsia"/>
                <w:color w:val="000000"/>
                <w:kern w:val="24"/>
                <w:lang w:val="en-GB"/>
              </w:rPr>
              <w:t>34,131</w:t>
            </w:r>
          </w:p>
        </w:tc>
        <w:tc>
          <w:tcPr>
            <w:tcW w:w="98" w:type="pct"/>
            <w:tcBorders>
              <w:top w:val="nil"/>
              <w:bottom w:val="nil"/>
              <w:right w:val="nil"/>
            </w:tcBorders>
          </w:tcPr>
          <w:p w14:paraId="1005C9A4" w14:textId="77777777" w:rsidR="00CC38F8" w:rsidRPr="00D717E3" w:rsidRDefault="00CC38F8" w:rsidP="00CC38F8">
            <w:pPr>
              <w:pStyle w:val="ExhibitText"/>
              <w:rPr>
                <w:rFonts w:eastAsiaTheme="minorEastAsia"/>
                <w:lang w:val="en-GB"/>
              </w:rPr>
            </w:pPr>
          </w:p>
        </w:tc>
      </w:tr>
      <w:tr w:rsidR="00CC38F8" w:rsidRPr="00D717E3" w14:paraId="08945288" w14:textId="77777777" w:rsidTr="006472AF">
        <w:trPr>
          <w:trHeight w:val="64"/>
          <w:jc w:val="center"/>
        </w:trPr>
        <w:tc>
          <w:tcPr>
            <w:tcW w:w="1237" w:type="pct"/>
            <w:hideMark/>
          </w:tcPr>
          <w:p w14:paraId="4F27FCDF" w14:textId="77777777" w:rsidR="00CC38F8" w:rsidRPr="00D717E3" w:rsidRDefault="00CC38F8" w:rsidP="00CC38F8">
            <w:pPr>
              <w:pStyle w:val="ExhibitText"/>
              <w:jc w:val="left"/>
              <w:rPr>
                <w:rFonts w:eastAsiaTheme="minorEastAsia"/>
                <w:b/>
                <w:lang w:val="en-GB"/>
              </w:rPr>
            </w:pPr>
            <w:r w:rsidRPr="00D717E3">
              <w:rPr>
                <w:rFonts w:eastAsiaTheme="minorEastAsia"/>
                <w:b/>
                <w:color w:val="000000"/>
                <w:kern w:val="24"/>
                <w:lang w:val="en-GB"/>
              </w:rPr>
              <w:t>Income before XO Items</w:t>
            </w:r>
          </w:p>
        </w:tc>
        <w:tc>
          <w:tcPr>
            <w:tcW w:w="524" w:type="pct"/>
            <w:hideMark/>
          </w:tcPr>
          <w:p w14:paraId="4C1CDE90" w14:textId="77777777" w:rsidR="00CC38F8" w:rsidRPr="00D717E3" w:rsidRDefault="00CC38F8" w:rsidP="00F23EAA">
            <w:pPr>
              <w:pStyle w:val="ExhibitText"/>
              <w:jc w:val="right"/>
              <w:rPr>
                <w:rFonts w:eastAsiaTheme="minorEastAsia"/>
                <w:b/>
                <w:lang w:val="en-GB"/>
              </w:rPr>
            </w:pPr>
            <w:r w:rsidRPr="00D717E3">
              <w:rPr>
                <w:rFonts w:eastAsiaTheme="minorEastAsia"/>
                <w:b/>
                <w:color w:val="000000"/>
                <w:kern w:val="24"/>
                <w:lang w:val="en-GB"/>
              </w:rPr>
              <w:t>257,243</w:t>
            </w:r>
          </w:p>
        </w:tc>
        <w:tc>
          <w:tcPr>
            <w:tcW w:w="524" w:type="pct"/>
            <w:hideMark/>
          </w:tcPr>
          <w:p w14:paraId="0A931534" w14:textId="77777777" w:rsidR="00CC38F8" w:rsidRPr="00D717E3" w:rsidRDefault="00CC38F8" w:rsidP="00F23EAA">
            <w:pPr>
              <w:pStyle w:val="ExhibitText"/>
              <w:jc w:val="right"/>
              <w:rPr>
                <w:rFonts w:eastAsiaTheme="minorEastAsia"/>
                <w:b/>
                <w:lang w:val="en-GB"/>
              </w:rPr>
            </w:pPr>
            <w:r w:rsidRPr="00D717E3">
              <w:rPr>
                <w:rFonts w:eastAsiaTheme="minorEastAsia"/>
                <w:b/>
                <w:color w:val="000000"/>
                <w:kern w:val="24"/>
                <w:lang w:val="en-GB"/>
              </w:rPr>
              <w:t>278,998</w:t>
            </w:r>
          </w:p>
        </w:tc>
        <w:tc>
          <w:tcPr>
            <w:tcW w:w="524" w:type="pct"/>
            <w:hideMark/>
          </w:tcPr>
          <w:p w14:paraId="47A12C07" w14:textId="77777777" w:rsidR="00CC38F8" w:rsidRPr="00D717E3" w:rsidRDefault="00CC38F8" w:rsidP="00F23EAA">
            <w:pPr>
              <w:pStyle w:val="ExhibitText"/>
              <w:jc w:val="right"/>
              <w:rPr>
                <w:rFonts w:eastAsiaTheme="minorEastAsia"/>
                <w:b/>
                <w:lang w:val="en-GB"/>
              </w:rPr>
            </w:pPr>
            <w:r w:rsidRPr="00D717E3">
              <w:rPr>
                <w:rFonts w:eastAsiaTheme="minorEastAsia"/>
                <w:b/>
                <w:color w:val="000000"/>
                <w:kern w:val="24"/>
                <w:lang w:val="en-GB"/>
              </w:rPr>
              <w:t>228,546</w:t>
            </w:r>
          </w:p>
        </w:tc>
        <w:tc>
          <w:tcPr>
            <w:tcW w:w="524" w:type="pct"/>
            <w:hideMark/>
          </w:tcPr>
          <w:p w14:paraId="0D22F4F8" w14:textId="77777777" w:rsidR="00CC38F8" w:rsidRPr="00D717E3" w:rsidRDefault="00CC38F8" w:rsidP="00F23EAA">
            <w:pPr>
              <w:pStyle w:val="ExhibitText"/>
              <w:jc w:val="right"/>
              <w:rPr>
                <w:rFonts w:eastAsiaTheme="minorEastAsia"/>
                <w:b/>
                <w:lang w:val="en-GB"/>
              </w:rPr>
            </w:pPr>
            <w:r w:rsidRPr="00D717E3">
              <w:rPr>
                <w:rFonts w:eastAsiaTheme="minorEastAsia"/>
                <w:b/>
                <w:color w:val="000000"/>
                <w:kern w:val="24"/>
                <w:lang w:val="en-GB"/>
              </w:rPr>
              <w:t>77,671</w:t>
            </w:r>
          </w:p>
        </w:tc>
        <w:tc>
          <w:tcPr>
            <w:tcW w:w="524" w:type="pct"/>
            <w:hideMark/>
          </w:tcPr>
          <w:p w14:paraId="111C7B34" w14:textId="366E5E6A" w:rsidR="00CC38F8" w:rsidRPr="00D717E3" w:rsidRDefault="00CA18B4" w:rsidP="00F23EAA">
            <w:pPr>
              <w:pStyle w:val="ExhibitText"/>
              <w:jc w:val="right"/>
              <w:rPr>
                <w:rFonts w:eastAsiaTheme="minorEastAsia"/>
                <w:b/>
                <w:lang w:val="en-GB"/>
              </w:rPr>
            </w:pPr>
            <w:r w:rsidRPr="00D717E3">
              <w:rPr>
                <w:rFonts w:eastAsiaTheme="minorEastAsia"/>
                <w:b/>
                <w:color w:val="000000"/>
                <w:kern w:val="24"/>
                <w:lang w:val="en-GB"/>
              </w:rPr>
              <w:t>−</w:t>
            </w:r>
            <w:r w:rsidR="00CC38F8" w:rsidRPr="00D717E3">
              <w:rPr>
                <w:rFonts w:eastAsiaTheme="minorEastAsia"/>
                <w:b/>
                <w:color w:val="000000"/>
                <w:kern w:val="24"/>
                <w:lang w:val="en-GB"/>
              </w:rPr>
              <w:t>43,217</w:t>
            </w:r>
          </w:p>
        </w:tc>
        <w:tc>
          <w:tcPr>
            <w:tcW w:w="524" w:type="pct"/>
            <w:hideMark/>
          </w:tcPr>
          <w:p w14:paraId="0CAF3AB5" w14:textId="77777777" w:rsidR="00CC38F8" w:rsidRPr="00D717E3" w:rsidRDefault="00CC38F8" w:rsidP="00F23EAA">
            <w:pPr>
              <w:pStyle w:val="ExhibitText"/>
              <w:jc w:val="right"/>
              <w:rPr>
                <w:rFonts w:eastAsiaTheme="minorEastAsia"/>
                <w:b/>
                <w:lang w:val="en-GB"/>
              </w:rPr>
            </w:pPr>
            <w:r w:rsidRPr="00D717E3">
              <w:rPr>
                <w:rFonts w:eastAsiaTheme="minorEastAsia"/>
                <w:b/>
                <w:color w:val="000000"/>
                <w:kern w:val="24"/>
                <w:lang w:val="en-GB"/>
              </w:rPr>
              <w:t>7,167</w:t>
            </w:r>
          </w:p>
        </w:tc>
        <w:tc>
          <w:tcPr>
            <w:tcW w:w="523" w:type="pct"/>
            <w:hideMark/>
          </w:tcPr>
          <w:p w14:paraId="396BE9CD" w14:textId="4328E98A" w:rsidR="00EE17B8" w:rsidRPr="00D717E3" w:rsidRDefault="00CA18B4" w:rsidP="00F23EAA">
            <w:pPr>
              <w:pStyle w:val="ExhibitText"/>
              <w:jc w:val="right"/>
              <w:rPr>
                <w:rFonts w:eastAsiaTheme="minorEastAsia"/>
                <w:b/>
                <w:lang w:val="en-GB"/>
              </w:rPr>
            </w:pPr>
            <w:r w:rsidRPr="00D717E3">
              <w:rPr>
                <w:rFonts w:eastAsiaTheme="minorEastAsia"/>
                <w:b/>
                <w:color w:val="000000"/>
                <w:kern w:val="24"/>
                <w:lang w:val="en-GB"/>
              </w:rPr>
              <w:t>−</w:t>
            </w:r>
            <w:r w:rsidR="00CC38F8" w:rsidRPr="00D717E3">
              <w:rPr>
                <w:rFonts w:eastAsiaTheme="minorEastAsia"/>
                <w:b/>
                <w:color w:val="000000"/>
                <w:kern w:val="24"/>
                <w:lang w:val="en-GB"/>
              </w:rPr>
              <w:t>23,202</w:t>
            </w:r>
          </w:p>
        </w:tc>
        <w:tc>
          <w:tcPr>
            <w:tcW w:w="98" w:type="pct"/>
            <w:tcBorders>
              <w:top w:val="nil"/>
              <w:bottom w:val="nil"/>
              <w:right w:val="nil"/>
            </w:tcBorders>
          </w:tcPr>
          <w:p w14:paraId="7BF53237" w14:textId="77777777" w:rsidR="00CC38F8" w:rsidRPr="00D717E3" w:rsidRDefault="00CC38F8" w:rsidP="00CC38F8">
            <w:pPr>
              <w:pStyle w:val="ExhibitText"/>
              <w:rPr>
                <w:rFonts w:eastAsiaTheme="minorEastAsia"/>
                <w:b/>
                <w:lang w:val="en-GB"/>
              </w:rPr>
            </w:pPr>
          </w:p>
        </w:tc>
      </w:tr>
      <w:tr w:rsidR="00CC38F8" w:rsidRPr="00D717E3" w14:paraId="3C0EC14A" w14:textId="77777777" w:rsidTr="006472AF">
        <w:trPr>
          <w:trHeight w:val="64"/>
          <w:jc w:val="center"/>
        </w:trPr>
        <w:tc>
          <w:tcPr>
            <w:tcW w:w="1237" w:type="pct"/>
            <w:hideMark/>
          </w:tcPr>
          <w:p w14:paraId="3D2EEA46" w14:textId="13943597" w:rsidR="00CC38F8" w:rsidRPr="00D717E3" w:rsidRDefault="00D51026" w:rsidP="005A79B5">
            <w:pPr>
              <w:pStyle w:val="ExhibitText"/>
              <w:jc w:val="left"/>
              <w:rPr>
                <w:rFonts w:eastAsiaTheme="minorEastAsia"/>
                <w:lang w:val="en-GB"/>
              </w:rPr>
            </w:pPr>
            <w:r w:rsidRPr="00D717E3">
              <w:rPr>
                <w:rFonts w:eastAsiaTheme="minorEastAsia"/>
                <w:color w:val="000000"/>
                <w:kern w:val="24"/>
                <w:lang w:val="en-GB"/>
              </w:rPr>
              <w:t xml:space="preserve"> </w:t>
            </w:r>
            <w:r w:rsidR="00CC38F8" w:rsidRPr="00D717E3">
              <w:rPr>
                <w:rFonts w:eastAsiaTheme="minorEastAsia"/>
                <w:color w:val="000000"/>
                <w:kern w:val="24"/>
                <w:lang w:val="en-GB"/>
              </w:rPr>
              <w:t xml:space="preserve"> Minority Interests</w:t>
            </w:r>
          </w:p>
        </w:tc>
        <w:tc>
          <w:tcPr>
            <w:tcW w:w="524" w:type="pct"/>
            <w:hideMark/>
          </w:tcPr>
          <w:p w14:paraId="4BDE421E" w14:textId="37D8AF42" w:rsidR="00CC38F8" w:rsidRPr="00D717E3" w:rsidRDefault="00CA18B4" w:rsidP="00F23EAA">
            <w:pPr>
              <w:pStyle w:val="ExhibitText"/>
              <w:jc w:val="right"/>
              <w:rPr>
                <w:rFonts w:eastAsiaTheme="minorEastAsia"/>
                <w:lang w:val="en-GB"/>
              </w:rPr>
            </w:pPr>
            <w:r w:rsidRPr="00D717E3">
              <w:rPr>
                <w:rFonts w:eastAsiaTheme="minorEastAsia"/>
                <w:color w:val="000000"/>
                <w:kern w:val="24"/>
                <w:lang w:val="en-GB"/>
              </w:rPr>
              <w:t>−</w:t>
            </w:r>
            <w:r w:rsidR="00CC38F8" w:rsidRPr="00D717E3">
              <w:rPr>
                <w:rFonts w:eastAsiaTheme="minorEastAsia"/>
                <w:color w:val="000000"/>
                <w:kern w:val="24"/>
                <w:lang w:val="en-GB"/>
              </w:rPr>
              <w:t>99</w:t>
            </w:r>
          </w:p>
        </w:tc>
        <w:tc>
          <w:tcPr>
            <w:tcW w:w="524" w:type="pct"/>
            <w:hideMark/>
          </w:tcPr>
          <w:p w14:paraId="289B45B4" w14:textId="0EC842CF" w:rsidR="00CC38F8" w:rsidRPr="00D717E3" w:rsidRDefault="00CA18B4" w:rsidP="00F23EAA">
            <w:pPr>
              <w:pStyle w:val="ExhibitText"/>
              <w:jc w:val="right"/>
              <w:rPr>
                <w:rFonts w:eastAsiaTheme="minorEastAsia"/>
                <w:lang w:val="en-GB"/>
              </w:rPr>
            </w:pPr>
            <w:r w:rsidRPr="00D717E3">
              <w:rPr>
                <w:rFonts w:eastAsiaTheme="minorEastAsia"/>
                <w:color w:val="000000"/>
                <w:kern w:val="24"/>
                <w:lang w:val="en-GB"/>
              </w:rPr>
              <w:t>−</w:t>
            </w:r>
            <w:r w:rsidR="00CC38F8" w:rsidRPr="00D717E3">
              <w:rPr>
                <w:rFonts w:eastAsiaTheme="minorEastAsia"/>
                <w:color w:val="000000"/>
                <w:kern w:val="24"/>
                <w:lang w:val="en-GB"/>
              </w:rPr>
              <w:t>91</w:t>
            </w:r>
          </w:p>
        </w:tc>
        <w:tc>
          <w:tcPr>
            <w:tcW w:w="524" w:type="pct"/>
            <w:hideMark/>
          </w:tcPr>
          <w:p w14:paraId="67CDC4D5" w14:textId="33B7ABC8" w:rsidR="00CC38F8" w:rsidRPr="00D717E3" w:rsidRDefault="00CA18B4" w:rsidP="00F23EAA">
            <w:pPr>
              <w:pStyle w:val="ExhibitText"/>
              <w:jc w:val="right"/>
              <w:rPr>
                <w:rFonts w:eastAsiaTheme="minorEastAsia"/>
                <w:lang w:val="en-GB"/>
              </w:rPr>
            </w:pPr>
            <w:r w:rsidRPr="00D717E3">
              <w:rPr>
                <w:rFonts w:eastAsiaTheme="minorEastAsia"/>
                <w:color w:val="000000"/>
                <w:kern w:val="24"/>
                <w:lang w:val="en-GB"/>
              </w:rPr>
              <w:t>−</w:t>
            </w:r>
            <w:r w:rsidR="00CC38F8" w:rsidRPr="00D717E3">
              <w:rPr>
                <w:rFonts w:eastAsiaTheme="minorEastAsia"/>
                <w:color w:val="000000"/>
                <w:kern w:val="24"/>
                <w:lang w:val="en-GB"/>
              </w:rPr>
              <w:t>89</w:t>
            </w:r>
          </w:p>
        </w:tc>
        <w:tc>
          <w:tcPr>
            <w:tcW w:w="524" w:type="pct"/>
            <w:hideMark/>
          </w:tcPr>
          <w:p w14:paraId="5C05134B" w14:textId="77777777" w:rsidR="00CC38F8" w:rsidRPr="00D717E3" w:rsidRDefault="00CC38F8" w:rsidP="00F23EAA">
            <w:pPr>
              <w:pStyle w:val="ExhibitText"/>
              <w:jc w:val="right"/>
              <w:rPr>
                <w:rFonts w:eastAsiaTheme="minorEastAsia"/>
                <w:lang w:val="en-GB"/>
              </w:rPr>
            </w:pPr>
            <w:r w:rsidRPr="00D717E3">
              <w:rPr>
                <w:rFonts w:eastAsiaTheme="minorEastAsia"/>
                <w:color w:val="000000"/>
                <w:kern w:val="24"/>
                <w:lang w:val="en-GB"/>
              </w:rPr>
              <w:t>50</w:t>
            </w:r>
          </w:p>
        </w:tc>
        <w:tc>
          <w:tcPr>
            <w:tcW w:w="524" w:type="pct"/>
            <w:hideMark/>
          </w:tcPr>
          <w:p w14:paraId="49C1FE03" w14:textId="431965C5" w:rsidR="00CC38F8" w:rsidRPr="00D717E3" w:rsidRDefault="00CA18B4" w:rsidP="00F23EAA">
            <w:pPr>
              <w:pStyle w:val="ExhibitText"/>
              <w:jc w:val="right"/>
              <w:rPr>
                <w:rFonts w:eastAsiaTheme="minorEastAsia"/>
                <w:lang w:val="en-GB"/>
              </w:rPr>
            </w:pPr>
            <w:r w:rsidRPr="00D717E3">
              <w:rPr>
                <w:rFonts w:eastAsiaTheme="minorEastAsia"/>
                <w:color w:val="000000"/>
                <w:kern w:val="24"/>
                <w:lang w:val="en-GB"/>
              </w:rPr>
              <w:t>−</w:t>
            </w:r>
            <w:r w:rsidR="00CC38F8" w:rsidRPr="00D717E3">
              <w:rPr>
                <w:rFonts w:eastAsiaTheme="minorEastAsia"/>
                <w:color w:val="000000"/>
                <w:kern w:val="24"/>
                <w:lang w:val="en-GB"/>
              </w:rPr>
              <w:t>13</w:t>
            </w:r>
          </w:p>
        </w:tc>
        <w:tc>
          <w:tcPr>
            <w:tcW w:w="524" w:type="pct"/>
            <w:hideMark/>
          </w:tcPr>
          <w:p w14:paraId="323A83CB" w14:textId="77777777" w:rsidR="00CC38F8" w:rsidRPr="00D717E3" w:rsidRDefault="00CC38F8" w:rsidP="00F23EAA">
            <w:pPr>
              <w:pStyle w:val="ExhibitText"/>
              <w:jc w:val="right"/>
              <w:rPr>
                <w:rFonts w:eastAsiaTheme="minorEastAsia"/>
                <w:lang w:val="en-GB"/>
              </w:rPr>
            </w:pPr>
            <w:r w:rsidRPr="00D717E3">
              <w:rPr>
                <w:rFonts w:eastAsiaTheme="minorEastAsia"/>
                <w:color w:val="000000"/>
                <w:kern w:val="24"/>
                <w:lang w:val="en-GB"/>
              </w:rPr>
              <w:t>68</w:t>
            </w:r>
          </w:p>
        </w:tc>
        <w:tc>
          <w:tcPr>
            <w:tcW w:w="523" w:type="pct"/>
            <w:tcBorders>
              <w:bottom w:val="single" w:sz="4" w:space="0" w:color="auto"/>
            </w:tcBorders>
            <w:hideMark/>
          </w:tcPr>
          <w:p w14:paraId="09DEE043" w14:textId="347CFFA1" w:rsidR="00EE17B8" w:rsidRPr="00D717E3" w:rsidRDefault="00CC38F8" w:rsidP="00F23EAA">
            <w:pPr>
              <w:pStyle w:val="ExhibitText"/>
              <w:jc w:val="right"/>
              <w:rPr>
                <w:rFonts w:eastAsiaTheme="minorEastAsia"/>
                <w:lang w:val="en-GB"/>
              </w:rPr>
            </w:pPr>
            <w:r w:rsidRPr="00D717E3">
              <w:rPr>
                <w:rFonts w:eastAsiaTheme="minorEastAsia"/>
                <w:color w:val="000000"/>
                <w:kern w:val="24"/>
                <w:lang w:val="en-GB"/>
              </w:rPr>
              <w:t>20</w:t>
            </w:r>
          </w:p>
        </w:tc>
        <w:tc>
          <w:tcPr>
            <w:tcW w:w="98" w:type="pct"/>
            <w:tcBorders>
              <w:top w:val="nil"/>
              <w:bottom w:val="nil"/>
              <w:right w:val="nil"/>
            </w:tcBorders>
          </w:tcPr>
          <w:p w14:paraId="464E11D4" w14:textId="77777777" w:rsidR="00CC38F8" w:rsidRPr="00D717E3" w:rsidRDefault="00CC38F8" w:rsidP="00CC38F8">
            <w:pPr>
              <w:pStyle w:val="ExhibitText"/>
              <w:rPr>
                <w:rFonts w:eastAsiaTheme="minorEastAsia"/>
                <w:lang w:val="en-GB"/>
              </w:rPr>
            </w:pPr>
          </w:p>
        </w:tc>
      </w:tr>
      <w:tr w:rsidR="00CC38F8" w:rsidRPr="00D717E3" w14:paraId="09F5CE4D" w14:textId="77777777" w:rsidTr="006472AF">
        <w:trPr>
          <w:trHeight w:val="64"/>
          <w:jc w:val="center"/>
        </w:trPr>
        <w:tc>
          <w:tcPr>
            <w:tcW w:w="1237" w:type="pct"/>
            <w:hideMark/>
          </w:tcPr>
          <w:p w14:paraId="1D1A1478" w14:textId="77777777" w:rsidR="00CC38F8" w:rsidRPr="00D717E3" w:rsidRDefault="00CC38F8" w:rsidP="00CC38F8">
            <w:pPr>
              <w:pStyle w:val="ExhibitText"/>
              <w:jc w:val="left"/>
              <w:rPr>
                <w:rFonts w:eastAsiaTheme="minorEastAsia"/>
                <w:b/>
                <w:lang w:val="en-GB"/>
              </w:rPr>
            </w:pPr>
            <w:r w:rsidRPr="00D717E3">
              <w:rPr>
                <w:rFonts w:eastAsiaTheme="minorEastAsia"/>
                <w:b/>
                <w:color w:val="000000"/>
                <w:kern w:val="24"/>
                <w:lang w:val="en-GB"/>
              </w:rPr>
              <w:t>NET INCOME (LOSSES)</w:t>
            </w:r>
          </w:p>
        </w:tc>
        <w:tc>
          <w:tcPr>
            <w:tcW w:w="524" w:type="pct"/>
            <w:hideMark/>
          </w:tcPr>
          <w:p w14:paraId="0C8FF83E" w14:textId="77777777" w:rsidR="00CC38F8" w:rsidRPr="00D717E3" w:rsidRDefault="00CC38F8" w:rsidP="00F23EAA">
            <w:pPr>
              <w:pStyle w:val="ExhibitText"/>
              <w:jc w:val="right"/>
              <w:rPr>
                <w:rFonts w:eastAsiaTheme="minorEastAsia"/>
                <w:b/>
                <w:lang w:val="en-GB"/>
              </w:rPr>
            </w:pPr>
            <w:r w:rsidRPr="00D717E3">
              <w:rPr>
                <w:rFonts w:eastAsiaTheme="minorEastAsia"/>
                <w:b/>
                <w:color w:val="000000"/>
                <w:kern w:val="24"/>
                <w:lang w:val="en-GB"/>
              </w:rPr>
              <w:t>257,342</w:t>
            </w:r>
          </w:p>
        </w:tc>
        <w:tc>
          <w:tcPr>
            <w:tcW w:w="524" w:type="pct"/>
            <w:hideMark/>
          </w:tcPr>
          <w:p w14:paraId="0A33224B" w14:textId="77777777" w:rsidR="00CC38F8" w:rsidRPr="00D717E3" w:rsidRDefault="00CC38F8" w:rsidP="00F23EAA">
            <w:pPr>
              <w:pStyle w:val="ExhibitText"/>
              <w:jc w:val="right"/>
              <w:rPr>
                <w:rFonts w:eastAsiaTheme="minorEastAsia"/>
                <w:b/>
                <w:lang w:val="en-GB"/>
              </w:rPr>
            </w:pPr>
            <w:r w:rsidRPr="00D717E3">
              <w:rPr>
                <w:rFonts w:eastAsiaTheme="minorEastAsia"/>
                <w:b/>
                <w:color w:val="000000"/>
                <w:kern w:val="24"/>
                <w:lang w:val="en-GB"/>
              </w:rPr>
              <w:t>279,089</w:t>
            </w:r>
          </w:p>
        </w:tc>
        <w:tc>
          <w:tcPr>
            <w:tcW w:w="524" w:type="pct"/>
            <w:hideMark/>
          </w:tcPr>
          <w:p w14:paraId="66B73A76" w14:textId="77777777" w:rsidR="00CC38F8" w:rsidRPr="00D717E3" w:rsidRDefault="00CC38F8" w:rsidP="00F23EAA">
            <w:pPr>
              <w:pStyle w:val="ExhibitText"/>
              <w:jc w:val="right"/>
              <w:rPr>
                <w:rFonts w:eastAsiaTheme="minorEastAsia"/>
                <w:b/>
                <w:lang w:val="en-GB"/>
              </w:rPr>
            </w:pPr>
            <w:r w:rsidRPr="00D717E3">
              <w:rPr>
                <w:rFonts w:eastAsiaTheme="minorEastAsia"/>
                <w:b/>
                <w:color w:val="000000"/>
                <w:kern w:val="24"/>
                <w:lang w:val="en-GB"/>
              </w:rPr>
              <w:t>228,635</w:t>
            </w:r>
          </w:p>
        </w:tc>
        <w:tc>
          <w:tcPr>
            <w:tcW w:w="524" w:type="pct"/>
            <w:hideMark/>
          </w:tcPr>
          <w:p w14:paraId="1E4AA8F2" w14:textId="77777777" w:rsidR="00CC38F8" w:rsidRPr="00D717E3" w:rsidRDefault="00CC38F8" w:rsidP="00F23EAA">
            <w:pPr>
              <w:pStyle w:val="ExhibitText"/>
              <w:jc w:val="right"/>
              <w:rPr>
                <w:rFonts w:eastAsiaTheme="minorEastAsia"/>
                <w:b/>
                <w:lang w:val="en-GB"/>
              </w:rPr>
            </w:pPr>
            <w:r w:rsidRPr="00D717E3">
              <w:rPr>
                <w:rFonts w:eastAsiaTheme="minorEastAsia"/>
                <w:b/>
                <w:color w:val="000000"/>
                <w:kern w:val="24"/>
                <w:lang w:val="en-GB"/>
              </w:rPr>
              <w:t>77,621</w:t>
            </w:r>
          </w:p>
        </w:tc>
        <w:tc>
          <w:tcPr>
            <w:tcW w:w="524" w:type="pct"/>
            <w:hideMark/>
          </w:tcPr>
          <w:p w14:paraId="31400ADB" w14:textId="6E5BFCED" w:rsidR="00CC38F8" w:rsidRPr="00D717E3" w:rsidRDefault="00CA18B4" w:rsidP="00F23EAA">
            <w:pPr>
              <w:pStyle w:val="ExhibitText"/>
              <w:jc w:val="right"/>
              <w:rPr>
                <w:rFonts w:eastAsiaTheme="minorEastAsia"/>
                <w:b/>
                <w:lang w:val="en-GB"/>
              </w:rPr>
            </w:pPr>
            <w:r w:rsidRPr="00D717E3">
              <w:rPr>
                <w:rFonts w:eastAsiaTheme="minorEastAsia"/>
                <w:b/>
                <w:color w:val="000000"/>
                <w:kern w:val="24"/>
                <w:lang w:val="en-GB"/>
              </w:rPr>
              <w:t>−</w:t>
            </w:r>
            <w:r w:rsidR="00CC38F8" w:rsidRPr="00D717E3">
              <w:rPr>
                <w:rFonts w:eastAsiaTheme="minorEastAsia"/>
                <w:b/>
                <w:color w:val="000000"/>
                <w:kern w:val="24"/>
                <w:lang w:val="en-GB"/>
              </w:rPr>
              <w:t>43,204</w:t>
            </w:r>
          </w:p>
        </w:tc>
        <w:tc>
          <w:tcPr>
            <w:tcW w:w="524" w:type="pct"/>
            <w:hideMark/>
          </w:tcPr>
          <w:p w14:paraId="00ED3D38" w14:textId="77777777" w:rsidR="00CC38F8" w:rsidRPr="00D717E3" w:rsidRDefault="00CC38F8" w:rsidP="00F23EAA">
            <w:pPr>
              <w:pStyle w:val="ExhibitText"/>
              <w:jc w:val="right"/>
              <w:rPr>
                <w:rFonts w:eastAsiaTheme="minorEastAsia"/>
                <w:b/>
                <w:lang w:val="en-GB"/>
              </w:rPr>
            </w:pPr>
            <w:r w:rsidRPr="00D717E3">
              <w:rPr>
                <w:rFonts w:eastAsiaTheme="minorEastAsia"/>
                <w:b/>
                <w:color w:val="000000"/>
                <w:kern w:val="24"/>
                <w:lang w:val="en-GB"/>
              </w:rPr>
              <w:t>7,099</w:t>
            </w:r>
          </w:p>
        </w:tc>
        <w:tc>
          <w:tcPr>
            <w:tcW w:w="523" w:type="pct"/>
            <w:tcBorders>
              <w:right w:val="single" w:sz="4" w:space="0" w:color="auto"/>
            </w:tcBorders>
            <w:hideMark/>
          </w:tcPr>
          <w:p w14:paraId="28522FAA" w14:textId="5A0313BF" w:rsidR="00EE17B8" w:rsidRPr="00D717E3" w:rsidRDefault="00CA18B4" w:rsidP="00F23EAA">
            <w:pPr>
              <w:pStyle w:val="ExhibitText"/>
              <w:jc w:val="right"/>
              <w:rPr>
                <w:rFonts w:eastAsiaTheme="minorEastAsia"/>
                <w:b/>
                <w:lang w:val="en-GB"/>
              </w:rPr>
            </w:pPr>
            <w:r w:rsidRPr="00D717E3">
              <w:rPr>
                <w:rFonts w:eastAsiaTheme="minorEastAsia"/>
                <w:b/>
                <w:color w:val="000000"/>
                <w:kern w:val="24"/>
                <w:lang w:val="en-GB"/>
              </w:rPr>
              <w:t>−</w:t>
            </w:r>
            <w:r w:rsidR="00CC38F8" w:rsidRPr="00D717E3">
              <w:rPr>
                <w:rFonts w:eastAsiaTheme="minorEastAsia"/>
                <w:b/>
                <w:color w:val="000000"/>
                <w:kern w:val="24"/>
                <w:lang w:val="en-GB"/>
              </w:rPr>
              <w:t>23,222</w:t>
            </w:r>
          </w:p>
        </w:tc>
        <w:tc>
          <w:tcPr>
            <w:tcW w:w="98" w:type="pct"/>
            <w:tcBorders>
              <w:top w:val="nil"/>
              <w:left w:val="single" w:sz="4" w:space="0" w:color="auto"/>
              <w:bottom w:val="nil"/>
              <w:right w:val="nil"/>
            </w:tcBorders>
          </w:tcPr>
          <w:p w14:paraId="73FB4793" w14:textId="77777777" w:rsidR="00CC38F8" w:rsidRPr="00D717E3" w:rsidRDefault="00CC38F8" w:rsidP="00CC38F8">
            <w:pPr>
              <w:pStyle w:val="ExhibitText"/>
              <w:rPr>
                <w:rFonts w:eastAsiaTheme="minorEastAsia"/>
                <w:b/>
                <w:lang w:val="en-GB"/>
              </w:rPr>
            </w:pPr>
          </w:p>
        </w:tc>
      </w:tr>
    </w:tbl>
    <w:p w14:paraId="35F80D74" w14:textId="77777777" w:rsidR="00CC38F8" w:rsidRPr="00D717E3" w:rsidRDefault="00CC38F8" w:rsidP="001562DA">
      <w:pPr>
        <w:pStyle w:val="BodyTextMain"/>
        <w:rPr>
          <w:rFonts w:ascii="Times" w:hAnsi="Times"/>
          <w:color w:val="231F20"/>
          <w:shd w:val="clear" w:color="auto" w:fill="FFFFFF"/>
          <w:lang w:val="en-GB" w:eastAsia="ja-JP"/>
        </w:rPr>
      </w:pPr>
    </w:p>
    <w:p w14:paraId="5D1C40B2" w14:textId="181BF637" w:rsidR="00D51026" w:rsidRPr="00D717E3" w:rsidRDefault="00D51026" w:rsidP="006472AF">
      <w:pPr>
        <w:pStyle w:val="Footnote"/>
        <w:rPr>
          <w:lang w:val="en-GB"/>
        </w:rPr>
      </w:pPr>
      <w:r w:rsidRPr="00D717E3">
        <w:rPr>
          <w:lang w:val="en-GB"/>
        </w:rPr>
        <w:t xml:space="preserve">Note: </w:t>
      </w:r>
      <w:r w:rsidRPr="00D717E3">
        <w:rPr>
          <w:rFonts w:eastAsiaTheme="minorEastAsia"/>
          <w:lang w:val="en-GB"/>
        </w:rPr>
        <w:t>¥ = JPY = Japanese yen; US$1 = ¥105.28 on January 1, 2014; FYI = fiscal year; XO =</w:t>
      </w:r>
      <w:r w:rsidR="00AA4859" w:rsidRPr="00D717E3">
        <w:rPr>
          <w:rFonts w:eastAsiaTheme="minorEastAsia"/>
          <w:lang w:val="en-GB"/>
        </w:rPr>
        <w:t xml:space="preserve"> </w:t>
      </w:r>
      <w:r w:rsidR="00AC493C" w:rsidRPr="00D717E3">
        <w:rPr>
          <w:rFonts w:eastAsiaTheme="minorEastAsia"/>
          <w:lang w:val="en-GB"/>
        </w:rPr>
        <w:t>extraordinary</w:t>
      </w:r>
      <w:r w:rsidR="00AA4859" w:rsidRPr="00D717E3">
        <w:rPr>
          <w:rFonts w:eastAsiaTheme="minorEastAsia"/>
          <w:lang w:val="en-GB"/>
        </w:rPr>
        <w:t>.</w:t>
      </w:r>
      <w:r w:rsidRPr="00D717E3">
        <w:rPr>
          <w:rFonts w:eastAsiaTheme="minorEastAsia"/>
          <w:lang w:val="en-GB"/>
        </w:rPr>
        <w:t xml:space="preserve"> </w:t>
      </w:r>
    </w:p>
    <w:p w14:paraId="0828FECD" w14:textId="2EF8E9EF" w:rsidR="00CC38F8" w:rsidRPr="00D717E3" w:rsidRDefault="0076336D" w:rsidP="006472AF">
      <w:pPr>
        <w:pStyle w:val="Footnote"/>
        <w:rPr>
          <w:color w:val="231F20"/>
          <w:shd w:val="clear" w:color="auto" w:fill="FFFFFF"/>
          <w:lang w:val="en-GB" w:eastAsia="ja-JP"/>
        </w:rPr>
      </w:pPr>
      <w:r w:rsidRPr="00D717E3">
        <w:rPr>
          <w:lang w:val="en-GB"/>
        </w:rPr>
        <w:t>Source: Nintendo, “Annual Filings: Income Statement for TYO: 7974 (Nintendo) March 31, 2000–March 31, 2014</w:t>
      </w:r>
      <w:r w:rsidR="00CA18B4" w:rsidRPr="00D717E3">
        <w:rPr>
          <w:lang w:val="en-GB"/>
        </w:rPr>
        <w:t>,</w:t>
      </w:r>
      <w:r w:rsidR="005A79B5" w:rsidRPr="00D717E3">
        <w:rPr>
          <w:lang w:val="en-GB"/>
        </w:rPr>
        <w:t>”</w:t>
      </w:r>
      <w:r w:rsidRPr="00D717E3">
        <w:rPr>
          <w:lang w:val="en-GB"/>
        </w:rPr>
        <w:t xml:space="preserve"> Bloomberg LP, accessed</w:t>
      </w:r>
      <w:r w:rsidR="00EE17B8" w:rsidRPr="00D717E3">
        <w:rPr>
          <w:lang w:val="en-GB"/>
        </w:rPr>
        <w:t xml:space="preserve"> </w:t>
      </w:r>
      <w:r w:rsidRPr="00D717E3">
        <w:rPr>
          <w:lang w:val="en-GB"/>
        </w:rPr>
        <w:t>October 31, 2016.</w:t>
      </w:r>
    </w:p>
    <w:p w14:paraId="27C3A1EA" w14:textId="77777777" w:rsidR="0076336D" w:rsidRPr="00D717E3" w:rsidRDefault="0076336D" w:rsidP="006472AF">
      <w:pPr>
        <w:pStyle w:val="Footnote"/>
        <w:rPr>
          <w:color w:val="231F20"/>
          <w:shd w:val="clear" w:color="auto" w:fill="FFFFFF"/>
          <w:lang w:val="en-GB" w:eastAsia="ja-JP"/>
        </w:rPr>
        <w:sectPr w:rsidR="0076336D" w:rsidRPr="00D717E3" w:rsidSect="00E40509">
          <w:headerReference w:type="default" r:id="rId13"/>
          <w:endnotePr>
            <w:numFmt w:val="decimal"/>
          </w:endnotePr>
          <w:pgSz w:w="15840" w:h="12240" w:orient="landscape" w:code="1"/>
          <w:pgMar w:top="1440" w:right="1440" w:bottom="1440" w:left="1440" w:header="1080" w:footer="720" w:gutter="0"/>
          <w:cols w:space="720"/>
          <w:docGrid w:linePitch="360"/>
        </w:sectPr>
      </w:pPr>
    </w:p>
    <w:p w14:paraId="172764A1" w14:textId="77777777" w:rsidR="0076336D" w:rsidRPr="00D717E3" w:rsidRDefault="0076336D" w:rsidP="003336A8">
      <w:pPr>
        <w:pStyle w:val="ExhibitHeading"/>
        <w:outlineLvl w:val="0"/>
        <w:rPr>
          <w:rFonts w:eastAsiaTheme="minorEastAsia"/>
          <w:lang w:val="en-GB" w:eastAsia="ja-JP"/>
        </w:rPr>
      </w:pPr>
      <w:r w:rsidRPr="00D717E3">
        <w:rPr>
          <w:rFonts w:eastAsiaTheme="minorEastAsia"/>
          <w:lang w:val="en-GB" w:eastAsia="ja-JP"/>
        </w:rPr>
        <w:lastRenderedPageBreak/>
        <w:t>Exhibit 3: THE GLOBAL CONSOLE MARKET</w:t>
      </w:r>
    </w:p>
    <w:p w14:paraId="5D4C2710" w14:textId="77777777" w:rsidR="0076336D" w:rsidRPr="00D717E3" w:rsidRDefault="0076336D" w:rsidP="006472AF">
      <w:pPr>
        <w:pStyle w:val="Casehead2"/>
        <w:rPr>
          <w:rFonts w:eastAsiaTheme="minorEastAsia"/>
          <w:lang w:val="en-GB"/>
        </w:rPr>
      </w:pPr>
    </w:p>
    <w:p w14:paraId="33F82EA7" w14:textId="50A125C6" w:rsidR="006472AF" w:rsidRPr="00D717E3" w:rsidRDefault="0076336D" w:rsidP="006472AF">
      <w:pPr>
        <w:pStyle w:val="Casehead2"/>
        <w:rPr>
          <w:lang w:val="en-GB"/>
        </w:rPr>
      </w:pPr>
      <w:bookmarkStart w:id="39" w:name="OLE_LINK1"/>
      <w:r w:rsidRPr="00D717E3">
        <w:rPr>
          <w:lang w:val="en-GB"/>
        </w:rPr>
        <w:t>Panel A:</w:t>
      </w:r>
      <w:bookmarkEnd w:id="39"/>
      <w:r w:rsidRPr="00D717E3">
        <w:rPr>
          <w:lang w:val="en-GB"/>
        </w:rPr>
        <w:t xml:space="preserve"> Annual </w:t>
      </w:r>
      <w:r w:rsidR="0031387A" w:rsidRPr="00D717E3">
        <w:rPr>
          <w:lang w:val="en-GB"/>
        </w:rPr>
        <w:t>S</w:t>
      </w:r>
      <w:r w:rsidRPr="00D717E3">
        <w:rPr>
          <w:lang w:val="en-GB"/>
        </w:rPr>
        <w:t xml:space="preserve">ales of </w:t>
      </w:r>
      <w:r w:rsidR="0031387A" w:rsidRPr="00D717E3">
        <w:rPr>
          <w:lang w:val="en-GB"/>
        </w:rPr>
        <w:t>V</w:t>
      </w:r>
      <w:r w:rsidRPr="00D717E3">
        <w:rPr>
          <w:lang w:val="en-GB"/>
        </w:rPr>
        <w:t xml:space="preserve">ideo </w:t>
      </w:r>
      <w:r w:rsidR="0031387A" w:rsidRPr="00D717E3">
        <w:rPr>
          <w:lang w:val="en-GB"/>
        </w:rPr>
        <w:t>G</w:t>
      </w:r>
      <w:r w:rsidRPr="00D717E3">
        <w:rPr>
          <w:lang w:val="en-GB"/>
        </w:rPr>
        <w:t xml:space="preserve">ame </w:t>
      </w:r>
      <w:r w:rsidR="0031387A" w:rsidRPr="00D717E3">
        <w:rPr>
          <w:lang w:val="en-GB"/>
        </w:rPr>
        <w:t>C</w:t>
      </w:r>
      <w:r w:rsidRPr="00D717E3">
        <w:rPr>
          <w:lang w:val="en-GB"/>
        </w:rPr>
        <w:t>onsoles</w:t>
      </w:r>
      <w:r w:rsidR="00AA4859" w:rsidRPr="00D717E3">
        <w:rPr>
          <w:lang w:val="en-GB"/>
        </w:rPr>
        <w:t>,</w:t>
      </w:r>
      <w:r w:rsidRPr="00D717E3">
        <w:rPr>
          <w:lang w:val="en-GB"/>
        </w:rPr>
        <w:t xml:space="preserve"> end</w:t>
      </w:r>
      <w:r w:rsidR="006472AF" w:rsidRPr="00D717E3">
        <w:rPr>
          <w:lang w:val="en-GB"/>
        </w:rPr>
        <w:t>ing March 31 (in million units)</w:t>
      </w:r>
    </w:p>
    <w:p w14:paraId="3012E753" w14:textId="77777777" w:rsidR="00F6559C" w:rsidRPr="00D717E3" w:rsidRDefault="00F6559C" w:rsidP="006472AF">
      <w:pPr>
        <w:pStyle w:val="Casehead2"/>
        <w:rPr>
          <w:lang w:val="en-GB"/>
        </w:rPr>
      </w:pPr>
    </w:p>
    <w:p w14:paraId="292D2152" w14:textId="774BEA2F" w:rsidR="004B3D08" w:rsidRPr="00D717E3" w:rsidRDefault="004B3D08" w:rsidP="00F6559C">
      <w:pPr>
        <w:pStyle w:val="Casehead2"/>
        <w:jc w:val="center"/>
        <w:rPr>
          <w:lang w:val="en-GB"/>
        </w:rPr>
      </w:pPr>
      <w:r w:rsidRPr="00D717E3">
        <w:rPr>
          <w:noProof/>
        </w:rPr>
        <w:drawing>
          <wp:inline distT="0" distB="0" distL="0" distR="0" wp14:anchorId="366400D7" wp14:editId="2396F617">
            <wp:extent cx="6018530" cy="2433099"/>
            <wp:effectExtent l="0" t="0" r="1270" b="5715"/>
            <wp:docPr id="2" name="Chart 2">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00000000-0008-0000-0000-000003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7230FCAB" w14:textId="77777777" w:rsidR="006472AF" w:rsidRPr="00D717E3" w:rsidRDefault="006472AF" w:rsidP="006472AF">
      <w:pPr>
        <w:pStyle w:val="Casehead2"/>
        <w:jc w:val="center"/>
        <w:outlineLvl w:val="0"/>
        <w:rPr>
          <w:lang w:val="en-GB"/>
        </w:rPr>
      </w:pPr>
    </w:p>
    <w:p w14:paraId="76422CAC" w14:textId="2CC41523" w:rsidR="00762164" w:rsidRPr="00D717E3" w:rsidRDefault="00762164" w:rsidP="00014998">
      <w:pPr>
        <w:pStyle w:val="Footnote"/>
        <w:rPr>
          <w:rFonts w:eastAsiaTheme="minorEastAsia"/>
          <w:lang w:val="en-GB"/>
        </w:rPr>
      </w:pPr>
      <w:r w:rsidRPr="00D717E3">
        <w:rPr>
          <w:rFonts w:eastAsiaTheme="minorEastAsia"/>
          <w:lang w:val="en-GB"/>
        </w:rPr>
        <w:t xml:space="preserve">Note: </w:t>
      </w:r>
      <w:r w:rsidRPr="00D717E3">
        <w:rPr>
          <w:lang w:val="en-GB"/>
        </w:rPr>
        <w:t xml:space="preserve">As Nintendo and Sony’s fiscal year ended in March 31, </w:t>
      </w:r>
      <w:r w:rsidR="0031387A" w:rsidRPr="00D717E3">
        <w:rPr>
          <w:lang w:val="en-GB"/>
        </w:rPr>
        <w:t xml:space="preserve">sales of </w:t>
      </w:r>
      <w:r w:rsidRPr="00D717E3">
        <w:rPr>
          <w:lang w:val="en-GB"/>
        </w:rPr>
        <w:t>Microsoft’s Xbox were calculated accordingly</w:t>
      </w:r>
      <w:r w:rsidR="00AA4859" w:rsidRPr="00D717E3">
        <w:rPr>
          <w:lang w:val="en-GB"/>
        </w:rPr>
        <w:t xml:space="preserve">; </w:t>
      </w:r>
      <w:r w:rsidR="005A79B5" w:rsidRPr="00D717E3">
        <w:rPr>
          <w:lang w:val="en-GB"/>
        </w:rPr>
        <w:t>PSP = PlayStation Portable</w:t>
      </w:r>
      <w:r w:rsidR="00AA4859" w:rsidRPr="00D717E3">
        <w:rPr>
          <w:lang w:val="en-GB"/>
        </w:rPr>
        <w:t>.</w:t>
      </w:r>
    </w:p>
    <w:p w14:paraId="7597EA93" w14:textId="77777777" w:rsidR="0076336D" w:rsidRPr="00D717E3" w:rsidRDefault="0076336D" w:rsidP="0076336D">
      <w:pPr>
        <w:ind w:right="-138"/>
        <w:rPr>
          <w:rFonts w:eastAsiaTheme="minorEastAsia" w:cstheme="minorBidi"/>
          <w:sz w:val="22"/>
          <w:szCs w:val="22"/>
          <w:lang w:val="en-GB"/>
        </w:rPr>
      </w:pPr>
    </w:p>
    <w:p w14:paraId="53E119D3" w14:textId="77777777" w:rsidR="007D31A8" w:rsidRPr="00D717E3" w:rsidRDefault="007D31A8" w:rsidP="006472AF">
      <w:pPr>
        <w:pStyle w:val="Casehead2"/>
        <w:rPr>
          <w:rFonts w:eastAsiaTheme="minorEastAsia"/>
          <w:lang w:val="en-GB"/>
        </w:rPr>
      </w:pPr>
    </w:p>
    <w:p w14:paraId="600EF812" w14:textId="2C0F1C1C" w:rsidR="0076336D" w:rsidRPr="00D717E3" w:rsidRDefault="0076336D" w:rsidP="006472AF">
      <w:pPr>
        <w:pStyle w:val="Casehead2"/>
        <w:rPr>
          <w:rFonts w:eastAsiaTheme="minorEastAsia"/>
          <w:lang w:val="en-GB"/>
        </w:rPr>
      </w:pPr>
      <w:r w:rsidRPr="00D717E3">
        <w:rPr>
          <w:rFonts w:eastAsiaTheme="minorEastAsia"/>
          <w:lang w:val="en-GB"/>
        </w:rPr>
        <w:t xml:space="preserve">Panel B: Global Game Market Share by </w:t>
      </w:r>
      <w:r w:rsidR="006C3A8C" w:rsidRPr="00D717E3">
        <w:rPr>
          <w:rFonts w:eastAsiaTheme="minorEastAsia"/>
          <w:lang w:val="en-GB"/>
        </w:rPr>
        <w:t>S</w:t>
      </w:r>
      <w:r w:rsidRPr="00D717E3">
        <w:rPr>
          <w:rFonts w:eastAsiaTheme="minorEastAsia"/>
          <w:lang w:val="en-GB"/>
        </w:rPr>
        <w:t>e</w:t>
      </w:r>
      <w:r w:rsidR="006C3A8C" w:rsidRPr="00D717E3">
        <w:rPr>
          <w:rFonts w:eastAsiaTheme="minorEastAsia"/>
          <w:lang w:val="en-GB"/>
        </w:rPr>
        <w:t>g</w:t>
      </w:r>
      <w:r w:rsidRPr="00D717E3">
        <w:rPr>
          <w:rFonts w:eastAsiaTheme="minorEastAsia"/>
          <w:lang w:val="en-GB"/>
        </w:rPr>
        <w:t>ment</w:t>
      </w:r>
      <w:r w:rsidR="003B4EE3" w:rsidRPr="00D717E3">
        <w:rPr>
          <w:rFonts w:eastAsiaTheme="minorEastAsia"/>
          <w:lang w:val="en-GB"/>
        </w:rPr>
        <w:t xml:space="preserve"> (%)</w:t>
      </w:r>
    </w:p>
    <w:p w14:paraId="3E09A101" w14:textId="77777777" w:rsidR="008D1FEF" w:rsidRPr="00D717E3" w:rsidRDefault="008D1FEF" w:rsidP="0076336D">
      <w:pPr>
        <w:pStyle w:val="Casehead2"/>
        <w:rPr>
          <w:rFonts w:eastAsiaTheme="minorEastAsia"/>
          <w:lang w:val="en-GB" w:eastAsia="ja-JP"/>
        </w:rPr>
      </w:pPr>
    </w:p>
    <w:p w14:paraId="5E934C40" w14:textId="77777777" w:rsidR="007D31A8" w:rsidRPr="00D717E3" w:rsidRDefault="007D31A8" w:rsidP="0076336D">
      <w:pPr>
        <w:pStyle w:val="Casehead2"/>
        <w:rPr>
          <w:rFonts w:eastAsiaTheme="minorEastAsia"/>
          <w:lang w:val="en-GB" w:eastAsia="ja-JP"/>
        </w:rPr>
      </w:pPr>
    </w:p>
    <w:tbl>
      <w:tblPr>
        <w:tblW w:w="9097" w:type="dxa"/>
        <w:tblLayout w:type="fixed"/>
        <w:tblLook w:val="04A0" w:firstRow="1" w:lastRow="0" w:firstColumn="1" w:lastColumn="0" w:noHBand="0" w:noVBand="1"/>
      </w:tblPr>
      <w:tblGrid>
        <w:gridCol w:w="3402"/>
        <w:gridCol w:w="1354"/>
        <w:gridCol w:w="1056"/>
        <w:gridCol w:w="992"/>
        <w:gridCol w:w="993"/>
        <w:gridCol w:w="1300"/>
      </w:tblGrid>
      <w:tr w:rsidR="007D31A8" w:rsidRPr="00D717E3" w14:paraId="24F11BB7" w14:textId="77777777" w:rsidTr="007D31A8">
        <w:trPr>
          <w:trHeight w:val="320"/>
        </w:trPr>
        <w:tc>
          <w:tcPr>
            <w:tcW w:w="3402" w:type="dxa"/>
            <w:tcBorders>
              <w:top w:val="nil"/>
              <w:left w:val="nil"/>
              <w:bottom w:val="single" w:sz="4" w:space="0" w:color="auto"/>
              <w:right w:val="nil"/>
            </w:tcBorders>
            <w:shd w:val="clear" w:color="auto" w:fill="auto"/>
            <w:noWrap/>
            <w:vAlign w:val="bottom"/>
            <w:hideMark/>
          </w:tcPr>
          <w:p w14:paraId="5D2C6B86" w14:textId="77777777" w:rsidR="007D31A8" w:rsidRPr="00D717E3" w:rsidRDefault="007D31A8" w:rsidP="003B4EE3">
            <w:pPr>
              <w:pStyle w:val="ExhibitText"/>
              <w:rPr>
                <w:lang w:val="en-GB"/>
              </w:rPr>
            </w:pPr>
          </w:p>
        </w:tc>
        <w:tc>
          <w:tcPr>
            <w:tcW w:w="1354" w:type="dxa"/>
            <w:tcBorders>
              <w:top w:val="nil"/>
              <w:left w:val="nil"/>
              <w:bottom w:val="single" w:sz="4" w:space="0" w:color="auto"/>
              <w:right w:val="nil"/>
            </w:tcBorders>
            <w:shd w:val="clear" w:color="auto" w:fill="auto"/>
            <w:noWrap/>
            <w:vAlign w:val="bottom"/>
            <w:hideMark/>
          </w:tcPr>
          <w:p w14:paraId="0C25E114" w14:textId="77777777" w:rsidR="007D31A8" w:rsidRPr="00D717E3" w:rsidRDefault="007D31A8" w:rsidP="003B4EE3">
            <w:pPr>
              <w:pStyle w:val="ExhibitText"/>
              <w:jc w:val="right"/>
              <w:rPr>
                <w:rFonts w:cs="Calibri"/>
                <w:color w:val="000000"/>
                <w:lang w:val="en-GB"/>
              </w:rPr>
            </w:pPr>
            <w:r w:rsidRPr="00D717E3">
              <w:rPr>
                <w:rFonts w:cs="Calibri"/>
                <w:color w:val="000000"/>
                <w:lang w:val="en-GB"/>
              </w:rPr>
              <w:t>2012</w:t>
            </w:r>
          </w:p>
        </w:tc>
        <w:tc>
          <w:tcPr>
            <w:tcW w:w="1056" w:type="dxa"/>
            <w:tcBorders>
              <w:top w:val="nil"/>
              <w:left w:val="nil"/>
              <w:bottom w:val="single" w:sz="4" w:space="0" w:color="auto"/>
              <w:right w:val="nil"/>
            </w:tcBorders>
            <w:shd w:val="clear" w:color="auto" w:fill="auto"/>
            <w:noWrap/>
            <w:vAlign w:val="bottom"/>
            <w:hideMark/>
          </w:tcPr>
          <w:p w14:paraId="2438773C" w14:textId="77777777" w:rsidR="007D31A8" w:rsidRPr="00D717E3" w:rsidRDefault="007D31A8" w:rsidP="003B4EE3">
            <w:pPr>
              <w:pStyle w:val="ExhibitText"/>
              <w:jc w:val="right"/>
              <w:rPr>
                <w:rFonts w:cs="Calibri"/>
                <w:color w:val="000000"/>
                <w:lang w:val="en-GB"/>
              </w:rPr>
            </w:pPr>
            <w:r w:rsidRPr="00D717E3">
              <w:rPr>
                <w:rFonts w:cs="Calibri"/>
                <w:color w:val="000000"/>
                <w:lang w:val="en-GB"/>
              </w:rPr>
              <w:t>2013</w:t>
            </w:r>
          </w:p>
        </w:tc>
        <w:tc>
          <w:tcPr>
            <w:tcW w:w="992" w:type="dxa"/>
            <w:tcBorders>
              <w:top w:val="nil"/>
              <w:left w:val="nil"/>
              <w:bottom w:val="single" w:sz="4" w:space="0" w:color="auto"/>
              <w:right w:val="nil"/>
            </w:tcBorders>
            <w:shd w:val="clear" w:color="auto" w:fill="auto"/>
            <w:noWrap/>
            <w:vAlign w:val="bottom"/>
            <w:hideMark/>
          </w:tcPr>
          <w:p w14:paraId="254310C4" w14:textId="77777777" w:rsidR="007D31A8" w:rsidRPr="00D717E3" w:rsidRDefault="007D31A8" w:rsidP="003B4EE3">
            <w:pPr>
              <w:pStyle w:val="ExhibitText"/>
              <w:jc w:val="right"/>
              <w:rPr>
                <w:rFonts w:cs="Calibri"/>
                <w:color w:val="000000"/>
                <w:lang w:val="en-GB"/>
              </w:rPr>
            </w:pPr>
            <w:r w:rsidRPr="00D717E3">
              <w:rPr>
                <w:rFonts w:cs="Calibri"/>
                <w:color w:val="000000"/>
                <w:lang w:val="en-GB"/>
              </w:rPr>
              <w:t>2014</w:t>
            </w:r>
          </w:p>
        </w:tc>
        <w:tc>
          <w:tcPr>
            <w:tcW w:w="993" w:type="dxa"/>
            <w:tcBorders>
              <w:top w:val="nil"/>
              <w:left w:val="nil"/>
              <w:bottom w:val="single" w:sz="4" w:space="0" w:color="auto"/>
              <w:right w:val="nil"/>
            </w:tcBorders>
            <w:shd w:val="clear" w:color="auto" w:fill="auto"/>
            <w:noWrap/>
            <w:vAlign w:val="bottom"/>
            <w:hideMark/>
          </w:tcPr>
          <w:p w14:paraId="18E6EC1F" w14:textId="77777777" w:rsidR="007D31A8" w:rsidRPr="00D717E3" w:rsidRDefault="007D31A8" w:rsidP="003B4EE3">
            <w:pPr>
              <w:pStyle w:val="ExhibitText"/>
              <w:jc w:val="right"/>
              <w:rPr>
                <w:rFonts w:cs="Calibri"/>
                <w:color w:val="000000"/>
                <w:lang w:val="en-GB"/>
              </w:rPr>
            </w:pPr>
            <w:r w:rsidRPr="00D717E3">
              <w:rPr>
                <w:rFonts w:cs="Calibri"/>
                <w:color w:val="000000"/>
                <w:lang w:val="en-GB"/>
              </w:rPr>
              <w:t>2015</w:t>
            </w:r>
          </w:p>
        </w:tc>
        <w:tc>
          <w:tcPr>
            <w:tcW w:w="1300" w:type="dxa"/>
            <w:tcBorders>
              <w:top w:val="nil"/>
              <w:left w:val="nil"/>
              <w:bottom w:val="single" w:sz="4" w:space="0" w:color="auto"/>
              <w:right w:val="nil"/>
            </w:tcBorders>
            <w:shd w:val="clear" w:color="auto" w:fill="auto"/>
            <w:noWrap/>
            <w:vAlign w:val="bottom"/>
            <w:hideMark/>
          </w:tcPr>
          <w:p w14:paraId="6DFD2E96" w14:textId="77777777" w:rsidR="007D31A8" w:rsidRPr="00D717E3" w:rsidRDefault="007D31A8" w:rsidP="003B4EE3">
            <w:pPr>
              <w:pStyle w:val="ExhibitText"/>
              <w:jc w:val="right"/>
              <w:rPr>
                <w:rFonts w:cs="Calibri"/>
                <w:color w:val="000000"/>
                <w:lang w:val="en-GB"/>
              </w:rPr>
            </w:pPr>
            <w:r w:rsidRPr="00D717E3">
              <w:rPr>
                <w:rFonts w:cs="Calibri"/>
                <w:color w:val="000000"/>
                <w:lang w:val="en-GB"/>
              </w:rPr>
              <w:t>2016</w:t>
            </w:r>
          </w:p>
        </w:tc>
      </w:tr>
      <w:tr w:rsidR="007D31A8" w:rsidRPr="00D717E3" w14:paraId="0CAFB7B2" w14:textId="77777777" w:rsidTr="003725A1">
        <w:trPr>
          <w:trHeight w:val="60"/>
        </w:trPr>
        <w:tc>
          <w:tcPr>
            <w:tcW w:w="3402" w:type="dxa"/>
            <w:tcBorders>
              <w:top w:val="single" w:sz="4" w:space="0" w:color="auto"/>
              <w:left w:val="nil"/>
              <w:bottom w:val="nil"/>
              <w:right w:val="nil"/>
            </w:tcBorders>
            <w:shd w:val="clear" w:color="auto" w:fill="auto"/>
            <w:noWrap/>
            <w:vAlign w:val="bottom"/>
            <w:hideMark/>
          </w:tcPr>
          <w:p w14:paraId="50C1129F" w14:textId="126A890B" w:rsidR="007D31A8" w:rsidRPr="00D717E3" w:rsidRDefault="007D31A8" w:rsidP="003B4EE3">
            <w:pPr>
              <w:pStyle w:val="ExhibitText"/>
              <w:rPr>
                <w:rFonts w:cs="Calibri"/>
                <w:color w:val="000000"/>
                <w:lang w:val="en-GB"/>
              </w:rPr>
            </w:pPr>
            <w:r w:rsidRPr="00D717E3">
              <w:rPr>
                <w:rFonts w:cs="Calibri"/>
                <w:color w:val="000000"/>
                <w:lang w:val="en-GB"/>
              </w:rPr>
              <w:t xml:space="preserve">Massively </w:t>
            </w:r>
            <w:r w:rsidR="00AA4859" w:rsidRPr="00D717E3">
              <w:rPr>
                <w:rFonts w:cs="Calibri"/>
                <w:color w:val="000000"/>
                <w:lang w:val="en-GB"/>
              </w:rPr>
              <w:t>Multiplayer Online Game</w:t>
            </w:r>
          </w:p>
        </w:tc>
        <w:tc>
          <w:tcPr>
            <w:tcW w:w="1354" w:type="dxa"/>
            <w:tcBorders>
              <w:top w:val="single" w:sz="4" w:space="0" w:color="auto"/>
              <w:left w:val="nil"/>
              <w:bottom w:val="nil"/>
              <w:right w:val="nil"/>
            </w:tcBorders>
            <w:shd w:val="clear" w:color="auto" w:fill="auto"/>
            <w:noWrap/>
            <w:vAlign w:val="bottom"/>
            <w:hideMark/>
          </w:tcPr>
          <w:p w14:paraId="19F4411F" w14:textId="5AB615D8" w:rsidR="007D31A8" w:rsidRPr="00D717E3" w:rsidRDefault="007D31A8" w:rsidP="003B4EE3">
            <w:pPr>
              <w:pStyle w:val="ExhibitText"/>
              <w:jc w:val="right"/>
              <w:rPr>
                <w:rFonts w:cs="Calibri"/>
                <w:color w:val="000000"/>
                <w:lang w:val="en-GB"/>
              </w:rPr>
            </w:pPr>
            <w:r w:rsidRPr="00D717E3">
              <w:rPr>
                <w:rFonts w:cs="Calibri"/>
                <w:color w:val="000000"/>
                <w:lang w:val="en-GB"/>
              </w:rPr>
              <w:t>19.80</w:t>
            </w:r>
          </w:p>
        </w:tc>
        <w:tc>
          <w:tcPr>
            <w:tcW w:w="1056" w:type="dxa"/>
            <w:tcBorders>
              <w:top w:val="single" w:sz="4" w:space="0" w:color="auto"/>
              <w:left w:val="nil"/>
              <w:bottom w:val="nil"/>
              <w:right w:val="nil"/>
            </w:tcBorders>
            <w:shd w:val="clear" w:color="auto" w:fill="auto"/>
            <w:noWrap/>
            <w:vAlign w:val="bottom"/>
            <w:hideMark/>
          </w:tcPr>
          <w:p w14:paraId="4A72F031" w14:textId="6A0754D2" w:rsidR="007D31A8" w:rsidRPr="00D717E3" w:rsidRDefault="007D31A8" w:rsidP="003B4EE3">
            <w:pPr>
              <w:pStyle w:val="ExhibitText"/>
              <w:jc w:val="right"/>
              <w:rPr>
                <w:rFonts w:cs="Calibri"/>
                <w:color w:val="000000"/>
                <w:lang w:val="en-GB"/>
              </w:rPr>
            </w:pPr>
            <w:r w:rsidRPr="00D717E3">
              <w:rPr>
                <w:rFonts w:cs="Calibri"/>
                <w:color w:val="000000"/>
                <w:lang w:val="en-GB"/>
              </w:rPr>
              <w:t>21.20</w:t>
            </w:r>
          </w:p>
        </w:tc>
        <w:tc>
          <w:tcPr>
            <w:tcW w:w="992" w:type="dxa"/>
            <w:tcBorders>
              <w:top w:val="single" w:sz="4" w:space="0" w:color="auto"/>
              <w:left w:val="nil"/>
              <w:bottom w:val="nil"/>
              <w:right w:val="nil"/>
            </w:tcBorders>
            <w:shd w:val="clear" w:color="auto" w:fill="auto"/>
            <w:noWrap/>
            <w:vAlign w:val="bottom"/>
            <w:hideMark/>
          </w:tcPr>
          <w:p w14:paraId="36756EE7" w14:textId="364DFA8B" w:rsidR="007D31A8" w:rsidRPr="00D717E3" w:rsidRDefault="007D31A8" w:rsidP="003B4EE3">
            <w:pPr>
              <w:pStyle w:val="ExhibitText"/>
              <w:jc w:val="right"/>
              <w:rPr>
                <w:rFonts w:cs="Calibri"/>
                <w:color w:val="000000"/>
                <w:lang w:val="en-GB"/>
              </w:rPr>
            </w:pPr>
            <w:r w:rsidRPr="00D717E3">
              <w:rPr>
                <w:rFonts w:cs="Calibri"/>
                <w:color w:val="000000"/>
                <w:lang w:val="en-GB"/>
              </w:rPr>
              <w:t>21.90</w:t>
            </w:r>
          </w:p>
        </w:tc>
        <w:tc>
          <w:tcPr>
            <w:tcW w:w="993" w:type="dxa"/>
            <w:tcBorders>
              <w:top w:val="single" w:sz="4" w:space="0" w:color="auto"/>
              <w:left w:val="nil"/>
              <w:bottom w:val="nil"/>
              <w:right w:val="nil"/>
            </w:tcBorders>
            <w:shd w:val="clear" w:color="auto" w:fill="auto"/>
            <w:noWrap/>
            <w:vAlign w:val="bottom"/>
            <w:hideMark/>
          </w:tcPr>
          <w:p w14:paraId="522C6B5C" w14:textId="05B69868" w:rsidR="007D31A8" w:rsidRPr="00D717E3" w:rsidRDefault="007D31A8" w:rsidP="003B4EE3">
            <w:pPr>
              <w:pStyle w:val="ExhibitText"/>
              <w:jc w:val="right"/>
              <w:rPr>
                <w:rFonts w:cs="Calibri"/>
                <w:color w:val="000000"/>
                <w:lang w:val="en-GB"/>
              </w:rPr>
            </w:pPr>
            <w:r w:rsidRPr="00D717E3">
              <w:rPr>
                <w:rFonts w:cs="Calibri"/>
                <w:color w:val="000000"/>
                <w:lang w:val="en-GB"/>
              </w:rPr>
              <w:t>22.30</w:t>
            </w:r>
          </w:p>
        </w:tc>
        <w:tc>
          <w:tcPr>
            <w:tcW w:w="1300" w:type="dxa"/>
            <w:tcBorders>
              <w:top w:val="single" w:sz="4" w:space="0" w:color="auto"/>
              <w:left w:val="nil"/>
              <w:bottom w:val="nil"/>
              <w:right w:val="nil"/>
            </w:tcBorders>
            <w:shd w:val="clear" w:color="auto" w:fill="auto"/>
            <w:noWrap/>
            <w:vAlign w:val="bottom"/>
            <w:hideMark/>
          </w:tcPr>
          <w:p w14:paraId="0D1F814A" w14:textId="49018980" w:rsidR="007D31A8" w:rsidRPr="00D717E3" w:rsidRDefault="007D31A8" w:rsidP="003B4EE3">
            <w:pPr>
              <w:pStyle w:val="ExhibitText"/>
              <w:jc w:val="right"/>
              <w:rPr>
                <w:rFonts w:cs="Calibri"/>
                <w:color w:val="000000"/>
                <w:lang w:val="en-GB"/>
              </w:rPr>
            </w:pPr>
            <w:r w:rsidRPr="00D717E3">
              <w:rPr>
                <w:rFonts w:cs="Calibri"/>
                <w:color w:val="000000"/>
                <w:lang w:val="en-GB"/>
              </w:rPr>
              <w:t>22.70</w:t>
            </w:r>
          </w:p>
        </w:tc>
      </w:tr>
      <w:tr w:rsidR="007D31A8" w:rsidRPr="00D717E3" w14:paraId="6E578D30" w14:textId="77777777" w:rsidTr="003725A1">
        <w:trPr>
          <w:trHeight w:val="70"/>
        </w:trPr>
        <w:tc>
          <w:tcPr>
            <w:tcW w:w="3402" w:type="dxa"/>
            <w:tcBorders>
              <w:top w:val="nil"/>
              <w:left w:val="nil"/>
              <w:bottom w:val="nil"/>
              <w:right w:val="nil"/>
            </w:tcBorders>
            <w:shd w:val="clear" w:color="auto" w:fill="auto"/>
            <w:noWrap/>
            <w:vAlign w:val="bottom"/>
            <w:hideMark/>
          </w:tcPr>
          <w:p w14:paraId="4C26E9E6" w14:textId="77777777" w:rsidR="007D31A8" w:rsidRPr="00D717E3" w:rsidRDefault="007D31A8" w:rsidP="003B4EE3">
            <w:pPr>
              <w:pStyle w:val="ExhibitText"/>
              <w:rPr>
                <w:rFonts w:cs="Calibri"/>
                <w:color w:val="000000"/>
                <w:lang w:val="en-GB"/>
              </w:rPr>
            </w:pPr>
            <w:r w:rsidRPr="00D717E3">
              <w:rPr>
                <w:rFonts w:cs="Calibri"/>
                <w:color w:val="000000"/>
                <w:lang w:val="en-GB"/>
              </w:rPr>
              <w:t>PC/MAC</w:t>
            </w:r>
          </w:p>
        </w:tc>
        <w:tc>
          <w:tcPr>
            <w:tcW w:w="1354" w:type="dxa"/>
            <w:tcBorders>
              <w:top w:val="nil"/>
              <w:left w:val="nil"/>
              <w:bottom w:val="nil"/>
              <w:right w:val="nil"/>
            </w:tcBorders>
            <w:shd w:val="clear" w:color="auto" w:fill="auto"/>
            <w:noWrap/>
            <w:vAlign w:val="bottom"/>
            <w:hideMark/>
          </w:tcPr>
          <w:p w14:paraId="0BE80C47" w14:textId="1670D7BD" w:rsidR="007D31A8" w:rsidRPr="00D717E3" w:rsidRDefault="007D31A8" w:rsidP="003B4EE3">
            <w:pPr>
              <w:pStyle w:val="ExhibitText"/>
              <w:jc w:val="right"/>
              <w:rPr>
                <w:rFonts w:cs="Calibri"/>
                <w:color w:val="000000"/>
                <w:lang w:val="en-GB"/>
              </w:rPr>
            </w:pPr>
            <w:r w:rsidRPr="00D717E3">
              <w:rPr>
                <w:rFonts w:cs="Calibri"/>
                <w:color w:val="000000"/>
                <w:lang w:val="en-GB"/>
              </w:rPr>
              <w:t>9.80</w:t>
            </w:r>
          </w:p>
        </w:tc>
        <w:tc>
          <w:tcPr>
            <w:tcW w:w="1056" w:type="dxa"/>
            <w:tcBorders>
              <w:top w:val="nil"/>
              <w:left w:val="nil"/>
              <w:bottom w:val="nil"/>
              <w:right w:val="nil"/>
            </w:tcBorders>
            <w:shd w:val="clear" w:color="auto" w:fill="auto"/>
            <w:noWrap/>
            <w:vAlign w:val="bottom"/>
            <w:hideMark/>
          </w:tcPr>
          <w:p w14:paraId="602BAC99" w14:textId="03F85CA8" w:rsidR="007D31A8" w:rsidRPr="00D717E3" w:rsidRDefault="007D31A8" w:rsidP="003B4EE3">
            <w:pPr>
              <w:pStyle w:val="ExhibitText"/>
              <w:jc w:val="right"/>
              <w:rPr>
                <w:rFonts w:cs="Calibri"/>
                <w:color w:val="000000"/>
                <w:lang w:val="en-GB"/>
              </w:rPr>
            </w:pPr>
            <w:r w:rsidRPr="00D717E3">
              <w:rPr>
                <w:rFonts w:cs="Calibri"/>
                <w:color w:val="000000"/>
                <w:lang w:val="en-GB"/>
              </w:rPr>
              <w:t>8.60</w:t>
            </w:r>
          </w:p>
        </w:tc>
        <w:tc>
          <w:tcPr>
            <w:tcW w:w="992" w:type="dxa"/>
            <w:tcBorders>
              <w:top w:val="nil"/>
              <w:left w:val="nil"/>
              <w:bottom w:val="nil"/>
              <w:right w:val="nil"/>
            </w:tcBorders>
            <w:shd w:val="clear" w:color="auto" w:fill="auto"/>
            <w:noWrap/>
            <w:vAlign w:val="bottom"/>
            <w:hideMark/>
          </w:tcPr>
          <w:p w14:paraId="06895B41" w14:textId="689182CE" w:rsidR="007D31A8" w:rsidRPr="00D717E3" w:rsidRDefault="007D31A8" w:rsidP="003B4EE3">
            <w:pPr>
              <w:pStyle w:val="ExhibitText"/>
              <w:jc w:val="right"/>
              <w:rPr>
                <w:rFonts w:cs="Calibri"/>
                <w:color w:val="000000"/>
                <w:lang w:val="en-GB"/>
              </w:rPr>
            </w:pPr>
            <w:r w:rsidRPr="00D717E3">
              <w:rPr>
                <w:rFonts w:cs="Calibri"/>
                <w:color w:val="000000"/>
                <w:lang w:val="en-GB"/>
              </w:rPr>
              <w:t>7.50</w:t>
            </w:r>
          </w:p>
        </w:tc>
        <w:tc>
          <w:tcPr>
            <w:tcW w:w="993" w:type="dxa"/>
            <w:tcBorders>
              <w:top w:val="nil"/>
              <w:left w:val="nil"/>
              <w:bottom w:val="nil"/>
              <w:right w:val="nil"/>
            </w:tcBorders>
            <w:shd w:val="clear" w:color="auto" w:fill="auto"/>
            <w:noWrap/>
            <w:vAlign w:val="bottom"/>
            <w:hideMark/>
          </w:tcPr>
          <w:p w14:paraId="5E7E6EC7" w14:textId="5F66CC40" w:rsidR="007D31A8" w:rsidRPr="00D717E3" w:rsidRDefault="007D31A8" w:rsidP="003B4EE3">
            <w:pPr>
              <w:pStyle w:val="ExhibitText"/>
              <w:jc w:val="right"/>
              <w:rPr>
                <w:rFonts w:cs="Calibri"/>
                <w:color w:val="000000"/>
                <w:lang w:val="en-GB"/>
              </w:rPr>
            </w:pPr>
            <w:r w:rsidRPr="00D717E3">
              <w:rPr>
                <w:rFonts w:cs="Calibri"/>
                <w:color w:val="000000"/>
                <w:lang w:val="en-GB"/>
              </w:rPr>
              <w:t>6.60</w:t>
            </w:r>
          </w:p>
        </w:tc>
        <w:tc>
          <w:tcPr>
            <w:tcW w:w="1300" w:type="dxa"/>
            <w:tcBorders>
              <w:top w:val="nil"/>
              <w:left w:val="nil"/>
              <w:bottom w:val="nil"/>
              <w:right w:val="nil"/>
            </w:tcBorders>
            <w:shd w:val="clear" w:color="auto" w:fill="auto"/>
            <w:noWrap/>
            <w:vAlign w:val="bottom"/>
            <w:hideMark/>
          </w:tcPr>
          <w:p w14:paraId="336CC1E7" w14:textId="5B04C46C" w:rsidR="007D31A8" w:rsidRPr="00D717E3" w:rsidRDefault="007D31A8" w:rsidP="003B4EE3">
            <w:pPr>
              <w:pStyle w:val="ExhibitText"/>
              <w:jc w:val="right"/>
              <w:rPr>
                <w:rFonts w:cs="Calibri"/>
                <w:color w:val="000000"/>
                <w:lang w:val="en-GB"/>
              </w:rPr>
            </w:pPr>
            <w:r w:rsidRPr="00D717E3">
              <w:rPr>
                <w:rFonts w:cs="Calibri"/>
                <w:color w:val="000000"/>
                <w:lang w:val="en-GB"/>
              </w:rPr>
              <w:t>5.80</w:t>
            </w:r>
          </w:p>
        </w:tc>
      </w:tr>
      <w:tr w:rsidR="007D31A8" w:rsidRPr="00D717E3" w14:paraId="0C4408BD" w14:textId="77777777" w:rsidTr="003725A1">
        <w:trPr>
          <w:trHeight w:val="70"/>
        </w:trPr>
        <w:tc>
          <w:tcPr>
            <w:tcW w:w="3402" w:type="dxa"/>
            <w:tcBorders>
              <w:top w:val="nil"/>
              <w:left w:val="nil"/>
              <w:bottom w:val="nil"/>
              <w:right w:val="nil"/>
            </w:tcBorders>
            <w:shd w:val="clear" w:color="auto" w:fill="auto"/>
            <w:noWrap/>
            <w:vAlign w:val="bottom"/>
            <w:hideMark/>
          </w:tcPr>
          <w:p w14:paraId="2FD05536" w14:textId="77777777" w:rsidR="007D31A8" w:rsidRPr="00D717E3" w:rsidRDefault="007D31A8" w:rsidP="003B4EE3">
            <w:pPr>
              <w:pStyle w:val="ExhibitText"/>
              <w:rPr>
                <w:rFonts w:cs="Calibri"/>
                <w:color w:val="000000"/>
                <w:lang w:val="en-GB"/>
              </w:rPr>
            </w:pPr>
            <w:r w:rsidRPr="00D717E3">
              <w:rPr>
                <w:rFonts w:cs="Calibri"/>
                <w:color w:val="000000"/>
                <w:lang w:val="en-GB"/>
              </w:rPr>
              <w:t>Tablet</w:t>
            </w:r>
          </w:p>
        </w:tc>
        <w:tc>
          <w:tcPr>
            <w:tcW w:w="1354" w:type="dxa"/>
            <w:tcBorders>
              <w:top w:val="nil"/>
              <w:left w:val="nil"/>
              <w:bottom w:val="nil"/>
              <w:right w:val="nil"/>
            </w:tcBorders>
            <w:shd w:val="clear" w:color="auto" w:fill="auto"/>
            <w:noWrap/>
            <w:vAlign w:val="bottom"/>
            <w:hideMark/>
          </w:tcPr>
          <w:p w14:paraId="6661CC4F" w14:textId="02112017" w:rsidR="007D31A8" w:rsidRPr="00D717E3" w:rsidRDefault="007D31A8" w:rsidP="003B4EE3">
            <w:pPr>
              <w:pStyle w:val="ExhibitText"/>
              <w:jc w:val="right"/>
              <w:rPr>
                <w:rFonts w:cs="Calibri"/>
                <w:color w:val="000000"/>
                <w:lang w:val="en-GB"/>
              </w:rPr>
            </w:pPr>
            <w:r w:rsidRPr="00D717E3">
              <w:rPr>
                <w:rFonts w:cs="Calibri"/>
                <w:color w:val="000000"/>
                <w:lang w:val="en-GB"/>
              </w:rPr>
              <w:t>3.20</w:t>
            </w:r>
          </w:p>
        </w:tc>
        <w:tc>
          <w:tcPr>
            <w:tcW w:w="1056" w:type="dxa"/>
            <w:tcBorders>
              <w:top w:val="nil"/>
              <w:left w:val="nil"/>
              <w:bottom w:val="nil"/>
              <w:right w:val="nil"/>
            </w:tcBorders>
            <w:shd w:val="clear" w:color="auto" w:fill="auto"/>
            <w:noWrap/>
            <w:vAlign w:val="bottom"/>
            <w:hideMark/>
          </w:tcPr>
          <w:p w14:paraId="50E7EEC8" w14:textId="5A2CCE6F" w:rsidR="007D31A8" w:rsidRPr="00D717E3" w:rsidRDefault="007D31A8" w:rsidP="003B4EE3">
            <w:pPr>
              <w:pStyle w:val="ExhibitText"/>
              <w:jc w:val="right"/>
              <w:rPr>
                <w:rFonts w:cs="Calibri"/>
                <w:color w:val="000000"/>
                <w:lang w:val="en-GB"/>
              </w:rPr>
            </w:pPr>
            <w:r w:rsidRPr="00D717E3">
              <w:rPr>
                <w:rFonts w:cs="Calibri"/>
                <w:color w:val="000000"/>
                <w:lang w:val="en-GB"/>
              </w:rPr>
              <w:t>5.30</w:t>
            </w:r>
          </w:p>
        </w:tc>
        <w:tc>
          <w:tcPr>
            <w:tcW w:w="992" w:type="dxa"/>
            <w:tcBorders>
              <w:top w:val="nil"/>
              <w:left w:val="nil"/>
              <w:bottom w:val="nil"/>
              <w:right w:val="nil"/>
            </w:tcBorders>
            <w:shd w:val="clear" w:color="auto" w:fill="auto"/>
            <w:noWrap/>
            <w:vAlign w:val="bottom"/>
            <w:hideMark/>
          </w:tcPr>
          <w:p w14:paraId="6CC040B3" w14:textId="315410A6" w:rsidR="007D31A8" w:rsidRPr="00D717E3" w:rsidRDefault="007D31A8" w:rsidP="003B4EE3">
            <w:pPr>
              <w:pStyle w:val="ExhibitText"/>
              <w:jc w:val="right"/>
              <w:rPr>
                <w:rFonts w:cs="Calibri"/>
                <w:color w:val="000000"/>
                <w:lang w:val="en-GB"/>
              </w:rPr>
            </w:pPr>
            <w:r w:rsidRPr="00D717E3">
              <w:rPr>
                <w:rFonts w:cs="Calibri"/>
                <w:color w:val="000000"/>
                <w:lang w:val="en-GB"/>
              </w:rPr>
              <w:t>7.50</w:t>
            </w:r>
          </w:p>
        </w:tc>
        <w:tc>
          <w:tcPr>
            <w:tcW w:w="993" w:type="dxa"/>
            <w:tcBorders>
              <w:top w:val="nil"/>
              <w:left w:val="nil"/>
              <w:bottom w:val="nil"/>
              <w:right w:val="nil"/>
            </w:tcBorders>
            <w:shd w:val="clear" w:color="auto" w:fill="auto"/>
            <w:noWrap/>
            <w:vAlign w:val="bottom"/>
            <w:hideMark/>
          </w:tcPr>
          <w:p w14:paraId="267F0F43" w14:textId="603B5633" w:rsidR="007D31A8" w:rsidRPr="00D717E3" w:rsidRDefault="007D31A8" w:rsidP="003B4EE3">
            <w:pPr>
              <w:pStyle w:val="ExhibitText"/>
              <w:jc w:val="right"/>
              <w:rPr>
                <w:rFonts w:cs="Calibri"/>
                <w:color w:val="000000"/>
                <w:lang w:val="en-GB"/>
              </w:rPr>
            </w:pPr>
            <w:r w:rsidRPr="00D717E3">
              <w:rPr>
                <w:rFonts w:cs="Calibri"/>
                <w:color w:val="000000"/>
                <w:lang w:val="en-GB"/>
              </w:rPr>
              <w:t>9.60</w:t>
            </w:r>
          </w:p>
        </w:tc>
        <w:tc>
          <w:tcPr>
            <w:tcW w:w="1300" w:type="dxa"/>
            <w:tcBorders>
              <w:top w:val="nil"/>
              <w:left w:val="nil"/>
              <w:bottom w:val="nil"/>
              <w:right w:val="nil"/>
            </w:tcBorders>
            <w:shd w:val="clear" w:color="auto" w:fill="auto"/>
            <w:noWrap/>
            <w:vAlign w:val="bottom"/>
            <w:hideMark/>
          </w:tcPr>
          <w:p w14:paraId="7379371B" w14:textId="60F043AA" w:rsidR="007D31A8" w:rsidRPr="00D717E3" w:rsidRDefault="007D31A8" w:rsidP="003B4EE3">
            <w:pPr>
              <w:pStyle w:val="ExhibitText"/>
              <w:jc w:val="right"/>
              <w:rPr>
                <w:rFonts w:cs="Calibri"/>
                <w:color w:val="000000"/>
                <w:lang w:val="en-GB"/>
              </w:rPr>
            </w:pPr>
            <w:r w:rsidRPr="00D717E3">
              <w:rPr>
                <w:rFonts w:cs="Calibri"/>
                <w:color w:val="000000"/>
                <w:lang w:val="en-GB"/>
              </w:rPr>
              <w:t>11.60</w:t>
            </w:r>
          </w:p>
        </w:tc>
      </w:tr>
      <w:tr w:rsidR="007D31A8" w:rsidRPr="00D717E3" w14:paraId="0AC0B732" w14:textId="77777777" w:rsidTr="003725A1">
        <w:trPr>
          <w:trHeight w:val="70"/>
        </w:trPr>
        <w:tc>
          <w:tcPr>
            <w:tcW w:w="3402" w:type="dxa"/>
            <w:tcBorders>
              <w:top w:val="nil"/>
              <w:left w:val="nil"/>
              <w:bottom w:val="nil"/>
              <w:right w:val="nil"/>
            </w:tcBorders>
            <w:shd w:val="clear" w:color="auto" w:fill="auto"/>
            <w:noWrap/>
            <w:vAlign w:val="bottom"/>
            <w:hideMark/>
          </w:tcPr>
          <w:p w14:paraId="290FECF0" w14:textId="21A0F936" w:rsidR="007D31A8" w:rsidRPr="00D717E3" w:rsidRDefault="007D31A8" w:rsidP="005A79B5">
            <w:pPr>
              <w:pStyle w:val="ExhibitText"/>
              <w:rPr>
                <w:rFonts w:cs="Calibri"/>
                <w:color w:val="000000"/>
                <w:lang w:val="en-GB"/>
              </w:rPr>
            </w:pPr>
            <w:r w:rsidRPr="00D717E3">
              <w:rPr>
                <w:rFonts w:cs="Calibri"/>
                <w:color w:val="000000"/>
                <w:lang w:val="en-GB"/>
              </w:rPr>
              <w:t>Smartphone</w:t>
            </w:r>
          </w:p>
        </w:tc>
        <w:tc>
          <w:tcPr>
            <w:tcW w:w="1354" w:type="dxa"/>
            <w:tcBorders>
              <w:top w:val="nil"/>
              <w:left w:val="nil"/>
              <w:bottom w:val="nil"/>
              <w:right w:val="nil"/>
            </w:tcBorders>
            <w:shd w:val="clear" w:color="auto" w:fill="auto"/>
            <w:noWrap/>
            <w:vAlign w:val="bottom"/>
            <w:hideMark/>
          </w:tcPr>
          <w:p w14:paraId="63018874" w14:textId="6608CF32" w:rsidR="007D31A8" w:rsidRPr="00D717E3" w:rsidRDefault="007D31A8" w:rsidP="003B4EE3">
            <w:pPr>
              <w:pStyle w:val="ExhibitText"/>
              <w:jc w:val="right"/>
              <w:rPr>
                <w:rFonts w:cs="Calibri"/>
                <w:color w:val="000000"/>
                <w:lang w:val="en-GB"/>
              </w:rPr>
            </w:pPr>
            <w:r w:rsidRPr="00D717E3">
              <w:rPr>
                <w:rFonts w:cs="Calibri"/>
                <w:color w:val="000000"/>
                <w:lang w:val="en-GB"/>
              </w:rPr>
              <w:t>10.60</w:t>
            </w:r>
          </w:p>
        </w:tc>
        <w:tc>
          <w:tcPr>
            <w:tcW w:w="1056" w:type="dxa"/>
            <w:tcBorders>
              <w:top w:val="nil"/>
              <w:left w:val="nil"/>
              <w:bottom w:val="nil"/>
              <w:right w:val="nil"/>
            </w:tcBorders>
            <w:shd w:val="clear" w:color="auto" w:fill="auto"/>
            <w:noWrap/>
            <w:vAlign w:val="bottom"/>
            <w:hideMark/>
          </w:tcPr>
          <w:p w14:paraId="4CDCBF1A" w14:textId="751FA5E9" w:rsidR="007D31A8" w:rsidRPr="00D717E3" w:rsidRDefault="007D31A8" w:rsidP="003B4EE3">
            <w:pPr>
              <w:pStyle w:val="ExhibitText"/>
              <w:jc w:val="right"/>
              <w:rPr>
                <w:rFonts w:cs="Calibri"/>
                <w:color w:val="000000"/>
                <w:lang w:val="en-GB"/>
              </w:rPr>
            </w:pPr>
            <w:r w:rsidRPr="00D717E3">
              <w:rPr>
                <w:rFonts w:cs="Calibri"/>
                <w:color w:val="000000"/>
                <w:lang w:val="en-GB"/>
              </w:rPr>
              <w:t>12.10</w:t>
            </w:r>
          </w:p>
        </w:tc>
        <w:tc>
          <w:tcPr>
            <w:tcW w:w="992" w:type="dxa"/>
            <w:tcBorders>
              <w:top w:val="nil"/>
              <w:left w:val="nil"/>
              <w:bottom w:val="nil"/>
              <w:right w:val="nil"/>
            </w:tcBorders>
            <w:shd w:val="clear" w:color="auto" w:fill="auto"/>
            <w:noWrap/>
            <w:vAlign w:val="bottom"/>
            <w:hideMark/>
          </w:tcPr>
          <w:p w14:paraId="4B9C370A" w14:textId="010F74CB" w:rsidR="007D31A8" w:rsidRPr="00D717E3" w:rsidRDefault="007D31A8" w:rsidP="003B4EE3">
            <w:pPr>
              <w:pStyle w:val="ExhibitText"/>
              <w:jc w:val="right"/>
              <w:rPr>
                <w:rFonts w:cs="Calibri"/>
                <w:color w:val="000000"/>
                <w:lang w:val="en-GB"/>
              </w:rPr>
            </w:pPr>
            <w:r w:rsidRPr="00D717E3">
              <w:rPr>
                <w:rFonts w:cs="Calibri"/>
                <w:color w:val="000000"/>
                <w:lang w:val="en-GB"/>
              </w:rPr>
              <w:t>13.60</w:t>
            </w:r>
          </w:p>
        </w:tc>
        <w:tc>
          <w:tcPr>
            <w:tcW w:w="993" w:type="dxa"/>
            <w:tcBorders>
              <w:top w:val="nil"/>
              <w:left w:val="nil"/>
              <w:bottom w:val="nil"/>
              <w:right w:val="nil"/>
            </w:tcBorders>
            <w:shd w:val="clear" w:color="auto" w:fill="auto"/>
            <w:noWrap/>
            <w:vAlign w:val="bottom"/>
            <w:hideMark/>
          </w:tcPr>
          <w:p w14:paraId="42F8585E" w14:textId="0F4B8BB5" w:rsidR="007D31A8" w:rsidRPr="00D717E3" w:rsidRDefault="007D31A8" w:rsidP="003B4EE3">
            <w:pPr>
              <w:pStyle w:val="ExhibitText"/>
              <w:jc w:val="right"/>
              <w:rPr>
                <w:rFonts w:cs="Calibri"/>
                <w:color w:val="000000"/>
                <w:lang w:val="en-GB"/>
              </w:rPr>
            </w:pPr>
            <w:r w:rsidRPr="00D717E3">
              <w:rPr>
                <w:rFonts w:cs="Calibri"/>
                <w:color w:val="000000"/>
                <w:lang w:val="en-GB"/>
              </w:rPr>
              <w:t>15</w:t>
            </w:r>
          </w:p>
        </w:tc>
        <w:tc>
          <w:tcPr>
            <w:tcW w:w="1300" w:type="dxa"/>
            <w:tcBorders>
              <w:top w:val="nil"/>
              <w:left w:val="nil"/>
              <w:bottom w:val="nil"/>
              <w:right w:val="nil"/>
            </w:tcBorders>
            <w:shd w:val="clear" w:color="auto" w:fill="auto"/>
            <w:noWrap/>
            <w:vAlign w:val="bottom"/>
            <w:hideMark/>
          </w:tcPr>
          <w:p w14:paraId="4C62F0E7" w14:textId="7C60C831" w:rsidR="007D31A8" w:rsidRPr="00D717E3" w:rsidRDefault="007D31A8" w:rsidP="003B4EE3">
            <w:pPr>
              <w:pStyle w:val="ExhibitText"/>
              <w:jc w:val="right"/>
              <w:rPr>
                <w:rFonts w:cs="Calibri"/>
                <w:color w:val="000000"/>
                <w:lang w:val="en-GB"/>
              </w:rPr>
            </w:pPr>
            <w:r w:rsidRPr="00D717E3">
              <w:rPr>
                <w:rFonts w:cs="Calibri"/>
                <w:color w:val="000000"/>
                <w:lang w:val="en-GB"/>
              </w:rPr>
              <w:t>16.20</w:t>
            </w:r>
          </w:p>
        </w:tc>
      </w:tr>
      <w:tr w:rsidR="007D31A8" w:rsidRPr="00D717E3" w14:paraId="091FF47C" w14:textId="77777777" w:rsidTr="003725A1">
        <w:trPr>
          <w:trHeight w:val="70"/>
        </w:trPr>
        <w:tc>
          <w:tcPr>
            <w:tcW w:w="3402" w:type="dxa"/>
            <w:tcBorders>
              <w:top w:val="nil"/>
              <w:left w:val="nil"/>
              <w:bottom w:val="nil"/>
              <w:right w:val="nil"/>
            </w:tcBorders>
            <w:shd w:val="clear" w:color="auto" w:fill="auto"/>
            <w:noWrap/>
            <w:vAlign w:val="bottom"/>
            <w:hideMark/>
          </w:tcPr>
          <w:p w14:paraId="1E40B482" w14:textId="65FF467D" w:rsidR="007D31A8" w:rsidRPr="00D717E3" w:rsidRDefault="007D31A8" w:rsidP="005A79B5">
            <w:pPr>
              <w:pStyle w:val="ExhibitText"/>
              <w:rPr>
                <w:rFonts w:cs="Calibri"/>
                <w:color w:val="000000"/>
                <w:lang w:val="en-GB"/>
              </w:rPr>
            </w:pPr>
            <w:r w:rsidRPr="00D717E3">
              <w:rPr>
                <w:rFonts w:cs="Calibri"/>
                <w:color w:val="000000"/>
                <w:lang w:val="en-GB"/>
              </w:rPr>
              <w:t>T</w:t>
            </w:r>
            <w:r w:rsidR="0031387A" w:rsidRPr="00D717E3">
              <w:rPr>
                <w:rFonts w:cs="Calibri"/>
                <w:color w:val="000000"/>
                <w:lang w:val="en-GB"/>
              </w:rPr>
              <w:t>elevision</w:t>
            </w:r>
            <w:r w:rsidRPr="00D717E3">
              <w:rPr>
                <w:rFonts w:cs="Calibri"/>
                <w:color w:val="000000"/>
                <w:lang w:val="en-GB"/>
              </w:rPr>
              <w:t xml:space="preserve"> </w:t>
            </w:r>
            <w:r w:rsidR="00AA4859" w:rsidRPr="00D717E3">
              <w:rPr>
                <w:rFonts w:cs="Calibri"/>
                <w:color w:val="000000"/>
                <w:lang w:val="en-GB"/>
              </w:rPr>
              <w:t>Console</w:t>
            </w:r>
          </w:p>
        </w:tc>
        <w:tc>
          <w:tcPr>
            <w:tcW w:w="1354" w:type="dxa"/>
            <w:tcBorders>
              <w:top w:val="nil"/>
              <w:left w:val="nil"/>
              <w:bottom w:val="nil"/>
              <w:right w:val="nil"/>
            </w:tcBorders>
            <w:shd w:val="clear" w:color="auto" w:fill="auto"/>
            <w:noWrap/>
            <w:vAlign w:val="bottom"/>
            <w:hideMark/>
          </w:tcPr>
          <w:p w14:paraId="3359B3AC" w14:textId="7B019DE2" w:rsidR="007D31A8" w:rsidRPr="00D717E3" w:rsidRDefault="007D31A8" w:rsidP="003B4EE3">
            <w:pPr>
              <w:pStyle w:val="ExhibitText"/>
              <w:jc w:val="right"/>
              <w:rPr>
                <w:rFonts w:cs="Calibri"/>
                <w:color w:val="000000"/>
                <w:lang w:val="en-GB"/>
              </w:rPr>
            </w:pPr>
            <w:r w:rsidRPr="00D717E3">
              <w:rPr>
                <w:rFonts w:cs="Calibri"/>
                <w:color w:val="000000"/>
                <w:lang w:val="en-GB"/>
              </w:rPr>
              <w:t>36.70</w:t>
            </w:r>
          </w:p>
        </w:tc>
        <w:tc>
          <w:tcPr>
            <w:tcW w:w="1056" w:type="dxa"/>
            <w:tcBorders>
              <w:top w:val="nil"/>
              <w:left w:val="nil"/>
              <w:bottom w:val="nil"/>
              <w:right w:val="nil"/>
            </w:tcBorders>
            <w:shd w:val="clear" w:color="auto" w:fill="auto"/>
            <w:noWrap/>
            <w:vAlign w:val="bottom"/>
            <w:hideMark/>
          </w:tcPr>
          <w:p w14:paraId="134E9C2A" w14:textId="5664D3D6" w:rsidR="007D31A8" w:rsidRPr="00D717E3" w:rsidRDefault="007D31A8" w:rsidP="003B4EE3">
            <w:pPr>
              <w:pStyle w:val="ExhibitText"/>
              <w:jc w:val="right"/>
              <w:rPr>
                <w:rFonts w:cs="Calibri"/>
                <w:color w:val="000000"/>
                <w:lang w:val="en-GB"/>
              </w:rPr>
            </w:pPr>
            <w:r w:rsidRPr="00D717E3">
              <w:rPr>
                <w:rFonts w:cs="Calibri"/>
                <w:color w:val="000000"/>
                <w:lang w:val="en-GB"/>
              </w:rPr>
              <w:t>36.10</w:t>
            </w:r>
          </w:p>
        </w:tc>
        <w:tc>
          <w:tcPr>
            <w:tcW w:w="992" w:type="dxa"/>
            <w:tcBorders>
              <w:top w:val="nil"/>
              <w:left w:val="nil"/>
              <w:bottom w:val="nil"/>
              <w:right w:val="nil"/>
            </w:tcBorders>
            <w:shd w:val="clear" w:color="auto" w:fill="auto"/>
            <w:noWrap/>
            <w:vAlign w:val="bottom"/>
            <w:hideMark/>
          </w:tcPr>
          <w:p w14:paraId="49C9A018" w14:textId="490043F9" w:rsidR="007D31A8" w:rsidRPr="00D717E3" w:rsidRDefault="007D31A8" w:rsidP="003B4EE3">
            <w:pPr>
              <w:pStyle w:val="ExhibitText"/>
              <w:jc w:val="right"/>
              <w:rPr>
                <w:rFonts w:cs="Calibri"/>
                <w:color w:val="000000"/>
                <w:lang w:val="en-GB"/>
              </w:rPr>
            </w:pPr>
            <w:r w:rsidRPr="00D717E3">
              <w:rPr>
                <w:rFonts w:cs="Calibri"/>
                <w:color w:val="000000"/>
                <w:lang w:val="en-GB"/>
              </w:rPr>
              <w:t>34.80</w:t>
            </w:r>
          </w:p>
        </w:tc>
        <w:tc>
          <w:tcPr>
            <w:tcW w:w="993" w:type="dxa"/>
            <w:tcBorders>
              <w:top w:val="nil"/>
              <w:left w:val="nil"/>
              <w:bottom w:val="nil"/>
              <w:right w:val="nil"/>
            </w:tcBorders>
            <w:shd w:val="clear" w:color="auto" w:fill="auto"/>
            <w:noWrap/>
            <w:vAlign w:val="bottom"/>
            <w:hideMark/>
          </w:tcPr>
          <w:p w14:paraId="570F9255" w14:textId="1A5378BC" w:rsidR="007D31A8" w:rsidRPr="00D717E3" w:rsidRDefault="007D31A8" w:rsidP="003B4EE3">
            <w:pPr>
              <w:pStyle w:val="ExhibitText"/>
              <w:jc w:val="right"/>
              <w:rPr>
                <w:rFonts w:cs="Calibri"/>
                <w:color w:val="000000"/>
                <w:lang w:val="en-GB"/>
              </w:rPr>
            </w:pPr>
            <w:r w:rsidRPr="00D717E3">
              <w:rPr>
                <w:rFonts w:cs="Calibri"/>
                <w:color w:val="000000"/>
                <w:lang w:val="en-GB"/>
              </w:rPr>
              <w:t>33.50</w:t>
            </w:r>
          </w:p>
        </w:tc>
        <w:tc>
          <w:tcPr>
            <w:tcW w:w="1300" w:type="dxa"/>
            <w:tcBorders>
              <w:top w:val="nil"/>
              <w:left w:val="nil"/>
              <w:bottom w:val="nil"/>
              <w:right w:val="nil"/>
            </w:tcBorders>
            <w:shd w:val="clear" w:color="auto" w:fill="auto"/>
            <w:noWrap/>
            <w:vAlign w:val="bottom"/>
            <w:hideMark/>
          </w:tcPr>
          <w:p w14:paraId="0B6DAA03" w14:textId="27ECEE2C" w:rsidR="007D31A8" w:rsidRPr="00D717E3" w:rsidRDefault="007D31A8" w:rsidP="003B4EE3">
            <w:pPr>
              <w:pStyle w:val="ExhibitText"/>
              <w:jc w:val="right"/>
              <w:rPr>
                <w:rFonts w:cs="Calibri"/>
                <w:color w:val="000000"/>
                <w:lang w:val="en-GB"/>
              </w:rPr>
            </w:pPr>
            <w:r w:rsidRPr="00D717E3">
              <w:rPr>
                <w:rFonts w:cs="Calibri"/>
                <w:color w:val="000000"/>
                <w:lang w:val="en-GB"/>
              </w:rPr>
              <w:t>32.40</w:t>
            </w:r>
          </w:p>
        </w:tc>
      </w:tr>
      <w:tr w:rsidR="007D31A8" w:rsidRPr="00D717E3" w14:paraId="6F1F1AB9" w14:textId="77777777" w:rsidTr="003725A1">
        <w:trPr>
          <w:trHeight w:val="70"/>
        </w:trPr>
        <w:tc>
          <w:tcPr>
            <w:tcW w:w="3402" w:type="dxa"/>
            <w:tcBorders>
              <w:top w:val="nil"/>
              <w:left w:val="nil"/>
              <w:bottom w:val="nil"/>
              <w:right w:val="nil"/>
            </w:tcBorders>
            <w:shd w:val="clear" w:color="auto" w:fill="auto"/>
            <w:noWrap/>
            <w:vAlign w:val="bottom"/>
            <w:hideMark/>
          </w:tcPr>
          <w:p w14:paraId="29F2DFC9" w14:textId="6C4DB9F8" w:rsidR="007D31A8" w:rsidRPr="00D717E3" w:rsidRDefault="007D31A8" w:rsidP="003B4EE3">
            <w:pPr>
              <w:pStyle w:val="ExhibitText"/>
              <w:rPr>
                <w:rFonts w:cs="Calibri"/>
                <w:color w:val="000000"/>
                <w:lang w:val="en-GB"/>
              </w:rPr>
            </w:pPr>
            <w:r w:rsidRPr="00D717E3">
              <w:rPr>
                <w:rFonts w:cs="Calibri"/>
                <w:color w:val="000000"/>
                <w:lang w:val="en-GB"/>
              </w:rPr>
              <w:t xml:space="preserve">Web </w:t>
            </w:r>
            <w:r w:rsidR="00AA4859" w:rsidRPr="00D717E3">
              <w:rPr>
                <w:rFonts w:cs="Calibri"/>
                <w:color w:val="000000"/>
                <w:lang w:val="en-GB"/>
              </w:rPr>
              <w:t>Games</w:t>
            </w:r>
          </w:p>
        </w:tc>
        <w:tc>
          <w:tcPr>
            <w:tcW w:w="1354" w:type="dxa"/>
            <w:tcBorders>
              <w:top w:val="nil"/>
              <w:left w:val="nil"/>
              <w:bottom w:val="nil"/>
              <w:right w:val="nil"/>
            </w:tcBorders>
            <w:shd w:val="clear" w:color="auto" w:fill="auto"/>
            <w:noWrap/>
            <w:vAlign w:val="bottom"/>
            <w:hideMark/>
          </w:tcPr>
          <w:p w14:paraId="657FF856" w14:textId="0812ED74" w:rsidR="007D31A8" w:rsidRPr="00D717E3" w:rsidRDefault="007D31A8" w:rsidP="003B4EE3">
            <w:pPr>
              <w:pStyle w:val="ExhibitText"/>
              <w:jc w:val="right"/>
              <w:rPr>
                <w:rFonts w:cs="Calibri"/>
                <w:color w:val="000000"/>
                <w:lang w:val="en-GB"/>
              </w:rPr>
            </w:pPr>
            <w:r w:rsidRPr="00D717E3">
              <w:rPr>
                <w:rFonts w:cs="Calibri"/>
                <w:color w:val="000000"/>
                <w:lang w:val="en-GB"/>
              </w:rPr>
              <w:t>10.20</w:t>
            </w:r>
          </w:p>
        </w:tc>
        <w:tc>
          <w:tcPr>
            <w:tcW w:w="1056" w:type="dxa"/>
            <w:tcBorders>
              <w:top w:val="nil"/>
              <w:left w:val="nil"/>
              <w:bottom w:val="nil"/>
              <w:right w:val="nil"/>
            </w:tcBorders>
            <w:shd w:val="clear" w:color="auto" w:fill="auto"/>
            <w:noWrap/>
            <w:vAlign w:val="bottom"/>
            <w:hideMark/>
          </w:tcPr>
          <w:p w14:paraId="7966DEAB" w14:textId="0D42CAA5" w:rsidR="007D31A8" w:rsidRPr="00D717E3" w:rsidRDefault="007D31A8" w:rsidP="003B4EE3">
            <w:pPr>
              <w:pStyle w:val="ExhibitText"/>
              <w:jc w:val="right"/>
              <w:rPr>
                <w:rFonts w:cs="Calibri"/>
                <w:color w:val="000000"/>
                <w:lang w:val="en-GB"/>
              </w:rPr>
            </w:pPr>
            <w:r w:rsidRPr="00D717E3">
              <w:rPr>
                <w:rFonts w:cs="Calibri"/>
                <w:color w:val="000000"/>
                <w:lang w:val="en-GB"/>
              </w:rPr>
              <w:t>9.40</w:t>
            </w:r>
          </w:p>
        </w:tc>
        <w:tc>
          <w:tcPr>
            <w:tcW w:w="992" w:type="dxa"/>
            <w:tcBorders>
              <w:top w:val="nil"/>
              <w:left w:val="nil"/>
              <w:bottom w:val="nil"/>
              <w:right w:val="nil"/>
            </w:tcBorders>
            <w:shd w:val="clear" w:color="auto" w:fill="auto"/>
            <w:noWrap/>
            <w:vAlign w:val="bottom"/>
            <w:hideMark/>
          </w:tcPr>
          <w:p w14:paraId="7A7947BE" w14:textId="2A3C7217" w:rsidR="007D31A8" w:rsidRPr="00D717E3" w:rsidRDefault="007D31A8" w:rsidP="003B4EE3">
            <w:pPr>
              <w:pStyle w:val="ExhibitText"/>
              <w:jc w:val="right"/>
              <w:rPr>
                <w:rFonts w:cs="Calibri"/>
                <w:color w:val="000000"/>
                <w:lang w:val="en-GB"/>
              </w:rPr>
            </w:pPr>
            <w:r w:rsidRPr="00D717E3">
              <w:rPr>
                <w:rFonts w:cs="Calibri"/>
                <w:color w:val="000000"/>
                <w:lang w:val="en-GB"/>
              </w:rPr>
              <w:t>8.60</w:t>
            </w:r>
          </w:p>
        </w:tc>
        <w:tc>
          <w:tcPr>
            <w:tcW w:w="993" w:type="dxa"/>
            <w:tcBorders>
              <w:top w:val="nil"/>
              <w:left w:val="nil"/>
              <w:bottom w:val="nil"/>
              <w:right w:val="nil"/>
            </w:tcBorders>
            <w:shd w:val="clear" w:color="auto" w:fill="auto"/>
            <w:noWrap/>
            <w:vAlign w:val="bottom"/>
            <w:hideMark/>
          </w:tcPr>
          <w:p w14:paraId="19C24D85" w14:textId="5A94D245" w:rsidR="007D31A8" w:rsidRPr="00D717E3" w:rsidRDefault="007D31A8" w:rsidP="003B4EE3">
            <w:pPr>
              <w:pStyle w:val="ExhibitText"/>
              <w:jc w:val="right"/>
              <w:rPr>
                <w:rFonts w:cs="Calibri"/>
                <w:color w:val="000000"/>
                <w:lang w:val="en-GB"/>
              </w:rPr>
            </w:pPr>
            <w:r w:rsidRPr="00D717E3">
              <w:rPr>
                <w:rFonts w:cs="Calibri"/>
                <w:color w:val="000000"/>
                <w:lang w:val="en-GB"/>
              </w:rPr>
              <w:t>7.90</w:t>
            </w:r>
          </w:p>
        </w:tc>
        <w:tc>
          <w:tcPr>
            <w:tcW w:w="1300" w:type="dxa"/>
            <w:tcBorders>
              <w:top w:val="nil"/>
              <w:left w:val="nil"/>
              <w:bottom w:val="nil"/>
              <w:right w:val="nil"/>
            </w:tcBorders>
            <w:shd w:val="clear" w:color="auto" w:fill="auto"/>
            <w:noWrap/>
            <w:vAlign w:val="bottom"/>
            <w:hideMark/>
          </w:tcPr>
          <w:p w14:paraId="4E24A6C8" w14:textId="4779D6E4" w:rsidR="007D31A8" w:rsidRPr="00D717E3" w:rsidRDefault="007D31A8" w:rsidP="003B4EE3">
            <w:pPr>
              <w:pStyle w:val="ExhibitText"/>
              <w:jc w:val="right"/>
              <w:rPr>
                <w:rFonts w:cs="Calibri"/>
                <w:color w:val="000000"/>
                <w:lang w:val="en-GB"/>
              </w:rPr>
            </w:pPr>
            <w:r w:rsidRPr="00D717E3">
              <w:rPr>
                <w:rFonts w:cs="Calibri"/>
                <w:color w:val="000000"/>
                <w:lang w:val="en-GB"/>
              </w:rPr>
              <w:t>7.30</w:t>
            </w:r>
          </w:p>
        </w:tc>
      </w:tr>
      <w:tr w:rsidR="007D31A8" w:rsidRPr="00D717E3" w14:paraId="5DB448A6" w14:textId="77777777" w:rsidTr="003725A1">
        <w:trPr>
          <w:trHeight w:val="70"/>
        </w:trPr>
        <w:tc>
          <w:tcPr>
            <w:tcW w:w="3402" w:type="dxa"/>
            <w:tcBorders>
              <w:top w:val="nil"/>
              <w:left w:val="nil"/>
              <w:bottom w:val="nil"/>
              <w:right w:val="nil"/>
            </w:tcBorders>
            <w:shd w:val="clear" w:color="auto" w:fill="auto"/>
            <w:noWrap/>
            <w:vAlign w:val="bottom"/>
            <w:hideMark/>
          </w:tcPr>
          <w:p w14:paraId="175123C5" w14:textId="17F52B6F" w:rsidR="007D31A8" w:rsidRPr="00D717E3" w:rsidRDefault="007D31A8" w:rsidP="003B4EE3">
            <w:pPr>
              <w:pStyle w:val="ExhibitText"/>
              <w:rPr>
                <w:rFonts w:cs="Calibri"/>
                <w:color w:val="000000"/>
                <w:lang w:val="en-GB"/>
              </w:rPr>
            </w:pPr>
            <w:r w:rsidRPr="00D717E3">
              <w:rPr>
                <w:rFonts w:cs="Calibri"/>
                <w:color w:val="000000"/>
                <w:lang w:val="en-GB"/>
              </w:rPr>
              <w:t>Hand</w:t>
            </w:r>
            <w:r w:rsidR="00AA4859" w:rsidRPr="00D717E3">
              <w:rPr>
                <w:rFonts w:cs="Calibri"/>
                <w:color w:val="000000"/>
                <w:lang w:val="en-GB"/>
              </w:rPr>
              <w:t>-Held Console</w:t>
            </w:r>
          </w:p>
        </w:tc>
        <w:tc>
          <w:tcPr>
            <w:tcW w:w="1354" w:type="dxa"/>
            <w:tcBorders>
              <w:top w:val="nil"/>
              <w:left w:val="nil"/>
              <w:bottom w:val="nil"/>
              <w:right w:val="nil"/>
            </w:tcBorders>
            <w:shd w:val="clear" w:color="auto" w:fill="auto"/>
            <w:noWrap/>
            <w:vAlign w:val="bottom"/>
            <w:hideMark/>
          </w:tcPr>
          <w:p w14:paraId="1ED5FA16" w14:textId="592C227A" w:rsidR="007D31A8" w:rsidRPr="00D717E3" w:rsidRDefault="007D31A8" w:rsidP="003B4EE3">
            <w:pPr>
              <w:pStyle w:val="ExhibitText"/>
              <w:jc w:val="right"/>
              <w:rPr>
                <w:rFonts w:cs="Calibri"/>
                <w:color w:val="000000"/>
                <w:lang w:val="en-GB"/>
              </w:rPr>
            </w:pPr>
            <w:r w:rsidRPr="00D717E3">
              <w:rPr>
                <w:rFonts w:cs="Calibri"/>
                <w:color w:val="000000"/>
                <w:lang w:val="en-GB"/>
              </w:rPr>
              <w:t>9.80</w:t>
            </w:r>
          </w:p>
        </w:tc>
        <w:tc>
          <w:tcPr>
            <w:tcW w:w="1056" w:type="dxa"/>
            <w:tcBorders>
              <w:top w:val="nil"/>
              <w:left w:val="nil"/>
              <w:bottom w:val="nil"/>
              <w:right w:val="nil"/>
            </w:tcBorders>
            <w:shd w:val="clear" w:color="auto" w:fill="auto"/>
            <w:noWrap/>
            <w:vAlign w:val="bottom"/>
            <w:hideMark/>
          </w:tcPr>
          <w:p w14:paraId="11E7D657" w14:textId="0D338A06" w:rsidR="007D31A8" w:rsidRPr="00D717E3" w:rsidRDefault="007D31A8" w:rsidP="003B4EE3">
            <w:pPr>
              <w:pStyle w:val="ExhibitText"/>
              <w:jc w:val="right"/>
              <w:rPr>
                <w:rFonts w:cs="Calibri"/>
                <w:color w:val="000000"/>
                <w:lang w:val="en-GB"/>
              </w:rPr>
            </w:pPr>
            <w:r w:rsidRPr="00D717E3">
              <w:rPr>
                <w:rFonts w:cs="Calibri"/>
                <w:color w:val="000000"/>
                <w:lang w:val="en-GB"/>
              </w:rPr>
              <w:t>7.30</w:t>
            </w:r>
          </w:p>
        </w:tc>
        <w:tc>
          <w:tcPr>
            <w:tcW w:w="992" w:type="dxa"/>
            <w:tcBorders>
              <w:top w:val="nil"/>
              <w:left w:val="nil"/>
              <w:bottom w:val="nil"/>
              <w:right w:val="nil"/>
            </w:tcBorders>
            <w:shd w:val="clear" w:color="auto" w:fill="auto"/>
            <w:noWrap/>
            <w:vAlign w:val="bottom"/>
            <w:hideMark/>
          </w:tcPr>
          <w:p w14:paraId="061691DD" w14:textId="6BF197FF" w:rsidR="007D31A8" w:rsidRPr="00D717E3" w:rsidRDefault="007D31A8" w:rsidP="003B4EE3">
            <w:pPr>
              <w:pStyle w:val="ExhibitText"/>
              <w:jc w:val="right"/>
              <w:rPr>
                <w:rFonts w:cs="Calibri"/>
                <w:color w:val="000000"/>
                <w:lang w:val="en-GB"/>
              </w:rPr>
            </w:pPr>
            <w:r w:rsidRPr="00D717E3">
              <w:rPr>
                <w:rFonts w:cs="Calibri"/>
                <w:color w:val="000000"/>
                <w:lang w:val="en-GB"/>
              </w:rPr>
              <w:t>6.10</w:t>
            </w:r>
          </w:p>
        </w:tc>
        <w:tc>
          <w:tcPr>
            <w:tcW w:w="993" w:type="dxa"/>
            <w:tcBorders>
              <w:top w:val="nil"/>
              <w:left w:val="nil"/>
              <w:bottom w:val="nil"/>
              <w:right w:val="nil"/>
            </w:tcBorders>
            <w:shd w:val="clear" w:color="auto" w:fill="auto"/>
            <w:noWrap/>
            <w:vAlign w:val="bottom"/>
            <w:hideMark/>
          </w:tcPr>
          <w:p w14:paraId="2AE67EFD" w14:textId="2E6101F5" w:rsidR="007D31A8" w:rsidRPr="00D717E3" w:rsidRDefault="007D31A8" w:rsidP="003B4EE3">
            <w:pPr>
              <w:pStyle w:val="ExhibitText"/>
              <w:jc w:val="right"/>
              <w:rPr>
                <w:rFonts w:cs="Calibri"/>
                <w:color w:val="000000"/>
                <w:lang w:val="en-GB"/>
              </w:rPr>
            </w:pPr>
            <w:r w:rsidRPr="00D717E3">
              <w:rPr>
                <w:rFonts w:cs="Calibri"/>
                <w:color w:val="000000"/>
                <w:lang w:val="en-GB"/>
              </w:rPr>
              <w:t>5.10</w:t>
            </w:r>
          </w:p>
        </w:tc>
        <w:tc>
          <w:tcPr>
            <w:tcW w:w="1300" w:type="dxa"/>
            <w:tcBorders>
              <w:top w:val="nil"/>
              <w:left w:val="nil"/>
              <w:bottom w:val="nil"/>
              <w:right w:val="nil"/>
            </w:tcBorders>
            <w:shd w:val="clear" w:color="auto" w:fill="auto"/>
            <w:noWrap/>
            <w:vAlign w:val="bottom"/>
            <w:hideMark/>
          </w:tcPr>
          <w:p w14:paraId="67A2701F" w14:textId="2835B88E" w:rsidR="007D31A8" w:rsidRPr="00D717E3" w:rsidRDefault="007D31A8" w:rsidP="003B4EE3">
            <w:pPr>
              <w:pStyle w:val="ExhibitText"/>
              <w:jc w:val="right"/>
              <w:rPr>
                <w:rFonts w:cs="Calibri"/>
                <w:color w:val="000000"/>
                <w:lang w:val="en-GB"/>
              </w:rPr>
            </w:pPr>
            <w:r w:rsidRPr="00D717E3">
              <w:rPr>
                <w:rFonts w:cs="Calibri"/>
                <w:color w:val="000000"/>
                <w:lang w:val="en-GB"/>
              </w:rPr>
              <w:t>3.90</w:t>
            </w:r>
          </w:p>
        </w:tc>
      </w:tr>
    </w:tbl>
    <w:p w14:paraId="0F3F9E13" w14:textId="77777777" w:rsidR="0076336D" w:rsidRPr="00D717E3" w:rsidRDefault="0076336D" w:rsidP="006472AF">
      <w:pPr>
        <w:ind w:right="-138"/>
        <w:rPr>
          <w:rFonts w:eastAsiaTheme="minorEastAsia"/>
          <w:lang w:val="en-GB"/>
        </w:rPr>
      </w:pPr>
    </w:p>
    <w:p w14:paraId="70126320" w14:textId="500E7865" w:rsidR="0031387A" w:rsidRPr="00D717E3" w:rsidRDefault="0031387A" w:rsidP="003725A1">
      <w:pPr>
        <w:pStyle w:val="Footnote"/>
        <w:rPr>
          <w:rFonts w:eastAsiaTheme="minorEastAsia"/>
          <w:lang w:val="en-GB"/>
        </w:rPr>
      </w:pPr>
      <w:r w:rsidRPr="00D717E3">
        <w:rPr>
          <w:rFonts w:eastAsiaTheme="minorEastAsia"/>
          <w:lang w:val="en-GB"/>
        </w:rPr>
        <w:t>Note: PC = personal computer; MAC = Apple Inc.’s Macintosh computer</w:t>
      </w:r>
    </w:p>
    <w:p w14:paraId="169FF71A" w14:textId="2C891D9B" w:rsidR="00FF289C" w:rsidRPr="00D717E3" w:rsidRDefault="0076336D" w:rsidP="003B4EE3">
      <w:pPr>
        <w:pStyle w:val="Footnote"/>
        <w:rPr>
          <w:cs/>
          <w:lang w:val="en-GB" w:bidi="th-TH"/>
        </w:rPr>
      </w:pPr>
      <w:r w:rsidRPr="00D717E3">
        <w:rPr>
          <w:rFonts w:eastAsiaTheme="minorEastAsia"/>
          <w:lang w:val="en-GB"/>
        </w:rPr>
        <w:t xml:space="preserve">Source: The game market share </w:t>
      </w:r>
      <w:r w:rsidR="00AD0CB5" w:rsidRPr="00D717E3">
        <w:rPr>
          <w:rFonts w:eastAsiaTheme="minorEastAsia"/>
          <w:lang w:val="en-GB"/>
        </w:rPr>
        <w:t xml:space="preserve">for </w:t>
      </w:r>
      <w:r w:rsidRPr="00D717E3">
        <w:rPr>
          <w:rFonts w:eastAsiaTheme="minorEastAsia"/>
          <w:lang w:val="en-GB"/>
        </w:rPr>
        <w:t>2013</w:t>
      </w:r>
      <w:r w:rsidR="0068763A" w:rsidRPr="00D717E3">
        <w:rPr>
          <w:rFonts w:eastAsiaTheme="minorEastAsia"/>
          <w:lang w:val="en-GB"/>
        </w:rPr>
        <w:t>–</w:t>
      </w:r>
      <w:r w:rsidRPr="00D717E3">
        <w:rPr>
          <w:rFonts w:eastAsiaTheme="minorEastAsia"/>
          <w:lang w:val="en-GB"/>
        </w:rPr>
        <w:t>2016 was estimated</w:t>
      </w:r>
      <w:r w:rsidR="0068763A" w:rsidRPr="00D717E3">
        <w:rPr>
          <w:rFonts w:eastAsiaTheme="minorEastAsia"/>
          <w:lang w:val="en-GB"/>
        </w:rPr>
        <w:t xml:space="preserve"> according to</w:t>
      </w:r>
      <w:r w:rsidRPr="00D717E3">
        <w:rPr>
          <w:rFonts w:eastAsiaTheme="minorEastAsia"/>
          <w:lang w:val="en-GB"/>
        </w:rPr>
        <w:t xml:space="preserve"> </w:t>
      </w:r>
      <w:r w:rsidR="00B45E21" w:rsidRPr="00D717E3">
        <w:rPr>
          <w:rFonts w:eastAsiaTheme="minorEastAsia"/>
          <w:lang w:val="en-GB"/>
        </w:rPr>
        <w:t>“</w:t>
      </w:r>
      <w:r w:rsidR="0068763A" w:rsidRPr="00D717E3">
        <w:rPr>
          <w:rFonts w:eastAsiaTheme="minorEastAsia"/>
          <w:lang w:val="en-GB"/>
        </w:rPr>
        <w:t>Global Games Market Report Infographics, 2013,</w:t>
      </w:r>
      <w:r w:rsidR="00B45E21" w:rsidRPr="00D717E3">
        <w:rPr>
          <w:rFonts w:eastAsiaTheme="minorEastAsia"/>
          <w:lang w:val="en-GB"/>
        </w:rPr>
        <w:t>”</w:t>
      </w:r>
      <w:r w:rsidR="0068763A" w:rsidRPr="00D717E3">
        <w:rPr>
          <w:rFonts w:eastAsiaTheme="minorEastAsia"/>
          <w:lang w:val="en-GB"/>
        </w:rPr>
        <w:t xml:space="preserve"> </w:t>
      </w:r>
      <w:r w:rsidR="00B45E21" w:rsidRPr="00D717E3">
        <w:rPr>
          <w:rFonts w:eastAsiaTheme="minorEastAsia"/>
          <w:lang w:val="en-GB"/>
        </w:rPr>
        <w:t xml:space="preserve">Newzoo, </w:t>
      </w:r>
      <w:r w:rsidR="0068763A" w:rsidRPr="00D717E3">
        <w:rPr>
          <w:rFonts w:eastAsiaTheme="minorEastAsia"/>
          <w:lang w:val="en-GB"/>
        </w:rPr>
        <w:t>July 15, 2013</w:t>
      </w:r>
      <w:r w:rsidRPr="00D717E3">
        <w:rPr>
          <w:rFonts w:eastAsiaTheme="minorEastAsia"/>
          <w:lang w:val="en-GB"/>
        </w:rPr>
        <w:t>, accessed December 19, 2017,</w:t>
      </w:r>
      <w:r w:rsidR="006C3A8C" w:rsidRPr="00D717E3">
        <w:rPr>
          <w:rFonts w:eastAsiaTheme="minorEastAsia"/>
          <w:lang w:val="en-GB"/>
        </w:rPr>
        <w:t xml:space="preserve"> </w:t>
      </w:r>
      <w:hyperlink r:id="rId15" w:history="1">
        <w:r w:rsidRPr="00D717E3">
          <w:rPr>
            <w:rFonts w:eastAsiaTheme="minorEastAsia"/>
            <w:lang w:val="en-GB"/>
          </w:rPr>
          <w:t>https://newzoo.com/insights/infographics/global-games-market-report-infographics-2013/</w:t>
        </w:r>
      </w:hyperlink>
      <w:r w:rsidR="00AD0CB5" w:rsidRPr="00D717E3">
        <w:rPr>
          <w:rFonts w:eastAsiaTheme="minorEastAsia"/>
          <w:lang w:val="en-GB"/>
        </w:rPr>
        <w:t>.</w:t>
      </w:r>
      <w:r w:rsidR="00FF289C" w:rsidRPr="00D717E3">
        <w:rPr>
          <w:lang w:val="en-GB"/>
        </w:rPr>
        <w:br w:type="page"/>
      </w:r>
    </w:p>
    <w:p w14:paraId="11D75CC4" w14:textId="74394873" w:rsidR="006C3A8C" w:rsidRPr="00D717E3" w:rsidRDefault="006C3A8C" w:rsidP="003336A8">
      <w:pPr>
        <w:pStyle w:val="ExhibitHeading"/>
        <w:outlineLvl w:val="0"/>
        <w:rPr>
          <w:rFonts w:eastAsiaTheme="minorEastAsia"/>
          <w:lang w:val="en-GB" w:eastAsia="ja-JP"/>
        </w:rPr>
      </w:pPr>
      <w:r w:rsidRPr="00D717E3">
        <w:rPr>
          <w:rFonts w:eastAsiaTheme="minorEastAsia"/>
          <w:lang w:val="en-GB" w:eastAsia="ja-JP"/>
        </w:rPr>
        <w:lastRenderedPageBreak/>
        <w:t>Exhibit 4: NINTENDO</w:t>
      </w:r>
      <w:r w:rsidR="005A79B5" w:rsidRPr="00D717E3">
        <w:rPr>
          <w:rFonts w:eastAsiaTheme="minorEastAsia"/>
          <w:lang w:val="en-GB" w:eastAsia="ja-JP"/>
        </w:rPr>
        <w:t>’s</w:t>
      </w:r>
      <w:r w:rsidRPr="00D717E3">
        <w:rPr>
          <w:rFonts w:eastAsiaTheme="minorEastAsia"/>
          <w:lang w:val="en-GB" w:eastAsia="ja-JP"/>
        </w:rPr>
        <w:t xml:space="preserve"> LARGEST SHAREHOLDERS &amp; SHAREHOLDINGS </w:t>
      </w:r>
    </w:p>
    <w:p w14:paraId="0E0E8726" w14:textId="77777777" w:rsidR="006C3A8C" w:rsidRPr="00D717E3" w:rsidRDefault="006C3A8C" w:rsidP="006C3A8C">
      <w:pPr>
        <w:pStyle w:val="BodyTextMain"/>
        <w:rPr>
          <w:lang w:val="en-GB"/>
        </w:rPr>
      </w:pPr>
    </w:p>
    <w:tbl>
      <w:tblPr>
        <w:tblStyle w:val="TableGrid1"/>
        <w:tblW w:w="8851" w:type="dxa"/>
        <w:jc w:val="center"/>
        <w:tblLayout w:type="fixed"/>
        <w:tblLook w:val="04A0" w:firstRow="1" w:lastRow="0" w:firstColumn="1" w:lastColumn="0" w:noHBand="0" w:noVBand="1"/>
      </w:tblPr>
      <w:tblGrid>
        <w:gridCol w:w="1980"/>
        <w:gridCol w:w="895"/>
        <w:gridCol w:w="1940"/>
        <w:gridCol w:w="1030"/>
        <w:gridCol w:w="2014"/>
        <w:gridCol w:w="992"/>
      </w:tblGrid>
      <w:tr w:rsidR="006C3A8C" w:rsidRPr="00D717E3" w14:paraId="512397FD" w14:textId="77777777" w:rsidTr="0012024C">
        <w:trPr>
          <w:trHeight w:val="60"/>
          <w:jc w:val="center"/>
        </w:trPr>
        <w:tc>
          <w:tcPr>
            <w:tcW w:w="1980" w:type="dxa"/>
            <w:hideMark/>
          </w:tcPr>
          <w:p w14:paraId="5E637C44" w14:textId="77777777" w:rsidR="006C3A8C" w:rsidRPr="00D717E3" w:rsidRDefault="006C3A8C" w:rsidP="00050B5C">
            <w:pPr>
              <w:pStyle w:val="ExhibitText"/>
              <w:jc w:val="center"/>
              <w:rPr>
                <w:lang w:val="en-GB"/>
              </w:rPr>
            </w:pPr>
            <w:r w:rsidRPr="00D717E3">
              <w:rPr>
                <w:lang w:val="en-GB"/>
              </w:rPr>
              <w:t>2011</w:t>
            </w:r>
          </w:p>
        </w:tc>
        <w:tc>
          <w:tcPr>
            <w:tcW w:w="895" w:type="dxa"/>
            <w:hideMark/>
          </w:tcPr>
          <w:p w14:paraId="29A33723" w14:textId="77777777" w:rsidR="006C3A8C" w:rsidRPr="00D717E3" w:rsidRDefault="006C3A8C" w:rsidP="00050B5C">
            <w:pPr>
              <w:pStyle w:val="ExhibitText"/>
              <w:jc w:val="center"/>
              <w:rPr>
                <w:lang w:val="en-GB"/>
              </w:rPr>
            </w:pPr>
            <w:r w:rsidRPr="00D717E3">
              <w:rPr>
                <w:lang w:val="en-GB"/>
              </w:rPr>
              <w:t>%</w:t>
            </w:r>
          </w:p>
        </w:tc>
        <w:tc>
          <w:tcPr>
            <w:tcW w:w="1940" w:type="dxa"/>
            <w:hideMark/>
          </w:tcPr>
          <w:p w14:paraId="75870BE9" w14:textId="77777777" w:rsidR="006C3A8C" w:rsidRPr="00D717E3" w:rsidRDefault="006C3A8C" w:rsidP="00050B5C">
            <w:pPr>
              <w:pStyle w:val="ExhibitText"/>
              <w:jc w:val="center"/>
              <w:rPr>
                <w:lang w:val="en-GB"/>
              </w:rPr>
            </w:pPr>
            <w:r w:rsidRPr="00D717E3">
              <w:rPr>
                <w:lang w:val="en-GB"/>
              </w:rPr>
              <w:t>2012</w:t>
            </w:r>
          </w:p>
        </w:tc>
        <w:tc>
          <w:tcPr>
            <w:tcW w:w="1030" w:type="dxa"/>
            <w:hideMark/>
          </w:tcPr>
          <w:p w14:paraId="58E0CD73" w14:textId="77777777" w:rsidR="006C3A8C" w:rsidRPr="00D717E3" w:rsidRDefault="006C3A8C" w:rsidP="00050B5C">
            <w:pPr>
              <w:pStyle w:val="ExhibitText"/>
              <w:jc w:val="center"/>
              <w:rPr>
                <w:lang w:val="en-GB"/>
              </w:rPr>
            </w:pPr>
            <w:r w:rsidRPr="00D717E3">
              <w:rPr>
                <w:lang w:val="en-GB"/>
              </w:rPr>
              <w:t>%</w:t>
            </w:r>
          </w:p>
        </w:tc>
        <w:tc>
          <w:tcPr>
            <w:tcW w:w="2014" w:type="dxa"/>
            <w:hideMark/>
          </w:tcPr>
          <w:p w14:paraId="43368C85" w14:textId="77777777" w:rsidR="006C3A8C" w:rsidRPr="00D717E3" w:rsidRDefault="006C3A8C" w:rsidP="00050B5C">
            <w:pPr>
              <w:pStyle w:val="ExhibitText"/>
              <w:jc w:val="center"/>
              <w:rPr>
                <w:lang w:val="en-GB"/>
              </w:rPr>
            </w:pPr>
            <w:r w:rsidRPr="00D717E3">
              <w:rPr>
                <w:lang w:val="en-GB"/>
              </w:rPr>
              <w:t>2013</w:t>
            </w:r>
          </w:p>
        </w:tc>
        <w:tc>
          <w:tcPr>
            <w:tcW w:w="992" w:type="dxa"/>
            <w:hideMark/>
          </w:tcPr>
          <w:p w14:paraId="1EB998B2" w14:textId="77777777" w:rsidR="006C3A8C" w:rsidRPr="00D717E3" w:rsidRDefault="006C3A8C" w:rsidP="00050B5C">
            <w:pPr>
              <w:pStyle w:val="ExhibitText"/>
              <w:jc w:val="center"/>
              <w:rPr>
                <w:lang w:val="en-GB"/>
              </w:rPr>
            </w:pPr>
            <w:r w:rsidRPr="00D717E3">
              <w:rPr>
                <w:lang w:val="en-GB"/>
              </w:rPr>
              <w:t>%</w:t>
            </w:r>
          </w:p>
        </w:tc>
      </w:tr>
      <w:tr w:rsidR="006C3A8C" w:rsidRPr="00D717E3" w14:paraId="3DAF6A83" w14:textId="77777777" w:rsidTr="0012024C">
        <w:trPr>
          <w:trHeight w:val="60"/>
          <w:jc w:val="center"/>
        </w:trPr>
        <w:tc>
          <w:tcPr>
            <w:tcW w:w="1980" w:type="dxa"/>
            <w:hideMark/>
          </w:tcPr>
          <w:p w14:paraId="5D8AAF02" w14:textId="77777777" w:rsidR="006C3A8C" w:rsidRPr="00D717E3" w:rsidRDefault="006C3A8C" w:rsidP="003B4EE3">
            <w:pPr>
              <w:pStyle w:val="ExhibitText"/>
              <w:rPr>
                <w:lang w:val="en-GB"/>
              </w:rPr>
            </w:pPr>
            <w:r w:rsidRPr="00D717E3">
              <w:rPr>
                <w:lang w:val="en-GB"/>
              </w:rPr>
              <w:t>Hiroshi Yamauchi</w:t>
            </w:r>
          </w:p>
        </w:tc>
        <w:tc>
          <w:tcPr>
            <w:tcW w:w="895" w:type="dxa"/>
            <w:hideMark/>
          </w:tcPr>
          <w:p w14:paraId="2C68C15C" w14:textId="31701427" w:rsidR="006C3A8C" w:rsidRPr="00D717E3" w:rsidRDefault="006C3A8C" w:rsidP="0012024C">
            <w:pPr>
              <w:pStyle w:val="ExhibitText"/>
              <w:jc w:val="right"/>
              <w:rPr>
                <w:lang w:val="en-GB"/>
              </w:rPr>
            </w:pPr>
            <w:r w:rsidRPr="00D717E3">
              <w:rPr>
                <w:lang w:val="en-GB"/>
              </w:rPr>
              <w:t>11.08</w:t>
            </w:r>
          </w:p>
        </w:tc>
        <w:tc>
          <w:tcPr>
            <w:tcW w:w="1940" w:type="dxa"/>
            <w:hideMark/>
          </w:tcPr>
          <w:p w14:paraId="49CEB3E6" w14:textId="77777777" w:rsidR="006C3A8C" w:rsidRPr="00D717E3" w:rsidRDefault="006C3A8C" w:rsidP="003B4EE3">
            <w:pPr>
              <w:pStyle w:val="ExhibitText"/>
              <w:rPr>
                <w:lang w:val="en-GB"/>
              </w:rPr>
            </w:pPr>
            <w:r w:rsidRPr="00D717E3">
              <w:rPr>
                <w:lang w:val="en-GB"/>
              </w:rPr>
              <w:t>Hiroshi Yamauchi</w:t>
            </w:r>
          </w:p>
        </w:tc>
        <w:tc>
          <w:tcPr>
            <w:tcW w:w="1030" w:type="dxa"/>
            <w:hideMark/>
          </w:tcPr>
          <w:p w14:paraId="19D8515A" w14:textId="2ED96CAD" w:rsidR="006C3A8C" w:rsidRPr="00D717E3" w:rsidRDefault="006C3A8C" w:rsidP="0012024C">
            <w:pPr>
              <w:pStyle w:val="ExhibitText"/>
              <w:jc w:val="right"/>
              <w:rPr>
                <w:lang w:val="en-GB"/>
              </w:rPr>
            </w:pPr>
            <w:r w:rsidRPr="00D717E3">
              <w:rPr>
                <w:lang w:val="en-GB"/>
              </w:rPr>
              <w:t>11.08</w:t>
            </w:r>
          </w:p>
        </w:tc>
        <w:tc>
          <w:tcPr>
            <w:tcW w:w="2014" w:type="dxa"/>
            <w:hideMark/>
          </w:tcPr>
          <w:p w14:paraId="1AB5B886" w14:textId="77777777" w:rsidR="006C3A8C" w:rsidRPr="00D717E3" w:rsidRDefault="006C3A8C" w:rsidP="003B4EE3">
            <w:pPr>
              <w:pStyle w:val="ExhibitText"/>
              <w:rPr>
                <w:lang w:val="en-GB"/>
              </w:rPr>
            </w:pPr>
            <w:r w:rsidRPr="00D717E3">
              <w:rPr>
                <w:lang w:val="en-GB"/>
              </w:rPr>
              <w:t>Hiroshi Yamauchi</w:t>
            </w:r>
          </w:p>
        </w:tc>
        <w:tc>
          <w:tcPr>
            <w:tcW w:w="992" w:type="dxa"/>
            <w:hideMark/>
          </w:tcPr>
          <w:p w14:paraId="4874A374" w14:textId="662AF63F" w:rsidR="00C37C38" w:rsidRPr="00D717E3" w:rsidRDefault="006C3A8C" w:rsidP="0012024C">
            <w:pPr>
              <w:pStyle w:val="ExhibitText"/>
              <w:jc w:val="right"/>
              <w:rPr>
                <w:lang w:val="en-GB"/>
              </w:rPr>
            </w:pPr>
            <w:r w:rsidRPr="00D717E3">
              <w:rPr>
                <w:lang w:val="en-GB"/>
              </w:rPr>
              <w:t>11.08</w:t>
            </w:r>
          </w:p>
        </w:tc>
      </w:tr>
      <w:tr w:rsidR="006C3A8C" w:rsidRPr="00D717E3" w14:paraId="1C64BCB0" w14:textId="77777777" w:rsidTr="0012024C">
        <w:trPr>
          <w:trHeight w:val="60"/>
          <w:jc w:val="center"/>
        </w:trPr>
        <w:tc>
          <w:tcPr>
            <w:tcW w:w="1980" w:type="dxa"/>
            <w:hideMark/>
          </w:tcPr>
          <w:p w14:paraId="0D960779" w14:textId="77777777" w:rsidR="006C3A8C" w:rsidRPr="00D717E3" w:rsidRDefault="006C3A8C" w:rsidP="003B4EE3">
            <w:pPr>
              <w:pStyle w:val="ExhibitText"/>
              <w:rPr>
                <w:lang w:val="en-GB"/>
              </w:rPr>
            </w:pPr>
            <w:r w:rsidRPr="00D717E3">
              <w:rPr>
                <w:lang w:val="en-GB"/>
              </w:rPr>
              <w:t>JP Morgan Chase Bank</w:t>
            </w:r>
          </w:p>
        </w:tc>
        <w:tc>
          <w:tcPr>
            <w:tcW w:w="895" w:type="dxa"/>
            <w:hideMark/>
          </w:tcPr>
          <w:p w14:paraId="4FA9654D" w14:textId="33C1E17A" w:rsidR="006C3A8C" w:rsidRPr="00D717E3" w:rsidRDefault="006C3A8C" w:rsidP="0012024C">
            <w:pPr>
              <w:pStyle w:val="ExhibitText"/>
              <w:jc w:val="right"/>
              <w:rPr>
                <w:lang w:val="en-GB"/>
              </w:rPr>
            </w:pPr>
            <w:r w:rsidRPr="00D717E3">
              <w:rPr>
                <w:lang w:val="en-GB"/>
              </w:rPr>
              <w:t>5.48</w:t>
            </w:r>
          </w:p>
        </w:tc>
        <w:tc>
          <w:tcPr>
            <w:tcW w:w="1940" w:type="dxa"/>
            <w:hideMark/>
          </w:tcPr>
          <w:p w14:paraId="30A02B97" w14:textId="6C9CC69A" w:rsidR="006C3A8C" w:rsidRPr="00D717E3" w:rsidRDefault="006C3A8C" w:rsidP="003B4EE3">
            <w:pPr>
              <w:pStyle w:val="ExhibitText"/>
              <w:rPr>
                <w:lang w:val="en-GB"/>
              </w:rPr>
            </w:pPr>
            <w:r w:rsidRPr="00D717E3">
              <w:rPr>
                <w:lang w:val="en-GB"/>
              </w:rPr>
              <w:t xml:space="preserve">State Street Bank </w:t>
            </w:r>
            <w:r w:rsidR="00C37C38" w:rsidRPr="00D717E3">
              <w:rPr>
                <w:lang w:val="en-GB"/>
              </w:rPr>
              <w:t xml:space="preserve">&amp; </w:t>
            </w:r>
            <w:r w:rsidRPr="00D717E3">
              <w:rPr>
                <w:lang w:val="en-GB"/>
              </w:rPr>
              <w:t>Trust Company</w:t>
            </w:r>
          </w:p>
        </w:tc>
        <w:tc>
          <w:tcPr>
            <w:tcW w:w="1030" w:type="dxa"/>
            <w:hideMark/>
          </w:tcPr>
          <w:p w14:paraId="0BB519EC" w14:textId="294A9F99" w:rsidR="006C3A8C" w:rsidRPr="00D717E3" w:rsidRDefault="006C3A8C" w:rsidP="0012024C">
            <w:pPr>
              <w:pStyle w:val="ExhibitText"/>
              <w:jc w:val="right"/>
              <w:rPr>
                <w:lang w:val="en-GB"/>
              </w:rPr>
            </w:pPr>
            <w:r w:rsidRPr="00D717E3">
              <w:rPr>
                <w:lang w:val="en-GB"/>
              </w:rPr>
              <w:t>7.52</w:t>
            </w:r>
          </w:p>
        </w:tc>
        <w:tc>
          <w:tcPr>
            <w:tcW w:w="2014" w:type="dxa"/>
            <w:hideMark/>
          </w:tcPr>
          <w:p w14:paraId="3DB032F3" w14:textId="34F5F6D5" w:rsidR="006C3A8C" w:rsidRPr="00D717E3" w:rsidRDefault="006C3A8C" w:rsidP="003B4EE3">
            <w:pPr>
              <w:pStyle w:val="ExhibitText"/>
              <w:rPr>
                <w:lang w:val="en-GB"/>
              </w:rPr>
            </w:pPr>
            <w:r w:rsidRPr="00D717E3">
              <w:rPr>
                <w:lang w:val="en-GB"/>
              </w:rPr>
              <w:t xml:space="preserve">State Street Bank </w:t>
            </w:r>
            <w:r w:rsidR="00C37C38" w:rsidRPr="00D717E3">
              <w:rPr>
                <w:lang w:val="en-GB"/>
              </w:rPr>
              <w:t>&amp;</w:t>
            </w:r>
            <w:r w:rsidRPr="00D717E3">
              <w:rPr>
                <w:lang w:val="en-GB"/>
              </w:rPr>
              <w:t xml:space="preserve"> Trust Company</w:t>
            </w:r>
          </w:p>
        </w:tc>
        <w:tc>
          <w:tcPr>
            <w:tcW w:w="992" w:type="dxa"/>
            <w:hideMark/>
          </w:tcPr>
          <w:p w14:paraId="2B9F614E" w14:textId="1935C115" w:rsidR="006C3A8C" w:rsidRPr="00D717E3" w:rsidRDefault="006C3A8C" w:rsidP="0012024C">
            <w:pPr>
              <w:pStyle w:val="ExhibitText"/>
              <w:jc w:val="right"/>
              <w:rPr>
                <w:lang w:val="en-GB"/>
              </w:rPr>
            </w:pPr>
            <w:r w:rsidRPr="00D717E3">
              <w:rPr>
                <w:lang w:val="en-GB"/>
              </w:rPr>
              <w:t>8.40</w:t>
            </w:r>
          </w:p>
        </w:tc>
      </w:tr>
      <w:tr w:rsidR="006C3A8C" w:rsidRPr="00D717E3" w14:paraId="069E959C" w14:textId="77777777" w:rsidTr="0012024C">
        <w:trPr>
          <w:trHeight w:val="320"/>
          <w:jc w:val="center"/>
        </w:trPr>
        <w:tc>
          <w:tcPr>
            <w:tcW w:w="1980" w:type="dxa"/>
            <w:vMerge w:val="restart"/>
            <w:hideMark/>
          </w:tcPr>
          <w:p w14:paraId="5FA76D20" w14:textId="1A14C759" w:rsidR="006C3A8C" w:rsidRPr="00D717E3" w:rsidRDefault="006C3A8C" w:rsidP="003B4EE3">
            <w:pPr>
              <w:pStyle w:val="ExhibitText"/>
              <w:rPr>
                <w:lang w:val="en-GB"/>
              </w:rPr>
            </w:pPr>
            <w:r w:rsidRPr="00D717E3">
              <w:rPr>
                <w:lang w:val="en-GB"/>
              </w:rPr>
              <w:t>Bank of Kyoto</w:t>
            </w:r>
          </w:p>
        </w:tc>
        <w:tc>
          <w:tcPr>
            <w:tcW w:w="895" w:type="dxa"/>
            <w:vMerge w:val="restart"/>
            <w:hideMark/>
          </w:tcPr>
          <w:p w14:paraId="35123F84" w14:textId="2FF3DFD6" w:rsidR="006C3A8C" w:rsidRPr="00D717E3" w:rsidRDefault="006C3A8C" w:rsidP="0012024C">
            <w:pPr>
              <w:pStyle w:val="ExhibitText"/>
              <w:jc w:val="right"/>
              <w:rPr>
                <w:lang w:val="en-GB"/>
              </w:rPr>
            </w:pPr>
            <w:r w:rsidRPr="00D717E3">
              <w:rPr>
                <w:lang w:val="en-GB"/>
              </w:rPr>
              <w:t>4.99</w:t>
            </w:r>
          </w:p>
        </w:tc>
        <w:tc>
          <w:tcPr>
            <w:tcW w:w="1940" w:type="dxa"/>
            <w:vMerge w:val="restart"/>
            <w:hideMark/>
          </w:tcPr>
          <w:p w14:paraId="181B6B18" w14:textId="638E4E66" w:rsidR="006C3A8C" w:rsidRPr="00D717E3" w:rsidRDefault="006C3A8C" w:rsidP="003B4EE3">
            <w:pPr>
              <w:pStyle w:val="ExhibitText"/>
              <w:rPr>
                <w:lang w:val="en-GB"/>
              </w:rPr>
            </w:pPr>
            <w:r w:rsidRPr="00D717E3">
              <w:rPr>
                <w:lang w:val="en-GB"/>
              </w:rPr>
              <w:t>Bank of Kyoto</w:t>
            </w:r>
          </w:p>
        </w:tc>
        <w:tc>
          <w:tcPr>
            <w:tcW w:w="1030" w:type="dxa"/>
            <w:vMerge w:val="restart"/>
            <w:hideMark/>
          </w:tcPr>
          <w:p w14:paraId="6EE83DC6" w14:textId="1B29AFD1" w:rsidR="006C3A8C" w:rsidRPr="00D717E3" w:rsidRDefault="006C3A8C" w:rsidP="0012024C">
            <w:pPr>
              <w:pStyle w:val="ExhibitText"/>
              <w:jc w:val="right"/>
              <w:rPr>
                <w:lang w:val="en-GB"/>
              </w:rPr>
            </w:pPr>
            <w:r w:rsidRPr="00D717E3">
              <w:rPr>
                <w:lang w:val="en-GB"/>
              </w:rPr>
              <w:t>4.99</w:t>
            </w:r>
          </w:p>
        </w:tc>
        <w:tc>
          <w:tcPr>
            <w:tcW w:w="2014" w:type="dxa"/>
            <w:vMerge w:val="restart"/>
            <w:hideMark/>
          </w:tcPr>
          <w:p w14:paraId="5E96CEC3" w14:textId="77777777" w:rsidR="006C3A8C" w:rsidRPr="00D717E3" w:rsidRDefault="006C3A8C" w:rsidP="003B4EE3">
            <w:pPr>
              <w:pStyle w:val="ExhibitText"/>
              <w:rPr>
                <w:lang w:val="en-GB"/>
              </w:rPr>
            </w:pPr>
            <w:r w:rsidRPr="00D717E3">
              <w:rPr>
                <w:lang w:val="en-GB"/>
              </w:rPr>
              <w:t>JP Morgan Chase Bank</w:t>
            </w:r>
          </w:p>
        </w:tc>
        <w:tc>
          <w:tcPr>
            <w:tcW w:w="992" w:type="dxa"/>
            <w:vMerge w:val="restart"/>
            <w:hideMark/>
          </w:tcPr>
          <w:p w14:paraId="5A86F62A" w14:textId="3E3CEF36" w:rsidR="006C3A8C" w:rsidRPr="00D717E3" w:rsidRDefault="006C3A8C" w:rsidP="0012024C">
            <w:pPr>
              <w:pStyle w:val="ExhibitText"/>
              <w:jc w:val="right"/>
              <w:rPr>
                <w:lang w:val="en-GB"/>
              </w:rPr>
            </w:pPr>
            <w:r w:rsidRPr="00D717E3">
              <w:rPr>
                <w:lang w:val="en-GB"/>
              </w:rPr>
              <w:t>6.09</w:t>
            </w:r>
          </w:p>
        </w:tc>
      </w:tr>
      <w:tr w:rsidR="006C3A8C" w:rsidRPr="00D717E3" w14:paraId="49085D55" w14:textId="77777777" w:rsidTr="0012024C">
        <w:trPr>
          <w:trHeight w:val="517"/>
          <w:jc w:val="center"/>
        </w:trPr>
        <w:tc>
          <w:tcPr>
            <w:tcW w:w="1980" w:type="dxa"/>
            <w:vMerge/>
            <w:hideMark/>
          </w:tcPr>
          <w:p w14:paraId="0CDE27D0" w14:textId="77777777" w:rsidR="006C3A8C" w:rsidRPr="00D717E3" w:rsidRDefault="006C3A8C" w:rsidP="003B4EE3">
            <w:pPr>
              <w:pStyle w:val="ExhibitText"/>
              <w:rPr>
                <w:lang w:val="en-GB"/>
              </w:rPr>
            </w:pPr>
          </w:p>
        </w:tc>
        <w:tc>
          <w:tcPr>
            <w:tcW w:w="895" w:type="dxa"/>
            <w:vMerge/>
            <w:hideMark/>
          </w:tcPr>
          <w:p w14:paraId="41AA1B7F" w14:textId="77777777" w:rsidR="006C3A8C" w:rsidRPr="00D717E3" w:rsidRDefault="006C3A8C" w:rsidP="0012024C">
            <w:pPr>
              <w:pStyle w:val="ExhibitText"/>
              <w:jc w:val="right"/>
              <w:rPr>
                <w:lang w:val="en-GB"/>
              </w:rPr>
            </w:pPr>
          </w:p>
        </w:tc>
        <w:tc>
          <w:tcPr>
            <w:tcW w:w="1940" w:type="dxa"/>
            <w:vMerge/>
            <w:hideMark/>
          </w:tcPr>
          <w:p w14:paraId="35EDB52C" w14:textId="77777777" w:rsidR="006C3A8C" w:rsidRPr="00D717E3" w:rsidRDefault="006C3A8C" w:rsidP="003B4EE3">
            <w:pPr>
              <w:pStyle w:val="ExhibitText"/>
              <w:rPr>
                <w:lang w:val="en-GB"/>
              </w:rPr>
            </w:pPr>
          </w:p>
        </w:tc>
        <w:tc>
          <w:tcPr>
            <w:tcW w:w="1030" w:type="dxa"/>
            <w:vMerge/>
            <w:hideMark/>
          </w:tcPr>
          <w:p w14:paraId="7B4C313F" w14:textId="77777777" w:rsidR="006C3A8C" w:rsidRPr="00D717E3" w:rsidRDefault="006C3A8C" w:rsidP="0012024C">
            <w:pPr>
              <w:pStyle w:val="ExhibitText"/>
              <w:jc w:val="right"/>
              <w:rPr>
                <w:lang w:val="en-GB"/>
              </w:rPr>
            </w:pPr>
          </w:p>
        </w:tc>
        <w:tc>
          <w:tcPr>
            <w:tcW w:w="2014" w:type="dxa"/>
            <w:vMerge/>
            <w:hideMark/>
          </w:tcPr>
          <w:p w14:paraId="350A3D0B" w14:textId="77777777" w:rsidR="006C3A8C" w:rsidRPr="00D717E3" w:rsidRDefault="006C3A8C" w:rsidP="003B4EE3">
            <w:pPr>
              <w:pStyle w:val="ExhibitText"/>
              <w:rPr>
                <w:lang w:val="en-GB"/>
              </w:rPr>
            </w:pPr>
          </w:p>
        </w:tc>
        <w:tc>
          <w:tcPr>
            <w:tcW w:w="992" w:type="dxa"/>
            <w:vMerge/>
            <w:hideMark/>
          </w:tcPr>
          <w:p w14:paraId="64D48BE9" w14:textId="77777777" w:rsidR="006C3A8C" w:rsidRPr="00D717E3" w:rsidRDefault="006C3A8C" w:rsidP="0012024C">
            <w:pPr>
              <w:pStyle w:val="ExhibitText"/>
              <w:jc w:val="right"/>
              <w:rPr>
                <w:lang w:val="en-GB"/>
              </w:rPr>
            </w:pPr>
          </w:p>
        </w:tc>
      </w:tr>
      <w:tr w:rsidR="006C3A8C" w:rsidRPr="00D717E3" w14:paraId="24814567" w14:textId="77777777" w:rsidTr="0012024C">
        <w:trPr>
          <w:trHeight w:val="492"/>
          <w:jc w:val="center"/>
        </w:trPr>
        <w:tc>
          <w:tcPr>
            <w:tcW w:w="1980" w:type="dxa"/>
            <w:hideMark/>
          </w:tcPr>
          <w:p w14:paraId="60F17119" w14:textId="77777777" w:rsidR="006C3A8C" w:rsidRPr="00D717E3" w:rsidRDefault="006C3A8C" w:rsidP="003B4EE3">
            <w:pPr>
              <w:pStyle w:val="ExhibitText"/>
              <w:rPr>
                <w:lang w:val="en-GB"/>
              </w:rPr>
            </w:pPr>
            <w:r w:rsidRPr="00D717E3">
              <w:rPr>
                <w:lang w:val="en-GB"/>
              </w:rPr>
              <w:t>State Street Bank and Trust Company</w:t>
            </w:r>
          </w:p>
          <w:p w14:paraId="298CC984" w14:textId="77777777" w:rsidR="006C3A8C" w:rsidRPr="00D717E3" w:rsidRDefault="006C3A8C" w:rsidP="003B4EE3">
            <w:pPr>
              <w:pStyle w:val="ExhibitText"/>
              <w:rPr>
                <w:lang w:val="en-GB"/>
              </w:rPr>
            </w:pPr>
          </w:p>
        </w:tc>
        <w:tc>
          <w:tcPr>
            <w:tcW w:w="895" w:type="dxa"/>
            <w:hideMark/>
          </w:tcPr>
          <w:p w14:paraId="191B82FB" w14:textId="39DED867" w:rsidR="006C3A8C" w:rsidRPr="00D717E3" w:rsidRDefault="006C3A8C" w:rsidP="0012024C">
            <w:pPr>
              <w:pStyle w:val="ExhibitText"/>
              <w:jc w:val="right"/>
              <w:rPr>
                <w:lang w:val="en-GB"/>
              </w:rPr>
            </w:pPr>
            <w:r w:rsidRPr="00D717E3">
              <w:rPr>
                <w:lang w:val="en-GB"/>
              </w:rPr>
              <w:t>4.65</w:t>
            </w:r>
          </w:p>
        </w:tc>
        <w:tc>
          <w:tcPr>
            <w:tcW w:w="1940" w:type="dxa"/>
            <w:hideMark/>
          </w:tcPr>
          <w:p w14:paraId="4F7C893C" w14:textId="77777777" w:rsidR="006C3A8C" w:rsidRPr="00D717E3" w:rsidRDefault="006C3A8C" w:rsidP="003B4EE3">
            <w:pPr>
              <w:pStyle w:val="ExhibitText"/>
              <w:rPr>
                <w:lang w:val="en-GB"/>
              </w:rPr>
            </w:pPr>
            <w:r w:rsidRPr="00D717E3">
              <w:rPr>
                <w:lang w:val="en-GB"/>
              </w:rPr>
              <w:t>Japan Trustee Services Bank Trust Account</w:t>
            </w:r>
          </w:p>
        </w:tc>
        <w:tc>
          <w:tcPr>
            <w:tcW w:w="1030" w:type="dxa"/>
            <w:hideMark/>
          </w:tcPr>
          <w:p w14:paraId="77A9A985" w14:textId="73BFABAB" w:rsidR="006C3A8C" w:rsidRPr="00D717E3" w:rsidRDefault="006C3A8C" w:rsidP="0012024C">
            <w:pPr>
              <w:pStyle w:val="ExhibitText"/>
              <w:jc w:val="right"/>
              <w:rPr>
                <w:lang w:val="en-GB"/>
              </w:rPr>
            </w:pPr>
            <w:r w:rsidRPr="00D717E3">
              <w:rPr>
                <w:lang w:val="en-GB"/>
              </w:rPr>
              <w:t>4.81</w:t>
            </w:r>
          </w:p>
        </w:tc>
        <w:tc>
          <w:tcPr>
            <w:tcW w:w="2014" w:type="dxa"/>
            <w:hideMark/>
          </w:tcPr>
          <w:p w14:paraId="42D954A5" w14:textId="1396C647" w:rsidR="006C3A8C" w:rsidRPr="00D717E3" w:rsidRDefault="006C3A8C" w:rsidP="003B4EE3">
            <w:pPr>
              <w:pStyle w:val="ExhibitText"/>
              <w:rPr>
                <w:lang w:val="en-GB"/>
              </w:rPr>
            </w:pPr>
            <w:r w:rsidRPr="00D717E3">
              <w:rPr>
                <w:lang w:val="en-GB"/>
              </w:rPr>
              <w:t>Bank of Kyoto</w:t>
            </w:r>
          </w:p>
        </w:tc>
        <w:tc>
          <w:tcPr>
            <w:tcW w:w="992" w:type="dxa"/>
            <w:hideMark/>
          </w:tcPr>
          <w:p w14:paraId="26910533" w14:textId="42B1C761" w:rsidR="006C3A8C" w:rsidRPr="00D717E3" w:rsidRDefault="006C3A8C" w:rsidP="0012024C">
            <w:pPr>
              <w:pStyle w:val="ExhibitText"/>
              <w:jc w:val="right"/>
              <w:rPr>
                <w:lang w:val="en-GB"/>
              </w:rPr>
            </w:pPr>
            <w:r w:rsidRPr="00D717E3">
              <w:rPr>
                <w:lang w:val="en-GB"/>
              </w:rPr>
              <w:t>4.99</w:t>
            </w:r>
          </w:p>
        </w:tc>
      </w:tr>
      <w:tr w:rsidR="006C3A8C" w:rsidRPr="00D717E3" w14:paraId="7DE7BB36" w14:textId="77777777" w:rsidTr="0012024C">
        <w:trPr>
          <w:trHeight w:val="320"/>
          <w:jc w:val="center"/>
        </w:trPr>
        <w:tc>
          <w:tcPr>
            <w:tcW w:w="1980" w:type="dxa"/>
            <w:vMerge w:val="restart"/>
            <w:hideMark/>
          </w:tcPr>
          <w:p w14:paraId="0E504C06" w14:textId="77777777" w:rsidR="006C3A8C" w:rsidRPr="00D717E3" w:rsidRDefault="006C3A8C" w:rsidP="003B4EE3">
            <w:pPr>
              <w:pStyle w:val="ExhibitText"/>
              <w:rPr>
                <w:lang w:val="en-GB"/>
              </w:rPr>
            </w:pPr>
            <w:r w:rsidRPr="00D717E3">
              <w:rPr>
                <w:lang w:val="en-GB"/>
              </w:rPr>
              <w:t>Japan Trustee Services Bank Trust Account</w:t>
            </w:r>
          </w:p>
        </w:tc>
        <w:tc>
          <w:tcPr>
            <w:tcW w:w="895" w:type="dxa"/>
            <w:vMerge w:val="restart"/>
            <w:hideMark/>
          </w:tcPr>
          <w:p w14:paraId="39814039" w14:textId="3520C215" w:rsidR="006C3A8C" w:rsidRPr="00D717E3" w:rsidRDefault="006C3A8C" w:rsidP="0012024C">
            <w:pPr>
              <w:pStyle w:val="ExhibitText"/>
              <w:jc w:val="right"/>
              <w:rPr>
                <w:lang w:val="en-GB"/>
              </w:rPr>
            </w:pPr>
            <w:r w:rsidRPr="00D717E3">
              <w:rPr>
                <w:lang w:val="en-GB"/>
              </w:rPr>
              <w:t>4.56</w:t>
            </w:r>
          </w:p>
        </w:tc>
        <w:tc>
          <w:tcPr>
            <w:tcW w:w="1940" w:type="dxa"/>
            <w:vMerge w:val="restart"/>
            <w:hideMark/>
          </w:tcPr>
          <w:p w14:paraId="2E898D78" w14:textId="77777777" w:rsidR="006C3A8C" w:rsidRPr="00D717E3" w:rsidRDefault="006C3A8C" w:rsidP="003B4EE3">
            <w:pPr>
              <w:pStyle w:val="ExhibitText"/>
              <w:rPr>
                <w:lang w:val="en-GB"/>
              </w:rPr>
            </w:pPr>
            <w:r w:rsidRPr="00D717E3">
              <w:rPr>
                <w:lang w:val="en-GB"/>
              </w:rPr>
              <w:t>JP Morgan Chase Bank</w:t>
            </w:r>
          </w:p>
        </w:tc>
        <w:tc>
          <w:tcPr>
            <w:tcW w:w="1030" w:type="dxa"/>
            <w:vMerge w:val="restart"/>
            <w:hideMark/>
          </w:tcPr>
          <w:p w14:paraId="6E05085C" w14:textId="476E765D" w:rsidR="006C3A8C" w:rsidRPr="00D717E3" w:rsidRDefault="006C3A8C" w:rsidP="0012024C">
            <w:pPr>
              <w:pStyle w:val="ExhibitText"/>
              <w:jc w:val="right"/>
              <w:rPr>
                <w:lang w:val="en-GB"/>
              </w:rPr>
            </w:pPr>
            <w:r w:rsidRPr="00D717E3">
              <w:rPr>
                <w:lang w:val="en-GB"/>
              </w:rPr>
              <w:t>3.73</w:t>
            </w:r>
          </w:p>
        </w:tc>
        <w:tc>
          <w:tcPr>
            <w:tcW w:w="2014" w:type="dxa"/>
            <w:vMerge w:val="restart"/>
            <w:hideMark/>
          </w:tcPr>
          <w:p w14:paraId="521EB478" w14:textId="77777777" w:rsidR="006C3A8C" w:rsidRPr="00D717E3" w:rsidRDefault="006C3A8C" w:rsidP="003B4EE3">
            <w:pPr>
              <w:pStyle w:val="ExhibitText"/>
              <w:rPr>
                <w:lang w:val="en-GB"/>
              </w:rPr>
            </w:pPr>
            <w:r w:rsidRPr="00D717E3">
              <w:rPr>
                <w:lang w:val="en-GB"/>
              </w:rPr>
              <w:t>Japan Trustee Services Bank</w:t>
            </w:r>
          </w:p>
        </w:tc>
        <w:tc>
          <w:tcPr>
            <w:tcW w:w="992" w:type="dxa"/>
            <w:vMerge w:val="restart"/>
            <w:hideMark/>
          </w:tcPr>
          <w:p w14:paraId="7EFE53F4" w14:textId="393AA922" w:rsidR="006C3A8C" w:rsidRPr="00D717E3" w:rsidRDefault="006C3A8C" w:rsidP="0012024C">
            <w:pPr>
              <w:pStyle w:val="ExhibitText"/>
              <w:jc w:val="right"/>
              <w:rPr>
                <w:lang w:val="en-GB"/>
              </w:rPr>
            </w:pPr>
            <w:r w:rsidRPr="00D717E3">
              <w:rPr>
                <w:lang w:val="en-GB"/>
              </w:rPr>
              <w:t>3.74</w:t>
            </w:r>
          </w:p>
        </w:tc>
      </w:tr>
      <w:tr w:rsidR="006C3A8C" w:rsidRPr="00D717E3" w14:paraId="2DD59292" w14:textId="77777777" w:rsidTr="0012024C">
        <w:trPr>
          <w:trHeight w:val="517"/>
          <w:jc w:val="center"/>
        </w:trPr>
        <w:tc>
          <w:tcPr>
            <w:tcW w:w="1980" w:type="dxa"/>
            <w:vMerge/>
            <w:hideMark/>
          </w:tcPr>
          <w:p w14:paraId="3E060552" w14:textId="77777777" w:rsidR="006C3A8C" w:rsidRPr="00D717E3" w:rsidRDefault="006C3A8C" w:rsidP="003B4EE3">
            <w:pPr>
              <w:pStyle w:val="ExhibitText"/>
              <w:rPr>
                <w:lang w:val="en-GB"/>
              </w:rPr>
            </w:pPr>
          </w:p>
        </w:tc>
        <w:tc>
          <w:tcPr>
            <w:tcW w:w="895" w:type="dxa"/>
            <w:vMerge/>
            <w:hideMark/>
          </w:tcPr>
          <w:p w14:paraId="0806FAA0" w14:textId="77777777" w:rsidR="006C3A8C" w:rsidRPr="00D717E3" w:rsidRDefault="006C3A8C" w:rsidP="0012024C">
            <w:pPr>
              <w:pStyle w:val="ExhibitText"/>
              <w:jc w:val="right"/>
              <w:rPr>
                <w:lang w:val="en-GB"/>
              </w:rPr>
            </w:pPr>
          </w:p>
        </w:tc>
        <w:tc>
          <w:tcPr>
            <w:tcW w:w="1940" w:type="dxa"/>
            <w:vMerge/>
            <w:hideMark/>
          </w:tcPr>
          <w:p w14:paraId="0EC98BD1" w14:textId="77777777" w:rsidR="006C3A8C" w:rsidRPr="00D717E3" w:rsidRDefault="006C3A8C" w:rsidP="003B4EE3">
            <w:pPr>
              <w:pStyle w:val="ExhibitText"/>
              <w:rPr>
                <w:lang w:val="en-GB"/>
              </w:rPr>
            </w:pPr>
          </w:p>
        </w:tc>
        <w:tc>
          <w:tcPr>
            <w:tcW w:w="1030" w:type="dxa"/>
            <w:vMerge/>
            <w:hideMark/>
          </w:tcPr>
          <w:p w14:paraId="65059389" w14:textId="77777777" w:rsidR="006C3A8C" w:rsidRPr="00D717E3" w:rsidRDefault="006C3A8C" w:rsidP="0012024C">
            <w:pPr>
              <w:pStyle w:val="ExhibitText"/>
              <w:jc w:val="right"/>
              <w:rPr>
                <w:lang w:val="en-GB"/>
              </w:rPr>
            </w:pPr>
          </w:p>
        </w:tc>
        <w:tc>
          <w:tcPr>
            <w:tcW w:w="2014" w:type="dxa"/>
            <w:vMerge/>
            <w:hideMark/>
          </w:tcPr>
          <w:p w14:paraId="21F9DAF8" w14:textId="77777777" w:rsidR="006C3A8C" w:rsidRPr="00D717E3" w:rsidRDefault="006C3A8C" w:rsidP="003B4EE3">
            <w:pPr>
              <w:pStyle w:val="ExhibitText"/>
              <w:rPr>
                <w:lang w:val="en-GB"/>
              </w:rPr>
            </w:pPr>
          </w:p>
        </w:tc>
        <w:tc>
          <w:tcPr>
            <w:tcW w:w="992" w:type="dxa"/>
            <w:vMerge/>
            <w:hideMark/>
          </w:tcPr>
          <w:p w14:paraId="09521AAA" w14:textId="77777777" w:rsidR="006C3A8C" w:rsidRPr="00D717E3" w:rsidRDefault="006C3A8C" w:rsidP="0012024C">
            <w:pPr>
              <w:pStyle w:val="ExhibitText"/>
              <w:jc w:val="right"/>
              <w:rPr>
                <w:lang w:val="en-GB"/>
              </w:rPr>
            </w:pPr>
          </w:p>
        </w:tc>
      </w:tr>
      <w:tr w:rsidR="006C3A8C" w:rsidRPr="00D717E3" w14:paraId="36F8658A" w14:textId="77777777" w:rsidTr="0012024C">
        <w:trPr>
          <w:trHeight w:val="440"/>
          <w:jc w:val="center"/>
        </w:trPr>
        <w:tc>
          <w:tcPr>
            <w:tcW w:w="1980" w:type="dxa"/>
            <w:hideMark/>
          </w:tcPr>
          <w:p w14:paraId="7564C852" w14:textId="75674D45" w:rsidR="006C3A8C" w:rsidRPr="00D717E3" w:rsidRDefault="00C37C38" w:rsidP="003B4EE3">
            <w:pPr>
              <w:pStyle w:val="ExhibitText"/>
              <w:rPr>
                <w:lang w:val="en-GB"/>
              </w:rPr>
            </w:pPr>
            <w:r w:rsidRPr="00D717E3">
              <w:rPr>
                <w:lang w:val="en-GB"/>
              </w:rPr>
              <w:t>Nomura Trust &amp; Banking</w:t>
            </w:r>
          </w:p>
        </w:tc>
        <w:tc>
          <w:tcPr>
            <w:tcW w:w="895" w:type="dxa"/>
            <w:hideMark/>
          </w:tcPr>
          <w:p w14:paraId="3665F776" w14:textId="44C2713A" w:rsidR="006C3A8C" w:rsidRPr="00D717E3" w:rsidRDefault="006C3A8C" w:rsidP="0012024C">
            <w:pPr>
              <w:pStyle w:val="ExhibitText"/>
              <w:jc w:val="right"/>
              <w:rPr>
                <w:lang w:val="en-GB"/>
              </w:rPr>
            </w:pPr>
            <w:r w:rsidRPr="00D717E3">
              <w:rPr>
                <w:lang w:val="en-GB"/>
              </w:rPr>
              <w:t>3.73</w:t>
            </w:r>
          </w:p>
        </w:tc>
        <w:tc>
          <w:tcPr>
            <w:tcW w:w="1940" w:type="dxa"/>
            <w:hideMark/>
          </w:tcPr>
          <w:p w14:paraId="00D34582" w14:textId="685522D8" w:rsidR="006C3A8C" w:rsidRPr="00D717E3" w:rsidRDefault="00C37C38" w:rsidP="003B4EE3">
            <w:pPr>
              <w:pStyle w:val="ExhibitText"/>
              <w:rPr>
                <w:lang w:val="en-GB"/>
              </w:rPr>
            </w:pPr>
            <w:r w:rsidRPr="00D717E3">
              <w:rPr>
                <w:lang w:val="en-GB"/>
              </w:rPr>
              <w:t>Nomura Trust &amp; Banking</w:t>
            </w:r>
          </w:p>
        </w:tc>
        <w:tc>
          <w:tcPr>
            <w:tcW w:w="1030" w:type="dxa"/>
            <w:hideMark/>
          </w:tcPr>
          <w:p w14:paraId="441E4552" w14:textId="2504E268" w:rsidR="006C3A8C" w:rsidRPr="00D717E3" w:rsidRDefault="006C3A8C" w:rsidP="0012024C">
            <w:pPr>
              <w:pStyle w:val="ExhibitText"/>
              <w:jc w:val="right"/>
              <w:rPr>
                <w:lang w:val="en-GB"/>
              </w:rPr>
            </w:pPr>
            <w:r w:rsidRPr="00D717E3">
              <w:rPr>
                <w:lang w:val="en-GB"/>
              </w:rPr>
              <w:t>3.73</w:t>
            </w:r>
          </w:p>
        </w:tc>
        <w:tc>
          <w:tcPr>
            <w:tcW w:w="2014" w:type="dxa"/>
            <w:hideMark/>
          </w:tcPr>
          <w:p w14:paraId="5856445D" w14:textId="2B06BD90" w:rsidR="006C3A8C" w:rsidRPr="00D717E3" w:rsidRDefault="006C3A8C" w:rsidP="003B4EE3">
            <w:pPr>
              <w:pStyle w:val="ExhibitText"/>
              <w:rPr>
                <w:lang w:val="en-GB"/>
              </w:rPr>
            </w:pPr>
            <w:r w:rsidRPr="00D717E3">
              <w:rPr>
                <w:lang w:val="en-GB"/>
              </w:rPr>
              <w:t xml:space="preserve">Nomura Trust </w:t>
            </w:r>
            <w:r w:rsidR="00C37C38" w:rsidRPr="00D717E3">
              <w:rPr>
                <w:lang w:val="en-GB"/>
              </w:rPr>
              <w:t xml:space="preserve">&amp; </w:t>
            </w:r>
            <w:r w:rsidRPr="00D717E3">
              <w:rPr>
                <w:lang w:val="en-GB"/>
              </w:rPr>
              <w:t>Banking</w:t>
            </w:r>
          </w:p>
        </w:tc>
        <w:tc>
          <w:tcPr>
            <w:tcW w:w="992" w:type="dxa"/>
            <w:hideMark/>
          </w:tcPr>
          <w:p w14:paraId="00898678" w14:textId="1A774F7A" w:rsidR="006C3A8C" w:rsidRPr="00D717E3" w:rsidRDefault="006C3A8C" w:rsidP="0012024C">
            <w:pPr>
              <w:pStyle w:val="ExhibitText"/>
              <w:jc w:val="right"/>
              <w:rPr>
                <w:lang w:val="en-GB"/>
              </w:rPr>
            </w:pPr>
            <w:r w:rsidRPr="00D717E3">
              <w:rPr>
                <w:lang w:val="en-GB"/>
              </w:rPr>
              <w:t>3.73</w:t>
            </w:r>
          </w:p>
        </w:tc>
      </w:tr>
      <w:tr w:rsidR="006C3A8C" w:rsidRPr="00D717E3" w14:paraId="363F5A08" w14:textId="77777777" w:rsidTr="0012024C">
        <w:trPr>
          <w:trHeight w:val="440"/>
          <w:jc w:val="center"/>
        </w:trPr>
        <w:tc>
          <w:tcPr>
            <w:tcW w:w="1980" w:type="dxa"/>
            <w:hideMark/>
          </w:tcPr>
          <w:p w14:paraId="725C1E98" w14:textId="2AC3C5C4" w:rsidR="006C3A8C" w:rsidRPr="00D717E3" w:rsidRDefault="006C3A8C" w:rsidP="003B4EE3">
            <w:pPr>
              <w:pStyle w:val="ExhibitText"/>
              <w:rPr>
                <w:lang w:val="en-GB"/>
              </w:rPr>
            </w:pPr>
            <w:r w:rsidRPr="00D717E3">
              <w:rPr>
                <w:lang w:val="en-GB"/>
              </w:rPr>
              <w:t>Master Trust Bank of Japan</w:t>
            </w:r>
          </w:p>
        </w:tc>
        <w:tc>
          <w:tcPr>
            <w:tcW w:w="895" w:type="dxa"/>
            <w:hideMark/>
          </w:tcPr>
          <w:p w14:paraId="530EB31D" w14:textId="727E907D" w:rsidR="006C3A8C" w:rsidRPr="00D717E3" w:rsidRDefault="006C3A8C" w:rsidP="0012024C">
            <w:pPr>
              <w:pStyle w:val="ExhibitText"/>
              <w:jc w:val="right"/>
              <w:rPr>
                <w:lang w:val="en-GB"/>
              </w:rPr>
            </w:pPr>
            <w:r w:rsidRPr="00D717E3">
              <w:rPr>
                <w:lang w:val="en-GB"/>
              </w:rPr>
              <w:t>3.37</w:t>
            </w:r>
          </w:p>
        </w:tc>
        <w:tc>
          <w:tcPr>
            <w:tcW w:w="1940" w:type="dxa"/>
            <w:hideMark/>
          </w:tcPr>
          <w:p w14:paraId="75FA5026" w14:textId="7D6094B6" w:rsidR="006C3A8C" w:rsidRPr="00D717E3" w:rsidRDefault="006C3A8C" w:rsidP="003B4EE3">
            <w:pPr>
              <w:pStyle w:val="ExhibitText"/>
              <w:rPr>
                <w:lang w:val="en-GB"/>
              </w:rPr>
            </w:pPr>
            <w:r w:rsidRPr="00D717E3">
              <w:rPr>
                <w:lang w:val="en-GB"/>
              </w:rPr>
              <w:t>Master Trust Bank of Japan</w:t>
            </w:r>
          </w:p>
        </w:tc>
        <w:tc>
          <w:tcPr>
            <w:tcW w:w="1030" w:type="dxa"/>
            <w:hideMark/>
          </w:tcPr>
          <w:p w14:paraId="1EE1C23C" w14:textId="5FF7159C" w:rsidR="006C3A8C" w:rsidRPr="00D717E3" w:rsidRDefault="006C3A8C" w:rsidP="0012024C">
            <w:pPr>
              <w:pStyle w:val="ExhibitText"/>
              <w:jc w:val="right"/>
              <w:rPr>
                <w:lang w:val="en-GB"/>
              </w:rPr>
            </w:pPr>
            <w:r w:rsidRPr="00D717E3">
              <w:rPr>
                <w:lang w:val="en-GB"/>
              </w:rPr>
              <w:t>3.61</w:t>
            </w:r>
          </w:p>
        </w:tc>
        <w:tc>
          <w:tcPr>
            <w:tcW w:w="2014" w:type="dxa"/>
            <w:hideMark/>
          </w:tcPr>
          <w:p w14:paraId="55E53829" w14:textId="4A456054" w:rsidR="006C3A8C" w:rsidRPr="00D717E3" w:rsidRDefault="006C3A8C" w:rsidP="003B4EE3">
            <w:pPr>
              <w:pStyle w:val="ExhibitText"/>
              <w:rPr>
                <w:lang w:val="en-GB"/>
              </w:rPr>
            </w:pPr>
            <w:r w:rsidRPr="00D717E3">
              <w:rPr>
                <w:lang w:val="en-GB"/>
              </w:rPr>
              <w:t>Master Trust Bank of Japan</w:t>
            </w:r>
          </w:p>
        </w:tc>
        <w:tc>
          <w:tcPr>
            <w:tcW w:w="992" w:type="dxa"/>
            <w:hideMark/>
          </w:tcPr>
          <w:p w14:paraId="55A857DB" w14:textId="6E30B1CA" w:rsidR="006C3A8C" w:rsidRPr="00D717E3" w:rsidRDefault="006C3A8C" w:rsidP="0012024C">
            <w:pPr>
              <w:pStyle w:val="ExhibitText"/>
              <w:jc w:val="right"/>
              <w:rPr>
                <w:lang w:val="en-GB"/>
              </w:rPr>
            </w:pPr>
            <w:r w:rsidRPr="00D717E3">
              <w:rPr>
                <w:lang w:val="en-GB"/>
              </w:rPr>
              <w:t>2.64</w:t>
            </w:r>
          </w:p>
        </w:tc>
      </w:tr>
      <w:tr w:rsidR="006C3A8C" w:rsidRPr="00D717E3" w14:paraId="3257DFED" w14:textId="77777777" w:rsidTr="0012024C">
        <w:trPr>
          <w:trHeight w:val="534"/>
          <w:jc w:val="center"/>
        </w:trPr>
        <w:tc>
          <w:tcPr>
            <w:tcW w:w="1980" w:type="dxa"/>
            <w:hideMark/>
          </w:tcPr>
          <w:p w14:paraId="376DA6D8" w14:textId="77777777" w:rsidR="006C3A8C" w:rsidRPr="00D717E3" w:rsidRDefault="006C3A8C" w:rsidP="003B4EE3">
            <w:pPr>
              <w:pStyle w:val="ExhibitText"/>
              <w:rPr>
                <w:lang w:val="en-GB"/>
              </w:rPr>
            </w:pPr>
            <w:r w:rsidRPr="00D717E3">
              <w:rPr>
                <w:lang w:val="en-GB"/>
              </w:rPr>
              <w:t>SSBT OD05 Omnibus Account</w:t>
            </w:r>
          </w:p>
        </w:tc>
        <w:tc>
          <w:tcPr>
            <w:tcW w:w="895" w:type="dxa"/>
            <w:hideMark/>
          </w:tcPr>
          <w:p w14:paraId="04A68051" w14:textId="7C7A041E" w:rsidR="006C3A8C" w:rsidRPr="00D717E3" w:rsidRDefault="006C3A8C" w:rsidP="0012024C">
            <w:pPr>
              <w:pStyle w:val="ExhibitText"/>
              <w:jc w:val="right"/>
              <w:rPr>
                <w:lang w:val="en-GB"/>
              </w:rPr>
            </w:pPr>
            <w:r w:rsidRPr="00D717E3">
              <w:rPr>
                <w:lang w:val="en-GB"/>
              </w:rPr>
              <w:t>1.74</w:t>
            </w:r>
          </w:p>
        </w:tc>
        <w:tc>
          <w:tcPr>
            <w:tcW w:w="1940" w:type="dxa"/>
            <w:hideMark/>
          </w:tcPr>
          <w:p w14:paraId="029560B9" w14:textId="77777777" w:rsidR="006C3A8C" w:rsidRPr="00D717E3" w:rsidRDefault="006C3A8C" w:rsidP="003B4EE3">
            <w:pPr>
              <w:pStyle w:val="ExhibitText"/>
              <w:rPr>
                <w:lang w:val="en-GB"/>
              </w:rPr>
            </w:pPr>
            <w:r w:rsidRPr="00D717E3">
              <w:rPr>
                <w:lang w:val="en-GB"/>
              </w:rPr>
              <w:t>SSBT OD05 Omnibus Account</w:t>
            </w:r>
          </w:p>
        </w:tc>
        <w:tc>
          <w:tcPr>
            <w:tcW w:w="1030" w:type="dxa"/>
            <w:hideMark/>
          </w:tcPr>
          <w:p w14:paraId="37AC3CA6" w14:textId="2CD7702C" w:rsidR="006C3A8C" w:rsidRPr="00D717E3" w:rsidRDefault="006C3A8C" w:rsidP="0012024C">
            <w:pPr>
              <w:pStyle w:val="ExhibitText"/>
              <w:jc w:val="right"/>
              <w:rPr>
                <w:lang w:val="en-GB"/>
              </w:rPr>
            </w:pPr>
            <w:r w:rsidRPr="00D717E3">
              <w:rPr>
                <w:lang w:val="en-GB"/>
              </w:rPr>
              <w:t>2.02</w:t>
            </w:r>
          </w:p>
        </w:tc>
        <w:tc>
          <w:tcPr>
            <w:tcW w:w="2014" w:type="dxa"/>
            <w:hideMark/>
          </w:tcPr>
          <w:p w14:paraId="659F82EC" w14:textId="77777777" w:rsidR="006C3A8C" w:rsidRPr="00D717E3" w:rsidRDefault="006C3A8C" w:rsidP="003B4EE3">
            <w:pPr>
              <w:pStyle w:val="ExhibitText"/>
              <w:rPr>
                <w:lang w:val="en-GB"/>
              </w:rPr>
            </w:pPr>
            <w:r w:rsidRPr="00D717E3">
              <w:rPr>
                <w:lang w:val="en-GB"/>
              </w:rPr>
              <w:t>SSBT OD05 Omnibus Account</w:t>
            </w:r>
          </w:p>
        </w:tc>
        <w:tc>
          <w:tcPr>
            <w:tcW w:w="992" w:type="dxa"/>
            <w:hideMark/>
          </w:tcPr>
          <w:p w14:paraId="336E87AE" w14:textId="5D21949B" w:rsidR="006C3A8C" w:rsidRPr="00D717E3" w:rsidRDefault="006C3A8C" w:rsidP="0012024C">
            <w:pPr>
              <w:pStyle w:val="ExhibitText"/>
              <w:jc w:val="right"/>
              <w:rPr>
                <w:lang w:val="en-GB"/>
              </w:rPr>
            </w:pPr>
            <w:r w:rsidRPr="00D717E3">
              <w:rPr>
                <w:lang w:val="en-GB"/>
              </w:rPr>
              <w:t>1.88</w:t>
            </w:r>
          </w:p>
        </w:tc>
      </w:tr>
      <w:tr w:rsidR="006C3A8C" w:rsidRPr="00D717E3" w14:paraId="4AAF99B2" w14:textId="77777777" w:rsidTr="0012024C">
        <w:trPr>
          <w:trHeight w:val="548"/>
          <w:jc w:val="center"/>
        </w:trPr>
        <w:tc>
          <w:tcPr>
            <w:tcW w:w="1980" w:type="dxa"/>
            <w:hideMark/>
          </w:tcPr>
          <w:p w14:paraId="70364609" w14:textId="77777777" w:rsidR="006C3A8C" w:rsidRPr="00D717E3" w:rsidRDefault="006C3A8C" w:rsidP="003B4EE3">
            <w:pPr>
              <w:pStyle w:val="ExhibitText"/>
              <w:rPr>
                <w:lang w:val="en-GB"/>
              </w:rPr>
            </w:pPr>
            <w:r w:rsidRPr="00D717E3">
              <w:rPr>
                <w:lang w:val="en-GB"/>
              </w:rPr>
              <w:t>Moxley &amp; Co.</w:t>
            </w:r>
          </w:p>
        </w:tc>
        <w:tc>
          <w:tcPr>
            <w:tcW w:w="895" w:type="dxa"/>
            <w:hideMark/>
          </w:tcPr>
          <w:p w14:paraId="6D29B749" w14:textId="6FFCE4B6" w:rsidR="006C3A8C" w:rsidRPr="00D717E3" w:rsidRDefault="006C3A8C" w:rsidP="0012024C">
            <w:pPr>
              <w:pStyle w:val="ExhibitText"/>
              <w:jc w:val="right"/>
              <w:rPr>
                <w:lang w:val="en-GB"/>
              </w:rPr>
            </w:pPr>
            <w:r w:rsidRPr="00D717E3">
              <w:rPr>
                <w:lang w:val="en-GB"/>
              </w:rPr>
              <w:t>1.62</w:t>
            </w:r>
          </w:p>
        </w:tc>
        <w:tc>
          <w:tcPr>
            <w:tcW w:w="1940" w:type="dxa"/>
            <w:hideMark/>
          </w:tcPr>
          <w:p w14:paraId="74695AA3" w14:textId="77777777" w:rsidR="006C3A8C" w:rsidRPr="00D717E3" w:rsidRDefault="006C3A8C" w:rsidP="003B4EE3">
            <w:pPr>
              <w:pStyle w:val="ExhibitText"/>
              <w:rPr>
                <w:lang w:val="en-GB"/>
              </w:rPr>
            </w:pPr>
            <w:r w:rsidRPr="00D717E3">
              <w:rPr>
                <w:lang w:val="en-GB"/>
              </w:rPr>
              <w:t>Moxley &amp; Co.</w:t>
            </w:r>
          </w:p>
        </w:tc>
        <w:tc>
          <w:tcPr>
            <w:tcW w:w="1030" w:type="dxa"/>
            <w:hideMark/>
          </w:tcPr>
          <w:p w14:paraId="08C70772" w14:textId="2F856DF1" w:rsidR="006C3A8C" w:rsidRPr="00D717E3" w:rsidRDefault="006C3A8C" w:rsidP="0012024C">
            <w:pPr>
              <w:pStyle w:val="ExhibitText"/>
              <w:jc w:val="right"/>
              <w:rPr>
                <w:lang w:val="en-GB"/>
              </w:rPr>
            </w:pPr>
            <w:r w:rsidRPr="00D717E3">
              <w:rPr>
                <w:lang w:val="en-GB"/>
              </w:rPr>
              <w:t>1.52</w:t>
            </w:r>
          </w:p>
        </w:tc>
        <w:tc>
          <w:tcPr>
            <w:tcW w:w="2014" w:type="dxa"/>
            <w:hideMark/>
          </w:tcPr>
          <w:p w14:paraId="56754700" w14:textId="77777777" w:rsidR="006C3A8C" w:rsidRPr="00D717E3" w:rsidRDefault="006C3A8C" w:rsidP="003B4EE3">
            <w:pPr>
              <w:pStyle w:val="ExhibitText"/>
              <w:rPr>
                <w:lang w:val="en-GB"/>
              </w:rPr>
            </w:pPr>
            <w:r w:rsidRPr="00D717E3">
              <w:rPr>
                <w:lang w:val="en-GB"/>
              </w:rPr>
              <w:t>Northern Trust Co. (AVFC)</w:t>
            </w:r>
          </w:p>
        </w:tc>
        <w:tc>
          <w:tcPr>
            <w:tcW w:w="992" w:type="dxa"/>
            <w:hideMark/>
          </w:tcPr>
          <w:p w14:paraId="6C31B9BE" w14:textId="6C4EF2D2" w:rsidR="006C3A8C" w:rsidRPr="00D717E3" w:rsidRDefault="006C3A8C" w:rsidP="0012024C">
            <w:pPr>
              <w:pStyle w:val="ExhibitText"/>
              <w:jc w:val="right"/>
              <w:rPr>
                <w:lang w:val="en-GB"/>
              </w:rPr>
            </w:pPr>
            <w:r w:rsidRPr="00D717E3">
              <w:rPr>
                <w:lang w:val="en-GB"/>
              </w:rPr>
              <w:t>1.58</w:t>
            </w:r>
          </w:p>
        </w:tc>
      </w:tr>
      <w:tr w:rsidR="006C3A8C" w:rsidRPr="00D717E3" w14:paraId="3C6B0963" w14:textId="77777777" w:rsidTr="0012024C">
        <w:trPr>
          <w:trHeight w:val="422"/>
          <w:jc w:val="center"/>
        </w:trPr>
        <w:tc>
          <w:tcPr>
            <w:tcW w:w="1980" w:type="dxa"/>
            <w:hideMark/>
          </w:tcPr>
          <w:p w14:paraId="4DA81C40" w14:textId="5AF3053D" w:rsidR="006C3A8C" w:rsidRPr="00D717E3" w:rsidRDefault="006C3A8C" w:rsidP="003B4EE3">
            <w:pPr>
              <w:pStyle w:val="ExhibitText"/>
              <w:rPr>
                <w:lang w:val="en-GB"/>
              </w:rPr>
            </w:pPr>
            <w:r w:rsidRPr="00D717E3">
              <w:rPr>
                <w:lang w:val="en-GB"/>
              </w:rPr>
              <w:t>Sumitomo Trust &amp; Resona Bank Retirement</w:t>
            </w:r>
          </w:p>
        </w:tc>
        <w:tc>
          <w:tcPr>
            <w:tcW w:w="895" w:type="dxa"/>
            <w:hideMark/>
          </w:tcPr>
          <w:p w14:paraId="4550B43E" w14:textId="53DF1706" w:rsidR="006C3A8C" w:rsidRPr="00D717E3" w:rsidRDefault="006C3A8C" w:rsidP="0012024C">
            <w:pPr>
              <w:pStyle w:val="ExhibitText"/>
              <w:jc w:val="right"/>
              <w:rPr>
                <w:lang w:val="en-GB"/>
              </w:rPr>
            </w:pPr>
            <w:r w:rsidRPr="00D717E3">
              <w:rPr>
                <w:lang w:val="en-GB"/>
              </w:rPr>
              <w:t>1.37</w:t>
            </w:r>
          </w:p>
        </w:tc>
        <w:tc>
          <w:tcPr>
            <w:tcW w:w="1940" w:type="dxa"/>
            <w:hideMark/>
          </w:tcPr>
          <w:p w14:paraId="441F8511" w14:textId="77777777" w:rsidR="006C3A8C" w:rsidRPr="00D717E3" w:rsidRDefault="006C3A8C" w:rsidP="003B4EE3">
            <w:pPr>
              <w:pStyle w:val="ExhibitText"/>
              <w:rPr>
                <w:lang w:val="en-GB"/>
              </w:rPr>
            </w:pPr>
            <w:r w:rsidRPr="00D717E3">
              <w:rPr>
                <w:lang w:val="en-GB"/>
              </w:rPr>
              <w:t>Chase Manhattan Bank</w:t>
            </w:r>
          </w:p>
        </w:tc>
        <w:tc>
          <w:tcPr>
            <w:tcW w:w="1030" w:type="dxa"/>
            <w:hideMark/>
          </w:tcPr>
          <w:p w14:paraId="0840AF27" w14:textId="3083133A" w:rsidR="006C3A8C" w:rsidRPr="00D717E3" w:rsidRDefault="006C3A8C" w:rsidP="0012024C">
            <w:pPr>
              <w:pStyle w:val="ExhibitText"/>
              <w:jc w:val="right"/>
              <w:rPr>
                <w:lang w:val="en-GB"/>
              </w:rPr>
            </w:pPr>
            <w:r w:rsidRPr="00D717E3">
              <w:rPr>
                <w:lang w:val="en-GB"/>
              </w:rPr>
              <w:t>1.39</w:t>
            </w:r>
          </w:p>
        </w:tc>
        <w:tc>
          <w:tcPr>
            <w:tcW w:w="2014" w:type="dxa"/>
            <w:hideMark/>
          </w:tcPr>
          <w:p w14:paraId="348C13B5" w14:textId="66E11880" w:rsidR="006C3A8C" w:rsidRPr="00D717E3" w:rsidRDefault="006C3A8C" w:rsidP="003B4EE3">
            <w:pPr>
              <w:pStyle w:val="ExhibitText"/>
              <w:rPr>
                <w:lang w:val="en-GB"/>
              </w:rPr>
            </w:pPr>
            <w:r w:rsidRPr="00D717E3">
              <w:rPr>
                <w:lang w:val="en-GB"/>
              </w:rPr>
              <w:t>Bank of New York Treaty</w:t>
            </w:r>
          </w:p>
        </w:tc>
        <w:tc>
          <w:tcPr>
            <w:tcW w:w="992" w:type="dxa"/>
            <w:hideMark/>
          </w:tcPr>
          <w:p w14:paraId="7CDCC47E" w14:textId="2BC64D70" w:rsidR="006C3A8C" w:rsidRPr="00D717E3" w:rsidRDefault="006C3A8C" w:rsidP="0012024C">
            <w:pPr>
              <w:pStyle w:val="ExhibitText"/>
              <w:jc w:val="right"/>
              <w:rPr>
                <w:lang w:val="en-GB"/>
              </w:rPr>
            </w:pPr>
            <w:r w:rsidRPr="00D717E3">
              <w:rPr>
                <w:lang w:val="en-GB"/>
              </w:rPr>
              <w:t>1.01</w:t>
            </w:r>
          </w:p>
        </w:tc>
      </w:tr>
    </w:tbl>
    <w:p w14:paraId="7153FF4B" w14:textId="77777777" w:rsidR="006C3A8C" w:rsidRPr="00D717E3" w:rsidRDefault="006C3A8C" w:rsidP="006C3A8C">
      <w:pPr>
        <w:pStyle w:val="BodyTextMain"/>
        <w:rPr>
          <w:rFonts w:eastAsiaTheme="minorEastAsia"/>
          <w:lang w:val="en-GB" w:eastAsia="ja-JP"/>
        </w:rPr>
      </w:pPr>
    </w:p>
    <w:p w14:paraId="3E75C267" w14:textId="5F62BC4F" w:rsidR="006C3A8C" w:rsidRPr="00D717E3" w:rsidRDefault="006C3A8C" w:rsidP="00014998">
      <w:pPr>
        <w:pStyle w:val="Footnote"/>
        <w:rPr>
          <w:lang w:val="en-GB"/>
        </w:rPr>
      </w:pPr>
      <w:r w:rsidRPr="00D717E3">
        <w:rPr>
          <w:rFonts w:eastAsiaTheme="minorEastAsia"/>
          <w:lang w:val="en-GB"/>
        </w:rPr>
        <w:t xml:space="preserve">Source: Nintendo, </w:t>
      </w:r>
      <w:r w:rsidR="005A79B5" w:rsidRPr="00D717E3">
        <w:rPr>
          <w:rFonts w:eastAsiaTheme="minorEastAsia"/>
          <w:lang w:val="en-GB"/>
        </w:rPr>
        <w:t>“</w:t>
      </w:r>
      <w:r w:rsidRPr="00D717E3">
        <w:rPr>
          <w:rFonts w:eastAsiaTheme="minorEastAsia"/>
          <w:lang w:val="en-GB"/>
        </w:rPr>
        <w:t>Annual Filings: Income Statement for TYO: 7974 (Nintendo) March 31, 2011– March 31, 2013,</w:t>
      </w:r>
      <w:r w:rsidR="005A79B5" w:rsidRPr="00D717E3">
        <w:rPr>
          <w:rFonts w:eastAsiaTheme="minorEastAsia"/>
          <w:lang w:val="en-GB"/>
        </w:rPr>
        <w:t>”</w:t>
      </w:r>
      <w:r w:rsidRPr="00D717E3">
        <w:rPr>
          <w:rFonts w:eastAsiaTheme="minorEastAsia"/>
          <w:lang w:val="en-GB"/>
        </w:rPr>
        <w:t xml:space="preserve"> Bloomberg LP, accessed October 31, 2016.</w:t>
      </w:r>
    </w:p>
    <w:p w14:paraId="46AFC175" w14:textId="77777777" w:rsidR="006C3A8C" w:rsidRPr="00D717E3" w:rsidRDefault="006C3A8C" w:rsidP="00050B5C">
      <w:pPr>
        <w:pStyle w:val="Footnote"/>
        <w:rPr>
          <w:lang w:val="en-GB"/>
        </w:rPr>
      </w:pPr>
    </w:p>
    <w:p w14:paraId="5F9D8FC0" w14:textId="77777777" w:rsidR="006C3A8C" w:rsidRPr="00D717E3" w:rsidRDefault="006C3A8C" w:rsidP="00050B5C">
      <w:pPr>
        <w:pStyle w:val="Footnote"/>
        <w:rPr>
          <w:lang w:val="en-GB"/>
        </w:rPr>
      </w:pPr>
    </w:p>
    <w:p w14:paraId="49DBEA48" w14:textId="6F47C4F6" w:rsidR="00361762" w:rsidRPr="00D717E3" w:rsidRDefault="006C3A8C" w:rsidP="003336A8">
      <w:pPr>
        <w:pStyle w:val="ExhibitHeading"/>
        <w:outlineLvl w:val="0"/>
        <w:rPr>
          <w:rFonts w:eastAsiaTheme="minorEastAsia"/>
          <w:lang w:val="en-GB" w:eastAsia="ja-JP"/>
        </w:rPr>
      </w:pPr>
      <w:r w:rsidRPr="00D717E3">
        <w:rPr>
          <w:rFonts w:eastAsiaTheme="minorEastAsia"/>
          <w:lang w:val="en-GB" w:eastAsia="ja-JP"/>
        </w:rPr>
        <w:t>EXHIBIT 5: CUMULATIVE STOCK RETURNS of NINTENDO v</w:t>
      </w:r>
      <w:r w:rsidR="005A79B5" w:rsidRPr="00D717E3">
        <w:rPr>
          <w:rFonts w:eastAsiaTheme="minorEastAsia"/>
          <w:lang w:val="en-GB" w:eastAsia="ja-JP"/>
        </w:rPr>
        <w:t>ersus the</w:t>
      </w:r>
      <w:r w:rsidRPr="00D717E3">
        <w:rPr>
          <w:rFonts w:eastAsiaTheme="minorEastAsia"/>
          <w:lang w:val="en-GB" w:eastAsia="ja-JP"/>
        </w:rPr>
        <w:t xml:space="preserve"> NIKKEI 225 (%)</w:t>
      </w:r>
    </w:p>
    <w:p w14:paraId="278E14BA" w14:textId="5547C8D6" w:rsidR="006C3A8C" w:rsidRPr="00D717E3" w:rsidRDefault="00361762" w:rsidP="006472AF">
      <w:pPr>
        <w:pStyle w:val="ExhibitHeading"/>
        <w:rPr>
          <w:rFonts w:eastAsiaTheme="minorEastAsia" w:cstheme="minorBidi"/>
          <w:sz w:val="17"/>
          <w:szCs w:val="17"/>
          <w:lang w:val="en-GB"/>
        </w:rPr>
      </w:pPr>
      <w:r w:rsidRPr="00D717E3">
        <w:rPr>
          <w:b w:val="0"/>
          <w:noProof/>
        </w:rPr>
        <w:drawing>
          <wp:inline distT="0" distB="0" distL="0" distR="0" wp14:anchorId="6E3C57ED" wp14:editId="301D35F0">
            <wp:extent cx="5135383" cy="2472855"/>
            <wp:effectExtent l="0" t="0" r="8255" b="381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10BDEB5B" w14:textId="13912B40" w:rsidR="006C3A8C" w:rsidRPr="00D717E3" w:rsidRDefault="00762164" w:rsidP="003725A1">
      <w:pPr>
        <w:pStyle w:val="Footnote"/>
        <w:rPr>
          <w:lang w:val="en-GB"/>
        </w:rPr>
      </w:pPr>
      <w:r w:rsidRPr="00D717E3">
        <w:rPr>
          <w:lang w:val="en-GB"/>
        </w:rPr>
        <w:t xml:space="preserve">Note: </w:t>
      </w:r>
      <w:r w:rsidR="006C3A8C" w:rsidRPr="00D717E3">
        <w:rPr>
          <w:lang w:val="en-GB"/>
        </w:rPr>
        <w:t xml:space="preserve">Nikkei 225 </w:t>
      </w:r>
      <w:r w:rsidR="005A79B5" w:rsidRPr="00D717E3">
        <w:rPr>
          <w:lang w:val="en-GB"/>
        </w:rPr>
        <w:t>was</w:t>
      </w:r>
      <w:r w:rsidR="006C3A8C" w:rsidRPr="00D717E3">
        <w:rPr>
          <w:lang w:val="en-GB"/>
        </w:rPr>
        <w:t xml:space="preserve"> </w:t>
      </w:r>
      <w:r w:rsidR="005A79B5" w:rsidRPr="00D717E3">
        <w:rPr>
          <w:lang w:val="en-GB"/>
        </w:rPr>
        <w:t>a</w:t>
      </w:r>
      <w:r w:rsidR="006C3A8C" w:rsidRPr="00D717E3">
        <w:rPr>
          <w:lang w:val="en-GB"/>
        </w:rPr>
        <w:t xml:space="preserve"> Japanese </w:t>
      </w:r>
      <w:r w:rsidR="005A79B5" w:rsidRPr="00D717E3">
        <w:rPr>
          <w:lang w:val="en-GB"/>
        </w:rPr>
        <w:t xml:space="preserve">stock </w:t>
      </w:r>
      <w:r w:rsidR="006C3A8C" w:rsidRPr="00D717E3">
        <w:rPr>
          <w:lang w:val="en-GB"/>
        </w:rPr>
        <w:t xml:space="preserve">market </w:t>
      </w:r>
      <w:r w:rsidR="005A79B5" w:rsidRPr="00D717E3">
        <w:rPr>
          <w:lang w:val="en-GB"/>
        </w:rPr>
        <w:t>i</w:t>
      </w:r>
      <w:r w:rsidR="006C3A8C" w:rsidRPr="00D717E3">
        <w:rPr>
          <w:lang w:val="en-GB"/>
        </w:rPr>
        <w:t>ndex</w:t>
      </w:r>
      <w:r w:rsidR="005A79B5" w:rsidRPr="00D717E3">
        <w:rPr>
          <w:lang w:val="en-GB"/>
        </w:rPr>
        <w:t xml:space="preserve"> for the Tokyo Stock Exchange and</w:t>
      </w:r>
      <w:r w:rsidR="006C3A8C" w:rsidRPr="00D717E3">
        <w:rPr>
          <w:lang w:val="en-GB"/>
        </w:rPr>
        <w:t xml:space="preserve"> the most widely quoted average of Japanese </w:t>
      </w:r>
      <w:r w:rsidR="005A79B5" w:rsidRPr="00D717E3">
        <w:rPr>
          <w:lang w:val="en-GB"/>
        </w:rPr>
        <w:t>stocks</w:t>
      </w:r>
      <w:r w:rsidR="006C3A8C" w:rsidRPr="00D717E3">
        <w:rPr>
          <w:lang w:val="en-GB"/>
        </w:rPr>
        <w:t xml:space="preserve">. </w:t>
      </w:r>
    </w:p>
    <w:p w14:paraId="60FAB5FB" w14:textId="5864507A" w:rsidR="006C3A8C" w:rsidRPr="00D717E3" w:rsidRDefault="006C3A8C" w:rsidP="003725A1">
      <w:pPr>
        <w:pStyle w:val="Footnote"/>
        <w:rPr>
          <w:lang w:val="en-GB"/>
        </w:rPr>
      </w:pPr>
      <w:r w:rsidRPr="00D717E3">
        <w:rPr>
          <w:lang w:val="en-GB"/>
        </w:rPr>
        <w:t xml:space="preserve">Source: </w:t>
      </w:r>
      <w:r w:rsidR="000D6930" w:rsidRPr="00D717E3">
        <w:rPr>
          <w:lang w:val="en-GB"/>
        </w:rPr>
        <w:t>“</w:t>
      </w:r>
      <w:r w:rsidR="006D33AF" w:rsidRPr="00D717E3">
        <w:rPr>
          <w:lang w:val="en-GB"/>
        </w:rPr>
        <w:t>Nikkei 225</w:t>
      </w:r>
      <w:r w:rsidR="00FB18E7" w:rsidRPr="00D717E3">
        <w:rPr>
          <w:lang w:val="en-GB"/>
        </w:rPr>
        <w:t xml:space="preserve"> Index (</w:t>
      </w:r>
      <w:r w:rsidR="006D33AF" w:rsidRPr="00D717E3">
        <w:rPr>
          <w:lang w:val="en-GB"/>
        </w:rPr>
        <w:t>NKY</w:t>
      </w:r>
      <w:r w:rsidR="00FB18E7" w:rsidRPr="00D717E3">
        <w:rPr>
          <w:lang w:val="en-GB"/>
        </w:rPr>
        <w:t>:IND) and</w:t>
      </w:r>
      <w:r w:rsidR="00F1004F" w:rsidRPr="00D717E3">
        <w:rPr>
          <w:lang w:val="en-GB"/>
        </w:rPr>
        <w:t xml:space="preserve"> Nintendo (7974),</w:t>
      </w:r>
      <w:r w:rsidR="000D6930" w:rsidRPr="00D717E3">
        <w:rPr>
          <w:lang w:val="en-GB"/>
        </w:rPr>
        <w:t>”</w:t>
      </w:r>
      <w:r w:rsidR="00F1004F" w:rsidRPr="00D717E3">
        <w:rPr>
          <w:lang w:val="en-GB"/>
        </w:rPr>
        <w:t xml:space="preserve"> </w:t>
      </w:r>
      <w:r w:rsidRPr="00D717E3">
        <w:rPr>
          <w:lang w:val="en-GB"/>
        </w:rPr>
        <w:t>Bloomberg LP, accessed October 31, 2016.</w:t>
      </w:r>
    </w:p>
    <w:p w14:paraId="11F6F836" w14:textId="77777777" w:rsidR="00AA4859" w:rsidRPr="00D717E3" w:rsidRDefault="00AA4859">
      <w:pPr>
        <w:spacing w:after="200" w:line="276" w:lineRule="auto"/>
        <w:rPr>
          <w:rFonts w:ascii="Arial" w:hAnsi="Arial" w:cs="Arial"/>
          <w:b/>
          <w:caps/>
          <w:sz w:val="20"/>
          <w:szCs w:val="20"/>
          <w:lang w:val="en-GB" w:eastAsia="en-US" w:bidi="ar-SA"/>
        </w:rPr>
      </w:pPr>
      <w:r w:rsidRPr="00D717E3">
        <w:rPr>
          <w:lang w:val="en-GB"/>
        </w:rPr>
        <w:br w:type="page"/>
      </w:r>
    </w:p>
    <w:p w14:paraId="0D2459AB" w14:textId="78814312" w:rsidR="00465348" w:rsidRPr="00D717E3" w:rsidRDefault="006472AF" w:rsidP="003336A8">
      <w:pPr>
        <w:pStyle w:val="Casehead1"/>
        <w:outlineLvl w:val="0"/>
        <w:rPr>
          <w:lang w:val="en-GB"/>
        </w:rPr>
      </w:pPr>
      <w:r w:rsidRPr="00D717E3">
        <w:rPr>
          <w:lang w:val="en-GB"/>
        </w:rPr>
        <w:lastRenderedPageBreak/>
        <w:t>EN</w:t>
      </w:r>
      <w:r w:rsidR="00FF289C" w:rsidRPr="00D717E3">
        <w:rPr>
          <w:lang w:val="en-GB"/>
        </w:rPr>
        <w:t>dnotes</w:t>
      </w:r>
    </w:p>
    <w:sectPr w:rsidR="00465348" w:rsidRPr="00D717E3" w:rsidSect="0076336D">
      <w:headerReference w:type="default" r:id="rId17"/>
      <w:endnotePr>
        <w:numFmt w:val="decimal"/>
      </w:endnotePr>
      <w:pgSz w:w="12240" w:h="15840" w:code="1"/>
      <w:pgMar w:top="1080" w:right="1440" w:bottom="1440" w:left="1440" w:header="1080" w:footer="720" w:gutter="0"/>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22D80DD" w16cid:durableId="1F043713"/>
  <w16cid:commentId w16cid:paraId="15367783" w16cid:durableId="1F0436A0"/>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EBDA743" w14:textId="77777777" w:rsidR="0012024C" w:rsidRDefault="0012024C" w:rsidP="00D75295">
      <w:r>
        <w:separator/>
      </w:r>
    </w:p>
  </w:endnote>
  <w:endnote w:type="continuationSeparator" w:id="0">
    <w:p w14:paraId="5AD10DF7" w14:textId="77777777" w:rsidR="0012024C" w:rsidRDefault="0012024C" w:rsidP="00D75295">
      <w:r>
        <w:continuationSeparator/>
      </w:r>
    </w:p>
  </w:endnote>
  <w:endnote w:id="1">
    <w:p w14:paraId="03B78F4E" w14:textId="69DEF9D7" w:rsidR="0012024C" w:rsidRPr="006472AF" w:rsidRDefault="0012024C" w:rsidP="006472AF">
      <w:pPr>
        <w:pStyle w:val="Footnote"/>
      </w:pPr>
      <w:r w:rsidRPr="006472AF">
        <w:rPr>
          <w:rStyle w:val="EndnoteReference"/>
        </w:rPr>
        <w:endnoteRef/>
      </w:r>
      <w:r w:rsidRPr="006472AF">
        <w:rPr>
          <w:rFonts w:eastAsia="SimSun"/>
        </w:rPr>
        <w:t xml:space="preserve"> </w:t>
      </w:r>
      <w:r w:rsidRPr="006472AF">
        <w:t xml:space="preserve">This case has been written on the basis of published sources only. Consequently, the interpretation and perspectives presented in this case are not necessarily those of Nintendo or any of </w:t>
      </w:r>
      <w:r>
        <w:t>its</w:t>
      </w:r>
      <w:r w:rsidRPr="006472AF">
        <w:t xml:space="preserve"> employees.</w:t>
      </w:r>
    </w:p>
  </w:endnote>
  <w:endnote w:id="2">
    <w:p w14:paraId="11A9984E" w14:textId="6F079DC8" w:rsidR="0012024C" w:rsidRPr="00F23EAA" w:rsidRDefault="0012024C" w:rsidP="00F23EAA">
      <w:pPr>
        <w:pStyle w:val="Footnote"/>
        <w:rPr>
          <w:lang w:val="en-CA"/>
        </w:rPr>
      </w:pPr>
      <w:r>
        <w:rPr>
          <w:rStyle w:val="EndnoteReference"/>
        </w:rPr>
        <w:endnoteRef/>
      </w:r>
      <w:r>
        <w:t xml:space="preserve"> </w:t>
      </w:r>
      <w:r w:rsidRPr="00FF289C">
        <w:rPr>
          <w:rFonts w:eastAsiaTheme="minorEastAsia"/>
        </w:rPr>
        <w:t>¥</w:t>
      </w:r>
      <w:r>
        <w:rPr>
          <w:rFonts w:eastAsiaTheme="minorEastAsia"/>
        </w:rPr>
        <w:t xml:space="preserve"> = JPY = Japanese yen; US$1 = </w:t>
      </w:r>
      <w:r w:rsidRPr="00FF289C">
        <w:rPr>
          <w:rFonts w:eastAsiaTheme="minorEastAsia"/>
        </w:rPr>
        <w:t>¥</w:t>
      </w:r>
      <w:r>
        <w:rPr>
          <w:rFonts w:eastAsiaTheme="minorEastAsia"/>
        </w:rPr>
        <w:t>105.28 on January 1, 2014.</w:t>
      </w:r>
    </w:p>
  </w:endnote>
  <w:endnote w:id="3">
    <w:p w14:paraId="3401687F" w14:textId="23ABB022" w:rsidR="0012024C" w:rsidRPr="006472AF" w:rsidRDefault="0012024C" w:rsidP="006472AF">
      <w:pPr>
        <w:pStyle w:val="Footnote"/>
      </w:pPr>
      <w:r w:rsidRPr="006472AF">
        <w:rPr>
          <w:rStyle w:val="EndnoteReference"/>
        </w:rPr>
        <w:endnoteRef/>
      </w:r>
      <w:r w:rsidRPr="006472AF">
        <w:t xml:space="preserve"> Hideki Hayashi and Kyo Hashizume, “Slow-to-</w:t>
      </w:r>
      <w:r>
        <w:t>A</w:t>
      </w:r>
      <w:r w:rsidRPr="006472AF">
        <w:t xml:space="preserve">dapt Nintendo </w:t>
      </w:r>
      <w:r>
        <w:t>R</w:t>
      </w:r>
      <w:r w:rsidRPr="006472AF">
        <w:t xml:space="preserve">eeling in the </w:t>
      </w:r>
      <w:r>
        <w:t>S</w:t>
      </w:r>
      <w:r w:rsidRPr="006472AF">
        <w:t xml:space="preserve">martphone </w:t>
      </w:r>
      <w:r>
        <w:t>E</w:t>
      </w:r>
      <w:r w:rsidRPr="006472AF">
        <w:t xml:space="preserve">ra,” </w:t>
      </w:r>
      <w:r w:rsidRPr="00F23EAA">
        <w:rPr>
          <w:i/>
        </w:rPr>
        <w:t>Nikkei</w:t>
      </w:r>
      <w:r w:rsidRPr="006472AF">
        <w:t>, January 23, 2014, accessed December, 2017, https://asia.nikkei.com/magazine/20140123-Geared-for-success/Business/Nintendo-failing-to-adjust-to-the-smartphone-age?page=2.</w:t>
      </w:r>
    </w:p>
  </w:endnote>
  <w:endnote w:id="4">
    <w:p w14:paraId="35129CB7" w14:textId="2DDCB9A8" w:rsidR="0012024C" w:rsidRPr="00B15A44" w:rsidRDefault="0012024C" w:rsidP="006472AF">
      <w:pPr>
        <w:pStyle w:val="Footnote"/>
      </w:pPr>
      <w:r w:rsidRPr="006472AF">
        <w:rPr>
          <w:rStyle w:val="EndnoteReference"/>
        </w:rPr>
        <w:endnoteRef/>
      </w:r>
      <w:r w:rsidRPr="006472AF">
        <w:t xml:space="preserve"> Simon Parkin, “Postscript: The Man </w:t>
      </w:r>
      <w:r w:rsidR="001900AD">
        <w:t>b</w:t>
      </w:r>
      <w:r w:rsidRPr="006472AF">
        <w:t xml:space="preserve">ehind Nintendo,” </w:t>
      </w:r>
      <w:r w:rsidRPr="00F23EAA">
        <w:rPr>
          <w:i/>
        </w:rPr>
        <w:t>The New Yorker</w:t>
      </w:r>
      <w:r w:rsidRPr="006472AF">
        <w:t>, September 20, 2013, accessed August 11, 2016</w:t>
      </w:r>
      <w:r w:rsidRPr="006472AF">
        <w:rPr>
          <w:rFonts w:eastAsia="SimSun"/>
        </w:rPr>
        <w:t xml:space="preserve">, </w:t>
      </w:r>
      <w:hyperlink r:id="rId1" w:history="1">
        <w:r w:rsidRPr="00F23EAA">
          <w:t>www.newyorker.com/tech/elements/postscript-the-man-behind-nintendo</w:t>
        </w:r>
      </w:hyperlink>
      <w:r w:rsidRPr="00B15A44">
        <w:t>.</w:t>
      </w:r>
    </w:p>
  </w:endnote>
  <w:endnote w:id="5">
    <w:p w14:paraId="2612E462" w14:textId="34F11FB0" w:rsidR="0012024C" w:rsidRPr="006472AF" w:rsidRDefault="0012024C" w:rsidP="006472AF">
      <w:pPr>
        <w:pStyle w:val="Footnote"/>
      </w:pPr>
      <w:r w:rsidRPr="006472AF">
        <w:rPr>
          <w:rStyle w:val="EndnoteReference"/>
        </w:rPr>
        <w:endnoteRef/>
      </w:r>
      <w:r w:rsidRPr="006472AF">
        <w:t xml:space="preserve"> Florent Gorges and Isao Yamazaki, </w:t>
      </w:r>
      <w:r w:rsidRPr="00F23EAA">
        <w:rPr>
          <w:i/>
        </w:rPr>
        <w:t>The History of Nintendo</w:t>
      </w:r>
      <w:r>
        <w:rPr>
          <w:i/>
        </w:rPr>
        <w:t>:</w:t>
      </w:r>
      <w:r w:rsidRPr="00F23EAA">
        <w:rPr>
          <w:i/>
        </w:rPr>
        <w:t xml:space="preserve"> 1889</w:t>
      </w:r>
      <w:r>
        <w:rPr>
          <w:i/>
        </w:rPr>
        <w:t>–</w:t>
      </w:r>
      <w:r w:rsidRPr="00F23EAA">
        <w:rPr>
          <w:i/>
        </w:rPr>
        <w:t>1980</w:t>
      </w:r>
      <w:r w:rsidRPr="006472AF">
        <w:t xml:space="preserve"> </w:t>
      </w:r>
      <w:r>
        <w:t>(</w:t>
      </w:r>
      <w:r w:rsidRPr="00BE2AF4">
        <w:t xml:space="preserve">Triel-sur-Seine, France: </w:t>
      </w:r>
      <w:r w:rsidRPr="006472AF">
        <w:t>Pix’</w:t>
      </w:r>
      <w:r>
        <w:t>n</w:t>
      </w:r>
      <w:r w:rsidRPr="006472AF">
        <w:t xml:space="preserve"> Love</w:t>
      </w:r>
      <w:r>
        <w:t xml:space="preserve"> Publishing, 2012)</w:t>
      </w:r>
      <w:r w:rsidRPr="006472AF">
        <w:t>.</w:t>
      </w:r>
    </w:p>
  </w:endnote>
  <w:endnote w:id="6">
    <w:p w14:paraId="3DD05D84" w14:textId="1D200ABD" w:rsidR="0012024C" w:rsidRPr="006472AF" w:rsidRDefault="0012024C" w:rsidP="006472AF">
      <w:pPr>
        <w:pStyle w:val="Footnote"/>
      </w:pPr>
      <w:r w:rsidRPr="006472AF">
        <w:rPr>
          <w:rStyle w:val="EndnoteReference"/>
        </w:rPr>
        <w:endnoteRef/>
      </w:r>
      <w:bookmarkStart w:id="1" w:name="OLE_LINK56"/>
      <w:bookmarkStart w:id="2" w:name="OLE_LINK57"/>
      <w:bookmarkStart w:id="3" w:name="OLE_LINK58"/>
      <w:bookmarkStart w:id="4" w:name="OLE_LINK90"/>
      <w:bookmarkStart w:id="5" w:name="OLE_LINK91"/>
      <w:bookmarkStart w:id="6" w:name="OLE_LINK92"/>
      <w:r w:rsidRPr="006472AF">
        <w:rPr>
          <w:rFonts w:eastAsia="SimSun"/>
          <w:vertAlign w:val="superscript"/>
        </w:rPr>
        <w:t xml:space="preserve"> </w:t>
      </w:r>
      <w:bookmarkEnd w:id="1"/>
      <w:bookmarkEnd w:id="2"/>
      <w:bookmarkEnd w:id="3"/>
      <w:bookmarkEnd w:id="4"/>
      <w:bookmarkEnd w:id="5"/>
      <w:bookmarkEnd w:id="6"/>
      <w:r w:rsidRPr="006472AF">
        <w:rPr>
          <w:rFonts w:eastAsia="SimSun"/>
        </w:rPr>
        <w:t>Ibid.</w:t>
      </w:r>
    </w:p>
  </w:endnote>
  <w:endnote w:id="7">
    <w:p w14:paraId="7DA06997" w14:textId="0FED8446" w:rsidR="0012024C" w:rsidRPr="006472AF" w:rsidRDefault="0012024C" w:rsidP="006472AF">
      <w:pPr>
        <w:pStyle w:val="Footnote"/>
      </w:pPr>
      <w:r w:rsidRPr="006472AF">
        <w:rPr>
          <w:rStyle w:val="EndnoteReference"/>
        </w:rPr>
        <w:endnoteRef/>
      </w:r>
      <w:r w:rsidRPr="006472AF">
        <w:t xml:space="preserve"> Ibid.</w:t>
      </w:r>
    </w:p>
  </w:endnote>
  <w:endnote w:id="8">
    <w:p w14:paraId="0DFFC17E" w14:textId="39F1FDDF" w:rsidR="0012024C" w:rsidRPr="006472AF" w:rsidRDefault="0012024C" w:rsidP="006472AF">
      <w:pPr>
        <w:pStyle w:val="Footnote"/>
      </w:pPr>
      <w:r w:rsidRPr="006472AF">
        <w:rPr>
          <w:rStyle w:val="EndnoteReference"/>
        </w:rPr>
        <w:endnoteRef/>
      </w:r>
      <w:r w:rsidRPr="006472AF">
        <w:t xml:space="preserve"> </w:t>
      </w:r>
      <w:r>
        <w:t>I</w:t>
      </w:r>
      <w:r w:rsidRPr="006472AF">
        <w:t>bid.</w:t>
      </w:r>
    </w:p>
  </w:endnote>
  <w:endnote w:id="9">
    <w:p w14:paraId="27AEA729" w14:textId="719591EF" w:rsidR="0012024C" w:rsidRPr="006472AF" w:rsidRDefault="0012024C" w:rsidP="006472AF">
      <w:pPr>
        <w:pStyle w:val="Footnote"/>
      </w:pPr>
      <w:r w:rsidRPr="006472AF">
        <w:rPr>
          <w:rStyle w:val="EndnoteReference"/>
        </w:rPr>
        <w:endnoteRef/>
      </w:r>
      <w:r w:rsidRPr="006472AF">
        <w:t xml:space="preserve"> </w:t>
      </w:r>
      <w:bookmarkStart w:id="7" w:name="OLE_LINK30"/>
      <w:bookmarkStart w:id="8" w:name="OLE_LINK31"/>
      <w:r w:rsidRPr="006472AF">
        <w:t xml:space="preserve">Parkin, </w:t>
      </w:r>
      <w:bookmarkEnd w:id="7"/>
      <w:bookmarkEnd w:id="8"/>
      <w:r>
        <w:t xml:space="preserve">op. cit. </w:t>
      </w:r>
    </w:p>
  </w:endnote>
  <w:endnote w:id="10">
    <w:p w14:paraId="724FA60F" w14:textId="21210A85" w:rsidR="0012024C" w:rsidRPr="006472AF" w:rsidRDefault="0012024C" w:rsidP="006472AF">
      <w:pPr>
        <w:pStyle w:val="Footnote"/>
      </w:pPr>
      <w:r w:rsidRPr="006472AF">
        <w:rPr>
          <w:rStyle w:val="EndnoteReference"/>
        </w:rPr>
        <w:endnoteRef/>
      </w:r>
      <w:r w:rsidRPr="006472AF">
        <w:t xml:space="preserve"> Nintendo Co., Ltd, </w:t>
      </w:r>
      <w:r w:rsidRPr="00F23EAA">
        <w:rPr>
          <w:i/>
        </w:rPr>
        <w:t>Consolidated Sales Transition by Region</w:t>
      </w:r>
      <w:r w:rsidRPr="006472AF">
        <w:t xml:space="preserve">, June 30, 2016, accessed September 10, 2016, </w:t>
      </w:r>
      <w:hyperlink r:id="rId2" w:history="1">
        <w:r w:rsidRPr="00F23EAA">
          <w:t>www.nintendo.co.jp/ir/library/historical_data/pdf/consolidated_sales_e1506.pdf</w:t>
        </w:r>
      </w:hyperlink>
      <w:r w:rsidRPr="0085125E">
        <w:t>.</w:t>
      </w:r>
    </w:p>
  </w:endnote>
  <w:endnote w:id="11">
    <w:p w14:paraId="74A2894E" w14:textId="402AF4E8" w:rsidR="0012024C" w:rsidRPr="006472AF" w:rsidRDefault="0012024C" w:rsidP="006472AF">
      <w:pPr>
        <w:pStyle w:val="Footnote"/>
      </w:pPr>
      <w:r w:rsidRPr="007B2909">
        <w:rPr>
          <w:rStyle w:val="EndnoteReference"/>
        </w:rPr>
        <w:endnoteRef/>
      </w:r>
      <w:r w:rsidRPr="00F23EAA">
        <w:t xml:space="preserve"> </w:t>
      </w:r>
      <w:r>
        <w:t xml:space="preserve">Ibid. </w:t>
      </w:r>
    </w:p>
  </w:endnote>
  <w:endnote w:id="12">
    <w:p w14:paraId="190BFAF8" w14:textId="139AE76E" w:rsidR="0012024C" w:rsidRPr="004D1398" w:rsidRDefault="0012024C" w:rsidP="00F23EAA">
      <w:pPr>
        <w:pStyle w:val="Footnote"/>
      </w:pPr>
      <w:r>
        <w:rPr>
          <w:rStyle w:val="EndnoteReference"/>
        </w:rPr>
        <w:endnoteRef/>
      </w:r>
      <w:r>
        <w:t xml:space="preserve"> Nick Robinson, “How Hiroshi Yamauchi and Nintendo Changed the World,” The Conversation, September 20, 2013, accessed May 16, 2018, </w:t>
      </w:r>
      <w:r w:rsidRPr="004D1398">
        <w:t>https://theconversation.com/how-hiroshi-yamauchi-and-nintendo-changed-the-world-18434</w:t>
      </w:r>
      <w:r>
        <w:t>.</w:t>
      </w:r>
    </w:p>
  </w:endnote>
  <w:endnote w:id="13">
    <w:p w14:paraId="1A7A58EB" w14:textId="0BDC11E7" w:rsidR="0012024C" w:rsidRPr="006472AF" w:rsidRDefault="0012024C" w:rsidP="006472AF">
      <w:pPr>
        <w:pStyle w:val="Footnote"/>
      </w:pPr>
      <w:r w:rsidRPr="007B2909">
        <w:rPr>
          <w:rStyle w:val="EndnoteReference"/>
        </w:rPr>
        <w:endnoteRef/>
      </w:r>
      <w:r w:rsidRPr="006472AF">
        <w:t xml:space="preserve"> </w:t>
      </w:r>
      <w:hyperlink r:id="rId3" w:history="1">
        <w:r w:rsidRPr="006472AF">
          <w:rPr>
            <w:rStyle w:val="Hyperlink"/>
            <w:color w:val="auto"/>
            <w:u w:val="none"/>
          </w:rPr>
          <w:t>Rob Fahey</w:t>
        </w:r>
      </w:hyperlink>
      <w:r w:rsidRPr="006472AF">
        <w:t>, “The Nintendo Difference</w:t>
      </w:r>
      <w:r>
        <w:t>: Why the Patriarch of Gaming will Never Follow Sega’s Path</w:t>
      </w:r>
      <w:r w:rsidRPr="006472AF">
        <w:t xml:space="preserve">,” </w:t>
      </w:r>
      <w:r>
        <w:t xml:space="preserve">gamesindustry.biz, </w:t>
      </w:r>
      <w:r w:rsidRPr="006472AF">
        <w:t>December 14, 2006, accessed December 21, 2017, www.gamesindustry.biz/articles/the-nintendo-difference.</w:t>
      </w:r>
    </w:p>
  </w:endnote>
  <w:endnote w:id="14">
    <w:p w14:paraId="62B1F248" w14:textId="4DBD6306" w:rsidR="0012024C" w:rsidRPr="006472AF" w:rsidRDefault="0012024C" w:rsidP="006472AF">
      <w:pPr>
        <w:pStyle w:val="Footnote"/>
      </w:pPr>
      <w:r w:rsidRPr="007B2909">
        <w:rPr>
          <w:rStyle w:val="EndnoteReference"/>
        </w:rPr>
        <w:endnoteRef/>
      </w:r>
      <w:r w:rsidRPr="006472AF">
        <w:t xml:space="preserve"> Lucas Thomas, “</w:t>
      </w:r>
      <w:r w:rsidRPr="006472AF">
        <w:rPr>
          <w:rFonts w:eastAsiaTheme="minorEastAsia"/>
        </w:rPr>
        <w:t xml:space="preserve">Hiroshi Yamauchi: Nintendo's Legendary President,” IGN, May 24, 2012, </w:t>
      </w:r>
      <w:r w:rsidRPr="006472AF">
        <w:t>accessed October 28, 2016,</w:t>
      </w:r>
      <w:r w:rsidRPr="006472AF">
        <w:rPr>
          <w:rFonts w:eastAsia="SimSun"/>
        </w:rPr>
        <w:t xml:space="preserve"> </w:t>
      </w:r>
      <w:r w:rsidRPr="00BE2AF4">
        <w:t>http://ca.ign.com/articles/2012/05/25/hiroshi-yamauchi-nintendos-legendary-president</w:t>
      </w:r>
      <w:r>
        <w:t>.</w:t>
      </w:r>
    </w:p>
  </w:endnote>
  <w:endnote w:id="15">
    <w:p w14:paraId="5FA895DC" w14:textId="1F863B39" w:rsidR="0012024C" w:rsidRPr="006472AF" w:rsidRDefault="0012024C" w:rsidP="006472AF">
      <w:pPr>
        <w:pStyle w:val="Footnote"/>
      </w:pPr>
      <w:r w:rsidRPr="007B2909">
        <w:rPr>
          <w:rStyle w:val="EndnoteReference"/>
        </w:rPr>
        <w:endnoteRef/>
      </w:r>
      <w:r w:rsidRPr="006472AF">
        <w:t xml:space="preserve"> </w:t>
      </w:r>
      <w:r w:rsidRPr="00E9417C">
        <w:rPr>
          <w:spacing w:val="-6"/>
        </w:rPr>
        <w:t xml:space="preserve">Gavin Blair, “Nintendo Visionary, Hiroshi Yamauchi, Who Gave the World Mario, Donkey Kong and the Game Boy Dies Aged 85,” </w:t>
      </w:r>
      <w:r w:rsidRPr="00E9417C">
        <w:rPr>
          <w:i/>
          <w:spacing w:val="-6"/>
        </w:rPr>
        <w:t>Independent</w:t>
      </w:r>
      <w:r w:rsidRPr="00E9417C">
        <w:rPr>
          <w:rFonts w:eastAsia="SimSun"/>
          <w:spacing w:val="-6"/>
        </w:rPr>
        <w:t>,</w:t>
      </w:r>
      <w:r w:rsidRPr="00E9417C">
        <w:rPr>
          <w:spacing w:val="-6"/>
        </w:rPr>
        <w:t xml:space="preserve"> September 19, 2013, accessed September 10, 2016, </w:t>
      </w:r>
      <w:bookmarkStart w:id="9" w:name="OLE_LINK15"/>
      <w:bookmarkStart w:id="10" w:name="OLE_LINK16"/>
      <w:r w:rsidRPr="00E9417C">
        <w:rPr>
          <w:spacing w:val="-6"/>
        </w:rPr>
        <w:fldChar w:fldCharType="begin"/>
      </w:r>
      <w:r w:rsidRPr="00E9417C">
        <w:rPr>
          <w:spacing w:val="-6"/>
        </w:rPr>
        <w:instrText xml:space="preserve"> HYPERLINK "http://www.independent.co.uk/life-style/gadgets-and-tech/news/nintendo-visionary-hiroshi-yamauchi-who-gave-the-world-mario-donkey-kong-and-the-game-boy-dies-aged-8826666.html" </w:instrText>
      </w:r>
      <w:r w:rsidRPr="00E9417C">
        <w:rPr>
          <w:spacing w:val="-6"/>
        </w:rPr>
        <w:fldChar w:fldCharType="separate"/>
      </w:r>
      <w:r w:rsidRPr="00E9417C">
        <w:rPr>
          <w:spacing w:val="-6"/>
        </w:rPr>
        <w:t>www.independent.co.uk/life-style/gadgets-and-tech/news/nintendo-visionary-hiroshi-yamauchi-who-gave-the-world-mario-donkey-kong-and-the-game-boy-dies-aged-8826666.html</w:t>
      </w:r>
      <w:bookmarkEnd w:id="9"/>
      <w:bookmarkEnd w:id="10"/>
      <w:r w:rsidRPr="00E9417C">
        <w:rPr>
          <w:spacing w:val="-6"/>
        </w:rPr>
        <w:fldChar w:fldCharType="end"/>
      </w:r>
      <w:r w:rsidRPr="00E9417C">
        <w:rPr>
          <w:rFonts w:eastAsia="SimSun"/>
          <w:spacing w:val="-6"/>
        </w:rPr>
        <w:t>.</w:t>
      </w:r>
    </w:p>
  </w:endnote>
  <w:endnote w:id="16">
    <w:p w14:paraId="618A13BA" w14:textId="57035794" w:rsidR="0012024C" w:rsidRPr="006472AF" w:rsidRDefault="0012024C" w:rsidP="006472AF">
      <w:pPr>
        <w:pStyle w:val="Footnote"/>
      </w:pPr>
      <w:r w:rsidRPr="007B2909">
        <w:rPr>
          <w:rStyle w:val="EndnoteReference"/>
        </w:rPr>
        <w:endnoteRef/>
      </w:r>
      <w:r w:rsidRPr="007704DF">
        <w:t xml:space="preserve"> </w:t>
      </w:r>
      <w:r>
        <w:t>“</w:t>
      </w:r>
      <w:r w:rsidRPr="006472AF">
        <w:t xml:space="preserve">Q&amp;A: Shigeru Miyamoto </w:t>
      </w:r>
      <w:r>
        <w:t>o</w:t>
      </w:r>
      <w:r w:rsidRPr="006472AF">
        <w:t xml:space="preserve">n the Origins </w:t>
      </w:r>
      <w:r>
        <w:t>o</w:t>
      </w:r>
      <w:r w:rsidRPr="006472AF">
        <w:t>f Nintendo</w:t>
      </w:r>
      <w:r>
        <w:t>’</w:t>
      </w:r>
      <w:r w:rsidRPr="006472AF">
        <w:t>s Famous Characters,</w:t>
      </w:r>
      <w:r>
        <w:t>” NPR,</w:t>
      </w:r>
      <w:r w:rsidRPr="006472AF">
        <w:t xml:space="preserve"> June 19, 2015, accessed December 19, 2017, www.npr.org/sections/alltechconsidered/2015/06/19/415568892/q-a-shigeru-miyamoto-on-the-origins-of-nintendos-famous-characters.</w:t>
      </w:r>
    </w:p>
  </w:endnote>
  <w:endnote w:id="17">
    <w:p w14:paraId="0923BB9D" w14:textId="2289D253" w:rsidR="0012024C" w:rsidRPr="006472AF" w:rsidRDefault="0012024C" w:rsidP="006472AF">
      <w:pPr>
        <w:pStyle w:val="Footnote"/>
      </w:pPr>
      <w:r w:rsidRPr="007B2909">
        <w:rPr>
          <w:rStyle w:val="EndnoteReference"/>
        </w:rPr>
        <w:endnoteRef/>
      </w:r>
      <w:r w:rsidRPr="006472AF">
        <w:t xml:space="preserve"> Hiroko Tabuchi, “Hiroshi Yamauchi, Who Steered Nintendo to Dominance, Dies at 85,” </w:t>
      </w:r>
      <w:r w:rsidRPr="007704DF">
        <w:rPr>
          <w:i/>
        </w:rPr>
        <w:t>New York Times</w:t>
      </w:r>
      <w:r w:rsidRPr="006472AF">
        <w:t xml:space="preserve">, September 19, 2013, accessed October 28, 2016. </w:t>
      </w:r>
      <w:hyperlink r:id="rId4" w:history="1">
        <w:r w:rsidRPr="007704DF">
          <w:t>www.nytimes.com/2013/09/20/business/global/hiroshi-yamauchi-who-helped-drive-nintendo-into-dominance-dies-at-85.html</w:t>
        </w:r>
      </w:hyperlink>
      <w:r w:rsidRPr="006F0D24">
        <w:t>.</w:t>
      </w:r>
    </w:p>
  </w:endnote>
  <w:endnote w:id="18">
    <w:p w14:paraId="3AE11EDF" w14:textId="4281D970" w:rsidR="0012024C" w:rsidRPr="006472AF" w:rsidRDefault="0012024C" w:rsidP="006472AF">
      <w:pPr>
        <w:pStyle w:val="Footnote"/>
      </w:pPr>
      <w:r w:rsidRPr="007B2909">
        <w:rPr>
          <w:rStyle w:val="EndnoteReference"/>
        </w:rPr>
        <w:endnoteRef/>
      </w:r>
      <w:r w:rsidRPr="006472AF">
        <w:t xml:space="preserve"> </w:t>
      </w:r>
      <w:bookmarkStart w:id="11" w:name="OLE_LINK64"/>
      <w:bookmarkStart w:id="12" w:name="OLE_LINK65"/>
      <w:bookmarkStart w:id="13" w:name="OLE_LINK66"/>
      <w:bookmarkStart w:id="14" w:name="OLE_LINK67"/>
      <w:bookmarkStart w:id="15" w:name="OLE_LINK62"/>
      <w:bookmarkStart w:id="16" w:name="OLE_LINK63"/>
      <w:r w:rsidRPr="006472AF">
        <w:t>Takuya Kura, “Nintendo</w:t>
      </w:r>
      <w:r>
        <w:t>’</w:t>
      </w:r>
      <w:r w:rsidRPr="006472AF">
        <w:t>s Success and Failure</w:t>
      </w:r>
      <w:r>
        <w:t xml:space="preserve"> [in Japanese],”</w:t>
      </w:r>
      <w:r w:rsidRPr="006472AF">
        <w:t xml:space="preserve"> Doshisha University Graduate School of Business, December 1, 2006, accessed September 10, 2016, </w:t>
      </w:r>
      <w:bookmarkStart w:id="17" w:name="OLE_LINK13"/>
      <w:bookmarkStart w:id="18" w:name="OLE_LINK14"/>
      <w:r w:rsidRPr="006472AF">
        <w:fldChar w:fldCharType="begin"/>
      </w:r>
      <w:r w:rsidRPr="006472AF">
        <w:instrText xml:space="preserve"> HYPERLINK "http://bs.doshisha.ac.jp/attach/page/BUSINESS-PAGE-JA-24/26575/file/Kura-06-01-CS-Final-DBCase.pdf" </w:instrText>
      </w:r>
      <w:r w:rsidRPr="006472AF">
        <w:fldChar w:fldCharType="separate"/>
      </w:r>
      <w:r w:rsidRPr="006472AF">
        <w:rPr>
          <w:rStyle w:val="Hyperlink"/>
          <w:color w:val="auto"/>
          <w:u w:val="none"/>
        </w:rPr>
        <w:t>http://bs.doshisha.ac.jp/attach/page/BUSINESS-PAGE-JA-24/26575/file/Kura-06-01-CS-Final-DBCase.pdf</w:t>
      </w:r>
      <w:r w:rsidRPr="006472AF">
        <w:rPr>
          <w:rStyle w:val="Hyperlink"/>
          <w:color w:val="auto"/>
          <w:u w:val="none"/>
        </w:rPr>
        <w:fldChar w:fldCharType="end"/>
      </w:r>
      <w:bookmarkEnd w:id="17"/>
      <w:bookmarkEnd w:id="18"/>
      <w:r w:rsidRPr="006472AF">
        <w:rPr>
          <w:rStyle w:val="Hyperlink"/>
          <w:color w:val="auto"/>
          <w:u w:val="none"/>
        </w:rPr>
        <w:t>.</w:t>
      </w:r>
      <w:bookmarkEnd w:id="11"/>
      <w:bookmarkEnd w:id="12"/>
      <w:bookmarkEnd w:id="13"/>
      <w:bookmarkEnd w:id="14"/>
      <w:bookmarkEnd w:id="15"/>
      <w:bookmarkEnd w:id="16"/>
    </w:p>
  </w:endnote>
  <w:endnote w:id="19">
    <w:p w14:paraId="696A2AA0" w14:textId="4B023947" w:rsidR="0012024C" w:rsidRPr="006472AF" w:rsidRDefault="0012024C" w:rsidP="006472AF">
      <w:pPr>
        <w:pStyle w:val="Footnote"/>
      </w:pPr>
      <w:r w:rsidRPr="007B2909">
        <w:rPr>
          <w:rStyle w:val="EndnoteReference"/>
        </w:rPr>
        <w:endnoteRef/>
      </w:r>
      <w:r w:rsidRPr="006472AF">
        <w:t xml:space="preserve"> Ibid.</w:t>
      </w:r>
      <w:r>
        <w:t xml:space="preserve"> </w:t>
      </w:r>
    </w:p>
  </w:endnote>
  <w:endnote w:id="20">
    <w:p w14:paraId="28F21F42" w14:textId="334D4CD5" w:rsidR="0012024C" w:rsidRPr="006472AF" w:rsidRDefault="0012024C" w:rsidP="006472AF">
      <w:pPr>
        <w:pStyle w:val="Footnote"/>
      </w:pPr>
      <w:r w:rsidRPr="007B2909">
        <w:rPr>
          <w:rStyle w:val="EndnoteReference"/>
        </w:rPr>
        <w:endnoteRef/>
      </w:r>
      <w:r w:rsidRPr="006472AF">
        <w:t xml:space="preserve"> </w:t>
      </w:r>
      <w:r>
        <w:t>Henk Rogers</w:t>
      </w:r>
      <w:r w:rsidRPr="006472AF">
        <w:t>, “</w:t>
      </w:r>
      <w:r>
        <w:t>Remembering My Friend, Hiroshi Yamauchi</w:t>
      </w:r>
      <w:r w:rsidRPr="006472AF">
        <w:t xml:space="preserve">,” </w:t>
      </w:r>
      <w:r w:rsidRPr="003725A1">
        <w:t>Wired,</w:t>
      </w:r>
      <w:r w:rsidRPr="006472AF">
        <w:t xml:space="preserve"> </w:t>
      </w:r>
      <w:r>
        <w:t>October</w:t>
      </w:r>
      <w:r w:rsidRPr="006472AF">
        <w:t xml:space="preserve"> </w:t>
      </w:r>
      <w:r>
        <w:t>1</w:t>
      </w:r>
      <w:r w:rsidRPr="006472AF">
        <w:t xml:space="preserve">, </w:t>
      </w:r>
      <w:r>
        <w:t>2013</w:t>
      </w:r>
      <w:r w:rsidRPr="006472AF">
        <w:t xml:space="preserve">, accessed </w:t>
      </w:r>
      <w:r>
        <w:t>May</w:t>
      </w:r>
      <w:r w:rsidRPr="006472AF">
        <w:t xml:space="preserve"> 2</w:t>
      </w:r>
      <w:r>
        <w:t>5</w:t>
      </w:r>
      <w:r w:rsidRPr="006472AF">
        <w:t>, 201</w:t>
      </w:r>
      <w:r>
        <w:t>8</w:t>
      </w:r>
      <w:r w:rsidRPr="006472AF">
        <w:t xml:space="preserve">, </w:t>
      </w:r>
      <w:r w:rsidRPr="00A70836">
        <w:t>www.wired.com/2013/10/hiroshi-yamauchi-henk-rogers/</w:t>
      </w:r>
      <w:r w:rsidRPr="006472AF">
        <w:t>.</w:t>
      </w:r>
    </w:p>
  </w:endnote>
  <w:endnote w:id="21">
    <w:p w14:paraId="6BA5E65D" w14:textId="02317A6C" w:rsidR="0012024C" w:rsidRPr="006472AF" w:rsidRDefault="0012024C" w:rsidP="006472AF">
      <w:pPr>
        <w:pStyle w:val="Footnote"/>
      </w:pPr>
      <w:r w:rsidRPr="007B2909">
        <w:rPr>
          <w:rStyle w:val="EndnoteReference"/>
        </w:rPr>
        <w:endnoteRef/>
      </w:r>
      <w:r w:rsidRPr="006472AF">
        <w:t xml:space="preserve"> </w:t>
      </w:r>
      <w:bookmarkStart w:id="19" w:name="OLE_LINK25"/>
      <w:bookmarkStart w:id="20" w:name="OLE_LINK26"/>
      <w:bookmarkStart w:id="21" w:name="OLE_LINK27"/>
      <w:bookmarkStart w:id="22" w:name="OLE_LINK54"/>
      <w:bookmarkStart w:id="23" w:name="OLE_LINK55"/>
      <w:r w:rsidRPr="006472AF">
        <w:t>Jeton Grajqevci, “Profile: Hiroshi Yamauchi</w:t>
      </w:r>
      <w:r>
        <w:t>,</w:t>
      </w:r>
      <w:r w:rsidRPr="006472AF">
        <w:t xml:space="preserve"> </w:t>
      </w:r>
      <w:r>
        <w:t>T</w:t>
      </w:r>
      <w:r w:rsidRPr="006472AF">
        <w:t xml:space="preserve">he Mind behind the Empire,” N-sider, April 16, 2001, accessed September 10, 2016, </w:t>
      </w:r>
      <w:r w:rsidRPr="0012024C">
        <w:t>https://www.nsidr.com/archive/profile-hiroshi-yamauchi</w:t>
      </w:r>
      <w:r w:rsidRPr="00B15A44">
        <w:t>.</w:t>
      </w:r>
      <w:bookmarkEnd w:id="19"/>
      <w:bookmarkEnd w:id="20"/>
      <w:bookmarkEnd w:id="21"/>
      <w:bookmarkEnd w:id="22"/>
      <w:bookmarkEnd w:id="23"/>
    </w:p>
  </w:endnote>
  <w:endnote w:id="22">
    <w:p w14:paraId="56837140" w14:textId="0EE6E1B4" w:rsidR="0012024C" w:rsidRPr="006472AF" w:rsidRDefault="0012024C" w:rsidP="006472AF">
      <w:pPr>
        <w:pStyle w:val="Footnote"/>
      </w:pPr>
      <w:r w:rsidRPr="007B2909">
        <w:rPr>
          <w:rStyle w:val="EndnoteReference"/>
        </w:rPr>
        <w:endnoteRef/>
      </w:r>
      <w:r w:rsidRPr="006472AF">
        <w:t xml:space="preserve"> </w:t>
      </w:r>
      <w:r>
        <w:t xml:space="preserve">Rick, Editor in Chief, </w:t>
      </w:r>
      <w:r w:rsidRPr="006472AF">
        <w:t>“</w:t>
      </w:r>
      <w:r>
        <w:t>NOA’s Minoru Arakawa Retiring</w:t>
      </w:r>
      <w:r w:rsidRPr="006472AF">
        <w:rPr>
          <w:rFonts w:eastAsiaTheme="minorEastAsia"/>
        </w:rPr>
        <w:t xml:space="preserve">,” </w:t>
      </w:r>
      <w:r>
        <w:rPr>
          <w:rFonts w:eastAsiaTheme="minorEastAsia"/>
        </w:rPr>
        <w:t>GameCubicle, January 8, 2002</w:t>
      </w:r>
      <w:r w:rsidRPr="006472AF">
        <w:rPr>
          <w:rFonts w:eastAsiaTheme="minorEastAsia"/>
        </w:rPr>
        <w:t>,</w:t>
      </w:r>
      <w:r w:rsidRPr="006472AF">
        <w:t xml:space="preserve"> accessed </w:t>
      </w:r>
      <w:r>
        <w:t>May 25, 2018</w:t>
      </w:r>
      <w:r w:rsidRPr="006472AF">
        <w:t xml:space="preserve">, </w:t>
      </w:r>
      <w:bookmarkStart w:id="24" w:name="OLE_LINK23"/>
      <w:bookmarkStart w:id="25" w:name="OLE_LINK24"/>
      <w:r w:rsidRPr="00E44B2B">
        <w:t>www.gamecubicle.com/news-nintendo_minoru_arakawa_retire.htm</w:t>
      </w:r>
      <w:bookmarkEnd w:id="24"/>
      <w:bookmarkEnd w:id="25"/>
      <w:r w:rsidRPr="006472AF">
        <w:t>.</w:t>
      </w:r>
    </w:p>
  </w:endnote>
  <w:endnote w:id="23">
    <w:p w14:paraId="0B9C7AA5" w14:textId="74C1354C" w:rsidR="0012024C" w:rsidRPr="006472AF" w:rsidRDefault="0012024C" w:rsidP="006472AF">
      <w:pPr>
        <w:pStyle w:val="Footnote"/>
      </w:pPr>
      <w:r w:rsidRPr="007B2909">
        <w:rPr>
          <w:rStyle w:val="EndnoteReference"/>
        </w:rPr>
        <w:endnoteRef/>
      </w:r>
      <w:r w:rsidRPr="006472AF">
        <w:t xml:space="preserve"> </w:t>
      </w:r>
      <w:r w:rsidRPr="00B45E21">
        <w:t>Blake J. Harris, “</w:t>
      </w:r>
      <w:r w:rsidRPr="00B45E21">
        <w:rPr>
          <w:rFonts w:eastAsiaTheme="minorEastAsia"/>
        </w:rPr>
        <w:t>The Rise of Nintendo: A Story in 8 Bits,” Grantland, May 14, 2014,</w:t>
      </w:r>
      <w:r w:rsidRPr="00B45E21">
        <w:t xml:space="preserve"> accessed October 31, 2016, </w:t>
      </w:r>
      <w:hyperlink r:id="rId5" w:history="1">
        <w:r w:rsidRPr="00B45E21">
          <w:rPr>
            <w:rStyle w:val="Hyperlink"/>
            <w:color w:val="auto"/>
            <w:u w:val="none"/>
          </w:rPr>
          <w:t>http://grantland.com/features/the-rise-of-nintendo-video-games-history/</w:t>
        </w:r>
      </w:hyperlink>
      <w:r w:rsidRPr="00B45E21">
        <w:t>.</w:t>
      </w:r>
    </w:p>
  </w:endnote>
  <w:endnote w:id="24">
    <w:p w14:paraId="0D19CFFB" w14:textId="2F5C4032" w:rsidR="0012024C" w:rsidRPr="006472AF" w:rsidRDefault="0012024C" w:rsidP="006472AF">
      <w:pPr>
        <w:pStyle w:val="Footnote"/>
      </w:pPr>
      <w:r w:rsidRPr="007B2909">
        <w:rPr>
          <w:rStyle w:val="EndnoteReference"/>
        </w:rPr>
        <w:endnoteRef/>
      </w:r>
      <w:r w:rsidRPr="007B2909">
        <w:rPr>
          <w:vertAlign w:val="superscript"/>
        </w:rPr>
        <w:t xml:space="preserve"> </w:t>
      </w:r>
      <w:r w:rsidRPr="006472AF">
        <w:t>Ibid.</w:t>
      </w:r>
      <w:r w:rsidRPr="00C34044">
        <w:t xml:space="preserve"> </w:t>
      </w:r>
    </w:p>
  </w:endnote>
  <w:endnote w:id="25">
    <w:p w14:paraId="324C80F7" w14:textId="3F3220A1" w:rsidR="0012024C" w:rsidRPr="00B45E21" w:rsidRDefault="0012024C" w:rsidP="006472AF">
      <w:pPr>
        <w:pStyle w:val="Footnote"/>
      </w:pPr>
      <w:r w:rsidRPr="007B2909">
        <w:rPr>
          <w:rStyle w:val="EndnoteReference"/>
        </w:rPr>
        <w:endnoteRef/>
      </w:r>
      <w:r w:rsidRPr="006472AF">
        <w:t xml:space="preserve"> “Outrageous Fortunes: Nintendo</w:t>
      </w:r>
      <w:r>
        <w:t xml:space="preserve"> – Legendado Parte 4/6</w:t>
      </w:r>
      <w:r w:rsidRPr="006472AF">
        <w:t xml:space="preserve">,” </w:t>
      </w:r>
      <w:r>
        <w:t xml:space="preserve">YouTube video, 9:44, </w:t>
      </w:r>
      <w:r w:rsidRPr="006472AF">
        <w:t>BBC One</w:t>
      </w:r>
      <w:r>
        <w:t xml:space="preserve"> documentary</w:t>
      </w:r>
      <w:r w:rsidRPr="006472AF">
        <w:t xml:space="preserve">, </w:t>
      </w:r>
      <w:r>
        <w:t xml:space="preserve">posted by “Angarato </w:t>
      </w:r>
      <w:r w:rsidRPr="00B45E21">
        <w:t>Tasartir,</w:t>
      </w:r>
      <w:r>
        <w:t>”</w:t>
      </w:r>
      <w:r w:rsidRPr="00B45E21">
        <w:t xml:space="preserve"> August 14, 2014, </w:t>
      </w:r>
      <w:bookmarkStart w:id="26" w:name="OLE_LINK28"/>
      <w:bookmarkStart w:id="27" w:name="OLE_LINK29"/>
      <w:r w:rsidRPr="00B45E21">
        <w:t>accessed September 10, 2016</w:t>
      </w:r>
      <w:r w:rsidRPr="00B45E21">
        <w:rPr>
          <w:rFonts w:eastAsia="SimSun"/>
        </w:rPr>
        <w:t xml:space="preserve">, </w:t>
      </w:r>
      <w:r w:rsidRPr="00371526">
        <w:rPr>
          <w:rFonts w:eastAsia="SimSun"/>
        </w:rPr>
        <w:t>https://youtu.be/Cg_F8LcVqDc</w:t>
      </w:r>
      <w:bookmarkEnd w:id="26"/>
      <w:bookmarkEnd w:id="27"/>
      <w:r w:rsidRPr="00B45E21">
        <w:t>.</w:t>
      </w:r>
    </w:p>
  </w:endnote>
  <w:endnote w:id="26">
    <w:p w14:paraId="3BFC40B9" w14:textId="01178B1F" w:rsidR="0012024C" w:rsidRPr="00B45E21" w:rsidRDefault="0012024C" w:rsidP="006472AF">
      <w:pPr>
        <w:pStyle w:val="Footnote"/>
      </w:pPr>
      <w:r w:rsidRPr="00B45E21">
        <w:rPr>
          <w:rStyle w:val="EndnoteReference"/>
        </w:rPr>
        <w:endnoteRef/>
      </w:r>
      <w:r w:rsidRPr="00B45E21">
        <w:t xml:space="preserve"> Ibid. </w:t>
      </w:r>
    </w:p>
  </w:endnote>
  <w:endnote w:id="27">
    <w:p w14:paraId="574BCD80" w14:textId="06A4FBB3" w:rsidR="0012024C" w:rsidRPr="006472AF" w:rsidRDefault="0012024C" w:rsidP="006472AF">
      <w:pPr>
        <w:pStyle w:val="Footnote"/>
      </w:pPr>
      <w:r w:rsidRPr="00B45E21">
        <w:rPr>
          <w:rStyle w:val="EndnoteReference"/>
        </w:rPr>
        <w:endnoteRef/>
      </w:r>
      <w:r w:rsidRPr="00B45E21">
        <w:rPr>
          <w:vertAlign w:val="superscript"/>
        </w:rPr>
        <w:t xml:space="preserve"> </w:t>
      </w:r>
      <w:r w:rsidRPr="00B45E21">
        <w:t>Steven</w:t>
      </w:r>
      <w:r w:rsidRPr="006472AF">
        <w:t xml:space="preserve"> L. Kent, </w:t>
      </w:r>
      <w:r>
        <w:t>“</w:t>
      </w:r>
      <w:r w:rsidRPr="006472AF">
        <w:t xml:space="preserve">Nintendo’s Arakawa </w:t>
      </w:r>
      <w:r>
        <w:t>S</w:t>
      </w:r>
      <w:r w:rsidRPr="006472AF">
        <w:t xml:space="preserve">urprises with </w:t>
      </w:r>
      <w:r>
        <w:t>R</w:t>
      </w:r>
      <w:r w:rsidRPr="006472AF">
        <w:t xml:space="preserve">etirement </w:t>
      </w:r>
      <w:r>
        <w:t>A</w:t>
      </w:r>
      <w:r w:rsidRPr="006472AF">
        <w:t>nnouncement,</w:t>
      </w:r>
      <w:r>
        <w:t>”</w:t>
      </w:r>
      <w:r w:rsidRPr="006472AF">
        <w:t xml:space="preserve"> </w:t>
      </w:r>
      <w:r w:rsidRPr="009E7A51">
        <w:rPr>
          <w:i/>
        </w:rPr>
        <w:t>The Japan Times</w:t>
      </w:r>
      <w:r w:rsidRPr="006472AF">
        <w:t>, January 17, 2002, accessed June 30, 2017, www.japantimes.co.jp/life/2002/01/17/digital/nintendos-arakawa-surprises-with-retirement-announcement/#.WYF2JK2B0ck</w:t>
      </w:r>
      <w:r>
        <w:t>.</w:t>
      </w:r>
    </w:p>
  </w:endnote>
  <w:endnote w:id="28">
    <w:p w14:paraId="12178E9B" w14:textId="727418C6" w:rsidR="0012024C" w:rsidRPr="006472AF" w:rsidRDefault="0012024C" w:rsidP="006472AF">
      <w:pPr>
        <w:pStyle w:val="Footnote"/>
      </w:pPr>
      <w:r w:rsidRPr="007B2909">
        <w:rPr>
          <w:rStyle w:val="EndnoteReference"/>
        </w:rPr>
        <w:endnoteRef/>
      </w:r>
      <w:r w:rsidRPr="006472AF">
        <w:t xml:space="preserve"> </w:t>
      </w:r>
      <w:r>
        <w:t>“</w:t>
      </w:r>
      <w:r w:rsidRPr="006472AF">
        <w:rPr>
          <w:rFonts w:eastAsia="Calibri"/>
        </w:rPr>
        <w:t xml:space="preserve">Nintendo, The </w:t>
      </w:r>
      <w:r>
        <w:rPr>
          <w:rFonts w:eastAsia="Calibri"/>
        </w:rPr>
        <w:t>B</w:t>
      </w:r>
      <w:r w:rsidRPr="006472AF">
        <w:rPr>
          <w:rFonts w:eastAsia="Calibri"/>
        </w:rPr>
        <w:t xml:space="preserve">iggest </w:t>
      </w:r>
      <w:r>
        <w:rPr>
          <w:rFonts w:eastAsia="Calibri"/>
        </w:rPr>
        <w:t>M</w:t>
      </w:r>
      <w:r w:rsidRPr="006472AF">
        <w:rPr>
          <w:rFonts w:eastAsia="Calibri"/>
        </w:rPr>
        <w:t xml:space="preserve">ystery </w:t>
      </w:r>
      <w:r>
        <w:rPr>
          <w:rFonts w:eastAsia="Calibri"/>
        </w:rPr>
        <w:t>I</w:t>
      </w:r>
      <w:r w:rsidRPr="006472AF">
        <w:rPr>
          <w:rFonts w:eastAsia="Calibri"/>
        </w:rPr>
        <w:t xml:space="preserve">ncident: Problems </w:t>
      </w:r>
      <w:r>
        <w:rPr>
          <w:rFonts w:eastAsia="Calibri"/>
        </w:rPr>
        <w:t>A</w:t>
      </w:r>
      <w:r w:rsidRPr="006472AF">
        <w:rPr>
          <w:rFonts w:eastAsia="Calibri"/>
        </w:rPr>
        <w:t xml:space="preserve">rising from the </w:t>
      </w:r>
      <w:r>
        <w:rPr>
          <w:rFonts w:eastAsia="Calibri"/>
        </w:rPr>
        <w:t>D</w:t>
      </w:r>
      <w:r w:rsidRPr="006472AF">
        <w:rPr>
          <w:rFonts w:eastAsia="Calibri"/>
        </w:rPr>
        <w:t>eath of President Iwata</w:t>
      </w:r>
      <w:r>
        <w:rPr>
          <w:rFonts w:eastAsia="Calibri"/>
        </w:rPr>
        <w:t xml:space="preserve"> [in Japanese]</w:t>
      </w:r>
      <w:r w:rsidRPr="006472AF">
        <w:rPr>
          <w:rFonts w:eastAsia="Calibri"/>
        </w:rPr>
        <w:t>,</w:t>
      </w:r>
      <w:r>
        <w:rPr>
          <w:rFonts w:eastAsia="Calibri"/>
        </w:rPr>
        <w:t>”</w:t>
      </w:r>
      <w:r w:rsidRPr="006472AF">
        <w:rPr>
          <w:rFonts w:eastAsia="Calibri"/>
        </w:rPr>
        <w:t xml:space="preserve"> </w:t>
      </w:r>
      <w:r w:rsidRPr="009E7A51">
        <w:rPr>
          <w:rFonts w:eastAsia="Calibri"/>
          <w:i/>
        </w:rPr>
        <w:t>Business Journal</w:t>
      </w:r>
      <w:r w:rsidRPr="006472AF">
        <w:rPr>
          <w:rFonts w:eastAsia="Calibri"/>
        </w:rPr>
        <w:t xml:space="preserve">, July 17, 2015, </w:t>
      </w:r>
      <w:r w:rsidRPr="006472AF">
        <w:t>accessed July 27, 2017</w:t>
      </w:r>
      <w:r>
        <w:t xml:space="preserve">, </w:t>
      </w:r>
      <w:hyperlink r:id="rId6" w:history="1">
        <w:r w:rsidRPr="001A753C">
          <w:rPr>
            <w:rStyle w:val="Hyperlink"/>
            <w:color w:val="auto"/>
            <w:u w:val="none"/>
          </w:rPr>
          <w:t>http://biz-journal.jp/2015/07/post_10758.html</w:t>
        </w:r>
      </w:hyperlink>
      <w:r w:rsidRPr="006472AF">
        <w:t>.</w:t>
      </w:r>
    </w:p>
  </w:endnote>
  <w:endnote w:id="29">
    <w:p w14:paraId="2CC68163" w14:textId="4770C823" w:rsidR="0012024C" w:rsidRPr="006472AF" w:rsidRDefault="0012024C" w:rsidP="006472AF">
      <w:pPr>
        <w:pStyle w:val="Footnote"/>
      </w:pPr>
      <w:r w:rsidRPr="007B2909">
        <w:rPr>
          <w:rStyle w:val="EndnoteReference"/>
        </w:rPr>
        <w:endnoteRef/>
      </w:r>
      <w:r w:rsidRPr="006472AF">
        <w:t xml:space="preserve"> Rob Fahey, “Yamauchi to </w:t>
      </w:r>
      <w:r>
        <w:t>S</w:t>
      </w:r>
      <w:r w:rsidRPr="006472AF">
        <w:t xml:space="preserve">tep </w:t>
      </w:r>
      <w:r>
        <w:t>D</w:t>
      </w:r>
      <w:r w:rsidRPr="006472AF">
        <w:t xml:space="preserve">own from Nintendo </w:t>
      </w:r>
      <w:r>
        <w:t>B</w:t>
      </w:r>
      <w:r w:rsidRPr="006472AF">
        <w:t xml:space="preserve">oard in June,” </w:t>
      </w:r>
      <w:r>
        <w:t xml:space="preserve">gamesindustry.biz, </w:t>
      </w:r>
      <w:r w:rsidRPr="006472AF">
        <w:t>April 2</w:t>
      </w:r>
      <w:r>
        <w:t>8</w:t>
      </w:r>
      <w:r w:rsidRPr="006472AF">
        <w:t>, 2005, accessed December 21, 2017, www.gamesindustry.biz/articles/yamauchi-to-step-down-from-nintendo-board-in-june.</w:t>
      </w:r>
    </w:p>
  </w:endnote>
  <w:endnote w:id="30">
    <w:p w14:paraId="565E8BD4" w14:textId="345CEF0B" w:rsidR="0012024C" w:rsidRPr="006472AF" w:rsidRDefault="0012024C" w:rsidP="006472AF">
      <w:pPr>
        <w:pStyle w:val="Footnote"/>
      </w:pPr>
      <w:r w:rsidRPr="006F0D24">
        <w:rPr>
          <w:rStyle w:val="EndnoteReference"/>
        </w:rPr>
        <w:endnoteRef/>
      </w:r>
      <w:r w:rsidRPr="006472AF">
        <w:t xml:space="preserve"> </w:t>
      </w:r>
      <w:r>
        <w:t xml:space="preserve">Andrew Pollack, “Seeking a Turnaround with Souped-Up Machines and a Few New Games,” </w:t>
      </w:r>
      <w:r w:rsidRPr="00A91D3E">
        <w:rPr>
          <w:i/>
        </w:rPr>
        <w:t>New York Times</w:t>
      </w:r>
      <w:r>
        <w:t xml:space="preserve">, August 26, 1996, accessed May 25, 2018, </w:t>
      </w:r>
      <w:r w:rsidRPr="00371526">
        <w:t>https://www.nytimes.com/1996/08/26/business/seeking-a-turnaround-with-souped-up-machines-and-a-few-new-games.html</w:t>
      </w:r>
      <w:r>
        <w:t>.</w:t>
      </w:r>
    </w:p>
  </w:endnote>
  <w:endnote w:id="31">
    <w:p w14:paraId="04272E31" w14:textId="717DFB95" w:rsidR="0012024C" w:rsidRPr="006472AF" w:rsidRDefault="0012024C" w:rsidP="006472AF">
      <w:pPr>
        <w:pStyle w:val="Footnote"/>
      </w:pPr>
      <w:r w:rsidRPr="007B2909">
        <w:rPr>
          <w:rStyle w:val="EndnoteReference"/>
        </w:rPr>
        <w:endnoteRef/>
      </w:r>
      <w:r w:rsidRPr="006472AF">
        <w:t xml:space="preserve"> James Burns, “</w:t>
      </w:r>
      <w:r>
        <w:t xml:space="preserve">Profile: Satoru Iwata, </w:t>
      </w:r>
      <w:r w:rsidRPr="006472AF">
        <w:t xml:space="preserve">The Future of Nintendo,” N-Sider, September 28, 2003, accessed October 31, 2016, </w:t>
      </w:r>
      <w:hyperlink r:id="rId7" w:history="1">
        <w:r w:rsidRPr="001A753C">
          <w:t>www.n-sider.com/contentview.php?contentid=280</w:t>
        </w:r>
      </w:hyperlink>
      <w:r w:rsidRPr="006472AF">
        <w:t>.</w:t>
      </w:r>
    </w:p>
  </w:endnote>
  <w:endnote w:id="32">
    <w:p w14:paraId="6E23D009" w14:textId="1E2EC63B" w:rsidR="0012024C" w:rsidRPr="009E7A51" w:rsidRDefault="0012024C" w:rsidP="006472AF">
      <w:pPr>
        <w:pStyle w:val="Footnote"/>
        <w:rPr>
          <w:spacing w:val="-4"/>
        </w:rPr>
      </w:pPr>
      <w:r w:rsidRPr="009E7A51">
        <w:rPr>
          <w:rStyle w:val="EndnoteReference"/>
          <w:spacing w:val="-4"/>
        </w:rPr>
        <w:endnoteRef/>
      </w:r>
      <w:r w:rsidRPr="009E7A51">
        <w:rPr>
          <w:spacing w:val="-4"/>
        </w:rPr>
        <w:t xml:space="preserve"> </w:t>
      </w:r>
      <w:bookmarkStart w:id="28" w:name="OLE_LINK68"/>
      <w:bookmarkStart w:id="29" w:name="OLE_LINK69"/>
      <w:bookmarkStart w:id="30" w:name="OLE_LINK70"/>
      <w:r>
        <w:rPr>
          <w:spacing w:val="-4"/>
        </w:rPr>
        <w:t xml:space="preserve">Damien McFarran, “Retrospective: The Awkward Birth of the DS, Nintendo’s Most Successful System,” nintendolife, May 20, 2017, accessed May 25, 2018, </w:t>
      </w:r>
      <w:r w:rsidRPr="00A91D3E">
        <w:rPr>
          <w:spacing w:val="-4"/>
        </w:rPr>
        <w:t>www.nintendolife.com/news/2017/05/retrospective_the_awkward_birth_of_the_ds_nintendos_most_successful_system</w:t>
      </w:r>
      <w:r>
        <w:rPr>
          <w:spacing w:val="-4"/>
        </w:rPr>
        <w:t xml:space="preserve">. </w:t>
      </w:r>
      <w:bookmarkEnd w:id="28"/>
      <w:bookmarkEnd w:id="29"/>
      <w:bookmarkEnd w:id="30"/>
    </w:p>
  </w:endnote>
  <w:endnote w:id="33">
    <w:p w14:paraId="6EF0D8FC" w14:textId="00B22AE3" w:rsidR="0012024C" w:rsidRPr="006472AF" w:rsidRDefault="0012024C" w:rsidP="006472AF">
      <w:pPr>
        <w:pStyle w:val="Footnote"/>
      </w:pPr>
      <w:r w:rsidRPr="007B2909">
        <w:rPr>
          <w:rStyle w:val="EndnoteReference"/>
        </w:rPr>
        <w:endnoteRef/>
      </w:r>
      <w:bookmarkStart w:id="31" w:name="OLE_LINK34"/>
      <w:bookmarkStart w:id="32" w:name="OLE_LINK35"/>
      <w:bookmarkStart w:id="33" w:name="OLE_LINK36"/>
      <w:r>
        <w:t xml:space="preserve"> Kiyoe Minami</w:t>
      </w:r>
      <w:r w:rsidRPr="006472AF">
        <w:t xml:space="preserve">, “Japan’s </w:t>
      </w:r>
      <w:r>
        <w:t xml:space="preserve">40 </w:t>
      </w:r>
      <w:r w:rsidRPr="006472AF">
        <w:t xml:space="preserve">Richest,” </w:t>
      </w:r>
      <w:r w:rsidRPr="003F39F9">
        <w:t>Forbes</w:t>
      </w:r>
      <w:r>
        <w:t>.com</w:t>
      </w:r>
      <w:r w:rsidRPr="006472AF">
        <w:t>, Ju</w:t>
      </w:r>
      <w:r>
        <w:t>ne 7</w:t>
      </w:r>
      <w:r w:rsidRPr="006472AF">
        <w:t>, 200</w:t>
      </w:r>
      <w:r>
        <w:t>7</w:t>
      </w:r>
      <w:r w:rsidRPr="006472AF">
        <w:t xml:space="preserve">, accessed </w:t>
      </w:r>
      <w:r>
        <w:t>May 25, 2018</w:t>
      </w:r>
      <w:r w:rsidRPr="006472AF">
        <w:t xml:space="preserve">, </w:t>
      </w:r>
      <w:r w:rsidRPr="00A91D3E">
        <w:t>www.forbes.com/2007/06/06/biz_07japan_Japans-Richest_land.html#5bc61a4940b6</w:t>
      </w:r>
      <w:r>
        <w:t>.</w:t>
      </w:r>
      <w:bookmarkEnd w:id="31"/>
      <w:bookmarkEnd w:id="32"/>
      <w:bookmarkEnd w:id="33"/>
    </w:p>
  </w:endnote>
  <w:endnote w:id="34">
    <w:p w14:paraId="28C13528" w14:textId="12DB640E" w:rsidR="0012024C" w:rsidRPr="006472AF" w:rsidRDefault="0012024C" w:rsidP="006472AF">
      <w:pPr>
        <w:pStyle w:val="Footnote"/>
      </w:pPr>
      <w:r w:rsidRPr="007B2909">
        <w:rPr>
          <w:rStyle w:val="EndnoteReference"/>
        </w:rPr>
        <w:endnoteRef/>
      </w:r>
      <w:r w:rsidRPr="006472AF">
        <w:t xml:space="preserve"> Chris Kohler</w:t>
      </w:r>
      <w:r>
        <w:t>,</w:t>
      </w:r>
      <w:r w:rsidRPr="006472AF">
        <w:t xml:space="preserve"> </w:t>
      </w:r>
      <w:r>
        <w:t>“</w:t>
      </w:r>
      <w:r w:rsidRPr="006472AF">
        <w:t xml:space="preserve">Nintendo Chief Takes 50% Pay Cut </w:t>
      </w:r>
      <w:r>
        <w:t>a</w:t>
      </w:r>
      <w:r w:rsidRPr="006472AF">
        <w:t>fter 3DS Markdown,</w:t>
      </w:r>
      <w:r>
        <w:t>”</w:t>
      </w:r>
      <w:r w:rsidRPr="006472AF">
        <w:t xml:space="preserve"> </w:t>
      </w:r>
      <w:r w:rsidRPr="009E7A51">
        <w:rPr>
          <w:i/>
        </w:rPr>
        <w:t>Wired</w:t>
      </w:r>
      <w:r w:rsidRPr="006472AF">
        <w:t xml:space="preserve">, July 29, 2011, accessed December 20, 2017, </w:t>
      </w:r>
      <w:r w:rsidRPr="00A91D3E">
        <w:t>www.wired.com/2011/07/nintendo-satoru-iwata-pay-cut/</w:t>
      </w:r>
      <w:r w:rsidRPr="006472AF">
        <w:t xml:space="preserve">. </w:t>
      </w:r>
    </w:p>
  </w:endnote>
  <w:endnote w:id="35">
    <w:p w14:paraId="172111E1" w14:textId="1CA71ADB" w:rsidR="0012024C" w:rsidRPr="006472AF" w:rsidRDefault="0012024C" w:rsidP="006472AF">
      <w:pPr>
        <w:pStyle w:val="Footnote"/>
      </w:pPr>
      <w:r w:rsidRPr="007B2909">
        <w:rPr>
          <w:rStyle w:val="EndnoteReference"/>
        </w:rPr>
        <w:endnoteRef/>
      </w:r>
      <w:r w:rsidRPr="006472AF">
        <w:t xml:space="preserve"> </w:t>
      </w:r>
      <w:r>
        <w:t xml:space="preserve">Rick Lane, “To Protect or Serve,” IGN, March 2, 2012, accessed May 25, 2018, </w:t>
      </w:r>
      <w:r w:rsidRPr="00A91D3E">
        <w:t>www.ign.com/articles/2012/03/02/to-protect-or-serve</w:t>
      </w:r>
      <w:r>
        <w:t xml:space="preserve">. </w:t>
      </w:r>
    </w:p>
  </w:endnote>
  <w:endnote w:id="36">
    <w:p w14:paraId="07D9BC64" w14:textId="2391215B" w:rsidR="0012024C" w:rsidRPr="005E3A62" w:rsidRDefault="0012024C" w:rsidP="00A91D3E">
      <w:pPr>
        <w:pStyle w:val="Footnote"/>
      </w:pPr>
      <w:r>
        <w:rPr>
          <w:rStyle w:val="EndnoteReference"/>
        </w:rPr>
        <w:endnoteRef/>
      </w:r>
      <w:r>
        <w:t xml:space="preserve"> </w:t>
      </w:r>
      <w:r w:rsidRPr="006472AF">
        <w:t xml:space="preserve">John Gaudiosi, </w:t>
      </w:r>
      <w:r>
        <w:t>“</w:t>
      </w:r>
      <w:r w:rsidRPr="006472AF">
        <w:t xml:space="preserve">Mobile </w:t>
      </w:r>
      <w:r>
        <w:t>G</w:t>
      </w:r>
      <w:r w:rsidRPr="006472AF">
        <w:t xml:space="preserve">ame </w:t>
      </w:r>
      <w:r>
        <w:t>R</w:t>
      </w:r>
      <w:r w:rsidRPr="006472AF">
        <w:t xml:space="preserve">evenues </w:t>
      </w:r>
      <w:r>
        <w:t>S</w:t>
      </w:r>
      <w:r w:rsidRPr="006472AF">
        <w:t xml:space="preserve">et to </w:t>
      </w:r>
      <w:r>
        <w:t>O</w:t>
      </w:r>
      <w:r w:rsidRPr="006472AF">
        <w:t xml:space="preserve">vertake </w:t>
      </w:r>
      <w:r>
        <w:t>C</w:t>
      </w:r>
      <w:r w:rsidRPr="006472AF">
        <w:t xml:space="preserve">onsole </w:t>
      </w:r>
      <w:r>
        <w:t>G</w:t>
      </w:r>
      <w:r w:rsidRPr="006472AF">
        <w:t xml:space="preserve">ames in 2015,” </w:t>
      </w:r>
      <w:r w:rsidRPr="009E7A51">
        <w:rPr>
          <w:i/>
        </w:rPr>
        <w:t>Fortune</w:t>
      </w:r>
      <w:r>
        <w:t xml:space="preserve">, </w:t>
      </w:r>
      <w:r w:rsidRPr="006472AF">
        <w:t>January 15, 2015, accessed December 20, 2017, http://fortune.com/2015/01/15/mobile-console-game-revenues-2015/.</w:t>
      </w:r>
    </w:p>
  </w:endnote>
  <w:endnote w:id="37">
    <w:p w14:paraId="6AB7B01D" w14:textId="234182C6" w:rsidR="0012024C" w:rsidRPr="00B45E21" w:rsidRDefault="0012024C" w:rsidP="006472AF">
      <w:pPr>
        <w:pStyle w:val="Footnote"/>
      </w:pPr>
      <w:r w:rsidRPr="007B2909">
        <w:rPr>
          <w:rStyle w:val="EndnoteReference"/>
        </w:rPr>
        <w:endnoteRef/>
      </w:r>
      <w:r w:rsidRPr="006472AF">
        <w:t xml:space="preserve"> </w:t>
      </w:r>
      <w:r>
        <w:t>Ibid</w:t>
      </w:r>
      <w:r w:rsidRPr="00B45E21">
        <w:t xml:space="preserve">. </w:t>
      </w:r>
    </w:p>
  </w:endnote>
  <w:endnote w:id="38">
    <w:p w14:paraId="23EC3E66" w14:textId="11FEE458" w:rsidR="0012024C" w:rsidRPr="006472AF" w:rsidRDefault="0012024C" w:rsidP="006472AF">
      <w:pPr>
        <w:pStyle w:val="Footnote"/>
      </w:pPr>
      <w:r w:rsidRPr="00B45E21">
        <w:rPr>
          <w:rStyle w:val="EndnoteReference"/>
        </w:rPr>
        <w:endnoteRef/>
      </w:r>
      <w:r w:rsidRPr="00B45E21">
        <w:rPr>
          <w:vertAlign w:val="superscript"/>
        </w:rPr>
        <w:t xml:space="preserve"> </w:t>
      </w:r>
      <w:r w:rsidRPr="00B45E21">
        <w:t>Erik Kain</w:t>
      </w:r>
      <w:r w:rsidRPr="006472AF">
        <w:t>, “</w:t>
      </w:r>
      <w:r w:rsidRPr="006472AF">
        <w:rPr>
          <w:rFonts w:eastAsiaTheme="minorEastAsia"/>
        </w:rPr>
        <w:t>Nintendo CEO: 'Wii U Isn</w:t>
      </w:r>
      <w:r>
        <w:rPr>
          <w:rFonts w:eastAsiaTheme="minorEastAsia"/>
        </w:rPr>
        <w:t>’</w:t>
      </w:r>
      <w:r w:rsidRPr="006472AF">
        <w:rPr>
          <w:rFonts w:eastAsiaTheme="minorEastAsia"/>
        </w:rPr>
        <w:t>t In Good Shape,</w:t>
      </w:r>
      <w:r>
        <w:rPr>
          <w:rFonts w:eastAsiaTheme="minorEastAsia"/>
        </w:rPr>
        <w:t>’</w:t>
      </w:r>
      <w:r w:rsidRPr="006472AF">
        <w:rPr>
          <w:rFonts w:eastAsiaTheme="minorEastAsia"/>
        </w:rPr>
        <w:t xml:space="preserve"> Plans $1.2B Stock Buyback,” </w:t>
      </w:r>
      <w:r w:rsidRPr="009E7A51">
        <w:rPr>
          <w:rFonts w:eastAsiaTheme="minorEastAsia"/>
          <w:i/>
        </w:rPr>
        <w:t>Forbes</w:t>
      </w:r>
      <w:r w:rsidRPr="006472AF">
        <w:rPr>
          <w:rFonts w:eastAsiaTheme="minorEastAsia"/>
        </w:rPr>
        <w:t xml:space="preserve">, January 29, 2014, </w:t>
      </w:r>
      <w:r w:rsidRPr="006472AF">
        <w:t xml:space="preserve">accessed October 28, 2016, </w:t>
      </w:r>
      <w:hyperlink r:id="rId8" w:anchor="73e725c979af" w:history="1">
        <w:r w:rsidRPr="009E7A51">
          <w:rPr>
            <w:rFonts w:eastAsiaTheme="minorEastAsia"/>
          </w:rPr>
          <w:t>www.forbes.com/sites/erikkain/2014/01/29/nintendo-ceo-wii-u-isnt-in-good-shape-plans-1-2b-stock-buyback/#73e725c979af</w:t>
        </w:r>
      </w:hyperlink>
      <w:r w:rsidRPr="00910DB7">
        <w:rPr>
          <w:rFonts w:eastAsiaTheme="minorEastAsia"/>
        </w:rPr>
        <w:t>.</w:t>
      </w:r>
    </w:p>
  </w:endnote>
  <w:endnote w:id="39">
    <w:p w14:paraId="39229E2E" w14:textId="77777777" w:rsidR="0012024C" w:rsidRPr="006472AF" w:rsidRDefault="0012024C" w:rsidP="006472AF">
      <w:pPr>
        <w:pStyle w:val="Footnote"/>
        <w:rPr>
          <w:rFonts w:eastAsiaTheme="minorEastAsia"/>
        </w:rPr>
      </w:pPr>
      <w:r w:rsidRPr="007B2909">
        <w:rPr>
          <w:rStyle w:val="EndnoteReference"/>
        </w:rPr>
        <w:endnoteRef/>
      </w:r>
      <w:r w:rsidRPr="007B2909">
        <w:rPr>
          <w:vertAlign w:val="superscript"/>
        </w:rPr>
        <w:t xml:space="preserve"> </w:t>
      </w:r>
      <w:bookmarkStart w:id="34" w:name="OLE_LINK100"/>
      <w:bookmarkStart w:id="35" w:name="OLE_LINK101"/>
      <w:bookmarkStart w:id="36" w:name="OLE_LINK102"/>
      <w:r w:rsidRPr="006472AF">
        <w:t>Ben McLannahan, “</w:t>
      </w:r>
      <w:r w:rsidRPr="006472AF">
        <w:rPr>
          <w:rFonts w:eastAsiaTheme="minorEastAsia"/>
        </w:rPr>
        <w:t xml:space="preserve">Nintendo’s Declining Sales Put Change of Game Plan on Cards,” </w:t>
      </w:r>
      <w:r w:rsidRPr="009E7A51">
        <w:rPr>
          <w:rFonts w:eastAsiaTheme="minorEastAsia"/>
          <w:i/>
        </w:rPr>
        <w:t>Financial Times</w:t>
      </w:r>
      <w:r w:rsidRPr="006472AF">
        <w:rPr>
          <w:rFonts w:eastAsiaTheme="minorEastAsia"/>
        </w:rPr>
        <w:t xml:space="preserve">, </w:t>
      </w:r>
      <w:r w:rsidRPr="006472AF">
        <w:t xml:space="preserve">January 20, 2014, accessed September 20, 2016, </w:t>
      </w:r>
      <w:bookmarkStart w:id="37" w:name="OLE_LINK48"/>
      <w:bookmarkStart w:id="38" w:name="OLE_LINK49"/>
      <w:r w:rsidRPr="006472AF">
        <w:rPr>
          <w:rFonts w:eastAsiaTheme="minorEastAsia"/>
        </w:rPr>
        <w:fldChar w:fldCharType="begin"/>
      </w:r>
      <w:r w:rsidRPr="006472AF">
        <w:instrText xml:space="preserve"> HYPERLINK "https://www.ft.com/content/d0fefe84-7f7a-11e3-b6a7-00144feabdc0" </w:instrText>
      </w:r>
      <w:r w:rsidRPr="006472AF">
        <w:rPr>
          <w:rFonts w:eastAsiaTheme="minorEastAsia"/>
        </w:rPr>
        <w:fldChar w:fldCharType="separate"/>
      </w:r>
      <w:r w:rsidRPr="006472AF">
        <w:rPr>
          <w:rStyle w:val="Hyperlink"/>
          <w:rFonts w:eastAsiaTheme="minorEastAsia"/>
          <w:color w:val="auto"/>
          <w:u w:val="none"/>
        </w:rPr>
        <w:t>https://www.ft.com/content/d0fefe84-7f7a-11e3-b6a7-00144feabdc0</w:t>
      </w:r>
      <w:r w:rsidRPr="006472AF">
        <w:rPr>
          <w:rStyle w:val="Hyperlink"/>
          <w:rFonts w:eastAsiaTheme="minorEastAsia"/>
          <w:color w:val="auto"/>
          <w:u w:val="none"/>
        </w:rPr>
        <w:fldChar w:fldCharType="end"/>
      </w:r>
      <w:bookmarkEnd w:id="37"/>
      <w:bookmarkEnd w:id="38"/>
      <w:r w:rsidRPr="006472AF">
        <w:rPr>
          <w:rStyle w:val="Hyperlink"/>
          <w:rFonts w:eastAsiaTheme="minorEastAsia"/>
          <w:color w:val="auto"/>
          <w:u w:val="none"/>
        </w:rPr>
        <w:t>.</w:t>
      </w:r>
      <w:bookmarkEnd w:id="34"/>
      <w:bookmarkEnd w:id="35"/>
      <w:bookmarkEnd w:id="36"/>
    </w:p>
  </w:endnote>
  <w:endnote w:id="40">
    <w:p w14:paraId="001B1D5C" w14:textId="51BE05F2" w:rsidR="0012024C" w:rsidRPr="006472AF" w:rsidRDefault="0012024C" w:rsidP="006472AF">
      <w:pPr>
        <w:pStyle w:val="Footnote"/>
      </w:pPr>
      <w:r w:rsidRPr="006472AF">
        <w:rPr>
          <w:rStyle w:val="EndnoteReference"/>
        </w:rPr>
        <w:endnoteRef/>
      </w:r>
      <w:r w:rsidRPr="006472AF">
        <w:t xml:space="preserve"> Parkin, </w:t>
      </w:r>
      <w:r>
        <w:t>op. cit.</w:t>
      </w:r>
    </w:p>
  </w:endnote>
  <w:endnote w:id="41">
    <w:p w14:paraId="2B421350" w14:textId="71DCE624" w:rsidR="0012024C" w:rsidRPr="006472AF" w:rsidRDefault="0012024C" w:rsidP="006472AF">
      <w:pPr>
        <w:pStyle w:val="Footnote"/>
      </w:pPr>
      <w:r w:rsidRPr="006472AF">
        <w:rPr>
          <w:rStyle w:val="EndnoteReference"/>
        </w:rPr>
        <w:endnoteRef/>
      </w:r>
      <w:r w:rsidRPr="006472AF">
        <w:rPr>
          <w:vertAlign w:val="superscript"/>
        </w:rPr>
        <w:t xml:space="preserve"> </w:t>
      </w:r>
      <w:r w:rsidRPr="006472AF">
        <w:t xml:space="preserve">Jack, </w:t>
      </w:r>
      <w:r>
        <w:t>op. cit.</w:t>
      </w:r>
    </w:p>
  </w:endnote>
  <w:endnote w:id="42">
    <w:p w14:paraId="20EBA315" w14:textId="6914217F" w:rsidR="0012024C" w:rsidRPr="00E9417C" w:rsidRDefault="0012024C" w:rsidP="00910DB7">
      <w:pPr>
        <w:pStyle w:val="Footnote"/>
        <w:rPr>
          <w:spacing w:val="-4"/>
        </w:rPr>
      </w:pPr>
      <w:r w:rsidRPr="00E9417C">
        <w:rPr>
          <w:rStyle w:val="EndnoteReference"/>
          <w:spacing w:val="-4"/>
        </w:rPr>
        <w:endnoteRef/>
      </w:r>
      <w:r w:rsidRPr="00E9417C">
        <w:rPr>
          <w:spacing w:val="-4"/>
          <w:vertAlign w:val="superscript"/>
        </w:rPr>
        <w:t xml:space="preserve"> </w:t>
      </w:r>
      <w:r w:rsidRPr="00E9417C">
        <w:rPr>
          <w:spacing w:val="-4"/>
        </w:rPr>
        <w:t xml:space="preserve">Nikkei, “Nintendo Boss Won’t Quit over Dismal Earnings,” </w:t>
      </w:r>
      <w:r w:rsidRPr="00E9417C">
        <w:rPr>
          <w:i/>
          <w:spacing w:val="-4"/>
        </w:rPr>
        <w:t>Nikkei Asian Review</w:t>
      </w:r>
      <w:r w:rsidRPr="00E9417C">
        <w:rPr>
          <w:spacing w:val="-4"/>
        </w:rPr>
        <w:t>, January, 18, 2014, accessed October 31, 2016,</w:t>
      </w:r>
    </w:p>
    <w:p w14:paraId="0ADC1547" w14:textId="77777777" w:rsidR="0012024C" w:rsidRPr="00E9417C" w:rsidRDefault="00634C30" w:rsidP="00E40CB6">
      <w:pPr>
        <w:pStyle w:val="Footnote"/>
        <w:rPr>
          <w:spacing w:val="-4"/>
        </w:rPr>
      </w:pPr>
      <w:hyperlink r:id="rId9" w:history="1">
        <w:r w:rsidR="0012024C" w:rsidRPr="00E9417C">
          <w:rPr>
            <w:rStyle w:val="Hyperlink"/>
            <w:color w:val="auto"/>
            <w:spacing w:val="-4"/>
            <w:u w:val="none"/>
          </w:rPr>
          <w:t>https://asia.nikkei.com/Business/Companies/Nintendo-boss-won-t-quit-over-dismal-earnings</w:t>
        </w:r>
      </w:hyperlink>
      <w:r w:rsidR="0012024C" w:rsidRPr="00E9417C">
        <w:rPr>
          <w:spacing w:val="-4"/>
        </w:rPr>
        <w:t>.</w:t>
      </w:r>
    </w:p>
  </w:endnote>
  <w:endnote w:id="43">
    <w:p w14:paraId="3829048F" w14:textId="01F6EC36" w:rsidR="0012024C" w:rsidRPr="006472AF" w:rsidRDefault="0012024C" w:rsidP="006472AF">
      <w:pPr>
        <w:pStyle w:val="Footnote"/>
      </w:pPr>
      <w:r w:rsidRPr="006472AF">
        <w:rPr>
          <w:rStyle w:val="EndnoteReference"/>
        </w:rPr>
        <w:endnoteRef/>
      </w:r>
      <w:r w:rsidRPr="006472AF">
        <w:t xml:space="preserve"> Dave Thi</w:t>
      </w:r>
      <w:r>
        <w:t>e</w:t>
      </w:r>
      <w:r w:rsidRPr="006472AF">
        <w:t xml:space="preserve">r, “Nintendo Pioneer Hiroshi Yamauchi </w:t>
      </w:r>
      <w:r>
        <w:t>D</w:t>
      </w:r>
      <w:r w:rsidRPr="006472AF">
        <w:t xml:space="preserve">ies at 85,” </w:t>
      </w:r>
      <w:r w:rsidRPr="009E7A51">
        <w:rPr>
          <w:i/>
        </w:rPr>
        <w:t>Forbes</w:t>
      </w:r>
      <w:r>
        <w:t xml:space="preserve">, </w:t>
      </w:r>
      <w:r w:rsidRPr="006472AF">
        <w:t xml:space="preserve">September </w:t>
      </w:r>
      <w:r>
        <w:t>1</w:t>
      </w:r>
      <w:r w:rsidRPr="006472AF">
        <w:t xml:space="preserve">9, 2013, </w:t>
      </w:r>
      <w:r>
        <w:t xml:space="preserve">accessed July 27, 2017, </w:t>
      </w:r>
      <w:hyperlink r:id="rId10" w:anchor="54f40c84299d" w:history="1">
        <w:r w:rsidRPr="006472AF">
          <w:rPr>
            <w:rStyle w:val="Hyperlink"/>
            <w:color w:val="auto"/>
            <w:u w:val="none"/>
          </w:rPr>
          <w:t>https://www.forbes.com/sites/davidthier/2013/09/19/nintendo-pioneer-hiroshi-yamauchi-dies-at-85/#54f40c84299d</w:t>
        </w:r>
      </w:hyperlink>
      <w:r w:rsidRPr="006472AF">
        <w:t>.</w:t>
      </w:r>
    </w:p>
  </w:endnote>
  <w:endnote w:id="44">
    <w:p w14:paraId="18A0AB88" w14:textId="01F511F7" w:rsidR="0012024C" w:rsidRPr="006472AF" w:rsidRDefault="0012024C" w:rsidP="006472AF">
      <w:pPr>
        <w:pStyle w:val="Footnote"/>
        <w:rPr>
          <w:rFonts w:eastAsia="ヒラギノ角ゴ Pro W3"/>
        </w:rPr>
      </w:pPr>
      <w:r w:rsidRPr="006472AF">
        <w:rPr>
          <w:rStyle w:val="EndnoteReference"/>
        </w:rPr>
        <w:endnoteRef/>
      </w:r>
      <w:r w:rsidRPr="006472AF">
        <w:t xml:space="preserve"> </w:t>
      </w:r>
      <w:r>
        <w:t>“</w:t>
      </w:r>
      <w:r w:rsidRPr="006472AF">
        <w:t xml:space="preserve">Nintendo: Yamauchi’s </w:t>
      </w:r>
      <w:r>
        <w:t>S</w:t>
      </w:r>
      <w:r w:rsidRPr="006472AF">
        <w:t xml:space="preserve">hares </w:t>
      </w:r>
      <w:r>
        <w:t>W</w:t>
      </w:r>
      <w:r w:rsidRPr="006472AF">
        <w:t xml:space="preserve">ill be </w:t>
      </w:r>
      <w:r>
        <w:t>B</w:t>
      </w:r>
      <w:r w:rsidRPr="006472AF">
        <w:t xml:space="preserve">equeathed to </w:t>
      </w:r>
      <w:r>
        <w:t>H</w:t>
      </w:r>
      <w:r w:rsidRPr="006472AF">
        <w:t xml:space="preserve">is </w:t>
      </w:r>
      <w:r>
        <w:t>F</w:t>
      </w:r>
      <w:r w:rsidRPr="006472AF">
        <w:t xml:space="preserve">our </w:t>
      </w:r>
      <w:r>
        <w:t>C</w:t>
      </w:r>
      <w:r w:rsidRPr="006472AF">
        <w:t xml:space="preserve">hildren </w:t>
      </w:r>
      <w:r>
        <w:t>[in Japanese]</w:t>
      </w:r>
      <w:r w:rsidRPr="006472AF">
        <w:t>,</w:t>
      </w:r>
      <w:r>
        <w:t>”</w:t>
      </w:r>
      <w:r w:rsidRPr="006472AF">
        <w:t xml:space="preserve"> December 25, 2013</w:t>
      </w:r>
      <w:r w:rsidRPr="00910DB7">
        <w:t xml:space="preserve">, </w:t>
      </w:r>
      <w:r>
        <w:t xml:space="preserve">accessed July 27, 2017, </w:t>
      </w:r>
      <w:hyperlink r:id="rId11" w:history="1">
        <w:r w:rsidRPr="009E7A51">
          <w:t>www.nikkei.com/article/DGXNASDD250LF_V21C13A2TJ0000/</w:t>
        </w:r>
      </w:hyperlink>
      <w:r w:rsidRPr="006472AF">
        <w:t>.</w:t>
      </w:r>
    </w:p>
  </w:endnote>
  <w:endnote w:id="45">
    <w:p w14:paraId="66E1421E" w14:textId="1E3408A1" w:rsidR="0012024C" w:rsidRPr="006472AF" w:rsidRDefault="0012024C" w:rsidP="006472AF">
      <w:pPr>
        <w:pStyle w:val="Footnote"/>
      </w:pPr>
      <w:r w:rsidRPr="006472AF">
        <w:rPr>
          <w:rStyle w:val="EndnoteReference"/>
        </w:rPr>
        <w:endnoteRef/>
      </w:r>
      <w:r w:rsidRPr="006472AF">
        <w:t xml:space="preserve"> Global Property Guide, “</w:t>
      </w:r>
      <w:r>
        <w:t xml:space="preserve">Japan: </w:t>
      </w:r>
      <w:r w:rsidRPr="006472AF">
        <w:t xml:space="preserve">Inheritance </w:t>
      </w:r>
      <w:r>
        <w:t>T</w:t>
      </w:r>
      <w:r w:rsidRPr="006472AF">
        <w:t xml:space="preserve">ax and </w:t>
      </w:r>
      <w:r>
        <w:t>L</w:t>
      </w:r>
      <w:r w:rsidRPr="006472AF">
        <w:t xml:space="preserve">aw,” March 1, 2016, </w:t>
      </w:r>
      <w:r>
        <w:t xml:space="preserve">accessed September 10, 2016, </w:t>
      </w:r>
      <w:hyperlink r:id="rId12" w:history="1">
        <w:r w:rsidRPr="009E7A51">
          <w:t>www.globalpropertyguide.com/Asia/japan/Inheritance</w:t>
        </w:r>
      </w:hyperlink>
      <w:r w:rsidRPr="00B15A44">
        <w:t>.</w:t>
      </w:r>
    </w:p>
  </w:endnote>
  <w:endnote w:id="46">
    <w:p w14:paraId="6AB25E33" w14:textId="78D0782E" w:rsidR="0012024C" w:rsidRPr="009E7A51" w:rsidRDefault="0012024C" w:rsidP="006472AF">
      <w:pPr>
        <w:pStyle w:val="Footnote"/>
        <w:rPr>
          <w:spacing w:val="-2"/>
        </w:rPr>
      </w:pPr>
      <w:r w:rsidRPr="009E7A51">
        <w:rPr>
          <w:rStyle w:val="EndnoteReference"/>
          <w:spacing w:val="-2"/>
        </w:rPr>
        <w:endnoteRef/>
      </w:r>
      <w:r w:rsidRPr="009E7A51">
        <w:rPr>
          <w:spacing w:val="-2"/>
        </w:rPr>
        <w:t xml:space="preserve"> Daniel Sloan, </w:t>
      </w:r>
      <w:r w:rsidRPr="009E7A51">
        <w:rPr>
          <w:i/>
          <w:spacing w:val="-2"/>
        </w:rPr>
        <w:t>Playing to Win: Nintendo and the Video Game Industry’s Greatest Comeback</w:t>
      </w:r>
      <w:r w:rsidRPr="009E7A51">
        <w:rPr>
          <w:spacing w:val="-2"/>
        </w:rPr>
        <w:t>, (Hoboken, NJ: Wiley, 2011)</w:t>
      </w:r>
      <w:r>
        <w:rPr>
          <w:spacing w:val="-2"/>
        </w:rPr>
        <w:t>,</w:t>
      </w:r>
      <w:r w:rsidRPr="009E7A51">
        <w:rPr>
          <w:spacing w:val="-2"/>
        </w:rPr>
        <w:t xml:space="preserve"> 178.</w:t>
      </w:r>
    </w:p>
  </w:endnote>
  <w:endnote w:id="47">
    <w:p w14:paraId="57D4BA8B" w14:textId="50098C39" w:rsidR="0012024C" w:rsidRPr="00FF289C" w:rsidRDefault="0012024C" w:rsidP="006472AF">
      <w:pPr>
        <w:pStyle w:val="Footnote"/>
      </w:pPr>
      <w:r w:rsidRPr="006472AF">
        <w:rPr>
          <w:rStyle w:val="EndnoteReference"/>
        </w:rPr>
        <w:endnoteRef/>
      </w:r>
      <w:r w:rsidRPr="006472AF">
        <w:t xml:space="preserve"> </w:t>
      </w:r>
      <w:r>
        <w:t xml:space="preserve">Ross Newhan, “Japanese Get OK to Buy Mariners,” </w:t>
      </w:r>
      <w:r w:rsidRPr="00A91D3E">
        <w:rPr>
          <w:i/>
        </w:rPr>
        <w:t>Los Angeles Times</w:t>
      </w:r>
      <w:r>
        <w:t xml:space="preserve">, June 12, 1992, accessed May 25, 2018, </w:t>
      </w:r>
      <w:r w:rsidRPr="001A5D74">
        <w:t>http://articles.latimes.com/1992-06-12/sports/sp-153_1_seattle-mariners</w:t>
      </w:r>
      <w:r>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ngsana New">
    <w:panose1 w:val="02020603050405020304"/>
    <w:charset w:val="00"/>
    <w:family w:val="roman"/>
    <w:pitch w:val="variable"/>
    <w:sig w:usb0="81000003" w:usb1="00000000" w:usb2="00000000" w:usb3="00000000" w:csb0="00010001"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ヒラギノ角ゴ Pro W3">
    <w:altName w:val="MS Gothic"/>
    <w:charset w:val="80"/>
    <w:family w:val="swiss"/>
    <w:pitch w:val="variable"/>
    <w:sig w:usb0="00000000" w:usb1="7AC7FFFF" w:usb2="00000012" w:usb3="00000000" w:csb0="0002000D" w:csb1="00000000"/>
  </w:font>
  <w:font w:name="Lucida Grande">
    <w:charset w:val="00"/>
    <w:family w:val="swiss"/>
    <w:pitch w:val="variable"/>
    <w:sig w:usb0="E1000AEF" w:usb1="5000A1FF" w:usb2="00000000" w:usb3="00000000" w:csb0="000001BF" w:csb1="00000000"/>
  </w:font>
  <w:font w:name="SimSun">
    <w:altName w:val="宋体"/>
    <w:panose1 w:val="02010600030101010101"/>
    <w:charset w:val="86"/>
    <w:family w:val="auto"/>
    <w:notTrueType/>
    <w:pitch w:val="variable"/>
    <w:sig w:usb0="00000001" w:usb1="080E0000" w:usb2="00000010" w:usb3="00000000" w:csb0="00040000" w:csb1="00000000"/>
  </w:font>
  <w:font w:name="PMingLiU">
    <w:altName w:val="新細明體"/>
    <w:panose1 w:val="02020500000000000000"/>
    <w:charset w:val="88"/>
    <w:family w:val="auto"/>
    <w:notTrueType/>
    <w:pitch w:val="variable"/>
    <w:sig w:usb0="00000001" w:usb1="08080000" w:usb2="00000010" w:usb3="00000000" w:csb0="00100000" w:csb1="00000000"/>
  </w:font>
  <w:font w:name="Times">
    <w:panose1 w:val="02020603050405020304"/>
    <w:charset w:val="00"/>
    <w:family w:val="roman"/>
    <w:pitch w:val="variable"/>
    <w:sig w:usb0="E0002AFF" w:usb1="C0007841" w:usb2="00000009" w:usb3="00000000" w:csb0="000001FF" w:csb1="00000000"/>
  </w:font>
  <w:font w:name="Museo Sans Rounded 300">
    <w:altName w:val="Calibri"/>
    <w:panose1 w:val="00000000000000000000"/>
    <w:charset w:val="00"/>
    <w:family w:val="swiss"/>
    <w:notTrueType/>
    <w:pitch w:val="default"/>
    <w:sig w:usb0="00000003" w:usb1="00000000" w:usb2="00000000" w:usb3="00000000" w:csb0="00000001" w:csb1="00000000"/>
  </w:font>
  <w:font w:name="Domine">
    <w:altName w:val="Times New Roman"/>
    <w:charset w:val="00"/>
    <w:family w:val="auto"/>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7A8145C" w14:textId="77777777" w:rsidR="0012024C" w:rsidRDefault="0012024C" w:rsidP="00D75295">
      <w:r>
        <w:separator/>
      </w:r>
    </w:p>
  </w:footnote>
  <w:footnote w:type="continuationSeparator" w:id="0">
    <w:p w14:paraId="1BE2FBD6" w14:textId="77777777" w:rsidR="0012024C" w:rsidRDefault="0012024C" w:rsidP="00D7529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711F85" w14:textId="37F291B4" w:rsidR="0012024C" w:rsidRPr="004D1398" w:rsidRDefault="0012024C" w:rsidP="001C7777">
    <w:pPr>
      <w:pBdr>
        <w:bottom w:val="single" w:sz="18" w:space="1" w:color="auto"/>
      </w:pBdr>
      <w:tabs>
        <w:tab w:val="left" w:pos="-1440"/>
        <w:tab w:val="left" w:pos="-720"/>
        <w:tab w:val="right" w:pos="9360"/>
      </w:tabs>
      <w:rPr>
        <w:sz w:val="20"/>
        <w:szCs w:val="20"/>
      </w:rPr>
    </w:pPr>
    <w:r w:rsidRPr="004D1398">
      <w:rPr>
        <w:rFonts w:ascii="Arial" w:hAnsi="Arial"/>
        <w:b/>
        <w:sz w:val="20"/>
        <w:szCs w:val="20"/>
      </w:rPr>
      <w:t xml:space="preserve">Page </w:t>
    </w:r>
    <w:r w:rsidRPr="004D1398">
      <w:rPr>
        <w:rFonts w:ascii="Arial" w:hAnsi="Arial"/>
        <w:b/>
        <w:sz w:val="20"/>
        <w:szCs w:val="20"/>
      </w:rPr>
      <w:fldChar w:fldCharType="begin"/>
    </w:r>
    <w:r w:rsidRPr="004D1398">
      <w:rPr>
        <w:rFonts w:ascii="Arial" w:hAnsi="Arial"/>
        <w:b/>
        <w:sz w:val="20"/>
        <w:szCs w:val="20"/>
      </w:rPr>
      <w:instrText>PAGE</w:instrText>
    </w:r>
    <w:r w:rsidRPr="004D1398">
      <w:rPr>
        <w:rFonts w:ascii="Arial" w:hAnsi="Arial"/>
        <w:b/>
        <w:sz w:val="20"/>
        <w:szCs w:val="20"/>
      </w:rPr>
      <w:fldChar w:fldCharType="separate"/>
    </w:r>
    <w:r w:rsidR="00634C30">
      <w:rPr>
        <w:rFonts w:ascii="Arial" w:hAnsi="Arial"/>
        <w:b/>
        <w:noProof/>
        <w:sz w:val="20"/>
        <w:szCs w:val="20"/>
      </w:rPr>
      <w:t>7</w:t>
    </w:r>
    <w:r w:rsidRPr="004D1398">
      <w:rPr>
        <w:rFonts w:ascii="Arial" w:hAnsi="Arial"/>
        <w:b/>
        <w:sz w:val="20"/>
        <w:szCs w:val="20"/>
      </w:rPr>
      <w:fldChar w:fldCharType="end"/>
    </w:r>
    <w:r w:rsidRPr="004D1398">
      <w:rPr>
        <w:rFonts w:ascii="Arial" w:hAnsi="Arial"/>
        <w:b/>
        <w:sz w:val="20"/>
        <w:szCs w:val="20"/>
      </w:rPr>
      <w:tab/>
    </w:r>
    <w:r w:rsidR="003B6CA2">
      <w:rPr>
        <w:rFonts w:ascii="Arial" w:hAnsi="Arial"/>
        <w:b/>
        <w:sz w:val="20"/>
        <w:szCs w:val="20"/>
      </w:rPr>
      <w:t>9B18N015</w:t>
    </w:r>
  </w:p>
  <w:p w14:paraId="37D2FEDE" w14:textId="77777777" w:rsidR="0012024C" w:rsidRDefault="0012024C" w:rsidP="00D13667">
    <w:pPr>
      <w:pStyle w:val="Header"/>
      <w:tabs>
        <w:tab w:val="clear" w:pos="4680"/>
      </w:tabs>
      <w:rPr>
        <w:sz w:val="18"/>
        <w:szCs w:val="18"/>
      </w:rPr>
    </w:pPr>
  </w:p>
  <w:p w14:paraId="3488646A" w14:textId="77777777" w:rsidR="0012024C" w:rsidRPr="00C92CC4" w:rsidRDefault="0012024C" w:rsidP="00D13667">
    <w:pPr>
      <w:pStyle w:val="Header"/>
      <w:tabs>
        <w:tab w:val="clear" w:pos="4680"/>
      </w:tabs>
      <w:rPr>
        <w:sz w:val="18"/>
        <w:szCs w:val="18"/>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185221" w14:textId="6FCC70DE" w:rsidR="0012024C" w:rsidRPr="00AC67E0" w:rsidRDefault="0012024C" w:rsidP="00E40509">
    <w:pPr>
      <w:pBdr>
        <w:bottom w:val="single" w:sz="18" w:space="1" w:color="auto"/>
      </w:pBdr>
      <w:tabs>
        <w:tab w:val="right" w:pos="12960"/>
      </w:tabs>
      <w:rPr>
        <w:sz w:val="20"/>
        <w:szCs w:val="20"/>
      </w:rPr>
    </w:pPr>
    <w:r w:rsidRPr="00AC67E0">
      <w:rPr>
        <w:rFonts w:ascii="Arial" w:hAnsi="Arial"/>
        <w:b/>
        <w:sz w:val="20"/>
        <w:szCs w:val="20"/>
      </w:rPr>
      <w:t xml:space="preserve">Page </w:t>
    </w:r>
    <w:r w:rsidRPr="00AC67E0">
      <w:rPr>
        <w:rFonts w:ascii="Arial" w:hAnsi="Arial"/>
        <w:b/>
        <w:sz w:val="20"/>
        <w:szCs w:val="20"/>
      </w:rPr>
      <w:fldChar w:fldCharType="begin"/>
    </w:r>
    <w:r w:rsidRPr="00AC67E0">
      <w:rPr>
        <w:rFonts w:ascii="Arial" w:hAnsi="Arial"/>
        <w:b/>
        <w:sz w:val="20"/>
        <w:szCs w:val="20"/>
      </w:rPr>
      <w:instrText>PAGE</w:instrText>
    </w:r>
    <w:r w:rsidRPr="00AC67E0">
      <w:rPr>
        <w:rFonts w:ascii="Arial" w:hAnsi="Arial"/>
        <w:b/>
        <w:sz w:val="20"/>
        <w:szCs w:val="20"/>
      </w:rPr>
      <w:fldChar w:fldCharType="separate"/>
    </w:r>
    <w:r w:rsidR="00634C30">
      <w:rPr>
        <w:rFonts w:ascii="Arial" w:hAnsi="Arial"/>
        <w:b/>
        <w:noProof/>
        <w:sz w:val="20"/>
        <w:szCs w:val="20"/>
      </w:rPr>
      <w:t>9</w:t>
    </w:r>
    <w:r w:rsidRPr="00AC67E0">
      <w:rPr>
        <w:rFonts w:ascii="Arial" w:hAnsi="Arial"/>
        <w:b/>
        <w:sz w:val="20"/>
        <w:szCs w:val="20"/>
      </w:rPr>
      <w:fldChar w:fldCharType="end"/>
    </w:r>
    <w:r w:rsidRPr="00AC67E0">
      <w:rPr>
        <w:rFonts w:ascii="Arial" w:hAnsi="Arial"/>
        <w:b/>
        <w:sz w:val="20"/>
        <w:szCs w:val="20"/>
      </w:rPr>
      <w:tab/>
    </w:r>
    <w:r w:rsidR="003B6CA2">
      <w:rPr>
        <w:rFonts w:ascii="Arial" w:hAnsi="Arial"/>
        <w:b/>
        <w:sz w:val="20"/>
        <w:szCs w:val="20"/>
      </w:rPr>
      <w:t>9B18N015</w:t>
    </w:r>
  </w:p>
  <w:p w14:paraId="171389D7" w14:textId="77777777" w:rsidR="0012024C" w:rsidRDefault="0012024C" w:rsidP="00E40509">
    <w:pPr>
      <w:pStyle w:val="Header"/>
      <w:tabs>
        <w:tab w:val="clear" w:pos="4680"/>
        <w:tab w:val="clear" w:pos="9360"/>
        <w:tab w:val="right" w:pos="12960"/>
      </w:tabs>
      <w:rPr>
        <w:sz w:val="18"/>
        <w:szCs w:val="18"/>
      </w:rPr>
    </w:pPr>
  </w:p>
  <w:p w14:paraId="639BCC61" w14:textId="77777777" w:rsidR="0012024C" w:rsidRPr="00C92CC4" w:rsidRDefault="0012024C" w:rsidP="00E40509">
    <w:pPr>
      <w:pStyle w:val="Header"/>
      <w:tabs>
        <w:tab w:val="clear" w:pos="4680"/>
        <w:tab w:val="clear" w:pos="9360"/>
        <w:tab w:val="right" w:pos="12960"/>
      </w:tabs>
      <w:rPr>
        <w:sz w:val="18"/>
        <w:szCs w:val="18"/>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A6A84C" w14:textId="1112E39F" w:rsidR="0012024C" w:rsidRPr="00050B5C" w:rsidRDefault="0012024C" w:rsidP="0076336D">
    <w:pPr>
      <w:pBdr>
        <w:bottom w:val="single" w:sz="18" w:space="1" w:color="auto"/>
      </w:pBdr>
      <w:tabs>
        <w:tab w:val="right" w:pos="9360"/>
      </w:tabs>
      <w:rPr>
        <w:sz w:val="20"/>
        <w:szCs w:val="20"/>
      </w:rPr>
    </w:pPr>
    <w:r w:rsidRPr="00050B5C">
      <w:rPr>
        <w:rFonts w:ascii="Arial" w:hAnsi="Arial"/>
        <w:b/>
        <w:sz w:val="20"/>
        <w:szCs w:val="20"/>
      </w:rPr>
      <w:t xml:space="preserve">Page </w:t>
    </w:r>
    <w:r w:rsidRPr="00050B5C">
      <w:rPr>
        <w:rFonts w:ascii="Arial" w:hAnsi="Arial"/>
        <w:b/>
        <w:sz w:val="20"/>
        <w:szCs w:val="20"/>
      </w:rPr>
      <w:fldChar w:fldCharType="begin"/>
    </w:r>
    <w:r w:rsidRPr="00050B5C">
      <w:rPr>
        <w:rFonts w:ascii="Arial" w:hAnsi="Arial"/>
        <w:b/>
        <w:sz w:val="20"/>
        <w:szCs w:val="20"/>
      </w:rPr>
      <w:instrText>PAGE</w:instrText>
    </w:r>
    <w:r w:rsidRPr="00050B5C">
      <w:rPr>
        <w:rFonts w:ascii="Arial" w:hAnsi="Arial"/>
        <w:b/>
        <w:sz w:val="20"/>
        <w:szCs w:val="20"/>
      </w:rPr>
      <w:fldChar w:fldCharType="separate"/>
    </w:r>
    <w:r w:rsidR="00634C30">
      <w:rPr>
        <w:rFonts w:ascii="Arial" w:hAnsi="Arial"/>
        <w:b/>
        <w:noProof/>
        <w:sz w:val="20"/>
        <w:szCs w:val="20"/>
      </w:rPr>
      <w:t>13</w:t>
    </w:r>
    <w:r w:rsidRPr="00050B5C">
      <w:rPr>
        <w:rFonts w:ascii="Arial" w:hAnsi="Arial"/>
        <w:b/>
        <w:sz w:val="20"/>
        <w:szCs w:val="20"/>
      </w:rPr>
      <w:fldChar w:fldCharType="end"/>
    </w:r>
    <w:r w:rsidRPr="00050B5C">
      <w:rPr>
        <w:rFonts w:ascii="Arial" w:hAnsi="Arial"/>
        <w:b/>
        <w:sz w:val="20"/>
        <w:szCs w:val="20"/>
      </w:rPr>
      <w:tab/>
    </w:r>
    <w:r w:rsidR="003B6CA2">
      <w:rPr>
        <w:rFonts w:ascii="Arial" w:hAnsi="Arial"/>
        <w:b/>
        <w:sz w:val="20"/>
        <w:szCs w:val="20"/>
      </w:rPr>
      <w:t>9B18N015</w:t>
    </w:r>
  </w:p>
  <w:p w14:paraId="389351BD" w14:textId="77777777" w:rsidR="0012024C" w:rsidRDefault="0012024C" w:rsidP="0076336D">
    <w:pPr>
      <w:pStyle w:val="Header"/>
      <w:tabs>
        <w:tab w:val="clear" w:pos="4680"/>
      </w:tabs>
      <w:rPr>
        <w:sz w:val="18"/>
        <w:szCs w:val="18"/>
      </w:rPr>
    </w:pPr>
  </w:p>
  <w:p w14:paraId="06B38952" w14:textId="77777777" w:rsidR="0012024C" w:rsidRPr="00C92CC4" w:rsidRDefault="0012024C" w:rsidP="0076336D">
    <w:pPr>
      <w:pStyle w:val="Header"/>
      <w:tabs>
        <w:tab w:val="clear" w:pos="4680"/>
      </w:tabs>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686EE4"/>
    <w:multiLevelType w:val="multilevel"/>
    <w:tmpl w:val="97181DC6"/>
    <w:lvl w:ilvl="0">
      <w:start w:val="1"/>
      <w:numFmt w:val="bullet"/>
      <w:pStyle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oNotTrackMoves/>
  <w:defaultTabStop w:val="720"/>
  <w:characterSpacingControl w:val="doNotCompress"/>
  <w:hdrShapeDefaults>
    <o:shapedefaults v:ext="edit" spidmax="12289"/>
  </w:hdrShapeDefaults>
  <w:footnotePr>
    <w:footnote w:id="-1"/>
    <w:footnote w:id="0"/>
  </w:footnotePr>
  <w:endnotePr>
    <w:numFmt w:val="decimal"/>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13360"/>
    <w:rsid w:val="00014998"/>
    <w:rsid w:val="00016759"/>
    <w:rsid w:val="000216CE"/>
    <w:rsid w:val="00024ED4"/>
    <w:rsid w:val="00025DC7"/>
    <w:rsid w:val="00035686"/>
    <w:rsid w:val="00035F09"/>
    <w:rsid w:val="00044ECC"/>
    <w:rsid w:val="00050B5C"/>
    <w:rsid w:val="000531D3"/>
    <w:rsid w:val="0005646B"/>
    <w:rsid w:val="00072D83"/>
    <w:rsid w:val="00076509"/>
    <w:rsid w:val="0008102D"/>
    <w:rsid w:val="00094C0E"/>
    <w:rsid w:val="000A15C5"/>
    <w:rsid w:val="000A552F"/>
    <w:rsid w:val="000D58F3"/>
    <w:rsid w:val="000D6930"/>
    <w:rsid w:val="000D7091"/>
    <w:rsid w:val="000E629D"/>
    <w:rsid w:val="000F0C22"/>
    <w:rsid w:val="000F6B09"/>
    <w:rsid w:val="000F6FDC"/>
    <w:rsid w:val="00104567"/>
    <w:rsid w:val="00104916"/>
    <w:rsid w:val="00104AA7"/>
    <w:rsid w:val="001179E0"/>
    <w:rsid w:val="0012024C"/>
    <w:rsid w:val="0012732D"/>
    <w:rsid w:val="00137641"/>
    <w:rsid w:val="00143F25"/>
    <w:rsid w:val="001479A3"/>
    <w:rsid w:val="00152682"/>
    <w:rsid w:val="00153A43"/>
    <w:rsid w:val="00154FC9"/>
    <w:rsid w:val="001562DA"/>
    <w:rsid w:val="00176EC3"/>
    <w:rsid w:val="001900AD"/>
    <w:rsid w:val="0019241A"/>
    <w:rsid w:val="001A22D1"/>
    <w:rsid w:val="001A582A"/>
    <w:rsid w:val="001A5D74"/>
    <w:rsid w:val="001A752D"/>
    <w:rsid w:val="001A753C"/>
    <w:rsid w:val="001A757E"/>
    <w:rsid w:val="001B1479"/>
    <w:rsid w:val="001B2EEA"/>
    <w:rsid w:val="001B5032"/>
    <w:rsid w:val="001B553C"/>
    <w:rsid w:val="001C7777"/>
    <w:rsid w:val="001D7538"/>
    <w:rsid w:val="001E364F"/>
    <w:rsid w:val="001F0A22"/>
    <w:rsid w:val="001F4222"/>
    <w:rsid w:val="00203AA1"/>
    <w:rsid w:val="00213E98"/>
    <w:rsid w:val="0023081A"/>
    <w:rsid w:val="002313AE"/>
    <w:rsid w:val="00234B73"/>
    <w:rsid w:val="00271B03"/>
    <w:rsid w:val="002777C7"/>
    <w:rsid w:val="00277F27"/>
    <w:rsid w:val="002A62A9"/>
    <w:rsid w:val="002D5A80"/>
    <w:rsid w:val="002F22DD"/>
    <w:rsid w:val="002F460C"/>
    <w:rsid w:val="002F48D6"/>
    <w:rsid w:val="00304C8E"/>
    <w:rsid w:val="0031387A"/>
    <w:rsid w:val="00317391"/>
    <w:rsid w:val="00320C7E"/>
    <w:rsid w:val="00326216"/>
    <w:rsid w:val="0033087B"/>
    <w:rsid w:val="003320CE"/>
    <w:rsid w:val="003336A8"/>
    <w:rsid w:val="00336580"/>
    <w:rsid w:val="00347D92"/>
    <w:rsid w:val="00354899"/>
    <w:rsid w:val="00355FD6"/>
    <w:rsid w:val="00361762"/>
    <w:rsid w:val="00364A5C"/>
    <w:rsid w:val="0037019D"/>
    <w:rsid w:val="00371526"/>
    <w:rsid w:val="003725A1"/>
    <w:rsid w:val="00373FB1"/>
    <w:rsid w:val="0037578F"/>
    <w:rsid w:val="00376C0F"/>
    <w:rsid w:val="0039385C"/>
    <w:rsid w:val="00396C76"/>
    <w:rsid w:val="003A0C92"/>
    <w:rsid w:val="003B30D8"/>
    <w:rsid w:val="003B4EE3"/>
    <w:rsid w:val="003B6CA2"/>
    <w:rsid w:val="003B7EF2"/>
    <w:rsid w:val="003C3D29"/>
    <w:rsid w:val="003C3FA4"/>
    <w:rsid w:val="003C64A5"/>
    <w:rsid w:val="003D0BA1"/>
    <w:rsid w:val="003F2B0C"/>
    <w:rsid w:val="003F39F9"/>
    <w:rsid w:val="003F6CBD"/>
    <w:rsid w:val="00401651"/>
    <w:rsid w:val="004105B2"/>
    <w:rsid w:val="00412900"/>
    <w:rsid w:val="004221E4"/>
    <w:rsid w:val="004273F8"/>
    <w:rsid w:val="004355A3"/>
    <w:rsid w:val="00446546"/>
    <w:rsid w:val="00452769"/>
    <w:rsid w:val="00465348"/>
    <w:rsid w:val="004932CF"/>
    <w:rsid w:val="004977D0"/>
    <w:rsid w:val="004B1CCB"/>
    <w:rsid w:val="004B3D08"/>
    <w:rsid w:val="004B632F"/>
    <w:rsid w:val="004D0A64"/>
    <w:rsid w:val="004D1398"/>
    <w:rsid w:val="004D3FB1"/>
    <w:rsid w:val="004D6BA4"/>
    <w:rsid w:val="004D6F21"/>
    <w:rsid w:val="004D73A5"/>
    <w:rsid w:val="004F2A56"/>
    <w:rsid w:val="005160F1"/>
    <w:rsid w:val="00524F2F"/>
    <w:rsid w:val="00527E5C"/>
    <w:rsid w:val="00532CF5"/>
    <w:rsid w:val="00535C3F"/>
    <w:rsid w:val="00541A57"/>
    <w:rsid w:val="005528CB"/>
    <w:rsid w:val="00566771"/>
    <w:rsid w:val="005749B9"/>
    <w:rsid w:val="00581E2E"/>
    <w:rsid w:val="00584F15"/>
    <w:rsid w:val="0059514B"/>
    <w:rsid w:val="005A1B0F"/>
    <w:rsid w:val="005A79B5"/>
    <w:rsid w:val="005C28D9"/>
    <w:rsid w:val="005D27E2"/>
    <w:rsid w:val="005D7333"/>
    <w:rsid w:val="005E396D"/>
    <w:rsid w:val="005E3A62"/>
    <w:rsid w:val="005E625F"/>
    <w:rsid w:val="00601AC9"/>
    <w:rsid w:val="006163F7"/>
    <w:rsid w:val="00616DEF"/>
    <w:rsid w:val="006204BA"/>
    <w:rsid w:val="006206C1"/>
    <w:rsid w:val="006266B7"/>
    <w:rsid w:val="00627C63"/>
    <w:rsid w:val="0063350B"/>
    <w:rsid w:val="00634C30"/>
    <w:rsid w:val="006472AF"/>
    <w:rsid w:val="00652606"/>
    <w:rsid w:val="0068763A"/>
    <w:rsid w:val="006946EE"/>
    <w:rsid w:val="006A58A9"/>
    <w:rsid w:val="006A606D"/>
    <w:rsid w:val="006B59F1"/>
    <w:rsid w:val="006C0371"/>
    <w:rsid w:val="006C08B6"/>
    <w:rsid w:val="006C0B1A"/>
    <w:rsid w:val="006C3A8C"/>
    <w:rsid w:val="006C6065"/>
    <w:rsid w:val="006C7F9F"/>
    <w:rsid w:val="006D33AF"/>
    <w:rsid w:val="006E2F6D"/>
    <w:rsid w:val="006E58F6"/>
    <w:rsid w:val="006E77E1"/>
    <w:rsid w:val="006F0D24"/>
    <w:rsid w:val="006F131D"/>
    <w:rsid w:val="00711642"/>
    <w:rsid w:val="007311AC"/>
    <w:rsid w:val="00741651"/>
    <w:rsid w:val="007507C6"/>
    <w:rsid w:val="00751E0B"/>
    <w:rsid w:val="00752BCD"/>
    <w:rsid w:val="0075347D"/>
    <w:rsid w:val="00756854"/>
    <w:rsid w:val="00762164"/>
    <w:rsid w:val="0076336D"/>
    <w:rsid w:val="00766DA1"/>
    <w:rsid w:val="007704DF"/>
    <w:rsid w:val="007779C4"/>
    <w:rsid w:val="00780D94"/>
    <w:rsid w:val="00781BC6"/>
    <w:rsid w:val="007861C4"/>
    <w:rsid w:val="007866A6"/>
    <w:rsid w:val="00787911"/>
    <w:rsid w:val="007A130D"/>
    <w:rsid w:val="007B2909"/>
    <w:rsid w:val="007D01E4"/>
    <w:rsid w:val="007D1A2D"/>
    <w:rsid w:val="007D31A8"/>
    <w:rsid w:val="007D339F"/>
    <w:rsid w:val="007D4102"/>
    <w:rsid w:val="007F3772"/>
    <w:rsid w:val="007F43B7"/>
    <w:rsid w:val="00811FB0"/>
    <w:rsid w:val="00821FFC"/>
    <w:rsid w:val="008271CA"/>
    <w:rsid w:val="008434DE"/>
    <w:rsid w:val="008467D5"/>
    <w:rsid w:val="0085125E"/>
    <w:rsid w:val="0087414F"/>
    <w:rsid w:val="008913B1"/>
    <w:rsid w:val="008A4DC4"/>
    <w:rsid w:val="008B438C"/>
    <w:rsid w:val="008B5056"/>
    <w:rsid w:val="008D06CA"/>
    <w:rsid w:val="008D1FEF"/>
    <w:rsid w:val="008D3A46"/>
    <w:rsid w:val="008E04DF"/>
    <w:rsid w:val="009067A4"/>
    <w:rsid w:val="00910DB7"/>
    <w:rsid w:val="00917F05"/>
    <w:rsid w:val="00923B20"/>
    <w:rsid w:val="00926987"/>
    <w:rsid w:val="00930885"/>
    <w:rsid w:val="00933842"/>
    <w:rsid w:val="00933D68"/>
    <w:rsid w:val="009340DB"/>
    <w:rsid w:val="00940397"/>
    <w:rsid w:val="0094618C"/>
    <w:rsid w:val="0094663D"/>
    <w:rsid w:val="0095684B"/>
    <w:rsid w:val="00960776"/>
    <w:rsid w:val="00964BA4"/>
    <w:rsid w:val="00972498"/>
    <w:rsid w:val="0097481F"/>
    <w:rsid w:val="00974B3F"/>
    <w:rsid w:val="00974CC6"/>
    <w:rsid w:val="00976AD4"/>
    <w:rsid w:val="00994627"/>
    <w:rsid w:val="00995547"/>
    <w:rsid w:val="009A06DA"/>
    <w:rsid w:val="009A312F"/>
    <w:rsid w:val="009A5348"/>
    <w:rsid w:val="009B0AB7"/>
    <w:rsid w:val="009C76D5"/>
    <w:rsid w:val="009D62FA"/>
    <w:rsid w:val="009E1572"/>
    <w:rsid w:val="009E7A51"/>
    <w:rsid w:val="009F4A72"/>
    <w:rsid w:val="009F7AA4"/>
    <w:rsid w:val="00A0540E"/>
    <w:rsid w:val="00A10AD7"/>
    <w:rsid w:val="00A202DF"/>
    <w:rsid w:val="00A45EA6"/>
    <w:rsid w:val="00A46763"/>
    <w:rsid w:val="00A559DB"/>
    <w:rsid w:val="00A569EA"/>
    <w:rsid w:val="00A70836"/>
    <w:rsid w:val="00A91D3E"/>
    <w:rsid w:val="00AA167D"/>
    <w:rsid w:val="00AA17A9"/>
    <w:rsid w:val="00AA3BDD"/>
    <w:rsid w:val="00AA4859"/>
    <w:rsid w:val="00AA6323"/>
    <w:rsid w:val="00AB47BA"/>
    <w:rsid w:val="00AC493C"/>
    <w:rsid w:val="00AC67E0"/>
    <w:rsid w:val="00AD0CB5"/>
    <w:rsid w:val="00AD4A7B"/>
    <w:rsid w:val="00AD63E9"/>
    <w:rsid w:val="00AF35FC"/>
    <w:rsid w:val="00AF5556"/>
    <w:rsid w:val="00B03639"/>
    <w:rsid w:val="00B0652A"/>
    <w:rsid w:val="00B15A44"/>
    <w:rsid w:val="00B23BE6"/>
    <w:rsid w:val="00B40937"/>
    <w:rsid w:val="00B423EF"/>
    <w:rsid w:val="00B453DE"/>
    <w:rsid w:val="00B45E21"/>
    <w:rsid w:val="00B5281E"/>
    <w:rsid w:val="00B55597"/>
    <w:rsid w:val="00B61574"/>
    <w:rsid w:val="00B72597"/>
    <w:rsid w:val="00B901F9"/>
    <w:rsid w:val="00B90291"/>
    <w:rsid w:val="00B917DB"/>
    <w:rsid w:val="00B92447"/>
    <w:rsid w:val="00BB1FCA"/>
    <w:rsid w:val="00BC10FA"/>
    <w:rsid w:val="00BD6EFB"/>
    <w:rsid w:val="00BE2AF4"/>
    <w:rsid w:val="00BE6FC1"/>
    <w:rsid w:val="00BF169C"/>
    <w:rsid w:val="00BF4E89"/>
    <w:rsid w:val="00C1584D"/>
    <w:rsid w:val="00C15BE2"/>
    <w:rsid w:val="00C209CB"/>
    <w:rsid w:val="00C27FA3"/>
    <w:rsid w:val="00C31175"/>
    <w:rsid w:val="00C34044"/>
    <w:rsid w:val="00C3447F"/>
    <w:rsid w:val="00C37C38"/>
    <w:rsid w:val="00C56756"/>
    <w:rsid w:val="00C61DB2"/>
    <w:rsid w:val="00C631E7"/>
    <w:rsid w:val="00C67102"/>
    <w:rsid w:val="00C81491"/>
    <w:rsid w:val="00C81676"/>
    <w:rsid w:val="00C85C5D"/>
    <w:rsid w:val="00C92CC4"/>
    <w:rsid w:val="00CA0AFB"/>
    <w:rsid w:val="00CA18B4"/>
    <w:rsid w:val="00CA2CE1"/>
    <w:rsid w:val="00CA3976"/>
    <w:rsid w:val="00CA3BA0"/>
    <w:rsid w:val="00CA50E3"/>
    <w:rsid w:val="00CA757B"/>
    <w:rsid w:val="00CC1787"/>
    <w:rsid w:val="00CC182C"/>
    <w:rsid w:val="00CC38F8"/>
    <w:rsid w:val="00CD0824"/>
    <w:rsid w:val="00CD2908"/>
    <w:rsid w:val="00CD410F"/>
    <w:rsid w:val="00CE08FC"/>
    <w:rsid w:val="00D03A82"/>
    <w:rsid w:val="00D13667"/>
    <w:rsid w:val="00D15344"/>
    <w:rsid w:val="00D23F57"/>
    <w:rsid w:val="00D2537A"/>
    <w:rsid w:val="00D25625"/>
    <w:rsid w:val="00D27B01"/>
    <w:rsid w:val="00D27B15"/>
    <w:rsid w:val="00D31BEC"/>
    <w:rsid w:val="00D50D86"/>
    <w:rsid w:val="00D51026"/>
    <w:rsid w:val="00D63150"/>
    <w:rsid w:val="00D636BA"/>
    <w:rsid w:val="00D643D2"/>
    <w:rsid w:val="00D64A32"/>
    <w:rsid w:val="00D64EFC"/>
    <w:rsid w:val="00D676F9"/>
    <w:rsid w:val="00D717E3"/>
    <w:rsid w:val="00D71CB8"/>
    <w:rsid w:val="00D75295"/>
    <w:rsid w:val="00D76CE9"/>
    <w:rsid w:val="00D91FAC"/>
    <w:rsid w:val="00D97F12"/>
    <w:rsid w:val="00DA6095"/>
    <w:rsid w:val="00DB42E7"/>
    <w:rsid w:val="00DE01A6"/>
    <w:rsid w:val="00DE4EC0"/>
    <w:rsid w:val="00DE7A98"/>
    <w:rsid w:val="00DF32C2"/>
    <w:rsid w:val="00E0608F"/>
    <w:rsid w:val="00E320C2"/>
    <w:rsid w:val="00E3334F"/>
    <w:rsid w:val="00E40509"/>
    <w:rsid w:val="00E40CB6"/>
    <w:rsid w:val="00E44B2B"/>
    <w:rsid w:val="00E45FB0"/>
    <w:rsid w:val="00E471A7"/>
    <w:rsid w:val="00E57413"/>
    <w:rsid w:val="00E635CF"/>
    <w:rsid w:val="00E65E5E"/>
    <w:rsid w:val="00E80F81"/>
    <w:rsid w:val="00E90633"/>
    <w:rsid w:val="00E9417C"/>
    <w:rsid w:val="00EB2705"/>
    <w:rsid w:val="00EB3F08"/>
    <w:rsid w:val="00EC57FB"/>
    <w:rsid w:val="00EC6E0A"/>
    <w:rsid w:val="00ED4E18"/>
    <w:rsid w:val="00EE17B8"/>
    <w:rsid w:val="00EE1F37"/>
    <w:rsid w:val="00F0159C"/>
    <w:rsid w:val="00F07A5A"/>
    <w:rsid w:val="00F1004F"/>
    <w:rsid w:val="00F105B7"/>
    <w:rsid w:val="00F13220"/>
    <w:rsid w:val="00F17A21"/>
    <w:rsid w:val="00F23EAA"/>
    <w:rsid w:val="00F37B27"/>
    <w:rsid w:val="00F431E3"/>
    <w:rsid w:val="00F44A9D"/>
    <w:rsid w:val="00F46556"/>
    <w:rsid w:val="00F47071"/>
    <w:rsid w:val="00F50E91"/>
    <w:rsid w:val="00F57D29"/>
    <w:rsid w:val="00F6559C"/>
    <w:rsid w:val="00F831C7"/>
    <w:rsid w:val="00F9428A"/>
    <w:rsid w:val="00F96201"/>
    <w:rsid w:val="00FB18E7"/>
    <w:rsid w:val="00FC1A4F"/>
    <w:rsid w:val="00FD0B18"/>
    <w:rsid w:val="00FD2FAD"/>
    <w:rsid w:val="00FE714F"/>
    <w:rsid w:val="00FF02CD"/>
    <w:rsid w:val="00FF2721"/>
    <w:rsid w:val="00FF289C"/>
    <w:rsid w:val="00FF58EF"/>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5F749D74"/>
  <w15:docId w15:val="{B332D785-A780-4C6D-A38E-8967D0C7B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iPriority="0"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004F"/>
    <w:pPr>
      <w:spacing w:after="0" w:line="240" w:lineRule="auto"/>
    </w:pPr>
    <w:rPr>
      <w:rFonts w:ascii="Times New Roman" w:eastAsia="Times New Roman" w:hAnsi="Times New Roman" w:cs="Times New Roman"/>
      <w:sz w:val="24"/>
      <w:szCs w:val="24"/>
      <w:lang w:val="en-SG" w:eastAsia="ja-JP" w:bidi="th-TH"/>
    </w:rPr>
  </w:style>
  <w:style w:type="paragraph" w:styleId="Heading1">
    <w:name w:val="heading 1"/>
    <w:basedOn w:val="Normal"/>
    <w:next w:val="Normal"/>
    <w:link w:val="Heading1Char"/>
    <w:uiPriority w:val="9"/>
    <w:qFormat/>
    <w:rsid w:val="004273F8"/>
    <w:pPr>
      <w:keepNext/>
      <w:keepLines/>
      <w:spacing w:before="480" w:line="276" w:lineRule="auto"/>
      <w:outlineLvl w:val="0"/>
    </w:pPr>
    <w:rPr>
      <w:rFonts w:ascii="Arial" w:hAnsi="Arial"/>
      <w:b/>
      <w:bCs/>
      <w:color w:val="365F91"/>
      <w:sz w:val="20"/>
      <w:szCs w:val="28"/>
      <w:lang w:val="x-none" w:eastAsia="x-none" w:bidi="ar-SA"/>
    </w:rPr>
  </w:style>
  <w:style w:type="paragraph" w:styleId="Heading2">
    <w:name w:val="heading 2"/>
    <w:basedOn w:val="Normal"/>
    <w:next w:val="Normal"/>
    <w:link w:val="Heading2Char"/>
    <w:unhideWhenUsed/>
    <w:qFormat/>
    <w:rsid w:val="004273F8"/>
    <w:pPr>
      <w:keepNext/>
      <w:keepLines/>
      <w:spacing w:before="200" w:line="276" w:lineRule="auto"/>
      <w:outlineLvl w:val="1"/>
    </w:pPr>
    <w:rPr>
      <w:rFonts w:ascii="Arial" w:hAnsi="Arial"/>
      <w:b/>
      <w:bCs/>
      <w:color w:val="4F81BD"/>
      <w:sz w:val="20"/>
      <w:szCs w:val="26"/>
      <w:lang w:val="x-none" w:eastAsia="x-none" w:bidi="ar-SA"/>
    </w:rPr>
  </w:style>
  <w:style w:type="paragraph" w:styleId="Heading3">
    <w:name w:val="heading 3"/>
    <w:basedOn w:val="Normal"/>
    <w:next w:val="Normal"/>
    <w:link w:val="Heading3Char"/>
    <w:unhideWhenUsed/>
    <w:qFormat/>
    <w:rsid w:val="004273F8"/>
    <w:pPr>
      <w:keepNext/>
      <w:keepLines/>
      <w:spacing w:before="200" w:line="276" w:lineRule="auto"/>
      <w:outlineLvl w:val="2"/>
    </w:pPr>
    <w:rPr>
      <w:rFonts w:ascii="Cambria" w:hAnsi="Cambria"/>
      <w:b/>
      <w:bCs/>
      <w:color w:val="4F81BD"/>
      <w:sz w:val="20"/>
      <w:szCs w:val="20"/>
      <w:lang w:val="x-none" w:eastAsia="x-none" w:bidi="ar-SA"/>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sz w:val="20"/>
      <w:szCs w:val="20"/>
      <w:lang w:val="en-US" w:eastAsia="en-US" w:bidi="ar-SA"/>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sz w:val="20"/>
      <w:szCs w:val="20"/>
      <w:lang w:val="en-US" w:eastAsia="en-US" w:bidi="ar-SA"/>
    </w:rPr>
  </w:style>
  <w:style w:type="paragraph" w:styleId="Heading6">
    <w:name w:val="heading 6"/>
    <w:basedOn w:val="Normal"/>
    <w:next w:val="Normal"/>
    <w:link w:val="Heading6Char"/>
    <w:qFormat/>
    <w:rsid w:val="00FF289C"/>
    <w:pPr>
      <w:tabs>
        <w:tab w:val="num" w:pos="1152"/>
      </w:tabs>
      <w:spacing w:before="240" w:after="60"/>
      <w:ind w:left="1152" w:hanging="1152"/>
      <w:jc w:val="both"/>
      <w:outlineLvl w:val="5"/>
    </w:pPr>
    <w:rPr>
      <w:rFonts w:ascii="Georgia" w:eastAsiaTheme="minorEastAsia" w:hAnsi="Georgia" w:cstheme="minorBidi"/>
      <w:b/>
      <w:sz w:val="22"/>
      <w:lang w:val="en-GB" w:bidi="ar-SA"/>
    </w:rPr>
  </w:style>
  <w:style w:type="paragraph" w:styleId="Heading7">
    <w:name w:val="heading 7"/>
    <w:basedOn w:val="Normal"/>
    <w:next w:val="Normal"/>
    <w:link w:val="Heading7Char"/>
    <w:uiPriority w:val="99"/>
    <w:qFormat/>
    <w:rsid w:val="004273F8"/>
    <w:pPr>
      <w:keepNext/>
      <w:outlineLvl w:val="6"/>
    </w:pPr>
    <w:rPr>
      <w:b/>
      <w:bCs/>
      <w:lang w:val="en-GB" w:eastAsia="x-none" w:bidi="ar-SA"/>
    </w:rPr>
  </w:style>
  <w:style w:type="paragraph" w:styleId="Heading8">
    <w:name w:val="heading 8"/>
    <w:basedOn w:val="Normal"/>
    <w:next w:val="Normal"/>
    <w:link w:val="Heading8Char"/>
    <w:uiPriority w:val="99"/>
    <w:qFormat/>
    <w:rsid w:val="00711642"/>
    <w:pPr>
      <w:tabs>
        <w:tab w:val="left" w:pos="0"/>
      </w:tabs>
      <w:jc w:val="center"/>
      <w:outlineLvl w:val="7"/>
    </w:pPr>
    <w:rPr>
      <w:b/>
      <w:sz w:val="18"/>
      <w:szCs w:val="20"/>
      <w:lang w:val="en-AU" w:eastAsia="en-US" w:bidi="ar-SA"/>
    </w:rPr>
  </w:style>
  <w:style w:type="paragraph" w:styleId="Heading9">
    <w:name w:val="heading 9"/>
    <w:basedOn w:val="Normal"/>
    <w:next w:val="Normal"/>
    <w:link w:val="Heading9Char"/>
    <w:uiPriority w:val="99"/>
    <w:qFormat/>
    <w:rsid w:val="00711642"/>
    <w:pPr>
      <w:spacing w:before="40" w:after="40"/>
      <w:outlineLvl w:val="8"/>
    </w:pPr>
    <w:rPr>
      <w:b/>
      <w:sz w:val="18"/>
      <w:szCs w:val="20"/>
      <w:lang w:val="en-AU"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uiPriority w:val="99"/>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uiPriority w:val="99"/>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uiPriority w:val="9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iPriority w:val="99"/>
    <w:semiHidden/>
    <w:unhideWhenUsed/>
    <w:rsid w:val="008467D5"/>
    <w:rPr>
      <w:rFonts w:ascii="Tahoma" w:hAnsi="Tahoma" w:cs="Tahoma"/>
      <w:sz w:val="16"/>
      <w:szCs w:val="16"/>
      <w:lang w:val="en-US" w:eastAsia="en-US" w:bidi="ar-SA"/>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lang w:val="en-US" w:eastAsia="en-US" w:bidi="ar-SA"/>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lang w:val="en-US" w:eastAsia="en-US" w:bidi="ar-SA"/>
    </w:rPr>
  </w:style>
  <w:style w:type="paragraph" w:customStyle="1" w:styleId="BodyTextMain">
    <w:name w:val="Body Text Main"/>
    <w:basedOn w:val="Normal"/>
    <w:link w:val="BodyTextMainChar"/>
    <w:qFormat/>
    <w:rsid w:val="000F0C22"/>
    <w:pPr>
      <w:jc w:val="both"/>
    </w:pPr>
    <w:rPr>
      <w:sz w:val="22"/>
      <w:szCs w:val="22"/>
      <w:lang w:val="en-US" w:eastAsia="en-US" w:bidi="ar-SA"/>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6C0B1A"/>
    <w:rPr>
      <w:i/>
    </w:rPr>
  </w:style>
  <w:style w:type="character" w:customStyle="1" w:styleId="Casehead4Char">
    <w:name w:val="Casehead 4 Char"/>
    <w:basedOn w:val="Casehead3Char"/>
    <w:link w:val="Casehead4"/>
    <w:rsid w:val="006C0B1A"/>
    <w:rPr>
      <w:rFonts w:ascii="Times New Roman" w:eastAsia="Times New Roman" w:hAnsi="Times New Roman" w:cs="Times New Roman"/>
      <w:b w:val="0"/>
      <w:i/>
      <w:caps w:val="0"/>
      <w:sz w:val="20"/>
      <w:szCs w:val="20"/>
      <w:u w:val="single"/>
    </w:rPr>
  </w:style>
  <w:style w:type="paragraph" w:styleId="FootnoteText">
    <w:name w:val="footnote text"/>
    <w:aliases w:val="Char"/>
    <w:basedOn w:val="Normal"/>
    <w:link w:val="FootnoteTextChar"/>
    <w:uiPriority w:val="99"/>
    <w:unhideWhenUsed/>
    <w:rsid w:val="006C0B1A"/>
    <w:rPr>
      <w:sz w:val="20"/>
      <w:szCs w:val="20"/>
      <w:lang w:val="en-US" w:eastAsia="en-US" w:bidi="ar-SA"/>
    </w:rPr>
  </w:style>
  <w:style w:type="character" w:customStyle="1" w:styleId="FootnoteTextChar">
    <w:name w:val="Footnote Text Char"/>
    <w:aliases w:val="Char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1F4222"/>
    <w:pPr>
      <w:jc w:val="both"/>
    </w:pPr>
    <w:rPr>
      <w:rFonts w:ascii="Arial" w:hAnsi="Arial" w:cs="Arial"/>
      <w:sz w:val="17"/>
      <w:szCs w:val="17"/>
    </w:rPr>
  </w:style>
  <w:style w:type="character" w:customStyle="1" w:styleId="FootnoteChar">
    <w:name w:val="Footnote Char"/>
    <w:basedOn w:val="FootnoteTextChar"/>
    <w:link w:val="Footnote"/>
    <w:rsid w:val="001F4222"/>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Cs w:val="20"/>
      <w:lang w:val="en-US" w:eastAsia="en-US" w:bidi="ar-SA"/>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nhideWhenUsed/>
    <w:rsid w:val="00F105B7"/>
    <w:pPr>
      <w:tabs>
        <w:tab w:val="center" w:pos="4680"/>
        <w:tab w:val="right" w:pos="9360"/>
      </w:tabs>
    </w:pPr>
    <w:rPr>
      <w:sz w:val="20"/>
      <w:szCs w:val="20"/>
      <w:lang w:val="en-US" w:eastAsia="en-US" w:bidi="ar-SA"/>
    </w:r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rPr>
      <w:sz w:val="20"/>
      <w:szCs w:val="20"/>
      <w:lang w:val="en-US" w:eastAsia="en-US" w:bidi="ar-SA"/>
    </w:r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uiPriority w:val="99"/>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uiPriority w:val="99"/>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uiPriority w:val="99"/>
    <w:rsid w:val="003B7EF2"/>
    <w:pPr>
      <w:pBdr>
        <w:top w:val="none" w:sz="0" w:space="0" w:color="auto"/>
      </w:pBdr>
    </w:pPr>
  </w:style>
  <w:style w:type="paragraph" w:styleId="BodyText">
    <w:name w:val="Body Text"/>
    <w:basedOn w:val="Normal"/>
    <w:link w:val="BodyTextChar"/>
    <w:uiPriority w:val="99"/>
    <w:unhideWhenUsed/>
    <w:rsid w:val="00CA3976"/>
    <w:pPr>
      <w:spacing w:after="120"/>
    </w:pPr>
    <w:rPr>
      <w:sz w:val="20"/>
      <w:szCs w:val="20"/>
      <w:lang w:val="en-US" w:eastAsia="en-US" w:bidi="ar-SA"/>
    </w:rPr>
  </w:style>
  <w:style w:type="character" w:customStyle="1" w:styleId="BodyTextChar">
    <w:name w:val="Body Text Char"/>
    <w:basedOn w:val="DefaultParagraphFont"/>
    <w:link w:val="BodyText"/>
    <w:uiPriority w:val="99"/>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lang w:val="en-US" w:eastAsia="en-US" w:bidi="ar-SA"/>
    </w:rPr>
  </w:style>
  <w:style w:type="character" w:styleId="CommentReference">
    <w:name w:val="annotation reference"/>
    <w:semiHidden/>
    <w:unhideWhenUsed/>
    <w:rsid w:val="009A5348"/>
    <w:rPr>
      <w:sz w:val="16"/>
      <w:szCs w:val="16"/>
    </w:rPr>
  </w:style>
  <w:style w:type="paragraph" w:styleId="CommentText">
    <w:name w:val="annotation text"/>
    <w:basedOn w:val="Normal"/>
    <w:link w:val="CommentTextChar"/>
    <w:uiPriority w:val="99"/>
    <w:unhideWhenUsed/>
    <w:rsid w:val="009A5348"/>
    <w:rPr>
      <w:sz w:val="20"/>
      <w:szCs w:val="20"/>
      <w:lang w:val="en-US" w:eastAsia="en-US" w:bidi="ar-SA"/>
    </w:rPr>
  </w:style>
  <w:style w:type="character" w:customStyle="1" w:styleId="CommentTextChar">
    <w:name w:val="Comment Text Char"/>
    <w:basedOn w:val="DefaultParagraphFont"/>
    <w:link w:val="CommentText"/>
    <w:uiPriority w:val="99"/>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9A5348"/>
    <w:pPr>
      <w:tabs>
        <w:tab w:val="left" w:pos="-1440"/>
        <w:tab w:val="left" w:pos="-720"/>
        <w:tab w:val="left" w:pos="1"/>
        <w:tab w:val="right" w:pos="9000"/>
      </w:tabs>
      <w:jc w:val="both"/>
    </w:pPr>
    <w:rPr>
      <w:rFonts w:ascii="Arial" w:hAnsi="Arial" w:cs="Arial"/>
      <w:i/>
      <w:iCs/>
      <w:sz w:val="17"/>
      <w:szCs w:val="17"/>
      <w:lang w:val="en-US" w:eastAsia="en-US" w:bidi="ar-SA"/>
    </w:rPr>
  </w:style>
  <w:style w:type="paragraph" w:styleId="NormalWeb">
    <w:name w:val="Normal (Web)"/>
    <w:basedOn w:val="Normal"/>
    <w:uiPriority w:val="99"/>
    <w:unhideWhenUsed/>
    <w:rsid w:val="004273F8"/>
    <w:pPr>
      <w:spacing w:before="100" w:beforeAutospacing="1" w:after="100" w:afterAutospacing="1"/>
    </w:pPr>
    <w:rPr>
      <w:lang w:val="en-IN" w:eastAsia="en-IN" w:bidi="ar-SA"/>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uiPriority w:val="22"/>
    <w:qFormat/>
    <w:rsid w:val="004273F8"/>
    <w:rPr>
      <w:b/>
      <w:bCs/>
    </w:rPr>
  </w:style>
  <w:style w:type="character" w:styleId="IntenseReference">
    <w:name w:val="Intense Reference"/>
    <w:uiPriority w:val="32"/>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sz w:val="20"/>
      <w:szCs w:val="20"/>
      <w:lang w:val="x-none" w:eastAsia="x-none" w:bidi="ar-SA"/>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uiPriority w:val="1"/>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uiPriority w:val="1"/>
    <w:rsid w:val="004273F8"/>
    <w:rPr>
      <w:rFonts w:ascii="Calibri" w:eastAsia="Calibri" w:hAnsi="Calibri" w:cs="Times New Roman"/>
      <w:lang w:val="en-IN"/>
    </w:rPr>
  </w:style>
  <w:style w:type="character" w:styleId="FollowedHyperlink">
    <w:name w:val="FollowedHyperlink"/>
    <w:unhideWhenUsed/>
    <w:rsid w:val="004273F8"/>
    <w:rPr>
      <w:color w:val="800080"/>
      <w:u w:val="single"/>
    </w:rPr>
  </w:style>
  <w:style w:type="paragraph" w:customStyle="1" w:styleId="Casehead40">
    <w:name w:val="Casehead4"/>
    <w:basedOn w:val="Normal"/>
    <w:next w:val="Normal"/>
    <w:uiPriority w:val="99"/>
    <w:rsid w:val="004273F8"/>
    <w:pPr>
      <w:tabs>
        <w:tab w:val="left" w:pos="-1440"/>
        <w:tab w:val="left" w:pos="-720"/>
        <w:tab w:val="left" w:pos="1"/>
      </w:tabs>
      <w:jc w:val="both"/>
    </w:pPr>
    <w:rPr>
      <w:i/>
      <w:noProof/>
      <w:szCs w:val="20"/>
      <w:lang w:val="en-US" w:eastAsia="en-US" w:bidi="ar-SA"/>
    </w:rPr>
  </w:style>
  <w:style w:type="table" w:styleId="TableGrid">
    <w:name w:val="Table Grid"/>
    <w:basedOn w:val="TableNormal"/>
    <w:uiPriority w:val="5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iPriority w:val="99"/>
    <w:unhideWhenUsed/>
    <w:rsid w:val="00DE01A6"/>
    <w:pPr>
      <w:spacing w:after="120"/>
      <w:ind w:left="360"/>
    </w:pPr>
    <w:rPr>
      <w:sz w:val="20"/>
      <w:szCs w:val="20"/>
      <w:lang w:val="en-US" w:eastAsia="en-US" w:bidi="ar-SA"/>
    </w:r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uiPriority w:val="99"/>
    <w:rsid w:val="00DE01A6"/>
    <w:pPr>
      <w:spacing w:after="0"/>
      <w:jc w:val="both"/>
    </w:pPr>
    <w:rPr>
      <w:sz w:val="24"/>
      <w:szCs w:val="24"/>
    </w:rPr>
  </w:style>
  <w:style w:type="paragraph" w:customStyle="1" w:styleId="nsource1">
    <w:name w:val="nsource1"/>
    <w:basedOn w:val="Normal"/>
    <w:uiPriority w:val="99"/>
    <w:rsid w:val="00711642"/>
    <w:pPr>
      <w:tabs>
        <w:tab w:val="left" w:pos="900"/>
        <w:tab w:val="left" w:pos="1080"/>
        <w:tab w:val="left" w:pos="1260"/>
      </w:tabs>
      <w:ind w:left="1260" w:hanging="1260"/>
    </w:pPr>
    <w:rPr>
      <w:sz w:val="20"/>
      <w:szCs w:val="20"/>
      <w:lang w:val="en-AU" w:eastAsia="en-US" w:bidi="ar-SA"/>
    </w:rPr>
  </w:style>
  <w:style w:type="paragraph" w:styleId="BodyTextIndent3">
    <w:name w:val="Body Text Indent 3"/>
    <w:basedOn w:val="Normal"/>
    <w:link w:val="BodyTextIndent3Char"/>
    <w:uiPriority w:val="99"/>
    <w:rsid w:val="00711642"/>
    <w:pPr>
      <w:spacing w:after="120"/>
      <w:ind w:left="360"/>
    </w:pPr>
    <w:rPr>
      <w:sz w:val="16"/>
      <w:szCs w:val="16"/>
      <w:lang w:val="en-US" w:eastAsia="en-US" w:bidi="ar-SA"/>
    </w:rPr>
  </w:style>
  <w:style w:type="character" w:customStyle="1" w:styleId="BodyTextIndent3Char">
    <w:name w:val="Body Text Indent 3 Char"/>
    <w:basedOn w:val="DefaultParagraphFont"/>
    <w:link w:val="BodyTextIndent3"/>
    <w:uiPriority w:val="99"/>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uiPriority w:val="99"/>
    <w:qFormat/>
    <w:rsid w:val="00711642"/>
    <w:pPr>
      <w:spacing w:after="240"/>
      <w:jc w:val="center"/>
    </w:pPr>
    <w:rPr>
      <w:b/>
      <w:szCs w:val="20"/>
      <w:lang w:val="en-AU" w:eastAsia="en-US" w:bidi="ar-SA"/>
    </w:rPr>
  </w:style>
  <w:style w:type="character" w:customStyle="1" w:styleId="TitleChar">
    <w:name w:val="Title Char"/>
    <w:basedOn w:val="DefaultParagraphFont"/>
    <w:link w:val="Title"/>
    <w:uiPriority w:val="99"/>
    <w:rsid w:val="00711642"/>
    <w:rPr>
      <w:rFonts w:ascii="Times New Roman" w:eastAsia="Times New Roman" w:hAnsi="Times New Roman" w:cs="Times New Roman"/>
      <w:b/>
      <w:sz w:val="24"/>
      <w:szCs w:val="20"/>
      <w:lang w:val="en-AU"/>
    </w:rPr>
  </w:style>
  <w:style w:type="character" w:styleId="Emphasis">
    <w:name w:val="Emphasis"/>
    <w:uiPriority w:val="20"/>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uiPriority w:val="99"/>
    <w:semi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sz w:val="20"/>
      <w:szCs w:val="20"/>
      <w:lang w:val="en-US" w:eastAsia="en-CA" w:bidi="ar-SA"/>
    </w:rPr>
  </w:style>
  <w:style w:type="paragraph" w:customStyle="1" w:styleId="casehead20">
    <w:name w:val="casehead2"/>
    <w:basedOn w:val="Normal"/>
    <w:next w:val="BodyText"/>
    <w:rsid w:val="001C7777"/>
    <w:rPr>
      <w:rFonts w:ascii="Arial" w:hAnsi="Arial"/>
      <w:b/>
      <w:sz w:val="20"/>
      <w:szCs w:val="20"/>
      <w:lang w:val="en-US" w:eastAsia="en-CA" w:bidi="ar-SA"/>
    </w:rPr>
  </w:style>
  <w:style w:type="character" w:customStyle="1" w:styleId="Heading6Char">
    <w:name w:val="Heading 6 Char"/>
    <w:basedOn w:val="DefaultParagraphFont"/>
    <w:link w:val="Heading6"/>
    <w:rsid w:val="00FF289C"/>
    <w:rPr>
      <w:rFonts w:ascii="Georgia" w:eastAsiaTheme="minorEastAsia" w:hAnsi="Georgia"/>
      <w:b/>
      <w:szCs w:val="24"/>
      <w:lang w:val="en-GB" w:eastAsia="ja-JP"/>
    </w:rPr>
  </w:style>
  <w:style w:type="numbering" w:customStyle="1" w:styleId="NoList1">
    <w:name w:val="No List1"/>
    <w:next w:val="NoList"/>
    <w:uiPriority w:val="99"/>
    <w:semiHidden/>
    <w:unhideWhenUsed/>
    <w:rsid w:val="00FF289C"/>
  </w:style>
  <w:style w:type="table" w:customStyle="1" w:styleId="TableGrid1">
    <w:name w:val="Table Grid1"/>
    <w:basedOn w:val="TableNormal"/>
    <w:next w:val="TableGrid"/>
    <w:uiPriority w:val="39"/>
    <w:rsid w:val="00FF289C"/>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
    <w:name w:val="No List11"/>
    <w:next w:val="NoList"/>
    <w:uiPriority w:val="99"/>
    <w:semiHidden/>
    <w:unhideWhenUsed/>
    <w:rsid w:val="00FF289C"/>
  </w:style>
  <w:style w:type="table" w:customStyle="1" w:styleId="TableGrid11">
    <w:name w:val="Table Grid11"/>
    <w:basedOn w:val="TableNormal"/>
    <w:next w:val="TableGrid"/>
    <w:uiPriority w:val="59"/>
    <w:rsid w:val="00FF289C"/>
    <w:pPr>
      <w:spacing w:after="0" w:line="240" w:lineRule="auto"/>
    </w:pPr>
    <w:rPr>
      <w:rFonts w:ascii="Calibri" w:eastAsiaTheme="minorEastAsia" w:hAnsi="Calibri" w:cs="Calibri"/>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rsid w:val="00FF289C"/>
    <w:rPr>
      <w:rFonts w:ascii="Consolas" w:eastAsiaTheme="minorEastAsia" w:hAnsi="Consolas" w:cs="Consolas"/>
      <w:sz w:val="21"/>
      <w:szCs w:val="21"/>
      <w:lang w:val="en-GB" w:eastAsia="zh-CN" w:bidi="ar-SA"/>
    </w:rPr>
  </w:style>
  <w:style w:type="character" w:customStyle="1" w:styleId="PlainTextChar">
    <w:name w:val="Plain Text Char"/>
    <w:basedOn w:val="DefaultParagraphFont"/>
    <w:link w:val="PlainText"/>
    <w:uiPriority w:val="99"/>
    <w:rsid w:val="00FF289C"/>
    <w:rPr>
      <w:rFonts w:ascii="Consolas" w:eastAsiaTheme="minorEastAsia" w:hAnsi="Consolas" w:cs="Consolas"/>
      <w:sz w:val="21"/>
      <w:szCs w:val="21"/>
      <w:lang w:val="en-GB" w:eastAsia="zh-CN"/>
    </w:rPr>
  </w:style>
  <w:style w:type="character" w:customStyle="1" w:styleId="Title1">
    <w:name w:val="Title1"/>
    <w:basedOn w:val="DefaultParagraphFont"/>
    <w:uiPriority w:val="99"/>
    <w:rsid w:val="00FF289C"/>
  </w:style>
  <w:style w:type="paragraph" w:customStyle="1" w:styleId="Body1">
    <w:name w:val="Body 1"/>
    <w:uiPriority w:val="99"/>
    <w:rsid w:val="00FF289C"/>
    <w:pPr>
      <w:spacing w:after="0" w:line="240" w:lineRule="auto"/>
      <w:outlineLvl w:val="0"/>
    </w:pPr>
    <w:rPr>
      <w:rFonts w:ascii="Times New Roman" w:eastAsia="Arial Unicode MS" w:hAnsi="Times New Roman" w:cs="Times New Roman"/>
      <w:color w:val="000000"/>
      <w:sz w:val="24"/>
      <w:szCs w:val="24"/>
      <w:u w:color="000000"/>
      <w:lang w:val="en-GB"/>
    </w:rPr>
  </w:style>
  <w:style w:type="paragraph" w:customStyle="1" w:styleId="Body">
    <w:name w:val="Body"/>
    <w:uiPriority w:val="99"/>
    <w:rsid w:val="00FF289C"/>
    <w:pPr>
      <w:spacing w:after="0" w:line="240" w:lineRule="auto"/>
    </w:pPr>
    <w:rPr>
      <w:rFonts w:ascii="Helvetica" w:eastAsia="ヒラギノ角ゴ Pro W3" w:hAnsi="Helvetica" w:cs="Times New Roman"/>
      <w:color w:val="000000"/>
      <w:sz w:val="24"/>
      <w:szCs w:val="20"/>
    </w:rPr>
  </w:style>
  <w:style w:type="character" w:customStyle="1" w:styleId="Hyperlink1">
    <w:name w:val="Hyperlink1"/>
    <w:rsid w:val="00FF289C"/>
    <w:rPr>
      <w:color w:val="0000FE"/>
      <w:sz w:val="20"/>
      <w:u w:val="single"/>
    </w:rPr>
  </w:style>
  <w:style w:type="character" w:customStyle="1" w:styleId="HTMLCite1">
    <w:name w:val="HTML Cite1"/>
    <w:rsid w:val="00FF289C"/>
    <w:rPr>
      <w:rFonts w:ascii="Lucida Grande" w:eastAsia="ヒラギノ角ゴ Pro W3" w:hAnsi="Lucida Grande"/>
      <w:b w:val="0"/>
      <w:i w:val="0"/>
      <w:color w:val="000000"/>
      <w:sz w:val="20"/>
    </w:rPr>
  </w:style>
  <w:style w:type="character" w:customStyle="1" w:styleId="submitted">
    <w:name w:val="submitted"/>
    <w:basedOn w:val="DefaultParagraphFont"/>
    <w:rsid w:val="00FF289C"/>
  </w:style>
  <w:style w:type="paragraph" w:styleId="BodyText2">
    <w:name w:val="Body Text 2"/>
    <w:basedOn w:val="Normal"/>
    <w:link w:val="BodyText2Char"/>
    <w:uiPriority w:val="99"/>
    <w:unhideWhenUsed/>
    <w:rsid w:val="00FF289C"/>
    <w:pPr>
      <w:spacing w:before="100" w:beforeAutospacing="1" w:after="100" w:afterAutospacing="1"/>
    </w:pPr>
    <w:rPr>
      <w:rFonts w:eastAsiaTheme="minorEastAsia" w:cstheme="minorBidi"/>
      <w:lang w:val="en-GB" w:bidi="ar-SA"/>
    </w:rPr>
  </w:style>
  <w:style w:type="character" w:customStyle="1" w:styleId="BodyText2Char">
    <w:name w:val="Body Text 2 Char"/>
    <w:basedOn w:val="DefaultParagraphFont"/>
    <w:link w:val="BodyText2"/>
    <w:uiPriority w:val="99"/>
    <w:rsid w:val="00FF289C"/>
    <w:rPr>
      <w:rFonts w:ascii="Times New Roman" w:eastAsiaTheme="minorEastAsia" w:hAnsi="Times New Roman"/>
      <w:sz w:val="24"/>
      <w:szCs w:val="24"/>
      <w:lang w:val="en-GB" w:eastAsia="ja-JP"/>
    </w:rPr>
  </w:style>
  <w:style w:type="paragraph" w:styleId="z-TopofForm">
    <w:name w:val="HTML Top of Form"/>
    <w:basedOn w:val="Normal"/>
    <w:next w:val="Normal"/>
    <w:link w:val="z-TopofFormChar"/>
    <w:hidden/>
    <w:uiPriority w:val="99"/>
    <w:semiHidden/>
    <w:unhideWhenUsed/>
    <w:rsid w:val="00FF289C"/>
    <w:pPr>
      <w:pBdr>
        <w:bottom w:val="single" w:sz="6" w:space="1" w:color="auto"/>
      </w:pBdr>
      <w:jc w:val="center"/>
    </w:pPr>
    <w:rPr>
      <w:rFonts w:ascii="Arial" w:eastAsiaTheme="minorEastAsia" w:hAnsi="Arial" w:cs="Arial"/>
      <w:vanish/>
      <w:sz w:val="16"/>
      <w:szCs w:val="16"/>
      <w:lang w:val="en-GB"/>
    </w:rPr>
  </w:style>
  <w:style w:type="character" w:customStyle="1" w:styleId="z-TopofFormChar">
    <w:name w:val="z-Top of Form Char"/>
    <w:basedOn w:val="DefaultParagraphFont"/>
    <w:link w:val="z-TopofForm"/>
    <w:uiPriority w:val="99"/>
    <w:semiHidden/>
    <w:rsid w:val="00FF289C"/>
    <w:rPr>
      <w:rFonts w:ascii="Arial" w:eastAsiaTheme="minorEastAsia" w:hAnsi="Arial" w:cs="Arial"/>
      <w:vanish/>
      <w:sz w:val="16"/>
      <w:szCs w:val="16"/>
      <w:lang w:val="en-GB" w:eastAsia="ja-JP"/>
    </w:rPr>
  </w:style>
  <w:style w:type="paragraph" w:styleId="z-BottomofForm">
    <w:name w:val="HTML Bottom of Form"/>
    <w:basedOn w:val="Normal"/>
    <w:next w:val="Normal"/>
    <w:link w:val="z-BottomofFormChar"/>
    <w:hidden/>
    <w:uiPriority w:val="99"/>
    <w:semiHidden/>
    <w:unhideWhenUsed/>
    <w:rsid w:val="00FF289C"/>
    <w:pPr>
      <w:pBdr>
        <w:top w:val="single" w:sz="6" w:space="1" w:color="auto"/>
      </w:pBdr>
      <w:jc w:val="center"/>
    </w:pPr>
    <w:rPr>
      <w:rFonts w:ascii="Arial" w:eastAsiaTheme="minorEastAsia" w:hAnsi="Arial" w:cs="Arial"/>
      <w:vanish/>
      <w:sz w:val="16"/>
      <w:szCs w:val="16"/>
      <w:lang w:val="en-GB"/>
    </w:rPr>
  </w:style>
  <w:style w:type="character" w:customStyle="1" w:styleId="z-BottomofFormChar">
    <w:name w:val="z-Bottom of Form Char"/>
    <w:basedOn w:val="DefaultParagraphFont"/>
    <w:link w:val="z-BottomofForm"/>
    <w:uiPriority w:val="99"/>
    <w:semiHidden/>
    <w:rsid w:val="00FF289C"/>
    <w:rPr>
      <w:rFonts w:ascii="Arial" w:eastAsiaTheme="minorEastAsia" w:hAnsi="Arial" w:cs="Arial"/>
      <w:vanish/>
      <w:sz w:val="16"/>
      <w:szCs w:val="16"/>
      <w:lang w:val="en-GB" w:eastAsia="ja-JP"/>
    </w:rPr>
  </w:style>
  <w:style w:type="character" w:styleId="SubtleReference">
    <w:name w:val="Subtle Reference"/>
    <w:uiPriority w:val="31"/>
    <w:qFormat/>
    <w:rsid w:val="00FF289C"/>
    <w:rPr>
      <w:smallCaps/>
      <w:color w:val="5A5A5A"/>
    </w:rPr>
  </w:style>
  <w:style w:type="paragraph" w:customStyle="1" w:styleId="Default">
    <w:name w:val="Default"/>
    <w:uiPriority w:val="99"/>
    <w:rsid w:val="00FF289C"/>
    <w:pPr>
      <w:autoSpaceDE w:val="0"/>
      <w:autoSpaceDN w:val="0"/>
      <w:adjustRightInd w:val="0"/>
      <w:spacing w:after="0" w:line="240" w:lineRule="auto"/>
    </w:pPr>
    <w:rPr>
      <w:rFonts w:ascii="Tahoma" w:eastAsia="Calibri" w:hAnsi="Tahoma" w:cs="Tahoma"/>
      <w:color w:val="000000"/>
      <w:sz w:val="24"/>
      <w:szCs w:val="24"/>
    </w:rPr>
  </w:style>
  <w:style w:type="paragraph" w:customStyle="1" w:styleId="Bibliography1">
    <w:name w:val="Bibliography1"/>
    <w:basedOn w:val="Normal"/>
    <w:next w:val="Normal"/>
    <w:uiPriority w:val="37"/>
    <w:unhideWhenUsed/>
    <w:rsid w:val="00FF289C"/>
    <w:pPr>
      <w:spacing w:after="200" w:line="276" w:lineRule="auto"/>
    </w:pPr>
    <w:rPr>
      <w:rFonts w:ascii="Calibri" w:eastAsia="Calibri" w:hAnsi="Calibri" w:cstheme="minorBidi"/>
      <w:sz w:val="22"/>
      <w:szCs w:val="22"/>
      <w:lang w:val="en-GB" w:bidi="ar-SA"/>
    </w:rPr>
  </w:style>
  <w:style w:type="paragraph" w:customStyle="1" w:styleId="Author">
    <w:name w:val="Author"/>
    <w:basedOn w:val="Normal"/>
    <w:next w:val="Affiliation"/>
    <w:uiPriority w:val="99"/>
    <w:rsid w:val="00FF289C"/>
    <w:pPr>
      <w:jc w:val="center"/>
    </w:pPr>
    <w:rPr>
      <w:rFonts w:ascii="Georgia" w:eastAsiaTheme="minorEastAsia" w:hAnsi="Georgia" w:cstheme="minorBidi"/>
      <w:b/>
      <w:color w:val="000000"/>
      <w:sz w:val="26"/>
      <w:lang w:val="en-GB" w:bidi="ar-SA"/>
    </w:rPr>
  </w:style>
  <w:style w:type="paragraph" w:customStyle="1" w:styleId="Affiliation">
    <w:name w:val="Affiliation"/>
    <w:basedOn w:val="Normal"/>
    <w:next w:val="Email"/>
    <w:uiPriority w:val="99"/>
    <w:rsid w:val="00FF289C"/>
    <w:pPr>
      <w:jc w:val="center"/>
    </w:pPr>
    <w:rPr>
      <w:rFonts w:ascii="Georgia" w:eastAsiaTheme="minorEastAsia" w:hAnsi="Georgia" w:cstheme="minorBidi"/>
      <w:sz w:val="26"/>
      <w:lang w:val="en-GB" w:bidi="ar-SA"/>
    </w:rPr>
  </w:style>
  <w:style w:type="paragraph" w:customStyle="1" w:styleId="Email">
    <w:name w:val="Email"/>
    <w:basedOn w:val="Affiliation"/>
    <w:uiPriority w:val="99"/>
    <w:rsid w:val="00FF289C"/>
  </w:style>
  <w:style w:type="paragraph" w:styleId="Caption">
    <w:name w:val="caption"/>
    <w:basedOn w:val="Normal"/>
    <w:next w:val="Normal"/>
    <w:uiPriority w:val="99"/>
    <w:qFormat/>
    <w:rsid w:val="00FF289C"/>
    <w:pPr>
      <w:keepNext/>
      <w:spacing w:before="120" w:after="120"/>
      <w:jc w:val="center"/>
    </w:pPr>
    <w:rPr>
      <w:rFonts w:ascii="Georgia" w:eastAsiaTheme="minorEastAsia" w:hAnsi="Georgia" w:cstheme="minorBidi"/>
      <w:b/>
      <w:lang w:val="en-GB" w:bidi="ar-SA"/>
    </w:rPr>
  </w:style>
  <w:style w:type="paragraph" w:styleId="Date">
    <w:name w:val="Date"/>
    <w:basedOn w:val="Normal"/>
    <w:next w:val="Normal"/>
    <w:link w:val="DateChar"/>
    <w:uiPriority w:val="99"/>
    <w:rsid w:val="00FF289C"/>
    <w:pPr>
      <w:spacing w:after="120"/>
      <w:jc w:val="both"/>
    </w:pPr>
    <w:rPr>
      <w:rFonts w:ascii="Georgia" w:eastAsiaTheme="minorEastAsia" w:hAnsi="Georgia" w:cstheme="minorBidi"/>
      <w:lang w:val="en-GB" w:bidi="ar-SA"/>
    </w:rPr>
  </w:style>
  <w:style w:type="character" w:customStyle="1" w:styleId="DateChar">
    <w:name w:val="Date Char"/>
    <w:basedOn w:val="DefaultParagraphFont"/>
    <w:link w:val="Date"/>
    <w:uiPriority w:val="99"/>
    <w:rsid w:val="00FF289C"/>
    <w:rPr>
      <w:rFonts w:ascii="Georgia" w:eastAsiaTheme="minorEastAsia" w:hAnsi="Georgia"/>
      <w:sz w:val="24"/>
      <w:szCs w:val="24"/>
      <w:lang w:val="en-GB" w:eastAsia="ja-JP"/>
    </w:rPr>
  </w:style>
  <w:style w:type="paragraph" w:styleId="DocumentMap">
    <w:name w:val="Document Map"/>
    <w:basedOn w:val="Normal"/>
    <w:link w:val="DocumentMapChar"/>
    <w:uiPriority w:val="99"/>
    <w:semiHidden/>
    <w:rsid w:val="00FF289C"/>
    <w:pPr>
      <w:shd w:val="clear" w:color="auto" w:fill="000080"/>
      <w:spacing w:after="120"/>
      <w:jc w:val="both"/>
    </w:pPr>
    <w:rPr>
      <w:rFonts w:ascii="Tahoma" w:eastAsiaTheme="minorEastAsia" w:hAnsi="Tahoma" w:cstheme="minorBidi"/>
      <w:lang w:val="en-GB"/>
    </w:rPr>
  </w:style>
  <w:style w:type="character" w:customStyle="1" w:styleId="DocumentMapChar">
    <w:name w:val="Document Map Char"/>
    <w:basedOn w:val="DefaultParagraphFont"/>
    <w:link w:val="DocumentMap"/>
    <w:uiPriority w:val="99"/>
    <w:semiHidden/>
    <w:rsid w:val="00FF289C"/>
    <w:rPr>
      <w:rFonts w:ascii="Tahoma" w:eastAsiaTheme="minorEastAsia" w:hAnsi="Tahoma"/>
      <w:sz w:val="24"/>
      <w:szCs w:val="24"/>
      <w:shd w:val="clear" w:color="auto" w:fill="000080"/>
      <w:lang w:val="en-GB" w:eastAsia="ja-JP"/>
    </w:rPr>
  </w:style>
  <w:style w:type="paragraph" w:styleId="Index1">
    <w:name w:val="index 1"/>
    <w:basedOn w:val="Normal"/>
    <w:next w:val="Normal"/>
    <w:autoRedefine/>
    <w:uiPriority w:val="99"/>
    <w:semiHidden/>
    <w:rsid w:val="00FF289C"/>
    <w:pPr>
      <w:spacing w:after="120"/>
      <w:ind w:left="240" w:hanging="240"/>
      <w:jc w:val="both"/>
    </w:pPr>
    <w:rPr>
      <w:rFonts w:ascii="Georgia" w:eastAsiaTheme="minorEastAsia" w:hAnsi="Georgia" w:cstheme="minorBidi"/>
      <w:lang w:val="en-GB" w:bidi="ar-SA"/>
    </w:rPr>
  </w:style>
  <w:style w:type="paragraph" w:styleId="Index2">
    <w:name w:val="index 2"/>
    <w:basedOn w:val="Normal"/>
    <w:next w:val="Normal"/>
    <w:autoRedefine/>
    <w:uiPriority w:val="99"/>
    <w:semiHidden/>
    <w:rsid w:val="00FF289C"/>
    <w:pPr>
      <w:spacing w:after="120"/>
      <w:ind w:left="480" w:hanging="240"/>
      <w:jc w:val="both"/>
    </w:pPr>
    <w:rPr>
      <w:rFonts w:ascii="Georgia" w:eastAsiaTheme="minorEastAsia" w:hAnsi="Georgia" w:cstheme="minorBidi"/>
      <w:lang w:val="en-GB"/>
    </w:rPr>
  </w:style>
  <w:style w:type="paragraph" w:styleId="Index3">
    <w:name w:val="index 3"/>
    <w:basedOn w:val="Normal"/>
    <w:next w:val="Normal"/>
    <w:autoRedefine/>
    <w:uiPriority w:val="99"/>
    <w:semiHidden/>
    <w:rsid w:val="00FF289C"/>
    <w:pPr>
      <w:spacing w:after="120"/>
      <w:ind w:left="720" w:hanging="240"/>
      <w:jc w:val="both"/>
    </w:pPr>
    <w:rPr>
      <w:rFonts w:ascii="Georgia" w:eastAsiaTheme="minorEastAsia" w:hAnsi="Georgia" w:cstheme="minorBidi"/>
      <w:lang w:val="en-GB"/>
    </w:rPr>
  </w:style>
  <w:style w:type="paragraph" w:styleId="Index4">
    <w:name w:val="index 4"/>
    <w:basedOn w:val="Normal"/>
    <w:next w:val="Normal"/>
    <w:autoRedefine/>
    <w:uiPriority w:val="99"/>
    <w:semiHidden/>
    <w:rsid w:val="00FF289C"/>
    <w:pPr>
      <w:spacing w:after="120"/>
      <w:ind w:left="960" w:hanging="240"/>
      <w:jc w:val="both"/>
    </w:pPr>
    <w:rPr>
      <w:rFonts w:ascii="Georgia" w:eastAsiaTheme="minorEastAsia" w:hAnsi="Georgia" w:cstheme="minorBidi"/>
      <w:lang w:val="en-GB"/>
    </w:rPr>
  </w:style>
  <w:style w:type="paragraph" w:styleId="Index5">
    <w:name w:val="index 5"/>
    <w:basedOn w:val="Normal"/>
    <w:next w:val="Normal"/>
    <w:autoRedefine/>
    <w:uiPriority w:val="99"/>
    <w:semiHidden/>
    <w:rsid w:val="00FF289C"/>
    <w:pPr>
      <w:spacing w:after="120"/>
      <w:ind w:left="1200" w:hanging="240"/>
      <w:jc w:val="both"/>
    </w:pPr>
    <w:rPr>
      <w:rFonts w:ascii="Georgia" w:eastAsiaTheme="minorEastAsia" w:hAnsi="Georgia" w:cstheme="minorBidi"/>
      <w:lang w:val="en-GB"/>
    </w:rPr>
  </w:style>
  <w:style w:type="paragraph" w:styleId="Index6">
    <w:name w:val="index 6"/>
    <w:basedOn w:val="Normal"/>
    <w:next w:val="Normal"/>
    <w:autoRedefine/>
    <w:uiPriority w:val="99"/>
    <w:semiHidden/>
    <w:rsid w:val="00FF289C"/>
    <w:pPr>
      <w:spacing w:after="120"/>
      <w:ind w:left="1440" w:hanging="240"/>
      <w:jc w:val="both"/>
    </w:pPr>
    <w:rPr>
      <w:rFonts w:ascii="Georgia" w:eastAsiaTheme="minorEastAsia" w:hAnsi="Georgia" w:cstheme="minorBidi"/>
      <w:lang w:val="en-GB"/>
    </w:rPr>
  </w:style>
  <w:style w:type="paragraph" w:styleId="Index7">
    <w:name w:val="index 7"/>
    <w:basedOn w:val="Normal"/>
    <w:next w:val="Normal"/>
    <w:autoRedefine/>
    <w:uiPriority w:val="99"/>
    <w:semiHidden/>
    <w:rsid w:val="00FF289C"/>
    <w:pPr>
      <w:spacing w:after="120"/>
      <w:ind w:left="1680" w:hanging="240"/>
      <w:jc w:val="both"/>
    </w:pPr>
    <w:rPr>
      <w:rFonts w:ascii="Georgia" w:eastAsiaTheme="minorEastAsia" w:hAnsi="Georgia" w:cstheme="minorBidi"/>
      <w:lang w:val="en-GB"/>
    </w:rPr>
  </w:style>
  <w:style w:type="paragraph" w:styleId="Index8">
    <w:name w:val="index 8"/>
    <w:basedOn w:val="Normal"/>
    <w:next w:val="Normal"/>
    <w:autoRedefine/>
    <w:uiPriority w:val="99"/>
    <w:semiHidden/>
    <w:rsid w:val="00FF289C"/>
    <w:pPr>
      <w:spacing w:after="120"/>
      <w:ind w:left="1920" w:hanging="240"/>
      <w:jc w:val="both"/>
    </w:pPr>
    <w:rPr>
      <w:rFonts w:ascii="Georgia" w:eastAsiaTheme="minorEastAsia" w:hAnsi="Georgia" w:cstheme="minorBidi"/>
      <w:lang w:val="en-GB"/>
    </w:rPr>
  </w:style>
  <w:style w:type="paragraph" w:styleId="Index9">
    <w:name w:val="index 9"/>
    <w:basedOn w:val="Normal"/>
    <w:next w:val="Normal"/>
    <w:autoRedefine/>
    <w:uiPriority w:val="99"/>
    <w:semiHidden/>
    <w:rsid w:val="00FF289C"/>
    <w:pPr>
      <w:spacing w:after="120"/>
      <w:ind w:left="2160" w:hanging="240"/>
      <w:jc w:val="both"/>
    </w:pPr>
    <w:rPr>
      <w:rFonts w:ascii="Georgia" w:eastAsiaTheme="minorEastAsia" w:hAnsi="Georgia" w:cstheme="minorBidi"/>
      <w:lang w:val="en-GB"/>
    </w:rPr>
  </w:style>
  <w:style w:type="paragraph" w:styleId="IndexHeading">
    <w:name w:val="index heading"/>
    <w:basedOn w:val="Normal"/>
    <w:next w:val="Index1"/>
    <w:uiPriority w:val="99"/>
    <w:semiHidden/>
    <w:rsid w:val="00FF289C"/>
    <w:pPr>
      <w:spacing w:after="120"/>
      <w:jc w:val="both"/>
    </w:pPr>
    <w:rPr>
      <w:rFonts w:ascii="Arial" w:eastAsiaTheme="minorEastAsia" w:hAnsi="Arial" w:cstheme="minorBidi"/>
      <w:b/>
      <w:lang w:val="en-GB"/>
    </w:rPr>
  </w:style>
  <w:style w:type="paragraph" w:styleId="ListBullet">
    <w:name w:val="List Bullet"/>
    <w:basedOn w:val="Normal"/>
    <w:autoRedefine/>
    <w:uiPriority w:val="99"/>
    <w:rsid w:val="00FF289C"/>
    <w:pPr>
      <w:tabs>
        <w:tab w:val="num" w:pos="360"/>
      </w:tabs>
      <w:spacing w:after="120"/>
      <w:ind w:left="360" w:hanging="360"/>
      <w:jc w:val="both"/>
    </w:pPr>
    <w:rPr>
      <w:rFonts w:ascii="Georgia" w:eastAsiaTheme="minorEastAsia" w:hAnsi="Georgia" w:cstheme="minorBidi"/>
      <w:lang w:val="en-GB" w:bidi="ar-SA"/>
    </w:rPr>
  </w:style>
  <w:style w:type="paragraph" w:styleId="ListBullet2">
    <w:name w:val="List Bullet 2"/>
    <w:basedOn w:val="Normal"/>
    <w:autoRedefine/>
    <w:uiPriority w:val="99"/>
    <w:rsid w:val="00FF289C"/>
    <w:pPr>
      <w:tabs>
        <w:tab w:val="num" w:pos="720"/>
      </w:tabs>
      <w:spacing w:after="120"/>
      <w:ind w:left="720" w:hanging="360"/>
      <w:jc w:val="both"/>
    </w:pPr>
    <w:rPr>
      <w:rFonts w:ascii="Georgia" w:eastAsiaTheme="minorEastAsia" w:hAnsi="Georgia" w:cstheme="minorBidi"/>
      <w:lang w:val="en-GB" w:bidi="ar-SA"/>
    </w:rPr>
  </w:style>
  <w:style w:type="paragraph" w:styleId="ListBullet3">
    <w:name w:val="List Bullet 3"/>
    <w:basedOn w:val="Normal"/>
    <w:autoRedefine/>
    <w:uiPriority w:val="99"/>
    <w:rsid w:val="00FF289C"/>
    <w:pPr>
      <w:tabs>
        <w:tab w:val="num" w:pos="1080"/>
      </w:tabs>
      <w:spacing w:after="120"/>
      <w:ind w:left="1080" w:hanging="360"/>
      <w:jc w:val="both"/>
    </w:pPr>
    <w:rPr>
      <w:rFonts w:ascii="Georgia" w:eastAsiaTheme="minorEastAsia" w:hAnsi="Georgia" w:cstheme="minorBidi"/>
      <w:lang w:val="en-GB" w:bidi="ar-SA"/>
    </w:rPr>
  </w:style>
  <w:style w:type="paragraph" w:styleId="ListBullet4">
    <w:name w:val="List Bullet 4"/>
    <w:basedOn w:val="Normal"/>
    <w:autoRedefine/>
    <w:uiPriority w:val="99"/>
    <w:rsid w:val="00FF289C"/>
    <w:pPr>
      <w:tabs>
        <w:tab w:val="num" w:pos="1440"/>
      </w:tabs>
      <w:spacing w:after="120"/>
      <w:ind w:left="1440" w:hanging="360"/>
      <w:jc w:val="both"/>
    </w:pPr>
    <w:rPr>
      <w:rFonts w:ascii="Georgia" w:eastAsiaTheme="minorEastAsia" w:hAnsi="Georgia" w:cstheme="minorBidi"/>
      <w:lang w:val="en-GB" w:bidi="ar-SA"/>
    </w:rPr>
  </w:style>
  <w:style w:type="paragraph" w:styleId="ListBullet5">
    <w:name w:val="List Bullet 5"/>
    <w:basedOn w:val="Normal"/>
    <w:autoRedefine/>
    <w:uiPriority w:val="99"/>
    <w:rsid w:val="00FF289C"/>
    <w:pPr>
      <w:tabs>
        <w:tab w:val="num" w:pos="1800"/>
      </w:tabs>
      <w:spacing w:after="120"/>
      <w:ind w:left="1800" w:hanging="360"/>
      <w:jc w:val="both"/>
    </w:pPr>
    <w:rPr>
      <w:rFonts w:ascii="Georgia" w:eastAsiaTheme="minorEastAsia" w:hAnsi="Georgia" w:cstheme="minorBidi"/>
      <w:lang w:val="en-GB" w:bidi="ar-SA"/>
    </w:rPr>
  </w:style>
  <w:style w:type="paragraph" w:styleId="ListNumber">
    <w:name w:val="List Number"/>
    <w:basedOn w:val="Normal"/>
    <w:uiPriority w:val="99"/>
    <w:rsid w:val="00FF289C"/>
    <w:pPr>
      <w:tabs>
        <w:tab w:val="num" w:pos="360"/>
      </w:tabs>
      <w:spacing w:after="120"/>
      <w:ind w:left="360" w:hanging="360"/>
      <w:jc w:val="both"/>
    </w:pPr>
    <w:rPr>
      <w:rFonts w:ascii="Georgia" w:eastAsiaTheme="minorEastAsia" w:hAnsi="Georgia" w:cstheme="minorBidi"/>
      <w:lang w:val="en-GB" w:bidi="ar-SA"/>
    </w:rPr>
  </w:style>
  <w:style w:type="paragraph" w:styleId="ListNumber2">
    <w:name w:val="List Number 2"/>
    <w:basedOn w:val="Normal"/>
    <w:uiPriority w:val="99"/>
    <w:rsid w:val="00FF289C"/>
    <w:pPr>
      <w:tabs>
        <w:tab w:val="num" w:pos="720"/>
      </w:tabs>
      <w:spacing w:after="120"/>
      <w:ind w:left="720" w:hanging="360"/>
      <w:jc w:val="both"/>
    </w:pPr>
    <w:rPr>
      <w:rFonts w:ascii="Georgia" w:eastAsiaTheme="minorEastAsia" w:hAnsi="Georgia" w:cstheme="minorBidi"/>
      <w:lang w:val="en-GB" w:bidi="ar-SA"/>
    </w:rPr>
  </w:style>
  <w:style w:type="paragraph" w:styleId="ListNumber3">
    <w:name w:val="List Number 3"/>
    <w:basedOn w:val="Normal"/>
    <w:uiPriority w:val="99"/>
    <w:rsid w:val="00FF289C"/>
    <w:pPr>
      <w:tabs>
        <w:tab w:val="num" w:pos="1080"/>
      </w:tabs>
      <w:spacing w:after="120"/>
      <w:ind w:left="1080" w:hanging="360"/>
      <w:jc w:val="both"/>
    </w:pPr>
    <w:rPr>
      <w:rFonts w:ascii="Georgia" w:eastAsiaTheme="minorEastAsia" w:hAnsi="Georgia" w:cstheme="minorBidi"/>
      <w:lang w:val="en-GB" w:bidi="ar-SA"/>
    </w:rPr>
  </w:style>
  <w:style w:type="paragraph" w:styleId="ListNumber4">
    <w:name w:val="List Number 4"/>
    <w:basedOn w:val="Normal"/>
    <w:uiPriority w:val="99"/>
    <w:rsid w:val="00FF289C"/>
    <w:pPr>
      <w:tabs>
        <w:tab w:val="num" w:pos="1440"/>
      </w:tabs>
      <w:spacing w:after="120"/>
      <w:ind w:left="1440" w:hanging="360"/>
      <w:jc w:val="both"/>
    </w:pPr>
    <w:rPr>
      <w:rFonts w:ascii="Georgia" w:eastAsiaTheme="minorEastAsia" w:hAnsi="Georgia" w:cstheme="minorBidi"/>
      <w:lang w:val="en-GB" w:bidi="ar-SA"/>
    </w:rPr>
  </w:style>
  <w:style w:type="paragraph" w:styleId="ListNumber5">
    <w:name w:val="List Number 5"/>
    <w:basedOn w:val="Normal"/>
    <w:uiPriority w:val="99"/>
    <w:rsid w:val="00FF289C"/>
    <w:pPr>
      <w:tabs>
        <w:tab w:val="num" w:pos="1800"/>
      </w:tabs>
      <w:spacing w:after="120"/>
      <w:ind w:left="1800" w:hanging="360"/>
      <w:jc w:val="both"/>
    </w:pPr>
    <w:rPr>
      <w:rFonts w:ascii="Georgia" w:eastAsiaTheme="minorEastAsia" w:hAnsi="Georgia" w:cstheme="minorBidi"/>
      <w:lang w:val="en-GB" w:bidi="ar-SA"/>
    </w:rPr>
  </w:style>
  <w:style w:type="paragraph" w:styleId="MacroText">
    <w:name w:val="macro"/>
    <w:link w:val="MacroTextChar"/>
    <w:uiPriority w:val="99"/>
    <w:semiHidden/>
    <w:rsid w:val="00FF289C"/>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Times New Roman"/>
      <w:sz w:val="20"/>
      <w:szCs w:val="20"/>
    </w:rPr>
  </w:style>
  <w:style w:type="character" w:customStyle="1" w:styleId="MacroTextChar">
    <w:name w:val="Macro Text Char"/>
    <w:basedOn w:val="DefaultParagraphFont"/>
    <w:link w:val="MacroText"/>
    <w:uiPriority w:val="99"/>
    <w:semiHidden/>
    <w:rsid w:val="00FF289C"/>
    <w:rPr>
      <w:rFonts w:ascii="Courier New" w:eastAsia="Times New Roman" w:hAnsi="Courier New" w:cs="Times New Roman"/>
      <w:sz w:val="20"/>
      <w:szCs w:val="20"/>
    </w:rPr>
  </w:style>
  <w:style w:type="paragraph" w:styleId="NoteHeading">
    <w:name w:val="Note Heading"/>
    <w:basedOn w:val="Normal"/>
    <w:next w:val="Normal"/>
    <w:link w:val="NoteHeadingChar"/>
    <w:uiPriority w:val="99"/>
    <w:rsid w:val="00FF289C"/>
    <w:pPr>
      <w:spacing w:after="120"/>
      <w:jc w:val="both"/>
    </w:pPr>
    <w:rPr>
      <w:rFonts w:ascii="Georgia" w:eastAsiaTheme="minorEastAsia" w:hAnsi="Georgia" w:cstheme="minorBidi"/>
      <w:lang w:val="en-GB" w:bidi="ar-SA"/>
    </w:rPr>
  </w:style>
  <w:style w:type="character" w:customStyle="1" w:styleId="NoteHeadingChar">
    <w:name w:val="Note Heading Char"/>
    <w:basedOn w:val="DefaultParagraphFont"/>
    <w:link w:val="NoteHeading"/>
    <w:uiPriority w:val="99"/>
    <w:rsid w:val="00FF289C"/>
    <w:rPr>
      <w:rFonts w:ascii="Georgia" w:eastAsiaTheme="minorEastAsia" w:hAnsi="Georgia"/>
      <w:sz w:val="24"/>
      <w:szCs w:val="24"/>
      <w:lang w:val="en-GB" w:eastAsia="ja-JP"/>
    </w:rPr>
  </w:style>
  <w:style w:type="paragraph" w:styleId="TableofAuthorities">
    <w:name w:val="table of authorities"/>
    <w:basedOn w:val="Normal"/>
    <w:next w:val="Normal"/>
    <w:uiPriority w:val="99"/>
    <w:semiHidden/>
    <w:rsid w:val="00FF289C"/>
    <w:pPr>
      <w:spacing w:after="120"/>
      <w:ind w:left="240" w:hanging="240"/>
      <w:jc w:val="both"/>
    </w:pPr>
    <w:rPr>
      <w:rFonts w:ascii="Georgia" w:eastAsiaTheme="minorEastAsia" w:hAnsi="Georgia" w:cstheme="minorBidi"/>
      <w:lang w:val="en-GB"/>
    </w:rPr>
  </w:style>
  <w:style w:type="paragraph" w:styleId="TableofFigures">
    <w:name w:val="table of figures"/>
    <w:basedOn w:val="Normal"/>
    <w:next w:val="Normal"/>
    <w:uiPriority w:val="99"/>
    <w:semiHidden/>
    <w:rsid w:val="00FF289C"/>
    <w:pPr>
      <w:spacing w:after="120"/>
      <w:ind w:left="480" w:hanging="480"/>
      <w:jc w:val="both"/>
    </w:pPr>
    <w:rPr>
      <w:rFonts w:ascii="Georgia" w:eastAsiaTheme="minorEastAsia" w:hAnsi="Georgia" w:cstheme="minorBidi"/>
      <w:lang w:val="en-GB"/>
    </w:rPr>
  </w:style>
  <w:style w:type="paragraph" w:styleId="TOAHeading">
    <w:name w:val="toa heading"/>
    <w:basedOn w:val="Normal"/>
    <w:next w:val="Normal"/>
    <w:uiPriority w:val="99"/>
    <w:semiHidden/>
    <w:rsid w:val="00FF289C"/>
    <w:pPr>
      <w:spacing w:before="120" w:after="120"/>
      <w:jc w:val="both"/>
    </w:pPr>
    <w:rPr>
      <w:rFonts w:ascii="Arial" w:eastAsiaTheme="minorEastAsia" w:hAnsi="Arial" w:cstheme="minorBidi"/>
      <w:b/>
      <w:lang w:val="en-GB"/>
    </w:rPr>
  </w:style>
  <w:style w:type="paragraph" w:styleId="TOC1">
    <w:name w:val="toc 1"/>
    <w:basedOn w:val="Normal"/>
    <w:next w:val="Normal"/>
    <w:autoRedefine/>
    <w:uiPriority w:val="99"/>
    <w:semiHidden/>
    <w:rsid w:val="00FF289C"/>
    <w:pPr>
      <w:spacing w:after="120"/>
      <w:jc w:val="both"/>
    </w:pPr>
    <w:rPr>
      <w:rFonts w:ascii="Georgia" w:eastAsiaTheme="minorEastAsia" w:hAnsi="Georgia" w:cstheme="minorBidi"/>
      <w:lang w:val="en-GB" w:bidi="ar-SA"/>
    </w:rPr>
  </w:style>
  <w:style w:type="paragraph" w:styleId="TOC2">
    <w:name w:val="toc 2"/>
    <w:basedOn w:val="Normal"/>
    <w:next w:val="Normal"/>
    <w:autoRedefine/>
    <w:uiPriority w:val="99"/>
    <w:semiHidden/>
    <w:rsid w:val="00FF289C"/>
    <w:pPr>
      <w:spacing w:after="120"/>
      <w:ind w:left="240"/>
      <w:jc w:val="both"/>
    </w:pPr>
    <w:rPr>
      <w:rFonts w:ascii="Georgia" w:eastAsiaTheme="minorEastAsia" w:hAnsi="Georgia" w:cstheme="minorBidi"/>
      <w:lang w:val="en-GB"/>
    </w:rPr>
  </w:style>
  <w:style w:type="paragraph" w:styleId="TOC3">
    <w:name w:val="toc 3"/>
    <w:basedOn w:val="Normal"/>
    <w:next w:val="Normal"/>
    <w:autoRedefine/>
    <w:uiPriority w:val="99"/>
    <w:semiHidden/>
    <w:rsid w:val="00FF289C"/>
    <w:pPr>
      <w:spacing w:after="120"/>
      <w:ind w:left="480"/>
      <w:jc w:val="both"/>
    </w:pPr>
    <w:rPr>
      <w:rFonts w:ascii="Georgia" w:eastAsiaTheme="minorEastAsia" w:hAnsi="Georgia" w:cstheme="minorBidi"/>
      <w:lang w:val="en-GB"/>
    </w:rPr>
  </w:style>
  <w:style w:type="paragraph" w:styleId="TOC4">
    <w:name w:val="toc 4"/>
    <w:basedOn w:val="Normal"/>
    <w:next w:val="Normal"/>
    <w:autoRedefine/>
    <w:uiPriority w:val="99"/>
    <w:semiHidden/>
    <w:rsid w:val="00FF289C"/>
    <w:pPr>
      <w:spacing w:after="120"/>
      <w:ind w:left="720"/>
      <w:jc w:val="both"/>
    </w:pPr>
    <w:rPr>
      <w:rFonts w:ascii="Georgia" w:eastAsiaTheme="minorEastAsia" w:hAnsi="Georgia" w:cstheme="minorBidi"/>
      <w:lang w:val="en-GB"/>
    </w:rPr>
  </w:style>
  <w:style w:type="paragraph" w:styleId="TOC5">
    <w:name w:val="toc 5"/>
    <w:basedOn w:val="Normal"/>
    <w:next w:val="Normal"/>
    <w:autoRedefine/>
    <w:uiPriority w:val="99"/>
    <w:semiHidden/>
    <w:rsid w:val="00FF289C"/>
    <w:pPr>
      <w:spacing w:after="120"/>
      <w:ind w:left="960"/>
      <w:jc w:val="both"/>
    </w:pPr>
    <w:rPr>
      <w:rFonts w:ascii="Georgia" w:eastAsiaTheme="minorEastAsia" w:hAnsi="Georgia" w:cstheme="minorBidi"/>
      <w:lang w:val="en-GB"/>
    </w:rPr>
  </w:style>
  <w:style w:type="paragraph" w:styleId="TOC6">
    <w:name w:val="toc 6"/>
    <w:basedOn w:val="Normal"/>
    <w:next w:val="Normal"/>
    <w:autoRedefine/>
    <w:uiPriority w:val="99"/>
    <w:semiHidden/>
    <w:rsid w:val="00FF289C"/>
    <w:pPr>
      <w:spacing w:after="120"/>
      <w:ind w:left="1200"/>
      <w:jc w:val="both"/>
    </w:pPr>
    <w:rPr>
      <w:rFonts w:ascii="Georgia" w:eastAsiaTheme="minorEastAsia" w:hAnsi="Georgia" w:cstheme="minorBidi"/>
      <w:lang w:val="en-GB"/>
    </w:rPr>
  </w:style>
  <w:style w:type="paragraph" w:styleId="TOC7">
    <w:name w:val="toc 7"/>
    <w:basedOn w:val="Normal"/>
    <w:next w:val="Normal"/>
    <w:autoRedefine/>
    <w:uiPriority w:val="99"/>
    <w:semiHidden/>
    <w:rsid w:val="00FF289C"/>
    <w:pPr>
      <w:spacing w:after="120"/>
      <w:ind w:left="1440"/>
      <w:jc w:val="both"/>
    </w:pPr>
    <w:rPr>
      <w:rFonts w:ascii="Georgia" w:eastAsiaTheme="minorEastAsia" w:hAnsi="Georgia" w:cstheme="minorBidi"/>
      <w:lang w:val="en-GB"/>
    </w:rPr>
  </w:style>
  <w:style w:type="paragraph" w:styleId="TOC8">
    <w:name w:val="toc 8"/>
    <w:basedOn w:val="Normal"/>
    <w:next w:val="Normal"/>
    <w:autoRedefine/>
    <w:uiPriority w:val="99"/>
    <w:semiHidden/>
    <w:rsid w:val="00FF289C"/>
    <w:pPr>
      <w:spacing w:after="120"/>
      <w:ind w:left="1680"/>
      <w:jc w:val="both"/>
    </w:pPr>
    <w:rPr>
      <w:rFonts w:ascii="Georgia" w:eastAsiaTheme="minorEastAsia" w:hAnsi="Georgia" w:cstheme="minorBidi"/>
      <w:lang w:val="en-GB"/>
    </w:rPr>
  </w:style>
  <w:style w:type="paragraph" w:styleId="TOC9">
    <w:name w:val="toc 9"/>
    <w:basedOn w:val="Normal"/>
    <w:next w:val="Normal"/>
    <w:autoRedefine/>
    <w:uiPriority w:val="99"/>
    <w:semiHidden/>
    <w:rsid w:val="00FF289C"/>
    <w:pPr>
      <w:spacing w:after="120"/>
      <w:ind w:left="1920"/>
      <w:jc w:val="both"/>
    </w:pPr>
    <w:rPr>
      <w:rFonts w:ascii="Georgia" w:eastAsiaTheme="minorEastAsia" w:hAnsi="Georgia" w:cstheme="minorBidi"/>
      <w:lang w:val="en-GB"/>
    </w:rPr>
  </w:style>
  <w:style w:type="paragraph" w:customStyle="1" w:styleId="Bullet">
    <w:name w:val="Bullet"/>
    <w:basedOn w:val="Normal"/>
    <w:uiPriority w:val="99"/>
    <w:rsid w:val="00FF289C"/>
    <w:pPr>
      <w:numPr>
        <w:numId w:val="1"/>
      </w:numPr>
      <w:tabs>
        <w:tab w:val="clear" w:pos="720"/>
        <w:tab w:val="left" w:pos="180"/>
      </w:tabs>
      <w:overflowPunct w:val="0"/>
      <w:autoSpaceDE w:val="0"/>
      <w:autoSpaceDN w:val="0"/>
      <w:adjustRightInd w:val="0"/>
      <w:spacing w:after="80"/>
      <w:ind w:left="180" w:hanging="180"/>
      <w:jc w:val="both"/>
      <w:textAlignment w:val="baseline"/>
    </w:pPr>
    <w:rPr>
      <w:rFonts w:ascii="Georgia" w:eastAsiaTheme="minorEastAsia" w:hAnsi="Georgia" w:cstheme="minorBidi"/>
      <w:lang w:val="en-GB" w:bidi="ar-SA"/>
    </w:rPr>
  </w:style>
  <w:style w:type="paragraph" w:customStyle="1" w:styleId="References">
    <w:name w:val="References"/>
    <w:basedOn w:val="Normal"/>
    <w:autoRedefine/>
    <w:uiPriority w:val="99"/>
    <w:rsid w:val="00FF289C"/>
    <w:pPr>
      <w:overflowPunct w:val="0"/>
      <w:autoSpaceDE w:val="0"/>
      <w:autoSpaceDN w:val="0"/>
      <w:adjustRightInd w:val="0"/>
      <w:ind w:left="360" w:hanging="360"/>
      <w:jc w:val="both"/>
      <w:textAlignment w:val="baseline"/>
    </w:pPr>
    <w:rPr>
      <w:rFonts w:ascii="Georgia" w:eastAsiaTheme="minorEastAsia" w:hAnsi="Georgia" w:cstheme="minorBidi"/>
      <w:lang w:val="en-GB" w:bidi="ar-SA"/>
    </w:rPr>
  </w:style>
  <w:style w:type="paragraph" w:customStyle="1" w:styleId="AbstractHeader">
    <w:name w:val="AbstractHeader"/>
    <w:basedOn w:val="Normal"/>
    <w:next w:val="AbstractText"/>
    <w:uiPriority w:val="99"/>
    <w:rsid w:val="00FF289C"/>
    <w:pPr>
      <w:spacing w:before="200" w:after="200"/>
      <w:jc w:val="center"/>
    </w:pPr>
    <w:rPr>
      <w:rFonts w:ascii="Georgia" w:eastAsiaTheme="minorEastAsia" w:hAnsi="Georgia" w:cstheme="minorBidi"/>
      <w:b/>
      <w:kern w:val="28"/>
      <w:sz w:val="26"/>
      <w:szCs w:val="26"/>
      <w:lang w:val="en-GB" w:bidi="ar-SA"/>
    </w:rPr>
  </w:style>
  <w:style w:type="paragraph" w:customStyle="1" w:styleId="AbstractText">
    <w:name w:val="AbstractText"/>
    <w:basedOn w:val="Normal"/>
    <w:next w:val="Keyword"/>
    <w:uiPriority w:val="99"/>
    <w:rsid w:val="00FF289C"/>
    <w:pPr>
      <w:spacing w:after="200"/>
      <w:ind w:left="720" w:right="720"/>
      <w:jc w:val="both"/>
    </w:pPr>
    <w:rPr>
      <w:rFonts w:ascii="Georgia" w:eastAsiaTheme="minorEastAsia" w:hAnsi="Georgia" w:cstheme="minorBidi"/>
      <w:i/>
      <w:lang w:val="en-GB" w:bidi="ar-SA"/>
    </w:rPr>
  </w:style>
  <w:style w:type="paragraph" w:customStyle="1" w:styleId="Keyword">
    <w:name w:val="Keyword"/>
    <w:basedOn w:val="Normal"/>
    <w:next w:val="Heading1"/>
    <w:link w:val="KeywordChar"/>
    <w:uiPriority w:val="99"/>
    <w:rsid w:val="00FF289C"/>
    <w:pPr>
      <w:ind w:firstLine="720"/>
      <w:jc w:val="both"/>
    </w:pPr>
    <w:rPr>
      <w:rFonts w:ascii="Arial" w:eastAsia="SimSun" w:hAnsi="Arial" w:cstheme="minorBidi"/>
      <w:lang w:val="en-GB" w:bidi="ar-SA"/>
    </w:rPr>
  </w:style>
  <w:style w:type="character" w:customStyle="1" w:styleId="KeywordChar">
    <w:name w:val="Keyword Char"/>
    <w:link w:val="Keyword"/>
    <w:uiPriority w:val="99"/>
    <w:rsid w:val="00FF289C"/>
    <w:rPr>
      <w:rFonts w:ascii="Arial" w:eastAsia="SimSun" w:hAnsi="Arial"/>
      <w:sz w:val="24"/>
      <w:szCs w:val="24"/>
      <w:lang w:val="en-GB" w:eastAsia="ja-JP"/>
    </w:rPr>
  </w:style>
  <w:style w:type="paragraph" w:customStyle="1" w:styleId="Figure">
    <w:name w:val="Figure"/>
    <w:basedOn w:val="Normal"/>
    <w:uiPriority w:val="99"/>
    <w:rsid w:val="00FF289C"/>
    <w:pPr>
      <w:jc w:val="both"/>
    </w:pPr>
    <w:rPr>
      <w:rFonts w:ascii="Georgia" w:eastAsiaTheme="minorEastAsia" w:hAnsi="Georgia" w:cstheme="minorBidi"/>
      <w:lang w:val="en-GB" w:bidi="ar-SA"/>
    </w:rPr>
  </w:style>
  <w:style w:type="paragraph" w:customStyle="1" w:styleId="Copyright">
    <w:name w:val="Copyright"/>
    <w:basedOn w:val="Normal"/>
    <w:uiPriority w:val="99"/>
    <w:rsid w:val="00FF289C"/>
    <w:pPr>
      <w:framePr w:w="4680" w:h="1977" w:hRule="exact" w:hSpace="187" w:wrap="auto" w:vAnchor="page" w:hAnchor="page" w:x="1155" w:y="12605" w:anchorLock="1"/>
      <w:jc w:val="both"/>
    </w:pPr>
    <w:rPr>
      <w:rFonts w:ascii="Georgia" w:eastAsiaTheme="minorEastAsia" w:hAnsi="Georgia" w:cstheme="minorBidi"/>
      <w:sz w:val="16"/>
      <w:lang w:val="en-GB" w:bidi="ar-SA"/>
    </w:rPr>
  </w:style>
  <w:style w:type="paragraph" w:customStyle="1" w:styleId="TableText">
    <w:name w:val="Table Text"/>
    <w:basedOn w:val="Normal"/>
    <w:uiPriority w:val="99"/>
    <w:rsid w:val="00FF289C"/>
    <w:pPr>
      <w:keepLines/>
      <w:spacing w:before="40" w:after="40"/>
    </w:pPr>
    <w:rPr>
      <w:rFonts w:ascii="Georgia" w:eastAsiaTheme="minorEastAsia" w:hAnsi="Georgia" w:cstheme="minorBidi"/>
      <w:lang w:val="en-GB" w:bidi="ar-SA"/>
    </w:rPr>
  </w:style>
  <w:style w:type="paragraph" w:customStyle="1" w:styleId="SpecialStyle">
    <w:name w:val="SpecialStyle"/>
    <w:basedOn w:val="Normal"/>
    <w:link w:val="SpecialStyleChar"/>
    <w:rsid w:val="00FF289C"/>
    <w:pPr>
      <w:spacing w:after="120"/>
      <w:jc w:val="both"/>
    </w:pPr>
    <w:rPr>
      <w:rFonts w:ascii="Courier New" w:eastAsia="SimSun" w:hAnsi="Courier New" w:cstheme="minorBidi"/>
      <w:lang w:val="en-GB" w:bidi="ar-SA"/>
    </w:rPr>
  </w:style>
  <w:style w:type="character" w:customStyle="1" w:styleId="SpecialStyleChar">
    <w:name w:val="SpecialStyle Char"/>
    <w:link w:val="SpecialStyle"/>
    <w:rsid w:val="00FF289C"/>
    <w:rPr>
      <w:rFonts w:ascii="Courier New" w:eastAsia="SimSun" w:hAnsi="Courier New"/>
      <w:sz w:val="24"/>
      <w:szCs w:val="24"/>
      <w:lang w:val="en-GB" w:eastAsia="ja-JP"/>
    </w:rPr>
  </w:style>
  <w:style w:type="paragraph" w:customStyle="1" w:styleId="FigureCaption">
    <w:name w:val="FigureCaption"/>
    <w:autoRedefine/>
    <w:uiPriority w:val="99"/>
    <w:rsid w:val="00FF289C"/>
    <w:pPr>
      <w:spacing w:before="120" w:after="120" w:line="240" w:lineRule="auto"/>
      <w:jc w:val="center"/>
    </w:pPr>
    <w:rPr>
      <w:rFonts w:ascii="Times New Roman" w:eastAsia="Times New Roman" w:hAnsi="Times New Roman" w:cs="Times New Roman"/>
      <w:b/>
      <w:sz w:val="20"/>
      <w:szCs w:val="20"/>
    </w:rPr>
  </w:style>
  <w:style w:type="paragraph" w:customStyle="1" w:styleId="TableCaption">
    <w:name w:val="TableCaption"/>
    <w:basedOn w:val="FigureCaption"/>
    <w:uiPriority w:val="99"/>
    <w:rsid w:val="00FF289C"/>
  </w:style>
  <w:style w:type="paragraph" w:customStyle="1" w:styleId="TrackName">
    <w:name w:val="TrackName"/>
    <w:basedOn w:val="Email"/>
    <w:uiPriority w:val="99"/>
    <w:rsid w:val="00FF289C"/>
    <w:pPr>
      <w:spacing w:after="120"/>
    </w:pPr>
    <w:rPr>
      <w:i/>
      <w:sz w:val="24"/>
    </w:rPr>
  </w:style>
  <w:style w:type="paragraph" w:customStyle="1" w:styleId="Basictext">
    <w:name w:val="Basic text"/>
    <w:uiPriority w:val="99"/>
    <w:rsid w:val="00FF289C"/>
    <w:pPr>
      <w:spacing w:before="120" w:after="0" w:line="240" w:lineRule="auto"/>
      <w:jc w:val="both"/>
    </w:pPr>
    <w:rPr>
      <w:rFonts w:ascii="Times New Roman" w:eastAsia="PMingLiU" w:hAnsi="Times New Roman" w:cs="Arial"/>
      <w:color w:val="000000"/>
      <w:szCs w:val="15"/>
      <w:lang w:val="en-GB"/>
    </w:rPr>
  </w:style>
  <w:style w:type="table" w:styleId="TableGrid7">
    <w:name w:val="Table Grid 7"/>
    <w:basedOn w:val="TableNormal"/>
    <w:rsid w:val="00FF289C"/>
    <w:pPr>
      <w:spacing w:after="120" w:line="240" w:lineRule="auto"/>
      <w:jc w:val="both"/>
    </w:pPr>
    <w:rPr>
      <w:rFonts w:ascii="Times" w:eastAsia="SimSun" w:hAnsi="Times" w:cs="Times New Roman"/>
      <w:b/>
      <w:bCs/>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customStyle="1" w:styleId="Referencelist">
    <w:name w:val="Reference list"/>
    <w:basedOn w:val="Basictext"/>
    <w:uiPriority w:val="99"/>
    <w:rsid w:val="00FF289C"/>
    <w:pPr>
      <w:spacing w:before="0"/>
      <w:ind w:left="284" w:hanging="284"/>
      <w:jc w:val="left"/>
    </w:pPr>
  </w:style>
  <w:style w:type="table" w:customStyle="1" w:styleId="TableGrid2">
    <w:name w:val="Table Grid2"/>
    <w:basedOn w:val="TableNormal"/>
    <w:next w:val="TableGrid"/>
    <w:uiPriority w:val="59"/>
    <w:rsid w:val="00FF289C"/>
    <w:pPr>
      <w:spacing w:after="0" w:line="240" w:lineRule="auto"/>
    </w:pPr>
    <w:rPr>
      <w:rFonts w:ascii="Calibri" w:eastAsiaTheme="minorEastAsia" w:hAnsi="Calibri" w:cs="Calibri"/>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DefaultParagraphFont"/>
    <w:rsid w:val="00FF289C"/>
  </w:style>
  <w:style w:type="table" w:customStyle="1" w:styleId="LightList-Accent11">
    <w:name w:val="Light List - Accent 11"/>
    <w:basedOn w:val="TableNormal"/>
    <w:uiPriority w:val="61"/>
    <w:rsid w:val="00FF289C"/>
    <w:pPr>
      <w:spacing w:after="0" w:line="240" w:lineRule="auto"/>
    </w:pPr>
    <w:rPr>
      <w:rFonts w:eastAsiaTheme="minorEastAsia"/>
      <w:sz w:val="24"/>
      <w:szCs w:val="24"/>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ColorfulList1">
    <w:name w:val="Colorful List1"/>
    <w:basedOn w:val="TableNormal"/>
    <w:uiPriority w:val="72"/>
    <w:rsid w:val="00FF289C"/>
    <w:pPr>
      <w:spacing w:after="0" w:line="240" w:lineRule="auto"/>
    </w:pPr>
    <w:rPr>
      <w:rFonts w:eastAsiaTheme="minorEastAsia"/>
      <w:color w:val="000000" w:themeColor="text1"/>
      <w:sz w:val="24"/>
      <w:szCs w:val="24"/>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character" w:customStyle="1" w:styleId="timertqticker">
    <w:name w:val="time_rtq_ticker"/>
    <w:basedOn w:val="DefaultParagraphFont"/>
    <w:rsid w:val="00FF289C"/>
  </w:style>
  <w:style w:type="table" w:customStyle="1" w:styleId="TableGrid3">
    <w:name w:val="Table Grid3"/>
    <w:basedOn w:val="TableNormal"/>
    <w:next w:val="TableGrid"/>
    <w:uiPriority w:val="59"/>
    <w:rsid w:val="00FF289C"/>
    <w:pPr>
      <w:spacing w:after="0" w:line="240" w:lineRule="auto"/>
    </w:pPr>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graph-footer">
    <w:name w:val="graph-footer"/>
    <w:basedOn w:val="Normal"/>
    <w:uiPriority w:val="99"/>
    <w:rsid w:val="00FF289C"/>
    <w:pPr>
      <w:spacing w:before="100" w:beforeAutospacing="1" w:after="100" w:afterAutospacing="1"/>
    </w:pPr>
    <w:rPr>
      <w:rFonts w:eastAsiaTheme="minorEastAsia" w:cstheme="minorBidi"/>
      <w:lang w:val="en-GB" w:bidi="ar-SA"/>
    </w:rPr>
  </w:style>
  <w:style w:type="paragraph" w:customStyle="1" w:styleId="Pa13">
    <w:name w:val="Pa13"/>
    <w:basedOn w:val="Normal"/>
    <w:next w:val="Normal"/>
    <w:uiPriority w:val="99"/>
    <w:rsid w:val="00FF289C"/>
    <w:pPr>
      <w:autoSpaceDE w:val="0"/>
      <w:autoSpaceDN w:val="0"/>
      <w:adjustRightInd w:val="0"/>
      <w:spacing w:line="181" w:lineRule="atLeast"/>
    </w:pPr>
    <w:rPr>
      <w:rFonts w:ascii="Museo Sans Rounded 300" w:eastAsiaTheme="minorHAnsi" w:hAnsi="Museo Sans Rounded 300" w:cstheme="minorBidi"/>
      <w:lang w:bidi="ar-SA"/>
    </w:rPr>
  </w:style>
  <w:style w:type="character" w:customStyle="1" w:styleId="A9">
    <w:name w:val="A9"/>
    <w:uiPriority w:val="99"/>
    <w:rsid w:val="00FF289C"/>
    <w:rPr>
      <w:rFonts w:ascii="Museo Sans Rounded 300" w:hAnsi="Museo Sans Rounded 300" w:cs="Museo Sans Rounded 300" w:hint="default"/>
      <w:color w:val="000000"/>
      <w:sz w:val="16"/>
      <w:szCs w:val="16"/>
    </w:rPr>
  </w:style>
  <w:style w:type="character" w:customStyle="1" w:styleId="FootnoteTextChar1">
    <w:name w:val="Footnote Text Char1"/>
    <w:aliases w:val="Char Char1"/>
    <w:basedOn w:val="DefaultParagraphFont"/>
    <w:uiPriority w:val="99"/>
    <w:semiHidden/>
    <w:rsid w:val="00FF289C"/>
    <w:rPr>
      <w:rFonts w:ascii="Times New Roman" w:eastAsia="Times New Roman" w:hAnsi="Times New Roman" w:cs="Times New Roman"/>
      <w:sz w:val="20"/>
      <w:szCs w:val="20"/>
    </w:rPr>
  </w:style>
  <w:style w:type="character" w:styleId="HTMLCite">
    <w:name w:val="HTML Cite"/>
    <w:basedOn w:val="DefaultParagraphFont"/>
    <w:uiPriority w:val="99"/>
    <w:semiHidden/>
    <w:unhideWhenUsed/>
    <w:rsid w:val="00FF289C"/>
    <w:rPr>
      <w:i/>
      <w:iCs/>
    </w:rPr>
  </w:style>
  <w:style w:type="table" w:customStyle="1" w:styleId="TableGrid4">
    <w:name w:val="Table Grid4"/>
    <w:basedOn w:val="TableNormal"/>
    <w:next w:val="TableGrid"/>
    <w:uiPriority w:val="59"/>
    <w:rsid w:val="00FF289C"/>
    <w:pPr>
      <w:spacing w:after="0" w:line="240" w:lineRule="auto"/>
    </w:pPr>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eGrid41">
    <w:name w:val="Table Grid41"/>
    <w:basedOn w:val="TableNormal"/>
    <w:next w:val="TableGrid"/>
    <w:uiPriority w:val="59"/>
    <w:rsid w:val="00FF289C"/>
    <w:pPr>
      <w:spacing w:after="0" w:line="240" w:lineRule="auto"/>
    </w:pPr>
    <w:rPr>
      <w:rFonts w:ascii="Calibri" w:eastAsiaTheme="minorEastAsia" w:hAnsi="Calibri" w:cs="Calibri"/>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
    <w:name w:val="正文1"/>
    <w:rsid w:val="00FF289C"/>
    <w:pPr>
      <w:widowControl w:val="0"/>
      <w:spacing w:after="0" w:line="240" w:lineRule="auto"/>
      <w:jc w:val="both"/>
    </w:pPr>
    <w:rPr>
      <w:rFonts w:ascii="Domine" w:eastAsiaTheme="minorEastAsia" w:hAnsi="Domine" w:cs="Domine"/>
      <w:color w:val="000000"/>
      <w:sz w:val="24"/>
      <w:szCs w:val="24"/>
      <w:lang w:eastAsia="ja-JP"/>
    </w:rPr>
  </w:style>
  <w:style w:type="table" w:customStyle="1" w:styleId="PlainTable31">
    <w:name w:val="Plain Table 31"/>
    <w:basedOn w:val="TableNormal"/>
    <w:next w:val="PlainTable32"/>
    <w:uiPriority w:val="43"/>
    <w:rsid w:val="00FF289C"/>
    <w:pPr>
      <w:spacing w:after="0" w:line="240" w:lineRule="auto"/>
    </w:pPr>
    <w:rPr>
      <w:rFonts w:eastAsia="Calibri"/>
      <w:szCs w:val="28"/>
      <w:lang w:val="en-AU" w:bidi="th-TH"/>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PlainTable32">
    <w:name w:val="Plain Table 32"/>
    <w:basedOn w:val="TableNormal"/>
    <w:uiPriority w:val="43"/>
    <w:rsid w:val="00FF289C"/>
    <w:pPr>
      <w:spacing w:after="0" w:line="240" w:lineRule="auto"/>
    </w:pPr>
    <w:rPr>
      <w:rFonts w:eastAsiaTheme="minorEastAsia"/>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Bibliography">
    <w:name w:val="Bibliography"/>
    <w:basedOn w:val="Normal"/>
    <w:next w:val="Normal"/>
    <w:uiPriority w:val="37"/>
    <w:unhideWhenUsed/>
    <w:rsid w:val="00FF289C"/>
    <w:pPr>
      <w:spacing w:after="200" w:line="276" w:lineRule="auto"/>
    </w:pPr>
    <w:rPr>
      <w:rFonts w:asciiTheme="minorHAnsi" w:eastAsiaTheme="minorHAnsi" w:hAnsiTheme="minorHAnsi" w:cstheme="minorBidi"/>
      <w:sz w:val="22"/>
      <w:szCs w:val="28"/>
      <w:lang w:val="en-AU"/>
    </w:rPr>
  </w:style>
  <w:style w:type="table" w:customStyle="1" w:styleId="TableGrid70">
    <w:name w:val="Table Grid7"/>
    <w:basedOn w:val="TableNormal"/>
    <w:next w:val="TableGrid"/>
    <w:uiPriority w:val="59"/>
    <w:rsid w:val="00FF289C"/>
    <w:pPr>
      <w:spacing w:after="0" w:line="240" w:lineRule="auto"/>
    </w:pPr>
    <w:rPr>
      <w:rFonts w:ascii="Calibri" w:eastAsia="Times New Roman" w:hAnsi="Calibri" w:cs="Calibri"/>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mnc-middle">
    <w:name w:val="cmnc-middle"/>
    <w:basedOn w:val="DefaultParagraphFont"/>
    <w:rsid w:val="00FF289C"/>
  </w:style>
  <w:style w:type="character" w:customStyle="1" w:styleId="link-underline-sm">
    <w:name w:val="link-underline-sm"/>
    <w:basedOn w:val="DefaultParagraphFont"/>
    <w:rsid w:val="00FF289C"/>
  </w:style>
  <w:style w:type="paragraph" w:customStyle="1" w:styleId="html-slice">
    <w:name w:val="html-slice"/>
    <w:basedOn w:val="Normal"/>
    <w:rsid w:val="00FF289C"/>
    <w:pPr>
      <w:spacing w:before="100" w:beforeAutospacing="1" w:after="100" w:afterAutospacing="1"/>
    </w:pPr>
    <w:rPr>
      <w:rFonts w:eastAsiaTheme="minorEastAsia" w:cstheme="minorBidi"/>
      <w:lang w:val="en-GB" w:bidi="ar-SA"/>
    </w:rPr>
  </w:style>
  <w:style w:type="paragraph" w:customStyle="1" w:styleId="byline-dateline">
    <w:name w:val="byline-dateline"/>
    <w:basedOn w:val="Normal"/>
    <w:rsid w:val="00FF289C"/>
    <w:pPr>
      <w:spacing w:before="100" w:beforeAutospacing="1" w:after="100" w:afterAutospacing="1"/>
    </w:pPr>
    <w:rPr>
      <w:rFonts w:eastAsiaTheme="minorEastAsia" w:cstheme="minorBidi"/>
      <w:lang w:val="en-GB" w:bidi="ar-SA"/>
    </w:rPr>
  </w:style>
  <w:style w:type="character" w:customStyle="1" w:styleId="byline">
    <w:name w:val="byline"/>
    <w:basedOn w:val="DefaultParagraphFont"/>
    <w:rsid w:val="00FF289C"/>
  </w:style>
  <w:style w:type="character" w:customStyle="1" w:styleId="byline-author">
    <w:name w:val="byline-author"/>
    <w:basedOn w:val="DefaultParagraphFont"/>
    <w:rsid w:val="00FF289C"/>
  </w:style>
  <w:style w:type="character" w:customStyle="1" w:styleId="sharetools-label">
    <w:name w:val="sharetools-label"/>
    <w:basedOn w:val="DefaultParagraphFont"/>
    <w:rsid w:val="00FF289C"/>
  </w:style>
  <w:style w:type="character" w:customStyle="1" w:styleId="sharetool-text">
    <w:name w:val="sharetool-text"/>
    <w:basedOn w:val="DefaultParagraphFont"/>
    <w:rsid w:val="00FF289C"/>
  </w:style>
  <w:style w:type="character" w:customStyle="1" w:styleId="UnresolvedMention1">
    <w:name w:val="Unresolved Mention1"/>
    <w:basedOn w:val="DefaultParagraphFont"/>
    <w:uiPriority w:val="99"/>
    <w:semiHidden/>
    <w:unhideWhenUsed/>
    <w:rsid w:val="001A582A"/>
    <w:rPr>
      <w:color w:val="605E5C"/>
      <w:shd w:val="clear" w:color="auto" w:fill="E1DFDD"/>
    </w:rPr>
  </w:style>
  <w:style w:type="table" w:customStyle="1" w:styleId="TableGrid5">
    <w:name w:val="Table Grid5"/>
    <w:basedOn w:val="TableNormal"/>
    <w:next w:val="TableGrid"/>
    <w:uiPriority w:val="59"/>
    <w:rsid w:val="00E9417C"/>
    <w:pPr>
      <w:spacing w:after="0" w:line="240" w:lineRule="auto"/>
    </w:pPr>
    <w:rPr>
      <w:rFonts w:ascii="Calibri" w:eastAsiaTheme="minorEastAsia" w:hAnsi="Calibri" w:cs="Calibri"/>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0570724">
      <w:bodyDiv w:val="1"/>
      <w:marLeft w:val="0"/>
      <w:marRight w:val="0"/>
      <w:marTop w:val="0"/>
      <w:marBottom w:val="0"/>
      <w:divBdr>
        <w:top w:val="none" w:sz="0" w:space="0" w:color="auto"/>
        <w:left w:val="none" w:sz="0" w:space="0" w:color="auto"/>
        <w:bottom w:val="none" w:sz="0" w:space="0" w:color="auto"/>
        <w:right w:val="none" w:sz="0" w:space="0" w:color="auto"/>
      </w:divBdr>
    </w:div>
    <w:div w:id="743181943">
      <w:bodyDiv w:val="1"/>
      <w:marLeft w:val="0"/>
      <w:marRight w:val="0"/>
      <w:marTop w:val="0"/>
      <w:marBottom w:val="0"/>
      <w:divBdr>
        <w:top w:val="none" w:sz="0" w:space="0" w:color="auto"/>
        <w:left w:val="none" w:sz="0" w:space="0" w:color="auto"/>
        <w:bottom w:val="none" w:sz="0" w:space="0" w:color="auto"/>
        <w:right w:val="none" w:sz="0" w:space="0" w:color="auto"/>
      </w:divBdr>
    </w:div>
    <w:div w:id="1131939305">
      <w:bodyDiv w:val="1"/>
      <w:marLeft w:val="0"/>
      <w:marRight w:val="0"/>
      <w:marTop w:val="0"/>
      <w:marBottom w:val="0"/>
      <w:divBdr>
        <w:top w:val="none" w:sz="0" w:space="0" w:color="auto"/>
        <w:left w:val="none" w:sz="0" w:space="0" w:color="auto"/>
        <w:bottom w:val="none" w:sz="0" w:space="0" w:color="auto"/>
        <w:right w:val="none" w:sz="0" w:space="0" w:color="auto"/>
      </w:divBdr>
    </w:div>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 w:id="2144688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chart" Target="charts/chart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veycases.com" TargetMode="External"/><Relationship Id="rId5" Type="http://schemas.openxmlformats.org/officeDocument/2006/relationships/webSettings" Target="webSettings.xml"/><Relationship Id="rId15" Type="http://schemas.openxmlformats.org/officeDocument/2006/relationships/hyperlink" Target="https://newzoo.com/insights/infographics/global-games-market-report-infographics-2013/" TargetMode="External"/><Relationship Id="rId10" Type="http://schemas.openxmlformats.org/officeDocument/2006/relationships/hyperlink" Target="mailto:cases@ivey.ca"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chart" Target="charts/chart1.xml"/><Relationship Id="rId22" Type="http://schemas.microsoft.com/office/2016/09/relationships/commentsIds" Target="commentsIds.xml"/></Relationships>
</file>

<file path=word/_rels/endnotes.xml.rels><?xml version="1.0" encoding="UTF-8" standalone="yes"?>
<Relationships xmlns="http://schemas.openxmlformats.org/package/2006/relationships"><Relationship Id="rId8" Type="http://schemas.openxmlformats.org/officeDocument/2006/relationships/hyperlink" Target="http://www.forbes.com/sites/erikkain/2014/01/29/nintendo-ceo-wii-u-isnt-in-good-shape-plans-1-2b-stock-buyback/" TargetMode="External"/><Relationship Id="rId3" Type="http://schemas.openxmlformats.org/officeDocument/2006/relationships/hyperlink" Target="http://www.gamesindustry.biz/articles/?author=57" TargetMode="External"/><Relationship Id="rId7" Type="http://schemas.openxmlformats.org/officeDocument/2006/relationships/hyperlink" Target="http://www.n-sider.com/contentview.php?contentid=280" TargetMode="External"/><Relationship Id="rId12" Type="http://schemas.openxmlformats.org/officeDocument/2006/relationships/hyperlink" Target="http://www.globalpropertyguide.com/Asia/japan/Inheritance" TargetMode="External"/><Relationship Id="rId2" Type="http://schemas.openxmlformats.org/officeDocument/2006/relationships/hyperlink" Target="file:///\\biz-info.ivey.ca\IveyPubs\shared\CASES\A-CasesPending\Nintendo%20An%20Outsider%20as%20a%20Successor\www.nintendo.co.jp\ir\library\historical_data\pdf\consolidated_sales_e1506.pdf" TargetMode="External"/><Relationship Id="rId1" Type="http://schemas.openxmlformats.org/officeDocument/2006/relationships/hyperlink" Target="http://www.newyorker.com/tech/elements/postscript-the-man-behind-nintendo" TargetMode="External"/><Relationship Id="rId6" Type="http://schemas.openxmlformats.org/officeDocument/2006/relationships/hyperlink" Target="http://biz-journal.jp/2015/07/post_10758.html" TargetMode="External"/><Relationship Id="rId11" Type="http://schemas.openxmlformats.org/officeDocument/2006/relationships/hyperlink" Target="http://www.nikkei.com/article/DGXNASDD250LF_V21C13A2TJ0000/" TargetMode="External"/><Relationship Id="rId5" Type="http://schemas.openxmlformats.org/officeDocument/2006/relationships/hyperlink" Target="http://grantland.com/features/the-rise-of-nintendo-video-games-history/" TargetMode="External"/><Relationship Id="rId10" Type="http://schemas.openxmlformats.org/officeDocument/2006/relationships/hyperlink" Target="https://www.forbes.com/sites/davidthier/2013/09/19/nintendo-pioneer-hiroshi-yamauchi-dies-at-85/" TargetMode="External"/><Relationship Id="rId4" Type="http://schemas.openxmlformats.org/officeDocument/2006/relationships/hyperlink" Target="http://www.nytimes.com/2013/09/20/business/global/hiroshi-yamauchi-who-helped-drive-nintendo-into-dominance-dies-at-85.html" TargetMode="External"/><Relationship Id="rId9" Type="http://schemas.openxmlformats.org/officeDocument/2006/relationships/hyperlink" Target="https://asia.nikkei.com/Business/Companies/Nintendo-boss-won-t-quit-over-dismal-earnings"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Users\yupana\Dropbox\Case_writing\My%20Cases\Nintendo\Referee_version\Global%20market%20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barChart>
        <c:barDir val="col"/>
        <c:grouping val="clustered"/>
        <c:varyColors val="0"/>
        <c:ser>
          <c:idx val="0"/>
          <c:order val="0"/>
          <c:tx>
            <c:strRef>
              <c:f>Market_share!$A$42</c:f>
              <c:strCache>
                <c:ptCount val="1"/>
                <c:pt idx="0">
                  <c:v>Sony (PSP &amp; PS Vita)</c:v>
                </c:pt>
              </c:strCache>
            </c:strRef>
          </c:tx>
          <c:spPr>
            <a:solidFill>
              <a:schemeClr val="dk1">
                <a:tint val="885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layout/>
                <c15:showLeaderLines val="1"/>
                <c15:leaderLines>
                  <c:spPr>
                    <a:ln w="9525">
                      <a:solidFill>
                        <a:schemeClr val="tx1">
                          <a:lumMod val="35000"/>
                          <a:lumOff val="65000"/>
                        </a:schemeClr>
                      </a:solidFill>
                    </a:ln>
                    <a:effectLst/>
                  </c:spPr>
                </c15:leaderLines>
              </c:ext>
            </c:extLst>
          </c:dLbls>
          <c:cat>
            <c:numRef>
              <c:f>Market_share!$B$41:$E$41</c:f>
              <c:numCache>
                <c:formatCode>General</c:formatCode>
                <c:ptCount val="4"/>
                <c:pt idx="0">
                  <c:v>2011</c:v>
                </c:pt>
                <c:pt idx="1">
                  <c:v>2012</c:v>
                </c:pt>
                <c:pt idx="2">
                  <c:v>2013</c:v>
                </c:pt>
                <c:pt idx="3">
                  <c:v>2014</c:v>
                </c:pt>
              </c:numCache>
            </c:numRef>
          </c:cat>
          <c:val>
            <c:numRef>
              <c:f>Market_share!$B$42:$E$42</c:f>
              <c:numCache>
                <c:formatCode>General</c:formatCode>
                <c:ptCount val="4"/>
                <c:pt idx="0">
                  <c:v>28.7</c:v>
                </c:pt>
                <c:pt idx="1">
                  <c:v>24.8</c:v>
                </c:pt>
                <c:pt idx="2">
                  <c:v>23.5</c:v>
                </c:pt>
                <c:pt idx="3">
                  <c:v>18.7</c:v>
                </c:pt>
              </c:numCache>
            </c:numRef>
          </c:val>
          <c:extLst xmlns:c16r2="http://schemas.microsoft.com/office/drawing/2015/06/chart">
            <c:ext xmlns:c16="http://schemas.microsoft.com/office/drawing/2014/chart" uri="{C3380CC4-5D6E-409C-BE32-E72D297353CC}">
              <c16:uniqueId val="{00000000-8383-1F42-94C9-6CF5384EA4E5}"/>
            </c:ext>
          </c:extLst>
        </c:ser>
        <c:ser>
          <c:idx val="1"/>
          <c:order val="1"/>
          <c:tx>
            <c:strRef>
              <c:f>Market_share!$A$43</c:f>
              <c:strCache>
                <c:ptCount val="1"/>
                <c:pt idx="0">
                  <c:v>Nintendo (DS, 3DS, Wii &amp; Wii U)</c:v>
                </c:pt>
              </c:strCache>
            </c:strRef>
          </c:tx>
          <c:spPr>
            <a:solidFill>
              <a:schemeClr val="dk1">
                <a:tint val="55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layout/>
                <c15:showLeaderLines val="1"/>
                <c15:leaderLines>
                  <c:spPr>
                    <a:ln w="9525">
                      <a:solidFill>
                        <a:schemeClr val="tx1">
                          <a:lumMod val="35000"/>
                          <a:lumOff val="65000"/>
                        </a:schemeClr>
                      </a:solidFill>
                    </a:ln>
                    <a:effectLst/>
                  </c:spPr>
                </c15:leaderLines>
              </c:ext>
            </c:extLst>
          </c:dLbls>
          <c:cat>
            <c:numRef>
              <c:f>Market_share!$B$41:$E$41</c:f>
              <c:numCache>
                <c:formatCode>General</c:formatCode>
                <c:ptCount val="4"/>
                <c:pt idx="0">
                  <c:v>2011</c:v>
                </c:pt>
                <c:pt idx="1">
                  <c:v>2012</c:v>
                </c:pt>
                <c:pt idx="2">
                  <c:v>2013</c:v>
                </c:pt>
                <c:pt idx="3">
                  <c:v>2014</c:v>
                </c:pt>
              </c:numCache>
            </c:numRef>
          </c:cat>
          <c:val>
            <c:numRef>
              <c:f>Market_share!$B$43:$E$43</c:f>
              <c:numCache>
                <c:formatCode>General</c:formatCode>
                <c:ptCount val="4"/>
                <c:pt idx="0">
                  <c:v>36.200000000000003</c:v>
                </c:pt>
                <c:pt idx="1">
                  <c:v>28.5</c:v>
                </c:pt>
                <c:pt idx="2">
                  <c:v>23.7</c:v>
                </c:pt>
                <c:pt idx="3">
                  <c:v>16.3</c:v>
                </c:pt>
              </c:numCache>
            </c:numRef>
          </c:val>
          <c:extLst xmlns:c16r2="http://schemas.microsoft.com/office/drawing/2015/06/chart">
            <c:ext xmlns:c16="http://schemas.microsoft.com/office/drawing/2014/chart" uri="{C3380CC4-5D6E-409C-BE32-E72D297353CC}">
              <c16:uniqueId val="{00000001-8383-1F42-94C9-6CF5384EA4E5}"/>
            </c:ext>
          </c:extLst>
        </c:ser>
        <c:ser>
          <c:idx val="2"/>
          <c:order val="2"/>
          <c:tx>
            <c:strRef>
              <c:f>Market_share!$A$44</c:f>
              <c:strCache>
                <c:ptCount val="1"/>
                <c:pt idx="0">
                  <c:v>Microsoft (Xbox 360 &amp; Xbox One)</c:v>
                </c:pt>
              </c:strCache>
            </c:strRef>
          </c:tx>
          <c:spPr>
            <a:solidFill>
              <a:schemeClr val="dk1">
                <a:tint val="75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layout/>
                <c15:showLeaderLines val="1"/>
                <c15:leaderLines>
                  <c:spPr>
                    <a:ln w="9525">
                      <a:solidFill>
                        <a:schemeClr val="tx1">
                          <a:lumMod val="35000"/>
                          <a:lumOff val="65000"/>
                        </a:schemeClr>
                      </a:solidFill>
                    </a:ln>
                    <a:effectLst/>
                  </c:spPr>
                </c15:leaderLines>
              </c:ext>
            </c:extLst>
          </c:dLbls>
          <c:cat>
            <c:numRef>
              <c:f>Market_share!$B$41:$E$41</c:f>
              <c:numCache>
                <c:formatCode>General</c:formatCode>
                <c:ptCount val="4"/>
                <c:pt idx="0">
                  <c:v>2011</c:v>
                </c:pt>
                <c:pt idx="1">
                  <c:v>2012</c:v>
                </c:pt>
                <c:pt idx="2">
                  <c:v>2013</c:v>
                </c:pt>
                <c:pt idx="3">
                  <c:v>2014</c:v>
                </c:pt>
              </c:numCache>
            </c:numRef>
          </c:cat>
          <c:val>
            <c:numRef>
              <c:f>Market_share!$B$44:$E$44</c:f>
              <c:numCache>
                <c:formatCode>General</c:formatCode>
                <c:ptCount val="4"/>
                <c:pt idx="0">
                  <c:v>13.3</c:v>
                </c:pt>
                <c:pt idx="1">
                  <c:v>13.8</c:v>
                </c:pt>
                <c:pt idx="2">
                  <c:v>10</c:v>
                </c:pt>
                <c:pt idx="3">
                  <c:v>11.5</c:v>
                </c:pt>
              </c:numCache>
            </c:numRef>
          </c:val>
          <c:extLst xmlns:c16r2="http://schemas.microsoft.com/office/drawing/2015/06/chart">
            <c:ext xmlns:c16="http://schemas.microsoft.com/office/drawing/2014/chart" uri="{C3380CC4-5D6E-409C-BE32-E72D297353CC}">
              <c16:uniqueId val="{00000002-8383-1F42-94C9-6CF5384EA4E5}"/>
            </c:ext>
          </c:extLst>
        </c:ser>
        <c:dLbls>
          <c:dLblPos val="outEnd"/>
          <c:showLegendKey val="0"/>
          <c:showVal val="1"/>
          <c:showCatName val="0"/>
          <c:showSerName val="0"/>
          <c:showPercent val="0"/>
          <c:showBubbleSize val="0"/>
        </c:dLbls>
        <c:gapWidth val="444"/>
        <c:overlap val="-90"/>
        <c:axId val="173481184"/>
        <c:axId val="173977408"/>
      </c:barChart>
      <c:catAx>
        <c:axId val="17348118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173977408"/>
        <c:crosses val="autoZero"/>
        <c:auto val="1"/>
        <c:lblAlgn val="ctr"/>
        <c:lblOffset val="100"/>
        <c:noMultiLvlLbl val="0"/>
      </c:catAx>
      <c:valAx>
        <c:axId val="173977408"/>
        <c:scaling>
          <c:orientation val="minMax"/>
        </c:scaling>
        <c:delete val="1"/>
        <c:axPos val="l"/>
        <c:numFmt formatCode="General" sourceLinked="1"/>
        <c:majorTickMark val="none"/>
        <c:minorTickMark val="none"/>
        <c:tickLblPos val="nextTo"/>
        <c:crossAx val="173481184"/>
        <c:crosses val="autoZero"/>
        <c:crossBetween val="between"/>
      </c:valAx>
      <c:spPr>
        <a:noFill/>
        <a:ln>
          <a:noFill/>
        </a:ln>
        <a:effectLst/>
      </c:spPr>
    </c:plotArea>
    <c:legend>
      <c:legendPos val="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lineChart>
        <c:grouping val="standard"/>
        <c:varyColors val="0"/>
        <c:ser>
          <c:idx val="0"/>
          <c:order val="0"/>
          <c:tx>
            <c:strRef>
              <c:f>Sheet1!$B$1</c:f>
              <c:strCache>
                <c:ptCount val="1"/>
                <c:pt idx="0">
                  <c:v>Nintendo</c:v>
                </c:pt>
              </c:strCache>
            </c:strRef>
          </c:tx>
          <c:spPr>
            <a:ln w="28575" cap="rnd">
              <a:solidFill>
                <a:schemeClr val="dk1">
                  <a:tint val="88500"/>
                </a:schemeClr>
              </a:solidFill>
              <a:round/>
            </a:ln>
            <a:effectLst/>
          </c:spPr>
          <c:marker>
            <c:symbol val="none"/>
          </c:marker>
          <c:cat>
            <c:strRef>
              <c:f>Sheet1!$A$2:$A$133</c:f>
              <c:strCache>
                <c:ptCount val="132"/>
                <c:pt idx="0">
                  <c:v>12/30/1983</c:v>
                </c:pt>
                <c:pt idx="1">
                  <c:v>03/30/1984</c:v>
                </c:pt>
                <c:pt idx="2">
                  <c:v>06/29/1984</c:v>
                </c:pt>
                <c:pt idx="3">
                  <c:v>09/28/1984</c:v>
                </c:pt>
                <c:pt idx="4">
                  <c:v>12/31/1984</c:v>
                </c:pt>
                <c:pt idx="5">
                  <c:v>03/29/1985</c:v>
                </c:pt>
                <c:pt idx="6">
                  <c:v>06/28/1985</c:v>
                </c:pt>
                <c:pt idx="7">
                  <c:v>09/30/1985</c:v>
                </c:pt>
                <c:pt idx="8">
                  <c:v>12/31/1985</c:v>
                </c:pt>
                <c:pt idx="9">
                  <c:v>03/31/1986</c:v>
                </c:pt>
                <c:pt idx="10">
                  <c:v>06/30/1986</c:v>
                </c:pt>
                <c:pt idx="11">
                  <c:v>09/30/1986</c:v>
                </c:pt>
                <c:pt idx="12">
                  <c:v>12/31/1986</c:v>
                </c:pt>
                <c:pt idx="13">
                  <c:v>03/31/1987</c:v>
                </c:pt>
                <c:pt idx="14">
                  <c:v>06/30/1987</c:v>
                </c:pt>
                <c:pt idx="15">
                  <c:v>09/30/1987</c:v>
                </c:pt>
                <c:pt idx="16">
                  <c:v>12/31/1987</c:v>
                </c:pt>
                <c:pt idx="17">
                  <c:v>03/31/1988</c:v>
                </c:pt>
                <c:pt idx="18">
                  <c:v>06/30/1988</c:v>
                </c:pt>
                <c:pt idx="19">
                  <c:v>09/30/1988</c:v>
                </c:pt>
                <c:pt idx="20">
                  <c:v>12/30/1988</c:v>
                </c:pt>
                <c:pt idx="21">
                  <c:v>03/31/1989</c:v>
                </c:pt>
                <c:pt idx="22">
                  <c:v>06/30/1989</c:v>
                </c:pt>
                <c:pt idx="23">
                  <c:v>09/29/1989</c:v>
                </c:pt>
                <c:pt idx="24">
                  <c:v>12/29/1989</c:v>
                </c:pt>
                <c:pt idx="25">
                  <c:v>03/30/1990</c:v>
                </c:pt>
                <c:pt idx="26">
                  <c:v>06/29/1990</c:v>
                </c:pt>
                <c:pt idx="27">
                  <c:v>09/28/1990</c:v>
                </c:pt>
                <c:pt idx="28">
                  <c:v>12/31/1990</c:v>
                </c:pt>
                <c:pt idx="29">
                  <c:v>03/29/1991</c:v>
                </c:pt>
                <c:pt idx="30">
                  <c:v>06/28/1991</c:v>
                </c:pt>
                <c:pt idx="31">
                  <c:v>09/30/1991</c:v>
                </c:pt>
                <c:pt idx="32">
                  <c:v>12/31/1991</c:v>
                </c:pt>
                <c:pt idx="33">
                  <c:v>03/31/1992</c:v>
                </c:pt>
                <c:pt idx="34">
                  <c:v>06/30/1992</c:v>
                </c:pt>
                <c:pt idx="35">
                  <c:v>09/30/1992</c:v>
                </c:pt>
                <c:pt idx="36">
                  <c:v>12/31/1992</c:v>
                </c:pt>
                <c:pt idx="37">
                  <c:v>03/31/1993</c:v>
                </c:pt>
                <c:pt idx="38">
                  <c:v>06/30/1993</c:v>
                </c:pt>
                <c:pt idx="39">
                  <c:v>09/30/1993</c:v>
                </c:pt>
                <c:pt idx="40">
                  <c:v>12/31/1993</c:v>
                </c:pt>
                <c:pt idx="41">
                  <c:v>03/31/1994</c:v>
                </c:pt>
                <c:pt idx="42">
                  <c:v>06/30/1994</c:v>
                </c:pt>
                <c:pt idx="43">
                  <c:v>09/30/1994</c:v>
                </c:pt>
                <c:pt idx="44">
                  <c:v>12/30/1994</c:v>
                </c:pt>
                <c:pt idx="45">
                  <c:v>03/31/1995</c:v>
                </c:pt>
                <c:pt idx="46">
                  <c:v>06/30/1995</c:v>
                </c:pt>
                <c:pt idx="47">
                  <c:v>09/29/1995</c:v>
                </c:pt>
                <c:pt idx="48">
                  <c:v>12/29/1995</c:v>
                </c:pt>
                <c:pt idx="49">
                  <c:v>03/29/1996</c:v>
                </c:pt>
                <c:pt idx="50">
                  <c:v>06/28/1996</c:v>
                </c:pt>
                <c:pt idx="51">
                  <c:v>09/30/1996</c:v>
                </c:pt>
                <c:pt idx="52">
                  <c:v>12/31/1996</c:v>
                </c:pt>
                <c:pt idx="53">
                  <c:v>03/31/1997</c:v>
                </c:pt>
                <c:pt idx="54">
                  <c:v>06/30/1997</c:v>
                </c:pt>
                <c:pt idx="55">
                  <c:v>09/30/1997</c:v>
                </c:pt>
                <c:pt idx="56">
                  <c:v>12/31/1997</c:v>
                </c:pt>
                <c:pt idx="57">
                  <c:v>03/31/1998</c:v>
                </c:pt>
                <c:pt idx="58">
                  <c:v>06/30/1998</c:v>
                </c:pt>
                <c:pt idx="59">
                  <c:v>09/30/1998</c:v>
                </c:pt>
                <c:pt idx="60">
                  <c:v>12/31/1998</c:v>
                </c:pt>
                <c:pt idx="61">
                  <c:v>03/31/1999</c:v>
                </c:pt>
                <c:pt idx="62">
                  <c:v>06/30/1999</c:v>
                </c:pt>
                <c:pt idx="63">
                  <c:v>09/30/1999</c:v>
                </c:pt>
                <c:pt idx="64">
                  <c:v>12/31/1999</c:v>
                </c:pt>
                <c:pt idx="65">
                  <c:v>03/31/2000</c:v>
                </c:pt>
                <c:pt idx="66">
                  <c:v>06/30/2000</c:v>
                </c:pt>
                <c:pt idx="67">
                  <c:v>09/29/2000</c:v>
                </c:pt>
                <c:pt idx="68">
                  <c:v>12/29/2000</c:v>
                </c:pt>
                <c:pt idx="69">
                  <c:v>03/30/2001</c:v>
                </c:pt>
                <c:pt idx="70">
                  <c:v>06/29/2001</c:v>
                </c:pt>
                <c:pt idx="71">
                  <c:v>09/28/2001</c:v>
                </c:pt>
                <c:pt idx="72">
                  <c:v>12/31/2001</c:v>
                </c:pt>
                <c:pt idx="73">
                  <c:v>03/29/2002</c:v>
                </c:pt>
                <c:pt idx="74">
                  <c:v>06/28/2002</c:v>
                </c:pt>
                <c:pt idx="75">
                  <c:v>09/30/2002</c:v>
                </c:pt>
                <c:pt idx="76">
                  <c:v>12/31/2002</c:v>
                </c:pt>
                <c:pt idx="77">
                  <c:v>03/31/2003</c:v>
                </c:pt>
                <c:pt idx="78">
                  <c:v>06/30/2003</c:v>
                </c:pt>
                <c:pt idx="79">
                  <c:v>09/30/2003</c:v>
                </c:pt>
                <c:pt idx="80">
                  <c:v>12/31/2003</c:v>
                </c:pt>
                <c:pt idx="81">
                  <c:v>03/31/2004</c:v>
                </c:pt>
                <c:pt idx="82">
                  <c:v>06/30/2004</c:v>
                </c:pt>
                <c:pt idx="83">
                  <c:v>09/30/2004</c:v>
                </c:pt>
                <c:pt idx="84">
                  <c:v>12/31/2004</c:v>
                </c:pt>
                <c:pt idx="85">
                  <c:v>03/31/2005</c:v>
                </c:pt>
                <c:pt idx="86">
                  <c:v>06/30/2005</c:v>
                </c:pt>
                <c:pt idx="87">
                  <c:v>09/30/2005</c:v>
                </c:pt>
                <c:pt idx="88">
                  <c:v>12/30/2005</c:v>
                </c:pt>
                <c:pt idx="89">
                  <c:v>03/31/2006</c:v>
                </c:pt>
                <c:pt idx="90">
                  <c:v>06/30/2006</c:v>
                </c:pt>
                <c:pt idx="91">
                  <c:v>09/29/2006</c:v>
                </c:pt>
                <c:pt idx="92">
                  <c:v>12/29/2006</c:v>
                </c:pt>
                <c:pt idx="93">
                  <c:v>03/30/2007</c:v>
                </c:pt>
                <c:pt idx="94">
                  <c:v>06/29/2007</c:v>
                </c:pt>
                <c:pt idx="95">
                  <c:v>09/28/2007</c:v>
                </c:pt>
                <c:pt idx="96">
                  <c:v>12/31/2007</c:v>
                </c:pt>
                <c:pt idx="97">
                  <c:v>03/31/2008</c:v>
                </c:pt>
                <c:pt idx="98">
                  <c:v>06/30/2008</c:v>
                </c:pt>
                <c:pt idx="99">
                  <c:v>09/30/2008</c:v>
                </c:pt>
                <c:pt idx="100">
                  <c:v>12/31/2008</c:v>
                </c:pt>
                <c:pt idx="101">
                  <c:v>03/31/2009</c:v>
                </c:pt>
                <c:pt idx="102">
                  <c:v>06/30/2009</c:v>
                </c:pt>
                <c:pt idx="103">
                  <c:v>09/30/2009</c:v>
                </c:pt>
                <c:pt idx="104">
                  <c:v>12/31/2009</c:v>
                </c:pt>
                <c:pt idx="105">
                  <c:v>03/31/2010</c:v>
                </c:pt>
                <c:pt idx="106">
                  <c:v>06/30/2010</c:v>
                </c:pt>
                <c:pt idx="107">
                  <c:v>09/30/2010</c:v>
                </c:pt>
                <c:pt idx="108">
                  <c:v>12/31/2010</c:v>
                </c:pt>
                <c:pt idx="109">
                  <c:v>03/31/2011</c:v>
                </c:pt>
                <c:pt idx="110">
                  <c:v>06/30/2011</c:v>
                </c:pt>
                <c:pt idx="111">
                  <c:v>09/30/2011</c:v>
                </c:pt>
                <c:pt idx="112">
                  <c:v>12/30/2011</c:v>
                </c:pt>
                <c:pt idx="113">
                  <c:v>03/30/2012</c:v>
                </c:pt>
                <c:pt idx="114">
                  <c:v>06/29/2012</c:v>
                </c:pt>
                <c:pt idx="115">
                  <c:v>09/28/2012</c:v>
                </c:pt>
                <c:pt idx="116">
                  <c:v>12/31/2012</c:v>
                </c:pt>
                <c:pt idx="117">
                  <c:v>03/29/2013</c:v>
                </c:pt>
                <c:pt idx="118">
                  <c:v>06/28/2013</c:v>
                </c:pt>
                <c:pt idx="119">
                  <c:v>09/30/2013</c:v>
                </c:pt>
                <c:pt idx="120">
                  <c:v>12/31/2013</c:v>
                </c:pt>
                <c:pt idx="121">
                  <c:v>03/31/2014</c:v>
                </c:pt>
                <c:pt idx="122">
                  <c:v>06/30/2014</c:v>
                </c:pt>
                <c:pt idx="123">
                  <c:v>09/30/2014</c:v>
                </c:pt>
                <c:pt idx="124">
                  <c:v>12/31/2014</c:v>
                </c:pt>
                <c:pt idx="125">
                  <c:v>03/31/2015</c:v>
                </c:pt>
                <c:pt idx="126">
                  <c:v>06/30/2015</c:v>
                </c:pt>
                <c:pt idx="127">
                  <c:v>09/30/2015</c:v>
                </c:pt>
                <c:pt idx="128">
                  <c:v>12/31/2015</c:v>
                </c:pt>
                <c:pt idx="129">
                  <c:v>03/31/2016</c:v>
                </c:pt>
                <c:pt idx="130">
                  <c:v>06/30/2016</c:v>
                </c:pt>
                <c:pt idx="131">
                  <c:v>07/21/2016</c:v>
                </c:pt>
              </c:strCache>
            </c:strRef>
          </c:cat>
          <c:val>
            <c:numRef>
              <c:f>Sheet1!$B$2:$B$133</c:f>
              <c:numCache>
                <c:formatCode>_(* #,##0.00_);_(* \(#,##0.00\);_(* "-"??_);_(@_)</c:formatCode>
                <c:ptCount val="132"/>
                <c:pt idx="0">
                  <c:v>1.0441569399521801E-2</c:v>
                </c:pt>
                <c:pt idx="1">
                  <c:v>0.30210237659963401</c:v>
                </c:pt>
                <c:pt idx="2">
                  <c:v>0.44533117704964198</c:v>
                </c:pt>
                <c:pt idx="3">
                  <c:v>0.184924764449445</c:v>
                </c:pt>
                <c:pt idx="4">
                  <c:v>0.223983968499508</c:v>
                </c:pt>
                <c:pt idx="5">
                  <c:v>0.25003515679932498</c:v>
                </c:pt>
                <c:pt idx="6">
                  <c:v>0.23699198424975401</c:v>
                </c:pt>
                <c:pt idx="7">
                  <c:v>0.117212768949515</c:v>
                </c:pt>
                <c:pt idx="8">
                  <c:v>0.56250878919983105</c:v>
                </c:pt>
                <c:pt idx="9">
                  <c:v>1.3229503585993529</c:v>
                </c:pt>
                <c:pt idx="10">
                  <c:v>1.7083743495992121</c:v>
                </c:pt>
                <c:pt idx="11">
                  <c:v>2.0729503585993538</c:v>
                </c:pt>
                <c:pt idx="12">
                  <c:v>2.229222331598931</c:v>
                </c:pt>
                <c:pt idx="13">
                  <c:v>1.578153564899452</c:v>
                </c:pt>
                <c:pt idx="14">
                  <c:v>1.8385951342989739</c:v>
                </c:pt>
                <c:pt idx="15">
                  <c:v>1.7344255378990301</c:v>
                </c:pt>
                <c:pt idx="16">
                  <c:v>1.1536703698495301</c:v>
                </c:pt>
                <c:pt idx="17">
                  <c:v>1.317747152299255</c:v>
                </c:pt>
                <c:pt idx="18">
                  <c:v>1.786492757699339</c:v>
                </c:pt>
                <c:pt idx="19">
                  <c:v>1.08335677119955</c:v>
                </c:pt>
                <c:pt idx="20">
                  <c:v>1.473983968499508</c:v>
                </c:pt>
                <c:pt idx="21">
                  <c:v>1.2500351567993251</c:v>
                </c:pt>
                <c:pt idx="22">
                  <c:v>2.3854591477991831</c:v>
                </c:pt>
                <c:pt idx="23">
                  <c:v>2.35944311629869</c:v>
                </c:pt>
                <c:pt idx="24">
                  <c:v>2.9063071297989032</c:v>
                </c:pt>
                <c:pt idx="25">
                  <c:v>4.4948671072985507</c:v>
                </c:pt>
                <c:pt idx="26">
                  <c:v>6.369919842497537</c:v>
                </c:pt>
                <c:pt idx="27">
                  <c:v>5.4584446631978629</c:v>
                </c:pt>
                <c:pt idx="28">
                  <c:v>3.9219519054985228</c:v>
                </c:pt>
                <c:pt idx="29">
                  <c:v>5.1172830825481661</c:v>
                </c:pt>
                <c:pt idx="30">
                  <c:v>3.7813247081985661</c:v>
                </c:pt>
                <c:pt idx="31">
                  <c:v>4.0625791027984786</c:v>
                </c:pt>
                <c:pt idx="32">
                  <c:v>3.1133455210237662</c:v>
                </c:pt>
                <c:pt idx="33">
                  <c:v>2.3750527351989859</c:v>
                </c:pt>
                <c:pt idx="34">
                  <c:v>2.7969343270988611</c:v>
                </c:pt>
                <c:pt idx="35">
                  <c:v>2.4102095345239771</c:v>
                </c:pt>
                <c:pt idx="36">
                  <c:v>2.7266207284488821</c:v>
                </c:pt>
                <c:pt idx="37">
                  <c:v>2.4453663338489662</c:v>
                </c:pt>
                <c:pt idx="38">
                  <c:v>2.3750527351989859</c:v>
                </c:pt>
                <c:pt idx="39">
                  <c:v>2.290676416819013</c:v>
                </c:pt>
                <c:pt idx="40">
                  <c:v>1.524258191534243</c:v>
                </c:pt>
                <c:pt idx="41">
                  <c:v>1.3449585149767971</c:v>
                </c:pt>
                <c:pt idx="42">
                  <c:v>1.5137111517367461</c:v>
                </c:pt>
                <c:pt idx="43">
                  <c:v>1.0285473210518921</c:v>
                </c:pt>
                <c:pt idx="44">
                  <c:v>0.88088876388693604</c:v>
                </c:pt>
                <c:pt idx="45">
                  <c:v>0.81057516523695605</c:v>
                </c:pt>
                <c:pt idx="46">
                  <c:v>0.71565180705948594</c:v>
                </c:pt>
                <c:pt idx="47">
                  <c:v>1.5312895513992411</c:v>
                </c:pt>
                <c:pt idx="48">
                  <c:v>1.7598087470116719</c:v>
                </c:pt>
                <c:pt idx="49">
                  <c:v>1.3801153143017859</c:v>
                </c:pt>
                <c:pt idx="50">
                  <c:v>1.87231050485164</c:v>
                </c:pt>
                <c:pt idx="51">
                  <c:v>1.5312895513992411</c:v>
                </c:pt>
                <c:pt idx="52">
                  <c:v>1.9004359443116301</c:v>
                </c:pt>
                <c:pt idx="53">
                  <c:v>2.1113767402615671</c:v>
                </c:pt>
                <c:pt idx="54">
                  <c:v>2.3680213753339898</c:v>
                </c:pt>
                <c:pt idx="55">
                  <c:v>3.0430319223737872</c:v>
                </c:pt>
                <c:pt idx="56">
                  <c:v>3.5352271129236388</c:v>
                </c:pt>
                <c:pt idx="57">
                  <c:v>3.0781887216987771</c:v>
                </c:pt>
                <c:pt idx="58">
                  <c:v>3.559836872451132</c:v>
                </c:pt>
                <c:pt idx="59">
                  <c:v>3.5176487132611429</c:v>
                </c:pt>
                <c:pt idx="60">
                  <c:v>2.832091126423848</c:v>
                </c:pt>
                <c:pt idx="61">
                  <c:v>2.60357193081142</c:v>
                </c:pt>
                <c:pt idx="62">
                  <c:v>4.9239206862607228</c:v>
                </c:pt>
                <c:pt idx="63">
                  <c:v>4.9625931655182116</c:v>
                </c:pt>
                <c:pt idx="64">
                  <c:v>4.916889326395725</c:v>
                </c:pt>
                <c:pt idx="65">
                  <c:v>5.4688510757980566</c:v>
                </c:pt>
                <c:pt idx="66">
                  <c:v>5.5391646744480383</c:v>
                </c:pt>
                <c:pt idx="67">
                  <c:v>5.9469835466179131</c:v>
                </c:pt>
                <c:pt idx="68">
                  <c:v>5.416115876810573</c:v>
                </c:pt>
                <c:pt idx="69">
                  <c:v>6.1930811418928418</c:v>
                </c:pt>
                <c:pt idx="70">
                  <c:v>7.0860638447475726</c:v>
                </c:pt>
                <c:pt idx="71">
                  <c:v>5.0118126845731981</c:v>
                </c:pt>
                <c:pt idx="72">
                  <c:v>6.9805934467726072</c:v>
                </c:pt>
                <c:pt idx="73">
                  <c:v>5.8907326676979297</c:v>
                </c:pt>
                <c:pt idx="74">
                  <c:v>5.1770496414006466</c:v>
                </c:pt>
                <c:pt idx="75">
                  <c:v>4.0098439038109968</c:v>
                </c:pt>
                <c:pt idx="76">
                  <c:v>2.8848263254113351</c:v>
                </c:pt>
                <c:pt idx="77">
                  <c:v>2.3961468147939788</c:v>
                </c:pt>
                <c:pt idx="78">
                  <c:v>2.0340317817465898</c:v>
                </c:pt>
                <c:pt idx="79">
                  <c:v>2.3188018562790038</c:v>
                </c:pt>
                <c:pt idx="80">
                  <c:v>2.5367740120939399</c:v>
                </c:pt>
                <c:pt idx="81">
                  <c:v>2.7406834481788782</c:v>
                </c:pt>
                <c:pt idx="82">
                  <c:v>3.4649135142736611</c:v>
                </c:pt>
                <c:pt idx="83">
                  <c:v>3.6828856700885941</c:v>
                </c:pt>
                <c:pt idx="84">
                  <c:v>3.493038953733651</c:v>
                </c:pt>
                <c:pt idx="85">
                  <c:v>3.0957671213612712</c:v>
                </c:pt>
                <c:pt idx="86">
                  <c:v>3.0606103220362821</c:v>
                </c:pt>
                <c:pt idx="87">
                  <c:v>3.5914779918436222</c:v>
                </c:pt>
                <c:pt idx="88">
                  <c:v>4.0239066235409897</c:v>
                </c:pt>
                <c:pt idx="89">
                  <c:v>5.1383771621431604</c:v>
                </c:pt>
                <c:pt idx="90">
                  <c:v>5.7887779496554597</c:v>
                </c:pt>
                <c:pt idx="91">
                  <c:v>7.5395865560399358</c:v>
                </c:pt>
                <c:pt idx="92">
                  <c:v>9.8634509914217396</c:v>
                </c:pt>
                <c:pt idx="93">
                  <c:v>11.041203768808881</c:v>
                </c:pt>
                <c:pt idx="94">
                  <c:v>14.785402896920271</c:v>
                </c:pt>
                <c:pt idx="95">
                  <c:v>19.953452397693709</c:v>
                </c:pt>
                <c:pt idx="96">
                  <c:v>22.379271551117981</c:v>
                </c:pt>
                <c:pt idx="97">
                  <c:v>16.894810856419639</c:v>
                </c:pt>
                <c:pt idx="98">
                  <c:v>19.883138799043731</c:v>
                </c:pt>
                <c:pt idx="99">
                  <c:v>14.152580509070461</c:v>
                </c:pt>
                <c:pt idx="100">
                  <c:v>10.865419772183939</c:v>
                </c:pt>
                <c:pt idx="101">
                  <c:v>9.0372662072844872</c:v>
                </c:pt>
                <c:pt idx="102">
                  <c:v>8.3903810997046833</c:v>
                </c:pt>
                <c:pt idx="103">
                  <c:v>6.9700464069751096</c:v>
                </c:pt>
                <c:pt idx="104">
                  <c:v>6.8012937702151604</c:v>
                </c:pt>
                <c:pt idx="105">
                  <c:v>10.074391787371679</c:v>
                </c:pt>
                <c:pt idx="106">
                  <c:v>8.1794403037547472</c:v>
                </c:pt>
                <c:pt idx="107">
                  <c:v>6.3196456194628032</c:v>
                </c:pt>
                <c:pt idx="108">
                  <c:v>7.3743495992124872</c:v>
                </c:pt>
                <c:pt idx="109">
                  <c:v>6.9981718464350964</c:v>
                </c:pt>
                <c:pt idx="110">
                  <c:v>4.2770355786809144</c:v>
                </c:pt>
                <c:pt idx="111">
                  <c:v>2.944592884263816</c:v>
                </c:pt>
                <c:pt idx="112">
                  <c:v>2.70552664885389</c:v>
                </c:pt>
                <c:pt idx="113">
                  <c:v>3.3805371958936861</c:v>
                </c:pt>
                <c:pt idx="114">
                  <c:v>2.26958233722402</c:v>
                </c:pt>
                <c:pt idx="115">
                  <c:v>2.4945858529039522</c:v>
                </c:pt>
                <c:pt idx="116">
                  <c:v>2.1887216987765439</c:v>
                </c:pt>
                <c:pt idx="117">
                  <c:v>2.5227112923639439</c:v>
                </c:pt>
                <c:pt idx="118">
                  <c:v>3.0992828012937701</c:v>
                </c:pt>
                <c:pt idx="119">
                  <c:v>2.9129517648713268</c:v>
                </c:pt>
                <c:pt idx="120">
                  <c:v>3.9254675854310221</c:v>
                </c:pt>
                <c:pt idx="121">
                  <c:v>3.3102235972437071</c:v>
                </c:pt>
                <c:pt idx="122">
                  <c:v>3.2627619181549719</c:v>
                </c:pt>
                <c:pt idx="123">
                  <c:v>3.194206159471241</c:v>
                </c:pt>
                <c:pt idx="124">
                  <c:v>3.4315145549149211</c:v>
                </c:pt>
                <c:pt idx="125">
                  <c:v>5.2139642806918864</c:v>
                </c:pt>
                <c:pt idx="126">
                  <c:v>6.1965968218253389</c:v>
                </c:pt>
                <c:pt idx="127">
                  <c:v>6.0524539445928838</c:v>
                </c:pt>
                <c:pt idx="128">
                  <c:v>4.8905217269019809</c:v>
                </c:pt>
                <c:pt idx="129">
                  <c:v>4.6250878919983087</c:v>
                </c:pt>
                <c:pt idx="130">
                  <c:v>4.1276191815497114</c:v>
                </c:pt>
                <c:pt idx="131">
                  <c:v>8.9212487695120171</c:v>
                </c:pt>
              </c:numCache>
            </c:numRef>
          </c:val>
          <c:smooth val="0"/>
          <c:extLst xmlns:c16r2="http://schemas.microsoft.com/office/drawing/2015/06/chart">
            <c:ext xmlns:c16="http://schemas.microsoft.com/office/drawing/2014/chart" uri="{C3380CC4-5D6E-409C-BE32-E72D297353CC}">
              <c16:uniqueId val="{00000000-7C7E-524D-A92F-BBBE9651C0D8}"/>
            </c:ext>
          </c:extLst>
        </c:ser>
        <c:ser>
          <c:idx val="1"/>
          <c:order val="1"/>
          <c:tx>
            <c:strRef>
              <c:f>Sheet1!$C$1</c:f>
              <c:strCache>
                <c:ptCount val="1"/>
                <c:pt idx="0">
                  <c:v>Nikkei 225 Index</c:v>
                </c:pt>
              </c:strCache>
            </c:strRef>
          </c:tx>
          <c:spPr>
            <a:ln w="28575" cap="rnd">
              <a:solidFill>
                <a:schemeClr val="dk1">
                  <a:tint val="55000"/>
                </a:schemeClr>
              </a:solidFill>
              <a:round/>
            </a:ln>
            <a:effectLst/>
          </c:spPr>
          <c:marker>
            <c:symbol val="none"/>
          </c:marker>
          <c:cat>
            <c:strRef>
              <c:f>Sheet1!$A$2:$A$133</c:f>
              <c:strCache>
                <c:ptCount val="132"/>
                <c:pt idx="0">
                  <c:v>12/30/1983</c:v>
                </c:pt>
                <c:pt idx="1">
                  <c:v>03/30/1984</c:v>
                </c:pt>
                <c:pt idx="2">
                  <c:v>06/29/1984</c:v>
                </c:pt>
                <c:pt idx="3">
                  <c:v>09/28/1984</c:v>
                </c:pt>
                <c:pt idx="4">
                  <c:v>12/31/1984</c:v>
                </c:pt>
                <c:pt idx="5">
                  <c:v>03/29/1985</c:v>
                </c:pt>
                <c:pt idx="6">
                  <c:v>06/28/1985</c:v>
                </c:pt>
                <c:pt idx="7">
                  <c:v>09/30/1985</c:v>
                </c:pt>
                <c:pt idx="8">
                  <c:v>12/31/1985</c:v>
                </c:pt>
                <c:pt idx="9">
                  <c:v>03/31/1986</c:v>
                </c:pt>
                <c:pt idx="10">
                  <c:v>06/30/1986</c:v>
                </c:pt>
                <c:pt idx="11">
                  <c:v>09/30/1986</c:v>
                </c:pt>
                <c:pt idx="12">
                  <c:v>12/31/1986</c:v>
                </c:pt>
                <c:pt idx="13">
                  <c:v>03/31/1987</c:v>
                </c:pt>
                <c:pt idx="14">
                  <c:v>06/30/1987</c:v>
                </c:pt>
                <c:pt idx="15">
                  <c:v>09/30/1987</c:v>
                </c:pt>
                <c:pt idx="16">
                  <c:v>12/31/1987</c:v>
                </c:pt>
                <c:pt idx="17">
                  <c:v>03/31/1988</c:v>
                </c:pt>
                <c:pt idx="18">
                  <c:v>06/30/1988</c:v>
                </c:pt>
                <c:pt idx="19">
                  <c:v>09/30/1988</c:v>
                </c:pt>
                <c:pt idx="20">
                  <c:v>12/30/1988</c:v>
                </c:pt>
                <c:pt idx="21">
                  <c:v>03/31/1989</c:v>
                </c:pt>
                <c:pt idx="22">
                  <c:v>06/30/1989</c:v>
                </c:pt>
                <c:pt idx="23">
                  <c:v>09/29/1989</c:v>
                </c:pt>
                <c:pt idx="24">
                  <c:v>12/29/1989</c:v>
                </c:pt>
                <c:pt idx="25">
                  <c:v>03/30/1990</c:v>
                </c:pt>
                <c:pt idx="26">
                  <c:v>06/29/1990</c:v>
                </c:pt>
                <c:pt idx="27">
                  <c:v>09/28/1990</c:v>
                </c:pt>
                <c:pt idx="28">
                  <c:v>12/31/1990</c:v>
                </c:pt>
                <c:pt idx="29">
                  <c:v>03/29/1991</c:v>
                </c:pt>
                <c:pt idx="30">
                  <c:v>06/28/1991</c:v>
                </c:pt>
                <c:pt idx="31">
                  <c:v>09/30/1991</c:v>
                </c:pt>
                <c:pt idx="32">
                  <c:v>12/31/1991</c:v>
                </c:pt>
                <c:pt idx="33">
                  <c:v>03/31/1992</c:v>
                </c:pt>
                <c:pt idx="34">
                  <c:v>06/30/1992</c:v>
                </c:pt>
                <c:pt idx="35">
                  <c:v>09/30/1992</c:v>
                </c:pt>
                <c:pt idx="36">
                  <c:v>12/31/1992</c:v>
                </c:pt>
                <c:pt idx="37">
                  <c:v>03/31/1993</c:v>
                </c:pt>
                <c:pt idx="38">
                  <c:v>06/30/1993</c:v>
                </c:pt>
                <c:pt idx="39">
                  <c:v>09/30/1993</c:v>
                </c:pt>
                <c:pt idx="40">
                  <c:v>12/31/1993</c:v>
                </c:pt>
                <c:pt idx="41">
                  <c:v>03/31/1994</c:v>
                </c:pt>
                <c:pt idx="42">
                  <c:v>06/30/1994</c:v>
                </c:pt>
                <c:pt idx="43">
                  <c:v>09/30/1994</c:v>
                </c:pt>
                <c:pt idx="44">
                  <c:v>12/30/1994</c:v>
                </c:pt>
                <c:pt idx="45">
                  <c:v>03/31/1995</c:v>
                </c:pt>
                <c:pt idx="46">
                  <c:v>06/30/1995</c:v>
                </c:pt>
                <c:pt idx="47">
                  <c:v>09/29/1995</c:v>
                </c:pt>
                <c:pt idx="48">
                  <c:v>12/29/1995</c:v>
                </c:pt>
                <c:pt idx="49">
                  <c:v>03/29/1996</c:v>
                </c:pt>
                <c:pt idx="50">
                  <c:v>06/28/1996</c:v>
                </c:pt>
                <c:pt idx="51">
                  <c:v>09/30/1996</c:v>
                </c:pt>
                <c:pt idx="52">
                  <c:v>12/31/1996</c:v>
                </c:pt>
                <c:pt idx="53">
                  <c:v>03/31/1997</c:v>
                </c:pt>
                <c:pt idx="54">
                  <c:v>06/30/1997</c:v>
                </c:pt>
                <c:pt idx="55">
                  <c:v>09/30/1997</c:v>
                </c:pt>
                <c:pt idx="56">
                  <c:v>12/31/1997</c:v>
                </c:pt>
                <c:pt idx="57">
                  <c:v>03/31/1998</c:v>
                </c:pt>
                <c:pt idx="58">
                  <c:v>06/30/1998</c:v>
                </c:pt>
                <c:pt idx="59">
                  <c:v>09/30/1998</c:v>
                </c:pt>
                <c:pt idx="60">
                  <c:v>12/31/1998</c:v>
                </c:pt>
                <c:pt idx="61">
                  <c:v>03/31/1999</c:v>
                </c:pt>
                <c:pt idx="62">
                  <c:v>06/30/1999</c:v>
                </c:pt>
                <c:pt idx="63">
                  <c:v>09/30/1999</c:v>
                </c:pt>
                <c:pt idx="64">
                  <c:v>12/31/1999</c:v>
                </c:pt>
                <c:pt idx="65">
                  <c:v>03/31/2000</c:v>
                </c:pt>
                <c:pt idx="66">
                  <c:v>06/30/2000</c:v>
                </c:pt>
                <c:pt idx="67">
                  <c:v>09/29/2000</c:v>
                </c:pt>
                <c:pt idx="68">
                  <c:v>12/29/2000</c:v>
                </c:pt>
                <c:pt idx="69">
                  <c:v>03/30/2001</c:v>
                </c:pt>
                <c:pt idx="70">
                  <c:v>06/29/2001</c:v>
                </c:pt>
                <c:pt idx="71">
                  <c:v>09/28/2001</c:v>
                </c:pt>
                <c:pt idx="72">
                  <c:v>12/31/2001</c:v>
                </c:pt>
                <c:pt idx="73">
                  <c:v>03/29/2002</c:v>
                </c:pt>
                <c:pt idx="74">
                  <c:v>06/28/2002</c:v>
                </c:pt>
                <c:pt idx="75">
                  <c:v>09/30/2002</c:v>
                </c:pt>
                <c:pt idx="76">
                  <c:v>12/31/2002</c:v>
                </c:pt>
                <c:pt idx="77">
                  <c:v>03/31/2003</c:v>
                </c:pt>
                <c:pt idx="78">
                  <c:v>06/30/2003</c:v>
                </c:pt>
                <c:pt idx="79">
                  <c:v>09/30/2003</c:v>
                </c:pt>
                <c:pt idx="80">
                  <c:v>12/31/2003</c:v>
                </c:pt>
                <c:pt idx="81">
                  <c:v>03/31/2004</c:v>
                </c:pt>
                <c:pt idx="82">
                  <c:v>06/30/2004</c:v>
                </c:pt>
                <c:pt idx="83">
                  <c:v>09/30/2004</c:v>
                </c:pt>
                <c:pt idx="84">
                  <c:v>12/31/2004</c:v>
                </c:pt>
                <c:pt idx="85">
                  <c:v>03/31/2005</c:v>
                </c:pt>
                <c:pt idx="86">
                  <c:v>06/30/2005</c:v>
                </c:pt>
                <c:pt idx="87">
                  <c:v>09/30/2005</c:v>
                </c:pt>
                <c:pt idx="88">
                  <c:v>12/30/2005</c:v>
                </c:pt>
                <c:pt idx="89">
                  <c:v>03/31/2006</c:v>
                </c:pt>
                <c:pt idx="90">
                  <c:v>06/30/2006</c:v>
                </c:pt>
                <c:pt idx="91">
                  <c:v>09/29/2006</c:v>
                </c:pt>
                <c:pt idx="92">
                  <c:v>12/29/2006</c:v>
                </c:pt>
                <c:pt idx="93">
                  <c:v>03/30/2007</c:v>
                </c:pt>
                <c:pt idx="94">
                  <c:v>06/29/2007</c:v>
                </c:pt>
                <c:pt idx="95">
                  <c:v>09/28/2007</c:v>
                </c:pt>
                <c:pt idx="96">
                  <c:v>12/31/2007</c:v>
                </c:pt>
                <c:pt idx="97">
                  <c:v>03/31/2008</c:v>
                </c:pt>
                <c:pt idx="98">
                  <c:v>06/30/2008</c:v>
                </c:pt>
                <c:pt idx="99">
                  <c:v>09/30/2008</c:v>
                </c:pt>
                <c:pt idx="100">
                  <c:v>12/31/2008</c:v>
                </c:pt>
                <c:pt idx="101">
                  <c:v>03/31/2009</c:v>
                </c:pt>
                <c:pt idx="102">
                  <c:v>06/30/2009</c:v>
                </c:pt>
                <c:pt idx="103">
                  <c:v>09/30/2009</c:v>
                </c:pt>
                <c:pt idx="104">
                  <c:v>12/31/2009</c:v>
                </c:pt>
                <c:pt idx="105">
                  <c:v>03/31/2010</c:v>
                </c:pt>
                <c:pt idx="106">
                  <c:v>06/30/2010</c:v>
                </c:pt>
                <c:pt idx="107">
                  <c:v>09/30/2010</c:v>
                </c:pt>
                <c:pt idx="108">
                  <c:v>12/31/2010</c:v>
                </c:pt>
                <c:pt idx="109">
                  <c:v>03/31/2011</c:v>
                </c:pt>
                <c:pt idx="110">
                  <c:v>06/30/2011</c:v>
                </c:pt>
                <c:pt idx="111">
                  <c:v>09/30/2011</c:v>
                </c:pt>
                <c:pt idx="112">
                  <c:v>12/30/2011</c:v>
                </c:pt>
                <c:pt idx="113">
                  <c:v>03/30/2012</c:v>
                </c:pt>
                <c:pt idx="114">
                  <c:v>06/29/2012</c:v>
                </c:pt>
                <c:pt idx="115">
                  <c:v>09/28/2012</c:v>
                </c:pt>
                <c:pt idx="116">
                  <c:v>12/31/2012</c:v>
                </c:pt>
                <c:pt idx="117">
                  <c:v>03/29/2013</c:v>
                </c:pt>
                <c:pt idx="118">
                  <c:v>06/28/2013</c:v>
                </c:pt>
                <c:pt idx="119">
                  <c:v>09/30/2013</c:v>
                </c:pt>
                <c:pt idx="120">
                  <c:v>12/31/2013</c:v>
                </c:pt>
                <c:pt idx="121">
                  <c:v>03/31/2014</c:v>
                </c:pt>
                <c:pt idx="122">
                  <c:v>06/30/2014</c:v>
                </c:pt>
                <c:pt idx="123">
                  <c:v>09/30/2014</c:v>
                </c:pt>
                <c:pt idx="124">
                  <c:v>12/31/2014</c:v>
                </c:pt>
                <c:pt idx="125">
                  <c:v>03/31/2015</c:v>
                </c:pt>
                <c:pt idx="126">
                  <c:v>06/30/2015</c:v>
                </c:pt>
                <c:pt idx="127">
                  <c:v>09/30/2015</c:v>
                </c:pt>
                <c:pt idx="128">
                  <c:v>12/31/2015</c:v>
                </c:pt>
                <c:pt idx="129">
                  <c:v>03/31/2016</c:v>
                </c:pt>
                <c:pt idx="130">
                  <c:v>06/30/2016</c:v>
                </c:pt>
                <c:pt idx="131">
                  <c:v>07/21/2016</c:v>
                </c:pt>
              </c:strCache>
            </c:strRef>
          </c:cat>
          <c:val>
            <c:numRef>
              <c:f>Sheet1!$C$2:$C$133</c:f>
              <c:numCache>
                <c:formatCode>_(* #,##0.00_);_(* \(#,##0.00\);_(* "-"??_);_(@_)</c:formatCode>
                <c:ptCount val="132"/>
                <c:pt idx="0">
                  <c:v>5.2244115717052397E-2</c:v>
                </c:pt>
                <c:pt idx="1">
                  <c:v>0.16235739301617999</c:v>
                </c:pt>
                <c:pt idx="2">
                  <c:v>0.10373524741587201</c:v>
                </c:pt>
                <c:pt idx="3">
                  <c:v>0.13258687234049299</c:v>
                </c:pt>
                <c:pt idx="4">
                  <c:v>0.22759792780499799</c:v>
                </c:pt>
                <c:pt idx="5">
                  <c:v>0.33801005893057101</c:v>
                </c:pt>
                <c:pt idx="6">
                  <c:v>0.37005761178568902</c:v>
                </c:pt>
                <c:pt idx="7">
                  <c:v>0.35070337002889601</c:v>
                </c:pt>
                <c:pt idx="8">
                  <c:v>0.391444272269662</c:v>
                </c:pt>
                <c:pt idx="9">
                  <c:v>0.68674269536372401</c:v>
                </c:pt>
                <c:pt idx="10">
                  <c:v>0.87758798373639602</c:v>
                </c:pt>
                <c:pt idx="11">
                  <c:v>0.89871726832713095</c:v>
                </c:pt>
                <c:pt idx="12">
                  <c:v>1.0016452913505749</c:v>
                </c:pt>
                <c:pt idx="13">
                  <c:v>1.2936935461399459</c:v>
                </c:pt>
                <c:pt idx="14">
                  <c:v>1.5712489856518259</c:v>
                </c:pt>
                <c:pt idx="15">
                  <c:v>1.7663526751671621</c:v>
                </c:pt>
                <c:pt idx="16">
                  <c:v>1.293410645364734</c:v>
                </c:pt>
                <c:pt idx="17">
                  <c:v>1.792875154611655</c:v>
                </c:pt>
                <c:pt idx="18">
                  <c:v>1.953377739537723</c:v>
                </c:pt>
                <c:pt idx="19">
                  <c:v>1.9697849209632661</c:v>
                </c:pt>
                <c:pt idx="20">
                  <c:v>2.2075204810589422</c:v>
                </c:pt>
                <c:pt idx="21">
                  <c:v>2.4925142965927471</c:v>
                </c:pt>
                <c:pt idx="22">
                  <c:v>2.504214264367584</c:v>
                </c:pt>
                <c:pt idx="23">
                  <c:v>2.7901003872337302</c:v>
                </c:pt>
                <c:pt idx="24">
                  <c:v>3.1388457861078711</c:v>
                </c:pt>
                <c:pt idx="25">
                  <c:v>2.1885310324070302</c:v>
                </c:pt>
                <c:pt idx="26">
                  <c:v>2.3969619009230421</c:v>
                </c:pt>
                <c:pt idx="27">
                  <c:v>1.231672337090099</c:v>
                </c:pt>
                <c:pt idx="28">
                  <c:v>1.536397949926563</c:v>
                </c:pt>
                <c:pt idx="29">
                  <c:v>1.7962550743997141</c:v>
                </c:pt>
                <c:pt idx="30">
                  <c:v>1.4770791877557139</c:v>
                </c:pt>
                <c:pt idx="31">
                  <c:v>1.543601284326978</c:v>
                </c:pt>
                <c:pt idx="32">
                  <c:v>1.4444084023657311</c:v>
                </c:pt>
                <c:pt idx="33">
                  <c:v>1.0575128767711881</c:v>
                </c:pt>
                <c:pt idx="34">
                  <c:v>0.69652510638026299</c:v>
                </c:pt>
                <c:pt idx="35">
                  <c:v>0.85045609773477304</c:v>
                </c:pt>
                <c:pt idx="36">
                  <c:v>0.80003062985836904</c:v>
                </c:pt>
                <c:pt idx="37">
                  <c:v>0.97726902906539603</c:v>
                </c:pt>
                <c:pt idx="38">
                  <c:v>1.083468491128508</c:v>
                </c:pt>
                <c:pt idx="39">
                  <c:v>1.1383161448069099</c:v>
                </c:pt>
                <c:pt idx="40">
                  <c:v>0.85238748047080704</c:v>
                </c:pt>
                <c:pt idx="41">
                  <c:v>1.032622926236282</c:v>
                </c:pt>
                <c:pt idx="42">
                  <c:v>1.195557819707123</c:v>
                </c:pt>
                <c:pt idx="43">
                  <c:v>1.080683088383094</c:v>
                </c:pt>
                <c:pt idx="44">
                  <c:v>1.097619911109599</c:v>
                </c:pt>
                <c:pt idx="45">
                  <c:v>0.71654299506838004</c:v>
                </c:pt>
                <c:pt idx="46">
                  <c:v>0.54397883987284401</c:v>
                </c:pt>
                <c:pt idx="47">
                  <c:v>0.90511975955561197</c:v>
                </c:pt>
                <c:pt idx="48">
                  <c:v>1.113050765799636</c:v>
                </c:pt>
                <c:pt idx="49">
                  <c:v>1.276697165355503</c:v>
                </c:pt>
                <c:pt idx="50">
                  <c:v>1.3962280605662909</c:v>
                </c:pt>
                <c:pt idx="51">
                  <c:v>1.2926023574355581</c:v>
                </c:pt>
                <c:pt idx="52">
                  <c:v>1.0591507233645201</c:v>
                </c:pt>
                <c:pt idx="53">
                  <c:v>0.91472775054532895</c:v>
                </c:pt>
                <c:pt idx="54">
                  <c:v>1.1914132169965941</c:v>
                </c:pt>
                <c:pt idx="55">
                  <c:v>0.90242369389710697</c:v>
                </c:pt>
                <c:pt idx="56">
                  <c:v>0.62282307321705999</c:v>
                </c:pt>
                <c:pt idx="57">
                  <c:v>0.75772526505994597</c:v>
                </c:pt>
                <c:pt idx="58">
                  <c:v>0.68360738902791696</c:v>
                </c:pt>
                <c:pt idx="59">
                  <c:v>0.42581884353140997</c:v>
                </c:pt>
                <c:pt idx="60">
                  <c:v>0.47216564797571697</c:v>
                </c:pt>
                <c:pt idx="61">
                  <c:v>0.68427954425323201</c:v>
                </c:pt>
                <c:pt idx="62">
                  <c:v>0.86435226889612304</c:v>
                </c:pt>
                <c:pt idx="63">
                  <c:v>0.87240536915892297</c:v>
                </c:pt>
                <c:pt idx="64">
                  <c:v>1.013736640649012</c:v>
                </c:pt>
                <c:pt idx="65">
                  <c:v>1.1629487194485779</c:v>
                </c:pt>
                <c:pt idx="66">
                  <c:v>0.85172915122322701</c:v>
                </c:pt>
                <c:pt idx="67">
                  <c:v>0.674778970475156</c:v>
                </c:pt>
                <c:pt idx="68">
                  <c:v>0.46615879241783398</c:v>
                </c:pt>
                <c:pt idx="69">
                  <c:v>0.38256586748970201</c:v>
                </c:pt>
                <c:pt idx="70">
                  <c:v>0.37930612735427199</c:v>
                </c:pt>
                <c:pt idx="71">
                  <c:v>3.9573138890454697E-2</c:v>
                </c:pt>
                <c:pt idx="72">
                  <c:v>0.121246379986791</c:v>
                </c:pt>
                <c:pt idx="73">
                  <c:v>0.17254288446055799</c:v>
                </c:pt>
                <c:pt idx="74">
                  <c:v>0.12967171811171199</c:v>
                </c:pt>
                <c:pt idx="75">
                  <c:v>-2.0526259254098401E-3</c:v>
                </c:pt>
                <c:pt idx="76">
                  <c:v>-8.7597140787804201E-2</c:v>
                </c:pt>
                <c:pt idx="77">
                  <c:v>-0.152072992654152</c:v>
                </c:pt>
                <c:pt idx="78">
                  <c:v>-3.3977872054402003E-2</c:v>
                </c:pt>
                <c:pt idx="79">
                  <c:v>8.6833521402081698E-2</c:v>
                </c:pt>
                <c:pt idx="80">
                  <c:v>0.13549989949577701</c:v>
                </c:pt>
                <c:pt idx="81">
                  <c:v>0.24597477928953601</c:v>
                </c:pt>
                <c:pt idx="82">
                  <c:v>0.26123440456299801</c:v>
                </c:pt>
                <c:pt idx="83">
                  <c:v>0.15112644494761501</c:v>
                </c:pt>
                <c:pt idx="84">
                  <c:v>0.221871845948829</c:v>
                </c:pt>
                <c:pt idx="85">
                  <c:v>0.24103571462756501</c:v>
                </c:pt>
                <c:pt idx="86">
                  <c:v>0.232002033482264</c:v>
                </c:pt>
                <c:pt idx="87">
                  <c:v>0.44367668908247598</c:v>
                </c:pt>
                <c:pt idx="88">
                  <c:v>0.71350978826046796</c:v>
                </c:pt>
                <c:pt idx="89">
                  <c:v>0.81435753340302997</c:v>
                </c:pt>
                <c:pt idx="90">
                  <c:v>0.64903287285737199</c:v>
                </c:pt>
                <c:pt idx="91">
                  <c:v>0.71522740010996999</c:v>
                </c:pt>
                <c:pt idx="92">
                  <c:v>0.83203032355978501</c:v>
                </c:pt>
                <c:pt idx="93">
                  <c:v>0.83860510774159103</c:v>
                </c:pt>
                <c:pt idx="94">
                  <c:v>0.92908124250871305</c:v>
                </c:pt>
                <c:pt idx="95">
                  <c:v>0.78521981709294997</c:v>
                </c:pt>
                <c:pt idx="96">
                  <c:v>0.62803865743374998</c:v>
                </c:pt>
                <c:pt idx="97">
                  <c:v>0.33213720900305099</c:v>
                </c:pt>
                <c:pt idx="98">
                  <c:v>0.43379430561153898</c:v>
                </c:pt>
                <c:pt idx="99">
                  <c:v>0.197527489766118</c:v>
                </c:pt>
                <c:pt idx="100">
                  <c:v>-5.7753236076442803E-2</c:v>
                </c:pt>
                <c:pt idx="101">
                  <c:v>-0.13752168285546901</c:v>
                </c:pt>
                <c:pt idx="102">
                  <c:v>5.9116690188554498E-2</c:v>
                </c:pt>
                <c:pt idx="103">
                  <c:v>7.7706249022875595E-2</c:v>
                </c:pt>
                <c:pt idx="104">
                  <c:v>0.121652651024877</c:v>
                </c:pt>
                <c:pt idx="105">
                  <c:v>0.17945587332851901</c:v>
                </c:pt>
                <c:pt idx="106">
                  <c:v>-2.1217558140895999E-3</c:v>
                </c:pt>
                <c:pt idx="107">
                  <c:v>-3.5351961534002599E-3</c:v>
                </c:pt>
                <c:pt idx="108">
                  <c:v>8.7883232173262896E-2</c:v>
                </c:pt>
                <c:pt idx="109">
                  <c:v>3.7490733936075098E-2</c:v>
                </c:pt>
                <c:pt idx="110">
                  <c:v>4.3977244567720203E-2</c:v>
                </c:pt>
                <c:pt idx="111">
                  <c:v>-7.4692185876444606E-2</c:v>
                </c:pt>
                <c:pt idx="112">
                  <c:v>-0.100742455004419</c:v>
                </c:pt>
                <c:pt idx="113">
                  <c:v>7.2423661991004501E-2</c:v>
                </c:pt>
                <c:pt idx="114">
                  <c:v>-4.2095848058885797E-2</c:v>
                </c:pt>
                <c:pt idx="115">
                  <c:v>-5.6625887122590701E-2</c:v>
                </c:pt>
                <c:pt idx="116">
                  <c:v>0.105565594160758</c:v>
                </c:pt>
                <c:pt idx="117">
                  <c:v>0.31856328947662299</c:v>
                </c:pt>
                <c:pt idx="118">
                  <c:v>0.45463324466982002</c:v>
                </c:pt>
                <c:pt idx="119">
                  <c:v>0.53742745349951504</c:v>
                </c:pt>
                <c:pt idx="120">
                  <c:v>0.73264068729998899</c:v>
                </c:pt>
                <c:pt idx="121">
                  <c:v>0.57699421116947602</c:v>
                </c:pt>
                <c:pt idx="122">
                  <c:v>0.61254505407552595</c:v>
                </c:pt>
                <c:pt idx="123">
                  <c:v>0.72011328793449503</c:v>
                </c:pt>
                <c:pt idx="124">
                  <c:v>0.85595351918992502</c:v>
                </c:pt>
                <c:pt idx="125">
                  <c:v>1.0427339701082361</c:v>
                </c:pt>
                <c:pt idx="126">
                  <c:v>1.1521442496163301</c:v>
                </c:pt>
                <c:pt idx="127">
                  <c:v>0.84929365206820695</c:v>
                </c:pt>
                <c:pt idx="128">
                  <c:v>1.0243050053230021</c:v>
                </c:pt>
                <c:pt idx="129">
                  <c:v>0.78234614079737597</c:v>
                </c:pt>
                <c:pt idx="130">
                  <c:v>0.65655633181921103</c:v>
                </c:pt>
                <c:pt idx="131">
                  <c:v>0.76836914084310803</c:v>
                </c:pt>
              </c:numCache>
            </c:numRef>
          </c:val>
          <c:smooth val="0"/>
          <c:extLst xmlns:c16r2="http://schemas.microsoft.com/office/drawing/2015/06/chart">
            <c:ext xmlns:c16="http://schemas.microsoft.com/office/drawing/2014/chart" uri="{C3380CC4-5D6E-409C-BE32-E72D297353CC}">
              <c16:uniqueId val="{00000001-7C7E-524D-A92F-BBBE9651C0D8}"/>
            </c:ext>
          </c:extLst>
        </c:ser>
        <c:dLbls>
          <c:showLegendKey val="0"/>
          <c:showVal val="0"/>
          <c:showCatName val="0"/>
          <c:showSerName val="0"/>
          <c:showPercent val="0"/>
          <c:showBubbleSize val="0"/>
        </c:dLbls>
        <c:smooth val="0"/>
        <c:axId val="175082200"/>
        <c:axId val="175090776"/>
      </c:lineChart>
      <c:catAx>
        <c:axId val="1750822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crossAx val="175090776"/>
        <c:crosses val="autoZero"/>
        <c:auto val="1"/>
        <c:lblAlgn val="ctr"/>
        <c:lblOffset val="100"/>
        <c:noMultiLvlLbl val="0"/>
      </c:catAx>
      <c:valAx>
        <c:axId val="175090776"/>
        <c:scaling>
          <c:orientation val="minMax"/>
        </c:scaling>
        <c:delete val="0"/>
        <c:axPos val="l"/>
        <c:majorGridlines>
          <c:spPr>
            <a:ln w="9525" cap="flat" cmpd="sng" algn="ctr">
              <a:solidFill>
                <a:schemeClr val="tx1">
                  <a:lumMod val="15000"/>
                  <a:lumOff val="85000"/>
                </a:schemeClr>
              </a:solidFill>
              <a:round/>
            </a:ln>
            <a:effectLst/>
          </c:spPr>
        </c:majorGridlines>
        <c:numFmt formatCode="_(* #,##0.00_);_(* \(#,##0.00\);_(*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crossAx val="175082200"/>
        <c:crosses val="autoZero"/>
        <c:crossBetween val="between"/>
      </c:valAx>
      <c:spPr>
        <a:noFill/>
        <a:ln>
          <a:noFill/>
        </a:ln>
        <a:effectLst/>
      </c:spPr>
    </c:plotArea>
    <c:legend>
      <c:legendPos val="b"/>
      <c:layout>
        <c:manualLayout>
          <c:xMode val="edge"/>
          <c:yMode val="edge"/>
          <c:x val="0.17355209703803268"/>
          <c:y val="0.14966122143357982"/>
          <c:w val="0.46042618003677005"/>
          <c:h val="7.3775188703597588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legend>
    <c:plotVisOnly val="1"/>
    <c:dispBlanksAs val="gap"/>
    <c:showDLblsOverMax val="0"/>
  </c:chart>
  <c:spPr>
    <a:solidFill>
      <a:schemeClr val="bg1"/>
    </a:solidFill>
    <a:ln w="9525" cap="flat" cmpd="sng" algn="ctr">
      <a:noFill/>
      <a:round/>
    </a:ln>
    <a:effectLst/>
  </c:spPr>
  <c:txPr>
    <a:bodyPr/>
    <a:lstStyle/>
    <a:p>
      <a:pPr>
        <a:defRPr>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2.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style1.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 dockstate="right" visibility="0" width="350" row="3">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9A5EB15D-9568-4765-BE37-2AAF29CA9123}">
  <we:reference id="wa104043061" version="1.1.1.0" store="en-US"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61C4435D-5CD2-4855-A6FE-F8E8CF26B6FC}">
  <we:reference id="wa104041485" version="1.1.1.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6C60AD-DE21-4C09-8055-ECAE3D02C0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4561</Words>
  <Characters>26001</Characters>
  <Application>Microsoft Office Word</Application>
  <DocSecurity>0</DocSecurity>
  <Lines>216</Lines>
  <Paragraphs>61</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30501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Shareef, Huma</cp:lastModifiedBy>
  <cp:revision>2</cp:revision>
  <cp:lastPrinted>2018-08-30T15:19:00Z</cp:lastPrinted>
  <dcterms:created xsi:type="dcterms:W3CDTF">2019-07-22T14:00:00Z</dcterms:created>
  <dcterms:modified xsi:type="dcterms:W3CDTF">2019-07-22T14:00:00Z</dcterms:modified>
</cp:coreProperties>
</file>