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AC8D" w14:textId="0881CFE8" w:rsidR="00900F38" w:rsidRDefault="00946B3E" w:rsidP="008467D5">
      <w:pPr>
        <w:pBdr>
          <w:bottom w:val="single" w:sz="18" w:space="1" w:color="auto"/>
        </w:pBdr>
        <w:tabs>
          <w:tab w:val="left" w:pos="-1440"/>
          <w:tab w:val="left" w:pos="-720"/>
          <w:tab w:val="left" w:pos="1"/>
        </w:tabs>
        <w:jc w:val="both"/>
        <w:rPr>
          <w:rFonts w:ascii="Arial" w:hAnsi="Arial"/>
          <w:b/>
          <w:noProof/>
          <w:sz w:val="24"/>
        </w:rPr>
      </w:pPr>
      <w:r w:rsidRPr="00946B3E">
        <w:rPr>
          <w:rFonts w:ascii="Arial" w:hAnsi="Arial"/>
          <w:b/>
          <w:noProof/>
          <w:sz w:val="24"/>
        </w:rPr>
        <w:drawing>
          <wp:inline distT="0" distB="0" distL="0" distR="0" wp14:anchorId="2E6F4B93" wp14:editId="7EB3169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8ACB79" w14:textId="3A1C29C0" w:rsidR="00D75295" w:rsidRDefault="0098376C" w:rsidP="00F105B7">
      <w:pPr>
        <w:pStyle w:val="ProductNumber"/>
      </w:pPr>
      <w:r>
        <w:t>9B18N017</w:t>
      </w:r>
    </w:p>
    <w:p w14:paraId="19ACC3CA" w14:textId="77777777" w:rsidR="00D75295" w:rsidRPr="003D0BA1" w:rsidRDefault="00D75295" w:rsidP="00D75295">
      <w:pPr>
        <w:jc w:val="right"/>
        <w:rPr>
          <w:rFonts w:ascii="Arial" w:hAnsi="Arial"/>
          <w:b/>
          <w:sz w:val="28"/>
          <w:szCs w:val="28"/>
        </w:rPr>
      </w:pPr>
    </w:p>
    <w:p w14:paraId="13DFE644" w14:textId="77777777" w:rsidR="00013360" w:rsidRPr="003D0BA1" w:rsidRDefault="00013360" w:rsidP="00D75295">
      <w:pPr>
        <w:jc w:val="right"/>
        <w:rPr>
          <w:rFonts w:ascii="Arial" w:hAnsi="Arial"/>
          <w:b/>
          <w:sz w:val="28"/>
          <w:szCs w:val="28"/>
        </w:rPr>
      </w:pPr>
    </w:p>
    <w:p w14:paraId="0F9175EE" w14:textId="77777777" w:rsidR="00013360" w:rsidRDefault="00831936" w:rsidP="00013360">
      <w:pPr>
        <w:pStyle w:val="CaseTitle"/>
        <w:spacing w:after="0" w:line="240" w:lineRule="auto"/>
        <w:rPr>
          <w:sz w:val="20"/>
          <w:szCs w:val="20"/>
        </w:rPr>
      </w:pPr>
      <w:r w:rsidRPr="00831936">
        <w:rPr>
          <w:rFonts w:eastAsia="Times New Roman"/>
          <w:szCs w:val="20"/>
          <w:lang w:val="en-GB"/>
        </w:rPr>
        <w:t>ELIXIR: A FINTECH BANKING SOLUTION FOR MILLENNIALS</w:t>
      </w:r>
    </w:p>
    <w:p w14:paraId="5A65D9EA" w14:textId="77777777" w:rsidR="00CA3976" w:rsidRDefault="00CA3976" w:rsidP="00013360">
      <w:pPr>
        <w:pStyle w:val="CaseTitle"/>
        <w:spacing w:after="0" w:line="240" w:lineRule="auto"/>
        <w:rPr>
          <w:sz w:val="20"/>
          <w:szCs w:val="20"/>
        </w:rPr>
      </w:pPr>
    </w:p>
    <w:p w14:paraId="1065D787" w14:textId="77777777" w:rsidR="00013360" w:rsidRPr="00013360" w:rsidRDefault="00013360" w:rsidP="00013360">
      <w:pPr>
        <w:pStyle w:val="CaseTitle"/>
        <w:spacing w:after="0" w:line="240" w:lineRule="auto"/>
        <w:rPr>
          <w:sz w:val="20"/>
          <w:szCs w:val="20"/>
        </w:rPr>
      </w:pPr>
    </w:p>
    <w:p w14:paraId="2E0A10A3" w14:textId="77777777" w:rsidR="00627C63" w:rsidRPr="00627C63" w:rsidRDefault="00656BF7" w:rsidP="00627C63">
      <w:pPr>
        <w:pStyle w:val="StyleCopyrightStatementAfter0ptBottomSinglesolidline1"/>
      </w:pPr>
      <w:hyperlink r:id="rId9" w:history="1">
        <w:r w:rsidR="00831936" w:rsidRPr="00831936">
          <w:rPr>
            <w:rStyle w:val="Hyperlink"/>
            <w:color w:val="auto"/>
            <w:u w:val="none"/>
          </w:rPr>
          <w:t>Michael King</w:t>
        </w:r>
      </w:hyperlink>
      <w:r w:rsidR="00831936" w:rsidRPr="00831936">
        <w:rPr>
          <w:color w:val="auto"/>
        </w:rPr>
        <w:t xml:space="preserve"> </w:t>
      </w:r>
      <w:r w:rsidR="004B632F" w:rsidRPr="00831936">
        <w:rPr>
          <w:color w:val="auto"/>
        </w:rPr>
        <w:t>wrot</w:t>
      </w:r>
      <w:r w:rsidR="004B632F" w:rsidRPr="00104567">
        <w: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rsidR="00831936">
        <w:t>es</w:t>
      </w:r>
      <w:r w:rsidR="00152682">
        <w:t xml:space="preserve"> not intend to illustrate either effective or ineffective handling of a managerial situation. The author may have disguised certain names and other identifying information to protect confidentiality.</w:t>
      </w:r>
    </w:p>
    <w:p w14:paraId="532D18B4" w14:textId="77777777" w:rsidR="00751E0B" w:rsidRDefault="00751E0B" w:rsidP="00751E0B">
      <w:pPr>
        <w:pStyle w:val="StyleCopyrightStatementAfter0ptBottomSinglesolidline1"/>
      </w:pPr>
    </w:p>
    <w:p w14:paraId="3775ECE1" w14:textId="77777777" w:rsidR="00946B3E" w:rsidRPr="00E23AB7" w:rsidRDefault="00946B3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3DB72299" w14:textId="7EF959EE" w:rsidR="00900F38" w:rsidRDefault="00900F38" w:rsidP="00751E0B">
      <w:pPr>
        <w:pStyle w:val="StyleCopyrightStatementAfter0ptBottomSinglesolidline1"/>
      </w:pPr>
    </w:p>
    <w:p w14:paraId="24042C03" w14:textId="3C357E8D" w:rsidR="00751E0B" w:rsidRDefault="00946B3E" w:rsidP="00751E0B">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Pr>
          <w:rFonts w:cs="Arial"/>
          <w:szCs w:val="16"/>
          <w:lang w:val="en-CA"/>
        </w:rPr>
        <w:tab/>
      </w:r>
      <w:r w:rsidR="00751E0B">
        <w:t xml:space="preserve">Version: </w:t>
      </w:r>
      <w:r w:rsidR="003D0BA1">
        <w:t>20</w:t>
      </w:r>
      <w:r w:rsidR="00831936">
        <w:t>1</w:t>
      </w:r>
      <w:r w:rsidR="00656BF7">
        <w:t>9</w:t>
      </w:r>
      <w:r w:rsidR="001C7777">
        <w:t>-</w:t>
      </w:r>
      <w:r w:rsidR="00656BF7">
        <w:t>06</w:t>
      </w:r>
      <w:r w:rsidR="00751E0B">
        <w:t>-</w:t>
      </w:r>
      <w:r w:rsidR="00656BF7">
        <w:t>25</w:t>
      </w:r>
    </w:p>
    <w:p w14:paraId="4F193FF0" w14:textId="77777777" w:rsidR="00751E0B" w:rsidRPr="006201A4" w:rsidRDefault="00751E0B" w:rsidP="00751E0B">
      <w:pPr>
        <w:pStyle w:val="StyleCopyrightStatementAfter0ptBottomSinglesolidline1"/>
        <w:rPr>
          <w:rFonts w:ascii="Times New Roman" w:hAnsi="Times New Roman"/>
          <w:sz w:val="18"/>
          <w:szCs w:val="18"/>
        </w:rPr>
      </w:pPr>
    </w:p>
    <w:p w14:paraId="16B6B3A8" w14:textId="77777777" w:rsidR="004B632F" w:rsidRPr="006201A4" w:rsidRDefault="004B632F" w:rsidP="004B632F">
      <w:pPr>
        <w:pStyle w:val="StyleCopyrightStatementAfter0ptBottomSinglesolidline1"/>
        <w:rPr>
          <w:rFonts w:ascii="Times New Roman" w:hAnsi="Times New Roman"/>
          <w:sz w:val="18"/>
          <w:szCs w:val="18"/>
        </w:rPr>
      </w:pPr>
    </w:p>
    <w:p w14:paraId="7A16E2DC" w14:textId="0823C5F1" w:rsidR="00831936" w:rsidRPr="00831936" w:rsidRDefault="00831936" w:rsidP="00831936">
      <w:pPr>
        <w:pStyle w:val="BodyTextMain"/>
        <w:jc w:val="right"/>
        <w:rPr>
          <w:u w:color="000000"/>
          <w:bdr w:val="nil"/>
          <w:lang w:val="en-CA" w:eastAsia="en-CA"/>
        </w:rPr>
      </w:pPr>
      <w:r w:rsidRPr="00831936">
        <w:rPr>
          <w:u w:color="000000"/>
          <w:bdr w:val="nil"/>
          <w:lang w:val="en-CA" w:eastAsia="en-CA"/>
        </w:rPr>
        <w:t>Financial inclusion improves the lives of individuals, binds their communities and helps build their countries. Young adults represent the best opportunity to build financia</w:t>
      </w:r>
      <w:r>
        <w:rPr>
          <w:u w:color="000000"/>
          <w:bdr w:val="nil"/>
          <w:lang w:val="en-CA" w:eastAsia="en-CA"/>
        </w:rPr>
        <w:t>l inclusion across the globe.</w:t>
      </w:r>
    </w:p>
    <w:p w14:paraId="5B09FFEA" w14:textId="77777777" w:rsidR="00831936" w:rsidRDefault="00831936" w:rsidP="00831936">
      <w:pPr>
        <w:pStyle w:val="BodyTextMain"/>
        <w:jc w:val="right"/>
        <w:rPr>
          <w:u w:color="000000"/>
          <w:bdr w:val="nil"/>
          <w:lang w:val="en-CA" w:eastAsia="en-CA"/>
        </w:rPr>
      </w:pPr>
    </w:p>
    <w:p w14:paraId="29ABA6BA" w14:textId="77777777" w:rsidR="00831936" w:rsidRPr="00831936" w:rsidRDefault="00831936" w:rsidP="00831936">
      <w:pPr>
        <w:pStyle w:val="BodyTextMain"/>
        <w:jc w:val="right"/>
        <w:rPr>
          <w:u w:color="000000"/>
          <w:bdr w:val="nil"/>
          <w:lang w:val="en-CA" w:eastAsia="en-CA"/>
        </w:rPr>
      </w:pPr>
      <w:r w:rsidRPr="00831936">
        <w:rPr>
          <w:u w:color="000000"/>
          <w:bdr w:val="nil"/>
          <w:lang w:val="en-CA" w:eastAsia="en-CA"/>
        </w:rPr>
        <w:t>Alistair Smithson, C</w:t>
      </w:r>
      <w:r w:rsidR="00402205">
        <w:rPr>
          <w:u w:color="000000"/>
          <w:bdr w:val="nil"/>
          <w:lang w:val="en-CA" w:eastAsia="en-CA"/>
        </w:rPr>
        <w:t xml:space="preserve">hief </w:t>
      </w:r>
      <w:r w:rsidRPr="00831936">
        <w:rPr>
          <w:u w:color="000000"/>
          <w:bdr w:val="nil"/>
          <w:lang w:val="en-CA" w:eastAsia="en-CA"/>
        </w:rPr>
        <w:t>E</w:t>
      </w:r>
      <w:r w:rsidR="00402205">
        <w:rPr>
          <w:u w:color="000000"/>
          <w:bdr w:val="nil"/>
          <w:lang w:val="en-CA" w:eastAsia="en-CA"/>
        </w:rPr>
        <w:t xml:space="preserve">xecutive </w:t>
      </w:r>
      <w:r w:rsidRPr="00831936">
        <w:rPr>
          <w:u w:color="000000"/>
          <w:bdr w:val="nil"/>
          <w:lang w:val="en-CA" w:eastAsia="en-CA"/>
        </w:rPr>
        <w:t>O</w:t>
      </w:r>
      <w:r w:rsidR="00402205">
        <w:rPr>
          <w:u w:color="000000"/>
          <w:bdr w:val="nil"/>
          <w:lang w:val="en-CA" w:eastAsia="en-CA"/>
        </w:rPr>
        <w:t>fficer</w:t>
      </w:r>
      <w:r w:rsidRPr="00831936">
        <w:rPr>
          <w:u w:color="000000"/>
          <w:bdr w:val="nil"/>
          <w:lang w:val="en-CA" w:eastAsia="en-CA"/>
        </w:rPr>
        <w:t>, Elixir</w:t>
      </w:r>
    </w:p>
    <w:p w14:paraId="3927E492" w14:textId="77777777" w:rsidR="00831936" w:rsidRPr="006201A4" w:rsidRDefault="00831936" w:rsidP="0055490A">
      <w:pPr>
        <w:pStyle w:val="BodyTextMain"/>
        <w:rPr>
          <w:sz w:val="18"/>
          <w:szCs w:val="18"/>
        </w:rPr>
      </w:pPr>
    </w:p>
    <w:p w14:paraId="31C2013B" w14:textId="15D32F2E" w:rsidR="00D4274B" w:rsidRDefault="00831936" w:rsidP="0055490A">
      <w:pPr>
        <w:pStyle w:val="BodyTextMain"/>
      </w:pPr>
      <w:r w:rsidRPr="0055490A">
        <w:t>In August of 2016, U</w:t>
      </w:r>
      <w:r w:rsidR="00402205" w:rsidRPr="0055490A">
        <w:t>.</w:t>
      </w:r>
      <w:r w:rsidRPr="0055490A">
        <w:t>K</w:t>
      </w:r>
      <w:r w:rsidR="00402205" w:rsidRPr="0055490A">
        <w:t>.</w:t>
      </w:r>
      <w:r w:rsidRPr="0055490A">
        <w:t>-born banker Frank McCarthy was sitting at home in Hong Kong</w:t>
      </w:r>
      <w:r w:rsidR="009D1BD2" w:rsidRPr="0055490A">
        <w:t>,</w:t>
      </w:r>
      <w:r w:rsidRPr="0055490A">
        <w:t xml:space="preserve"> considering the offer </w:t>
      </w:r>
      <w:r w:rsidR="00343E74" w:rsidRPr="0055490A">
        <w:t>that</w:t>
      </w:r>
      <w:r w:rsidRPr="0055490A">
        <w:t xml:space="preserve"> had been </w:t>
      </w:r>
      <w:r w:rsidR="00152F37" w:rsidRPr="0055490A">
        <w:t xml:space="preserve">recently </w:t>
      </w:r>
      <w:r w:rsidR="00343E74" w:rsidRPr="0055490A">
        <w:t>presented to him</w:t>
      </w:r>
      <w:r w:rsidRPr="0055490A">
        <w:t xml:space="preserve">. Earlier in the summer, McCarthy had been invited to join the management </w:t>
      </w:r>
      <w:r w:rsidR="00CA2627">
        <w:t xml:space="preserve">team </w:t>
      </w:r>
      <w:r w:rsidRPr="0055490A">
        <w:t xml:space="preserve">of a financial technology (fintech) start-up called Elixir. Elixir had developed a social banking application (app) to provide a unique suite of mobile banking services to young adults around the world. The start-up was actively marketing its app to a network of partner banks in developed and emerging markets. Elixir’s vision was to expand into 20 countries and attract 20 million users by 2020. As a technology company in the social finance space, Elixir could use the strategic and operational advice </w:t>
      </w:r>
      <w:r w:rsidR="009D1BD2" w:rsidRPr="0055490A">
        <w:t>of</w:t>
      </w:r>
      <w:r w:rsidRPr="0055490A">
        <w:t xml:space="preserve"> an experienced banker to help turn this vision into a reality. </w:t>
      </w:r>
    </w:p>
    <w:p w14:paraId="311B5578" w14:textId="77777777" w:rsidR="00D4274B" w:rsidRPr="006201A4" w:rsidRDefault="00D4274B" w:rsidP="0055490A">
      <w:pPr>
        <w:pStyle w:val="BodyTextMain"/>
        <w:rPr>
          <w:sz w:val="18"/>
          <w:szCs w:val="18"/>
        </w:rPr>
      </w:pPr>
    </w:p>
    <w:p w14:paraId="002D6665" w14:textId="399142DE" w:rsidR="00D4274B" w:rsidRPr="006201A4" w:rsidRDefault="00D4274B" w:rsidP="00D4274B">
      <w:pPr>
        <w:pStyle w:val="BodyTextMain"/>
        <w:rPr>
          <w:spacing w:val="-2"/>
          <w:kern w:val="22"/>
        </w:rPr>
      </w:pPr>
      <w:r w:rsidRPr="006201A4">
        <w:rPr>
          <w:spacing w:val="-2"/>
          <w:kern w:val="22"/>
        </w:rPr>
        <w:t xml:space="preserve">McCarthy was </w:t>
      </w:r>
      <w:r w:rsidR="00057979" w:rsidRPr="006201A4">
        <w:rPr>
          <w:spacing w:val="-2"/>
          <w:kern w:val="22"/>
        </w:rPr>
        <w:t>finding it very difficult to make a decision</w:t>
      </w:r>
      <w:r w:rsidRPr="006201A4">
        <w:rPr>
          <w:spacing w:val="-2"/>
          <w:kern w:val="22"/>
        </w:rPr>
        <w:t>. The market opportunity was not the issue, as he could see the customer need for this product in both developed and emerging markets</w:t>
      </w:r>
      <w:r w:rsidR="00057979" w:rsidRPr="006201A4">
        <w:rPr>
          <w:spacing w:val="-2"/>
          <w:kern w:val="22"/>
        </w:rPr>
        <w:t>, b</w:t>
      </w:r>
      <w:r w:rsidRPr="006201A4">
        <w:rPr>
          <w:spacing w:val="-2"/>
          <w:kern w:val="22"/>
        </w:rPr>
        <w:t>ut getting involved with a start-up would take him out of his comfort zone.</w:t>
      </w:r>
      <w:r w:rsidRPr="006201A4" w:rsidDel="00D4274B">
        <w:rPr>
          <w:spacing w:val="-2"/>
          <w:kern w:val="22"/>
        </w:rPr>
        <w:t xml:space="preserve"> </w:t>
      </w:r>
      <w:r w:rsidR="00ED0362" w:rsidRPr="006201A4">
        <w:rPr>
          <w:spacing w:val="-2"/>
          <w:kern w:val="22"/>
        </w:rPr>
        <w:t xml:space="preserve">McCarthy had been conducting due diligence </w:t>
      </w:r>
      <w:r w:rsidR="00057979" w:rsidRPr="006201A4">
        <w:rPr>
          <w:spacing w:val="-2"/>
          <w:kern w:val="22"/>
        </w:rPr>
        <w:t>for</w:t>
      </w:r>
      <w:r w:rsidR="00ED0362" w:rsidRPr="006201A4">
        <w:rPr>
          <w:spacing w:val="-2"/>
          <w:kern w:val="22"/>
        </w:rPr>
        <w:t xml:space="preserve"> the company all summer, </w:t>
      </w:r>
      <w:r w:rsidRPr="006201A4">
        <w:rPr>
          <w:spacing w:val="-2"/>
          <w:kern w:val="22"/>
        </w:rPr>
        <w:t>examining Elixir’s strategy, its business model, and its leadership</w:t>
      </w:r>
      <w:r w:rsidR="00CA2627" w:rsidRPr="006201A4">
        <w:rPr>
          <w:spacing w:val="-2"/>
          <w:kern w:val="22"/>
        </w:rPr>
        <w:t>. He needed</w:t>
      </w:r>
      <w:r w:rsidRPr="006201A4">
        <w:rPr>
          <w:spacing w:val="-2"/>
          <w:kern w:val="22"/>
        </w:rPr>
        <w:t xml:space="preserve"> to decide whether </w:t>
      </w:r>
      <w:r w:rsidR="00057979" w:rsidRPr="006201A4">
        <w:rPr>
          <w:spacing w:val="-2"/>
          <w:kern w:val="22"/>
        </w:rPr>
        <w:t xml:space="preserve">or not </w:t>
      </w:r>
      <w:r w:rsidRPr="006201A4">
        <w:rPr>
          <w:spacing w:val="-2"/>
          <w:kern w:val="22"/>
        </w:rPr>
        <w:t xml:space="preserve">to pursue the opportunity and whether </w:t>
      </w:r>
      <w:r w:rsidR="00057979" w:rsidRPr="006201A4">
        <w:rPr>
          <w:spacing w:val="-2"/>
          <w:kern w:val="22"/>
        </w:rPr>
        <w:t xml:space="preserve">or not </w:t>
      </w:r>
      <w:r w:rsidRPr="006201A4">
        <w:rPr>
          <w:spacing w:val="-2"/>
          <w:kern w:val="22"/>
        </w:rPr>
        <w:t xml:space="preserve">to invest some of his own savings in Elixir’s equity at the same time. </w:t>
      </w:r>
      <w:r w:rsidR="00831936" w:rsidRPr="006201A4">
        <w:rPr>
          <w:spacing w:val="-2"/>
          <w:kern w:val="22"/>
        </w:rPr>
        <w:t xml:space="preserve">He was attracted by Elixir’s goal of targeting young adults </w:t>
      </w:r>
      <w:r w:rsidR="00CA2627" w:rsidRPr="006201A4">
        <w:rPr>
          <w:spacing w:val="-2"/>
          <w:kern w:val="22"/>
        </w:rPr>
        <w:t xml:space="preserve">and the underbanked to </w:t>
      </w:r>
      <w:r w:rsidR="00831936" w:rsidRPr="006201A4">
        <w:rPr>
          <w:spacing w:val="-2"/>
          <w:kern w:val="22"/>
        </w:rPr>
        <w:t>provid</w:t>
      </w:r>
      <w:r w:rsidR="00CA2627" w:rsidRPr="006201A4">
        <w:rPr>
          <w:spacing w:val="-2"/>
          <w:kern w:val="22"/>
        </w:rPr>
        <w:t>e</w:t>
      </w:r>
      <w:r w:rsidR="00831936" w:rsidRPr="006201A4">
        <w:rPr>
          <w:spacing w:val="-2"/>
          <w:kern w:val="22"/>
        </w:rPr>
        <w:t xml:space="preserve"> them with </w:t>
      </w:r>
      <w:r w:rsidR="00CA2627" w:rsidRPr="006201A4">
        <w:rPr>
          <w:spacing w:val="-2"/>
          <w:kern w:val="22"/>
        </w:rPr>
        <w:t xml:space="preserve">low-cost </w:t>
      </w:r>
      <w:r w:rsidR="00831936" w:rsidRPr="006201A4">
        <w:rPr>
          <w:spacing w:val="-2"/>
          <w:kern w:val="22"/>
        </w:rPr>
        <w:t xml:space="preserve">mobile financial services. </w:t>
      </w:r>
      <w:r w:rsidR="00ED0362" w:rsidRPr="006201A4">
        <w:rPr>
          <w:spacing w:val="-2"/>
          <w:kern w:val="22"/>
        </w:rPr>
        <w:t xml:space="preserve">While he was impressed with the team and technology, he still had nagging concerns about their strategy and value proposition. </w:t>
      </w:r>
      <w:r w:rsidRPr="006201A4">
        <w:rPr>
          <w:spacing w:val="-2"/>
          <w:kern w:val="22"/>
        </w:rPr>
        <w:t>Now it was time to make a decision.</w:t>
      </w:r>
    </w:p>
    <w:p w14:paraId="612215D1" w14:textId="77777777" w:rsidR="00946B3E" w:rsidRPr="006201A4" w:rsidRDefault="00946B3E" w:rsidP="00057979">
      <w:pPr>
        <w:pStyle w:val="BodyTextMain"/>
        <w:rPr>
          <w:sz w:val="18"/>
          <w:szCs w:val="18"/>
        </w:rPr>
      </w:pPr>
    </w:p>
    <w:p w14:paraId="3A69F670" w14:textId="0FF16A33" w:rsidR="0055490A" w:rsidRPr="006201A4" w:rsidRDefault="0055490A" w:rsidP="00057979">
      <w:pPr>
        <w:pStyle w:val="BodyTextMain"/>
        <w:rPr>
          <w:rFonts w:eastAsia="Arial Unicode MS"/>
          <w:sz w:val="18"/>
          <w:szCs w:val="18"/>
        </w:rPr>
      </w:pPr>
    </w:p>
    <w:p w14:paraId="3B9D09AD" w14:textId="6BE30B72" w:rsidR="00831936" w:rsidRPr="00831936" w:rsidRDefault="00831936" w:rsidP="0055490A">
      <w:pPr>
        <w:pStyle w:val="Casehead1"/>
        <w:rPr>
          <w:rFonts w:eastAsia="Arial Unicode MS"/>
          <w:u w:color="000000"/>
          <w:bdr w:val="nil"/>
          <w:lang w:val="en-CA" w:eastAsia="en-CA"/>
        </w:rPr>
      </w:pPr>
      <w:r w:rsidRPr="00831936">
        <w:rPr>
          <w:rFonts w:eastAsia="Arial Unicode MS"/>
          <w:u w:color="000000"/>
          <w:bdr w:val="nil"/>
          <w:lang w:val="en-CA" w:eastAsia="en-CA"/>
        </w:rPr>
        <w:t>FINTECH and social Finance: Democrati</w:t>
      </w:r>
      <w:r w:rsidR="0052362D">
        <w:rPr>
          <w:rFonts w:eastAsia="Arial Unicode MS"/>
          <w:u w:color="000000"/>
          <w:bdr w:val="nil"/>
          <w:lang w:val="en-CA" w:eastAsia="en-CA"/>
        </w:rPr>
        <w:t>z</w:t>
      </w:r>
      <w:r w:rsidRPr="00831936">
        <w:rPr>
          <w:rFonts w:eastAsia="Arial Unicode MS"/>
          <w:u w:color="000000"/>
          <w:bdr w:val="nil"/>
          <w:lang w:val="en-CA" w:eastAsia="en-CA"/>
        </w:rPr>
        <w:t>ing banking</w:t>
      </w:r>
    </w:p>
    <w:p w14:paraId="128916C7" w14:textId="77777777" w:rsidR="00831936" w:rsidRPr="006201A4" w:rsidRDefault="00831936" w:rsidP="0055490A">
      <w:pPr>
        <w:pStyle w:val="BodyTextMain"/>
        <w:rPr>
          <w:sz w:val="18"/>
          <w:szCs w:val="18"/>
        </w:rPr>
      </w:pPr>
    </w:p>
    <w:p w14:paraId="303B9D78" w14:textId="599557F7" w:rsidR="00831936" w:rsidRPr="0055490A" w:rsidRDefault="00831936" w:rsidP="0055490A">
      <w:pPr>
        <w:pStyle w:val="BodyTextMain"/>
      </w:pPr>
      <w:r w:rsidRPr="0055490A">
        <w:t>The term fintech was a portmanteau</w:t>
      </w:r>
      <w:r w:rsidRPr="0055490A" w:rsidDel="00532043">
        <w:t xml:space="preserve"> </w:t>
      </w:r>
      <w:r w:rsidRPr="0055490A">
        <w:t>for “</w:t>
      </w:r>
      <w:r w:rsidR="00152F37" w:rsidRPr="0055490A">
        <w:t>f</w:t>
      </w:r>
      <w:r w:rsidRPr="0055490A">
        <w:t xml:space="preserve">inancial </w:t>
      </w:r>
      <w:r w:rsidR="00152F37" w:rsidRPr="0055490A">
        <w:t>t</w:t>
      </w:r>
      <w:r w:rsidRPr="0055490A">
        <w:t>echnologies</w:t>
      </w:r>
      <w:r w:rsidR="00152F37" w:rsidRPr="0055490A">
        <w:t>.</w:t>
      </w:r>
      <w:r w:rsidRPr="0055490A">
        <w:t>” While the word fintech was first used in the mid-1980s and early</w:t>
      </w:r>
      <w:r w:rsidR="00082FB1" w:rsidRPr="0055490A">
        <w:t xml:space="preserve"> </w:t>
      </w:r>
      <w:r w:rsidRPr="0055490A">
        <w:t>1990s to refer to technologies sold to financial services firms (such as automated teller machines</w:t>
      </w:r>
      <w:r w:rsidR="00082FB1" w:rsidRPr="0055490A">
        <w:t>,</w:t>
      </w:r>
      <w:r w:rsidRPr="0055490A">
        <w:t xml:space="preserve"> or ATMs), it became widely adopted following the 2008</w:t>
      </w:r>
      <w:r w:rsidR="00152F37" w:rsidRPr="0055490A">
        <w:t>–</w:t>
      </w:r>
      <w:r w:rsidR="0053789D" w:rsidRPr="0055490A">
        <w:t>09 global financial c</w:t>
      </w:r>
      <w:r w:rsidRPr="0055490A">
        <w:t>risis to refer to the provision of financial services online or via mobile phone to individuals and small businesses. Fintech start-ups used emerging technologies to connect the various stakeholders of the investment chain in a new way, usually by avoiding established gatekeepers (i.e.</w:t>
      </w:r>
      <w:r w:rsidR="006529D4" w:rsidRPr="0055490A">
        <w:t>,</w:t>
      </w:r>
      <w:r w:rsidRPr="0055490A">
        <w:t xml:space="preserve"> banks). When describing different fintech business models, practitioners typically segmented them into different business lines based on the primary product </w:t>
      </w:r>
      <w:r w:rsidRPr="0055490A">
        <w:lastRenderedPageBreak/>
        <w:t xml:space="preserve">or service: digital banking, equity crowdfunding, peer-to-peer (P2P) lending, digital wealth management (also called robo-advice), cryptocurrencies and payments, and financial infrastructure (such as blockchain and digital identity). </w:t>
      </w:r>
      <w:proofErr w:type="spellStart"/>
      <w:r w:rsidRPr="0055490A">
        <w:t>Fintechs</w:t>
      </w:r>
      <w:proofErr w:type="spellEnd"/>
      <w:r w:rsidRPr="0055490A">
        <w:t xml:space="preserve"> in these business lines leveraged a variety of existing or emerging technologies to provide financial services at a lower cost with a better customer experience, including smart phones, cloud computing, </w:t>
      </w:r>
      <w:r w:rsidR="006529D4" w:rsidRPr="0055490A">
        <w:t>P2P</w:t>
      </w:r>
      <w:r w:rsidRPr="0055490A">
        <w:t xml:space="preserve"> networks, digitization, big data, automated programming interfaces, artificial intelligence</w:t>
      </w:r>
      <w:r w:rsidR="006529D4" w:rsidRPr="0055490A">
        <w:t>,</w:t>
      </w:r>
      <w:r w:rsidRPr="0055490A">
        <w:t xml:space="preserve"> and machine learning.  </w:t>
      </w:r>
    </w:p>
    <w:p w14:paraId="7A14E1E0" w14:textId="77777777" w:rsidR="00831936" w:rsidRPr="006201A4" w:rsidRDefault="00831936" w:rsidP="0055490A">
      <w:pPr>
        <w:pStyle w:val="BodyTextMain"/>
        <w:rPr>
          <w:sz w:val="18"/>
          <w:szCs w:val="18"/>
        </w:rPr>
      </w:pPr>
    </w:p>
    <w:p w14:paraId="0E2A540D" w14:textId="08D24F4B" w:rsidR="00831936" w:rsidRPr="0055490A" w:rsidRDefault="00831936" w:rsidP="0055490A">
      <w:pPr>
        <w:pStyle w:val="BodyTextMain"/>
      </w:pPr>
      <w:r w:rsidRPr="0055490A">
        <w:t>Elixir was a fintech start-up focused on digital banking. Elixir’s business model fell into a category called social finance</w:t>
      </w:r>
      <w:r w:rsidR="006529D4" w:rsidRPr="0055490A">
        <w:t>—</w:t>
      </w:r>
      <w:r w:rsidRPr="0055490A">
        <w:t>an umbrella term that referred to a style of investing or banking that sought to earn a social return along with an economic return.</w:t>
      </w:r>
      <w:r w:rsidRPr="00C22C54">
        <w:rPr>
          <w:vertAlign w:val="superscript"/>
        </w:rPr>
        <w:footnoteReference w:id="1"/>
      </w:r>
      <w:r w:rsidRPr="0055490A">
        <w:t xml:space="preserve"> A social return was an investment that benefited society, such as reducing poverty, advancing challenged segments of the population, or supporting the environment. Social finance </w:t>
      </w:r>
      <w:r w:rsidR="007F62F0" w:rsidRPr="0055490A">
        <w:t>was</w:t>
      </w:r>
      <w:r w:rsidRPr="0055490A">
        <w:t xml:space="preserve"> a broad term cover</w:t>
      </w:r>
      <w:r w:rsidR="007F62F0" w:rsidRPr="0055490A">
        <w:t>ing</w:t>
      </w:r>
      <w:r w:rsidRPr="0055490A">
        <w:t xml:space="preserve"> a variety of activities and organizations, including charities and non-governmental organizations, impact-focused organizations, socially responsible investment, microfinance</w:t>
      </w:r>
      <w:r w:rsidR="007F62F0" w:rsidRPr="0055490A">
        <w:t>,</w:t>
      </w:r>
      <w:r w:rsidRPr="0055490A">
        <w:t xml:space="preserve"> and green bonds.</w:t>
      </w:r>
      <w:r w:rsidRPr="0055490A" w:rsidDel="005D33F1">
        <w:t xml:space="preserve"> </w:t>
      </w:r>
      <w:r w:rsidRPr="0055490A">
        <w:t xml:space="preserve">In this case, Elixir was promoting financial inclusion through the delivery of financial services at </w:t>
      </w:r>
      <w:r w:rsidR="004F043A" w:rsidRPr="0055490A">
        <w:t xml:space="preserve">an </w:t>
      </w:r>
      <w:r w:rsidRPr="0055490A">
        <w:t>affordable cost to customers who were economically disadvantaged and over</w:t>
      </w:r>
      <w:r w:rsidR="00082FB1" w:rsidRPr="0055490A">
        <w:t>-</w:t>
      </w:r>
      <w:r w:rsidRPr="0055490A">
        <w:t>represented in low-income segments of society.</w:t>
      </w:r>
    </w:p>
    <w:p w14:paraId="08E72C00" w14:textId="77777777" w:rsidR="00831936" w:rsidRPr="006201A4" w:rsidRDefault="00831936" w:rsidP="0055490A">
      <w:pPr>
        <w:pStyle w:val="BodyTextMain"/>
        <w:rPr>
          <w:sz w:val="18"/>
          <w:szCs w:val="18"/>
        </w:rPr>
      </w:pPr>
    </w:p>
    <w:p w14:paraId="278FB519" w14:textId="11E97193" w:rsidR="00831936" w:rsidRPr="0055490A" w:rsidRDefault="00831936" w:rsidP="0055490A">
      <w:pPr>
        <w:pStyle w:val="BodyTextMain"/>
      </w:pPr>
      <w:r w:rsidRPr="0055490A">
        <w:t>The number of fintech start-ups in the social finance space was growing rapidly, though the reality of the “social” in these approaches varied. Broadly speaking, these start-ups fell into two groups: (</w:t>
      </w:r>
      <w:r w:rsidR="004F043A" w:rsidRPr="0055490A">
        <w:t>1</w:t>
      </w:r>
      <w:r w:rsidRPr="0055490A">
        <w:t>) those who used technology to make a profit while providing a service to an underserved customer segment, and (</w:t>
      </w:r>
      <w:r w:rsidR="004F043A" w:rsidRPr="0055490A">
        <w:t>2</w:t>
      </w:r>
      <w:r w:rsidRPr="0055490A">
        <w:t xml:space="preserve">) those who used technology to disrupt the power of the traditional financial incumbents. </w:t>
      </w:r>
    </w:p>
    <w:p w14:paraId="4F23434B" w14:textId="77777777" w:rsidR="00831936" w:rsidRPr="006201A4" w:rsidRDefault="00831936" w:rsidP="0055490A">
      <w:pPr>
        <w:pStyle w:val="BodyTextMain"/>
        <w:rPr>
          <w:sz w:val="18"/>
          <w:szCs w:val="18"/>
        </w:rPr>
      </w:pPr>
    </w:p>
    <w:p w14:paraId="16D96B77" w14:textId="43B6DC55" w:rsidR="00831936" w:rsidRPr="0055490A" w:rsidRDefault="00831936" w:rsidP="0055490A">
      <w:pPr>
        <w:pStyle w:val="BodyTextMain"/>
      </w:pPr>
      <w:r w:rsidRPr="0055490A">
        <w:t xml:space="preserve">The first category of social finance </w:t>
      </w:r>
      <w:proofErr w:type="spellStart"/>
      <w:r w:rsidRPr="0055490A">
        <w:t>fintechs</w:t>
      </w:r>
      <w:proofErr w:type="spellEnd"/>
      <w:r w:rsidRPr="0055490A">
        <w:t xml:space="preserve"> included early success stories such</w:t>
      </w:r>
      <w:r w:rsidR="004F043A" w:rsidRPr="0055490A">
        <w:t xml:space="preserve"> as</w:t>
      </w:r>
      <w:r w:rsidRPr="0055490A">
        <w:t xml:space="preserve"> M-</w:t>
      </w:r>
      <w:proofErr w:type="spellStart"/>
      <w:r w:rsidRPr="0055490A">
        <w:t>Pesa</w:t>
      </w:r>
      <w:proofErr w:type="spellEnd"/>
      <w:r w:rsidRPr="0055490A">
        <w:t xml:space="preserve"> in Kenya and </w:t>
      </w:r>
      <w:proofErr w:type="spellStart"/>
      <w:r w:rsidRPr="0055490A">
        <w:t>SoFi</w:t>
      </w:r>
      <w:proofErr w:type="spellEnd"/>
      <w:r w:rsidRPr="0055490A">
        <w:t xml:space="preserve"> in the United States. Launched in 2007, M-</w:t>
      </w:r>
      <w:proofErr w:type="spellStart"/>
      <w:r w:rsidRPr="0055490A">
        <w:t>Pesa</w:t>
      </w:r>
      <w:proofErr w:type="spellEnd"/>
      <w:r w:rsidRPr="0055490A">
        <w:t xml:space="preserve"> provided cheap and accessible banking using widely-available, cheap mobile phones via text messages and a network of local representatives from the telecom company Safaricom.</w:t>
      </w:r>
      <w:r w:rsidRPr="00C22C54">
        <w:rPr>
          <w:vertAlign w:val="superscript"/>
        </w:rPr>
        <w:footnoteReference w:id="2"/>
      </w:r>
      <w:r w:rsidRPr="0055490A">
        <w:t xml:space="preserve"> </w:t>
      </w:r>
      <w:proofErr w:type="spellStart"/>
      <w:r w:rsidRPr="0055490A">
        <w:t>SoFi</w:t>
      </w:r>
      <w:proofErr w:type="spellEnd"/>
      <w:r w:rsidRPr="0055490A">
        <w:t xml:space="preserve"> was an online finance company founded in 2011 that initially provided loans on </w:t>
      </w:r>
      <w:proofErr w:type="spellStart"/>
      <w:r w:rsidRPr="0055490A">
        <w:t>favo</w:t>
      </w:r>
      <w:r w:rsidR="004F043A" w:rsidRPr="0055490A">
        <w:t>u</w:t>
      </w:r>
      <w:r w:rsidRPr="0055490A">
        <w:t>rable</w:t>
      </w:r>
      <w:proofErr w:type="spellEnd"/>
      <w:r w:rsidRPr="0055490A">
        <w:t xml:space="preserve"> borrowing terms to students attending the most reputable U.S. universities and colleges, initially using funding from alumni who screened applicants.</w:t>
      </w:r>
      <w:r w:rsidRPr="00C22C54">
        <w:rPr>
          <w:vertAlign w:val="superscript"/>
        </w:rPr>
        <w:footnoteReference w:id="3"/>
      </w:r>
      <w:r w:rsidRPr="0055490A">
        <w:t xml:space="preserve"> By 2016, </w:t>
      </w:r>
      <w:proofErr w:type="spellStart"/>
      <w:r w:rsidRPr="0055490A">
        <w:t>SoFi</w:t>
      </w:r>
      <w:proofErr w:type="spellEnd"/>
      <w:r w:rsidRPr="0055490A">
        <w:t xml:space="preserve"> had provided more than US$12 billion</w:t>
      </w:r>
      <w:r w:rsidR="004F1D73" w:rsidRPr="00C22C54">
        <w:rPr>
          <w:rStyle w:val="FootnoteReference"/>
        </w:rPr>
        <w:footnoteReference w:id="4"/>
      </w:r>
      <w:r w:rsidRPr="0055490A">
        <w:t xml:space="preserve"> in student loans to 175,000 members. For both M-</w:t>
      </w:r>
      <w:proofErr w:type="spellStart"/>
      <w:r w:rsidRPr="0055490A">
        <w:t>Pesa</w:t>
      </w:r>
      <w:proofErr w:type="spellEnd"/>
      <w:r w:rsidRPr="0055490A">
        <w:t xml:space="preserve"> and </w:t>
      </w:r>
      <w:proofErr w:type="spellStart"/>
      <w:r w:rsidRPr="0055490A">
        <w:t>So</w:t>
      </w:r>
      <w:r w:rsidR="004F043A" w:rsidRPr="0055490A">
        <w:t>F</w:t>
      </w:r>
      <w:r w:rsidRPr="0055490A">
        <w:t>i</w:t>
      </w:r>
      <w:proofErr w:type="spellEnd"/>
      <w:r w:rsidRPr="0055490A">
        <w:t>, technology provided a means to an end, namely</w:t>
      </w:r>
      <w:r w:rsidR="004F043A" w:rsidRPr="0055490A">
        <w:t>,</w:t>
      </w:r>
      <w:r w:rsidRPr="0055490A">
        <w:t xml:space="preserve"> creating shareholder value by providing a superior customer experience at a lower cost to an unbanked segment of the population. </w:t>
      </w:r>
    </w:p>
    <w:p w14:paraId="2DFC7831" w14:textId="025EB79A" w:rsidR="00831936" w:rsidRPr="006201A4" w:rsidRDefault="00831936" w:rsidP="0055490A">
      <w:pPr>
        <w:pStyle w:val="BodyTextMain"/>
        <w:rPr>
          <w:sz w:val="18"/>
          <w:szCs w:val="18"/>
        </w:rPr>
      </w:pPr>
    </w:p>
    <w:p w14:paraId="499BBFF9" w14:textId="091EB021" w:rsidR="00831936" w:rsidRPr="00647A5C" w:rsidRDefault="00831936" w:rsidP="0055490A">
      <w:pPr>
        <w:pStyle w:val="BodyTextMain"/>
        <w:rPr>
          <w:spacing w:val="-4"/>
          <w:kern w:val="22"/>
        </w:rPr>
      </w:pPr>
      <w:r w:rsidRPr="00647A5C">
        <w:rPr>
          <w:spacing w:val="-4"/>
          <w:kern w:val="22"/>
        </w:rPr>
        <w:t xml:space="preserve">The second group of social finance </w:t>
      </w:r>
      <w:proofErr w:type="spellStart"/>
      <w:r w:rsidRPr="00647A5C">
        <w:rPr>
          <w:spacing w:val="-4"/>
          <w:kern w:val="22"/>
        </w:rPr>
        <w:t>fintechs</w:t>
      </w:r>
      <w:proofErr w:type="spellEnd"/>
      <w:r w:rsidRPr="00647A5C">
        <w:rPr>
          <w:spacing w:val="-4"/>
          <w:kern w:val="22"/>
        </w:rPr>
        <w:t xml:space="preserve"> had a more ambitious goal: to democrati</w:t>
      </w:r>
      <w:r w:rsidR="004F043A" w:rsidRPr="00647A5C">
        <w:rPr>
          <w:spacing w:val="-4"/>
          <w:kern w:val="22"/>
        </w:rPr>
        <w:t>ze</w:t>
      </w:r>
      <w:r w:rsidRPr="00647A5C">
        <w:rPr>
          <w:spacing w:val="-4"/>
          <w:kern w:val="22"/>
        </w:rPr>
        <w:t xml:space="preserve"> finance by disintermediating the traditional gatekeepers and disrupting their monopoly rents. Ironically, many elites from the financial and technology sectors viewed fintech as a means </w:t>
      </w:r>
      <w:r w:rsidR="00254F19" w:rsidRPr="00647A5C">
        <w:rPr>
          <w:spacing w:val="-4"/>
          <w:kern w:val="22"/>
        </w:rPr>
        <w:t>by which</w:t>
      </w:r>
      <w:r w:rsidRPr="00647A5C">
        <w:rPr>
          <w:spacing w:val="-4"/>
          <w:kern w:val="22"/>
        </w:rPr>
        <w:t xml:space="preserve"> the financial industry</w:t>
      </w:r>
      <w:r w:rsidR="00254F19" w:rsidRPr="00647A5C">
        <w:rPr>
          <w:spacing w:val="-4"/>
          <w:kern w:val="22"/>
        </w:rPr>
        <w:t xml:space="preserve"> could be changed</w:t>
      </w:r>
      <w:r w:rsidRPr="00647A5C">
        <w:rPr>
          <w:spacing w:val="-4"/>
          <w:kern w:val="22"/>
        </w:rPr>
        <w:t>. This attitude was behind cryptocurrencies such as Bitcoin, which provided a digital currency that was not controlled by a central bank or government authority.</w:t>
      </w:r>
      <w:r w:rsidRPr="00647A5C">
        <w:rPr>
          <w:spacing w:val="-4"/>
          <w:kern w:val="22"/>
          <w:vertAlign w:val="superscript"/>
        </w:rPr>
        <w:footnoteReference w:id="5"/>
      </w:r>
      <w:r w:rsidRPr="00647A5C">
        <w:rPr>
          <w:spacing w:val="-4"/>
          <w:kern w:val="22"/>
        </w:rPr>
        <w:t xml:space="preserve"> It encapsulated the approach of fintech start-ups such as TransferWise that provided a cheaper, faster alternative for cross-border currency transfers that avoided the hidden costs charged by banks.</w:t>
      </w:r>
      <w:r w:rsidRPr="00647A5C">
        <w:rPr>
          <w:spacing w:val="-4"/>
          <w:kern w:val="22"/>
          <w:vertAlign w:val="superscript"/>
        </w:rPr>
        <w:footnoteReference w:id="6"/>
      </w:r>
      <w:r w:rsidRPr="00647A5C">
        <w:rPr>
          <w:spacing w:val="-4"/>
          <w:kern w:val="22"/>
        </w:rPr>
        <w:t xml:space="preserve"> It motivated </w:t>
      </w:r>
      <w:r w:rsidR="00254F19" w:rsidRPr="00647A5C">
        <w:rPr>
          <w:spacing w:val="-4"/>
          <w:kern w:val="22"/>
        </w:rPr>
        <w:t>P2P</w:t>
      </w:r>
      <w:r w:rsidRPr="00647A5C">
        <w:rPr>
          <w:spacing w:val="-4"/>
          <w:kern w:val="22"/>
        </w:rPr>
        <w:t xml:space="preserve"> lending platforms such as </w:t>
      </w:r>
      <w:proofErr w:type="spellStart"/>
      <w:r w:rsidRPr="00647A5C">
        <w:rPr>
          <w:spacing w:val="-4"/>
          <w:kern w:val="22"/>
        </w:rPr>
        <w:t>Zopa</w:t>
      </w:r>
      <w:proofErr w:type="spellEnd"/>
      <w:r w:rsidRPr="00647A5C">
        <w:rPr>
          <w:spacing w:val="-4"/>
          <w:kern w:val="22"/>
        </w:rPr>
        <w:t xml:space="preserve"> that provided loans on ethical terms to individuals to help them grow, not hold them back.</w:t>
      </w:r>
      <w:r w:rsidRPr="00647A5C">
        <w:rPr>
          <w:spacing w:val="-4"/>
          <w:kern w:val="22"/>
          <w:vertAlign w:val="superscript"/>
        </w:rPr>
        <w:footnoteReference w:id="7"/>
      </w:r>
      <w:r w:rsidRPr="00647A5C">
        <w:rPr>
          <w:spacing w:val="-4"/>
          <w:kern w:val="22"/>
        </w:rPr>
        <w:t xml:space="preserve"> And it was part of the philosophy of </w:t>
      </w:r>
      <w:proofErr w:type="spellStart"/>
      <w:r w:rsidRPr="00647A5C">
        <w:rPr>
          <w:spacing w:val="-4"/>
          <w:kern w:val="22"/>
        </w:rPr>
        <w:t>robo</w:t>
      </w:r>
      <w:proofErr w:type="spellEnd"/>
      <w:r w:rsidRPr="00647A5C">
        <w:rPr>
          <w:spacing w:val="-4"/>
          <w:kern w:val="22"/>
        </w:rPr>
        <w:t xml:space="preserve">-advisors such </w:t>
      </w:r>
      <w:r w:rsidR="00254F19" w:rsidRPr="00647A5C">
        <w:rPr>
          <w:spacing w:val="-4"/>
          <w:kern w:val="22"/>
        </w:rPr>
        <w:t xml:space="preserve">as </w:t>
      </w:r>
      <w:proofErr w:type="spellStart"/>
      <w:r w:rsidRPr="00647A5C">
        <w:rPr>
          <w:spacing w:val="-4"/>
          <w:kern w:val="22"/>
        </w:rPr>
        <w:t>Wealthsimple</w:t>
      </w:r>
      <w:proofErr w:type="spellEnd"/>
      <w:r w:rsidRPr="00647A5C">
        <w:rPr>
          <w:spacing w:val="-4"/>
          <w:kern w:val="22"/>
        </w:rPr>
        <w:t xml:space="preserve"> </w:t>
      </w:r>
      <w:r w:rsidR="00254F19" w:rsidRPr="00647A5C">
        <w:rPr>
          <w:spacing w:val="-4"/>
          <w:kern w:val="22"/>
        </w:rPr>
        <w:t xml:space="preserve">Inc., </w:t>
      </w:r>
      <w:r w:rsidRPr="00647A5C">
        <w:rPr>
          <w:spacing w:val="-4"/>
          <w:kern w:val="22"/>
        </w:rPr>
        <w:t>whose mission was to “bring smarter financial services to everybody, regardless of age or net worth.”</w:t>
      </w:r>
      <w:r w:rsidRPr="00647A5C">
        <w:rPr>
          <w:spacing w:val="-4"/>
          <w:kern w:val="22"/>
          <w:vertAlign w:val="superscript"/>
        </w:rPr>
        <w:footnoteReference w:id="8"/>
      </w:r>
      <w:r w:rsidRPr="00647A5C">
        <w:rPr>
          <w:spacing w:val="-4"/>
          <w:kern w:val="22"/>
        </w:rPr>
        <w:t xml:space="preserve"> While many of these </w:t>
      </w:r>
      <w:proofErr w:type="spellStart"/>
      <w:r w:rsidRPr="00647A5C">
        <w:rPr>
          <w:spacing w:val="-4"/>
          <w:kern w:val="22"/>
        </w:rPr>
        <w:t>fintechs</w:t>
      </w:r>
      <w:proofErr w:type="spellEnd"/>
      <w:r w:rsidRPr="00647A5C">
        <w:rPr>
          <w:spacing w:val="-4"/>
          <w:kern w:val="22"/>
        </w:rPr>
        <w:t xml:space="preserve"> had an explicit societal agenda, others did not. </w:t>
      </w:r>
    </w:p>
    <w:p w14:paraId="38E496BF" w14:textId="5162CE89" w:rsidR="00831936" w:rsidRPr="00647A5C" w:rsidRDefault="00831936" w:rsidP="0055490A">
      <w:pPr>
        <w:pStyle w:val="BodyTextMain"/>
        <w:rPr>
          <w:spacing w:val="-4"/>
          <w:kern w:val="22"/>
        </w:rPr>
      </w:pPr>
      <w:r w:rsidRPr="00647A5C">
        <w:rPr>
          <w:spacing w:val="-4"/>
          <w:kern w:val="22"/>
        </w:rPr>
        <w:lastRenderedPageBreak/>
        <w:t xml:space="preserve">McCarthy had been watching the growth of </w:t>
      </w:r>
      <w:proofErr w:type="spellStart"/>
      <w:r w:rsidRPr="00647A5C">
        <w:rPr>
          <w:spacing w:val="-4"/>
          <w:kern w:val="22"/>
        </w:rPr>
        <w:t>fintechs</w:t>
      </w:r>
      <w:proofErr w:type="spellEnd"/>
      <w:r w:rsidRPr="00647A5C">
        <w:rPr>
          <w:spacing w:val="-4"/>
          <w:kern w:val="22"/>
        </w:rPr>
        <w:t>, particularly as Hong Kong was a big regional hub. He was attracted to the idea of social finance. Like many of his peers, McCarthy had witnessed first-hand the unfolding of the Global Financial Crisis and the terrible impact of the subsequent economic recession (dubbed the Great Recession) on society. Individuals lost their jobs, their homes, and their savings. Bankers were stigmatized for their role in causing and prolonging the crisis by social movements such as Occupy Wall Street with its slogan “We are the 99</w:t>
      </w:r>
      <w:r w:rsidR="00F90D48" w:rsidRPr="00647A5C">
        <w:rPr>
          <w:spacing w:val="-4"/>
          <w:kern w:val="22"/>
        </w:rPr>
        <w:t xml:space="preserve"> percent</w:t>
      </w:r>
      <w:r w:rsidR="00A158D0" w:rsidRPr="00647A5C">
        <w:rPr>
          <w:spacing w:val="-4"/>
          <w:kern w:val="22"/>
        </w:rPr>
        <w:t>.</w:t>
      </w:r>
      <w:r w:rsidRPr="00647A5C">
        <w:rPr>
          <w:spacing w:val="-4"/>
          <w:kern w:val="22"/>
        </w:rPr>
        <w:t>”</w:t>
      </w:r>
      <w:r w:rsidRPr="00647A5C">
        <w:rPr>
          <w:spacing w:val="-4"/>
          <w:kern w:val="22"/>
          <w:vertAlign w:val="superscript"/>
        </w:rPr>
        <w:footnoteReference w:id="9"/>
      </w:r>
      <w:r w:rsidRPr="00647A5C">
        <w:rPr>
          <w:spacing w:val="-4"/>
          <w:kern w:val="22"/>
        </w:rPr>
        <w:t xml:space="preserve"> McCarthy felt a moral obligation to help address these imbalances in society. </w:t>
      </w:r>
    </w:p>
    <w:p w14:paraId="3477E1A6" w14:textId="77777777" w:rsidR="00831936" w:rsidRPr="00647A5C" w:rsidRDefault="00831936" w:rsidP="0055490A">
      <w:pPr>
        <w:pStyle w:val="BodyTextMain"/>
        <w:rPr>
          <w:sz w:val="18"/>
          <w:szCs w:val="18"/>
        </w:rPr>
      </w:pPr>
    </w:p>
    <w:p w14:paraId="761862FC" w14:textId="77777777" w:rsidR="00831936" w:rsidRPr="00647A5C" w:rsidRDefault="00831936" w:rsidP="0055490A">
      <w:pPr>
        <w:pStyle w:val="BodyTextMain"/>
        <w:rPr>
          <w:sz w:val="18"/>
          <w:szCs w:val="18"/>
        </w:rPr>
      </w:pPr>
    </w:p>
    <w:p w14:paraId="209A5AE7" w14:textId="77777777" w:rsidR="00831936" w:rsidRPr="00831936" w:rsidRDefault="00831936" w:rsidP="0055490A">
      <w:pPr>
        <w:pStyle w:val="Casehead1"/>
        <w:rPr>
          <w:rFonts w:eastAsia="Arial Unicode MS"/>
          <w:u w:color="000000"/>
          <w:bdr w:val="nil"/>
          <w:lang w:val="en-CA" w:eastAsia="en-CA"/>
        </w:rPr>
      </w:pPr>
      <w:r w:rsidRPr="00831936">
        <w:rPr>
          <w:rFonts w:eastAsia="Arial Unicode MS"/>
          <w:u w:color="000000"/>
          <w:bdr w:val="nil"/>
          <w:lang w:val="en-CA" w:eastAsia="en-CA"/>
        </w:rPr>
        <w:t>Elixir</w:t>
      </w:r>
    </w:p>
    <w:p w14:paraId="5C9E2569" w14:textId="77777777" w:rsidR="00831936" w:rsidRPr="00647A5C" w:rsidRDefault="00831936" w:rsidP="0055490A">
      <w:pPr>
        <w:pStyle w:val="BodyTextMain"/>
        <w:rPr>
          <w:sz w:val="18"/>
          <w:szCs w:val="18"/>
        </w:rPr>
      </w:pPr>
    </w:p>
    <w:p w14:paraId="3A0E10A6" w14:textId="7B486447" w:rsidR="00831936" w:rsidRPr="0055490A" w:rsidRDefault="00831936" w:rsidP="0055490A">
      <w:pPr>
        <w:pStyle w:val="BodyTextMain"/>
      </w:pPr>
      <w:r w:rsidRPr="0055490A">
        <w:t xml:space="preserve">Elixir was a London-headquartered start-up established in 2014 by a group of socially-minded entrepreneurs focused on financial inclusion. Elixir had created a mobile app that provided a suite of core banking, payment, and money transfer services at a low cost. While Elixir provided the technology platform, the underlying financial services were provided by partner banks operating in different countries. At the time </w:t>
      </w:r>
      <w:r w:rsidR="00D04EBF" w:rsidRPr="0055490A">
        <w:t xml:space="preserve">Elixir approached </w:t>
      </w:r>
      <w:r w:rsidRPr="0055490A">
        <w:t xml:space="preserve">McCarthy, </w:t>
      </w:r>
      <w:r w:rsidR="00D04EBF" w:rsidRPr="0055490A">
        <w:t>it</w:t>
      </w:r>
      <w:r w:rsidRPr="0055490A">
        <w:t xml:space="preserve"> was gearing up for a launch in Malaysia, the Philippines, the U</w:t>
      </w:r>
      <w:r w:rsidR="00D04EBF" w:rsidRPr="0055490A">
        <w:t xml:space="preserve">nited </w:t>
      </w:r>
      <w:r w:rsidRPr="0055490A">
        <w:t>K</w:t>
      </w:r>
      <w:r w:rsidR="00D04EBF" w:rsidRPr="0055490A">
        <w:t>ingdom</w:t>
      </w:r>
      <w:r w:rsidRPr="0055490A">
        <w:t>, Poland</w:t>
      </w:r>
      <w:r w:rsidR="00D04EBF" w:rsidRPr="0055490A">
        <w:t>,</w:t>
      </w:r>
      <w:r w:rsidRPr="0055490A">
        <w:t xml:space="preserve"> and Chile.</w:t>
      </w:r>
    </w:p>
    <w:p w14:paraId="48A19289" w14:textId="77777777" w:rsidR="00831936" w:rsidRPr="00647A5C" w:rsidRDefault="00831936" w:rsidP="0055490A">
      <w:pPr>
        <w:pStyle w:val="BodyTextMain"/>
        <w:rPr>
          <w:sz w:val="18"/>
          <w:szCs w:val="18"/>
        </w:rPr>
      </w:pPr>
    </w:p>
    <w:p w14:paraId="797F70A0" w14:textId="4AB8A126" w:rsidR="00831936" w:rsidRPr="0055490A" w:rsidRDefault="00831936" w:rsidP="0055490A">
      <w:pPr>
        <w:pStyle w:val="BodyTextMain"/>
      </w:pPr>
      <w:r w:rsidRPr="0055490A">
        <w:t xml:space="preserve">The idea for Elixir was born after a two-year online survey project that highlighted the dissatisfaction of young adults around the world with traditional consumer banking services. Elixir’s goal was to revolutionize the delivery of financial services by providing a suite of attractive products to the young adult or “millennial” population globally. Millennials, also known as Generation Y, </w:t>
      </w:r>
      <w:r w:rsidR="00D04EBF" w:rsidRPr="0055490A">
        <w:t>were</w:t>
      </w:r>
      <w:r w:rsidRPr="0055490A">
        <w:t xml:space="preserve"> the demographic cohort following Generation X. While there </w:t>
      </w:r>
      <w:r w:rsidR="00077B5B" w:rsidRPr="0055490A">
        <w:t>were</w:t>
      </w:r>
      <w:r w:rsidRPr="0055490A">
        <w:t xml:space="preserve"> no precise dates for this cohort, they </w:t>
      </w:r>
      <w:r w:rsidR="00D04EBF" w:rsidRPr="0055490A">
        <w:t>were</w:t>
      </w:r>
      <w:r w:rsidRPr="0055490A">
        <w:t xml:space="preserve"> typically born between the early 1980s and the early 2000s. This growing segment w</w:t>
      </w:r>
      <w:r w:rsidR="00D04EBF" w:rsidRPr="0055490A">
        <w:t>as</w:t>
      </w:r>
      <w:r w:rsidRPr="0055490A">
        <w:t xml:space="preserve"> often disenfranchised from the current banking system, either by choice or by circumstance. These individuals could be found in developed and emerging markets alike. </w:t>
      </w:r>
      <w:r w:rsidR="00C245B9" w:rsidRPr="00C245B9">
        <w:t xml:space="preserve">Elixir’s mobile app had a clear market opportunity in </w:t>
      </w:r>
      <w:r w:rsidR="00C245B9">
        <w:t xml:space="preserve">emerging and advanced countries, as </w:t>
      </w:r>
      <w:r w:rsidR="00057979">
        <w:t xml:space="preserve">was </w:t>
      </w:r>
      <w:r w:rsidR="00C245B9">
        <w:t xml:space="preserve">illustrated by </w:t>
      </w:r>
      <w:r w:rsidR="00C245B9" w:rsidRPr="00C245B9">
        <w:t xml:space="preserve">the Philippines (see Exhibit </w:t>
      </w:r>
      <w:r w:rsidR="00C245B9">
        <w:t>1</w:t>
      </w:r>
      <w:r w:rsidR="00C245B9" w:rsidRPr="00C245B9">
        <w:t>).</w:t>
      </w:r>
    </w:p>
    <w:p w14:paraId="2910A8AE" w14:textId="77777777" w:rsidR="00831936" w:rsidRPr="006201A4" w:rsidRDefault="00831936" w:rsidP="0055490A">
      <w:pPr>
        <w:pStyle w:val="BodyTextMain"/>
        <w:rPr>
          <w:sz w:val="18"/>
          <w:szCs w:val="18"/>
        </w:rPr>
      </w:pPr>
    </w:p>
    <w:p w14:paraId="7F23ED1B" w14:textId="77777777" w:rsidR="00831936" w:rsidRPr="006201A4" w:rsidRDefault="00831936" w:rsidP="0055490A">
      <w:pPr>
        <w:pStyle w:val="BodyTextMain"/>
        <w:rPr>
          <w:sz w:val="18"/>
          <w:szCs w:val="18"/>
        </w:rPr>
      </w:pPr>
    </w:p>
    <w:p w14:paraId="204C131B" w14:textId="77777777" w:rsidR="00831936" w:rsidRPr="0055490A" w:rsidRDefault="00831936" w:rsidP="0055490A">
      <w:pPr>
        <w:pStyle w:val="Casehead2"/>
      </w:pPr>
      <w:r w:rsidRPr="0055490A">
        <w:t>Strategy and Business Model</w:t>
      </w:r>
    </w:p>
    <w:p w14:paraId="2185B4AC" w14:textId="77777777" w:rsidR="00831936" w:rsidRPr="006201A4" w:rsidRDefault="00831936" w:rsidP="0055490A">
      <w:pPr>
        <w:pStyle w:val="BodyTextMain"/>
        <w:rPr>
          <w:sz w:val="18"/>
          <w:szCs w:val="18"/>
        </w:rPr>
      </w:pPr>
    </w:p>
    <w:p w14:paraId="0D607917" w14:textId="5958AF5C" w:rsidR="00ED0362" w:rsidRDefault="00831936" w:rsidP="0055490A">
      <w:pPr>
        <w:pStyle w:val="BodyTextMain"/>
      </w:pPr>
      <w:r w:rsidRPr="0055490A">
        <w:t xml:space="preserve">Elixir’s strategy differentiated it from other mobile banking apps in several ways. First, Elixir was developing a global network of partner banks who shared the vision of providing financial services to </w:t>
      </w:r>
      <w:r w:rsidR="00CA2627">
        <w:t>the underserved and underbanked</w:t>
      </w:r>
      <w:r w:rsidR="00057979">
        <w:t>—</w:t>
      </w:r>
      <w:r w:rsidR="00CA2627">
        <w:t xml:space="preserve">particularly </w:t>
      </w:r>
      <w:r w:rsidR="00F52810">
        <w:t>millennials</w:t>
      </w:r>
      <w:r w:rsidRPr="0055490A">
        <w:t xml:space="preserve">. Elixir offered </w:t>
      </w:r>
      <w:r w:rsidR="00CA2627">
        <w:t xml:space="preserve">these banks </w:t>
      </w:r>
      <w:r w:rsidRPr="0055490A">
        <w:t xml:space="preserve">a new channel to acquire </w:t>
      </w:r>
      <w:r w:rsidR="00CA2627">
        <w:t>new</w:t>
      </w:r>
      <w:r w:rsidRPr="0055490A">
        <w:t xml:space="preserve"> customers</w:t>
      </w:r>
      <w:r w:rsidR="00CA2627">
        <w:t xml:space="preserve"> </w:t>
      </w:r>
      <w:r w:rsidRPr="0055490A">
        <w:t xml:space="preserve">and long-term deposits. Elixir’s cloud-based digital platform provided a low-cost solution to onboard unprofitable customers </w:t>
      </w:r>
      <w:r w:rsidR="00057979">
        <w:t xml:space="preserve">at the time </w:t>
      </w:r>
      <w:r w:rsidRPr="0055490A">
        <w:t xml:space="preserve">while promoting financial inclusiveness </w:t>
      </w:r>
      <w:r w:rsidR="004F1D73" w:rsidRPr="0055490A">
        <w:t>for</w:t>
      </w:r>
      <w:r w:rsidRPr="0055490A">
        <w:t xml:space="preserve"> younger adults. Partner banks would </w:t>
      </w:r>
      <w:r w:rsidR="00CA2627">
        <w:t>have</w:t>
      </w:r>
      <w:r w:rsidRPr="0055490A">
        <w:t xml:space="preserve"> the ability to cross-sell other bank and insurance products</w:t>
      </w:r>
      <w:r w:rsidR="00CA2627">
        <w:t xml:space="preserve"> as well</w:t>
      </w:r>
      <w:r w:rsidRPr="0055490A">
        <w:t xml:space="preserve">. </w:t>
      </w:r>
    </w:p>
    <w:p w14:paraId="59457066" w14:textId="77777777" w:rsidR="00ED0362" w:rsidRPr="006201A4" w:rsidRDefault="00ED0362" w:rsidP="0055490A">
      <w:pPr>
        <w:pStyle w:val="BodyTextMain"/>
        <w:rPr>
          <w:sz w:val="18"/>
          <w:szCs w:val="18"/>
        </w:rPr>
      </w:pPr>
    </w:p>
    <w:p w14:paraId="2170F75D" w14:textId="4A69AD20" w:rsidR="00831936" w:rsidRPr="0055490A" w:rsidRDefault="00ED0362" w:rsidP="0055490A">
      <w:pPr>
        <w:pStyle w:val="BodyTextMain"/>
      </w:pPr>
      <w:r>
        <w:t xml:space="preserve">Second, </w:t>
      </w:r>
      <w:r w:rsidR="00831936" w:rsidRPr="0055490A">
        <w:t xml:space="preserve">Elixir had partnered with a number of established technology companies to deliver a sophisticated mobile experience </w:t>
      </w:r>
      <w:r w:rsidR="00CA2627">
        <w:t xml:space="preserve">to customers </w:t>
      </w:r>
      <w:r w:rsidR="00831936" w:rsidRPr="0055490A">
        <w:t>and a turnkey solution for partner banks. Elixir’s tech partners included a database operator, an international payments provider, a mobile deposit capture and identity verification company, a digital identity management company, and a personal credit</w:t>
      </w:r>
      <w:r w:rsidR="004F1D73" w:rsidRPr="0055490A">
        <w:t>-</w:t>
      </w:r>
      <w:r w:rsidR="00831936" w:rsidRPr="0055490A">
        <w:t>risk</w:t>
      </w:r>
      <w:r w:rsidR="002D7B7E" w:rsidRPr="0055490A">
        <w:t xml:space="preserve"> </w:t>
      </w:r>
      <w:r w:rsidR="00831936" w:rsidRPr="0055490A">
        <w:t xml:space="preserve">scoring company. Each brought expertise that Elixir aggregated into its app. The digital identity company, for example, provided biometric verification with an optional fingerprint recognition feature for instant customer onboarding. </w:t>
      </w:r>
    </w:p>
    <w:p w14:paraId="5B19A9F5" w14:textId="05E180CA" w:rsidR="00831936" w:rsidRPr="0055490A" w:rsidRDefault="00293E4E" w:rsidP="0055490A">
      <w:pPr>
        <w:pStyle w:val="BodyTextMain"/>
      </w:pPr>
      <w:r>
        <w:t>Third</w:t>
      </w:r>
      <w:r w:rsidR="00831936" w:rsidRPr="0055490A">
        <w:t>, Elixir</w:t>
      </w:r>
      <w:r w:rsidR="004F1D73" w:rsidRPr="0055490A">
        <w:t>’</w:t>
      </w:r>
      <w:r w:rsidR="00831936" w:rsidRPr="0055490A">
        <w:t xml:space="preserve">s innovative mobile app provided customers with </w:t>
      </w:r>
      <w:r>
        <w:t>low-cost</w:t>
      </w:r>
      <w:r w:rsidRPr="0055490A">
        <w:t xml:space="preserve"> </w:t>
      </w:r>
      <w:r w:rsidR="00831936" w:rsidRPr="0055490A">
        <w:t xml:space="preserve">access to a wide range of financial services: a deposit account, a debit card for payments, an interest-bearing savings account, and very low-cost fund transfers between Elixir users across the world. This fund transfer feature </w:t>
      </w:r>
      <w:r w:rsidR="00CA2627">
        <w:t>was particularly attractive to</w:t>
      </w:r>
      <w:r w:rsidR="00CA2627" w:rsidRPr="0055490A">
        <w:t xml:space="preserve"> </w:t>
      </w:r>
      <w:r w:rsidR="00CA2627">
        <w:t xml:space="preserve">customers </w:t>
      </w:r>
      <w:r w:rsidR="00831936" w:rsidRPr="0055490A">
        <w:t>who sent remittances to family and friends both locally and cross-border. Elixir promised no hidden extra fees besides its monthly fixed fee (which varied by market), and a maximum 2</w:t>
      </w:r>
      <w:r w:rsidR="004F1D73" w:rsidRPr="0055490A">
        <w:t>-</w:t>
      </w:r>
      <w:r w:rsidR="004F1D73" w:rsidRPr="0055490A">
        <w:lastRenderedPageBreak/>
        <w:t>per-cent</w:t>
      </w:r>
      <w:r w:rsidR="00831936" w:rsidRPr="0055490A">
        <w:t xml:space="preserve"> foreign exchange fee per internal P2P transfer. Elixir estimated that traditional banks charged £100</w:t>
      </w:r>
      <w:r w:rsidR="004F1D73" w:rsidRPr="00C22C54">
        <w:rPr>
          <w:rStyle w:val="FootnoteReference"/>
        </w:rPr>
        <w:footnoteReference w:id="10"/>
      </w:r>
      <w:r w:rsidR="00831936" w:rsidRPr="0055490A">
        <w:t xml:space="preserve"> to £250 for a similar bundle of services and said it would ensure that </w:t>
      </w:r>
      <w:r w:rsidR="003C67FB" w:rsidRPr="0055490A">
        <w:t>its</w:t>
      </w:r>
      <w:r w:rsidR="00831936" w:rsidRPr="0055490A">
        <w:t xml:space="preserve"> fee would always be less.</w:t>
      </w:r>
    </w:p>
    <w:p w14:paraId="0299F626" w14:textId="77777777" w:rsidR="00831936" w:rsidRPr="006201A4" w:rsidRDefault="00831936" w:rsidP="0055490A">
      <w:pPr>
        <w:pStyle w:val="BodyTextMain"/>
        <w:rPr>
          <w:sz w:val="18"/>
          <w:szCs w:val="18"/>
        </w:rPr>
      </w:pPr>
    </w:p>
    <w:p w14:paraId="6784B09F" w14:textId="6517E589" w:rsidR="00831936" w:rsidRPr="0055490A" w:rsidRDefault="00293E4E" w:rsidP="0055490A">
      <w:pPr>
        <w:pStyle w:val="BodyTextMain"/>
      </w:pPr>
      <w:r>
        <w:t>Fourth</w:t>
      </w:r>
      <w:r w:rsidR="00831936" w:rsidRPr="0055490A">
        <w:t xml:space="preserve">, Elixir’s slogan was “Earn with </w:t>
      </w:r>
      <w:r w:rsidR="003C67FB" w:rsidRPr="0055490A">
        <w:t>Y</w:t>
      </w:r>
      <w:r w:rsidR="00831936" w:rsidRPr="0055490A">
        <w:t>our Generation</w:t>
      </w:r>
      <w:r w:rsidR="0069233C" w:rsidRPr="0055490A">
        <w:t>.</w:t>
      </w:r>
      <w:r w:rsidR="00831936" w:rsidRPr="0055490A">
        <w:t xml:space="preserve">” Elixir offered a product called </w:t>
      </w:r>
      <w:proofErr w:type="spellStart"/>
      <w:r w:rsidR="00831936" w:rsidRPr="00057979">
        <w:rPr>
          <w:i/>
        </w:rPr>
        <w:t>MillennialMoney</w:t>
      </w:r>
      <w:proofErr w:type="spellEnd"/>
      <w:r w:rsidR="00831936" w:rsidRPr="0055490A">
        <w:t xml:space="preserve">, or </w:t>
      </w:r>
      <w:proofErr w:type="spellStart"/>
      <w:r w:rsidRPr="00293E4E">
        <w:rPr>
          <w:i/>
        </w:rPr>
        <w:t>MilMo</w:t>
      </w:r>
      <w:proofErr w:type="spellEnd"/>
      <w:r w:rsidR="00831936" w:rsidRPr="0055490A">
        <w:t xml:space="preserve">, which gave users the opportunity to earn income in return for growing the number of Elixir subscribers. Based on such popular </w:t>
      </w:r>
      <w:r w:rsidR="003C67FB" w:rsidRPr="0055490A">
        <w:t>“</w:t>
      </w:r>
      <w:r w:rsidR="00831936" w:rsidRPr="0055490A">
        <w:t>one-for-one</w:t>
      </w:r>
      <w:r w:rsidR="003C67FB" w:rsidRPr="0055490A">
        <w:t>”</w:t>
      </w:r>
      <w:r w:rsidR="00831936" w:rsidRPr="0055490A">
        <w:t xml:space="preserve"> models as TOMS Shoes and </w:t>
      </w:r>
      <w:proofErr w:type="spellStart"/>
      <w:r w:rsidR="003C67FB" w:rsidRPr="0055490A">
        <w:t>tentree</w:t>
      </w:r>
      <w:proofErr w:type="spellEnd"/>
      <w:r w:rsidR="00831936" w:rsidRPr="0055490A">
        <w:t xml:space="preserve">, </w:t>
      </w:r>
      <w:proofErr w:type="spellStart"/>
      <w:r w:rsidRPr="00293E4E">
        <w:rPr>
          <w:i/>
        </w:rPr>
        <w:t>MilMo</w:t>
      </w:r>
      <w:proofErr w:type="spellEnd"/>
      <w:r w:rsidR="00831936" w:rsidRPr="0055490A">
        <w:t xml:space="preserve"> was funded by Elixir’s partner banks</w:t>
      </w:r>
      <w:r w:rsidR="003C67FB" w:rsidRPr="0055490A">
        <w:t>,</w:t>
      </w:r>
      <w:r w:rsidR="00831936" w:rsidRPr="0055490A">
        <w:t xml:space="preserve"> who agreed to return 50</w:t>
      </w:r>
      <w:r w:rsidR="003C67FB" w:rsidRPr="0055490A">
        <w:t xml:space="preserve"> per cent</w:t>
      </w:r>
      <w:r w:rsidR="00831936" w:rsidRPr="0055490A">
        <w:t xml:space="preserve"> of the monthly fees charged to the Elixir community.</w:t>
      </w:r>
      <w:r w:rsidR="00831936" w:rsidRPr="00C22C54">
        <w:rPr>
          <w:vertAlign w:val="superscript"/>
        </w:rPr>
        <w:footnoteReference w:id="11"/>
      </w:r>
      <w:r w:rsidR="00831936" w:rsidRPr="0055490A">
        <w:t xml:space="preserve"> For every £2 of </w:t>
      </w:r>
      <w:r w:rsidR="00E67078" w:rsidRPr="0055490A">
        <w:t xml:space="preserve">the </w:t>
      </w:r>
      <w:r w:rsidR="00831936" w:rsidRPr="0055490A">
        <w:t>monthly fees, partner banks would pay £1 back to the Elixir social community</w:t>
      </w:r>
      <w:r w:rsidR="00E67078" w:rsidRPr="0055490A">
        <w:t>—</w:t>
      </w:r>
      <w:r w:rsidR="00831936" w:rsidRPr="0055490A">
        <w:t>75</w:t>
      </w:r>
      <w:r w:rsidR="003C67FB" w:rsidRPr="0055490A">
        <w:t xml:space="preserve"> per cent</w:t>
      </w:r>
      <w:r w:rsidR="00831936" w:rsidRPr="0055490A">
        <w:t xml:space="preserve"> of this £1 would go directly to the individual who referred a new customer, while 25</w:t>
      </w:r>
      <w:r w:rsidR="003C67FB" w:rsidRPr="0055490A">
        <w:t xml:space="preserve"> per cent</w:t>
      </w:r>
      <w:r w:rsidR="00831936" w:rsidRPr="0055490A">
        <w:t xml:space="preserve"> would go into a global pool for the Elixir community. This global pool was shared pro rata with each subscriber based on how many users they had introduced to the Elixir community. Effectively, this “give and get” social finance banking model allowed Elixir subscribers to offset their own annual fees and earn a recurring income stream through their referrals of family and friends</w:t>
      </w:r>
      <w:r w:rsidR="00CA2627">
        <w:t xml:space="preserve"> </w:t>
      </w:r>
      <w:r w:rsidR="00E67078" w:rsidRPr="0055490A">
        <w:t>(see</w:t>
      </w:r>
      <w:r w:rsidR="0053789D" w:rsidRPr="0055490A">
        <w:t xml:space="preserve"> Exhibit 2</w:t>
      </w:r>
      <w:r w:rsidR="00E67078" w:rsidRPr="0055490A">
        <w:t>)</w:t>
      </w:r>
      <w:r w:rsidR="00831936" w:rsidRPr="0055490A">
        <w:t>.</w:t>
      </w:r>
    </w:p>
    <w:p w14:paraId="6878B308" w14:textId="77777777" w:rsidR="00831936" w:rsidRPr="006201A4" w:rsidRDefault="00831936" w:rsidP="0055490A">
      <w:pPr>
        <w:pStyle w:val="BodyTextMain"/>
        <w:rPr>
          <w:sz w:val="18"/>
          <w:szCs w:val="18"/>
        </w:rPr>
      </w:pPr>
    </w:p>
    <w:p w14:paraId="797920A1" w14:textId="4D696F35" w:rsidR="00831936" w:rsidRPr="0055490A" w:rsidRDefault="00831936" w:rsidP="0055490A">
      <w:pPr>
        <w:pStyle w:val="BodyTextMain"/>
      </w:pPr>
      <w:r w:rsidRPr="0055490A">
        <w:t xml:space="preserve">While McCarthy thought the </w:t>
      </w:r>
      <w:proofErr w:type="spellStart"/>
      <w:r w:rsidR="00293E4E" w:rsidRPr="00293E4E">
        <w:rPr>
          <w:i/>
        </w:rPr>
        <w:t>MilMo</w:t>
      </w:r>
      <w:proofErr w:type="spellEnd"/>
      <w:r w:rsidRPr="0055490A">
        <w:t xml:space="preserve"> system was interesting, he also saw risks </w:t>
      </w:r>
      <w:r w:rsidR="00237CE6" w:rsidRPr="0055490A">
        <w:t>in</w:t>
      </w:r>
      <w:r w:rsidRPr="0055490A">
        <w:t xml:space="preserve"> this marketing strategy. Some customers </w:t>
      </w:r>
      <w:r w:rsidR="00237CE6" w:rsidRPr="0055490A">
        <w:t>could</w:t>
      </w:r>
      <w:r w:rsidRPr="0055490A">
        <w:t xml:space="preserve"> view </w:t>
      </w:r>
      <w:proofErr w:type="spellStart"/>
      <w:r w:rsidR="00293E4E" w:rsidRPr="00293E4E">
        <w:rPr>
          <w:i/>
        </w:rPr>
        <w:t>MilMo</w:t>
      </w:r>
      <w:proofErr w:type="spellEnd"/>
      <w:r w:rsidRPr="0055490A">
        <w:t xml:space="preserve"> as multi-level marketing</w:t>
      </w:r>
      <w:r w:rsidR="003C67FB" w:rsidRPr="0055490A">
        <w:t>—</w:t>
      </w:r>
      <w:r w:rsidRPr="0055490A">
        <w:t>or worse, a pyramid scheme</w:t>
      </w:r>
      <w:r w:rsidR="003C67FB" w:rsidRPr="0055490A">
        <w:t>—</w:t>
      </w:r>
      <w:r w:rsidRPr="0055490A">
        <w:t>that would lead customers to push Elixir’s mobile app on friends and family members. McCarthy was aware that some emerging market economies had already banned multi-level marketing, including China.</w:t>
      </w:r>
      <w:r w:rsidRPr="00C22C54">
        <w:rPr>
          <w:vertAlign w:val="superscript"/>
        </w:rPr>
        <w:footnoteReference w:id="12"/>
      </w:r>
      <w:r w:rsidRPr="0055490A">
        <w:t xml:space="preserve"> </w:t>
      </w:r>
    </w:p>
    <w:p w14:paraId="36E5C1D1" w14:textId="77777777" w:rsidR="00831936" w:rsidRPr="006201A4" w:rsidRDefault="00831936" w:rsidP="0055490A">
      <w:pPr>
        <w:pStyle w:val="BodyTextMain"/>
        <w:rPr>
          <w:sz w:val="18"/>
          <w:szCs w:val="18"/>
        </w:rPr>
      </w:pPr>
    </w:p>
    <w:p w14:paraId="2749362F" w14:textId="77777777" w:rsidR="00831936" w:rsidRPr="006201A4" w:rsidRDefault="00831936" w:rsidP="0055490A">
      <w:pPr>
        <w:pStyle w:val="BodyTextMain"/>
        <w:rPr>
          <w:sz w:val="18"/>
          <w:szCs w:val="18"/>
        </w:rPr>
      </w:pPr>
    </w:p>
    <w:p w14:paraId="3EB078F3" w14:textId="77777777" w:rsidR="00831936" w:rsidRPr="0055490A" w:rsidRDefault="00831936" w:rsidP="0055490A">
      <w:pPr>
        <w:pStyle w:val="Casehead1"/>
        <w:rPr>
          <w:rFonts w:eastAsia="Arial Unicode MS"/>
        </w:rPr>
      </w:pPr>
      <w:r w:rsidRPr="0055490A">
        <w:rPr>
          <w:rFonts w:eastAsia="Arial Unicode MS"/>
        </w:rPr>
        <w:t xml:space="preserve">McCarthy’s Due Diligence </w:t>
      </w:r>
    </w:p>
    <w:p w14:paraId="131CCDE2" w14:textId="77777777" w:rsidR="00831936" w:rsidRPr="006201A4" w:rsidRDefault="00831936" w:rsidP="0055490A">
      <w:pPr>
        <w:pStyle w:val="BodyTextMain"/>
        <w:rPr>
          <w:rFonts w:eastAsia="Arial Unicode MS"/>
          <w:sz w:val="18"/>
          <w:szCs w:val="18"/>
        </w:rPr>
      </w:pPr>
    </w:p>
    <w:p w14:paraId="6FB15C67" w14:textId="55E8E00D" w:rsidR="00D4274B" w:rsidRDefault="00D4274B" w:rsidP="0055490A">
      <w:pPr>
        <w:pStyle w:val="BodyTextMain"/>
      </w:pPr>
      <w:r w:rsidRPr="0055490A">
        <w:t xml:space="preserve">McCarthy had spent more than two decades at a large European international bank and at one time had been based in Hong Kong as </w:t>
      </w:r>
      <w:r w:rsidR="00057979">
        <w:t xml:space="preserve">the </w:t>
      </w:r>
      <w:r w:rsidRPr="0055490A">
        <w:t xml:space="preserve">Asian </w:t>
      </w:r>
      <w:r w:rsidR="00057979">
        <w:t>chief executive officer (</w:t>
      </w:r>
      <w:r w:rsidRPr="0055490A">
        <w:t>CEO</w:t>
      </w:r>
      <w:r w:rsidR="00057979">
        <w:t>)</w:t>
      </w:r>
      <w:r w:rsidRPr="0055490A">
        <w:t xml:space="preserve"> for the bank. He had then relocated to London to run the bank’s global credit card franchise for a decade, before retiring and moving back to Hong Kong. </w:t>
      </w:r>
      <w:r w:rsidR="00057979">
        <w:t>In 2016</w:t>
      </w:r>
      <w:r w:rsidRPr="0055490A">
        <w:t xml:space="preserve"> he was looking for a change and Elixir’s business model was intriguing. He would just need to get comfortable with working for a technology start-up. </w:t>
      </w:r>
    </w:p>
    <w:p w14:paraId="732EBF5E" w14:textId="77777777" w:rsidR="00D4274B" w:rsidRPr="006201A4" w:rsidRDefault="00D4274B" w:rsidP="0055490A">
      <w:pPr>
        <w:pStyle w:val="BodyTextMain"/>
        <w:rPr>
          <w:sz w:val="18"/>
          <w:szCs w:val="18"/>
        </w:rPr>
      </w:pPr>
    </w:p>
    <w:p w14:paraId="53131524" w14:textId="1BBC43D4" w:rsidR="00831936" w:rsidRPr="0055490A" w:rsidRDefault="00831936" w:rsidP="0055490A">
      <w:pPr>
        <w:pStyle w:val="BodyTextMain"/>
      </w:pPr>
      <w:r w:rsidRPr="0055490A">
        <w:t xml:space="preserve">As a lifelong banker who had worked in a large, regulated, publicly-listed company, McCarthy had spent his career in a world where trust was paramount, brand reputation was your biggest asset, and managing risk was the name of the game. When vetting a new client, a business opportunity, or a transaction, bankers made sure to do their homework. This was formally called “due diligence” but </w:t>
      </w:r>
      <w:r w:rsidR="00237CE6" w:rsidRPr="0055490A">
        <w:t>roughly meant</w:t>
      </w:r>
      <w:r w:rsidRPr="0055490A">
        <w:t xml:space="preserve"> to “look before you leap</w:t>
      </w:r>
      <w:r w:rsidR="00237CE6" w:rsidRPr="0055490A">
        <w:t>.</w:t>
      </w:r>
      <w:r w:rsidRPr="0055490A">
        <w:t xml:space="preserve">” Even though an opportunity </w:t>
      </w:r>
      <w:r w:rsidR="00AC1675" w:rsidRPr="0055490A">
        <w:t>could</w:t>
      </w:r>
      <w:r w:rsidRPr="0055490A">
        <w:t xml:space="preserve"> seem attractive, bankers knew they had to check all of the </w:t>
      </w:r>
      <w:r w:rsidR="000875B7" w:rsidRPr="0055490A">
        <w:t>“</w:t>
      </w:r>
      <w:r w:rsidRPr="0055490A">
        <w:t>boxes</w:t>
      </w:r>
      <w:r w:rsidR="000875B7" w:rsidRPr="0055490A">
        <w:t>”</w:t>
      </w:r>
      <w:r w:rsidRPr="0055490A">
        <w:t xml:space="preserve"> before agreeing to move forward. The golden rule was </w:t>
      </w:r>
      <w:r w:rsidR="00237CE6" w:rsidRPr="0055490A">
        <w:t xml:space="preserve">that </w:t>
      </w:r>
      <w:r w:rsidRPr="0055490A">
        <w:t>you only took risks that you understood; you assessed all sides of a situation before coming to a decision. This concept was encapsulated in the Latin phrase caveat emptor, which translated as “</w:t>
      </w:r>
      <w:r w:rsidR="00237CE6" w:rsidRPr="0055490A">
        <w:t>l</w:t>
      </w:r>
      <w:r w:rsidRPr="0055490A">
        <w:t>et the buyer beware</w:t>
      </w:r>
      <w:r w:rsidR="00237CE6" w:rsidRPr="0055490A">
        <w:t>.</w:t>
      </w:r>
      <w:r w:rsidRPr="0055490A">
        <w:t xml:space="preserve">” </w:t>
      </w:r>
    </w:p>
    <w:p w14:paraId="29D60A68" w14:textId="77777777" w:rsidR="00237CE6" w:rsidRPr="006201A4" w:rsidRDefault="00237CE6" w:rsidP="0055490A">
      <w:pPr>
        <w:pStyle w:val="BodyTextMain"/>
        <w:rPr>
          <w:sz w:val="18"/>
          <w:szCs w:val="18"/>
        </w:rPr>
      </w:pPr>
    </w:p>
    <w:p w14:paraId="1E1EEF34" w14:textId="3912784A" w:rsidR="00831936" w:rsidRDefault="00831936" w:rsidP="0055490A">
      <w:pPr>
        <w:pStyle w:val="BodyTextMain"/>
      </w:pPr>
      <w:r w:rsidRPr="0055490A">
        <w:t>With this mindset, McCarthy decided to move cautiously before committing his reputation, his time, and his money to this venture. He committed to conduct</w:t>
      </w:r>
      <w:r w:rsidR="00237CE6" w:rsidRPr="0055490A">
        <w:t>ing</w:t>
      </w:r>
      <w:r w:rsidRPr="0055490A">
        <w:t xml:space="preserve"> his own due diligence </w:t>
      </w:r>
      <w:r w:rsidR="00237CE6" w:rsidRPr="0055490A">
        <w:t>of</w:t>
      </w:r>
      <w:r w:rsidRPr="0055490A">
        <w:t xml:space="preserve"> (</w:t>
      </w:r>
      <w:r w:rsidR="00237CE6" w:rsidRPr="0055490A">
        <w:t>1</w:t>
      </w:r>
      <w:r w:rsidRPr="0055490A">
        <w:t>) Elixir’s leadership, (</w:t>
      </w:r>
      <w:r w:rsidR="00237CE6" w:rsidRPr="0055490A">
        <w:t>2</w:t>
      </w:r>
      <w:r w:rsidRPr="0055490A">
        <w:t>) the market opportunity, and (</w:t>
      </w:r>
      <w:r w:rsidR="00237CE6" w:rsidRPr="0055490A">
        <w:t>3</w:t>
      </w:r>
      <w:r w:rsidRPr="0055490A">
        <w:t>) Elixir’s financial projections and valuation.</w:t>
      </w:r>
    </w:p>
    <w:p w14:paraId="2207B988" w14:textId="77777777" w:rsidR="006201A4" w:rsidRPr="006201A4" w:rsidRDefault="006201A4" w:rsidP="0055490A">
      <w:pPr>
        <w:pStyle w:val="BodyTextMain"/>
        <w:rPr>
          <w:sz w:val="18"/>
          <w:szCs w:val="18"/>
        </w:rPr>
      </w:pPr>
    </w:p>
    <w:p w14:paraId="1D655C64" w14:textId="77777777" w:rsidR="006201A4" w:rsidRPr="006201A4" w:rsidRDefault="006201A4" w:rsidP="0055490A">
      <w:pPr>
        <w:pStyle w:val="BodyTextMain"/>
        <w:rPr>
          <w:sz w:val="18"/>
          <w:szCs w:val="18"/>
        </w:rPr>
      </w:pPr>
    </w:p>
    <w:p w14:paraId="3F381C8E" w14:textId="77777777" w:rsidR="00831936" w:rsidRPr="0055490A" w:rsidRDefault="00831936" w:rsidP="0055490A">
      <w:pPr>
        <w:pStyle w:val="Casehead2"/>
        <w:rPr>
          <w:rFonts w:eastAsia="Arial Unicode MS"/>
        </w:rPr>
      </w:pPr>
      <w:r w:rsidRPr="0055490A">
        <w:rPr>
          <w:rFonts w:eastAsia="Arial Unicode MS"/>
        </w:rPr>
        <w:t>Assessing Elixir’s Leadership</w:t>
      </w:r>
    </w:p>
    <w:p w14:paraId="66AC49D4" w14:textId="77777777" w:rsidR="00831936" w:rsidRPr="006201A4" w:rsidRDefault="00831936" w:rsidP="0055490A">
      <w:pPr>
        <w:pStyle w:val="BodyTextMain"/>
        <w:rPr>
          <w:sz w:val="18"/>
          <w:szCs w:val="18"/>
        </w:rPr>
      </w:pPr>
    </w:p>
    <w:p w14:paraId="7A992679" w14:textId="41992276" w:rsidR="00831936" w:rsidRPr="0055490A" w:rsidRDefault="00831936" w:rsidP="0055490A">
      <w:pPr>
        <w:pStyle w:val="BodyTextMain"/>
      </w:pPr>
      <w:r w:rsidRPr="0055490A">
        <w:t xml:space="preserve">When he </w:t>
      </w:r>
      <w:r w:rsidR="00C245B9">
        <w:t xml:space="preserve">was </w:t>
      </w:r>
      <w:r w:rsidRPr="0055490A">
        <w:t xml:space="preserve">first </w:t>
      </w:r>
      <w:r w:rsidR="00F52810">
        <w:t xml:space="preserve">introduced </w:t>
      </w:r>
      <w:r w:rsidRPr="0055490A">
        <w:t xml:space="preserve">in mid-2016, McCarthy went online and browsed through Elixir’s website, which included a number of pages describing both Elixir’s executive team and </w:t>
      </w:r>
      <w:r w:rsidR="00237CE6" w:rsidRPr="0055490A">
        <w:t>its a</w:t>
      </w:r>
      <w:r w:rsidRPr="0055490A">
        <w:t xml:space="preserve">dvisory </w:t>
      </w:r>
      <w:r w:rsidR="00237CE6" w:rsidRPr="0055490A">
        <w:t>b</w:t>
      </w:r>
      <w:r w:rsidRPr="0055490A">
        <w:t xml:space="preserve">oard. </w:t>
      </w:r>
    </w:p>
    <w:p w14:paraId="6065F5B4" w14:textId="77777777" w:rsidR="00831936" w:rsidRPr="00647A5C" w:rsidRDefault="00831936" w:rsidP="0055490A">
      <w:pPr>
        <w:pStyle w:val="BodyTextMain"/>
        <w:rPr>
          <w:sz w:val="18"/>
          <w:szCs w:val="18"/>
        </w:rPr>
      </w:pPr>
    </w:p>
    <w:p w14:paraId="428FDD12" w14:textId="053F9DAB" w:rsidR="00831936" w:rsidRPr="0055490A" w:rsidRDefault="00831936" w:rsidP="0055490A">
      <w:pPr>
        <w:pStyle w:val="BodyTextMain"/>
      </w:pPr>
      <w:r w:rsidRPr="0055490A">
        <w:lastRenderedPageBreak/>
        <w:t>Elixir’s CEO</w:t>
      </w:r>
      <w:r w:rsidR="00C245B9">
        <w:t>,</w:t>
      </w:r>
      <w:r w:rsidRPr="0055490A">
        <w:t xml:space="preserve"> Alistair Smithson</w:t>
      </w:r>
      <w:r w:rsidR="00C245B9">
        <w:t xml:space="preserve">, was described in the </w:t>
      </w:r>
      <w:r w:rsidRPr="0055490A">
        <w:t xml:space="preserve">pitch deck as an entrepreneur and innovator in the international business and financial world. </w:t>
      </w:r>
      <w:r w:rsidR="00C266DB" w:rsidRPr="0055490A">
        <w:t>Smithson’s</w:t>
      </w:r>
      <w:r w:rsidRPr="0055490A">
        <w:t xml:space="preserve"> bio stated that </w:t>
      </w:r>
      <w:r w:rsidR="00C266DB" w:rsidRPr="0055490A">
        <w:t>he</w:t>
      </w:r>
      <w:r w:rsidRPr="0055490A">
        <w:t xml:space="preserve"> ha</w:t>
      </w:r>
      <w:r w:rsidR="00C266DB" w:rsidRPr="0055490A">
        <w:t>d</w:t>
      </w:r>
      <w:r w:rsidRPr="0055490A">
        <w:t xml:space="preserve"> worked on inclusive financial initiatives for multinational organizations and authored several corporate policies advising business leaders on mobile banking and payment technology. McCarthy had found a blog that Smithson kept online where he posted his personal thoughts on topics such as financial inclusion, addressing the millennial market, socially conscious banking, and economic mobility. One blog post in particular caught McCarthy’s attention</w:t>
      </w:r>
      <w:r w:rsidR="00057979">
        <w:t>,</w:t>
      </w:r>
      <w:r w:rsidR="000875B7" w:rsidRPr="0055490A">
        <w:t xml:space="preserve"> </w:t>
      </w:r>
      <w:r w:rsidRPr="0055490A">
        <w:t>titled</w:t>
      </w:r>
      <w:r w:rsidR="000875B7" w:rsidRPr="0055490A">
        <w:t>,</w:t>
      </w:r>
      <w:r w:rsidRPr="0055490A">
        <w:t xml:space="preserve"> “Want to make a difference? Give female entrepreneurs access to capital</w:t>
      </w:r>
      <w:r w:rsidR="00AB51EE" w:rsidRPr="0055490A">
        <w:t>.</w:t>
      </w:r>
      <w:r w:rsidRPr="0055490A">
        <w:t xml:space="preserve">” It provided a lucid and convincing argument </w:t>
      </w:r>
      <w:r w:rsidR="00AB51EE" w:rsidRPr="0055490A">
        <w:t>for</w:t>
      </w:r>
      <w:r w:rsidRPr="0055490A">
        <w:t xml:space="preserve"> the need to mobilize financial resources toward the empowerment of young women in emerging market economies. McCarthy was suitably impressed.  </w:t>
      </w:r>
    </w:p>
    <w:p w14:paraId="2420DDD9" w14:textId="77777777" w:rsidR="00831936" w:rsidRPr="00647A5C" w:rsidRDefault="00831936" w:rsidP="0055490A">
      <w:pPr>
        <w:pStyle w:val="BodyTextMain"/>
        <w:rPr>
          <w:sz w:val="18"/>
          <w:szCs w:val="18"/>
        </w:rPr>
      </w:pPr>
    </w:p>
    <w:p w14:paraId="1BEB8D4C" w14:textId="6C494F42" w:rsidR="00831936" w:rsidRPr="0055490A" w:rsidRDefault="00831936" w:rsidP="0055490A">
      <w:pPr>
        <w:pStyle w:val="BodyTextMain"/>
      </w:pPr>
      <w:r w:rsidRPr="0055490A">
        <w:t xml:space="preserve">Smithson was joined </w:t>
      </w:r>
      <w:r w:rsidR="00AB51EE" w:rsidRPr="0055490A">
        <w:t xml:space="preserve">at Elixir </w:t>
      </w:r>
      <w:r w:rsidRPr="0055490A">
        <w:t xml:space="preserve">by a diverse team of talented executives who all had experience in financial services and had joined </w:t>
      </w:r>
      <w:r w:rsidR="00AB51EE" w:rsidRPr="0055490A">
        <w:t>the company</w:t>
      </w:r>
      <w:r w:rsidRPr="0055490A">
        <w:t xml:space="preserve"> in late 2015 or 2016. The </w:t>
      </w:r>
      <w:r w:rsidR="00AB51EE" w:rsidRPr="0055490A">
        <w:t>c</w:t>
      </w:r>
      <w:r w:rsidRPr="0055490A">
        <w:t xml:space="preserve">hief </w:t>
      </w:r>
      <w:r w:rsidR="00AB51EE" w:rsidRPr="0055490A">
        <w:t>f</w:t>
      </w:r>
      <w:r w:rsidRPr="0055490A">
        <w:t xml:space="preserve">inancial </w:t>
      </w:r>
      <w:r w:rsidR="00AB51EE" w:rsidRPr="0055490A">
        <w:t>o</w:t>
      </w:r>
      <w:r w:rsidRPr="0055490A">
        <w:t>fficer had 20+ years</w:t>
      </w:r>
      <w:r w:rsidR="00AB51EE" w:rsidRPr="0055490A">
        <w:t xml:space="preserve"> of experience</w:t>
      </w:r>
      <w:r w:rsidRPr="0055490A">
        <w:t xml:space="preserve"> in banking, including time with a large Swiss </w:t>
      </w:r>
      <w:r w:rsidR="004E60A8">
        <w:t>fintech</w:t>
      </w:r>
      <w:r w:rsidRPr="0055490A">
        <w:t xml:space="preserve"> and a Nordic bank. The </w:t>
      </w:r>
      <w:r w:rsidR="00AB51EE" w:rsidRPr="0055490A">
        <w:t>c</w:t>
      </w:r>
      <w:r w:rsidRPr="0055490A">
        <w:t xml:space="preserve">hief </w:t>
      </w:r>
      <w:r w:rsidR="00AB51EE" w:rsidRPr="0055490A">
        <w:t>t</w:t>
      </w:r>
      <w:r w:rsidRPr="0055490A">
        <w:t xml:space="preserve">echnology </w:t>
      </w:r>
      <w:r w:rsidR="00AB51EE" w:rsidRPr="0055490A">
        <w:t>o</w:t>
      </w:r>
      <w:r w:rsidRPr="0055490A">
        <w:t>fficer had 30+ years in financial services focused on business strategy, technology</w:t>
      </w:r>
      <w:r w:rsidR="00AB51EE" w:rsidRPr="0055490A">
        <w:t>,</w:t>
      </w:r>
      <w:r w:rsidRPr="0055490A">
        <w:t xml:space="preserve"> and consolidation efforts across the consumer payments value chain. The </w:t>
      </w:r>
      <w:r w:rsidR="00AB51EE" w:rsidRPr="0055490A">
        <w:t>c</w:t>
      </w:r>
      <w:r w:rsidRPr="0055490A">
        <w:t xml:space="preserve">hief </w:t>
      </w:r>
      <w:r w:rsidR="00AB51EE" w:rsidRPr="0055490A">
        <w:t>r</w:t>
      </w:r>
      <w:r w:rsidRPr="0055490A">
        <w:t xml:space="preserve">isk </w:t>
      </w:r>
      <w:r w:rsidR="00AB51EE" w:rsidRPr="0055490A">
        <w:t>o</w:t>
      </w:r>
      <w:r w:rsidRPr="0055490A">
        <w:t>fficer appeared to have changed</w:t>
      </w:r>
      <w:r w:rsidR="000875B7" w:rsidRPr="0055490A">
        <w:t>;</w:t>
      </w:r>
      <w:r w:rsidRPr="0055490A">
        <w:t xml:space="preserve"> the individual shown on the website was not the same </w:t>
      </w:r>
      <w:r w:rsidR="000875B7" w:rsidRPr="0055490A">
        <w:t>person</w:t>
      </w:r>
      <w:r w:rsidRPr="0055490A">
        <w:t xml:space="preserve"> McCarthy had seen in a slide deck he had been given when he was first introduced to Elixir. The new </w:t>
      </w:r>
      <w:r w:rsidR="00AB51EE" w:rsidRPr="0055490A">
        <w:t>chief risk officer</w:t>
      </w:r>
      <w:r w:rsidRPr="0055490A">
        <w:t xml:space="preserve"> had joined </w:t>
      </w:r>
      <w:r w:rsidR="00AB51EE" w:rsidRPr="0055490A">
        <w:t xml:space="preserve">Elixir </w:t>
      </w:r>
      <w:r w:rsidRPr="0055490A">
        <w:t>in late 2015 from a regional U</w:t>
      </w:r>
      <w:r w:rsidR="00AB51EE" w:rsidRPr="0055490A">
        <w:t>.</w:t>
      </w:r>
      <w:r w:rsidRPr="0055490A">
        <w:t>K</w:t>
      </w:r>
      <w:r w:rsidR="00AB51EE" w:rsidRPr="0055490A">
        <w:t>.</w:t>
      </w:r>
      <w:r w:rsidRPr="0055490A">
        <w:t xml:space="preserve"> bank</w:t>
      </w:r>
      <w:r w:rsidR="000875B7" w:rsidRPr="0055490A">
        <w:t>,</w:t>
      </w:r>
      <w:r w:rsidRPr="0055490A">
        <w:t xml:space="preserve"> where he had been legal counsel for two years after serving as a solicitor and law clerk for </w:t>
      </w:r>
      <w:r w:rsidR="00AB51EE" w:rsidRPr="0055490A">
        <w:t>five</w:t>
      </w:r>
      <w:r w:rsidRPr="0055490A">
        <w:t xml:space="preserve"> years. Several other members of executive management had also changed. McCarthy </w:t>
      </w:r>
      <w:r w:rsidR="000E13E9" w:rsidRPr="0055490A">
        <w:t>was</w:t>
      </w:r>
      <w:r w:rsidR="00AB51EE" w:rsidRPr="0055490A">
        <w:t xml:space="preserve"> not</w:t>
      </w:r>
      <w:r w:rsidRPr="0055490A">
        <w:t xml:space="preserve"> too </w:t>
      </w:r>
      <w:r w:rsidR="000E13E9" w:rsidRPr="0055490A">
        <w:t>concerned</w:t>
      </w:r>
      <w:r w:rsidRPr="0055490A">
        <w:t xml:space="preserve"> about this executive turnover, assum</w:t>
      </w:r>
      <w:r w:rsidR="000E13E9" w:rsidRPr="0055490A">
        <w:t>ing it</w:t>
      </w:r>
      <w:r w:rsidRPr="0055490A">
        <w:t xml:space="preserve"> was common for a start-up.</w:t>
      </w:r>
    </w:p>
    <w:p w14:paraId="369870AE" w14:textId="77777777" w:rsidR="00831936" w:rsidRPr="00647A5C" w:rsidRDefault="00831936" w:rsidP="0055490A">
      <w:pPr>
        <w:pStyle w:val="BodyTextMain"/>
        <w:rPr>
          <w:sz w:val="18"/>
          <w:szCs w:val="18"/>
        </w:rPr>
      </w:pPr>
    </w:p>
    <w:p w14:paraId="0A86443D" w14:textId="3BC16EA2" w:rsidR="00831936" w:rsidRPr="006201A4" w:rsidRDefault="00C245B9" w:rsidP="0055490A">
      <w:pPr>
        <w:pStyle w:val="BodyTextMain"/>
        <w:rPr>
          <w:spacing w:val="-2"/>
          <w:kern w:val="22"/>
        </w:rPr>
      </w:pPr>
      <w:r w:rsidRPr="006201A4">
        <w:rPr>
          <w:spacing w:val="-2"/>
          <w:kern w:val="22"/>
        </w:rPr>
        <w:t xml:space="preserve">The </w:t>
      </w:r>
      <w:r w:rsidR="006201A4" w:rsidRPr="006201A4">
        <w:rPr>
          <w:spacing w:val="-2"/>
          <w:kern w:val="22"/>
        </w:rPr>
        <w:t>c</w:t>
      </w:r>
      <w:r w:rsidRPr="006201A4">
        <w:rPr>
          <w:spacing w:val="-2"/>
          <w:kern w:val="22"/>
        </w:rPr>
        <w:t xml:space="preserve">hairman of </w:t>
      </w:r>
      <w:r w:rsidR="00831936" w:rsidRPr="006201A4">
        <w:rPr>
          <w:spacing w:val="-2"/>
          <w:kern w:val="22"/>
        </w:rPr>
        <w:t xml:space="preserve">Elixir’s </w:t>
      </w:r>
      <w:r w:rsidR="00AB51EE" w:rsidRPr="006201A4">
        <w:rPr>
          <w:spacing w:val="-2"/>
          <w:kern w:val="22"/>
        </w:rPr>
        <w:t>a</w:t>
      </w:r>
      <w:r w:rsidR="00831936" w:rsidRPr="006201A4">
        <w:rPr>
          <w:spacing w:val="-2"/>
          <w:kern w:val="22"/>
        </w:rPr>
        <w:t xml:space="preserve">dvisory </w:t>
      </w:r>
      <w:r w:rsidR="00AB51EE" w:rsidRPr="006201A4">
        <w:rPr>
          <w:spacing w:val="-2"/>
          <w:kern w:val="22"/>
        </w:rPr>
        <w:t>b</w:t>
      </w:r>
      <w:r w:rsidR="00831936" w:rsidRPr="006201A4">
        <w:rPr>
          <w:spacing w:val="-2"/>
          <w:kern w:val="22"/>
        </w:rPr>
        <w:t xml:space="preserve">oard was </w:t>
      </w:r>
      <w:r w:rsidRPr="006201A4">
        <w:rPr>
          <w:spacing w:val="-2"/>
          <w:kern w:val="22"/>
        </w:rPr>
        <w:t xml:space="preserve">Susan </w:t>
      </w:r>
      <w:r w:rsidR="00831936" w:rsidRPr="006201A4">
        <w:rPr>
          <w:spacing w:val="-2"/>
          <w:kern w:val="22"/>
        </w:rPr>
        <w:t>Lester</w:t>
      </w:r>
      <w:r w:rsidRPr="006201A4">
        <w:rPr>
          <w:spacing w:val="-2"/>
          <w:kern w:val="22"/>
        </w:rPr>
        <w:t>, who was described as</w:t>
      </w:r>
      <w:r w:rsidR="00831936" w:rsidRPr="006201A4">
        <w:rPr>
          <w:spacing w:val="-2"/>
          <w:kern w:val="22"/>
        </w:rPr>
        <w:t xml:space="preserve"> a veteran </w:t>
      </w:r>
      <w:r w:rsidR="00AB51EE" w:rsidRPr="006201A4">
        <w:rPr>
          <w:spacing w:val="-2"/>
          <w:kern w:val="22"/>
        </w:rPr>
        <w:t>of</w:t>
      </w:r>
      <w:r w:rsidR="00831936" w:rsidRPr="006201A4">
        <w:rPr>
          <w:spacing w:val="-2"/>
          <w:kern w:val="22"/>
        </w:rPr>
        <w:t xml:space="preserve"> the financial services industry</w:t>
      </w:r>
      <w:r w:rsidRPr="006201A4">
        <w:rPr>
          <w:spacing w:val="-2"/>
          <w:kern w:val="22"/>
        </w:rPr>
        <w:t>.</w:t>
      </w:r>
      <w:r w:rsidR="00831936" w:rsidRPr="006201A4">
        <w:rPr>
          <w:spacing w:val="-2"/>
          <w:kern w:val="22"/>
        </w:rPr>
        <w:t xml:space="preserve"> </w:t>
      </w:r>
      <w:r w:rsidRPr="006201A4">
        <w:rPr>
          <w:spacing w:val="-2"/>
          <w:kern w:val="22"/>
        </w:rPr>
        <w:t xml:space="preserve">Lester </w:t>
      </w:r>
      <w:r w:rsidR="00831936" w:rsidRPr="006201A4">
        <w:rPr>
          <w:spacing w:val="-2"/>
          <w:kern w:val="22"/>
        </w:rPr>
        <w:t xml:space="preserve">had spent </w:t>
      </w:r>
      <w:r w:rsidR="006201A4" w:rsidRPr="006201A4">
        <w:rPr>
          <w:spacing w:val="-2"/>
          <w:kern w:val="22"/>
        </w:rPr>
        <w:t xml:space="preserve">more than </w:t>
      </w:r>
      <w:r w:rsidR="00831936" w:rsidRPr="006201A4">
        <w:rPr>
          <w:spacing w:val="-2"/>
          <w:kern w:val="22"/>
        </w:rPr>
        <w:t xml:space="preserve">20 years in banking followed by 10 years as a consultant </w:t>
      </w:r>
      <w:r w:rsidR="00AB51EE" w:rsidRPr="006201A4">
        <w:rPr>
          <w:spacing w:val="-2"/>
          <w:kern w:val="22"/>
        </w:rPr>
        <w:t>in</w:t>
      </w:r>
      <w:r w:rsidR="00831936" w:rsidRPr="006201A4">
        <w:rPr>
          <w:spacing w:val="-2"/>
          <w:kern w:val="22"/>
        </w:rPr>
        <w:t xml:space="preserve"> the financial services industry. Prior to joining Elixir in mid-2015, Lester had served as CEO for </w:t>
      </w:r>
      <w:r w:rsidR="00AB51EE" w:rsidRPr="006201A4">
        <w:rPr>
          <w:spacing w:val="-2"/>
          <w:kern w:val="22"/>
        </w:rPr>
        <w:t>two</w:t>
      </w:r>
      <w:r w:rsidR="00831936" w:rsidRPr="006201A4">
        <w:rPr>
          <w:spacing w:val="-2"/>
          <w:kern w:val="22"/>
        </w:rPr>
        <w:t xml:space="preserve"> years </w:t>
      </w:r>
      <w:r w:rsidR="00AB51EE" w:rsidRPr="006201A4">
        <w:rPr>
          <w:spacing w:val="-2"/>
          <w:kern w:val="22"/>
        </w:rPr>
        <w:t>at</w:t>
      </w:r>
      <w:r w:rsidR="00831936" w:rsidRPr="006201A4">
        <w:rPr>
          <w:spacing w:val="-2"/>
          <w:kern w:val="22"/>
        </w:rPr>
        <w:t xml:space="preserve"> a London-based consulting firm that provided advice to small and large banks in Europe and the Americas. Before that </w:t>
      </w:r>
      <w:r w:rsidR="00AB51EE" w:rsidRPr="006201A4">
        <w:rPr>
          <w:spacing w:val="-2"/>
          <w:kern w:val="22"/>
        </w:rPr>
        <w:t>role</w:t>
      </w:r>
      <w:r w:rsidR="00552DEA" w:rsidRPr="006201A4">
        <w:rPr>
          <w:spacing w:val="-2"/>
          <w:kern w:val="22"/>
        </w:rPr>
        <w:t>,</w:t>
      </w:r>
      <w:r w:rsidR="00AB51EE" w:rsidRPr="006201A4">
        <w:rPr>
          <w:spacing w:val="-2"/>
          <w:kern w:val="22"/>
        </w:rPr>
        <w:t xml:space="preserve"> Lester</w:t>
      </w:r>
      <w:r w:rsidR="00831936" w:rsidRPr="006201A4">
        <w:rPr>
          <w:spacing w:val="-2"/>
          <w:kern w:val="22"/>
        </w:rPr>
        <w:t xml:space="preserve"> </w:t>
      </w:r>
      <w:r w:rsidR="00AB51EE" w:rsidRPr="006201A4">
        <w:rPr>
          <w:spacing w:val="-2"/>
          <w:kern w:val="22"/>
        </w:rPr>
        <w:t>had been</w:t>
      </w:r>
      <w:r w:rsidR="00831936" w:rsidRPr="006201A4">
        <w:rPr>
          <w:spacing w:val="-2"/>
          <w:kern w:val="22"/>
        </w:rPr>
        <w:t xml:space="preserve"> CEO </w:t>
      </w:r>
      <w:r w:rsidR="00552DEA" w:rsidRPr="006201A4">
        <w:rPr>
          <w:spacing w:val="-2"/>
          <w:kern w:val="22"/>
        </w:rPr>
        <w:t>of</w:t>
      </w:r>
      <w:r w:rsidR="00831936" w:rsidRPr="006201A4">
        <w:rPr>
          <w:spacing w:val="-2"/>
          <w:kern w:val="22"/>
        </w:rPr>
        <w:t xml:space="preserve"> her own consulting firm</w:t>
      </w:r>
      <w:r w:rsidR="00897BB3" w:rsidRPr="006201A4">
        <w:rPr>
          <w:spacing w:val="-2"/>
          <w:kern w:val="22"/>
        </w:rPr>
        <w:t xml:space="preserve"> for eight years</w:t>
      </w:r>
      <w:r w:rsidR="00AB51EE" w:rsidRPr="006201A4">
        <w:rPr>
          <w:spacing w:val="-2"/>
          <w:kern w:val="22"/>
        </w:rPr>
        <w:t>,</w:t>
      </w:r>
      <w:r w:rsidR="00831936" w:rsidRPr="006201A4">
        <w:rPr>
          <w:spacing w:val="-2"/>
          <w:kern w:val="22"/>
        </w:rPr>
        <w:t xml:space="preserve"> focus</w:t>
      </w:r>
      <w:r w:rsidR="00897BB3" w:rsidRPr="006201A4">
        <w:rPr>
          <w:spacing w:val="-2"/>
          <w:kern w:val="22"/>
        </w:rPr>
        <w:t>ing</w:t>
      </w:r>
      <w:r w:rsidR="00831936" w:rsidRPr="006201A4">
        <w:rPr>
          <w:spacing w:val="-2"/>
          <w:kern w:val="22"/>
        </w:rPr>
        <w:t xml:space="preserve"> exclusively on the financial services industry.</w:t>
      </w:r>
      <w:r w:rsidRPr="006201A4">
        <w:rPr>
          <w:spacing w:val="-2"/>
          <w:kern w:val="22"/>
        </w:rPr>
        <w:t xml:space="preserve"> </w:t>
      </w:r>
      <w:r w:rsidR="00831936" w:rsidRPr="006201A4">
        <w:rPr>
          <w:spacing w:val="-2"/>
          <w:kern w:val="22"/>
        </w:rPr>
        <w:t xml:space="preserve">The rest of the </w:t>
      </w:r>
      <w:r w:rsidR="00552DEA" w:rsidRPr="006201A4">
        <w:rPr>
          <w:spacing w:val="-2"/>
          <w:kern w:val="22"/>
        </w:rPr>
        <w:t>a</w:t>
      </w:r>
      <w:r w:rsidR="00831936" w:rsidRPr="006201A4">
        <w:rPr>
          <w:spacing w:val="-2"/>
          <w:kern w:val="22"/>
        </w:rPr>
        <w:t xml:space="preserve">dvisory </w:t>
      </w:r>
      <w:r w:rsidR="00552DEA" w:rsidRPr="006201A4">
        <w:rPr>
          <w:spacing w:val="-2"/>
          <w:kern w:val="22"/>
        </w:rPr>
        <w:t>b</w:t>
      </w:r>
      <w:r w:rsidR="00831936" w:rsidRPr="006201A4">
        <w:rPr>
          <w:spacing w:val="-2"/>
          <w:kern w:val="22"/>
        </w:rPr>
        <w:t xml:space="preserve">oard included an equally impressive list of individuals: a member of the House of Lords; a former European CEO of a large credit card company with </w:t>
      </w:r>
      <w:r w:rsidR="00897BB3" w:rsidRPr="006201A4">
        <w:rPr>
          <w:spacing w:val="-2"/>
          <w:kern w:val="22"/>
        </w:rPr>
        <w:t xml:space="preserve">over </w:t>
      </w:r>
      <w:r w:rsidR="00831936" w:rsidRPr="006201A4">
        <w:rPr>
          <w:spacing w:val="-2"/>
          <w:kern w:val="22"/>
        </w:rPr>
        <w:t xml:space="preserve">40 years of experience; and the former head of personal and commercial banking from a British bank with </w:t>
      </w:r>
      <w:r w:rsidR="00897BB3" w:rsidRPr="006201A4">
        <w:rPr>
          <w:spacing w:val="-2"/>
          <w:kern w:val="22"/>
        </w:rPr>
        <w:t xml:space="preserve">over </w:t>
      </w:r>
      <w:r w:rsidR="00831936" w:rsidRPr="006201A4">
        <w:rPr>
          <w:spacing w:val="-2"/>
          <w:kern w:val="22"/>
        </w:rPr>
        <w:t>30 years of experience. Again McCarthy could not find some of the individuals he had seen in an earlier slide deck listed on the website. He made a mental note to ask Lester about th</w:t>
      </w:r>
      <w:r w:rsidR="002A0C11" w:rsidRPr="006201A4">
        <w:rPr>
          <w:spacing w:val="-2"/>
          <w:kern w:val="22"/>
        </w:rPr>
        <w:t>is</w:t>
      </w:r>
      <w:r w:rsidR="00831936" w:rsidRPr="006201A4">
        <w:rPr>
          <w:spacing w:val="-2"/>
          <w:kern w:val="22"/>
        </w:rPr>
        <w:t xml:space="preserve"> </w:t>
      </w:r>
      <w:r w:rsidRPr="006201A4">
        <w:rPr>
          <w:spacing w:val="-2"/>
          <w:kern w:val="22"/>
        </w:rPr>
        <w:t>when they next met.</w:t>
      </w:r>
      <w:r w:rsidR="00831936" w:rsidRPr="006201A4">
        <w:rPr>
          <w:spacing w:val="-2"/>
          <w:kern w:val="22"/>
        </w:rPr>
        <w:t xml:space="preserve"> </w:t>
      </w:r>
    </w:p>
    <w:p w14:paraId="4DE5F1AC" w14:textId="145DDF37" w:rsidR="00831936" w:rsidRPr="00647A5C" w:rsidRDefault="00831936" w:rsidP="0055490A">
      <w:pPr>
        <w:pStyle w:val="BodyTextMain"/>
        <w:rPr>
          <w:sz w:val="18"/>
          <w:szCs w:val="18"/>
        </w:rPr>
      </w:pPr>
    </w:p>
    <w:p w14:paraId="3A35DD7D" w14:textId="77777777" w:rsidR="0085233E" w:rsidRPr="00647A5C" w:rsidRDefault="0085233E" w:rsidP="0055490A">
      <w:pPr>
        <w:pStyle w:val="BodyTextMain"/>
        <w:rPr>
          <w:rFonts w:eastAsia="Arial Unicode MS"/>
          <w:sz w:val="18"/>
          <w:szCs w:val="18"/>
        </w:rPr>
      </w:pPr>
    </w:p>
    <w:p w14:paraId="09753D96" w14:textId="69E2BB3C" w:rsidR="00831936" w:rsidRPr="0055490A" w:rsidRDefault="00831936" w:rsidP="0055490A">
      <w:pPr>
        <w:pStyle w:val="Casehead2"/>
        <w:rPr>
          <w:rFonts w:eastAsia="Arial Unicode MS"/>
        </w:rPr>
      </w:pPr>
      <w:r w:rsidRPr="0055490A">
        <w:rPr>
          <w:rFonts w:eastAsia="Arial Unicode MS"/>
        </w:rPr>
        <w:t>Assessing Elixir’s Market Opportunity</w:t>
      </w:r>
    </w:p>
    <w:p w14:paraId="71C85EC2" w14:textId="77777777" w:rsidR="00831936" w:rsidRPr="00647A5C" w:rsidRDefault="00831936" w:rsidP="0055490A">
      <w:pPr>
        <w:pStyle w:val="BodyTextMain"/>
        <w:rPr>
          <w:rFonts w:eastAsia="Arial Unicode MS"/>
          <w:sz w:val="18"/>
          <w:szCs w:val="18"/>
        </w:rPr>
      </w:pPr>
    </w:p>
    <w:p w14:paraId="560B8B08" w14:textId="06BE1BA4" w:rsidR="0055490A" w:rsidRDefault="00831936" w:rsidP="0055490A">
      <w:pPr>
        <w:pStyle w:val="BodyTextMain"/>
      </w:pPr>
      <w:r w:rsidRPr="0055490A">
        <w:t xml:space="preserve">McCarthy </w:t>
      </w:r>
      <w:r w:rsidR="00D504BB" w:rsidRPr="0055490A">
        <w:t>met</w:t>
      </w:r>
      <w:r w:rsidRPr="0055490A">
        <w:t xml:space="preserve"> with Smithson and Lester</w:t>
      </w:r>
      <w:r w:rsidR="00D504BB" w:rsidRPr="0055490A">
        <w:t xml:space="preserve"> </w:t>
      </w:r>
      <w:r w:rsidR="0085233E" w:rsidRPr="0055490A">
        <w:t>several</w:t>
      </w:r>
      <w:r w:rsidR="00D504BB" w:rsidRPr="0055490A">
        <w:t xml:space="preserve"> times</w:t>
      </w:r>
      <w:r w:rsidRPr="0055490A">
        <w:t xml:space="preserve">, and shared notes on his view of the opportunities for Elixir in countries such as the Philippines and Hong Kong. </w:t>
      </w:r>
    </w:p>
    <w:p w14:paraId="13E1915E" w14:textId="77777777" w:rsidR="0055490A" w:rsidRPr="00647A5C" w:rsidRDefault="0055490A" w:rsidP="0055490A">
      <w:pPr>
        <w:pStyle w:val="BodyTextMain"/>
        <w:rPr>
          <w:sz w:val="18"/>
          <w:szCs w:val="18"/>
        </w:rPr>
      </w:pPr>
    </w:p>
    <w:p w14:paraId="549634D4" w14:textId="77777777" w:rsidR="006201A4" w:rsidRPr="00647A5C" w:rsidRDefault="006201A4" w:rsidP="0055490A">
      <w:pPr>
        <w:pStyle w:val="BodyTextMain"/>
        <w:rPr>
          <w:sz w:val="18"/>
          <w:szCs w:val="18"/>
        </w:rPr>
      </w:pPr>
    </w:p>
    <w:p w14:paraId="48C56953" w14:textId="6B9D1956" w:rsidR="00831936" w:rsidRPr="0055490A" w:rsidRDefault="00831936" w:rsidP="0055490A">
      <w:pPr>
        <w:pStyle w:val="Casehead3"/>
      </w:pPr>
      <w:r w:rsidRPr="0055490A">
        <w:t xml:space="preserve">How to </w:t>
      </w:r>
      <w:r w:rsidR="002B692B" w:rsidRPr="0055490A">
        <w:t>A</w:t>
      </w:r>
      <w:r w:rsidRPr="0055490A">
        <w:t xml:space="preserve">ttack the Philippines </w:t>
      </w:r>
      <w:r w:rsidR="002B692B" w:rsidRPr="0055490A">
        <w:t>M</w:t>
      </w:r>
      <w:r w:rsidRPr="0055490A">
        <w:t xml:space="preserve">arket </w:t>
      </w:r>
    </w:p>
    <w:p w14:paraId="58666746" w14:textId="77777777" w:rsidR="00831936" w:rsidRPr="00647A5C" w:rsidRDefault="00831936" w:rsidP="0055490A">
      <w:pPr>
        <w:pStyle w:val="BodyTextMain"/>
        <w:rPr>
          <w:rFonts w:eastAsia="Arial Unicode MS"/>
          <w:sz w:val="18"/>
          <w:szCs w:val="18"/>
        </w:rPr>
      </w:pPr>
    </w:p>
    <w:p w14:paraId="6B94C543" w14:textId="77777777" w:rsidR="00831936" w:rsidRPr="0055490A" w:rsidRDefault="00831936" w:rsidP="0055490A">
      <w:pPr>
        <w:pStyle w:val="BodyTextMain"/>
        <w:rPr>
          <w:rFonts w:eastAsia="Arial Unicode MS"/>
        </w:rPr>
      </w:pPr>
      <w:r w:rsidRPr="0055490A">
        <w:rPr>
          <w:rFonts w:eastAsia="Arial Unicode MS"/>
        </w:rPr>
        <w:t xml:space="preserve">On June 15, 2016, McCarthy wrote: </w:t>
      </w:r>
    </w:p>
    <w:p w14:paraId="45609D91" w14:textId="77777777" w:rsidR="00831936" w:rsidRPr="00647A5C" w:rsidRDefault="00831936" w:rsidP="0055490A">
      <w:pPr>
        <w:pStyle w:val="BodyTextMain"/>
        <w:rPr>
          <w:rFonts w:eastAsia="Arial Unicode MS"/>
          <w:sz w:val="18"/>
          <w:szCs w:val="18"/>
        </w:rPr>
      </w:pPr>
    </w:p>
    <w:p w14:paraId="33A4CAFF" w14:textId="532DA270" w:rsidR="004E60A8" w:rsidRDefault="00831936" w:rsidP="0055490A">
      <w:pPr>
        <w:pStyle w:val="BodyTextMain"/>
        <w:ind w:left="720"/>
        <w:rPr>
          <w:rFonts w:eastAsia="Arial Unicode MS"/>
        </w:rPr>
      </w:pPr>
      <w:r w:rsidRPr="0055490A">
        <w:rPr>
          <w:rFonts w:eastAsia="Arial Unicode MS"/>
        </w:rPr>
        <w:t xml:space="preserve">I’ve been mulling over how Elixir can attack the Philippines market. I’m not sure how you have explored/targeted other markets. If there is a playbook I’d be interested in seeing it. </w:t>
      </w:r>
    </w:p>
    <w:p w14:paraId="78D62EED" w14:textId="77777777" w:rsidR="004E60A8" w:rsidRPr="00647A5C" w:rsidRDefault="004E60A8" w:rsidP="0055490A">
      <w:pPr>
        <w:pStyle w:val="BodyTextMain"/>
        <w:ind w:left="720"/>
        <w:rPr>
          <w:rFonts w:eastAsia="Arial Unicode MS"/>
          <w:sz w:val="18"/>
          <w:szCs w:val="18"/>
        </w:rPr>
      </w:pPr>
    </w:p>
    <w:p w14:paraId="17BF2693" w14:textId="5A68FA84" w:rsidR="00831936" w:rsidRPr="0055490A" w:rsidRDefault="00831936" w:rsidP="0055490A">
      <w:pPr>
        <w:pStyle w:val="BodyTextMain"/>
        <w:ind w:left="720"/>
        <w:rPr>
          <w:rFonts w:eastAsia="Arial Unicode MS"/>
        </w:rPr>
      </w:pPr>
      <w:r w:rsidRPr="0055490A">
        <w:rPr>
          <w:rFonts w:eastAsia="Arial Unicode MS"/>
        </w:rPr>
        <w:t>I’ve no conclusions on the Philippines yet. There is a possible financial inclusion for youth angle in the Philippines</w:t>
      </w:r>
      <w:r w:rsidR="001A5DF3" w:rsidRPr="0055490A">
        <w:rPr>
          <w:rFonts w:eastAsia="Arial Unicode MS"/>
        </w:rPr>
        <w:t>—</w:t>
      </w:r>
      <w:r w:rsidRPr="0055490A">
        <w:rPr>
          <w:rFonts w:eastAsia="Arial Unicode MS"/>
        </w:rPr>
        <w:t>only about one in three people has a bank account. There is significant poverty in the country (25</w:t>
      </w:r>
      <w:r w:rsidR="007A6D1D" w:rsidRPr="0055490A">
        <w:rPr>
          <w:rFonts w:eastAsia="Arial Unicode MS"/>
        </w:rPr>
        <w:t xml:space="preserve"> per cent</w:t>
      </w:r>
      <w:r w:rsidRPr="0055490A">
        <w:rPr>
          <w:rFonts w:eastAsia="Arial Unicode MS"/>
        </w:rPr>
        <w:t xml:space="preserve"> below the poverty line) and, as a huge archipelago, many people, both young and old, do not have access to bank branches. Mobile banking would significantly assist in the provision of financial services to the populace. The extent to which Elixir might be a </w:t>
      </w:r>
      <w:r w:rsidRPr="0055490A">
        <w:rPr>
          <w:rFonts w:eastAsia="Arial Unicode MS"/>
        </w:rPr>
        <w:lastRenderedPageBreak/>
        <w:t>differentiated offering would have to be researched</w:t>
      </w:r>
      <w:r w:rsidR="00C245B9">
        <w:rPr>
          <w:rFonts w:eastAsia="Arial Unicode MS"/>
        </w:rPr>
        <w:t xml:space="preserve">. </w:t>
      </w:r>
      <w:r w:rsidRPr="0055490A">
        <w:rPr>
          <w:rFonts w:eastAsia="Arial Unicode MS"/>
        </w:rPr>
        <w:t xml:space="preserve">I do think that the </w:t>
      </w:r>
      <w:proofErr w:type="spellStart"/>
      <w:r w:rsidR="00293E4E" w:rsidRPr="00293E4E">
        <w:rPr>
          <w:rFonts w:eastAsia="Arial Unicode MS"/>
          <w:i/>
        </w:rPr>
        <w:t>MilMo</w:t>
      </w:r>
      <w:proofErr w:type="spellEnd"/>
      <w:r w:rsidRPr="0055490A">
        <w:rPr>
          <w:rFonts w:eastAsia="Arial Unicode MS"/>
        </w:rPr>
        <w:t xml:space="preserve"> component could be attractive</w:t>
      </w:r>
      <w:r w:rsidR="006201A4">
        <w:rPr>
          <w:rFonts w:eastAsia="Arial Unicode MS"/>
        </w:rPr>
        <w:t>,</w:t>
      </w:r>
      <w:r w:rsidR="00C245B9">
        <w:rPr>
          <w:rFonts w:eastAsia="Arial Unicode MS"/>
        </w:rPr>
        <w:t xml:space="preserve"> </w:t>
      </w:r>
      <w:r w:rsidRPr="0055490A">
        <w:rPr>
          <w:rFonts w:eastAsia="Arial Unicode MS"/>
        </w:rPr>
        <w:t xml:space="preserve">but I also suspect that there are many poorer young Filipinos with virtually no savings. Even the idea of monthly account fees may be a bridge too far.  </w:t>
      </w:r>
    </w:p>
    <w:p w14:paraId="1B378F8D" w14:textId="77777777" w:rsidR="00831936" w:rsidRPr="00647A5C" w:rsidRDefault="00831936" w:rsidP="0055490A">
      <w:pPr>
        <w:pStyle w:val="BodyTextMain"/>
        <w:ind w:left="720"/>
        <w:rPr>
          <w:rFonts w:eastAsia="Arial Unicode MS"/>
          <w:sz w:val="18"/>
          <w:szCs w:val="18"/>
        </w:rPr>
      </w:pPr>
    </w:p>
    <w:p w14:paraId="3D8AC5E7" w14:textId="376C7D08" w:rsidR="00831936" w:rsidRPr="0055490A" w:rsidRDefault="00831936" w:rsidP="0055490A">
      <w:pPr>
        <w:pStyle w:val="BodyTextMain"/>
        <w:ind w:left="720"/>
        <w:rPr>
          <w:rFonts w:eastAsia="Arial Unicode MS"/>
        </w:rPr>
      </w:pPr>
      <w:r w:rsidRPr="0055490A">
        <w:rPr>
          <w:rFonts w:eastAsia="Arial Unicode MS"/>
        </w:rPr>
        <w:t>An interesting angle in the Philippines is the Overseas Foreign Worker (OFW). There are about 2.5 million of the 100 million total population working overseas. Many of them are young adults. Remittance of OFW earnings was about US$25 billion in 2015, or about 10</w:t>
      </w:r>
      <w:r w:rsidR="009A6894" w:rsidRPr="0055490A">
        <w:rPr>
          <w:rFonts w:eastAsia="Arial Unicode MS"/>
        </w:rPr>
        <w:t xml:space="preserve"> per cent</w:t>
      </w:r>
      <w:r w:rsidRPr="0055490A">
        <w:rPr>
          <w:rFonts w:eastAsia="Arial Unicode MS"/>
        </w:rPr>
        <w:t xml:space="preserve"> of </w:t>
      </w:r>
      <w:r w:rsidR="009A6894" w:rsidRPr="0055490A">
        <w:rPr>
          <w:rFonts w:eastAsia="Arial Unicode MS"/>
        </w:rPr>
        <w:t xml:space="preserve">the </w:t>
      </w:r>
      <w:r w:rsidRPr="0055490A">
        <w:rPr>
          <w:rFonts w:eastAsia="Arial Unicode MS"/>
        </w:rPr>
        <w:t xml:space="preserve">Philippine’s </w:t>
      </w:r>
      <w:r w:rsidR="009A6894" w:rsidRPr="0055490A">
        <w:rPr>
          <w:rFonts w:eastAsia="Arial Unicode MS"/>
        </w:rPr>
        <w:t>gross domestic product</w:t>
      </w:r>
      <w:r w:rsidRPr="0055490A">
        <w:rPr>
          <w:rFonts w:eastAsia="Arial Unicode MS"/>
        </w:rPr>
        <w:t xml:space="preserve">. Facilitating remittances for these workers may be a source of interest in the Elixir platform. The obstacle would be to have bank service providers in the locations outside the Philippines where these people need service. </w:t>
      </w:r>
    </w:p>
    <w:p w14:paraId="0FD6F2CE" w14:textId="77777777" w:rsidR="00831936" w:rsidRPr="00647A5C" w:rsidRDefault="00831936" w:rsidP="0055490A">
      <w:pPr>
        <w:pStyle w:val="BodyTextMain"/>
        <w:ind w:left="720"/>
        <w:rPr>
          <w:rFonts w:eastAsia="Arial Unicode MS"/>
          <w:sz w:val="18"/>
          <w:szCs w:val="18"/>
        </w:rPr>
      </w:pPr>
    </w:p>
    <w:p w14:paraId="442D920A" w14:textId="62C2863B" w:rsidR="00831936" w:rsidRPr="0055490A" w:rsidRDefault="00831936" w:rsidP="0055490A">
      <w:pPr>
        <w:pStyle w:val="BodyTextMain"/>
        <w:ind w:left="720"/>
        <w:rPr>
          <w:rFonts w:eastAsia="Arial Unicode MS"/>
        </w:rPr>
      </w:pPr>
      <w:r w:rsidRPr="0055490A">
        <w:rPr>
          <w:rFonts w:eastAsia="Arial Unicode MS"/>
        </w:rPr>
        <w:t xml:space="preserve">Getting a bank to the table is a necessary first step for Elixir. This said, there really </w:t>
      </w:r>
      <w:r w:rsidR="009A6894" w:rsidRPr="0055490A">
        <w:rPr>
          <w:rFonts w:eastAsia="Arial Unicode MS"/>
        </w:rPr>
        <w:t>is</w:t>
      </w:r>
      <w:r w:rsidRPr="0055490A">
        <w:rPr>
          <w:rFonts w:eastAsia="Arial Unicode MS"/>
        </w:rPr>
        <w:t xml:space="preserve"> a relatively small number of potential banks to explore interest in the concept. You will have to be a bit careful in terms of who to speak with and when</w:t>
      </w:r>
      <w:r w:rsidR="009A6894" w:rsidRPr="0055490A">
        <w:rPr>
          <w:rFonts w:eastAsia="Arial Unicode MS"/>
        </w:rPr>
        <w:t>—</w:t>
      </w:r>
      <w:r w:rsidRPr="0055490A">
        <w:rPr>
          <w:rFonts w:eastAsia="Arial Unicode MS"/>
        </w:rPr>
        <w:t>it is a very small world in Manila. I have some connections that might assist in arranging some initial conversations when appropriate.</w:t>
      </w:r>
    </w:p>
    <w:p w14:paraId="2348753B" w14:textId="77777777" w:rsidR="00831936" w:rsidRPr="00647A5C" w:rsidRDefault="00831936" w:rsidP="0055490A">
      <w:pPr>
        <w:pStyle w:val="BodyTextMain"/>
        <w:rPr>
          <w:rFonts w:eastAsia="Arial Unicode MS"/>
          <w:sz w:val="18"/>
          <w:szCs w:val="18"/>
          <w:u w:color="000000"/>
          <w:bdr w:val="nil"/>
          <w:lang w:val="en-CA" w:eastAsia="en-CA"/>
        </w:rPr>
      </w:pPr>
    </w:p>
    <w:p w14:paraId="2210C2E1" w14:textId="77777777" w:rsidR="009A6894" w:rsidRPr="00647A5C" w:rsidRDefault="009A6894" w:rsidP="0055490A">
      <w:pPr>
        <w:pStyle w:val="BodyTextMain"/>
        <w:rPr>
          <w:sz w:val="18"/>
          <w:szCs w:val="18"/>
          <w:u w:color="000000"/>
          <w:bdr w:val="nil"/>
          <w:lang w:val="en-CA" w:eastAsia="en-CA"/>
        </w:rPr>
      </w:pPr>
    </w:p>
    <w:p w14:paraId="269203F7" w14:textId="24860B12" w:rsidR="00831936" w:rsidRPr="0055490A" w:rsidRDefault="00831936" w:rsidP="0055490A">
      <w:pPr>
        <w:pStyle w:val="Casehead3"/>
      </w:pPr>
      <w:r w:rsidRPr="0055490A">
        <w:t xml:space="preserve">Thoughts on </w:t>
      </w:r>
      <w:r w:rsidR="009A6894" w:rsidRPr="0055490A">
        <w:t>B</w:t>
      </w:r>
      <w:r w:rsidRPr="0055490A">
        <w:t xml:space="preserve">anking in Hong Kong </w:t>
      </w:r>
    </w:p>
    <w:p w14:paraId="4AAEF505" w14:textId="77777777" w:rsidR="00831936" w:rsidRPr="00647A5C" w:rsidRDefault="00831936" w:rsidP="0055490A">
      <w:pPr>
        <w:pStyle w:val="BodyTextMain"/>
        <w:rPr>
          <w:sz w:val="18"/>
          <w:szCs w:val="18"/>
          <w:u w:color="000000"/>
          <w:bdr w:val="nil"/>
          <w:lang w:val="en-CA" w:eastAsia="en-CA"/>
        </w:rPr>
      </w:pPr>
    </w:p>
    <w:p w14:paraId="34FA95F0" w14:textId="7810E5CF" w:rsidR="00831936" w:rsidRPr="00831936" w:rsidRDefault="00831936" w:rsidP="0055490A">
      <w:pPr>
        <w:pStyle w:val="BodyTextMain"/>
        <w:rPr>
          <w:u w:color="000000"/>
          <w:bdr w:val="nil"/>
          <w:lang w:val="en-CA" w:eastAsia="en-CA"/>
        </w:rPr>
      </w:pPr>
      <w:r w:rsidRPr="00831936">
        <w:rPr>
          <w:u w:color="000000"/>
          <w:bdr w:val="nil"/>
          <w:lang w:val="en-CA" w:eastAsia="en-CA"/>
        </w:rPr>
        <w:t>A week later</w:t>
      </w:r>
      <w:r w:rsidR="009A6894">
        <w:rPr>
          <w:u w:color="000000"/>
          <w:bdr w:val="nil"/>
          <w:lang w:val="en-CA" w:eastAsia="en-CA"/>
        </w:rPr>
        <w:t>,</w:t>
      </w:r>
      <w:r w:rsidRPr="00831936">
        <w:rPr>
          <w:u w:color="000000"/>
          <w:bdr w:val="nil"/>
          <w:lang w:val="en-CA" w:eastAsia="en-CA"/>
        </w:rPr>
        <w:t xml:space="preserve"> on June 23, 2016, McCarthy noted: </w:t>
      </w:r>
    </w:p>
    <w:p w14:paraId="0C56D8DB" w14:textId="77777777" w:rsidR="00831936" w:rsidRPr="00647A5C" w:rsidRDefault="00831936" w:rsidP="0055490A">
      <w:pPr>
        <w:pStyle w:val="BodyTextMain"/>
        <w:rPr>
          <w:color w:val="000000"/>
          <w:kern w:val="2"/>
          <w:sz w:val="18"/>
          <w:szCs w:val="18"/>
          <w:u w:color="000000"/>
          <w:bdr w:val="nil"/>
          <w:lang w:val="en-CA" w:eastAsia="en-CA"/>
        </w:rPr>
      </w:pPr>
    </w:p>
    <w:p w14:paraId="5367C2D0" w14:textId="54A3A523" w:rsidR="00831936" w:rsidRPr="00831936" w:rsidRDefault="00831936" w:rsidP="0055490A">
      <w:pPr>
        <w:pStyle w:val="BodyTextMain"/>
        <w:ind w:left="720"/>
        <w:rPr>
          <w:u w:color="000000"/>
          <w:bdr w:val="nil"/>
          <w:lang w:val="en-CA" w:eastAsia="en-CA"/>
        </w:rPr>
      </w:pPr>
      <w:r w:rsidRPr="007C02C6">
        <w:rPr>
          <w:rFonts w:eastAsia="Arial Unicode MS" w:cs="Arial Unicode MS"/>
          <w:spacing w:val="-4"/>
          <w:u w:color="000000"/>
          <w:bdr w:val="nil"/>
          <w:lang w:val="en-CA" w:eastAsia="en-CA"/>
        </w:rPr>
        <w:t>With a population of roughly 8 million, Hong Kong has small consumer numbers compared to many markets in Asia</w:t>
      </w:r>
      <w:r w:rsidR="00A63A23">
        <w:rPr>
          <w:rFonts w:eastAsia="Arial Unicode MS" w:cs="Arial Unicode MS"/>
          <w:spacing w:val="-4"/>
          <w:u w:color="000000"/>
          <w:bdr w:val="nil"/>
          <w:lang w:val="en-CA" w:eastAsia="en-CA"/>
        </w:rPr>
        <w:t xml:space="preserve">. </w:t>
      </w:r>
      <w:r w:rsidRPr="007C02C6">
        <w:rPr>
          <w:rFonts w:eastAsia="Arial Unicode MS" w:cs="Arial Unicode MS"/>
          <w:spacing w:val="-4"/>
          <w:u w:color="000000"/>
          <w:bdr w:val="nil"/>
          <w:lang w:val="en-CA" w:eastAsia="en-CA"/>
        </w:rPr>
        <w:t>The Territory ranks highest in wealth per capita in the world, although that wealth is clearly skewed towards the older members of society. This backdrop could make it challenging for Elixir to be successful simply a</w:t>
      </w:r>
      <w:r w:rsidR="004E60A8">
        <w:rPr>
          <w:rFonts w:eastAsia="Arial Unicode MS" w:cs="Arial Unicode MS"/>
          <w:spacing w:val="-4"/>
          <w:u w:color="000000"/>
          <w:bdr w:val="nil"/>
          <w:lang w:val="en-CA" w:eastAsia="en-CA"/>
        </w:rPr>
        <w:t>s</w:t>
      </w:r>
      <w:r w:rsidRPr="007C02C6">
        <w:rPr>
          <w:rFonts w:eastAsia="Arial Unicode MS" w:cs="Arial Unicode MS"/>
          <w:spacing w:val="-4"/>
          <w:u w:color="000000"/>
          <w:bdr w:val="nil"/>
          <w:lang w:val="en-CA" w:eastAsia="en-CA"/>
        </w:rPr>
        <w:t xml:space="preserve"> </w:t>
      </w:r>
      <w:r w:rsidR="00A63A23">
        <w:rPr>
          <w:rFonts w:eastAsia="Arial Unicode MS" w:cs="Arial Unicode MS"/>
          <w:spacing w:val="-4"/>
          <w:u w:color="000000"/>
          <w:bdr w:val="nil"/>
          <w:lang w:val="en-CA" w:eastAsia="en-CA"/>
        </w:rPr>
        <w:t xml:space="preserve">a </w:t>
      </w:r>
      <w:r w:rsidRPr="007C02C6">
        <w:rPr>
          <w:rFonts w:eastAsia="Arial Unicode MS" w:cs="Arial Unicode MS"/>
          <w:spacing w:val="-4"/>
          <w:u w:color="000000"/>
          <w:bdr w:val="nil"/>
          <w:lang w:val="en-CA" w:eastAsia="en-CA"/>
        </w:rPr>
        <w:t>provider of basic financial services</w:t>
      </w:r>
      <w:r w:rsidRPr="00831936">
        <w:rPr>
          <w:rFonts w:eastAsia="Arial Unicode MS" w:cs="Arial Unicode MS"/>
          <w:u w:color="000000"/>
          <w:bdr w:val="nil"/>
          <w:lang w:val="en-CA" w:eastAsia="en-CA"/>
        </w:rPr>
        <w:t xml:space="preserve">. </w:t>
      </w:r>
      <w:r w:rsidRPr="00831936">
        <w:rPr>
          <w:u w:color="000000"/>
          <w:bdr w:val="nil"/>
          <w:lang w:val="en-CA" w:eastAsia="en-CA"/>
        </w:rPr>
        <w:t>Hong Kong has a highly developed economy and banking system. Financial inclusion, at about 89</w:t>
      </w:r>
      <w:r w:rsidR="009A6894">
        <w:rPr>
          <w:u w:color="000000"/>
          <w:bdr w:val="nil"/>
          <w:lang w:val="en-CA" w:eastAsia="en-CA"/>
        </w:rPr>
        <w:t xml:space="preserve"> per cent</w:t>
      </w:r>
      <w:r w:rsidRPr="00831936">
        <w:rPr>
          <w:u w:color="000000"/>
          <w:bdr w:val="nil"/>
          <w:lang w:val="en-CA" w:eastAsia="en-CA"/>
        </w:rPr>
        <w:t>, is amongst the highest in the world. Except perhaps for niche sub-segments, (e.g.</w:t>
      </w:r>
      <w:r w:rsidR="009A6894">
        <w:rPr>
          <w:u w:color="000000"/>
          <w:bdr w:val="nil"/>
          <w:lang w:val="en-CA" w:eastAsia="en-CA"/>
        </w:rPr>
        <w:t>,</w:t>
      </w:r>
      <w:r w:rsidRPr="00831936">
        <w:rPr>
          <w:u w:color="000000"/>
          <w:bdr w:val="nil"/>
          <w:lang w:val="en-CA" w:eastAsia="en-CA"/>
        </w:rPr>
        <w:t xml:space="preserve"> service workers), there are essentially no unbanked consumers, whether young or old. Meaningful penetration by Elixir would therefore be more likely to be driven by </w:t>
      </w:r>
      <w:r w:rsidR="00DB1CF2">
        <w:rPr>
          <w:u w:color="000000"/>
          <w:bdr w:val="nil"/>
          <w:lang w:val="en-CA" w:eastAsia="en-CA"/>
        </w:rPr>
        <w:t>m</w:t>
      </w:r>
      <w:r w:rsidRPr="00831936">
        <w:rPr>
          <w:u w:color="000000"/>
          <w:bdr w:val="nil"/>
          <w:lang w:val="en-CA" w:eastAsia="en-CA"/>
        </w:rPr>
        <w:t xml:space="preserve">illennials looking for something more slick and convenient than </w:t>
      </w:r>
      <w:r w:rsidR="007E3637">
        <w:rPr>
          <w:u w:color="000000"/>
          <w:bdr w:val="nil"/>
          <w:lang w:val="en-CA" w:eastAsia="en-CA"/>
        </w:rPr>
        <w:t xml:space="preserve">by </w:t>
      </w:r>
      <w:r w:rsidRPr="00831936">
        <w:rPr>
          <w:u w:color="000000"/>
          <w:bdr w:val="nil"/>
          <w:lang w:val="en-CA" w:eastAsia="en-CA"/>
        </w:rPr>
        <w:t xml:space="preserve">consumers seeking financial inclusion. </w:t>
      </w:r>
    </w:p>
    <w:p w14:paraId="4EA9773C" w14:textId="77777777" w:rsidR="00831936" w:rsidRPr="00647A5C" w:rsidRDefault="00831936" w:rsidP="0055490A">
      <w:pPr>
        <w:pStyle w:val="BodyTextMain"/>
        <w:ind w:left="720"/>
        <w:rPr>
          <w:sz w:val="18"/>
          <w:szCs w:val="18"/>
          <w:u w:color="000000"/>
          <w:bdr w:val="nil"/>
          <w:lang w:val="en-CA" w:eastAsia="en-CA"/>
        </w:rPr>
      </w:pPr>
    </w:p>
    <w:p w14:paraId="5650122F" w14:textId="7F814A8A" w:rsidR="00831936" w:rsidRPr="00831936" w:rsidRDefault="00831936" w:rsidP="0055490A">
      <w:pPr>
        <w:pStyle w:val="BodyTextMain"/>
        <w:ind w:left="720"/>
        <w:rPr>
          <w:u w:color="000000"/>
          <w:bdr w:val="nil"/>
          <w:lang w:val="en-CA" w:eastAsia="en-CA"/>
        </w:rPr>
      </w:pPr>
      <w:r w:rsidRPr="00831936">
        <w:rPr>
          <w:rFonts w:eastAsia="Arial Unicode MS" w:cs="Arial Unicode MS"/>
          <w:u w:color="000000"/>
          <w:bdr w:val="nil"/>
          <w:lang w:val="en-CA" w:eastAsia="en-CA"/>
        </w:rPr>
        <w:t>Potentially of interest to Elixir as part of a regional strategy, there are significant numbers of young Filipino and Indonesian domestic service workers in the Territory</w:t>
      </w:r>
      <w:r w:rsidR="007E3637">
        <w:rPr>
          <w:rFonts w:eastAsia="Arial Unicode MS"/>
          <w:u w:color="000000"/>
          <w:bdr w:val="nil"/>
          <w:lang w:val="en-CA" w:eastAsia="en-CA"/>
        </w:rPr>
        <w:t>—</w:t>
      </w:r>
      <w:r w:rsidRPr="00831936">
        <w:rPr>
          <w:rFonts w:eastAsia="Arial Unicode MS" w:cs="Arial Unicode MS"/>
          <w:u w:color="000000"/>
          <w:bdr w:val="nil"/>
          <w:lang w:val="en-CA" w:eastAsia="en-CA"/>
        </w:rPr>
        <w:t>approximately 350,000 or roughly 4</w:t>
      </w:r>
      <w:r w:rsidR="007E3637">
        <w:rPr>
          <w:rFonts w:eastAsia="Arial Unicode MS" w:cs="Arial Unicode MS"/>
          <w:u w:color="000000"/>
          <w:bdr w:val="nil"/>
          <w:lang w:val="en-CA" w:eastAsia="en-CA"/>
        </w:rPr>
        <w:t xml:space="preserve"> per cent</w:t>
      </w:r>
      <w:r w:rsidRPr="00831936">
        <w:rPr>
          <w:rFonts w:eastAsia="Arial Unicode MS" w:cs="Arial Unicode MS"/>
          <w:u w:color="000000"/>
          <w:bdr w:val="nil"/>
          <w:lang w:val="en-CA" w:eastAsia="en-CA"/>
        </w:rPr>
        <w:t xml:space="preserve"> of the population. The vast majority of these are women. These two countries have lower financial inclusion, and this may make them particularly interesting as targets for Elixir</w:t>
      </w:r>
      <w:r w:rsidR="00A63A23">
        <w:rPr>
          <w:rFonts w:eastAsia="Arial Unicode MS" w:cs="Arial Unicode MS"/>
          <w:u w:color="000000"/>
          <w:bdr w:val="nil"/>
          <w:lang w:val="en-CA" w:eastAsia="en-CA"/>
        </w:rPr>
        <w:t xml:space="preserve">, particularly for basic services like </w:t>
      </w:r>
      <w:r w:rsidRPr="00831936">
        <w:rPr>
          <w:rFonts w:eastAsia="Arial Unicode MS" w:cs="Arial Unicode MS"/>
          <w:u w:color="000000"/>
          <w:bdr w:val="nil"/>
          <w:lang w:val="en-CA" w:eastAsia="en-CA"/>
        </w:rPr>
        <w:t>remittances.</w:t>
      </w:r>
    </w:p>
    <w:p w14:paraId="58D689A9" w14:textId="77777777" w:rsidR="00831936" w:rsidRPr="00647A5C" w:rsidRDefault="00831936" w:rsidP="0055490A">
      <w:pPr>
        <w:pStyle w:val="BodyTextMain"/>
        <w:ind w:left="720"/>
        <w:rPr>
          <w:sz w:val="18"/>
          <w:szCs w:val="18"/>
          <w:u w:color="000000"/>
          <w:bdr w:val="nil"/>
          <w:lang w:val="en-CA" w:eastAsia="en-CA"/>
        </w:rPr>
      </w:pPr>
    </w:p>
    <w:p w14:paraId="396C0A83" w14:textId="398DA8D8" w:rsidR="00831936" w:rsidRPr="00831936" w:rsidRDefault="00831936" w:rsidP="0055490A">
      <w:pPr>
        <w:pStyle w:val="BodyTextMain"/>
        <w:ind w:left="720"/>
        <w:rPr>
          <w:u w:color="000000"/>
          <w:bdr w:val="nil"/>
          <w:lang w:val="en-CA" w:eastAsia="en-CA"/>
        </w:rPr>
      </w:pPr>
      <w:r w:rsidRPr="00831936">
        <w:rPr>
          <w:rFonts w:eastAsia="Arial Unicode MS" w:cs="Arial Unicode MS"/>
          <w:u w:color="000000"/>
          <w:bdr w:val="nil"/>
          <w:lang w:val="en-CA" w:eastAsia="en-CA"/>
        </w:rPr>
        <w:t xml:space="preserve">Hong Kong has a highly concentrated banking system in terms of local business. The top </w:t>
      </w:r>
      <w:r w:rsidR="007E3637">
        <w:rPr>
          <w:rFonts w:eastAsia="Arial Unicode MS" w:cs="Arial Unicode MS"/>
          <w:u w:color="000000"/>
          <w:bdr w:val="nil"/>
          <w:lang w:val="en-CA" w:eastAsia="en-CA"/>
        </w:rPr>
        <w:t>three</w:t>
      </w:r>
      <w:r w:rsidRPr="00831936">
        <w:rPr>
          <w:rFonts w:eastAsia="Arial Unicode MS" w:cs="Arial Unicode MS"/>
          <w:u w:color="000000"/>
          <w:bdr w:val="nil"/>
          <w:lang w:val="en-CA" w:eastAsia="en-CA"/>
        </w:rPr>
        <w:t xml:space="preserve"> banks</w:t>
      </w:r>
      <w:r w:rsidR="007E3637">
        <w:rPr>
          <w:rFonts w:eastAsia="Arial Unicode MS"/>
          <w:u w:color="000000"/>
          <w:bdr w:val="nil"/>
          <w:lang w:val="en-CA" w:eastAsia="en-CA"/>
        </w:rPr>
        <w:t>—</w:t>
      </w:r>
      <w:r w:rsidRPr="00831936">
        <w:rPr>
          <w:rFonts w:eastAsia="Arial Unicode MS" w:cs="Arial Unicode MS"/>
          <w:u w:color="000000"/>
          <w:bdr w:val="nil"/>
          <w:lang w:val="en-CA" w:eastAsia="en-CA"/>
        </w:rPr>
        <w:t>HSBC, Standard Chartered, and Bank of China</w:t>
      </w:r>
      <w:r w:rsidR="007E3637">
        <w:rPr>
          <w:rFonts w:eastAsia="Arial Unicode MS"/>
          <w:u w:color="000000"/>
          <w:bdr w:val="nil"/>
          <w:lang w:val="en-CA" w:eastAsia="en-CA"/>
        </w:rPr>
        <w:t>—</w:t>
      </w:r>
      <w:r w:rsidRPr="00831936">
        <w:rPr>
          <w:rFonts w:eastAsia="Arial Unicode MS" w:cs="Arial Unicode MS"/>
          <w:u w:color="000000"/>
          <w:bdr w:val="nil"/>
          <w:lang w:val="en-CA" w:eastAsia="en-CA"/>
        </w:rPr>
        <w:t>account for over 80</w:t>
      </w:r>
      <w:r w:rsidR="007E3637">
        <w:rPr>
          <w:rFonts w:eastAsia="Arial Unicode MS" w:cs="Arial Unicode MS"/>
          <w:u w:color="000000"/>
          <w:bdr w:val="nil"/>
          <w:lang w:val="en-CA" w:eastAsia="en-CA"/>
        </w:rPr>
        <w:t xml:space="preserve"> per cent</w:t>
      </w:r>
      <w:r w:rsidRPr="00831936">
        <w:rPr>
          <w:rFonts w:eastAsia="Arial Unicode MS" w:cs="Arial Unicode MS"/>
          <w:u w:color="000000"/>
          <w:bdr w:val="nil"/>
          <w:lang w:val="en-CA" w:eastAsia="en-CA"/>
        </w:rPr>
        <w:t xml:space="preserve"> of loans and deposits. Given their size, it may be challenging for Elixir to engage the large banks in partnership discussions. It may make sense to work with </w:t>
      </w:r>
      <w:r w:rsidR="004E60A8">
        <w:rPr>
          <w:rFonts w:eastAsia="Arial Unicode MS" w:cs="Arial Unicode MS"/>
          <w:u w:color="000000"/>
          <w:bdr w:val="nil"/>
          <w:lang w:val="en-CA" w:eastAsia="en-CA"/>
        </w:rPr>
        <w:t>one</w:t>
      </w:r>
      <w:r w:rsidRPr="00831936">
        <w:rPr>
          <w:rFonts w:eastAsia="Arial Unicode MS" w:cs="Arial Unicode MS"/>
          <w:u w:color="000000"/>
          <w:bdr w:val="nil"/>
          <w:lang w:val="en-CA" w:eastAsia="en-CA"/>
        </w:rPr>
        <w:t xml:space="preserve"> of </w:t>
      </w:r>
      <w:r w:rsidR="004E60A8">
        <w:rPr>
          <w:rFonts w:eastAsia="Arial Unicode MS" w:cs="Arial Unicode MS"/>
          <w:u w:color="000000"/>
          <w:bdr w:val="nil"/>
          <w:lang w:val="en-CA" w:eastAsia="en-CA"/>
        </w:rPr>
        <w:t xml:space="preserve">the </w:t>
      </w:r>
      <w:r w:rsidRPr="00831936">
        <w:rPr>
          <w:rFonts w:eastAsia="Arial Unicode MS" w:cs="Arial Unicode MS"/>
          <w:u w:color="000000"/>
          <w:bdr w:val="nil"/>
          <w:lang w:val="en-CA" w:eastAsia="en-CA"/>
        </w:rPr>
        <w:t>large Chinese banks (e.g.</w:t>
      </w:r>
      <w:r w:rsidR="007E3637">
        <w:rPr>
          <w:rFonts w:eastAsia="Arial Unicode MS" w:cs="Arial Unicode MS"/>
          <w:u w:color="000000"/>
          <w:bdr w:val="nil"/>
          <w:lang w:val="en-CA" w:eastAsia="en-CA"/>
        </w:rPr>
        <w:t>,</w:t>
      </w:r>
      <w:r w:rsidRPr="00831936">
        <w:rPr>
          <w:rFonts w:eastAsia="Arial Unicode MS" w:cs="Arial Unicode MS"/>
          <w:u w:color="000000"/>
          <w:bdr w:val="nil"/>
          <w:lang w:val="en-CA" w:eastAsia="en-CA"/>
        </w:rPr>
        <w:t xml:space="preserve"> Bank of Communications, ICBC, CITIC, Construction). </w:t>
      </w:r>
      <w:r w:rsidR="004E60A8">
        <w:rPr>
          <w:rFonts w:eastAsia="Arial Unicode MS" w:cs="Arial Unicode MS"/>
          <w:u w:color="000000"/>
          <w:bdr w:val="nil"/>
          <w:lang w:val="en-CA" w:eastAsia="en-CA"/>
        </w:rPr>
        <w:t xml:space="preserve">A </w:t>
      </w:r>
      <w:r w:rsidRPr="00831936">
        <w:rPr>
          <w:rFonts w:eastAsia="Arial Unicode MS" w:cs="Arial Unicode MS"/>
          <w:u w:color="000000"/>
          <w:bdr w:val="nil"/>
          <w:lang w:val="en-CA" w:eastAsia="en-CA"/>
        </w:rPr>
        <w:t xml:space="preserve">partnership with any of these banks would have potential value to Elixir in terms of inroads in the Chinese market.  </w:t>
      </w:r>
    </w:p>
    <w:p w14:paraId="00DC0F92" w14:textId="77777777" w:rsidR="00831936" w:rsidRPr="00647A5C" w:rsidRDefault="00831936" w:rsidP="0055490A">
      <w:pPr>
        <w:pStyle w:val="BodyTextMain"/>
        <w:ind w:left="720"/>
        <w:rPr>
          <w:sz w:val="18"/>
          <w:szCs w:val="18"/>
          <w:u w:color="000000"/>
          <w:bdr w:val="nil"/>
          <w:lang w:val="en-CA" w:eastAsia="en-CA"/>
        </w:rPr>
      </w:pPr>
    </w:p>
    <w:p w14:paraId="154E0E90" w14:textId="4FB4D5BF" w:rsidR="00831936" w:rsidRPr="00831936" w:rsidRDefault="00831936" w:rsidP="0055490A">
      <w:pPr>
        <w:pStyle w:val="BodyTextMain"/>
        <w:ind w:left="720"/>
        <w:rPr>
          <w:rFonts w:eastAsia="Arial Unicode MS" w:cs="Arial Unicode MS"/>
          <w:u w:color="000000"/>
          <w:bdr w:val="nil"/>
          <w:lang w:val="en-CA" w:eastAsia="en-CA"/>
        </w:rPr>
      </w:pPr>
      <w:r w:rsidRPr="00831936">
        <w:rPr>
          <w:rFonts w:eastAsia="Arial Unicode MS" w:cs="Arial Unicode MS"/>
          <w:u w:color="000000"/>
          <w:bdr w:val="nil"/>
          <w:lang w:val="en-CA" w:eastAsia="en-CA"/>
        </w:rPr>
        <w:t xml:space="preserve">The main payments differentiator in Hong Kong is the Octopus payments smart card, which is used across the territory for all public transport and for smaller retail payments such as food, convenience stores, parking, etc. Octopus is ubiquitous among young adults. </w:t>
      </w:r>
      <w:r w:rsidR="009D1BD2">
        <w:rPr>
          <w:rFonts w:eastAsia="Arial Unicode MS" w:cs="Arial Unicode MS"/>
          <w:u w:color="000000"/>
          <w:bdr w:val="nil"/>
          <w:lang w:val="en-CA" w:eastAsia="en-CA"/>
        </w:rPr>
        <w:t>Ninety-nine per cent</w:t>
      </w:r>
      <w:r w:rsidRPr="00831936">
        <w:rPr>
          <w:rFonts w:eastAsia="Arial Unicode MS" w:cs="Arial Unicode MS"/>
          <w:u w:color="000000"/>
          <w:bdr w:val="nil"/>
          <w:lang w:val="en-CA" w:eastAsia="en-CA"/>
        </w:rPr>
        <w:t xml:space="preserve"> of consumers in Hong Kong over 15 years </w:t>
      </w:r>
      <w:r w:rsidR="007222A5">
        <w:rPr>
          <w:rFonts w:eastAsia="Arial Unicode MS" w:cs="Arial Unicode MS"/>
          <w:u w:color="000000"/>
          <w:bdr w:val="nil"/>
          <w:lang w:val="en-CA" w:eastAsia="en-CA"/>
        </w:rPr>
        <w:t>of age</w:t>
      </w:r>
      <w:r w:rsidR="007E3637">
        <w:rPr>
          <w:rFonts w:eastAsia="Arial Unicode MS" w:cs="Arial Unicode MS"/>
          <w:u w:color="000000"/>
          <w:bdr w:val="nil"/>
          <w:lang w:val="en-CA" w:eastAsia="en-CA"/>
        </w:rPr>
        <w:t xml:space="preserve"> </w:t>
      </w:r>
      <w:r w:rsidRPr="00831936">
        <w:rPr>
          <w:rFonts w:eastAsia="Arial Unicode MS" w:cs="Arial Unicode MS"/>
          <w:u w:color="000000"/>
          <w:bdr w:val="nil"/>
          <w:lang w:val="en-CA" w:eastAsia="en-CA"/>
        </w:rPr>
        <w:t>have an Octopus card. The Octopus ecosystem is straightforward and seems to work well for consumers. As such, there has been limited demand for small-transaction mobile payments. Octopus could be an interesting partner for Elixir to explore.</w:t>
      </w:r>
    </w:p>
    <w:p w14:paraId="6E915878" w14:textId="77777777" w:rsidR="00831936" w:rsidRPr="00647A5C" w:rsidRDefault="00831936" w:rsidP="0055490A">
      <w:pPr>
        <w:pStyle w:val="BodyTextMain"/>
        <w:rPr>
          <w:sz w:val="18"/>
          <w:szCs w:val="18"/>
        </w:rPr>
      </w:pPr>
    </w:p>
    <w:p w14:paraId="501D3080" w14:textId="77777777" w:rsidR="00831936" w:rsidRPr="0055490A" w:rsidRDefault="00831936" w:rsidP="0055490A">
      <w:pPr>
        <w:pStyle w:val="Casehead3"/>
      </w:pPr>
      <w:r w:rsidRPr="0055490A">
        <w:lastRenderedPageBreak/>
        <w:t xml:space="preserve">Preliminary Impressions on Malaysia </w:t>
      </w:r>
    </w:p>
    <w:p w14:paraId="0ADA702D" w14:textId="77777777" w:rsidR="00831936" w:rsidRPr="00647A5C" w:rsidRDefault="00831936" w:rsidP="0055490A">
      <w:pPr>
        <w:pStyle w:val="BodyTextMain"/>
        <w:rPr>
          <w:rFonts w:eastAsia="Arial Unicode MS"/>
          <w:sz w:val="16"/>
          <w:szCs w:val="16"/>
        </w:rPr>
      </w:pPr>
    </w:p>
    <w:p w14:paraId="790E215F" w14:textId="492024AB" w:rsidR="00831936" w:rsidRPr="0055490A" w:rsidRDefault="004E60A8" w:rsidP="0055490A">
      <w:pPr>
        <w:pStyle w:val="BodyTextMain"/>
        <w:rPr>
          <w:rFonts w:eastAsia="Arial Unicode MS"/>
        </w:rPr>
      </w:pPr>
      <w:r>
        <w:rPr>
          <w:rFonts w:eastAsia="Arial Unicode MS"/>
        </w:rPr>
        <w:t>F</w:t>
      </w:r>
      <w:r w:rsidRPr="0055490A">
        <w:rPr>
          <w:rFonts w:eastAsia="Arial Unicode MS"/>
        </w:rPr>
        <w:t xml:space="preserve">rom July 20 to </w:t>
      </w:r>
      <w:r w:rsidR="006201A4">
        <w:rPr>
          <w:rFonts w:eastAsia="Arial Unicode MS"/>
        </w:rPr>
        <w:t xml:space="preserve">July </w:t>
      </w:r>
      <w:r w:rsidRPr="0055490A">
        <w:rPr>
          <w:rFonts w:eastAsia="Arial Unicode MS"/>
        </w:rPr>
        <w:t>22, 2016</w:t>
      </w:r>
      <w:r w:rsidR="00A63A23">
        <w:rPr>
          <w:rFonts w:eastAsia="Arial Unicode MS"/>
        </w:rPr>
        <w:t>,</w:t>
      </w:r>
      <w:r>
        <w:rPr>
          <w:rFonts w:eastAsia="Arial Unicode MS"/>
        </w:rPr>
        <w:t xml:space="preserve"> </w:t>
      </w:r>
      <w:r w:rsidR="00831936" w:rsidRPr="0055490A">
        <w:rPr>
          <w:rFonts w:eastAsia="Arial Unicode MS"/>
        </w:rPr>
        <w:t>McCarthy accompanied Elixir executives on a sales trip to Malaysia</w:t>
      </w:r>
      <w:r>
        <w:rPr>
          <w:rFonts w:eastAsia="Arial Unicode MS"/>
        </w:rPr>
        <w:t xml:space="preserve">. He </w:t>
      </w:r>
      <w:r w:rsidR="007E3637" w:rsidRPr="0055490A">
        <w:rPr>
          <w:rFonts w:eastAsia="Arial Unicode MS"/>
        </w:rPr>
        <w:t>noted the following</w:t>
      </w:r>
      <w:r w:rsidR="00831936" w:rsidRPr="0055490A">
        <w:rPr>
          <w:rFonts w:eastAsia="Arial Unicode MS"/>
        </w:rPr>
        <w:t>:</w:t>
      </w:r>
    </w:p>
    <w:p w14:paraId="2E232E1A" w14:textId="77777777" w:rsidR="00831936" w:rsidRPr="00647A5C" w:rsidRDefault="00831936" w:rsidP="0055490A">
      <w:pPr>
        <w:pStyle w:val="BodyTextMain"/>
        <w:rPr>
          <w:rFonts w:eastAsia="Arial Unicode MS"/>
          <w:sz w:val="16"/>
          <w:szCs w:val="16"/>
        </w:rPr>
      </w:pPr>
    </w:p>
    <w:p w14:paraId="16AC6733" w14:textId="302E19D1" w:rsidR="00831936" w:rsidRPr="00831936" w:rsidRDefault="00831936" w:rsidP="0055490A">
      <w:pPr>
        <w:pStyle w:val="BodyTextMain"/>
        <w:ind w:left="720"/>
        <w:rPr>
          <w:u w:color="000000"/>
          <w:bdr w:val="nil"/>
          <w:lang w:val="en-CA" w:eastAsia="en-CA"/>
        </w:rPr>
      </w:pPr>
      <w:r w:rsidRPr="00831936">
        <w:rPr>
          <w:u w:color="000000"/>
          <w:bdr w:val="nil"/>
          <w:lang w:val="en-CA" w:eastAsia="en-CA"/>
        </w:rPr>
        <w:t>Elixir looks to be making real progress in Malaysia</w:t>
      </w:r>
      <w:r w:rsidR="007E3637">
        <w:rPr>
          <w:rFonts w:eastAsia="Arial Unicode MS"/>
          <w:u w:color="000000"/>
          <w:bdr w:val="nil"/>
          <w:lang w:val="en-CA" w:eastAsia="en-CA"/>
        </w:rPr>
        <w:t>—</w:t>
      </w:r>
      <w:r w:rsidRPr="00831936">
        <w:rPr>
          <w:u w:color="000000"/>
          <w:bdr w:val="nil"/>
          <w:lang w:val="en-CA" w:eastAsia="en-CA"/>
        </w:rPr>
        <w:t>there is ongoing work being done with bank partners on critical tasks such as systems connections and network operating rules. I was not able to gauge true proximity to a launch of the app</w:t>
      </w:r>
      <w:r w:rsidR="006201A4">
        <w:rPr>
          <w:u w:color="000000"/>
          <w:bdr w:val="nil"/>
          <w:lang w:val="en-CA" w:eastAsia="en-CA"/>
        </w:rPr>
        <w:t>,</w:t>
      </w:r>
      <w:r w:rsidRPr="00831936">
        <w:rPr>
          <w:u w:color="000000"/>
          <w:bdr w:val="nil"/>
          <w:lang w:val="en-CA" w:eastAsia="en-CA"/>
        </w:rPr>
        <w:t xml:space="preserve"> but it seems to me to be some way off. There is still a great deal of work to be done and many decisions to be made. A consumer launch on the dates that I heard</w:t>
      </w:r>
      <w:r w:rsidR="007E3637">
        <w:rPr>
          <w:rFonts w:eastAsia="Arial Unicode MS"/>
          <w:u w:color="000000"/>
          <w:bdr w:val="nil"/>
          <w:lang w:val="en-CA" w:eastAsia="en-CA"/>
        </w:rPr>
        <w:t>—</w:t>
      </w:r>
      <w:r w:rsidRPr="00831936">
        <w:rPr>
          <w:u w:color="000000"/>
          <w:bdr w:val="nil"/>
          <w:lang w:val="en-CA" w:eastAsia="en-CA"/>
        </w:rPr>
        <w:t>end</w:t>
      </w:r>
      <w:r w:rsidR="007E3637">
        <w:rPr>
          <w:u w:color="000000"/>
          <w:bdr w:val="nil"/>
          <w:lang w:val="en-CA" w:eastAsia="en-CA"/>
        </w:rPr>
        <w:t xml:space="preserve"> of </w:t>
      </w:r>
      <w:r w:rsidRPr="00831936">
        <w:rPr>
          <w:u w:color="000000"/>
          <w:bdr w:val="nil"/>
          <w:lang w:val="en-CA" w:eastAsia="en-CA"/>
        </w:rPr>
        <w:t>Sept</w:t>
      </w:r>
      <w:r w:rsidR="007E3637">
        <w:rPr>
          <w:u w:color="000000"/>
          <w:bdr w:val="nil"/>
          <w:lang w:val="en-CA" w:eastAsia="en-CA"/>
        </w:rPr>
        <w:t>ember</w:t>
      </w:r>
      <w:r w:rsidRPr="00831936">
        <w:rPr>
          <w:u w:color="000000"/>
          <w:bdr w:val="nil"/>
          <w:lang w:val="en-CA" w:eastAsia="en-CA"/>
        </w:rPr>
        <w:t xml:space="preserve"> to early November</w:t>
      </w:r>
      <w:r w:rsidR="007E3637">
        <w:rPr>
          <w:rFonts w:eastAsia="Arial Unicode MS"/>
          <w:u w:color="000000"/>
          <w:bdr w:val="nil"/>
          <w:lang w:val="en-CA" w:eastAsia="en-CA"/>
        </w:rPr>
        <w:t>—</w:t>
      </w:r>
      <w:r w:rsidRPr="00831936">
        <w:rPr>
          <w:u w:color="000000"/>
          <w:bdr w:val="nil"/>
          <w:lang w:val="en-CA" w:eastAsia="en-CA"/>
        </w:rPr>
        <w:t>seems a stretch without heavy resourcing.</w:t>
      </w:r>
    </w:p>
    <w:p w14:paraId="6EFFDB81" w14:textId="77777777" w:rsidR="00831936" w:rsidRPr="00647A5C" w:rsidRDefault="00831936" w:rsidP="0055490A">
      <w:pPr>
        <w:pStyle w:val="BodyTextMain"/>
        <w:ind w:left="720"/>
        <w:rPr>
          <w:sz w:val="16"/>
          <w:szCs w:val="16"/>
          <w:u w:color="000000"/>
          <w:bdr w:val="nil"/>
          <w:lang w:val="en-CA" w:eastAsia="en-CA"/>
        </w:rPr>
      </w:pPr>
    </w:p>
    <w:p w14:paraId="6894C4BE" w14:textId="73A120FE" w:rsidR="00831936" w:rsidRPr="007C02C6" w:rsidRDefault="00831936" w:rsidP="0055490A">
      <w:pPr>
        <w:pStyle w:val="BodyTextMain"/>
        <w:ind w:left="720"/>
        <w:rPr>
          <w:spacing w:val="-4"/>
          <w:u w:color="000000"/>
          <w:bdr w:val="nil"/>
          <w:lang w:val="en-CA" w:eastAsia="en-CA"/>
        </w:rPr>
      </w:pPr>
      <w:r w:rsidRPr="007C02C6">
        <w:rPr>
          <w:spacing w:val="-4"/>
          <w:u w:color="000000"/>
          <w:bdr w:val="nil"/>
          <w:lang w:val="en-CA" w:eastAsia="en-CA"/>
        </w:rPr>
        <w:t xml:space="preserve">There are </w:t>
      </w:r>
      <w:r w:rsidR="00A63A23">
        <w:rPr>
          <w:spacing w:val="-4"/>
          <w:u w:color="000000"/>
          <w:bdr w:val="nil"/>
          <w:lang w:val="en-CA" w:eastAsia="en-CA"/>
        </w:rPr>
        <w:t>three</w:t>
      </w:r>
      <w:r w:rsidR="00A63A23" w:rsidRPr="007C02C6">
        <w:rPr>
          <w:spacing w:val="-4"/>
          <w:u w:color="000000"/>
          <w:bdr w:val="nil"/>
          <w:lang w:val="en-CA" w:eastAsia="en-CA"/>
        </w:rPr>
        <w:t xml:space="preserve"> </w:t>
      </w:r>
      <w:r w:rsidRPr="007C02C6">
        <w:rPr>
          <w:spacing w:val="-4"/>
          <w:u w:color="000000"/>
          <w:bdr w:val="nil"/>
          <w:lang w:val="en-CA" w:eastAsia="en-CA"/>
        </w:rPr>
        <w:t>elephants in the room</w:t>
      </w:r>
      <w:r w:rsidR="006E1B90" w:rsidRPr="007C02C6">
        <w:rPr>
          <w:rFonts w:eastAsia="Arial Unicode MS"/>
          <w:spacing w:val="-4"/>
          <w:u w:color="000000"/>
          <w:bdr w:val="nil"/>
          <w:lang w:val="en-CA" w:eastAsia="en-CA"/>
        </w:rPr>
        <w:t>—</w:t>
      </w:r>
      <w:r w:rsidRPr="007C02C6">
        <w:rPr>
          <w:spacing w:val="-4"/>
          <w:u w:color="000000"/>
          <w:bdr w:val="nil"/>
          <w:lang w:val="en-CA" w:eastAsia="en-CA"/>
        </w:rPr>
        <w:t>in meetings sometimes they are out in the open, sometimes being politely ignored, and sometimes people seem to have not considered the issues around the product:</w:t>
      </w:r>
    </w:p>
    <w:p w14:paraId="2E4CA7FB" w14:textId="77777777" w:rsidR="00831936" w:rsidRPr="00647A5C" w:rsidRDefault="00831936" w:rsidP="0055490A">
      <w:pPr>
        <w:pStyle w:val="BodyTextMain"/>
        <w:ind w:left="720"/>
        <w:rPr>
          <w:sz w:val="16"/>
          <w:szCs w:val="16"/>
          <w:u w:color="000000"/>
          <w:bdr w:val="nil"/>
          <w:lang w:val="en-CA" w:eastAsia="en-CA"/>
        </w:rPr>
      </w:pPr>
    </w:p>
    <w:p w14:paraId="74C9CDFC" w14:textId="077BA7B7" w:rsidR="00A63A23" w:rsidRPr="00831936" w:rsidRDefault="00831936" w:rsidP="0055490A">
      <w:pPr>
        <w:pStyle w:val="BodyTextMain"/>
        <w:numPr>
          <w:ilvl w:val="0"/>
          <w:numId w:val="41"/>
        </w:numPr>
        <w:rPr>
          <w:rFonts w:eastAsia="Arial Unicode MS"/>
          <w:u w:color="000000"/>
          <w:bdr w:val="nil"/>
          <w:lang w:val="en-CA" w:eastAsia="en-CA"/>
        </w:rPr>
      </w:pPr>
      <w:r w:rsidRPr="00831936">
        <w:rPr>
          <w:rFonts w:eastAsia="Arial Unicode MS"/>
          <w:u w:color="000000"/>
          <w:bdr w:val="nil"/>
          <w:lang w:val="en-CA" w:eastAsia="en-CA"/>
        </w:rPr>
        <w:t>Untested consumer interest, acceptance, and enthusiasm for the Elixir value proposition. This has implications for the model (how much modification will be necessary?), for partner interest (how many new customers?)</w:t>
      </w:r>
      <w:r w:rsidR="006E1B90">
        <w:rPr>
          <w:rFonts w:eastAsia="Arial Unicode MS"/>
          <w:u w:color="000000"/>
          <w:bdr w:val="nil"/>
          <w:lang w:val="en-CA" w:eastAsia="en-CA"/>
        </w:rPr>
        <w:t>,</w:t>
      </w:r>
      <w:r w:rsidRPr="00831936">
        <w:rPr>
          <w:rFonts w:eastAsia="Arial Unicode MS"/>
          <w:u w:color="000000"/>
          <w:bdr w:val="nil"/>
          <w:lang w:val="en-CA" w:eastAsia="en-CA"/>
        </w:rPr>
        <w:t xml:space="preserve"> and for marketing. </w:t>
      </w:r>
    </w:p>
    <w:p w14:paraId="7CEE67E6" w14:textId="2E198933" w:rsidR="00A63A23" w:rsidRDefault="00831936" w:rsidP="006201A4">
      <w:pPr>
        <w:pStyle w:val="BodyTextMain"/>
        <w:numPr>
          <w:ilvl w:val="0"/>
          <w:numId w:val="41"/>
        </w:numPr>
        <w:rPr>
          <w:rFonts w:eastAsia="Arial Unicode MS"/>
          <w:u w:color="000000"/>
          <w:bdr w:val="nil"/>
          <w:lang w:val="en-CA" w:eastAsia="en-CA"/>
        </w:rPr>
      </w:pPr>
      <w:r w:rsidRPr="00A63A23">
        <w:rPr>
          <w:rFonts w:eastAsia="Arial Unicode MS"/>
          <w:u w:color="000000"/>
          <w:bdr w:val="nil"/>
          <w:lang w:val="en-CA" w:eastAsia="en-CA"/>
        </w:rPr>
        <w:t xml:space="preserve">Uncertainty </w:t>
      </w:r>
      <w:r w:rsidR="006E1B90" w:rsidRPr="00A63A23">
        <w:rPr>
          <w:rFonts w:eastAsia="Arial Unicode MS"/>
          <w:u w:color="000000"/>
          <w:bdr w:val="nil"/>
          <w:lang w:val="en-CA" w:eastAsia="en-CA"/>
        </w:rPr>
        <w:t xml:space="preserve">about </w:t>
      </w:r>
      <w:r w:rsidRPr="00A63A23">
        <w:rPr>
          <w:rFonts w:eastAsia="Arial Unicode MS"/>
          <w:u w:color="000000"/>
          <w:bdr w:val="nil"/>
          <w:lang w:val="en-CA" w:eastAsia="en-CA"/>
        </w:rPr>
        <w:t xml:space="preserve">whether and when fully functioning technology can be stood up live and connected to a real bank. </w:t>
      </w:r>
    </w:p>
    <w:p w14:paraId="0D84881A" w14:textId="4C7ACF9C" w:rsidR="00831936" w:rsidRPr="00647A5C" w:rsidRDefault="00831936" w:rsidP="006201A4">
      <w:pPr>
        <w:pStyle w:val="BodyTextMain"/>
        <w:numPr>
          <w:ilvl w:val="0"/>
          <w:numId w:val="41"/>
        </w:numPr>
        <w:rPr>
          <w:spacing w:val="-2"/>
          <w:kern w:val="22"/>
          <w:u w:color="000000"/>
          <w:bdr w:val="nil"/>
          <w:lang w:val="en-CA" w:eastAsia="en-CA"/>
        </w:rPr>
      </w:pPr>
      <w:r w:rsidRPr="00647A5C">
        <w:rPr>
          <w:spacing w:val="-2"/>
          <w:kern w:val="22"/>
          <w:u w:color="000000"/>
          <w:bdr w:val="nil"/>
          <w:lang w:val="en-CA" w:eastAsia="en-CA"/>
        </w:rPr>
        <w:t xml:space="preserve">The </w:t>
      </w:r>
      <w:r w:rsidR="00A63A23" w:rsidRPr="00647A5C">
        <w:rPr>
          <w:spacing w:val="-2"/>
          <w:kern w:val="22"/>
          <w:u w:color="000000"/>
          <w:bdr w:val="nil"/>
          <w:lang w:val="en-CA" w:eastAsia="en-CA"/>
        </w:rPr>
        <w:t>“</w:t>
      </w:r>
      <w:r w:rsidRPr="00647A5C">
        <w:rPr>
          <w:spacing w:val="-2"/>
          <w:kern w:val="22"/>
          <w:u w:color="000000"/>
          <w:bdr w:val="nil"/>
          <w:lang w:val="en-CA" w:eastAsia="en-CA"/>
        </w:rPr>
        <w:t>Branding</w:t>
      </w:r>
      <w:r w:rsidR="00A63A23" w:rsidRPr="00647A5C">
        <w:rPr>
          <w:spacing w:val="-2"/>
          <w:kern w:val="22"/>
          <w:u w:color="000000"/>
          <w:bdr w:val="nil"/>
          <w:lang w:val="en-CA" w:eastAsia="en-CA"/>
        </w:rPr>
        <w:t>”</w:t>
      </w:r>
      <w:r w:rsidRPr="00647A5C">
        <w:rPr>
          <w:spacing w:val="-2"/>
          <w:kern w:val="22"/>
          <w:u w:color="000000"/>
          <w:bdr w:val="nil"/>
          <w:lang w:val="en-CA" w:eastAsia="en-CA"/>
        </w:rPr>
        <w:t xml:space="preserve"> </w:t>
      </w:r>
      <w:r w:rsidR="00A63A23" w:rsidRPr="00647A5C">
        <w:rPr>
          <w:spacing w:val="-2"/>
          <w:kern w:val="22"/>
          <w:u w:color="000000"/>
          <w:bdr w:val="nil"/>
          <w:lang w:val="en-CA" w:eastAsia="en-CA"/>
        </w:rPr>
        <w:t>i</w:t>
      </w:r>
      <w:r w:rsidRPr="00647A5C">
        <w:rPr>
          <w:spacing w:val="-2"/>
          <w:kern w:val="22"/>
          <w:u w:color="000000"/>
          <w:bdr w:val="nil"/>
          <w:lang w:val="en-CA" w:eastAsia="en-CA"/>
        </w:rPr>
        <w:t>ssue seems unresolved and this will be problematic. The interaction with one of the bank partners brought home to me what may be a lack of clarity around branding and the need to have a clear strategy on this aspect. Put simply, are customers “Elixir” customers? Or are they “Bank X” customers? The answer to this has wide implications for Elixir and its partner banks.  Left unaddressed, there will be unintended and potentially negative consequences.</w:t>
      </w:r>
    </w:p>
    <w:p w14:paraId="3066008C" w14:textId="77777777" w:rsidR="00831936" w:rsidRPr="00647A5C" w:rsidRDefault="00831936" w:rsidP="0055490A">
      <w:pPr>
        <w:pStyle w:val="BodyTextMain"/>
        <w:ind w:left="720"/>
        <w:rPr>
          <w:sz w:val="16"/>
          <w:szCs w:val="16"/>
          <w:u w:color="000000"/>
          <w:bdr w:val="nil"/>
          <w:lang w:val="en-CA" w:eastAsia="en-CA"/>
        </w:rPr>
      </w:pPr>
    </w:p>
    <w:p w14:paraId="3AEA0F32" w14:textId="77777777" w:rsidR="00831936" w:rsidRPr="00831936" w:rsidRDefault="00831936" w:rsidP="0055490A">
      <w:pPr>
        <w:pStyle w:val="BodyTextMain"/>
        <w:rPr>
          <w:rFonts w:eastAsia="Arial Unicode MS"/>
          <w:u w:color="000000"/>
          <w:bdr w:val="nil"/>
          <w:lang w:val="en-CA" w:eastAsia="en-CA"/>
        </w:rPr>
      </w:pPr>
      <w:r w:rsidRPr="00831936">
        <w:rPr>
          <w:rFonts w:eastAsia="Arial Unicode MS"/>
          <w:u w:color="000000"/>
          <w:bdr w:val="nil"/>
          <w:lang w:val="en-CA" w:eastAsia="en-CA"/>
        </w:rPr>
        <w:t>McCarthy concluded with a salvo fired at Elixir management:</w:t>
      </w:r>
    </w:p>
    <w:p w14:paraId="4055CE86" w14:textId="77777777" w:rsidR="00831936" w:rsidRPr="00647A5C" w:rsidRDefault="00831936" w:rsidP="0055490A">
      <w:pPr>
        <w:pStyle w:val="BodyTextMain"/>
        <w:rPr>
          <w:rFonts w:eastAsia="Arial Unicode MS"/>
          <w:sz w:val="16"/>
          <w:szCs w:val="16"/>
          <w:u w:color="000000"/>
          <w:bdr w:val="nil"/>
          <w:lang w:val="en-CA" w:eastAsia="en-CA"/>
        </w:rPr>
      </w:pPr>
    </w:p>
    <w:p w14:paraId="36E0D0F5" w14:textId="668E663A" w:rsidR="00831936" w:rsidRPr="00831936" w:rsidRDefault="00831936" w:rsidP="0055490A">
      <w:pPr>
        <w:pStyle w:val="BodyTextMain"/>
        <w:ind w:left="720"/>
        <w:rPr>
          <w:u w:color="000000"/>
          <w:bdr w:val="nil"/>
          <w:lang w:val="en-CA" w:eastAsia="en-CA"/>
        </w:rPr>
      </w:pPr>
      <w:r w:rsidRPr="00831936">
        <w:rPr>
          <w:rFonts w:eastAsia="Arial Unicode MS"/>
          <w:u w:color="000000"/>
          <w:bdr w:val="nil"/>
          <w:lang w:val="en-CA" w:eastAsia="en-CA"/>
        </w:rPr>
        <w:t>Elixir management need</w:t>
      </w:r>
      <w:r w:rsidR="00683D9A">
        <w:rPr>
          <w:rFonts w:eastAsia="Arial Unicode MS"/>
          <w:u w:color="000000"/>
          <w:bdr w:val="nil"/>
          <w:lang w:val="en-CA" w:eastAsia="en-CA"/>
        </w:rPr>
        <w:t>s</w:t>
      </w:r>
      <w:r w:rsidRPr="00831936">
        <w:rPr>
          <w:rFonts w:eastAsia="Arial Unicode MS"/>
          <w:u w:color="000000"/>
          <w:bdr w:val="nil"/>
          <w:lang w:val="en-CA" w:eastAsia="en-CA"/>
        </w:rPr>
        <w:t xml:space="preserve"> to think carefully about how many fronts it can open and effectively manage at this time. I am assuming that time is of the essence and that resource constraints</w:t>
      </w:r>
      <w:r w:rsidR="00683D9A">
        <w:rPr>
          <w:rFonts w:eastAsia="Arial Unicode MS"/>
          <w:u w:color="000000"/>
          <w:bdr w:val="nil"/>
          <w:lang w:val="en-CA" w:eastAsia="en-CA"/>
        </w:rPr>
        <w:t>—</w:t>
      </w:r>
      <w:r w:rsidRPr="00831936">
        <w:rPr>
          <w:rFonts w:eastAsia="Arial Unicode MS"/>
          <w:u w:color="000000"/>
          <w:bdr w:val="nil"/>
          <w:lang w:val="en-CA" w:eastAsia="en-CA"/>
        </w:rPr>
        <w:t>and cash burn</w:t>
      </w:r>
      <w:r w:rsidR="00683D9A">
        <w:rPr>
          <w:rFonts w:eastAsia="Arial Unicode MS"/>
          <w:u w:color="000000"/>
          <w:bdr w:val="nil"/>
          <w:lang w:val="en-CA" w:eastAsia="en-CA"/>
        </w:rPr>
        <w:t>—</w:t>
      </w:r>
      <w:r w:rsidRPr="00831936">
        <w:rPr>
          <w:rFonts w:eastAsia="Arial Unicode MS"/>
          <w:u w:color="000000"/>
          <w:bdr w:val="nil"/>
          <w:lang w:val="en-CA" w:eastAsia="en-CA"/>
        </w:rPr>
        <w:t>do not give Elixir a great deal of time to continue to advance along a variety of geographic fronts. As such, I perceive that Elixir needs a live instance of its app with a real bank in a real market more than anything else right now. This is not just to be able to show people that it is live, but also to answer the many questions and issues that will arise in order to go live.</w:t>
      </w:r>
    </w:p>
    <w:p w14:paraId="69BD1E85" w14:textId="77777777" w:rsidR="00831936" w:rsidRPr="00647A5C" w:rsidRDefault="00831936" w:rsidP="0055490A">
      <w:pPr>
        <w:pStyle w:val="BodyTextMain"/>
        <w:rPr>
          <w:sz w:val="16"/>
          <w:szCs w:val="16"/>
        </w:rPr>
      </w:pPr>
    </w:p>
    <w:p w14:paraId="291E12E5" w14:textId="77777777" w:rsidR="00B06DCE" w:rsidRPr="00647A5C" w:rsidRDefault="00B06DCE" w:rsidP="0055490A">
      <w:pPr>
        <w:pStyle w:val="BodyTextMain"/>
        <w:rPr>
          <w:rFonts w:eastAsia="Arial Unicode MS"/>
          <w:sz w:val="16"/>
          <w:szCs w:val="16"/>
        </w:rPr>
      </w:pPr>
    </w:p>
    <w:p w14:paraId="5B33FBDB" w14:textId="398E74A8" w:rsidR="00831936" w:rsidRPr="0055490A" w:rsidRDefault="00831936" w:rsidP="0055490A">
      <w:pPr>
        <w:pStyle w:val="Casehead2"/>
        <w:rPr>
          <w:rFonts w:eastAsia="Arial Unicode MS"/>
        </w:rPr>
      </w:pPr>
      <w:r w:rsidRPr="0055490A">
        <w:rPr>
          <w:rFonts w:eastAsia="Arial Unicode MS"/>
        </w:rPr>
        <w:t>Assessing Elixir’s Financial Projections and Valuation</w:t>
      </w:r>
    </w:p>
    <w:p w14:paraId="7451E988" w14:textId="77777777" w:rsidR="00831936" w:rsidRPr="00647A5C" w:rsidRDefault="00831936" w:rsidP="0055490A">
      <w:pPr>
        <w:pStyle w:val="BodyTextMain"/>
        <w:rPr>
          <w:sz w:val="16"/>
          <w:szCs w:val="16"/>
        </w:rPr>
      </w:pPr>
    </w:p>
    <w:p w14:paraId="0578F29B" w14:textId="7FF4A199" w:rsidR="00831936" w:rsidRPr="0055490A" w:rsidRDefault="00831936" w:rsidP="0055490A">
      <w:pPr>
        <w:pStyle w:val="BodyTextMain"/>
      </w:pPr>
      <w:r w:rsidRPr="0055490A">
        <w:t>McCarthy had been shown Elixir’s financial projections for the coming five years</w:t>
      </w:r>
      <w:r w:rsidR="007222A5" w:rsidRPr="0055490A">
        <w:t xml:space="preserve"> (see Exhibit 3)</w:t>
      </w:r>
      <w:r w:rsidRPr="0055490A">
        <w:t xml:space="preserve">. </w:t>
      </w:r>
      <w:r w:rsidR="00683D9A" w:rsidRPr="0055490A">
        <w:t>It</w:t>
      </w:r>
      <w:r w:rsidRPr="0055490A">
        <w:t xml:space="preserve"> forecast</w:t>
      </w:r>
      <w:r w:rsidR="00683D9A" w:rsidRPr="0055490A">
        <w:t>ed</w:t>
      </w:r>
      <w:r w:rsidRPr="0055490A">
        <w:t xml:space="preserve"> a growth in subscribers from 2 million in 2016 to 20 million by 2020</w:t>
      </w:r>
      <w:r w:rsidR="00683D9A" w:rsidRPr="0055490A">
        <w:rPr>
          <w:rFonts w:eastAsia="Arial Unicode MS"/>
        </w:rPr>
        <w:t>—</w:t>
      </w:r>
      <w:r w:rsidRPr="0055490A">
        <w:t>a 78</w:t>
      </w:r>
      <w:r w:rsidR="00683D9A" w:rsidRPr="0055490A">
        <w:t>-per-cent</w:t>
      </w:r>
      <w:r w:rsidRPr="0055490A">
        <w:t xml:space="preserve"> compound annual growth rate. Based on an average fee of £3 per month that increased with inflation, Elixir’s gross revenues were set to increase from £72 million to more than £779 million over this time horizon. After deducting payouts for </w:t>
      </w:r>
      <w:proofErr w:type="spellStart"/>
      <w:r w:rsidR="00293E4E" w:rsidRPr="00293E4E">
        <w:rPr>
          <w:i/>
        </w:rPr>
        <w:t>MilMo</w:t>
      </w:r>
      <w:proofErr w:type="spellEnd"/>
      <w:r w:rsidRPr="0055490A">
        <w:t>, net revenues were projected to increase from £36 million to £389 million by 2020 with net income increasing from 15</w:t>
      </w:r>
      <w:r w:rsidR="00683D9A" w:rsidRPr="0055490A">
        <w:t xml:space="preserve"> per cent</w:t>
      </w:r>
      <w:r w:rsidRPr="0055490A">
        <w:t xml:space="preserve"> of sales in 2016 to 23</w:t>
      </w:r>
      <w:r w:rsidR="00683D9A" w:rsidRPr="0055490A">
        <w:t xml:space="preserve"> per cent</w:t>
      </w:r>
      <w:r w:rsidRPr="0055490A">
        <w:t xml:space="preserve"> by 2020. McCarthy thought </w:t>
      </w:r>
      <w:r w:rsidR="00134330" w:rsidRPr="0055490A">
        <w:t xml:space="preserve">that </w:t>
      </w:r>
      <w:r w:rsidRPr="0055490A">
        <w:t xml:space="preserve">the membership numbers were realistic but </w:t>
      </w:r>
      <w:r w:rsidR="00134330" w:rsidRPr="0055490A">
        <w:t xml:space="preserve">that </w:t>
      </w:r>
      <w:r w:rsidRPr="0055490A">
        <w:t xml:space="preserve">the net margin seemed high relative to traditional banking. But </w:t>
      </w:r>
      <w:r w:rsidR="00134330" w:rsidRPr="0055490A">
        <w:t>perhaps</w:t>
      </w:r>
      <w:r w:rsidRPr="0055490A">
        <w:t xml:space="preserve"> tech margins were higher? </w:t>
      </w:r>
    </w:p>
    <w:p w14:paraId="0BFFE2E1" w14:textId="77777777" w:rsidR="00831936" w:rsidRPr="00647A5C" w:rsidRDefault="00831936" w:rsidP="0055490A">
      <w:pPr>
        <w:pStyle w:val="BodyTextMain"/>
        <w:rPr>
          <w:sz w:val="16"/>
          <w:szCs w:val="16"/>
        </w:rPr>
      </w:pPr>
    </w:p>
    <w:p w14:paraId="72AF788C" w14:textId="7C839C47" w:rsidR="00831936" w:rsidRPr="0055490A" w:rsidRDefault="00831936" w:rsidP="0055490A">
      <w:pPr>
        <w:pStyle w:val="BodyTextMain"/>
      </w:pPr>
      <w:r w:rsidRPr="0055490A">
        <w:t>McCarthy ha</w:t>
      </w:r>
      <w:r w:rsidR="00134330" w:rsidRPr="0055490A">
        <w:t>d</w:t>
      </w:r>
      <w:r w:rsidRPr="0055490A">
        <w:t xml:space="preserve"> also been given a hypothetical capitalization table (cap table) that showed Elixir’s valuation through different funding rounds</w:t>
      </w:r>
      <w:r w:rsidR="007222A5" w:rsidRPr="0055490A">
        <w:t xml:space="preserve"> (see Exhibit 4)</w:t>
      </w:r>
      <w:r w:rsidRPr="0055490A">
        <w:t>. Elixir’s founders had invested £560,000. The next year they had raised another £1 million from angel investors at a pre-money valuation of £2.8 million</w:t>
      </w:r>
      <w:r w:rsidR="00134330" w:rsidRPr="0055490A">
        <w:rPr>
          <w:rFonts w:eastAsia="Arial Unicode MS"/>
        </w:rPr>
        <w:t>—</w:t>
      </w:r>
      <w:r w:rsidRPr="0055490A">
        <w:t>an increase of 5.0</w:t>
      </w:r>
      <w:r w:rsidR="00DF5787" w:rsidRPr="0055490A">
        <w:t xml:space="preserve"> times</w:t>
      </w:r>
      <w:r w:rsidRPr="0055490A">
        <w:t xml:space="preserve">. Elixir had then raised £5 million during a </w:t>
      </w:r>
      <w:r w:rsidR="00DF5787" w:rsidRPr="0055490A">
        <w:t>s</w:t>
      </w:r>
      <w:r w:rsidRPr="0055490A">
        <w:t>eries</w:t>
      </w:r>
      <w:r w:rsidR="00DF5787" w:rsidRPr="0055490A">
        <w:t>-</w:t>
      </w:r>
      <w:r w:rsidRPr="0055490A">
        <w:t xml:space="preserve">A round and were now looking to raise an additional £25 million in a </w:t>
      </w:r>
      <w:r w:rsidR="00DF5787" w:rsidRPr="0055490A">
        <w:t>s</w:t>
      </w:r>
      <w:r w:rsidRPr="0055490A">
        <w:t>eries</w:t>
      </w:r>
      <w:r w:rsidR="00DF5787" w:rsidRPr="0055490A">
        <w:t>-</w:t>
      </w:r>
      <w:r w:rsidRPr="0055490A">
        <w:t xml:space="preserve">B round. Down the road, the cap table assumed another £50 million would be raised in a </w:t>
      </w:r>
      <w:r w:rsidR="00DF5787" w:rsidRPr="0055490A">
        <w:t>s</w:t>
      </w:r>
      <w:r w:rsidRPr="0055490A">
        <w:t>eries</w:t>
      </w:r>
      <w:r w:rsidR="00DF5787" w:rsidRPr="0055490A">
        <w:t>-</w:t>
      </w:r>
      <w:r w:rsidRPr="0055490A">
        <w:t xml:space="preserve">C round, implying an equity valuation of the firm of £250 million. </w:t>
      </w:r>
      <w:r w:rsidRPr="0055490A">
        <w:lastRenderedPageBreak/>
        <w:t>Assuming the company could be taken public at this valuation in 2020, this forecast equated to a valuation of only 0.6</w:t>
      </w:r>
      <w:r w:rsidR="00DF5787" w:rsidRPr="0055490A">
        <w:t xml:space="preserve"> times the</w:t>
      </w:r>
      <w:r w:rsidRPr="0055490A">
        <w:t xml:space="preserve"> </w:t>
      </w:r>
      <w:r w:rsidR="00DF5787" w:rsidRPr="0055490A">
        <w:t>e</w:t>
      </w:r>
      <w:r w:rsidRPr="0055490A">
        <w:t xml:space="preserve">nterprise </w:t>
      </w:r>
      <w:r w:rsidR="00DF5787" w:rsidRPr="0055490A">
        <w:t>v</w:t>
      </w:r>
      <w:r w:rsidRPr="0055490A">
        <w:t>alue-to-</w:t>
      </w:r>
      <w:r w:rsidR="00DF5787" w:rsidRPr="0055490A">
        <w:t>s</w:t>
      </w:r>
      <w:r w:rsidRPr="0055490A">
        <w:t>ales (assuming no debt) and 3.5</w:t>
      </w:r>
      <w:r w:rsidR="007222A5" w:rsidRPr="0055490A">
        <w:t xml:space="preserve"> </w:t>
      </w:r>
      <w:r w:rsidR="00DF5787" w:rsidRPr="0055490A">
        <w:t>times</w:t>
      </w:r>
      <w:r w:rsidR="007222A5" w:rsidRPr="0055490A">
        <w:t xml:space="preserve"> the</w:t>
      </w:r>
      <w:r w:rsidRPr="0055490A">
        <w:t xml:space="preserve"> </w:t>
      </w:r>
      <w:r w:rsidR="00DF5787" w:rsidRPr="0055490A">
        <w:t>p</w:t>
      </w:r>
      <w:r w:rsidRPr="0055490A">
        <w:t>rice-to-</w:t>
      </w:r>
      <w:r w:rsidR="00DF5787" w:rsidRPr="0055490A">
        <w:t>e</w:t>
      </w:r>
      <w:r w:rsidRPr="0055490A">
        <w:t>arnings. McCarthy thought this valuation seemed very conservative, but wondered what it would look like if sales and net margins were lower than forecast.</w:t>
      </w:r>
    </w:p>
    <w:p w14:paraId="50B09682" w14:textId="77777777" w:rsidR="00831936" w:rsidRPr="00647A5C" w:rsidRDefault="00831936" w:rsidP="0055490A">
      <w:pPr>
        <w:pStyle w:val="BodyTextMain"/>
        <w:rPr>
          <w:sz w:val="16"/>
          <w:szCs w:val="16"/>
        </w:rPr>
      </w:pPr>
    </w:p>
    <w:p w14:paraId="218AD89D" w14:textId="77777777" w:rsidR="00831936" w:rsidRPr="00647A5C" w:rsidRDefault="00831936" w:rsidP="0055490A">
      <w:pPr>
        <w:pStyle w:val="BodyTextMain"/>
        <w:rPr>
          <w:sz w:val="16"/>
          <w:szCs w:val="16"/>
        </w:rPr>
      </w:pPr>
    </w:p>
    <w:p w14:paraId="66A4BB47" w14:textId="77777777" w:rsidR="00831936" w:rsidRPr="0055490A" w:rsidRDefault="00831936" w:rsidP="0055490A">
      <w:pPr>
        <w:pStyle w:val="Casehead1"/>
        <w:rPr>
          <w:rFonts w:eastAsia="Arial Unicode MS"/>
        </w:rPr>
      </w:pPr>
      <w:r w:rsidRPr="0055490A">
        <w:rPr>
          <w:rFonts w:eastAsia="Arial Unicode MS"/>
        </w:rPr>
        <w:t>MCCARTHY’s CANDID LETTER TO Elixir’s CHAIRMAN</w:t>
      </w:r>
    </w:p>
    <w:p w14:paraId="58B16E21" w14:textId="77777777" w:rsidR="00831936" w:rsidRPr="00647A5C" w:rsidRDefault="00831936" w:rsidP="0055490A">
      <w:pPr>
        <w:pStyle w:val="BodyTextMain"/>
        <w:rPr>
          <w:sz w:val="16"/>
          <w:szCs w:val="16"/>
        </w:rPr>
      </w:pPr>
    </w:p>
    <w:p w14:paraId="29DAD1F0" w14:textId="5F6B5201" w:rsidR="00831936" w:rsidRPr="0055490A" w:rsidRDefault="00831936" w:rsidP="0055490A">
      <w:pPr>
        <w:pStyle w:val="BodyTextMain"/>
      </w:pPr>
      <w:r w:rsidRPr="0055490A">
        <w:t xml:space="preserve">Having spent the better part of the summer thinking about the opportunity, meeting with Elixir management, and visiting some partner banks, Smithson and Lester proposed that McCarthy sign a “Success Fee Agreement” whereby he would become actively engaged in business development and would be paid a fee for recruiting banks to the Elixir network. In essence, McCarthy would become an independent contractor who would provide advisory and representation services to Elixir. </w:t>
      </w:r>
    </w:p>
    <w:p w14:paraId="4AB4B7E2" w14:textId="77777777" w:rsidR="00831936" w:rsidRPr="00647A5C" w:rsidRDefault="00831936" w:rsidP="0055490A">
      <w:pPr>
        <w:pStyle w:val="BodyTextMain"/>
        <w:rPr>
          <w:sz w:val="16"/>
          <w:szCs w:val="16"/>
        </w:rPr>
      </w:pPr>
    </w:p>
    <w:p w14:paraId="11FF2ED3" w14:textId="23576997" w:rsidR="00831936" w:rsidRPr="0055490A" w:rsidRDefault="00831936" w:rsidP="0055490A">
      <w:pPr>
        <w:pStyle w:val="BodyTextMain"/>
      </w:pPr>
      <w:r w:rsidRPr="0055490A">
        <w:t>As he contemplated th</w:t>
      </w:r>
      <w:r w:rsidR="00236B20" w:rsidRPr="0055490A">
        <w:t>e</w:t>
      </w:r>
      <w:r w:rsidRPr="0055490A">
        <w:t xml:space="preserve"> offer, McCarthy decided to write a candid letter </w:t>
      </w:r>
      <w:r w:rsidR="00236B20" w:rsidRPr="0055490A">
        <w:t xml:space="preserve">to Elixir’s chairman </w:t>
      </w:r>
      <w:r w:rsidRPr="0055490A">
        <w:t xml:space="preserve">on August 19, 2016, setting out his thoughts: </w:t>
      </w:r>
    </w:p>
    <w:p w14:paraId="05B40057" w14:textId="77777777" w:rsidR="00831936" w:rsidRPr="00647A5C" w:rsidRDefault="00831936" w:rsidP="0055490A">
      <w:pPr>
        <w:pStyle w:val="BodyTextMain"/>
        <w:rPr>
          <w:sz w:val="16"/>
          <w:szCs w:val="16"/>
        </w:rPr>
      </w:pPr>
    </w:p>
    <w:p w14:paraId="657DB91C" w14:textId="6B7A87A4" w:rsidR="00831936" w:rsidRPr="00831936" w:rsidRDefault="00831936" w:rsidP="0055490A">
      <w:pPr>
        <w:pStyle w:val="BodyTextMain"/>
        <w:ind w:left="720"/>
        <w:rPr>
          <w:u w:color="000000"/>
          <w:bdr w:val="nil"/>
          <w:lang w:val="en-CA" w:eastAsia="en-CA"/>
        </w:rPr>
      </w:pPr>
      <w:r w:rsidRPr="00831936">
        <w:rPr>
          <w:u w:color="000000"/>
          <w:bdr w:val="nil"/>
          <w:lang w:val="en-CA" w:eastAsia="en-CA"/>
        </w:rPr>
        <w:t>Susan</w:t>
      </w:r>
      <w:r w:rsidR="00236B20">
        <w:rPr>
          <w:rFonts w:eastAsia="Arial Unicode MS"/>
          <w:u w:color="000000"/>
          <w:bdr w:val="nil"/>
          <w:lang w:val="en-CA" w:eastAsia="en-CA"/>
        </w:rPr>
        <w:t>—</w:t>
      </w:r>
      <w:r w:rsidRPr="00831936">
        <w:rPr>
          <w:u w:color="000000"/>
          <w:bdr w:val="nil"/>
          <w:lang w:val="en-CA" w:eastAsia="en-CA"/>
        </w:rPr>
        <w:t>further to our chat in Hong Kong, here is a more fulsome discussion of my thoughts on working as part of the Elixir team.</w:t>
      </w:r>
    </w:p>
    <w:p w14:paraId="23334728" w14:textId="77777777" w:rsidR="00831936" w:rsidRPr="00647A5C" w:rsidRDefault="00831936" w:rsidP="0055490A">
      <w:pPr>
        <w:pStyle w:val="BodyTextMain"/>
        <w:ind w:left="720"/>
        <w:rPr>
          <w:sz w:val="16"/>
          <w:szCs w:val="16"/>
          <w:u w:color="000000"/>
          <w:bdr w:val="nil"/>
          <w:lang w:val="en-CA" w:eastAsia="en-CA"/>
        </w:rPr>
      </w:pPr>
    </w:p>
    <w:p w14:paraId="013D9729" w14:textId="343020D2" w:rsidR="00831936" w:rsidRPr="00831936" w:rsidRDefault="00831936" w:rsidP="0055490A">
      <w:pPr>
        <w:pStyle w:val="BodyTextMain"/>
        <w:ind w:left="720"/>
        <w:rPr>
          <w:u w:color="000000"/>
          <w:bdr w:val="nil"/>
          <w:lang w:val="en-CA" w:eastAsia="en-CA"/>
        </w:rPr>
      </w:pPr>
      <w:r w:rsidRPr="00831936">
        <w:rPr>
          <w:u w:color="000000"/>
          <w:bdr w:val="nil"/>
          <w:lang w:val="en-CA" w:eastAsia="en-CA"/>
        </w:rPr>
        <w:t>First of all, I’m very interested in getting further involved. I find the project stimulating, and am comfortable with what I have seen on how Elixir has progressed to</w:t>
      </w:r>
      <w:r w:rsidR="00236B20">
        <w:rPr>
          <w:u w:color="000000"/>
          <w:bdr w:val="nil"/>
          <w:lang w:val="en-CA" w:eastAsia="en-CA"/>
        </w:rPr>
        <w:t xml:space="preserve"> </w:t>
      </w:r>
      <w:r w:rsidRPr="00831936">
        <w:rPr>
          <w:u w:color="000000"/>
          <w:bdr w:val="nil"/>
          <w:lang w:val="en-CA" w:eastAsia="en-CA"/>
        </w:rPr>
        <w:t>date. There is much that Elixir is involved in that is familiar to me from a financial product perspective and from a more general “financial services in Asia” perspective. I can see some familiar challenges and opportunities, and some new ones that arise because Elixir is a very different organization at a very different stage of development than a big bank</w:t>
      </w:r>
      <w:r w:rsidR="00236B20">
        <w:rPr>
          <w:u w:color="000000"/>
          <w:bdr w:val="nil"/>
          <w:lang w:val="en-CA" w:eastAsia="en-CA"/>
        </w:rPr>
        <w:t>,</w:t>
      </w:r>
      <w:r w:rsidRPr="00831936">
        <w:rPr>
          <w:u w:color="000000"/>
          <w:bdr w:val="nil"/>
          <w:lang w:val="en-CA" w:eastAsia="en-CA"/>
        </w:rPr>
        <w:t xml:space="preserve"> where I have spent my career. </w:t>
      </w:r>
    </w:p>
    <w:p w14:paraId="32DCBA44" w14:textId="77777777" w:rsidR="00831936" w:rsidRPr="00647A5C" w:rsidRDefault="00831936" w:rsidP="0055490A">
      <w:pPr>
        <w:pStyle w:val="BodyTextMain"/>
        <w:ind w:left="720"/>
        <w:rPr>
          <w:sz w:val="16"/>
          <w:szCs w:val="16"/>
          <w:u w:color="000000"/>
          <w:bdr w:val="nil"/>
          <w:lang w:val="en-CA" w:eastAsia="en-CA"/>
        </w:rPr>
      </w:pPr>
    </w:p>
    <w:p w14:paraId="58E28949" w14:textId="731B95E0" w:rsidR="00831936" w:rsidRPr="00831936" w:rsidRDefault="00831936" w:rsidP="0055490A">
      <w:pPr>
        <w:pStyle w:val="BodyTextMain"/>
        <w:ind w:left="720"/>
        <w:rPr>
          <w:u w:color="000000"/>
          <w:bdr w:val="nil"/>
          <w:lang w:val="en-CA" w:eastAsia="en-CA"/>
        </w:rPr>
      </w:pPr>
      <w:r w:rsidRPr="00831936">
        <w:rPr>
          <w:u w:color="000000"/>
          <w:bdr w:val="nil"/>
          <w:lang w:val="en-CA" w:eastAsia="en-CA"/>
        </w:rPr>
        <w:t xml:space="preserve">I am prepared to commit on average </w:t>
      </w:r>
      <w:r w:rsidR="00236B20">
        <w:rPr>
          <w:u w:color="000000"/>
          <w:bdr w:val="nil"/>
          <w:lang w:val="en-CA" w:eastAsia="en-CA"/>
        </w:rPr>
        <w:t>two</w:t>
      </w:r>
      <w:r w:rsidRPr="00831936">
        <w:rPr>
          <w:u w:color="000000"/>
          <w:bdr w:val="nil"/>
          <w:lang w:val="en-CA" w:eastAsia="en-CA"/>
        </w:rPr>
        <w:t xml:space="preserve"> days a week, or 40</w:t>
      </w:r>
      <w:r w:rsidR="00236B20">
        <w:rPr>
          <w:u w:color="000000"/>
          <w:bdr w:val="nil"/>
          <w:lang w:val="en-CA" w:eastAsia="en-CA"/>
        </w:rPr>
        <w:t xml:space="preserve"> per cent</w:t>
      </w:r>
      <w:r w:rsidRPr="00831936">
        <w:rPr>
          <w:u w:color="000000"/>
          <w:bdr w:val="nil"/>
          <w:lang w:val="en-CA" w:eastAsia="en-CA"/>
        </w:rPr>
        <w:t xml:space="preserve"> of my working time. </w:t>
      </w:r>
      <w:r w:rsidR="004E60A8">
        <w:rPr>
          <w:u w:color="000000"/>
          <w:bdr w:val="nil"/>
          <w:lang w:val="en-CA" w:eastAsia="en-CA"/>
        </w:rPr>
        <w:t>W</w:t>
      </w:r>
      <w:r w:rsidRPr="00831936">
        <w:rPr>
          <w:u w:color="000000"/>
          <w:bdr w:val="nil"/>
          <w:lang w:val="en-CA" w:eastAsia="en-CA"/>
        </w:rPr>
        <w:t xml:space="preserve">ith appropriate planning, I am willing to work full-time for defined periods, particularly if there is a specific project or initiative that needs my attention and takes me on the road outside Hong Kong. </w:t>
      </w:r>
    </w:p>
    <w:p w14:paraId="70CE1357" w14:textId="77777777" w:rsidR="00CE42B3" w:rsidRPr="00647A5C" w:rsidRDefault="00CE42B3" w:rsidP="0055490A">
      <w:pPr>
        <w:pStyle w:val="BodyTextMain"/>
        <w:ind w:left="720"/>
        <w:rPr>
          <w:sz w:val="16"/>
          <w:szCs w:val="16"/>
          <w:u w:color="000000"/>
          <w:bdr w:val="nil"/>
          <w:lang w:val="en-CA" w:eastAsia="en-CA"/>
        </w:rPr>
      </w:pPr>
    </w:p>
    <w:p w14:paraId="3D12034C" w14:textId="045194E9" w:rsidR="00831936" w:rsidRPr="00831936" w:rsidRDefault="00831936" w:rsidP="0055490A">
      <w:pPr>
        <w:pStyle w:val="BodyTextMain"/>
        <w:ind w:left="720"/>
        <w:rPr>
          <w:u w:color="000000"/>
          <w:bdr w:val="nil"/>
          <w:lang w:val="en-CA" w:eastAsia="en-CA"/>
        </w:rPr>
      </w:pPr>
      <w:r w:rsidRPr="00831936">
        <w:rPr>
          <w:u w:color="000000"/>
          <w:bdr w:val="nil"/>
          <w:lang w:val="en-CA" w:eastAsia="en-CA"/>
        </w:rPr>
        <w:t>In terms of compensation, I would like to propose that I join Elixir and work with the team for compensation that is 40</w:t>
      </w:r>
      <w:r w:rsidR="00236B20">
        <w:rPr>
          <w:u w:color="000000"/>
          <w:bdr w:val="nil"/>
          <w:lang w:val="en-CA" w:eastAsia="en-CA"/>
        </w:rPr>
        <w:t xml:space="preserve"> per cent</w:t>
      </w:r>
      <w:r w:rsidRPr="00831936">
        <w:rPr>
          <w:u w:color="000000"/>
          <w:bdr w:val="nil"/>
          <w:lang w:val="en-CA" w:eastAsia="en-CA"/>
        </w:rPr>
        <w:t xml:space="preserve"> in equity (at an agreed valuation) and 60</w:t>
      </w:r>
      <w:r w:rsidR="00236B20">
        <w:rPr>
          <w:u w:color="000000"/>
          <w:bdr w:val="nil"/>
          <w:lang w:val="en-CA" w:eastAsia="en-CA"/>
        </w:rPr>
        <w:t xml:space="preserve"> per cent</w:t>
      </w:r>
      <w:r w:rsidRPr="00831936">
        <w:rPr>
          <w:u w:color="000000"/>
          <w:bdr w:val="nil"/>
          <w:lang w:val="en-CA" w:eastAsia="en-CA"/>
        </w:rPr>
        <w:t xml:space="preserve"> in cash. I would bill and be compensated by Elixir on a monthly basis. In addition, I would submit bi-weekly expense statements for travel, accommodation, and miscellaneous Elixir-related expenditures.</w:t>
      </w:r>
    </w:p>
    <w:p w14:paraId="77154C5A" w14:textId="77777777" w:rsidR="00831936" w:rsidRPr="00647A5C" w:rsidRDefault="00831936" w:rsidP="0055490A">
      <w:pPr>
        <w:pStyle w:val="BodyTextMain"/>
        <w:rPr>
          <w:sz w:val="16"/>
          <w:szCs w:val="16"/>
        </w:rPr>
      </w:pPr>
    </w:p>
    <w:p w14:paraId="071F1F6C" w14:textId="77777777" w:rsidR="00831936" w:rsidRPr="00647A5C" w:rsidRDefault="00831936" w:rsidP="0055490A">
      <w:pPr>
        <w:pStyle w:val="BodyTextMain"/>
        <w:rPr>
          <w:sz w:val="16"/>
          <w:szCs w:val="16"/>
        </w:rPr>
      </w:pPr>
    </w:p>
    <w:p w14:paraId="50051620" w14:textId="77777777" w:rsidR="00831936" w:rsidRPr="0055490A" w:rsidRDefault="00831936" w:rsidP="006201A4">
      <w:pPr>
        <w:pStyle w:val="Casehead1"/>
        <w:keepNext/>
        <w:rPr>
          <w:rFonts w:eastAsia="Arial Unicode MS"/>
        </w:rPr>
      </w:pPr>
      <w:r w:rsidRPr="0055490A">
        <w:rPr>
          <w:rFonts w:eastAsia="Arial Unicode MS"/>
        </w:rPr>
        <w:t>The DECISION</w:t>
      </w:r>
    </w:p>
    <w:p w14:paraId="6E2EA3B0" w14:textId="77777777" w:rsidR="00831936" w:rsidRPr="00647A5C" w:rsidRDefault="00831936" w:rsidP="006201A4">
      <w:pPr>
        <w:pStyle w:val="BodyTextMain"/>
        <w:keepNext/>
        <w:rPr>
          <w:sz w:val="16"/>
          <w:szCs w:val="16"/>
        </w:rPr>
      </w:pPr>
    </w:p>
    <w:p w14:paraId="77F97C40" w14:textId="4794C227" w:rsidR="00A63A23" w:rsidRDefault="00831936" w:rsidP="0055490A">
      <w:pPr>
        <w:pStyle w:val="BodyTextMain"/>
      </w:pPr>
      <w:r w:rsidRPr="0055490A">
        <w:t xml:space="preserve">Having sent his letter to Lester, McCarthy sat back and waited for </w:t>
      </w:r>
      <w:r w:rsidR="00C266DB" w:rsidRPr="0055490A">
        <w:t>a</w:t>
      </w:r>
      <w:r w:rsidRPr="0055490A">
        <w:t xml:space="preserve"> response. No doubt </w:t>
      </w:r>
      <w:r w:rsidR="00C266DB" w:rsidRPr="0055490A">
        <w:t>Lester</w:t>
      </w:r>
      <w:r w:rsidRPr="0055490A">
        <w:t xml:space="preserve"> would have to discuss it with Smithson and the executive team at Elixir, which would take a few days. McCarthy had other activities to keep him busy, as he was training for Oxfam </w:t>
      </w:r>
      <w:proofErr w:type="spellStart"/>
      <w:r w:rsidRPr="0055490A">
        <w:t>Trailwalker</w:t>
      </w:r>
      <w:proofErr w:type="spellEnd"/>
      <w:r w:rsidR="00C266DB" w:rsidRPr="0055490A">
        <w:t xml:space="preserve"> in Hong Kong—</w:t>
      </w:r>
      <w:r w:rsidRPr="0055490A">
        <w:t xml:space="preserve">an iconic 100-kilometre trail race along the hilly </w:t>
      </w:r>
      <w:proofErr w:type="spellStart"/>
      <w:r w:rsidRPr="0055490A">
        <w:t>MacLehose</w:t>
      </w:r>
      <w:proofErr w:type="spellEnd"/>
      <w:r w:rsidRPr="0055490A">
        <w:t xml:space="preserve"> Trail.</w:t>
      </w:r>
      <w:r w:rsidRPr="00C22C54">
        <w:rPr>
          <w:vertAlign w:val="superscript"/>
        </w:rPr>
        <w:footnoteReference w:id="13"/>
      </w:r>
      <w:r w:rsidRPr="0055490A">
        <w:t xml:space="preserve"> Before heading out on a training run, McCarthy saw his cell phone light up. </w:t>
      </w:r>
    </w:p>
    <w:p w14:paraId="5DFF193F" w14:textId="736888CB" w:rsidR="00A63A23" w:rsidRPr="00647A5C" w:rsidRDefault="00A63A23" w:rsidP="0055490A">
      <w:pPr>
        <w:pStyle w:val="BodyTextMain"/>
        <w:rPr>
          <w:sz w:val="16"/>
          <w:szCs w:val="16"/>
        </w:rPr>
      </w:pPr>
    </w:p>
    <w:p w14:paraId="2CB593D9" w14:textId="0C54C112" w:rsidR="00831936" w:rsidRDefault="00656BF7" w:rsidP="0055490A">
      <w:pPr>
        <w:pStyle w:val="BodyTextMain"/>
      </w:pPr>
      <w:r w:rsidRPr="00831936">
        <w:rPr>
          <w:rFonts w:eastAsia="Arial Unicode MS"/>
          <w:b/>
          <w:noProof/>
          <w:sz w:val="24"/>
          <w:szCs w:val="24"/>
          <w:bdr w:val="nil"/>
        </w:rPr>
        <mc:AlternateContent>
          <mc:Choice Requires="wps">
            <w:drawing>
              <wp:anchor distT="45720" distB="45720" distL="114300" distR="114300" simplePos="0" relativeHeight="251659264" behindDoc="0" locked="0" layoutInCell="1" allowOverlap="1" wp14:anchorId="5B06FBAC" wp14:editId="2A7F839E">
                <wp:simplePos x="0" y="0"/>
                <wp:positionH relativeFrom="margin">
                  <wp:align>center</wp:align>
                </wp:positionH>
                <wp:positionV relativeFrom="paragraph">
                  <wp:posOffset>299085</wp:posOffset>
                </wp:positionV>
                <wp:extent cx="5657850" cy="42164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421640"/>
                        </a:xfrm>
                        <a:prstGeom prst="rect">
                          <a:avLst/>
                        </a:prstGeom>
                        <a:solidFill>
                          <a:srgbClr val="FFFFFF"/>
                        </a:solidFill>
                        <a:ln w="9525">
                          <a:solidFill>
                            <a:srgbClr val="000000"/>
                          </a:solidFill>
                          <a:miter lim="800000"/>
                          <a:headEnd/>
                          <a:tailEnd/>
                        </a:ln>
                      </wps:spPr>
                      <wps:txbx>
                        <w:txbxContent>
                          <w:p w14:paraId="59696F58" w14:textId="7D5A8EE1" w:rsidR="009A5AD6" w:rsidRPr="00656BF7" w:rsidRDefault="009A5AD6" w:rsidP="00656BF7">
                            <w:pPr>
                              <w:pStyle w:val="Footnote"/>
                              <w:rPr>
                                <w:spacing w:val="-4"/>
                                <w:kern w:val="17"/>
                              </w:rPr>
                            </w:pPr>
                            <w:bookmarkStart w:id="0" w:name="_GoBack"/>
                            <w:r w:rsidRPr="00656BF7">
                              <w:rPr>
                                <w:spacing w:val="-4"/>
                                <w:kern w:val="17"/>
                              </w:rPr>
                              <w:t>Thank</w:t>
                            </w:r>
                            <w:r w:rsidR="00292ABD" w:rsidRPr="00656BF7">
                              <w:rPr>
                                <w:spacing w:val="-4"/>
                                <w:kern w:val="17"/>
                              </w:rPr>
                              <w:t>s go</w:t>
                            </w:r>
                            <w:r w:rsidRPr="00656BF7">
                              <w:rPr>
                                <w:spacing w:val="-4"/>
                                <w:kern w:val="17"/>
                              </w:rPr>
                              <w:t xml:space="preserve"> to Professor Diane-Laure Arjalies at Ivey Business School for sharing her knowledge of social finance</w:t>
                            </w:r>
                            <w:r w:rsidR="0055490A" w:rsidRPr="00656BF7">
                              <w:rPr>
                                <w:spacing w:val="-4"/>
                                <w:kern w:val="17"/>
                              </w:rPr>
                              <w:t xml:space="preserve">. </w:t>
                            </w:r>
                            <w:r w:rsidR="00656BF7" w:rsidRPr="00656BF7">
                              <w:t xml:space="preserve">The Ivey Business School gratefully acknowledges the generous support of Dr. Henry Cheng and Dr. Simon </w:t>
                            </w:r>
                            <w:proofErr w:type="spellStart"/>
                            <w:r w:rsidR="00656BF7" w:rsidRPr="00656BF7">
                              <w:t>Cua</w:t>
                            </w:r>
                            <w:proofErr w:type="spellEnd"/>
                            <w:r w:rsidR="00656BF7" w:rsidRPr="00656BF7">
                              <w:t xml:space="preserve"> through the Ivey Case Center (Asia) in the development of this case</w:t>
                            </w:r>
                            <w:r w:rsidR="00656BF7">
                              <w:t xml:space="preserve">, and </w:t>
                            </w:r>
                            <w:r w:rsidR="006201A4" w:rsidRPr="00656BF7">
                              <w:rPr>
                                <w:spacing w:val="-4"/>
                                <w:kern w:val="17"/>
                              </w:rPr>
                              <w:t xml:space="preserve">the </w:t>
                            </w:r>
                            <w:r w:rsidRPr="00656BF7">
                              <w:rPr>
                                <w:spacing w:val="-4"/>
                                <w:kern w:val="17"/>
                              </w:rPr>
                              <w:t xml:space="preserve">financial support </w:t>
                            </w:r>
                            <w:r w:rsidR="006201A4" w:rsidRPr="00656BF7">
                              <w:rPr>
                                <w:spacing w:val="-4"/>
                                <w:kern w:val="17"/>
                              </w:rPr>
                              <w:t>provided by</w:t>
                            </w:r>
                            <w:r w:rsidRPr="00656BF7">
                              <w:rPr>
                                <w:spacing w:val="-4"/>
                                <w:kern w:val="17"/>
                              </w:rPr>
                              <w:t xml:space="preserve"> the Tangerine Chair in Finance and the Scotiabank Digital Banking Lab at Ivey Business School.</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06FBAC" id="_x0000_t202" coordsize="21600,21600" o:spt="202" path="m,l,21600r21600,l21600,xe">
                <v:stroke joinstyle="miter"/>
                <v:path gradientshapeok="t" o:connecttype="rect"/>
              </v:shapetype>
              <v:shape id="Text Box 2" o:spid="_x0000_s1026" type="#_x0000_t202" style="position:absolute;left:0;text-align:left;margin-left:0;margin-top:23.55pt;width:445.5pt;height:33.2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rf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">
                <v:textbox style="mso-fit-shape-to-text:t">
                  <w:txbxContent>
                    <w:p w14:paraId="59696F58" w14:textId="7D5A8EE1" w:rsidR="009A5AD6" w:rsidRPr="00656BF7" w:rsidRDefault="009A5AD6" w:rsidP="00656BF7">
                      <w:pPr>
                        <w:pStyle w:val="Footnote"/>
                        <w:rPr>
                          <w:spacing w:val="-4"/>
                          <w:kern w:val="17"/>
                        </w:rPr>
                      </w:pPr>
                      <w:bookmarkStart w:id="1" w:name="_GoBack"/>
                      <w:r w:rsidRPr="00656BF7">
                        <w:rPr>
                          <w:spacing w:val="-4"/>
                          <w:kern w:val="17"/>
                        </w:rPr>
                        <w:t>Thank</w:t>
                      </w:r>
                      <w:r w:rsidR="00292ABD" w:rsidRPr="00656BF7">
                        <w:rPr>
                          <w:spacing w:val="-4"/>
                          <w:kern w:val="17"/>
                        </w:rPr>
                        <w:t>s go</w:t>
                      </w:r>
                      <w:r w:rsidRPr="00656BF7">
                        <w:rPr>
                          <w:spacing w:val="-4"/>
                          <w:kern w:val="17"/>
                        </w:rPr>
                        <w:t xml:space="preserve"> to Professor Diane-Laure Arjalies at Ivey Business School for sharing her knowledge of social finance</w:t>
                      </w:r>
                      <w:r w:rsidR="0055490A" w:rsidRPr="00656BF7">
                        <w:rPr>
                          <w:spacing w:val="-4"/>
                          <w:kern w:val="17"/>
                        </w:rPr>
                        <w:t xml:space="preserve">. </w:t>
                      </w:r>
                      <w:r w:rsidR="00656BF7" w:rsidRPr="00656BF7">
                        <w:t xml:space="preserve">The Ivey Business School gratefully acknowledges the generous support of Dr. Henry Cheng and Dr. Simon </w:t>
                      </w:r>
                      <w:proofErr w:type="spellStart"/>
                      <w:r w:rsidR="00656BF7" w:rsidRPr="00656BF7">
                        <w:t>Cua</w:t>
                      </w:r>
                      <w:proofErr w:type="spellEnd"/>
                      <w:r w:rsidR="00656BF7" w:rsidRPr="00656BF7">
                        <w:t xml:space="preserve"> through the Ivey Case Center (Asia) in the development of this case</w:t>
                      </w:r>
                      <w:r w:rsidR="00656BF7">
                        <w:t xml:space="preserve">, and </w:t>
                      </w:r>
                      <w:r w:rsidR="006201A4" w:rsidRPr="00656BF7">
                        <w:rPr>
                          <w:spacing w:val="-4"/>
                          <w:kern w:val="17"/>
                        </w:rPr>
                        <w:t xml:space="preserve">the </w:t>
                      </w:r>
                      <w:r w:rsidRPr="00656BF7">
                        <w:rPr>
                          <w:spacing w:val="-4"/>
                          <w:kern w:val="17"/>
                        </w:rPr>
                        <w:t xml:space="preserve">financial support </w:t>
                      </w:r>
                      <w:r w:rsidR="006201A4" w:rsidRPr="00656BF7">
                        <w:rPr>
                          <w:spacing w:val="-4"/>
                          <w:kern w:val="17"/>
                        </w:rPr>
                        <w:t>provided by</w:t>
                      </w:r>
                      <w:r w:rsidRPr="00656BF7">
                        <w:rPr>
                          <w:spacing w:val="-4"/>
                          <w:kern w:val="17"/>
                        </w:rPr>
                        <w:t xml:space="preserve"> the Tangerine Chair in Finance and the Scotiabank Digital Banking Lab at Ivey Business School.</w:t>
                      </w:r>
                      <w:bookmarkEnd w:id="1"/>
                    </w:p>
                  </w:txbxContent>
                </v:textbox>
                <w10:wrap type="square" anchorx="margin"/>
              </v:shape>
            </w:pict>
          </mc:Fallback>
        </mc:AlternateContent>
      </w:r>
      <w:r w:rsidR="00831936" w:rsidRPr="0055490A">
        <w:t xml:space="preserve">The display showed it was </w:t>
      </w:r>
      <w:r w:rsidR="00554CD6" w:rsidRPr="0055490A">
        <w:t>Lester</w:t>
      </w:r>
      <w:r w:rsidR="00831936" w:rsidRPr="0055490A">
        <w:t xml:space="preserve">. </w:t>
      </w:r>
      <w:r w:rsidR="00554CD6" w:rsidRPr="0055490A">
        <w:t>R</w:t>
      </w:r>
      <w:r w:rsidR="00831936" w:rsidRPr="0055490A">
        <w:t>each</w:t>
      </w:r>
      <w:r w:rsidR="00554CD6" w:rsidRPr="0055490A">
        <w:t>ing</w:t>
      </w:r>
      <w:r w:rsidR="00831936" w:rsidRPr="0055490A">
        <w:t xml:space="preserve"> for his phone, McCarthy wondered what she </w:t>
      </w:r>
      <w:r w:rsidR="00D504BB" w:rsidRPr="0055490A">
        <w:t xml:space="preserve">would </w:t>
      </w:r>
      <w:r w:rsidR="00831936" w:rsidRPr="0055490A">
        <w:t xml:space="preserve">say. </w:t>
      </w:r>
      <w:r w:rsidR="00831936">
        <w:br w:type="page"/>
      </w:r>
    </w:p>
    <w:p w14:paraId="4CF5C718" w14:textId="352CCA89" w:rsidR="00831936" w:rsidRPr="00831936" w:rsidRDefault="00831936" w:rsidP="0055490A">
      <w:pPr>
        <w:pStyle w:val="Casehead1"/>
        <w:jc w:val="center"/>
        <w:rPr>
          <w:rFonts w:eastAsia="Arial Unicode MS"/>
          <w:u w:color="000000"/>
          <w:bdr w:val="nil"/>
          <w:shd w:val="clear" w:color="auto" w:fill="FFFF00"/>
          <w:lang w:val="en-CA" w:eastAsia="en-CA"/>
        </w:rPr>
      </w:pPr>
      <w:r w:rsidRPr="00831936">
        <w:rPr>
          <w:rFonts w:eastAsia="Arial Unicode MS"/>
          <w:u w:color="000000"/>
          <w:bdr w:val="nil"/>
          <w:lang w:val="en-CA" w:eastAsia="en-CA"/>
        </w:rPr>
        <w:lastRenderedPageBreak/>
        <w:t>Exhibit 1: ELIXIR’S Market Opportunity in the Philippines</w:t>
      </w:r>
    </w:p>
    <w:p w14:paraId="0BE3C6B4" w14:textId="77777777" w:rsidR="00831936" w:rsidRPr="00831936" w:rsidRDefault="00831936" w:rsidP="0055490A">
      <w:pPr>
        <w:pStyle w:val="BodyTextMain"/>
        <w:rPr>
          <w:rFonts w:eastAsia="Arial Unicode MS"/>
          <w:u w:color="000000"/>
          <w:bdr w:val="nil"/>
          <w:shd w:val="clear" w:color="auto" w:fill="FFFF00"/>
          <w:lang w:val="en-CA" w:eastAsia="en-CA"/>
        </w:rPr>
      </w:pPr>
    </w:p>
    <w:tbl>
      <w:tblPr>
        <w:tblStyle w:val="TableGrid1"/>
        <w:tblW w:w="0" w:type="auto"/>
        <w:jc w:val="center"/>
        <w:tblLook w:val="04A0" w:firstRow="1" w:lastRow="0" w:firstColumn="1" w:lastColumn="0" w:noHBand="0" w:noVBand="1"/>
      </w:tblPr>
      <w:tblGrid>
        <w:gridCol w:w="2605"/>
        <w:gridCol w:w="5490"/>
      </w:tblGrid>
      <w:tr w:rsidR="00831936" w:rsidRPr="00831936" w14:paraId="7643598D" w14:textId="77777777" w:rsidTr="00C31645">
        <w:trPr>
          <w:jc w:val="center"/>
        </w:trPr>
        <w:tc>
          <w:tcPr>
            <w:tcW w:w="2605" w:type="dxa"/>
            <w:vAlign w:val="center"/>
          </w:tcPr>
          <w:p w14:paraId="3C4A98D8" w14:textId="72E34335" w:rsidR="00831936" w:rsidRPr="00831936" w:rsidRDefault="00831936" w:rsidP="00857AF5">
            <w:pPr>
              <w:pStyle w:val="ExhibitText"/>
              <w:jc w:val="left"/>
              <w:rPr>
                <w:rFonts w:eastAsia="Arial Unicode MS"/>
                <w:sz w:val="24"/>
              </w:rPr>
            </w:pPr>
            <w:r w:rsidRPr="00831936">
              <w:rPr>
                <w:rFonts w:eastAsia="Arial Unicode MS"/>
              </w:rPr>
              <w:t xml:space="preserve">Population (2017 </w:t>
            </w:r>
            <w:r w:rsidR="006F75FD">
              <w:rPr>
                <w:rFonts w:eastAsia="Arial Unicode MS"/>
              </w:rPr>
              <w:t>E</w:t>
            </w:r>
            <w:r w:rsidRPr="00831936">
              <w:rPr>
                <w:rFonts w:eastAsia="Arial Unicode MS"/>
              </w:rPr>
              <w:t>st</w:t>
            </w:r>
            <w:r w:rsidR="00236B20">
              <w:rPr>
                <w:rFonts w:eastAsia="Arial Unicode MS"/>
              </w:rPr>
              <w:t>imate</w:t>
            </w:r>
            <w:r w:rsidRPr="00831936">
              <w:rPr>
                <w:rFonts w:eastAsia="Arial Unicode MS"/>
              </w:rPr>
              <w:t>)</w:t>
            </w:r>
          </w:p>
        </w:tc>
        <w:tc>
          <w:tcPr>
            <w:tcW w:w="5490" w:type="dxa"/>
            <w:vAlign w:val="center"/>
          </w:tcPr>
          <w:p w14:paraId="14D66BD1" w14:textId="1396495C" w:rsidR="00831936" w:rsidRPr="00831936" w:rsidRDefault="006F75FD" w:rsidP="00831936">
            <w:pPr>
              <w:pStyle w:val="ExhibitText"/>
              <w:jc w:val="left"/>
              <w:rPr>
                <w:rFonts w:eastAsia="Arial Unicode MS"/>
                <w:sz w:val="24"/>
              </w:rPr>
            </w:pPr>
            <w:r>
              <w:rPr>
                <w:rFonts w:eastAsia="Arial Unicode MS"/>
              </w:rPr>
              <w:t xml:space="preserve">The population of </w:t>
            </w:r>
            <w:r w:rsidR="00831936" w:rsidRPr="00831936">
              <w:rPr>
                <w:rFonts w:eastAsia="Arial Unicode MS"/>
              </w:rPr>
              <w:t>104.3 million</w:t>
            </w:r>
            <w:r>
              <w:rPr>
                <w:rFonts w:eastAsia="Arial Unicode MS"/>
              </w:rPr>
              <w:t xml:space="preserve"> is broken down as follows</w:t>
            </w:r>
            <w:r w:rsidR="00831936" w:rsidRPr="00831936">
              <w:rPr>
                <w:rFonts w:eastAsia="Arial Unicode MS"/>
              </w:rPr>
              <w:t xml:space="preserve">: </w:t>
            </w:r>
            <w:r w:rsidR="00831936" w:rsidRPr="00831936">
              <w:rPr>
                <w:rFonts w:eastAsia="Arial Unicode MS"/>
              </w:rPr>
              <w:br/>
            </w:r>
            <w:r w:rsidR="00831936" w:rsidRPr="00831936">
              <w:rPr>
                <w:rFonts w:eastAsia="Arial Unicode MS"/>
              </w:rPr>
              <w:tab/>
              <w:t>0</w:t>
            </w:r>
            <w:r w:rsidR="00236B20">
              <w:rPr>
                <w:rFonts w:eastAsia="Arial Unicode MS"/>
              </w:rPr>
              <w:t>–</w:t>
            </w:r>
            <w:r w:rsidR="00831936" w:rsidRPr="00831936">
              <w:rPr>
                <w:rFonts w:eastAsia="Arial Unicode MS"/>
              </w:rPr>
              <w:t>14 years</w:t>
            </w:r>
            <w:r>
              <w:rPr>
                <w:rFonts w:eastAsia="Arial Unicode MS"/>
              </w:rPr>
              <w:t>:</w:t>
            </w:r>
            <w:r w:rsidR="00831936" w:rsidRPr="00831936">
              <w:rPr>
                <w:rFonts w:eastAsia="Arial Unicode MS"/>
              </w:rPr>
              <w:t xml:space="preserve"> </w:t>
            </w:r>
            <w:r w:rsidR="00831936" w:rsidRPr="00831936">
              <w:rPr>
                <w:rFonts w:eastAsia="Arial Unicode MS"/>
              </w:rPr>
              <w:tab/>
              <w:t>33.4%</w:t>
            </w:r>
          </w:p>
          <w:p w14:paraId="00F2E023" w14:textId="76D2AE7E" w:rsidR="00831936" w:rsidRPr="00831936" w:rsidRDefault="00831936" w:rsidP="00831936">
            <w:pPr>
              <w:pStyle w:val="ExhibitText"/>
              <w:jc w:val="left"/>
              <w:rPr>
                <w:rFonts w:eastAsia="Arial Unicode MS"/>
                <w:sz w:val="24"/>
              </w:rPr>
            </w:pPr>
            <w:r w:rsidRPr="00831936">
              <w:rPr>
                <w:rFonts w:eastAsia="Arial Unicode MS"/>
              </w:rPr>
              <w:tab/>
              <w:t>15</w:t>
            </w:r>
            <w:r w:rsidR="00236B20">
              <w:rPr>
                <w:rFonts w:eastAsia="Arial Unicode MS"/>
              </w:rPr>
              <w:t>–</w:t>
            </w:r>
            <w:r w:rsidRPr="00831936">
              <w:rPr>
                <w:rFonts w:eastAsia="Arial Unicode MS"/>
              </w:rPr>
              <w:t>24 years</w:t>
            </w:r>
            <w:r w:rsidR="006F75FD">
              <w:rPr>
                <w:rFonts w:eastAsia="Arial Unicode MS"/>
              </w:rPr>
              <w:t>:</w:t>
            </w:r>
            <w:r w:rsidRPr="00831936">
              <w:rPr>
                <w:rFonts w:eastAsia="Arial Unicode MS"/>
              </w:rPr>
              <w:t xml:space="preserve"> </w:t>
            </w:r>
            <w:r w:rsidRPr="00831936">
              <w:rPr>
                <w:rFonts w:eastAsia="Arial Unicode MS"/>
              </w:rPr>
              <w:tab/>
              <w:t>19.2%</w:t>
            </w:r>
          </w:p>
          <w:p w14:paraId="008D3C77" w14:textId="0B7CFD9B" w:rsidR="00831936" w:rsidRPr="00831936" w:rsidRDefault="00831936" w:rsidP="00831936">
            <w:pPr>
              <w:pStyle w:val="ExhibitText"/>
              <w:jc w:val="left"/>
              <w:rPr>
                <w:rFonts w:eastAsia="Arial Unicode MS"/>
                <w:sz w:val="24"/>
              </w:rPr>
            </w:pPr>
            <w:r w:rsidRPr="00831936">
              <w:rPr>
                <w:rFonts w:eastAsia="Arial Unicode MS"/>
              </w:rPr>
              <w:tab/>
              <w:t>25</w:t>
            </w:r>
            <w:r w:rsidR="00236B20">
              <w:rPr>
                <w:rFonts w:eastAsia="Arial Unicode MS"/>
              </w:rPr>
              <w:t>–</w:t>
            </w:r>
            <w:r w:rsidRPr="00831936">
              <w:rPr>
                <w:rFonts w:eastAsia="Arial Unicode MS"/>
              </w:rPr>
              <w:t>54 years</w:t>
            </w:r>
            <w:r w:rsidR="006F75FD">
              <w:rPr>
                <w:rFonts w:eastAsia="Arial Unicode MS"/>
              </w:rPr>
              <w:t>:</w:t>
            </w:r>
            <w:r w:rsidRPr="00831936">
              <w:rPr>
                <w:rFonts w:eastAsia="Arial Unicode MS"/>
              </w:rPr>
              <w:t xml:space="preserve"> </w:t>
            </w:r>
            <w:r w:rsidRPr="00831936">
              <w:rPr>
                <w:rFonts w:eastAsia="Arial Unicode MS"/>
              </w:rPr>
              <w:tab/>
              <w:t>37.0%</w:t>
            </w:r>
          </w:p>
          <w:p w14:paraId="455558FA" w14:textId="5519D117" w:rsidR="00831936" w:rsidRPr="00831936" w:rsidRDefault="00831936" w:rsidP="00831936">
            <w:pPr>
              <w:pStyle w:val="ExhibitText"/>
              <w:jc w:val="left"/>
              <w:rPr>
                <w:rFonts w:eastAsia="Arial Unicode MS"/>
                <w:sz w:val="24"/>
              </w:rPr>
            </w:pPr>
            <w:r w:rsidRPr="00831936">
              <w:rPr>
                <w:rFonts w:eastAsia="Arial Unicode MS"/>
              </w:rPr>
              <w:tab/>
              <w:t>55+ years</w:t>
            </w:r>
            <w:r w:rsidR="006F75FD">
              <w:rPr>
                <w:rFonts w:eastAsia="Arial Unicode MS"/>
              </w:rPr>
              <w:t>:</w:t>
            </w:r>
            <w:r w:rsidRPr="00831936">
              <w:rPr>
                <w:rFonts w:eastAsia="Arial Unicode MS"/>
              </w:rPr>
              <w:t xml:space="preserve"> </w:t>
            </w:r>
            <w:r w:rsidRPr="00831936">
              <w:rPr>
                <w:rFonts w:eastAsia="Arial Unicode MS"/>
              </w:rPr>
              <w:tab/>
              <w:t>10.4%</w:t>
            </w:r>
          </w:p>
        </w:tc>
      </w:tr>
      <w:tr w:rsidR="00831936" w:rsidRPr="00831936" w14:paraId="1334B946" w14:textId="77777777" w:rsidTr="00C31645">
        <w:trPr>
          <w:jc w:val="center"/>
        </w:trPr>
        <w:tc>
          <w:tcPr>
            <w:tcW w:w="2605" w:type="dxa"/>
            <w:vAlign w:val="center"/>
          </w:tcPr>
          <w:p w14:paraId="10CF68F1" w14:textId="35727A03" w:rsidR="00831936" w:rsidRPr="00831936" w:rsidRDefault="00831936" w:rsidP="00096C90">
            <w:pPr>
              <w:pStyle w:val="ExhibitText"/>
              <w:jc w:val="left"/>
              <w:rPr>
                <w:rFonts w:eastAsia="Arial Unicode MS"/>
              </w:rPr>
            </w:pPr>
            <w:r w:rsidRPr="00831936">
              <w:rPr>
                <w:rFonts w:eastAsia="Arial Unicode MS"/>
              </w:rPr>
              <w:t>G</w:t>
            </w:r>
            <w:r w:rsidR="00236B20">
              <w:rPr>
                <w:rFonts w:eastAsia="Arial Unicode MS"/>
              </w:rPr>
              <w:t xml:space="preserve">ross </w:t>
            </w:r>
            <w:r w:rsidR="009A5AD6">
              <w:rPr>
                <w:rFonts w:eastAsia="Arial Unicode MS"/>
              </w:rPr>
              <w:t>D</w:t>
            </w:r>
            <w:r w:rsidR="00236B20">
              <w:rPr>
                <w:rFonts w:eastAsia="Arial Unicode MS"/>
              </w:rPr>
              <w:t xml:space="preserve">omestic </w:t>
            </w:r>
            <w:r w:rsidR="009A5AD6">
              <w:rPr>
                <w:rFonts w:eastAsia="Arial Unicode MS"/>
              </w:rPr>
              <w:t>P</w:t>
            </w:r>
            <w:r w:rsidR="00236B20">
              <w:rPr>
                <w:rFonts w:eastAsia="Arial Unicode MS"/>
              </w:rPr>
              <w:t>roduct</w:t>
            </w:r>
            <w:r w:rsidRPr="00831936">
              <w:rPr>
                <w:rFonts w:eastAsia="Arial Unicode MS"/>
              </w:rPr>
              <w:t xml:space="preserve"> </w:t>
            </w:r>
            <w:r w:rsidR="009A5AD6">
              <w:rPr>
                <w:rFonts w:eastAsia="Arial Unicode MS"/>
              </w:rPr>
              <w:t>C</w:t>
            </w:r>
            <w:r w:rsidRPr="00831936">
              <w:rPr>
                <w:rFonts w:eastAsia="Arial Unicode MS"/>
              </w:rPr>
              <w:t xml:space="preserve">omposition by </w:t>
            </w:r>
            <w:r w:rsidR="009A5AD6">
              <w:rPr>
                <w:rFonts w:eastAsia="Arial Unicode MS"/>
              </w:rPr>
              <w:t>S</w:t>
            </w:r>
            <w:r w:rsidRPr="00831936">
              <w:rPr>
                <w:rFonts w:eastAsia="Arial Unicode MS"/>
              </w:rPr>
              <w:t>ector</w:t>
            </w:r>
          </w:p>
        </w:tc>
        <w:tc>
          <w:tcPr>
            <w:tcW w:w="5490" w:type="dxa"/>
          </w:tcPr>
          <w:p w14:paraId="7FF99C9F" w14:textId="071A1F21" w:rsidR="00831936" w:rsidRPr="00831936" w:rsidRDefault="00831936" w:rsidP="00831936">
            <w:pPr>
              <w:pStyle w:val="ExhibitText"/>
              <w:rPr>
                <w:rFonts w:eastAsia="Arial Unicode MS"/>
              </w:rPr>
            </w:pPr>
            <w:r w:rsidRPr="00831936">
              <w:rPr>
                <w:rFonts w:eastAsia="Arial Unicode MS"/>
              </w:rPr>
              <w:t>Agriculture</w:t>
            </w:r>
            <w:r w:rsidR="006F75FD">
              <w:rPr>
                <w:rFonts w:eastAsia="Arial Unicode MS"/>
              </w:rPr>
              <w:t>:</w:t>
            </w:r>
            <w:r w:rsidRPr="00831936">
              <w:rPr>
                <w:rFonts w:eastAsia="Arial Unicode MS"/>
              </w:rPr>
              <w:t xml:space="preserve"> </w:t>
            </w:r>
            <w:r w:rsidRPr="00831936">
              <w:rPr>
                <w:rFonts w:eastAsia="Arial Unicode MS"/>
              </w:rPr>
              <w:tab/>
              <w:t xml:space="preserve">  9.4%</w:t>
            </w:r>
            <w:r w:rsidRPr="00831936">
              <w:rPr>
                <w:rFonts w:eastAsia="Arial Unicode MS"/>
              </w:rPr>
              <w:br/>
              <w:t>Industry</w:t>
            </w:r>
            <w:r w:rsidR="006F75FD">
              <w:rPr>
                <w:rFonts w:eastAsia="Arial Unicode MS"/>
              </w:rPr>
              <w:t>:</w:t>
            </w:r>
            <w:r w:rsidRPr="00831936">
              <w:rPr>
                <w:rFonts w:eastAsia="Arial Unicode MS"/>
              </w:rPr>
              <w:t xml:space="preserve"> </w:t>
            </w:r>
            <w:r w:rsidRPr="00831936">
              <w:rPr>
                <w:rFonts w:eastAsia="Arial Unicode MS"/>
              </w:rPr>
              <w:tab/>
              <w:t>30.8%</w:t>
            </w:r>
          </w:p>
          <w:p w14:paraId="25FA6D02" w14:textId="1028D702" w:rsidR="00831936" w:rsidRPr="00831936" w:rsidRDefault="00831936" w:rsidP="00831936">
            <w:pPr>
              <w:pStyle w:val="ExhibitText"/>
              <w:rPr>
                <w:rFonts w:eastAsia="Arial Unicode MS"/>
              </w:rPr>
            </w:pPr>
            <w:r w:rsidRPr="00831936">
              <w:rPr>
                <w:rFonts w:eastAsia="Arial Unicode MS"/>
              </w:rPr>
              <w:t>Services</w:t>
            </w:r>
            <w:r w:rsidR="006F75FD">
              <w:rPr>
                <w:rFonts w:eastAsia="Arial Unicode MS"/>
              </w:rPr>
              <w:t>:</w:t>
            </w:r>
            <w:r w:rsidRPr="00831936">
              <w:rPr>
                <w:rFonts w:eastAsia="Arial Unicode MS"/>
              </w:rPr>
              <w:t xml:space="preserve"> </w:t>
            </w:r>
            <w:r w:rsidRPr="00831936">
              <w:rPr>
                <w:rFonts w:eastAsia="Arial Unicode MS"/>
              </w:rPr>
              <w:tab/>
              <w:t>59.8%</w:t>
            </w:r>
          </w:p>
        </w:tc>
      </w:tr>
      <w:tr w:rsidR="00831936" w:rsidRPr="00831936" w14:paraId="0756F067" w14:textId="77777777" w:rsidTr="00C31645">
        <w:trPr>
          <w:jc w:val="center"/>
        </w:trPr>
        <w:tc>
          <w:tcPr>
            <w:tcW w:w="2605" w:type="dxa"/>
            <w:vAlign w:val="center"/>
          </w:tcPr>
          <w:p w14:paraId="68B47A35" w14:textId="77777777" w:rsidR="00831936" w:rsidRPr="00831936" w:rsidRDefault="00831936" w:rsidP="00831936">
            <w:pPr>
              <w:pStyle w:val="ExhibitText"/>
              <w:jc w:val="left"/>
              <w:rPr>
                <w:rFonts w:eastAsia="Arial Unicode MS"/>
                <w:sz w:val="24"/>
              </w:rPr>
            </w:pPr>
            <w:r w:rsidRPr="00831936">
              <w:rPr>
                <w:rFonts w:eastAsia="Arial Unicode MS"/>
              </w:rPr>
              <w:t>Underserved</w:t>
            </w:r>
          </w:p>
        </w:tc>
        <w:tc>
          <w:tcPr>
            <w:tcW w:w="5490" w:type="dxa"/>
          </w:tcPr>
          <w:p w14:paraId="6EC143E7" w14:textId="23B88BD9" w:rsidR="00831936" w:rsidRPr="00831936" w:rsidRDefault="006F75FD" w:rsidP="00857AF5">
            <w:pPr>
              <w:pStyle w:val="ExhibitText"/>
              <w:rPr>
                <w:rFonts w:eastAsia="Arial Unicode MS"/>
                <w:sz w:val="24"/>
              </w:rPr>
            </w:pPr>
            <w:r>
              <w:rPr>
                <w:rFonts w:eastAsia="Arial Unicode MS"/>
              </w:rPr>
              <w:t>The</w:t>
            </w:r>
            <w:r w:rsidR="00CD7D32">
              <w:rPr>
                <w:rFonts w:eastAsia="Arial Unicode MS"/>
              </w:rPr>
              <w:t>re are</w:t>
            </w:r>
            <w:r>
              <w:rPr>
                <w:rFonts w:eastAsia="Arial Unicode MS"/>
              </w:rPr>
              <w:t xml:space="preserve"> </w:t>
            </w:r>
            <w:r w:rsidR="00831936" w:rsidRPr="00831936">
              <w:rPr>
                <w:rFonts w:eastAsia="Arial Unicode MS"/>
              </w:rPr>
              <w:t xml:space="preserve">44 million active adults </w:t>
            </w:r>
            <w:r w:rsidR="0058262B">
              <w:rPr>
                <w:rFonts w:eastAsia="Arial Unicode MS"/>
              </w:rPr>
              <w:t xml:space="preserve">(69%) </w:t>
            </w:r>
            <w:r w:rsidR="00CD7D32">
              <w:rPr>
                <w:rFonts w:eastAsia="Arial Unicode MS"/>
              </w:rPr>
              <w:t xml:space="preserve">who </w:t>
            </w:r>
            <w:r w:rsidR="00831936" w:rsidRPr="00831936">
              <w:rPr>
                <w:rFonts w:eastAsia="Arial Unicode MS"/>
              </w:rPr>
              <w:t>are not participants in the formal financial system</w:t>
            </w:r>
            <w:r w:rsidR="00CD7D32">
              <w:rPr>
                <w:rFonts w:eastAsia="Arial Unicode MS"/>
              </w:rPr>
              <w:t>.</w:t>
            </w:r>
          </w:p>
        </w:tc>
      </w:tr>
      <w:tr w:rsidR="00831936" w:rsidRPr="00831936" w14:paraId="1725806F" w14:textId="77777777" w:rsidTr="00C31645">
        <w:trPr>
          <w:jc w:val="center"/>
        </w:trPr>
        <w:tc>
          <w:tcPr>
            <w:tcW w:w="2605" w:type="dxa"/>
            <w:vAlign w:val="center"/>
          </w:tcPr>
          <w:p w14:paraId="2D516015" w14:textId="77777777" w:rsidR="00831936" w:rsidRPr="00831936" w:rsidRDefault="00831936" w:rsidP="00831936">
            <w:pPr>
              <w:pStyle w:val="ExhibitText"/>
              <w:jc w:val="left"/>
              <w:rPr>
                <w:rFonts w:eastAsia="Arial Unicode MS"/>
              </w:rPr>
            </w:pPr>
            <w:r w:rsidRPr="00831936">
              <w:rPr>
                <w:rFonts w:eastAsia="Arial Unicode MS"/>
              </w:rPr>
              <w:t>Opting Out</w:t>
            </w:r>
          </w:p>
        </w:tc>
        <w:tc>
          <w:tcPr>
            <w:tcW w:w="5490" w:type="dxa"/>
          </w:tcPr>
          <w:p w14:paraId="25DFD61B" w14:textId="79D9CB76" w:rsidR="00831936" w:rsidRPr="00831936" w:rsidRDefault="00831936" w:rsidP="00857AF5">
            <w:pPr>
              <w:pStyle w:val="ExhibitText"/>
              <w:rPr>
                <w:rFonts w:eastAsia="Arial Unicode MS"/>
              </w:rPr>
            </w:pPr>
            <w:r w:rsidRPr="00831936">
              <w:rPr>
                <w:rFonts w:eastAsia="Arial Unicode MS"/>
              </w:rPr>
              <w:t xml:space="preserve">One-third of </w:t>
            </w:r>
            <w:r w:rsidR="00236B20">
              <w:rPr>
                <w:rFonts w:eastAsia="Arial Unicode MS"/>
              </w:rPr>
              <w:t xml:space="preserve">the </w:t>
            </w:r>
            <w:r w:rsidRPr="00831936">
              <w:rPr>
                <w:rFonts w:eastAsia="Arial Unicode MS"/>
              </w:rPr>
              <w:t>population are mille</w:t>
            </w:r>
            <w:r w:rsidR="002B692B">
              <w:rPr>
                <w:rFonts w:eastAsia="Arial Unicode MS"/>
              </w:rPr>
              <w:t>n</w:t>
            </w:r>
            <w:r w:rsidRPr="00831936">
              <w:rPr>
                <w:rFonts w:eastAsia="Arial Unicode MS"/>
              </w:rPr>
              <w:t>nials (20</w:t>
            </w:r>
            <w:r w:rsidR="00236B20">
              <w:rPr>
                <w:rFonts w:eastAsia="Arial Unicode MS"/>
              </w:rPr>
              <w:t>–</w:t>
            </w:r>
            <w:r w:rsidRPr="00831936">
              <w:rPr>
                <w:rFonts w:eastAsia="Arial Unicode MS"/>
              </w:rPr>
              <w:t>35 years old)</w:t>
            </w:r>
            <w:r w:rsidR="009A5AD6">
              <w:rPr>
                <w:rFonts w:eastAsia="Arial Unicode MS"/>
              </w:rPr>
              <w:t>,</w:t>
            </w:r>
            <w:r w:rsidRPr="00831936">
              <w:rPr>
                <w:rFonts w:eastAsia="Arial Unicode MS"/>
              </w:rPr>
              <w:t xml:space="preserve"> driving demand for non-tra</w:t>
            </w:r>
            <w:r w:rsidR="002B692B">
              <w:rPr>
                <w:rFonts w:eastAsia="Arial Unicode MS"/>
              </w:rPr>
              <w:t>d</w:t>
            </w:r>
            <w:r w:rsidRPr="00831936">
              <w:rPr>
                <w:rFonts w:eastAsia="Arial Unicode MS"/>
              </w:rPr>
              <w:t>itional services</w:t>
            </w:r>
            <w:r w:rsidR="00CD7D32">
              <w:rPr>
                <w:rFonts w:eastAsia="Arial Unicode MS"/>
              </w:rPr>
              <w:t>.</w:t>
            </w:r>
          </w:p>
        </w:tc>
      </w:tr>
      <w:tr w:rsidR="00831936" w:rsidRPr="00831936" w14:paraId="4D79DE8B" w14:textId="77777777" w:rsidTr="00C31645">
        <w:trPr>
          <w:jc w:val="center"/>
        </w:trPr>
        <w:tc>
          <w:tcPr>
            <w:tcW w:w="2605" w:type="dxa"/>
            <w:vAlign w:val="center"/>
          </w:tcPr>
          <w:p w14:paraId="14BCE5C3" w14:textId="77777777" w:rsidR="00831936" w:rsidRPr="00831936" w:rsidRDefault="00831936" w:rsidP="00831936">
            <w:pPr>
              <w:pStyle w:val="ExhibitText"/>
              <w:jc w:val="left"/>
              <w:rPr>
                <w:rFonts w:eastAsia="Arial Unicode MS"/>
              </w:rPr>
            </w:pPr>
            <w:r w:rsidRPr="00831936">
              <w:rPr>
                <w:rFonts w:eastAsia="Arial Unicode MS"/>
              </w:rPr>
              <w:t>Connected</w:t>
            </w:r>
          </w:p>
        </w:tc>
        <w:tc>
          <w:tcPr>
            <w:tcW w:w="5490" w:type="dxa"/>
          </w:tcPr>
          <w:p w14:paraId="2DC72F99" w14:textId="2DECA84C" w:rsidR="00831936" w:rsidRPr="00831936" w:rsidRDefault="00CD7D32" w:rsidP="00857AF5">
            <w:pPr>
              <w:pStyle w:val="ExhibitText"/>
              <w:rPr>
                <w:rFonts w:eastAsia="Arial Unicode MS"/>
              </w:rPr>
            </w:pPr>
            <w:r>
              <w:rPr>
                <w:rFonts w:eastAsia="Arial Unicode MS"/>
              </w:rPr>
              <w:t xml:space="preserve">With </w:t>
            </w:r>
            <w:r w:rsidR="00831936" w:rsidRPr="00831936">
              <w:rPr>
                <w:rFonts w:eastAsia="Arial Unicode MS"/>
              </w:rPr>
              <w:t>65% smart</w:t>
            </w:r>
            <w:r>
              <w:rPr>
                <w:rFonts w:eastAsia="Arial Unicode MS"/>
              </w:rPr>
              <w:t xml:space="preserve"> </w:t>
            </w:r>
            <w:r w:rsidR="00831936" w:rsidRPr="00831936">
              <w:rPr>
                <w:rFonts w:eastAsia="Arial Unicode MS"/>
              </w:rPr>
              <w:t>phone penetration</w:t>
            </w:r>
            <w:r>
              <w:rPr>
                <w:rFonts w:eastAsia="Arial Unicode MS"/>
              </w:rPr>
              <w:t>, for</w:t>
            </w:r>
            <w:r w:rsidR="00831936" w:rsidRPr="00831936">
              <w:rPr>
                <w:rFonts w:eastAsia="Arial Unicode MS"/>
              </w:rPr>
              <w:t xml:space="preserve"> </w:t>
            </w:r>
            <w:r w:rsidR="00236B20">
              <w:rPr>
                <w:rFonts w:eastAsia="Arial Unicode MS"/>
              </w:rPr>
              <w:t xml:space="preserve">an </w:t>
            </w:r>
            <w:r w:rsidR="00831936" w:rsidRPr="00831936">
              <w:rPr>
                <w:rFonts w:eastAsia="Arial Unicode MS"/>
              </w:rPr>
              <w:t>average of 2.1 connected devices per person</w:t>
            </w:r>
            <w:r>
              <w:rPr>
                <w:rFonts w:eastAsia="Arial Unicode MS"/>
              </w:rPr>
              <w:t>,</w:t>
            </w:r>
            <w:r w:rsidR="00831936" w:rsidRPr="00831936">
              <w:rPr>
                <w:rFonts w:eastAsia="Arial Unicode MS"/>
              </w:rPr>
              <w:t xml:space="preserve"> </w:t>
            </w:r>
            <w:r>
              <w:rPr>
                <w:rFonts w:eastAsia="Arial Unicode MS"/>
              </w:rPr>
              <w:t xml:space="preserve">this is </w:t>
            </w:r>
            <w:r w:rsidR="00236B20">
              <w:rPr>
                <w:rFonts w:eastAsia="Arial Unicode MS"/>
              </w:rPr>
              <w:t>o</w:t>
            </w:r>
            <w:r w:rsidR="00831936" w:rsidRPr="00831936">
              <w:rPr>
                <w:rFonts w:eastAsia="Arial Unicode MS"/>
              </w:rPr>
              <w:t>ne of</w:t>
            </w:r>
            <w:r w:rsidR="00236B20">
              <w:rPr>
                <w:rFonts w:eastAsia="Arial Unicode MS"/>
              </w:rPr>
              <w:t xml:space="preserve"> the</w:t>
            </w:r>
            <w:r w:rsidR="00831936" w:rsidRPr="00831936">
              <w:rPr>
                <w:rFonts w:eastAsia="Arial Unicode MS"/>
              </w:rPr>
              <w:t xml:space="preserve"> highest per capita usage</w:t>
            </w:r>
            <w:r w:rsidR="00236B20">
              <w:rPr>
                <w:rFonts w:eastAsia="Arial Unicode MS"/>
              </w:rPr>
              <w:t>s</w:t>
            </w:r>
            <w:r w:rsidR="00831936" w:rsidRPr="00831936">
              <w:rPr>
                <w:rFonts w:eastAsia="Arial Unicode MS"/>
              </w:rPr>
              <w:t xml:space="preserve"> of social media in the world</w:t>
            </w:r>
            <w:r w:rsidR="0058262B">
              <w:rPr>
                <w:rFonts w:eastAsia="Arial Unicode MS"/>
              </w:rPr>
              <w:t>—</w:t>
            </w:r>
            <w:r w:rsidR="00236B20">
              <w:rPr>
                <w:rFonts w:eastAsia="Arial Unicode MS"/>
              </w:rPr>
              <w:t xml:space="preserve">an </w:t>
            </w:r>
            <w:r w:rsidR="00831936" w:rsidRPr="00831936">
              <w:rPr>
                <w:rFonts w:eastAsia="Arial Unicode MS"/>
              </w:rPr>
              <w:t>average 53 hours per week</w:t>
            </w:r>
            <w:r>
              <w:rPr>
                <w:rFonts w:eastAsia="Arial Unicode MS"/>
              </w:rPr>
              <w:t>.</w:t>
            </w:r>
          </w:p>
        </w:tc>
      </w:tr>
      <w:tr w:rsidR="00831936" w:rsidRPr="00831936" w14:paraId="589C1ADC" w14:textId="77777777" w:rsidTr="00C31645">
        <w:trPr>
          <w:jc w:val="center"/>
        </w:trPr>
        <w:tc>
          <w:tcPr>
            <w:tcW w:w="2605" w:type="dxa"/>
            <w:vAlign w:val="center"/>
          </w:tcPr>
          <w:p w14:paraId="575B4BCB" w14:textId="77777777" w:rsidR="00831936" w:rsidRPr="00831936" w:rsidRDefault="00831936" w:rsidP="00831936">
            <w:pPr>
              <w:pStyle w:val="ExhibitText"/>
              <w:jc w:val="left"/>
              <w:rPr>
                <w:rFonts w:eastAsia="Arial Unicode MS"/>
              </w:rPr>
            </w:pPr>
            <w:r w:rsidRPr="00831936">
              <w:rPr>
                <w:rFonts w:eastAsia="Arial Unicode MS"/>
              </w:rPr>
              <w:t>Underbanked</w:t>
            </w:r>
          </w:p>
        </w:tc>
        <w:tc>
          <w:tcPr>
            <w:tcW w:w="5490" w:type="dxa"/>
          </w:tcPr>
          <w:p w14:paraId="647787A8" w14:textId="6B013A35" w:rsidR="00831936" w:rsidRPr="00831936" w:rsidRDefault="00CD7D32" w:rsidP="00831936">
            <w:pPr>
              <w:pStyle w:val="ExhibitText"/>
              <w:rPr>
                <w:rFonts w:eastAsia="Arial Unicode MS"/>
              </w:rPr>
            </w:pPr>
            <w:r>
              <w:rPr>
                <w:rFonts w:eastAsia="Arial Unicode MS"/>
              </w:rPr>
              <w:t>There are o</w:t>
            </w:r>
            <w:r w:rsidR="00831936" w:rsidRPr="00831936">
              <w:rPr>
                <w:rFonts w:eastAsia="Arial Unicode MS"/>
              </w:rPr>
              <w:t>nly 8.9 commercial bank branches and 27.2 ATMs per 100,000 people</w:t>
            </w:r>
            <w:r>
              <w:rPr>
                <w:rFonts w:eastAsia="Arial Unicode MS"/>
              </w:rPr>
              <w:t>.</w:t>
            </w:r>
          </w:p>
        </w:tc>
      </w:tr>
      <w:tr w:rsidR="00831936" w:rsidRPr="00831936" w14:paraId="39C2655D" w14:textId="77777777" w:rsidTr="00C31645">
        <w:trPr>
          <w:jc w:val="center"/>
        </w:trPr>
        <w:tc>
          <w:tcPr>
            <w:tcW w:w="2605" w:type="dxa"/>
            <w:vAlign w:val="center"/>
          </w:tcPr>
          <w:p w14:paraId="77BF5A29" w14:textId="77777777" w:rsidR="00831936" w:rsidRPr="00831936" w:rsidRDefault="00831936" w:rsidP="00831936">
            <w:pPr>
              <w:pStyle w:val="ExhibitText"/>
              <w:jc w:val="left"/>
              <w:rPr>
                <w:rFonts w:eastAsia="Arial Unicode MS"/>
              </w:rPr>
            </w:pPr>
            <w:r w:rsidRPr="00831936">
              <w:rPr>
                <w:rFonts w:eastAsia="Arial Unicode MS"/>
              </w:rPr>
              <w:t>Remittances</w:t>
            </w:r>
          </w:p>
        </w:tc>
        <w:tc>
          <w:tcPr>
            <w:tcW w:w="5490" w:type="dxa"/>
          </w:tcPr>
          <w:p w14:paraId="02F2DAD9" w14:textId="4CF1153C" w:rsidR="00831936" w:rsidRPr="00831936" w:rsidRDefault="00831936" w:rsidP="00857AF5">
            <w:pPr>
              <w:pStyle w:val="ExhibitText"/>
              <w:rPr>
                <w:rFonts w:eastAsia="Arial Unicode MS"/>
              </w:rPr>
            </w:pPr>
            <w:r w:rsidRPr="00831936">
              <w:rPr>
                <w:rFonts w:eastAsia="Arial Unicode MS"/>
              </w:rPr>
              <w:t>US</w:t>
            </w:r>
            <w:r w:rsidR="00236B20">
              <w:rPr>
                <w:rFonts w:eastAsia="Arial Unicode MS"/>
              </w:rPr>
              <w:t>$</w:t>
            </w:r>
            <w:r w:rsidRPr="00831936">
              <w:rPr>
                <w:rFonts w:eastAsia="Arial Unicode MS"/>
              </w:rPr>
              <w:t>32.8 billion inflows in remittances annually</w:t>
            </w:r>
            <w:r w:rsidR="00CD7D32">
              <w:rPr>
                <w:rFonts w:eastAsia="Arial Unicode MS"/>
              </w:rPr>
              <w:t>, which is number</w:t>
            </w:r>
            <w:r w:rsidR="00236B20">
              <w:rPr>
                <w:rFonts w:eastAsia="Arial Unicode MS"/>
              </w:rPr>
              <w:t xml:space="preserve"> </w:t>
            </w:r>
            <w:r w:rsidRPr="00831936">
              <w:rPr>
                <w:rFonts w:eastAsia="Arial Unicode MS"/>
              </w:rPr>
              <w:t xml:space="preserve">3 in </w:t>
            </w:r>
            <w:r w:rsidR="00236B20">
              <w:rPr>
                <w:rFonts w:eastAsia="Arial Unicode MS"/>
              </w:rPr>
              <w:t xml:space="preserve">the </w:t>
            </w:r>
            <w:r w:rsidRPr="00831936">
              <w:rPr>
                <w:rFonts w:eastAsia="Arial Unicode MS"/>
              </w:rPr>
              <w:t>world</w:t>
            </w:r>
            <w:r w:rsidR="00CD7D32">
              <w:rPr>
                <w:rFonts w:eastAsia="Arial Unicode MS"/>
              </w:rPr>
              <w:t>,</w:t>
            </w:r>
            <w:r w:rsidRPr="00831936">
              <w:rPr>
                <w:rFonts w:eastAsia="Arial Unicode MS"/>
              </w:rPr>
              <w:t xml:space="preserve"> with </w:t>
            </w:r>
            <w:r w:rsidR="00CD7D32">
              <w:rPr>
                <w:rFonts w:eastAsia="Arial Unicode MS"/>
              </w:rPr>
              <w:t xml:space="preserve">a </w:t>
            </w:r>
            <w:r w:rsidRPr="00831936">
              <w:rPr>
                <w:rFonts w:eastAsia="Arial Unicode MS"/>
              </w:rPr>
              <w:t>5.5%</w:t>
            </w:r>
            <w:r w:rsidR="00236B20">
              <w:rPr>
                <w:rFonts w:eastAsia="Arial Unicode MS"/>
              </w:rPr>
              <w:t xml:space="preserve"> </w:t>
            </w:r>
            <w:r w:rsidRPr="00831936">
              <w:rPr>
                <w:rFonts w:eastAsia="Arial Unicode MS"/>
              </w:rPr>
              <w:t>global share</w:t>
            </w:r>
            <w:r w:rsidR="00CD7D32">
              <w:rPr>
                <w:rFonts w:eastAsia="Arial Unicode MS"/>
              </w:rPr>
              <w:t>.</w:t>
            </w:r>
          </w:p>
        </w:tc>
      </w:tr>
    </w:tbl>
    <w:p w14:paraId="1CBE30A3" w14:textId="77777777" w:rsidR="0055490A" w:rsidRDefault="0055490A" w:rsidP="00831936">
      <w:pPr>
        <w:pStyle w:val="Footnote"/>
        <w:rPr>
          <w:rFonts w:eastAsia="Arial"/>
          <w:u w:color="000000"/>
          <w:bdr w:val="nil"/>
          <w:lang w:val="en-CA" w:eastAsia="en-CA"/>
        </w:rPr>
      </w:pPr>
    </w:p>
    <w:p w14:paraId="3F348080" w14:textId="19C4E1DB" w:rsidR="00236B20" w:rsidRDefault="00236B20" w:rsidP="00831936">
      <w:pPr>
        <w:pStyle w:val="Footnote"/>
        <w:rPr>
          <w:rFonts w:eastAsia="Arial"/>
          <w:u w:color="000000"/>
          <w:bdr w:val="nil"/>
          <w:lang w:val="en-CA" w:eastAsia="en-CA"/>
        </w:rPr>
      </w:pPr>
      <w:r>
        <w:rPr>
          <w:rFonts w:eastAsia="Arial"/>
          <w:u w:color="000000"/>
          <w:bdr w:val="nil"/>
          <w:lang w:val="en-CA" w:eastAsia="en-CA"/>
        </w:rPr>
        <w:t>Note: ATM = automated teller machines</w:t>
      </w:r>
    </w:p>
    <w:p w14:paraId="25C0221F" w14:textId="77777777" w:rsidR="00831936" w:rsidRPr="00831936" w:rsidRDefault="00831936" w:rsidP="00831936">
      <w:pPr>
        <w:pStyle w:val="Footnote"/>
        <w:rPr>
          <w:rFonts w:eastAsia="Arial"/>
          <w:u w:color="000000"/>
          <w:bdr w:val="nil"/>
          <w:lang w:val="en-CA" w:eastAsia="en-CA"/>
        </w:rPr>
      </w:pPr>
      <w:r w:rsidRPr="00831936">
        <w:rPr>
          <w:rFonts w:eastAsia="Arial"/>
          <w:u w:color="000000"/>
          <w:bdr w:val="nil"/>
          <w:lang w:val="en-CA" w:eastAsia="en-CA"/>
        </w:rPr>
        <w:t>Source: CIA World Factbook, The World Bank, Google Consumer Barometer, Philippine Statistics Authority.</w:t>
      </w:r>
    </w:p>
    <w:p w14:paraId="56E9D235" w14:textId="77777777" w:rsidR="00831936" w:rsidRDefault="00831936" w:rsidP="0055490A">
      <w:pPr>
        <w:pStyle w:val="BodyTextMain"/>
        <w:rPr>
          <w:u w:color="000000"/>
          <w:bdr w:val="nil"/>
          <w:lang w:val="en-CA" w:eastAsia="en-CA"/>
        </w:rPr>
      </w:pPr>
    </w:p>
    <w:p w14:paraId="5AF9101D" w14:textId="77777777" w:rsidR="006201A4" w:rsidRDefault="006201A4" w:rsidP="0055490A">
      <w:pPr>
        <w:pStyle w:val="BodyTextMain"/>
        <w:rPr>
          <w:u w:color="000000"/>
          <w:bdr w:val="nil"/>
          <w:lang w:val="en-CA" w:eastAsia="en-CA"/>
        </w:rPr>
      </w:pPr>
    </w:p>
    <w:p w14:paraId="13D0265A" w14:textId="66590DAB" w:rsidR="00831936" w:rsidRDefault="00831936" w:rsidP="0055490A">
      <w:pPr>
        <w:pStyle w:val="Casehead1"/>
        <w:jc w:val="center"/>
        <w:rPr>
          <w:rFonts w:eastAsia="Arial Unicode MS"/>
          <w:u w:color="000000"/>
          <w:bdr w:val="nil"/>
          <w:lang w:val="en-CA" w:eastAsia="en-CA"/>
        </w:rPr>
      </w:pPr>
      <w:r w:rsidRPr="00831936">
        <w:rPr>
          <w:rFonts w:eastAsia="Arial Unicode MS"/>
          <w:u w:color="000000"/>
          <w:bdr w:val="nil"/>
          <w:lang w:val="en-CA" w:eastAsia="en-CA"/>
        </w:rPr>
        <w:t>Exhibit 2: How Millennial Money Works</w:t>
      </w:r>
    </w:p>
    <w:p w14:paraId="0DB55798" w14:textId="016E488B" w:rsidR="009A5AD6" w:rsidRDefault="009A5AD6" w:rsidP="0055490A">
      <w:pPr>
        <w:pStyle w:val="BodyTextMain"/>
        <w:rPr>
          <w:rFonts w:eastAsia="Arial Unicode MS"/>
          <w:u w:color="000000"/>
          <w:bdr w:val="nil"/>
          <w:lang w:val="en-CA" w:eastAsia="en-CA"/>
        </w:rPr>
      </w:pPr>
    </w:p>
    <w:p w14:paraId="7BF3310D" w14:textId="636BE41D" w:rsidR="00C245B9" w:rsidRPr="0055490A" w:rsidRDefault="00C245B9" w:rsidP="00C245B9">
      <w:pPr>
        <w:pStyle w:val="BodyTextMain"/>
        <w:jc w:val="center"/>
        <w:rPr>
          <w:rFonts w:eastAsia="Arial Unicode MS"/>
        </w:rPr>
      </w:pPr>
      <w:r>
        <w:rPr>
          <w:rFonts w:eastAsia="Arial Unicode MS"/>
          <w:noProof/>
        </w:rPr>
        <w:drawing>
          <wp:inline distT="0" distB="0" distL="0" distR="0" wp14:anchorId="4D2DA627" wp14:editId="0DB435DB">
            <wp:extent cx="5508346" cy="3268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5514097" cy="3271758"/>
                    </a:xfrm>
                    <a:prstGeom prst="rect">
                      <a:avLst/>
                    </a:prstGeom>
                    <a:noFill/>
                  </pic:spPr>
                </pic:pic>
              </a:graphicData>
            </a:graphic>
          </wp:inline>
        </w:drawing>
      </w:r>
    </w:p>
    <w:p w14:paraId="6A0A9CF9" w14:textId="4FB94CB6" w:rsidR="00831936" w:rsidRPr="00C31645" w:rsidRDefault="00831936" w:rsidP="00292ABD">
      <w:pPr>
        <w:pStyle w:val="ExhibitText"/>
        <w:rPr>
          <w:rFonts w:eastAsia="Arial"/>
          <w:i/>
          <w:iCs/>
          <w:color w:val="000000"/>
          <w:kern w:val="2"/>
          <w:sz w:val="16"/>
          <w:szCs w:val="16"/>
          <w:u w:color="000000"/>
          <w:bdr w:val="nil"/>
          <w:lang w:val="en-CA" w:eastAsia="en-CA"/>
        </w:rPr>
      </w:pPr>
    </w:p>
    <w:p w14:paraId="5635A0F2" w14:textId="0AB9BEC2" w:rsidR="0058262B" w:rsidRDefault="0058262B" w:rsidP="00831936">
      <w:pPr>
        <w:pStyle w:val="Footnote"/>
        <w:rPr>
          <w:rFonts w:eastAsia="Arial"/>
          <w:u w:color="000000"/>
          <w:bdr w:val="nil"/>
          <w:lang w:val="en-CA" w:eastAsia="en-CA"/>
        </w:rPr>
      </w:pPr>
      <w:r>
        <w:rPr>
          <w:rFonts w:eastAsia="Arial"/>
          <w:u w:color="000000"/>
          <w:bdr w:val="nil"/>
          <w:lang w:val="en-CA" w:eastAsia="en-CA"/>
        </w:rPr>
        <w:t xml:space="preserve">Note: </w:t>
      </w:r>
      <w:r w:rsidRPr="00831936">
        <w:rPr>
          <w:u w:color="000000"/>
          <w:bdr w:val="nil"/>
          <w:lang w:val="en-CA" w:eastAsia="en-CA"/>
        </w:rPr>
        <w:t>£</w:t>
      </w:r>
      <w:r>
        <w:rPr>
          <w:u w:color="000000"/>
          <w:bdr w:val="nil"/>
          <w:lang w:val="en-CA" w:eastAsia="en-CA"/>
        </w:rPr>
        <w:t xml:space="preserve"> = GBP = British pound; US$1 = </w:t>
      </w:r>
      <w:r w:rsidRPr="00831936">
        <w:rPr>
          <w:u w:color="000000"/>
          <w:bdr w:val="nil"/>
          <w:lang w:val="en-CA" w:eastAsia="en-CA"/>
        </w:rPr>
        <w:t>£</w:t>
      </w:r>
      <w:r>
        <w:rPr>
          <w:u w:color="000000"/>
          <w:bdr w:val="nil"/>
          <w:lang w:val="en-CA" w:eastAsia="en-CA"/>
        </w:rPr>
        <w:t>0.7568 on August 1, 2016</w:t>
      </w:r>
    </w:p>
    <w:p w14:paraId="6FCB8568" w14:textId="3DA51D38" w:rsidR="00ED0362" w:rsidRDefault="00831936" w:rsidP="006201A4">
      <w:pPr>
        <w:pStyle w:val="Footnote"/>
        <w:rPr>
          <w:rFonts w:eastAsia="Arial Unicode MS"/>
          <w:u w:color="000000"/>
          <w:bdr w:val="nil"/>
          <w:lang w:val="en-CA" w:eastAsia="en-CA"/>
        </w:rPr>
      </w:pPr>
      <w:r w:rsidRPr="00831936">
        <w:rPr>
          <w:rFonts w:eastAsia="Arial"/>
          <w:u w:color="000000"/>
          <w:bdr w:val="nil"/>
          <w:lang w:val="en-CA" w:eastAsia="en-CA"/>
        </w:rPr>
        <w:t xml:space="preserve">Source: </w:t>
      </w:r>
      <w:r w:rsidR="00AB51EE">
        <w:rPr>
          <w:rFonts w:eastAsia="Arial"/>
          <w:u w:color="000000"/>
          <w:bdr w:val="nil"/>
          <w:lang w:val="en-CA" w:eastAsia="en-CA"/>
        </w:rPr>
        <w:t>Created by the c</w:t>
      </w:r>
      <w:r w:rsidRPr="00831936">
        <w:rPr>
          <w:rFonts w:eastAsia="Arial"/>
          <w:u w:color="000000"/>
          <w:bdr w:val="nil"/>
          <w:lang w:val="en-CA" w:eastAsia="en-CA"/>
        </w:rPr>
        <w:t xml:space="preserve">ase </w:t>
      </w:r>
      <w:r w:rsidR="00AB51EE">
        <w:rPr>
          <w:rFonts w:eastAsia="Arial"/>
          <w:u w:color="000000"/>
          <w:bdr w:val="nil"/>
          <w:lang w:val="en-CA" w:eastAsia="en-CA"/>
        </w:rPr>
        <w:t>author</w:t>
      </w:r>
      <w:r w:rsidRPr="00831936">
        <w:rPr>
          <w:rFonts w:eastAsia="Arial"/>
          <w:u w:color="000000"/>
          <w:bdr w:val="nil"/>
          <w:lang w:val="en-CA" w:eastAsia="en-CA"/>
        </w:rPr>
        <w:t xml:space="preserve"> based on company documents.</w:t>
      </w:r>
      <w:r w:rsidR="00ED0362">
        <w:rPr>
          <w:rFonts w:eastAsia="Arial Unicode MS"/>
          <w:u w:color="000000"/>
          <w:bdr w:val="nil"/>
          <w:lang w:val="en-CA" w:eastAsia="en-CA"/>
        </w:rPr>
        <w:br w:type="page"/>
      </w:r>
    </w:p>
    <w:p w14:paraId="44F1A860" w14:textId="57A1A889" w:rsidR="00831936" w:rsidRDefault="00831936" w:rsidP="00164BC5">
      <w:pPr>
        <w:pStyle w:val="Casehead1"/>
        <w:jc w:val="center"/>
        <w:rPr>
          <w:rFonts w:eastAsia="Arial Unicode MS"/>
          <w:u w:color="000000"/>
          <w:bdr w:val="nil"/>
          <w:lang w:val="en-CA" w:eastAsia="en-CA"/>
        </w:rPr>
      </w:pPr>
      <w:r w:rsidRPr="00831936">
        <w:rPr>
          <w:rFonts w:eastAsia="Arial Unicode MS"/>
          <w:u w:color="000000"/>
          <w:bdr w:val="nil"/>
          <w:lang w:val="en-CA" w:eastAsia="en-CA"/>
        </w:rPr>
        <w:lastRenderedPageBreak/>
        <w:t xml:space="preserve">Exhibit 3: Elixir Five Year Profit </w:t>
      </w:r>
      <w:r w:rsidR="00857AF5">
        <w:rPr>
          <w:rFonts w:eastAsia="Arial Unicode MS"/>
          <w:u w:color="000000"/>
          <w:bdr w:val="nil"/>
          <w:lang w:val="en-CA" w:eastAsia="en-CA"/>
        </w:rPr>
        <w:t>and</w:t>
      </w:r>
      <w:r w:rsidRPr="00831936">
        <w:rPr>
          <w:rFonts w:eastAsia="Arial Unicode MS"/>
          <w:u w:color="000000"/>
          <w:bdr w:val="nil"/>
          <w:lang w:val="en-CA" w:eastAsia="en-CA"/>
        </w:rPr>
        <w:t xml:space="preserve"> Loss Projections</w:t>
      </w:r>
    </w:p>
    <w:p w14:paraId="2AF93561" w14:textId="77777777" w:rsidR="007D051E" w:rsidRDefault="007D051E" w:rsidP="00164BC5">
      <w:pPr>
        <w:pStyle w:val="BodyTextMain"/>
        <w:rPr>
          <w:rFonts w:eastAsia="Arial Unicode MS"/>
          <w:u w:color="000000"/>
          <w:bdr w:val="nil"/>
          <w:lang w:val="en-CA" w:eastAsia="en-CA"/>
        </w:rPr>
      </w:pPr>
    </w:p>
    <w:p w14:paraId="342E5D75" w14:textId="0369F2B8" w:rsidR="007D051E" w:rsidRPr="00164BC5" w:rsidRDefault="00B64F5A" w:rsidP="00831936">
      <w:pPr>
        <w:pBdr>
          <w:top w:val="nil"/>
          <w:left w:val="nil"/>
          <w:bottom w:val="nil"/>
          <w:right w:val="nil"/>
          <w:between w:val="nil"/>
          <w:bar w:val="nil"/>
        </w:pBdr>
        <w:jc w:val="center"/>
        <w:rPr>
          <w:rStyle w:val="BodyTextMainChar"/>
          <w:rFonts w:eastAsia="Arial Unicode MS"/>
        </w:rPr>
      </w:pPr>
      <w:r w:rsidRPr="00B64F5A">
        <w:rPr>
          <w:rFonts w:eastAsia="Arial Unicode MS"/>
          <w:noProof/>
        </w:rPr>
        <w:drawing>
          <wp:inline distT="0" distB="0" distL="0" distR="0" wp14:anchorId="04A0AD9E" wp14:editId="2D8B7C2A">
            <wp:extent cx="5943600" cy="596174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943600" cy="5961740"/>
                    </a:xfrm>
                    <a:prstGeom prst="rect">
                      <a:avLst/>
                    </a:prstGeom>
                    <a:noFill/>
                    <a:ln>
                      <a:noFill/>
                    </a:ln>
                  </pic:spPr>
                </pic:pic>
              </a:graphicData>
            </a:graphic>
          </wp:inline>
        </w:drawing>
      </w:r>
    </w:p>
    <w:p w14:paraId="3D4648EC" w14:textId="77777777" w:rsidR="00831936" w:rsidRPr="00831936" w:rsidRDefault="00831936" w:rsidP="00B64F5A">
      <w:pPr>
        <w:pStyle w:val="ExhibitText"/>
        <w:rPr>
          <w:rFonts w:eastAsia="Arial"/>
          <w:i/>
          <w:iCs/>
          <w:color w:val="000000"/>
          <w:kern w:val="2"/>
          <w:sz w:val="17"/>
          <w:szCs w:val="17"/>
          <w:u w:color="000000"/>
          <w:bdr w:val="nil"/>
          <w:lang w:val="en-CA" w:eastAsia="en-CA"/>
        </w:rPr>
      </w:pPr>
    </w:p>
    <w:p w14:paraId="775B9E31" w14:textId="2B2D3553" w:rsidR="0058262B" w:rsidRDefault="0058262B" w:rsidP="00831936">
      <w:pPr>
        <w:pStyle w:val="Footnote"/>
        <w:rPr>
          <w:rFonts w:eastAsia="Arial"/>
          <w:u w:color="000000"/>
          <w:bdr w:val="nil"/>
          <w:lang w:val="en-CA" w:eastAsia="en-CA"/>
        </w:rPr>
      </w:pPr>
      <w:r>
        <w:rPr>
          <w:rFonts w:eastAsia="Arial"/>
          <w:u w:color="000000"/>
          <w:bdr w:val="nil"/>
          <w:lang w:val="en-CA" w:eastAsia="en-CA"/>
        </w:rPr>
        <w:t xml:space="preserve">Note: </w:t>
      </w:r>
      <w:r w:rsidRPr="00831936">
        <w:rPr>
          <w:u w:color="000000"/>
          <w:bdr w:val="nil"/>
          <w:lang w:val="en-CA" w:eastAsia="en-CA"/>
        </w:rPr>
        <w:t>£</w:t>
      </w:r>
      <w:r>
        <w:rPr>
          <w:u w:color="000000"/>
          <w:bdr w:val="nil"/>
          <w:lang w:val="en-CA" w:eastAsia="en-CA"/>
        </w:rPr>
        <w:t xml:space="preserve"> = GBP = British pound; US$1 = </w:t>
      </w:r>
      <w:r w:rsidRPr="00831936">
        <w:rPr>
          <w:u w:color="000000"/>
          <w:bdr w:val="nil"/>
          <w:lang w:val="en-CA" w:eastAsia="en-CA"/>
        </w:rPr>
        <w:t>£</w:t>
      </w:r>
      <w:r>
        <w:rPr>
          <w:u w:color="000000"/>
          <w:bdr w:val="nil"/>
          <w:lang w:val="en-CA" w:eastAsia="en-CA"/>
        </w:rPr>
        <w:t xml:space="preserve">0.7568 on August 1, 2016; CAGR = compound annual growth rate; EV = </w:t>
      </w:r>
      <w:r w:rsidR="00D504BB">
        <w:rPr>
          <w:u w:color="000000"/>
          <w:bdr w:val="nil"/>
          <w:lang w:val="en-CA" w:eastAsia="en-CA"/>
        </w:rPr>
        <w:t xml:space="preserve">enterprise </w:t>
      </w:r>
      <w:r>
        <w:rPr>
          <w:u w:color="000000"/>
          <w:bdr w:val="nil"/>
          <w:lang w:val="en-CA" w:eastAsia="en-CA"/>
        </w:rPr>
        <w:t>value; P/E = price</w:t>
      </w:r>
      <w:r w:rsidR="00A81624">
        <w:rPr>
          <w:u w:color="000000"/>
          <w:bdr w:val="nil"/>
          <w:lang w:val="en-CA" w:eastAsia="en-CA"/>
        </w:rPr>
        <w:t>-</w:t>
      </w:r>
      <w:r w:rsidR="007222A5">
        <w:rPr>
          <w:u w:color="000000"/>
          <w:bdr w:val="nil"/>
          <w:lang w:val="en-CA" w:eastAsia="en-CA"/>
        </w:rPr>
        <w:t>to-</w:t>
      </w:r>
      <w:r>
        <w:rPr>
          <w:u w:color="000000"/>
          <w:bdr w:val="nil"/>
          <w:lang w:val="en-CA" w:eastAsia="en-CA"/>
        </w:rPr>
        <w:t>earnings ratio; y-o-y = year-on-year; IPO = initial public offering</w:t>
      </w:r>
      <w:r w:rsidR="005E6CE8">
        <w:rPr>
          <w:u w:color="000000"/>
          <w:bdr w:val="nil"/>
          <w:lang w:val="en-CA" w:eastAsia="en-CA"/>
        </w:rPr>
        <w:t>; m = millions</w:t>
      </w:r>
    </w:p>
    <w:p w14:paraId="4C684B31" w14:textId="26D3EEB7" w:rsidR="00831936" w:rsidRPr="00831936" w:rsidRDefault="00831936" w:rsidP="00831936">
      <w:pPr>
        <w:pStyle w:val="Footnote"/>
        <w:rPr>
          <w:rFonts w:eastAsia="Arial"/>
          <w:u w:color="000000"/>
          <w:bdr w:val="nil"/>
          <w:lang w:val="en-CA" w:eastAsia="en-CA"/>
        </w:rPr>
      </w:pPr>
      <w:r w:rsidRPr="00831936">
        <w:rPr>
          <w:rFonts w:eastAsia="Arial"/>
          <w:u w:color="000000"/>
          <w:bdr w:val="nil"/>
          <w:lang w:val="en-CA" w:eastAsia="en-CA"/>
        </w:rPr>
        <w:t>Source: C</w:t>
      </w:r>
      <w:r w:rsidR="00AB51EE">
        <w:rPr>
          <w:rFonts w:eastAsia="Arial"/>
          <w:u w:color="000000"/>
          <w:bdr w:val="nil"/>
          <w:lang w:val="en-CA" w:eastAsia="en-CA"/>
        </w:rPr>
        <w:t>reated by the c</w:t>
      </w:r>
      <w:r w:rsidRPr="00831936">
        <w:rPr>
          <w:rFonts w:eastAsia="Arial"/>
          <w:u w:color="000000"/>
          <w:bdr w:val="nil"/>
          <w:lang w:val="en-CA" w:eastAsia="en-CA"/>
        </w:rPr>
        <w:t xml:space="preserve">ase </w:t>
      </w:r>
      <w:r w:rsidR="00AB51EE">
        <w:rPr>
          <w:rFonts w:eastAsia="Arial"/>
          <w:u w:color="000000"/>
          <w:bdr w:val="nil"/>
          <w:lang w:val="en-CA" w:eastAsia="en-CA"/>
        </w:rPr>
        <w:t>author</w:t>
      </w:r>
      <w:r w:rsidRPr="00831936">
        <w:rPr>
          <w:rFonts w:eastAsia="Arial"/>
          <w:u w:color="000000"/>
          <w:bdr w:val="nil"/>
          <w:lang w:val="en-CA" w:eastAsia="en-CA"/>
        </w:rPr>
        <w:t xml:space="preserve"> based on company documents.</w:t>
      </w:r>
    </w:p>
    <w:p w14:paraId="58197F40" w14:textId="77777777" w:rsidR="00831936" w:rsidRPr="00831936" w:rsidRDefault="00831936" w:rsidP="00164BC5">
      <w:pPr>
        <w:pStyle w:val="BodyTextMain"/>
        <w:rPr>
          <w:rFonts w:eastAsia="Arial Unicode MS"/>
          <w:u w:color="000000"/>
          <w:bdr w:val="nil"/>
          <w:lang w:val="en-CA" w:eastAsia="en-CA"/>
        </w:rPr>
      </w:pPr>
      <w:r w:rsidRPr="00831936">
        <w:rPr>
          <w:rFonts w:eastAsia="Arial Unicode MS"/>
          <w:u w:color="000000"/>
          <w:bdr w:val="nil"/>
          <w:lang w:val="en-CA" w:eastAsia="en-CA"/>
        </w:rPr>
        <w:br w:type="page"/>
      </w:r>
    </w:p>
    <w:p w14:paraId="65339C08" w14:textId="77777777" w:rsidR="00831936" w:rsidRDefault="00831936" w:rsidP="00164BC5">
      <w:pPr>
        <w:pStyle w:val="Casehead1"/>
        <w:jc w:val="center"/>
        <w:rPr>
          <w:rFonts w:eastAsia="Arial Unicode MS"/>
          <w:u w:color="000000"/>
          <w:bdr w:val="nil"/>
          <w:lang w:val="en-CA" w:eastAsia="en-CA"/>
        </w:rPr>
      </w:pPr>
      <w:r w:rsidRPr="00831936">
        <w:rPr>
          <w:rFonts w:eastAsia="Arial Unicode MS"/>
          <w:u w:color="000000"/>
          <w:bdr w:val="nil"/>
          <w:lang w:val="en-CA" w:eastAsia="en-CA"/>
        </w:rPr>
        <w:lastRenderedPageBreak/>
        <w:t>Exhibit 4: Elixir hypothetical capitalization table</w:t>
      </w:r>
    </w:p>
    <w:p w14:paraId="728BEEA2" w14:textId="77777777" w:rsidR="00857AF5" w:rsidRDefault="00857AF5" w:rsidP="00164BC5">
      <w:pPr>
        <w:pStyle w:val="BodyTextMain"/>
        <w:rPr>
          <w:rFonts w:eastAsia="Arial Unicode MS"/>
          <w:u w:color="000000"/>
          <w:bdr w:val="nil"/>
          <w:lang w:val="en-CA" w:eastAsia="en-CA"/>
        </w:rPr>
      </w:pPr>
    </w:p>
    <w:p w14:paraId="1F8E120D" w14:textId="42BEE13F" w:rsidR="00857AF5" w:rsidRPr="00831936" w:rsidRDefault="00B64F5A" w:rsidP="00831936">
      <w:pPr>
        <w:pBdr>
          <w:top w:val="nil"/>
          <w:left w:val="nil"/>
          <w:bottom w:val="nil"/>
          <w:right w:val="nil"/>
          <w:between w:val="nil"/>
          <w:bar w:val="nil"/>
        </w:pBdr>
        <w:jc w:val="center"/>
        <w:rPr>
          <w:rFonts w:ascii="Arial" w:eastAsia="Arial Unicode MS" w:hAnsi="Arial" w:cs="Arial Unicode MS"/>
          <w:b/>
          <w:bCs/>
          <w:caps/>
          <w:color w:val="000000"/>
          <w:kern w:val="2"/>
          <w:u w:color="000000"/>
          <w:bdr w:val="nil"/>
          <w:lang w:val="en-CA" w:eastAsia="en-CA"/>
        </w:rPr>
      </w:pPr>
      <w:r w:rsidRPr="00B64F5A">
        <w:rPr>
          <w:rFonts w:eastAsia="Arial Unicode MS"/>
          <w:noProof/>
        </w:rPr>
        <w:drawing>
          <wp:inline distT="0" distB="0" distL="0" distR="0" wp14:anchorId="74C2C807" wp14:editId="06B74A0A">
            <wp:extent cx="4250131" cy="6012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968" cy="6055639"/>
                    </a:xfrm>
                    <a:prstGeom prst="rect">
                      <a:avLst/>
                    </a:prstGeom>
                    <a:noFill/>
                    <a:ln>
                      <a:noFill/>
                    </a:ln>
                  </pic:spPr>
                </pic:pic>
              </a:graphicData>
            </a:graphic>
          </wp:inline>
        </w:drawing>
      </w:r>
    </w:p>
    <w:p w14:paraId="1C6F4D8C" w14:textId="77777777" w:rsidR="00831936" w:rsidRPr="00831936" w:rsidRDefault="00831936" w:rsidP="00292ABD">
      <w:pPr>
        <w:pStyle w:val="ExhibitText"/>
        <w:rPr>
          <w:rFonts w:eastAsia="Arial"/>
          <w:i/>
          <w:iCs/>
          <w:color w:val="000000"/>
          <w:kern w:val="2"/>
          <w:sz w:val="17"/>
          <w:szCs w:val="17"/>
          <w:u w:color="000000"/>
          <w:bdr w:val="nil"/>
          <w:lang w:val="en-CA" w:eastAsia="en-CA"/>
        </w:rPr>
      </w:pPr>
    </w:p>
    <w:p w14:paraId="74FEA3BC" w14:textId="77777777" w:rsidR="00831936" w:rsidRPr="00831936" w:rsidRDefault="00831936" w:rsidP="00B64F5A">
      <w:pPr>
        <w:pStyle w:val="ExhibitText"/>
        <w:ind w:left="720"/>
        <w:rPr>
          <w:rFonts w:eastAsia="SimSun"/>
          <w:lang w:val="en-CA"/>
        </w:rPr>
      </w:pPr>
      <w:r w:rsidRPr="00831936">
        <w:rPr>
          <w:rFonts w:eastAsia="SimSun"/>
          <w:lang w:val="en-CA"/>
        </w:rPr>
        <w:t xml:space="preserve">The formula for equity dilution at each stage (shown in Panel B) is: </w:t>
      </w:r>
    </w:p>
    <w:p w14:paraId="67DC661F" w14:textId="77777777" w:rsidR="00831936" w:rsidRDefault="00831936" w:rsidP="00164BC5">
      <w:pPr>
        <w:pStyle w:val="FootnoteText1"/>
        <w:rPr>
          <w:rFonts w:eastAsia="SimSun"/>
          <w:lang w:val="en-CA"/>
        </w:rPr>
      </w:pPr>
    </w:p>
    <w:p w14:paraId="0D4692CC" w14:textId="1A0638EC" w:rsidR="00831936" w:rsidRPr="00831936" w:rsidRDefault="00831936" w:rsidP="00B64F5A">
      <w:pPr>
        <w:pStyle w:val="ExhibitText"/>
        <w:ind w:left="720"/>
        <w:rPr>
          <w:rFonts w:eastAsia="SimSun"/>
          <w:lang w:val="en-CA"/>
        </w:rPr>
      </w:pPr>
      <w:r w:rsidRPr="00831936">
        <w:rPr>
          <w:rFonts w:eastAsia="SimSun"/>
          <w:lang w:val="en-CA"/>
        </w:rPr>
        <w:t xml:space="preserve">Post-Money Ownership % = Pre-Money Ownership % </w:t>
      </w:r>
      <w:r w:rsidR="00857AF5">
        <w:rPr>
          <w:rFonts w:eastAsia="SimSun"/>
          <w:lang w:val="en-CA"/>
        </w:rPr>
        <w:t>×</w:t>
      </w:r>
      <w:r w:rsidRPr="00831936">
        <w:rPr>
          <w:rFonts w:eastAsia="SimSun"/>
          <w:lang w:val="en-CA"/>
        </w:rPr>
        <w:t xml:space="preserve"> (1 </w:t>
      </w:r>
      <w:r w:rsidR="00857AF5">
        <w:rPr>
          <w:rFonts w:eastAsia="SimSun"/>
          <w:lang w:val="en-CA"/>
        </w:rPr>
        <w:t>−</w:t>
      </w:r>
      <w:r w:rsidRPr="00831936">
        <w:rPr>
          <w:rFonts w:eastAsia="SimSun"/>
          <w:lang w:val="en-CA"/>
        </w:rPr>
        <w:t xml:space="preserve"> New Investor Ownership %)</w:t>
      </w:r>
    </w:p>
    <w:p w14:paraId="677A6649" w14:textId="77777777" w:rsidR="00831936" w:rsidRPr="00831936" w:rsidRDefault="00831936" w:rsidP="00164BC5">
      <w:pPr>
        <w:pStyle w:val="FootnoteText1"/>
        <w:rPr>
          <w:rFonts w:eastAsia="SimSun"/>
          <w:lang w:val="en-CA"/>
        </w:rPr>
      </w:pPr>
    </w:p>
    <w:p w14:paraId="5DB2F7FA" w14:textId="634CAD0A" w:rsidR="00831936" w:rsidRPr="00831936" w:rsidRDefault="00831936" w:rsidP="00B64F5A">
      <w:pPr>
        <w:pStyle w:val="ExhibitText"/>
        <w:ind w:left="720"/>
        <w:rPr>
          <w:rFonts w:eastAsia="SimSun"/>
          <w:lang w:val="en-CA"/>
        </w:rPr>
      </w:pPr>
      <w:r w:rsidRPr="00831936">
        <w:rPr>
          <w:rFonts w:eastAsia="SimSun"/>
          <w:lang w:val="en-CA"/>
        </w:rPr>
        <w:t xml:space="preserve">In this example, VC1 invests £5 million in the </w:t>
      </w:r>
      <w:r w:rsidR="00857AF5">
        <w:rPr>
          <w:rFonts w:eastAsia="SimSun"/>
          <w:lang w:val="en-CA"/>
        </w:rPr>
        <w:t>s</w:t>
      </w:r>
      <w:r w:rsidRPr="00831936">
        <w:rPr>
          <w:rFonts w:eastAsia="SimSun"/>
          <w:lang w:val="en-CA"/>
        </w:rPr>
        <w:t>eries</w:t>
      </w:r>
      <w:r w:rsidR="00857AF5">
        <w:rPr>
          <w:rFonts w:eastAsia="SimSun"/>
          <w:lang w:val="en-CA"/>
        </w:rPr>
        <w:t>-</w:t>
      </w:r>
      <w:r w:rsidRPr="00831936">
        <w:rPr>
          <w:rFonts w:eastAsia="SimSun"/>
          <w:lang w:val="en-CA"/>
        </w:rPr>
        <w:t>A round</w:t>
      </w:r>
      <w:r w:rsidR="00E07E8C">
        <w:rPr>
          <w:rFonts w:eastAsia="SimSun"/>
          <w:lang w:val="en-CA"/>
        </w:rPr>
        <w:t>,</w:t>
      </w:r>
      <w:r w:rsidRPr="00831936">
        <w:rPr>
          <w:rFonts w:eastAsia="SimSun"/>
          <w:lang w:val="en-CA"/>
        </w:rPr>
        <w:t xml:space="preserve"> for an ownership stake of 27.3% (</w:t>
      </w:r>
      <w:r w:rsidR="00E07E8C">
        <w:rPr>
          <w:rFonts w:eastAsia="SimSun"/>
          <w:lang w:val="en-CA"/>
        </w:rPr>
        <w:t>calculated as</w:t>
      </w:r>
      <w:r w:rsidR="00857AF5">
        <w:rPr>
          <w:rFonts w:eastAsia="SimSun"/>
          <w:lang w:val="en-CA"/>
        </w:rPr>
        <w:t xml:space="preserve"> </w:t>
      </w:r>
      <w:r w:rsidRPr="00831936">
        <w:rPr>
          <w:rFonts w:eastAsia="SimSun"/>
          <w:lang w:val="en-CA"/>
        </w:rPr>
        <w:t xml:space="preserve">£5 million </w:t>
      </w:r>
      <w:r w:rsidR="00857AF5">
        <w:rPr>
          <w:rFonts w:eastAsia="SimSun"/>
          <w:lang w:val="en-CA"/>
        </w:rPr>
        <w:t>÷</w:t>
      </w:r>
      <w:r w:rsidRPr="00831936">
        <w:rPr>
          <w:rFonts w:eastAsia="SimSun"/>
          <w:lang w:val="en-CA"/>
        </w:rPr>
        <w:t xml:space="preserve"> £13.3 million). According to this formula, the founders’ stake is diluted to 53.6%</w:t>
      </w:r>
      <w:r w:rsidR="00E07E8C">
        <w:rPr>
          <w:rFonts w:eastAsia="SimSun"/>
          <w:lang w:val="en-CA"/>
        </w:rPr>
        <w:t>, calculated as</w:t>
      </w:r>
      <w:r w:rsidRPr="00831936">
        <w:rPr>
          <w:rFonts w:eastAsia="SimSun"/>
          <w:lang w:val="en-CA"/>
        </w:rPr>
        <w:t xml:space="preserve"> 73.8% </w:t>
      </w:r>
      <w:r w:rsidR="00857AF5">
        <w:rPr>
          <w:rFonts w:eastAsia="SimSun"/>
          <w:lang w:val="en-CA"/>
        </w:rPr>
        <w:t>×</w:t>
      </w:r>
      <w:r w:rsidRPr="00831936">
        <w:rPr>
          <w:rFonts w:eastAsia="SimSun"/>
          <w:lang w:val="en-CA"/>
        </w:rPr>
        <w:t xml:space="preserve"> </w:t>
      </w:r>
      <w:r w:rsidR="00E07E8C" w:rsidRPr="00831936">
        <w:rPr>
          <w:rFonts w:eastAsia="SimSun"/>
          <w:lang w:val="en-CA"/>
        </w:rPr>
        <w:t>(1</w:t>
      </w:r>
      <w:r w:rsidR="00E07E8C">
        <w:rPr>
          <w:rFonts w:eastAsia="SimSun"/>
          <w:lang w:val="en-CA"/>
        </w:rPr>
        <w:t xml:space="preserve"> − </w:t>
      </w:r>
      <w:r w:rsidR="00E07E8C" w:rsidRPr="00831936">
        <w:rPr>
          <w:rFonts w:eastAsia="SimSun"/>
          <w:lang w:val="en-CA"/>
        </w:rPr>
        <w:t xml:space="preserve">27.3%). Similarly, the angels’ ownership stake is diluted to </w:t>
      </w:r>
      <w:r w:rsidRPr="00831936">
        <w:rPr>
          <w:rFonts w:eastAsia="SimSun"/>
          <w:lang w:val="en-CA"/>
        </w:rPr>
        <w:br/>
        <w:t>19.1%</w:t>
      </w:r>
      <w:r w:rsidR="00E07E8C">
        <w:rPr>
          <w:rFonts w:eastAsia="SimSun"/>
          <w:lang w:val="en-CA"/>
        </w:rPr>
        <w:t>, calculated as</w:t>
      </w:r>
      <w:r w:rsidRPr="00831936">
        <w:rPr>
          <w:rFonts w:eastAsia="SimSun"/>
          <w:lang w:val="en-CA"/>
        </w:rPr>
        <w:t xml:space="preserve"> 26.3% </w:t>
      </w:r>
      <w:r w:rsidR="00857AF5">
        <w:rPr>
          <w:rFonts w:eastAsia="SimSun"/>
          <w:lang w:val="en-CA"/>
        </w:rPr>
        <w:t>×</w:t>
      </w:r>
      <w:r w:rsidRPr="00831936">
        <w:rPr>
          <w:rFonts w:eastAsia="SimSun"/>
          <w:lang w:val="en-CA"/>
        </w:rPr>
        <w:t xml:space="preserve"> (1 </w:t>
      </w:r>
      <w:r w:rsidR="00857AF5">
        <w:rPr>
          <w:rFonts w:eastAsia="SimSun"/>
          <w:lang w:val="en-CA"/>
        </w:rPr>
        <w:t>−</w:t>
      </w:r>
      <w:r w:rsidRPr="00831936">
        <w:rPr>
          <w:rFonts w:eastAsia="SimSun"/>
          <w:lang w:val="en-CA"/>
        </w:rPr>
        <w:t xml:space="preserve"> 27.3%). </w:t>
      </w:r>
    </w:p>
    <w:p w14:paraId="35E01C85" w14:textId="77777777" w:rsidR="00831936" w:rsidRPr="00831936" w:rsidRDefault="00831936" w:rsidP="00831936">
      <w:pPr>
        <w:pBdr>
          <w:top w:val="nil"/>
          <w:left w:val="nil"/>
          <w:bottom w:val="nil"/>
          <w:right w:val="nil"/>
          <w:between w:val="nil"/>
          <w:bar w:val="nil"/>
        </w:pBdr>
        <w:tabs>
          <w:tab w:val="left" w:pos="1"/>
          <w:tab w:val="right" w:pos="9000"/>
        </w:tabs>
        <w:jc w:val="both"/>
        <w:rPr>
          <w:rFonts w:ascii="Arial" w:eastAsia="Arial" w:hAnsi="Arial" w:cs="Arial"/>
          <w:i/>
          <w:iCs/>
          <w:color w:val="000000"/>
          <w:kern w:val="2"/>
          <w:sz w:val="17"/>
          <w:szCs w:val="17"/>
          <w:u w:color="000000"/>
          <w:bdr w:val="nil"/>
          <w:lang w:val="en-CA" w:eastAsia="en-CA"/>
        </w:rPr>
      </w:pPr>
    </w:p>
    <w:p w14:paraId="11BD4A7F" w14:textId="1CB3C175" w:rsidR="009316EF" w:rsidRDefault="009316EF" w:rsidP="00B17CE8">
      <w:pPr>
        <w:pStyle w:val="Footnote"/>
        <w:rPr>
          <w:rFonts w:eastAsia="Arial"/>
          <w:u w:color="000000"/>
          <w:bdr w:val="nil"/>
          <w:lang w:val="en-CA" w:eastAsia="en-CA"/>
        </w:rPr>
      </w:pPr>
      <w:r>
        <w:rPr>
          <w:rFonts w:eastAsia="Arial"/>
          <w:u w:color="000000"/>
          <w:bdr w:val="nil"/>
          <w:lang w:val="en-CA" w:eastAsia="en-CA"/>
        </w:rPr>
        <w:t xml:space="preserve">Note: </w:t>
      </w:r>
      <w:r w:rsidRPr="00831936">
        <w:rPr>
          <w:u w:color="000000"/>
          <w:bdr w:val="nil"/>
          <w:lang w:val="en-CA" w:eastAsia="en-CA"/>
        </w:rPr>
        <w:t>£</w:t>
      </w:r>
      <w:r>
        <w:rPr>
          <w:u w:color="000000"/>
          <w:bdr w:val="nil"/>
          <w:lang w:val="en-CA" w:eastAsia="en-CA"/>
        </w:rPr>
        <w:t xml:space="preserve"> = GBP = British pound; US$1 = </w:t>
      </w:r>
      <w:r w:rsidRPr="00831936">
        <w:rPr>
          <w:u w:color="000000"/>
          <w:bdr w:val="nil"/>
          <w:lang w:val="en-CA" w:eastAsia="en-CA"/>
        </w:rPr>
        <w:t>£</w:t>
      </w:r>
      <w:r>
        <w:rPr>
          <w:u w:color="000000"/>
          <w:bdr w:val="nil"/>
          <w:lang w:val="en-CA" w:eastAsia="en-CA"/>
        </w:rPr>
        <w:t xml:space="preserve">0.7568 on August 1, 2016; </w:t>
      </w:r>
      <w:r>
        <w:rPr>
          <w:rFonts w:eastAsia="Arial"/>
          <w:u w:color="000000"/>
          <w:bdr w:val="nil"/>
          <w:lang w:val="en-CA" w:eastAsia="en-CA"/>
        </w:rPr>
        <w:t>VC = venture capital</w:t>
      </w:r>
      <w:r w:rsidR="00A6134D">
        <w:rPr>
          <w:rFonts w:eastAsia="Arial"/>
          <w:u w:color="000000"/>
          <w:bdr w:val="nil"/>
          <w:lang w:val="en-CA" w:eastAsia="en-CA"/>
        </w:rPr>
        <w:t>ists</w:t>
      </w:r>
    </w:p>
    <w:p w14:paraId="77538AF6" w14:textId="0F975551" w:rsidR="00465348" w:rsidRPr="009C2666" w:rsidRDefault="00831936" w:rsidP="00B64F5A">
      <w:pPr>
        <w:pStyle w:val="Footnote"/>
      </w:pPr>
      <w:r w:rsidRPr="00831936">
        <w:rPr>
          <w:rFonts w:eastAsia="Arial"/>
          <w:u w:color="000000"/>
          <w:bdr w:val="nil"/>
          <w:lang w:val="en-CA" w:eastAsia="en-CA"/>
        </w:rPr>
        <w:t xml:space="preserve">Source: </w:t>
      </w:r>
      <w:r w:rsidRPr="00831936">
        <w:rPr>
          <w:rFonts w:eastAsia="Arial"/>
          <w:u w:color="000000"/>
          <w:bdr w:val="nil"/>
          <w:lang w:eastAsia="en-CA"/>
        </w:rPr>
        <w:t xml:space="preserve">Created by </w:t>
      </w:r>
      <w:r w:rsidR="00AB51EE">
        <w:rPr>
          <w:rFonts w:eastAsia="Arial"/>
          <w:u w:color="000000"/>
          <w:bdr w:val="nil"/>
          <w:lang w:eastAsia="en-CA"/>
        </w:rPr>
        <w:t xml:space="preserve">the case </w:t>
      </w:r>
      <w:r w:rsidRPr="00831936">
        <w:rPr>
          <w:rFonts w:eastAsia="Arial"/>
          <w:u w:color="000000"/>
          <w:bdr w:val="nil"/>
          <w:lang w:eastAsia="en-CA"/>
        </w:rPr>
        <w:t>author based on case information</w:t>
      </w:r>
      <w:r w:rsidRPr="00831936">
        <w:rPr>
          <w:rFonts w:eastAsia="Arial"/>
          <w:u w:color="000000"/>
          <w:bdr w:val="nil"/>
          <w:lang w:val="en-CA" w:eastAsia="en-CA"/>
        </w:rPr>
        <w:t>.</w:t>
      </w:r>
    </w:p>
    <w:sectPr w:rsidR="00465348" w:rsidRPr="009C2666"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A10B7" w14:textId="77777777" w:rsidR="0034568A" w:rsidRDefault="0034568A" w:rsidP="00D75295">
      <w:r>
        <w:separator/>
      </w:r>
    </w:p>
  </w:endnote>
  <w:endnote w:type="continuationSeparator" w:id="0">
    <w:p w14:paraId="42FADFA7" w14:textId="77777777" w:rsidR="0034568A" w:rsidRDefault="0034568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8F138" w14:textId="77777777" w:rsidR="0034568A" w:rsidRDefault="0034568A" w:rsidP="00D75295">
      <w:r>
        <w:separator/>
      </w:r>
    </w:p>
  </w:footnote>
  <w:footnote w:type="continuationSeparator" w:id="0">
    <w:p w14:paraId="2E300141" w14:textId="77777777" w:rsidR="0034568A" w:rsidRDefault="0034568A" w:rsidP="00D75295">
      <w:r>
        <w:continuationSeparator/>
      </w:r>
    </w:p>
  </w:footnote>
  <w:footnote w:id="1">
    <w:p w14:paraId="6A145DAB" w14:textId="37752349" w:rsidR="009A5AD6" w:rsidRPr="00831936" w:rsidRDefault="009A5AD6" w:rsidP="00831936">
      <w:pPr>
        <w:pStyle w:val="Footnote"/>
      </w:pPr>
      <w:r>
        <w:rPr>
          <w:vertAlign w:val="superscript"/>
        </w:rPr>
        <w:footnoteRef/>
      </w:r>
      <w:r>
        <w:rPr>
          <w:rFonts w:eastAsia="Arial Unicode MS"/>
        </w:rPr>
        <w:t xml:space="preserve"> “A P</w:t>
      </w:r>
      <w:r w:rsidRPr="00831936">
        <w:rPr>
          <w:rFonts w:eastAsia="Arial Unicode MS"/>
        </w:rPr>
        <w:t xml:space="preserve">lace in </w:t>
      </w:r>
      <w:r>
        <w:rPr>
          <w:rFonts w:eastAsia="Arial Unicode MS"/>
        </w:rPr>
        <w:t>S</w:t>
      </w:r>
      <w:r w:rsidRPr="00831936">
        <w:rPr>
          <w:rFonts w:eastAsia="Arial Unicode MS"/>
        </w:rPr>
        <w:t>ociety</w:t>
      </w:r>
      <w:r>
        <w:rPr>
          <w:rFonts w:eastAsia="Arial Unicode MS"/>
        </w:rPr>
        <w:t>,</w:t>
      </w:r>
      <w:r w:rsidRPr="00831936">
        <w:rPr>
          <w:rFonts w:eastAsia="Arial Unicode MS"/>
        </w:rPr>
        <w:t xml:space="preserve">” </w:t>
      </w:r>
      <w:r w:rsidRPr="00E13F0F">
        <w:rPr>
          <w:rFonts w:eastAsia="Arial Unicode MS"/>
          <w:i/>
        </w:rPr>
        <w:t>The Economist</w:t>
      </w:r>
      <w:r w:rsidRPr="00831936">
        <w:rPr>
          <w:rFonts w:eastAsia="Arial Unicode MS"/>
        </w:rPr>
        <w:t xml:space="preserve">, September 25, 2009, accessed July 25, 2018, </w:t>
      </w:r>
      <w:hyperlink r:id="rId1" w:history="1">
        <w:r w:rsidRPr="00831936">
          <w:rPr>
            <w:rFonts w:eastAsia="Arial Unicode MS"/>
          </w:rPr>
          <w:t>www.economist.com/node/14493098</w:t>
        </w:r>
      </w:hyperlink>
      <w:r w:rsidRPr="00831936">
        <w:rPr>
          <w:rFonts w:eastAsia="Arial Unicode MS"/>
        </w:rPr>
        <w:t xml:space="preserve">. </w:t>
      </w:r>
    </w:p>
  </w:footnote>
  <w:footnote w:id="2">
    <w:p w14:paraId="2A5A5B50" w14:textId="515C8528" w:rsidR="009A5AD6" w:rsidRPr="00831936" w:rsidRDefault="009A5AD6" w:rsidP="00831936">
      <w:pPr>
        <w:pStyle w:val="Footnote"/>
      </w:pPr>
      <w:r>
        <w:rPr>
          <w:vertAlign w:val="superscript"/>
        </w:rPr>
        <w:footnoteRef/>
      </w:r>
      <w:r>
        <w:rPr>
          <w:rFonts w:eastAsia="Arial Unicode MS"/>
        </w:rPr>
        <w:t xml:space="preserve"> “M-PESA,” Safaricom, accessed July 25, </w:t>
      </w:r>
      <w:r w:rsidRPr="00831936">
        <w:rPr>
          <w:rFonts w:eastAsia="Arial Unicode MS"/>
        </w:rPr>
        <w:t xml:space="preserve">2018, </w:t>
      </w:r>
      <w:hyperlink r:id="rId2" w:history="1">
        <w:r w:rsidRPr="00831936">
          <w:rPr>
            <w:rFonts w:eastAsia="Arial Unicode MS"/>
          </w:rPr>
          <w:t>www.safaricom.co.ke/personal/m-pesa</w:t>
        </w:r>
      </w:hyperlink>
      <w:r w:rsidRPr="00831936">
        <w:rPr>
          <w:rFonts w:eastAsia="Arial Unicode MS"/>
        </w:rPr>
        <w:t>.</w:t>
      </w:r>
    </w:p>
  </w:footnote>
  <w:footnote w:id="3">
    <w:p w14:paraId="676DDF02" w14:textId="7641C554" w:rsidR="009A5AD6" w:rsidRPr="00831936" w:rsidRDefault="009A5AD6" w:rsidP="00831936">
      <w:pPr>
        <w:pStyle w:val="Footnote"/>
      </w:pPr>
      <w:r>
        <w:rPr>
          <w:vertAlign w:val="superscript"/>
        </w:rPr>
        <w:footnoteRef/>
      </w:r>
      <w:r>
        <w:rPr>
          <w:rFonts w:eastAsia="Arial Unicode MS"/>
        </w:rPr>
        <w:t xml:space="preserve"> “</w:t>
      </w:r>
      <w:r w:rsidR="006F75FD" w:rsidRPr="006F75FD">
        <w:rPr>
          <w:rFonts w:eastAsia="Arial Unicode MS"/>
        </w:rPr>
        <w:t xml:space="preserve">A </w:t>
      </w:r>
      <w:r w:rsidR="006F75FD">
        <w:rPr>
          <w:rFonts w:eastAsia="Arial Unicode MS"/>
        </w:rPr>
        <w:t>F</w:t>
      </w:r>
      <w:r w:rsidR="006F75FD" w:rsidRPr="006F75FD">
        <w:rPr>
          <w:rFonts w:eastAsia="Arial Unicode MS"/>
        </w:rPr>
        <w:t xml:space="preserve">inance </w:t>
      </w:r>
      <w:r w:rsidR="006F75FD">
        <w:rPr>
          <w:rFonts w:eastAsia="Arial Unicode MS"/>
        </w:rPr>
        <w:t>C</w:t>
      </w:r>
      <w:r w:rsidR="006F75FD" w:rsidRPr="006F75FD">
        <w:rPr>
          <w:rFonts w:eastAsia="Arial Unicode MS"/>
        </w:rPr>
        <w:t xml:space="preserve">ompany that </w:t>
      </w:r>
      <w:r w:rsidR="006F75FD">
        <w:rPr>
          <w:rFonts w:eastAsia="Arial Unicode MS"/>
        </w:rPr>
        <w:t>C</w:t>
      </w:r>
      <w:r w:rsidR="006F75FD" w:rsidRPr="006F75FD">
        <w:rPr>
          <w:rFonts w:eastAsia="Arial Unicode MS"/>
        </w:rPr>
        <w:t xml:space="preserve">an </w:t>
      </w:r>
      <w:r w:rsidR="006F75FD">
        <w:rPr>
          <w:rFonts w:eastAsia="Arial Unicode MS"/>
        </w:rPr>
        <w:t>H</w:t>
      </w:r>
      <w:r w:rsidR="006F75FD" w:rsidRPr="006F75FD">
        <w:rPr>
          <w:rFonts w:eastAsia="Arial Unicode MS"/>
        </w:rPr>
        <w:t xml:space="preserve">elp </w:t>
      </w:r>
      <w:r w:rsidR="006F75FD">
        <w:rPr>
          <w:rFonts w:eastAsia="Arial Unicode MS"/>
        </w:rPr>
        <w:t>Y</w:t>
      </w:r>
      <w:r w:rsidR="006F75FD" w:rsidRPr="006F75FD">
        <w:rPr>
          <w:rFonts w:eastAsia="Arial Unicode MS"/>
        </w:rPr>
        <w:t xml:space="preserve">ou </w:t>
      </w:r>
      <w:r w:rsidR="006F75FD">
        <w:rPr>
          <w:rFonts w:eastAsia="Arial Unicode MS"/>
        </w:rPr>
        <w:t>G</w:t>
      </w:r>
      <w:r w:rsidR="006F75FD" w:rsidRPr="006F75FD">
        <w:rPr>
          <w:rFonts w:eastAsia="Arial Unicode MS"/>
        </w:rPr>
        <w:t xml:space="preserve">et </w:t>
      </w:r>
      <w:r w:rsidR="006F75FD">
        <w:rPr>
          <w:rFonts w:eastAsia="Arial Unicode MS"/>
        </w:rPr>
        <w:t>A</w:t>
      </w:r>
      <w:r w:rsidR="006F75FD" w:rsidRPr="006F75FD">
        <w:rPr>
          <w:rFonts w:eastAsia="Arial Unicode MS"/>
        </w:rPr>
        <w:t>head. That</w:t>
      </w:r>
      <w:r w:rsidR="008803B6">
        <w:rPr>
          <w:rFonts w:eastAsia="Arial Unicode MS"/>
        </w:rPr>
        <w:t>’</w:t>
      </w:r>
      <w:r w:rsidR="006F75FD" w:rsidRPr="006F75FD">
        <w:rPr>
          <w:rFonts w:eastAsia="Arial Unicode MS"/>
        </w:rPr>
        <w:t xml:space="preserve">s </w:t>
      </w:r>
      <w:proofErr w:type="spellStart"/>
      <w:r w:rsidR="006F75FD" w:rsidRPr="006F75FD">
        <w:rPr>
          <w:rFonts w:eastAsia="Arial Unicode MS"/>
        </w:rPr>
        <w:t>SoFi</w:t>
      </w:r>
      <w:proofErr w:type="spellEnd"/>
      <w:r>
        <w:rPr>
          <w:rFonts w:eastAsia="Arial Unicode MS"/>
        </w:rPr>
        <w:t xml:space="preserve">,” </w:t>
      </w:r>
      <w:proofErr w:type="spellStart"/>
      <w:r>
        <w:rPr>
          <w:rFonts w:eastAsia="Arial Unicode MS"/>
        </w:rPr>
        <w:t>So</w:t>
      </w:r>
      <w:r w:rsidR="006F75FD">
        <w:rPr>
          <w:rFonts w:eastAsia="Arial Unicode MS"/>
        </w:rPr>
        <w:t>F</w:t>
      </w:r>
      <w:r>
        <w:rPr>
          <w:rFonts w:eastAsia="Arial Unicode MS"/>
        </w:rPr>
        <w:t>i</w:t>
      </w:r>
      <w:proofErr w:type="spellEnd"/>
      <w:r>
        <w:rPr>
          <w:rFonts w:eastAsia="Arial Unicode MS"/>
        </w:rPr>
        <w:t xml:space="preserve">, accessed July 25, </w:t>
      </w:r>
      <w:r w:rsidR="0053789D">
        <w:rPr>
          <w:rFonts w:eastAsia="Arial Unicode MS"/>
        </w:rPr>
        <w:t xml:space="preserve">2018, </w:t>
      </w:r>
      <w:r w:rsidRPr="00831936">
        <w:rPr>
          <w:rFonts w:eastAsia="Arial Unicode MS"/>
        </w:rPr>
        <w:t>www.sofi.com/.</w:t>
      </w:r>
    </w:p>
  </w:footnote>
  <w:footnote w:id="4">
    <w:p w14:paraId="7500916E" w14:textId="0CBDBF0F" w:rsidR="009A5AD6" w:rsidRPr="00E13F0F" w:rsidRDefault="009A5AD6" w:rsidP="00E13F0F">
      <w:pPr>
        <w:pStyle w:val="Footnote"/>
        <w:rPr>
          <w:lang w:val="en-CA"/>
        </w:rPr>
      </w:pPr>
      <w:r>
        <w:rPr>
          <w:rStyle w:val="FootnoteReference"/>
        </w:rPr>
        <w:footnoteRef/>
      </w:r>
      <w:r>
        <w:t xml:space="preserve"> </w:t>
      </w:r>
      <w:r>
        <w:rPr>
          <w:lang w:val="en-CA"/>
        </w:rPr>
        <w:t>All dollar amounts are in U.S. dollars</w:t>
      </w:r>
      <w:r w:rsidR="00A158D0">
        <w:rPr>
          <w:lang w:val="en-CA"/>
        </w:rPr>
        <w:t xml:space="preserve"> unless otherwise specified</w:t>
      </w:r>
      <w:r>
        <w:rPr>
          <w:lang w:val="en-CA"/>
        </w:rPr>
        <w:t>.</w:t>
      </w:r>
    </w:p>
  </w:footnote>
  <w:footnote w:id="5">
    <w:p w14:paraId="7D112C7C" w14:textId="06E86E41" w:rsidR="009A5AD6" w:rsidRPr="00831936" w:rsidRDefault="009A5AD6" w:rsidP="00831936">
      <w:pPr>
        <w:pStyle w:val="Footnote"/>
      </w:pPr>
      <w:r>
        <w:rPr>
          <w:vertAlign w:val="superscript"/>
        </w:rPr>
        <w:footnoteRef/>
      </w:r>
      <w:r>
        <w:rPr>
          <w:rFonts w:eastAsia="Arial Unicode MS"/>
        </w:rPr>
        <w:t xml:space="preserve"> “Bitcoin</w:t>
      </w:r>
      <w:r w:rsidR="00DB02CF" w:rsidRPr="00DB02CF">
        <w:rPr>
          <w:rFonts w:eastAsia="Arial Unicode MS"/>
        </w:rPr>
        <w:t xml:space="preserve"> </w:t>
      </w:r>
      <w:r w:rsidR="00DB02CF">
        <w:rPr>
          <w:rFonts w:eastAsia="Arial Unicode MS"/>
        </w:rPr>
        <w:t>I</w:t>
      </w:r>
      <w:r w:rsidR="00DB02CF" w:rsidRPr="00DB02CF">
        <w:rPr>
          <w:rFonts w:eastAsia="Arial Unicode MS"/>
        </w:rPr>
        <w:t xml:space="preserve">s an </w:t>
      </w:r>
      <w:r w:rsidR="00DB02CF">
        <w:rPr>
          <w:rFonts w:eastAsia="Arial Unicode MS"/>
        </w:rPr>
        <w:t>I</w:t>
      </w:r>
      <w:r w:rsidR="00DB02CF" w:rsidRPr="00DB02CF">
        <w:rPr>
          <w:rFonts w:eastAsia="Arial Unicode MS"/>
        </w:rPr>
        <w:t xml:space="preserve">nnovative </w:t>
      </w:r>
      <w:r w:rsidR="00DB02CF">
        <w:rPr>
          <w:rFonts w:eastAsia="Arial Unicode MS"/>
        </w:rPr>
        <w:t>P</w:t>
      </w:r>
      <w:r w:rsidR="00DB02CF" w:rsidRPr="00DB02CF">
        <w:rPr>
          <w:rFonts w:eastAsia="Arial Unicode MS"/>
        </w:rPr>
        <w:t xml:space="preserve">ayment </w:t>
      </w:r>
      <w:r w:rsidR="00DB02CF">
        <w:rPr>
          <w:rFonts w:eastAsia="Arial Unicode MS"/>
        </w:rPr>
        <w:t>N</w:t>
      </w:r>
      <w:r w:rsidR="00DB02CF" w:rsidRPr="00DB02CF">
        <w:rPr>
          <w:rFonts w:eastAsia="Arial Unicode MS"/>
        </w:rPr>
        <w:t xml:space="preserve">etwork and a </w:t>
      </w:r>
      <w:r w:rsidR="00DB02CF">
        <w:rPr>
          <w:rFonts w:eastAsia="Arial Unicode MS"/>
        </w:rPr>
        <w:t>N</w:t>
      </w:r>
      <w:r w:rsidR="00DB02CF" w:rsidRPr="00DB02CF">
        <w:rPr>
          <w:rFonts w:eastAsia="Arial Unicode MS"/>
        </w:rPr>
        <w:t xml:space="preserve">ew </w:t>
      </w:r>
      <w:r w:rsidR="00DB02CF">
        <w:rPr>
          <w:rFonts w:eastAsia="Arial Unicode MS"/>
        </w:rPr>
        <w:t>K</w:t>
      </w:r>
      <w:r w:rsidR="00DB02CF" w:rsidRPr="00DB02CF">
        <w:rPr>
          <w:rFonts w:eastAsia="Arial Unicode MS"/>
        </w:rPr>
        <w:t xml:space="preserve">ind of </w:t>
      </w:r>
      <w:r w:rsidR="00DB02CF">
        <w:rPr>
          <w:rFonts w:eastAsia="Arial Unicode MS"/>
        </w:rPr>
        <w:t>M</w:t>
      </w:r>
      <w:r w:rsidR="00DB02CF" w:rsidRPr="00DB02CF">
        <w:rPr>
          <w:rFonts w:eastAsia="Arial Unicode MS"/>
        </w:rPr>
        <w:t>oney</w:t>
      </w:r>
      <w:r>
        <w:rPr>
          <w:rFonts w:eastAsia="Arial Unicode MS"/>
        </w:rPr>
        <w:t xml:space="preserve">,” Bitcoin, accessed July 25, </w:t>
      </w:r>
      <w:r w:rsidRPr="00831936">
        <w:rPr>
          <w:rFonts w:eastAsia="Arial Unicode MS"/>
        </w:rPr>
        <w:t xml:space="preserve">2018, </w:t>
      </w:r>
      <w:hyperlink r:id="rId3" w:history="1">
        <w:r w:rsidRPr="00831936">
          <w:t>https://bitcoin.org/en/</w:t>
        </w:r>
      </w:hyperlink>
      <w:r w:rsidRPr="00831936">
        <w:rPr>
          <w:rFonts w:eastAsia="Arial Unicode MS"/>
        </w:rPr>
        <w:t>.</w:t>
      </w:r>
    </w:p>
  </w:footnote>
  <w:footnote w:id="6">
    <w:p w14:paraId="16E48C4F" w14:textId="1DDA6512" w:rsidR="009A5AD6" w:rsidRPr="00831936" w:rsidRDefault="009A5AD6" w:rsidP="00831936">
      <w:pPr>
        <w:pStyle w:val="Footnote"/>
      </w:pPr>
      <w:r>
        <w:rPr>
          <w:vertAlign w:val="superscript"/>
        </w:rPr>
        <w:footnoteRef/>
      </w:r>
      <w:r>
        <w:rPr>
          <w:rFonts w:eastAsia="Arial Unicode MS"/>
        </w:rPr>
        <w:t xml:space="preserve"> “</w:t>
      </w:r>
      <w:r w:rsidR="00DB02CF" w:rsidRPr="00DB02CF">
        <w:rPr>
          <w:rFonts w:eastAsia="Arial Unicode MS"/>
        </w:rPr>
        <w:t xml:space="preserve">Bye </w:t>
      </w:r>
      <w:proofErr w:type="spellStart"/>
      <w:r w:rsidR="00DB02CF">
        <w:rPr>
          <w:rFonts w:eastAsia="Arial Unicode MS"/>
        </w:rPr>
        <w:t>B</w:t>
      </w:r>
      <w:r w:rsidR="00DB02CF" w:rsidRPr="00DB02CF">
        <w:rPr>
          <w:rFonts w:eastAsia="Arial Unicode MS"/>
        </w:rPr>
        <w:t>ye</w:t>
      </w:r>
      <w:proofErr w:type="spellEnd"/>
      <w:r w:rsidR="00DB02CF" w:rsidRPr="00DB02CF">
        <w:rPr>
          <w:rFonts w:eastAsia="Arial Unicode MS"/>
        </w:rPr>
        <w:t xml:space="preserve"> </w:t>
      </w:r>
      <w:r w:rsidR="00DB02CF">
        <w:rPr>
          <w:rFonts w:eastAsia="Arial Unicode MS"/>
        </w:rPr>
        <w:t>B</w:t>
      </w:r>
      <w:r w:rsidR="00DB02CF" w:rsidRPr="00DB02CF">
        <w:rPr>
          <w:rFonts w:eastAsia="Arial Unicode MS"/>
        </w:rPr>
        <w:t xml:space="preserve">ank </w:t>
      </w:r>
      <w:r w:rsidR="00DB02CF">
        <w:rPr>
          <w:rFonts w:eastAsia="Arial Unicode MS"/>
        </w:rPr>
        <w:t>F</w:t>
      </w:r>
      <w:r w:rsidR="00DB02CF" w:rsidRPr="00DB02CF">
        <w:rPr>
          <w:rFonts w:eastAsia="Arial Unicode MS"/>
        </w:rPr>
        <w:t xml:space="preserve">ees, </w:t>
      </w:r>
      <w:r w:rsidR="00DB02CF">
        <w:rPr>
          <w:rFonts w:eastAsia="Arial Unicode MS"/>
        </w:rPr>
        <w:t>H</w:t>
      </w:r>
      <w:r w:rsidR="00DB02CF" w:rsidRPr="00DB02CF">
        <w:rPr>
          <w:rFonts w:eastAsia="Arial Unicode MS"/>
        </w:rPr>
        <w:t xml:space="preserve">ello </w:t>
      </w:r>
      <w:r w:rsidR="00DB02CF">
        <w:rPr>
          <w:rFonts w:eastAsia="Arial Unicode MS"/>
        </w:rPr>
        <w:t>W</w:t>
      </w:r>
      <w:r w:rsidR="00DB02CF" w:rsidRPr="00DB02CF">
        <w:rPr>
          <w:rFonts w:eastAsia="Arial Unicode MS"/>
        </w:rPr>
        <w:t>orld</w:t>
      </w:r>
      <w:r>
        <w:rPr>
          <w:rFonts w:eastAsia="Arial Unicode MS"/>
        </w:rPr>
        <w:t xml:space="preserve">,” TransferWise, accessed July 25, </w:t>
      </w:r>
      <w:r w:rsidRPr="00831936">
        <w:rPr>
          <w:rFonts w:eastAsia="Arial Unicode MS"/>
        </w:rPr>
        <w:t xml:space="preserve">2018, </w:t>
      </w:r>
      <w:hyperlink r:id="rId4" w:history="1">
        <w:r w:rsidRPr="00831936">
          <w:rPr>
            <w:rFonts w:eastAsia="Arial Unicode MS"/>
          </w:rPr>
          <w:t>https://transferwise.com/</w:t>
        </w:r>
      </w:hyperlink>
      <w:r w:rsidRPr="00831936">
        <w:rPr>
          <w:rFonts w:eastAsia="Arial Unicode MS"/>
        </w:rPr>
        <w:t>.</w:t>
      </w:r>
    </w:p>
  </w:footnote>
  <w:footnote w:id="7">
    <w:p w14:paraId="58E75E88" w14:textId="79DF77AD" w:rsidR="009A5AD6" w:rsidRPr="00831936" w:rsidRDefault="009A5AD6" w:rsidP="00831936">
      <w:pPr>
        <w:pStyle w:val="Footnote"/>
      </w:pPr>
      <w:r>
        <w:rPr>
          <w:vertAlign w:val="superscript"/>
        </w:rPr>
        <w:footnoteRef/>
      </w:r>
      <w:r>
        <w:rPr>
          <w:rFonts w:eastAsia="Arial Unicode MS"/>
        </w:rPr>
        <w:t xml:space="preserve"> “About Us,” </w:t>
      </w:r>
      <w:proofErr w:type="spellStart"/>
      <w:r>
        <w:rPr>
          <w:rFonts w:eastAsia="Arial Unicode MS"/>
        </w:rPr>
        <w:t>Zopa</w:t>
      </w:r>
      <w:proofErr w:type="spellEnd"/>
      <w:r>
        <w:rPr>
          <w:rFonts w:eastAsia="Arial Unicode MS"/>
        </w:rPr>
        <w:t xml:space="preserve">, accessed July 25, </w:t>
      </w:r>
      <w:r w:rsidRPr="00831936">
        <w:rPr>
          <w:rFonts w:eastAsia="Arial Unicode MS"/>
        </w:rPr>
        <w:t>2018</w:t>
      </w:r>
      <w:r w:rsidRPr="0053789D">
        <w:rPr>
          <w:rFonts w:eastAsia="Arial Unicode MS"/>
        </w:rPr>
        <w:t xml:space="preserve">, </w:t>
      </w:r>
      <w:hyperlink r:id="rId5" w:history="1">
        <w:r w:rsidR="0053789D" w:rsidRPr="0053789D">
          <w:rPr>
            <w:rStyle w:val="Hyperlink"/>
            <w:rFonts w:eastAsia="Arial Unicode MS"/>
            <w:color w:val="auto"/>
            <w:u w:val="none"/>
          </w:rPr>
          <w:t>www.zopa.com/</w:t>
        </w:r>
      </w:hyperlink>
      <w:r w:rsidRPr="0053789D">
        <w:rPr>
          <w:rFonts w:eastAsia="Arial Unicode MS"/>
        </w:rPr>
        <w:t>about</w:t>
      </w:r>
      <w:r w:rsidRPr="00831936">
        <w:rPr>
          <w:rFonts w:eastAsia="Arial Unicode MS"/>
        </w:rPr>
        <w:t>.</w:t>
      </w:r>
    </w:p>
  </w:footnote>
  <w:footnote w:id="8">
    <w:p w14:paraId="3F226B36" w14:textId="5A8A94F7" w:rsidR="009A5AD6" w:rsidRPr="00831936" w:rsidRDefault="009A5AD6" w:rsidP="00831936">
      <w:pPr>
        <w:pStyle w:val="Footnote"/>
      </w:pPr>
      <w:r>
        <w:rPr>
          <w:vertAlign w:val="superscript"/>
        </w:rPr>
        <w:footnoteRef/>
      </w:r>
      <w:r>
        <w:rPr>
          <w:rFonts w:eastAsia="Arial Unicode MS"/>
        </w:rPr>
        <w:t xml:space="preserve"> “</w:t>
      </w:r>
      <w:proofErr w:type="spellStart"/>
      <w:r>
        <w:rPr>
          <w:rFonts w:eastAsia="Arial Unicode MS"/>
        </w:rPr>
        <w:t>Wealthsimple</w:t>
      </w:r>
      <w:proofErr w:type="spellEnd"/>
      <w:r>
        <w:rPr>
          <w:rFonts w:eastAsia="Arial Unicode MS"/>
        </w:rPr>
        <w:t xml:space="preserve">,” </w:t>
      </w:r>
      <w:proofErr w:type="spellStart"/>
      <w:r>
        <w:rPr>
          <w:rFonts w:eastAsia="Arial Unicode MS"/>
        </w:rPr>
        <w:t>Wealthsimple</w:t>
      </w:r>
      <w:proofErr w:type="spellEnd"/>
      <w:r>
        <w:rPr>
          <w:rFonts w:eastAsia="Arial Unicode MS"/>
        </w:rPr>
        <w:t xml:space="preserve">, </w:t>
      </w:r>
      <w:r w:rsidRPr="00831936">
        <w:rPr>
          <w:rFonts w:eastAsia="Arial Unicode MS"/>
        </w:rPr>
        <w:t xml:space="preserve">accessed July 25, 2018, </w:t>
      </w:r>
      <w:r w:rsidR="0053789D" w:rsidRPr="0053789D">
        <w:rPr>
          <w:rFonts w:eastAsia="Arial Unicode MS"/>
        </w:rPr>
        <w:t>www.wealthsimple.com/</w:t>
      </w:r>
      <w:r w:rsidRPr="00831936">
        <w:rPr>
          <w:rFonts w:eastAsia="Arial Unicode MS"/>
        </w:rPr>
        <w:t>.</w:t>
      </w:r>
    </w:p>
  </w:footnote>
  <w:footnote w:id="9">
    <w:p w14:paraId="2677CE5C" w14:textId="62BAC608" w:rsidR="009A5AD6" w:rsidRPr="00831936" w:rsidRDefault="009A5AD6" w:rsidP="00831936">
      <w:pPr>
        <w:pStyle w:val="Footnote"/>
      </w:pPr>
      <w:r>
        <w:rPr>
          <w:vertAlign w:val="superscript"/>
        </w:rPr>
        <w:footnoteRef/>
      </w:r>
      <w:r>
        <w:rPr>
          <w:rFonts w:eastAsia="Arial Unicode MS"/>
        </w:rPr>
        <w:t xml:space="preserve"> “</w:t>
      </w:r>
      <w:proofErr w:type="spellStart"/>
      <w:r>
        <w:rPr>
          <w:rFonts w:eastAsia="Arial Unicode MS"/>
        </w:rPr>
        <w:t>OccupyWallStreet</w:t>
      </w:r>
      <w:proofErr w:type="spellEnd"/>
      <w:r>
        <w:rPr>
          <w:rFonts w:eastAsia="Arial Unicode MS"/>
        </w:rPr>
        <w:t xml:space="preserve">: We Are the 99 Percent,” </w:t>
      </w:r>
      <w:proofErr w:type="spellStart"/>
      <w:r>
        <w:rPr>
          <w:rFonts w:eastAsia="Arial Unicode MS"/>
        </w:rPr>
        <w:t>OccupyWallStreet</w:t>
      </w:r>
      <w:proofErr w:type="spellEnd"/>
      <w:r>
        <w:rPr>
          <w:rFonts w:eastAsia="Arial Unicode MS"/>
        </w:rPr>
        <w:t xml:space="preserve">, accessed July 25, </w:t>
      </w:r>
      <w:r w:rsidRPr="00831936">
        <w:rPr>
          <w:rFonts w:eastAsia="Arial Unicode MS"/>
        </w:rPr>
        <w:t xml:space="preserve">2018, </w:t>
      </w:r>
      <w:hyperlink r:id="rId6" w:history="1">
        <w:r w:rsidRPr="00831936">
          <w:rPr>
            <w:rFonts w:eastAsia="Arial Unicode MS"/>
          </w:rPr>
          <w:t>http://occupywallst.org/</w:t>
        </w:r>
      </w:hyperlink>
      <w:r w:rsidRPr="00831936">
        <w:rPr>
          <w:rFonts w:eastAsia="Arial Unicode MS"/>
        </w:rPr>
        <w:t>.</w:t>
      </w:r>
    </w:p>
  </w:footnote>
  <w:footnote w:id="10">
    <w:p w14:paraId="51D68157" w14:textId="5FA09181" w:rsidR="009A5AD6" w:rsidRPr="00E13F0F" w:rsidRDefault="009A5AD6" w:rsidP="00E13F0F">
      <w:pPr>
        <w:pStyle w:val="Footnote"/>
        <w:rPr>
          <w:lang w:val="en-CA"/>
        </w:rPr>
      </w:pPr>
      <w:r>
        <w:rPr>
          <w:rStyle w:val="FootnoteReference"/>
        </w:rPr>
        <w:footnoteRef/>
      </w:r>
      <w:r>
        <w:t xml:space="preserve"> </w:t>
      </w:r>
      <w:r w:rsidRPr="00831936">
        <w:rPr>
          <w:u w:color="000000"/>
          <w:bdr w:val="nil"/>
          <w:lang w:val="en-CA" w:eastAsia="en-CA"/>
        </w:rPr>
        <w:t>£</w:t>
      </w:r>
      <w:r>
        <w:rPr>
          <w:u w:color="000000"/>
          <w:bdr w:val="nil"/>
          <w:lang w:val="en-CA" w:eastAsia="en-CA"/>
        </w:rPr>
        <w:t xml:space="preserve"> = GBP = British pound; US$1 = </w:t>
      </w:r>
      <w:r w:rsidRPr="00831936">
        <w:rPr>
          <w:u w:color="000000"/>
          <w:bdr w:val="nil"/>
          <w:lang w:val="en-CA" w:eastAsia="en-CA"/>
        </w:rPr>
        <w:t>£</w:t>
      </w:r>
      <w:r>
        <w:rPr>
          <w:u w:color="000000"/>
          <w:bdr w:val="nil"/>
          <w:lang w:val="en-CA" w:eastAsia="en-CA"/>
        </w:rPr>
        <w:t>0.7568 on August 1, 2016.</w:t>
      </w:r>
    </w:p>
  </w:footnote>
  <w:footnote w:id="11">
    <w:p w14:paraId="3F6504CD" w14:textId="5E641284" w:rsidR="009A5AD6" w:rsidRDefault="009A5AD6" w:rsidP="00831936">
      <w:pPr>
        <w:pStyle w:val="Footnote"/>
      </w:pPr>
      <w:r>
        <w:rPr>
          <w:vertAlign w:val="superscript"/>
        </w:rPr>
        <w:footnoteRef/>
      </w:r>
      <w:r>
        <w:rPr>
          <w:rFonts w:eastAsia="Arial Unicode MS"/>
        </w:rPr>
        <w:t xml:space="preserve"> TOMS Shoes was a shoe company that matched every pair of shoes purchased with a new pair of shoes for a child in need</w:t>
      </w:r>
      <w:r w:rsidR="000875B7">
        <w:rPr>
          <w:rFonts w:eastAsia="Arial Unicode MS"/>
        </w:rPr>
        <w:t>;</w:t>
      </w:r>
      <w:r>
        <w:rPr>
          <w:rFonts w:eastAsia="Arial Unicode MS"/>
        </w:rPr>
        <w:t xml:space="preserve"> </w:t>
      </w:r>
      <w:proofErr w:type="spellStart"/>
      <w:r>
        <w:rPr>
          <w:rFonts w:eastAsia="Arial Unicode MS"/>
        </w:rPr>
        <w:t>tentree</w:t>
      </w:r>
      <w:proofErr w:type="spellEnd"/>
      <w:r>
        <w:rPr>
          <w:rFonts w:eastAsia="Arial Unicode MS"/>
        </w:rPr>
        <w:t xml:space="preserve"> was a clothing company that planted 10 trees for every item purchased.  </w:t>
      </w:r>
    </w:p>
  </w:footnote>
  <w:footnote w:id="12">
    <w:p w14:paraId="2175F036" w14:textId="7F535290" w:rsidR="009A5AD6" w:rsidRPr="00831936" w:rsidRDefault="009A5AD6" w:rsidP="00831936">
      <w:pPr>
        <w:pStyle w:val="Footnote"/>
      </w:pPr>
      <w:r>
        <w:rPr>
          <w:rStyle w:val="FootnoteReference"/>
        </w:rPr>
        <w:footnoteRef/>
      </w:r>
      <w:r>
        <w:rPr>
          <w:i/>
        </w:rPr>
        <w:t xml:space="preserve"> </w:t>
      </w:r>
      <w:r>
        <w:t>“</w:t>
      </w:r>
      <w:r w:rsidRPr="00131A1D">
        <w:t xml:space="preserve">Pyramid </w:t>
      </w:r>
      <w:r>
        <w:t>S</w:t>
      </w:r>
      <w:r w:rsidRPr="00831936">
        <w:t xml:space="preserve">chemes </w:t>
      </w:r>
      <w:r>
        <w:t>C</w:t>
      </w:r>
      <w:r w:rsidRPr="00831936">
        <w:t xml:space="preserve">ause </w:t>
      </w:r>
      <w:r>
        <w:t>H</w:t>
      </w:r>
      <w:r w:rsidRPr="00831936">
        <w:t xml:space="preserve">uge </w:t>
      </w:r>
      <w:r>
        <w:t>S</w:t>
      </w:r>
      <w:r w:rsidRPr="00831936">
        <w:t xml:space="preserve">ocial </w:t>
      </w:r>
      <w:r>
        <w:t>H</w:t>
      </w:r>
      <w:r w:rsidRPr="00831936">
        <w:t>arm in China</w:t>
      </w:r>
      <w:r>
        <w:t>,</w:t>
      </w:r>
      <w:r w:rsidRPr="00831936">
        <w:t xml:space="preserve">” </w:t>
      </w:r>
      <w:r w:rsidRPr="00FA2AEC">
        <w:rPr>
          <w:i/>
        </w:rPr>
        <w:t>The Economist</w:t>
      </w:r>
      <w:r>
        <w:t xml:space="preserve">, </w:t>
      </w:r>
      <w:r w:rsidRPr="00831936">
        <w:t xml:space="preserve">February 3, 2018, accessed July 25, 2018, </w:t>
      </w:r>
      <w:r w:rsidR="00237652" w:rsidRPr="00237652">
        <w:t>www.economist.com/china/2018/02/03/pyramid-schemes-cause-huge-social-harm-in-china</w:t>
      </w:r>
      <w:r w:rsidRPr="00831936">
        <w:t>.</w:t>
      </w:r>
    </w:p>
  </w:footnote>
  <w:footnote w:id="13">
    <w:p w14:paraId="448D02E3" w14:textId="3A9361F7" w:rsidR="009A5AD6" w:rsidRDefault="009A5AD6" w:rsidP="00831936">
      <w:pPr>
        <w:pStyle w:val="Footnote"/>
      </w:pPr>
      <w:r>
        <w:rPr>
          <w:vertAlign w:val="superscript"/>
        </w:rPr>
        <w:footnoteRef/>
      </w:r>
      <w:r>
        <w:rPr>
          <w:rFonts w:eastAsia="Arial Unicode MS"/>
        </w:rPr>
        <w:t xml:space="preserve"> “Oxfam </w:t>
      </w:r>
      <w:proofErr w:type="spellStart"/>
      <w:r>
        <w:rPr>
          <w:rFonts w:eastAsia="Arial Unicode MS"/>
        </w:rPr>
        <w:t>Trailwalker</w:t>
      </w:r>
      <w:proofErr w:type="spellEnd"/>
      <w:r>
        <w:rPr>
          <w:rFonts w:eastAsia="Arial Unicode MS"/>
        </w:rPr>
        <w:t xml:space="preserve"> Hong Kong,” Oxfam International, accessed November 30, 2017, </w:t>
      </w:r>
      <w:r w:rsidRPr="00831936">
        <w:rPr>
          <w:rFonts w:eastAsia="Arial Unicode MS"/>
        </w:rPr>
        <w:t>www.oxfam.org/en/oxfam-trailwalker/oxfam-trailwalker-hong-kong</w:t>
      </w:r>
      <w:r>
        <w:rPr>
          <w:rFonts w:eastAsia="Arial Unicode M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8761" w14:textId="7515CF5C" w:rsidR="009A5AD6" w:rsidRPr="00C92CC4" w:rsidRDefault="009A5AD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7A5C">
      <w:rPr>
        <w:rFonts w:ascii="Arial" w:hAnsi="Arial"/>
        <w:b/>
        <w:noProof/>
      </w:rPr>
      <w:t>11</w:t>
    </w:r>
    <w:r>
      <w:rPr>
        <w:rFonts w:ascii="Arial" w:hAnsi="Arial"/>
        <w:b/>
      </w:rPr>
      <w:fldChar w:fldCharType="end"/>
    </w:r>
    <w:r>
      <w:rPr>
        <w:rFonts w:ascii="Arial" w:hAnsi="Arial"/>
        <w:b/>
      </w:rPr>
      <w:tab/>
    </w:r>
    <w:r w:rsidR="0098376C">
      <w:rPr>
        <w:rFonts w:ascii="Arial" w:hAnsi="Arial"/>
        <w:b/>
      </w:rPr>
      <w:t>9B18N017</w:t>
    </w:r>
  </w:p>
  <w:p w14:paraId="317B8276" w14:textId="77777777" w:rsidR="009A5AD6" w:rsidRDefault="009A5AD6" w:rsidP="00D13667">
    <w:pPr>
      <w:pStyle w:val="Header"/>
      <w:tabs>
        <w:tab w:val="clear" w:pos="4680"/>
      </w:tabs>
      <w:rPr>
        <w:sz w:val="18"/>
        <w:szCs w:val="18"/>
      </w:rPr>
    </w:pPr>
  </w:p>
  <w:p w14:paraId="6A48A3D5" w14:textId="77777777" w:rsidR="009A5AD6" w:rsidRPr="00C92CC4" w:rsidRDefault="009A5AD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61E1A"/>
    <w:multiLevelType w:val="hybridMultilevel"/>
    <w:tmpl w:val="086205E2"/>
    <w:lvl w:ilvl="0" w:tplc="10090001">
      <w:start w:val="1"/>
      <w:numFmt w:val="bullet"/>
      <w:lvlText w:val=""/>
      <w:lvlJc w:val="left"/>
      <w:pPr>
        <w:ind w:left="144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AF49B54">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680F6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7A864D6">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1CCCEA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A452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1457C6">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3106C7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DA859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D4EAC"/>
    <w:multiLevelType w:val="hybridMultilevel"/>
    <w:tmpl w:val="A51CAC3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6"/>
  </w:num>
  <w:num w:numId="13">
    <w:abstractNumId w:val="15"/>
  </w:num>
  <w:num w:numId="14">
    <w:abstractNumId w:val="29"/>
  </w:num>
  <w:num w:numId="15">
    <w:abstractNumId w:val="37"/>
  </w:num>
  <w:num w:numId="16">
    <w:abstractNumId w:val="17"/>
  </w:num>
  <w:num w:numId="17">
    <w:abstractNumId w:val="25"/>
  </w:num>
  <w:num w:numId="18">
    <w:abstractNumId w:val="16"/>
  </w:num>
  <w:num w:numId="19">
    <w:abstractNumId w:val="21"/>
  </w:num>
  <w:num w:numId="20">
    <w:abstractNumId w:val="35"/>
  </w:num>
  <w:num w:numId="21">
    <w:abstractNumId w:val="27"/>
  </w:num>
  <w:num w:numId="22">
    <w:abstractNumId w:val="28"/>
  </w:num>
  <w:num w:numId="23">
    <w:abstractNumId w:val="10"/>
  </w:num>
  <w:num w:numId="24">
    <w:abstractNumId w:val="13"/>
  </w:num>
  <w:num w:numId="25">
    <w:abstractNumId w:val="39"/>
  </w:num>
  <w:num w:numId="26">
    <w:abstractNumId w:val="40"/>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9"/>
  </w:num>
  <w:num w:numId="41">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37EFF"/>
    <w:rsid w:val="00044ECC"/>
    <w:rsid w:val="000531D3"/>
    <w:rsid w:val="0005646B"/>
    <w:rsid w:val="00057979"/>
    <w:rsid w:val="00077B5B"/>
    <w:rsid w:val="0008102D"/>
    <w:rsid w:val="00082FB1"/>
    <w:rsid w:val="000875B7"/>
    <w:rsid w:val="00094C0E"/>
    <w:rsid w:val="00096C90"/>
    <w:rsid w:val="000A4B03"/>
    <w:rsid w:val="000D3813"/>
    <w:rsid w:val="000D7091"/>
    <w:rsid w:val="000E13E9"/>
    <w:rsid w:val="000F0C22"/>
    <w:rsid w:val="000F6B09"/>
    <w:rsid w:val="000F6FDC"/>
    <w:rsid w:val="00104567"/>
    <w:rsid w:val="00104916"/>
    <w:rsid w:val="00104AA7"/>
    <w:rsid w:val="001115EA"/>
    <w:rsid w:val="0012732D"/>
    <w:rsid w:val="00134330"/>
    <w:rsid w:val="00143F25"/>
    <w:rsid w:val="00152682"/>
    <w:rsid w:val="00152F37"/>
    <w:rsid w:val="00154FC9"/>
    <w:rsid w:val="00164BC5"/>
    <w:rsid w:val="0019241A"/>
    <w:rsid w:val="001A22D1"/>
    <w:rsid w:val="001A5DF3"/>
    <w:rsid w:val="001A752D"/>
    <w:rsid w:val="001A757E"/>
    <w:rsid w:val="001B5032"/>
    <w:rsid w:val="001C2808"/>
    <w:rsid w:val="001C7777"/>
    <w:rsid w:val="001E364F"/>
    <w:rsid w:val="001F4222"/>
    <w:rsid w:val="001F6300"/>
    <w:rsid w:val="00203AA1"/>
    <w:rsid w:val="00206A82"/>
    <w:rsid w:val="00213E98"/>
    <w:rsid w:val="0023081A"/>
    <w:rsid w:val="00236B20"/>
    <w:rsid w:val="00237652"/>
    <w:rsid w:val="00237CE6"/>
    <w:rsid w:val="00254F19"/>
    <w:rsid w:val="002739F3"/>
    <w:rsid w:val="00292ABD"/>
    <w:rsid w:val="00293E4E"/>
    <w:rsid w:val="002A0C11"/>
    <w:rsid w:val="002B692B"/>
    <w:rsid w:val="002D7B7E"/>
    <w:rsid w:val="002F460C"/>
    <w:rsid w:val="002F48D6"/>
    <w:rsid w:val="00317391"/>
    <w:rsid w:val="00326216"/>
    <w:rsid w:val="00336580"/>
    <w:rsid w:val="00343E74"/>
    <w:rsid w:val="0034568A"/>
    <w:rsid w:val="00354899"/>
    <w:rsid w:val="00355FD6"/>
    <w:rsid w:val="00364A5C"/>
    <w:rsid w:val="00373FB1"/>
    <w:rsid w:val="00396C76"/>
    <w:rsid w:val="003B30D8"/>
    <w:rsid w:val="003B7EF2"/>
    <w:rsid w:val="003C3FA4"/>
    <w:rsid w:val="003C67FB"/>
    <w:rsid w:val="003D0BA1"/>
    <w:rsid w:val="003F2B0C"/>
    <w:rsid w:val="00402205"/>
    <w:rsid w:val="004105B2"/>
    <w:rsid w:val="00412900"/>
    <w:rsid w:val="004221E4"/>
    <w:rsid w:val="0042232F"/>
    <w:rsid w:val="004273F8"/>
    <w:rsid w:val="004355A3"/>
    <w:rsid w:val="00446546"/>
    <w:rsid w:val="00452769"/>
    <w:rsid w:val="00465348"/>
    <w:rsid w:val="00486D96"/>
    <w:rsid w:val="004B1CCB"/>
    <w:rsid w:val="004B632F"/>
    <w:rsid w:val="004D3FB1"/>
    <w:rsid w:val="004D6F21"/>
    <w:rsid w:val="004D73A5"/>
    <w:rsid w:val="004E60A8"/>
    <w:rsid w:val="004F043A"/>
    <w:rsid w:val="004F1D73"/>
    <w:rsid w:val="004F459B"/>
    <w:rsid w:val="005160F1"/>
    <w:rsid w:val="0052362D"/>
    <w:rsid w:val="00524F2F"/>
    <w:rsid w:val="00527E5C"/>
    <w:rsid w:val="00532CF5"/>
    <w:rsid w:val="0053789D"/>
    <w:rsid w:val="005528CB"/>
    <w:rsid w:val="00552DEA"/>
    <w:rsid w:val="0055490A"/>
    <w:rsid w:val="00554CD6"/>
    <w:rsid w:val="00566771"/>
    <w:rsid w:val="00581E2E"/>
    <w:rsid w:val="0058262B"/>
    <w:rsid w:val="00584F15"/>
    <w:rsid w:val="0059514B"/>
    <w:rsid w:val="005A1B0F"/>
    <w:rsid w:val="005E6CE8"/>
    <w:rsid w:val="005F63A3"/>
    <w:rsid w:val="006163F7"/>
    <w:rsid w:val="006201A4"/>
    <w:rsid w:val="00627C63"/>
    <w:rsid w:val="0063350B"/>
    <w:rsid w:val="00647A5C"/>
    <w:rsid w:val="00652606"/>
    <w:rsid w:val="006529D4"/>
    <w:rsid w:val="00656BF7"/>
    <w:rsid w:val="00683D9A"/>
    <w:rsid w:val="0069233C"/>
    <w:rsid w:val="006946EE"/>
    <w:rsid w:val="006A58A9"/>
    <w:rsid w:val="006A606D"/>
    <w:rsid w:val="006C0371"/>
    <w:rsid w:val="006C08B6"/>
    <w:rsid w:val="006C0B1A"/>
    <w:rsid w:val="006C6065"/>
    <w:rsid w:val="006C7F9F"/>
    <w:rsid w:val="006E1B90"/>
    <w:rsid w:val="006E2F6D"/>
    <w:rsid w:val="006E58F6"/>
    <w:rsid w:val="006E77E1"/>
    <w:rsid w:val="006F131D"/>
    <w:rsid w:val="006F75FD"/>
    <w:rsid w:val="00711642"/>
    <w:rsid w:val="007222A5"/>
    <w:rsid w:val="007302F3"/>
    <w:rsid w:val="007507C6"/>
    <w:rsid w:val="00751E0B"/>
    <w:rsid w:val="00752BCD"/>
    <w:rsid w:val="00766DA1"/>
    <w:rsid w:val="00780D94"/>
    <w:rsid w:val="00784744"/>
    <w:rsid w:val="007866A6"/>
    <w:rsid w:val="007A130D"/>
    <w:rsid w:val="007A6D1D"/>
    <w:rsid w:val="007C02C6"/>
    <w:rsid w:val="007D051E"/>
    <w:rsid w:val="007D1A2D"/>
    <w:rsid w:val="007D4102"/>
    <w:rsid w:val="007E3637"/>
    <w:rsid w:val="007F43B7"/>
    <w:rsid w:val="007F62F0"/>
    <w:rsid w:val="00821FFC"/>
    <w:rsid w:val="008271CA"/>
    <w:rsid w:val="00831936"/>
    <w:rsid w:val="008467D5"/>
    <w:rsid w:val="0085233E"/>
    <w:rsid w:val="00857AF5"/>
    <w:rsid w:val="008803B6"/>
    <w:rsid w:val="00897BB3"/>
    <w:rsid w:val="008A4DC4"/>
    <w:rsid w:val="008B438C"/>
    <w:rsid w:val="008D06CA"/>
    <w:rsid w:val="008D3A46"/>
    <w:rsid w:val="008F1647"/>
    <w:rsid w:val="008F7496"/>
    <w:rsid w:val="00900F38"/>
    <w:rsid w:val="009067A4"/>
    <w:rsid w:val="00930885"/>
    <w:rsid w:val="009316EF"/>
    <w:rsid w:val="00932080"/>
    <w:rsid w:val="00933D68"/>
    <w:rsid w:val="009340DB"/>
    <w:rsid w:val="0094618C"/>
    <w:rsid w:val="00946B3E"/>
    <w:rsid w:val="0095684B"/>
    <w:rsid w:val="00972498"/>
    <w:rsid w:val="0097481F"/>
    <w:rsid w:val="00974CC6"/>
    <w:rsid w:val="00976AD4"/>
    <w:rsid w:val="0098376C"/>
    <w:rsid w:val="00995547"/>
    <w:rsid w:val="009A312F"/>
    <w:rsid w:val="009A5348"/>
    <w:rsid w:val="009A5AD6"/>
    <w:rsid w:val="009A6894"/>
    <w:rsid w:val="009B0AB7"/>
    <w:rsid w:val="009B6354"/>
    <w:rsid w:val="009C76D5"/>
    <w:rsid w:val="009D1BD2"/>
    <w:rsid w:val="009F7AA4"/>
    <w:rsid w:val="00A10AD7"/>
    <w:rsid w:val="00A158D0"/>
    <w:rsid w:val="00A559DB"/>
    <w:rsid w:val="00A569EA"/>
    <w:rsid w:val="00A6134D"/>
    <w:rsid w:val="00A62FC5"/>
    <w:rsid w:val="00A63A23"/>
    <w:rsid w:val="00A81624"/>
    <w:rsid w:val="00AB51EE"/>
    <w:rsid w:val="00AB68CD"/>
    <w:rsid w:val="00AC1675"/>
    <w:rsid w:val="00AF35FC"/>
    <w:rsid w:val="00AF5556"/>
    <w:rsid w:val="00B03639"/>
    <w:rsid w:val="00B0652A"/>
    <w:rsid w:val="00B06DCE"/>
    <w:rsid w:val="00B17CE8"/>
    <w:rsid w:val="00B40937"/>
    <w:rsid w:val="00B423EF"/>
    <w:rsid w:val="00B453DE"/>
    <w:rsid w:val="00B64F5A"/>
    <w:rsid w:val="00B65A8A"/>
    <w:rsid w:val="00B72597"/>
    <w:rsid w:val="00B901F9"/>
    <w:rsid w:val="00BD6EFB"/>
    <w:rsid w:val="00C1584D"/>
    <w:rsid w:val="00C15BE2"/>
    <w:rsid w:val="00C22C54"/>
    <w:rsid w:val="00C245B9"/>
    <w:rsid w:val="00C266DB"/>
    <w:rsid w:val="00C31645"/>
    <w:rsid w:val="00C3447F"/>
    <w:rsid w:val="00C67102"/>
    <w:rsid w:val="00C81491"/>
    <w:rsid w:val="00C81676"/>
    <w:rsid w:val="00C85C5D"/>
    <w:rsid w:val="00C92CC4"/>
    <w:rsid w:val="00CA0AFB"/>
    <w:rsid w:val="00CA2627"/>
    <w:rsid w:val="00CA2CE1"/>
    <w:rsid w:val="00CA3976"/>
    <w:rsid w:val="00CA50E3"/>
    <w:rsid w:val="00CA757B"/>
    <w:rsid w:val="00CC1787"/>
    <w:rsid w:val="00CC182C"/>
    <w:rsid w:val="00CD0824"/>
    <w:rsid w:val="00CD2908"/>
    <w:rsid w:val="00CD7D32"/>
    <w:rsid w:val="00CE42B3"/>
    <w:rsid w:val="00D03A82"/>
    <w:rsid w:val="00D04EBF"/>
    <w:rsid w:val="00D13667"/>
    <w:rsid w:val="00D15344"/>
    <w:rsid w:val="00D23F57"/>
    <w:rsid w:val="00D31BEC"/>
    <w:rsid w:val="00D4274B"/>
    <w:rsid w:val="00D504BB"/>
    <w:rsid w:val="00D63150"/>
    <w:rsid w:val="00D636BA"/>
    <w:rsid w:val="00D64A32"/>
    <w:rsid w:val="00D64EFC"/>
    <w:rsid w:val="00D75295"/>
    <w:rsid w:val="00D76CE9"/>
    <w:rsid w:val="00D97F12"/>
    <w:rsid w:val="00DA6095"/>
    <w:rsid w:val="00DB02CF"/>
    <w:rsid w:val="00DB1CF2"/>
    <w:rsid w:val="00DB42E7"/>
    <w:rsid w:val="00DE01A6"/>
    <w:rsid w:val="00DE7A98"/>
    <w:rsid w:val="00DF32C2"/>
    <w:rsid w:val="00DF5787"/>
    <w:rsid w:val="00E07E8C"/>
    <w:rsid w:val="00E13F0F"/>
    <w:rsid w:val="00E409D9"/>
    <w:rsid w:val="00E471A7"/>
    <w:rsid w:val="00E635CF"/>
    <w:rsid w:val="00E653FA"/>
    <w:rsid w:val="00E67078"/>
    <w:rsid w:val="00EC6E0A"/>
    <w:rsid w:val="00ED0362"/>
    <w:rsid w:val="00ED2F0C"/>
    <w:rsid w:val="00ED4E18"/>
    <w:rsid w:val="00EE1F37"/>
    <w:rsid w:val="00F0159C"/>
    <w:rsid w:val="00F105B7"/>
    <w:rsid w:val="00F13220"/>
    <w:rsid w:val="00F17A21"/>
    <w:rsid w:val="00F37B27"/>
    <w:rsid w:val="00F46556"/>
    <w:rsid w:val="00F50E91"/>
    <w:rsid w:val="00F52810"/>
    <w:rsid w:val="00F57D29"/>
    <w:rsid w:val="00F90D48"/>
    <w:rsid w:val="00F96201"/>
    <w:rsid w:val="00FA5BAE"/>
    <w:rsid w:val="00FD0B18"/>
    <w:rsid w:val="00FD2FAD"/>
    <w:rsid w:val="00FD4C0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CD6DDC"/>
  <w15:docId w15:val="{016FEC4D-3CF8-4395-8786-6CB76C6A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yperlink0">
    <w:name w:val="Hyperlink.0"/>
    <w:basedOn w:val="Hyperlink"/>
    <w:rsid w:val="00831936"/>
    <w:rPr>
      <w:color w:val="0000FF"/>
      <w:u w:val="single" w:color="0000FF"/>
    </w:rPr>
  </w:style>
  <w:style w:type="table" w:customStyle="1" w:styleId="TableGrid1">
    <w:name w:val="Table Grid1"/>
    <w:basedOn w:val="TableNormal"/>
    <w:next w:val="TableGrid"/>
    <w:uiPriority w:val="39"/>
    <w:rsid w:val="0083193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349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bJy" TargetMode="External"/><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3" Type="http://schemas.openxmlformats.org/officeDocument/2006/relationships/hyperlink" Target="https://bitcoin.org/en/" TargetMode="External"/><Relationship Id="rId2" Type="http://schemas.openxmlformats.org/officeDocument/2006/relationships/hyperlink" Target="https://www.safaricom.co.ke/personal/m-pesa" TargetMode="External"/><Relationship Id="rId1" Type="http://schemas.openxmlformats.org/officeDocument/2006/relationships/hyperlink" Target="http://www.economist.com/node/14493098" TargetMode="External"/><Relationship Id="rId6" Type="http://schemas.openxmlformats.org/officeDocument/2006/relationships/hyperlink" Target="http://occupywallst.org/" TargetMode="External"/><Relationship Id="rId5" Type="http://schemas.openxmlformats.org/officeDocument/2006/relationships/hyperlink" Target="http://www.zopa.com/" TargetMode="External"/><Relationship Id="rId4" Type="http://schemas.openxmlformats.org/officeDocument/2006/relationships/hyperlink" Target="https://transferw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C8936-5287-41B3-88E8-D47F3367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3</cp:revision>
  <cp:lastPrinted>2015-03-04T19:34:00Z</cp:lastPrinted>
  <dcterms:created xsi:type="dcterms:W3CDTF">2018-11-02T18:21:00Z</dcterms:created>
  <dcterms:modified xsi:type="dcterms:W3CDTF">2019-06-25T12:23:00Z</dcterms:modified>
</cp:coreProperties>
</file>