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E77DE7" w14:paraId="5793E145" w14:textId="77777777" w:rsidTr="00C26D74">
        <w:tc>
          <w:tcPr>
            <w:tcW w:w="4788" w:type="dxa"/>
          </w:tcPr>
          <w:p w14:paraId="33C47D44" w14:textId="77777777" w:rsidR="00E77DE7" w:rsidRDefault="00E77DE7" w:rsidP="00C26D74">
            <w:pPr>
              <w:tabs>
                <w:tab w:val="left" w:pos="-1440"/>
                <w:tab w:val="left" w:pos="-720"/>
                <w:tab w:val="left" w:pos="1"/>
              </w:tabs>
              <w:jc w:val="both"/>
              <w:rPr>
                <w:rFonts w:ascii="Arial" w:hAnsi="Arial"/>
                <w:b/>
                <w:sz w:val="24"/>
              </w:rPr>
            </w:pPr>
            <w:r w:rsidRPr="00521B55">
              <w:rPr>
                <w:rFonts w:ascii="Arial" w:hAnsi="Arial"/>
                <w:b/>
                <w:noProof/>
                <w:sz w:val="24"/>
                <w:lang w:val="en-US"/>
              </w:rPr>
              <w:drawing>
                <wp:inline distT="0" distB="0" distL="0" distR="0" wp14:anchorId="32C2F621" wp14:editId="7C690C14">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14067A70" w14:textId="77777777" w:rsidR="00E77DE7" w:rsidRDefault="00E77DE7" w:rsidP="00C26D74">
            <w:pPr>
              <w:tabs>
                <w:tab w:val="left" w:pos="-1440"/>
                <w:tab w:val="left" w:pos="-720"/>
                <w:tab w:val="left" w:pos="1"/>
              </w:tabs>
              <w:jc w:val="both"/>
              <w:rPr>
                <w:rFonts w:ascii="Arial" w:hAnsi="Arial"/>
                <w:b/>
                <w:sz w:val="24"/>
              </w:rPr>
            </w:pPr>
            <w:r>
              <w:rPr>
                <w:rFonts w:ascii="Arial" w:hAnsi="Arial"/>
                <w:b/>
                <w:noProof/>
                <w:sz w:val="24"/>
                <w:lang w:val="en-US"/>
              </w:rPr>
              <w:drawing>
                <wp:anchor distT="0" distB="0" distL="114300" distR="114300" simplePos="0" relativeHeight="251659264" behindDoc="1" locked="0" layoutInCell="1" allowOverlap="1" wp14:anchorId="65014F07" wp14:editId="7E41B1CE">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F35F1F3" w14:textId="77777777" w:rsidR="00E77DE7" w:rsidRPr="00441F90" w:rsidRDefault="00E77DE7" w:rsidP="00E77DE7">
      <w:pPr>
        <w:pBdr>
          <w:bottom w:val="single" w:sz="18" w:space="1" w:color="auto"/>
        </w:pBdr>
        <w:tabs>
          <w:tab w:val="left" w:pos="-1440"/>
          <w:tab w:val="left" w:pos="-720"/>
          <w:tab w:val="left" w:pos="1"/>
        </w:tabs>
        <w:jc w:val="both"/>
        <w:rPr>
          <w:rFonts w:ascii="Arial" w:hAnsi="Arial"/>
          <w:b/>
          <w:sz w:val="2"/>
          <w:szCs w:val="2"/>
          <w:lang w:val="en-CA"/>
        </w:rPr>
      </w:pPr>
    </w:p>
    <w:p w14:paraId="338FE7F8" w14:textId="7EB0895D" w:rsidR="00E77DE7" w:rsidRPr="00007B22" w:rsidRDefault="005C63F8" w:rsidP="00E77DE7">
      <w:pPr>
        <w:pStyle w:val="ProductNumber"/>
        <w:rPr>
          <w:lang w:val="en-CA"/>
        </w:rPr>
      </w:pPr>
      <w:r>
        <w:rPr>
          <w:lang w:val="en-CA"/>
        </w:rPr>
        <w:t>9B18N018</w:t>
      </w:r>
    </w:p>
    <w:p w14:paraId="70F6F94F" w14:textId="19B3216E" w:rsidR="008B6CC6" w:rsidRPr="00444C9A" w:rsidRDefault="008B6CC6" w:rsidP="00D75295">
      <w:pPr>
        <w:jc w:val="right"/>
        <w:rPr>
          <w:rFonts w:ascii="Arial" w:hAnsi="Arial"/>
          <w:b/>
          <w:sz w:val="28"/>
        </w:rPr>
      </w:pPr>
    </w:p>
    <w:p w14:paraId="627D05AC" w14:textId="0C1F3069" w:rsidR="000B4ECA" w:rsidRPr="00444C9A" w:rsidRDefault="00441743" w:rsidP="005E5021">
      <w:pPr>
        <w:pStyle w:val="CaseTitle"/>
        <w:spacing w:after="0" w:line="240" w:lineRule="auto"/>
        <w:outlineLvl w:val="0"/>
      </w:pPr>
      <w:r w:rsidRPr="00444C9A">
        <w:rPr>
          <w:smallCaps/>
        </w:rPr>
        <w:t>S</w:t>
      </w:r>
      <w:r w:rsidR="0079599D">
        <w:rPr>
          <w:smallCaps/>
        </w:rPr>
        <w:t>INGAPORE AIRLINES</w:t>
      </w:r>
      <w:r w:rsidR="00543C99">
        <w:rPr>
          <w:smallCaps/>
        </w:rPr>
        <w:t xml:space="preserve"> Limited</w:t>
      </w:r>
      <w:r w:rsidR="00E65477">
        <w:rPr>
          <w:smallCaps/>
        </w:rPr>
        <w:t>’</w:t>
      </w:r>
      <w:r w:rsidR="00543C99">
        <w:rPr>
          <w:smallCaps/>
        </w:rPr>
        <w:t>s</w:t>
      </w:r>
      <w:r w:rsidR="0079599D">
        <w:rPr>
          <w:smallCaps/>
        </w:rPr>
        <w:t xml:space="preserve"> </w:t>
      </w:r>
      <w:r w:rsidR="006630E6" w:rsidRPr="00444C9A">
        <w:rPr>
          <w:smallCaps/>
        </w:rPr>
        <w:t>DIVIDEND</w:t>
      </w:r>
      <w:r w:rsidR="003A1391" w:rsidRPr="00444C9A">
        <w:rPr>
          <w:smallCaps/>
        </w:rPr>
        <w:t>S</w:t>
      </w:r>
      <w:r w:rsidR="000B4ECA" w:rsidRPr="00444C9A">
        <w:rPr>
          <w:rStyle w:val="EndnoteReference"/>
        </w:rPr>
        <w:endnoteReference w:id="1"/>
      </w:r>
    </w:p>
    <w:p w14:paraId="714F70A5" w14:textId="77777777" w:rsidR="000B4ECA" w:rsidRPr="00444C9A" w:rsidRDefault="000B4ECA" w:rsidP="00013360">
      <w:pPr>
        <w:pStyle w:val="CaseTitle"/>
        <w:spacing w:after="0" w:line="240" w:lineRule="auto"/>
        <w:rPr>
          <w:sz w:val="20"/>
        </w:rPr>
      </w:pPr>
    </w:p>
    <w:p w14:paraId="3F52151A" w14:textId="77777777" w:rsidR="000B4ECA" w:rsidRPr="00444C9A" w:rsidRDefault="000B4ECA" w:rsidP="00013360">
      <w:pPr>
        <w:pStyle w:val="CaseTitle"/>
        <w:spacing w:after="0" w:line="240" w:lineRule="auto"/>
        <w:rPr>
          <w:sz w:val="20"/>
        </w:rPr>
      </w:pPr>
    </w:p>
    <w:p w14:paraId="4B005844" w14:textId="77777777" w:rsidR="000B4ECA" w:rsidRPr="00444C9A" w:rsidRDefault="000B4ECA" w:rsidP="00104567">
      <w:pPr>
        <w:pStyle w:val="StyleCopyrightStatementAfter0ptBottomSinglesolidline1"/>
      </w:pPr>
      <w:r w:rsidRPr="00444C9A">
        <w:t xml:space="preserve">Emir </w:t>
      </w:r>
      <w:proofErr w:type="spellStart"/>
      <w:r w:rsidRPr="00444C9A">
        <w:t>Hrnjić</w:t>
      </w:r>
      <w:proofErr w:type="spellEnd"/>
      <w:r w:rsidRPr="00444C9A">
        <w:t xml:space="preserve"> and David </w:t>
      </w:r>
      <w:proofErr w:type="spellStart"/>
      <w:r w:rsidRPr="00444C9A">
        <w:t>Reeb</w:t>
      </w:r>
      <w:proofErr w:type="spellEnd"/>
      <w:r w:rsidRPr="00444C9A">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67471007" w14:textId="77777777" w:rsidR="000B4ECA" w:rsidRPr="00444C9A" w:rsidRDefault="000B4ECA" w:rsidP="00104567">
      <w:pPr>
        <w:pStyle w:val="StyleCopyrightStatementAfter0ptBottomSinglesolidline1"/>
      </w:pPr>
    </w:p>
    <w:p w14:paraId="6C9D3560" w14:textId="77777777" w:rsidR="000B4ECA" w:rsidRDefault="000B4ECA" w:rsidP="00E77DE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6158D26" w14:textId="77777777" w:rsidR="000B4ECA" w:rsidRDefault="000B4ECA" w:rsidP="00E77DE7">
      <w:pPr>
        <w:pStyle w:val="StyleCopyrightStatementAfter0ptBottomSinglesolidline1"/>
        <w:pBdr>
          <w:top w:val="none" w:sz="0" w:space="0" w:color="auto"/>
        </w:pBdr>
      </w:pPr>
    </w:p>
    <w:p w14:paraId="14A153A0" w14:textId="18543D5A" w:rsidR="000B4ECA" w:rsidRPr="00444C9A" w:rsidRDefault="000B4ECA" w:rsidP="00E77DE7">
      <w:pPr>
        <w:pStyle w:val="StyleStyleCopyrightStatementAfter0ptBottomSinglesolid"/>
        <w:outlineLvl w:val="0"/>
      </w:pPr>
      <w:r>
        <w:t xml:space="preserve">Copyright © 2018, </w:t>
      </w:r>
      <w:r w:rsidRPr="004415A3">
        <w:rPr>
          <w:lang w:val="en-CA"/>
        </w:rPr>
        <w:t>National University of Singapore and Ivey School of Business Foundation</w:t>
      </w:r>
      <w:r w:rsidRPr="00007B22">
        <w:rPr>
          <w:lang w:val="en-CA"/>
        </w:rPr>
        <w:tab/>
        <w:t xml:space="preserve">Version: </w:t>
      </w:r>
      <w:r w:rsidR="00EA6E19">
        <w:rPr>
          <w:lang w:val="en-CA"/>
        </w:rPr>
        <w:t>2022-04-20</w:t>
      </w:r>
    </w:p>
    <w:p w14:paraId="0C11DDF8" w14:textId="77777777" w:rsidR="000B4ECA" w:rsidRPr="000B4ECA" w:rsidRDefault="000B4ECA" w:rsidP="00104567">
      <w:pPr>
        <w:pStyle w:val="StyleCopyrightStatementAfter0ptBottomSinglesolidline1"/>
        <w:rPr>
          <w:rFonts w:ascii="Times New Roman" w:hAnsi="Times New Roman"/>
          <w:sz w:val="18"/>
        </w:rPr>
      </w:pPr>
    </w:p>
    <w:p w14:paraId="247D3974" w14:textId="77777777" w:rsidR="000B4ECA" w:rsidRPr="000B4ECA" w:rsidRDefault="000B4ECA" w:rsidP="0079599D">
      <w:pPr>
        <w:pStyle w:val="BodyTextMain"/>
        <w:rPr>
          <w:sz w:val="20"/>
        </w:rPr>
      </w:pPr>
    </w:p>
    <w:p w14:paraId="04670C14" w14:textId="1E84CAF3" w:rsidR="000B4ECA" w:rsidRDefault="000B4ECA" w:rsidP="00007DB1">
      <w:pPr>
        <w:pStyle w:val="BodyTextMain"/>
        <w:rPr>
          <w:rFonts w:eastAsiaTheme="minorHAnsi"/>
        </w:rPr>
      </w:pPr>
      <w:r w:rsidRPr="00444C9A">
        <w:rPr>
          <w:rFonts w:eastAsiaTheme="minorHAnsi"/>
        </w:rPr>
        <w:t xml:space="preserve">On May 1, 2016, analyst Sofia </w:t>
      </w:r>
      <w:proofErr w:type="spellStart"/>
      <w:r w:rsidRPr="00444C9A">
        <w:rPr>
          <w:rFonts w:eastAsiaTheme="minorHAnsi"/>
        </w:rPr>
        <w:t>Mudambi</w:t>
      </w:r>
      <w:proofErr w:type="spellEnd"/>
      <w:r w:rsidRPr="00444C9A">
        <w:rPr>
          <w:rFonts w:eastAsiaTheme="minorHAnsi"/>
        </w:rPr>
        <w:t xml:space="preserve"> </w:t>
      </w:r>
      <w:r>
        <w:rPr>
          <w:rFonts w:eastAsiaTheme="minorHAnsi"/>
        </w:rPr>
        <w:t>was considering</w:t>
      </w:r>
      <w:r w:rsidRPr="00444C9A">
        <w:rPr>
          <w:rFonts w:eastAsiaTheme="minorHAnsi"/>
        </w:rPr>
        <w:t xml:space="preserve"> how to interpret </w:t>
      </w:r>
      <w:r>
        <w:rPr>
          <w:rFonts w:eastAsiaTheme="minorHAnsi"/>
        </w:rPr>
        <w:t xml:space="preserve">the dividend policy of </w:t>
      </w:r>
      <w:r w:rsidRPr="00444C9A">
        <w:rPr>
          <w:rFonts w:eastAsiaTheme="minorHAnsi"/>
        </w:rPr>
        <w:t xml:space="preserve">Singapore Airlines </w:t>
      </w:r>
      <w:r>
        <w:rPr>
          <w:rFonts w:eastAsiaTheme="minorHAnsi"/>
        </w:rPr>
        <w:t xml:space="preserve">Limited (Singapore Airlines) </w:t>
      </w:r>
      <w:r w:rsidRPr="00444C9A">
        <w:rPr>
          <w:rFonts w:eastAsiaTheme="minorHAnsi"/>
        </w:rPr>
        <w:t xml:space="preserve">and how to forecast </w:t>
      </w:r>
      <w:r>
        <w:rPr>
          <w:rFonts w:eastAsiaTheme="minorHAnsi"/>
        </w:rPr>
        <w:t>the company’s</w:t>
      </w:r>
      <w:r w:rsidRPr="00444C9A">
        <w:rPr>
          <w:rFonts w:eastAsiaTheme="minorHAnsi"/>
        </w:rPr>
        <w:t xml:space="preserve"> upcoming dividend. Singapore Airlines traditionally announced </w:t>
      </w:r>
      <w:r>
        <w:rPr>
          <w:rFonts w:eastAsiaTheme="minorHAnsi"/>
        </w:rPr>
        <w:t>its</w:t>
      </w:r>
      <w:r w:rsidRPr="00444C9A">
        <w:rPr>
          <w:rFonts w:eastAsiaTheme="minorHAnsi"/>
        </w:rPr>
        <w:t xml:space="preserve"> dividends in the first half of May, indicating that </w:t>
      </w:r>
      <w:proofErr w:type="spellStart"/>
      <w:r>
        <w:rPr>
          <w:rFonts w:eastAsiaTheme="minorHAnsi"/>
        </w:rPr>
        <w:t>Mudambi</w:t>
      </w:r>
      <w:proofErr w:type="spellEnd"/>
      <w:r w:rsidRPr="00444C9A">
        <w:rPr>
          <w:rFonts w:eastAsiaTheme="minorHAnsi"/>
        </w:rPr>
        <w:t xml:space="preserve"> had only several days to work on her prediction. </w:t>
      </w:r>
    </w:p>
    <w:p w14:paraId="42830FE2" w14:textId="77777777" w:rsidR="000B4ECA" w:rsidRDefault="000B4ECA" w:rsidP="00007DB1">
      <w:pPr>
        <w:pStyle w:val="BodyTextMain"/>
        <w:rPr>
          <w:rFonts w:eastAsiaTheme="minorHAnsi"/>
        </w:rPr>
      </w:pPr>
    </w:p>
    <w:p w14:paraId="7ABDB0EE" w14:textId="64EC6951" w:rsidR="000B4ECA" w:rsidRPr="00444C9A" w:rsidRDefault="000B4ECA" w:rsidP="00007DB1">
      <w:pPr>
        <w:pStyle w:val="BodyTextMain"/>
        <w:rPr>
          <w:rFonts w:eastAsiaTheme="minorHAnsi"/>
        </w:rPr>
      </w:pPr>
      <w:r w:rsidRPr="00444C9A">
        <w:rPr>
          <w:rFonts w:eastAsiaTheme="minorHAnsi"/>
        </w:rPr>
        <w:t xml:space="preserve">Recently hired in the transportation group at Raffles Asset Management and assigned to help assess the fund’s potential investment in Singapore Airlines, </w:t>
      </w:r>
      <w:proofErr w:type="spellStart"/>
      <w:r>
        <w:rPr>
          <w:rFonts w:eastAsiaTheme="minorHAnsi"/>
        </w:rPr>
        <w:t>Mudambi</w:t>
      </w:r>
      <w:proofErr w:type="spellEnd"/>
      <w:r w:rsidRPr="00444C9A">
        <w:rPr>
          <w:rFonts w:eastAsiaTheme="minorHAnsi"/>
        </w:rPr>
        <w:t xml:space="preserve"> was tasked with writing a report on the firm’s dividend choices. Unfortunately, Singapore Airlines did not provide any information about how </w:t>
      </w:r>
      <w:r>
        <w:rPr>
          <w:rFonts w:eastAsiaTheme="minorHAnsi"/>
        </w:rPr>
        <w:t>it</w:t>
      </w:r>
      <w:r w:rsidRPr="00444C9A">
        <w:rPr>
          <w:rFonts w:eastAsiaTheme="minorHAnsi"/>
        </w:rPr>
        <w:t xml:space="preserve"> decided on the dividends and why </w:t>
      </w:r>
      <w:r>
        <w:rPr>
          <w:rFonts w:eastAsiaTheme="minorHAnsi"/>
        </w:rPr>
        <w:t>it</w:t>
      </w:r>
      <w:r w:rsidRPr="00444C9A">
        <w:rPr>
          <w:rFonts w:eastAsiaTheme="minorHAnsi"/>
        </w:rPr>
        <w:t xml:space="preserve"> sometimes paid extra dividends. While most companies maintained stable, transparent</w:t>
      </w:r>
      <w:r>
        <w:rPr>
          <w:rFonts w:eastAsiaTheme="minorHAnsi"/>
        </w:rPr>
        <w:t>,</w:t>
      </w:r>
      <w:r w:rsidRPr="00444C9A">
        <w:rPr>
          <w:rFonts w:eastAsiaTheme="minorHAnsi"/>
        </w:rPr>
        <w:t xml:space="preserve"> and simple dividend policies, Singapore Airlines</w:t>
      </w:r>
      <w:r>
        <w:rPr>
          <w:rFonts w:eastAsiaTheme="minorHAnsi"/>
        </w:rPr>
        <w:t>’</w:t>
      </w:r>
      <w:r w:rsidRPr="00444C9A">
        <w:rPr>
          <w:rFonts w:eastAsiaTheme="minorHAnsi"/>
        </w:rPr>
        <w:t xml:space="preserve"> dividend history looked irregular. </w:t>
      </w:r>
      <w:proofErr w:type="spellStart"/>
      <w:r>
        <w:rPr>
          <w:rFonts w:eastAsiaTheme="minorHAnsi"/>
        </w:rPr>
        <w:t>Mudambi</w:t>
      </w:r>
      <w:proofErr w:type="spellEnd"/>
      <w:r w:rsidRPr="00444C9A">
        <w:rPr>
          <w:rFonts w:eastAsiaTheme="minorHAnsi"/>
        </w:rPr>
        <w:t xml:space="preserve"> decided to gather historical data about the company and its competitors to gain insights on Singapore Airlines’ dividend policy and to forecast its upcoming dividend.</w:t>
      </w:r>
    </w:p>
    <w:p w14:paraId="5A39A321" w14:textId="77777777" w:rsidR="000B4ECA" w:rsidRPr="00444C9A" w:rsidRDefault="000B4ECA" w:rsidP="00007DB1">
      <w:pPr>
        <w:pStyle w:val="BodyTextMain"/>
        <w:rPr>
          <w:rFonts w:eastAsiaTheme="minorHAnsi"/>
        </w:rPr>
      </w:pPr>
    </w:p>
    <w:p w14:paraId="09B8287C" w14:textId="77777777" w:rsidR="000B4ECA" w:rsidRPr="00444C9A" w:rsidRDefault="000B4ECA" w:rsidP="005943BD">
      <w:pPr>
        <w:pStyle w:val="BodyTextMain"/>
        <w:rPr>
          <w:rFonts w:eastAsiaTheme="minorHAnsi"/>
        </w:rPr>
      </w:pPr>
    </w:p>
    <w:p w14:paraId="78F5E3A0" w14:textId="77777777" w:rsidR="000B4ECA" w:rsidRPr="00444C9A" w:rsidRDefault="000B4ECA" w:rsidP="005E5021">
      <w:pPr>
        <w:pStyle w:val="Casehead1"/>
        <w:outlineLvl w:val="0"/>
      </w:pPr>
      <w:r w:rsidRPr="00444C9A">
        <w:t>SINGAPORE AIRLINES</w:t>
      </w:r>
    </w:p>
    <w:p w14:paraId="0C2A7560" w14:textId="77777777" w:rsidR="000B4ECA" w:rsidRPr="00444C9A" w:rsidRDefault="000B4ECA" w:rsidP="005943BD">
      <w:pPr>
        <w:pStyle w:val="BodyTextMain"/>
      </w:pPr>
    </w:p>
    <w:p w14:paraId="53E5AE47" w14:textId="610FABF0" w:rsidR="000B4ECA" w:rsidRPr="00444C9A" w:rsidRDefault="000B4ECA" w:rsidP="005943BD">
      <w:pPr>
        <w:pStyle w:val="BodyTextMain"/>
        <w:rPr>
          <w:rFonts w:eastAsia="SimSun"/>
        </w:rPr>
      </w:pPr>
      <w:r w:rsidRPr="00444C9A">
        <w:rPr>
          <w:rFonts w:eastAsia="SimSun"/>
        </w:rPr>
        <w:t xml:space="preserve">In 2015, Singapore Airlines </w:t>
      </w:r>
      <w:r>
        <w:rPr>
          <w:rFonts w:eastAsia="SimSun"/>
          <w:lang w:eastAsia="zh-CN"/>
        </w:rPr>
        <w:t>w</w:t>
      </w:r>
      <w:r w:rsidRPr="00333ADB">
        <w:rPr>
          <w:rFonts w:eastAsia="SimSun"/>
          <w:lang w:eastAsia="zh-CN"/>
        </w:rPr>
        <w:t xml:space="preserve">as </w:t>
      </w:r>
      <w:r w:rsidRPr="00444C9A">
        <w:rPr>
          <w:rFonts w:eastAsia="SimSun"/>
        </w:rPr>
        <w:t xml:space="preserve">the runner-up in the </w:t>
      </w:r>
      <w:r w:rsidRPr="00333ADB">
        <w:rPr>
          <w:rFonts w:eastAsia="SimSun"/>
          <w:lang w:eastAsia="zh-CN"/>
        </w:rPr>
        <w:t xml:space="preserve">Skytrax </w:t>
      </w:r>
      <w:r w:rsidRPr="00444C9A">
        <w:rPr>
          <w:rFonts w:eastAsia="SimSun"/>
        </w:rPr>
        <w:t xml:space="preserve">“World’s Top </w:t>
      </w:r>
      <w:r>
        <w:rPr>
          <w:rFonts w:eastAsia="SimSun"/>
          <w:lang w:eastAsia="zh-CN"/>
        </w:rPr>
        <w:t xml:space="preserve">100 </w:t>
      </w:r>
      <w:r w:rsidRPr="00444C9A">
        <w:rPr>
          <w:rFonts w:eastAsia="SimSun"/>
        </w:rPr>
        <w:t xml:space="preserve">Airlines” </w:t>
      </w:r>
      <w:r>
        <w:rPr>
          <w:rFonts w:eastAsia="SimSun"/>
          <w:lang w:eastAsia="zh-CN"/>
        </w:rPr>
        <w:t>review</w:t>
      </w:r>
      <w:r w:rsidRPr="00444C9A">
        <w:rPr>
          <w:rFonts w:eastAsia="SimSun"/>
        </w:rPr>
        <w:t>.</w:t>
      </w:r>
      <w:r w:rsidRPr="00444C9A">
        <w:rPr>
          <w:rStyle w:val="EndnoteReference"/>
          <w:rFonts w:eastAsia="SimSun"/>
        </w:rPr>
        <w:endnoteReference w:id="2"/>
      </w:r>
      <w:r w:rsidRPr="00444C9A">
        <w:rPr>
          <w:rFonts w:eastAsia="SimSun"/>
        </w:rPr>
        <w:t xml:space="preserve"> Skytrax explained </w:t>
      </w:r>
      <w:r>
        <w:rPr>
          <w:rFonts w:eastAsia="SimSun"/>
          <w:lang w:eastAsia="zh-CN"/>
        </w:rPr>
        <w:t>its</w:t>
      </w:r>
      <w:r w:rsidRPr="00444C9A">
        <w:rPr>
          <w:rFonts w:eastAsia="SimSun"/>
        </w:rPr>
        <w:t xml:space="preserve"> choice </w:t>
      </w:r>
      <w:r>
        <w:rPr>
          <w:rFonts w:eastAsia="SimSun"/>
          <w:lang w:eastAsia="zh-CN"/>
        </w:rPr>
        <w:t>with</w:t>
      </w:r>
      <w:r w:rsidRPr="00444C9A">
        <w:rPr>
          <w:rFonts w:eastAsia="SimSun"/>
        </w:rPr>
        <w:t xml:space="preserve"> the following </w:t>
      </w:r>
      <w:r>
        <w:rPr>
          <w:rFonts w:eastAsia="SimSun"/>
          <w:lang w:eastAsia="zh-CN"/>
        </w:rPr>
        <w:t>description</w:t>
      </w:r>
      <w:r w:rsidRPr="00444C9A">
        <w:rPr>
          <w:rFonts w:eastAsia="SimSun"/>
        </w:rPr>
        <w:t>:</w:t>
      </w:r>
    </w:p>
    <w:p w14:paraId="2D5BC1CB" w14:textId="77777777" w:rsidR="000B4ECA" w:rsidRPr="00444C9A" w:rsidRDefault="000B4ECA" w:rsidP="005943BD">
      <w:pPr>
        <w:pStyle w:val="BodyTextMain"/>
        <w:rPr>
          <w:rFonts w:eastAsia="SimSun"/>
        </w:rPr>
      </w:pPr>
    </w:p>
    <w:p w14:paraId="34266715" w14:textId="314408FB" w:rsidR="000B4ECA" w:rsidRPr="00444C9A" w:rsidRDefault="000B4ECA" w:rsidP="005943BD">
      <w:pPr>
        <w:pStyle w:val="BodyTextMain"/>
        <w:ind w:left="720"/>
        <w:rPr>
          <w:rFonts w:eastAsia="SimSun"/>
        </w:rPr>
      </w:pPr>
      <w:r w:rsidRPr="00444C9A">
        <w:rPr>
          <w:rFonts w:eastAsia="SimSun"/>
        </w:rPr>
        <w:t>Singapore Airlines is one of the most respected travel brands around the world. Flying one of the youngest aircraft fleets in the world to destinations spanning a network spread over six continents</w:t>
      </w:r>
      <w:r>
        <w:rPr>
          <w:rFonts w:eastAsia="SimSun"/>
          <w:lang w:eastAsia="zh-CN"/>
        </w:rPr>
        <w:t>, t</w:t>
      </w:r>
      <w:r w:rsidRPr="00333ADB">
        <w:rPr>
          <w:rFonts w:eastAsia="SimSun"/>
          <w:lang w:eastAsia="zh-CN"/>
        </w:rPr>
        <w:t>he</w:t>
      </w:r>
      <w:r w:rsidRPr="00444C9A">
        <w:rPr>
          <w:rFonts w:eastAsia="SimSun"/>
        </w:rPr>
        <w:t xml:space="preserve"> Singapore Girl is an internationally-recognisable icon providing the high standards of care and service that customers have come to expect of Singapore Airlines.</w:t>
      </w:r>
      <w:r w:rsidRPr="00444C9A">
        <w:rPr>
          <w:rStyle w:val="EndnoteReference"/>
          <w:rFonts w:eastAsia="SimSun"/>
        </w:rPr>
        <w:endnoteReference w:id="3"/>
      </w:r>
    </w:p>
    <w:p w14:paraId="404D5E68" w14:textId="77777777" w:rsidR="000B4ECA" w:rsidRPr="00444C9A" w:rsidRDefault="000B4ECA" w:rsidP="005943BD">
      <w:pPr>
        <w:pStyle w:val="BodyTextMain"/>
        <w:rPr>
          <w:rFonts w:eastAsia="SimSun"/>
        </w:rPr>
      </w:pPr>
    </w:p>
    <w:p w14:paraId="732B8416" w14:textId="4B37AA32" w:rsidR="000B4ECA" w:rsidRPr="00444C9A" w:rsidRDefault="000B4ECA" w:rsidP="005943BD">
      <w:pPr>
        <w:pStyle w:val="BodyTextMain"/>
        <w:rPr>
          <w:rFonts w:eastAsia="SimSun"/>
        </w:rPr>
      </w:pPr>
      <w:r w:rsidRPr="00444C9A">
        <w:rPr>
          <w:rFonts w:eastAsia="SimSun"/>
        </w:rPr>
        <w:t xml:space="preserve">Interestingly, all airlines finishing in the top </w:t>
      </w:r>
      <w:r>
        <w:rPr>
          <w:rFonts w:eastAsia="SimSun"/>
        </w:rPr>
        <w:t>10</w:t>
      </w:r>
      <w:r w:rsidRPr="00444C9A">
        <w:rPr>
          <w:rFonts w:eastAsia="SimSun"/>
        </w:rPr>
        <w:t xml:space="preserve"> were headquartered in </w:t>
      </w:r>
      <w:r>
        <w:rPr>
          <w:rFonts w:eastAsia="SimSun"/>
        </w:rPr>
        <w:t>t</w:t>
      </w:r>
      <w:r w:rsidRPr="00444C9A">
        <w:rPr>
          <w:rFonts w:eastAsia="SimSun"/>
        </w:rPr>
        <w:t>he East (</w:t>
      </w:r>
      <w:r>
        <w:rPr>
          <w:rFonts w:eastAsia="SimSun"/>
        </w:rPr>
        <w:t xml:space="preserve">i.e., the </w:t>
      </w:r>
      <w:r w:rsidRPr="00444C9A">
        <w:rPr>
          <w:rFonts w:eastAsia="SimSun"/>
        </w:rPr>
        <w:t xml:space="preserve">Middle East, </w:t>
      </w:r>
      <w:r>
        <w:rPr>
          <w:rFonts w:eastAsia="SimSun"/>
        </w:rPr>
        <w:t xml:space="preserve">the </w:t>
      </w:r>
      <w:r w:rsidRPr="00444C9A">
        <w:rPr>
          <w:rFonts w:eastAsia="SimSun"/>
        </w:rPr>
        <w:t>Far East</w:t>
      </w:r>
      <w:r>
        <w:rPr>
          <w:rFonts w:eastAsia="SimSun"/>
          <w:lang w:eastAsia="zh-CN"/>
        </w:rPr>
        <w:t>,</w:t>
      </w:r>
      <w:r w:rsidRPr="00444C9A">
        <w:rPr>
          <w:rFonts w:eastAsia="SimSun"/>
        </w:rPr>
        <w:t xml:space="preserve"> and Australia</w:t>
      </w:r>
      <w:r>
        <w:rPr>
          <w:rFonts w:eastAsia="SimSun"/>
          <w:lang w:eastAsia="zh-CN"/>
        </w:rPr>
        <w:t>).</w:t>
      </w:r>
      <w:r>
        <w:rPr>
          <w:rStyle w:val="EndnoteReference"/>
          <w:rFonts w:eastAsia="SimSun"/>
          <w:lang w:eastAsia="zh-CN"/>
        </w:rPr>
        <w:endnoteReference w:id="4"/>
      </w:r>
    </w:p>
    <w:p w14:paraId="677724B2" w14:textId="77777777" w:rsidR="000B4ECA" w:rsidRPr="00444C9A" w:rsidRDefault="000B4ECA" w:rsidP="005943BD">
      <w:pPr>
        <w:pStyle w:val="BodyTextMain"/>
        <w:rPr>
          <w:rFonts w:eastAsia="SimSun"/>
        </w:rPr>
      </w:pPr>
    </w:p>
    <w:p w14:paraId="60C79F4C" w14:textId="0C885B1A" w:rsidR="000B4ECA" w:rsidRPr="00444C9A" w:rsidRDefault="000B4ECA" w:rsidP="005943BD">
      <w:pPr>
        <w:pStyle w:val="BodyTextMain"/>
        <w:rPr>
          <w:rFonts w:eastAsia="SimSun"/>
        </w:rPr>
      </w:pPr>
      <w:r w:rsidRPr="00444C9A">
        <w:rPr>
          <w:rFonts w:eastAsia="SimSun"/>
        </w:rPr>
        <w:t xml:space="preserve">Based in the Singapore Changi Airport, Singapore Airlines offered flight services to </w:t>
      </w:r>
      <w:r>
        <w:rPr>
          <w:rFonts w:eastAsia="SimSun"/>
        </w:rPr>
        <w:t>5</w:t>
      </w:r>
      <w:r w:rsidRPr="00444C9A">
        <w:rPr>
          <w:rFonts w:eastAsia="SimSun"/>
        </w:rPr>
        <w:t>2 destinations around the world, including long-haul flights to Los Angeles, Melbourne, and Cape Town.</w:t>
      </w:r>
      <w:r>
        <w:rPr>
          <w:rStyle w:val="EndnoteReference"/>
          <w:rFonts w:eastAsia="SimSun"/>
        </w:rPr>
        <w:endnoteReference w:id="5"/>
      </w:r>
      <w:r w:rsidRPr="00444C9A">
        <w:rPr>
          <w:rFonts w:eastAsia="SimSun"/>
        </w:rPr>
        <w:t xml:space="preserve"> In 2008, the national airline of Singapore introduced its Suites Class, arguably the most luxurious flying experience in commercial aviation, with a round trip from Singapore to New York costing </w:t>
      </w:r>
      <w:r>
        <w:rPr>
          <w:rFonts w:eastAsia="SimSun"/>
        </w:rPr>
        <w:t>more than</w:t>
      </w:r>
      <w:r w:rsidRPr="00444C9A">
        <w:rPr>
          <w:rFonts w:eastAsia="SimSun"/>
        </w:rPr>
        <w:t xml:space="preserve"> </w:t>
      </w:r>
      <w:r>
        <w:rPr>
          <w:rFonts w:eastAsia="SimSun"/>
          <w:lang w:eastAsia="zh-CN"/>
        </w:rPr>
        <w:t>US$</w:t>
      </w:r>
      <w:r w:rsidRPr="00444C9A">
        <w:rPr>
          <w:rFonts w:eastAsia="SimSun"/>
        </w:rPr>
        <w:t>16,200.</w:t>
      </w:r>
      <w:r w:rsidRPr="0079599D">
        <w:rPr>
          <w:rStyle w:val="EndnoteReference"/>
          <w:rFonts w:eastAsia="SimSun"/>
        </w:rPr>
        <w:endnoteReference w:id="6"/>
      </w:r>
    </w:p>
    <w:p w14:paraId="65371042" w14:textId="77777777" w:rsidR="000B4ECA" w:rsidRPr="00444C9A" w:rsidRDefault="000B4ECA" w:rsidP="005943BD">
      <w:pPr>
        <w:pStyle w:val="BodyTextMain"/>
        <w:rPr>
          <w:rFonts w:eastAsia="SimSun"/>
        </w:rPr>
      </w:pPr>
    </w:p>
    <w:p w14:paraId="622F1518" w14:textId="77777777" w:rsidR="000B4ECA" w:rsidRPr="00444C9A" w:rsidRDefault="000B4ECA" w:rsidP="0079599D">
      <w:pPr>
        <w:pStyle w:val="Casehead2"/>
        <w:rPr>
          <w:rFonts w:eastAsia="SimSun"/>
        </w:rPr>
      </w:pPr>
      <w:r w:rsidRPr="00444C9A">
        <w:rPr>
          <w:rFonts w:eastAsia="SimSun"/>
        </w:rPr>
        <w:lastRenderedPageBreak/>
        <w:t>Service and Innovation</w:t>
      </w:r>
    </w:p>
    <w:p w14:paraId="434930A1" w14:textId="77777777" w:rsidR="000B4ECA" w:rsidRPr="00444C9A" w:rsidRDefault="000B4ECA" w:rsidP="005943BD">
      <w:pPr>
        <w:pStyle w:val="BodyTextMain"/>
        <w:rPr>
          <w:rFonts w:eastAsia="SimSun"/>
        </w:rPr>
      </w:pPr>
    </w:p>
    <w:p w14:paraId="69DB7471" w14:textId="6DE10F62" w:rsidR="000B4ECA" w:rsidRPr="000B4ECA" w:rsidRDefault="000B4ECA" w:rsidP="005943BD">
      <w:pPr>
        <w:pStyle w:val="BodyTextMain"/>
        <w:rPr>
          <w:rFonts w:eastAsia="SimSun"/>
          <w:spacing w:val="-2"/>
        </w:rPr>
      </w:pPr>
      <w:r w:rsidRPr="000B4ECA">
        <w:rPr>
          <w:rFonts w:eastAsia="SimSun"/>
          <w:spacing w:val="-2"/>
        </w:rPr>
        <w:t>Singapore Airlines routinely won awards for its hospitality and cabin service</w:t>
      </w:r>
      <w:r w:rsidRPr="000B4ECA">
        <w:rPr>
          <w:rFonts w:eastAsia="SimSun"/>
          <w:spacing w:val="-2"/>
          <w:lang w:eastAsia="zh-CN"/>
        </w:rPr>
        <w:t>,</w:t>
      </w:r>
      <w:r w:rsidRPr="000B4ECA">
        <w:rPr>
          <w:rFonts w:eastAsia="SimSun"/>
          <w:spacing w:val="-2"/>
        </w:rPr>
        <w:t xml:space="preserve"> including </w:t>
      </w:r>
      <w:r w:rsidRPr="000B4ECA">
        <w:rPr>
          <w:rFonts w:eastAsia="SimSun"/>
          <w:spacing w:val="-2"/>
          <w:lang w:eastAsia="zh-CN"/>
        </w:rPr>
        <w:t>the</w:t>
      </w:r>
      <w:r w:rsidRPr="000B4ECA">
        <w:rPr>
          <w:rFonts w:eastAsia="SimSun"/>
          <w:spacing w:val="-2"/>
        </w:rPr>
        <w:t xml:space="preserve"> </w:t>
      </w:r>
      <w:r w:rsidRPr="000B4ECA">
        <w:rPr>
          <w:rFonts w:eastAsia="SimSun"/>
          <w:i/>
          <w:spacing w:val="-2"/>
        </w:rPr>
        <w:t xml:space="preserve">Business </w:t>
      </w:r>
      <w:r w:rsidRPr="000B4ECA">
        <w:rPr>
          <w:rFonts w:eastAsia="SimSun"/>
          <w:i/>
          <w:spacing w:val="-2"/>
          <w:lang w:eastAsia="zh-CN"/>
        </w:rPr>
        <w:t>Traveller</w:t>
      </w:r>
      <w:r w:rsidRPr="000B4ECA">
        <w:rPr>
          <w:rFonts w:eastAsia="SimSun"/>
          <w:spacing w:val="-2"/>
          <w:lang w:eastAsia="zh-CN"/>
        </w:rPr>
        <w:t>’s “Best Airline in the World” and “Best</w:t>
      </w:r>
      <w:r w:rsidRPr="000B4ECA">
        <w:rPr>
          <w:rFonts w:eastAsia="SimSun"/>
          <w:spacing w:val="-2"/>
        </w:rPr>
        <w:t xml:space="preserve"> Asia-Pacific </w:t>
      </w:r>
      <w:r w:rsidRPr="000B4ECA">
        <w:rPr>
          <w:rFonts w:eastAsia="SimSun"/>
          <w:spacing w:val="-2"/>
          <w:lang w:eastAsia="zh-CN"/>
        </w:rPr>
        <w:t>Airline,”</w:t>
      </w:r>
      <w:r w:rsidRPr="000B4ECA">
        <w:rPr>
          <w:rFonts w:eastAsia="SimSun"/>
          <w:spacing w:val="-2"/>
        </w:rPr>
        <w:t xml:space="preserve"> for </w:t>
      </w:r>
      <w:r w:rsidRPr="000B4ECA">
        <w:rPr>
          <w:rFonts w:eastAsia="SimSun"/>
          <w:spacing w:val="-2"/>
          <w:lang w:eastAsia="zh-CN"/>
        </w:rPr>
        <w:t xml:space="preserve">several </w:t>
      </w:r>
      <w:r w:rsidRPr="000B4ECA">
        <w:rPr>
          <w:rFonts w:eastAsia="SimSun"/>
          <w:spacing w:val="-2"/>
        </w:rPr>
        <w:t xml:space="preserve">consecutive years. </w:t>
      </w:r>
      <w:r w:rsidRPr="000B4ECA">
        <w:rPr>
          <w:rFonts w:eastAsia="SimSun"/>
          <w:spacing w:val="-2"/>
          <w:lang w:eastAsia="zh-CN"/>
        </w:rPr>
        <w:t xml:space="preserve">The airline also consistently won </w:t>
      </w:r>
      <w:r w:rsidRPr="000B4ECA">
        <w:rPr>
          <w:rFonts w:eastAsia="SimSun"/>
          <w:i/>
          <w:spacing w:val="-2"/>
          <w:lang w:eastAsia="zh-CN"/>
        </w:rPr>
        <w:t>Business Traveller</w:t>
      </w:r>
      <w:r w:rsidRPr="000B4ECA">
        <w:rPr>
          <w:rFonts w:eastAsia="SimSun"/>
          <w:spacing w:val="-2"/>
          <w:lang w:eastAsia="zh-CN"/>
        </w:rPr>
        <w:t>’s awards for best first class, best business class, and best economy class service.</w:t>
      </w:r>
      <w:r w:rsidRPr="000B4ECA">
        <w:rPr>
          <w:rStyle w:val="EndnoteReference"/>
          <w:rFonts w:eastAsia="SimSun"/>
          <w:spacing w:val="-2"/>
          <w:lang w:eastAsia="zh-CN"/>
        </w:rPr>
        <w:endnoteReference w:id="7"/>
      </w:r>
      <w:r w:rsidRPr="000B4ECA">
        <w:rPr>
          <w:rFonts w:eastAsia="SimSun"/>
          <w:spacing w:val="-2"/>
          <w:lang w:eastAsia="zh-CN"/>
        </w:rPr>
        <w:t xml:space="preserve"> </w:t>
      </w:r>
      <w:r w:rsidRPr="000B4ECA">
        <w:rPr>
          <w:rFonts w:eastAsia="SimSun"/>
          <w:spacing w:val="-2"/>
        </w:rPr>
        <w:t xml:space="preserve">These repeated accolades in the fiercely competitive aviation industry gave </w:t>
      </w:r>
      <w:r w:rsidRPr="000B4ECA">
        <w:rPr>
          <w:rFonts w:eastAsia="SimSun"/>
          <w:spacing w:val="-2"/>
          <w:lang w:eastAsia="zh-CN"/>
        </w:rPr>
        <w:t>the airline</w:t>
      </w:r>
      <w:r w:rsidRPr="000B4ECA">
        <w:rPr>
          <w:rFonts w:eastAsia="SimSun"/>
          <w:spacing w:val="-2"/>
        </w:rPr>
        <w:t xml:space="preserve"> substantive global recognition. The Singapore Girl, a bona fide air stewardess dressed in the traditional </w:t>
      </w:r>
      <w:r w:rsidRPr="000B4ECA">
        <w:rPr>
          <w:rFonts w:eastAsia="SimSun"/>
          <w:i/>
          <w:spacing w:val="-2"/>
          <w:lang w:eastAsia="zh-CN"/>
        </w:rPr>
        <w:t>sarong kebaya</w:t>
      </w:r>
      <w:r w:rsidRPr="000B4ECA">
        <w:rPr>
          <w:rFonts w:eastAsia="SimSun"/>
          <w:spacing w:val="-2"/>
          <w:lang w:eastAsia="zh-CN"/>
        </w:rPr>
        <w:t xml:space="preserve"> (a blouse-dress combination), had</w:t>
      </w:r>
      <w:r w:rsidRPr="000B4ECA">
        <w:rPr>
          <w:rFonts w:eastAsia="SimSun"/>
          <w:spacing w:val="-2"/>
        </w:rPr>
        <w:t xml:space="preserve"> been the visual icon of Singapore Airlines since 1972.</w:t>
      </w:r>
      <w:r w:rsidRPr="000B4ECA">
        <w:rPr>
          <w:rStyle w:val="EndnoteReference"/>
          <w:rFonts w:eastAsia="SimSun"/>
          <w:spacing w:val="-2"/>
        </w:rPr>
        <w:endnoteReference w:id="8"/>
      </w:r>
    </w:p>
    <w:p w14:paraId="230EF8BB" w14:textId="77777777" w:rsidR="000B4ECA" w:rsidRPr="00444C9A" w:rsidRDefault="000B4ECA" w:rsidP="005943BD">
      <w:pPr>
        <w:pStyle w:val="BodyTextMain"/>
        <w:rPr>
          <w:rFonts w:eastAsia="SimSun"/>
        </w:rPr>
      </w:pPr>
    </w:p>
    <w:p w14:paraId="1068E412" w14:textId="773AAAFC" w:rsidR="000B4ECA" w:rsidRPr="007240CC" w:rsidRDefault="000B4ECA" w:rsidP="005943BD">
      <w:pPr>
        <w:pStyle w:val="BodyTextMain"/>
        <w:rPr>
          <w:rFonts w:eastAsia="SimSun"/>
          <w:spacing w:val="-2"/>
        </w:rPr>
      </w:pPr>
      <w:r w:rsidRPr="007240CC">
        <w:rPr>
          <w:rFonts w:eastAsia="SimSun"/>
          <w:spacing w:val="-2"/>
        </w:rPr>
        <w:t xml:space="preserve">According to </w:t>
      </w:r>
      <w:r w:rsidRPr="007240CC">
        <w:rPr>
          <w:rFonts w:eastAsia="SimSun"/>
          <w:i/>
          <w:spacing w:val="-2"/>
        </w:rPr>
        <w:t>Harvard Business Review</w:t>
      </w:r>
      <w:r w:rsidRPr="007240CC">
        <w:rPr>
          <w:rFonts w:eastAsia="SimSun"/>
          <w:spacing w:val="-2"/>
        </w:rPr>
        <w:t xml:space="preserve">, Singapore Airlines typically divided its innovation budget </w:t>
      </w:r>
      <w:r w:rsidRPr="007240CC">
        <w:rPr>
          <w:rFonts w:eastAsia="SimSun"/>
          <w:spacing w:val="-2"/>
          <w:lang w:eastAsia="zh-CN"/>
        </w:rPr>
        <w:t>using</w:t>
      </w:r>
      <w:r w:rsidRPr="007240CC">
        <w:rPr>
          <w:rFonts w:eastAsia="SimSun"/>
          <w:spacing w:val="-2"/>
        </w:rPr>
        <w:t xml:space="preserve"> the following rule: 40 per cent on training employees, 30 per cent on revising processes and procedures, and 30 per cent on creating new products and service.</w:t>
      </w:r>
      <w:r w:rsidRPr="007240CC">
        <w:rPr>
          <w:rStyle w:val="EndnoteReference"/>
          <w:rFonts w:eastAsia="SimSun"/>
          <w:spacing w:val="-2"/>
        </w:rPr>
        <w:endnoteReference w:id="9"/>
      </w:r>
      <w:r w:rsidRPr="007240CC">
        <w:rPr>
          <w:rFonts w:eastAsia="SimSun"/>
          <w:spacing w:val="-2"/>
        </w:rPr>
        <w:t xml:space="preserve"> </w:t>
      </w:r>
      <w:r w:rsidRPr="007240CC">
        <w:rPr>
          <w:rFonts w:eastAsia="SimSun"/>
          <w:spacing w:val="-2"/>
          <w:lang w:eastAsia="zh-CN"/>
        </w:rPr>
        <w:t>The airline</w:t>
      </w:r>
      <w:r w:rsidRPr="007240CC">
        <w:rPr>
          <w:rFonts w:eastAsia="SimSun"/>
          <w:spacing w:val="-2"/>
        </w:rPr>
        <w:t xml:space="preserve"> introduced </w:t>
      </w:r>
      <w:r w:rsidRPr="007240CC">
        <w:rPr>
          <w:rFonts w:eastAsia="SimSun"/>
          <w:spacing w:val="-2"/>
          <w:lang w:eastAsia="zh-CN"/>
        </w:rPr>
        <w:t xml:space="preserve">one of </w:t>
      </w:r>
      <w:r w:rsidRPr="007240CC">
        <w:rPr>
          <w:rFonts w:eastAsia="SimSun"/>
          <w:spacing w:val="-2"/>
        </w:rPr>
        <w:t xml:space="preserve">the earliest (and </w:t>
      </w:r>
      <w:r w:rsidRPr="007240CC">
        <w:rPr>
          <w:rFonts w:eastAsia="SimSun"/>
          <w:spacing w:val="-2"/>
          <w:lang w:eastAsia="zh-CN"/>
        </w:rPr>
        <w:t xml:space="preserve">later </w:t>
      </w:r>
      <w:r w:rsidRPr="007240CC">
        <w:rPr>
          <w:rFonts w:eastAsia="SimSun"/>
          <w:spacing w:val="-2"/>
        </w:rPr>
        <w:t>award-winning) inflight entertainment system</w:t>
      </w:r>
      <w:r w:rsidRPr="007240CC">
        <w:rPr>
          <w:rFonts w:eastAsia="SimSun"/>
          <w:spacing w:val="-2"/>
          <w:lang w:eastAsia="zh-CN"/>
        </w:rPr>
        <w:t>s</w:t>
      </w:r>
      <w:r w:rsidRPr="007240CC">
        <w:rPr>
          <w:rFonts w:eastAsia="SimSun"/>
          <w:spacing w:val="-2"/>
        </w:rPr>
        <w:t xml:space="preserve">, </w:t>
      </w:r>
      <w:proofErr w:type="spellStart"/>
      <w:r w:rsidRPr="007240CC">
        <w:rPr>
          <w:rFonts w:eastAsia="SimSun"/>
          <w:spacing w:val="-2"/>
        </w:rPr>
        <w:t>KrisWorld</w:t>
      </w:r>
      <w:proofErr w:type="spellEnd"/>
      <w:r w:rsidRPr="007240CC">
        <w:rPr>
          <w:rFonts w:eastAsia="SimSun"/>
          <w:spacing w:val="-2"/>
        </w:rPr>
        <w:t xml:space="preserve">, and numerous innovations, such as its </w:t>
      </w:r>
      <w:r w:rsidRPr="007240CC">
        <w:rPr>
          <w:rFonts w:eastAsia="SimSun"/>
          <w:spacing w:val="-2"/>
          <w:lang w:eastAsia="zh-CN"/>
        </w:rPr>
        <w:t>“Book the Cook” program</w:t>
      </w:r>
      <w:r w:rsidRPr="007240CC">
        <w:rPr>
          <w:rFonts w:eastAsia="SimSun"/>
          <w:spacing w:val="-2"/>
        </w:rPr>
        <w:t xml:space="preserve"> for </w:t>
      </w:r>
      <w:r w:rsidRPr="007240CC">
        <w:rPr>
          <w:rFonts w:eastAsia="SimSun"/>
          <w:spacing w:val="-2"/>
          <w:lang w:eastAsia="zh-CN"/>
        </w:rPr>
        <w:t xml:space="preserve">business class, allowing passengers to select and </w:t>
      </w:r>
      <w:r w:rsidRPr="007240CC">
        <w:rPr>
          <w:rFonts w:eastAsia="SimSun"/>
          <w:spacing w:val="-2"/>
        </w:rPr>
        <w:t xml:space="preserve">order </w:t>
      </w:r>
      <w:r w:rsidRPr="007240CC">
        <w:rPr>
          <w:rFonts w:eastAsia="SimSun"/>
          <w:spacing w:val="-2"/>
          <w:lang w:eastAsia="zh-CN"/>
        </w:rPr>
        <w:t>their</w:t>
      </w:r>
      <w:r w:rsidRPr="007240CC">
        <w:rPr>
          <w:rFonts w:eastAsia="SimSun"/>
          <w:spacing w:val="-2"/>
        </w:rPr>
        <w:t xml:space="preserve"> meal before boarding.</w:t>
      </w:r>
      <w:r w:rsidRPr="007240CC">
        <w:rPr>
          <w:rStyle w:val="EndnoteReference"/>
          <w:rFonts w:eastAsia="SimSun"/>
          <w:spacing w:val="-2"/>
          <w:lang w:eastAsia="zh-CN"/>
        </w:rPr>
        <w:endnoteReference w:id="10"/>
      </w:r>
      <w:r w:rsidRPr="007240CC">
        <w:rPr>
          <w:rFonts w:eastAsia="SimSun"/>
          <w:spacing w:val="-2"/>
        </w:rPr>
        <w:t xml:space="preserve"> </w:t>
      </w:r>
    </w:p>
    <w:p w14:paraId="23023A9E" w14:textId="77777777" w:rsidR="000B4ECA" w:rsidRPr="00444C9A" w:rsidRDefault="000B4ECA" w:rsidP="005943BD">
      <w:pPr>
        <w:pStyle w:val="BodyTextMain"/>
        <w:rPr>
          <w:rFonts w:eastAsia="SimSun"/>
        </w:rPr>
      </w:pPr>
    </w:p>
    <w:p w14:paraId="278F7C18" w14:textId="77777777" w:rsidR="000B4ECA" w:rsidRPr="00444C9A" w:rsidRDefault="000B4ECA" w:rsidP="005943BD">
      <w:pPr>
        <w:pStyle w:val="BodyTextMain"/>
        <w:rPr>
          <w:rFonts w:eastAsia="SimSun"/>
        </w:rPr>
      </w:pPr>
    </w:p>
    <w:p w14:paraId="46985D24" w14:textId="77777777" w:rsidR="000B4ECA" w:rsidRPr="00444C9A" w:rsidRDefault="000B4ECA" w:rsidP="0079599D">
      <w:pPr>
        <w:pStyle w:val="Casehead2"/>
        <w:rPr>
          <w:rFonts w:eastAsia="SimSun"/>
        </w:rPr>
      </w:pPr>
      <w:r w:rsidRPr="00444C9A">
        <w:rPr>
          <w:rFonts w:eastAsia="SimSun"/>
        </w:rPr>
        <w:t>The Cost Leader</w:t>
      </w:r>
    </w:p>
    <w:p w14:paraId="5E39FF4D" w14:textId="77777777" w:rsidR="000B4ECA" w:rsidRPr="00444C9A" w:rsidRDefault="000B4ECA" w:rsidP="005943BD">
      <w:pPr>
        <w:pStyle w:val="BodyTextMain"/>
        <w:rPr>
          <w:rFonts w:eastAsia="SimSun"/>
        </w:rPr>
      </w:pPr>
    </w:p>
    <w:p w14:paraId="720402EA" w14:textId="61D9F051" w:rsidR="000B4ECA" w:rsidRPr="00444C9A" w:rsidRDefault="000B4ECA" w:rsidP="005943BD">
      <w:pPr>
        <w:pStyle w:val="BodyTextMain"/>
        <w:rPr>
          <w:rFonts w:eastAsia="SimSun"/>
        </w:rPr>
      </w:pPr>
      <w:r w:rsidRPr="00444C9A">
        <w:rPr>
          <w:rFonts w:eastAsia="SimSun"/>
        </w:rPr>
        <w:t xml:space="preserve">Singapore Airlines managed to provide </w:t>
      </w:r>
      <w:r>
        <w:rPr>
          <w:rFonts w:eastAsia="SimSun"/>
        </w:rPr>
        <w:t>its</w:t>
      </w:r>
      <w:r w:rsidRPr="00444C9A">
        <w:rPr>
          <w:rFonts w:eastAsia="SimSun"/>
        </w:rPr>
        <w:t xml:space="preserve"> services and innovations at much lower costs than </w:t>
      </w:r>
      <w:r>
        <w:rPr>
          <w:rFonts w:eastAsia="SimSun"/>
        </w:rPr>
        <w:t>its</w:t>
      </w:r>
      <w:r w:rsidRPr="00444C9A">
        <w:rPr>
          <w:rFonts w:eastAsia="SimSun"/>
        </w:rPr>
        <w:t xml:space="preserve"> European and American counterparts. From 2001 to 2009, Singapore Airline</w:t>
      </w:r>
      <w:r>
        <w:rPr>
          <w:rFonts w:eastAsia="SimSun"/>
        </w:rPr>
        <w:t>s</w:t>
      </w:r>
      <w:r w:rsidRPr="00444C9A">
        <w:rPr>
          <w:rFonts w:eastAsia="SimSun"/>
        </w:rPr>
        <w:t>’ costs per available seat kilometre amounted to only 4.58 cents. According to a 2007 International Air Transport Association study, costs for full-service European airlines were 8 to 16 cents</w:t>
      </w:r>
      <w:r>
        <w:rPr>
          <w:rFonts w:eastAsia="SimSun"/>
          <w:lang w:eastAsia="zh-CN"/>
        </w:rPr>
        <w:t>;</w:t>
      </w:r>
      <w:r w:rsidRPr="00444C9A">
        <w:rPr>
          <w:rFonts w:eastAsia="SimSun"/>
        </w:rPr>
        <w:t xml:space="preserve"> </w:t>
      </w:r>
      <w:r>
        <w:rPr>
          <w:rFonts w:eastAsia="SimSun"/>
        </w:rPr>
        <w:t>US</w:t>
      </w:r>
      <w:r w:rsidRPr="00444C9A">
        <w:rPr>
          <w:rFonts w:eastAsia="SimSun"/>
        </w:rPr>
        <w:t xml:space="preserve"> airlines</w:t>
      </w:r>
      <w:r>
        <w:rPr>
          <w:rFonts w:eastAsia="SimSun"/>
          <w:lang w:eastAsia="zh-CN"/>
        </w:rPr>
        <w:t xml:space="preserve"> were </w:t>
      </w:r>
      <w:r w:rsidRPr="00333ADB">
        <w:rPr>
          <w:rFonts w:eastAsia="SimSun"/>
          <w:lang w:eastAsia="zh-CN"/>
        </w:rPr>
        <w:t>7 to 8 cents</w:t>
      </w:r>
      <w:r w:rsidRPr="00444C9A">
        <w:rPr>
          <w:rFonts w:eastAsia="SimSun"/>
        </w:rPr>
        <w:t>, and Asian airlines</w:t>
      </w:r>
      <w:r>
        <w:rPr>
          <w:rFonts w:eastAsia="SimSun"/>
          <w:lang w:eastAsia="zh-CN"/>
        </w:rPr>
        <w:t xml:space="preserve">, </w:t>
      </w:r>
      <w:r w:rsidRPr="00333ADB">
        <w:rPr>
          <w:rFonts w:eastAsia="SimSun"/>
          <w:lang w:eastAsia="zh-CN"/>
        </w:rPr>
        <w:t>5 to 7 cents.</w:t>
      </w:r>
      <w:r w:rsidRPr="00444C9A">
        <w:rPr>
          <w:rFonts w:eastAsia="SimSun"/>
        </w:rPr>
        <w:t xml:space="preserve"> Surprisingly, Singapore </w:t>
      </w:r>
      <w:r>
        <w:rPr>
          <w:rFonts w:eastAsia="SimSun"/>
          <w:lang w:eastAsia="zh-CN"/>
        </w:rPr>
        <w:t xml:space="preserve">Airlines’ </w:t>
      </w:r>
      <w:r w:rsidRPr="00333ADB">
        <w:rPr>
          <w:rFonts w:eastAsia="SimSun"/>
          <w:lang w:eastAsia="zh-CN"/>
        </w:rPr>
        <w:t xml:space="preserve">costs </w:t>
      </w:r>
      <w:r>
        <w:rPr>
          <w:rFonts w:eastAsia="SimSun"/>
          <w:lang w:eastAsia="zh-CN"/>
        </w:rPr>
        <w:t>were</w:t>
      </w:r>
      <w:r w:rsidRPr="00444C9A">
        <w:rPr>
          <w:rFonts w:eastAsia="SimSun"/>
        </w:rPr>
        <w:t xml:space="preserve"> lower than </w:t>
      </w:r>
      <w:r>
        <w:rPr>
          <w:rFonts w:eastAsia="SimSun"/>
          <w:lang w:eastAsia="zh-CN"/>
        </w:rPr>
        <w:t xml:space="preserve">even </w:t>
      </w:r>
      <w:r w:rsidRPr="00444C9A">
        <w:rPr>
          <w:rFonts w:eastAsia="SimSun"/>
        </w:rPr>
        <w:t xml:space="preserve">most budget carriers in Europe and the </w:t>
      </w:r>
      <w:r w:rsidRPr="00333ADB">
        <w:rPr>
          <w:rFonts w:eastAsia="SimSun"/>
          <w:lang w:eastAsia="zh-CN"/>
        </w:rPr>
        <w:t>U</w:t>
      </w:r>
      <w:r>
        <w:rPr>
          <w:rFonts w:eastAsia="SimSun"/>
          <w:lang w:eastAsia="zh-CN"/>
        </w:rPr>
        <w:t xml:space="preserve">nited </w:t>
      </w:r>
      <w:r w:rsidRPr="00333ADB">
        <w:rPr>
          <w:rFonts w:eastAsia="SimSun"/>
          <w:lang w:eastAsia="zh-CN"/>
        </w:rPr>
        <w:t>S</w:t>
      </w:r>
      <w:r>
        <w:rPr>
          <w:rFonts w:eastAsia="SimSun"/>
          <w:lang w:eastAsia="zh-CN"/>
        </w:rPr>
        <w:t>tates</w:t>
      </w:r>
      <w:r w:rsidRPr="00444C9A">
        <w:rPr>
          <w:rFonts w:eastAsia="SimSun"/>
        </w:rPr>
        <w:t>, which ranged from 4 to 8 cents and 5 to 6 cents</w:t>
      </w:r>
      <w:r>
        <w:rPr>
          <w:rFonts w:eastAsia="SimSun"/>
        </w:rPr>
        <w:t>,</w:t>
      </w:r>
      <w:r w:rsidRPr="00444C9A">
        <w:rPr>
          <w:rFonts w:eastAsia="SimSun"/>
        </w:rPr>
        <w:t xml:space="preserve"> respectively.</w:t>
      </w:r>
      <w:r w:rsidRPr="0079599D">
        <w:rPr>
          <w:rStyle w:val="EndnoteReference"/>
          <w:rFonts w:eastAsia="SimSun"/>
        </w:rPr>
        <w:endnoteReference w:id="11"/>
      </w:r>
      <w:r>
        <w:rPr>
          <w:rFonts w:eastAsia="SimSun"/>
        </w:rPr>
        <w:t xml:space="preserve"> </w:t>
      </w:r>
    </w:p>
    <w:p w14:paraId="1EF0B1F6" w14:textId="77777777" w:rsidR="000B4ECA" w:rsidRPr="00444C9A" w:rsidRDefault="000B4ECA" w:rsidP="005943BD">
      <w:pPr>
        <w:pStyle w:val="BodyTextMain"/>
        <w:rPr>
          <w:rFonts w:eastAsia="SimSun"/>
        </w:rPr>
      </w:pPr>
    </w:p>
    <w:p w14:paraId="12E7F406" w14:textId="157F90D6" w:rsidR="000B4ECA" w:rsidRPr="00444C9A" w:rsidRDefault="000B4ECA" w:rsidP="005943BD">
      <w:pPr>
        <w:pStyle w:val="BodyTextMain"/>
        <w:rPr>
          <w:rFonts w:eastAsia="SimSun"/>
        </w:rPr>
      </w:pPr>
      <w:r w:rsidRPr="00444C9A">
        <w:rPr>
          <w:rFonts w:eastAsia="SimSun"/>
        </w:rPr>
        <w:t xml:space="preserve">However, management experts expressed their doubts that such </w:t>
      </w:r>
      <w:r>
        <w:rPr>
          <w:rFonts w:eastAsia="SimSun"/>
          <w:lang w:eastAsia="zh-CN"/>
        </w:rPr>
        <w:t xml:space="preserve">a </w:t>
      </w:r>
      <w:r w:rsidRPr="00444C9A">
        <w:rPr>
          <w:rFonts w:eastAsia="SimSun"/>
        </w:rPr>
        <w:t xml:space="preserve">dual strategy of innovation and cost effectiveness </w:t>
      </w:r>
      <w:r>
        <w:rPr>
          <w:rFonts w:eastAsia="SimSun"/>
          <w:lang w:eastAsia="zh-CN"/>
        </w:rPr>
        <w:t>could</w:t>
      </w:r>
      <w:r w:rsidRPr="00444C9A">
        <w:rPr>
          <w:rFonts w:eastAsia="SimSun"/>
        </w:rPr>
        <w:t xml:space="preserve"> be sustainable and profitable o</w:t>
      </w:r>
      <w:r>
        <w:rPr>
          <w:rFonts w:eastAsia="SimSun"/>
          <w:lang w:eastAsia="zh-CN"/>
        </w:rPr>
        <w:t>ve</w:t>
      </w:r>
      <w:r w:rsidRPr="00444C9A">
        <w:rPr>
          <w:rFonts w:eastAsia="SimSun"/>
        </w:rPr>
        <w:t>r the long term.</w:t>
      </w:r>
      <w:r w:rsidRPr="0079599D">
        <w:rPr>
          <w:rStyle w:val="EndnoteReference"/>
          <w:rFonts w:eastAsia="SimSun"/>
        </w:rPr>
        <w:endnoteReference w:id="12"/>
      </w:r>
    </w:p>
    <w:p w14:paraId="678952DC" w14:textId="77777777" w:rsidR="000B4ECA" w:rsidRPr="00444C9A" w:rsidRDefault="000B4ECA" w:rsidP="005943BD">
      <w:pPr>
        <w:pStyle w:val="BodyTextMain"/>
        <w:rPr>
          <w:rFonts w:eastAsia="SimSun"/>
        </w:rPr>
      </w:pPr>
    </w:p>
    <w:p w14:paraId="1A3CA31B" w14:textId="77777777" w:rsidR="000B4ECA" w:rsidRPr="00444C9A" w:rsidRDefault="000B4ECA" w:rsidP="005943BD">
      <w:pPr>
        <w:pStyle w:val="BodyTextMain"/>
        <w:rPr>
          <w:rFonts w:eastAsia="SimSun"/>
        </w:rPr>
      </w:pPr>
    </w:p>
    <w:p w14:paraId="451CF114" w14:textId="1FEC200C" w:rsidR="000B4ECA" w:rsidRPr="00444C9A" w:rsidRDefault="000B4ECA" w:rsidP="0079599D">
      <w:pPr>
        <w:pStyle w:val="Casehead2"/>
        <w:rPr>
          <w:rFonts w:eastAsia="SimSun"/>
        </w:rPr>
      </w:pPr>
      <w:r w:rsidRPr="00444C9A">
        <w:rPr>
          <w:rFonts w:eastAsia="SimSun"/>
        </w:rPr>
        <w:t xml:space="preserve">Financial Statements </w:t>
      </w:r>
    </w:p>
    <w:p w14:paraId="1237A510" w14:textId="77777777" w:rsidR="000B4ECA" w:rsidRPr="00444C9A" w:rsidRDefault="000B4ECA" w:rsidP="005943BD">
      <w:pPr>
        <w:pStyle w:val="BodyTextMain"/>
        <w:rPr>
          <w:rFonts w:eastAsia="SimSun"/>
        </w:rPr>
      </w:pPr>
    </w:p>
    <w:p w14:paraId="2C51F156" w14:textId="5BA7683F" w:rsidR="000B4ECA" w:rsidRDefault="000B4ECA" w:rsidP="00E65477">
      <w:pPr>
        <w:pStyle w:val="BodyTextMain"/>
      </w:pPr>
      <w:r w:rsidRPr="00E65477">
        <w:rPr>
          <w:spacing w:val="-2"/>
        </w:rPr>
        <w:t xml:space="preserve">At first glance, Singapore Airlines’ dividends seemed to be inconsistent (see Exhibit 1). </w:t>
      </w:r>
      <w:r>
        <w:rPr>
          <w:spacing w:val="-2"/>
        </w:rPr>
        <w:t xml:space="preserve">Additionally, </w:t>
      </w:r>
      <w:r>
        <w:t>i</w:t>
      </w:r>
      <w:r w:rsidRPr="00433D98">
        <w:t>n 2013</w:t>
      </w:r>
      <w:r>
        <w:t>–</w:t>
      </w:r>
      <w:r w:rsidRPr="00433D98">
        <w:t>14</w:t>
      </w:r>
      <w:r>
        <w:t>,</w:t>
      </w:r>
      <w:r w:rsidRPr="00433D98">
        <w:t xml:space="preserve"> profit for </w:t>
      </w:r>
      <w:r>
        <w:t>Singapore Airlines fell to $</w:t>
      </w:r>
      <w:r w:rsidRPr="00433D98">
        <w:t>359 million</w:t>
      </w:r>
      <w:r>
        <w:t>,</w:t>
      </w:r>
      <w:r w:rsidRPr="00433D98">
        <w:t xml:space="preserve"> but </w:t>
      </w:r>
      <w:r>
        <w:t>the company paid a special dividend of $</w:t>
      </w:r>
      <w:r w:rsidRPr="00433D98">
        <w:t>294 million</w:t>
      </w:r>
      <w:r>
        <w:t>. Unexpectedly, the company raised</w:t>
      </w:r>
      <w:r w:rsidRPr="00433D98">
        <w:t xml:space="preserve"> </w:t>
      </w:r>
      <w:r>
        <w:t>$</w:t>
      </w:r>
      <w:r w:rsidRPr="00433D98">
        <w:t>500 million</w:t>
      </w:r>
      <w:r>
        <w:t xml:space="preserve"> through </w:t>
      </w:r>
      <w:r w:rsidRPr="00433D98">
        <w:t>bonds</w:t>
      </w:r>
      <w:r>
        <w:t xml:space="preserve"> in the following year</w:t>
      </w:r>
      <w:r w:rsidRPr="00433D98">
        <w:t>.</w:t>
      </w:r>
    </w:p>
    <w:p w14:paraId="4057120D" w14:textId="77777777" w:rsidR="000B4ECA" w:rsidRDefault="000B4ECA" w:rsidP="00E65477">
      <w:pPr>
        <w:pStyle w:val="BodyTextMain"/>
      </w:pPr>
    </w:p>
    <w:p w14:paraId="67D34280" w14:textId="1C6A126F" w:rsidR="000B4ECA" w:rsidRPr="00E65477" w:rsidRDefault="000B4ECA" w:rsidP="00966D8D">
      <w:pPr>
        <w:pStyle w:val="BodyTextMain"/>
      </w:pPr>
      <w:proofErr w:type="spellStart"/>
      <w:r w:rsidRPr="00E65477">
        <w:t>Mudambi</w:t>
      </w:r>
      <w:proofErr w:type="spellEnd"/>
      <w:r w:rsidRPr="00E65477">
        <w:t xml:space="preserve"> knew that dividends were often related to revenues, net income, and net profit margin, as well as to cash ratio, cash plus short-term investments, and long-term liabilities. Other potential ratios to consider would be the dividends-to-earnings ratio and the dividends-to-cash flows ratio. These accounting variables and ratios seemed like natural candidates </w:t>
      </w:r>
      <w:bookmarkStart w:id="0" w:name="_Hlk509839617"/>
      <w:r w:rsidRPr="00E65477">
        <w:t>to explore with respect to Singapore Airlines’ dividend policy</w:t>
      </w:r>
      <w:bookmarkEnd w:id="0"/>
      <w:r w:rsidRPr="00E65477">
        <w:t xml:space="preserve"> (see Exhibits 2–5). </w:t>
      </w:r>
    </w:p>
    <w:p w14:paraId="1D2B08D0" w14:textId="77777777" w:rsidR="000B4ECA" w:rsidRPr="00444C9A" w:rsidRDefault="000B4ECA" w:rsidP="00966D8D">
      <w:pPr>
        <w:pStyle w:val="BodyTextMain"/>
      </w:pPr>
    </w:p>
    <w:p w14:paraId="2A8BF599" w14:textId="77777777" w:rsidR="000B4ECA" w:rsidRPr="00444C9A" w:rsidRDefault="000B4ECA" w:rsidP="005943BD">
      <w:pPr>
        <w:pStyle w:val="BodyTextMain"/>
        <w:rPr>
          <w:rFonts w:eastAsia="SimSun"/>
        </w:rPr>
      </w:pPr>
    </w:p>
    <w:p w14:paraId="23BE54B0" w14:textId="5D95F737" w:rsidR="000B4ECA" w:rsidRPr="00444C9A" w:rsidRDefault="000B4ECA" w:rsidP="0079599D">
      <w:pPr>
        <w:pStyle w:val="Casehead2"/>
        <w:rPr>
          <w:rFonts w:eastAsia="SimSun"/>
        </w:rPr>
      </w:pPr>
      <w:r w:rsidRPr="00444C9A">
        <w:rPr>
          <w:rFonts w:eastAsia="SimSun"/>
        </w:rPr>
        <w:t>Ownership and Holdings</w:t>
      </w:r>
    </w:p>
    <w:p w14:paraId="57C3A8F2" w14:textId="77777777" w:rsidR="000B4ECA" w:rsidRPr="00444C9A" w:rsidRDefault="000B4ECA" w:rsidP="008C2632">
      <w:pPr>
        <w:pStyle w:val="BodyTextMain"/>
        <w:rPr>
          <w:rFonts w:eastAsia="SimSun"/>
        </w:rPr>
      </w:pPr>
    </w:p>
    <w:p w14:paraId="353A9CD6" w14:textId="10BD6855" w:rsidR="000B4ECA" w:rsidRPr="007240CC" w:rsidRDefault="000B4ECA" w:rsidP="00697E26">
      <w:pPr>
        <w:pStyle w:val="BodyTextMain"/>
        <w:rPr>
          <w:rFonts w:eastAsia="SimSun"/>
          <w:spacing w:val="-2"/>
          <w:lang w:eastAsia="zh-CN"/>
        </w:rPr>
      </w:pPr>
      <w:r w:rsidRPr="007240CC">
        <w:rPr>
          <w:spacing w:val="-2"/>
        </w:rPr>
        <w:t>Singapore’s sovereign wealth fund,</w:t>
      </w:r>
      <w:r w:rsidRPr="007240CC">
        <w:rPr>
          <w:rFonts w:eastAsia="SimSun"/>
          <w:spacing w:val="-2"/>
        </w:rPr>
        <w:t xml:space="preserve"> Temasek Holdings</w:t>
      </w:r>
      <w:r w:rsidRPr="007240CC">
        <w:rPr>
          <w:rFonts w:eastAsia="SimSun"/>
          <w:spacing w:val="-2"/>
          <w:lang w:eastAsia="zh-CN"/>
        </w:rPr>
        <w:t xml:space="preserve"> Private Limited (Temasek)</w:t>
      </w:r>
      <w:r w:rsidRPr="007240CC">
        <w:rPr>
          <w:rFonts w:eastAsia="SimSun"/>
          <w:spacing w:val="-2"/>
        </w:rPr>
        <w:t xml:space="preserve">, held 56.21 per cent of Singapore Airlines’ shares as of March </w:t>
      </w:r>
      <w:r w:rsidRPr="007240CC">
        <w:rPr>
          <w:rFonts w:eastAsia="SimSun"/>
          <w:spacing w:val="-2"/>
          <w:lang w:eastAsia="zh-CN"/>
        </w:rPr>
        <w:t xml:space="preserve">31, </w:t>
      </w:r>
      <w:r w:rsidRPr="007240CC">
        <w:rPr>
          <w:rFonts w:eastAsia="SimSun"/>
          <w:spacing w:val="-2"/>
        </w:rPr>
        <w:t>2015, making Singapore Airlines a government</w:t>
      </w:r>
      <w:r w:rsidRPr="007240CC">
        <w:rPr>
          <w:rFonts w:eastAsia="SimSun"/>
          <w:spacing w:val="-2"/>
          <w:lang w:eastAsia="zh-CN"/>
        </w:rPr>
        <w:t>-</w:t>
      </w:r>
      <w:r w:rsidRPr="007240CC">
        <w:rPr>
          <w:rFonts w:eastAsia="SimSun"/>
          <w:spacing w:val="-2"/>
        </w:rPr>
        <w:t>linked company</w:t>
      </w:r>
      <w:r w:rsidRPr="007240CC">
        <w:rPr>
          <w:rFonts w:eastAsia="SimSun"/>
          <w:spacing w:val="-2"/>
          <w:lang w:eastAsia="zh-CN"/>
        </w:rPr>
        <w:t>. The second largest shareholder, BlackRock</w:t>
      </w:r>
      <w:r>
        <w:rPr>
          <w:rFonts w:eastAsia="SimSun"/>
          <w:spacing w:val="-2"/>
          <w:lang w:eastAsia="zh-CN"/>
        </w:rPr>
        <w:t xml:space="preserve"> Inc.</w:t>
      </w:r>
      <w:r w:rsidRPr="007240CC">
        <w:rPr>
          <w:rFonts w:eastAsia="SimSun"/>
          <w:spacing w:val="-2"/>
          <w:lang w:eastAsia="zh-CN"/>
        </w:rPr>
        <w:t>, controlled only 0.83 per cent of Singapore Airlines.</w:t>
      </w:r>
      <w:r w:rsidRPr="007240CC">
        <w:rPr>
          <w:rStyle w:val="EndnoteReference"/>
          <w:rFonts w:eastAsia="SimSun"/>
          <w:spacing w:val="-2"/>
        </w:rPr>
        <w:endnoteReference w:id="13"/>
      </w:r>
      <w:r w:rsidRPr="007240CC">
        <w:rPr>
          <w:rFonts w:eastAsia="SimSun"/>
          <w:spacing w:val="-2"/>
          <w:lang w:eastAsia="zh-CN"/>
        </w:rPr>
        <w:t xml:space="preserve"> </w:t>
      </w:r>
    </w:p>
    <w:p w14:paraId="169E824D" w14:textId="77777777" w:rsidR="000B4ECA" w:rsidRDefault="000B4ECA" w:rsidP="00697E26">
      <w:pPr>
        <w:pStyle w:val="BodyTextMain"/>
        <w:rPr>
          <w:rFonts w:eastAsia="SimSun"/>
          <w:lang w:eastAsia="zh-CN"/>
        </w:rPr>
      </w:pPr>
    </w:p>
    <w:p w14:paraId="28C5C655" w14:textId="6A6A7274" w:rsidR="000B4ECA" w:rsidRPr="00444C9A" w:rsidRDefault="000B4ECA" w:rsidP="00EB5F0A">
      <w:pPr>
        <w:pStyle w:val="BodyTextMain"/>
        <w:rPr>
          <w:rFonts w:eastAsia="SimSun"/>
        </w:rPr>
      </w:pPr>
      <w:r>
        <w:lastRenderedPageBreak/>
        <w:t xml:space="preserve">Temasek had a strong international reputation with robust credit ratings of AAA and a perfect score on the </w:t>
      </w:r>
      <w:proofErr w:type="spellStart"/>
      <w:r w:rsidRPr="00CB4731">
        <w:t>Linaburg-Maduell</w:t>
      </w:r>
      <w:proofErr w:type="spellEnd"/>
      <w:r w:rsidRPr="00CB4731">
        <w:t xml:space="preserve"> </w:t>
      </w:r>
      <w:r>
        <w:t>Transparency Index</w:t>
      </w:r>
      <w:r w:rsidRPr="00CB4731">
        <w:t xml:space="preserve"> f</w:t>
      </w:r>
      <w:r>
        <w:t>or sovereign wealth funds.</w:t>
      </w:r>
      <w:r>
        <w:rPr>
          <w:rStyle w:val="EndnoteReference"/>
        </w:rPr>
        <w:endnoteReference w:id="14"/>
      </w:r>
      <w:r>
        <w:rPr>
          <w:rFonts w:eastAsia="SimSun"/>
          <w:lang w:eastAsia="zh-CN"/>
        </w:rPr>
        <w:t xml:space="preserve"> </w:t>
      </w:r>
      <w:r w:rsidRPr="00444C9A">
        <w:rPr>
          <w:rFonts w:eastAsia="SimSun"/>
        </w:rPr>
        <w:t>Reportedly, Temasek did not interfere in the daily management of the company.</w:t>
      </w:r>
      <w:r>
        <w:rPr>
          <w:rStyle w:val="EndnoteReference"/>
          <w:rFonts w:eastAsia="SimSun"/>
        </w:rPr>
        <w:endnoteReference w:id="15"/>
      </w:r>
      <w:r w:rsidRPr="00444C9A">
        <w:rPr>
          <w:rFonts w:eastAsia="SimSun"/>
        </w:rPr>
        <w:t xml:space="preserve"> </w:t>
      </w:r>
    </w:p>
    <w:p w14:paraId="7EF7E67B" w14:textId="77777777" w:rsidR="000B4ECA" w:rsidRPr="00444C9A" w:rsidRDefault="000B4ECA" w:rsidP="00EB5F0A">
      <w:pPr>
        <w:pStyle w:val="BodyTextMain"/>
        <w:rPr>
          <w:rFonts w:eastAsia="SimSun"/>
        </w:rPr>
      </w:pPr>
    </w:p>
    <w:p w14:paraId="0A35ADA4" w14:textId="0944D88F" w:rsidR="000B4ECA" w:rsidRDefault="000B4ECA" w:rsidP="004C062D">
      <w:pPr>
        <w:pStyle w:val="BodyTextMain"/>
      </w:pPr>
      <w:r>
        <w:t xml:space="preserve">While </w:t>
      </w:r>
      <w:r w:rsidRPr="009476D5">
        <w:t xml:space="preserve">Singapore Airlines </w:t>
      </w:r>
      <w:r>
        <w:t xml:space="preserve">had not </w:t>
      </w:r>
      <w:r w:rsidRPr="009476D5">
        <w:t>publish</w:t>
      </w:r>
      <w:r>
        <w:t>ed its</w:t>
      </w:r>
      <w:r w:rsidRPr="009476D5">
        <w:t xml:space="preserve"> dividend policy</w:t>
      </w:r>
      <w:r>
        <w:t xml:space="preserve">, other select Temasek-owned companies had. For example, the public transport operator </w:t>
      </w:r>
      <w:r w:rsidRPr="009476D5">
        <w:t>SMRT</w:t>
      </w:r>
      <w:r>
        <w:t xml:space="preserve"> Corporation revealed that it aimed to pay dividends of 60 per cent of</w:t>
      </w:r>
      <w:r w:rsidRPr="009476D5">
        <w:t xml:space="preserve"> net profit</w:t>
      </w:r>
      <w:r>
        <w:t xml:space="preserve">; </w:t>
      </w:r>
      <w:r w:rsidRPr="009476D5">
        <w:t>Sing</w:t>
      </w:r>
      <w:r>
        <w:t>apore Telecommunications Limited (Singt</w:t>
      </w:r>
      <w:r w:rsidRPr="009476D5">
        <w:t>el</w:t>
      </w:r>
      <w:r>
        <w:t>)</w:t>
      </w:r>
      <w:r w:rsidRPr="009476D5">
        <w:t xml:space="preserve"> </w:t>
      </w:r>
      <w:r>
        <w:t xml:space="preserve">tried to maintain a </w:t>
      </w:r>
      <w:proofErr w:type="spellStart"/>
      <w:r>
        <w:t>payout</w:t>
      </w:r>
      <w:proofErr w:type="spellEnd"/>
      <w:r>
        <w:t xml:space="preserve"> ratio of 60–75 per cent (see Exhibit 6).</w:t>
      </w:r>
      <w:r>
        <w:rPr>
          <w:rStyle w:val="EndnoteReference"/>
        </w:rPr>
        <w:endnoteReference w:id="16"/>
      </w:r>
    </w:p>
    <w:p w14:paraId="7BA27B83" w14:textId="0AA8B858" w:rsidR="000B4ECA" w:rsidRDefault="000B4ECA" w:rsidP="008C2632">
      <w:pPr>
        <w:pStyle w:val="BodyTextMain"/>
        <w:rPr>
          <w:rFonts w:eastAsia="SimSun"/>
        </w:rPr>
      </w:pPr>
    </w:p>
    <w:p w14:paraId="05B4B741" w14:textId="400AF687" w:rsidR="000B4ECA" w:rsidRDefault="000B4ECA" w:rsidP="008C2632">
      <w:pPr>
        <w:pStyle w:val="BodyTextMain"/>
        <w:rPr>
          <w:rFonts w:eastAsia="SimSun"/>
        </w:rPr>
      </w:pPr>
      <w:r>
        <w:t xml:space="preserve">Nevertheless, Singapore Airlines seemed </w:t>
      </w:r>
      <w:r w:rsidRPr="00C52B27">
        <w:t>committed to corporate transparency and investor relations</w:t>
      </w:r>
      <w:r>
        <w:t xml:space="preserve">. It was awarded </w:t>
      </w:r>
      <w:r w:rsidRPr="00C52B27">
        <w:rPr>
          <w:bCs/>
        </w:rPr>
        <w:t xml:space="preserve">the </w:t>
      </w:r>
      <w:r>
        <w:rPr>
          <w:bCs/>
        </w:rPr>
        <w:t xml:space="preserve">“Most Transparent Company Award 2011” </w:t>
      </w:r>
      <w:r w:rsidRPr="00C52B27">
        <w:t xml:space="preserve">by the Securities Investors Association </w:t>
      </w:r>
      <w:r>
        <w:t>(</w:t>
      </w:r>
      <w:r w:rsidRPr="00C52B27">
        <w:t>Singapore</w:t>
      </w:r>
      <w:r>
        <w:t>)</w:t>
      </w:r>
      <w:r w:rsidRPr="00C52B27">
        <w:t xml:space="preserve"> (SIAS).</w:t>
      </w:r>
      <w:r>
        <w:rPr>
          <w:rStyle w:val="EndnoteReference"/>
        </w:rPr>
        <w:endnoteReference w:id="17"/>
      </w:r>
    </w:p>
    <w:p w14:paraId="33C5B981" w14:textId="2CAEADCE" w:rsidR="000B4ECA" w:rsidRDefault="000B4ECA" w:rsidP="008C2632">
      <w:pPr>
        <w:pStyle w:val="BodyTextMain"/>
        <w:rPr>
          <w:rFonts w:eastAsia="SimSun"/>
        </w:rPr>
      </w:pPr>
    </w:p>
    <w:p w14:paraId="2369501F" w14:textId="31349408" w:rsidR="000B4ECA" w:rsidRPr="00444C9A" w:rsidRDefault="000B4ECA" w:rsidP="008C2632">
      <w:pPr>
        <w:pStyle w:val="BodyTextMain"/>
        <w:rPr>
          <w:rFonts w:eastAsia="SimSun"/>
        </w:rPr>
      </w:pPr>
      <w:r>
        <w:rPr>
          <w:rFonts w:eastAsia="SimSun"/>
          <w:lang w:eastAsia="zh-CN"/>
        </w:rPr>
        <w:t>Singapore Airlines was the flagship airline</w:t>
      </w:r>
      <w:r w:rsidRPr="00444C9A">
        <w:rPr>
          <w:rFonts w:eastAsia="SimSun"/>
        </w:rPr>
        <w:t xml:space="preserve"> of Singapore Airlines </w:t>
      </w:r>
      <w:r>
        <w:rPr>
          <w:rFonts w:eastAsia="SimSun"/>
          <w:lang w:eastAsia="zh-CN"/>
        </w:rPr>
        <w:t>Group, which also w</w:t>
      </w:r>
      <w:r w:rsidRPr="00333ADB">
        <w:rPr>
          <w:rFonts w:eastAsia="SimSun"/>
          <w:lang w:eastAsia="zh-CN"/>
        </w:rPr>
        <w:t>holly</w:t>
      </w:r>
      <w:r>
        <w:rPr>
          <w:rFonts w:eastAsia="SimSun"/>
          <w:lang w:eastAsia="zh-CN"/>
        </w:rPr>
        <w:t xml:space="preserve"> </w:t>
      </w:r>
      <w:r w:rsidRPr="00333ADB">
        <w:rPr>
          <w:rFonts w:eastAsia="SimSun"/>
          <w:lang w:eastAsia="zh-CN"/>
        </w:rPr>
        <w:t xml:space="preserve">owned </w:t>
      </w:r>
      <w:r>
        <w:rPr>
          <w:rFonts w:eastAsia="SimSun"/>
          <w:lang w:eastAsia="zh-CN"/>
        </w:rPr>
        <w:t>Singapore Airlines</w:t>
      </w:r>
      <w:r w:rsidRPr="00444C9A">
        <w:rPr>
          <w:rFonts w:eastAsia="SimSun"/>
        </w:rPr>
        <w:t xml:space="preserve"> Cargo, SIA Engineering Company</w:t>
      </w:r>
      <w:r>
        <w:rPr>
          <w:rFonts w:eastAsia="SimSun"/>
          <w:lang w:eastAsia="zh-CN"/>
        </w:rPr>
        <w:t xml:space="preserve"> Limited</w:t>
      </w:r>
      <w:r w:rsidRPr="00444C9A">
        <w:rPr>
          <w:rFonts w:eastAsia="SimSun"/>
        </w:rPr>
        <w:t>, SilkAir</w:t>
      </w:r>
      <w:r>
        <w:rPr>
          <w:rFonts w:eastAsia="SimSun"/>
          <w:lang w:eastAsia="zh-CN"/>
        </w:rPr>
        <w:t xml:space="preserve"> Private Limited</w:t>
      </w:r>
      <w:r w:rsidRPr="00444C9A">
        <w:rPr>
          <w:rFonts w:eastAsia="SimSun"/>
        </w:rPr>
        <w:t>, Scoot</w:t>
      </w:r>
      <w:r>
        <w:rPr>
          <w:rFonts w:eastAsia="SimSun"/>
          <w:lang w:eastAsia="zh-CN"/>
        </w:rPr>
        <w:t>,</w:t>
      </w:r>
      <w:r w:rsidRPr="00444C9A">
        <w:rPr>
          <w:rFonts w:eastAsia="SimSun"/>
        </w:rPr>
        <w:t xml:space="preserve"> and Tradewinds Tours and Travel</w:t>
      </w:r>
      <w:r w:rsidRPr="00BD5614">
        <w:rPr>
          <w:rFonts w:eastAsia="SimSun"/>
          <w:lang w:eastAsia="zh-CN"/>
        </w:rPr>
        <w:t xml:space="preserve"> </w:t>
      </w:r>
      <w:r>
        <w:rPr>
          <w:rFonts w:eastAsia="SimSun"/>
          <w:lang w:eastAsia="zh-CN"/>
        </w:rPr>
        <w:t>Private Limited</w:t>
      </w:r>
      <w:r w:rsidRPr="00333ADB">
        <w:rPr>
          <w:rFonts w:eastAsia="SimSun"/>
          <w:lang w:eastAsia="zh-CN"/>
        </w:rPr>
        <w:t>.</w:t>
      </w:r>
      <w:r w:rsidRPr="00576751">
        <w:rPr>
          <w:rStyle w:val="EndnoteReference"/>
          <w:rFonts w:eastAsia="SimSun"/>
        </w:rPr>
        <w:endnoteReference w:id="18"/>
      </w:r>
      <w:r w:rsidRPr="00333ADB">
        <w:rPr>
          <w:rFonts w:eastAsia="SimSun"/>
          <w:lang w:eastAsia="zh-CN"/>
        </w:rPr>
        <w:t xml:space="preserve"> </w:t>
      </w:r>
      <w:r>
        <w:rPr>
          <w:rFonts w:eastAsia="SimSun"/>
          <w:lang w:eastAsia="zh-CN"/>
        </w:rPr>
        <w:t>The airline</w:t>
      </w:r>
      <w:r w:rsidRPr="00444C9A">
        <w:rPr>
          <w:rFonts w:eastAsia="SimSun"/>
        </w:rPr>
        <w:t xml:space="preserve"> also held significant stakes in Tiger Airways </w:t>
      </w:r>
      <w:r>
        <w:rPr>
          <w:rFonts w:eastAsia="SimSun"/>
          <w:lang w:eastAsia="zh-CN"/>
        </w:rPr>
        <w:t xml:space="preserve">Singapore Private Limited </w:t>
      </w:r>
      <w:r w:rsidRPr="00444C9A">
        <w:rPr>
          <w:rFonts w:eastAsia="SimSun"/>
        </w:rPr>
        <w:t>(30.2</w:t>
      </w:r>
      <w:r>
        <w:rPr>
          <w:rFonts w:eastAsia="SimSun"/>
          <w:lang w:eastAsia="zh-CN"/>
        </w:rPr>
        <w:t xml:space="preserve"> per cent</w:t>
      </w:r>
      <w:r w:rsidRPr="00333ADB">
        <w:rPr>
          <w:rFonts w:eastAsia="SimSun"/>
          <w:lang w:eastAsia="zh-CN"/>
        </w:rPr>
        <w:t>)</w:t>
      </w:r>
      <w:r w:rsidRPr="00444C9A">
        <w:rPr>
          <w:rFonts w:eastAsia="SimSun"/>
        </w:rPr>
        <w:t xml:space="preserve"> and Virgin Australia </w:t>
      </w:r>
      <w:r>
        <w:rPr>
          <w:rFonts w:eastAsia="SimSun"/>
          <w:lang w:eastAsia="zh-CN"/>
        </w:rPr>
        <w:t>Airlines</w:t>
      </w:r>
      <w:r w:rsidRPr="00333ADB">
        <w:rPr>
          <w:rFonts w:eastAsia="SimSun"/>
          <w:lang w:eastAsia="zh-CN"/>
        </w:rPr>
        <w:t xml:space="preserve"> </w:t>
      </w:r>
      <w:r w:rsidRPr="00444C9A">
        <w:rPr>
          <w:rFonts w:eastAsia="SimSun"/>
        </w:rPr>
        <w:t>(22.8</w:t>
      </w:r>
      <w:r>
        <w:rPr>
          <w:rFonts w:eastAsia="SimSun"/>
          <w:lang w:eastAsia="zh-CN"/>
        </w:rPr>
        <w:t>. per cent</w:t>
      </w:r>
      <w:r w:rsidRPr="00333ADB">
        <w:rPr>
          <w:rFonts w:eastAsia="SimSun"/>
          <w:lang w:eastAsia="zh-CN"/>
        </w:rPr>
        <w:t>)</w:t>
      </w:r>
      <w:r>
        <w:rPr>
          <w:rFonts w:eastAsia="SimSun"/>
          <w:lang w:eastAsia="zh-CN"/>
        </w:rPr>
        <w:t>.</w:t>
      </w:r>
      <w:r w:rsidRPr="00576751">
        <w:rPr>
          <w:rStyle w:val="EndnoteReference"/>
          <w:rFonts w:eastAsia="SimSun"/>
        </w:rPr>
        <w:endnoteReference w:id="19"/>
      </w:r>
    </w:p>
    <w:p w14:paraId="096EE700" w14:textId="7EA0AD28" w:rsidR="000B4ECA" w:rsidRPr="00444C9A" w:rsidRDefault="000B4ECA" w:rsidP="008C2632">
      <w:pPr>
        <w:pStyle w:val="BodyTextMain"/>
        <w:rPr>
          <w:rFonts w:eastAsia="SimSun"/>
        </w:rPr>
      </w:pPr>
    </w:p>
    <w:p w14:paraId="7B6F8FD9" w14:textId="77777777" w:rsidR="000B4ECA" w:rsidRDefault="000B4ECA" w:rsidP="0079599D">
      <w:pPr>
        <w:pStyle w:val="Casehead1"/>
        <w:rPr>
          <w:rFonts w:eastAsia="SimSun"/>
          <w:lang w:eastAsia="zh-CN"/>
        </w:rPr>
      </w:pPr>
    </w:p>
    <w:p w14:paraId="485933A3" w14:textId="0073F44B" w:rsidR="000B4ECA" w:rsidRPr="00444C9A" w:rsidRDefault="000B4ECA" w:rsidP="0079599D">
      <w:pPr>
        <w:pStyle w:val="Casehead1"/>
        <w:rPr>
          <w:rFonts w:eastAsia="SimSun"/>
        </w:rPr>
      </w:pPr>
      <w:r>
        <w:rPr>
          <w:rFonts w:eastAsia="SimSun"/>
          <w:lang w:eastAsia="zh-CN"/>
        </w:rPr>
        <w:t xml:space="preserve">The </w:t>
      </w:r>
      <w:r w:rsidRPr="00444C9A">
        <w:rPr>
          <w:rFonts w:eastAsia="SimSun"/>
        </w:rPr>
        <w:t>AIRLINE INDUSTRY</w:t>
      </w:r>
    </w:p>
    <w:p w14:paraId="211ED2ED" w14:textId="77777777" w:rsidR="000B4ECA" w:rsidRPr="00444C9A" w:rsidRDefault="000B4ECA" w:rsidP="005943BD">
      <w:pPr>
        <w:pStyle w:val="BodyTextMain"/>
        <w:rPr>
          <w:rFonts w:eastAsia="SimSun"/>
        </w:rPr>
      </w:pPr>
    </w:p>
    <w:p w14:paraId="368E985A" w14:textId="714C05D3" w:rsidR="000B4ECA" w:rsidRPr="00444C9A" w:rsidRDefault="000B4ECA" w:rsidP="005943BD">
      <w:pPr>
        <w:pStyle w:val="BodyTextMain"/>
        <w:rPr>
          <w:rFonts w:eastAsia="SimSun"/>
        </w:rPr>
      </w:pPr>
      <w:r>
        <w:rPr>
          <w:rFonts w:eastAsia="SimSun"/>
          <w:lang w:eastAsia="zh-CN"/>
        </w:rPr>
        <w:t xml:space="preserve">In the </w:t>
      </w:r>
      <w:r w:rsidRPr="00444C9A">
        <w:rPr>
          <w:rFonts w:eastAsia="SimSun"/>
        </w:rPr>
        <w:t>late 1970s</w:t>
      </w:r>
      <w:r>
        <w:rPr>
          <w:rFonts w:eastAsia="SimSun"/>
          <w:lang w:eastAsia="zh-CN"/>
        </w:rPr>
        <w:t xml:space="preserve">, the US government removed its controls over fares, routes, and the entry of new airlines. The deregulation </w:t>
      </w:r>
      <w:r w:rsidRPr="00333ADB">
        <w:rPr>
          <w:rFonts w:eastAsia="SimSun"/>
          <w:lang w:eastAsia="zh-CN"/>
        </w:rPr>
        <w:t xml:space="preserve">dramatically changed </w:t>
      </w:r>
      <w:r>
        <w:rPr>
          <w:rFonts w:eastAsia="SimSun"/>
          <w:lang w:eastAsia="zh-CN"/>
        </w:rPr>
        <w:t xml:space="preserve">the </w:t>
      </w:r>
      <w:r w:rsidRPr="00333ADB">
        <w:rPr>
          <w:rFonts w:eastAsia="SimSun"/>
          <w:lang w:eastAsia="zh-CN"/>
        </w:rPr>
        <w:t>business model</w:t>
      </w:r>
      <w:r w:rsidRPr="00B530D2">
        <w:rPr>
          <w:rFonts w:eastAsia="SimSun"/>
          <w:lang w:eastAsia="zh-CN"/>
        </w:rPr>
        <w:t xml:space="preserve"> </w:t>
      </w:r>
      <w:r>
        <w:rPr>
          <w:rFonts w:eastAsia="SimSun"/>
          <w:lang w:eastAsia="zh-CN"/>
        </w:rPr>
        <w:t xml:space="preserve">and </w:t>
      </w:r>
      <w:r w:rsidRPr="00444C9A">
        <w:rPr>
          <w:rFonts w:eastAsia="SimSun"/>
        </w:rPr>
        <w:t>led to increased competition in the industry</w:t>
      </w:r>
      <w:r w:rsidRPr="00333ADB">
        <w:rPr>
          <w:rFonts w:eastAsia="SimSun"/>
          <w:lang w:eastAsia="zh-CN"/>
        </w:rPr>
        <w:t>.</w:t>
      </w:r>
      <w:r w:rsidRPr="00444C9A">
        <w:rPr>
          <w:rFonts w:eastAsia="SimSun"/>
        </w:rPr>
        <w:t xml:space="preserve"> Competition, in turn, depressed ticket prices</w:t>
      </w:r>
      <w:r>
        <w:rPr>
          <w:rFonts w:eastAsia="SimSun"/>
          <w:lang w:eastAsia="zh-CN"/>
        </w:rPr>
        <w:t>,</w:t>
      </w:r>
      <w:r w:rsidRPr="00444C9A">
        <w:rPr>
          <w:rFonts w:eastAsia="SimSun"/>
        </w:rPr>
        <w:t xml:space="preserve"> which stimulated demand and increased air traffic. Open </w:t>
      </w:r>
      <w:r>
        <w:rPr>
          <w:rFonts w:eastAsia="SimSun"/>
          <w:lang w:eastAsia="zh-CN"/>
        </w:rPr>
        <w:t>s</w:t>
      </w:r>
      <w:r w:rsidRPr="00333ADB">
        <w:rPr>
          <w:rFonts w:eastAsia="SimSun"/>
          <w:lang w:eastAsia="zh-CN"/>
        </w:rPr>
        <w:t>k</w:t>
      </w:r>
      <w:r>
        <w:rPr>
          <w:rFonts w:eastAsia="SimSun"/>
          <w:lang w:eastAsia="zh-CN"/>
        </w:rPr>
        <w:t>ies air transport</w:t>
      </w:r>
      <w:r w:rsidRPr="00444C9A">
        <w:rPr>
          <w:rFonts w:eastAsia="SimSun"/>
        </w:rPr>
        <w:t xml:space="preserve"> agreements allowed airlines from over 100 countries </w:t>
      </w:r>
      <w:r>
        <w:rPr>
          <w:rFonts w:eastAsia="SimSun"/>
          <w:lang w:eastAsia="zh-CN"/>
        </w:rPr>
        <w:t>and regions to launch from and land in the co-operating countries</w:t>
      </w:r>
      <w:r w:rsidRPr="00444C9A">
        <w:rPr>
          <w:rFonts w:eastAsia="SimSun"/>
        </w:rPr>
        <w:t xml:space="preserve"> in </w:t>
      </w:r>
      <w:r>
        <w:rPr>
          <w:rFonts w:eastAsia="SimSun"/>
          <w:lang w:eastAsia="zh-CN"/>
        </w:rPr>
        <w:t>a free-market environment. The resulting</w:t>
      </w:r>
      <w:r w:rsidRPr="00444C9A">
        <w:rPr>
          <w:rFonts w:eastAsia="SimSun"/>
        </w:rPr>
        <w:t xml:space="preserve"> intensified competition </w:t>
      </w:r>
      <w:r>
        <w:rPr>
          <w:rFonts w:eastAsia="SimSun"/>
          <w:lang w:eastAsia="zh-CN"/>
        </w:rPr>
        <w:t>in major markets</w:t>
      </w:r>
      <w:r w:rsidRPr="00444C9A">
        <w:rPr>
          <w:rFonts w:eastAsia="SimSun"/>
        </w:rPr>
        <w:t>, in turn, lowered customer fares</w:t>
      </w:r>
      <w:r>
        <w:rPr>
          <w:rFonts w:eastAsia="SimSun"/>
          <w:lang w:eastAsia="zh-CN"/>
        </w:rPr>
        <w:t xml:space="preserve"> further</w:t>
      </w:r>
      <w:r w:rsidRPr="00444C9A">
        <w:rPr>
          <w:rFonts w:eastAsia="SimSun"/>
        </w:rPr>
        <w:t>.</w:t>
      </w:r>
      <w:r w:rsidRPr="00444C9A">
        <w:rPr>
          <w:rStyle w:val="EndnoteReference"/>
          <w:rFonts w:eastAsia="SimSun"/>
        </w:rPr>
        <w:endnoteReference w:id="20"/>
      </w:r>
    </w:p>
    <w:p w14:paraId="17778EC3" w14:textId="77777777" w:rsidR="000B4ECA" w:rsidRPr="00444C9A" w:rsidRDefault="000B4ECA" w:rsidP="005943BD">
      <w:pPr>
        <w:pStyle w:val="BodyTextMain"/>
        <w:rPr>
          <w:rFonts w:eastAsia="SimSun"/>
        </w:rPr>
      </w:pPr>
    </w:p>
    <w:p w14:paraId="60AC8F0D" w14:textId="1C661C20" w:rsidR="000B4ECA" w:rsidRPr="007240CC" w:rsidRDefault="000B4ECA" w:rsidP="005943BD">
      <w:pPr>
        <w:pStyle w:val="BodyTextMain"/>
        <w:rPr>
          <w:rFonts w:eastAsia="SimSun"/>
        </w:rPr>
      </w:pPr>
      <w:r w:rsidRPr="007240CC">
        <w:rPr>
          <w:rFonts w:eastAsia="SimSun"/>
        </w:rPr>
        <w:t xml:space="preserve">The International Air Transport Association (IATA) estimated </w:t>
      </w:r>
      <w:r w:rsidRPr="007240CC">
        <w:rPr>
          <w:rFonts w:eastAsia="SimSun"/>
          <w:lang w:eastAsia="zh-CN"/>
        </w:rPr>
        <w:t xml:space="preserve">that </w:t>
      </w:r>
      <w:r w:rsidRPr="007240CC">
        <w:rPr>
          <w:rFonts w:eastAsia="SimSun"/>
        </w:rPr>
        <w:t>the net income of</w:t>
      </w:r>
      <w:r w:rsidRPr="007240CC">
        <w:rPr>
          <w:rFonts w:eastAsia="SimSun"/>
          <w:lang w:eastAsia="zh-CN"/>
        </w:rPr>
        <w:t xml:space="preserve"> the</w:t>
      </w:r>
      <w:r w:rsidRPr="007240CC">
        <w:rPr>
          <w:rFonts w:eastAsia="SimSun"/>
        </w:rPr>
        <w:t xml:space="preserve"> airline industry for 2015 would amount to $33 billion, with increased profits stemming from lower fuel prices. In comparison, the net profit of the industry </w:t>
      </w:r>
      <w:r w:rsidRPr="007240CC">
        <w:rPr>
          <w:rFonts w:eastAsia="SimSun"/>
          <w:lang w:eastAsia="zh-CN"/>
        </w:rPr>
        <w:t xml:space="preserve">in 2014 </w:t>
      </w:r>
      <w:r w:rsidRPr="007240CC">
        <w:rPr>
          <w:rFonts w:eastAsia="SimSun"/>
        </w:rPr>
        <w:t>totalled slightly more than $16 billion</w:t>
      </w:r>
      <w:r w:rsidRPr="007240CC">
        <w:rPr>
          <w:rFonts w:eastAsia="SimSun"/>
          <w:lang w:eastAsia="zh-CN"/>
        </w:rPr>
        <w:t>,</w:t>
      </w:r>
      <w:r w:rsidRPr="007240CC">
        <w:rPr>
          <w:rFonts w:eastAsia="SimSun"/>
        </w:rPr>
        <w:t xml:space="preserve"> which was a strong improvement over </w:t>
      </w:r>
      <w:r w:rsidRPr="007240CC">
        <w:rPr>
          <w:rFonts w:eastAsia="SimSun"/>
          <w:lang w:eastAsia="zh-CN"/>
        </w:rPr>
        <w:t xml:space="preserve">the </w:t>
      </w:r>
      <w:r w:rsidRPr="007240CC">
        <w:rPr>
          <w:rFonts w:eastAsia="SimSun"/>
        </w:rPr>
        <w:t xml:space="preserve">prior year’s net profit of $12.9 billion. The IATA </w:t>
      </w:r>
      <w:r w:rsidRPr="007240CC">
        <w:rPr>
          <w:rFonts w:eastAsia="SimSun"/>
          <w:lang w:eastAsia="zh-CN"/>
        </w:rPr>
        <w:t xml:space="preserve">also </w:t>
      </w:r>
      <w:r w:rsidRPr="007240CC">
        <w:rPr>
          <w:rFonts w:eastAsia="SimSun"/>
        </w:rPr>
        <w:t xml:space="preserve">forecasted </w:t>
      </w:r>
      <w:r w:rsidRPr="007240CC">
        <w:rPr>
          <w:rFonts w:eastAsia="SimSun"/>
          <w:lang w:eastAsia="zh-CN"/>
        </w:rPr>
        <w:t xml:space="preserve">in 2015 that </w:t>
      </w:r>
      <w:r w:rsidRPr="007240CC">
        <w:rPr>
          <w:rFonts w:eastAsia="SimSun"/>
        </w:rPr>
        <w:t xml:space="preserve">the industry </w:t>
      </w:r>
      <w:r w:rsidRPr="007240CC">
        <w:rPr>
          <w:rFonts w:eastAsia="SimSun"/>
          <w:lang w:eastAsia="zh-CN"/>
        </w:rPr>
        <w:t>would</w:t>
      </w:r>
      <w:r w:rsidRPr="007240CC">
        <w:rPr>
          <w:rFonts w:eastAsia="SimSun"/>
        </w:rPr>
        <w:t xml:space="preserve"> achieve 8.3 per cent return on capital</w:t>
      </w:r>
      <w:r w:rsidRPr="007240CC">
        <w:rPr>
          <w:rFonts w:eastAsia="SimSun"/>
          <w:lang w:eastAsia="zh-CN"/>
        </w:rPr>
        <w:t>,</w:t>
      </w:r>
      <w:r w:rsidRPr="007240CC">
        <w:rPr>
          <w:rFonts w:eastAsia="SimSun"/>
        </w:rPr>
        <w:t xml:space="preserve"> and </w:t>
      </w:r>
      <w:r w:rsidRPr="007240CC">
        <w:rPr>
          <w:rFonts w:eastAsia="SimSun"/>
          <w:lang w:eastAsia="zh-CN"/>
        </w:rPr>
        <w:t xml:space="preserve">the IATA </w:t>
      </w:r>
      <w:r w:rsidRPr="007240CC">
        <w:rPr>
          <w:rFonts w:eastAsia="SimSun"/>
        </w:rPr>
        <w:t xml:space="preserve">expected </w:t>
      </w:r>
      <w:r w:rsidRPr="007240CC">
        <w:rPr>
          <w:rFonts w:eastAsia="SimSun"/>
          <w:lang w:eastAsia="zh-CN"/>
        </w:rPr>
        <w:t>that</w:t>
      </w:r>
      <w:r w:rsidRPr="007240CC">
        <w:rPr>
          <w:rFonts w:eastAsia="SimSun"/>
        </w:rPr>
        <w:t xml:space="preserve"> to improve to 8.6 per cent in 2016.</w:t>
      </w:r>
      <w:r w:rsidRPr="007240CC">
        <w:rPr>
          <w:rStyle w:val="EndnoteReference"/>
          <w:rFonts w:eastAsia="SimSun"/>
        </w:rPr>
        <w:endnoteReference w:id="21"/>
      </w:r>
    </w:p>
    <w:p w14:paraId="56F8D91C" w14:textId="77777777" w:rsidR="000B4ECA" w:rsidRPr="00444C9A" w:rsidRDefault="000B4ECA" w:rsidP="005943BD">
      <w:pPr>
        <w:pStyle w:val="BodyTextMain"/>
        <w:rPr>
          <w:rFonts w:eastAsia="SimSun"/>
        </w:rPr>
      </w:pPr>
    </w:p>
    <w:p w14:paraId="23ADFCE3" w14:textId="491FC595" w:rsidR="000B4ECA" w:rsidRPr="00444C9A" w:rsidRDefault="000B4ECA" w:rsidP="005943BD">
      <w:pPr>
        <w:pStyle w:val="BodyTextMain"/>
        <w:rPr>
          <w:rFonts w:eastAsia="SimSun"/>
        </w:rPr>
      </w:pPr>
      <w:r w:rsidRPr="00444C9A">
        <w:rPr>
          <w:rFonts w:eastAsia="SimSun"/>
        </w:rPr>
        <w:t xml:space="preserve">Fuelled by plummeting oil prices in 2014–15, the profits </w:t>
      </w:r>
      <w:r>
        <w:rPr>
          <w:rFonts w:eastAsia="SimSun"/>
          <w:lang w:eastAsia="zh-CN"/>
        </w:rPr>
        <w:t>of</w:t>
      </w:r>
      <w:r w:rsidRPr="00444C9A">
        <w:rPr>
          <w:rFonts w:eastAsia="SimSun"/>
        </w:rPr>
        <w:t xml:space="preserve"> most airlines </w:t>
      </w:r>
      <w:r>
        <w:rPr>
          <w:rFonts w:eastAsia="SimSun"/>
        </w:rPr>
        <w:t xml:space="preserve">were expected to </w:t>
      </w:r>
      <w:r w:rsidRPr="00444C9A">
        <w:rPr>
          <w:rFonts w:eastAsia="SimSun"/>
        </w:rPr>
        <w:t xml:space="preserve">increase considerably over the </w:t>
      </w:r>
      <w:r>
        <w:rPr>
          <w:rFonts w:eastAsia="SimSun"/>
          <w:lang w:eastAsia="zh-CN"/>
        </w:rPr>
        <w:t xml:space="preserve">subsequent </w:t>
      </w:r>
      <w:r w:rsidRPr="00444C9A">
        <w:rPr>
          <w:rFonts w:eastAsia="SimSun"/>
        </w:rPr>
        <w:t>years.</w:t>
      </w:r>
      <w:r>
        <w:rPr>
          <w:rStyle w:val="EndnoteReference"/>
          <w:rFonts w:eastAsia="SimSun"/>
        </w:rPr>
        <w:endnoteReference w:id="22"/>
      </w:r>
      <w:r w:rsidRPr="00444C9A">
        <w:rPr>
          <w:rFonts w:eastAsia="SimSun"/>
        </w:rPr>
        <w:t xml:space="preserve"> However, this effect might turn out to be short-lived </w:t>
      </w:r>
      <w:r>
        <w:rPr>
          <w:rFonts w:eastAsia="SimSun"/>
          <w:lang w:eastAsia="zh-CN"/>
        </w:rPr>
        <w:t>because</w:t>
      </w:r>
      <w:r w:rsidRPr="00444C9A">
        <w:rPr>
          <w:rFonts w:eastAsia="SimSun"/>
        </w:rPr>
        <w:t xml:space="preserve"> airlines would likely continue to compete by reducing prices and, thus, lowering profits.</w:t>
      </w:r>
      <w:r>
        <w:rPr>
          <w:rStyle w:val="CommentReference"/>
        </w:rPr>
        <w:t xml:space="preserve"> </w:t>
      </w:r>
    </w:p>
    <w:p w14:paraId="2DD2C9A0" w14:textId="77777777" w:rsidR="000B4ECA" w:rsidRPr="00444C9A" w:rsidRDefault="000B4ECA" w:rsidP="002E05AB">
      <w:pPr>
        <w:pStyle w:val="BodyTextMain"/>
        <w:rPr>
          <w:rFonts w:eastAsia="SimSun"/>
        </w:rPr>
      </w:pPr>
    </w:p>
    <w:p w14:paraId="64CB51A7" w14:textId="0771D422" w:rsidR="000B4ECA" w:rsidRPr="000B4ECA" w:rsidRDefault="000B4ECA" w:rsidP="005943BD">
      <w:pPr>
        <w:pStyle w:val="BodyTextMain"/>
        <w:rPr>
          <w:rFonts w:eastAsia="SimSun"/>
          <w:spacing w:val="-4"/>
          <w:lang w:eastAsia="zh-CN"/>
        </w:rPr>
      </w:pPr>
      <w:r w:rsidRPr="000B4ECA">
        <w:rPr>
          <w:rFonts w:eastAsia="SimSun"/>
          <w:spacing w:val="-4"/>
        </w:rPr>
        <w:t xml:space="preserve">One of the world’s fastest-growing markets, South East Asia, remained very challenging due to intense competition. </w:t>
      </w:r>
      <w:r w:rsidRPr="000B4ECA">
        <w:rPr>
          <w:rFonts w:eastAsia="SimSun"/>
          <w:spacing w:val="-4"/>
          <w:lang w:eastAsia="zh-CN"/>
        </w:rPr>
        <w:t>Despite</w:t>
      </w:r>
      <w:r w:rsidRPr="000B4ECA">
        <w:rPr>
          <w:rFonts w:eastAsia="SimSun"/>
          <w:spacing w:val="-4"/>
        </w:rPr>
        <w:t xml:space="preserve"> strong growth in the industry, </w:t>
      </w:r>
      <w:r w:rsidRPr="000B4ECA">
        <w:rPr>
          <w:rFonts w:eastAsia="SimSun"/>
          <w:spacing w:val="-4"/>
          <w:lang w:eastAsia="zh-CN"/>
        </w:rPr>
        <w:t xml:space="preserve">the competition prevented </w:t>
      </w:r>
      <w:r w:rsidRPr="000B4ECA">
        <w:rPr>
          <w:rFonts w:eastAsia="SimSun"/>
          <w:spacing w:val="-4"/>
        </w:rPr>
        <w:t xml:space="preserve">most airlines in South East Asia </w:t>
      </w:r>
      <w:r w:rsidRPr="000B4ECA">
        <w:rPr>
          <w:rFonts w:eastAsia="SimSun"/>
          <w:spacing w:val="-4"/>
          <w:lang w:eastAsia="zh-CN"/>
        </w:rPr>
        <w:t>from earning</w:t>
      </w:r>
      <w:r w:rsidRPr="000B4ECA">
        <w:rPr>
          <w:rFonts w:eastAsia="SimSun"/>
          <w:spacing w:val="-4"/>
        </w:rPr>
        <w:t xml:space="preserve"> positive profits.</w:t>
      </w:r>
      <w:r w:rsidRPr="000B4ECA">
        <w:rPr>
          <w:rStyle w:val="EndnoteReference"/>
          <w:rFonts w:eastAsia="SimSun"/>
          <w:spacing w:val="-4"/>
        </w:rPr>
        <w:endnoteReference w:id="23"/>
      </w:r>
      <w:r w:rsidRPr="000B4ECA">
        <w:rPr>
          <w:rFonts w:eastAsia="SimSun"/>
          <w:spacing w:val="-4"/>
        </w:rPr>
        <w:t xml:space="preserve"> This, however, did not impede the rapid growth of these airlines</w:t>
      </w:r>
      <w:r w:rsidRPr="000B4ECA">
        <w:rPr>
          <w:rFonts w:eastAsia="SimSun"/>
          <w:spacing w:val="-4"/>
          <w:lang w:eastAsia="zh-CN"/>
        </w:rPr>
        <w:t xml:space="preserve"> (see Exhibit 7).</w:t>
      </w:r>
    </w:p>
    <w:p w14:paraId="78C980A4" w14:textId="77777777" w:rsidR="000B4ECA" w:rsidRPr="0079599D" w:rsidRDefault="000B4ECA" w:rsidP="005943BD">
      <w:pPr>
        <w:pStyle w:val="BodyTextMain"/>
        <w:rPr>
          <w:rFonts w:eastAsia="SimSun"/>
        </w:rPr>
      </w:pPr>
    </w:p>
    <w:p w14:paraId="426A2C6A" w14:textId="578ADEFC" w:rsidR="000B4ECA" w:rsidRPr="00444C9A" w:rsidRDefault="000B4ECA" w:rsidP="0079599D">
      <w:pPr>
        <w:pStyle w:val="BodyTextMain"/>
        <w:rPr>
          <w:rFonts w:eastAsia="SimSun"/>
        </w:rPr>
      </w:pPr>
      <w:r w:rsidRPr="00444C9A">
        <w:rPr>
          <w:rFonts w:eastAsia="SimSun"/>
        </w:rPr>
        <w:t>The airline industry ha</w:t>
      </w:r>
      <w:r>
        <w:rPr>
          <w:rFonts w:eastAsia="SimSun"/>
          <w:lang w:eastAsia="zh-CN"/>
        </w:rPr>
        <w:t>d</w:t>
      </w:r>
      <w:r w:rsidRPr="00444C9A">
        <w:rPr>
          <w:rFonts w:eastAsia="SimSun"/>
        </w:rPr>
        <w:t xml:space="preserve"> long struggled with limited profit margins. Yet, the </w:t>
      </w:r>
      <w:r>
        <w:rPr>
          <w:rFonts w:eastAsia="SimSun"/>
          <w:lang w:eastAsia="zh-CN"/>
        </w:rPr>
        <w:t>more recent</w:t>
      </w:r>
      <w:r w:rsidRPr="00444C9A">
        <w:rPr>
          <w:rFonts w:eastAsia="SimSun"/>
        </w:rPr>
        <w:t xml:space="preserve"> growth phase in most markets, coupled with evolving technology and customer preferences, offered a real opportunity. Many viewed the rise of the Chinese airlines as the next big disruption in the marketplace </w:t>
      </w:r>
      <w:r>
        <w:rPr>
          <w:rFonts w:eastAsia="SimSun"/>
          <w:lang w:eastAsia="zh-CN"/>
        </w:rPr>
        <w:t>because</w:t>
      </w:r>
      <w:r w:rsidRPr="00444C9A">
        <w:rPr>
          <w:rFonts w:eastAsia="SimSun"/>
        </w:rPr>
        <w:t xml:space="preserve"> China Airlines, China Eastern</w:t>
      </w:r>
      <w:r>
        <w:rPr>
          <w:rFonts w:eastAsia="SimSun"/>
          <w:lang w:eastAsia="zh-CN"/>
        </w:rPr>
        <w:t xml:space="preserve"> Airlines Corporation Limited</w:t>
      </w:r>
      <w:r w:rsidRPr="00444C9A">
        <w:rPr>
          <w:rFonts w:eastAsia="SimSun"/>
        </w:rPr>
        <w:t xml:space="preserve">, and China Southern </w:t>
      </w:r>
      <w:r>
        <w:rPr>
          <w:rFonts w:eastAsia="SimSun"/>
          <w:lang w:eastAsia="zh-CN"/>
        </w:rPr>
        <w:t>Airlines Company Limited</w:t>
      </w:r>
      <w:r w:rsidRPr="00444C9A">
        <w:rPr>
          <w:rFonts w:eastAsia="SimSun"/>
        </w:rPr>
        <w:t xml:space="preserve"> all received government support.</w:t>
      </w:r>
      <w:r w:rsidRPr="00444C9A">
        <w:rPr>
          <w:rStyle w:val="EndnoteReference"/>
          <w:rFonts w:eastAsia="SimSun"/>
        </w:rPr>
        <w:endnoteReference w:id="24"/>
      </w:r>
      <w:r>
        <w:rPr>
          <w:rFonts w:eastAsia="SimSun"/>
          <w:lang w:eastAsia="zh-CN"/>
        </w:rPr>
        <w:t xml:space="preserve"> </w:t>
      </w:r>
    </w:p>
    <w:p w14:paraId="2BD74942" w14:textId="577A1A27" w:rsidR="000B4ECA" w:rsidRPr="00444C9A" w:rsidRDefault="000B4ECA" w:rsidP="00906B02">
      <w:pPr>
        <w:pStyle w:val="BodyTextMain"/>
      </w:pPr>
    </w:p>
    <w:p w14:paraId="7EEAD71E" w14:textId="77777777" w:rsidR="000B4ECA" w:rsidRPr="00444C9A" w:rsidRDefault="000B4ECA" w:rsidP="00E77DE7">
      <w:pPr>
        <w:pStyle w:val="Casehead1"/>
        <w:keepNext/>
      </w:pPr>
      <w:r w:rsidRPr="00444C9A">
        <w:lastRenderedPageBreak/>
        <w:t>SINGAPORE</w:t>
      </w:r>
    </w:p>
    <w:p w14:paraId="124B9BFA" w14:textId="77777777" w:rsidR="000B4ECA" w:rsidRPr="00444C9A" w:rsidRDefault="000B4ECA" w:rsidP="00E77DE7">
      <w:pPr>
        <w:pStyle w:val="BodyTextMain"/>
        <w:keepNext/>
      </w:pPr>
    </w:p>
    <w:p w14:paraId="79AB85E1" w14:textId="71579887" w:rsidR="000B4ECA" w:rsidRPr="00444C9A" w:rsidRDefault="000B4ECA" w:rsidP="00E77DE7">
      <w:pPr>
        <w:pStyle w:val="BodyTextMain"/>
        <w:keepNext/>
      </w:pPr>
      <w:r>
        <w:t>Singapore was w</w:t>
      </w:r>
      <w:r w:rsidRPr="00444C9A">
        <w:t>ell</w:t>
      </w:r>
      <w:r>
        <w:t xml:space="preserve"> </w:t>
      </w:r>
      <w:r w:rsidRPr="00444C9A">
        <w:t xml:space="preserve">known for its conducive business environment, </w:t>
      </w:r>
      <w:r>
        <w:t>and various rankings</w:t>
      </w:r>
      <w:r w:rsidRPr="00444C9A">
        <w:t xml:space="preserve"> typically featured </w:t>
      </w:r>
      <w:r>
        <w:t xml:space="preserve">it </w:t>
      </w:r>
      <w:r w:rsidRPr="00444C9A">
        <w:t xml:space="preserve">among the world’s top three countries for the ease of doing business. For example, the World </w:t>
      </w:r>
      <w:r w:rsidRPr="00333ADB">
        <w:t>Bank</w:t>
      </w:r>
      <w:r>
        <w:t xml:space="preserve"> ranked Singapore in the top position </w:t>
      </w:r>
      <w:r w:rsidRPr="00444C9A">
        <w:t xml:space="preserve">on the </w:t>
      </w:r>
      <w:r>
        <w:t>“</w:t>
      </w:r>
      <w:r w:rsidRPr="00444C9A">
        <w:t xml:space="preserve">ease of doing business </w:t>
      </w:r>
      <w:r>
        <w:t xml:space="preserve">index” </w:t>
      </w:r>
      <w:r w:rsidRPr="00444C9A">
        <w:t>in 201</w:t>
      </w:r>
      <w:r>
        <w:t>6;</w:t>
      </w:r>
      <w:r>
        <w:rPr>
          <w:rStyle w:val="EndnoteReference"/>
        </w:rPr>
        <w:endnoteReference w:id="25"/>
      </w:r>
      <w:r w:rsidRPr="00444C9A">
        <w:t xml:space="preserve"> the World Economic Forum’s global competitiveness report ranked Singapore </w:t>
      </w:r>
      <w:r>
        <w:t>as</w:t>
      </w:r>
      <w:r w:rsidRPr="00444C9A">
        <w:t xml:space="preserve"> second in 2016.</w:t>
      </w:r>
      <w:r w:rsidRPr="00444C9A">
        <w:rPr>
          <w:rStyle w:val="EndnoteReference"/>
        </w:rPr>
        <w:endnoteReference w:id="26"/>
      </w:r>
      <w:r w:rsidRPr="00444C9A">
        <w:t xml:space="preserve"> In </w:t>
      </w:r>
      <w:r>
        <w:t>its</w:t>
      </w:r>
      <w:r w:rsidRPr="00444C9A">
        <w:t xml:space="preserve"> annual world competitiveness ranking</w:t>
      </w:r>
      <w:r w:rsidRPr="00333ADB">
        <w:t>,</w:t>
      </w:r>
      <w:r>
        <w:t xml:space="preserve"> the Institute for Management Development ranked</w:t>
      </w:r>
      <w:r w:rsidRPr="00444C9A">
        <w:t xml:space="preserve"> Singapore </w:t>
      </w:r>
      <w:r>
        <w:t>third in 2015</w:t>
      </w:r>
      <w:r w:rsidRPr="00444C9A">
        <w:t>.</w:t>
      </w:r>
      <w:r w:rsidRPr="00444C9A">
        <w:rPr>
          <w:rStyle w:val="EndnoteReference"/>
        </w:rPr>
        <w:endnoteReference w:id="27"/>
      </w:r>
      <w:r>
        <w:t xml:space="preserve"> </w:t>
      </w:r>
      <w:r w:rsidRPr="00444C9A">
        <w:t>Well</w:t>
      </w:r>
      <w:r>
        <w:t>-</w:t>
      </w:r>
      <w:r w:rsidRPr="00444C9A">
        <w:t>known as a low</w:t>
      </w:r>
      <w:r>
        <w:t>-</w:t>
      </w:r>
      <w:r w:rsidRPr="00444C9A">
        <w:t>tax environment, Singapore did not tax either dividends or capital gains.</w:t>
      </w:r>
    </w:p>
    <w:p w14:paraId="443C148E" w14:textId="77777777" w:rsidR="000B4ECA" w:rsidRPr="00444C9A" w:rsidRDefault="000B4ECA" w:rsidP="005943BD">
      <w:pPr>
        <w:pStyle w:val="BodyTextMain"/>
      </w:pPr>
    </w:p>
    <w:p w14:paraId="4FED6354" w14:textId="2310D666" w:rsidR="005943BD" w:rsidRPr="00444C9A" w:rsidRDefault="000B4ECA" w:rsidP="005943BD">
      <w:pPr>
        <w:pStyle w:val="BodyTextMain"/>
      </w:pPr>
      <w:r w:rsidRPr="00444C9A">
        <w:t xml:space="preserve">The city-state’s judicial system featured less prominently in rankings for the rule of law. For example, according to the World Justice Project’s </w:t>
      </w:r>
      <w:r w:rsidRPr="0079599D">
        <w:rPr>
          <w:i/>
        </w:rPr>
        <w:t>Rule of Law Index 2014</w:t>
      </w:r>
      <w:r w:rsidRPr="00444C9A">
        <w:t xml:space="preserve">, Singapore ranked as high as second for order and security and as low as 26th in fundamental rights (see Exhibit </w:t>
      </w:r>
      <w:r>
        <w:t>8)</w:t>
      </w:r>
      <w:r w:rsidRPr="00333ADB">
        <w:t>.</w:t>
      </w:r>
      <w:r w:rsidRPr="00333ADB">
        <w:rPr>
          <w:rStyle w:val="EndnoteReference"/>
        </w:rPr>
        <w:endnoteReference w:id="28"/>
      </w:r>
      <w:r>
        <w:t xml:space="preserve"> </w:t>
      </w:r>
    </w:p>
    <w:p w14:paraId="61085BE4" w14:textId="6A5927F5" w:rsidR="005943BD" w:rsidRPr="00444C9A" w:rsidRDefault="005943BD" w:rsidP="005943BD">
      <w:pPr>
        <w:pStyle w:val="BodyTextMain"/>
      </w:pPr>
    </w:p>
    <w:p w14:paraId="68559089" w14:textId="488374AB" w:rsidR="005E5F90" w:rsidRPr="00E65477" w:rsidRDefault="006D24EF" w:rsidP="005943BD">
      <w:pPr>
        <w:pStyle w:val="BodyTextMain"/>
        <w:rPr>
          <w:spacing w:val="-2"/>
        </w:rPr>
      </w:pPr>
      <w:r w:rsidRPr="00E65477">
        <w:rPr>
          <w:spacing w:val="-2"/>
        </w:rPr>
        <w:t>Following the financial crisis of 2008</w:t>
      </w:r>
      <w:r w:rsidR="00CF0390" w:rsidRPr="00E65477">
        <w:rPr>
          <w:spacing w:val="-2"/>
        </w:rPr>
        <w:t>–</w:t>
      </w:r>
      <w:r w:rsidRPr="00E65477">
        <w:rPr>
          <w:spacing w:val="-2"/>
        </w:rPr>
        <w:t>09</w:t>
      </w:r>
      <w:r w:rsidR="005E5F90" w:rsidRPr="00E65477">
        <w:rPr>
          <w:spacing w:val="-2"/>
        </w:rPr>
        <w:t>, the interest rates and, thus, the yield on fixed-income instruments were unusually low in Singapore</w:t>
      </w:r>
      <w:r w:rsidR="00E22ED0" w:rsidRPr="00E65477">
        <w:rPr>
          <w:spacing w:val="-2"/>
        </w:rPr>
        <w:t>,</w:t>
      </w:r>
      <w:r w:rsidR="005E5F90" w:rsidRPr="00E65477">
        <w:rPr>
          <w:spacing w:val="-2"/>
        </w:rPr>
        <w:t xml:space="preserve"> as </w:t>
      </w:r>
      <w:r w:rsidR="00E22ED0" w:rsidRPr="00E65477">
        <w:rPr>
          <w:spacing w:val="-2"/>
        </w:rPr>
        <w:t>they also were in</w:t>
      </w:r>
      <w:r w:rsidR="005E5F90" w:rsidRPr="00E65477">
        <w:rPr>
          <w:spacing w:val="-2"/>
        </w:rPr>
        <w:t xml:space="preserve"> the rest of the world. The low interest rate environment suggested that institutional investors </w:t>
      </w:r>
      <w:r w:rsidR="008F6BD3" w:rsidRPr="00E65477">
        <w:rPr>
          <w:spacing w:val="-2"/>
        </w:rPr>
        <w:t>might have been</w:t>
      </w:r>
      <w:r w:rsidR="005E5F90" w:rsidRPr="00E65477">
        <w:rPr>
          <w:spacing w:val="-2"/>
        </w:rPr>
        <w:t xml:space="preserve"> looking for alternatives such as higher dividends. </w:t>
      </w:r>
    </w:p>
    <w:p w14:paraId="19537710" w14:textId="77777777" w:rsidR="005E5F90" w:rsidRPr="00444C9A" w:rsidRDefault="005E5F90" w:rsidP="005943BD">
      <w:pPr>
        <w:pStyle w:val="BodyTextMain"/>
      </w:pPr>
    </w:p>
    <w:p w14:paraId="004DB3F0" w14:textId="77777777" w:rsidR="00194028" w:rsidRPr="00444C9A" w:rsidRDefault="00194028" w:rsidP="00194028">
      <w:pPr>
        <w:pStyle w:val="BodyTextMain"/>
      </w:pPr>
    </w:p>
    <w:p w14:paraId="28BEE5B8" w14:textId="77777777" w:rsidR="005943BD" w:rsidRPr="00444C9A" w:rsidRDefault="005943BD" w:rsidP="0079599D">
      <w:pPr>
        <w:pStyle w:val="Casehead1"/>
        <w:keepNext/>
      </w:pPr>
      <w:r w:rsidRPr="00444C9A">
        <w:t>EPILOGUE</w:t>
      </w:r>
    </w:p>
    <w:p w14:paraId="3E7F8FBF" w14:textId="77777777" w:rsidR="005943BD" w:rsidRPr="00444C9A" w:rsidRDefault="005943BD" w:rsidP="0079599D">
      <w:pPr>
        <w:pStyle w:val="BodyTextMain"/>
        <w:keepNext/>
      </w:pPr>
    </w:p>
    <w:p w14:paraId="6282A172" w14:textId="37602801" w:rsidR="00413880" w:rsidRPr="00444C9A" w:rsidRDefault="00592E75" w:rsidP="00413880">
      <w:pPr>
        <w:pStyle w:val="BodyTextMain"/>
      </w:pPr>
      <w:r w:rsidRPr="00444C9A">
        <w:t xml:space="preserve">The </w:t>
      </w:r>
      <w:r w:rsidR="002A280B" w:rsidRPr="00444C9A">
        <w:t>best</w:t>
      </w:r>
      <w:r w:rsidRPr="00444C9A">
        <w:t xml:space="preserve"> way to </w:t>
      </w:r>
      <w:r w:rsidR="00E22ED0">
        <w:t>deduce</w:t>
      </w:r>
      <w:r w:rsidRPr="00DD362C">
        <w:t xml:space="preserve"> </w:t>
      </w:r>
      <w:r w:rsidR="00E22ED0">
        <w:t>Singapore Airlines’</w:t>
      </w:r>
      <w:r w:rsidR="00E22ED0" w:rsidRPr="00DD362C">
        <w:t xml:space="preserve"> </w:t>
      </w:r>
      <w:r w:rsidRPr="00444C9A">
        <w:t>dividend decision</w:t>
      </w:r>
      <w:r w:rsidR="00E22ED0">
        <w:t xml:space="preserve"> </w:t>
      </w:r>
      <w:r w:rsidRPr="00444C9A">
        <w:t xml:space="preserve">rule was to </w:t>
      </w:r>
      <w:proofErr w:type="spellStart"/>
      <w:r w:rsidRPr="00444C9A">
        <w:t>analy</w:t>
      </w:r>
      <w:r w:rsidR="00E22ED0">
        <w:t>z</w:t>
      </w:r>
      <w:r w:rsidRPr="00444C9A">
        <w:t>e</w:t>
      </w:r>
      <w:proofErr w:type="spellEnd"/>
      <w:r w:rsidRPr="00444C9A">
        <w:t xml:space="preserve"> the</w:t>
      </w:r>
      <w:r w:rsidRPr="00333ADB">
        <w:t xml:space="preserve"> </w:t>
      </w:r>
      <w:r w:rsidR="00E22ED0">
        <w:t>airline</w:t>
      </w:r>
      <w:r w:rsidR="004B01B9">
        <w:t>’</w:t>
      </w:r>
      <w:r w:rsidR="00E22ED0">
        <w:t>s</w:t>
      </w:r>
      <w:r w:rsidR="00E22ED0" w:rsidRPr="00444C9A">
        <w:t xml:space="preserve"> </w:t>
      </w:r>
      <w:r w:rsidRPr="00444C9A">
        <w:t xml:space="preserve">historical track record of dividends and financial statements. </w:t>
      </w:r>
      <w:r w:rsidR="00E22ED0">
        <w:t>With that information</w:t>
      </w:r>
      <w:r w:rsidR="00413880">
        <w:t xml:space="preserve">, </w:t>
      </w:r>
      <w:proofErr w:type="spellStart"/>
      <w:r w:rsidR="00E22ED0">
        <w:rPr>
          <w:rFonts w:eastAsiaTheme="minorHAnsi"/>
        </w:rPr>
        <w:t>Mudambi</w:t>
      </w:r>
      <w:proofErr w:type="spellEnd"/>
      <w:r w:rsidR="00E22ED0">
        <w:rPr>
          <w:rFonts w:eastAsiaTheme="minorHAnsi"/>
        </w:rPr>
        <w:t xml:space="preserve"> </w:t>
      </w:r>
      <w:r w:rsidR="00E22ED0">
        <w:t>would be able</w:t>
      </w:r>
      <w:r w:rsidR="00413880" w:rsidRPr="00444C9A">
        <w:t xml:space="preserve"> </w:t>
      </w:r>
      <w:r w:rsidR="00707746" w:rsidRPr="00444C9A">
        <w:t xml:space="preserve">to </w:t>
      </w:r>
      <w:r w:rsidR="00413880" w:rsidRPr="00444C9A">
        <w:t xml:space="preserve">understand how Singapore Airlines choose </w:t>
      </w:r>
      <w:r w:rsidR="004B01B9">
        <w:t>its</w:t>
      </w:r>
      <w:r w:rsidR="004B01B9" w:rsidRPr="00444C9A">
        <w:t xml:space="preserve"> </w:t>
      </w:r>
      <w:r w:rsidR="00413880" w:rsidRPr="00444C9A">
        <w:t xml:space="preserve">dividends. </w:t>
      </w:r>
      <w:r w:rsidR="00E22ED0">
        <w:t xml:space="preserve">And with </w:t>
      </w:r>
      <w:r w:rsidR="00E22ED0" w:rsidRPr="00576751">
        <w:rPr>
          <w:i/>
        </w:rPr>
        <w:t>that</w:t>
      </w:r>
      <w:r w:rsidR="00E22ED0">
        <w:t xml:space="preserve"> information</w:t>
      </w:r>
      <w:r w:rsidR="00194028" w:rsidRPr="00444C9A">
        <w:t>, she needed to forecast the upcoming dividend.</w:t>
      </w:r>
    </w:p>
    <w:p w14:paraId="2D70BB4A" w14:textId="58CDE078" w:rsidR="00707746" w:rsidRPr="00444C9A" w:rsidRDefault="00707746" w:rsidP="00707746">
      <w:pPr>
        <w:pStyle w:val="BodyTextMain"/>
      </w:pPr>
    </w:p>
    <w:p w14:paraId="26D3FDA4" w14:textId="60372C84" w:rsidR="007862FC" w:rsidRPr="00CF0390" w:rsidRDefault="00C8630C" w:rsidP="00CF0390">
      <w:pPr>
        <w:pStyle w:val="Footnote"/>
        <w:pBdr>
          <w:top w:val="single" w:sz="4" w:space="4" w:color="auto"/>
          <w:left w:val="single" w:sz="4" w:space="0" w:color="auto"/>
          <w:bottom w:val="single" w:sz="4" w:space="4" w:color="auto"/>
          <w:right w:val="single" w:sz="4" w:space="4" w:color="auto"/>
        </w:pBdr>
        <w:jc w:val="center"/>
      </w:pPr>
      <w:r w:rsidRPr="00CF0390">
        <w:t xml:space="preserve">Emir </w:t>
      </w:r>
      <w:proofErr w:type="spellStart"/>
      <w:r w:rsidRPr="00CF0390">
        <w:t>Hrnjić</w:t>
      </w:r>
      <w:proofErr w:type="spellEnd"/>
      <w:r w:rsidRPr="00CF0390">
        <w:t xml:space="preserve"> is Visiting Senior Research Fellow at the Centre for Asset Management Research &amp; Investments </w:t>
      </w:r>
      <w:r w:rsidRPr="00CF0390">
        <w:rPr>
          <w:bCs/>
        </w:rPr>
        <w:t xml:space="preserve">(CAMRI) </w:t>
      </w:r>
      <w:r w:rsidRPr="00CF0390">
        <w:t xml:space="preserve">at </w:t>
      </w:r>
      <w:r w:rsidR="004B01B9">
        <w:t>National University of Singapore (</w:t>
      </w:r>
      <w:r w:rsidRPr="00CF0390">
        <w:t>NUS</w:t>
      </w:r>
      <w:r w:rsidR="004B01B9">
        <w:t>)</w:t>
      </w:r>
      <w:r w:rsidRPr="00CF0390">
        <w:t xml:space="preserve"> Business School.</w:t>
      </w:r>
    </w:p>
    <w:p w14:paraId="442CFA6D" w14:textId="77777777" w:rsidR="007862FC" w:rsidRPr="00CF0390" w:rsidRDefault="007862FC" w:rsidP="00CF0390">
      <w:pPr>
        <w:pStyle w:val="Footnote"/>
        <w:pBdr>
          <w:top w:val="single" w:sz="4" w:space="4" w:color="auto"/>
          <w:left w:val="single" w:sz="4" w:space="0" w:color="auto"/>
          <w:bottom w:val="single" w:sz="4" w:space="4" w:color="auto"/>
          <w:right w:val="single" w:sz="4" w:space="4" w:color="auto"/>
        </w:pBdr>
        <w:jc w:val="center"/>
      </w:pPr>
    </w:p>
    <w:p w14:paraId="1A08A2D9" w14:textId="588055F7" w:rsidR="00C8630C" w:rsidRPr="00CF0390" w:rsidRDefault="00C8630C" w:rsidP="00CF0390">
      <w:pPr>
        <w:pStyle w:val="Footnote"/>
        <w:pBdr>
          <w:top w:val="single" w:sz="4" w:space="4" w:color="auto"/>
          <w:left w:val="single" w:sz="4" w:space="0" w:color="auto"/>
          <w:bottom w:val="single" w:sz="4" w:space="4" w:color="auto"/>
          <w:right w:val="single" w:sz="4" w:space="4" w:color="auto"/>
        </w:pBdr>
        <w:jc w:val="center"/>
      </w:pPr>
      <w:r w:rsidRPr="00CF0390">
        <w:t xml:space="preserve">David </w:t>
      </w:r>
      <w:proofErr w:type="spellStart"/>
      <w:r w:rsidRPr="00CF0390">
        <w:t>Reeb</w:t>
      </w:r>
      <w:proofErr w:type="spellEnd"/>
      <w:r w:rsidRPr="00CF0390">
        <w:t xml:space="preserve"> is Mr. and Mrs. Lin Jo Yan Professor in Banking and Finance at </w:t>
      </w:r>
      <w:r w:rsidR="004B01B9">
        <w:t>National University of Singapore (</w:t>
      </w:r>
      <w:r w:rsidRPr="00CF0390">
        <w:t>NUS</w:t>
      </w:r>
      <w:r w:rsidR="004B01B9">
        <w:t>)</w:t>
      </w:r>
      <w:r w:rsidRPr="00CF0390">
        <w:t xml:space="preserve"> Business School.</w:t>
      </w:r>
    </w:p>
    <w:p w14:paraId="585C1F45" w14:textId="77777777" w:rsidR="00C8630C" w:rsidRPr="00CF0390" w:rsidRDefault="00C8630C" w:rsidP="00CF0390">
      <w:pPr>
        <w:pStyle w:val="Footnote"/>
        <w:pBdr>
          <w:top w:val="single" w:sz="4" w:space="4" w:color="auto"/>
          <w:left w:val="single" w:sz="4" w:space="0" w:color="auto"/>
          <w:bottom w:val="single" w:sz="4" w:space="4" w:color="auto"/>
          <w:right w:val="single" w:sz="4" w:space="4" w:color="auto"/>
        </w:pBdr>
        <w:jc w:val="center"/>
      </w:pPr>
    </w:p>
    <w:p w14:paraId="654783E8" w14:textId="61287BFF" w:rsidR="00C8630C" w:rsidRPr="00CF0390" w:rsidRDefault="00C8630C" w:rsidP="00CF0390">
      <w:pPr>
        <w:pStyle w:val="Footnote"/>
        <w:pBdr>
          <w:top w:val="single" w:sz="4" w:space="4" w:color="auto"/>
          <w:left w:val="single" w:sz="4" w:space="0" w:color="auto"/>
          <w:bottom w:val="single" w:sz="4" w:space="4" w:color="auto"/>
          <w:right w:val="single" w:sz="4" w:space="4" w:color="auto"/>
        </w:pBdr>
        <w:jc w:val="center"/>
      </w:pPr>
      <w:r w:rsidRPr="00CF0390">
        <w:t xml:space="preserve">The authors would like to thank the </w:t>
      </w:r>
      <w:r w:rsidRPr="00CF0390">
        <w:rPr>
          <w:bCs/>
        </w:rPr>
        <w:t xml:space="preserve">Centre for Asset Management Research &amp; Investments (CAMRI) for the donation to this case and </w:t>
      </w:r>
      <w:proofErr w:type="spellStart"/>
      <w:r w:rsidRPr="00CF0390">
        <w:rPr>
          <w:bCs/>
        </w:rPr>
        <w:t>XiangYu</w:t>
      </w:r>
      <w:proofErr w:type="spellEnd"/>
      <w:r w:rsidRPr="00CF0390">
        <w:rPr>
          <w:bCs/>
        </w:rPr>
        <w:t xml:space="preserve"> Zhou for excellent research assistance.</w:t>
      </w:r>
    </w:p>
    <w:p w14:paraId="2378F8F0" w14:textId="6929CEFC" w:rsidR="00AD40DE" w:rsidRPr="00444C9A" w:rsidRDefault="00AD40DE">
      <w:pPr>
        <w:spacing w:after="200" w:line="276" w:lineRule="auto"/>
        <w:rPr>
          <w:sz w:val="22"/>
        </w:rPr>
      </w:pPr>
      <w:r w:rsidRPr="00444C9A">
        <w:rPr>
          <w:sz w:val="22"/>
        </w:rPr>
        <w:br w:type="page"/>
      </w:r>
    </w:p>
    <w:p w14:paraId="65FF5BCE" w14:textId="0B6C0360" w:rsidR="006334B9" w:rsidRPr="00444C9A" w:rsidRDefault="006334B9" w:rsidP="006334B9">
      <w:pPr>
        <w:pStyle w:val="ExhibitHeading"/>
        <w:outlineLvl w:val="0"/>
        <w:rPr>
          <w:rFonts w:eastAsia="SimSun"/>
        </w:rPr>
      </w:pPr>
      <w:r w:rsidRPr="00444C9A">
        <w:rPr>
          <w:rFonts w:eastAsia="SimSun"/>
        </w:rPr>
        <w:lastRenderedPageBreak/>
        <w:t>Exhibit 1: Singapore Airlines</w:t>
      </w:r>
      <w:r w:rsidR="00DA5BF0">
        <w:rPr>
          <w:rFonts w:eastAsia="SimSun"/>
          <w:lang w:eastAsia="zh-CN"/>
        </w:rPr>
        <w:t>—</w:t>
      </w:r>
      <w:r w:rsidRPr="00444C9A">
        <w:rPr>
          <w:rFonts w:eastAsia="SimSun"/>
        </w:rPr>
        <w:t>dividends</w:t>
      </w:r>
      <w:r w:rsidR="00DA5BF0" w:rsidRPr="00444C9A">
        <w:rPr>
          <w:rFonts w:eastAsia="SimSun"/>
        </w:rPr>
        <w:t xml:space="preserve"> </w:t>
      </w:r>
      <w:r w:rsidR="00DA5BF0">
        <w:rPr>
          <w:rFonts w:eastAsia="SimSun"/>
          <w:lang w:eastAsia="zh-CN"/>
        </w:rPr>
        <w:t>History</w:t>
      </w:r>
      <w:r w:rsidR="004B01B9">
        <w:rPr>
          <w:rFonts w:eastAsia="SimSun"/>
          <w:lang w:eastAsia="zh-CN"/>
        </w:rPr>
        <w:t>, 2004–2015</w:t>
      </w:r>
      <w:r w:rsidRPr="00333ADB">
        <w:rPr>
          <w:rFonts w:eastAsia="SimSun"/>
          <w:lang w:eastAsia="zh-CN"/>
        </w:rPr>
        <w:t xml:space="preserve"> </w:t>
      </w:r>
      <w:r w:rsidR="00415F26">
        <w:rPr>
          <w:rFonts w:eastAsia="SimSun"/>
          <w:lang w:eastAsia="zh-CN"/>
        </w:rPr>
        <w:t>(</w:t>
      </w:r>
      <w:r w:rsidR="009F7D1D">
        <w:rPr>
          <w:rFonts w:eastAsia="SimSun"/>
          <w:lang w:eastAsia="zh-CN"/>
        </w:rPr>
        <w:t xml:space="preserve">in </w:t>
      </w:r>
      <w:r w:rsidR="00415F26">
        <w:rPr>
          <w:rFonts w:eastAsia="SimSun"/>
          <w:lang w:eastAsia="zh-CN"/>
        </w:rPr>
        <w:t>SGD)</w:t>
      </w:r>
    </w:p>
    <w:p w14:paraId="1071D098" w14:textId="77777777" w:rsidR="006334B9" w:rsidRPr="00444C9A" w:rsidRDefault="006334B9" w:rsidP="00444C9A">
      <w:pPr>
        <w:pStyle w:val="ExhibitText"/>
        <w:rPr>
          <w:rFonts w:eastAsia="SimSun"/>
        </w:rPr>
      </w:pPr>
    </w:p>
    <w:tbl>
      <w:tblPr>
        <w:tblW w:w="4893" w:type="pct"/>
        <w:jc w:val="center"/>
        <w:tblLayout w:type="fixed"/>
        <w:tblCellMar>
          <w:left w:w="115" w:type="dxa"/>
          <w:right w:w="115" w:type="dxa"/>
        </w:tblCellMar>
        <w:tblLook w:val="04A0" w:firstRow="1" w:lastRow="0" w:firstColumn="1" w:lastColumn="0" w:noHBand="0" w:noVBand="1"/>
      </w:tblPr>
      <w:tblGrid>
        <w:gridCol w:w="882"/>
        <w:gridCol w:w="1365"/>
        <w:gridCol w:w="1383"/>
        <w:gridCol w:w="1383"/>
        <w:gridCol w:w="1383"/>
        <w:gridCol w:w="1383"/>
        <w:gridCol w:w="1381"/>
      </w:tblGrid>
      <w:tr w:rsidR="00415F26" w:rsidRPr="009F7D1D" w14:paraId="65B06BED" w14:textId="77777777" w:rsidTr="008B1AAC">
        <w:trPr>
          <w:trHeight w:val="288"/>
          <w:jc w:val="center"/>
        </w:trPr>
        <w:tc>
          <w:tcPr>
            <w:tcW w:w="481" w:type="pct"/>
            <w:tcBorders>
              <w:top w:val="single" w:sz="4" w:space="0" w:color="auto"/>
              <w:bottom w:val="single" w:sz="12" w:space="0" w:color="auto"/>
            </w:tcBorders>
            <w:shd w:val="clear" w:color="auto" w:fill="auto"/>
            <w:noWrap/>
            <w:vAlign w:val="center"/>
            <w:hideMark/>
          </w:tcPr>
          <w:p w14:paraId="795C1A20" w14:textId="77777777" w:rsidR="006334B9" w:rsidRPr="00576751" w:rsidRDefault="006334B9" w:rsidP="00576751">
            <w:pPr>
              <w:pStyle w:val="ExhibitText"/>
              <w:jc w:val="center"/>
              <w:rPr>
                <w:b/>
                <w:sz w:val="18"/>
                <w:szCs w:val="18"/>
                <w:lang w:eastAsia="zh-CN"/>
              </w:rPr>
            </w:pPr>
            <w:r w:rsidRPr="00576751">
              <w:rPr>
                <w:b/>
                <w:sz w:val="18"/>
                <w:szCs w:val="18"/>
                <w:lang w:eastAsia="zh-CN"/>
              </w:rPr>
              <w:t>Year</w:t>
            </w:r>
          </w:p>
        </w:tc>
        <w:tc>
          <w:tcPr>
            <w:tcW w:w="745" w:type="pct"/>
            <w:tcBorders>
              <w:top w:val="single" w:sz="4" w:space="0" w:color="auto"/>
              <w:bottom w:val="single" w:sz="12" w:space="0" w:color="auto"/>
            </w:tcBorders>
            <w:shd w:val="clear" w:color="auto" w:fill="auto"/>
            <w:noWrap/>
            <w:vAlign w:val="center"/>
            <w:hideMark/>
          </w:tcPr>
          <w:p w14:paraId="5D6345B1" w14:textId="7430177F" w:rsidR="006334B9" w:rsidRPr="00576751" w:rsidRDefault="00BB7F78" w:rsidP="00576751">
            <w:pPr>
              <w:pStyle w:val="ExhibitText"/>
              <w:jc w:val="center"/>
              <w:rPr>
                <w:b/>
                <w:sz w:val="18"/>
                <w:szCs w:val="18"/>
                <w:lang w:eastAsia="zh-CN"/>
              </w:rPr>
            </w:pPr>
            <w:r w:rsidRPr="00576751">
              <w:rPr>
                <w:b/>
                <w:sz w:val="18"/>
                <w:szCs w:val="18"/>
                <w:lang w:eastAsia="zh-CN"/>
              </w:rPr>
              <w:t xml:space="preserve">Share </w:t>
            </w:r>
            <w:r w:rsidR="006334B9" w:rsidRPr="00576751">
              <w:rPr>
                <w:b/>
                <w:sz w:val="18"/>
                <w:szCs w:val="18"/>
                <w:lang w:eastAsia="zh-CN"/>
              </w:rPr>
              <w:t>Price</w:t>
            </w:r>
          </w:p>
        </w:tc>
        <w:tc>
          <w:tcPr>
            <w:tcW w:w="755" w:type="pct"/>
            <w:tcBorders>
              <w:top w:val="single" w:sz="4" w:space="0" w:color="auto"/>
              <w:bottom w:val="single" w:sz="12" w:space="0" w:color="auto"/>
            </w:tcBorders>
            <w:shd w:val="clear" w:color="auto" w:fill="auto"/>
            <w:noWrap/>
            <w:vAlign w:val="center"/>
            <w:hideMark/>
          </w:tcPr>
          <w:p w14:paraId="4475921C" w14:textId="77777777" w:rsidR="006334B9" w:rsidRPr="00576751" w:rsidRDefault="006334B9" w:rsidP="00576751">
            <w:pPr>
              <w:pStyle w:val="ExhibitText"/>
              <w:jc w:val="center"/>
              <w:rPr>
                <w:b/>
                <w:sz w:val="18"/>
                <w:szCs w:val="18"/>
                <w:lang w:eastAsia="zh-CN"/>
              </w:rPr>
            </w:pPr>
            <w:r w:rsidRPr="00576751">
              <w:rPr>
                <w:b/>
                <w:sz w:val="18"/>
                <w:szCs w:val="18"/>
                <w:lang w:eastAsia="zh-CN"/>
              </w:rPr>
              <w:t>Interim</w:t>
            </w:r>
          </w:p>
        </w:tc>
        <w:tc>
          <w:tcPr>
            <w:tcW w:w="755" w:type="pct"/>
            <w:tcBorders>
              <w:top w:val="single" w:sz="4" w:space="0" w:color="auto"/>
              <w:bottom w:val="single" w:sz="12" w:space="0" w:color="auto"/>
            </w:tcBorders>
            <w:shd w:val="clear" w:color="auto" w:fill="auto"/>
            <w:noWrap/>
            <w:vAlign w:val="center"/>
            <w:hideMark/>
          </w:tcPr>
          <w:p w14:paraId="6D730AD8" w14:textId="77777777" w:rsidR="006334B9" w:rsidRPr="00576751" w:rsidRDefault="006334B9" w:rsidP="00576751">
            <w:pPr>
              <w:pStyle w:val="ExhibitText"/>
              <w:jc w:val="center"/>
              <w:rPr>
                <w:b/>
                <w:sz w:val="18"/>
                <w:szCs w:val="18"/>
                <w:lang w:eastAsia="zh-CN"/>
              </w:rPr>
            </w:pPr>
            <w:r w:rsidRPr="00576751">
              <w:rPr>
                <w:b/>
                <w:sz w:val="18"/>
                <w:szCs w:val="18"/>
                <w:lang w:eastAsia="zh-CN"/>
              </w:rPr>
              <w:t>Final</w:t>
            </w:r>
          </w:p>
        </w:tc>
        <w:tc>
          <w:tcPr>
            <w:tcW w:w="755" w:type="pct"/>
            <w:tcBorders>
              <w:top w:val="single" w:sz="4" w:space="0" w:color="auto"/>
              <w:bottom w:val="single" w:sz="12" w:space="0" w:color="auto"/>
            </w:tcBorders>
            <w:shd w:val="clear" w:color="auto" w:fill="auto"/>
            <w:noWrap/>
            <w:vAlign w:val="center"/>
            <w:hideMark/>
          </w:tcPr>
          <w:p w14:paraId="7173F607" w14:textId="77777777" w:rsidR="006334B9" w:rsidRPr="00576751" w:rsidRDefault="006334B9" w:rsidP="00576751">
            <w:pPr>
              <w:pStyle w:val="ExhibitText"/>
              <w:jc w:val="center"/>
              <w:rPr>
                <w:b/>
                <w:sz w:val="18"/>
                <w:szCs w:val="18"/>
                <w:lang w:eastAsia="zh-CN"/>
              </w:rPr>
            </w:pPr>
            <w:r w:rsidRPr="00576751">
              <w:rPr>
                <w:b/>
                <w:sz w:val="18"/>
                <w:szCs w:val="18"/>
                <w:lang w:eastAsia="zh-CN"/>
              </w:rPr>
              <w:t>Special</w:t>
            </w:r>
          </w:p>
        </w:tc>
        <w:tc>
          <w:tcPr>
            <w:tcW w:w="755" w:type="pct"/>
            <w:tcBorders>
              <w:top w:val="single" w:sz="4" w:space="0" w:color="auto"/>
              <w:bottom w:val="single" w:sz="12" w:space="0" w:color="auto"/>
            </w:tcBorders>
            <w:shd w:val="clear" w:color="auto" w:fill="auto"/>
            <w:noWrap/>
            <w:vAlign w:val="center"/>
            <w:hideMark/>
          </w:tcPr>
          <w:p w14:paraId="08B26A99" w14:textId="77777777" w:rsidR="006334B9" w:rsidRPr="00576751" w:rsidRDefault="006334B9" w:rsidP="00576751">
            <w:pPr>
              <w:pStyle w:val="ExhibitText"/>
              <w:jc w:val="center"/>
              <w:rPr>
                <w:b/>
                <w:sz w:val="18"/>
                <w:szCs w:val="18"/>
                <w:lang w:eastAsia="zh-CN"/>
              </w:rPr>
            </w:pPr>
            <w:r w:rsidRPr="00576751">
              <w:rPr>
                <w:b/>
                <w:sz w:val="18"/>
                <w:szCs w:val="18"/>
                <w:lang w:eastAsia="zh-CN"/>
              </w:rPr>
              <w:t>Total</w:t>
            </w:r>
          </w:p>
        </w:tc>
        <w:tc>
          <w:tcPr>
            <w:tcW w:w="754" w:type="pct"/>
            <w:tcBorders>
              <w:top w:val="single" w:sz="4" w:space="0" w:color="auto"/>
              <w:bottom w:val="single" w:sz="12" w:space="0" w:color="auto"/>
            </w:tcBorders>
            <w:shd w:val="clear" w:color="auto" w:fill="auto"/>
            <w:noWrap/>
            <w:vAlign w:val="center"/>
            <w:hideMark/>
          </w:tcPr>
          <w:p w14:paraId="3FB03364" w14:textId="7DD5493E" w:rsidR="006334B9" w:rsidRPr="00576751" w:rsidRDefault="006334B9" w:rsidP="00576751">
            <w:pPr>
              <w:pStyle w:val="ExhibitText"/>
              <w:jc w:val="right"/>
              <w:rPr>
                <w:b/>
                <w:sz w:val="18"/>
                <w:szCs w:val="18"/>
                <w:lang w:eastAsia="zh-CN"/>
              </w:rPr>
            </w:pPr>
            <w:r w:rsidRPr="00576751">
              <w:rPr>
                <w:b/>
                <w:sz w:val="18"/>
                <w:szCs w:val="18"/>
                <w:lang w:eastAsia="zh-CN"/>
              </w:rPr>
              <w:t>Dividend Yield</w:t>
            </w:r>
            <w:r w:rsidR="009C016A" w:rsidRPr="00576751">
              <w:rPr>
                <w:b/>
                <w:sz w:val="18"/>
                <w:szCs w:val="18"/>
                <w:lang w:eastAsia="zh-CN"/>
              </w:rPr>
              <w:t xml:space="preserve"> (%)</w:t>
            </w:r>
          </w:p>
        </w:tc>
      </w:tr>
      <w:tr w:rsidR="00415F26" w:rsidRPr="009F7D1D" w14:paraId="774AC466" w14:textId="77777777" w:rsidTr="008B1AAC">
        <w:trPr>
          <w:trHeight w:val="288"/>
          <w:jc w:val="center"/>
        </w:trPr>
        <w:tc>
          <w:tcPr>
            <w:tcW w:w="481" w:type="pct"/>
            <w:tcBorders>
              <w:top w:val="single" w:sz="12" w:space="0" w:color="auto"/>
              <w:bottom w:val="nil"/>
            </w:tcBorders>
            <w:shd w:val="clear" w:color="auto" w:fill="auto"/>
            <w:noWrap/>
            <w:vAlign w:val="center"/>
            <w:hideMark/>
          </w:tcPr>
          <w:p w14:paraId="3C2952D1" w14:textId="77777777" w:rsidR="006334B9" w:rsidRPr="00576751" w:rsidRDefault="006334B9" w:rsidP="00576751">
            <w:pPr>
              <w:pStyle w:val="ExhibitText"/>
              <w:jc w:val="center"/>
              <w:rPr>
                <w:sz w:val="18"/>
                <w:szCs w:val="18"/>
                <w:lang w:eastAsia="zh-CN"/>
              </w:rPr>
            </w:pPr>
            <w:r w:rsidRPr="00576751">
              <w:rPr>
                <w:sz w:val="18"/>
                <w:szCs w:val="18"/>
                <w:lang w:eastAsia="zh-CN"/>
              </w:rPr>
              <w:t>2004</w:t>
            </w:r>
          </w:p>
        </w:tc>
        <w:tc>
          <w:tcPr>
            <w:tcW w:w="745" w:type="pct"/>
            <w:tcBorders>
              <w:top w:val="single" w:sz="12" w:space="0" w:color="auto"/>
              <w:bottom w:val="nil"/>
            </w:tcBorders>
            <w:shd w:val="clear" w:color="auto" w:fill="auto"/>
            <w:noWrap/>
            <w:tcMar>
              <w:right w:w="360" w:type="dxa"/>
            </w:tcMar>
            <w:vAlign w:val="center"/>
            <w:hideMark/>
          </w:tcPr>
          <w:p w14:paraId="185AEF19" w14:textId="78D00463" w:rsidR="006334B9" w:rsidRPr="00576751" w:rsidRDefault="006334B9" w:rsidP="00576751">
            <w:pPr>
              <w:pStyle w:val="ExhibitText"/>
              <w:adjustRightInd w:val="0"/>
              <w:jc w:val="right"/>
              <w:rPr>
                <w:sz w:val="18"/>
                <w:szCs w:val="18"/>
              </w:rPr>
            </w:pPr>
            <w:r w:rsidRPr="00576751">
              <w:rPr>
                <w:sz w:val="18"/>
                <w:szCs w:val="18"/>
              </w:rPr>
              <w:t>11.00</w:t>
            </w:r>
          </w:p>
        </w:tc>
        <w:tc>
          <w:tcPr>
            <w:tcW w:w="755" w:type="pct"/>
            <w:tcBorders>
              <w:top w:val="single" w:sz="12" w:space="0" w:color="auto"/>
              <w:bottom w:val="nil"/>
            </w:tcBorders>
            <w:shd w:val="clear" w:color="auto" w:fill="auto"/>
            <w:noWrap/>
            <w:tcMar>
              <w:right w:w="360" w:type="dxa"/>
            </w:tcMar>
            <w:vAlign w:val="center"/>
            <w:hideMark/>
          </w:tcPr>
          <w:p w14:paraId="73935D62" w14:textId="7EEB7B9C" w:rsidR="006334B9" w:rsidRPr="00576751" w:rsidRDefault="00B41D82" w:rsidP="00576751">
            <w:pPr>
              <w:pStyle w:val="ExhibitText"/>
              <w:adjustRightInd w:val="0"/>
              <w:jc w:val="right"/>
              <w:rPr>
                <w:sz w:val="18"/>
                <w:szCs w:val="18"/>
              </w:rPr>
            </w:pPr>
            <w:r>
              <w:rPr>
                <w:sz w:val="18"/>
                <w:szCs w:val="18"/>
              </w:rPr>
              <w:t>–</w:t>
            </w:r>
          </w:p>
        </w:tc>
        <w:tc>
          <w:tcPr>
            <w:tcW w:w="755" w:type="pct"/>
            <w:tcBorders>
              <w:top w:val="single" w:sz="12" w:space="0" w:color="auto"/>
              <w:bottom w:val="nil"/>
            </w:tcBorders>
            <w:shd w:val="clear" w:color="auto" w:fill="auto"/>
            <w:noWrap/>
            <w:tcMar>
              <w:right w:w="360" w:type="dxa"/>
            </w:tcMar>
            <w:vAlign w:val="center"/>
            <w:hideMark/>
          </w:tcPr>
          <w:p w14:paraId="7772677E" w14:textId="2B929D04" w:rsidR="006334B9" w:rsidRPr="00576751" w:rsidRDefault="006334B9" w:rsidP="00576751">
            <w:pPr>
              <w:pStyle w:val="ExhibitText"/>
              <w:adjustRightInd w:val="0"/>
              <w:jc w:val="right"/>
              <w:rPr>
                <w:sz w:val="18"/>
                <w:szCs w:val="18"/>
              </w:rPr>
            </w:pPr>
            <w:r w:rsidRPr="00576751">
              <w:rPr>
                <w:sz w:val="18"/>
                <w:szCs w:val="18"/>
              </w:rPr>
              <w:t>0.25</w:t>
            </w:r>
          </w:p>
        </w:tc>
        <w:tc>
          <w:tcPr>
            <w:tcW w:w="755" w:type="pct"/>
            <w:tcBorders>
              <w:top w:val="single" w:sz="12" w:space="0" w:color="auto"/>
              <w:bottom w:val="nil"/>
            </w:tcBorders>
            <w:shd w:val="clear" w:color="auto" w:fill="auto"/>
            <w:noWrap/>
            <w:tcMar>
              <w:right w:w="360" w:type="dxa"/>
            </w:tcMar>
            <w:vAlign w:val="center"/>
            <w:hideMark/>
          </w:tcPr>
          <w:p w14:paraId="7AF94661" w14:textId="2AF21A4A" w:rsidR="006334B9" w:rsidRPr="00576751" w:rsidRDefault="00B41D82" w:rsidP="00576751">
            <w:pPr>
              <w:pStyle w:val="ExhibitText"/>
              <w:adjustRightInd w:val="0"/>
              <w:jc w:val="right"/>
              <w:rPr>
                <w:sz w:val="18"/>
                <w:szCs w:val="18"/>
              </w:rPr>
            </w:pPr>
            <w:r>
              <w:rPr>
                <w:sz w:val="18"/>
                <w:szCs w:val="18"/>
              </w:rPr>
              <w:t>–</w:t>
            </w:r>
          </w:p>
        </w:tc>
        <w:tc>
          <w:tcPr>
            <w:tcW w:w="755" w:type="pct"/>
            <w:tcBorders>
              <w:top w:val="single" w:sz="12" w:space="0" w:color="auto"/>
              <w:bottom w:val="nil"/>
            </w:tcBorders>
            <w:shd w:val="clear" w:color="auto" w:fill="auto"/>
            <w:noWrap/>
            <w:tcMar>
              <w:right w:w="360" w:type="dxa"/>
            </w:tcMar>
            <w:vAlign w:val="center"/>
            <w:hideMark/>
          </w:tcPr>
          <w:p w14:paraId="480DEFF3" w14:textId="67781E35" w:rsidR="006334B9" w:rsidRPr="00576751" w:rsidRDefault="006334B9" w:rsidP="00576751">
            <w:pPr>
              <w:pStyle w:val="ExhibitText"/>
              <w:adjustRightInd w:val="0"/>
              <w:jc w:val="right"/>
              <w:rPr>
                <w:sz w:val="18"/>
                <w:szCs w:val="18"/>
              </w:rPr>
            </w:pPr>
            <w:r w:rsidRPr="00576751">
              <w:rPr>
                <w:sz w:val="18"/>
                <w:szCs w:val="18"/>
              </w:rPr>
              <w:t>0.25</w:t>
            </w:r>
          </w:p>
        </w:tc>
        <w:tc>
          <w:tcPr>
            <w:tcW w:w="754" w:type="pct"/>
            <w:tcBorders>
              <w:top w:val="single" w:sz="12" w:space="0" w:color="auto"/>
              <w:bottom w:val="nil"/>
            </w:tcBorders>
            <w:shd w:val="clear" w:color="auto" w:fill="auto"/>
            <w:noWrap/>
            <w:tcMar>
              <w:right w:w="360" w:type="dxa"/>
            </w:tcMar>
            <w:vAlign w:val="center"/>
            <w:hideMark/>
          </w:tcPr>
          <w:p w14:paraId="59BB08BB" w14:textId="4EB7CA09" w:rsidR="006334B9" w:rsidRPr="00576751" w:rsidRDefault="006334B9" w:rsidP="00576751">
            <w:pPr>
              <w:pStyle w:val="ExhibitText"/>
              <w:adjustRightInd w:val="0"/>
              <w:jc w:val="right"/>
              <w:rPr>
                <w:sz w:val="18"/>
                <w:szCs w:val="18"/>
              </w:rPr>
            </w:pPr>
            <w:r w:rsidRPr="00576751">
              <w:rPr>
                <w:sz w:val="18"/>
                <w:szCs w:val="18"/>
              </w:rPr>
              <w:t>2.27</w:t>
            </w:r>
          </w:p>
        </w:tc>
      </w:tr>
      <w:tr w:rsidR="00415F26" w:rsidRPr="009F7D1D" w14:paraId="30842367" w14:textId="77777777" w:rsidTr="008B1AAC">
        <w:trPr>
          <w:trHeight w:val="288"/>
          <w:jc w:val="center"/>
        </w:trPr>
        <w:tc>
          <w:tcPr>
            <w:tcW w:w="481" w:type="pct"/>
            <w:tcBorders>
              <w:top w:val="nil"/>
              <w:bottom w:val="nil"/>
            </w:tcBorders>
            <w:shd w:val="clear" w:color="auto" w:fill="auto"/>
            <w:noWrap/>
            <w:vAlign w:val="center"/>
            <w:hideMark/>
          </w:tcPr>
          <w:p w14:paraId="0A5D6E6D" w14:textId="77777777" w:rsidR="006334B9" w:rsidRPr="00576751" w:rsidRDefault="006334B9" w:rsidP="00576751">
            <w:pPr>
              <w:pStyle w:val="ExhibitText"/>
              <w:jc w:val="center"/>
              <w:rPr>
                <w:sz w:val="18"/>
                <w:szCs w:val="18"/>
                <w:lang w:eastAsia="zh-CN"/>
              </w:rPr>
            </w:pPr>
            <w:r w:rsidRPr="00576751">
              <w:rPr>
                <w:sz w:val="18"/>
                <w:szCs w:val="18"/>
                <w:lang w:eastAsia="zh-CN"/>
              </w:rPr>
              <w:t>2005</w:t>
            </w:r>
          </w:p>
        </w:tc>
        <w:tc>
          <w:tcPr>
            <w:tcW w:w="745" w:type="pct"/>
            <w:tcBorders>
              <w:top w:val="nil"/>
              <w:bottom w:val="nil"/>
            </w:tcBorders>
            <w:shd w:val="clear" w:color="auto" w:fill="auto"/>
            <w:noWrap/>
            <w:tcMar>
              <w:right w:w="360" w:type="dxa"/>
            </w:tcMar>
            <w:vAlign w:val="center"/>
            <w:hideMark/>
          </w:tcPr>
          <w:p w14:paraId="3D61F855" w14:textId="562FCC23" w:rsidR="006334B9" w:rsidRPr="00576751" w:rsidRDefault="006334B9" w:rsidP="00576751">
            <w:pPr>
              <w:pStyle w:val="ExhibitText"/>
              <w:adjustRightInd w:val="0"/>
              <w:jc w:val="right"/>
              <w:rPr>
                <w:sz w:val="18"/>
                <w:szCs w:val="18"/>
              </w:rPr>
            </w:pPr>
            <w:r w:rsidRPr="00576751">
              <w:rPr>
                <w:sz w:val="18"/>
                <w:szCs w:val="18"/>
              </w:rPr>
              <w:t>11.90</w:t>
            </w:r>
          </w:p>
        </w:tc>
        <w:tc>
          <w:tcPr>
            <w:tcW w:w="755" w:type="pct"/>
            <w:tcBorders>
              <w:top w:val="nil"/>
              <w:bottom w:val="nil"/>
            </w:tcBorders>
            <w:shd w:val="clear" w:color="auto" w:fill="auto"/>
            <w:noWrap/>
            <w:tcMar>
              <w:right w:w="360" w:type="dxa"/>
            </w:tcMar>
            <w:vAlign w:val="center"/>
            <w:hideMark/>
          </w:tcPr>
          <w:p w14:paraId="72809936" w14:textId="4D19B2B6" w:rsidR="006334B9" w:rsidRPr="00576751" w:rsidRDefault="006334B9" w:rsidP="00576751">
            <w:pPr>
              <w:pStyle w:val="ExhibitText"/>
              <w:adjustRightInd w:val="0"/>
              <w:jc w:val="right"/>
              <w:rPr>
                <w:sz w:val="18"/>
                <w:szCs w:val="18"/>
              </w:rPr>
            </w:pPr>
            <w:r w:rsidRPr="00576751">
              <w:rPr>
                <w:sz w:val="18"/>
                <w:szCs w:val="18"/>
              </w:rPr>
              <w:t>0.10</w:t>
            </w:r>
          </w:p>
        </w:tc>
        <w:tc>
          <w:tcPr>
            <w:tcW w:w="755" w:type="pct"/>
            <w:tcBorders>
              <w:top w:val="nil"/>
              <w:bottom w:val="nil"/>
            </w:tcBorders>
            <w:shd w:val="clear" w:color="auto" w:fill="auto"/>
            <w:noWrap/>
            <w:tcMar>
              <w:right w:w="360" w:type="dxa"/>
            </w:tcMar>
            <w:vAlign w:val="center"/>
            <w:hideMark/>
          </w:tcPr>
          <w:p w14:paraId="4A829FA2" w14:textId="3AED5C16" w:rsidR="006334B9" w:rsidRPr="00576751" w:rsidRDefault="006334B9" w:rsidP="00576751">
            <w:pPr>
              <w:pStyle w:val="ExhibitText"/>
              <w:adjustRightInd w:val="0"/>
              <w:jc w:val="right"/>
              <w:rPr>
                <w:sz w:val="18"/>
                <w:szCs w:val="18"/>
              </w:rPr>
            </w:pPr>
            <w:r w:rsidRPr="00576751">
              <w:rPr>
                <w:sz w:val="18"/>
                <w:szCs w:val="18"/>
              </w:rPr>
              <w:t>0.30</w:t>
            </w:r>
          </w:p>
        </w:tc>
        <w:tc>
          <w:tcPr>
            <w:tcW w:w="755" w:type="pct"/>
            <w:tcBorders>
              <w:top w:val="nil"/>
              <w:bottom w:val="nil"/>
            </w:tcBorders>
            <w:shd w:val="clear" w:color="auto" w:fill="auto"/>
            <w:noWrap/>
            <w:tcMar>
              <w:right w:w="360" w:type="dxa"/>
            </w:tcMar>
            <w:vAlign w:val="center"/>
            <w:hideMark/>
          </w:tcPr>
          <w:p w14:paraId="1032DCCD" w14:textId="24E76439" w:rsidR="006334B9" w:rsidRPr="00576751" w:rsidRDefault="00B41D82" w:rsidP="00576751">
            <w:pPr>
              <w:pStyle w:val="ExhibitText"/>
              <w:adjustRightInd w:val="0"/>
              <w:jc w:val="right"/>
              <w:rPr>
                <w:sz w:val="18"/>
                <w:szCs w:val="18"/>
              </w:rPr>
            </w:pPr>
            <w:r>
              <w:rPr>
                <w:sz w:val="18"/>
                <w:szCs w:val="18"/>
              </w:rPr>
              <w:t>–</w:t>
            </w:r>
          </w:p>
        </w:tc>
        <w:tc>
          <w:tcPr>
            <w:tcW w:w="755" w:type="pct"/>
            <w:tcBorders>
              <w:top w:val="nil"/>
              <w:bottom w:val="nil"/>
            </w:tcBorders>
            <w:shd w:val="clear" w:color="auto" w:fill="auto"/>
            <w:noWrap/>
            <w:tcMar>
              <w:right w:w="360" w:type="dxa"/>
            </w:tcMar>
            <w:vAlign w:val="center"/>
            <w:hideMark/>
          </w:tcPr>
          <w:p w14:paraId="0A4D5AE0" w14:textId="0B36D11E" w:rsidR="006334B9" w:rsidRPr="00576751" w:rsidRDefault="006334B9" w:rsidP="00576751">
            <w:pPr>
              <w:pStyle w:val="ExhibitText"/>
              <w:adjustRightInd w:val="0"/>
              <w:jc w:val="right"/>
              <w:rPr>
                <w:sz w:val="18"/>
                <w:szCs w:val="18"/>
              </w:rPr>
            </w:pPr>
            <w:r w:rsidRPr="00576751">
              <w:rPr>
                <w:sz w:val="18"/>
                <w:szCs w:val="18"/>
              </w:rPr>
              <w:t>0.40</w:t>
            </w:r>
          </w:p>
        </w:tc>
        <w:tc>
          <w:tcPr>
            <w:tcW w:w="754" w:type="pct"/>
            <w:tcBorders>
              <w:top w:val="nil"/>
              <w:bottom w:val="nil"/>
            </w:tcBorders>
            <w:shd w:val="clear" w:color="auto" w:fill="auto"/>
            <w:noWrap/>
            <w:tcMar>
              <w:right w:w="360" w:type="dxa"/>
            </w:tcMar>
            <w:vAlign w:val="center"/>
            <w:hideMark/>
          </w:tcPr>
          <w:p w14:paraId="54A3F1E8" w14:textId="3E7A8D82" w:rsidR="006334B9" w:rsidRPr="00576751" w:rsidRDefault="006334B9" w:rsidP="00576751">
            <w:pPr>
              <w:pStyle w:val="ExhibitText"/>
              <w:adjustRightInd w:val="0"/>
              <w:jc w:val="right"/>
              <w:rPr>
                <w:sz w:val="18"/>
                <w:szCs w:val="18"/>
              </w:rPr>
            </w:pPr>
            <w:r w:rsidRPr="00576751">
              <w:rPr>
                <w:sz w:val="18"/>
                <w:szCs w:val="18"/>
              </w:rPr>
              <w:t>3.36</w:t>
            </w:r>
          </w:p>
        </w:tc>
      </w:tr>
      <w:tr w:rsidR="00415F26" w:rsidRPr="009F7D1D" w14:paraId="66F295BE" w14:textId="77777777" w:rsidTr="008B1AAC">
        <w:trPr>
          <w:trHeight w:val="288"/>
          <w:jc w:val="center"/>
        </w:trPr>
        <w:tc>
          <w:tcPr>
            <w:tcW w:w="481" w:type="pct"/>
            <w:tcBorders>
              <w:top w:val="nil"/>
              <w:bottom w:val="nil"/>
            </w:tcBorders>
            <w:shd w:val="clear" w:color="auto" w:fill="auto"/>
            <w:noWrap/>
            <w:vAlign w:val="center"/>
            <w:hideMark/>
          </w:tcPr>
          <w:p w14:paraId="584F0341" w14:textId="77777777" w:rsidR="006334B9" w:rsidRPr="00576751" w:rsidRDefault="006334B9" w:rsidP="00576751">
            <w:pPr>
              <w:pStyle w:val="ExhibitText"/>
              <w:jc w:val="center"/>
              <w:rPr>
                <w:sz w:val="18"/>
                <w:szCs w:val="18"/>
                <w:lang w:eastAsia="zh-CN"/>
              </w:rPr>
            </w:pPr>
            <w:r w:rsidRPr="00576751">
              <w:rPr>
                <w:sz w:val="18"/>
                <w:szCs w:val="18"/>
                <w:lang w:eastAsia="zh-CN"/>
              </w:rPr>
              <w:t>2006</w:t>
            </w:r>
          </w:p>
        </w:tc>
        <w:tc>
          <w:tcPr>
            <w:tcW w:w="745" w:type="pct"/>
            <w:tcBorders>
              <w:top w:val="nil"/>
              <w:bottom w:val="nil"/>
            </w:tcBorders>
            <w:shd w:val="clear" w:color="auto" w:fill="auto"/>
            <w:noWrap/>
            <w:tcMar>
              <w:right w:w="360" w:type="dxa"/>
            </w:tcMar>
            <w:vAlign w:val="center"/>
            <w:hideMark/>
          </w:tcPr>
          <w:p w14:paraId="6A3CB079" w14:textId="3103EFBB" w:rsidR="006334B9" w:rsidRPr="00576751" w:rsidRDefault="006334B9" w:rsidP="00576751">
            <w:pPr>
              <w:pStyle w:val="ExhibitText"/>
              <w:adjustRightInd w:val="0"/>
              <w:jc w:val="right"/>
              <w:rPr>
                <w:sz w:val="18"/>
                <w:szCs w:val="18"/>
              </w:rPr>
            </w:pPr>
            <w:r w:rsidRPr="00576751">
              <w:rPr>
                <w:sz w:val="18"/>
                <w:szCs w:val="18"/>
              </w:rPr>
              <w:t>14.00</w:t>
            </w:r>
          </w:p>
        </w:tc>
        <w:tc>
          <w:tcPr>
            <w:tcW w:w="755" w:type="pct"/>
            <w:tcBorders>
              <w:top w:val="nil"/>
              <w:bottom w:val="nil"/>
            </w:tcBorders>
            <w:shd w:val="clear" w:color="auto" w:fill="auto"/>
            <w:noWrap/>
            <w:tcMar>
              <w:right w:w="360" w:type="dxa"/>
            </w:tcMar>
            <w:vAlign w:val="center"/>
            <w:hideMark/>
          </w:tcPr>
          <w:p w14:paraId="354B0652" w14:textId="3F17428F" w:rsidR="006334B9" w:rsidRPr="00576751" w:rsidRDefault="006334B9" w:rsidP="00576751">
            <w:pPr>
              <w:pStyle w:val="ExhibitText"/>
              <w:adjustRightInd w:val="0"/>
              <w:jc w:val="right"/>
              <w:rPr>
                <w:sz w:val="18"/>
                <w:szCs w:val="18"/>
              </w:rPr>
            </w:pPr>
            <w:r w:rsidRPr="00576751">
              <w:rPr>
                <w:sz w:val="18"/>
                <w:szCs w:val="18"/>
              </w:rPr>
              <w:t>0.10</w:t>
            </w:r>
          </w:p>
        </w:tc>
        <w:tc>
          <w:tcPr>
            <w:tcW w:w="755" w:type="pct"/>
            <w:tcBorders>
              <w:top w:val="nil"/>
              <w:bottom w:val="nil"/>
            </w:tcBorders>
            <w:shd w:val="clear" w:color="auto" w:fill="auto"/>
            <w:noWrap/>
            <w:tcMar>
              <w:right w:w="360" w:type="dxa"/>
            </w:tcMar>
            <w:vAlign w:val="center"/>
            <w:hideMark/>
          </w:tcPr>
          <w:p w14:paraId="1A3E5501" w14:textId="7F00813E" w:rsidR="006334B9" w:rsidRPr="00576751" w:rsidRDefault="006334B9" w:rsidP="00576751">
            <w:pPr>
              <w:pStyle w:val="ExhibitText"/>
              <w:adjustRightInd w:val="0"/>
              <w:jc w:val="right"/>
              <w:rPr>
                <w:sz w:val="18"/>
                <w:szCs w:val="18"/>
              </w:rPr>
            </w:pPr>
            <w:r w:rsidRPr="00576751">
              <w:rPr>
                <w:sz w:val="18"/>
                <w:szCs w:val="18"/>
              </w:rPr>
              <w:t>0.35</w:t>
            </w:r>
          </w:p>
        </w:tc>
        <w:tc>
          <w:tcPr>
            <w:tcW w:w="755" w:type="pct"/>
            <w:tcBorders>
              <w:top w:val="nil"/>
              <w:bottom w:val="nil"/>
            </w:tcBorders>
            <w:shd w:val="clear" w:color="auto" w:fill="auto"/>
            <w:noWrap/>
            <w:tcMar>
              <w:right w:w="360" w:type="dxa"/>
            </w:tcMar>
            <w:vAlign w:val="center"/>
            <w:hideMark/>
          </w:tcPr>
          <w:p w14:paraId="644FB957" w14:textId="5BFCA24A" w:rsidR="006334B9" w:rsidRPr="00576751" w:rsidRDefault="00B41D82" w:rsidP="00576751">
            <w:pPr>
              <w:pStyle w:val="ExhibitText"/>
              <w:adjustRightInd w:val="0"/>
              <w:jc w:val="right"/>
              <w:rPr>
                <w:sz w:val="18"/>
                <w:szCs w:val="18"/>
              </w:rPr>
            </w:pPr>
            <w:r>
              <w:rPr>
                <w:sz w:val="18"/>
                <w:szCs w:val="18"/>
              </w:rPr>
              <w:t>–</w:t>
            </w:r>
          </w:p>
        </w:tc>
        <w:tc>
          <w:tcPr>
            <w:tcW w:w="755" w:type="pct"/>
            <w:tcBorders>
              <w:top w:val="nil"/>
              <w:bottom w:val="nil"/>
            </w:tcBorders>
            <w:shd w:val="clear" w:color="auto" w:fill="auto"/>
            <w:noWrap/>
            <w:tcMar>
              <w:right w:w="360" w:type="dxa"/>
            </w:tcMar>
            <w:vAlign w:val="center"/>
            <w:hideMark/>
          </w:tcPr>
          <w:p w14:paraId="61861E5D" w14:textId="2C89F673" w:rsidR="006334B9" w:rsidRPr="00576751" w:rsidRDefault="006334B9" w:rsidP="00576751">
            <w:pPr>
              <w:pStyle w:val="ExhibitText"/>
              <w:adjustRightInd w:val="0"/>
              <w:jc w:val="right"/>
              <w:rPr>
                <w:sz w:val="18"/>
                <w:szCs w:val="18"/>
              </w:rPr>
            </w:pPr>
            <w:r w:rsidRPr="00576751">
              <w:rPr>
                <w:sz w:val="18"/>
                <w:szCs w:val="18"/>
              </w:rPr>
              <w:t>0.45</w:t>
            </w:r>
          </w:p>
        </w:tc>
        <w:tc>
          <w:tcPr>
            <w:tcW w:w="754" w:type="pct"/>
            <w:tcBorders>
              <w:top w:val="nil"/>
              <w:bottom w:val="nil"/>
            </w:tcBorders>
            <w:shd w:val="clear" w:color="auto" w:fill="auto"/>
            <w:noWrap/>
            <w:tcMar>
              <w:right w:w="360" w:type="dxa"/>
            </w:tcMar>
            <w:vAlign w:val="center"/>
            <w:hideMark/>
          </w:tcPr>
          <w:p w14:paraId="7147B4DE" w14:textId="7ED1E76E" w:rsidR="006334B9" w:rsidRPr="00576751" w:rsidRDefault="006334B9" w:rsidP="00576751">
            <w:pPr>
              <w:pStyle w:val="ExhibitText"/>
              <w:adjustRightInd w:val="0"/>
              <w:jc w:val="right"/>
              <w:rPr>
                <w:sz w:val="18"/>
                <w:szCs w:val="18"/>
              </w:rPr>
            </w:pPr>
            <w:r w:rsidRPr="00576751">
              <w:rPr>
                <w:sz w:val="18"/>
                <w:szCs w:val="18"/>
              </w:rPr>
              <w:t>3.21</w:t>
            </w:r>
          </w:p>
        </w:tc>
      </w:tr>
      <w:tr w:rsidR="00415F26" w:rsidRPr="009F7D1D" w14:paraId="405FFF14" w14:textId="77777777" w:rsidTr="008B1AAC">
        <w:trPr>
          <w:trHeight w:val="288"/>
          <w:jc w:val="center"/>
        </w:trPr>
        <w:tc>
          <w:tcPr>
            <w:tcW w:w="481" w:type="pct"/>
            <w:tcBorders>
              <w:top w:val="nil"/>
              <w:bottom w:val="nil"/>
            </w:tcBorders>
            <w:shd w:val="clear" w:color="auto" w:fill="auto"/>
            <w:noWrap/>
            <w:vAlign w:val="center"/>
            <w:hideMark/>
          </w:tcPr>
          <w:p w14:paraId="036785D9" w14:textId="77777777" w:rsidR="006334B9" w:rsidRPr="00576751" w:rsidRDefault="006334B9" w:rsidP="00576751">
            <w:pPr>
              <w:pStyle w:val="ExhibitText"/>
              <w:jc w:val="center"/>
              <w:rPr>
                <w:sz w:val="18"/>
                <w:szCs w:val="18"/>
                <w:lang w:eastAsia="zh-CN"/>
              </w:rPr>
            </w:pPr>
            <w:r w:rsidRPr="00576751">
              <w:rPr>
                <w:sz w:val="18"/>
                <w:szCs w:val="18"/>
                <w:lang w:eastAsia="zh-CN"/>
              </w:rPr>
              <w:t>2007</w:t>
            </w:r>
          </w:p>
        </w:tc>
        <w:tc>
          <w:tcPr>
            <w:tcW w:w="745" w:type="pct"/>
            <w:tcBorders>
              <w:top w:val="nil"/>
              <w:bottom w:val="nil"/>
            </w:tcBorders>
            <w:shd w:val="clear" w:color="auto" w:fill="auto"/>
            <w:noWrap/>
            <w:tcMar>
              <w:right w:w="360" w:type="dxa"/>
            </w:tcMar>
            <w:vAlign w:val="center"/>
            <w:hideMark/>
          </w:tcPr>
          <w:p w14:paraId="358697EB" w14:textId="4499DA30" w:rsidR="006334B9" w:rsidRPr="00576751" w:rsidRDefault="006334B9" w:rsidP="00576751">
            <w:pPr>
              <w:pStyle w:val="ExhibitText"/>
              <w:adjustRightInd w:val="0"/>
              <w:jc w:val="right"/>
              <w:rPr>
                <w:sz w:val="18"/>
                <w:szCs w:val="18"/>
              </w:rPr>
            </w:pPr>
            <w:r w:rsidRPr="00576751">
              <w:rPr>
                <w:sz w:val="18"/>
                <w:szCs w:val="18"/>
              </w:rPr>
              <w:t>16.60</w:t>
            </w:r>
          </w:p>
        </w:tc>
        <w:tc>
          <w:tcPr>
            <w:tcW w:w="755" w:type="pct"/>
            <w:tcBorders>
              <w:top w:val="nil"/>
              <w:bottom w:val="nil"/>
            </w:tcBorders>
            <w:shd w:val="clear" w:color="auto" w:fill="auto"/>
            <w:noWrap/>
            <w:tcMar>
              <w:right w:w="360" w:type="dxa"/>
            </w:tcMar>
            <w:vAlign w:val="center"/>
            <w:hideMark/>
          </w:tcPr>
          <w:p w14:paraId="077EF428" w14:textId="055AABFA" w:rsidR="006334B9" w:rsidRPr="00576751" w:rsidRDefault="006334B9" w:rsidP="00576751">
            <w:pPr>
              <w:pStyle w:val="ExhibitText"/>
              <w:adjustRightInd w:val="0"/>
              <w:jc w:val="right"/>
              <w:rPr>
                <w:sz w:val="18"/>
                <w:szCs w:val="18"/>
              </w:rPr>
            </w:pPr>
            <w:r w:rsidRPr="00576751">
              <w:rPr>
                <w:sz w:val="18"/>
                <w:szCs w:val="18"/>
              </w:rPr>
              <w:t>0.15</w:t>
            </w:r>
          </w:p>
        </w:tc>
        <w:tc>
          <w:tcPr>
            <w:tcW w:w="755" w:type="pct"/>
            <w:tcBorders>
              <w:top w:val="nil"/>
              <w:bottom w:val="nil"/>
            </w:tcBorders>
            <w:shd w:val="clear" w:color="auto" w:fill="auto"/>
            <w:noWrap/>
            <w:tcMar>
              <w:right w:w="360" w:type="dxa"/>
            </w:tcMar>
            <w:vAlign w:val="center"/>
            <w:hideMark/>
          </w:tcPr>
          <w:p w14:paraId="2C695795" w14:textId="25D7B2FC" w:rsidR="006334B9" w:rsidRPr="00576751" w:rsidRDefault="006334B9" w:rsidP="00576751">
            <w:pPr>
              <w:pStyle w:val="ExhibitText"/>
              <w:adjustRightInd w:val="0"/>
              <w:jc w:val="right"/>
              <w:rPr>
                <w:sz w:val="18"/>
                <w:szCs w:val="18"/>
              </w:rPr>
            </w:pPr>
            <w:r w:rsidRPr="00576751">
              <w:rPr>
                <w:sz w:val="18"/>
                <w:szCs w:val="18"/>
              </w:rPr>
              <w:t>0.35</w:t>
            </w:r>
          </w:p>
        </w:tc>
        <w:tc>
          <w:tcPr>
            <w:tcW w:w="755" w:type="pct"/>
            <w:tcBorders>
              <w:top w:val="nil"/>
              <w:bottom w:val="nil"/>
            </w:tcBorders>
            <w:shd w:val="clear" w:color="auto" w:fill="auto"/>
            <w:noWrap/>
            <w:tcMar>
              <w:right w:w="360" w:type="dxa"/>
            </w:tcMar>
            <w:vAlign w:val="center"/>
            <w:hideMark/>
          </w:tcPr>
          <w:p w14:paraId="6051B9AE" w14:textId="3FBA4A5C" w:rsidR="006334B9" w:rsidRPr="00576751" w:rsidRDefault="006334B9" w:rsidP="00576751">
            <w:pPr>
              <w:pStyle w:val="ExhibitText"/>
              <w:adjustRightInd w:val="0"/>
              <w:jc w:val="right"/>
              <w:rPr>
                <w:sz w:val="18"/>
                <w:szCs w:val="18"/>
              </w:rPr>
            </w:pPr>
            <w:r w:rsidRPr="00576751">
              <w:rPr>
                <w:sz w:val="18"/>
                <w:szCs w:val="18"/>
              </w:rPr>
              <w:t>0.50</w:t>
            </w:r>
          </w:p>
        </w:tc>
        <w:tc>
          <w:tcPr>
            <w:tcW w:w="755" w:type="pct"/>
            <w:tcBorders>
              <w:top w:val="nil"/>
              <w:bottom w:val="nil"/>
            </w:tcBorders>
            <w:shd w:val="clear" w:color="auto" w:fill="auto"/>
            <w:noWrap/>
            <w:tcMar>
              <w:right w:w="360" w:type="dxa"/>
            </w:tcMar>
            <w:vAlign w:val="center"/>
            <w:hideMark/>
          </w:tcPr>
          <w:p w14:paraId="3A4D3E26" w14:textId="2F74B1AB" w:rsidR="006334B9" w:rsidRPr="00576751" w:rsidRDefault="006334B9" w:rsidP="00576751">
            <w:pPr>
              <w:pStyle w:val="ExhibitText"/>
              <w:adjustRightInd w:val="0"/>
              <w:jc w:val="right"/>
              <w:rPr>
                <w:sz w:val="18"/>
                <w:szCs w:val="18"/>
              </w:rPr>
            </w:pPr>
            <w:r w:rsidRPr="00576751">
              <w:rPr>
                <w:sz w:val="18"/>
                <w:szCs w:val="18"/>
              </w:rPr>
              <w:t>1.00</w:t>
            </w:r>
          </w:p>
        </w:tc>
        <w:tc>
          <w:tcPr>
            <w:tcW w:w="754" w:type="pct"/>
            <w:tcBorders>
              <w:top w:val="nil"/>
              <w:bottom w:val="nil"/>
            </w:tcBorders>
            <w:shd w:val="clear" w:color="auto" w:fill="auto"/>
            <w:noWrap/>
            <w:tcMar>
              <w:right w:w="360" w:type="dxa"/>
            </w:tcMar>
            <w:vAlign w:val="center"/>
            <w:hideMark/>
          </w:tcPr>
          <w:p w14:paraId="40560DE6" w14:textId="55A85AE0" w:rsidR="006334B9" w:rsidRPr="00576751" w:rsidRDefault="006334B9" w:rsidP="00576751">
            <w:pPr>
              <w:pStyle w:val="ExhibitText"/>
              <w:adjustRightInd w:val="0"/>
              <w:jc w:val="right"/>
              <w:rPr>
                <w:sz w:val="18"/>
                <w:szCs w:val="18"/>
              </w:rPr>
            </w:pPr>
            <w:r w:rsidRPr="00576751">
              <w:rPr>
                <w:sz w:val="18"/>
                <w:szCs w:val="18"/>
              </w:rPr>
              <w:t>6.02</w:t>
            </w:r>
          </w:p>
        </w:tc>
      </w:tr>
      <w:tr w:rsidR="009F7D1D" w:rsidRPr="009F7D1D" w14:paraId="7675220A" w14:textId="77777777" w:rsidTr="008B1AAC">
        <w:trPr>
          <w:trHeight w:val="288"/>
          <w:jc w:val="center"/>
        </w:trPr>
        <w:tc>
          <w:tcPr>
            <w:tcW w:w="481" w:type="pct"/>
            <w:tcBorders>
              <w:top w:val="nil"/>
              <w:bottom w:val="nil"/>
            </w:tcBorders>
            <w:shd w:val="clear" w:color="auto" w:fill="auto"/>
            <w:noWrap/>
            <w:vAlign w:val="center"/>
            <w:hideMark/>
          </w:tcPr>
          <w:p w14:paraId="3DC989E4" w14:textId="77777777" w:rsidR="006334B9" w:rsidRPr="00576751" w:rsidRDefault="006334B9" w:rsidP="00576751">
            <w:pPr>
              <w:pStyle w:val="ExhibitText"/>
              <w:jc w:val="center"/>
              <w:rPr>
                <w:sz w:val="18"/>
                <w:szCs w:val="18"/>
                <w:lang w:eastAsia="zh-CN"/>
              </w:rPr>
            </w:pPr>
            <w:r w:rsidRPr="00576751">
              <w:rPr>
                <w:sz w:val="18"/>
                <w:szCs w:val="18"/>
                <w:lang w:eastAsia="zh-CN"/>
              </w:rPr>
              <w:t>2008</w:t>
            </w:r>
          </w:p>
        </w:tc>
        <w:tc>
          <w:tcPr>
            <w:tcW w:w="745" w:type="pct"/>
            <w:tcBorders>
              <w:top w:val="nil"/>
              <w:bottom w:val="nil"/>
            </w:tcBorders>
            <w:shd w:val="clear" w:color="auto" w:fill="auto"/>
            <w:noWrap/>
            <w:tcMar>
              <w:right w:w="360" w:type="dxa"/>
            </w:tcMar>
            <w:vAlign w:val="center"/>
            <w:hideMark/>
          </w:tcPr>
          <w:p w14:paraId="77BBD1AE" w14:textId="2598E69C" w:rsidR="006334B9" w:rsidRPr="00576751" w:rsidRDefault="006334B9" w:rsidP="00576751">
            <w:pPr>
              <w:pStyle w:val="ExhibitText"/>
              <w:adjustRightInd w:val="0"/>
              <w:jc w:val="right"/>
              <w:rPr>
                <w:sz w:val="18"/>
                <w:szCs w:val="18"/>
              </w:rPr>
            </w:pPr>
            <w:r w:rsidRPr="00576751">
              <w:rPr>
                <w:sz w:val="18"/>
                <w:szCs w:val="18"/>
              </w:rPr>
              <w:t>15.60</w:t>
            </w:r>
          </w:p>
        </w:tc>
        <w:tc>
          <w:tcPr>
            <w:tcW w:w="755" w:type="pct"/>
            <w:tcBorders>
              <w:top w:val="nil"/>
              <w:bottom w:val="nil"/>
            </w:tcBorders>
            <w:shd w:val="clear" w:color="auto" w:fill="auto"/>
            <w:noWrap/>
            <w:tcMar>
              <w:right w:w="360" w:type="dxa"/>
            </w:tcMar>
            <w:vAlign w:val="center"/>
            <w:hideMark/>
          </w:tcPr>
          <w:p w14:paraId="7B6808F4" w14:textId="58641F66" w:rsidR="006334B9" w:rsidRPr="00576751" w:rsidRDefault="006334B9" w:rsidP="00576751">
            <w:pPr>
              <w:pStyle w:val="ExhibitText"/>
              <w:adjustRightInd w:val="0"/>
              <w:jc w:val="right"/>
              <w:rPr>
                <w:sz w:val="18"/>
                <w:szCs w:val="18"/>
              </w:rPr>
            </w:pPr>
            <w:r w:rsidRPr="00576751">
              <w:rPr>
                <w:sz w:val="18"/>
                <w:szCs w:val="18"/>
              </w:rPr>
              <w:t>0.20</w:t>
            </w:r>
          </w:p>
        </w:tc>
        <w:tc>
          <w:tcPr>
            <w:tcW w:w="755" w:type="pct"/>
            <w:tcBorders>
              <w:top w:val="nil"/>
              <w:bottom w:val="nil"/>
            </w:tcBorders>
            <w:shd w:val="clear" w:color="auto" w:fill="auto"/>
            <w:noWrap/>
            <w:tcMar>
              <w:right w:w="360" w:type="dxa"/>
            </w:tcMar>
            <w:vAlign w:val="center"/>
            <w:hideMark/>
          </w:tcPr>
          <w:p w14:paraId="612C6582" w14:textId="166B376A" w:rsidR="006334B9" w:rsidRPr="00576751" w:rsidRDefault="006334B9" w:rsidP="00576751">
            <w:pPr>
              <w:pStyle w:val="ExhibitText"/>
              <w:adjustRightInd w:val="0"/>
              <w:jc w:val="right"/>
              <w:rPr>
                <w:sz w:val="18"/>
                <w:szCs w:val="18"/>
              </w:rPr>
            </w:pPr>
            <w:r w:rsidRPr="00576751">
              <w:rPr>
                <w:sz w:val="18"/>
                <w:szCs w:val="18"/>
              </w:rPr>
              <w:t>0.80</w:t>
            </w:r>
          </w:p>
        </w:tc>
        <w:tc>
          <w:tcPr>
            <w:tcW w:w="755" w:type="pct"/>
            <w:tcBorders>
              <w:top w:val="nil"/>
              <w:bottom w:val="nil"/>
            </w:tcBorders>
            <w:shd w:val="clear" w:color="auto" w:fill="auto"/>
            <w:noWrap/>
            <w:tcMar>
              <w:right w:w="360" w:type="dxa"/>
            </w:tcMar>
            <w:vAlign w:val="center"/>
            <w:hideMark/>
          </w:tcPr>
          <w:p w14:paraId="7F3F2994" w14:textId="05EAEAF2" w:rsidR="006334B9" w:rsidRPr="00576751" w:rsidRDefault="00B41D82" w:rsidP="00576751">
            <w:pPr>
              <w:pStyle w:val="ExhibitText"/>
              <w:adjustRightInd w:val="0"/>
              <w:jc w:val="right"/>
              <w:rPr>
                <w:sz w:val="18"/>
                <w:szCs w:val="18"/>
              </w:rPr>
            </w:pPr>
            <w:r>
              <w:rPr>
                <w:sz w:val="18"/>
                <w:szCs w:val="18"/>
              </w:rPr>
              <w:t>–</w:t>
            </w:r>
          </w:p>
        </w:tc>
        <w:tc>
          <w:tcPr>
            <w:tcW w:w="755" w:type="pct"/>
            <w:tcBorders>
              <w:top w:val="nil"/>
              <w:bottom w:val="nil"/>
            </w:tcBorders>
            <w:shd w:val="clear" w:color="auto" w:fill="auto"/>
            <w:noWrap/>
            <w:tcMar>
              <w:right w:w="360" w:type="dxa"/>
            </w:tcMar>
            <w:vAlign w:val="center"/>
            <w:hideMark/>
          </w:tcPr>
          <w:p w14:paraId="352B0E8C" w14:textId="4A86F580" w:rsidR="006334B9" w:rsidRPr="00576751" w:rsidRDefault="006334B9" w:rsidP="00576751">
            <w:pPr>
              <w:pStyle w:val="ExhibitText"/>
              <w:adjustRightInd w:val="0"/>
              <w:jc w:val="right"/>
              <w:rPr>
                <w:sz w:val="18"/>
                <w:szCs w:val="18"/>
              </w:rPr>
            </w:pPr>
            <w:r w:rsidRPr="00576751">
              <w:rPr>
                <w:sz w:val="18"/>
                <w:szCs w:val="18"/>
              </w:rPr>
              <w:t>1.00</w:t>
            </w:r>
          </w:p>
        </w:tc>
        <w:tc>
          <w:tcPr>
            <w:tcW w:w="754" w:type="pct"/>
            <w:tcBorders>
              <w:top w:val="nil"/>
              <w:bottom w:val="nil"/>
            </w:tcBorders>
            <w:shd w:val="clear" w:color="auto" w:fill="auto"/>
            <w:noWrap/>
            <w:tcMar>
              <w:right w:w="360" w:type="dxa"/>
            </w:tcMar>
            <w:vAlign w:val="center"/>
            <w:hideMark/>
          </w:tcPr>
          <w:p w14:paraId="4FD9ED65" w14:textId="107498A8" w:rsidR="006334B9" w:rsidRPr="00576751" w:rsidRDefault="006334B9" w:rsidP="00576751">
            <w:pPr>
              <w:pStyle w:val="ExhibitText"/>
              <w:adjustRightInd w:val="0"/>
              <w:jc w:val="right"/>
              <w:rPr>
                <w:sz w:val="18"/>
                <w:szCs w:val="18"/>
              </w:rPr>
            </w:pPr>
            <w:r w:rsidRPr="00576751">
              <w:rPr>
                <w:sz w:val="18"/>
                <w:szCs w:val="18"/>
              </w:rPr>
              <w:t>6.41</w:t>
            </w:r>
          </w:p>
        </w:tc>
      </w:tr>
      <w:tr w:rsidR="00415F26" w:rsidRPr="009F7D1D" w14:paraId="0BD19739" w14:textId="77777777" w:rsidTr="008B1AAC">
        <w:trPr>
          <w:trHeight w:val="288"/>
          <w:jc w:val="center"/>
        </w:trPr>
        <w:tc>
          <w:tcPr>
            <w:tcW w:w="481" w:type="pct"/>
            <w:tcBorders>
              <w:top w:val="nil"/>
              <w:bottom w:val="nil"/>
            </w:tcBorders>
            <w:shd w:val="clear" w:color="auto" w:fill="auto"/>
            <w:noWrap/>
            <w:vAlign w:val="center"/>
            <w:hideMark/>
          </w:tcPr>
          <w:p w14:paraId="06A7DE7C" w14:textId="77777777" w:rsidR="006334B9" w:rsidRPr="00576751" w:rsidRDefault="006334B9" w:rsidP="00576751">
            <w:pPr>
              <w:pStyle w:val="ExhibitText"/>
              <w:jc w:val="center"/>
              <w:rPr>
                <w:sz w:val="18"/>
                <w:szCs w:val="18"/>
                <w:lang w:eastAsia="zh-CN"/>
              </w:rPr>
            </w:pPr>
            <w:r w:rsidRPr="00576751">
              <w:rPr>
                <w:sz w:val="18"/>
                <w:szCs w:val="18"/>
                <w:lang w:eastAsia="zh-CN"/>
              </w:rPr>
              <w:t>2009</w:t>
            </w:r>
          </w:p>
        </w:tc>
        <w:tc>
          <w:tcPr>
            <w:tcW w:w="745" w:type="pct"/>
            <w:tcBorders>
              <w:top w:val="nil"/>
              <w:bottom w:val="nil"/>
            </w:tcBorders>
            <w:shd w:val="clear" w:color="auto" w:fill="auto"/>
            <w:noWrap/>
            <w:tcMar>
              <w:right w:w="360" w:type="dxa"/>
            </w:tcMar>
            <w:vAlign w:val="center"/>
            <w:hideMark/>
          </w:tcPr>
          <w:p w14:paraId="710EF078" w14:textId="29651909" w:rsidR="006334B9" w:rsidRPr="00576751" w:rsidRDefault="006334B9" w:rsidP="00576751">
            <w:pPr>
              <w:pStyle w:val="ExhibitText"/>
              <w:adjustRightInd w:val="0"/>
              <w:jc w:val="right"/>
              <w:rPr>
                <w:sz w:val="18"/>
                <w:szCs w:val="18"/>
              </w:rPr>
            </w:pPr>
            <w:r w:rsidRPr="00576751">
              <w:rPr>
                <w:sz w:val="18"/>
                <w:szCs w:val="18"/>
              </w:rPr>
              <w:t>10.00</w:t>
            </w:r>
          </w:p>
        </w:tc>
        <w:tc>
          <w:tcPr>
            <w:tcW w:w="755" w:type="pct"/>
            <w:tcBorders>
              <w:top w:val="nil"/>
              <w:bottom w:val="nil"/>
            </w:tcBorders>
            <w:shd w:val="clear" w:color="auto" w:fill="auto"/>
            <w:noWrap/>
            <w:tcMar>
              <w:right w:w="360" w:type="dxa"/>
            </w:tcMar>
            <w:vAlign w:val="center"/>
            <w:hideMark/>
          </w:tcPr>
          <w:p w14:paraId="652C18FD" w14:textId="5578EDA7" w:rsidR="006334B9" w:rsidRPr="00576751" w:rsidRDefault="006334B9" w:rsidP="00576751">
            <w:pPr>
              <w:pStyle w:val="ExhibitText"/>
              <w:adjustRightInd w:val="0"/>
              <w:jc w:val="right"/>
              <w:rPr>
                <w:sz w:val="18"/>
                <w:szCs w:val="18"/>
              </w:rPr>
            </w:pPr>
            <w:r w:rsidRPr="00576751">
              <w:rPr>
                <w:sz w:val="18"/>
                <w:szCs w:val="18"/>
              </w:rPr>
              <w:t>0.20</w:t>
            </w:r>
          </w:p>
        </w:tc>
        <w:tc>
          <w:tcPr>
            <w:tcW w:w="755" w:type="pct"/>
            <w:tcBorders>
              <w:top w:val="nil"/>
              <w:bottom w:val="nil"/>
            </w:tcBorders>
            <w:shd w:val="clear" w:color="auto" w:fill="auto"/>
            <w:noWrap/>
            <w:tcMar>
              <w:right w:w="360" w:type="dxa"/>
            </w:tcMar>
            <w:vAlign w:val="center"/>
            <w:hideMark/>
          </w:tcPr>
          <w:p w14:paraId="67C7833D" w14:textId="4FE2214F" w:rsidR="006334B9" w:rsidRPr="00576751" w:rsidRDefault="006334B9" w:rsidP="00576751">
            <w:pPr>
              <w:pStyle w:val="ExhibitText"/>
              <w:adjustRightInd w:val="0"/>
              <w:jc w:val="right"/>
              <w:rPr>
                <w:sz w:val="18"/>
                <w:szCs w:val="18"/>
              </w:rPr>
            </w:pPr>
            <w:r w:rsidRPr="00576751">
              <w:rPr>
                <w:sz w:val="18"/>
                <w:szCs w:val="18"/>
              </w:rPr>
              <w:t>0.20</w:t>
            </w:r>
          </w:p>
        </w:tc>
        <w:tc>
          <w:tcPr>
            <w:tcW w:w="755" w:type="pct"/>
            <w:tcBorders>
              <w:top w:val="nil"/>
              <w:bottom w:val="nil"/>
            </w:tcBorders>
            <w:shd w:val="clear" w:color="auto" w:fill="auto"/>
            <w:noWrap/>
            <w:tcMar>
              <w:right w:w="360" w:type="dxa"/>
            </w:tcMar>
            <w:vAlign w:val="center"/>
            <w:hideMark/>
          </w:tcPr>
          <w:p w14:paraId="6C02B97D" w14:textId="2043F545" w:rsidR="006334B9" w:rsidRPr="00576751" w:rsidRDefault="00B41D82" w:rsidP="00576751">
            <w:pPr>
              <w:pStyle w:val="ExhibitText"/>
              <w:adjustRightInd w:val="0"/>
              <w:jc w:val="right"/>
              <w:rPr>
                <w:sz w:val="18"/>
                <w:szCs w:val="18"/>
              </w:rPr>
            </w:pPr>
            <w:r>
              <w:rPr>
                <w:sz w:val="18"/>
                <w:szCs w:val="18"/>
              </w:rPr>
              <w:t>–</w:t>
            </w:r>
          </w:p>
        </w:tc>
        <w:tc>
          <w:tcPr>
            <w:tcW w:w="755" w:type="pct"/>
            <w:tcBorders>
              <w:top w:val="nil"/>
              <w:bottom w:val="nil"/>
            </w:tcBorders>
            <w:shd w:val="clear" w:color="auto" w:fill="auto"/>
            <w:noWrap/>
            <w:tcMar>
              <w:right w:w="360" w:type="dxa"/>
            </w:tcMar>
            <w:vAlign w:val="center"/>
            <w:hideMark/>
          </w:tcPr>
          <w:p w14:paraId="3F92D3B1" w14:textId="69B146C7" w:rsidR="006334B9" w:rsidRPr="00576751" w:rsidRDefault="006334B9" w:rsidP="00576751">
            <w:pPr>
              <w:pStyle w:val="ExhibitText"/>
              <w:adjustRightInd w:val="0"/>
              <w:jc w:val="right"/>
              <w:rPr>
                <w:sz w:val="18"/>
                <w:szCs w:val="18"/>
              </w:rPr>
            </w:pPr>
            <w:r w:rsidRPr="00576751">
              <w:rPr>
                <w:sz w:val="18"/>
                <w:szCs w:val="18"/>
              </w:rPr>
              <w:t>0.40</w:t>
            </w:r>
          </w:p>
        </w:tc>
        <w:tc>
          <w:tcPr>
            <w:tcW w:w="754" w:type="pct"/>
            <w:tcBorders>
              <w:top w:val="nil"/>
              <w:bottom w:val="nil"/>
            </w:tcBorders>
            <w:shd w:val="clear" w:color="auto" w:fill="auto"/>
            <w:noWrap/>
            <w:tcMar>
              <w:right w:w="360" w:type="dxa"/>
            </w:tcMar>
            <w:vAlign w:val="center"/>
            <w:hideMark/>
          </w:tcPr>
          <w:p w14:paraId="7ECFFAB3" w14:textId="7ED4C5AC" w:rsidR="006334B9" w:rsidRPr="00576751" w:rsidRDefault="006334B9" w:rsidP="00576751">
            <w:pPr>
              <w:pStyle w:val="ExhibitText"/>
              <w:adjustRightInd w:val="0"/>
              <w:jc w:val="right"/>
              <w:rPr>
                <w:sz w:val="18"/>
                <w:szCs w:val="18"/>
              </w:rPr>
            </w:pPr>
            <w:r w:rsidRPr="00576751">
              <w:rPr>
                <w:sz w:val="18"/>
                <w:szCs w:val="18"/>
              </w:rPr>
              <w:t>4.00</w:t>
            </w:r>
          </w:p>
        </w:tc>
      </w:tr>
      <w:tr w:rsidR="00415F26" w:rsidRPr="009F7D1D" w14:paraId="7DD6E09D" w14:textId="77777777" w:rsidTr="008B1AAC">
        <w:trPr>
          <w:trHeight w:val="288"/>
          <w:jc w:val="center"/>
        </w:trPr>
        <w:tc>
          <w:tcPr>
            <w:tcW w:w="481" w:type="pct"/>
            <w:tcBorders>
              <w:top w:val="nil"/>
              <w:bottom w:val="nil"/>
            </w:tcBorders>
            <w:shd w:val="clear" w:color="auto" w:fill="auto"/>
            <w:noWrap/>
            <w:vAlign w:val="center"/>
            <w:hideMark/>
          </w:tcPr>
          <w:p w14:paraId="02A3124B" w14:textId="77777777" w:rsidR="006334B9" w:rsidRPr="00576751" w:rsidRDefault="006334B9" w:rsidP="00576751">
            <w:pPr>
              <w:pStyle w:val="ExhibitText"/>
              <w:jc w:val="center"/>
              <w:rPr>
                <w:sz w:val="18"/>
                <w:szCs w:val="18"/>
                <w:lang w:eastAsia="zh-CN"/>
              </w:rPr>
            </w:pPr>
            <w:r w:rsidRPr="00576751">
              <w:rPr>
                <w:sz w:val="18"/>
                <w:szCs w:val="18"/>
                <w:lang w:eastAsia="zh-CN"/>
              </w:rPr>
              <w:t>2010</w:t>
            </w:r>
          </w:p>
        </w:tc>
        <w:tc>
          <w:tcPr>
            <w:tcW w:w="745" w:type="pct"/>
            <w:tcBorders>
              <w:top w:val="nil"/>
              <w:bottom w:val="nil"/>
            </w:tcBorders>
            <w:shd w:val="clear" w:color="auto" w:fill="auto"/>
            <w:noWrap/>
            <w:tcMar>
              <w:right w:w="360" w:type="dxa"/>
            </w:tcMar>
            <w:vAlign w:val="center"/>
            <w:hideMark/>
          </w:tcPr>
          <w:p w14:paraId="45017DA5" w14:textId="68C6FBB1" w:rsidR="006334B9" w:rsidRPr="00576751" w:rsidRDefault="006334B9" w:rsidP="00576751">
            <w:pPr>
              <w:pStyle w:val="ExhibitText"/>
              <w:adjustRightInd w:val="0"/>
              <w:jc w:val="right"/>
              <w:rPr>
                <w:sz w:val="18"/>
                <w:szCs w:val="18"/>
              </w:rPr>
            </w:pPr>
            <w:r w:rsidRPr="00576751">
              <w:rPr>
                <w:sz w:val="18"/>
                <w:szCs w:val="18"/>
              </w:rPr>
              <w:t>15.36</w:t>
            </w:r>
          </w:p>
        </w:tc>
        <w:tc>
          <w:tcPr>
            <w:tcW w:w="755" w:type="pct"/>
            <w:tcBorders>
              <w:top w:val="nil"/>
              <w:bottom w:val="nil"/>
            </w:tcBorders>
            <w:shd w:val="clear" w:color="auto" w:fill="auto"/>
            <w:noWrap/>
            <w:tcMar>
              <w:right w:w="360" w:type="dxa"/>
            </w:tcMar>
            <w:vAlign w:val="center"/>
            <w:hideMark/>
          </w:tcPr>
          <w:p w14:paraId="653DF7D6" w14:textId="6A252A1C" w:rsidR="006334B9" w:rsidRPr="00576751" w:rsidRDefault="00B41D82" w:rsidP="00576751">
            <w:pPr>
              <w:pStyle w:val="ExhibitText"/>
              <w:adjustRightInd w:val="0"/>
              <w:jc w:val="right"/>
              <w:rPr>
                <w:sz w:val="18"/>
                <w:szCs w:val="18"/>
              </w:rPr>
            </w:pPr>
            <w:r>
              <w:rPr>
                <w:sz w:val="18"/>
                <w:szCs w:val="18"/>
              </w:rPr>
              <w:t>–</w:t>
            </w:r>
          </w:p>
        </w:tc>
        <w:tc>
          <w:tcPr>
            <w:tcW w:w="755" w:type="pct"/>
            <w:tcBorders>
              <w:top w:val="nil"/>
              <w:bottom w:val="nil"/>
            </w:tcBorders>
            <w:shd w:val="clear" w:color="auto" w:fill="auto"/>
            <w:noWrap/>
            <w:tcMar>
              <w:right w:w="360" w:type="dxa"/>
            </w:tcMar>
            <w:vAlign w:val="center"/>
            <w:hideMark/>
          </w:tcPr>
          <w:p w14:paraId="1559B5DF" w14:textId="686F7517" w:rsidR="006334B9" w:rsidRPr="00576751" w:rsidRDefault="006334B9" w:rsidP="00576751">
            <w:pPr>
              <w:pStyle w:val="ExhibitText"/>
              <w:adjustRightInd w:val="0"/>
              <w:jc w:val="right"/>
              <w:rPr>
                <w:sz w:val="18"/>
                <w:szCs w:val="18"/>
              </w:rPr>
            </w:pPr>
            <w:r w:rsidRPr="00576751">
              <w:rPr>
                <w:sz w:val="18"/>
                <w:szCs w:val="18"/>
              </w:rPr>
              <w:t>0.12</w:t>
            </w:r>
          </w:p>
        </w:tc>
        <w:tc>
          <w:tcPr>
            <w:tcW w:w="755" w:type="pct"/>
            <w:tcBorders>
              <w:top w:val="nil"/>
              <w:bottom w:val="nil"/>
            </w:tcBorders>
            <w:shd w:val="clear" w:color="auto" w:fill="auto"/>
            <w:noWrap/>
            <w:tcMar>
              <w:right w:w="360" w:type="dxa"/>
            </w:tcMar>
            <w:vAlign w:val="center"/>
            <w:hideMark/>
          </w:tcPr>
          <w:p w14:paraId="2DA2D96B" w14:textId="2ECD7068" w:rsidR="006334B9" w:rsidRPr="00576751" w:rsidRDefault="00B41D82" w:rsidP="00576751">
            <w:pPr>
              <w:pStyle w:val="ExhibitText"/>
              <w:adjustRightInd w:val="0"/>
              <w:jc w:val="right"/>
              <w:rPr>
                <w:sz w:val="18"/>
                <w:szCs w:val="18"/>
              </w:rPr>
            </w:pPr>
            <w:r>
              <w:rPr>
                <w:sz w:val="18"/>
                <w:szCs w:val="18"/>
              </w:rPr>
              <w:t>–</w:t>
            </w:r>
          </w:p>
        </w:tc>
        <w:tc>
          <w:tcPr>
            <w:tcW w:w="755" w:type="pct"/>
            <w:tcBorders>
              <w:top w:val="nil"/>
              <w:bottom w:val="nil"/>
            </w:tcBorders>
            <w:shd w:val="clear" w:color="auto" w:fill="auto"/>
            <w:noWrap/>
            <w:tcMar>
              <w:right w:w="360" w:type="dxa"/>
            </w:tcMar>
            <w:vAlign w:val="center"/>
            <w:hideMark/>
          </w:tcPr>
          <w:p w14:paraId="5B7BBA8E" w14:textId="0CEBF635" w:rsidR="006334B9" w:rsidRPr="00576751" w:rsidRDefault="006334B9" w:rsidP="00576751">
            <w:pPr>
              <w:pStyle w:val="ExhibitText"/>
              <w:adjustRightInd w:val="0"/>
              <w:jc w:val="right"/>
              <w:rPr>
                <w:sz w:val="18"/>
                <w:szCs w:val="18"/>
              </w:rPr>
            </w:pPr>
            <w:r w:rsidRPr="00576751">
              <w:rPr>
                <w:sz w:val="18"/>
                <w:szCs w:val="18"/>
              </w:rPr>
              <w:t>0.12</w:t>
            </w:r>
          </w:p>
        </w:tc>
        <w:tc>
          <w:tcPr>
            <w:tcW w:w="754" w:type="pct"/>
            <w:tcBorders>
              <w:top w:val="nil"/>
              <w:bottom w:val="nil"/>
            </w:tcBorders>
            <w:shd w:val="clear" w:color="auto" w:fill="auto"/>
            <w:noWrap/>
            <w:tcMar>
              <w:right w:w="360" w:type="dxa"/>
            </w:tcMar>
            <w:vAlign w:val="center"/>
            <w:hideMark/>
          </w:tcPr>
          <w:p w14:paraId="34B0CDE0" w14:textId="0CA3727E" w:rsidR="006334B9" w:rsidRPr="00576751" w:rsidRDefault="006334B9" w:rsidP="00576751">
            <w:pPr>
              <w:pStyle w:val="ExhibitText"/>
              <w:adjustRightInd w:val="0"/>
              <w:jc w:val="right"/>
              <w:rPr>
                <w:sz w:val="18"/>
                <w:szCs w:val="18"/>
              </w:rPr>
            </w:pPr>
            <w:r w:rsidRPr="00576751">
              <w:rPr>
                <w:sz w:val="18"/>
                <w:szCs w:val="18"/>
              </w:rPr>
              <w:t>0.78</w:t>
            </w:r>
          </w:p>
        </w:tc>
      </w:tr>
      <w:tr w:rsidR="00415F26" w:rsidRPr="009F7D1D" w14:paraId="54DDCBC4" w14:textId="77777777" w:rsidTr="008B1AAC">
        <w:trPr>
          <w:trHeight w:val="288"/>
          <w:jc w:val="center"/>
        </w:trPr>
        <w:tc>
          <w:tcPr>
            <w:tcW w:w="481" w:type="pct"/>
            <w:tcBorders>
              <w:top w:val="nil"/>
              <w:bottom w:val="nil"/>
            </w:tcBorders>
            <w:shd w:val="clear" w:color="auto" w:fill="auto"/>
            <w:noWrap/>
            <w:vAlign w:val="center"/>
            <w:hideMark/>
          </w:tcPr>
          <w:p w14:paraId="3773E9DC" w14:textId="77777777" w:rsidR="006334B9" w:rsidRPr="00576751" w:rsidRDefault="006334B9" w:rsidP="00576751">
            <w:pPr>
              <w:pStyle w:val="ExhibitText"/>
              <w:jc w:val="center"/>
              <w:rPr>
                <w:sz w:val="18"/>
                <w:szCs w:val="18"/>
                <w:lang w:eastAsia="zh-CN"/>
              </w:rPr>
            </w:pPr>
            <w:r w:rsidRPr="00576751">
              <w:rPr>
                <w:sz w:val="18"/>
                <w:szCs w:val="18"/>
                <w:lang w:eastAsia="zh-CN"/>
              </w:rPr>
              <w:t>2011</w:t>
            </w:r>
          </w:p>
        </w:tc>
        <w:tc>
          <w:tcPr>
            <w:tcW w:w="745" w:type="pct"/>
            <w:tcBorders>
              <w:top w:val="nil"/>
              <w:bottom w:val="nil"/>
            </w:tcBorders>
            <w:shd w:val="clear" w:color="auto" w:fill="auto"/>
            <w:noWrap/>
            <w:tcMar>
              <w:right w:w="360" w:type="dxa"/>
            </w:tcMar>
            <w:vAlign w:val="center"/>
            <w:hideMark/>
          </w:tcPr>
          <w:p w14:paraId="74DF7C74" w14:textId="68805378" w:rsidR="006334B9" w:rsidRPr="00576751" w:rsidRDefault="006334B9" w:rsidP="00576751">
            <w:pPr>
              <w:pStyle w:val="ExhibitText"/>
              <w:adjustRightInd w:val="0"/>
              <w:jc w:val="right"/>
              <w:rPr>
                <w:sz w:val="18"/>
                <w:szCs w:val="18"/>
              </w:rPr>
            </w:pPr>
            <w:r w:rsidRPr="00576751">
              <w:rPr>
                <w:sz w:val="18"/>
                <w:szCs w:val="18"/>
              </w:rPr>
              <w:t>13.68</w:t>
            </w:r>
          </w:p>
        </w:tc>
        <w:tc>
          <w:tcPr>
            <w:tcW w:w="755" w:type="pct"/>
            <w:tcBorders>
              <w:top w:val="nil"/>
              <w:bottom w:val="nil"/>
            </w:tcBorders>
            <w:shd w:val="clear" w:color="auto" w:fill="auto"/>
            <w:noWrap/>
            <w:tcMar>
              <w:right w:w="360" w:type="dxa"/>
            </w:tcMar>
            <w:vAlign w:val="center"/>
            <w:hideMark/>
          </w:tcPr>
          <w:p w14:paraId="3CB65EAF" w14:textId="457A607F" w:rsidR="006334B9" w:rsidRPr="00576751" w:rsidRDefault="006334B9" w:rsidP="00576751">
            <w:pPr>
              <w:pStyle w:val="ExhibitText"/>
              <w:adjustRightInd w:val="0"/>
              <w:jc w:val="right"/>
              <w:rPr>
                <w:sz w:val="18"/>
                <w:szCs w:val="18"/>
              </w:rPr>
            </w:pPr>
            <w:r w:rsidRPr="00576751">
              <w:rPr>
                <w:sz w:val="18"/>
                <w:szCs w:val="18"/>
              </w:rPr>
              <w:t>0.20</w:t>
            </w:r>
          </w:p>
        </w:tc>
        <w:tc>
          <w:tcPr>
            <w:tcW w:w="755" w:type="pct"/>
            <w:tcBorders>
              <w:top w:val="nil"/>
              <w:bottom w:val="nil"/>
            </w:tcBorders>
            <w:shd w:val="clear" w:color="auto" w:fill="auto"/>
            <w:noWrap/>
            <w:tcMar>
              <w:right w:w="360" w:type="dxa"/>
            </w:tcMar>
            <w:vAlign w:val="center"/>
            <w:hideMark/>
          </w:tcPr>
          <w:p w14:paraId="3B5B32D2" w14:textId="3889B554" w:rsidR="006334B9" w:rsidRPr="00576751" w:rsidRDefault="006334B9" w:rsidP="00576751">
            <w:pPr>
              <w:pStyle w:val="ExhibitText"/>
              <w:adjustRightInd w:val="0"/>
              <w:jc w:val="right"/>
              <w:rPr>
                <w:sz w:val="18"/>
                <w:szCs w:val="18"/>
              </w:rPr>
            </w:pPr>
            <w:r w:rsidRPr="00576751">
              <w:rPr>
                <w:sz w:val="18"/>
                <w:szCs w:val="18"/>
              </w:rPr>
              <w:t>0.40</w:t>
            </w:r>
          </w:p>
        </w:tc>
        <w:tc>
          <w:tcPr>
            <w:tcW w:w="755" w:type="pct"/>
            <w:tcBorders>
              <w:top w:val="nil"/>
              <w:bottom w:val="nil"/>
            </w:tcBorders>
            <w:shd w:val="clear" w:color="auto" w:fill="auto"/>
            <w:noWrap/>
            <w:tcMar>
              <w:right w:w="360" w:type="dxa"/>
            </w:tcMar>
            <w:vAlign w:val="center"/>
            <w:hideMark/>
          </w:tcPr>
          <w:p w14:paraId="34B97490" w14:textId="513195D5" w:rsidR="006334B9" w:rsidRPr="00576751" w:rsidRDefault="006334B9" w:rsidP="00576751">
            <w:pPr>
              <w:pStyle w:val="ExhibitText"/>
              <w:adjustRightInd w:val="0"/>
              <w:jc w:val="right"/>
              <w:rPr>
                <w:sz w:val="18"/>
                <w:szCs w:val="18"/>
              </w:rPr>
            </w:pPr>
            <w:r w:rsidRPr="00576751">
              <w:rPr>
                <w:sz w:val="18"/>
                <w:szCs w:val="18"/>
              </w:rPr>
              <w:t>0.80</w:t>
            </w:r>
          </w:p>
        </w:tc>
        <w:tc>
          <w:tcPr>
            <w:tcW w:w="755" w:type="pct"/>
            <w:tcBorders>
              <w:top w:val="nil"/>
              <w:bottom w:val="nil"/>
            </w:tcBorders>
            <w:shd w:val="clear" w:color="auto" w:fill="auto"/>
            <w:noWrap/>
            <w:tcMar>
              <w:right w:w="360" w:type="dxa"/>
            </w:tcMar>
            <w:vAlign w:val="center"/>
            <w:hideMark/>
          </w:tcPr>
          <w:p w14:paraId="49B97CB9" w14:textId="2512C931" w:rsidR="006334B9" w:rsidRPr="00576751" w:rsidRDefault="006334B9" w:rsidP="00576751">
            <w:pPr>
              <w:pStyle w:val="ExhibitText"/>
              <w:adjustRightInd w:val="0"/>
              <w:jc w:val="right"/>
              <w:rPr>
                <w:sz w:val="18"/>
                <w:szCs w:val="18"/>
              </w:rPr>
            </w:pPr>
            <w:r w:rsidRPr="00576751">
              <w:rPr>
                <w:sz w:val="18"/>
                <w:szCs w:val="18"/>
              </w:rPr>
              <w:t>1.40</w:t>
            </w:r>
          </w:p>
        </w:tc>
        <w:tc>
          <w:tcPr>
            <w:tcW w:w="754" w:type="pct"/>
            <w:tcBorders>
              <w:top w:val="nil"/>
              <w:bottom w:val="nil"/>
            </w:tcBorders>
            <w:shd w:val="clear" w:color="auto" w:fill="auto"/>
            <w:noWrap/>
            <w:tcMar>
              <w:right w:w="360" w:type="dxa"/>
            </w:tcMar>
            <w:vAlign w:val="center"/>
            <w:hideMark/>
          </w:tcPr>
          <w:p w14:paraId="6BF298D3" w14:textId="756BF5CE" w:rsidR="006334B9" w:rsidRPr="00576751" w:rsidRDefault="006334B9" w:rsidP="00576751">
            <w:pPr>
              <w:pStyle w:val="ExhibitText"/>
              <w:adjustRightInd w:val="0"/>
              <w:jc w:val="right"/>
              <w:rPr>
                <w:sz w:val="18"/>
                <w:szCs w:val="18"/>
              </w:rPr>
            </w:pPr>
            <w:r w:rsidRPr="00576751">
              <w:rPr>
                <w:sz w:val="18"/>
                <w:szCs w:val="18"/>
              </w:rPr>
              <w:t>10.23</w:t>
            </w:r>
          </w:p>
        </w:tc>
      </w:tr>
      <w:tr w:rsidR="00415F26" w:rsidRPr="009F7D1D" w14:paraId="67557F12" w14:textId="77777777" w:rsidTr="008B1AAC">
        <w:trPr>
          <w:trHeight w:val="288"/>
          <w:jc w:val="center"/>
        </w:trPr>
        <w:tc>
          <w:tcPr>
            <w:tcW w:w="481" w:type="pct"/>
            <w:tcBorders>
              <w:top w:val="nil"/>
              <w:bottom w:val="nil"/>
            </w:tcBorders>
            <w:shd w:val="clear" w:color="auto" w:fill="auto"/>
            <w:noWrap/>
            <w:vAlign w:val="center"/>
            <w:hideMark/>
          </w:tcPr>
          <w:p w14:paraId="5BDEF472" w14:textId="77777777" w:rsidR="006334B9" w:rsidRPr="00576751" w:rsidRDefault="006334B9" w:rsidP="00576751">
            <w:pPr>
              <w:pStyle w:val="ExhibitText"/>
              <w:jc w:val="center"/>
              <w:rPr>
                <w:sz w:val="18"/>
                <w:szCs w:val="18"/>
                <w:lang w:eastAsia="zh-CN"/>
              </w:rPr>
            </w:pPr>
            <w:r w:rsidRPr="00576751">
              <w:rPr>
                <w:sz w:val="18"/>
                <w:szCs w:val="18"/>
                <w:lang w:eastAsia="zh-CN"/>
              </w:rPr>
              <w:t>2012</w:t>
            </w:r>
          </w:p>
        </w:tc>
        <w:tc>
          <w:tcPr>
            <w:tcW w:w="745" w:type="pct"/>
            <w:tcBorders>
              <w:top w:val="nil"/>
              <w:bottom w:val="nil"/>
            </w:tcBorders>
            <w:shd w:val="clear" w:color="auto" w:fill="auto"/>
            <w:noWrap/>
            <w:tcMar>
              <w:right w:w="360" w:type="dxa"/>
            </w:tcMar>
            <w:vAlign w:val="center"/>
            <w:hideMark/>
          </w:tcPr>
          <w:p w14:paraId="135495E1" w14:textId="5DCFB253" w:rsidR="006334B9" w:rsidRPr="00576751" w:rsidRDefault="006334B9" w:rsidP="00576751">
            <w:pPr>
              <w:pStyle w:val="ExhibitText"/>
              <w:adjustRightInd w:val="0"/>
              <w:jc w:val="right"/>
              <w:rPr>
                <w:sz w:val="18"/>
                <w:szCs w:val="18"/>
              </w:rPr>
            </w:pPr>
            <w:r w:rsidRPr="00576751">
              <w:rPr>
                <w:sz w:val="18"/>
                <w:szCs w:val="18"/>
              </w:rPr>
              <w:t>10.77</w:t>
            </w:r>
          </w:p>
        </w:tc>
        <w:tc>
          <w:tcPr>
            <w:tcW w:w="755" w:type="pct"/>
            <w:tcBorders>
              <w:top w:val="nil"/>
              <w:bottom w:val="nil"/>
            </w:tcBorders>
            <w:shd w:val="clear" w:color="auto" w:fill="auto"/>
            <w:noWrap/>
            <w:tcMar>
              <w:right w:w="360" w:type="dxa"/>
            </w:tcMar>
            <w:vAlign w:val="center"/>
            <w:hideMark/>
          </w:tcPr>
          <w:p w14:paraId="2F0691C3" w14:textId="01396300" w:rsidR="006334B9" w:rsidRPr="00576751" w:rsidRDefault="006334B9" w:rsidP="00576751">
            <w:pPr>
              <w:pStyle w:val="ExhibitText"/>
              <w:adjustRightInd w:val="0"/>
              <w:jc w:val="right"/>
              <w:rPr>
                <w:sz w:val="18"/>
                <w:szCs w:val="18"/>
              </w:rPr>
            </w:pPr>
            <w:r w:rsidRPr="00576751">
              <w:rPr>
                <w:sz w:val="18"/>
                <w:szCs w:val="18"/>
              </w:rPr>
              <w:t>0.10</w:t>
            </w:r>
          </w:p>
        </w:tc>
        <w:tc>
          <w:tcPr>
            <w:tcW w:w="755" w:type="pct"/>
            <w:tcBorders>
              <w:top w:val="nil"/>
              <w:bottom w:val="nil"/>
            </w:tcBorders>
            <w:shd w:val="clear" w:color="auto" w:fill="auto"/>
            <w:noWrap/>
            <w:tcMar>
              <w:right w:w="360" w:type="dxa"/>
            </w:tcMar>
            <w:vAlign w:val="center"/>
            <w:hideMark/>
          </w:tcPr>
          <w:p w14:paraId="2A12A215" w14:textId="02B8D8E5" w:rsidR="006334B9" w:rsidRPr="00576751" w:rsidRDefault="006334B9" w:rsidP="00576751">
            <w:pPr>
              <w:pStyle w:val="ExhibitText"/>
              <w:adjustRightInd w:val="0"/>
              <w:jc w:val="right"/>
              <w:rPr>
                <w:sz w:val="18"/>
                <w:szCs w:val="18"/>
              </w:rPr>
            </w:pPr>
            <w:r w:rsidRPr="00576751">
              <w:rPr>
                <w:sz w:val="18"/>
                <w:szCs w:val="18"/>
              </w:rPr>
              <w:t>0.10</w:t>
            </w:r>
          </w:p>
        </w:tc>
        <w:tc>
          <w:tcPr>
            <w:tcW w:w="755" w:type="pct"/>
            <w:tcBorders>
              <w:top w:val="nil"/>
              <w:bottom w:val="nil"/>
            </w:tcBorders>
            <w:shd w:val="clear" w:color="auto" w:fill="auto"/>
            <w:noWrap/>
            <w:tcMar>
              <w:right w:w="360" w:type="dxa"/>
            </w:tcMar>
            <w:vAlign w:val="center"/>
            <w:hideMark/>
          </w:tcPr>
          <w:p w14:paraId="27E0DAF8" w14:textId="1A5DFF67" w:rsidR="006334B9" w:rsidRPr="00576751" w:rsidRDefault="00B41D82" w:rsidP="00576751">
            <w:pPr>
              <w:pStyle w:val="ExhibitText"/>
              <w:adjustRightInd w:val="0"/>
              <w:jc w:val="right"/>
              <w:rPr>
                <w:sz w:val="18"/>
                <w:szCs w:val="18"/>
              </w:rPr>
            </w:pPr>
            <w:r>
              <w:rPr>
                <w:sz w:val="18"/>
                <w:szCs w:val="18"/>
              </w:rPr>
              <w:t>–</w:t>
            </w:r>
          </w:p>
        </w:tc>
        <w:tc>
          <w:tcPr>
            <w:tcW w:w="755" w:type="pct"/>
            <w:tcBorders>
              <w:top w:val="nil"/>
              <w:bottom w:val="nil"/>
            </w:tcBorders>
            <w:shd w:val="clear" w:color="auto" w:fill="auto"/>
            <w:noWrap/>
            <w:tcMar>
              <w:right w:w="360" w:type="dxa"/>
            </w:tcMar>
            <w:vAlign w:val="center"/>
            <w:hideMark/>
          </w:tcPr>
          <w:p w14:paraId="783D1FAD" w14:textId="682CD926" w:rsidR="006334B9" w:rsidRPr="00576751" w:rsidRDefault="006334B9" w:rsidP="00576751">
            <w:pPr>
              <w:pStyle w:val="ExhibitText"/>
              <w:adjustRightInd w:val="0"/>
              <w:jc w:val="right"/>
              <w:rPr>
                <w:sz w:val="18"/>
                <w:szCs w:val="18"/>
              </w:rPr>
            </w:pPr>
            <w:r w:rsidRPr="00576751">
              <w:rPr>
                <w:sz w:val="18"/>
                <w:szCs w:val="18"/>
              </w:rPr>
              <w:t>0.20</w:t>
            </w:r>
          </w:p>
        </w:tc>
        <w:tc>
          <w:tcPr>
            <w:tcW w:w="754" w:type="pct"/>
            <w:tcBorders>
              <w:top w:val="nil"/>
              <w:bottom w:val="nil"/>
            </w:tcBorders>
            <w:shd w:val="clear" w:color="auto" w:fill="auto"/>
            <w:noWrap/>
            <w:tcMar>
              <w:right w:w="360" w:type="dxa"/>
            </w:tcMar>
            <w:vAlign w:val="center"/>
            <w:hideMark/>
          </w:tcPr>
          <w:p w14:paraId="5BF529E8" w14:textId="2D2A17E7" w:rsidR="006334B9" w:rsidRPr="00576751" w:rsidRDefault="006334B9" w:rsidP="00576751">
            <w:pPr>
              <w:pStyle w:val="ExhibitText"/>
              <w:adjustRightInd w:val="0"/>
              <w:jc w:val="right"/>
              <w:rPr>
                <w:sz w:val="18"/>
                <w:szCs w:val="18"/>
              </w:rPr>
            </w:pPr>
            <w:r w:rsidRPr="00576751">
              <w:rPr>
                <w:sz w:val="18"/>
                <w:szCs w:val="18"/>
              </w:rPr>
              <w:t>1.86</w:t>
            </w:r>
          </w:p>
        </w:tc>
      </w:tr>
      <w:tr w:rsidR="00415F26" w:rsidRPr="009F7D1D" w14:paraId="47EF3A0A" w14:textId="77777777" w:rsidTr="008B1AAC">
        <w:trPr>
          <w:trHeight w:val="288"/>
          <w:jc w:val="center"/>
        </w:trPr>
        <w:tc>
          <w:tcPr>
            <w:tcW w:w="481" w:type="pct"/>
            <w:tcBorders>
              <w:top w:val="nil"/>
              <w:bottom w:val="nil"/>
            </w:tcBorders>
            <w:shd w:val="clear" w:color="auto" w:fill="auto"/>
            <w:noWrap/>
            <w:vAlign w:val="center"/>
            <w:hideMark/>
          </w:tcPr>
          <w:p w14:paraId="55F8D4EB" w14:textId="77777777" w:rsidR="006334B9" w:rsidRPr="00576751" w:rsidRDefault="006334B9" w:rsidP="00576751">
            <w:pPr>
              <w:pStyle w:val="ExhibitText"/>
              <w:jc w:val="center"/>
              <w:rPr>
                <w:sz w:val="18"/>
                <w:szCs w:val="18"/>
                <w:lang w:eastAsia="zh-CN"/>
              </w:rPr>
            </w:pPr>
            <w:r w:rsidRPr="00576751">
              <w:rPr>
                <w:sz w:val="18"/>
                <w:szCs w:val="18"/>
                <w:lang w:eastAsia="zh-CN"/>
              </w:rPr>
              <w:t>2013</w:t>
            </w:r>
          </w:p>
        </w:tc>
        <w:tc>
          <w:tcPr>
            <w:tcW w:w="745" w:type="pct"/>
            <w:tcBorders>
              <w:top w:val="nil"/>
              <w:bottom w:val="nil"/>
            </w:tcBorders>
            <w:shd w:val="clear" w:color="auto" w:fill="auto"/>
            <w:noWrap/>
            <w:tcMar>
              <w:right w:w="360" w:type="dxa"/>
            </w:tcMar>
            <w:vAlign w:val="center"/>
            <w:hideMark/>
          </w:tcPr>
          <w:p w14:paraId="460D0D1E" w14:textId="04A9952C" w:rsidR="006334B9" w:rsidRPr="00576751" w:rsidRDefault="006334B9" w:rsidP="00576751">
            <w:pPr>
              <w:pStyle w:val="ExhibitText"/>
              <w:adjustRightInd w:val="0"/>
              <w:jc w:val="right"/>
              <w:rPr>
                <w:sz w:val="18"/>
                <w:szCs w:val="18"/>
              </w:rPr>
            </w:pPr>
            <w:r w:rsidRPr="00576751">
              <w:rPr>
                <w:sz w:val="18"/>
                <w:szCs w:val="18"/>
              </w:rPr>
              <w:t>10.87</w:t>
            </w:r>
          </w:p>
        </w:tc>
        <w:tc>
          <w:tcPr>
            <w:tcW w:w="755" w:type="pct"/>
            <w:tcBorders>
              <w:top w:val="nil"/>
              <w:bottom w:val="nil"/>
            </w:tcBorders>
            <w:shd w:val="clear" w:color="auto" w:fill="auto"/>
            <w:noWrap/>
            <w:tcMar>
              <w:right w:w="360" w:type="dxa"/>
            </w:tcMar>
            <w:vAlign w:val="center"/>
            <w:hideMark/>
          </w:tcPr>
          <w:p w14:paraId="7DBD1841" w14:textId="540DEC30" w:rsidR="006334B9" w:rsidRPr="00576751" w:rsidRDefault="006334B9" w:rsidP="00576751">
            <w:pPr>
              <w:pStyle w:val="ExhibitText"/>
              <w:adjustRightInd w:val="0"/>
              <w:jc w:val="right"/>
              <w:rPr>
                <w:sz w:val="18"/>
                <w:szCs w:val="18"/>
              </w:rPr>
            </w:pPr>
            <w:r w:rsidRPr="00576751">
              <w:rPr>
                <w:sz w:val="18"/>
                <w:szCs w:val="18"/>
              </w:rPr>
              <w:t>0.06</w:t>
            </w:r>
          </w:p>
        </w:tc>
        <w:tc>
          <w:tcPr>
            <w:tcW w:w="755" w:type="pct"/>
            <w:tcBorders>
              <w:top w:val="nil"/>
              <w:bottom w:val="nil"/>
            </w:tcBorders>
            <w:shd w:val="clear" w:color="auto" w:fill="auto"/>
            <w:noWrap/>
            <w:tcMar>
              <w:right w:w="360" w:type="dxa"/>
            </w:tcMar>
            <w:vAlign w:val="center"/>
            <w:hideMark/>
          </w:tcPr>
          <w:p w14:paraId="5A586614" w14:textId="451A813E" w:rsidR="006334B9" w:rsidRPr="00576751" w:rsidRDefault="006334B9" w:rsidP="00576751">
            <w:pPr>
              <w:pStyle w:val="ExhibitText"/>
              <w:adjustRightInd w:val="0"/>
              <w:jc w:val="right"/>
              <w:rPr>
                <w:sz w:val="18"/>
                <w:szCs w:val="18"/>
              </w:rPr>
            </w:pPr>
            <w:r w:rsidRPr="00576751">
              <w:rPr>
                <w:sz w:val="18"/>
                <w:szCs w:val="18"/>
              </w:rPr>
              <w:t>0.17</w:t>
            </w:r>
          </w:p>
        </w:tc>
        <w:tc>
          <w:tcPr>
            <w:tcW w:w="755" w:type="pct"/>
            <w:tcBorders>
              <w:top w:val="nil"/>
              <w:bottom w:val="nil"/>
            </w:tcBorders>
            <w:shd w:val="clear" w:color="auto" w:fill="auto"/>
            <w:noWrap/>
            <w:tcMar>
              <w:right w:w="360" w:type="dxa"/>
            </w:tcMar>
            <w:vAlign w:val="center"/>
            <w:hideMark/>
          </w:tcPr>
          <w:p w14:paraId="0C50FFD6" w14:textId="231BE00C" w:rsidR="006334B9" w:rsidRPr="00576751" w:rsidRDefault="00B41D82" w:rsidP="00576751">
            <w:pPr>
              <w:pStyle w:val="ExhibitText"/>
              <w:adjustRightInd w:val="0"/>
              <w:jc w:val="right"/>
              <w:rPr>
                <w:sz w:val="18"/>
                <w:szCs w:val="18"/>
              </w:rPr>
            </w:pPr>
            <w:r>
              <w:rPr>
                <w:sz w:val="18"/>
                <w:szCs w:val="18"/>
              </w:rPr>
              <w:t>–</w:t>
            </w:r>
          </w:p>
        </w:tc>
        <w:tc>
          <w:tcPr>
            <w:tcW w:w="755" w:type="pct"/>
            <w:tcBorders>
              <w:top w:val="nil"/>
              <w:bottom w:val="nil"/>
            </w:tcBorders>
            <w:shd w:val="clear" w:color="auto" w:fill="auto"/>
            <w:noWrap/>
            <w:tcMar>
              <w:right w:w="360" w:type="dxa"/>
            </w:tcMar>
            <w:vAlign w:val="center"/>
            <w:hideMark/>
          </w:tcPr>
          <w:p w14:paraId="1A735DCE" w14:textId="472B044C" w:rsidR="006334B9" w:rsidRPr="00576751" w:rsidRDefault="006334B9" w:rsidP="00576751">
            <w:pPr>
              <w:pStyle w:val="ExhibitText"/>
              <w:adjustRightInd w:val="0"/>
              <w:jc w:val="right"/>
              <w:rPr>
                <w:sz w:val="18"/>
                <w:szCs w:val="18"/>
              </w:rPr>
            </w:pPr>
            <w:r w:rsidRPr="00576751">
              <w:rPr>
                <w:sz w:val="18"/>
                <w:szCs w:val="18"/>
              </w:rPr>
              <w:t>0.23</w:t>
            </w:r>
          </w:p>
        </w:tc>
        <w:tc>
          <w:tcPr>
            <w:tcW w:w="754" w:type="pct"/>
            <w:tcBorders>
              <w:top w:val="nil"/>
              <w:bottom w:val="nil"/>
            </w:tcBorders>
            <w:shd w:val="clear" w:color="auto" w:fill="auto"/>
            <w:noWrap/>
            <w:tcMar>
              <w:right w:w="360" w:type="dxa"/>
            </w:tcMar>
            <w:vAlign w:val="center"/>
            <w:hideMark/>
          </w:tcPr>
          <w:p w14:paraId="56E26FFE" w14:textId="36087175" w:rsidR="006334B9" w:rsidRPr="00576751" w:rsidRDefault="006334B9" w:rsidP="00576751">
            <w:pPr>
              <w:pStyle w:val="ExhibitText"/>
              <w:adjustRightInd w:val="0"/>
              <w:jc w:val="right"/>
              <w:rPr>
                <w:sz w:val="18"/>
                <w:szCs w:val="18"/>
              </w:rPr>
            </w:pPr>
            <w:r w:rsidRPr="00576751">
              <w:rPr>
                <w:sz w:val="18"/>
                <w:szCs w:val="18"/>
              </w:rPr>
              <w:t>2.12</w:t>
            </w:r>
          </w:p>
        </w:tc>
      </w:tr>
      <w:tr w:rsidR="00415F26" w:rsidRPr="009F7D1D" w14:paraId="457568F9" w14:textId="77777777" w:rsidTr="008B1AAC">
        <w:trPr>
          <w:trHeight w:val="288"/>
          <w:jc w:val="center"/>
        </w:trPr>
        <w:tc>
          <w:tcPr>
            <w:tcW w:w="481" w:type="pct"/>
            <w:tcBorders>
              <w:top w:val="nil"/>
              <w:bottom w:val="nil"/>
            </w:tcBorders>
            <w:shd w:val="clear" w:color="auto" w:fill="auto"/>
            <w:noWrap/>
            <w:vAlign w:val="center"/>
            <w:hideMark/>
          </w:tcPr>
          <w:p w14:paraId="3F927882" w14:textId="77777777" w:rsidR="006334B9" w:rsidRPr="00576751" w:rsidRDefault="006334B9" w:rsidP="00576751">
            <w:pPr>
              <w:pStyle w:val="ExhibitText"/>
              <w:jc w:val="center"/>
              <w:rPr>
                <w:sz w:val="18"/>
                <w:szCs w:val="18"/>
                <w:lang w:eastAsia="zh-CN"/>
              </w:rPr>
            </w:pPr>
            <w:r w:rsidRPr="00576751">
              <w:rPr>
                <w:sz w:val="18"/>
                <w:szCs w:val="18"/>
                <w:lang w:eastAsia="zh-CN"/>
              </w:rPr>
              <w:t>2014</w:t>
            </w:r>
          </w:p>
        </w:tc>
        <w:tc>
          <w:tcPr>
            <w:tcW w:w="745" w:type="pct"/>
            <w:tcBorders>
              <w:top w:val="nil"/>
              <w:bottom w:val="nil"/>
            </w:tcBorders>
            <w:shd w:val="clear" w:color="auto" w:fill="auto"/>
            <w:noWrap/>
            <w:tcMar>
              <w:right w:w="360" w:type="dxa"/>
            </w:tcMar>
            <w:vAlign w:val="center"/>
            <w:hideMark/>
          </w:tcPr>
          <w:p w14:paraId="7125FC20" w14:textId="2A1361B1" w:rsidR="006334B9" w:rsidRPr="00576751" w:rsidRDefault="006334B9" w:rsidP="00576751">
            <w:pPr>
              <w:pStyle w:val="ExhibitText"/>
              <w:adjustRightInd w:val="0"/>
              <w:jc w:val="right"/>
              <w:rPr>
                <w:sz w:val="18"/>
                <w:szCs w:val="18"/>
              </w:rPr>
            </w:pPr>
            <w:r w:rsidRPr="00576751">
              <w:rPr>
                <w:sz w:val="18"/>
                <w:szCs w:val="18"/>
              </w:rPr>
              <w:t>10.47</w:t>
            </w:r>
          </w:p>
        </w:tc>
        <w:tc>
          <w:tcPr>
            <w:tcW w:w="755" w:type="pct"/>
            <w:tcBorders>
              <w:top w:val="nil"/>
              <w:bottom w:val="nil"/>
            </w:tcBorders>
            <w:shd w:val="clear" w:color="auto" w:fill="auto"/>
            <w:noWrap/>
            <w:tcMar>
              <w:right w:w="360" w:type="dxa"/>
            </w:tcMar>
            <w:vAlign w:val="center"/>
            <w:hideMark/>
          </w:tcPr>
          <w:p w14:paraId="59463CDA" w14:textId="0779FF7F" w:rsidR="006334B9" w:rsidRPr="00576751" w:rsidRDefault="006334B9" w:rsidP="00576751">
            <w:pPr>
              <w:pStyle w:val="ExhibitText"/>
              <w:adjustRightInd w:val="0"/>
              <w:jc w:val="right"/>
              <w:rPr>
                <w:sz w:val="18"/>
                <w:szCs w:val="18"/>
              </w:rPr>
            </w:pPr>
            <w:r w:rsidRPr="00576751">
              <w:rPr>
                <w:sz w:val="18"/>
                <w:szCs w:val="18"/>
              </w:rPr>
              <w:t>0.10</w:t>
            </w:r>
          </w:p>
        </w:tc>
        <w:tc>
          <w:tcPr>
            <w:tcW w:w="755" w:type="pct"/>
            <w:tcBorders>
              <w:top w:val="nil"/>
              <w:bottom w:val="nil"/>
            </w:tcBorders>
            <w:shd w:val="clear" w:color="auto" w:fill="auto"/>
            <w:noWrap/>
            <w:tcMar>
              <w:right w:w="360" w:type="dxa"/>
            </w:tcMar>
            <w:vAlign w:val="center"/>
            <w:hideMark/>
          </w:tcPr>
          <w:p w14:paraId="76996051" w14:textId="5B2C0DB5" w:rsidR="006334B9" w:rsidRPr="00576751" w:rsidRDefault="006334B9" w:rsidP="00576751">
            <w:pPr>
              <w:pStyle w:val="ExhibitText"/>
              <w:adjustRightInd w:val="0"/>
              <w:jc w:val="right"/>
              <w:rPr>
                <w:sz w:val="18"/>
                <w:szCs w:val="18"/>
              </w:rPr>
            </w:pPr>
            <w:r w:rsidRPr="00576751">
              <w:rPr>
                <w:sz w:val="18"/>
                <w:szCs w:val="18"/>
              </w:rPr>
              <w:t>0.11</w:t>
            </w:r>
          </w:p>
        </w:tc>
        <w:tc>
          <w:tcPr>
            <w:tcW w:w="755" w:type="pct"/>
            <w:tcBorders>
              <w:top w:val="nil"/>
              <w:bottom w:val="nil"/>
            </w:tcBorders>
            <w:shd w:val="clear" w:color="auto" w:fill="auto"/>
            <w:noWrap/>
            <w:tcMar>
              <w:right w:w="360" w:type="dxa"/>
            </w:tcMar>
            <w:vAlign w:val="center"/>
            <w:hideMark/>
          </w:tcPr>
          <w:p w14:paraId="7510FD8E" w14:textId="386924E3" w:rsidR="006334B9" w:rsidRPr="00576751" w:rsidRDefault="006334B9" w:rsidP="00576751">
            <w:pPr>
              <w:pStyle w:val="ExhibitText"/>
              <w:adjustRightInd w:val="0"/>
              <w:jc w:val="right"/>
              <w:rPr>
                <w:sz w:val="18"/>
                <w:szCs w:val="18"/>
              </w:rPr>
            </w:pPr>
            <w:r w:rsidRPr="00576751">
              <w:rPr>
                <w:sz w:val="18"/>
                <w:szCs w:val="18"/>
              </w:rPr>
              <w:t>0.25</w:t>
            </w:r>
          </w:p>
        </w:tc>
        <w:tc>
          <w:tcPr>
            <w:tcW w:w="755" w:type="pct"/>
            <w:tcBorders>
              <w:top w:val="nil"/>
              <w:bottom w:val="nil"/>
            </w:tcBorders>
            <w:shd w:val="clear" w:color="auto" w:fill="auto"/>
            <w:noWrap/>
            <w:tcMar>
              <w:right w:w="360" w:type="dxa"/>
            </w:tcMar>
            <w:vAlign w:val="center"/>
            <w:hideMark/>
          </w:tcPr>
          <w:p w14:paraId="27DC33CA" w14:textId="3696279D" w:rsidR="006334B9" w:rsidRPr="00576751" w:rsidRDefault="006334B9" w:rsidP="00576751">
            <w:pPr>
              <w:pStyle w:val="ExhibitText"/>
              <w:adjustRightInd w:val="0"/>
              <w:jc w:val="right"/>
              <w:rPr>
                <w:sz w:val="18"/>
                <w:szCs w:val="18"/>
              </w:rPr>
            </w:pPr>
            <w:r w:rsidRPr="00576751">
              <w:rPr>
                <w:sz w:val="18"/>
                <w:szCs w:val="18"/>
              </w:rPr>
              <w:t>0.46</w:t>
            </w:r>
          </w:p>
        </w:tc>
        <w:tc>
          <w:tcPr>
            <w:tcW w:w="754" w:type="pct"/>
            <w:tcBorders>
              <w:top w:val="nil"/>
              <w:bottom w:val="nil"/>
            </w:tcBorders>
            <w:shd w:val="clear" w:color="auto" w:fill="auto"/>
            <w:noWrap/>
            <w:tcMar>
              <w:right w:w="360" w:type="dxa"/>
            </w:tcMar>
            <w:vAlign w:val="center"/>
            <w:hideMark/>
          </w:tcPr>
          <w:p w14:paraId="45BB81F5" w14:textId="7CF5550A" w:rsidR="006334B9" w:rsidRPr="00576751" w:rsidRDefault="006334B9" w:rsidP="00576751">
            <w:pPr>
              <w:pStyle w:val="ExhibitText"/>
              <w:adjustRightInd w:val="0"/>
              <w:jc w:val="right"/>
              <w:rPr>
                <w:sz w:val="18"/>
                <w:szCs w:val="18"/>
              </w:rPr>
            </w:pPr>
            <w:r w:rsidRPr="00576751">
              <w:rPr>
                <w:sz w:val="18"/>
                <w:szCs w:val="18"/>
              </w:rPr>
              <w:t>4.39</w:t>
            </w:r>
          </w:p>
        </w:tc>
      </w:tr>
      <w:tr w:rsidR="00415F26" w:rsidRPr="009F7D1D" w14:paraId="5A14C068" w14:textId="77777777" w:rsidTr="008B1AAC">
        <w:trPr>
          <w:trHeight w:val="288"/>
          <w:jc w:val="center"/>
        </w:trPr>
        <w:tc>
          <w:tcPr>
            <w:tcW w:w="481" w:type="pct"/>
            <w:tcBorders>
              <w:top w:val="nil"/>
              <w:bottom w:val="single" w:sz="4" w:space="0" w:color="auto"/>
            </w:tcBorders>
            <w:shd w:val="clear" w:color="auto" w:fill="auto"/>
            <w:noWrap/>
            <w:vAlign w:val="center"/>
            <w:hideMark/>
          </w:tcPr>
          <w:p w14:paraId="4448F18C" w14:textId="77777777" w:rsidR="006334B9" w:rsidRPr="00576751" w:rsidRDefault="006334B9" w:rsidP="00576751">
            <w:pPr>
              <w:pStyle w:val="ExhibitText"/>
              <w:jc w:val="center"/>
              <w:rPr>
                <w:sz w:val="18"/>
                <w:szCs w:val="18"/>
                <w:lang w:eastAsia="zh-CN"/>
              </w:rPr>
            </w:pPr>
            <w:r w:rsidRPr="00576751">
              <w:rPr>
                <w:sz w:val="18"/>
                <w:szCs w:val="18"/>
                <w:lang w:eastAsia="zh-CN"/>
              </w:rPr>
              <w:t>2015</w:t>
            </w:r>
          </w:p>
        </w:tc>
        <w:tc>
          <w:tcPr>
            <w:tcW w:w="745" w:type="pct"/>
            <w:tcBorders>
              <w:top w:val="nil"/>
              <w:bottom w:val="single" w:sz="4" w:space="0" w:color="auto"/>
            </w:tcBorders>
            <w:shd w:val="clear" w:color="auto" w:fill="auto"/>
            <w:noWrap/>
            <w:tcMar>
              <w:right w:w="360" w:type="dxa"/>
            </w:tcMar>
            <w:vAlign w:val="center"/>
            <w:hideMark/>
          </w:tcPr>
          <w:p w14:paraId="3D676093" w14:textId="29838E05" w:rsidR="006334B9" w:rsidRPr="00576751" w:rsidRDefault="006334B9" w:rsidP="00576751">
            <w:pPr>
              <w:pStyle w:val="ExhibitText"/>
              <w:adjustRightInd w:val="0"/>
              <w:jc w:val="right"/>
              <w:rPr>
                <w:sz w:val="18"/>
                <w:szCs w:val="18"/>
              </w:rPr>
            </w:pPr>
            <w:r w:rsidRPr="00576751">
              <w:rPr>
                <w:sz w:val="18"/>
                <w:szCs w:val="18"/>
              </w:rPr>
              <w:t>11.95</w:t>
            </w:r>
          </w:p>
        </w:tc>
        <w:tc>
          <w:tcPr>
            <w:tcW w:w="755" w:type="pct"/>
            <w:tcBorders>
              <w:top w:val="nil"/>
              <w:bottom w:val="single" w:sz="4" w:space="0" w:color="auto"/>
            </w:tcBorders>
            <w:shd w:val="clear" w:color="auto" w:fill="auto"/>
            <w:noWrap/>
            <w:tcMar>
              <w:right w:w="360" w:type="dxa"/>
            </w:tcMar>
            <w:vAlign w:val="center"/>
            <w:hideMark/>
          </w:tcPr>
          <w:p w14:paraId="41F0C3A4" w14:textId="1B1E720A" w:rsidR="006334B9" w:rsidRPr="00576751" w:rsidRDefault="006334B9" w:rsidP="00576751">
            <w:pPr>
              <w:pStyle w:val="ExhibitText"/>
              <w:adjustRightInd w:val="0"/>
              <w:jc w:val="right"/>
              <w:rPr>
                <w:sz w:val="18"/>
                <w:szCs w:val="18"/>
              </w:rPr>
            </w:pPr>
            <w:r w:rsidRPr="00576751">
              <w:rPr>
                <w:sz w:val="18"/>
                <w:szCs w:val="18"/>
              </w:rPr>
              <w:t>0.05</w:t>
            </w:r>
          </w:p>
        </w:tc>
        <w:tc>
          <w:tcPr>
            <w:tcW w:w="755" w:type="pct"/>
            <w:tcBorders>
              <w:top w:val="nil"/>
              <w:bottom w:val="single" w:sz="4" w:space="0" w:color="auto"/>
            </w:tcBorders>
            <w:shd w:val="clear" w:color="auto" w:fill="auto"/>
            <w:noWrap/>
            <w:tcMar>
              <w:right w:w="360" w:type="dxa"/>
            </w:tcMar>
            <w:vAlign w:val="center"/>
            <w:hideMark/>
          </w:tcPr>
          <w:p w14:paraId="4C8E350E" w14:textId="5CF71730" w:rsidR="006334B9" w:rsidRPr="00576751" w:rsidRDefault="006334B9" w:rsidP="00576751">
            <w:pPr>
              <w:pStyle w:val="ExhibitText"/>
              <w:adjustRightInd w:val="0"/>
              <w:jc w:val="right"/>
              <w:rPr>
                <w:sz w:val="18"/>
                <w:szCs w:val="18"/>
              </w:rPr>
            </w:pPr>
            <w:r w:rsidRPr="00576751">
              <w:rPr>
                <w:sz w:val="18"/>
                <w:szCs w:val="18"/>
              </w:rPr>
              <w:t>0.17</w:t>
            </w:r>
          </w:p>
        </w:tc>
        <w:tc>
          <w:tcPr>
            <w:tcW w:w="755" w:type="pct"/>
            <w:tcBorders>
              <w:top w:val="nil"/>
              <w:bottom w:val="single" w:sz="4" w:space="0" w:color="auto"/>
            </w:tcBorders>
            <w:shd w:val="clear" w:color="auto" w:fill="auto"/>
            <w:noWrap/>
            <w:tcMar>
              <w:right w:w="360" w:type="dxa"/>
            </w:tcMar>
            <w:vAlign w:val="center"/>
            <w:hideMark/>
          </w:tcPr>
          <w:p w14:paraId="0696490F" w14:textId="7F6EE6BA" w:rsidR="006334B9" w:rsidRPr="00576751" w:rsidRDefault="00B41D82" w:rsidP="00576751">
            <w:pPr>
              <w:pStyle w:val="ExhibitText"/>
              <w:adjustRightInd w:val="0"/>
              <w:jc w:val="right"/>
              <w:rPr>
                <w:sz w:val="18"/>
                <w:szCs w:val="18"/>
              </w:rPr>
            </w:pPr>
            <w:r>
              <w:rPr>
                <w:sz w:val="18"/>
                <w:szCs w:val="18"/>
              </w:rPr>
              <w:t>–</w:t>
            </w:r>
          </w:p>
        </w:tc>
        <w:tc>
          <w:tcPr>
            <w:tcW w:w="755" w:type="pct"/>
            <w:tcBorders>
              <w:top w:val="nil"/>
              <w:bottom w:val="single" w:sz="4" w:space="0" w:color="auto"/>
            </w:tcBorders>
            <w:shd w:val="clear" w:color="auto" w:fill="auto"/>
            <w:noWrap/>
            <w:tcMar>
              <w:right w:w="360" w:type="dxa"/>
            </w:tcMar>
            <w:vAlign w:val="center"/>
            <w:hideMark/>
          </w:tcPr>
          <w:p w14:paraId="4E7D784D" w14:textId="334EAFD2" w:rsidR="006334B9" w:rsidRPr="00576751" w:rsidRDefault="006334B9" w:rsidP="00576751">
            <w:pPr>
              <w:pStyle w:val="ExhibitText"/>
              <w:adjustRightInd w:val="0"/>
              <w:jc w:val="right"/>
              <w:rPr>
                <w:sz w:val="18"/>
                <w:szCs w:val="18"/>
              </w:rPr>
            </w:pPr>
            <w:r w:rsidRPr="00576751">
              <w:rPr>
                <w:sz w:val="18"/>
                <w:szCs w:val="18"/>
              </w:rPr>
              <w:t>0.22</w:t>
            </w:r>
          </w:p>
        </w:tc>
        <w:tc>
          <w:tcPr>
            <w:tcW w:w="754" w:type="pct"/>
            <w:tcBorders>
              <w:top w:val="nil"/>
              <w:bottom w:val="single" w:sz="4" w:space="0" w:color="auto"/>
            </w:tcBorders>
            <w:shd w:val="clear" w:color="auto" w:fill="auto"/>
            <w:noWrap/>
            <w:tcMar>
              <w:right w:w="360" w:type="dxa"/>
            </w:tcMar>
            <w:vAlign w:val="center"/>
            <w:hideMark/>
          </w:tcPr>
          <w:p w14:paraId="3E7CF020" w14:textId="3DD9C16C" w:rsidR="006334B9" w:rsidRPr="00576751" w:rsidRDefault="006334B9" w:rsidP="00576751">
            <w:pPr>
              <w:pStyle w:val="ExhibitText"/>
              <w:adjustRightInd w:val="0"/>
              <w:jc w:val="right"/>
              <w:rPr>
                <w:sz w:val="18"/>
                <w:szCs w:val="18"/>
              </w:rPr>
            </w:pPr>
            <w:r w:rsidRPr="00576751">
              <w:rPr>
                <w:sz w:val="18"/>
                <w:szCs w:val="18"/>
              </w:rPr>
              <w:t>1.84</w:t>
            </w:r>
          </w:p>
        </w:tc>
      </w:tr>
    </w:tbl>
    <w:p w14:paraId="650E6755" w14:textId="06D4FE5E" w:rsidR="006334B9" w:rsidRDefault="006334B9" w:rsidP="00576751">
      <w:pPr>
        <w:pStyle w:val="ExhibitText"/>
        <w:rPr>
          <w:rFonts w:eastAsia="SimSun"/>
        </w:rPr>
      </w:pPr>
    </w:p>
    <w:p w14:paraId="234CBC1B" w14:textId="77777777" w:rsidR="00F646C3" w:rsidRPr="00333ADB" w:rsidRDefault="00F646C3" w:rsidP="00576751">
      <w:pPr>
        <w:pStyle w:val="ExhibitText"/>
        <w:rPr>
          <w:rFonts w:eastAsia="SimSun"/>
        </w:rPr>
      </w:pPr>
    </w:p>
    <w:p w14:paraId="749F0F5A" w14:textId="77777777" w:rsidR="006334B9" w:rsidRPr="00333ADB" w:rsidRDefault="006334B9" w:rsidP="00576751">
      <w:pPr>
        <w:pStyle w:val="ExhibitText"/>
        <w:jc w:val="right"/>
        <w:rPr>
          <w:rFonts w:eastAsia="SimSun"/>
          <w:i/>
          <w:sz w:val="17"/>
          <w:szCs w:val="17"/>
          <w:lang w:eastAsia="zh-CN"/>
        </w:rPr>
      </w:pPr>
      <w:r w:rsidRPr="00576751">
        <w:rPr>
          <w:rFonts w:eastAsia="SimSun"/>
          <w:noProof/>
          <w:lang w:val="en-US"/>
        </w:rPr>
        <w:drawing>
          <wp:inline distT="0" distB="0" distL="0" distR="0" wp14:anchorId="5F13CB66" wp14:editId="1C59CFB4">
            <wp:extent cx="5943600" cy="3169920"/>
            <wp:effectExtent l="0" t="0" r="12700" b="1778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1CE9FB" w14:textId="77777777" w:rsidR="006334B9" w:rsidRPr="00333ADB" w:rsidRDefault="006334B9" w:rsidP="00831F52">
      <w:pPr>
        <w:pStyle w:val="ExhibitText"/>
        <w:rPr>
          <w:rFonts w:eastAsia="SimSun"/>
          <w:lang w:eastAsia="zh-CN"/>
        </w:rPr>
      </w:pPr>
    </w:p>
    <w:p w14:paraId="4B6A2B31" w14:textId="0DD8FFF7" w:rsidR="00DA5BF0" w:rsidRPr="007240CC" w:rsidRDefault="00DA5BF0" w:rsidP="007240CC">
      <w:pPr>
        <w:pStyle w:val="Footnote"/>
        <w:jc w:val="both"/>
        <w:rPr>
          <w:rFonts w:eastAsia="SimSun"/>
          <w:spacing w:val="-2"/>
        </w:rPr>
      </w:pPr>
      <w:r w:rsidRPr="007240CC">
        <w:rPr>
          <w:rFonts w:eastAsia="SimSun"/>
          <w:spacing w:val="-2"/>
        </w:rPr>
        <w:t>Note:</w:t>
      </w:r>
      <w:r w:rsidRPr="007240CC">
        <w:rPr>
          <w:rFonts w:eastAsia="SimSun"/>
          <w:spacing w:val="-2"/>
          <w:vertAlign w:val="superscript"/>
          <w:lang w:eastAsia="zh-CN"/>
        </w:rPr>
        <w:t xml:space="preserve"> </w:t>
      </w:r>
      <w:r w:rsidRPr="007240CC">
        <w:rPr>
          <w:rFonts w:eastAsia="SimSun"/>
          <w:spacing w:val="-2"/>
          <w:lang w:eastAsia="zh-CN"/>
        </w:rPr>
        <w:t>Share price</w:t>
      </w:r>
      <w:r w:rsidR="004B01B9" w:rsidRPr="007240CC">
        <w:rPr>
          <w:rFonts w:eastAsia="SimSun"/>
          <w:spacing w:val="-2"/>
          <w:lang w:eastAsia="zh-CN"/>
        </w:rPr>
        <w:t>s</w:t>
      </w:r>
      <w:r w:rsidRPr="007240CC">
        <w:rPr>
          <w:rFonts w:eastAsia="SimSun"/>
          <w:spacing w:val="-2"/>
          <w:lang w:eastAsia="zh-CN"/>
        </w:rPr>
        <w:t xml:space="preserve"> </w:t>
      </w:r>
      <w:r w:rsidR="004B01B9" w:rsidRPr="007240CC">
        <w:rPr>
          <w:rFonts w:eastAsia="SimSun"/>
          <w:spacing w:val="-2"/>
          <w:lang w:eastAsia="zh-CN"/>
        </w:rPr>
        <w:t xml:space="preserve">are shown </w:t>
      </w:r>
      <w:r w:rsidRPr="007240CC">
        <w:rPr>
          <w:rFonts w:eastAsia="SimSun"/>
          <w:spacing w:val="-2"/>
          <w:lang w:eastAsia="zh-CN"/>
        </w:rPr>
        <w:t>as reported</w:t>
      </w:r>
      <w:r w:rsidRPr="007240CC">
        <w:rPr>
          <w:rFonts w:eastAsia="SimSun"/>
          <w:spacing w:val="-2"/>
        </w:rPr>
        <w:t xml:space="preserve"> at the end of </w:t>
      </w:r>
      <w:r w:rsidRPr="007240CC">
        <w:rPr>
          <w:rFonts w:eastAsia="SimSun"/>
          <w:spacing w:val="-2"/>
          <w:lang w:eastAsia="zh-CN"/>
        </w:rPr>
        <w:t>the financial year (</w:t>
      </w:r>
      <w:r w:rsidRPr="007240CC">
        <w:rPr>
          <w:rFonts w:eastAsia="SimSun"/>
          <w:spacing w:val="-2"/>
        </w:rPr>
        <w:t>March</w:t>
      </w:r>
      <w:r w:rsidRPr="007240CC">
        <w:rPr>
          <w:rFonts w:eastAsia="SimSun"/>
          <w:spacing w:val="-2"/>
          <w:lang w:eastAsia="zh-CN"/>
        </w:rPr>
        <w:t xml:space="preserve"> 31); </w:t>
      </w:r>
      <w:r w:rsidR="004B01B9" w:rsidRPr="007240CC">
        <w:rPr>
          <w:rFonts w:eastAsia="SimSun"/>
          <w:spacing w:val="-2"/>
          <w:lang w:eastAsia="zh-CN"/>
        </w:rPr>
        <w:t xml:space="preserve">the </w:t>
      </w:r>
      <w:r w:rsidRPr="007240CC">
        <w:rPr>
          <w:rFonts w:eastAsia="SimSun"/>
          <w:spacing w:val="-2"/>
          <w:lang w:eastAsia="zh-CN"/>
        </w:rPr>
        <w:t>dividend yield</w:t>
      </w:r>
      <w:r w:rsidRPr="007240CC">
        <w:rPr>
          <w:rFonts w:eastAsia="SimSun"/>
          <w:spacing w:val="-2"/>
        </w:rPr>
        <w:t xml:space="preserve"> </w:t>
      </w:r>
      <w:r w:rsidR="004B01B9" w:rsidRPr="007240CC">
        <w:rPr>
          <w:rFonts w:eastAsia="SimSun"/>
          <w:spacing w:val="-2"/>
        </w:rPr>
        <w:t xml:space="preserve">is </w:t>
      </w:r>
      <w:r w:rsidRPr="007240CC">
        <w:rPr>
          <w:rFonts w:eastAsia="SimSun"/>
          <w:spacing w:val="-2"/>
        </w:rPr>
        <w:t xml:space="preserve">calculated </w:t>
      </w:r>
      <w:r w:rsidR="004B01B9" w:rsidRPr="007240CC">
        <w:rPr>
          <w:rFonts w:eastAsia="SimSun"/>
          <w:spacing w:val="-2"/>
          <w:lang w:eastAsia="zh-CN"/>
        </w:rPr>
        <w:t>as the</w:t>
      </w:r>
      <w:r w:rsidR="004B01B9" w:rsidRPr="007240CC">
        <w:rPr>
          <w:rFonts w:eastAsia="SimSun"/>
          <w:spacing w:val="-2"/>
        </w:rPr>
        <w:t xml:space="preserve"> </w:t>
      </w:r>
      <w:r w:rsidRPr="007240CC">
        <w:rPr>
          <w:rFonts w:eastAsia="SimSun"/>
          <w:spacing w:val="-2"/>
        </w:rPr>
        <w:t xml:space="preserve">sum of </w:t>
      </w:r>
      <w:r w:rsidRPr="007240CC">
        <w:rPr>
          <w:rFonts w:eastAsia="SimSun"/>
          <w:spacing w:val="-2"/>
          <w:lang w:eastAsia="zh-CN"/>
        </w:rPr>
        <w:t xml:space="preserve">interim, final, and special dividends; SGD </w:t>
      </w:r>
      <w:r w:rsidR="00251048">
        <w:rPr>
          <w:rFonts w:eastAsia="SimSun"/>
          <w:spacing w:val="-2"/>
          <w:lang w:eastAsia="zh-CN"/>
        </w:rPr>
        <w:t>= S$</w:t>
      </w:r>
      <w:r w:rsidRPr="007240CC">
        <w:rPr>
          <w:rFonts w:eastAsia="SimSun"/>
          <w:spacing w:val="-2"/>
          <w:lang w:eastAsia="zh-CN"/>
        </w:rPr>
        <w:t>= Singapore dollar; S$1 = US$0.744 and US$1 = S$1.344 on May 1, 2016</w:t>
      </w:r>
      <w:r w:rsidR="007240CC" w:rsidRPr="007240CC">
        <w:rPr>
          <w:rFonts w:eastAsia="SimSun"/>
          <w:spacing w:val="-2"/>
          <w:lang w:eastAsia="zh-CN"/>
        </w:rPr>
        <w:t>.</w:t>
      </w:r>
    </w:p>
    <w:p w14:paraId="11490672" w14:textId="482F01EB" w:rsidR="006334B9" w:rsidRPr="00444C9A" w:rsidRDefault="006334B9" w:rsidP="006334B9">
      <w:pPr>
        <w:pStyle w:val="Footnote"/>
        <w:outlineLvl w:val="0"/>
        <w:rPr>
          <w:rFonts w:eastAsia="SimSun"/>
        </w:rPr>
      </w:pPr>
      <w:r w:rsidRPr="00444C9A">
        <w:rPr>
          <w:rFonts w:eastAsia="SimSun"/>
        </w:rPr>
        <w:t xml:space="preserve">Source: </w:t>
      </w:r>
      <w:r w:rsidR="001E4A39">
        <w:rPr>
          <w:rFonts w:eastAsia="SimSun"/>
        </w:rPr>
        <w:t>“</w:t>
      </w:r>
      <w:r w:rsidR="001E4A39">
        <w:t>Singapore Airlines</w:t>
      </w:r>
      <w:r w:rsidR="004B01B9">
        <w:t>,</w:t>
      </w:r>
      <w:r w:rsidR="001E4A39">
        <w:t>”</w:t>
      </w:r>
      <w:r w:rsidR="001E4A39">
        <w:rPr>
          <w:rFonts w:eastAsia="SimSun"/>
        </w:rPr>
        <w:t xml:space="preserve"> </w:t>
      </w:r>
      <w:r w:rsidRPr="00444C9A">
        <w:rPr>
          <w:rFonts w:eastAsia="SimSun"/>
        </w:rPr>
        <w:t>Bloomberg</w:t>
      </w:r>
      <w:r w:rsidR="007D7F7F" w:rsidRPr="00444C9A">
        <w:rPr>
          <w:rFonts w:eastAsia="SimSun"/>
        </w:rPr>
        <w:t xml:space="preserve"> Terminal</w:t>
      </w:r>
      <w:r w:rsidRPr="00444C9A">
        <w:rPr>
          <w:rFonts w:eastAsia="SimSun"/>
        </w:rPr>
        <w:t>, Yahoo Finance, accessed May 28, 2015.</w:t>
      </w:r>
    </w:p>
    <w:p w14:paraId="75973D51" w14:textId="77777777" w:rsidR="006334B9" w:rsidRPr="00444C9A" w:rsidRDefault="006334B9" w:rsidP="006334B9">
      <w:pPr>
        <w:rPr>
          <w:rFonts w:ascii="Arial" w:eastAsia="SimSun" w:hAnsi="Arial"/>
          <w:b/>
          <w:caps/>
        </w:rPr>
      </w:pPr>
      <w:r w:rsidRPr="00444C9A">
        <w:rPr>
          <w:rFonts w:ascii="Arial" w:eastAsia="SimSun" w:hAnsi="Arial"/>
          <w:b/>
          <w:caps/>
        </w:rPr>
        <w:br w:type="page"/>
      </w:r>
    </w:p>
    <w:p w14:paraId="1ED0653B" w14:textId="6DEB2CC3" w:rsidR="00F35E30" w:rsidRPr="00444C9A" w:rsidRDefault="001E0B8B" w:rsidP="001E0B8B">
      <w:pPr>
        <w:pStyle w:val="ExhibitHeading"/>
        <w:outlineLvl w:val="0"/>
        <w:rPr>
          <w:rFonts w:eastAsia="SimSun"/>
        </w:rPr>
      </w:pPr>
      <w:r w:rsidRPr="00444C9A">
        <w:rPr>
          <w:rFonts w:eastAsia="SimSun"/>
        </w:rPr>
        <w:lastRenderedPageBreak/>
        <w:t>Exhibit 2: SINGAPORE AIRLINES</w:t>
      </w:r>
      <w:r w:rsidR="009F7D1D">
        <w:rPr>
          <w:rFonts w:eastAsia="SimSun"/>
          <w:lang w:eastAsia="zh-CN"/>
        </w:rPr>
        <w:t>—</w:t>
      </w:r>
      <w:r w:rsidRPr="00444C9A">
        <w:rPr>
          <w:rFonts w:eastAsia="SimSun"/>
        </w:rPr>
        <w:t>Income Statement</w:t>
      </w:r>
      <w:r w:rsidR="00C33B6E">
        <w:rPr>
          <w:rFonts w:eastAsia="SimSun"/>
        </w:rPr>
        <w:t>, 2010–</w:t>
      </w:r>
      <w:r w:rsidR="00C33B6E" w:rsidRPr="00F81FD3">
        <w:rPr>
          <w:rFonts w:eastAsia="SimSun"/>
        </w:rPr>
        <w:t>2015</w:t>
      </w:r>
      <w:r w:rsidR="009F7D1D" w:rsidRPr="00F81FD3">
        <w:rPr>
          <w:rFonts w:eastAsia="SimSun"/>
        </w:rPr>
        <w:t xml:space="preserve"> </w:t>
      </w:r>
      <w:r w:rsidR="00F81FD3">
        <w:rPr>
          <w:rFonts w:eastAsia="SimSun"/>
        </w:rPr>
        <w:t>(</w:t>
      </w:r>
      <w:r w:rsidR="00F81FD3" w:rsidRPr="00F81FD3">
        <w:rPr>
          <w:rFonts w:eastAsia="SimSun"/>
        </w:rPr>
        <w:t>In SGD millions, except per share</w:t>
      </w:r>
      <w:r w:rsidR="00F81FD3">
        <w:rPr>
          <w:rFonts w:eastAsia="SimSun"/>
        </w:rPr>
        <w:t>)</w:t>
      </w:r>
    </w:p>
    <w:p w14:paraId="0FCB3BFD" w14:textId="77777777" w:rsidR="00F35E30" w:rsidRPr="00E65477" w:rsidRDefault="00F35E30" w:rsidP="0079599D">
      <w:pPr>
        <w:pStyle w:val="ExhibitText"/>
        <w:rPr>
          <w:rFonts w:eastAsia="SimSun"/>
          <w:sz w:val="14"/>
        </w:rPr>
      </w:pPr>
    </w:p>
    <w:tbl>
      <w:tblPr>
        <w:tblW w:w="4944" w:type="pct"/>
        <w:jc w:val="center"/>
        <w:tblLayout w:type="fixed"/>
        <w:tblLook w:val="04A0" w:firstRow="1" w:lastRow="0" w:firstColumn="1" w:lastColumn="0" w:noHBand="0" w:noVBand="1"/>
      </w:tblPr>
      <w:tblGrid>
        <w:gridCol w:w="3023"/>
        <w:gridCol w:w="1038"/>
        <w:gridCol w:w="1038"/>
        <w:gridCol w:w="1039"/>
        <w:gridCol w:w="1039"/>
        <w:gridCol w:w="1039"/>
        <w:gridCol w:w="1039"/>
      </w:tblGrid>
      <w:tr w:rsidR="00143588" w:rsidRPr="00F81FD3" w14:paraId="2CBC601E" w14:textId="77777777" w:rsidTr="00F81FD3">
        <w:trPr>
          <w:trHeight w:val="245"/>
          <w:jc w:val="center"/>
        </w:trPr>
        <w:tc>
          <w:tcPr>
            <w:tcW w:w="3023" w:type="dxa"/>
            <w:tcBorders>
              <w:top w:val="single" w:sz="12" w:space="0" w:color="auto"/>
              <w:bottom w:val="single" w:sz="12" w:space="0" w:color="auto"/>
              <w:right w:val="single" w:sz="4" w:space="0" w:color="auto"/>
            </w:tcBorders>
            <w:shd w:val="clear" w:color="auto" w:fill="auto"/>
            <w:noWrap/>
            <w:vAlign w:val="center"/>
            <w:hideMark/>
          </w:tcPr>
          <w:p w14:paraId="0C26DDFF" w14:textId="55AF2B5B" w:rsidR="00EC00ED" w:rsidRPr="00F81FD3" w:rsidRDefault="003D213D" w:rsidP="00F81FD3">
            <w:pPr>
              <w:pStyle w:val="Casehead2"/>
              <w:rPr>
                <w:sz w:val="18"/>
                <w:szCs w:val="18"/>
                <w:lang w:val="en-SG" w:eastAsia="en-SG"/>
              </w:rPr>
            </w:pPr>
            <w:r w:rsidRPr="00F81FD3">
              <w:rPr>
                <w:sz w:val="18"/>
                <w:szCs w:val="18"/>
                <w:lang w:val="en-SG" w:eastAsia="en-SG"/>
              </w:rPr>
              <w:t xml:space="preserve">12 </w:t>
            </w:r>
            <w:r w:rsidR="00F81FD3">
              <w:rPr>
                <w:sz w:val="18"/>
                <w:szCs w:val="18"/>
                <w:lang w:val="en-SG" w:eastAsia="en-SG"/>
              </w:rPr>
              <w:t>M</w:t>
            </w:r>
            <w:r w:rsidRPr="00F81FD3">
              <w:rPr>
                <w:sz w:val="18"/>
                <w:szCs w:val="18"/>
                <w:lang w:val="en-SG" w:eastAsia="en-SG"/>
              </w:rPr>
              <w:t xml:space="preserve">onths </w:t>
            </w:r>
            <w:r w:rsidR="00F81FD3">
              <w:rPr>
                <w:sz w:val="18"/>
                <w:szCs w:val="18"/>
                <w:lang w:val="en-SG" w:eastAsia="en-SG"/>
              </w:rPr>
              <w:t>E</w:t>
            </w:r>
            <w:r w:rsidRPr="00F81FD3">
              <w:rPr>
                <w:sz w:val="18"/>
                <w:szCs w:val="18"/>
                <w:lang w:val="en-SG" w:eastAsia="en-SG"/>
              </w:rPr>
              <w:t>nding March 31</w:t>
            </w:r>
            <w:r w:rsidRPr="00F81FD3" w:rsidDel="003D213D">
              <w:rPr>
                <w:sz w:val="18"/>
                <w:szCs w:val="18"/>
                <w:lang w:val="en-SG" w:eastAsia="en-SG"/>
              </w:rPr>
              <w:t xml:space="preserve"> </w:t>
            </w:r>
          </w:p>
        </w:tc>
        <w:tc>
          <w:tcPr>
            <w:tcW w:w="1038" w:type="dxa"/>
            <w:tcBorders>
              <w:top w:val="single" w:sz="12" w:space="0" w:color="auto"/>
              <w:left w:val="nil"/>
              <w:bottom w:val="single" w:sz="12" w:space="0" w:color="auto"/>
              <w:right w:val="single" w:sz="4" w:space="0" w:color="auto"/>
            </w:tcBorders>
            <w:shd w:val="clear" w:color="auto" w:fill="auto"/>
            <w:noWrap/>
            <w:vAlign w:val="center"/>
            <w:hideMark/>
          </w:tcPr>
          <w:p w14:paraId="4A1F37FC" w14:textId="61D8E049" w:rsidR="00EC00ED" w:rsidRPr="00F81FD3" w:rsidRDefault="00EC00ED" w:rsidP="00576751">
            <w:pPr>
              <w:jc w:val="center"/>
              <w:rPr>
                <w:rFonts w:ascii="Arial" w:hAnsi="Arial" w:cs="Arial"/>
                <w:b/>
                <w:bCs/>
                <w:color w:val="000000" w:themeColor="text1"/>
                <w:sz w:val="18"/>
                <w:szCs w:val="18"/>
                <w:lang w:val="en-SG" w:eastAsia="en-SG"/>
              </w:rPr>
            </w:pPr>
            <w:r w:rsidRPr="00F81FD3">
              <w:rPr>
                <w:rFonts w:ascii="Arial" w:hAnsi="Arial" w:cs="Arial"/>
                <w:b/>
                <w:bCs/>
                <w:color w:val="000000" w:themeColor="text1"/>
                <w:sz w:val="18"/>
                <w:szCs w:val="18"/>
                <w:lang w:val="en-SG" w:eastAsia="en-SG"/>
              </w:rPr>
              <w:t>2010</w:t>
            </w:r>
          </w:p>
        </w:tc>
        <w:tc>
          <w:tcPr>
            <w:tcW w:w="1038" w:type="dxa"/>
            <w:tcBorders>
              <w:top w:val="single" w:sz="12" w:space="0" w:color="auto"/>
              <w:left w:val="nil"/>
              <w:bottom w:val="single" w:sz="12" w:space="0" w:color="auto"/>
              <w:right w:val="single" w:sz="4" w:space="0" w:color="auto"/>
            </w:tcBorders>
            <w:shd w:val="clear" w:color="auto" w:fill="auto"/>
            <w:noWrap/>
            <w:vAlign w:val="center"/>
            <w:hideMark/>
          </w:tcPr>
          <w:p w14:paraId="2AB388CD" w14:textId="582144E2" w:rsidR="00EC00ED" w:rsidRPr="00F81FD3" w:rsidRDefault="00EC00ED" w:rsidP="00576751">
            <w:pPr>
              <w:jc w:val="center"/>
              <w:rPr>
                <w:rFonts w:ascii="Arial" w:hAnsi="Arial" w:cs="Arial"/>
                <w:b/>
                <w:bCs/>
                <w:color w:val="000000" w:themeColor="text1"/>
                <w:sz w:val="18"/>
                <w:szCs w:val="18"/>
                <w:lang w:val="en-SG" w:eastAsia="en-SG"/>
              </w:rPr>
            </w:pPr>
            <w:r w:rsidRPr="00F81FD3">
              <w:rPr>
                <w:rFonts w:ascii="Arial" w:hAnsi="Arial" w:cs="Arial"/>
                <w:b/>
                <w:bCs/>
                <w:color w:val="000000" w:themeColor="text1"/>
                <w:sz w:val="18"/>
                <w:szCs w:val="18"/>
                <w:lang w:val="en-SG" w:eastAsia="en-SG"/>
              </w:rPr>
              <w:t>2011</w:t>
            </w:r>
          </w:p>
        </w:tc>
        <w:tc>
          <w:tcPr>
            <w:tcW w:w="1039" w:type="dxa"/>
            <w:tcBorders>
              <w:top w:val="single" w:sz="12" w:space="0" w:color="auto"/>
              <w:left w:val="nil"/>
              <w:bottom w:val="single" w:sz="12" w:space="0" w:color="auto"/>
              <w:right w:val="single" w:sz="4" w:space="0" w:color="auto"/>
            </w:tcBorders>
            <w:shd w:val="clear" w:color="auto" w:fill="auto"/>
            <w:noWrap/>
            <w:vAlign w:val="center"/>
            <w:hideMark/>
          </w:tcPr>
          <w:p w14:paraId="4493FA89" w14:textId="0F5C6F51" w:rsidR="00EC00ED" w:rsidRPr="00F81FD3" w:rsidRDefault="00EC00ED" w:rsidP="00576751">
            <w:pPr>
              <w:jc w:val="center"/>
              <w:rPr>
                <w:rFonts w:ascii="Arial" w:hAnsi="Arial" w:cs="Arial"/>
                <w:b/>
                <w:bCs/>
                <w:color w:val="000000" w:themeColor="text1"/>
                <w:sz w:val="18"/>
                <w:szCs w:val="18"/>
                <w:lang w:val="en-SG" w:eastAsia="en-SG"/>
              </w:rPr>
            </w:pPr>
            <w:r w:rsidRPr="00F81FD3">
              <w:rPr>
                <w:rFonts w:ascii="Arial" w:hAnsi="Arial" w:cs="Arial"/>
                <w:b/>
                <w:bCs/>
                <w:color w:val="000000" w:themeColor="text1"/>
                <w:sz w:val="18"/>
                <w:szCs w:val="18"/>
                <w:lang w:val="en-SG" w:eastAsia="en-SG"/>
              </w:rPr>
              <w:t>2012</w:t>
            </w:r>
          </w:p>
        </w:tc>
        <w:tc>
          <w:tcPr>
            <w:tcW w:w="1039" w:type="dxa"/>
            <w:tcBorders>
              <w:top w:val="single" w:sz="12" w:space="0" w:color="auto"/>
              <w:left w:val="nil"/>
              <w:bottom w:val="single" w:sz="12" w:space="0" w:color="auto"/>
              <w:right w:val="single" w:sz="4" w:space="0" w:color="auto"/>
            </w:tcBorders>
            <w:shd w:val="clear" w:color="auto" w:fill="auto"/>
            <w:noWrap/>
            <w:vAlign w:val="center"/>
            <w:hideMark/>
          </w:tcPr>
          <w:p w14:paraId="7BFF4058" w14:textId="68272867" w:rsidR="00EC00ED" w:rsidRPr="00F81FD3" w:rsidRDefault="00EC00ED" w:rsidP="00576751">
            <w:pPr>
              <w:jc w:val="center"/>
              <w:rPr>
                <w:rFonts w:ascii="Arial" w:hAnsi="Arial" w:cs="Arial"/>
                <w:b/>
                <w:bCs/>
                <w:color w:val="000000" w:themeColor="text1"/>
                <w:sz w:val="18"/>
                <w:szCs w:val="18"/>
                <w:lang w:val="en-SG" w:eastAsia="en-SG"/>
              </w:rPr>
            </w:pPr>
            <w:r w:rsidRPr="00F81FD3">
              <w:rPr>
                <w:rFonts w:ascii="Arial" w:hAnsi="Arial" w:cs="Arial"/>
                <w:b/>
                <w:bCs/>
                <w:color w:val="000000" w:themeColor="text1"/>
                <w:sz w:val="18"/>
                <w:szCs w:val="18"/>
                <w:lang w:val="en-SG" w:eastAsia="en-SG"/>
              </w:rPr>
              <w:t>2013</w:t>
            </w:r>
          </w:p>
        </w:tc>
        <w:tc>
          <w:tcPr>
            <w:tcW w:w="1039" w:type="dxa"/>
            <w:tcBorders>
              <w:top w:val="single" w:sz="12" w:space="0" w:color="auto"/>
              <w:left w:val="nil"/>
              <w:bottom w:val="single" w:sz="12" w:space="0" w:color="auto"/>
              <w:right w:val="single" w:sz="4" w:space="0" w:color="auto"/>
            </w:tcBorders>
            <w:shd w:val="clear" w:color="auto" w:fill="auto"/>
            <w:noWrap/>
            <w:vAlign w:val="center"/>
            <w:hideMark/>
          </w:tcPr>
          <w:p w14:paraId="0A54635D" w14:textId="4145D72D" w:rsidR="00EC00ED" w:rsidRPr="00F81FD3" w:rsidRDefault="00EC00ED" w:rsidP="00576751">
            <w:pPr>
              <w:jc w:val="center"/>
              <w:rPr>
                <w:rFonts w:ascii="Arial" w:hAnsi="Arial" w:cs="Arial"/>
                <w:b/>
                <w:bCs/>
                <w:color w:val="000000" w:themeColor="text1"/>
                <w:sz w:val="18"/>
                <w:szCs w:val="18"/>
                <w:lang w:val="en-SG" w:eastAsia="en-SG"/>
              </w:rPr>
            </w:pPr>
            <w:r w:rsidRPr="00F81FD3">
              <w:rPr>
                <w:rFonts w:ascii="Arial" w:hAnsi="Arial" w:cs="Arial"/>
                <w:b/>
                <w:bCs/>
                <w:color w:val="000000" w:themeColor="text1"/>
                <w:sz w:val="18"/>
                <w:szCs w:val="18"/>
                <w:lang w:val="en-SG" w:eastAsia="en-SG"/>
              </w:rPr>
              <w:t>2014</w:t>
            </w:r>
          </w:p>
        </w:tc>
        <w:tc>
          <w:tcPr>
            <w:tcW w:w="1039" w:type="dxa"/>
            <w:tcBorders>
              <w:top w:val="single" w:sz="12" w:space="0" w:color="auto"/>
              <w:left w:val="nil"/>
              <w:bottom w:val="single" w:sz="12" w:space="0" w:color="auto"/>
            </w:tcBorders>
            <w:shd w:val="clear" w:color="auto" w:fill="auto"/>
            <w:noWrap/>
            <w:vAlign w:val="center"/>
            <w:hideMark/>
          </w:tcPr>
          <w:p w14:paraId="62748FC5" w14:textId="2F5CB86F" w:rsidR="00EC00ED" w:rsidRPr="00F81FD3" w:rsidRDefault="00EC00ED" w:rsidP="00576751">
            <w:pPr>
              <w:jc w:val="center"/>
              <w:rPr>
                <w:rFonts w:ascii="Arial" w:hAnsi="Arial" w:cs="Arial"/>
                <w:b/>
                <w:bCs/>
                <w:color w:val="000000" w:themeColor="text1"/>
                <w:sz w:val="18"/>
                <w:szCs w:val="18"/>
                <w:lang w:val="en-SG" w:eastAsia="en-SG"/>
              </w:rPr>
            </w:pPr>
            <w:r w:rsidRPr="00F81FD3">
              <w:rPr>
                <w:rFonts w:ascii="Arial" w:hAnsi="Arial" w:cs="Arial"/>
                <w:b/>
                <w:bCs/>
                <w:color w:val="000000" w:themeColor="text1"/>
                <w:sz w:val="18"/>
                <w:szCs w:val="18"/>
                <w:lang w:val="en-SG" w:eastAsia="en-SG"/>
              </w:rPr>
              <w:t>2015</w:t>
            </w:r>
          </w:p>
        </w:tc>
      </w:tr>
      <w:tr w:rsidR="00143588" w:rsidRPr="003D213D" w14:paraId="467D9DFD" w14:textId="77777777" w:rsidTr="00F81FD3">
        <w:trPr>
          <w:trHeight w:val="245"/>
          <w:jc w:val="center"/>
        </w:trPr>
        <w:tc>
          <w:tcPr>
            <w:tcW w:w="3023" w:type="dxa"/>
            <w:tcBorders>
              <w:top w:val="single" w:sz="12" w:space="0" w:color="auto"/>
              <w:bottom w:val="nil"/>
              <w:right w:val="nil"/>
            </w:tcBorders>
            <w:shd w:val="clear" w:color="auto" w:fill="auto"/>
            <w:noWrap/>
            <w:vAlign w:val="center"/>
            <w:hideMark/>
          </w:tcPr>
          <w:p w14:paraId="06D92B33" w14:textId="77777777" w:rsidR="00EC00ED" w:rsidRPr="003D213D" w:rsidRDefault="00EC00ED" w:rsidP="00EC00ED">
            <w:pPr>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Revenue</w:t>
            </w:r>
          </w:p>
        </w:tc>
        <w:tc>
          <w:tcPr>
            <w:tcW w:w="1038" w:type="dxa"/>
            <w:tcBorders>
              <w:top w:val="single" w:sz="12" w:space="0" w:color="auto"/>
              <w:left w:val="single" w:sz="4" w:space="0" w:color="auto"/>
              <w:bottom w:val="nil"/>
              <w:right w:val="single" w:sz="4" w:space="0" w:color="auto"/>
            </w:tcBorders>
            <w:shd w:val="clear" w:color="auto" w:fill="auto"/>
            <w:noWrap/>
            <w:vAlign w:val="center"/>
            <w:hideMark/>
          </w:tcPr>
          <w:p w14:paraId="545AF56E"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12,707.3</w:t>
            </w:r>
          </w:p>
        </w:tc>
        <w:tc>
          <w:tcPr>
            <w:tcW w:w="1038" w:type="dxa"/>
            <w:tcBorders>
              <w:top w:val="single" w:sz="12" w:space="0" w:color="auto"/>
              <w:left w:val="nil"/>
              <w:bottom w:val="nil"/>
              <w:right w:val="single" w:sz="4" w:space="0" w:color="auto"/>
            </w:tcBorders>
            <w:shd w:val="clear" w:color="auto" w:fill="auto"/>
            <w:noWrap/>
            <w:vAlign w:val="center"/>
            <w:hideMark/>
          </w:tcPr>
          <w:p w14:paraId="408655C0"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14,524.8</w:t>
            </w:r>
          </w:p>
        </w:tc>
        <w:tc>
          <w:tcPr>
            <w:tcW w:w="1039" w:type="dxa"/>
            <w:tcBorders>
              <w:top w:val="single" w:sz="12" w:space="0" w:color="auto"/>
              <w:left w:val="nil"/>
              <w:bottom w:val="nil"/>
              <w:right w:val="single" w:sz="4" w:space="0" w:color="auto"/>
            </w:tcBorders>
            <w:shd w:val="clear" w:color="auto" w:fill="auto"/>
            <w:noWrap/>
            <w:vAlign w:val="center"/>
            <w:hideMark/>
          </w:tcPr>
          <w:p w14:paraId="7C9489F4"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14,857.8</w:t>
            </w:r>
          </w:p>
        </w:tc>
        <w:tc>
          <w:tcPr>
            <w:tcW w:w="1039" w:type="dxa"/>
            <w:tcBorders>
              <w:top w:val="single" w:sz="12" w:space="0" w:color="auto"/>
              <w:left w:val="nil"/>
              <w:bottom w:val="nil"/>
              <w:right w:val="single" w:sz="4" w:space="0" w:color="auto"/>
            </w:tcBorders>
            <w:shd w:val="clear" w:color="auto" w:fill="auto"/>
            <w:noWrap/>
            <w:vAlign w:val="center"/>
            <w:hideMark/>
          </w:tcPr>
          <w:p w14:paraId="697D425C"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15,098.2</w:t>
            </w:r>
          </w:p>
        </w:tc>
        <w:tc>
          <w:tcPr>
            <w:tcW w:w="1039" w:type="dxa"/>
            <w:tcBorders>
              <w:top w:val="single" w:sz="12" w:space="0" w:color="auto"/>
              <w:left w:val="nil"/>
              <w:bottom w:val="nil"/>
              <w:right w:val="single" w:sz="4" w:space="0" w:color="auto"/>
            </w:tcBorders>
            <w:shd w:val="clear" w:color="auto" w:fill="auto"/>
            <w:noWrap/>
            <w:vAlign w:val="center"/>
            <w:hideMark/>
          </w:tcPr>
          <w:p w14:paraId="0567B2D8"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15,243.9</w:t>
            </w:r>
          </w:p>
        </w:tc>
        <w:tc>
          <w:tcPr>
            <w:tcW w:w="1039" w:type="dxa"/>
            <w:tcBorders>
              <w:top w:val="single" w:sz="12" w:space="0" w:color="auto"/>
              <w:left w:val="nil"/>
              <w:bottom w:val="nil"/>
            </w:tcBorders>
            <w:shd w:val="clear" w:color="auto" w:fill="auto"/>
            <w:noWrap/>
            <w:vAlign w:val="center"/>
            <w:hideMark/>
          </w:tcPr>
          <w:p w14:paraId="7644BFC3"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15,565.5</w:t>
            </w:r>
          </w:p>
        </w:tc>
      </w:tr>
      <w:tr w:rsidR="00143588" w:rsidRPr="003D213D" w14:paraId="289FE576" w14:textId="77777777" w:rsidTr="00F81FD3">
        <w:trPr>
          <w:trHeight w:val="245"/>
          <w:jc w:val="center"/>
        </w:trPr>
        <w:tc>
          <w:tcPr>
            <w:tcW w:w="3023" w:type="dxa"/>
            <w:tcBorders>
              <w:top w:val="nil"/>
              <w:bottom w:val="nil"/>
              <w:right w:val="nil"/>
            </w:tcBorders>
            <w:shd w:val="clear" w:color="auto" w:fill="auto"/>
            <w:noWrap/>
            <w:vAlign w:val="center"/>
            <w:hideMark/>
          </w:tcPr>
          <w:p w14:paraId="5105B432" w14:textId="6515CCB7" w:rsidR="00EC00ED" w:rsidRPr="003D213D" w:rsidRDefault="004F78AA" w:rsidP="00576751">
            <w:pPr>
              <w:ind w:left="144"/>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xml:space="preserve">− </w:t>
            </w:r>
            <w:r w:rsidR="00EC00ED" w:rsidRPr="003D213D">
              <w:rPr>
                <w:rFonts w:ascii="Arial" w:hAnsi="Arial" w:cs="Arial"/>
                <w:color w:val="000000" w:themeColor="text1"/>
                <w:sz w:val="18"/>
                <w:szCs w:val="18"/>
                <w:lang w:val="en-SG" w:eastAsia="en-SG"/>
              </w:rPr>
              <w:t>Operating Expenses</w:t>
            </w:r>
          </w:p>
        </w:tc>
        <w:tc>
          <w:tcPr>
            <w:tcW w:w="1038" w:type="dxa"/>
            <w:tcBorders>
              <w:top w:val="nil"/>
              <w:left w:val="single" w:sz="4" w:space="0" w:color="auto"/>
              <w:bottom w:val="nil"/>
              <w:right w:val="single" w:sz="4" w:space="0" w:color="auto"/>
            </w:tcBorders>
            <w:shd w:val="clear" w:color="auto" w:fill="auto"/>
            <w:noWrap/>
            <w:vAlign w:val="center"/>
            <w:hideMark/>
          </w:tcPr>
          <w:p w14:paraId="62DED3D4"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12,588.9</w:t>
            </w:r>
          </w:p>
        </w:tc>
        <w:tc>
          <w:tcPr>
            <w:tcW w:w="1038" w:type="dxa"/>
            <w:tcBorders>
              <w:top w:val="nil"/>
              <w:left w:val="nil"/>
              <w:bottom w:val="nil"/>
              <w:right w:val="single" w:sz="4" w:space="0" w:color="auto"/>
            </w:tcBorders>
            <w:shd w:val="clear" w:color="auto" w:fill="auto"/>
            <w:noWrap/>
            <w:vAlign w:val="center"/>
            <w:hideMark/>
          </w:tcPr>
          <w:p w14:paraId="19715AEA"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13,174.3</w:t>
            </w:r>
          </w:p>
        </w:tc>
        <w:tc>
          <w:tcPr>
            <w:tcW w:w="1039" w:type="dxa"/>
            <w:tcBorders>
              <w:top w:val="nil"/>
              <w:left w:val="nil"/>
              <w:bottom w:val="nil"/>
              <w:right w:val="single" w:sz="4" w:space="0" w:color="auto"/>
            </w:tcBorders>
            <w:shd w:val="clear" w:color="auto" w:fill="auto"/>
            <w:noWrap/>
            <w:vAlign w:val="center"/>
            <w:hideMark/>
          </w:tcPr>
          <w:p w14:paraId="2CB96FE4"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14,520.8</w:t>
            </w:r>
          </w:p>
        </w:tc>
        <w:tc>
          <w:tcPr>
            <w:tcW w:w="1039" w:type="dxa"/>
            <w:tcBorders>
              <w:top w:val="nil"/>
              <w:left w:val="nil"/>
              <w:bottom w:val="nil"/>
              <w:right w:val="single" w:sz="4" w:space="0" w:color="auto"/>
            </w:tcBorders>
            <w:shd w:val="clear" w:color="auto" w:fill="auto"/>
            <w:noWrap/>
            <w:vAlign w:val="center"/>
            <w:hideMark/>
          </w:tcPr>
          <w:p w14:paraId="61065019"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14,777.3</w:t>
            </w:r>
          </w:p>
        </w:tc>
        <w:tc>
          <w:tcPr>
            <w:tcW w:w="1039" w:type="dxa"/>
            <w:tcBorders>
              <w:top w:val="nil"/>
              <w:left w:val="nil"/>
              <w:bottom w:val="nil"/>
              <w:right w:val="single" w:sz="4" w:space="0" w:color="auto"/>
            </w:tcBorders>
            <w:shd w:val="clear" w:color="auto" w:fill="auto"/>
            <w:noWrap/>
            <w:vAlign w:val="center"/>
            <w:hideMark/>
          </w:tcPr>
          <w:p w14:paraId="4A3BB9DB"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14,892.1</w:t>
            </w:r>
          </w:p>
        </w:tc>
        <w:tc>
          <w:tcPr>
            <w:tcW w:w="1039" w:type="dxa"/>
            <w:tcBorders>
              <w:top w:val="nil"/>
              <w:left w:val="nil"/>
              <w:bottom w:val="nil"/>
            </w:tcBorders>
            <w:shd w:val="clear" w:color="auto" w:fill="auto"/>
            <w:noWrap/>
            <w:vAlign w:val="center"/>
            <w:hideMark/>
          </w:tcPr>
          <w:p w14:paraId="7055DA2D"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15,047.1</w:t>
            </w:r>
          </w:p>
        </w:tc>
      </w:tr>
      <w:tr w:rsidR="00143588" w:rsidRPr="003D213D" w14:paraId="56F7D7F2" w14:textId="77777777" w:rsidTr="00F81FD3">
        <w:trPr>
          <w:trHeight w:val="245"/>
          <w:jc w:val="center"/>
        </w:trPr>
        <w:tc>
          <w:tcPr>
            <w:tcW w:w="3023" w:type="dxa"/>
            <w:tcBorders>
              <w:top w:val="nil"/>
              <w:bottom w:val="nil"/>
              <w:right w:val="nil"/>
            </w:tcBorders>
            <w:shd w:val="clear" w:color="auto" w:fill="auto"/>
            <w:noWrap/>
            <w:vAlign w:val="center"/>
            <w:hideMark/>
          </w:tcPr>
          <w:p w14:paraId="1932B61D" w14:textId="50E9C894"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xml:space="preserve">+ </w:t>
            </w:r>
            <w:r w:rsidRPr="00FA522F">
              <w:rPr>
                <w:rFonts w:ascii="Arial" w:hAnsi="Arial" w:cs="Arial"/>
                <w:color w:val="000000" w:themeColor="text1"/>
                <w:spacing w:val="-6"/>
                <w:sz w:val="18"/>
                <w:szCs w:val="18"/>
                <w:lang w:val="en-SG" w:eastAsia="en-SG"/>
              </w:rPr>
              <w:t>Selling, General &amp; Admin</w:t>
            </w:r>
            <w:r w:rsidR="00FA522F" w:rsidRPr="00FA522F">
              <w:rPr>
                <w:rFonts w:ascii="Arial" w:hAnsi="Arial" w:cs="Arial"/>
                <w:color w:val="000000" w:themeColor="text1"/>
                <w:spacing w:val="-6"/>
                <w:sz w:val="18"/>
                <w:szCs w:val="18"/>
                <w:lang w:val="en-SG" w:eastAsia="en-SG"/>
              </w:rPr>
              <w:t>istration</w:t>
            </w:r>
          </w:p>
        </w:tc>
        <w:tc>
          <w:tcPr>
            <w:tcW w:w="1038" w:type="dxa"/>
            <w:tcBorders>
              <w:top w:val="nil"/>
              <w:left w:val="single" w:sz="4" w:space="0" w:color="auto"/>
              <w:bottom w:val="nil"/>
              <w:right w:val="single" w:sz="4" w:space="0" w:color="auto"/>
            </w:tcBorders>
            <w:shd w:val="clear" w:color="auto" w:fill="auto"/>
            <w:noWrap/>
            <w:vAlign w:val="center"/>
            <w:hideMark/>
          </w:tcPr>
          <w:p w14:paraId="49812CA2"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210.3</w:t>
            </w:r>
          </w:p>
        </w:tc>
        <w:tc>
          <w:tcPr>
            <w:tcW w:w="1038" w:type="dxa"/>
            <w:tcBorders>
              <w:top w:val="nil"/>
              <w:left w:val="nil"/>
              <w:bottom w:val="nil"/>
              <w:right w:val="single" w:sz="4" w:space="0" w:color="auto"/>
            </w:tcBorders>
            <w:shd w:val="clear" w:color="auto" w:fill="auto"/>
            <w:noWrap/>
            <w:vAlign w:val="center"/>
            <w:hideMark/>
          </w:tcPr>
          <w:p w14:paraId="7B9A223B"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191.4</w:t>
            </w:r>
          </w:p>
        </w:tc>
        <w:tc>
          <w:tcPr>
            <w:tcW w:w="1039" w:type="dxa"/>
            <w:tcBorders>
              <w:top w:val="nil"/>
              <w:left w:val="nil"/>
              <w:bottom w:val="nil"/>
              <w:right w:val="single" w:sz="4" w:space="0" w:color="auto"/>
            </w:tcBorders>
            <w:shd w:val="clear" w:color="auto" w:fill="auto"/>
            <w:noWrap/>
            <w:vAlign w:val="center"/>
            <w:hideMark/>
          </w:tcPr>
          <w:p w14:paraId="63203A67"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201.6</w:t>
            </w:r>
          </w:p>
        </w:tc>
        <w:tc>
          <w:tcPr>
            <w:tcW w:w="1039" w:type="dxa"/>
            <w:tcBorders>
              <w:top w:val="nil"/>
              <w:left w:val="nil"/>
              <w:bottom w:val="nil"/>
              <w:right w:val="single" w:sz="4" w:space="0" w:color="auto"/>
            </w:tcBorders>
            <w:shd w:val="clear" w:color="auto" w:fill="auto"/>
            <w:noWrap/>
            <w:vAlign w:val="center"/>
            <w:hideMark/>
          </w:tcPr>
          <w:p w14:paraId="666D5CC1"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209.3</w:t>
            </w:r>
          </w:p>
        </w:tc>
        <w:tc>
          <w:tcPr>
            <w:tcW w:w="1039" w:type="dxa"/>
            <w:tcBorders>
              <w:top w:val="nil"/>
              <w:left w:val="nil"/>
              <w:bottom w:val="nil"/>
              <w:right w:val="single" w:sz="4" w:space="0" w:color="auto"/>
            </w:tcBorders>
            <w:shd w:val="clear" w:color="auto" w:fill="auto"/>
            <w:noWrap/>
            <w:vAlign w:val="center"/>
            <w:hideMark/>
          </w:tcPr>
          <w:p w14:paraId="0C8C4211"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257.6</w:t>
            </w:r>
          </w:p>
        </w:tc>
        <w:tc>
          <w:tcPr>
            <w:tcW w:w="1039" w:type="dxa"/>
            <w:tcBorders>
              <w:top w:val="nil"/>
              <w:left w:val="nil"/>
              <w:bottom w:val="nil"/>
            </w:tcBorders>
            <w:shd w:val="clear" w:color="auto" w:fill="auto"/>
            <w:noWrap/>
            <w:vAlign w:val="center"/>
            <w:hideMark/>
          </w:tcPr>
          <w:p w14:paraId="7BCF3381"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258.5</w:t>
            </w:r>
          </w:p>
        </w:tc>
      </w:tr>
      <w:tr w:rsidR="00143588" w:rsidRPr="003D213D" w14:paraId="2462EE42" w14:textId="77777777" w:rsidTr="00F81FD3">
        <w:trPr>
          <w:trHeight w:val="245"/>
          <w:jc w:val="center"/>
        </w:trPr>
        <w:tc>
          <w:tcPr>
            <w:tcW w:w="3023" w:type="dxa"/>
            <w:tcBorders>
              <w:top w:val="nil"/>
              <w:bottom w:val="nil"/>
              <w:right w:val="nil"/>
            </w:tcBorders>
            <w:shd w:val="clear" w:color="auto" w:fill="auto"/>
            <w:noWrap/>
            <w:vAlign w:val="center"/>
            <w:hideMark/>
          </w:tcPr>
          <w:p w14:paraId="24A0B60C" w14:textId="1D1412BF"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Depreciation &amp; Amortization</w:t>
            </w:r>
          </w:p>
        </w:tc>
        <w:tc>
          <w:tcPr>
            <w:tcW w:w="1038" w:type="dxa"/>
            <w:tcBorders>
              <w:top w:val="nil"/>
              <w:left w:val="single" w:sz="4" w:space="0" w:color="auto"/>
              <w:bottom w:val="nil"/>
              <w:right w:val="single" w:sz="4" w:space="0" w:color="auto"/>
            </w:tcBorders>
            <w:shd w:val="clear" w:color="auto" w:fill="auto"/>
            <w:noWrap/>
            <w:vAlign w:val="center"/>
            <w:hideMark/>
          </w:tcPr>
          <w:p w14:paraId="4474AB79"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1,756.5</w:t>
            </w:r>
          </w:p>
        </w:tc>
        <w:tc>
          <w:tcPr>
            <w:tcW w:w="1038" w:type="dxa"/>
            <w:tcBorders>
              <w:top w:val="nil"/>
              <w:left w:val="nil"/>
              <w:bottom w:val="nil"/>
              <w:right w:val="single" w:sz="4" w:space="0" w:color="auto"/>
            </w:tcBorders>
            <w:shd w:val="clear" w:color="auto" w:fill="auto"/>
            <w:noWrap/>
            <w:vAlign w:val="center"/>
            <w:hideMark/>
          </w:tcPr>
          <w:p w14:paraId="4AE314E0"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1,696.0</w:t>
            </w:r>
          </w:p>
        </w:tc>
        <w:tc>
          <w:tcPr>
            <w:tcW w:w="1039" w:type="dxa"/>
            <w:tcBorders>
              <w:top w:val="nil"/>
              <w:left w:val="nil"/>
              <w:bottom w:val="nil"/>
              <w:right w:val="single" w:sz="4" w:space="0" w:color="auto"/>
            </w:tcBorders>
            <w:shd w:val="clear" w:color="auto" w:fill="auto"/>
            <w:noWrap/>
            <w:vAlign w:val="center"/>
            <w:hideMark/>
          </w:tcPr>
          <w:p w14:paraId="04A4C000"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1,611.6</w:t>
            </w:r>
          </w:p>
        </w:tc>
        <w:tc>
          <w:tcPr>
            <w:tcW w:w="1039" w:type="dxa"/>
            <w:tcBorders>
              <w:top w:val="nil"/>
              <w:left w:val="nil"/>
              <w:bottom w:val="nil"/>
              <w:right w:val="single" w:sz="4" w:space="0" w:color="auto"/>
            </w:tcBorders>
            <w:shd w:val="clear" w:color="auto" w:fill="auto"/>
            <w:noWrap/>
            <w:vAlign w:val="center"/>
            <w:hideMark/>
          </w:tcPr>
          <w:p w14:paraId="3F6685AF"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1,611.8</w:t>
            </w:r>
          </w:p>
        </w:tc>
        <w:tc>
          <w:tcPr>
            <w:tcW w:w="1039" w:type="dxa"/>
            <w:tcBorders>
              <w:top w:val="nil"/>
              <w:left w:val="nil"/>
              <w:bottom w:val="nil"/>
              <w:right w:val="single" w:sz="4" w:space="0" w:color="auto"/>
            </w:tcBorders>
            <w:shd w:val="clear" w:color="auto" w:fill="auto"/>
            <w:noWrap/>
            <w:vAlign w:val="center"/>
            <w:hideMark/>
          </w:tcPr>
          <w:p w14:paraId="5B236191"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1,601.2</w:t>
            </w:r>
          </w:p>
        </w:tc>
        <w:tc>
          <w:tcPr>
            <w:tcW w:w="1039" w:type="dxa"/>
            <w:tcBorders>
              <w:top w:val="nil"/>
              <w:left w:val="nil"/>
              <w:bottom w:val="nil"/>
            </w:tcBorders>
            <w:shd w:val="clear" w:color="auto" w:fill="auto"/>
            <w:noWrap/>
            <w:vAlign w:val="center"/>
            <w:hideMark/>
          </w:tcPr>
          <w:p w14:paraId="7762CD17"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1,564.7</w:t>
            </w:r>
          </w:p>
        </w:tc>
      </w:tr>
      <w:tr w:rsidR="00143588" w:rsidRPr="003D213D" w14:paraId="27BAD549" w14:textId="77777777" w:rsidTr="00F81FD3">
        <w:trPr>
          <w:trHeight w:val="245"/>
          <w:jc w:val="center"/>
        </w:trPr>
        <w:tc>
          <w:tcPr>
            <w:tcW w:w="3023" w:type="dxa"/>
            <w:tcBorders>
              <w:top w:val="nil"/>
              <w:bottom w:val="nil"/>
              <w:right w:val="nil"/>
            </w:tcBorders>
            <w:shd w:val="clear" w:color="auto" w:fill="auto"/>
            <w:noWrap/>
            <w:vAlign w:val="center"/>
            <w:hideMark/>
          </w:tcPr>
          <w:p w14:paraId="025B1A0B" w14:textId="0151882B"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xml:space="preserve">+ </w:t>
            </w:r>
            <w:r w:rsidRPr="00FA522F">
              <w:rPr>
                <w:rFonts w:ascii="Arial" w:hAnsi="Arial" w:cs="Arial"/>
                <w:color w:val="000000" w:themeColor="text1"/>
                <w:spacing w:val="-6"/>
                <w:sz w:val="18"/>
                <w:szCs w:val="18"/>
                <w:lang w:val="en-SG" w:eastAsia="en-SG"/>
              </w:rPr>
              <w:t>Prov</w:t>
            </w:r>
            <w:r w:rsidR="00A112ED" w:rsidRPr="00FA522F">
              <w:rPr>
                <w:rFonts w:ascii="Arial" w:hAnsi="Arial" w:cs="Arial"/>
                <w:color w:val="000000" w:themeColor="text1"/>
                <w:spacing w:val="-6"/>
                <w:sz w:val="18"/>
                <w:szCs w:val="18"/>
                <w:lang w:val="en-SG" w:eastAsia="en-SG"/>
              </w:rPr>
              <w:t>ision f</w:t>
            </w:r>
            <w:r w:rsidRPr="00FA522F">
              <w:rPr>
                <w:rFonts w:ascii="Arial" w:hAnsi="Arial" w:cs="Arial"/>
                <w:color w:val="000000" w:themeColor="text1"/>
                <w:spacing w:val="-6"/>
                <w:sz w:val="18"/>
                <w:szCs w:val="18"/>
                <w:lang w:val="en-SG" w:eastAsia="en-SG"/>
              </w:rPr>
              <w:t>or Doubtful Acc</w:t>
            </w:r>
            <w:r w:rsidR="00FA522F" w:rsidRPr="00FA522F">
              <w:rPr>
                <w:rFonts w:ascii="Arial" w:hAnsi="Arial" w:cs="Arial"/>
                <w:color w:val="000000" w:themeColor="text1"/>
                <w:spacing w:val="-6"/>
                <w:sz w:val="18"/>
                <w:szCs w:val="18"/>
                <w:lang w:val="en-SG" w:eastAsia="en-SG"/>
              </w:rPr>
              <w:t>ount</w:t>
            </w:r>
            <w:r w:rsidRPr="00FA522F">
              <w:rPr>
                <w:rFonts w:ascii="Arial" w:hAnsi="Arial" w:cs="Arial"/>
                <w:color w:val="000000" w:themeColor="text1"/>
                <w:spacing w:val="-6"/>
                <w:sz w:val="18"/>
                <w:szCs w:val="18"/>
                <w:lang w:val="en-SG" w:eastAsia="en-SG"/>
              </w:rPr>
              <w:t>s</w:t>
            </w:r>
          </w:p>
        </w:tc>
        <w:tc>
          <w:tcPr>
            <w:tcW w:w="1038" w:type="dxa"/>
            <w:tcBorders>
              <w:top w:val="nil"/>
              <w:left w:val="single" w:sz="4" w:space="0" w:color="auto"/>
              <w:bottom w:val="nil"/>
              <w:right w:val="single" w:sz="4" w:space="0" w:color="auto"/>
            </w:tcBorders>
            <w:shd w:val="clear" w:color="auto" w:fill="auto"/>
            <w:noWrap/>
            <w:vAlign w:val="center"/>
            <w:hideMark/>
          </w:tcPr>
          <w:p w14:paraId="7C02D715"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0.0</w:t>
            </w:r>
          </w:p>
        </w:tc>
        <w:tc>
          <w:tcPr>
            <w:tcW w:w="1038" w:type="dxa"/>
            <w:tcBorders>
              <w:top w:val="nil"/>
              <w:left w:val="nil"/>
              <w:bottom w:val="nil"/>
              <w:right w:val="single" w:sz="4" w:space="0" w:color="auto"/>
            </w:tcBorders>
            <w:shd w:val="clear" w:color="auto" w:fill="auto"/>
            <w:noWrap/>
            <w:vAlign w:val="center"/>
            <w:hideMark/>
          </w:tcPr>
          <w:p w14:paraId="14023E97" w14:textId="339ECB76"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1.5</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3527D7EF" w14:textId="6DF03C64"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0.2</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5493C4B0" w14:textId="3449AFF4"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8.8</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43ED7E1C" w14:textId="75CADDD4"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w:t>
            </w:r>
          </w:p>
        </w:tc>
        <w:tc>
          <w:tcPr>
            <w:tcW w:w="1039" w:type="dxa"/>
            <w:tcBorders>
              <w:top w:val="nil"/>
              <w:left w:val="nil"/>
              <w:bottom w:val="nil"/>
            </w:tcBorders>
            <w:shd w:val="clear" w:color="auto" w:fill="auto"/>
            <w:noWrap/>
            <w:vAlign w:val="center"/>
            <w:hideMark/>
          </w:tcPr>
          <w:p w14:paraId="090BE0C7" w14:textId="084CFCA9"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0.7</w:t>
            </w:r>
          </w:p>
        </w:tc>
      </w:tr>
      <w:tr w:rsidR="00143588" w:rsidRPr="003D213D" w14:paraId="691B01CB" w14:textId="77777777" w:rsidTr="00F81FD3">
        <w:trPr>
          <w:trHeight w:val="245"/>
          <w:jc w:val="center"/>
        </w:trPr>
        <w:tc>
          <w:tcPr>
            <w:tcW w:w="3023" w:type="dxa"/>
            <w:tcBorders>
              <w:top w:val="nil"/>
              <w:bottom w:val="nil"/>
              <w:right w:val="nil"/>
            </w:tcBorders>
            <w:shd w:val="clear" w:color="auto" w:fill="auto"/>
            <w:noWrap/>
            <w:vAlign w:val="center"/>
            <w:hideMark/>
          </w:tcPr>
          <w:p w14:paraId="459524B1" w14:textId="09F00593"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Other Operating Expense</w:t>
            </w:r>
          </w:p>
        </w:tc>
        <w:tc>
          <w:tcPr>
            <w:tcW w:w="1038" w:type="dxa"/>
            <w:tcBorders>
              <w:top w:val="nil"/>
              <w:left w:val="single" w:sz="4" w:space="0" w:color="auto"/>
              <w:bottom w:val="nil"/>
              <w:right w:val="single" w:sz="4" w:space="0" w:color="auto"/>
            </w:tcBorders>
            <w:shd w:val="clear" w:color="auto" w:fill="auto"/>
            <w:noWrap/>
            <w:vAlign w:val="center"/>
            <w:hideMark/>
          </w:tcPr>
          <w:p w14:paraId="05AD659C"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10,622.1</w:t>
            </w:r>
          </w:p>
        </w:tc>
        <w:tc>
          <w:tcPr>
            <w:tcW w:w="1038" w:type="dxa"/>
            <w:tcBorders>
              <w:top w:val="nil"/>
              <w:left w:val="nil"/>
              <w:bottom w:val="nil"/>
              <w:right w:val="single" w:sz="4" w:space="0" w:color="auto"/>
            </w:tcBorders>
            <w:shd w:val="clear" w:color="auto" w:fill="auto"/>
            <w:noWrap/>
            <w:vAlign w:val="center"/>
            <w:hideMark/>
          </w:tcPr>
          <w:p w14:paraId="681FB3D6"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11,288.4</w:t>
            </w:r>
          </w:p>
        </w:tc>
        <w:tc>
          <w:tcPr>
            <w:tcW w:w="1039" w:type="dxa"/>
            <w:tcBorders>
              <w:top w:val="nil"/>
              <w:left w:val="nil"/>
              <w:bottom w:val="nil"/>
              <w:right w:val="single" w:sz="4" w:space="0" w:color="auto"/>
            </w:tcBorders>
            <w:shd w:val="clear" w:color="auto" w:fill="auto"/>
            <w:noWrap/>
            <w:vAlign w:val="center"/>
            <w:hideMark/>
          </w:tcPr>
          <w:p w14:paraId="2343125A"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12,707.8</w:t>
            </w:r>
          </w:p>
        </w:tc>
        <w:tc>
          <w:tcPr>
            <w:tcW w:w="1039" w:type="dxa"/>
            <w:tcBorders>
              <w:top w:val="nil"/>
              <w:left w:val="nil"/>
              <w:bottom w:val="nil"/>
              <w:right w:val="single" w:sz="4" w:space="0" w:color="auto"/>
            </w:tcBorders>
            <w:shd w:val="clear" w:color="auto" w:fill="auto"/>
            <w:noWrap/>
            <w:vAlign w:val="center"/>
            <w:hideMark/>
          </w:tcPr>
          <w:p w14:paraId="5F23D8F7"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12,965.0</w:t>
            </w:r>
          </w:p>
        </w:tc>
        <w:tc>
          <w:tcPr>
            <w:tcW w:w="1039" w:type="dxa"/>
            <w:tcBorders>
              <w:top w:val="nil"/>
              <w:left w:val="nil"/>
              <w:bottom w:val="nil"/>
              <w:right w:val="single" w:sz="4" w:space="0" w:color="auto"/>
            </w:tcBorders>
            <w:shd w:val="clear" w:color="auto" w:fill="auto"/>
            <w:noWrap/>
            <w:vAlign w:val="center"/>
            <w:hideMark/>
          </w:tcPr>
          <w:p w14:paraId="7D476680"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13,032.2</w:t>
            </w:r>
          </w:p>
        </w:tc>
        <w:tc>
          <w:tcPr>
            <w:tcW w:w="1039" w:type="dxa"/>
            <w:tcBorders>
              <w:top w:val="nil"/>
              <w:left w:val="nil"/>
              <w:bottom w:val="nil"/>
            </w:tcBorders>
            <w:shd w:val="clear" w:color="auto" w:fill="auto"/>
            <w:noWrap/>
            <w:vAlign w:val="center"/>
            <w:hideMark/>
          </w:tcPr>
          <w:p w14:paraId="3734367C"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13,223.2</w:t>
            </w:r>
          </w:p>
        </w:tc>
      </w:tr>
      <w:tr w:rsidR="00143588" w:rsidRPr="003D213D" w14:paraId="3D238D1C" w14:textId="77777777" w:rsidTr="00F81FD3">
        <w:trPr>
          <w:trHeight w:val="245"/>
          <w:jc w:val="center"/>
        </w:trPr>
        <w:tc>
          <w:tcPr>
            <w:tcW w:w="3023" w:type="dxa"/>
            <w:tcBorders>
              <w:top w:val="nil"/>
              <w:bottom w:val="nil"/>
              <w:right w:val="nil"/>
            </w:tcBorders>
            <w:shd w:val="clear" w:color="auto" w:fill="auto"/>
            <w:noWrap/>
            <w:vAlign w:val="center"/>
            <w:hideMark/>
          </w:tcPr>
          <w:p w14:paraId="4C20C547" w14:textId="77777777" w:rsidR="00EC00ED" w:rsidRPr="003D213D" w:rsidRDefault="00EC00ED" w:rsidP="00EC00ED">
            <w:pPr>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Operating Income (Loss)</w:t>
            </w:r>
          </w:p>
        </w:tc>
        <w:tc>
          <w:tcPr>
            <w:tcW w:w="1038" w:type="dxa"/>
            <w:tcBorders>
              <w:top w:val="nil"/>
              <w:left w:val="single" w:sz="4" w:space="0" w:color="auto"/>
              <w:bottom w:val="nil"/>
              <w:right w:val="single" w:sz="4" w:space="0" w:color="auto"/>
            </w:tcBorders>
            <w:shd w:val="clear" w:color="auto" w:fill="auto"/>
            <w:noWrap/>
            <w:vAlign w:val="center"/>
            <w:hideMark/>
          </w:tcPr>
          <w:p w14:paraId="203D0A4A"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118.4</w:t>
            </w:r>
          </w:p>
        </w:tc>
        <w:tc>
          <w:tcPr>
            <w:tcW w:w="1038" w:type="dxa"/>
            <w:tcBorders>
              <w:top w:val="nil"/>
              <w:left w:val="nil"/>
              <w:bottom w:val="nil"/>
              <w:right w:val="single" w:sz="4" w:space="0" w:color="auto"/>
            </w:tcBorders>
            <w:shd w:val="clear" w:color="auto" w:fill="auto"/>
            <w:noWrap/>
            <w:vAlign w:val="center"/>
            <w:hideMark/>
          </w:tcPr>
          <w:p w14:paraId="60C07606"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1,350.5</w:t>
            </w:r>
          </w:p>
        </w:tc>
        <w:tc>
          <w:tcPr>
            <w:tcW w:w="1039" w:type="dxa"/>
            <w:tcBorders>
              <w:top w:val="nil"/>
              <w:left w:val="nil"/>
              <w:bottom w:val="nil"/>
              <w:right w:val="single" w:sz="4" w:space="0" w:color="auto"/>
            </w:tcBorders>
            <w:shd w:val="clear" w:color="auto" w:fill="auto"/>
            <w:noWrap/>
            <w:vAlign w:val="center"/>
            <w:hideMark/>
          </w:tcPr>
          <w:p w14:paraId="527CA669"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337.0</w:t>
            </w:r>
          </w:p>
        </w:tc>
        <w:tc>
          <w:tcPr>
            <w:tcW w:w="1039" w:type="dxa"/>
            <w:tcBorders>
              <w:top w:val="nil"/>
              <w:left w:val="nil"/>
              <w:bottom w:val="nil"/>
              <w:right w:val="single" w:sz="4" w:space="0" w:color="auto"/>
            </w:tcBorders>
            <w:shd w:val="clear" w:color="auto" w:fill="auto"/>
            <w:noWrap/>
            <w:vAlign w:val="center"/>
            <w:hideMark/>
          </w:tcPr>
          <w:p w14:paraId="1308E902"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320.9</w:t>
            </w:r>
          </w:p>
        </w:tc>
        <w:tc>
          <w:tcPr>
            <w:tcW w:w="1039" w:type="dxa"/>
            <w:tcBorders>
              <w:top w:val="nil"/>
              <w:left w:val="nil"/>
              <w:bottom w:val="nil"/>
              <w:right w:val="single" w:sz="4" w:space="0" w:color="auto"/>
            </w:tcBorders>
            <w:shd w:val="clear" w:color="auto" w:fill="auto"/>
            <w:noWrap/>
            <w:vAlign w:val="center"/>
            <w:hideMark/>
          </w:tcPr>
          <w:p w14:paraId="57DFA38E"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351.8</w:t>
            </w:r>
          </w:p>
        </w:tc>
        <w:tc>
          <w:tcPr>
            <w:tcW w:w="1039" w:type="dxa"/>
            <w:tcBorders>
              <w:top w:val="nil"/>
              <w:left w:val="nil"/>
              <w:bottom w:val="nil"/>
            </w:tcBorders>
            <w:shd w:val="clear" w:color="auto" w:fill="auto"/>
            <w:noWrap/>
            <w:vAlign w:val="center"/>
            <w:hideMark/>
          </w:tcPr>
          <w:p w14:paraId="39925069"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518.4</w:t>
            </w:r>
          </w:p>
        </w:tc>
      </w:tr>
      <w:tr w:rsidR="00143588" w:rsidRPr="003D213D" w14:paraId="15A4C308" w14:textId="77777777" w:rsidTr="00F81FD3">
        <w:trPr>
          <w:trHeight w:val="245"/>
          <w:jc w:val="center"/>
        </w:trPr>
        <w:tc>
          <w:tcPr>
            <w:tcW w:w="3023" w:type="dxa"/>
            <w:tcBorders>
              <w:top w:val="nil"/>
              <w:bottom w:val="nil"/>
              <w:right w:val="nil"/>
            </w:tcBorders>
            <w:shd w:val="clear" w:color="auto" w:fill="auto"/>
            <w:noWrap/>
            <w:vAlign w:val="center"/>
            <w:hideMark/>
          </w:tcPr>
          <w:p w14:paraId="17E93128" w14:textId="5CE00DA3" w:rsidR="00EC00ED" w:rsidRPr="003D213D" w:rsidRDefault="006226D3" w:rsidP="00576751">
            <w:pPr>
              <w:ind w:left="144"/>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 xml:space="preserve"> Non-Operating (Income) Loss</w:t>
            </w:r>
          </w:p>
        </w:tc>
        <w:tc>
          <w:tcPr>
            <w:tcW w:w="1038" w:type="dxa"/>
            <w:tcBorders>
              <w:top w:val="nil"/>
              <w:left w:val="single" w:sz="4" w:space="0" w:color="auto"/>
              <w:bottom w:val="nil"/>
              <w:right w:val="single" w:sz="4" w:space="0" w:color="auto"/>
            </w:tcBorders>
            <w:shd w:val="clear" w:color="auto" w:fill="auto"/>
            <w:noWrap/>
            <w:vAlign w:val="center"/>
            <w:hideMark/>
          </w:tcPr>
          <w:p w14:paraId="680F9808" w14:textId="1A781CE7"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130.9</w:t>
            </w: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39485634"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25.7</w:t>
            </w:r>
          </w:p>
        </w:tc>
        <w:tc>
          <w:tcPr>
            <w:tcW w:w="1039" w:type="dxa"/>
            <w:tcBorders>
              <w:top w:val="nil"/>
              <w:left w:val="nil"/>
              <w:bottom w:val="nil"/>
              <w:right w:val="single" w:sz="4" w:space="0" w:color="auto"/>
            </w:tcBorders>
            <w:shd w:val="clear" w:color="auto" w:fill="auto"/>
            <w:noWrap/>
            <w:vAlign w:val="center"/>
            <w:hideMark/>
          </w:tcPr>
          <w:p w14:paraId="271FE6ED" w14:textId="0CF998F9"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133.8</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0DEAEA5E" w14:textId="5E6E2DC5"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94.7</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082DCA94"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66.1</w:t>
            </w:r>
          </w:p>
        </w:tc>
        <w:tc>
          <w:tcPr>
            <w:tcW w:w="1039" w:type="dxa"/>
            <w:tcBorders>
              <w:top w:val="nil"/>
              <w:left w:val="nil"/>
              <w:bottom w:val="nil"/>
            </w:tcBorders>
            <w:shd w:val="clear" w:color="auto" w:fill="auto"/>
            <w:noWrap/>
            <w:vAlign w:val="center"/>
            <w:hideMark/>
          </w:tcPr>
          <w:p w14:paraId="5FC14C9B"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150.0</w:t>
            </w:r>
          </w:p>
        </w:tc>
      </w:tr>
      <w:tr w:rsidR="00143588" w:rsidRPr="003D213D" w14:paraId="1A51D407" w14:textId="77777777" w:rsidTr="00F81FD3">
        <w:trPr>
          <w:trHeight w:val="245"/>
          <w:jc w:val="center"/>
        </w:trPr>
        <w:tc>
          <w:tcPr>
            <w:tcW w:w="3023" w:type="dxa"/>
            <w:tcBorders>
              <w:top w:val="nil"/>
              <w:bottom w:val="nil"/>
              <w:right w:val="nil"/>
            </w:tcBorders>
            <w:shd w:val="clear" w:color="auto" w:fill="auto"/>
            <w:noWrap/>
            <w:vAlign w:val="center"/>
            <w:hideMark/>
          </w:tcPr>
          <w:p w14:paraId="6CDAD2E2" w14:textId="43DEC9F0"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Interest Expense, Net</w:t>
            </w:r>
          </w:p>
        </w:tc>
        <w:tc>
          <w:tcPr>
            <w:tcW w:w="1038" w:type="dxa"/>
            <w:tcBorders>
              <w:top w:val="nil"/>
              <w:left w:val="single" w:sz="4" w:space="0" w:color="auto"/>
              <w:bottom w:val="nil"/>
              <w:right w:val="single" w:sz="4" w:space="0" w:color="auto"/>
            </w:tcBorders>
            <w:shd w:val="clear" w:color="auto" w:fill="auto"/>
            <w:noWrap/>
            <w:vAlign w:val="center"/>
            <w:hideMark/>
          </w:tcPr>
          <w:p w14:paraId="21D92529"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8.8</w:t>
            </w:r>
          </w:p>
        </w:tc>
        <w:tc>
          <w:tcPr>
            <w:tcW w:w="1038" w:type="dxa"/>
            <w:tcBorders>
              <w:top w:val="nil"/>
              <w:left w:val="nil"/>
              <w:bottom w:val="nil"/>
              <w:right w:val="single" w:sz="4" w:space="0" w:color="auto"/>
            </w:tcBorders>
            <w:shd w:val="clear" w:color="auto" w:fill="auto"/>
            <w:noWrap/>
            <w:vAlign w:val="center"/>
            <w:hideMark/>
          </w:tcPr>
          <w:p w14:paraId="22734F84"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24.1</w:t>
            </w:r>
          </w:p>
        </w:tc>
        <w:tc>
          <w:tcPr>
            <w:tcW w:w="1039" w:type="dxa"/>
            <w:tcBorders>
              <w:top w:val="nil"/>
              <w:left w:val="nil"/>
              <w:bottom w:val="nil"/>
              <w:right w:val="single" w:sz="4" w:space="0" w:color="auto"/>
            </w:tcBorders>
            <w:shd w:val="clear" w:color="auto" w:fill="auto"/>
            <w:noWrap/>
            <w:vAlign w:val="center"/>
            <w:hideMark/>
          </w:tcPr>
          <w:p w14:paraId="3CBE4894"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16.3</w:t>
            </w:r>
          </w:p>
        </w:tc>
        <w:tc>
          <w:tcPr>
            <w:tcW w:w="1039" w:type="dxa"/>
            <w:tcBorders>
              <w:top w:val="nil"/>
              <w:left w:val="nil"/>
              <w:bottom w:val="nil"/>
              <w:right w:val="single" w:sz="4" w:space="0" w:color="auto"/>
            </w:tcBorders>
            <w:shd w:val="clear" w:color="auto" w:fill="auto"/>
            <w:noWrap/>
            <w:vAlign w:val="center"/>
            <w:hideMark/>
          </w:tcPr>
          <w:p w14:paraId="6AF3367F" w14:textId="54F5E131"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24.5</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0F7E9316" w14:textId="77CCE8F1"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29.8</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05DD6AAB" w14:textId="0B116515"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28.8</w:t>
            </w:r>
            <w:r>
              <w:rPr>
                <w:rFonts w:ascii="Arial" w:hAnsi="Arial" w:cs="Arial"/>
                <w:color w:val="000000" w:themeColor="text1"/>
                <w:sz w:val="18"/>
                <w:szCs w:val="18"/>
                <w:lang w:val="en-SG" w:eastAsia="en-SG"/>
              </w:rPr>
              <w:t>)</w:t>
            </w:r>
          </w:p>
        </w:tc>
      </w:tr>
      <w:tr w:rsidR="00143588" w:rsidRPr="003D213D" w14:paraId="514D57E4" w14:textId="77777777" w:rsidTr="00F81FD3">
        <w:trPr>
          <w:trHeight w:val="245"/>
          <w:jc w:val="center"/>
        </w:trPr>
        <w:tc>
          <w:tcPr>
            <w:tcW w:w="3023" w:type="dxa"/>
            <w:tcBorders>
              <w:top w:val="nil"/>
              <w:bottom w:val="nil"/>
              <w:right w:val="nil"/>
            </w:tcBorders>
            <w:shd w:val="clear" w:color="auto" w:fill="auto"/>
            <w:noWrap/>
            <w:vAlign w:val="center"/>
            <w:hideMark/>
          </w:tcPr>
          <w:p w14:paraId="503FC2F8" w14:textId="355F901A" w:rsidR="00EC00ED" w:rsidRPr="003D213D" w:rsidRDefault="00EC00ED" w:rsidP="00576751">
            <w:pPr>
              <w:ind w:left="432"/>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 Interest Expense</w:t>
            </w:r>
          </w:p>
        </w:tc>
        <w:tc>
          <w:tcPr>
            <w:tcW w:w="1038" w:type="dxa"/>
            <w:tcBorders>
              <w:top w:val="nil"/>
              <w:left w:val="single" w:sz="4" w:space="0" w:color="auto"/>
              <w:bottom w:val="nil"/>
              <w:right w:val="single" w:sz="4" w:space="0" w:color="auto"/>
            </w:tcBorders>
            <w:shd w:val="clear" w:color="auto" w:fill="auto"/>
            <w:noWrap/>
            <w:vAlign w:val="center"/>
            <w:hideMark/>
          </w:tcPr>
          <w:p w14:paraId="3927874D"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59.2</w:t>
            </w:r>
          </w:p>
        </w:tc>
        <w:tc>
          <w:tcPr>
            <w:tcW w:w="1038" w:type="dxa"/>
            <w:tcBorders>
              <w:top w:val="nil"/>
              <w:left w:val="nil"/>
              <w:bottom w:val="nil"/>
              <w:right w:val="single" w:sz="4" w:space="0" w:color="auto"/>
            </w:tcBorders>
            <w:shd w:val="clear" w:color="auto" w:fill="auto"/>
            <w:noWrap/>
            <w:vAlign w:val="center"/>
            <w:hideMark/>
          </w:tcPr>
          <w:p w14:paraId="3C7E5B55"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62.2</w:t>
            </w:r>
          </w:p>
        </w:tc>
        <w:tc>
          <w:tcPr>
            <w:tcW w:w="1039" w:type="dxa"/>
            <w:tcBorders>
              <w:top w:val="nil"/>
              <w:left w:val="nil"/>
              <w:bottom w:val="nil"/>
              <w:right w:val="single" w:sz="4" w:space="0" w:color="auto"/>
            </w:tcBorders>
            <w:shd w:val="clear" w:color="auto" w:fill="auto"/>
            <w:noWrap/>
            <w:vAlign w:val="center"/>
            <w:hideMark/>
          </w:tcPr>
          <w:p w14:paraId="568294DC"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67.5</w:t>
            </w:r>
          </w:p>
        </w:tc>
        <w:tc>
          <w:tcPr>
            <w:tcW w:w="1039" w:type="dxa"/>
            <w:tcBorders>
              <w:top w:val="nil"/>
              <w:left w:val="nil"/>
              <w:bottom w:val="nil"/>
              <w:right w:val="single" w:sz="4" w:space="0" w:color="auto"/>
            </w:tcBorders>
            <w:shd w:val="clear" w:color="auto" w:fill="auto"/>
            <w:noWrap/>
            <w:vAlign w:val="center"/>
            <w:hideMark/>
          </w:tcPr>
          <w:p w14:paraId="6A95929D"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38.7</w:t>
            </w:r>
          </w:p>
        </w:tc>
        <w:tc>
          <w:tcPr>
            <w:tcW w:w="1039" w:type="dxa"/>
            <w:tcBorders>
              <w:top w:val="nil"/>
              <w:left w:val="nil"/>
              <w:bottom w:val="nil"/>
              <w:right w:val="single" w:sz="4" w:space="0" w:color="auto"/>
            </w:tcBorders>
            <w:shd w:val="clear" w:color="auto" w:fill="auto"/>
            <w:noWrap/>
            <w:vAlign w:val="center"/>
            <w:hideMark/>
          </w:tcPr>
          <w:p w14:paraId="072670F2"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33.6</w:t>
            </w:r>
          </w:p>
        </w:tc>
        <w:tc>
          <w:tcPr>
            <w:tcW w:w="1039" w:type="dxa"/>
            <w:tcBorders>
              <w:top w:val="nil"/>
              <w:left w:val="nil"/>
              <w:bottom w:val="nil"/>
            </w:tcBorders>
            <w:shd w:val="clear" w:color="auto" w:fill="auto"/>
            <w:noWrap/>
            <w:vAlign w:val="center"/>
            <w:hideMark/>
          </w:tcPr>
          <w:p w14:paraId="68C7BA92"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46.9</w:t>
            </w:r>
          </w:p>
        </w:tc>
      </w:tr>
      <w:tr w:rsidR="00143588" w:rsidRPr="003D213D" w14:paraId="3F16EA36" w14:textId="77777777" w:rsidTr="00F81FD3">
        <w:trPr>
          <w:trHeight w:val="245"/>
          <w:jc w:val="center"/>
        </w:trPr>
        <w:tc>
          <w:tcPr>
            <w:tcW w:w="3023" w:type="dxa"/>
            <w:tcBorders>
              <w:top w:val="nil"/>
              <w:bottom w:val="nil"/>
              <w:right w:val="nil"/>
            </w:tcBorders>
            <w:shd w:val="clear" w:color="auto" w:fill="auto"/>
            <w:noWrap/>
            <w:vAlign w:val="center"/>
            <w:hideMark/>
          </w:tcPr>
          <w:p w14:paraId="1F31B267" w14:textId="4DF40253" w:rsidR="00EC00ED" w:rsidRPr="003D213D" w:rsidRDefault="006226D3" w:rsidP="00576751">
            <w:pPr>
              <w:ind w:left="432"/>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w:t>
            </w:r>
            <w:r w:rsidR="00EC00ED" w:rsidRPr="003D213D">
              <w:rPr>
                <w:rFonts w:ascii="Arial" w:hAnsi="Arial" w:cs="Arial"/>
                <w:i/>
                <w:iCs/>
                <w:color w:val="000000" w:themeColor="text1"/>
                <w:sz w:val="18"/>
                <w:szCs w:val="18"/>
                <w:lang w:val="en-SG" w:eastAsia="en-SG"/>
              </w:rPr>
              <w:t xml:space="preserve"> Interest Income</w:t>
            </w:r>
          </w:p>
        </w:tc>
        <w:tc>
          <w:tcPr>
            <w:tcW w:w="1038" w:type="dxa"/>
            <w:tcBorders>
              <w:top w:val="nil"/>
              <w:left w:val="single" w:sz="4" w:space="0" w:color="auto"/>
              <w:bottom w:val="nil"/>
              <w:right w:val="single" w:sz="4" w:space="0" w:color="auto"/>
            </w:tcBorders>
            <w:shd w:val="clear" w:color="auto" w:fill="auto"/>
            <w:noWrap/>
            <w:vAlign w:val="center"/>
            <w:hideMark/>
          </w:tcPr>
          <w:p w14:paraId="5095D476"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50.4</w:t>
            </w:r>
          </w:p>
        </w:tc>
        <w:tc>
          <w:tcPr>
            <w:tcW w:w="1038" w:type="dxa"/>
            <w:tcBorders>
              <w:top w:val="nil"/>
              <w:left w:val="nil"/>
              <w:bottom w:val="nil"/>
              <w:right w:val="single" w:sz="4" w:space="0" w:color="auto"/>
            </w:tcBorders>
            <w:shd w:val="clear" w:color="auto" w:fill="auto"/>
            <w:noWrap/>
            <w:vAlign w:val="center"/>
            <w:hideMark/>
          </w:tcPr>
          <w:p w14:paraId="1F0491CE"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38.1</w:t>
            </w:r>
          </w:p>
        </w:tc>
        <w:tc>
          <w:tcPr>
            <w:tcW w:w="1039" w:type="dxa"/>
            <w:tcBorders>
              <w:top w:val="nil"/>
              <w:left w:val="nil"/>
              <w:bottom w:val="nil"/>
              <w:right w:val="single" w:sz="4" w:space="0" w:color="auto"/>
            </w:tcBorders>
            <w:shd w:val="clear" w:color="auto" w:fill="auto"/>
            <w:noWrap/>
            <w:vAlign w:val="center"/>
            <w:hideMark/>
          </w:tcPr>
          <w:p w14:paraId="0D5A44A3"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51.2</w:t>
            </w:r>
          </w:p>
        </w:tc>
        <w:tc>
          <w:tcPr>
            <w:tcW w:w="1039" w:type="dxa"/>
            <w:tcBorders>
              <w:top w:val="nil"/>
              <w:left w:val="nil"/>
              <w:bottom w:val="nil"/>
              <w:right w:val="single" w:sz="4" w:space="0" w:color="auto"/>
            </w:tcBorders>
            <w:shd w:val="clear" w:color="auto" w:fill="auto"/>
            <w:noWrap/>
            <w:vAlign w:val="center"/>
            <w:hideMark/>
          </w:tcPr>
          <w:p w14:paraId="5B07C88D"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63.2</w:t>
            </w:r>
          </w:p>
        </w:tc>
        <w:tc>
          <w:tcPr>
            <w:tcW w:w="1039" w:type="dxa"/>
            <w:tcBorders>
              <w:top w:val="nil"/>
              <w:left w:val="nil"/>
              <w:bottom w:val="nil"/>
              <w:right w:val="single" w:sz="4" w:space="0" w:color="auto"/>
            </w:tcBorders>
            <w:shd w:val="clear" w:color="auto" w:fill="auto"/>
            <w:noWrap/>
            <w:vAlign w:val="center"/>
            <w:hideMark/>
          </w:tcPr>
          <w:p w14:paraId="54A5B0EC"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63.4</w:t>
            </w:r>
          </w:p>
        </w:tc>
        <w:tc>
          <w:tcPr>
            <w:tcW w:w="1039" w:type="dxa"/>
            <w:tcBorders>
              <w:top w:val="nil"/>
              <w:left w:val="nil"/>
              <w:bottom w:val="nil"/>
            </w:tcBorders>
            <w:shd w:val="clear" w:color="auto" w:fill="auto"/>
            <w:noWrap/>
            <w:vAlign w:val="center"/>
            <w:hideMark/>
          </w:tcPr>
          <w:p w14:paraId="7381368E" w14:textId="77777777" w:rsidR="00EC00ED" w:rsidRPr="003D213D" w:rsidRDefault="00EC00ED">
            <w:pPr>
              <w:jc w:val="right"/>
              <w:rPr>
                <w:rFonts w:ascii="Arial" w:hAnsi="Arial" w:cs="Arial"/>
                <w:i/>
                <w:iCs/>
                <w:color w:val="000000" w:themeColor="text1"/>
                <w:sz w:val="18"/>
                <w:szCs w:val="18"/>
                <w:lang w:val="en-SG" w:eastAsia="en-SG"/>
              </w:rPr>
            </w:pPr>
            <w:r w:rsidRPr="003D213D">
              <w:rPr>
                <w:rFonts w:ascii="Arial" w:hAnsi="Arial" w:cs="Arial"/>
                <w:i/>
                <w:iCs/>
                <w:color w:val="000000" w:themeColor="text1"/>
                <w:sz w:val="18"/>
                <w:szCs w:val="18"/>
                <w:lang w:val="en-SG" w:eastAsia="en-SG"/>
              </w:rPr>
              <w:t>75.7</w:t>
            </w:r>
          </w:p>
        </w:tc>
      </w:tr>
      <w:tr w:rsidR="00143588" w:rsidRPr="003D213D" w14:paraId="7FC1987D" w14:textId="77777777" w:rsidTr="00F81FD3">
        <w:trPr>
          <w:trHeight w:val="245"/>
          <w:jc w:val="center"/>
        </w:trPr>
        <w:tc>
          <w:tcPr>
            <w:tcW w:w="3023" w:type="dxa"/>
            <w:tcBorders>
              <w:top w:val="nil"/>
              <w:bottom w:val="nil"/>
              <w:right w:val="nil"/>
            </w:tcBorders>
            <w:shd w:val="clear" w:color="auto" w:fill="auto"/>
            <w:noWrap/>
            <w:vAlign w:val="center"/>
            <w:hideMark/>
          </w:tcPr>
          <w:p w14:paraId="6D23E092" w14:textId="6480FAAA"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Other Investment (Inc</w:t>
            </w:r>
            <w:r w:rsidR="00CF7F9C">
              <w:rPr>
                <w:rFonts w:ascii="Arial" w:hAnsi="Arial" w:cs="Arial"/>
                <w:color w:val="000000" w:themeColor="text1"/>
                <w:sz w:val="18"/>
                <w:szCs w:val="18"/>
                <w:lang w:val="en-SG" w:eastAsia="en-SG"/>
              </w:rPr>
              <w:t>ome</w:t>
            </w:r>
            <w:r w:rsidRPr="003D213D">
              <w:rPr>
                <w:rFonts w:ascii="Arial" w:hAnsi="Arial" w:cs="Arial"/>
                <w:color w:val="000000" w:themeColor="text1"/>
                <w:sz w:val="18"/>
                <w:szCs w:val="18"/>
                <w:lang w:val="en-SG" w:eastAsia="en-SG"/>
              </w:rPr>
              <w:t>) Loss</w:t>
            </w:r>
          </w:p>
        </w:tc>
        <w:tc>
          <w:tcPr>
            <w:tcW w:w="1038" w:type="dxa"/>
            <w:tcBorders>
              <w:top w:val="nil"/>
              <w:left w:val="single" w:sz="4" w:space="0" w:color="auto"/>
              <w:bottom w:val="nil"/>
              <w:right w:val="single" w:sz="4" w:space="0" w:color="auto"/>
            </w:tcBorders>
            <w:shd w:val="clear" w:color="auto" w:fill="auto"/>
            <w:noWrap/>
            <w:vAlign w:val="center"/>
            <w:hideMark/>
          </w:tcPr>
          <w:p w14:paraId="146B41C5" w14:textId="0F083944"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33.7</w:t>
            </w: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71C6D870" w14:textId="49898C84"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24.7</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746A3187" w14:textId="3CE0813D"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23.8</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28FAF72A" w14:textId="0BCAE079"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31.0</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3EE8C81F" w14:textId="0112373C"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20.5</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03521A24" w14:textId="32DDB1E5"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14.1</w:t>
            </w:r>
            <w:r>
              <w:rPr>
                <w:rFonts w:ascii="Arial" w:hAnsi="Arial" w:cs="Arial"/>
                <w:color w:val="000000" w:themeColor="text1"/>
                <w:sz w:val="18"/>
                <w:szCs w:val="18"/>
                <w:lang w:val="en-SG" w:eastAsia="en-SG"/>
              </w:rPr>
              <w:t>)</w:t>
            </w:r>
          </w:p>
        </w:tc>
      </w:tr>
      <w:tr w:rsidR="00143588" w:rsidRPr="003D213D" w14:paraId="397EDDD9" w14:textId="77777777" w:rsidTr="00F81FD3">
        <w:trPr>
          <w:trHeight w:val="245"/>
          <w:jc w:val="center"/>
        </w:trPr>
        <w:tc>
          <w:tcPr>
            <w:tcW w:w="3023" w:type="dxa"/>
            <w:tcBorders>
              <w:top w:val="nil"/>
              <w:bottom w:val="nil"/>
              <w:right w:val="nil"/>
            </w:tcBorders>
            <w:shd w:val="clear" w:color="auto" w:fill="auto"/>
            <w:noWrap/>
            <w:vAlign w:val="center"/>
            <w:hideMark/>
          </w:tcPr>
          <w:p w14:paraId="4103E335" w14:textId="2FE17E56"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Foreign Exch</w:t>
            </w:r>
            <w:r w:rsidR="00FA522F">
              <w:rPr>
                <w:rFonts w:ascii="Arial" w:hAnsi="Arial" w:cs="Arial"/>
                <w:color w:val="000000" w:themeColor="text1"/>
                <w:sz w:val="18"/>
                <w:szCs w:val="18"/>
                <w:lang w:val="en-SG" w:eastAsia="en-SG"/>
              </w:rPr>
              <w:t>ange</w:t>
            </w:r>
            <w:r w:rsidRPr="003D213D">
              <w:rPr>
                <w:rFonts w:ascii="Arial" w:hAnsi="Arial" w:cs="Arial"/>
                <w:color w:val="000000" w:themeColor="text1"/>
                <w:sz w:val="18"/>
                <w:szCs w:val="18"/>
                <w:lang w:val="en-SG" w:eastAsia="en-SG"/>
              </w:rPr>
              <w:t xml:space="preserve"> (Gain) Loss</w:t>
            </w:r>
          </w:p>
        </w:tc>
        <w:tc>
          <w:tcPr>
            <w:tcW w:w="1038" w:type="dxa"/>
            <w:tcBorders>
              <w:top w:val="nil"/>
              <w:left w:val="single" w:sz="4" w:space="0" w:color="auto"/>
              <w:bottom w:val="nil"/>
              <w:right w:val="single" w:sz="4" w:space="0" w:color="auto"/>
            </w:tcBorders>
            <w:shd w:val="clear" w:color="auto" w:fill="auto"/>
            <w:noWrap/>
            <w:vAlign w:val="center"/>
            <w:hideMark/>
          </w:tcPr>
          <w:p w14:paraId="4D30331B"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54.3</w:t>
            </w:r>
          </w:p>
        </w:tc>
        <w:tc>
          <w:tcPr>
            <w:tcW w:w="1038" w:type="dxa"/>
            <w:tcBorders>
              <w:top w:val="nil"/>
              <w:left w:val="nil"/>
              <w:bottom w:val="nil"/>
              <w:right w:val="single" w:sz="4" w:space="0" w:color="auto"/>
            </w:tcBorders>
            <w:shd w:val="clear" w:color="auto" w:fill="auto"/>
            <w:noWrap/>
            <w:vAlign w:val="center"/>
            <w:hideMark/>
          </w:tcPr>
          <w:p w14:paraId="4D257E41"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71.5</w:t>
            </w:r>
          </w:p>
        </w:tc>
        <w:tc>
          <w:tcPr>
            <w:tcW w:w="1039" w:type="dxa"/>
            <w:tcBorders>
              <w:top w:val="nil"/>
              <w:left w:val="nil"/>
              <w:bottom w:val="nil"/>
              <w:right w:val="single" w:sz="4" w:space="0" w:color="auto"/>
            </w:tcBorders>
            <w:shd w:val="clear" w:color="auto" w:fill="auto"/>
            <w:noWrap/>
            <w:vAlign w:val="center"/>
            <w:hideMark/>
          </w:tcPr>
          <w:p w14:paraId="32696F96"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36.6</w:t>
            </w:r>
          </w:p>
        </w:tc>
        <w:tc>
          <w:tcPr>
            <w:tcW w:w="1039" w:type="dxa"/>
            <w:tcBorders>
              <w:top w:val="nil"/>
              <w:left w:val="nil"/>
              <w:bottom w:val="nil"/>
              <w:right w:val="single" w:sz="4" w:space="0" w:color="auto"/>
            </w:tcBorders>
            <w:shd w:val="clear" w:color="auto" w:fill="auto"/>
            <w:noWrap/>
            <w:vAlign w:val="center"/>
            <w:hideMark/>
          </w:tcPr>
          <w:p w14:paraId="11EA9D85"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82.5</w:t>
            </w:r>
          </w:p>
        </w:tc>
        <w:tc>
          <w:tcPr>
            <w:tcW w:w="1039" w:type="dxa"/>
            <w:tcBorders>
              <w:top w:val="nil"/>
              <w:left w:val="nil"/>
              <w:bottom w:val="nil"/>
              <w:right w:val="single" w:sz="4" w:space="0" w:color="auto"/>
            </w:tcBorders>
            <w:shd w:val="clear" w:color="auto" w:fill="auto"/>
            <w:noWrap/>
            <w:vAlign w:val="center"/>
            <w:hideMark/>
          </w:tcPr>
          <w:p w14:paraId="70A9AA7D"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74.5</w:t>
            </w:r>
          </w:p>
        </w:tc>
        <w:tc>
          <w:tcPr>
            <w:tcW w:w="1039" w:type="dxa"/>
            <w:tcBorders>
              <w:top w:val="nil"/>
              <w:left w:val="nil"/>
              <w:bottom w:val="nil"/>
            </w:tcBorders>
            <w:shd w:val="clear" w:color="auto" w:fill="auto"/>
            <w:noWrap/>
            <w:vAlign w:val="center"/>
            <w:hideMark/>
          </w:tcPr>
          <w:p w14:paraId="37FE7FF0"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113.1</w:t>
            </w:r>
          </w:p>
        </w:tc>
      </w:tr>
      <w:tr w:rsidR="00143588" w:rsidRPr="003D213D" w14:paraId="38CD70AC" w14:textId="77777777" w:rsidTr="00F81FD3">
        <w:trPr>
          <w:trHeight w:val="245"/>
          <w:jc w:val="center"/>
        </w:trPr>
        <w:tc>
          <w:tcPr>
            <w:tcW w:w="3023" w:type="dxa"/>
            <w:tcBorders>
              <w:top w:val="nil"/>
              <w:bottom w:val="nil"/>
              <w:right w:val="nil"/>
            </w:tcBorders>
            <w:shd w:val="clear" w:color="auto" w:fill="auto"/>
            <w:noWrap/>
            <w:vAlign w:val="center"/>
            <w:hideMark/>
          </w:tcPr>
          <w:p w14:paraId="5311A87F" w14:textId="22EB8F23"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(Income) Loss from Affiliates</w:t>
            </w:r>
          </w:p>
        </w:tc>
        <w:tc>
          <w:tcPr>
            <w:tcW w:w="1038" w:type="dxa"/>
            <w:tcBorders>
              <w:top w:val="nil"/>
              <w:left w:val="single" w:sz="4" w:space="0" w:color="auto"/>
              <w:bottom w:val="nil"/>
              <w:right w:val="single" w:sz="4" w:space="0" w:color="auto"/>
            </w:tcBorders>
            <w:shd w:val="clear" w:color="auto" w:fill="auto"/>
            <w:noWrap/>
            <w:vAlign w:val="center"/>
            <w:hideMark/>
          </w:tcPr>
          <w:p w14:paraId="6779E1BB" w14:textId="41DF045C"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149.1</w:t>
            </w: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49D5BBB8" w14:textId="23B724AD"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175.1</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278F5431" w14:textId="4406BFDD"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126.1</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409DA72E" w14:textId="51FB51E8"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145.3</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7B235F35" w14:textId="31821C35"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48.8</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170869BF"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77.1</w:t>
            </w:r>
          </w:p>
        </w:tc>
      </w:tr>
      <w:tr w:rsidR="00143588" w:rsidRPr="003D213D" w14:paraId="506471D2" w14:textId="77777777" w:rsidTr="00F81FD3">
        <w:trPr>
          <w:trHeight w:val="245"/>
          <w:jc w:val="center"/>
        </w:trPr>
        <w:tc>
          <w:tcPr>
            <w:tcW w:w="3023" w:type="dxa"/>
            <w:tcBorders>
              <w:top w:val="nil"/>
              <w:bottom w:val="nil"/>
              <w:right w:val="nil"/>
            </w:tcBorders>
            <w:shd w:val="clear" w:color="auto" w:fill="auto"/>
            <w:noWrap/>
            <w:vAlign w:val="center"/>
            <w:hideMark/>
          </w:tcPr>
          <w:p w14:paraId="3C68375F" w14:textId="6780D872"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Other Non-Op (Income) Loss</w:t>
            </w:r>
          </w:p>
        </w:tc>
        <w:tc>
          <w:tcPr>
            <w:tcW w:w="1038" w:type="dxa"/>
            <w:tcBorders>
              <w:top w:val="nil"/>
              <w:left w:val="single" w:sz="4" w:space="0" w:color="auto"/>
              <w:bottom w:val="nil"/>
              <w:right w:val="single" w:sz="4" w:space="0" w:color="auto"/>
            </w:tcBorders>
            <w:shd w:val="clear" w:color="auto" w:fill="auto"/>
            <w:noWrap/>
            <w:vAlign w:val="center"/>
            <w:hideMark/>
          </w:tcPr>
          <w:p w14:paraId="05211CE5" w14:textId="54FC7A49"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11.2</w:t>
            </w:r>
            <w:r w:rsidR="00537698">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625E2773"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129.9</w:t>
            </w:r>
          </w:p>
        </w:tc>
        <w:tc>
          <w:tcPr>
            <w:tcW w:w="1039" w:type="dxa"/>
            <w:tcBorders>
              <w:top w:val="nil"/>
              <w:left w:val="nil"/>
              <w:bottom w:val="nil"/>
              <w:right w:val="single" w:sz="4" w:space="0" w:color="auto"/>
            </w:tcBorders>
            <w:shd w:val="clear" w:color="auto" w:fill="auto"/>
            <w:noWrap/>
            <w:vAlign w:val="center"/>
            <w:hideMark/>
          </w:tcPr>
          <w:p w14:paraId="511C51B3" w14:textId="74EC196F"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36.8</w:t>
            </w:r>
            <w:r w:rsidR="00537698">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46772195"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23.6</w:t>
            </w:r>
          </w:p>
        </w:tc>
        <w:tc>
          <w:tcPr>
            <w:tcW w:w="1039" w:type="dxa"/>
            <w:tcBorders>
              <w:top w:val="nil"/>
              <w:left w:val="nil"/>
              <w:bottom w:val="nil"/>
              <w:right w:val="single" w:sz="4" w:space="0" w:color="auto"/>
            </w:tcBorders>
            <w:shd w:val="clear" w:color="auto" w:fill="auto"/>
            <w:noWrap/>
            <w:vAlign w:val="center"/>
            <w:hideMark/>
          </w:tcPr>
          <w:p w14:paraId="63503DFF"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90.7</w:t>
            </w:r>
          </w:p>
        </w:tc>
        <w:tc>
          <w:tcPr>
            <w:tcW w:w="1039" w:type="dxa"/>
            <w:tcBorders>
              <w:top w:val="nil"/>
              <w:left w:val="nil"/>
              <w:bottom w:val="nil"/>
            </w:tcBorders>
            <w:shd w:val="clear" w:color="auto" w:fill="auto"/>
            <w:noWrap/>
            <w:vAlign w:val="center"/>
            <w:hideMark/>
          </w:tcPr>
          <w:p w14:paraId="18675CEB"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2.7</w:t>
            </w:r>
          </w:p>
        </w:tc>
      </w:tr>
      <w:tr w:rsidR="00143588" w:rsidRPr="003D213D" w14:paraId="6180A21D" w14:textId="77777777" w:rsidTr="00F81FD3">
        <w:trPr>
          <w:trHeight w:val="245"/>
          <w:jc w:val="center"/>
        </w:trPr>
        <w:tc>
          <w:tcPr>
            <w:tcW w:w="3023" w:type="dxa"/>
            <w:tcBorders>
              <w:top w:val="nil"/>
              <w:bottom w:val="nil"/>
              <w:right w:val="nil"/>
            </w:tcBorders>
            <w:shd w:val="clear" w:color="auto" w:fill="auto"/>
            <w:noWrap/>
            <w:vAlign w:val="center"/>
            <w:hideMark/>
          </w:tcPr>
          <w:p w14:paraId="386F65F3" w14:textId="77777777" w:rsidR="00EC00ED" w:rsidRPr="003D213D" w:rsidRDefault="00EC00ED" w:rsidP="00EC00ED">
            <w:pPr>
              <w:rPr>
                <w:rFonts w:ascii="Arial" w:hAnsi="Arial" w:cs="Arial"/>
                <w:b/>
                <w:bCs/>
                <w:color w:val="000000" w:themeColor="text1"/>
                <w:sz w:val="18"/>
                <w:szCs w:val="18"/>
                <w:lang w:val="en-SG" w:eastAsia="en-SG"/>
              </w:rPr>
            </w:pPr>
            <w:proofErr w:type="spellStart"/>
            <w:r w:rsidRPr="003D213D">
              <w:rPr>
                <w:rFonts w:ascii="Arial" w:hAnsi="Arial" w:cs="Arial"/>
                <w:b/>
                <w:bCs/>
                <w:color w:val="000000" w:themeColor="text1"/>
                <w:sz w:val="18"/>
                <w:szCs w:val="18"/>
                <w:lang w:val="en-SG" w:eastAsia="en-SG"/>
              </w:rPr>
              <w:t>Pretax</w:t>
            </w:r>
            <w:proofErr w:type="spellEnd"/>
            <w:r w:rsidRPr="003D213D">
              <w:rPr>
                <w:rFonts w:ascii="Arial" w:hAnsi="Arial" w:cs="Arial"/>
                <w:b/>
                <w:bCs/>
                <w:color w:val="000000" w:themeColor="text1"/>
                <w:sz w:val="18"/>
                <w:szCs w:val="18"/>
                <w:lang w:val="en-SG" w:eastAsia="en-SG"/>
              </w:rPr>
              <w:t xml:space="preserve"> Income (Loss), Adjusted</w:t>
            </w:r>
          </w:p>
        </w:tc>
        <w:tc>
          <w:tcPr>
            <w:tcW w:w="1038" w:type="dxa"/>
            <w:tcBorders>
              <w:top w:val="nil"/>
              <w:left w:val="single" w:sz="4" w:space="0" w:color="auto"/>
              <w:bottom w:val="nil"/>
              <w:right w:val="single" w:sz="4" w:space="0" w:color="auto"/>
            </w:tcBorders>
            <w:shd w:val="clear" w:color="auto" w:fill="auto"/>
            <w:noWrap/>
            <w:vAlign w:val="center"/>
            <w:hideMark/>
          </w:tcPr>
          <w:p w14:paraId="24A6DAE5"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249.3</w:t>
            </w:r>
          </w:p>
        </w:tc>
        <w:tc>
          <w:tcPr>
            <w:tcW w:w="1038" w:type="dxa"/>
            <w:tcBorders>
              <w:top w:val="nil"/>
              <w:left w:val="nil"/>
              <w:bottom w:val="nil"/>
              <w:right w:val="single" w:sz="4" w:space="0" w:color="auto"/>
            </w:tcBorders>
            <w:shd w:val="clear" w:color="auto" w:fill="auto"/>
            <w:noWrap/>
            <w:vAlign w:val="center"/>
            <w:hideMark/>
          </w:tcPr>
          <w:p w14:paraId="30283ED6"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1,324.8</w:t>
            </w:r>
          </w:p>
        </w:tc>
        <w:tc>
          <w:tcPr>
            <w:tcW w:w="1039" w:type="dxa"/>
            <w:tcBorders>
              <w:top w:val="nil"/>
              <w:left w:val="nil"/>
              <w:bottom w:val="nil"/>
              <w:right w:val="single" w:sz="4" w:space="0" w:color="auto"/>
            </w:tcBorders>
            <w:shd w:val="clear" w:color="auto" w:fill="auto"/>
            <w:noWrap/>
            <w:vAlign w:val="center"/>
            <w:hideMark/>
          </w:tcPr>
          <w:p w14:paraId="12FF61B3"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470.8</w:t>
            </w:r>
          </w:p>
        </w:tc>
        <w:tc>
          <w:tcPr>
            <w:tcW w:w="1039" w:type="dxa"/>
            <w:tcBorders>
              <w:top w:val="nil"/>
              <w:left w:val="nil"/>
              <w:bottom w:val="nil"/>
              <w:right w:val="single" w:sz="4" w:space="0" w:color="auto"/>
            </w:tcBorders>
            <w:shd w:val="clear" w:color="auto" w:fill="auto"/>
            <w:noWrap/>
            <w:vAlign w:val="center"/>
            <w:hideMark/>
          </w:tcPr>
          <w:p w14:paraId="6A53CE37"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415.6</w:t>
            </w:r>
          </w:p>
        </w:tc>
        <w:tc>
          <w:tcPr>
            <w:tcW w:w="1039" w:type="dxa"/>
            <w:tcBorders>
              <w:top w:val="nil"/>
              <w:left w:val="nil"/>
              <w:bottom w:val="nil"/>
              <w:right w:val="single" w:sz="4" w:space="0" w:color="auto"/>
            </w:tcBorders>
            <w:shd w:val="clear" w:color="auto" w:fill="auto"/>
            <w:noWrap/>
            <w:vAlign w:val="center"/>
            <w:hideMark/>
          </w:tcPr>
          <w:p w14:paraId="2C1B0B0B"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285.7</w:t>
            </w:r>
          </w:p>
        </w:tc>
        <w:tc>
          <w:tcPr>
            <w:tcW w:w="1039" w:type="dxa"/>
            <w:tcBorders>
              <w:top w:val="nil"/>
              <w:left w:val="nil"/>
              <w:bottom w:val="nil"/>
            </w:tcBorders>
            <w:shd w:val="clear" w:color="auto" w:fill="auto"/>
            <w:noWrap/>
            <w:vAlign w:val="center"/>
            <w:hideMark/>
          </w:tcPr>
          <w:p w14:paraId="24837087"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368.4</w:t>
            </w:r>
          </w:p>
        </w:tc>
      </w:tr>
      <w:tr w:rsidR="00143588" w:rsidRPr="003D213D" w14:paraId="0E56C45E" w14:textId="77777777" w:rsidTr="00F81FD3">
        <w:trPr>
          <w:trHeight w:val="245"/>
          <w:jc w:val="center"/>
        </w:trPr>
        <w:tc>
          <w:tcPr>
            <w:tcW w:w="3023" w:type="dxa"/>
            <w:tcBorders>
              <w:top w:val="nil"/>
              <w:bottom w:val="nil"/>
              <w:right w:val="nil"/>
            </w:tcBorders>
            <w:shd w:val="clear" w:color="auto" w:fill="auto"/>
            <w:noWrap/>
            <w:vAlign w:val="center"/>
            <w:hideMark/>
          </w:tcPr>
          <w:p w14:paraId="1ED81FC8" w14:textId="557CD17C" w:rsidR="00EC00ED" w:rsidRPr="003D213D" w:rsidRDefault="00C26D74" w:rsidP="00576751">
            <w:pPr>
              <w:ind w:left="144"/>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 xml:space="preserve"> </w:t>
            </w:r>
            <w:r w:rsidR="006226D3" w:rsidRPr="003D213D">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 xml:space="preserve"> Abnormal Losses (Gains)</w:t>
            </w:r>
          </w:p>
        </w:tc>
        <w:tc>
          <w:tcPr>
            <w:tcW w:w="1038" w:type="dxa"/>
            <w:tcBorders>
              <w:top w:val="nil"/>
              <w:left w:val="single" w:sz="4" w:space="0" w:color="auto"/>
              <w:bottom w:val="nil"/>
              <w:right w:val="single" w:sz="4" w:space="0" w:color="auto"/>
            </w:tcBorders>
            <w:shd w:val="clear" w:color="auto" w:fill="auto"/>
            <w:noWrap/>
            <w:vAlign w:val="center"/>
            <w:hideMark/>
          </w:tcPr>
          <w:p w14:paraId="64480F0D" w14:textId="1C109B73"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36.2</w:t>
            </w: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3B7645EE" w14:textId="4428515C"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94.2</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43659DFE" w14:textId="0885F0A4"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22.6</w:t>
            </w:r>
          </w:p>
        </w:tc>
        <w:tc>
          <w:tcPr>
            <w:tcW w:w="1039" w:type="dxa"/>
            <w:tcBorders>
              <w:top w:val="nil"/>
              <w:left w:val="nil"/>
              <w:bottom w:val="nil"/>
              <w:right w:val="single" w:sz="4" w:space="0" w:color="auto"/>
            </w:tcBorders>
            <w:shd w:val="clear" w:color="auto" w:fill="auto"/>
            <w:noWrap/>
            <w:vAlign w:val="center"/>
            <w:hideMark/>
          </w:tcPr>
          <w:p w14:paraId="2C6AEDA5" w14:textId="59C6144E"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54.0</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1D2B9AA6" w14:textId="1F05E508"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82.2</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2CD8A5A0" w14:textId="40301E93"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74.5</w:t>
            </w:r>
            <w:r>
              <w:rPr>
                <w:rFonts w:ascii="Arial" w:hAnsi="Arial" w:cs="Arial"/>
                <w:color w:val="000000" w:themeColor="text1"/>
                <w:sz w:val="18"/>
                <w:szCs w:val="18"/>
                <w:lang w:val="en-SG" w:eastAsia="en-SG"/>
              </w:rPr>
              <w:t>)</w:t>
            </w:r>
          </w:p>
        </w:tc>
      </w:tr>
      <w:tr w:rsidR="00143588" w:rsidRPr="003D213D" w14:paraId="48C4DD62" w14:textId="77777777" w:rsidTr="00F81FD3">
        <w:trPr>
          <w:trHeight w:val="245"/>
          <w:jc w:val="center"/>
        </w:trPr>
        <w:tc>
          <w:tcPr>
            <w:tcW w:w="3023" w:type="dxa"/>
            <w:tcBorders>
              <w:top w:val="nil"/>
              <w:bottom w:val="nil"/>
              <w:right w:val="nil"/>
            </w:tcBorders>
            <w:shd w:val="clear" w:color="auto" w:fill="auto"/>
            <w:noWrap/>
            <w:vAlign w:val="center"/>
            <w:hideMark/>
          </w:tcPr>
          <w:p w14:paraId="31B80A70" w14:textId="1111CFDC"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Merger/Acquisition Expense</w:t>
            </w:r>
          </w:p>
        </w:tc>
        <w:tc>
          <w:tcPr>
            <w:tcW w:w="1038" w:type="dxa"/>
            <w:tcBorders>
              <w:top w:val="nil"/>
              <w:left w:val="single" w:sz="4" w:space="0" w:color="auto"/>
              <w:bottom w:val="nil"/>
              <w:right w:val="single" w:sz="4" w:space="0" w:color="auto"/>
            </w:tcBorders>
            <w:shd w:val="clear" w:color="auto" w:fill="auto"/>
            <w:noWrap/>
            <w:vAlign w:val="center"/>
            <w:hideMark/>
          </w:tcPr>
          <w:p w14:paraId="7C753EAE" w14:textId="360AC864"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38F28ACE" w14:textId="2F75476D"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4BC3C266" w14:textId="1B4B4B33"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30059A6C" w14:textId="701D719C"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6201F321" w14:textId="6F1368D9"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7FD92747" w14:textId="7DFA2F0F"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119.8</w:t>
            </w:r>
            <w:r>
              <w:rPr>
                <w:rFonts w:ascii="Arial" w:hAnsi="Arial" w:cs="Arial"/>
                <w:color w:val="000000" w:themeColor="text1"/>
                <w:sz w:val="18"/>
                <w:szCs w:val="18"/>
                <w:lang w:val="en-SG" w:eastAsia="en-SG"/>
              </w:rPr>
              <w:t>)</w:t>
            </w:r>
          </w:p>
        </w:tc>
      </w:tr>
      <w:tr w:rsidR="00143588" w:rsidRPr="003D213D" w14:paraId="17218ACC" w14:textId="77777777" w:rsidTr="00F81FD3">
        <w:trPr>
          <w:trHeight w:val="245"/>
          <w:jc w:val="center"/>
        </w:trPr>
        <w:tc>
          <w:tcPr>
            <w:tcW w:w="3023" w:type="dxa"/>
            <w:tcBorders>
              <w:top w:val="nil"/>
              <w:bottom w:val="nil"/>
              <w:right w:val="nil"/>
            </w:tcBorders>
            <w:shd w:val="clear" w:color="auto" w:fill="auto"/>
            <w:noWrap/>
            <w:vAlign w:val="center"/>
            <w:hideMark/>
          </w:tcPr>
          <w:p w14:paraId="436DC58E" w14:textId="01EC55A7"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Disposal of Assets</w:t>
            </w:r>
          </w:p>
        </w:tc>
        <w:tc>
          <w:tcPr>
            <w:tcW w:w="1038" w:type="dxa"/>
            <w:tcBorders>
              <w:top w:val="nil"/>
              <w:left w:val="single" w:sz="4" w:space="0" w:color="auto"/>
              <w:bottom w:val="nil"/>
              <w:right w:val="single" w:sz="4" w:space="0" w:color="auto"/>
            </w:tcBorders>
            <w:shd w:val="clear" w:color="auto" w:fill="auto"/>
            <w:noWrap/>
            <w:vAlign w:val="center"/>
            <w:hideMark/>
          </w:tcPr>
          <w:p w14:paraId="6540A0F7" w14:textId="629E9D3D"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32.3</w:t>
            </w: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7B6C0F66" w14:textId="7A03287E"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104.3</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7B97BCEE" w14:textId="663559DD"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0.4</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0737E07D" w14:textId="27C5694D"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56.6</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05ABCFCA" w14:textId="5B6565AB"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52.9</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2B4F2A96" w14:textId="5BFA41E3"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54.1</w:t>
            </w:r>
            <w:r>
              <w:rPr>
                <w:rFonts w:ascii="Arial" w:hAnsi="Arial" w:cs="Arial"/>
                <w:color w:val="000000" w:themeColor="text1"/>
                <w:sz w:val="18"/>
                <w:szCs w:val="18"/>
                <w:lang w:val="en-SG" w:eastAsia="en-SG"/>
              </w:rPr>
              <w:t>)</w:t>
            </w:r>
          </w:p>
        </w:tc>
      </w:tr>
      <w:tr w:rsidR="00143588" w:rsidRPr="003D213D" w14:paraId="74F21837" w14:textId="77777777" w:rsidTr="00F81FD3">
        <w:trPr>
          <w:trHeight w:val="245"/>
          <w:jc w:val="center"/>
        </w:trPr>
        <w:tc>
          <w:tcPr>
            <w:tcW w:w="3023" w:type="dxa"/>
            <w:tcBorders>
              <w:top w:val="nil"/>
              <w:bottom w:val="nil"/>
              <w:right w:val="nil"/>
            </w:tcBorders>
            <w:shd w:val="clear" w:color="auto" w:fill="auto"/>
            <w:noWrap/>
            <w:vAlign w:val="center"/>
            <w:hideMark/>
          </w:tcPr>
          <w:p w14:paraId="7CD66077" w14:textId="2ABE8978" w:rsidR="00EC00ED" w:rsidRPr="003D213D" w:rsidRDefault="00A112ED" w:rsidP="00576751">
            <w:pPr>
              <w:ind w:left="288"/>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 xml:space="preserve">+ Asset </w:t>
            </w:r>
            <w:proofErr w:type="spellStart"/>
            <w:r>
              <w:rPr>
                <w:rFonts w:ascii="Arial" w:hAnsi="Arial" w:cs="Arial"/>
                <w:color w:val="000000" w:themeColor="text1"/>
                <w:sz w:val="18"/>
                <w:szCs w:val="18"/>
                <w:lang w:val="en-SG" w:eastAsia="en-SG"/>
              </w:rPr>
              <w:t>Writed</w:t>
            </w:r>
            <w:r w:rsidR="00EC00ED" w:rsidRPr="003D213D">
              <w:rPr>
                <w:rFonts w:ascii="Arial" w:hAnsi="Arial" w:cs="Arial"/>
                <w:color w:val="000000" w:themeColor="text1"/>
                <w:sz w:val="18"/>
                <w:szCs w:val="18"/>
                <w:lang w:val="en-SG" w:eastAsia="en-SG"/>
              </w:rPr>
              <w:t>own</w:t>
            </w:r>
            <w:proofErr w:type="spellEnd"/>
          </w:p>
        </w:tc>
        <w:tc>
          <w:tcPr>
            <w:tcW w:w="1038" w:type="dxa"/>
            <w:tcBorders>
              <w:top w:val="nil"/>
              <w:left w:val="single" w:sz="4" w:space="0" w:color="auto"/>
              <w:bottom w:val="nil"/>
              <w:right w:val="single" w:sz="4" w:space="0" w:color="auto"/>
            </w:tcBorders>
            <w:shd w:val="clear" w:color="auto" w:fill="auto"/>
            <w:noWrap/>
            <w:vAlign w:val="center"/>
            <w:hideMark/>
          </w:tcPr>
          <w:p w14:paraId="473FA373"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6.1</w:t>
            </w:r>
          </w:p>
        </w:tc>
        <w:tc>
          <w:tcPr>
            <w:tcW w:w="1038" w:type="dxa"/>
            <w:tcBorders>
              <w:top w:val="nil"/>
              <w:left w:val="nil"/>
              <w:bottom w:val="nil"/>
              <w:right w:val="single" w:sz="4" w:space="0" w:color="auto"/>
            </w:tcBorders>
            <w:shd w:val="clear" w:color="auto" w:fill="auto"/>
            <w:noWrap/>
            <w:vAlign w:val="center"/>
            <w:hideMark/>
          </w:tcPr>
          <w:p w14:paraId="6F6E541B"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15.7</w:t>
            </w:r>
          </w:p>
        </w:tc>
        <w:tc>
          <w:tcPr>
            <w:tcW w:w="1039" w:type="dxa"/>
            <w:tcBorders>
              <w:top w:val="nil"/>
              <w:left w:val="nil"/>
              <w:bottom w:val="nil"/>
              <w:right w:val="single" w:sz="4" w:space="0" w:color="auto"/>
            </w:tcBorders>
            <w:shd w:val="clear" w:color="auto" w:fill="auto"/>
            <w:noWrap/>
            <w:vAlign w:val="center"/>
            <w:hideMark/>
          </w:tcPr>
          <w:p w14:paraId="769D8E22"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15.8</w:t>
            </w:r>
          </w:p>
        </w:tc>
        <w:tc>
          <w:tcPr>
            <w:tcW w:w="1039" w:type="dxa"/>
            <w:tcBorders>
              <w:top w:val="nil"/>
              <w:left w:val="nil"/>
              <w:bottom w:val="nil"/>
              <w:right w:val="single" w:sz="4" w:space="0" w:color="auto"/>
            </w:tcBorders>
            <w:shd w:val="clear" w:color="auto" w:fill="auto"/>
            <w:noWrap/>
            <w:vAlign w:val="center"/>
            <w:hideMark/>
          </w:tcPr>
          <w:p w14:paraId="1562B826"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9.8</w:t>
            </w:r>
          </w:p>
        </w:tc>
        <w:tc>
          <w:tcPr>
            <w:tcW w:w="1039" w:type="dxa"/>
            <w:tcBorders>
              <w:top w:val="nil"/>
              <w:left w:val="nil"/>
              <w:bottom w:val="nil"/>
              <w:right w:val="single" w:sz="4" w:space="0" w:color="auto"/>
            </w:tcBorders>
            <w:shd w:val="clear" w:color="auto" w:fill="auto"/>
            <w:noWrap/>
            <w:vAlign w:val="center"/>
            <w:hideMark/>
          </w:tcPr>
          <w:p w14:paraId="073F3EC8"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343.0</w:t>
            </w:r>
          </w:p>
        </w:tc>
        <w:tc>
          <w:tcPr>
            <w:tcW w:w="1039" w:type="dxa"/>
            <w:tcBorders>
              <w:top w:val="nil"/>
              <w:left w:val="nil"/>
              <w:bottom w:val="nil"/>
            </w:tcBorders>
            <w:shd w:val="clear" w:color="auto" w:fill="auto"/>
            <w:noWrap/>
            <w:vAlign w:val="center"/>
            <w:hideMark/>
          </w:tcPr>
          <w:p w14:paraId="2058423E"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28.4</w:t>
            </w:r>
          </w:p>
        </w:tc>
      </w:tr>
      <w:tr w:rsidR="00143588" w:rsidRPr="003D213D" w14:paraId="4784995C" w14:textId="77777777" w:rsidTr="00F81FD3">
        <w:trPr>
          <w:trHeight w:val="245"/>
          <w:jc w:val="center"/>
        </w:trPr>
        <w:tc>
          <w:tcPr>
            <w:tcW w:w="3023" w:type="dxa"/>
            <w:tcBorders>
              <w:top w:val="nil"/>
              <w:bottom w:val="nil"/>
              <w:right w:val="nil"/>
            </w:tcBorders>
            <w:shd w:val="clear" w:color="auto" w:fill="auto"/>
            <w:noWrap/>
            <w:vAlign w:val="center"/>
            <w:hideMark/>
          </w:tcPr>
          <w:p w14:paraId="0697F211" w14:textId="6AAC7890"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Gain/Los</w:t>
            </w:r>
            <w:r w:rsidR="00EB1BD1" w:rsidRPr="003D213D">
              <w:rPr>
                <w:rFonts w:ascii="Arial" w:hAnsi="Arial" w:cs="Arial"/>
                <w:color w:val="000000" w:themeColor="text1"/>
                <w:sz w:val="18"/>
                <w:szCs w:val="18"/>
                <w:lang w:val="en-SG" w:eastAsia="en-SG"/>
              </w:rPr>
              <w:t>s on Sale/Acquisition</w:t>
            </w:r>
          </w:p>
        </w:tc>
        <w:tc>
          <w:tcPr>
            <w:tcW w:w="1038" w:type="dxa"/>
            <w:tcBorders>
              <w:top w:val="nil"/>
              <w:left w:val="single" w:sz="4" w:space="0" w:color="auto"/>
              <w:bottom w:val="nil"/>
              <w:right w:val="single" w:sz="4" w:space="0" w:color="auto"/>
            </w:tcBorders>
            <w:shd w:val="clear" w:color="auto" w:fill="auto"/>
            <w:noWrap/>
            <w:vAlign w:val="center"/>
            <w:hideMark/>
          </w:tcPr>
          <w:p w14:paraId="0E2E21DD" w14:textId="5C2F5D0D"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1AD5CACB"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0.7</w:t>
            </w:r>
          </w:p>
        </w:tc>
        <w:tc>
          <w:tcPr>
            <w:tcW w:w="1039" w:type="dxa"/>
            <w:tcBorders>
              <w:top w:val="nil"/>
              <w:left w:val="nil"/>
              <w:bottom w:val="nil"/>
              <w:right w:val="single" w:sz="4" w:space="0" w:color="auto"/>
            </w:tcBorders>
            <w:shd w:val="clear" w:color="auto" w:fill="auto"/>
            <w:noWrap/>
            <w:vAlign w:val="center"/>
            <w:hideMark/>
          </w:tcPr>
          <w:p w14:paraId="16D1875E" w14:textId="5E1F216C"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7F42EEC5" w14:textId="6EF25C31"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8.3</w:t>
            </w:r>
            <w:r w:rsidR="00785370">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45CF02A9" w14:textId="62C7A967"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371.7</w:t>
            </w:r>
            <w:r w:rsidR="00785370">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31A5FA6B" w14:textId="20BAB9F3"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13.1</w:t>
            </w:r>
            <w:r w:rsidR="00785370">
              <w:rPr>
                <w:rFonts w:ascii="Arial" w:hAnsi="Arial" w:cs="Arial"/>
                <w:color w:val="000000" w:themeColor="text1"/>
                <w:sz w:val="18"/>
                <w:szCs w:val="18"/>
                <w:lang w:val="en-SG" w:eastAsia="en-SG"/>
              </w:rPr>
              <w:t>)</w:t>
            </w:r>
          </w:p>
        </w:tc>
      </w:tr>
      <w:tr w:rsidR="00143588" w:rsidRPr="003D213D" w14:paraId="49F64F86" w14:textId="77777777" w:rsidTr="00F81FD3">
        <w:trPr>
          <w:trHeight w:val="245"/>
          <w:jc w:val="center"/>
        </w:trPr>
        <w:tc>
          <w:tcPr>
            <w:tcW w:w="3023" w:type="dxa"/>
            <w:tcBorders>
              <w:top w:val="nil"/>
              <w:bottom w:val="nil"/>
              <w:right w:val="nil"/>
            </w:tcBorders>
            <w:shd w:val="clear" w:color="auto" w:fill="auto"/>
            <w:noWrap/>
            <w:vAlign w:val="center"/>
            <w:hideMark/>
          </w:tcPr>
          <w:p w14:paraId="1A726839" w14:textId="367C5779"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Sale of Investments</w:t>
            </w:r>
          </w:p>
        </w:tc>
        <w:tc>
          <w:tcPr>
            <w:tcW w:w="1038" w:type="dxa"/>
            <w:tcBorders>
              <w:top w:val="nil"/>
              <w:left w:val="single" w:sz="4" w:space="0" w:color="auto"/>
              <w:bottom w:val="nil"/>
              <w:right w:val="single" w:sz="4" w:space="0" w:color="auto"/>
            </w:tcBorders>
            <w:shd w:val="clear" w:color="auto" w:fill="auto"/>
            <w:noWrap/>
            <w:vAlign w:val="center"/>
            <w:hideMark/>
          </w:tcPr>
          <w:p w14:paraId="32151BC3" w14:textId="5B349FA3"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10.0</w:t>
            </w: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6ED6E57F" w14:textId="0CDD1286"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6.3</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452F3B4A"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0.3</w:t>
            </w:r>
          </w:p>
        </w:tc>
        <w:tc>
          <w:tcPr>
            <w:tcW w:w="1039" w:type="dxa"/>
            <w:tcBorders>
              <w:top w:val="nil"/>
              <w:left w:val="nil"/>
              <w:bottom w:val="nil"/>
              <w:right w:val="single" w:sz="4" w:space="0" w:color="auto"/>
            </w:tcBorders>
            <w:shd w:val="clear" w:color="auto" w:fill="auto"/>
            <w:noWrap/>
            <w:vAlign w:val="center"/>
            <w:hideMark/>
          </w:tcPr>
          <w:p w14:paraId="40024CFD"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w:t>
            </w:r>
          </w:p>
        </w:tc>
        <w:tc>
          <w:tcPr>
            <w:tcW w:w="1039" w:type="dxa"/>
            <w:tcBorders>
              <w:top w:val="nil"/>
              <w:left w:val="nil"/>
              <w:bottom w:val="nil"/>
              <w:right w:val="single" w:sz="4" w:space="0" w:color="auto"/>
            </w:tcBorders>
            <w:shd w:val="clear" w:color="auto" w:fill="auto"/>
            <w:noWrap/>
            <w:vAlign w:val="center"/>
            <w:hideMark/>
          </w:tcPr>
          <w:p w14:paraId="33506E36" w14:textId="181C5E26"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0.6</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2FA0E177" w14:textId="13548584"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3.9</w:t>
            </w:r>
            <w:r>
              <w:rPr>
                <w:rFonts w:ascii="Arial" w:hAnsi="Arial" w:cs="Arial"/>
                <w:color w:val="000000" w:themeColor="text1"/>
                <w:sz w:val="18"/>
                <w:szCs w:val="18"/>
                <w:lang w:val="en-SG" w:eastAsia="en-SG"/>
              </w:rPr>
              <w:t>)</w:t>
            </w:r>
          </w:p>
        </w:tc>
      </w:tr>
      <w:tr w:rsidR="00143588" w:rsidRPr="003D213D" w14:paraId="5B33EAD8" w14:textId="77777777" w:rsidTr="00F81FD3">
        <w:trPr>
          <w:trHeight w:val="245"/>
          <w:jc w:val="center"/>
        </w:trPr>
        <w:tc>
          <w:tcPr>
            <w:tcW w:w="3023" w:type="dxa"/>
            <w:tcBorders>
              <w:top w:val="nil"/>
              <w:bottom w:val="nil"/>
              <w:right w:val="nil"/>
            </w:tcBorders>
            <w:shd w:val="clear" w:color="auto" w:fill="auto"/>
            <w:noWrap/>
            <w:vAlign w:val="center"/>
            <w:hideMark/>
          </w:tcPr>
          <w:p w14:paraId="0955917D" w14:textId="2C92C4CA"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Unrealized Investments</w:t>
            </w:r>
          </w:p>
        </w:tc>
        <w:tc>
          <w:tcPr>
            <w:tcW w:w="1038" w:type="dxa"/>
            <w:tcBorders>
              <w:top w:val="nil"/>
              <w:left w:val="single" w:sz="4" w:space="0" w:color="auto"/>
              <w:bottom w:val="nil"/>
              <w:right w:val="single" w:sz="4" w:space="0" w:color="auto"/>
            </w:tcBorders>
            <w:shd w:val="clear" w:color="auto" w:fill="auto"/>
            <w:noWrap/>
            <w:vAlign w:val="center"/>
            <w:hideMark/>
          </w:tcPr>
          <w:p w14:paraId="32BB18AA" w14:textId="46DF2022"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4EAE0AB2" w14:textId="5889482A"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05DD3FCF" w14:textId="5F7CFDDB"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13E5A651" w14:textId="459C17BE"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6C2A3B27" w14:textId="29F9BC8B"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2B2C3D2E"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63.9</w:t>
            </w:r>
          </w:p>
        </w:tc>
      </w:tr>
      <w:tr w:rsidR="00143588" w:rsidRPr="003D213D" w14:paraId="2076DDDB" w14:textId="77777777" w:rsidTr="00F81FD3">
        <w:trPr>
          <w:trHeight w:val="245"/>
          <w:jc w:val="center"/>
        </w:trPr>
        <w:tc>
          <w:tcPr>
            <w:tcW w:w="3023" w:type="dxa"/>
            <w:tcBorders>
              <w:top w:val="nil"/>
              <w:bottom w:val="nil"/>
              <w:right w:val="nil"/>
            </w:tcBorders>
            <w:shd w:val="clear" w:color="auto" w:fill="auto"/>
            <w:noWrap/>
            <w:vAlign w:val="center"/>
            <w:hideMark/>
          </w:tcPr>
          <w:p w14:paraId="71C55834" w14:textId="7BB0A303"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Other Abnormal Items</w:t>
            </w:r>
          </w:p>
        </w:tc>
        <w:tc>
          <w:tcPr>
            <w:tcW w:w="1038" w:type="dxa"/>
            <w:tcBorders>
              <w:top w:val="nil"/>
              <w:left w:val="single" w:sz="4" w:space="0" w:color="auto"/>
              <w:bottom w:val="nil"/>
              <w:right w:val="single" w:sz="4" w:space="0" w:color="auto"/>
            </w:tcBorders>
            <w:shd w:val="clear" w:color="auto" w:fill="auto"/>
            <w:noWrap/>
            <w:vAlign w:val="center"/>
            <w:hideMark/>
          </w:tcPr>
          <w:p w14:paraId="3AD5A6C5" w14:textId="0D2D5C63"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316BB25A" w14:textId="01211CB9"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0BA5F7EC"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5.6</w:t>
            </w:r>
          </w:p>
        </w:tc>
        <w:tc>
          <w:tcPr>
            <w:tcW w:w="1039" w:type="dxa"/>
            <w:tcBorders>
              <w:top w:val="nil"/>
              <w:left w:val="nil"/>
              <w:bottom w:val="nil"/>
              <w:right w:val="single" w:sz="4" w:space="0" w:color="auto"/>
            </w:tcBorders>
            <w:shd w:val="clear" w:color="auto" w:fill="auto"/>
            <w:noWrap/>
            <w:vAlign w:val="center"/>
            <w:hideMark/>
          </w:tcPr>
          <w:p w14:paraId="7924C850" w14:textId="2F2ABE89"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13258C04" w14:textId="43406030" w:rsidR="00EC00ED" w:rsidRPr="003D213D" w:rsidRDefault="009C4260">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22793F1C"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24.1</w:t>
            </w:r>
          </w:p>
        </w:tc>
      </w:tr>
      <w:tr w:rsidR="00143588" w:rsidRPr="003D213D" w14:paraId="5C730DAF" w14:textId="77777777" w:rsidTr="00F81FD3">
        <w:trPr>
          <w:trHeight w:val="245"/>
          <w:jc w:val="center"/>
        </w:trPr>
        <w:tc>
          <w:tcPr>
            <w:tcW w:w="3023" w:type="dxa"/>
            <w:tcBorders>
              <w:top w:val="nil"/>
              <w:bottom w:val="nil"/>
              <w:right w:val="nil"/>
            </w:tcBorders>
            <w:shd w:val="clear" w:color="auto" w:fill="auto"/>
            <w:noWrap/>
            <w:vAlign w:val="center"/>
            <w:hideMark/>
          </w:tcPr>
          <w:p w14:paraId="0B29D561" w14:textId="77777777" w:rsidR="00EC00ED" w:rsidRPr="003D213D" w:rsidRDefault="00EC00ED" w:rsidP="00EC00ED">
            <w:pPr>
              <w:rPr>
                <w:rFonts w:ascii="Arial" w:hAnsi="Arial" w:cs="Arial"/>
                <w:b/>
                <w:bCs/>
                <w:color w:val="000000" w:themeColor="text1"/>
                <w:sz w:val="18"/>
                <w:szCs w:val="18"/>
                <w:lang w:val="en-SG" w:eastAsia="en-SG"/>
              </w:rPr>
            </w:pPr>
            <w:proofErr w:type="spellStart"/>
            <w:r w:rsidRPr="003D213D">
              <w:rPr>
                <w:rFonts w:ascii="Arial" w:hAnsi="Arial" w:cs="Arial"/>
                <w:b/>
                <w:bCs/>
                <w:color w:val="000000" w:themeColor="text1"/>
                <w:sz w:val="18"/>
                <w:szCs w:val="18"/>
                <w:lang w:val="en-SG" w:eastAsia="en-SG"/>
              </w:rPr>
              <w:t>Pretax</w:t>
            </w:r>
            <w:proofErr w:type="spellEnd"/>
            <w:r w:rsidRPr="003D213D">
              <w:rPr>
                <w:rFonts w:ascii="Arial" w:hAnsi="Arial" w:cs="Arial"/>
                <w:b/>
                <w:bCs/>
                <w:color w:val="000000" w:themeColor="text1"/>
                <w:sz w:val="18"/>
                <w:szCs w:val="18"/>
                <w:lang w:val="en-SG" w:eastAsia="en-SG"/>
              </w:rPr>
              <w:t xml:space="preserve"> Income (Loss), GAAP</w:t>
            </w:r>
          </w:p>
        </w:tc>
        <w:tc>
          <w:tcPr>
            <w:tcW w:w="1038" w:type="dxa"/>
            <w:tcBorders>
              <w:top w:val="nil"/>
              <w:left w:val="single" w:sz="4" w:space="0" w:color="auto"/>
              <w:bottom w:val="nil"/>
              <w:right w:val="single" w:sz="4" w:space="0" w:color="auto"/>
            </w:tcBorders>
            <w:shd w:val="clear" w:color="auto" w:fill="auto"/>
            <w:noWrap/>
            <w:vAlign w:val="center"/>
            <w:hideMark/>
          </w:tcPr>
          <w:p w14:paraId="5EEBB444"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285.5</w:t>
            </w:r>
          </w:p>
        </w:tc>
        <w:tc>
          <w:tcPr>
            <w:tcW w:w="1038" w:type="dxa"/>
            <w:tcBorders>
              <w:top w:val="nil"/>
              <w:left w:val="nil"/>
              <w:bottom w:val="nil"/>
              <w:right w:val="single" w:sz="4" w:space="0" w:color="auto"/>
            </w:tcBorders>
            <w:shd w:val="clear" w:color="auto" w:fill="auto"/>
            <w:noWrap/>
            <w:vAlign w:val="center"/>
            <w:hideMark/>
          </w:tcPr>
          <w:p w14:paraId="136F803A"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1,419.0</w:t>
            </w:r>
          </w:p>
        </w:tc>
        <w:tc>
          <w:tcPr>
            <w:tcW w:w="1039" w:type="dxa"/>
            <w:tcBorders>
              <w:top w:val="nil"/>
              <w:left w:val="nil"/>
              <w:bottom w:val="nil"/>
              <w:right w:val="single" w:sz="4" w:space="0" w:color="auto"/>
            </w:tcBorders>
            <w:shd w:val="clear" w:color="auto" w:fill="auto"/>
            <w:noWrap/>
            <w:vAlign w:val="center"/>
            <w:hideMark/>
          </w:tcPr>
          <w:p w14:paraId="3796FDA6"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448.2</w:t>
            </w:r>
          </w:p>
        </w:tc>
        <w:tc>
          <w:tcPr>
            <w:tcW w:w="1039" w:type="dxa"/>
            <w:tcBorders>
              <w:top w:val="nil"/>
              <w:left w:val="nil"/>
              <w:bottom w:val="nil"/>
              <w:right w:val="single" w:sz="4" w:space="0" w:color="auto"/>
            </w:tcBorders>
            <w:shd w:val="clear" w:color="auto" w:fill="auto"/>
            <w:noWrap/>
            <w:vAlign w:val="center"/>
            <w:hideMark/>
          </w:tcPr>
          <w:p w14:paraId="368D9535"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469.6</w:t>
            </w:r>
          </w:p>
        </w:tc>
        <w:tc>
          <w:tcPr>
            <w:tcW w:w="1039" w:type="dxa"/>
            <w:tcBorders>
              <w:top w:val="nil"/>
              <w:left w:val="nil"/>
              <w:bottom w:val="nil"/>
              <w:right w:val="single" w:sz="4" w:space="0" w:color="auto"/>
            </w:tcBorders>
            <w:shd w:val="clear" w:color="auto" w:fill="auto"/>
            <w:noWrap/>
            <w:vAlign w:val="center"/>
            <w:hideMark/>
          </w:tcPr>
          <w:p w14:paraId="70A1EC2A"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367.9</w:t>
            </w:r>
          </w:p>
        </w:tc>
        <w:tc>
          <w:tcPr>
            <w:tcW w:w="1039" w:type="dxa"/>
            <w:tcBorders>
              <w:top w:val="nil"/>
              <w:left w:val="nil"/>
              <w:bottom w:val="nil"/>
            </w:tcBorders>
            <w:shd w:val="clear" w:color="auto" w:fill="auto"/>
            <w:noWrap/>
            <w:vAlign w:val="center"/>
            <w:hideMark/>
          </w:tcPr>
          <w:p w14:paraId="0EEE0644"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442.9</w:t>
            </w:r>
          </w:p>
        </w:tc>
      </w:tr>
      <w:tr w:rsidR="00143588" w:rsidRPr="003D213D" w14:paraId="57F8277C" w14:textId="77777777" w:rsidTr="00F81FD3">
        <w:trPr>
          <w:trHeight w:val="245"/>
          <w:jc w:val="center"/>
        </w:trPr>
        <w:tc>
          <w:tcPr>
            <w:tcW w:w="3023" w:type="dxa"/>
            <w:tcBorders>
              <w:top w:val="nil"/>
              <w:bottom w:val="nil"/>
              <w:right w:val="nil"/>
            </w:tcBorders>
            <w:shd w:val="clear" w:color="auto" w:fill="auto"/>
            <w:noWrap/>
            <w:vAlign w:val="center"/>
            <w:hideMark/>
          </w:tcPr>
          <w:p w14:paraId="44E0C824" w14:textId="72414836" w:rsidR="00EC00ED" w:rsidRPr="003D213D" w:rsidRDefault="006226D3" w:rsidP="00576751">
            <w:pPr>
              <w:ind w:left="144"/>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 xml:space="preserve"> Income Tax Expense (Benefit)</w:t>
            </w:r>
          </w:p>
        </w:tc>
        <w:tc>
          <w:tcPr>
            <w:tcW w:w="1038" w:type="dxa"/>
            <w:tcBorders>
              <w:top w:val="nil"/>
              <w:left w:val="single" w:sz="4" w:space="0" w:color="auto"/>
              <w:bottom w:val="nil"/>
              <w:right w:val="single" w:sz="4" w:space="0" w:color="auto"/>
            </w:tcBorders>
            <w:shd w:val="clear" w:color="auto" w:fill="auto"/>
            <w:noWrap/>
            <w:vAlign w:val="center"/>
            <w:hideMark/>
          </w:tcPr>
          <w:p w14:paraId="7E6AF78C"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6.0</w:t>
            </w:r>
          </w:p>
        </w:tc>
        <w:tc>
          <w:tcPr>
            <w:tcW w:w="1038" w:type="dxa"/>
            <w:tcBorders>
              <w:top w:val="nil"/>
              <w:left w:val="nil"/>
              <w:bottom w:val="nil"/>
              <w:right w:val="single" w:sz="4" w:space="0" w:color="auto"/>
            </w:tcBorders>
            <w:shd w:val="clear" w:color="auto" w:fill="auto"/>
            <w:noWrap/>
            <w:vAlign w:val="center"/>
            <w:hideMark/>
          </w:tcPr>
          <w:p w14:paraId="68A7BA55"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270.2</w:t>
            </w:r>
          </w:p>
        </w:tc>
        <w:tc>
          <w:tcPr>
            <w:tcW w:w="1039" w:type="dxa"/>
            <w:tcBorders>
              <w:top w:val="nil"/>
              <w:left w:val="nil"/>
              <w:bottom w:val="nil"/>
              <w:right w:val="single" w:sz="4" w:space="0" w:color="auto"/>
            </w:tcBorders>
            <w:shd w:val="clear" w:color="auto" w:fill="auto"/>
            <w:noWrap/>
            <w:vAlign w:val="center"/>
            <w:hideMark/>
          </w:tcPr>
          <w:p w14:paraId="05A42E1E"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51.4</w:t>
            </w:r>
          </w:p>
        </w:tc>
        <w:tc>
          <w:tcPr>
            <w:tcW w:w="1039" w:type="dxa"/>
            <w:tcBorders>
              <w:top w:val="nil"/>
              <w:left w:val="nil"/>
              <w:bottom w:val="nil"/>
              <w:right w:val="single" w:sz="4" w:space="0" w:color="auto"/>
            </w:tcBorders>
            <w:shd w:val="clear" w:color="auto" w:fill="auto"/>
            <w:noWrap/>
            <w:vAlign w:val="center"/>
            <w:hideMark/>
          </w:tcPr>
          <w:p w14:paraId="0689E335"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28.0</w:t>
            </w:r>
          </w:p>
        </w:tc>
        <w:tc>
          <w:tcPr>
            <w:tcW w:w="1039" w:type="dxa"/>
            <w:tcBorders>
              <w:top w:val="nil"/>
              <w:left w:val="nil"/>
              <w:bottom w:val="nil"/>
              <w:right w:val="single" w:sz="4" w:space="0" w:color="auto"/>
            </w:tcBorders>
            <w:shd w:val="clear" w:color="auto" w:fill="auto"/>
            <w:noWrap/>
            <w:vAlign w:val="center"/>
            <w:hideMark/>
          </w:tcPr>
          <w:p w14:paraId="72DE2578" w14:textId="4D7C44B0"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56.5</w:t>
            </w:r>
            <w:r w:rsidR="00785370">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4F5055CB"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36.2</w:t>
            </w:r>
          </w:p>
        </w:tc>
      </w:tr>
      <w:tr w:rsidR="00143588" w:rsidRPr="003D213D" w14:paraId="5A2A5E55" w14:textId="77777777" w:rsidTr="00F81FD3">
        <w:trPr>
          <w:trHeight w:val="245"/>
          <w:jc w:val="center"/>
        </w:trPr>
        <w:tc>
          <w:tcPr>
            <w:tcW w:w="3023" w:type="dxa"/>
            <w:tcBorders>
              <w:top w:val="nil"/>
              <w:bottom w:val="nil"/>
              <w:right w:val="nil"/>
            </w:tcBorders>
            <w:shd w:val="clear" w:color="auto" w:fill="auto"/>
            <w:noWrap/>
            <w:vAlign w:val="center"/>
            <w:hideMark/>
          </w:tcPr>
          <w:p w14:paraId="660F989C" w14:textId="3364048E"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Current Income Tax</w:t>
            </w:r>
          </w:p>
        </w:tc>
        <w:tc>
          <w:tcPr>
            <w:tcW w:w="1038" w:type="dxa"/>
            <w:tcBorders>
              <w:top w:val="nil"/>
              <w:left w:val="single" w:sz="4" w:space="0" w:color="auto"/>
              <w:bottom w:val="nil"/>
              <w:right w:val="single" w:sz="4" w:space="0" w:color="auto"/>
            </w:tcBorders>
            <w:shd w:val="clear" w:color="auto" w:fill="auto"/>
            <w:noWrap/>
            <w:vAlign w:val="center"/>
            <w:hideMark/>
          </w:tcPr>
          <w:p w14:paraId="7F5E8D55" w14:textId="1F0F95A7"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33.9</w:t>
            </w: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6960EEF6"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395.4</w:t>
            </w:r>
          </w:p>
        </w:tc>
        <w:tc>
          <w:tcPr>
            <w:tcW w:w="1039" w:type="dxa"/>
            <w:tcBorders>
              <w:top w:val="nil"/>
              <w:left w:val="nil"/>
              <w:bottom w:val="nil"/>
              <w:right w:val="single" w:sz="4" w:space="0" w:color="auto"/>
            </w:tcBorders>
            <w:shd w:val="clear" w:color="auto" w:fill="auto"/>
            <w:noWrap/>
            <w:vAlign w:val="center"/>
            <w:hideMark/>
          </w:tcPr>
          <w:p w14:paraId="46BC4196"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214.0</w:t>
            </w:r>
          </w:p>
        </w:tc>
        <w:tc>
          <w:tcPr>
            <w:tcW w:w="1039" w:type="dxa"/>
            <w:tcBorders>
              <w:top w:val="nil"/>
              <w:left w:val="nil"/>
              <w:bottom w:val="nil"/>
              <w:right w:val="single" w:sz="4" w:space="0" w:color="auto"/>
            </w:tcBorders>
            <w:shd w:val="clear" w:color="auto" w:fill="auto"/>
            <w:noWrap/>
            <w:vAlign w:val="center"/>
            <w:hideMark/>
          </w:tcPr>
          <w:p w14:paraId="3F2CF8C0"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116.1</w:t>
            </w:r>
          </w:p>
        </w:tc>
        <w:tc>
          <w:tcPr>
            <w:tcW w:w="1039" w:type="dxa"/>
            <w:tcBorders>
              <w:top w:val="nil"/>
              <w:left w:val="nil"/>
              <w:bottom w:val="nil"/>
              <w:right w:val="single" w:sz="4" w:space="0" w:color="auto"/>
            </w:tcBorders>
            <w:shd w:val="clear" w:color="auto" w:fill="auto"/>
            <w:noWrap/>
            <w:vAlign w:val="center"/>
            <w:hideMark/>
          </w:tcPr>
          <w:p w14:paraId="3B4FAEC0"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121.7</w:t>
            </w:r>
          </w:p>
        </w:tc>
        <w:tc>
          <w:tcPr>
            <w:tcW w:w="1039" w:type="dxa"/>
            <w:tcBorders>
              <w:top w:val="nil"/>
              <w:left w:val="nil"/>
              <w:bottom w:val="nil"/>
            </w:tcBorders>
            <w:shd w:val="clear" w:color="auto" w:fill="auto"/>
            <w:noWrap/>
            <w:vAlign w:val="center"/>
            <w:hideMark/>
          </w:tcPr>
          <w:p w14:paraId="7AEFBCC9"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129.3</w:t>
            </w:r>
          </w:p>
        </w:tc>
      </w:tr>
      <w:tr w:rsidR="00143588" w:rsidRPr="003D213D" w14:paraId="1193BA8B" w14:textId="77777777" w:rsidTr="00F81FD3">
        <w:trPr>
          <w:trHeight w:val="245"/>
          <w:jc w:val="center"/>
        </w:trPr>
        <w:tc>
          <w:tcPr>
            <w:tcW w:w="3023" w:type="dxa"/>
            <w:tcBorders>
              <w:top w:val="nil"/>
              <w:bottom w:val="nil"/>
              <w:right w:val="nil"/>
            </w:tcBorders>
            <w:shd w:val="clear" w:color="auto" w:fill="auto"/>
            <w:noWrap/>
            <w:vAlign w:val="center"/>
            <w:hideMark/>
          </w:tcPr>
          <w:p w14:paraId="2671D1B3" w14:textId="33ECE7E2" w:rsidR="00EC00ED" w:rsidRPr="003D213D" w:rsidRDefault="00EC00ED" w:rsidP="00576751">
            <w:pPr>
              <w:ind w:left="288"/>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 Deferred Income Tax</w:t>
            </w:r>
          </w:p>
        </w:tc>
        <w:tc>
          <w:tcPr>
            <w:tcW w:w="1038" w:type="dxa"/>
            <w:tcBorders>
              <w:top w:val="nil"/>
              <w:left w:val="single" w:sz="4" w:space="0" w:color="auto"/>
              <w:bottom w:val="nil"/>
              <w:right w:val="single" w:sz="4" w:space="0" w:color="auto"/>
            </w:tcBorders>
            <w:shd w:val="clear" w:color="auto" w:fill="auto"/>
            <w:noWrap/>
            <w:vAlign w:val="center"/>
            <w:hideMark/>
          </w:tcPr>
          <w:p w14:paraId="77868C4D"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39.9</w:t>
            </w:r>
          </w:p>
        </w:tc>
        <w:tc>
          <w:tcPr>
            <w:tcW w:w="1038" w:type="dxa"/>
            <w:tcBorders>
              <w:top w:val="nil"/>
              <w:left w:val="nil"/>
              <w:bottom w:val="nil"/>
              <w:right w:val="single" w:sz="4" w:space="0" w:color="auto"/>
            </w:tcBorders>
            <w:shd w:val="clear" w:color="auto" w:fill="auto"/>
            <w:noWrap/>
            <w:vAlign w:val="center"/>
            <w:hideMark/>
          </w:tcPr>
          <w:p w14:paraId="7FC162BA" w14:textId="22889621"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125.2</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38F5640B" w14:textId="6CF43F56"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162.6</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390BD82F" w14:textId="712EADCA"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88.1</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167142EA" w14:textId="26CE1FC9"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178.2</w:t>
            </w:r>
            <w:r w:rsidR="00785370">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1220DB8F" w14:textId="4CA6302B"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93.1</w:t>
            </w:r>
            <w:r>
              <w:rPr>
                <w:rFonts w:ascii="Arial" w:hAnsi="Arial" w:cs="Arial"/>
                <w:color w:val="000000" w:themeColor="text1"/>
                <w:sz w:val="18"/>
                <w:szCs w:val="18"/>
                <w:lang w:val="en-SG" w:eastAsia="en-SG"/>
              </w:rPr>
              <w:t>)</w:t>
            </w:r>
          </w:p>
        </w:tc>
      </w:tr>
      <w:tr w:rsidR="00143588" w:rsidRPr="003D213D" w14:paraId="7AAADFAE" w14:textId="77777777" w:rsidTr="00F81FD3">
        <w:trPr>
          <w:trHeight w:val="245"/>
          <w:jc w:val="center"/>
        </w:trPr>
        <w:tc>
          <w:tcPr>
            <w:tcW w:w="3023" w:type="dxa"/>
            <w:tcBorders>
              <w:top w:val="nil"/>
              <w:bottom w:val="nil"/>
              <w:right w:val="nil"/>
            </w:tcBorders>
            <w:shd w:val="clear" w:color="auto" w:fill="auto"/>
            <w:noWrap/>
            <w:vAlign w:val="center"/>
            <w:hideMark/>
          </w:tcPr>
          <w:p w14:paraId="6B6825CF" w14:textId="77777777" w:rsidR="00EC00ED" w:rsidRPr="003D213D" w:rsidRDefault="00EC00ED" w:rsidP="00EC00ED">
            <w:pPr>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 xml:space="preserve">Income (Loss) from </w:t>
            </w:r>
            <w:proofErr w:type="spellStart"/>
            <w:r w:rsidRPr="003D213D">
              <w:rPr>
                <w:rFonts w:ascii="Arial" w:hAnsi="Arial" w:cs="Arial"/>
                <w:b/>
                <w:bCs/>
                <w:color w:val="000000" w:themeColor="text1"/>
                <w:sz w:val="18"/>
                <w:szCs w:val="18"/>
                <w:lang w:val="en-SG" w:eastAsia="en-SG"/>
              </w:rPr>
              <w:t>Cont</w:t>
            </w:r>
            <w:proofErr w:type="spellEnd"/>
            <w:r w:rsidRPr="003D213D">
              <w:rPr>
                <w:rFonts w:ascii="Arial" w:hAnsi="Arial" w:cs="Arial"/>
                <w:b/>
                <w:bCs/>
                <w:color w:val="000000" w:themeColor="text1"/>
                <w:sz w:val="18"/>
                <w:szCs w:val="18"/>
                <w:lang w:val="en-SG" w:eastAsia="en-SG"/>
              </w:rPr>
              <w:t xml:space="preserve"> Ops</w:t>
            </w:r>
          </w:p>
        </w:tc>
        <w:tc>
          <w:tcPr>
            <w:tcW w:w="1038" w:type="dxa"/>
            <w:tcBorders>
              <w:top w:val="nil"/>
              <w:left w:val="single" w:sz="4" w:space="0" w:color="auto"/>
              <w:bottom w:val="nil"/>
              <w:right w:val="single" w:sz="4" w:space="0" w:color="auto"/>
            </w:tcBorders>
            <w:shd w:val="clear" w:color="auto" w:fill="auto"/>
            <w:noWrap/>
            <w:vAlign w:val="center"/>
            <w:hideMark/>
          </w:tcPr>
          <w:p w14:paraId="157F62B3"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279.5</w:t>
            </w:r>
          </w:p>
        </w:tc>
        <w:tc>
          <w:tcPr>
            <w:tcW w:w="1038" w:type="dxa"/>
            <w:tcBorders>
              <w:top w:val="nil"/>
              <w:left w:val="nil"/>
              <w:bottom w:val="nil"/>
              <w:right w:val="single" w:sz="4" w:space="0" w:color="auto"/>
            </w:tcBorders>
            <w:shd w:val="clear" w:color="auto" w:fill="auto"/>
            <w:noWrap/>
            <w:vAlign w:val="center"/>
            <w:hideMark/>
          </w:tcPr>
          <w:p w14:paraId="52FA211A"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1,148.8</w:t>
            </w:r>
          </w:p>
        </w:tc>
        <w:tc>
          <w:tcPr>
            <w:tcW w:w="1039" w:type="dxa"/>
            <w:tcBorders>
              <w:top w:val="nil"/>
              <w:left w:val="nil"/>
              <w:bottom w:val="nil"/>
              <w:right w:val="single" w:sz="4" w:space="0" w:color="auto"/>
            </w:tcBorders>
            <w:shd w:val="clear" w:color="auto" w:fill="auto"/>
            <w:noWrap/>
            <w:vAlign w:val="center"/>
            <w:hideMark/>
          </w:tcPr>
          <w:p w14:paraId="60D4C580"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396.8</w:t>
            </w:r>
          </w:p>
        </w:tc>
        <w:tc>
          <w:tcPr>
            <w:tcW w:w="1039" w:type="dxa"/>
            <w:tcBorders>
              <w:top w:val="nil"/>
              <w:left w:val="nil"/>
              <w:bottom w:val="nil"/>
              <w:right w:val="single" w:sz="4" w:space="0" w:color="auto"/>
            </w:tcBorders>
            <w:shd w:val="clear" w:color="auto" w:fill="auto"/>
            <w:noWrap/>
            <w:vAlign w:val="center"/>
            <w:hideMark/>
          </w:tcPr>
          <w:p w14:paraId="5DA99E48"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441.6</w:t>
            </w:r>
          </w:p>
        </w:tc>
        <w:tc>
          <w:tcPr>
            <w:tcW w:w="1039" w:type="dxa"/>
            <w:tcBorders>
              <w:top w:val="nil"/>
              <w:left w:val="nil"/>
              <w:bottom w:val="nil"/>
              <w:right w:val="single" w:sz="4" w:space="0" w:color="auto"/>
            </w:tcBorders>
            <w:shd w:val="clear" w:color="auto" w:fill="auto"/>
            <w:noWrap/>
            <w:vAlign w:val="center"/>
            <w:hideMark/>
          </w:tcPr>
          <w:p w14:paraId="4F2A27BE"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424.4</w:t>
            </w:r>
          </w:p>
        </w:tc>
        <w:tc>
          <w:tcPr>
            <w:tcW w:w="1039" w:type="dxa"/>
            <w:tcBorders>
              <w:top w:val="nil"/>
              <w:left w:val="nil"/>
              <w:bottom w:val="nil"/>
            </w:tcBorders>
            <w:shd w:val="clear" w:color="auto" w:fill="auto"/>
            <w:noWrap/>
            <w:vAlign w:val="center"/>
            <w:hideMark/>
          </w:tcPr>
          <w:p w14:paraId="1F4379F8"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406.7</w:t>
            </w:r>
          </w:p>
        </w:tc>
      </w:tr>
      <w:tr w:rsidR="00143588" w:rsidRPr="003D213D" w14:paraId="0A40A0B3" w14:textId="77777777" w:rsidTr="00F81FD3">
        <w:trPr>
          <w:trHeight w:val="245"/>
          <w:jc w:val="center"/>
        </w:trPr>
        <w:tc>
          <w:tcPr>
            <w:tcW w:w="3023" w:type="dxa"/>
            <w:tcBorders>
              <w:top w:val="nil"/>
              <w:bottom w:val="nil"/>
              <w:right w:val="nil"/>
            </w:tcBorders>
            <w:shd w:val="clear" w:color="auto" w:fill="auto"/>
            <w:noWrap/>
            <w:vAlign w:val="center"/>
            <w:hideMark/>
          </w:tcPr>
          <w:p w14:paraId="4AA44A16" w14:textId="00C671AB" w:rsidR="00EC00ED" w:rsidRPr="003D213D" w:rsidRDefault="006226D3" w:rsidP="00576751">
            <w:pPr>
              <w:ind w:left="144"/>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 xml:space="preserve"> Minority Interest</w:t>
            </w:r>
          </w:p>
        </w:tc>
        <w:tc>
          <w:tcPr>
            <w:tcW w:w="1038" w:type="dxa"/>
            <w:tcBorders>
              <w:top w:val="nil"/>
              <w:left w:val="single" w:sz="4" w:space="0" w:color="auto"/>
              <w:bottom w:val="nil"/>
              <w:right w:val="single" w:sz="4" w:space="0" w:color="auto"/>
            </w:tcBorders>
            <w:shd w:val="clear" w:color="auto" w:fill="auto"/>
            <w:noWrap/>
            <w:vAlign w:val="center"/>
            <w:hideMark/>
          </w:tcPr>
          <w:p w14:paraId="1BBAFC98"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63.7</w:t>
            </w:r>
          </w:p>
        </w:tc>
        <w:tc>
          <w:tcPr>
            <w:tcW w:w="1038" w:type="dxa"/>
            <w:tcBorders>
              <w:top w:val="nil"/>
              <w:left w:val="nil"/>
              <w:bottom w:val="nil"/>
              <w:right w:val="single" w:sz="4" w:space="0" w:color="auto"/>
            </w:tcBorders>
            <w:shd w:val="clear" w:color="auto" w:fill="auto"/>
            <w:noWrap/>
            <w:vAlign w:val="center"/>
            <w:hideMark/>
          </w:tcPr>
          <w:p w14:paraId="6F791B72"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56.8</w:t>
            </w:r>
          </w:p>
        </w:tc>
        <w:tc>
          <w:tcPr>
            <w:tcW w:w="1039" w:type="dxa"/>
            <w:tcBorders>
              <w:top w:val="nil"/>
              <w:left w:val="nil"/>
              <w:bottom w:val="nil"/>
              <w:right w:val="single" w:sz="4" w:space="0" w:color="auto"/>
            </w:tcBorders>
            <w:shd w:val="clear" w:color="auto" w:fill="auto"/>
            <w:noWrap/>
            <w:vAlign w:val="center"/>
            <w:hideMark/>
          </w:tcPr>
          <w:p w14:paraId="141EE884"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60.9</w:t>
            </w:r>
          </w:p>
        </w:tc>
        <w:tc>
          <w:tcPr>
            <w:tcW w:w="1039" w:type="dxa"/>
            <w:tcBorders>
              <w:top w:val="nil"/>
              <w:left w:val="nil"/>
              <w:bottom w:val="nil"/>
              <w:right w:val="single" w:sz="4" w:space="0" w:color="auto"/>
            </w:tcBorders>
            <w:shd w:val="clear" w:color="auto" w:fill="auto"/>
            <w:noWrap/>
            <w:vAlign w:val="center"/>
            <w:hideMark/>
          </w:tcPr>
          <w:p w14:paraId="00CACC6D"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62.7</w:t>
            </w:r>
          </w:p>
        </w:tc>
        <w:tc>
          <w:tcPr>
            <w:tcW w:w="1039" w:type="dxa"/>
            <w:tcBorders>
              <w:top w:val="nil"/>
              <w:left w:val="nil"/>
              <w:bottom w:val="nil"/>
              <w:right w:val="single" w:sz="4" w:space="0" w:color="auto"/>
            </w:tcBorders>
            <w:shd w:val="clear" w:color="auto" w:fill="auto"/>
            <w:noWrap/>
            <w:vAlign w:val="center"/>
            <w:hideMark/>
          </w:tcPr>
          <w:p w14:paraId="7F11151C"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64.9</w:t>
            </w:r>
          </w:p>
        </w:tc>
        <w:tc>
          <w:tcPr>
            <w:tcW w:w="1039" w:type="dxa"/>
            <w:tcBorders>
              <w:top w:val="nil"/>
              <w:left w:val="nil"/>
              <w:bottom w:val="nil"/>
            </w:tcBorders>
            <w:shd w:val="clear" w:color="auto" w:fill="auto"/>
            <w:noWrap/>
            <w:vAlign w:val="center"/>
            <w:hideMark/>
          </w:tcPr>
          <w:p w14:paraId="4D63D71F"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38.8</w:t>
            </w:r>
          </w:p>
        </w:tc>
      </w:tr>
      <w:tr w:rsidR="00143588" w:rsidRPr="003D213D" w14:paraId="4AB49721" w14:textId="77777777" w:rsidTr="00F81FD3">
        <w:trPr>
          <w:trHeight w:val="245"/>
          <w:jc w:val="center"/>
        </w:trPr>
        <w:tc>
          <w:tcPr>
            <w:tcW w:w="3023" w:type="dxa"/>
            <w:tcBorders>
              <w:top w:val="nil"/>
              <w:bottom w:val="nil"/>
              <w:right w:val="nil"/>
            </w:tcBorders>
            <w:shd w:val="clear" w:color="auto" w:fill="auto"/>
            <w:noWrap/>
            <w:vAlign w:val="center"/>
            <w:hideMark/>
          </w:tcPr>
          <w:p w14:paraId="6C619DBC" w14:textId="77777777" w:rsidR="00EC00ED" w:rsidRPr="003D213D" w:rsidRDefault="00EC00ED" w:rsidP="00EC00ED">
            <w:pPr>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Net Income, GAAP</w:t>
            </w:r>
          </w:p>
        </w:tc>
        <w:tc>
          <w:tcPr>
            <w:tcW w:w="1038" w:type="dxa"/>
            <w:tcBorders>
              <w:top w:val="nil"/>
              <w:left w:val="single" w:sz="4" w:space="0" w:color="auto"/>
              <w:bottom w:val="nil"/>
              <w:right w:val="single" w:sz="4" w:space="0" w:color="auto"/>
            </w:tcBorders>
            <w:shd w:val="clear" w:color="auto" w:fill="auto"/>
            <w:noWrap/>
            <w:vAlign w:val="center"/>
            <w:hideMark/>
          </w:tcPr>
          <w:p w14:paraId="77ED23AA"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215.8</w:t>
            </w:r>
          </w:p>
        </w:tc>
        <w:tc>
          <w:tcPr>
            <w:tcW w:w="1038" w:type="dxa"/>
            <w:tcBorders>
              <w:top w:val="nil"/>
              <w:left w:val="nil"/>
              <w:bottom w:val="nil"/>
              <w:right w:val="single" w:sz="4" w:space="0" w:color="auto"/>
            </w:tcBorders>
            <w:shd w:val="clear" w:color="auto" w:fill="auto"/>
            <w:noWrap/>
            <w:vAlign w:val="center"/>
            <w:hideMark/>
          </w:tcPr>
          <w:p w14:paraId="5F7E2006"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1,092.0</w:t>
            </w:r>
          </w:p>
        </w:tc>
        <w:tc>
          <w:tcPr>
            <w:tcW w:w="1039" w:type="dxa"/>
            <w:tcBorders>
              <w:top w:val="nil"/>
              <w:left w:val="nil"/>
              <w:bottom w:val="nil"/>
              <w:right w:val="single" w:sz="4" w:space="0" w:color="auto"/>
            </w:tcBorders>
            <w:shd w:val="clear" w:color="auto" w:fill="auto"/>
            <w:noWrap/>
            <w:vAlign w:val="center"/>
            <w:hideMark/>
          </w:tcPr>
          <w:p w14:paraId="049F7C58"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335.9</w:t>
            </w:r>
          </w:p>
        </w:tc>
        <w:tc>
          <w:tcPr>
            <w:tcW w:w="1039" w:type="dxa"/>
            <w:tcBorders>
              <w:top w:val="nil"/>
              <w:left w:val="nil"/>
              <w:bottom w:val="nil"/>
              <w:right w:val="single" w:sz="4" w:space="0" w:color="auto"/>
            </w:tcBorders>
            <w:shd w:val="clear" w:color="auto" w:fill="auto"/>
            <w:noWrap/>
            <w:vAlign w:val="center"/>
            <w:hideMark/>
          </w:tcPr>
          <w:p w14:paraId="7572009A"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378.9</w:t>
            </w:r>
          </w:p>
        </w:tc>
        <w:tc>
          <w:tcPr>
            <w:tcW w:w="1039" w:type="dxa"/>
            <w:tcBorders>
              <w:top w:val="nil"/>
              <w:left w:val="nil"/>
              <w:bottom w:val="nil"/>
              <w:right w:val="single" w:sz="4" w:space="0" w:color="auto"/>
            </w:tcBorders>
            <w:shd w:val="clear" w:color="auto" w:fill="auto"/>
            <w:noWrap/>
            <w:vAlign w:val="center"/>
            <w:hideMark/>
          </w:tcPr>
          <w:p w14:paraId="318DFC79"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359.5</w:t>
            </w:r>
          </w:p>
        </w:tc>
        <w:tc>
          <w:tcPr>
            <w:tcW w:w="1039" w:type="dxa"/>
            <w:tcBorders>
              <w:top w:val="nil"/>
              <w:left w:val="nil"/>
              <w:bottom w:val="nil"/>
            </w:tcBorders>
            <w:shd w:val="clear" w:color="auto" w:fill="auto"/>
            <w:noWrap/>
            <w:vAlign w:val="center"/>
            <w:hideMark/>
          </w:tcPr>
          <w:p w14:paraId="2F1B706B"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367.9</w:t>
            </w:r>
          </w:p>
        </w:tc>
      </w:tr>
      <w:tr w:rsidR="00143588" w:rsidRPr="003D213D" w14:paraId="27A9CB18" w14:textId="77777777" w:rsidTr="00F81FD3">
        <w:trPr>
          <w:trHeight w:val="245"/>
          <w:jc w:val="center"/>
        </w:trPr>
        <w:tc>
          <w:tcPr>
            <w:tcW w:w="3023" w:type="dxa"/>
            <w:tcBorders>
              <w:top w:val="nil"/>
              <w:bottom w:val="nil"/>
              <w:right w:val="nil"/>
            </w:tcBorders>
            <w:shd w:val="clear" w:color="auto" w:fill="auto"/>
            <w:noWrap/>
            <w:vAlign w:val="center"/>
            <w:hideMark/>
          </w:tcPr>
          <w:p w14:paraId="7F602797" w14:textId="77777777" w:rsidR="00EC00ED" w:rsidRPr="003D213D" w:rsidRDefault="00EC00ED" w:rsidP="00EC00ED">
            <w:pPr>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 xml:space="preserve">Net Income Avail to Common, </w:t>
            </w:r>
            <w:proofErr w:type="spellStart"/>
            <w:r w:rsidRPr="003D213D">
              <w:rPr>
                <w:rFonts w:ascii="Arial" w:hAnsi="Arial" w:cs="Arial"/>
                <w:b/>
                <w:bCs/>
                <w:color w:val="000000" w:themeColor="text1"/>
                <w:sz w:val="18"/>
                <w:szCs w:val="18"/>
                <w:lang w:val="en-SG" w:eastAsia="en-SG"/>
              </w:rPr>
              <w:t>Adj</w:t>
            </w:r>
            <w:proofErr w:type="spellEnd"/>
          </w:p>
        </w:tc>
        <w:tc>
          <w:tcPr>
            <w:tcW w:w="1038" w:type="dxa"/>
            <w:tcBorders>
              <w:top w:val="nil"/>
              <w:left w:val="single" w:sz="4" w:space="0" w:color="auto"/>
              <w:bottom w:val="nil"/>
              <w:right w:val="single" w:sz="4" w:space="0" w:color="auto"/>
            </w:tcBorders>
            <w:shd w:val="clear" w:color="auto" w:fill="auto"/>
            <w:noWrap/>
            <w:vAlign w:val="center"/>
            <w:hideMark/>
          </w:tcPr>
          <w:p w14:paraId="26DBC877"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185.8</w:t>
            </w:r>
          </w:p>
        </w:tc>
        <w:tc>
          <w:tcPr>
            <w:tcW w:w="1038" w:type="dxa"/>
            <w:tcBorders>
              <w:top w:val="nil"/>
              <w:left w:val="nil"/>
              <w:bottom w:val="nil"/>
              <w:right w:val="single" w:sz="4" w:space="0" w:color="auto"/>
            </w:tcBorders>
            <w:shd w:val="clear" w:color="auto" w:fill="auto"/>
            <w:noWrap/>
            <w:vAlign w:val="center"/>
            <w:hideMark/>
          </w:tcPr>
          <w:p w14:paraId="58A63367"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1,013.8</w:t>
            </w:r>
          </w:p>
        </w:tc>
        <w:tc>
          <w:tcPr>
            <w:tcW w:w="1039" w:type="dxa"/>
            <w:tcBorders>
              <w:top w:val="nil"/>
              <w:left w:val="nil"/>
              <w:bottom w:val="nil"/>
              <w:right w:val="single" w:sz="4" w:space="0" w:color="auto"/>
            </w:tcBorders>
            <w:shd w:val="clear" w:color="auto" w:fill="auto"/>
            <w:noWrap/>
            <w:vAlign w:val="center"/>
            <w:hideMark/>
          </w:tcPr>
          <w:p w14:paraId="7B0EDCC4"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354.7</w:t>
            </w:r>
          </w:p>
        </w:tc>
        <w:tc>
          <w:tcPr>
            <w:tcW w:w="1039" w:type="dxa"/>
            <w:tcBorders>
              <w:top w:val="nil"/>
              <w:left w:val="nil"/>
              <w:bottom w:val="nil"/>
              <w:right w:val="single" w:sz="4" w:space="0" w:color="auto"/>
            </w:tcBorders>
            <w:shd w:val="clear" w:color="auto" w:fill="auto"/>
            <w:noWrap/>
            <w:vAlign w:val="center"/>
            <w:hideMark/>
          </w:tcPr>
          <w:p w14:paraId="0438500E"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334.1</w:t>
            </w:r>
          </w:p>
        </w:tc>
        <w:tc>
          <w:tcPr>
            <w:tcW w:w="1039" w:type="dxa"/>
            <w:tcBorders>
              <w:top w:val="nil"/>
              <w:left w:val="nil"/>
              <w:bottom w:val="nil"/>
              <w:right w:val="single" w:sz="4" w:space="0" w:color="auto"/>
            </w:tcBorders>
            <w:shd w:val="clear" w:color="auto" w:fill="auto"/>
            <w:noWrap/>
            <w:vAlign w:val="center"/>
            <w:hideMark/>
          </w:tcPr>
          <w:p w14:paraId="7F63DE82"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291.3</w:t>
            </w:r>
          </w:p>
        </w:tc>
        <w:tc>
          <w:tcPr>
            <w:tcW w:w="1039" w:type="dxa"/>
            <w:tcBorders>
              <w:top w:val="nil"/>
              <w:left w:val="nil"/>
              <w:bottom w:val="nil"/>
            </w:tcBorders>
            <w:shd w:val="clear" w:color="auto" w:fill="auto"/>
            <w:noWrap/>
            <w:vAlign w:val="center"/>
            <w:hideMark/>
          </w:tcPr>
          <w:p w14:paraId="355C0E9F"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306.1</w:t>
            </w:r>
          </w:p>
        </w:tc>
      </w:tr>
      <w:tr w:rsidR="00143588" w:rsidRPr="003D213D" w14:paraId="4AF8CC43" w14:textId="77777777" w:rsidTr="00F81FD3">
        <w:trPr>
          <w:trHeight w:val="245"/>
          <w:jc w:val="center"/>
        </w:trPr>
        <w:tc>
          <w:tcPr>
            <w:tcW w:w="3023" w:type="dxa"/>
            <w:tcBorders>
              <w:top w:val="nil"/>
              <w:bottom w:val="nil"/>
              <w:right w:val="nil"/>
            </w:tcBorders>
            <w:shd w:val="clear" w:color="auto" w:fill="auto"/>
            <w:noWrap/>
            <w:vAlign w:val="center"/>
            <w:hideMark/>
          </w:tcPr>
          <w:p w14:paraId="37E12FAF" w14:textId="58036744" w:rsidR="00EC00ED" w:rsidRPr="003D213D" w:rsidRDefault="00EC00ED" w:rsidP="00576751">
            <w:pPr>
              <w:ind w:left="144"/>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Net Abnormal Losses (Gains)</w:t>
            </w:r>
          </w:p>
        </w:tc>
        <w:tc>
          <w:tcPr>
            <w:tcW w:w="1038" w:type="dxa"/>
            <w:tcBorders>
              <w:top w:val="nil"/>
              <w:left w:val="single" w:sz="4" w:space="0" w:color="auto"/>
              <w:bottom w:val="nil"/>
              <w:right w:val="single" w:sz="4" w:space="0" w:color="auto"/>
            </w:tcBorders>
            <w:shd w:val="clear" w:color="auto" w:fill="auto"/>
            <w:noWrap/>
            <w:vAlign w:val="center"/>
            <w:hideMark/>
          </w:tcPr>
          <w:p w14:paraId="54EF2FDA" w14:textId="159D73BF"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30.0</w:t>
            </w:r>
            <w:r>
              <w:rPr>
                <w:rFonts w:ascii="Arial" w:hAnsi="Arial" w:cs="Arial"/>
                <w:color w:val="000000" w:themeColor="text1"/>
                <w:sz w:val="18"/>
                <w:szCs w:val="18"/>
                <w:lang w:val="en-SG" w:eastAsia="en-SG"/>
              </w:rPr>
              <w:t>)</w:t>
            </w:r>
          </w:p>
        </w:tc>
        <w:tc>
          <w:tcPr>
            <w:tcW w:w="1038" w:type="dxa"/>
            <w:tcBorders>
              <w:top w:val="nil"/>
              <w:left w:val="nil"/>
              <w:bottom w:val="nil"/>
              <w:right w:val="single" w:sz="4" w:space="0" w:color="auto"/>
            </w:tcBorders>
            <w:shd w:val="clear" w:color="auto" w:fill="auto"/>
            <w:noWrap/>
            <w:vAlign w:val="center"/>
            <w:hideMark/>
          </w:tcPr>
          <w:p w14:paraId="770BB1E2" w14:textId="546E35BC"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78.2</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16B41654"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18.8</w:t>
            </w:r>
          </w:p>
        </w:tc>
        <w:tc>
          <w:tcPr>
            <w:tcW w:w="1039" w:type="dxa"/>
            <w:tcBorders>
              <w:top w:val="nil"/>
              <w:left w:val="nil"/>
              <w:bottom w:val="nil"/>
              <w:right w:val="single" w:sz="4" w:space="0" w:color="auto"/>
            </w:tcBorders>
            <w:shd w:val="clear" w:color="auto" w:fill="auto"/>
            <w:noWrap/>
            <w:vAlign w:val="center"/>
            <w:hideMark/>
          </w:tcPr>
          <w:p w14:paraId="15C9454C" w14:textId="231054DA"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44.8</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65743199" w14:textId="4493E3B8"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68.2</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359FB53E" w14:textId="7893F058" w:rsidR="00EC00ED" w:rsidRPr="003D213D" w:rsidRDefault="009653E6">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EC00ED" w:rsidRPr="003D213D">
              <w:rPr>
                <w:rFonts w:ascii="Arial" w:hAnsi="Arial" w:cs="Arial"/>
                <w:color w:val="000000" w:themeColor="text1"/>
                <w:sz w:val="18"/>
                <w:szCs w:val="18"/>
                <w:lang w:val="en-SG" w:eastAsia="en-SG"/>
              </w:rPr>
              <w:t>61.8</w:t>
            </w:r>
            <w:r>
              <w:rPr>
                <w:rFonts w:ascii="Arial" w:hAnsi="Arial" w:cs="Arial"/>
                <w:color w:val="000000" w:themeColor="text1"/>
                <w:sz w:val="18"/>
                <w:szCs w:val="18"/>
                <w:lang w:val="en-SG" w:eastAsia="en-SG"/>
              </w:rPr>
              <w:t>)</w:t>
            </w:r>
          </w:p>
        </w:tc>
      </w:tr>
      <w:tr w:rsidR="00143588" w:rsidRPr="003D213D" w14:paraId="1EF3659F" w14:textId="77777777" w:rsidTr="00F81FD3">
        <w:trPr>
          <w:trHeight w:val="245"/>
          <w:jc w:val="center"/>
        </w:trPr>
        <w:tc>
          <w:tcPr>
            <w:tcW w:w="3023" w:type="dxa"/>
            <w:tcBorders>
              <w:top w:val="nil"/>
              <w:bottom w:val="nil"/>
              <w:right w:val="nil"/>
            </w:tcBorders>
            <w:shd w:val="clear" w:color="auto" w:fill="auto"/>
            <w:noWrap/>
            <w:vAlign w:val="center"/>
            <w:hideMark/>
          </w:tcPr>
          <w:p w14:paraId="3AF6D7B2" w14:textId="34273738" w:rsidR="00EC00ED" w:rsidRPr="003D213D" w:rsidRDefault="00EC00ED" w:rsidP="000B4ECA">
            <w:pPr>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Basic Weighted Av</w:t>
            </w:r>
            <w:r w:rsidR="000B4ECA">
              <w:rPr>
                <w:rFonts w:ascii="Arial" w:hAnsi="Arial" w:cs="Arial"/>
                <w:color w:val="000000" w:themeColor="text1"/>
                <w:sz w:val="18"/>
                <w:szCs w:val="18"/>
                <w:lang w:val="en-SG" w:eastAsia="en-SG"/>
              </w:rPr>
              <w:t xml:space="preserve">erage </w:t>
            </w:r>
            <w:r w:rsidRPr="003D213D">
              <w:rPr>
                <w:rFonts w:ascii="Arial" w:hAnsi="Arial" w:cs="Arial"/>
                <w:color w:val="000000" w:themeColor="text1"/>
                <w:sz w:val="18"/>
                <w:szCs w:val="18"/>
                <w:lang w:val="en-SG" w:eastAsia="en-SG"/>
              </w:rPr>
              <w:t>Shares</w:t>
            </w:r>
          </w:p>
        </w:tc>
        <w:tc>
          <w:tcPr>
            <w:tcW w:w="1038" w:type="dxa"/>
            <w:tcBorders>
              <w:top w:val="nil"/>
              <w:left w:val="single" w:sz="4" w:space="0" w:color="auto"/>
              <w:bottom w:val="nil"/>
              <w:right w:val="single" w:sz="4" w:space="0" w:color="auto"/>
            </w:tcBorders>
            <w:shd w:val="clear" w:color="auto" w:fill="auto"/>
            <w:noWrap/>
            <w:vAlign w:val="center"/>
            <w:hideMark/>
          </w:tcPr>
          <w:p w14:paraId="2ABD95D1"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1,184.8</w:t>
            </w:r>
          </w:p>
        </w:tc>
        <w:tc>
          <w:tcPr>
            <w:tcW w:w="1038" w:type="dxa"/>
            <w:tcBorders>
              <w:top w:val="nil"/>
              <w:left w:val="nil"/>
              <w:bottom w:val="nil"/>
              <w:right w:val="single" w:sz="4" w:space="0" w:color="auto"/>
            </w:tcBorders>
            <w:shd w:val="clear" w:color="auto" w:fill="auto"/>
            <w:noWrap/>
            <w:vAlign w:val="center"/>
            <w:hideMark/>
          </w:tcPr>
          <w:p w14:paraId="462937B6"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1,194.9</w:t>
            </w:r>
          </w:p>
        </w:tc>
        <w:tc>
          <w:tcPr>
            <w:tcW w:w="1039" w:type="dxa"/>
            <w:tcBorders>
              <w:top w:val="nil"/>
              <w:left w:val="nil"/>
              <w:bottom w:val="nil"/>
              <w:right w:val="single" w:sz="4" w:space="0" w:color="auto"/>
            </w:tcBorders>
            <w:shd w:val="clear" w:color="auto" w:fill="auto"/>
            <w:noWrap/>
            <w:vAlign w:val="center"/>
            <w:hideMark/>
          </w:tcPr>
          <w:p w14:paraId="364B1137"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1,188.8</w:t>
            </w:r>
          </w:p>
        </w:tc>
        <w:tc>
          <w:tcPr>
            <w:tcW w:w="1039" w:type="dxa"/>
            <w:tcBorders>
              <w:top w:val="nil"/>
              <w:left w:val="nil"/>
              <w:bottom w:val="nil"/>
              <w:right w:val="single" w:sz="4" w:space="0" w:color="auto"/>
            </w:tcBorders>
            <w:shd w:val="clear" w:color="auto" w:fill="auto"/>
            <w:noWrap/>
            <w:vAlign w:val="center"/>
            <w:hideMark/>
          </w:tcPr>
          <w:p w14:paraId="78E04B7C"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1,175.1</w:t>
            </w:r>
          </w:p>
        </w:tc>
        <w:tc>
          <w:tcPr>
            <w:tcW w:w="1039" w:type="dxa"/>
            <w:tcBorders>
              <w:top w:val="nil"/>
              <w:left w:val="nil"/>
              <w:bottom w:val="nil"/>
              <w:right w:val="single" w:sz="4" w:space="0" w:color="auto"/>
            </w:tcBorders>
            <w:shd w:val="clear" w:color="auto" w:fill="auto"/>
            <w:noWrap/>
            <w:vAlign w:val="center"/>
            <w:hideMark/>
          </w:tcPr>
          <w:p w14:paraId="4FBCD273"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1,176.7</w:t>
            </w:r>
          </w:p>
        </w:tc>
        <w:tc>
          <w:tcPr>
            <w:tcW w:w="1039" w:type="dxa"/>
            <w:tcBorders>
              <w:top w:val="nil"/>
              <w:left w:val="nil"/>
              <w:bottom w:val="nil"/>
            </w:tcBorders>
            <w:shd w:val="clear" w:color="auto" w:fill="auto"/>
            <w:noWrap/>
            <w:vAlign w:val="center"/>
            <w:hideMark/>
          </w:tcPr>
          <w:p w14:paraId="19E2701A"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1,171.3</w:t>
            </w:r>
          </w:p>
        </w:tc>
      </w:tr>
      <w:tr w:rsidR="00143588" w:rsidRPr="003D213D" w14:paraId="4553D502" w14:textId="77777777" w:rsidTr="00F81FD3">
        <w:trPr>
          <w:trHeight w:val="245"/>
          <w:jc w:val="center"/>
        </w:trPr>
        <w:tc>
          <w:tcPr>
            <w:tcW w:w="3023" w:type="dxa"/>
            <w:tcBorders>
              <w:top w:val="nil"/>
              <w:bottom w:val="nil"/>
              <w:right w:val="nil"/>
            </w:tcBorders>
            <w:shd w:val="clear" w:color="auto" w:fill="auto"/>
            <w:noWrap/>
            <w:vAlign w:val="center"/>
            <w:hideMark/>
          </w:tcPr>
          <w:p w14:paraId="4332D9DD" w14:textId="5768ED85" w:rsidR="00EC00ED" w:rsidRPr="003D213D" w:rsidRDefault="00EC00ED" w:rsidP="00EC00ED">
            <w:pPr>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 xml:space="preserve">Basic EPS from </w:t>
            </w:r>
            <w:proofErr w:type="spellStart"/>
            <w:r w:rsidRPr="003D213D">
              <w:rPr>
                <w:rFonts w:ascii="Arial" w:hAnsi="Arial" w:cs="Arial"/>
                <w:b/>
                <w:bCs/>
                <w:color w:val="000000" w:themeColor="text1"/>
                <w:sz w:val="18"/>
                <w:szCs w:val="18"/>
                <w:lang w:val="en-SG" w:eastAsia="en-SG"/>
              </w:rPr>
              <w:t>Cont</w:t>
            </w:r>
            <w:proofErr w:type="spellEnd"/>
            <w:r w:rsidRPr="003D213D">
              <w:rPr>
                <w:rFonts w:ascii="Arial" w:hAnsi="Arial" w:cs="Arial"/>
                <w:b/>
                <w:bCs/>
                <w:color w:val="000000" w:themeColor="text1"/>
                <w:sz w:val="18"/>
                <w:szCs w:val="18"/>
                <w:lang w:val="en-SG" w:eastAsia="en-SG"/>
              </w:rPr>
              <w:t xml:space="preserve"> Ops</w:t>
            </w:r>
          </w:p>
        </w:tc>
        <w:tc>
          <w:tcPr>
            <w:tcW w:w="1038" w:type="dxa"/>
            <w:tcBorders>
              <w:top w:val="nil"/>
              <w:left w:val="single" w:sz="4" w:space="0" w:color="auto"/>
              <w:bottom w:val="nil"/>
              <w:right w:val="single" w:sz="4" w:space="0" w:color="auto"/>
            </w:tcBorders>
            <w:shd w:val="clear" w:color="auto" w:fill="auto"/>
            <w:noWrap/>
            <w:vAlign w:val="center"/>
            <w:hideMark/>
          </w:tcPr>
          <w:p w14:paraId="10DCCAE1"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0.18</w:t>
            </w:r>
          </w:p>
        </w:tc>
        <w:tc>
          <w:tcPr>
            <w:tcW w:w="1038" w:type="dxa"/>
            <w:tcBorders>
              <w:top w:val="nil"/>
              <w:left w:val="nil"/>
              <w:bottom w:val="nil"/>
              <w:right w:val="single" w:sz="4" w:space="0" w:color="auto"/>
            </w:tcBorders>
            <w:shd w:val="clear" w:color="auto" w:fill="auto"/>
            <w:noWrap/>
            <w:vAlign w:val="center"/>
            <w:hideMark/>
          </w:tcPr>
          <w:p w14:paraId="015FDA2E"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0.91</w:t>
            </w:r>
          </w:p>
        </w:tc>
        <w:tc>
          <w:tcPr>
            <w:tcW w:w="1039" w:type="dxa"/>
            <w:tcBorders>
              <w:top w:val="nil"/>
              <w:left w:val="nil"/>
              <w:bottom w:val="nil"/>
              <w:right w:val="single" w:sz="4" w:space="0" w:color="auto"/>
            </w:tcBorders>
            <w:shd w:val="clear" w:color="auto" w:fill="auto"/>
            <w:noWrap/>
            <w:vAlign w:val="center"/>
            <w:hideMark/>
          </w:tcPr>
          <w:p w14:paraId="5541D247"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0.28</w:t>
            </w:r>
          </w:p>
        </w:tc>
        <w:tc>
          <w:tcPr>
            <w:tcW w:w="1039" w:type="dxa"/>
            <w:tcBorders>
              <w:top w:val="nil"/>
              <w:left w:val="nil"/>
              <w:bottom w:val="nil"/>
              <w:right w:val="single" w:sz="4" w:space="0" w:color="auto"/>
            </w:tcBorders>
            <w:shd w:val="clear" w:color="auto" w:fill="auto"/>
            <w:noWrap/>
            <w:vAlign w:val="center"/>
            <w:hideMark/>
          </w:tcPr>
          <w:p w14:paraId="592CD724"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0.32</w:t>
            </w:r>
          </w:p>
        </w:tc>
        <w:tc>
          <w:tcPr>
            <w:tcW w:w="1039" w:type="dxa"/>
            <w:tcBorders>
              <w:top w:val="nil"/>
              <w:left w:val="nil"/>
              <w:bottom w:val="nil"/>
              <w:right w:val="single" w:sz="4" w:space="0" w:color="auto"/>
            </w:tcBorders>
            <w:shd w:val="clear" w:color="auto" w:fill="auto"/>
            <w:noWrap/>
            <w:vAlign w:val="center"/>
            <w:hideMark/>
          </w:tcPr>
          <w:p w14:paraId="28467438"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0.31</w:t>
            </w:r>
          </w:p>
        </w:tc>
        <w:tc>
          <w:tcPr>
            <w:tcW w:w="1039" w:type="dxa"/>
            <w:tcBorders>
              <w:top w:val="nil"/>
              <w:left w:val="nil"/>
              <w:bottom w:val="nil"/>
            </w:tcBorders>
            <w:shd w:val="clear" w:color="auto" w:fill="auto"/>
            <w:noWrap/>
            <w:vAlign w:val="center"/>
            <w:hideMark/>
          </w:tcPr>
          <w:p w14:paraId="31E550A7"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0.31</w:t>
            </w:r>
          </w:p>
        </w:tc>
      </w:tr>
      <w:tr w:rsidR="00143588" w:rsidRPr="003D213D" w14:paraId="4AEF2D8C" w14:textId="77777777" w:rsidTr="00F81FD3">
        <w:trPr>
          <w:trHeight w:val="245"/>
          <w:jc w:val="center"/>
        </w:trPr>
        <w:tc>
          <w:tcPr>
            <w:tcW w:w="3023" w:type="dxa"/>
            <w:tcBorders>
              <w:top w:val="nil"/>
              <w:bottom w:val="nil"/>
              <w:right w:val="nil"/>
            </w:tcBorders>
            <w:shd w:val="clear" w:color="auto" w:fill="auto"/>
            <w:noWrap/>
            <w:vAlign w:val="center"/>
            <w:hideMark/>
          </w:tcPr>
          <w:p w14:paraId="3C1F8C5D" w14:textId="619EFF2F" w:rsidR="00EC00ED" w:rsidRPr="003D213D" w:rsidRDefault="00EC00ED" w:rsidP="00EC00ED">
            <w:pPr>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 xml:space="preserve">Basic EPS from </w:t>
            </w:r>
            <w:proofErr w:type="spellStart"/>
            <w:r w:rsidRPr="003D213D">
              <w:rPr>
                <w:rFonts w:ascii="Arial" w:hAnsi="Arial" w:cs="Arial"/>
                <w:b/>
                <w:bCs/>
                <w:color w:val="000000" w:themeColor="text1"/>
                <w:sz w:val="18"/>
                <w:szCs w:val="18"/>
                <w:lang w:val="en-SG" w:eastAsia="en-SG"/>
              </w:rPr>
              <w:t>Cont</w:t>
            </w:r>
            <w:proofErr w:type="spellEnd"/>
            <w:r w:rsidRPr="003D213D">
              <w:rPr>
                <w:rFonts w:ascii="Arial" w:hAnsi="Arial" w:cs="Arial"/>
                <w:b/>
                <w:bCs/>
                <w:color w:val="000000" w:themeColor="text1"/>
                <w:sz w:val="18"/>
                <w:szCs w:val="18"/>
                <w:lang w:val="en-SG" w:eastAsia="en-SG"/>
              </w:rPr>
              <w:t xml:space="preserve"> Ops, Adjusted</w:t>
            </w:r>
          </w:p>
        </w:tc>
        <w:tc>
          <w:tcPr>
            <w:tcW w:w="1038" w:type="dxa"/>
            <w:tcBorders>
              <w:top w:val="nil"/>
              <w:left w:val="single" w:sz="4" w:space="0" w:color="auto"/>
              <w:bottom w:val="nil"/>
              <w:right w:val="single" w:sz="4" w:space="0" w:color="auto"/>
            </w:tcBorders>
            <w:shd w:val="clear" w:color="auto" w:fill="auto"/>
            <w:noWrap/>
            <w:vAlign w:val="center"/>
            <w:hideMark/>
          </w:tcPr>
          <w:p w14:paraId="21588F13"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0.16</w:t>
            </w:r>
          </w:p>
        </w:tc>
        <w:tc>
          <w:tcPr>
            <w:tcW w:w="1038" w:type="dxa"/>
            <w:tcBorders>
              <w:top w:val="nil"/>
              <w:left w:val="nil"/>
              <w:bottom w:val="nil"/>
              <w:right w:val="single" w:sz="4" w:space="0" w:color="auto"/>
            </w:tcBorders>
            <w:shd w:val="clear" w:color="auto" w:fill="auto"/>
            <w:noWrap/>
            <w:vAlign w:val="center"/>
            <w:hideMark/>
          </w:tcPr>
          <w:p w14:paraId="5D7583B9"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0.85</w:t>
            </w:r>
          </w:p>
        </w:tc>
        <w:tc>
          <w:tcPr>
            <w:tcW w:w="1039" w:type="dxa"/>
            <w:tcBorders>
              <w:top w:val="nil"/>
              <w:left w:val="nil"/>
              <w:bottom w:val="nil"/>
              <w:right w:val="single" w:sz="4" w:space="0" w:color="auto"/>
            </w:tcBorders>
            <w:shd w:val="clear" w:color="auto" w:fill="auto"/>
            <w:noWrap/>
            <w:vAlign w:val="center"/>
            <w:hideMark/>
          </w:tcPr>
          <w:p w14:paraId="004B366A"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0.30</w:t>
            </w:r>
          </w:p>
        </w:tc>
        <w:tc>
          <w:tcPr>
            <w:tcW w:w="1039" w:type="dxa"/>
            <w:tcBorders>
              <w:top w:val="nil"/>
              <w:left w:val="nil"/>
              <w:bottom w:val="nil"/>
              <w:right w:val="single" w:sz="4" w:space="0" w:color="auto"/>
            </w:tcBorders>
            <w:shd w:val="clear" w:color="auto" w:fill="auto"/>
            <w:noWrap/>
            <w:vAlign w:val="center"/>
            <w:hideMark/>
          </w:tcPr>
          <w:p w14:paraId="60732AB1"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0.28</w:t>
            </w:r>
          </w:p>
        </w:tc>
        <w:tc>
          <w:tcPr>
            <w:tcW w:w="1039" w:type="dxa"/>
            <w:tcBorders>
              <w:top w:val="nil"/>
              <w:left w:val="nil"/>
              <w:bottom w:val="nil"/>
              <w:right w:val="single" w:sz="4" w:space="0" w:color="auto"/>
            </w:tcBorders>
            <w:shd w:val="clear" w:color="auto" w:fill="auto"/>
            <w:noWrap/>
            <w:vAlign w:val="center"/>
            <w:hideMark/>
          </w:tcPr>
          <w:p w14:paraId="3D39AC42"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0.25</w:t>
            </w:r>
          </w:p>
        </w:tc>
        <w:tc>
          <w:tcPr>
            <w:tcW w:w="1039" w:type="dxa"/>
            <w:tcBorders>
              <w:top w:val="nil"/>
              <w:left w:val="nil"/>
              <w:bottom w:val="nil"/>
            </w:tcBorders>
            <w:shd w:val="clear" w:color="auto" w:fill="auto"/>
            <w:noWrap/>
            <w:vAlign w:val="center"/>
            <w:hideMark/>
          </w:tcPr>
          <w:p w14:paraId="68922DAD"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0.26</w:t>
            </w:r>
          </w:p>
        </w:tc>
      </w:tr>
      <w:tr w:rsidR="00143588" w:rsidRPr="003D213D" w14:paraId="471D1A14" w14:textId="77777777" w:rsidTr="00F81FD3">
        <w:trPr>
          <w:trHeight w:val="245"/>
          <w:jc w:val="center"/>
        </w:trPr>
        <w:tc>
          <w:tcPr>
            <w:tcW w:w="3023" w:type="dxa"/>
            <w:tcBorders>
              <w:top w:val="nil"/>
              <w:bottom w:val="nil"/>
              <w:right w:val="nil"/>
            </w:tcBorders>
            <w:shd w:val="clear" w:color="auto" w:fill="auto"/>
            <w:noWrap/>
            <w:vAlign w:val="center"/>
            <w:hideMark/>
          </w:tcPr>
          <w:p w14:paraId="54B33CAF" w14:textId="095EA680" w:rsidR="00EC00ED" w:rsidRPr="003D213D" w:rsidRDefault="00EC00ED" w:rsidP="00EC00ED">
            <w:pPr>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Diluted Weighted Av</w:t>
            </w:r>
            <w:r w:rsidR="000B4ECA">
              <w:rPr>
                <w:rFonts w:ascii="Arial" w:hAnsi="Arial" w:cs="Arial"/>
                <w:color w:val="000000" w:themeColor="text1"/>
                <w:sz w:val="18"/>
                <w:szCs w:val="18"/>
                <w:lang w:val="en-SG" w:eastAsia="en-SG"/>
              </w:rPr>
              <w:t>era</w:t>
            </w:r>
            <w:r w:rsidRPr="003D213D">
              <w:rPr>
                <w:rFonts w:ascii="Arial" w:hAnsi="Arial" w:cs="Arial"/>
                <w:color w:val="000000" w:themeColor="text1"/>
                <w:sz w:val="18"/>
                <w:szCs w:val="18"/>
                <w:lang w:val="en-SG" w:eastAsia="en-SG"/>
              </w:rPr>
              <w:t>g</w:t>
            </w:r>
            <w:r w:rsidR="000B4ECA">
              <w:rPr>
                <w:rFonts w:ascii="Arial" w:hAnsi="Arial" w:cs="Arial"/>
                <w:color w:val="000000" w:themeColor="text1"/>
                <w:sz w:val="18"/>
                <w:szCs w:val="18"/>
                <w:lang w:val="en-SG" w:eastAsia="en-SG"/>
              </w:rPr>
              <w:t>e</w:t>
            </w:r>
            <w:r w:rsidRPr="003D213D">
              <w:rPr>
                <w:rFonts w:ascii="Arial" w:hAnsi="Arial" w:cs="Arial"/>
                <w:color w:val="000000" w:themeColor="text1"/>
                <w:sz w:val="18"/>
                <w:szCs w:val="18"/>
                <w:lang w:val="en-SG" w:eastAsia="en-SG"/>
              </w:rPr>
              <w:t xml:space="preserve"> Shares</w:t>
            </w:r>
          </w:p>
        </w:tc>
        <w:tc>
          <w:tcPr>
            <w:tcW w:w="1038" w:type="dxa"/>
            <w:tcBorders>
              <w:top w:val="nil"/>
              <w:left w:val="single" w:sz="4" w:space="0" w:color="auto"/>
              <w:bottom w:val="nil"/>
              <w:right w:val="single" w:sz="4" w:space="0" w:color="auto"/>
            </w:tcBorders>
            <w:shd w:val="clear" w:color="auto" w:fill="auto"/>
            <w:noWrap/>
            <w:vAlign w:val="center"/>
            <w:hideMark/>
          </w:tcPr>
          <w:p w14:paraId="7B2BE3D5"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1,196.5</w:t>
            </w:r>
          </w:p>
        </w:tc>
        <w:tc>
          <w:tcPr>
            <w:tcW w:w="1038" w:type="dxa"/>
            <w:tcBorders>
              <w:top w:val="nil"/>
              <w:left w:val="nil"/>
              <w:bottom w:val="nil"/>
              <w:right w:val="single" w:sz="4" w:space="0" w:color="auto"/>
            </w:tcBorders>
            <w:shd w:val="clear" w:color="auto" w:fill="auto"/>
            <w:noWrap/>
            <w:vAlign w:val="center"/>
            <w:hideMark/>
          </w:tcPr>
          <w:p w14:paraId="5DD04F8C"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1,208.2</w:t>
            </w:r>
          </w:p>
        </w:tc>
        <w:tc>
          <w:tcPr>
            <w:tcW w:w="1039" w:type="dxa"/>
            <w:tcBorders>
              <w:top w:val="nil"/>
              <w:left w:val="nil"/>
              <w:bottom w:val="nil"/>
              <w:right w:val="single" w:sz="4" w:space="0" w:color="auto"/>
            </w:tcBorders>
            <w:shd w:val="clear" w:color="auto" w:fill="auto"/>
            <w:noWrap/>
            <w:vAlign w:val="center"/>
            <w:hideMark/>
          </w:tcPr>
          <w:p w14:paraId="1B88A0BA"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1,196.9</w:t>
            </w:r>
          </w:p>
        </w:tc>
        <w:tc>
          <w:tcPr>
            <w:tcW w:w="1039" w:type="dxa"/>
            <w:tcBorders>
              <w:top w:val="nil"/>
              <w:left w:val="nil"/>
              <w:bottom w:val="nil"/>
              <w:right w:val="single" w:sz="4" w:space="0" w:color="auto"/>
            </w:tcBorders>
            <w:shd w:val="clear" w:color="auto" w:fill="auto"/>
            <w:noWrap/>
            <w:vAlign w:val="center"/>
            <w:hideMark/>
          </w:tcPr>
          <w:p w14:paraId="638AC481"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1,181.2</w:t>
            </w:r>
          </w:p>
        </w:tc>
        <w:tc>
          <w:tcPr>
            <w:tcW w:w="1039" w:type="dxa"/>
            <w:tcBorders>
              <w:top w:val="nil"/>
              <w:left w:val="nil"/>
              <w:bottom w:val="nil"/>
              <w:right w:val="single" w:sz="4" w:space="0" w:color="auto"/>
            </w:tcBorders>
            <w:shd w:val="clear" w:color="auto" w:fill="auto"/>
            <w:noWrap/>
            <w:vAlign w:val="center"/>
            <w:hideMark/>
          </w:tcPr>
          <w:p w14:paraId="5DA166E6"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1,181.7</w:t>
            </w:r>
          </w:p>
        </w:tc>
        <w:tc>
          <w:tcPr>
            <w:tcW w:w="1039" w:type="dxa"/>
            <w:tcBorders>
              <w:top w:val="nil"/>
              <w:left w:val="nil"/>
              <w:bottom w:val="nil"/>
            </w:tcBorders>
            <w:shd w:val="clear" w:color="auto" w:fill="auto"/>
            <w:noWrap/>
            <w:vAlign w:val="center"/>
            <w:hideMark/>
          </w:tcPr>
          <w:p w14:paraId="13F55DD3" w14:textId="77777777" w:rsidR="00EC00ED" w:rsidRPr="003D213D" w:rsidRDefault="00EC00ED">
            <w:pPr>
              <w:jc w:val="right"/>
              <w:rPr>
                <w:rFonts w:ascii="Arial" w:hAnsi="Arial" w:cs="Arial"/>
                <w:color w:val="000000" w:themeColor="text1"/>
                <w:sz w:val="18"/>
                <w:szCs w:val="18"/>
                <w:lang w:val="en-SG" w:eastAsia="en-SG"/>
              </w:rPr>
            </w:pPr>
            <w:r w:rsidRPr="003D213D">
              <w:rPr>
                <w:rFonts w:ascii="Arial" w:hAnsi="Arial" w:cs="Arial"/>
                <w:color w:val="000000" w:themeColor="text1"/>
                <w:sz w:val="18"/>
                <w:szCs w:val="18"/>
                <w:lang w:val="en-SG" w:eastAsia="en-SG"/>
              </w:rPr>
              <w:t>1,176.5</w:t>
            </w:r>
          </w:p>
        </w:tc>
      </w:tr>
      <w:tr w:rsidR="00143588" w:rsidRPr="003D213D" w14:paraId="40ECFCCF" w14:textId="77777777" w:rsidTr="00F81FD3">
        <w:trPr>
          <w:trHeight w:val="245"/>
          <w:jc w:val="center"/>
        </w:trPr>
        <w:tc>
          <w:tcPr>
            <w:tcW w:w="3023" w:type="dxa"/>
            <w:tcBorders>
              <w:top w:val="nil"/>
              <w:right w:val="nil"/>
            </w:tcBorders>
            <w:shd w:val="clear" w:color="auto" w:fill="auto"/>
            <w:noWrap/>
            <w:vAlign w:val="center"/>
            <w:hideMark/>
          </w:tcPr>
          <w:p w14:paraId="03DF46E6" w14:textId="607668F7" w:rsidR="00EC00ED" w:rsidRPr="003D213D" w:rsidRDefault="00EC00ED" w:rsidP="00EC00ED">
            <w:pPr>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 xml:space="preserve">Diluted EPS from </w:t>
            </w:r>
            <w:proofErr w:type="spellStart"/>
            <w:r w:rsidRPr="003D213D">
              <w:rPr>
                <w:rFonts w:ascii="Arial" w:hAnsi="Arial" w:cs="Arial"/>
                <w:b/>
                <w:bCs/>
                <w:color w:val="000000" w:themeColor="text1"/>
                <w:sz w:val="18"/>
                <w:szCs w:val="18"/>
                <w:lang w:val="en-SG" w:eastAsia="en-SG"/>
              </w:rPr>
              <w:t>Cont</w:t>
            </w:r>
            <w:proofErr w:type="spellEnd"/>
            <w:r w:rsidRPr="003D213D">
              <w:rPr>
                <w:rFonts w:ascii="Arial" w:hAnsi="Arial" w:cs="Arial"/>
                <w:b/>
                <w:bCs/>
                <w:color w:val="000000" w:themeColor="text1"/>
                <w:sz w:val="18"/>
                <w:szCs w:val="18"/>
                <w:lang w:val="en-SG" w:eastAsia="en-SG"/>
              </w:rPr>
              <w:t xml:space="preserve"> Ops</w:t>
            </w:r>
          </w:p>
        </w:tc>
        <w:tc>
          <w:tcPr>
            <w:tcW w:w="1038" w:type="dxa"/>
            <w:tcBorders>
              <w:top w:val="nil"/>
              <w:left w:val="single" w:sz="4" w:space="0" w:color="auto"/>
              <w:right w:val="single" w:sz="4" w:space="0" w:color="auto"/>
            </w:tcBorders>
            <w:shd w:val="clear" w:color="auto" w:fill="auto"/>
            <w:noWrap/>
            <w:vAlign w:val="center"/>
            <w:hideMark/>
          </w:tcPr>
          <w:p w14:paraId="27AF9A62"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0.18</w:t>
            </w:r>
          </w:p>
        </w:tc>
        <w:tc>
          <w:tcPr>
            <w:tcW w:w="1038" w:type="dxa"/>
            <w:tcBorders>
              <w:top w:val="nil"/>
              <w:left w:val="nil"/>
              <w:right w:val="single" w:sz="4" w:space="0" w:color="auto"/>
            </w:tcBorders>
            <w:shd w:val="clear" w:color="auto" w:fill="auto"/>
            <w:noWrap/>
            <w:vAlign w:val="center"/>
            <w:hideMark/>
          </w:tcPr>
          <w:p w14:paraId="16C25741"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0.90</w:t>
            </w:r>
          </w:p>
        </w:tc>
        <w:tc>
          <w:tcPr>
            <w:tcW w:w="1039" w:type="dxa"/>
            <w:tcBorders>
              <w:top w:val="nil"/>
              <w:left w:val="nil"/>
              <w:right w:val="single" w:sz="4" w:space="0" w:color="auto"/>
            </w:tcBorders>
            <w:shd w:val="clear" w:color="auto" w:fill="auto"/>
            <w:noWrap/>
            <w:vAlign w:val="center"/>
            <w:hideMark/>
          </w:tcPr>
          <w:p w14:paraId="389A0E30"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0.28</w:t>
            </w:r>
          </w:p>
        </w:tc>
        <w:tc>
          <w:tcPr>
            <w:tcW w:w="1039" w:type="dxa"/>
            <w:tcBorders>
              <w:top w:val="nil"/>
              <w:left w:val="nil"/>
              <w:right w:val="single" w:sz="4" w:space="0" w:color="auto"/>
            </w:tcBorders>
            <w:shd w:val="clear" w:color="auto" w:fill="auto"/>
            <w:noWrap/>
            <w:vAlign w:val="center"/>
            <w:hideMark/>
          </w:tcPr>
          <w:p w14:paraId="091F1C69"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0.32</w:t>
            </w:r>
          </w:p>
        </w:tc>
        <w:tc>
          <w:tcPr>
            <w:tcW w:w="1039" w:type="dxa"/>
            <w:tcBorders>
              <w:top w:val="nil"/>
              <w:left w:val="nil"/>
              <w:right w:val="single" w:sz="4" w:space="0" w:color="auto"/>
            </w:tcBorders>
            <w:shd w:val="clear" w:color="auto" w:fill="auto"/>
            <w:noWrap/>
            <w:vAlign w:val="center"/>
            <w:hideMark/>
          </w:tcPr>
          <w:p w14:paraId="09919AE0"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0.30</w:t>
            </w:r>
          </w:p>
        </w:tc>
        <w:tc>
          <w:tcPr>
            <w:tcW w:w="1039" w:type="dxa"/>
            <w:tcBorders>
              <w:top w:val="nil"/>
              <w:left w:val="nil"/>
            </w:tcBorders>
            <w:shd w:val="clear" w:color="auto" w:fill="auto"/>
            <w:noWrap/>
            <w:vAlign w:val="center"/>
            <w:hideMark/>
          </w:tcPr>
          <w:p w14:paraId="31EF35BA"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0.31</w:t>
            </w:r>
          </w:p>
        </w:tc>
      </w:tr>
      <w:tr w:rsidR="00143588" w:rsidRPr="003D213D" w14:paraId="0AC6E232" w14:textId="77777777" w:rsidTr="00F81FD3">
        <w:trPr>
          <w:trHeight w:val="245"/>
          <w:jc w:val="center"/>
        </w:trPr>
        <w:tc>
          <w:tcPr>
            <w:tcW w:w="3023" w:type="dxa"/>
            <w:tcBorders>
              <w:top w:val="nil"/>
              <w:bottom w:val="single" w:sz="4" w:space="0" w:color="auto"/>
              <w:right w:val="nil"/>
            </w:tcBorders>
            <w:shd w:val="clear" w:color="auto" w:fill="auto"/>
            <w:noWrap/>
            <w:vAlign w:val="center"/>
            <w:hideMark/>
          </w:tcPr>
          <w:p w14:paraId="5EAB5BAD" w14:textId="1EB6E42D" w:rsidR="00EC00ED" w:rsidRPr="003D213D" w:rsidRDefault="00EC00ED" w:rsidP="00EC00ED">
            <w:pPr>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 xml:space="preserve">Diluted EPS from </w:t>
            </w:r>
            <w:proofErr w:type="spellStart"/>
            <w:r w:rsidRPr="003D213D">
              <w:rPr>
                <w:rFonts w:ascii="Arial" w:hAnsi="Arial" w:cs="Arial"/>
                <w:b/>
                <w:bCs/>
                <w:color w:val="000000" w:themeColor="text1"/>
                <w:sz w:val="18"/>
                <w:szCs w:val="18"/>
                <w:lang w:val="en-SG" w:eastAsia="en-SG"/>
              </w:rPr>
              <w:t>Cont</w:t>
            </w:r>
            <w:proofErr w:type="spellEnd"/>
            <w:r w:rsidRPr="003D213D">
              <w:rPr>
                <w:rFonts w:ascii="Arial" w:hAnsi="Arial" w:cs="Arial"/>
                <w:b/>
                <w:bCs/>
                <w:color w:val="000000" w:themeColor="text1"/>
                <w:sz w:val="18"/>
                <w:szCs w:val="18"/>
                <w:lang w:val="en-SG" w:eastAsia="en-SG"/>
              </w:rPr>
              <w:t xml:space="preserve"> Ops, Adjusted</w:t>
            </w:r>
          </w:p>
        </w:tc>
        <w:tc>
          <w:tcPr>
            <w:tcW w:w="1038" w:type="dxa"/>
            <w:tcBorders>
              <w:top w:val="nil"/>
              <w:left w:val="single" w:sz="4" w:space="0" w:color="auto"/>
              <w:bottom w:val="single" w:sz="4" w:space="0" w:color="auto"/>
              <w:right w:val="single" w:sz="4" w:space="0" w:color="auto"/>
            </w:tcBorders>
            <w:shd w:val="clear" w:color="auto" w:fill="auto"/>
            <w:noWrap/>
            <w:vAlign w:val="center"/>
            <w:hideMark/>
          </w:tcPr>
          <w:p w14:paraId="6EE8EAD0"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0.15</w:t>
            </w:r>
          </w:p>
        </w:tc>
        <w:tc>
          <w:tcPr>
            <w:tcW w:w="1038" w:type="dxa"/>
            <w:tcBorders>
              <w:top w:val="nil"/>
              <w:left w:val="nil"/>
              <w:bottom w:val="single" w:sz="4" w:space="0" w:color="auto"/>
              <w:right w:val="single" w:sz="4" w:space="0" w:color="auto"/>
            </w:tcBorders>
            <w:shd w:val="clear" w:color="auto" w:fill="auto"/>
            <w:noWrap/>
            <w:vAlign w:val="center"/>
            <w:hideMark/>
          </w:tcPr>
          <w:p w14:paraId="78852E23"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0.84</w:t>
            </w:r>
          </w:p>
        </w:tc>
        <w:tc>
          <w:tcPr>
            <w:tcW w:w="1039" w:type="dxa"/>
            <w:tcBorders>
              <w:top w:val="nil"/>
              <w:left w:val="nil"/>
              <w:bottom w:val="single" w:sz="4" w:space="0" w:color="auto"/>
              <w:right w:val="single" w:sz="4" w:space="0" w:color="auto"/>
            </w:tcBorders>
            <w:shd w:val="clear" w:color="auto" w:fill="auto"/>
            <w:noWrap/>
            <w:vAlign w:val="center"/>
            <w:hideMark/>
          </w:tcPr>
          <w:p w14:paraId="2847E93B"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0.29</w:t>
            </w:r>
          </w:p>
        </w:tc>
        <w:tc>
          <w:tcPr>
            <w:tcW w:w="1039" w:type="dxa"/>
            <w:tcBorders>
              <w:top w:val="nil"/>
              <w:left w:val="nil"/>
              <w:bottom w:val="single" w:sz="4" w:space="0" w:color="auto"/>
              <w:right w:val="single" w:sz="4" w:space="0" w:color="auto"/>
            </w:tcBorders>
            <w:shd w:val="clear" w:color="auto" w:fill="auto"/>
            <w:noWrap/>
            <w:vAlign w:val="center"/>
            <w:hideMark/>
          </w:tcPr>
          <w:p w14:paraId="69CB414A"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0.28</w:t>
            </w:r>
          </w:p>
        </w:tc>
        <w:tc>
          <w:tcPr>
            <w:tcW w:w="1039" w:type="dxa"/>
            <w:tcBorders>
              <w:top w:val="nil"/>
              <w:left w:val="nil"/>
              <w:bottom w:val="single" w:sz="4" w:space="0" w:color="auto"/>
              <w:right w:val="single" w:sz="4" w:space="0" w:color="auto"/>
            </w:tcBorders>
            <w:shd w:val="clear" w:color="auto" w:fill="auto"/>
            <w:noWrap/>
            <w:vAlign w:val="center"/>
            <w:hideMark/>
          </w:tcPr>
          <w:p w14:paraId="3594B150"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0.25</w:t>
            </w:r>
          </w:p>
        </w:tc>
        <w:tc>
          <w:tcPr>
            <w:tcW w:w="1039" w:type="dxa"/>
            <w:tcBorders>
              <w:top w:val="nil"/>
              <w:left w:val="nil"/>
              <w:bottom w:val="single" w:sz="4" w:space="0" w:color="auto"/>
            </w:tcBorders>
            <w:shd w:val="clear" w:color="auto" w:fill="auto"/>
            <w:noWrap/>
            <w:vAlign w:val="center"/>
            <w:hideMark/>
          </w:tcPr>
          <w:p w14:paraId="24632673" w14:textId="77777777" w:rsidR="00EC00ED" w:rsidRPr="003D213D" w:rsidRDefault="00EC00ED">
            <w:pPr>
              <w:jc w:val="right"/>
              <w:rPr>
                <w:rFonts w:ascii="Arial" w:hAnsi="Arial" w:cs="Arial"/>
                <w:b/>
                <w:bCs/>
                <w:color w:val="000000" w:themeColor="text1"/>
                <w:sz w:val="18"/>
                <w:szCs w:val="18"/>
                <w:lang w:val="en-SG" w:eastAsia="en-SG"/>
              </w:rPr>
            </w:pPr>
            <w:r w:rsidRPr="003D213D">
              <w:rPr>
                <w:rFonts w:ascii="Arial" w:hAnsi="Arial" w:cs="Arial"/>
                <w:b/>
                <w:bCs/>
                <w:color w:val="000000" w:themeColor="text1"/>
                <w:sz w:val="18"/>
                <w:szCs w:val="18"/>
                <w:lang w:val="en-SG" w:eastAsia="en-SG"/>
              </w:rPr>
              <w:t>0.26</w:t>
            </w:r>
          </w:p>
        </w:tc>
      </w:tr>
    </w:tbl>
    <w:p w14:paraId="73BB871F" w14:textId="77777777" w:rsidR="00EB1BD1" w:rsidRPr="00E65477" w:rsidRDefault="00EB1BD1" w:rsidP="0067449F">
      <w:pPr>
        <w:pStyle w:val="ExhibitText"/>
        <w:rPr>
          <w:rFonts w:eastAsia="SimSun"/>
          <w:sz w:val="14"/>
        </w:rPr>
      </w:pPr>
    </w:p>
    <w:p w14:paraId="3E914029" w14:textId="3BFD1D58" w:rsidR="00374923" w:rsidRDefault="00374923" w:rsidP="007240CC">
      <w:pPr>
        <w:pStyle w:val="Footnote"/>
        <w:jc w:val="both"/>
        <w:outlineLvl w:val="0"/>
        <w:rPr>
          <w:rFonts w:eastAsia="SimSun"/>
        </w:rPr>
      </w:pPr>
      <w:r>
        <w:rPr>
          <w:rFonts w:eastAsia="SimSun"/>
        </w:rPr>
        <w:t xml:space="preserve">Note: SGD = </w:t>
      </w:r>
      <w:r w:rsidR="00251048">
        <w:rPr>
          <w:rFonts w:eastAsia="SimSun"/>
        </w:rPr>
        <w:t xml:space="preserve">S$ = </w:t>
      </w:r>
      <w:r w:rsidR="00A112ED">
        <w:rPr>
          <w:rFonts w:eastAsia="SimSun"/>
        </w:rPr>
        <w:t>Singapore dollar</w:t>
      </w:r>
      <w:r w:rsidR="004B01B9">
        <w:rPr>
          <w:rFonts w:eastAsia="SimSun"/>
          <w:lang w:eastAsia="zh-CN"/>
        </w:rPr>
        <w:t>; S$1 = US$0.744 and US$1 = S$1.344 on May 1, 2016</w:t>
      </w:r>
      <w:r w:rsidR="00A112ED">
        <w:rPr>
          <w:rFonts w:eastAsia="SimSun"/>
        </w:rPr>
        <w:t xml:space="preserve">; GAAP = generally accepted accounting principles; </w:t>
      </w:r>
      <w:proofErr w:type="spellStart"/>
      <w:r w:rsidR="004D47A8">
        <w:rPr>
          <w:rFonts w:eastAsia="SimSun"/>
        </w:rPr>
        <w:t>Cont</w:t>
      </w:r>
      <w:proofErr w:type="spellEnd"/>
      <w:r w:rsidR="004D47A8">
        <w:rPr>
          <w:rFonts w:eastAsia="SimSun"/>
        </w:rPr>
        <w:t xml:space="preserve"> Ops = continuing operations; </w:t>
      </w:r>
      <w:proofErr w:type="spellStart"/>
      <w:r w:rsidR="004D47A8">
        <w:rPr>
          <w:rFonts w:eastAsia="SimSun"/>
        </w:rPr>
        <w:t>adj</w:t>
      </w:r>
      <w:proofErr w:type="spellEnd"/>
      <w:r w:rsidR="004D47A8">
        <w:rPr>
          <w:rFonts w:eastAsia="SimSun"/>
        </w:rPr>
        <w:t xml:space="preserve"> = adjusted; </w:t>
      </w:r>
      <w:r>
        <w:rPr>
          <w:rFonts w:eastAsia="SimSun"/>
        </w:rPr>
        <w:t>EPS = earnings per share</w:t>
      </w:r>
      <w:r w:rsidR="008B1AAC">
        <w:rPr>
          <w:rFonts w:eastAsia="SimSun"/>
        </w:rPr>
        <w:t>.</w:t>
      </w:r>
    </w:p>
    <w:p w14:paraId="1484B985" w14:textId="59F785C0" w:rsidR="001E0B8B" w:rsidRPr="00333ADB" w:rsidRDefault="001E0B8B" w:rsidP="001E0B8B">
      <w:pPr>
        <w:pStyle w:val="Footnote"/>
        <w:outlineLvl w:val="0"/>
        <w:rPr>
          <w:rFonts w:eastAsia="SimSun"/>
        </w:rPr>
      </w:pPr>
      <w:r w:rsidRPr="00333ADB">
        <w:rPr>
          <w:rFonts w:eastAsia="SimSun"/>
        </w:rPr>
        <w:t xml:space="preserve">Source: </w:t>
      </w:r>
      <w:r w:rsidR="002636CB">
        <w:rPr>
          <w:rFonts w:eastAsia="SimSun"/>
        </w:rPr>
        <w:t>“</w:t>
      </w:r>
      <w:r w:rsidR="002636CB">
        <w:t>Singapore Airlines</w:t>
      </w:r>
      <w:r w:rsidR="004B01B9">
        <w:t>,</w:t>
      </w:r>
      <w:r w:rsidR="002636CB">
        <w:t>”</w:t>
      </w:r>
      <w:r w:rsidR="002636CB">
        <w:rPr>
          <w:rFonts w:eastAsia="SimSun"/>
        </w:rPr>
        <w:t xml:space="preserve"> </w:t>
      </w:r>
      <w:r w:rsidR="00EB1BD1">
        <w:rPr>
          <w:rFonts w:eastAsia="SimSun"/>
        </w:rPr>
        <w:t>Bloomberg Terminal, accessed March 19, 2018</w:t>
      </w:r>
      <w:r w:rsidRPr="00333ADB">
        <w:rPr>
          <w:rFonts w:eastAsia="SimSun"/>
        </w:rPr>
        <w:t>.</w:t>
      </w:r>
      <w:r w:rsidRPr="00333ADB">
        <w:rPr>
          <w:rFonts w:eastAsia="SimSun"/>
        </w:rPr>
        <w:br w:type="page"/>
      </w:r>
    </w:p>
    <w:p w14:paraId="628DB9AC" w14:textId="7416E788" w:rsidR="002603FA" w:rsidRPr="00F81FD3" w:rsidRDefault="002603FA" w:rsidP="00F81FD3">
      <w:pPr>
        <w:pStyle w:val="ExhibitHeading"/>
        <w:rPr>
          <w:rFonts w:eastAsia="SimSun"/>
        </w:rPr>
      </w:pPr>
      <w:r w:rsidRPr="00F81FD3">
        <w:rPr>
          <w:rFonts w:eastAsia="SimSun"/>
        </w:rPr>
        <w:lastRenderedPageBreak/>
        <w:t xml:space="preserve">Exhibit </w:t>
      </w:r>
      <w:r w:rsidR="001E0B8B" w:rsidRPr="00F81FD3">
        <w:rPr>
          <w:rFonts w:eastAsia="SimSun"/>
        </w:rPr>
        <w:t>3</w:t>
      </w:r>
      <w:r w:rsidRPr="00F81FD3">
        <w:rPr>
          <w:rFonts w:eastAsia="SimSun"/>
        </w:rPr>
        <w:t xml:space="preserve">: </w:t>
      </w:r>
      <w:r w:rsidR="00B00BCF" w:rsidRPr="00F81FD3">
        <w:rPr>
          <w:rFonts w:eastAsia="SimSun"/>
        </w:rPr>
        <w:t>SINGAPORE AIRLINES</w:t>
      </w:r>
      <w:r w:rsidR="00374923" w:rsidRPr="00F81FD3">
        <w:rPr>
          <w:rFonts w:eastAsia="SimSun"/>
        </w:rPr>
        <w:t>—</w:t>
      </w:r>
      <w:r w:rsidRPr="00F81FD3">
        <w:rPr>
          <w:rFonts w:eastAsia="SimSun"/>
        </w:rPr>
        <w:t>Balance Sheet</w:t>
      </w:r>
      <w:r w:rsidR="00C33B6E" w:rsidRPr="00F81FD3">
        <w:rPr>
          <w:rFonts w:eastAsia="SimSun"/>
        </w:rPr>
        <w:t>, 2010–2015</w:t>
      </w:r>
      <w:r w:rsidR="00F81FD3" w:rsidRPr="00F81FD3">
        <w:rPr>
          <w:rFonts w:eastAsia="SimSun"/>
        </w:rPr>
        <w:t xml:space="preserve"> (In SGD millions, except per share</w:t>
      </w:r>
      <w:r w:rsidR="00F81FD3">
        <w:rPr>
          <w:rFonts w:eastAsia="SimSun"/>
        </w:rPr>
        <w:t>)</w:t>
      </w:r>
    </w:p>
    <w:p w14:paraId="06462FF1" w14:textId="4DA9DF3B" w:rsidR="00EB1BD1" w:rsidRDefault="00EB1BD1" w:rsidP="00A763F5">
      <w:pPr>
        <w:pStyle w:val="ExhibitText"/>
        <w:rPr>
          <w:rFonts w:eastAsia="SimSun"/>
          <w:lang w:eastAsia="zh-CN"/>
        </w:rPr>
      </w:pPr>
    </w:p>
    <w:tbl>
      <w:tblPr>
        <w:tblW w:w="4944" w:type="pct"/>
        <w:jc w:val="center"/>
        <w:tblBorders>
          <w:top w:val="single" w:sz="4" w:space="0" w:color="auto"/>
          <w:bottom w:val="single" w:sz="4" w:space="0" w:color="auto"/>
          <w:insideV w:val="single" w:sz="4" w:space="0" w:color="auto"/>
        </w:tblBorders>
        <w:tblLayout w:type="fixed"/>
        <w:tblLook w:val="04A0" w:firstRow="1" w:lastRow="0" w:firstColumn="1" w:lastColumn="0" w:noHBand="0" w:noVBand="1"/>
      </w:tblPr>
      <w:tblGrid>
        <w:gridCol w:w="3010"/>
        <w:gridCol w:w="1039"/>
        <w:gridCol w:w="1039"/>
        <w:gridCol w:w="1050"/>
        <w:gridCol w:w="1039"/>
        <w:gridCol w:w="1039"/>
        <w:gridCol w:w="1039"/>
      </w:tblGrid>
      <w:tr w:rsidR="00374923" w:rsidRPr="00374923" w14:paraId="61E21CE5" w14:textId="77777777" w:rsidTr="00F81FD3">
        <w:trPr>
          <w:trHeight w:val="285"/>
          <w:jc w:val="center"/>
        </w:trPr>
        <w:tc>
          <w:tcPr>
            <w:tcW w:w="3010" w:type="dxa"/>
            <w:tcBorders>
              <w:top w:val="single" w:sz="12" w:space="0" w:color="auto"/>
              <w:bottom w:val="single" w:sz="12" w:space="0" w:color="auto"/>
            </w:tcBorders>
            <w:shd w:val="clear" w:color="auto" w:fill="auto"/>
            <w:noWrap/>
            <w:vAlign w:val="center"/>
            <w:hideMark/>
          </w:tcPr>
          <w:p w14:paraId="20119FE9" w14:textId="6D01E6E3" w:rsidR="00EB1BD1" w:rsidRPr="00F81FD3" w:rsidRDefault="00F81FD3">
            <w:pPr>
              <w:jc w:val="right"/>
              <w:rPr>
                <w:rFonts w:ascii="Arial" w:hAnsi="Arial" w:cs="Arial"/>
                <w:b/>
                <w:bCs/>
                <w:color w:val="000000" w:themeColor="text1"/>
                <w:sz w:val="18"/>
                <w:szCs w:val="18"/>
                <w:lang w:val="en-SG" w:eastAsia="en-SG"/>
              </w:rPr>
            </w:pPr>
            <w:r w:rsidRPr="00F81FD3">
              <w:rPr>
                <w:rFonts w:ascii="Arial" w:hAnsi="Arial" w:cs="Arial"/>
                <w:b/>
                <w:bCs/>
                <w:color w:val="000000" w:themeColor="text1"/>
                <w:sz w:val="18"/>
                <w:szCs w:val="18"/>
                <w:lang w:val="en-SG" w:eastAsia="en-SG"/>
              </w:rPr>
              <w:t>12 Months Ending March 31</w:t>
            </w:r>
          </w:p>
        </w:tc>
        <w:tc>
          <w:tcPr>
            <w:tcW w:w="1039" w:type="dxa"/>
            <w:tcBorders>
              <w:top w:val="single" w:sz="12" w:space="0" w:color="auto"/>
              <w:bottom w:val="single" w:sz="12" w:space="0" w:color="auto"/>
            </w:tcBorders>
            <w:shd w:val="clear" w:color="auto" w:fill="auto"/>
            <w:noWrap/>
            <w:vAlign w:val="center"/>
            <w:hideMark/>
          </w:tcPr>
          <w:p w14:paraId="5F3074D3" w14:textId="72767174" w:rsidR="00EB1BD1" w:rsidRPr="00374923" w:rsidRDefault="00EB1BD1" w:rsidP="0067449F">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2010</w:t>
            </w:r>
          </w:p>
        </w:tc>
        <w:tc>
          <w:tcPr>
            <w:tcW w:w="1039" w:type="dxa"/>
            <w:tcBorders>
              <w:top w:val="single" w:sz="12" w:space="0" w:color="auto"/>
              <w:bottom w:val="single" w:sz="12" w:space="0" w:color="auto"/>
            </w:tcBorders>
            <w:shd w:val="clear" w:color="auto" w:fill="auto"/>
            <w:noWrap/>
            <w:vAlign w:val="center"/>
            <w:hideMark/>
          </w:tcPr>
          <w:p w14:paraId="60FEB1EB" w14:textId="33406FFD" w:rsidR="00EB1BD1" w:rsidRPr="00374923" w:rsidRDefault="00EB1BD1" w:rsidP="0067449F">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2011</w:t>
            </w:r>
          </w:p>
        </w:tc>
        <w:tc>
          <w:tcPr>
            <w:tcW w:w="1050" w:type="dxa"/>
            <w:tcBorders>
              <w:top w:val="single" w:sz="12" w:space="0" w:color="auto"/>
              <w:bottom w:val="single" w:sz="12" w:space="0" w:color="auto"/>
            </w:tcBorders>
            <w:shd w:val="clear" w:color="auto" w:fill="auto"/>
            <w:noWrap/>
            <w:vAlign w:val="center"/>
            <w:hideMark/>
          </w:tcPr>
          <w:p w14:paraId="25FC7A76" w14:textId="5E99025F" w:rsidR="00EB1BD1" w:rsidRPr="00374923" w:rsidRDefault="00EB1BD1" w:rsidP="0067449F">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2012</w:t>
            </w:r>
          </w:p>
        </w:tc>
        <w:tc>
          <w:tcPr>
            <w:tcW w:w="1039" w:type="dxa"/>
            <w:tcBorders>
              <w:top w:val="single" w:sz="12" w:space="0" w:color="auto"/>
              <w:bottom w:val="single" w:sz="12" w:space="0" w:color="auto"/>
            </w:tcBorders>
            <w:shd w:val="clear" w:color="auto" w:fill="auto"/>
            <w:noWrap/>
            <w:vAlign w:val="center"/>
            <w:hideMark/>
          </w:tcPr>
          <w:p w14:paraId="61F2BE88" w14:textId="150F66F8" w:rsidR="00EB1BD1" w:rsidRPr="00374923" w:rsidRDefault="00EB1BD1" w:rsidP="0067449F">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2013</w:t>
            </w:r>
          </w:p>
        </w:tc>
        <w:tc>
          <w:tcPr>
            <w:tcW w:w="1039" w:type="dxa"/>
            <w:tcBorders>
              <w:top w:val="single" w:sz="12" w:space="0" w:color="auto"/>
              <w:bottom w:val="single" w:sz="12" w:space="0" w:color="auto"/>
            </w:tcBorders>
            <w:shd w:val="clear" w:color="auto" w:fill="auto"/>
            <w:noWrap/>
            <w:vAlign w:val="center"/>
            <w:hideMark/>
          </w:tcPr>
          <w:p w14:paraId="3884540E" w14:textId="2DE4A930" w:rsidR="00EB1BD1" w:rsidRPr="00374923" w:rsidRDefault="00EB1BD1" w:rsidP="0067449F">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2014</w:t>
            </w:r>
          </w:p>
        </w:tc>
        <w:tc>
          <w:tcPr>
            <w:tcW w:w="1039" w:type="dxa"/>
            <w:tcBorders>
              <w:top w:val="single" w:sz="12" w:space="0" w:color="auto"/>
              <w:bottom w:val="single" w:sz="12" w:space="0" w:color="auto"/>
            </w:tcBorders>
            <w:shd w:val="clear" w:color="auto" w:fill="auto"/>
            <w:noWrap/>
            <w:vAlign w:val="center"/>
            <w:hideMark/>
          </w:tcPr>
          <w:p w14:paraId="47995F19" w14:textId="203DE288" w:rsidR="00EB1BD1" w:rsidRPr="00374923" w:rsidRDefault="00EB1BD1" w:rsidP="0067449F">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2015</w:t>
            </w:r>
          </w:p>
        </w:tc>
      </w:tr>
      <w:tr w:rsidR="00374923" w:rsidRPr="00374923" w14:paraId="67A35B4F" w14:textId="77777777" w:rsidTr="00F81FD3">
        <w:trPr>
          <w:trHeight w:val="285"/>
          <w:jc w:val="center"/>
        </w:trPr>
        <w:tc>
          <w:tcPr>
            <w:tcW w:w="3010" w:type="dxa"/>
            <w:tcBorders>
              <w:top w:val="single" w:sz="12" w:space="0" w:color="auto"/>
            </w:tcBorders>
            <w:shd w:val="clear" w:color="auto" w:fill="auto"/>
            <w:noWrap/>
            <w:vAlign w:val="center"/>
            <w:hideMark/>
          </w:tcPr>
          <w:p w14:paraId="3FB3C94B" w14:textId="77777777"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Total Assets</w:t>
            </w:r>
          </w:p>
        </w:tc>
        <w:tc>
          <w:tcPr>
            <w:tcW w:w="1039" w:type="dxa"/>
            <w:tcBorders>
              <w:top w:val="single" w:sz="12" w:space="0" w:color="auto"/>
            </w:tcBorders>
            <w:shd w:val="clear" w:color="auto" w:fill="auto"/>
            <w:noWrap/>
            <w:vAlign w:val="center"/>
            <w:hideMark/>
          </w:tcPr>
          <w:p w14:paraId="6F3E1F14" w14:textId="7FADF38F"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tcBorders>
              <w:top w:val="single" w:sz="12" w:space="0" w:color="auto"/>
            </w:tcBorders>
            <w:shd w:val="clear" w:color="auto" w:fill="auto"/>
            <w:noWrap/>
            <w:vAlign w:val="center"/>
            <w:hideMark/>
          </w:tcPr>
          <w:p w14:paraId="3D3B447E" w14:textId="0AF1F5C8"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50" w:type="dxa"/>
            <w:tcBorders>
              <w:top w:val="single" w:sz="12" w:space="0" w:color="auto"/>
            </w:tcBorders>
            <w:shd w:val="clear" w:color="auto" w:fill="auto"/>
            <w:noWrap/>
            <w:vAlign w:val="center"/>
            <w:hideMark/>
          </w:tcPr>
          <w:p w14:paraId="25BF63ED" w14:textId="55115638"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tcBorders>
              <w:top w:val="single" w:sz="12" w:space="0" w:color="auto"/>
            </w:tcBorders>
            <w:shd w:val="clear" w:color="auto" w:fill="auto"/>
            <w:noWrap/>
            <w:vAlign w:val="center"/>
            <w:hideMark/>
          </w:tcPr>
          <w:p w14:paraId="3A693FE2" w14:textId="5C251135"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tcBorders>
              <w:top w:val="single" w:sz="12" w:space="0" w:color="auto"/>
            </w:tcBorders>
            <w:shd w:val="clear" w:color="auto" w:fill="auto"/>
            <w:noWrap/>
            <w:vAlign w:val="center"/>
            <w:hideMark/>
          </w:tcPr>
          <w:p w14:paraId="72C49132" w14:textId="6FEB656B"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tcBorders>
              <w:top w:val="single" w:sz="12" w:space="0" w:color="auto"/>
            </w:tcBorders>
            <w:shd w:val="clear" w:color="auto" w:fill="auto"/>
            <w:noWrap/>
            <w:vAlign w:val="center"/>
            <w:hideMark/>
          </w:tcPr>
          <w:p w14:paraId="7A033208" w14:textId="47E80190"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r>
      <w:tr w:rsidR="00374923" w:rsidRPr="00374923" w14:paraId="3AD35AE0" w14:textId="77777777" w:rsidTr="00F81FD3">
        <w:trPr>
          <w:trHeight w:val="285"/>
          <w:jc w:val="center"/>
        </w:trPr>
        <w:tc>
          <w:tcPr>
            <w:tcW w:w="3010" w:type="dxa"/>
            <w:shd w:val="clear" w:color="auto" w:fill="auto"/>
            <w:noWrap/>
            <w:vAlign w:val="center"/>
            <w:hideMark/>
          </w:tcPr>
          <w:p w14:paraId="00F2D007" w14:textId="5E784C63" w:rsidR="00EB1BD1" w:rsidRPr="00374923" w:rsidRDefault="00EB1BD1" w:rsidP="00576751">
            <w:pPr>
              <w:ind w:left="288"/>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Cash &amp; Cash Equivalents</w:t>
            </w:r>
          </w:p>
        </w:tc>
        <w:tc>
          <w:tcPr>
            <w:tcW w:w="1039" w:type="dxa"/>
            <w:shd w:val="clear" w:color="auto" w:fill="auto"/>
            <w:noWrap/>
            <w:vAlign w:val="center"/>
            <w:hideMark/>
          </w:tcPr>
          <w:p w14:paraId="7E234659"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4,471.9</w:t>
            </w:r>
          </w:p>
        </w:tc>
        <w:tc>
          <w:tcPr>
            <w:tcW w:w="1039" w:type="dxa"/>
            <w:shd w:val="clear" w:color="auto" w:fill="auto"/>
            <w:noWrap/>
            <w:vAlign w:val="center"/>
            <w:hideMark/>
          </w:tcPr>
          <w:p w14:paraId="2A4ED22D"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7,434.2</w:t>
            </w:r>
          </w:p>
        </w:tc>
        <w:tc>
          <w:tcPr>
            <w:tcW w:w="1050" w:type="dxa"/>
            <w:shd w:val="clear" w:color="auto" w:fill="auto"/>
            <w:noWrap/>
            <w:vAlign w:val="center"/>
            <w:hideMark/>
          </w:tcPr>
          <w:p w14:paraId="2CE1C185"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4,702.7</w:t>
            </w:r>
          </w:p>
        </w:tc>
        <w:tc>
          <w:tcPr>
            <w:tcW w:w="1039" w:type="dxa"/>
            <w:shd w:val="clear" w:color="auto" w:fill="auto"/>
            <w:noWrap/>
            <w:vAlign w:val="center"/>
            <w:hideMark/>
          </w:tcPr>
          <w:p w14:paraId="6BC9D57E"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5,059.6</w:t>
            </w:r>
          </w:p>
        </w:tc>
        <w:tc>
          <w:tcPr>
            <w:tcW w:w="1039" w:type="dxa"/>
            <w:shd w:val="clear" w:color="auto" w:fill="auto"/>
            <w:noWrap/>
            <w:vAlign w:val="center"/>
            <w:hideMark/>
          </w:tcPr>
          <w:p w14:paraId="39103C3C"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4,883.9</w:t>
            </w:r>
          </w:p>
        </w:tc>
        <w:tc>
          <w:tcPr>
            <w:tcW w:w="1039" w:type="dxa"/>
            <w:shd w:val="clear" w:color="auto" w:fill="auto"/>
            <w:noWrap/>
            <w:vAlign w:val="center"/>
            <w:hideMark/>
          </w:tcPr>
          <w:p w14:paraId="3EE38E35"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5,042.7</w:t>
            </w:r>
          </w:p>
        </w:tc>
      </w:tr>
      <w:tr w:rsidR="00374923" w:rsidRPr="00374923" w14:paraId="7866FD30" w14:textId="77777777" w:rsidTr="00F81FD3">
        <w:trPr>
          <w:trHeight w:val="285"/>
          <w:jc w:val="center"/>
        </w:trPr>
        <w:tc>
          <w:tcPr>
            <w:tcW w:w="3010" w:type="dxa"/>
            <w:shd w:val="clear" w:color="auto" w:fill="auto"/>
            <w:noWrap/>
            <w:vAlign w:val="center"/>
            <w:hideMark/>
          </w:tcPr>
          <w:p w14:paraId="59521220" w14:textId="48176BDF" w:rsidR="00EB1BD1" w:rsidRPr="00374923" w:rsidRDefault="00EB1BD1" w:rsidP="00576751">
            <w:pPr>
              <w:ind w:left="288"/>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ST Investments</w:t>
            </w:r>
          </w:p>
        </w:tc>
        <w:tc>
          <w:tcPr>
            <w:tcW w:w="1039" w:type="dxa"/>
            <w:shd w:val="clear" w:color="auto" w:fill="auto"/>
            <w:noWrap/>
            <w:vAlign w:val="center"/>
            <w:hideMark/>
          </w:tcPr>
          <w:p w14:paraId="3C8E2BCB"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140.6</w:t>
            </w:r>
          </w:p>
        </w:tc>
        <w:tc>
          <w:tcPr>
            <w:tcW w:w="1039" w:type="dxa"/>
            <w:shd w:val="clear" w:color="auto" w:fill="auto"/>
            <w:noWrap/>
            <w:vAlign w:val="center"/>
            <w:hideMark/>
          </w:tcPr>
          <w:p w14:paraId="3532E03E"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397.8</w:t>
            </w:r>
          </w:p>
        </w:tc>
        <w:tc>
          <w:tcPr>
            <w:tcW w:w="1050" w:type="dxa"/>
            <w:shd w:val="clear" w:color="auto" w:fill="auto"/>
            <w:noWrap/>
            <w:vAlign w:val="center"/>
            <w:hideMark/>
          </w:tcPr>
          <w:p w14:paraId="7BD167A9"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625.1</w:t>
            </w:r>
          </w:p>
        </w:tc>
        <w:tc>
          <w:tcPr>
            <w:tcW w:w="1039" w:type="dxa"/>
            <w:shd w:val="clear" w:color="auto" w:fill="auto"/>
            <w:noWrap/>
            <w:vAlign w:val="center"/>
            <w:hideMark/>
          </w:tcPr>
          <w:p w14:paraId="2B82C6FE"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349.4</w:t>
            </w:r>
          </w:p>
        </w:tc>
        <w:tc>
          <w:tcPr>
            <w:tcW w:w="1039" w:type="dxa"/>
            <w:shd w:val="clear" w:color="auto" w:fill="auto"/>
            <w:noWrap/>
            <w:vAlign w:val="center"/>
            <w:hideMark/>
          </w:tcPr>
          <w:p w14:paraId="5318B6D8"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287.4</w:t>
            </w:r>
          </w:p>
        </w:tc>
        <w:tc>
          <w:tcPr>
            <w:tcW w:w="1039" w:type="dxa"/>
            <w:shd w:val="clear" w:color="auto" w:fill="auto"/>
            <w:noWrap/>
            <w:vAlign w:val="center"/>
            <w:hideMark/>
          </w:tcPr>
          <w:p w14:paraId="762B5BA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168.6</w:t>
            </w:r>
          </w:p>
        </w:tc>
      </w:tr>
      <w:tr w:rsidR="00374923" w:rsidRPr="00374923" w14:paraId="5C458415" w14:textId="77777777" w:rsidTr="00F81FD3">
        <w:trPr>
          <w:trHeight w:val="285"/>
          <w:jc w:val="center"/>
        </w:trPr>
        <w:tc>
          <w:tcPr>
            <w:tcW w:w="3010" w:type="dxa"/>
            <w:shd w:val="clear" w:color="auto" w:fill="auto"/>
            <w:noWrap/>
            <w:vAlign w:val="center"/>
            <w:hideMark/>
          </w:tcPr>
          <w:p w14:paraId="220C0237" w14:textId="45923828"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Accounts &amp; Notes Receiv</w:t>
            </w:r>
            <w:r w:rsidR="00A5393E">
              <w:rPr>
                <w:rFonts w:ascii="Arial" w:hAnsi="Arial" w:cs="Arial"/>
                <w:color w:val="000000" w:themeColor="text1"/>
                <w:sz w:val="18"/>
                <w:szCs w:val="18"/>
                <w:lang w:val="en-SG" w:eastAsia="en-SG"/>
              </w:rPr>
              <w:t>able</w:t>
            </w:r>
          </w:p>
        </w:tc>
        <w:tc>
          <w:tcPr>
            <w:tcW w:w="1039" w:type="dxa"/>
            <w:shd w:val="clear" w:color="auto" w:fill="auto"/>
            <w:noWrap/>
            <w:vAlign w:val="center"/>
            <w:hideMark/>
          </w:tcPr>
          <w:p w14:paraId="41BDC17C"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1,347.8</w:t>
            </w:r>
          </w:p>
        </w:tc>
        <w:tc>
          <w:tcPr>
            <w:tcW w:w="1039" w:type="dxa"/>
            <w:shd w:val="clear" w:color="auto" w:fill="auto"/>
            <w:noWrap/>
            <w:vAlign w:val="center"/>
            <w:hideMark/>
          </w:tcPr>
          <w:p w14:paraId="27B49328"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1,402.1</w:t>
            </w:r>
          </w:p>
        </w:tc>
        <w:tc>
          <w:tcPr>
            <w:tcW w:w="1050" w:type="dxa"/>
            <w:shd w:val="clear" w:color="auto" w:fill="auto"/>
            <w:noWrap/>
            <w:vAlign w:val="center"/>
            <w:hideMark/>
          </w:tcPr>
          <w:p w14:paraId="557E2897"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1,290.7</w:t>
            </w:r>
          </w:p>
        </w:tc>
        <w:tc>
          <w:tcPr>
            <w:tcW w:w="1039" w:type="dxa"/>
            <w:shd w:val="clear" w:color="auto" w:fill="auto"/>
            <w:noWrap/>
            <w:vAlign w:val="center"/>
            <w:hideMark/>
          </w:tcPr>
          <w:p w14:paraId="63E8187F"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1,501.3</w:t>
            </w:r>
          </w:p>
        </w:tc>
        <w:tc>
          <w:tcPr>
            <w:tcW w:w="1039" w:type="dxa"/>
            <w:shd w:val="clear" w:color="auto" w:fill="auto"/>
            <w:noWrap/>
            <w:vAlign w:val="center"/>
            <w:hideMark/>
          </w:tcPr>
          <w:p w14:paraId="5A00B2B3"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1,517.5</w:t>
            </w:r>
          </w:p>
        </w:tc>
        <w:tc>
          <w:tcPr>
            <w:tcW w:w="1039" w:type="dxa"/>
            <w:shd w:val="clear" w:color="auto" w:fill="auto"/>
            <w:noWrap/>
            <w:vAlign w:val="center"/>
            <w:hideMark/>
          </w:tcPr>
          <w:p w14:paraId="67D472D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1,384.6</w:t>
            </w:r>
          </w:p>
        </w:tc>
      </w:tr>
      <w:tr w:rsidR="00374923" w:rsidRPr="00374923" w14:paraId="4C11BF4F" w14:textId="77777777" w:rsidTr="00F81FD3">
        <w:trPr>
          <w:trHeight w:val="285"/>
          <w:jc w:val="center"/>
        </w:trPr>
        <w:tc>
          <w:tcPr>
            <w:tcW w:w="3010" w:type="dxa"/>
            <w:shd w:val="clear" w:color="auto" w:fill="auto"/>
            <w:noWrap/>
            <w:vAlign w:val="center"/>
            <w:hideMark/>
          </w:tcPr>
          <w:p w14:paraId="71E8F065" w14:textId="158130D3" w:rsidR="00EB1BD1" w:rsidRPr="00374923" w:rsidRDefault="00A5393E" w:rsidP="00576751">
            <w:pPr>
              <w:ind w:left="144"/>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 Other Current A</w:t>
            </w:r>
            <w:r w:rsidR="00EB1BD1" w:rsidRPr="00374923">
              <w:rPr>
                <w:rFonts w:ascii="Arial" w:hAnsi="Arial" w:cs="Arial"/>
                <w:color w:val="000000" w:themeColor="text1"/>
                <w:sz w:val="18"/>
                <w:szCs w:val="18"/>
                <w:lang w:val="en-SG" w:eastAsia="en-SG"/>
              </w:rPr>
              <w:t>ssets</w:t>
            </w:r>
          </w:p>
        </w:tc>
        <w:tc>
          <w:tcPr>
            <w:tcW w:w="1039" w:type="dxa"/>
            <w:shd w:val="clear" w:color="auto" w:fill="auto"/>
            <w:noWrap/>
            <w:vAlign w:val="center"/>
            <w:hideMark/>
          </w:tcPr>
          <w:p w14:paraId="105B3992" w14:textId="11413829" w:rsidR="00EB1BD1" w:rsidRPr="00374923" w:rsidRDefault="000E5F16"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xml:space="preserve"> </w:t>
            </w:r>
          </w:p>
        </w:tc>
        <w:tc>
          <w:tcPr>
            <w:tcW w:w="1039" w:type="dxa"/>
            <w:shd w:val="clear" w:color="auto" w:fill="auto"/>
            <w:noWrap/>
            <w:vAlign w:val="center"/>
            <w:hideMark/>
          </w:tcPr>
          <w:p w14:paraId="16BC58A7" w14:textId="38511585" w:rsidR="00EB1BD1" w:rsidRPr="00374923" w:rsidRDefault="000E5F16"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xml:space="preserve"> </w:t>
            </w:r>
          </w:p>
        </w:tc>
        <w:tc>
          <w:tcPr>
            <w:tcW w:w="1050" w:type="dxa"/>
            <w:shd w:val="clear" w:color="auto" w:fill="auto"/>
            <w:noWrap/>
            <w:vAlign w:val="center"/>
            <w:hideMark/>
          </w:tcPr>
          <w:p w14:paraId="52A1C480" w14:textId="11A2630B" w:rsidR="00EB1BD1" w:rsidRPr="00374923" w:rsidRDefault="000E5F16"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xml:space="preserve"> </w:t>
            </w:r>
          </w:p>
        </w:tc>
        <w:tc>
          <w:tcPr>
            <w:tcW w:w="1039" w:type="dxa"/>
            <w:shd w:val="clear" w:color="auto" w:fill="auto"/>
            <w:noWrap/>
            <w:vAlign w:val="center"/>
            <w:hideMark/>
          </w:tcPr>
          <w:p w14:paraId="22FC476E" w14:textId="2BE803B0" w:rsidR="00EB1BD1" w:rsidRPr="00374923" w:rsidRDefault="000E5F16"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xml:space="preserve"> </w:t>
            </w:r>
          </w:p>
        </w:tc>
        <w:tc>
          <w:tcPr>
            <w:tcW w:w="1039" w:type="dxa"/>
            <w:shd w:val="clear" w:color="auto" w:fill="auto"/>
            <w:noWrap/>
            <w:vAlign w:val="center"/>
            <w:hideMark/>
          </w:tcPr>
          <w:p w14:paraId="434D1423" w14:textId="481FB80C" w:rsidR="00EB1BD1" w:rsidRPr="00374923" w:rsidRDefault="000E5F16"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xml:space="preserve"> </w:t>
            </w:r>
          </w:p>
        </w:tc>
        <w:tc>
          <w:tcPr>
            <w:tcW w:w="1039" w:type="dxa"/>
            <w:shd w:val="clear" w:color="auto" w:fill="auto"/>
            <w:noWrap/>
            <w:vAlign w:val="center"/>
            <w:hideMark/>
          </w:tcPr>
          <w:p w14:paraId="7F0A5FFF" w14:textId="6F90BEC8" w:rsidR="00EB1BD1" w:rsidRPr="00374923" w:rsidRDefault="000E5F16"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xml:space="preserve"> </w:t>
            </w:r>
          </w:p>
        </w:tc>
      </w:tr>
      <w:tr w:rsidR="00374923" w:rsidRPr="00374923" w14:paraId="57DB6B40" w14:textId="77777777" w:rsidTr="00F81FD3">
        <w:trPr>
          <w:trHeight w:val="285"/>
          <w:jc w:val="center"/>
        </w:trPr>
        <w:tc>
          <w:tcPr>
            <w:tcW w:w="3010" w:type="dxa"/>
            <w:shd w:val="clear" w:color="auto" w:fill="auto"/>
            <w:noWrap/>
            <w:vAlign w:val="center"/>
            <w:hideMark/>
          </w:tcPr>
          <w:p w14:paraId="5FE51556" w14:textId="77777777"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Total Current Assets</w:t>
            </w:r>
          </w:p>
        </w:tc>
        <w:tc>
          <w:tcPr>
            <w:tcW w:w="1039" w:type="dxa"/>
            <w:shd w:val="clear" w:color="auto" w:fill="auto"/>
            <w:noWrap/>
            <w:vAlign w:val="center"/>
            <w:hideMark/>
          </w:tcPr>
          <w:p w14:paraId="727063B3"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6,548.7</w:t>
            </w:r>
          </w:p>
        </w:tc>
        <w:tc>
          <w:tcPr>
            <w:tcW w:w="1039" w:type="dxa"/>
            <w:shd w:val="clear" w:color="auto" w:fill="auto"/>
            <w:noWrap/>
            <w:vAlign w:val="center"/>
            <w:hideMark/>
          </w:tcPr>
          <w:p w14:paraId="5CADB39A"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9,779.2</w:t>
            </w:r>
          </w:p>
        </w:tc>
        <w:tc>
          <w:tcPr>
            <w:tcW w:w="1050" w:type="dxa"/>
            <w:shd w:val="clear" w:color="auto" w:fill="auto"/>
            <w:noWrap/>
            <w:vAlign w:val="center"/>
            <w:hideMark/>
          </w:tcPr>
          <w:p w14:paraId="0ECFF23D"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7,205.9</w:t>
            </w:r>
          </w:p>
        </w:tc>
        <w:tc>
          <w:tcPr>
            <w:tcW w:w="1039" w:type="dxa"/>
            <w:shd w:val="clear" w:color="auto" w:fill="auto"/>
            <w:noWrap/>
            <w:vAlign w:val="center"/>
            <w:hideMark/>
          </w:tcPr>
          <w:p w14:paraId="5A8CD916"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7,499.5</w:t>
            </w:r>
          </w:p>
        </w:tc>
        <w:tc>
          <w:tcPr>
            <w:tcW w:w="1039" w:type="dxa"/>
            <w:shd w:val="clear" w:color="auto" w:fill="auto"/>
            <w:noWrap/>
            <w:vAlign w:val="center"/>
            <w:hideMark/>
          </w:tcPr>
          <w:p w14:paraId="68711368"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7,310.7</w:t>
            </w:r>
          </w:p>
        </w:tc>
        <w:tc>
          <w:tcPr>
            <w:tcW w:w="1039" w:type="dxa"/>
            <w:shd w:val="clear" w:color="auto" w:fill="auto"/>
            <w:noWrap/>
            <w:vAlign w:val="center"/>
            <w:hideMark/>
          </w:tcPr>
          <w:p w14:paraId="550264A2"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7,252.9</w:t>
            </w:r>
          </w:p>
        </w:tc>
      </w:tr>
      <w:tr w:rsidR="00374923" w:rsidRPr="00374923" w14:paraId="5C574515" w14:textId="77777777" w:rsidTr="00F81FD3">
        <w:trPr>
          <w:trHeight w:val="285"/>
          <w:jc w:val="center"/>
        </w:trPr>
        <w:tc>
          <w:tcPr>
            <w:tcW w:w="3010" w:type="dxa"/>
            <w:shd w:val="clear" w:color="auto" w:fill="auto"/>
            <w:noWrap/>
            <w:vAlign w:val="center"/>
            <w:hideMark/>
          </w:tcPr>
          <w:p w14:paraId="17AE4C45" w14:textId="0451C192" w:rsidR="00EB1BD1" w:rsidRPr="00FA522F" w:rsidRDefault="00EB1BD1" w:rsidP="00576751">
            <w:pPr>
              <w:ind w:left="144"/>
              <w:rPr>
                <w:rFonts w:ascii="Arial" w:hAnsi="Arial" w:cs="Arial"/>
                <w:color w:val="000000" w:themeColor="text1"/>
                <w:spacing w:val="-2"/>
                <w:sz w:val="18"/>
                <w:szCs w:val="18"/>
                <w:lang w:val="en-SG" w:eastAsia="en-SG"/>
              </w:rPr>
            </w:pPr>
            <w:r w:rsidRPr="00FA522F">
              <w:rPr>
                <w:rFonts w:ascii="Arial" w:hAnsi="Arial" w:cs="Arial"/>
                <w:color w:val="000000" w:themeColor="text1"/>
                <w:spacing w:val="-2"/>
                <w:sz w:val="18"/>
                <w:szCs w:val="18"/>
                <w:lang w:val="en-SG" w:eastAsia="en-SG"/>
              </w:rPr>
              <w:t>+ Property, Plant &amp; Equip</w:t>
            </w:r>
            <w:r w:rsidR="00FA522F" w:rsidRPr="00FA522F">
              <w:rPr>
                <w:rFonts w:ascii="Arial" w:hAnsi="Arial" w:cs="Arial"/>
                <w:color w:val="000000" w:themeColor="text1"/>
                <w:spacing w:val="-2"/>
                <w:sz w:val="18"/>
                <w:szCs w:val="18"/>
                <w:lang w:val="en-SG" w:eastAsia="en-SG"/>
              </w:rPr>
              <w:t>ment</w:t>
            </w:r>
            <w:r w:rsidRPr="00FA522F">
              <w:rPr>
                <w:rFonts w:ascii="Arial" w:hAnsi="Arial" w:cs="Arial"/>
                <w:color w:val="000000" w:themeColor="text1"/>
                <w:spacing w:val="-2"/>
                <w:sz w:val="18"/>
                <w:szCs w:val="18"/>
                <w:lang w:val="en-SG" w:eastAsia="en-SG"/>
              </w:rPr>
              <w:t>, Net</w:t>
            </w:r>
          </w:p>
        </w:tc>
        <w:tc>
          <w:tcPr>
            <w:tcW w:w="1039" w:type="dxa"/>
            <w:shd w:val="clear" w:color="auto" w:fill="auto"/>
            <w:noWrap/>
            <w:vAlign w:val="center"/>
            <w:hideMark/>
          </w:tcPr>
          <w:p w14:paraId="14B0BAA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15,063.9</w:t>
            </w:r>
          </w:p>
        </w:tc>
        <w:tc>
          <w:tcPr>
            <w:tcW w:w="1039" w:type="dxa"/>
            <w:shd w:val="clear" w:color="auto" w:fill="auto"/>
            <w:noWrap/>
            <w:vAlign w:val="center"/>
            <w:hideMark/>
          </w:tcPr>
          <w:p w14:paraId="5AF45182"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13,877.6</w:t>
            </w:r>
          </w:p>
        </w:tc>
        <w:tc>
          <w:tcPr>
            <w:tcW w:w="1050" w:type="dxa"/>
            <w:shd w:val="clear" w:color="auto" w:fill="auto"/>
            <w:noWrap/>
            <w:vAlign w:val="center"/>
            <w:hideMark/>
          </w:tcPr>
          <w:p w14:paraId="69E7C9B5"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13,381.4</w:t>
            </w:r>
          </w:p>
        </w:tc>
        <w:tc>
          <w:tcPr>
            <w:tcW w:w="1039" w:type="dxa"/>
            <w:shd w:val="clear" w:color="auto" w:fill="auto"/>
            <w:noWrap/>
            <w:vAlign w:val="center"/>
            <w:hideMark/>
          </w:tcPr>
          <w:p w14:paraId="7C320AA7"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13,098.0</w:t>
            </w:r>
          </w:p>
        </w:tc>
        <w:tc>
          <w:tcPr>
            <w:tcW w:w="1039" w:type="dxa"/>
            <w:shd w:val="clear" w:color="auto" w:fill="auto"/>
            <w:noWrap/>
            <w:vAlign w:val="center"/>
            <w:hideMark/>
          </w:tcPr>
          <w:p w14:paraId="26CFAA12"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13,026.7</w:t>
            </w:r>
          </w:p>
        </w:tc>
        <w:tc>
          <w:tcPr>
            <w:tcW w:w="1039" w:type="dxa"/>
            <w:shd w:val="clear" w:color="auto" w:fill="auto"/>
            <w:noWrap/>
            <w:vAlign w:val="center"/>
            <w:hideMark/>
          </w:tcPr>
          <w:p w14:paraId="07BC42B1"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13,523.2</w:t>
            </w:r>
          </w:p>
        </w:tc>
      </w:tr>
      <w:tr w:rsidR="00374923" w:rsidRPr="00374923" w14:paraId="299497E0" w14:textId="77777777" w:rsidTr="00F81FD3">
        <w:trPr>
          <w:trHeight w:val="285"/>
          <w:jc w:val="center"/>
        </w:trPr>
        <w:tc>
          <w:tcPr>
            <w:tcW w:w="3010" w:type="dxa"/>
            <w:shd w:val="clear" w:color="auto" w:fill="auto"/>
            <w:noWrap/>
            <w:vAlign w:val="center"/>
            <w:hideMark/>
          </w:tcPr>
          <w:p w14:paraId="1B022D18" w14:textId="208125CF" w:rsidR="00EB1BD1" w:rsidRPr="00374923" w:rsidRDefault="00EB1BD1" w:rsidP="00576751">
            <w:pPr>
              <w:ind w:left="288"/>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Property, Plant &amp; Equip</w:t>
            </w:r>
            <w:r w:rsidR="00A5393E">
              <w:rPr>
                <w:rFonts w:ascii="Arial" w:hAnsi="Arial" w:cs="Arial"/>
                <w:color w:val="000000" w:themeColor="text1"/>
                <w:sz w:val="18"/>
                <w:szCs w:val="18"/>
                <w:lang w:val="en-SG" w:eastAsia="en-SG"/>
              </w:rPr>
              <w:t>ment</w:t>
            </w:r>
          </w:p>
        </w:tc>
        <w:tc>
          <w:tcPr>
            <w:tcW w:w="1039" w:type="dxa"/>
            <w:shd w:val="clear" w:color="auto" w:fill="auto"/>
            <w:noWrap/>
            <w:vAlign w:val="center"/>
            <w:hideMark/>
          </w:tcPr>
          <w:p w14:paraId="3D88ABDD"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24,609.6</w:t>
            </w:r>
          </w:p>
        </w:tc>
        <w:tc>
          <w:tcPr>
            <w:tcW w:w="1039" w:type="dxa"/>
            <w:shd w:val="clear" w:color="auto" w:fill="auto"/>
            <w:noWrap/>
            <w:vAlign w:val="center"/>
            <w:hideMark/>
          </w:tcPr>
          <w:p w14:paraId="3F361554"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24,225.7</w:t>
            </w:r>
          </w:p>
        </w:tc>
        <w:tc>
          <w:tcPr>
            <w:tcW w:w="1050" w:type="dxa"/>
            <w:shd w:val="clear" w:color="auto" w:fill="auto"/>
            <w:noWrap/>
            <w:vAlign w:val="center"/>
            <w:hideMark/>
          </w:tcPr>
          <w:p w14:paraId="18DCFB67"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23,435.2</w:t>
            </w:r>
          </w:p>
        </w:tc>
        <w:tc>
          <w:tcPr>
            <w:tcW w:w="1039" w:type="dxa"/>
            <w:shd w:val="clear" w:color="auto" w:fill="auto"/>
            <w:noWrap/>
            <w:vAlign w:val="center"/>
            <w:hideMark/>
          </w:tcPr>
          <w:p w14:paraId="70A5679F"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23,522.6</w:t>
            </w:r>
          </w:p>
        </w:tc>
        <w:tc>
          <w:tcPr>
            <w:tcW w:w="1039" w:type="dxa"/>
            <w:shd w:val="clear" w:color="auto" w:fill="auto"/>
            <w:noWrap/>
            <w:vAlign w:val="center"/>
            <w:hideMark/>
          </w:tcPr>
          <w:p w14:paraId="14852A5D"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23,808.3</w:t>
            </w:r>
          </w:p>
        </w:tc>
        <w:tc>
          <w:tcPr>
            <w:tcW w:w="1039" w:type="dxa"/>
            <w:shd w:val="clear" w:color="auto" w:fill="auto"/>
            <w:noWrap/>
            <w:vAlign w:val="center"/>
            <w:hideMark/>
          </w:tcPr>
          <w:p w14:paraId="53B6DEF7"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24,915.7</w:t>
            </w:r>
          </w:p>
        </w:tc>
      </w:tr>
      <w:tr w:rsidR="00374923" w:rsidRPr="00374923" w14:paraId="202696DD" w14:textId="77777777" w:rsidTr="00F81FD3">
        <w:trPr>
          <w:trHeight w:val="285"/>
          <w:jc w:val="center"/>
        </w:trPr>
        <w:tc>
          <w:tcPr>
            <w:tcW w:w="3010" w:type="dxa"/>
            <w:shd w:val="clear" w:color="auto" w:fill="auto"/>
            <w:noWrap/>
            <w:vAlign w:val="center"/>
            <w:hideMark/>
          </w:tcPr>
          <w:p w14:paraId="449346AA" w14:textId="74681178" w:rsidR="00EB1BD1" w:rsidRPr="00374923" w:rsidRDefault="006226D3" w:rsidP="00576751">
            <w:pPr>
              <w:ind w:left="288"/>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w:t>
            </w:r>
            <w:r w:rsidR="00EB1BD1" w:rsidRPr="00374923">
              <w:rPr>
                <w:rFonts w:ascii="Arial" w:hAnsi="Arial" w:cs="Arial"/>
                <w:color w:val="000000" w:themeColor="text1"/>
                <w:sz w:val="18"/>
                <w:szCs w:val="18"/>
                <w:lang w:val="en-SG" w:eastAsia="en-SG"/>
              </w:rPr>
              <w:t xml:space="preserve"> Accumulated Depreciation</w:t>
            </w:r>
          </w:p>
        </w:tc>
        <w:tc>
          <w:tcPr>
            <w:tcW w:w="1039" w:type="dxa"/>
            <w:shd w:val="clear" w:color="auto" w:fill="auto"/>
            <w:noWrap/>
            <w:vAlign w:val="center"/>
            <w:hideMark/>
          </w:tcPr>
          <w:p w14:paraId="610ABCE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9,545.7</w:t>
            </w:r>
          </w:p>
        </w:tc>
        <w:tc>
          <w:tcPr>
            <w:tcW w:w="1039" w:type="dxa"/>
            <w:shd w:val="clear" w:color="auto" w:fill="auto"/>
            <w:noWrap/>
            <w:vAlign w:val="center"/>
            <w:hideMark/>
          </w:tcPr>
          <w:p w14:paraId="73FCC466"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10,348.1</w:t>
            </w:r>
          </w:p>
        </w:tc>
        <w:tc>
          <w:tcPr>
            <w:tcW w:w="1050" w:type="dxa"/>
            <w:shd w:val="clear" w:color="auto" w:fill="auto"/>
            <w:noWrap/>
            <w:vAlign w:val="center"/>
            <w:hideMark/>
          </w:tcPr>
          <w:p w14:paraId="430773E4"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10,053.8</w:t>
            </w:r>
          </w:p>
        </w:tc>
        <w:tc>
          <w:tcPr>
            <w:tcW w:w="1039" w:type="dxa"/>
            <w:shd w:val="clear" w:color="auto" w:fill="auto"/>
            <w:noWrap/>
            <w:vAlign w:val="center"/>
            <w:hideMark/>
          </w:tcPr>
          <w:p w14:paraId="0FF5CEF8"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10,424.6</w:t>
            </w:r>
          </w:p>
        </w:tc>
        <w:tc>
          <w:tcPr>
            <w:tcW w:w="1039" w:type="dxa"/>
            <w:shd w:val="clear" w:color="auto" w:fill="auto"/>
            <w:noWrap/>
            <w:vAlign w:val="center"/>
            <w:hideMark/>
          </w:tcPr>
          <w:p w14:paraId="6411AB1A"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10,781.6</w:t>
            </w:r>
          </w:p>
        </w:tc>
        <w:tc>
          <w:tcPr>
            <w:tcW w:w="1039" w:type="dxa"/>
            <w:shd w:val="clear" w:color="auto" w:fill="auto"/>
            <w:noWrap/>
            <w:vAlign w:val="center"/>
            <w:hideMark/>
          </w:tcPr>
          <w:p w14:paraId="14DDE854"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11,392.5</w:t>
            </w:r>
          </w:p>
        </w:tc>
      </w:tr>
      <w:tr w:rsidR="00374923" w:rsidRPr="00374923" w14:paraId="6B001564" w14:textId="77777777" w:rsidTr="00F81FD3">
        <w:trPr>
          <w:trHeight w:val="285"/>
          <w:jc w:val="center"/>
        </w:trPr>
        <w:tc>
          <w:tcPr>
            <w:tcW w:w="3010" w:type="dxa"/>
            <w:shd w:val="clear" w:color="auto" w:fill="auto"/>
            <w:noWrap/>
            <w:vAlign w:val="center"/>
            <w:hideMark/>
          </w:tcPr>
          <w:p w14:paraId="0376668B" w14:textId="57731264"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LT Investments &amp; Receivables</w:t>
            </w:r>
          </w:p>
        </w:tc>
        <w:tc>
          <w:tcPr>
            <w:tcW w:w="1039" w:type="dxa"/>
            <w:shd w:val="clear" w:color="auto" w:fill="auto"/>
            <w:noWrap/>
            <w:vAlign w:val="center"/>
            <w:hideMark/>
          </w:tcPr>
          <w:p w14:paraId="70489632"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35.3</w:t>
            </w:r>
          </w:p>
        </w:tc>
        <w:tc>
          <w:tcPr>
            <w:tcW w:w="1039" w:type="dxa"/>
            <w:shd w:val="clear" w:color="auto" w:fill="auto"/>
            <w:noWrap/>
            <w:vAlign w:val="center"/>
            <w:hideMark/>
          </w:tcPr>
          <w:p w14:paraId="2BB6E2BE"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35.3</w:t>
            </w:r>
          </w:p>
        </w:tc>
        <w:tc>
          <w:tcPr>
            <w:tcW w:w="1050" w:type="dxa"/>
            <w:shd w:val="clear" w:color="auto" w:fill="auto"/>
            <w:noWrap/>
            <w:vAlign w:val="center"/>
            <w:hideMark/>
          </w:tcPr>
          <w:p w14:paraId="2225602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373.7</w:t>
            </w:r>
          </w:p>
        </w:tc>
        <w:tc>
          <w:tcPr>
            <w:tcW w:w="1039" w:type="dxa"/>
            <w:shd w:val="clear" w:color="auto" w:fill="auto"/>
            <w:noWrap/>
            <w:vAlign w:val="center"/>
            <w:hideMark/>
          </w:tcPr>
          <w:p w14:paraId="0EE581F2"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706.9</w:t>
            </w:r>
          </w:p>
        </w:tc>
        <w:tc>
          <w:tcPr>
            <w:tcW w:w="1039" w:type="dxa"/>
            <w:shd w:val="clear" w:color="auto" w:fill="auto"/>
            <w:noWrap/>
            <w:vAlign w:val="center"/>
            <w:hideMark/>
          </w:tcPr>
          <w:p w14:paraId="15B6DDFC"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1,125.2</w:t>
            </w:r>
          </w:p>
        </w:tc>
        <w:tc>
          <w:tcPr>
            <w:tcW w:w="1039" w:type="dxa"/>
            <w:shd w:val="clear" w:color="auto" w:fill="auto"/>
            <w:noWrap/>
            <w:vAlign w:val="center"/>
            <w:hideMark/>
          </w:tcPr>
          <w:p w14:paraId="236EC173"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927.6</w:t>
            </w:r>
          </w:p>
        </w:tc>
      </w:tr>
      <w:tr w:rsidR="00374923" w:rsidRPr="00374923" w14:paraId="49AE179F" w14:textId="77777777" w:rsidTr="00F81FD3">
        <w:trPr>
          <w:trHeight w:val="285"/>
          <w:jc w:val="center"/>
        </w:trPr>
        <w:tc>
          <w:tcPr>
            <w:tcW w:w="3010" w:type="dxa"/>
            <w:shd w:val="clear" w:color="auto" w:fill="auto"/>
            <w:noWrap/>
            <w:vAlign w:val="center"/>
            <w:hideMark/>
          </w:tcPr>
          <w:p w14:paraId="7D419B81" w14:textId="74957272"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Other LT Assets</w:t>
            </w:r>
          </w:p>
        </w:tc>
        <w:tc>
          <w:tcPr>
            <w:tcW w:w="1039" w:type="dxa"/>
            <w:shd w:val="clear" w:color="auto" w:fill="auto"/>
            <w:noWrap/>
            <w:vAlign w:val="center"/>
            <w:hideMark/>
          </w:tcPr>
          <w:p w14:paraId="58F79F92"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836.4</w:t>
            </w:r>
          </w:p>
        </w:tc>
        <w:tc>
          <w:tcPr>
            <w:tcW w:w="1039" w:type="dxa"/>
            <w:shd w:val="clear" w:color="auto" w:fill="auto"/>
            <w:noWrap/>
            <w:vAlign w:val="center"/>
            <w:hideMark/>
          </w:tcPr>
          <w:p w14:paraId="2EB179AF"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852.4</w:t>
            </w:r>
          </w:p>
        </w:tc>
        <w:tc>
          <w:tcPr>
            <w:tcW w:w="1050" w:type="dxa"/>
            <w:shd w:val="clear" w:color="auto" w:fill="auto"/>
            <w:noWrap/>
            <w:vAlign w:val="center"/>
            <w:hideMark/>
          </w:tcPr>
          <w:p w14:paraId="6995F9A6"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1,082.0</w:t>
            </w:r>
          </w:p>
        </w:tc>
        <w:tc>
          <w:tcPr>
            <w:tcW w:w="1039" w:type="dxa"/>
            <w:shd w:val="clear" w:color="auto" w:fill="auto"/>
            <w:noWrap/>
            <w:vAlign w:val="center"/>
            <w:hideMark/>
          </w:tcPr>
          <w:p w14:paraId="399755A8"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1,123.7</w:t>
            </w:r>
          </w:p>
        </w:tc>
        <w:tc>
          <w:tcPr>
            <w:tcW w:w="1039" w:type="dxa"/>
            <w:shd w:val="clear" w:color="auto" w:fill="auto"/>
            <w:noWrap/>
            <w:vAlign w:val="center"/>
            <w:hideMark/>
          </w:tcPr>
          <w:p w14:paraId="7DBDEDA3"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1,179.9</w:t>
            </w:r>
          </w:p>
        </w:tc>
        <w:tc>
          <w:tcPr>
            <w:tcW w:w="1039" w:type="dxa"/>
            <w:shd w:val="clear" w:color="auto" w:fill="auto"/>
            <w:noWrap/>
            <w:vAlign w:val="center"/>
            <w:hideMark/>
          </w:tcPr>
          <w:p w14:paraId="7A527DB9"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2,217.9</w:t>
            </w:r>
          </w:p>
        </w:tc>
      </w:tr>
      <w:tr w:rsidR="00374923" w:rsidRPr="00374923" w14:paraId="7C8741DC" w14:textId="77777777" w:rsidTr="00F81FD3">
        <w:trPr>
          <w:trHeight w:val="285"/>
          <w:jc w:val="center"/>
        </w:trPr>
        <w:tc>
          <w:tcPr>
            <w:tcW w:w="3010" w:type="dxa"/>
            <w:shd w:val="clear" w:color="auto" w:fill="auto"/>
            <w:noWrap/>
            <w:vAlign w:val="center"/>
            <w:hideMark/>
          </w:tcPr>
          <w:p w14:paraId="36CCFA84" w14:textId="77777777"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Total Noncurrent Assets</w:t>
            </w:r>
          </w:p>
        </w:tc>
        <w:tc>
          <w:tcPr>
            <w:tcW w:w="1039" w:type="dxa"/>
            <w:shd w:val="clear" w:color="auto" w:fill="auto"/>
            <w:noWrap/>
            <w:vAlign w:val="center"/>
            <w:hideMark/>
          </w:tcPr>
          <w:p w14:paraId="70B365EE"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15,935.6</w:t>
            </w:r>
          </w:p>
        </w:tc>
        <w:tc>
          <w:tcPr>
            <w:tcW w:w="1039" w:type="dxa"/>
            <w:shd w:val="clear" w:color="auto" w:fill="auto"/>
            <w:noWrap/>
            <w:vAlign w:val="center"/>
            <w:hideMark/>
          </w:tcPr>
          <w:p w14:paraId="2D5A3C58"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14,765.3</w:t>
            </w:r>
          </w:p>
        </w:tc>
        <w:tc>
          <w:tcPr>
            <w:tcW w:w="1050" w:type="dxa"/>
            <w:shd w:val="clear" w:color="auto" w:fill="auto"/>
            <w:noWrap/>
            <w:vAlign w:val="center"/>
            <w:hideMark/>
          </w:tcPr>
          <w:p w14:paraId="79C9D08F"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14,837.1</w:t>
            </w:r>
          </w:p>
        </w:tc>
        <w:tc>
          <w:tcPr>
            <w:tcW w:w="1039" w:type="dxa"/>
            <w:shd w:val="clear" w:color="auto" w:fill="auto"/>
            <w:noWrap/>
            <w:vAlign w:val="center"/>
            <w:hideMark/>
          </w:tcPr>
          <w:p w14:paraId="4E5300EC"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14,928.6</w:t>
            </w:r>
          </w:p>
        </w:tc>
        <w:tc>
          <w:tcPr>
            <w:tcW w:w="1039" w:type="dxa"/>
            <w:shd w:val="clear" w:color="auto" w:fill="auto"/>
            <w:noWrap/>
            <w:vAlign w:val="center"/>
            <w:hideMark/>
          </w:tcPr>
          <w:p w14:paraId="61574B0E"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15,331.8</w:t>
            </w:r>
          </w:p>
        </w:tc>
        <w:tc>
          <w:tcPr>
            <w:tcW w:w="1039" w:type="dxa"/>
            <w:shd w:val="clear" w:color="auto" w:fill="auto"/>
            <w:noWrap/>
            <w:vAlign w:val="center"/>
            <w:hideMark/>
          </w:tcPr>
          <w:p w14:paraId="6CE73272"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16,668.7</w:t>
            </w:r>
          </w:p>
        </w:tc>
      </w:tr>
      <w:tr w:rsidR="00374923" w:rsidRPr="00374923" w14:paraId="0E7B584C" w14:textId="77777777" w:rsidTr="00F81FD3">
        <w:trPr>
          <w:trHeight w:val="285"/>
          <w:jc w:val="center"/>
        </w:trPr>
        <w:tc>
          <w:tcPr>
            <w:tcW w:w="3010" w:type="dxa"/>
            <w:shd w:val="clear" w:color="auto" w:fill="auto"/>
            <w:noWrap/>
            <w:vAlign w:val="center"/>
            <w:hideMark/>
          </w:tcPr>
          <w:p w14:paraId="6BF69E43" w14:textId="77777777"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Total Assets</w:t>
            </w:r>
          </w:p>
        </w:tc>
        <w:tc>
          <w:tcPr>
            <w:tcW w:w="1039" w:type="dxa"/>
            <w:shd w:val="clear" w:color="auto" w:fill="auto"/>
            <w:noWrap/>
            <w:vAlign w:val="center"/>
            <w:hideMark/>
          </w:tcPr>
          <w:p w14:paraId="6F226E97"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22,484.3</w:t>
            </w:r>
          </w:p>
        </w:tc>
        <w:tc>
          <w:tcPr>
            <w:tcW w:w="1039" w:type="dxa"/>
            <w:shd w:val="clear" w:color="auto" w:fill="auto"/>
            <w:noWrap/>
            <w:vAlign w:val="center"/>
            <w:hideMark/>
          </w:tcPr>
          <w:p w14:paraId="16F9999C"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24,544.5</w:t>
            </w:r>
          </w:p>
        </w:tc>
        <w:tc>
          <w:tcPr>
            <w:tcW w:w="1050" w:type="dxa"/>
            <w:shd w:val="clear" w:color="auto" w:fill="auto"/>
            <w:noWrap/>
            <w:vAlign w:val="center"/>
            <w:hideMark/>
          </w:tcPr>
          <w:p w14:paraId="0086A7CE"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22,043.0</w:t>
            </w:r>
          </w:p>
        </w:tc>
        <w:tc>
          <w:tcPr>
            <w:tcW w:w="1039" w:type="dxa"/>
            <w:shd w:val="clear" w:color="auto" w:fill="auto"/>
            <w:noWrap/>
            <w:vAlign w:val="center"/>
            <w:hideMark/>
          </w:tcPr>
          <w:p w14:paraId="48E02ACE"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22,428.1</w:t>
            </w:r>
          </w:p>
        </w:tc>
        <w:tc>
          <w:tcPr>
            <w:tcW w:w="1039" w:type="dxa"/>
            <w:shd w:val="clear" w:color="auto" w:fill="auto"/>
            <w:noWrap/>
            <w:vAlign w:val="center"/>
            <w:hideMark/>
          </w:tcPr>
          <w:p w14:paraId="5AD6F7AD"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22,642.5</w:t>
            </w:r>
          </w:p>
        </w:tc>
        <w:tc>
          <w:tcPr>
            <w:tcW w:w="1039" w:type="dxa"/>
            <w:shd w:val="clear" w:color="auto" w:fill="auto"/>
            <w:noWrap/>
            <w:vAlign w:val="center"/>
            <w:hideMark/>
          </w:tcPr>
          <w:p w14:paraId="03E8A129"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23,921.6</w:t>
            </w:r>
          </w:p>
        </w:tc>
      </w:tr>
      <w:tr w:rsidR="00374923" w:rsidRPr="00374923" w14:paraId="7ED19F48" w14:textId="77777777" w:rsidTr="00F81FD3">
        <w:trPr>
          <w:trHeight w:val="285"/>
          <w:jc w:val="center"/>
        </w:trPr>
        <w:tc>
          <w:tcPr>
            <w:tcW w:w="3010" w:type="dxa"/>
            <w:shd w:val="clear" w:color="auto" w:fill="auto"/>
            <w:noWrap/>
            <w:vAlign w:val="center"/>
            <w:hideMark/>
          </w:tcPr>
          <w:p w14:paraId="2CF70A24" w14:textId="0C5BC7CF" w:rsidR="00EB1BD1" w:rsidRPr="00374923" w:rsidRDefault="00EB1BD1" w:rsidP="00EB1BD1">
            <w:pPr>
              <w:rPr>
                <w:rFonts w:ascii="Arial" w:hAnsi="Arial" w:cs="Arial"/>
                <w:b/>
                <w:bCs/>
                <w:color w:val="000000" w:themeColor="text1"/>
                <w:sz w:val="18"/>
                <w:szCs w:val="18"/>
                <w:lang w:val="en-SG" w:eastAsia="en-SG"/>
              </w:rPr>
            </w:pPr>
          </w:p>
        </w:tc>
        <w:tc>
          <w:tcPr>
            <w:tcW w:w="1039" w:type="dxa"/>
            <w:shd w:val="clear" w:color="auto" w:fill="auto"/>
            <w:noWrap/>
            <w:vAlign w:val="center"/>
            <w:hideMark/>
          </w:tcPr>
          <w:p w14:paraId="1C4CD934" w14:textId="44856DFB"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shd w:val="clear" w:color="auto" w:fill="auto"/>
            <w:noWrap/>
            <w:vAlign w:val="center"/>
            <w:hideMark/>
          </w:tcPr>
          <w:p w14:paraId="4B35565D" w14:textId="1C879980"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50" w:type="dxa"/>
            <w:shd w:val="clear" w:color="auto" w:fill="auto"/>
            <w:noWrap/>
            <w:vAlign w:val="center"/>
            <w:hideMark/>
          </w:tcPr>
          <w:p w14:paraId="583F09A5" w14:textId="5AF80239"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shd w:val="clear" w:color="auto" w:fill="auto"/>
            <w:noWrap/>
            <w:vAlign w:val="center"/>
            <w:hideMark/>
          </w:tcPr>
          <w:p w14:paraId="0561F34F" w14:textId="257F352D"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shd w:val="clear" w:color="auto" w:fill="auto"/>
            <w:noWrap/>
            <w:vAlign w:val="center"/>
            <w:hideMark/>
          </w:tcPr>
          <w:p w14:paraId="19BFD48D" w14:textId="3D7F323C"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shd w:val="clear" w:color="auto" w:fill="auto"/>
            <w:noWrap/>
            <w:vAlign w:val="center"/>
            <w:hideMark/>
          </w:tcPr>
          <w:p w14:paraId="6F49D733" w14:textId="2CFAB095"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r>
      <w:tr w:rsidR="00374923" w:rsidRPr="00374923" w14:paraId="60123B4F" w14:textId="77777777" w:rsidTr="00F81FD3">
        <w:trPr>
          <w:trHeight w:val="285"/>
          <w:jc w:val="center"/>
        </w:trPr>
        <w:tc>
          <w:tcPr>
            <w:tcW w:w="3010" w:type="dxa"/>
            <w:shd w:val="clear" w:color="auto" w:fill="auto"/>
            <w:noWrap/>
            <w:vAlign w:val="center"/>
            <w:hideMark/>
          </w:tcPr>
          <w:p w14:paraId="4AD892C1" w14:textId="68530361"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Liabilities &amp; Shareholders</w:t>
            </w:r>
            <w:r w:rsidR="00A5393E">
              <w:rPr>
                <w:rFonts w:ascii="Arial" w:hAnsi="Arial" w:cs="Arial"/>
                <w:b/>
                <w:bCs/>
                <w:color w:val="000000" w:themeColor="text1"/>
                <w:sz w:val="18"/>
                <w:szCs w:val="18"/>
                <w:lang w:val="en-SG" w:eastAsia="en-SG"/>
              </w:rPr>
              <w:t>’</w:t>
            </w:r>
            <w:r w:rsidRPr="00374923">
              <w:rPr>
                <w:rFonts w:ascii="Arial" w:hAnsi="Arial" w:cs="Arial"/>
                <w:b/>
                <w:bCs/>
                <w:color w:val="000000" w:themeColor="text1"/>
                <w:sz w:val="18"/>
                <w:szCs w:val="18"/>
                <w:lang w:val="en-SG" w:eastAsia="en-SG"/>
              </w:rPr>
              <w:t xml:space="preserve"> Equity</w:t>
            </w:r>
          </w:p>
        </w:tc>
        <w:tc>
          <w:tcPr>
            <w:tcW w:w="1039" w:type="dxa"/>
            <w:shd w:val="clear" w:color="auto" w:fill="auto"/>
            <w:noWrap/>
            <w:vAlign w:val="center"/>
            <w:hideMark/>
          </w:tcPr>
          <w:p w14:paraId="7182CADB" w14:textId="5FAE7B57"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shd w:val="clear" w:color="auto" w:fill="auto"/>
            <w:noWrap/>
            <w:vAlign w:val="center"/>
            <w:hideMark/>
          </w:tcPr>
          <w:p w14:paraId="41AD1E1B" w14:textId="02DC5BE1"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50" w:type="dxa"/>
            <w:shd w:val="clear" w:color="auto" w:fill="auto"/>
            <w:noWrap/>
            <w:vAlign w:val="center"/>
            <w:hideMark/>
          </w:tcPr>
          <w:p w14:paraId="2968D70A" w14:textId="34288915"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shd w:val="clear" w:color="auto" w:fill="auto"/>
            <w:noWrap/>
            <w:vAlign w:val="center"/>
            <w:hideMark/>
          </w:tcPr>
          <w:p w14:paraId="360E5D52" w14:textId="68C6957F"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shd w:val="clear" w:color="auto" w:fill="auto"/>
            <w:noWrap/>
            <w:vAlign w:val="center"/>
            <w:hideMark/>
          </w:tcPr>
          <w:p w14:paraId="601EDF97" w14:textId="3D525465"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c>
          <w:tcPr>
            <w:tcW w:w="1039" w:type="dxa"/>
            <w:shd w:val="clear" w:color="auto" w:fill="auto"/>
            <w:noWrap/>
            <w:vAlign w:val="center"/>
            <w:hideMark/>
          </w:tcPr>
          <w:p w14:paraId="1B7484AA" w14:textId="36F6C096" w:rsidR="00EB1BD1" w:rsidRPr="00374923" w:rsidRDefault="000E5F16"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 xml:space="preserve"> </w:t>
            </w:r>
          </w:p>
        </w:tc>
      </w:tr>
      <w:tr w:rsidR="00374923" w:rsidRPr="00374923" w14:paraId="15A0ACCE" w14:textId="77777777" w:rsidTr="00F81FD3">
        <w:trPr>
          <w:trHeight w:val="285"/>
          <w:jc w:val="center"/>
        </w:trPr>
        <w:tc>
          <w:tcPr>
            <w:tcW w:w="3010" w:type="dxa"/>
            <w:shd w:val="clear" w:color="auto" w:fill="auto"/>
            <w:noWrap/>
            <w:vAlign w:val="center"/>
            <w:hideMark/>
          </w:tcPr>
          <w:p w14:paraId="367A1F77" w14:textId="245483BD"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Payables &amp; Accruals</w:t>
            </w:r>
          </w:p>
        </w:tc>
        <w:tc>
          <w:tcPr>
            <w:tcW w:w="1039" w:type="dxa"/>
            <w:shd w:val="clear" w:color="auto" w:fill="auto"/>
            <w:noWrap/>
            <w:vAlign w:val="center"/>
            <w:hideMark/>
          </w:tcPr>
          <w:p w14:paraId="0615E2F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2,619.5</w:t>
            </w:r>
          </w:p>
        </w:tc>
        <w:tc>
          <w:tcPr>
            <w:tcW w:w="1039" w:type="dxa"/>
            <w:shd w:val="clear" w:color="auto" w:fill="auto"/>
            <w:noWrap/>
            <w:vAlign w:val="center"/>
            <w:hideMark/>
          </w:tcPr>
          <w:p w14:paraId="10AFC857"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3,301.8</w:t>
            </w:r>
          </w:p>
        </w:tc>
        <w:tc>
          <w:tcPr>
            <w:tcW w:w="1050" w:type="dxa"/>
            <w:shd w:val="clear" w:color="auto" w:fill="auto"/>
            <w:noWrap/>
            <w:vAlign w:val="center"/>
            <w:hideMark/>
          </w:tcPr>
          <w:p w14:paraId="42A55918"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3,129.8</w:t>
            </w:r>
          </w:p>
        </w:tc>
        <w:tc>
          <w:tcPr>
            <w:tcW w:w="1039" w:type="dxa"/>
            <w:shd w:val="clear" w:color="auto" w:fill="auto"/>
            <w:noWrap/>
            <w:vAlign w:val="center"/>
            <w:hideMark/>
          </w:tcPr>
          <w:p w14:paraId="5C57BCFE"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3,215.8</w:t>
            </w:r>
          </w:p>
        </w:tc>
        <w:tc>
          <w:tcPr>
            <w:tcW w:w="1039" w:type="dxa"/>
            <w:shd w:val="clear" w:color="auto" w:fill="auto"/>
            <w:noWrap/>
            <w:vAlign w:val="center"/>
            <w:hideMark/>
          </w:tcPr>
          <w:p w14:paraId="2CFA3CDC"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3,179.0</w:t>
            </w:r>
          </w:p>
        </w:tc>
        <w:tc>
          <w:tcPr>
            <w:tcW w:w="1039" w:type="dxa"/>
            <w:shd w:val="clear" w:color="auto" w:fill="auto"/>
            <w:noWrap/>
            <w:vAlign w:val="center"/>
            <w:hideMark/>
          </w:tcPr>
          <w:p w14:paraId="16FD7C92"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3,068.4</w:t>
            </w:r>
          </w:p>
        </w:tc>
      </w:tr>
      <w:tr w:rsidR="00374923" w:rsidRPr="00374923" w14:paraId="74E64E48" w14:textId="77777777" w:rsidTr="00F81FD3">
        <w:trPr>
          <w:trHeight w:val="285"/>
          <w:jc w:val="center"/>
        </w:trPr>
        <w:tc>
          <w:tcPr>
            <w:tcW w:w="3010" w:type="dxa"/>
            <w:shd w:val="clear" w:color="auto" w:fill="auto"/>
            <w:noWrap/>
            <w:vAlign w:val="center"/>
            <w:hideMark/>
          </w:tcPr>
          <w:p w14:paraId="5012246A" w14:textId="594EBB1B"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ST Debt</w:t>
            </w:r>
          </w:p>
        </w:tc>
        <w:tc>
          <w:tcPr>
            <w:tcW w:w="1039" w:type="dxa"/>
            <w:shd w:val="clear" w:color="auto" w:fill="auto"/>
            <w:noWrap/>
            <w:vAlign w:val="center"/>
            <w:hideMark/>
          </w:tcPr>
          <w:p w14:paraId="630BDE95"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64.5</w:t>
            </w:r>
          </w:p>
        </w:tc>
        <w:tc>
          <w:tcPr>
            <w:tcW w:w="1039" w:type="dxa"/>
            <w:shd w:val="clear" w:color="auto" w:fill="auto"/>
            <w:noWrap/>
            <w:vAlign w:val="center"/>
            <w:hideMark/>
          </w:tcPr>
          <w:p w14:paraId="5966DF6E"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963.1</w:t>
            </w:r>
          </w:p>
        </w:tc>
        <w:tc>
          <w:tcPr>
            <w:tcW w:w="1050" w:type="dxa"/>
            <w:shd w:val="clear" w:color="auto" w:fill="auto"/>
            <w:noWrap/>
            <w:vAlign w:val="center"/>
            <w:hideMark/>
          </w:tcPr>
          <w:p w14:paraId="5A966EFA"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67.2</w:t>
            </w:r>
          </w:p>
        </w:tc>
        <w:tc>
          <w:tcPr>
            <w:tcW w:w="1039" w:type="dxa"/>
            <w:shd w:val="clear" w:color="auto" w:fill="auto"/>
            <w:noWrap/>
            <w:vAlign w:val="center"/>
            <w:hideMark/>
          </w:tcPr>
          <w:p w14:paraId="582C5BDD"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73.5</w:t>
            </w:r>
          </w:p>
        </w:tc>
        <w:tc>
          <w:tcPr>
            <w:tcW w:w="1039" w:type="dxa"/>
            <w:shd w:val="clear" w:color="auto" w:fill="auto"/>
            <w:noWrap/>
            <w:vAlign w:val="center"/>
            <w:hideMark/>
          </w:tcPr>
          <w:p w14:paraId="38CD0E78"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60.7</w:t>
            </w:r>
          </w:p>
        </w:tc>
        <w:tc>
          <w:tcPr>
            <w:tcW w:w="1039" w:type="dxa"/>
            <w:shd w:val="clear" w:color="auto" w:fill="auto"/>
            <w:noWrap/>
            <w:vAlign w:val="center"/>
            <w:hideMark/>
          </w:tcPr>
          <w:p w14:paraId="2DB0DBA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447.1</w:t>
            </w:r>
          </w:p>
        </w:tc>
      </w:tr>
      <w:tr w:rsidR="00374923" w:rsidRPr="00374923" w14:paraId="431EAC64" w14:textId="77777777" w:rsidTr="00F81FD3">
        <w:trPr>
          <w:trHeight w:val="285"/>
          <w:jc w:val="center"/>
        </w:trPr>
        <w:tc>
          <w:tcPr>
            <w:tcW w:w="3010" w:type="dxa"/>
            <w:shd w:val="clear" w:color="auto" w:fill="auto"/>
            <w:noWrap/>
            <w:vAlign w:val="center"/>
            <w:hideMark/>
          </w:tcPr>
          <w:p w14:paraId="42561319" w14:textId="3C6CE5A8"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Other ST Liabilities</w:t>
            </w:r>
          </w:p>
        </w:tc>
        <w:tc>
          <w:tcPr>
            <w:tcW w:w="1039" w:type="dxa"/>
            <w:shd w:val="clear" w:color="auto" w:fill="auto"/>
            <w:noWrap/>
            <w:vAlign w:val="center"/>
            <w:hideMark/>
          </w:tcPr>
          <w:p w14:paraId="7B277222"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1,835.6</w:t>
            </w:r>
          </w:p>
        </w:tc>
        <w:tc>
          <w:tcPr>
            <w:tcW w:w="1039" w:type="dxa"/>
            <w:shd w:val="clear" w:color="auto" w:fill="auto"/>
            <w:noWrap/>
            <w:vAlign w:val="center"/>
            <w:hideMark/>
          </w:tcPr>
          <w:p w14:paraId="33526A34"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1,967.4</w:t>
            </w:r>
          </w:p>
        </w:tc>
        <w:tc>
          <w:tcPr>
            <w:tcW w:w="1050" w:type="dxa"/>
            <w:shd w:val="clear" w:color="auto" w:fill="auto"/>
            <w:noWrap/>
            <w:vAlign w:val="center"/>
            <w:hideMark/>
          </w:tcPr>
          <w:p w14:paraId="7BC11D6F"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2,068.0</w:t>
            </w:r>
          </w:p>
        </w:tc>
        <w:tc>
          <w:tcPr>
            <w:tcW w:w="1039" w:type="dxa"/>
            <w:shd w:val="clear" w:color="auto" w:fill="auto"/>
            <w:noWrap/>
            <w:vAlign w:val="center"/>
            <w:hideMark/>
          </w:tcPr>
          <w:p w14:paraId="3A9335A4"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2,112.3</w:t>
            </w:r>
          </w:p>
        </w:tc>
        <w:tc>
          <w:tcPr>
            <w:tcW w:w="1039" w:type="dxa"/>
            <w:shd w:val="clear" w:color="auto" w:fill="auto"/>
            <w:noWrap/>
            <w:vAlign w:val="center"/>
            <w:hideMark/>
          </w:tcPr>
          <w:p w14:paraId="3C7DBA68"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2,151.7</w:t>
            </w:r>
          </w:p>
        </w:tc>
        <w:tc>
          <w:tcPr>
            <w:tcW w:w="1039" w:type="dxa"/>
            <w:shd w:val="clear" w:color="auto" w:fill="auto"/>
            <w:noWrap/>
            <w:vAlign w:val="center"/>
            <w:hideMark/>
          </w:tcPr>
          <w:p w14:paraId="3E64FBDA"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3,124.9</w:t>
            </w:r>
          </w:p>
        </w:tc>
      </w:tr>
      <w:tr w:rsidR="00374923" w:rsidRPr="00374923" w14:paraId="0786EDE1" w14:textId="77777777" w:rsidTr="00F81FD3">
        <w:trPr>
          <w:trHeight w:val="285"/>
          <w:jc w:val="center"/>
        </w:trPr>
        <w:tc>
          <w:tcPr>
            <w:tcW w:w="3010" w:type="dxa"/>
            <w:shd w:val="clear" w:color="auto" w:fill="auto"/>
            <w:noWrap/>
            <w:vAlign w:val="center"/>
            <w:hideMark/>
          </w:tcPr>
          <w:p w14:paraId="0AC85C23" w14:textId="77777777"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Total Current Liabilities</w:t>
            </w:r>
          </w:p>
        </w:tc>
        <w:tc>
          <w:tcPr>
            <w:tcW w:w="1039" w:type="dxa"/>
            <w:shd w:val="clear" w:color="auto" w:fill="auto"/>
            <w:noWrap/>
            <w:vAlign w:val="center"/>
            <w:hideMark/>
          </w:tcPr>
          <w:p w14:paraId="43835C18"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4,519.6</w:t>
            </w:r>
          </w:p>
        </w:tc>
        <w:tc>
          <w:tcPr>
            <w:tcW w:w="1039" w:type="dxa"/>
            <w:shd w:val="clear" w:color="auto" w:fill="auto"/>
            <w:noWrap/>
            <w:vAlign w:val="center"/>
            <w:hideMark/>
          </w:tcPr>
          <w:p w14:paraId="2170D319"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6,232.3</w:t>
            </w:r>
          </w:p>
        </w:tc>
        <w:tc>
          <w:tcPr>
            <w:tcW w:w="1050" w:type="dxa"/>
            <w:shd w:val="clear" w:color="auto" w:fill="auto"/>
            <w:noWrap/>
            <w:vAlign w:val="center"/>
            <w:hideMark/>
          </w:tcPr>
          <w:p w14:paraId="005F196A"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5,265.0</w:t>
            </w:r>
          </w:p>
        </w:tc>
        <w:tc>
          <w:tcPr>
            <w:tcW w:w="1039" w:type="dxa"/>
            <w:shd w:val="clear" w:color="auto" w:fill="auto"/>
            <w:noWrap/>
            <w:vAlign w:val="center"/>
            <w:hideMark/>
          </w:tcPr>
          <w:p w14:paraId="5B5E94E1"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5,401.6</w:t>
            </w:r>
          </w:p>
        </w:tc>
        <w:tc>
          <w:tcPr>
            <w:tcW w:w="1039" w:type="dxa"/>
            <w:shd w:val="clear" w:color="auto" w:fill="auto"/>
            <w:noWrap/>
            <w:vAlign w:val="center"/>
            <w:hideMark/>
          </w:tcPr>
          <w:p w14:paraId="56825D5F"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5,391.4</w:t>
            </w:r>
          </w:p>
        </w:tc>
        <w:tc>
          <w:tcPr>
            <w:tcW w:w="1039" w:type="dxa"/>
            <w:shd w:val="clear" w:color="auto" w:fill="auto"/>
            <w:noWrap/>
            <w:vAlign w:val="center"/>
            <w:hideMark/>
          </w:tcPr>
          <w:p w14:paraId="6244E15F"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6,640.4</w:t>
            </w:r>
          </w:p>
        </w:tc>
      </w:tr>
      <w:tr w:rsidR="00374923" w:rsidRPr="00374923" w14:paraId="7CEC4453" w14:textId="77777777" w:rsidTr="00F81FD3">
        <w:trPr>
          <w:trHeight w:val="285"/>
          <w:jc w:val="center"/>
        </w:trPr>
        <w:tc>
          <w:tcPr>
            <w:tcW w:w="3010" w:type="dxa"/>
            <w:shd w:val="clear" w:color="auto" w:fill="auto"/>
            <w:noWrap/>
            <w:vAlign w:val="center"/>
            <w:hideMark/>
          </w:tcPr>
          <w:p w14:paraId="5E608796" w14:textId="38B3389F"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LT Debt</w:t>
            </w:r>
          </w:p>
        </w:tc>
        <w:tc>
          <w:tcPr>
            <w:tcW w:w="1039" w:type="dxa"/>
            <w:shd w:val="clear" w:color="auto" w:fill="auto"/>
            <w:noWrap/>
            <w:vAlign w:val="center"/>
            <w:hideMark/>
          </w:tcPr>
          <w:p w14:paraId="383E5DD5"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1,274.4</w:t>
            </w:r>
          </w:p>
        </w:tc>
        <w:tc>
          <w:tcPr>
            <w:tcW w:w="1039" w:type="dxa"/>
            <w:shd w:val="clear" w:color="auto" w:fill="auto"/>
            <w:noWrap/>
            <w:vAlign w:val="center"/>
            <w:hideMark/>
          </w:tcPr>
          <w:p w14:paraId="4BA29423"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1,075.8</w:t>
            </w:r>
          </w:p>
        </w:tc>
        <w:tc>
          <w:tcPr>
            <w:tcW w:w="1050" w:type="dxa"/>
            <w:shd w:val="clear" w:color="auto" w:fill="auto"/>
            <w:noWrap/>
            <w:vAlign w:val="center"/>
            <w:hideMark/>
          </w:tcPr>
          <w:p w14:paraId="3719E1CD"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1,010.6</w:t>
            </w:r>
          </w:p>
        </w:tc>
        <w:tc>
          <w:tcPr>
            <w:tcW w:w="1039" w:type="dxa"/>
            <w:shd w:val="clear" w:color="auto" w:fill="auto"/>
            <w:noWrap/>
            <w:vAlign w:val="center"/>
            <w:hideMark/>
          </w:tcPr>
          <w:p w14:paraId="76F83C34"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940.6</w:t>
            </w:r>
          </w:p>
        </w:tc>
        <w:tc>
          <w:tcPr>
            <w:tcW w:w="1039" w:type="dxa"/>
            <w:shd w:val="clear" w:color="auto" w:fill="auto"/>
            <w:noWrap/>
            <w:vAlign w:val="center"/>
            <w:hideMark/>
          </w:tcPr>
          <w:p w14:paraId="2C2A82B7"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904.3</w:t>
            </w:r>
          </w:p>
        </w:tc>
        <w:tc>
          <w:tcPr>
            <w:tcW w:w="1039" w:type="dxa"/>
            <w:shd w:val="clear" w:color="auto" w:fill="auto"/>
            <w:noWrap/>
            <w:vAlign w:val="center"/>
            <w:hideMark/>
          </w:tcPr>
          <w:p w14:paraId="75E568A4"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1,292.4</w:t>
            </w:r>
          </w:p>
        </w:tc>
      </w:tr>
      <w:tr w:rsidR="00374923" w:rsidRPr="00374923" w14:paraId="618A0F39" w14:textId="77777777" w:rsidTr="00F81FD3">
        <w:trPr>
          <w:trHeight w:val="285"/>
          <w:jc w:val="center"/>
        </w:trPr>
        <w:tc>
          <w:tcPr>
            <w:tcW w:w="3010" w:type="dxa"/>
            <w:shd w:val="clear" w:color="auto" w:fill="auto"/>
            <w:noWrap/>
            <w:vAlign w:val="center"/>
            <w:hideMark/>
          </w:tcPr>
          <w:p w14:paraId="0F0621F6" w14:textId="4E8FF664"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Other LT Liabilities</w:t>
            </w:r>
          </w:p>
        </w:tc>
        <w:tc>
          <w:tcPr>
            <w:tcW w:w="1039" w:type="dxa"/>
            <w:shd w:val="clear" w:color="auto" w:fill="auto"/>
            <w:noWrap/>
            <w:vAlign w:val="center"/>
            <w:hideMark/>
          </w:tcPr>
          <w:p w14:paraId="79518CF1"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2,941.0</w:t>
            </w:r>
          </w:p>
        </w:tc>
        <w:tc>
          <w:tcPr>
            <w:tcW w:w="1039" w:type="dxa"/>
            <w:shd w:val="clear" w:color="auto" w:fill="auto"/>
            <w:noWrap/>
            <w:vAlign w:val="center"/>
            <w:hideMark/>
          </w:tcPr>
          <w:p w14:paraId="4898EAB1"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2,733.6</w:t>
            </w:r>
          </w:p>
        </w:tc>
        <w:tc>
          <w:tcPr>
            <w:tcW w:w="1050" w:type="dxa"/>
            <w:shd w:val="clear" w:color="auto" w:fill="auto"/>
            <w:noWrap/>
            <w:vAlign w:val="center"/>
            <w:hideMark/>
          </w:tcPr>
          <w:p w14:paraId="2D706CEE"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2,580.0</w:t>
            </w:r>
          </w:p>
        </w:tc>
        <w:tc>
          <w:tcPr>
            <w:tcW w:w="1039" w:type="dxa"/>
            <w:shd w:val="clear" w:color="auto" w:fill="auto"/>
            <w:noWrap/>
            <w:vAlign w:val="center"/>
            <w:hideMark/>
          </w:tcPr>
          <w:p w14:paraId="4D0FBE2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2,683.8</w:t>
            </w:r>
          </w:p>
        </w:tc>
        <w:tc>
          <w:tcPr>
            <w:tcW w:w="1039" w:type="dxa"/>
            <w:shd w:val="clear" w:color="auto" w:fill="auto"/>
            <w:noWrap/>
            <w:vAlign w:val="center"/>
            <w:hideMark/>
          </w:tcPr>
          <w:p w14:paraId="6FFDBF64"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2,772.2</w:t>
            </w:r>
          </w:p>
        </w:tc>
        <w:tc>
          <w:tcPr>
            <w:tcW w:w="1039" w:type="dxa"/>
            <w:shd w:val="clear" w:color="auto" w:fill="auto"/>
            <w:noWrap/>
            <w:vAlign w:val="center"/>
            <w:hideMark/>
          </w:tcPr>
          <w:p w14:paraId="74A4638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3,058.7</w:t>
            </w:r>
          </w:p>
        </w:tc>
      </w:tr>
      <w:tr w:rsidR="00374923" w:rsidRPr="00374923" w14:paraId="7B82BC33" w14:textId="77777777" w:rsidTr="00F81FD3">
        <w:trPr>
          <w:trHeight w:val="285"/>
          <w:jc w:val="center"/>
        </w:trPr>
        <w:tc>
          <w:tcPr>
            <w:tcW w:w="3010" w:type="dxa"/>
            <w:shd w:val="clear" w:color="auto" w:fill="auto"/>
            <w:noWrap/>
            <w:vAlign w:val="center"/>
            <w:hideMark/>
          </w:tcPr>
          <w:p w14:paraId="0876E2F0" w14:textId="77777777"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Total Noncurrent Liabilities</w:t>
            </w:r>
          </w:p>
        </w:tc>
        <w:tc>
          <w:tcPr>
            <w:tcW w:w="1039" w:type="dxa"/>
            <w:shd w:val="clear" w:color="auto" w:fill="auto"/>
            <w:noWrap/>
            <w:vAlign w:val="center"/>
            <w:hideMark/>
          </w:tcPr>
          <w:p w14:paraId="53ECD3DF"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4,215.4</w:t>
            </w:r>
          </w:p>
        </w:tc>
        <w:tc>
          <w:tcPr>
            <w:tcW w:w="1039" w:type="dxa"/>
            <w:shd w:val="clear" w:color="auto" w:fill="auto"/>
            <w:noWrap/>
            <w:vAlign w:val="center"/>
            <w:hideMark/>
          </w:tcPr>
          <w:p w14:paraId="3F89052D"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3,809.4</w:t>
            </w:r>
          </w:p>
        </w:tc>
        <w:tc>
          <w:tcPr>
            <w:tcW w:w="1050" w:type="dxa"/>
            <w:shd w:val="clear" w:color="auto" w:fill="auto"/>
            <w:noWrap/>
            <w:vAlign w:val="center"/>
            <w:hideMark/>
          </w:tcPr>
          <w:p w14:paraId="06987029"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3,590.6</w:t>
            </w:r>
          </w:p>
        </w:tc>
        <w:tc>
          <w:tcPr>
            <w:tcW w:w="1039" w:type="dxa"/>
            <w:shd w:val="clear" w:color="auto" w:fill="auto"/>
            <w:noWrap/>
            <w:vAlign w:val="center"/>
            <w:hideMark/>
          </w:tcPr>
          <w:p w14:paraId="21137C16"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3,624.4</w:t>
            </w:r>
          </w:p>
        </w:tc>
        <w:tc>
          <w:tcPr>
            <w:tcW w:w="1039" w:type="dxa"/>
            <w:shd w:val="clear" w:color="auto" w:fill="auto"/>
            <w:noWrap/>
            <w:vAlign w:val="center"/>
            <w:hideMark/>
          </w:tcPr>
          <w:p w14:paraId="038C0B66"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3,676.5</w:t>
            </w:r>
          </w:p>
        </w:tc>
        <w:tc>
          <w:tcPr>
            <w:tcW w:w="1039" w:type="dxa"/>
            <w:shd w:val="clear" w:color="auto" w:fill="auto"/>
            <w:noWrap/>
            <w:vAlign w:val="center"/>
            <w:hideMark/>
          </w:tcPr>
          <w:p w14:paraId="2E9DEC65"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4,351.1</w:t>
            </w:r>
          </w:p>
        </w:tc>
      </w:tr>
      <w:tr w:rsidR="00374923" w:rsidRPr="00374923" w14:paraId="2E649E68" w14:textId="77777777" w:rsidTr="00F81FD3">
        <w:trPr>
          <w:trHeight w:val="285"/>
          <w:jc w:val="center"/>
        </w:trPr>
        <w:tc>
          <w:tcPr>
            <w:tcW w:w="3010" w:type="dxa"/>
            <w:shd w:val="clear" w:color="auto" w:fill="auto"/>
            <w:noWrap/>
            <w:vAlign w:val="center"/>
            <w:hideMark/>
          </w:tcPr>
          <w:p w14:paraId="617AE4BD" w14:textId="77777777"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Total Liabilities</w:t>
            </w:r>
          </w:p>
        </w:tc>
        <w:tc>
          <w:tcPr>
            <w:tcW w:w="1039" w:type="dxa"/>
            <w:shd w:val="clear" w:color="auto" w:fill="auto"/>
            <w:noWrap/>
            <w:vAlign w:val="center"/>
            <w:hideMark/>
          </w:tcPr>
          <w:p w14:paraId="42A61C5F"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8,735.0</w:t>
            </w:r>
          </w:p>
        </w:tc>
        <w:tc>
          <w:tcPr>
            <w:tcW w:w="1039" w:type="dxa"/>
            <w:shd w:val="clear" w:color="auto" w:fill="auto"/>
            <w:noWrap/>
            <w:vAlign w:val="center"/>
            <w:hideMark/>
          </w:tcPr>
          <w:p w14:paraId="799B500F"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10,041.7</w:t>
            </w:r>
          </w:p>
        </w:tc>
        <w:tc>
          <w:tcPr>
            <w:tcW w:w="1050" w:type="dxa"/>
            <w:shd w:val="clear" w:color="auto" w:fill="auto"/>
            <w:noWrap/>
            <w:vAlign w:val="center"/>
            <w:hideMark/>
          </w:tcPr>
          <w:p w14:paraId="565B50B3"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8,855.6</w:t>
            </w:r>
          </w:p>
        </w:tc>
        <w:tc>
          <w:tcPr>
            <w:tcW w:w="1039" w:type="dxa"/>
            <w:shd w:val="clear" w:color="auto" w:fill="auto"/>
            <w:noWrap/>
            <w:vAlign w:val="center"/>
            <w:hideMark/>
          </w:tcPr>
          <w:p w14:paraId="0833C99C"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9,026.0</w:t>
            </w:r>
          </w:p>
        </w:tc>
        <w:tc>
          <w:tcPr>
            <w:tcW w:w="1039" w:type="dxa"/>
            <w:shd w:val="clear" w:color="auto" w:fill="auto"/>
            <w:noWrap/>
            <w:vAlign w:val="center"/>
            <w:hideMark/>
          </w:tcPr>
          <w:p w14:paraId="45CA0C56"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9,067.9</w:t>
            </w:r>
          </w:p>
        </w:tc>
        <w:tc>
          <w:tcPr>
            <w:tcW w:w="1039" w:type="dxa"/>
            <w:shd w:val="clear" w:color="auto" w:fill="auto"/>
            <w:noWrap/>
            <w:vAlign w:val="center"/>
            <w:hideMark/>
          </w:tcPr>
          <w:p w14:paraId="73480E97"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10,991.5</w:t>
            </w:r>
          </w:p>
        </w:tc>
      </w:tr>
      <w:tr w:rsidR="00374923" w:rsidRPr="00374923" w14:paraId="51C9934B" w14:textId="77777777" w:rsidTr="00F81FD3">
        <w:trPr>
          <w:trHeight w:val="285"/>
          <w:jc w:val="center"/>
        </w:trPr>
        <w:tc>
          <w:tcPr>
            <w:tcW w:w="3010" w:type="dxa"/>
            <w:shd w:val="clear" w:color="auto" w:fill="auto"/>
            <w:noWrap/>
            <w:vAlign w:val="center"/>
            <w:hideMark/>
          </w:tcPr>
          <w:p w14:paraId="651DD6D1" w14:textId="03EC30E0" w:rsidR="00EB1BD1" w:rsidRPr="00FA522F" w:rsidRDefault="00EB1BD1" w:rsidP="00576751">
            <w:pPr>
              <w:ind w:left="144"/>
              <w:rPr>
                <w:rFonts w:ascii="Arial" w:hAnsi="Arial" w:cs="Arial"/>
                <w:color w:val="000000" w:themeColor="text1"/>
                <w:spacing w:val="-6"/>
                <w:sz w:val="18"/>
                <w:szCs w:val="18"/>
                <w:lang w:val="en-SG" w:eastAsia="en-SG"/>
              </w:rPr>
            </w:pPr>
            <w:r w:rsidRPr="00FA522F">
              <w:rPr>
                <w:rFonts w:ascii="Arial" w:hAnsi="Arial" w:cs="Arial"/>
                <w:color w:val="000000" w:themeColor="text1"/>
                <w:spacing w:val="-6"/>
                <w:sz w:val="18"/>
                <w:szCs w:val="18"/>
                <w:lang w:val="en-SG" w:eastAsia="en-SG"/>
              </w:rPr>
              <w:t>+ Preferred Equity and Hybrid Capital</w:t>
            </w:r>
          </w:p>
        </w:tc>
        <w:tc>
          <w:tcPr>
            <w:tcW w:w="1039" w:type="dxa"/>
            <w:shd w:val="clear" w:color="auto" w:fill="auto"/>
            <w:noWrap/>
            <w:vAlign w:val="center"/>
            <w:hideMark/>
          </w:tcPr>
          <w:p w14:paraId="44C7045D"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c>
          <w:tcPr>
            <w:tcW w:w="1039" w:type="dxa"/>
            <w:shd w:val="clear" w:color="auto" w:fill="auto"/>
            <w:noWrap/>
            <w:vAlign w:val="center"/>
            <w:hideMark/>
          </w:tcPr>
          <w:p w14:paraId="21FF47F7"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c>
          <w:tcPr>
            <w:tcW w:w="1050" w:type="dxa"/>
            <w:shd w:val="clear" w:color="auto" w:fill="auto"/>
            <w:noWrap/>
            <w:vAlign w:val="center"/>
            <w:hideMark/>
          </w:tcPr>
          <w:p w14:paraId="5978A2F3"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c>
          <w:tcPr>
            <w:tcW w:w="1039" w:type="dxa"/>
            <w:shd w:val="clear" w:color="auto" w:fill="auto"/>
            <w:noWrap/>
            <w:vAlign w:val="center"/>
            <w:hideMark/>
          </w:tcPr>
          <w:p w14:paraId="0410246A"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c>
          <w:tcPr>
            <w:tcW w:w="1039" w:type="dxa"/>
            <w:shd w:val="clear" w:color="auto" w:fill="auto"/>
            <w:noWrap/>
            <w:vAlign w:val="center"/>
            <w:hideMark/>
          </w:tcPr>
          <w:p w14:paraId="7A51ABB4"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c>
          <w:tcPr>
            <w:tcW w:w="1039" w:type="dxa"/>
            <w:shd w:val="clear" w:color="auto" w:fill="auto"/>
            <w:noWrap/>
            <w:vAlign w:val="center"/>
            <w:hideMark/>
          </w:tcPr>
          <w:p w14:paraId="2A35173F"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r>
      <w:tr w:rsidR="00374923" w:rsidRPr="00374923" w14:paraId="3C18FC02" w14:textId="77777777" w:rsidTr="00F81FD3">
        <w:trPr>
          <w:trHeight w:val="285"/>
          <w:jc w:val="center"/>
        </w:trPr>
        <w:tc>
          <w:tcPr>
            <w:tcW w:w="3010" w:type="dxa"/>
            <w:shd w:val="clear" w:color="auto" w:fill="auto"/>
            <w:noWrap/>
            <w:vAlign w:val="center"/>
            <w:hideMark/>
          </w:tcPr>
          <w:p w14:paraId="3D24820F" w14:textId="171BACFC"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Share Capital &amp; APIC</w:t>
            </w:r>
          </w:p>
        </w:tc>
        <w:tc>
          <w:tcPr>
            <w:tcW w:w="1039" w:type="dxa"/>
            <w:shd w:val="clear" w:color="auto" w:fill="auto"/>
            <w:noWrap/>
            <w:vAlign w:val="center"/>
            <w:hideMark/>
          </w:tcPr>
          <w:p w14:paraId="3C9E3CCF"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1,750.6</w:t>
            </w:r>
          </w:p>
        </w:tc>
        <w:tc>
          <w:tcPr>
            <w:tcW w:w="1039" w:type="dxa"/>
            <w:shd w:val="clear" w:color="auto" w:fill="auto"/>
            <w:noWrap/>
            <w:vAlign w:val="center"/>
            <w:hideMark/>
          </w:tcPr>
          <w:p w14:paraId="1D8FB65B"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1,832.4</w:t>
            </w:r>
          </w:p>
        </w:tc>
        <w:tc>
          <w:tcPr>
            <w:tcW w:w="1050" w:type="dxa"/>
            <w:shd w:val="clear" w:color="auto" w:fill="auto"/>
            <w:noWrap/>
            <w:vAlign w:val="center"/>
            <w:hideMark/>
          </w:tcPr>
          <w:p w14:paraId="2D537CC7"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1,856.1</w:t>
            </w:r>
          </w:p>
        </w:tc>
        <w:tc>
          <w:tcPr>
            <w:tcW w:w="1039" w:type="dxa"/>
            <w:shd w:val="clear" w:color="auto" w:fill="auto"/>
            <w:noWrap/>
            <w:vAlign w:val="center"/>
            <w:hideMark/>
          </w:tcPr>
          <w:p w14:paraId="76E6AF36"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1,856.1</w:t>
            </w:r>
          </w:p>
        </w:tc>
        <w:tc>
          <w:tcPr>
            <w:tcW w:w="1039" w:type="dxa"/>
            <w:shd w:val="clear" w:color="auto" w:fill="auto"/>
            <w:noWrap/>
            <w:vAlign w:val="center"/>
            <w:hideMark/>
          </w:tcPr>
          <w:p w14:paraId="0ADCB16B"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1,856.1</w:t>
            </w:r>
          </w:p>
        </w:tc>
        <w:tc>
          <w:tcPr>
            <w:tcW w:w="1039" w:type="dxa"/>
            <w:shd w:val="clear" w:color="auto" w:fill="auto"/>
            <w:noWrap/>
            <w:vAlign w:val="center"/>
            <w:hideMark/>
          </w:tcPr>
          <w:p w14:paraId="4F8F00A8"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1,856.1</w:t>
            </w:r>
          </w:p>
        </w:tc>
      </w:tr>
      <w:tr w:rsidR="00374923" w:rsidRPr="00374923" w14:paraId="6F7D160F" w14:textId="77777777" w:rsidTr="00F81FD3">
        <w:trPr>
          <w:trHeight w:val="285"/>
          <w:jc w:val="center"/>
        </w:trPr>
        <w:tc>
          <w:tcPr>
            <w:tcW w:w="3010" w:type="dxa"/>
            <w:shd w:val="clear" w:color="auto" w:fill="auto"/>
            <w:noWrap/>
            <w:vAlign w:val="center"/>
            <w:hideMark/>
          </w:tcPr>
          <w:p w14:paraId="25889D70" w14:textId="64DF0F84" w:rsidR="00EB1BD1" w:rsidRPr="00374923" w:rsidRDefault="006226D3"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w:t>
            </w:r>
            <w:r w:rsidR="00EB1BD1" w:rsidRPr="00374923">
              <w:rPr>
                <w:rFonts w:ascii="Arial" w:hAnsi="Arial" w:cs="Arial"/>
                <w:color w:val="000000" w:themeColor="text1"/>
                <w:sz w:val="18"/>
                <w:szCs w:val="18"/>
                <w:lang w:val="en-SG" w:eastAsia="en-SG"/>
              </w:rPr>
              <w:t xml:space="preserve"> Treasury Stock</w:t>
            </w:r>
          </w:p>
        </w:tc>
        <w:tc>
          <w:tcPr>
            <w:tcW w:w="1039" w:type="dxa"/>
            <w:shd w:val="clear" w:color="auto" w:fill="auto"/>
            <w:noWrap/>
            <w:vAlign w:val="center"/>
            <w:hideMark/>
          </w:tcPr>
          <w:p w14:paraId="050C9AD2"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0.9</w:t>
            </w:r>
          </w:p>
        </w:tc>
        <w:tc>
          <w:tcPr>
            <w:tcW w:w="1039" w:type="dxa"/>
            <w:shd w:val="clear" w:color="auto" w:fill="auto"/>
            <w:noWrap/>
            <w:vAlign w:val="center"/>
            <w:hideMark/>
          </w:tcPr>
          <w:p w14:paraId="4F9C288E"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43.0</w:t>
            </w:r>
          </w:p>
        </w:tc>
        <w:tc>
          <w:tcPr>
            <w:tcW w:w="1050" w:type="dxa"/>
            <w:shd w:val="clear" w:color="auto" w:fill="auto"/>
            <w:noWrap/>
            <w:vAlign w:val="center"/>
            <w:hideMark/>
          </w:tcPr>
          <w:p w14:paraId="34CCA741"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258.4</w:t>
            </w:r>
          </w:p>
        </w:tc>
        <w:tc>
          <w:tcPr>
            <w:tcW w:w="1039" w:type="dxa"/>
            <w:shd w:val="clear" w:color="auto" w:fill="auto"/>
            <w:noWrap/>
            <w:vAlign w:val="center"/>
            <w:hideMark/>
          </w:tcPr>
          <w:p w14:paraId="2A393006"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269.8</w:t>
            </w:r>
          </w:p>
        </w:tc>
        <w:tc>
          <w:tcPr>
            <w:tcW w:w="1039" w:type="dxa"/>
            <w:shd w:val="clear" w:color="auto" w:fill="auto"/>
            <w:noWrap/>
            <w:vAlign w:val="center"/>
            <w:hideMark/>
          </w:tcPr>
          <w:p w14:paraId="6EF40DA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262.2</w:t>
            </w:r>
          </w:p>
        </w:tc>
        <w:tc>
          <w:tcPr>
            <w:tcW w:w="1039" w:type="dxa"/>
            <w:shd w:val="clear" w:color="auto" w:fill="auto"/>
            <w:noWrap/>
            <w:vAlign w:val="center"/>
            <w:hideMark/>
          </w:tcPr>
          <w:p w14:paraId="23BB9CDA"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326.3</w:t>
            </w:r>
          </w:p>
        </w:tc>
      </w:tr>
      <w:tr w:rsidR="00374923" w:rsidRPr="00374923" w14:paraId="110F3AEB" w14:textId="77777777" w:rsidTr="00F81FD3">
        <w:trPr>
          <w:trHeight w:val="285"/>
          <w:jc w:val="center"/>
        </w:trPr>
        <w:tc>
          <w:tcPr>
            <w:tcW w:w="3010" w:type="dxa"/>
            <w:shd w:val="clear" w:color="auto" w:fill="auto"/>
            <w:noWrap/>
            <w:vAlign w:val="center"/>
            <w:hideMark/>
          </w:tcPr>
          <w:p w14:paraId="2CC42680" w14:textId="5C632E91"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Retained Earnings</w:t>
            </w:r>
          </w:p>
        </w:tc>
        <w:tc>
          <w:tcPr>
            <w:tcW w:w="1039" w:type="dxa"/>
            <w:shd w:val="clear" w:color="auto" w:fill="auto"/>
            <w:noWrap/>
            <w:vAlign w:val="center"/>
            <w:hideMark/>
          </w:tcPr>
          <w:p w14:paraId="7C05C973"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c>
          <w:tcPr>
            <w:tcW w:w="1039" w:type="dxa"/>
            <w:shd w:val="clear" w:color="auto" w:fill="auto"/>
            <w:noWrap/>
            <w:vAlign w:val="center"/>
            <w:hideMark/>
          </w:tcPr>
          <w:p w14:paraId="050E2F86"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c>
          <w:tcPr>
            <w:tcW w:w="1050" w:type="dxa"/>
            <w:shd w:val="clear" w:color="auto" w:fill="auto"/>
            <w:noWrap/>
            <w:vAlign w:val="center"/>
            <w:hideMark/>
          </w:tcPr>
          <w:p w14:paraId="0C41ED24"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c>
          <w:tcPr>
            <w:tcW w:w="1039" w:type="dxa"/>
            <w:shd w:val="clear" w:color="auto" w:fill="auto"/>
            <w:noWrap/>
            <w:vAlign w:val="center"/>
            <w:hideMark/>
          </w:tcPr>
          <w:p w14:paraId="5833402A"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c>
          <w:tcPr>
            <w:tcW w:w="1039" w:type="dxa"/>
            <w:shd w:val="clear" w:color="auto" w:fill="auto"/>
            <w:noWrap/>
            <w:vAlign w:val="center"/>
            <w:hideMark/>
          </w:tcPr>
          <w:p w14:paraId="41316D0A"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c>
          <w:tcPr>
            <w:tcW w:w="1039" w:type="dxa"/>
            <w:shd w:val="clear" w:color="auto" w:fill="auto"/>
            <w:noWrap/>
            <w:vAlign w:val="center"/>
            <w:hideMark/>
          </w:tcPr>
          <w:p w14:paraId="2030F40C"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0.0</w:t>
            </w:r>
          </w:p>
        </w:tc>
      </w:tr>
      <w:tr w:rsidR="00374923" w:rsidRPr="00374923" w14:paraId="1DF757BE" w14:textId="77777777" w:rsidTr="00F81FD3">
        <w:trPr>
          <w:trHeight w:val="285"/>
          <w:jc w:val="center"/>
        </w:trPr>
        <w:tc>
          <w:tcPr>
            <w:tcW w:w="3010" w:type="dxa"/>
            <w:shd w:val="clear" w:color="auto" w:fill="auto"/>
            <w:noWrap/>
            <w:vAlign w:val="center"/>
            <w:hideMark/>
          </w:tcPr>
          <w:p w14:paraId="1053F296" w14:textId="63FE54EE" w:rsidR="00EB1BD1" w:rsidRPr="00374923" w:rsidRDefault="00EB1BD1" w:rsidP="00576751">
            <w:pPr>
              <w:ind w:left="144"/>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 Other Equity</w:t>
            </w:r>
          </w:p>
        </w:tc>
        <w:tc>
          <w:tcPr>
            <w:tcW w:w="1039" w:type="dxa"/>
            <w:shd w:val="clear" w:color="auto" w:fill="auto"/>
            <w:noWrap/>
            <w:vAlign w:val="center"/>
            <w:hideMark/>
          </w:tcPr>
          <w:p w14:paraId="7F8E1438"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11,719.2</w:t>
            </w:r>
          </w:p>
        </w:tc>
        <w:tc>
          <w:tcPr>
            <w:tcW w:w="1039" w:type="dxa"/>
            <w:shd w:val="clear" w:color="auto" w:fill="auto"/>
            <w:noWrap/>
            <w:vAlign w:val="center"/>
            <w:hideMark/>
          </w:tcPr>
          <w:p w14:paraId="08AA9D3C"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12,415.0</w:t>
            </w:r>
          </w:p>
        </w:tc>
        <w:tc>
          <w:tcPr>
            <w:tcW w:w="1050" w:type="dxa"/>
            <w:shd w:val="clear" w:color="auto" w:fill="auto"/>
            <w:noWrap/>
            <w:vAlign w:val="center"/>
            <w:hideMark/>
          </w:tcPr>
          <w:p w14:paraId="145EC810"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11,295.7</w:t>
            </w:r>
          </w:p>
        </w:tc>
        <w:tc>
          <w:tcPr>
            <w:tcW w:w="1039" w:type="dxa"/>
            <w:shd w:val="clear" w:color="auto" w:fill="auto"/>
            <w:noWrap/>
            <w:vAlign w:val="center"/>
            <w:hideMark/>
          </w:tcPr>
          <w:p w14:paraId="132DC94F"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11,503.2</w:t>
            </w:r>
          </w:p>
        </w:tc>
        <w:tc>
          <w:tcPr>
            <w:tcW w:w="1039" w:type="dxa"/>
            <w:shd w:val="clear" w:color="auto" w:fill="auto"/>
            <w:noWrap/>
            <w:vAlign w:val="center"/>
            <w:hideMark/>
          </w:tcPr>
          <w:p w14:paraId="5E9097B7"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11,643.3</w:t>
            </w:r>
          </w:p>
        </w:tc>
        <w:tc>
          <w:tcPr>
            <w:tcW w:w="1039" w:type="dxa"/>
            <w:shd w:val="clear" w:color="auto" w:fill="auto"/>
            <w:noWrap/>
            <w:vAlign w:val="center"/>
            <w:hideMark/>
          </w:tcPr>
          <w:p w14:paraId="6C193446"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10,933.8</w:t>
            </w:r>
          </w:p>
        </w:tc>
      </w:tr>
      <w:tr w:rsidR="00374923" w:rsidRPr="00374923" w14:paraId="39C454AE" w14:textId="77777777" w:rsidTr="00F81FD3">
        <w:trPr>
          <w:trHeight w:val="285"/>
          <w:jc w:val="center"/>
        </w:trPr>
        <w:tc>
          <w:tcPr>
            <w:tcW w:w="3010" w:type="dxa"/>
            <w:shd w:val="clear" w:color="auto" w:fill="auto"/>
            <w:noWrap/>
            <w:vAlign w:val="center"/>
            <w:hideMark/>
          </w:tcPr>
          <w:p w14:paraId="34EDE6AC" w14:textId="77777777"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Equity Before Minority Interest</w:t>
            </w:r>
          </w:p>
        </w:tc>
        <w:tc>
          <w:tcPr>
            <w:tcW w:w="1039" w:type="dxa"/>
            <w:shd w:val="clear" w:color="auto" w:fill="auto"/>
            <w:noWrap/>
            <w:vAlign w:val="center"/>
            <w:hideMark/>
          </w:tcPr>
          <w:p w14:paraId="25B71560"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13,468.9</w:t>
            </w:r>
          </w:p>
        </w:tc>
        <w:tc>
          <w:tcPr>
            <w:tcW w:w="1039" w:type="dxa"/>
            <w:shd w:val="clear" w:color="auto" w:fill="auto"/>
            <w:noWrap/>
            <w:vAlign w:val="center"/>
            <w:hideMark/>
          </w:tcPr>
          <w:p w14:paraId="7BBBC2E3"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14,204.4</w:t>
            </w:r>
          </w:p>
        </w:tc>
        <w:tc>
          <w:tcPr>
            <w:tcW w:w="1050" w:type="dxa"/>
            <w:shd w:val="clear" w:color="auto" w:fill="auto"/>
            <w:noWrap/>
            <w:vAlign w:val="center"/>
            <w:hideMark/>
          </w:tcPr>
          <w:p w14:paraId="6D307573"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12,893.4</w:t>
            </w:r>
          </w:p>
        </w:tc>
        <w:tc>
          <w:tcPr>
            <w:tcW w:w="1039" w:type="dxa"/>
            <w:shd w:val="clear" w:color="auto" w:fill="auto"/>
            <w:noWrap/>
            <w:vAlign w:val="center"/>
            <w:hideMark/>
          </w:tcPr>
          <w:p w14:paraId="7716A7B2"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13,089.5</w:t>
            </w:r>
          </w:p>
        </w:tc>
        <w:tc>
          <w:tcPr>
            <w:tcW w:w="1039" w:type="dxa"/>
            <w:shd w:val="clear" w:color="auto" w:fill="auto"/>
            <w:noWrap/>
            <w:vAlign w:val="center"/>
            <w:hideMark/>
          </w:tcPr>
          <w:p w14:paraId="3B2C5FA9"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13,237.2</w:t>
            </w:r>
          </w:p>
        </w:tc>
        <w:tc>
          <w:tcPr>
            <w:tcW w:w="1039" w:type="dxa"/>
            <w:shd w:val="clear" w:color="auto" w:fill="auto"/>
            <w:noWrap/>
            <w:vAlign w:val="center"/>
            <w:hideMark/>
          </w:tcPr>
          <w:p w14:paraId="305EA3F2"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12,463.6</w:t>
            </w:r>
          </w:p>
        </w:tc>
      </w:tr>
      <w:tr w:rsidR="00374923" w:rsidRPr="00374923" w14:paraId="27C30402" w14:textId="77777777" w:rsidTr="00F81FD3">
        <w:trPr>
          <w:trHeight w:val="285"/>
          <w:jc w:val="center"/>
        </w:trPr>
        <w:tc>
          <w:tcPr>
            <w:tcW w:w="3010" w:type="dxa"/>
            <w:shd w:val="clear" w:color="auto" w:fill="auto"/>
            <w:noWrap/>
            <w:vAlign w:val="center"/>
            <w:hideMark/>
          </w:tcPr>
          <w:p w14:paraId="3BF161EA" w14:textId="2F0D09A6" w:rsidR="00EB1BD1" w:rsidRPr="00374923" w:rsidRDefault="00A5393E" w:rsidP="00576751">
            <w:pPr>
              <w:ind w:left="144"/>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 Minority/Non-</w:t>
            </w:r>
            <w:r w:rsidR="00EB1BD1" w:rsidRPr="00374923">
              <w:rPr>
                <w:rFonts w:ascii="Arial" w:hAnsi="Arial" w:cs="Arial"/>
                <w:color w:val="000000" w:themeColor="text1"/>
                <w:sz w:val="18"/>
                <w:szCs w:val="18"/>
                <w:lang w:val="en-SG" w:eastAsia="en-SG"/>
              </w:rPr>
              <w:t>Controlling Interest</w:t>
            </w:r>
          </w:p>
        </w:tc>
        <w:tc>
          <w:tcPr>
            <w:tcW w:w="1039" w:type="dxa"/>
            <w:shd w:val="clear" w:color="auto" w:fill="auto"/>
            <w:noWrap/>
            <w:vAlign w:val="center"/>
            <w:hideMark/>
          </w:tcPr>
          <w:p w14:paraId="36462B85"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280.4</w:t>
            </w:r>
          </w:p>
        </w:tc>
        <w:tc>
          <w:tcPr>
            <w:tcW w:w="1039" w:type="dxa"/>
            <w:shd w:val="clear" w:color="auto" w:fill="auto"/>
            <w:noWrap/>
            <w:vAlign w:val="center"/>
            <w:hideMark/>
          </w:tcPr>
          <w:p w14:paraId="3D005B2B"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298.4</w:t>
            </w:r>
          </w:p>
        </w:tc>
        <w:tc>
          <w:tcPr>
            <w:tcW w:w="1050" w:type="dxa"/>
            <w:shd w:val="clear" w:color="auto" w:fill="auto"/>
            <w:noWrap/>
            <w:vAlign w:val="center"/>
            <w:hideMark/>
          </w:tcPr>
          <w:p w14:paraId="51B64FE5"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294.0</w:t>
            </w:r>
          </w:p>
        </w:tc>
        <w:tc>
          <w:tcPr>
            <w:tcW w:w="1039" w:type="dxa"/>
            <w:shd w:val="clear" w:color="auto" w:fill="auto"/>
            <w:noWrap/>
            <w:vAlign w:val="center"/>
            <w:hideMark/>
          </w:tcPr>
          <w:p w14:paraId="5A23E4C6"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312.6</w:t>
            </w:r>
          </w:p>
        </w:tc>
        <w:tc>
          <w:tcPr>
            <w:tcW w:w="1039" w:type="dxa"/>
            <w:shd w:val="clear" w:color="auto" w:fill="auto"/>
            <w:noWrap/>
            <w:vAlign w:val="center"/>
            <w:hideMark/>
          </w:tcPr>
          <w:p w14:paraId="2E0C5EF1"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337.4</w:t>
            </w:r>
          </w:p>
        </w:tc>
        <w:tc>
          <w:tcPr>
            <w:tcW w:w="1039" w:type="dxa"/>
            <w:shd w:val="clear" w:color="auto" w:fill="auto"/>
            <w:noWrap/>
            <w:vAlign w:val="center"/>
            <w:hideMark/>
          </w:tcPr>
          <w:p w14:paraId="2BA30351" w14:textId="77777777" w:rsidR="00EB1BD1" w:rsidRPr="00374923" w:rsidRDefault="00EB1BD1" w:rsidP="0067449F">
            <w:pPr>
              <w:jc w:val="right"/>
              <w:rPr>
                <w:rFonts w:ascii="Arial" w:hAnsi="Arial" w:cs="Arial"/>
                <w:color w:val="000000" w:themeColor="text1"/>
                <w:sz w:val="18"/>
                <w:szCs w:val="18"/>
                <w:lang w:val="en-SG" w:eastAsia="en-SG"/>
              </w:rPr>
            </w:pPr>
            <w:r w:rsidRPr="00374923">
              <w:rPr>
                <w:rFonts w:ascii="Arial" w:hAnsi="Arial" w:cs="Arial"/>
                <w:color w:val="000000" w:themeColor="text1"/>
                <w:sz w:val="18"/>
                <w:szCs w:val="18"/>
                <w:lang w:val="en-SG" w:eastAsia="en-SG"/>
              </w:rPr>
              <w:t>466.5</w:t>
            </w:r>
          </w:p>
        </w:tc>
      </w:tr>
      <w:tr w:rsidR="00374923" w:rsidRPr="00374923" w14:paraId="17FF82F4" w14:textId="77777777" w:rsidTr="00F81FD3">
        <w:trPr>
          <w:trHeight w:val="285"/>
          <w:jc w:val="center"/>
        </w:trPr>
        <w:tc>
          <w:tcPr>
            <w:tcW w:w="3010" w:type="dxa"/>
            <w:shd w:val="clear" w:color="auto" w:fill="auto"/>
            <w:noWrap/>
            <w:vAlign w:val="center"/>
            <w:hideMark/>
          </w:tcPr>
          <w:p w14:paraId="7F7D826F" w14:textId="77777777"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Total Equity</w:t>
            </w:r>
          </w:p>
        </w:tc>
        <w:tc>
          <w:tcPr>
            <w:tcW w:w="1039" w:type="dxa"/>
            <w:shd w:val="clear" w:color="auto" w:fill="auto"/>
            <w:noWrap/>
            <w:vAlign w:val="center"/>
            <w:hideMark/>
          </w:tcPr>
          <w:p w14:paraId="0D01E7FE"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13,749.3</w:t>
            </w:r>
          </w:p>
        </w:tc>
        <w:tc>
          <w:tcPr>
            <w:tcW w:w="1039" w:type="dxa"/>
            <w:shd w:val="clear" w:color="auto" w:fill="auto"/>
            <w:noWrap/>
            <w:vAlign w:val="center"/>
            <w:hideMark/>
          </w:tcPr>
          <w:p w14:paraId="1D2DC4EE"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14,502.8</w:t>
            </w:r>
          </w:p>
        </w:tc>
        <w:tc>
          <w:tcPr>
            <w:tcW w:w="1050" w:type="dxa"/>
            <w:shd w:val="clear" w:color="auto" w:fill="auto"/>
            <w:noWrap/>
            <w:vAlign w:val="center"/>
            <w:hideMark/>
          </w:tcPr>
          <w:p w14:paraId="7FE8A723"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13,187.4</w:t>
            </w:r>
          </w:p>
        </w:tc>
        <w:tc>
          <w:tcPr>
            <w:tcW w:w="1039" w:type="dxa"/>
            <w:shd w:val="clear" w:color="auto" w:fill="auto"/>
            <w:noWrap/>
            <w:vAlign w:val="center"/>
            <w:hideMark/>
          </w:tcPr>
          <w:p w14:paraId="1B60F143"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13,402.1</w:t>
            </w:r>
          </w:p>
        </w:tc>
        <w:tc>
          <w:tcPr>
            <w:tcW w:w="1039" w:type="dxa"/>
            <w:shd w:val="clear" w:color="auto" w:fill="auto"/>
            <w:noWrap/>
            <w:vAlign w:val="center"/>
            <w:hideMark/>
          </w:tcPr>
          <w:p w14:paraId="71146171"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13,574.6</w:t>
            </w:r>
          </w:p>
        </w:tc>
        <w:tc>
          <w:tcPr>
            <w:tcW w:w="1039" w:type="dxa"/>
            <w:shd w:val="clear" w:color="auto" w:fill="auto"/>
            <w:noWrap/>
            <w:vAlign w:val="center"/>
            <w:hideMark/>
          </w:tcPr>
          <w:p w14:paraId="35EB1E8B"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12,930.1</w:t>
            </w:r>
          </w:p>
        </w:tc>
      </w:tr>
      <w:tr w:rsidR="00374923" w:rsidRPr="00374923" w14:paraId="12A55D6B" w14:textId="77777777" w:rsidTr="00F81FD3">
        <w:trPr>
          <w:trHeight w:val="285"/>
          <w:jc w:val="center"/>
        </w:trPr>
        <w:tc>
          <w:tcPr>
            <w:tcW w:w="3010" w:type="dxa"/>
            <w:shd w:val="clear" w:color="auto" w:fill="auto"/>
            <w:noWrap/>
            <w:vAlign w:val="center"/>
            <w:hideMark/>
          </w:tcPr>
          <w:p w14:paraId="404F96EB" w14:textId="77777777" w:rsidR="00EB1BD1" w:rsidRPr="00374923" w:rsidRDefault="00EB1BD1" w:rsidP="00EB1BD1">
            <w:pP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Total Liabilities &amp; Equity</w:t>
            </w:r>
          </w:p>
        </w:tc>
        <w:tc>
          <w:tcPr>
            <w:tcW w:w="1039" w:type="dxa"/>
            <w:shd w:val="clear" w:color="auto" w:fill="auto"/>
            <w:noWrap/>
            <w:vAlign w:val="center"/>
            <w:hideMark/>
          </w:tcPr>
          <w:p w14:paraId="485D8BC3"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22,484.3</w:t>
            </w:r>
          </w:p>
        </w:tc>
        <w:tc>
          <w:tcPr>
            <w:tcW w:w="1039" w:type="dxa"/>
            <w:shd w:val="clear" w:color="auto" w:fill="auto"/>
            <w:noWrap/>
            <w:vAlign w:val="center"/>
            <w:hideMark/>
          </w:tcPr>
          <w:p w14:paraId="47C7A23D"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24,544.5</w:t>
            </w:r>
          </w:p>
        </w:tc>
        <w:tc>
          <w:tcPr>
            <w:tcW w:w="1050" w:type="dxa"/>
            <w:shd w:val="clear" w:color="auto" w:fill="auto"/>
            <w:noWrap/>
            <w:vAlign w:val="center"/>
            <w:hideMark/>
          </w:tcPr>
          <w:p w14:paraId="50A7D54D"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22,043.0</w:t>
            </w:r>
          </w:p>
        </w:tc>
        <w:tc>
          <w:tcPr>
            <w:tcW w:w="1039" w:type="dxa"/>
            <w:shd w:val="clear" w:color="auto" w:fill="auto"/>
            <w:noWrap/>
            <w:vAlign w:val="center"/>
            <w:hideMark/>
          </w:tcPr>
          <w:p w14:paraId="51AECE54"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22,428.1</w:t>
            </w:r>
          </w:p>
        </w:tc>
        <w:tc>
          <w:tcPr>
            <w:tcW w:w="1039" w:type="dxa"/>
            <w:shd w:val="clear" w:color="auto" w:fill="auto"/>
            <w:noWrap/>
            <w:vAlign w:val="center"/>
            <w:hideMark/>
          </w:tcPr>
          <w:p w14:paraId="3A2E40D0"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22,642.5</w:t>
            </w:r>
          </w:p>
        </w:tc>
        <w:tc>
          <w:tcPr>
            <w:tcW w:w="1039" w:type="dxa"/>
            <w:shd w:val="clear" w:color="auto" w:fill="auto"/>
            <w:noWrap/>
            <w:vAlign w:val="center"/>
            <w:hideMark/>
          </w:tcPr>
          <w:p w14:paraId="1B792C4E" w14:textId="77777777" w:rsidR="00EB1BD1" w:rsidRPr="00374923" w:rsidRDefault="00EB1BD1" w:rsidP="0067449F">
            <w:pPr>
              <w:jc w:val="right"/>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23,921.6</w:t>
            </w:r>
          </w:p>
        </w:tc>
      </w:tr>
    </w:tbl>
    <w:p w14:paraId="08E5BA7F" w14:textId="77777777" w:rsidR="00EB1BD1" w:rsidRPr="00333ADB" w:rsidRDefault="00EB1BD1" w:rsidP="00A763F5">
      <w:pPr>
        <w:pStyle w:val="ExhibitText"/>
        <w:rPr>
          <w:rFonts w:eastAsia="SimSun"/>
          <w:lang w:eastAsia="zh-CN"/>
        </w:rPr>
      </w:pPr>
    </w:p>
    <w:p w14:paraId="44ECA912" w14:textId="51C53AA4" w:rsidR="00A5393E" w:rsidRDefault="00A5393E" w:rsidP="007240CC">
      <w:pPr>
        <w:pStyle w:val="Footnote"/>
        <w:jc w:val="both"/>
        <w:outlineLvl w:val="0"/>
        <w:rPr>
          <w:rFonts w:eastAsia="SimSun"/>
        </w:rPr>
      </w:pPr>
      <w:r>
        <w:rPr>
          <w:rFonts w:eastAsia="SimSun"/>
        </w:rPr>
        <w:t xml:space="preserve">Note: SGD = </w:t>
      </w:r>
      <w:r w:rsidR="00251048">
        <w:rPr>
          <w:rFonts w:eastAsia="SimSun"/>
        </w:rPr>
        <w:t xml:space="preserve">S$ = </w:t>
      </w:r>
      <w:r>
        <w:rPr>
          <w:rFonts w:eastAsia="SimSun"/>
        </w:rPr>
        <w:t xml:space="preserve">Singapore dollars; </w:t>
      </w:r>
      <w:r w:rsidR="004B01B9">
        <w:rPr>
          <w:rFonts w:eastAsia="SimSun"/>
          <w:lang w:eastAsia="zh-CN"/>
        </w:rPr>
        <w:t xml:space="preserve">S$1 = US$0.744 and US$1 = S$1.344 on May 1, 2016; </w:t>
      </w:r>
      <w:r>
        <w:rPr>
          <w:rFonts w:eastAsia="SimSun"/>
        </w:rPr>
        <w:t xml:space="preserve">ST = short term; </w:t>
      </w:r>
      <w:r w:rsidR="004B01B9">
        <w:rPr>
          <w:rFonts w:eastAsia="SimSun"/>
        </w:rPr>
        <w:t xml:space="preserve">LT = long term; </w:t>
      </w:r>
      <w:r>
        <w:rPr>
          <w:rFonts w:eastAsia="SimSun"/>
        </w:rPr>
        <w:t>APIC = additional paid in capital.</w:t>
      </w:r>
    </w:p>
    <w:p w14:paraId="748D3042" w14:textId="7025D271" w:rsidR="002603FA" w:rsidRPr="00444C9A" w:rsidRDefault="002603FA" w:rsidP="005E5021">
      <w:pPr>
        <w:pStyle w:val="Footnote"/>
        <w:outlineLvl w:val="0"/>
        <w:rPr>
          <w:rFonts w:eastAsia="SimSun"/>
        </w:rPr>
      </w:pPr>
      <w:r w:rsidRPr="00444C9A">
        <w:rPr>
          <w:rFonts w:eastAsia="SimSun"/>
        </w:rPr>
        <w:t xml:space="preserve">Source: </w:t>
      </w:r>
      <w:r w:rsidR="002636CB">
        <w:rPr>
          <w:rFonts w:eastAsia="SimSun"/>
        </w:rPr>
        <w:t>“</w:t>
      </w:r>
      <w:r w:rsidR="002636CB">
        <w:t>Singapore Airlines</w:t>
      </w:r>
      <w:r w:rsidR="004B01B9">
        <w:t>,</w:t>
      </w:r>
      <w:r w:rsidR="002636CB">
        <w:t>”</w:t>
      </w:r>
      <w:r w:rsidR="002636CB">
        <w:rPr>
          <w:rFonts w:eastAsia="SimSun"/>
        </w:rPr>
        <w:t xml:space="preserve"> </w:t>
      </w:r>
      <w:r w:rsidRPr="00444C9A">
        <w:rPr>
          <w:rFonts w:eastAsia="SimSun"/>
        </w:rPr>
        <w:t>Bloomberg</w:t>
      </w:r>
      <w:r w:rsidR="00314E40" w:rsidRPr="00444C9A">
        <w:rPr>
          <w:rFonts w:eastAsia="SimSun"/>
        </w:rPr>
        <w:t xml:space="preserve"> Terminal</w:t>
      </w:r>
      <w:r w:rsidRPr="00444C9A">
        <w:rPr>
          <w:rFonts w:eastAsia="SimSun"/>
        </w:rPr>
        <w:t>, accessed Ma</w:t>
      </w:r>
      <w:r w:rsidR="00314E40" w:rsidRPr="00444C9A">
        <w:rPr>
          <w:rFonts w:eastAsia="SimSun"/>
        </w:rPr>
        <w:t>rch 19</w:t>
      </w:r>
      <w:r w:rsidRPr="00444C9A">
        <w:rPr>
          <w:rFonts w:eastAsia="SimSun"/>
        </w:rPr>
        <w:t>, 201</w:t>
      </w:r>
      <w:r w:rsidR="00314E40" w:rsidRPr="00444C9A">
        <w:rPr>
          <w:rFonts w:eastAsia="SimSun"/>
        </w:rPr>
        <w:t>8</w:t>
      </w:r>
      <w:r w:rsidR="00FE49BC" w:rsidRPr="00444C9A">
        <w:rPr>
          <w:rFonts w:eastAsia="SimSun"/>
        </w:rPr>
        <w:t>.</w:t>
      </w:r>
      <w:r w:rsidRPr="00444C9A">
        <w:rPr>
          <w:rFonts w:eastAsia="SimSun"/>
        </w:rPr>
        <w:br w:type="page"/>
      </w:r>
    </w:p>
    <w:p w14:paraId="46B3E42F" w14:textId="6D9722AE" w:rsidR="002603FA" w:rsidRPr="00444C9A" w:rsidRDefault="006B3BCF" w:rsidP="005E5021">
      <w:pPr>
        <w:pStyle w:val="ExhibitHeading"/>
        <w:outlineLvl w:val="0"/>
        <w:rPr>
          <w:rFonts w:eastAsia="SimSun"/>
        </w:rPr>
      </w:pPr>
      <w:r w:rsidRPr="00444C9A">
        <w:rPr>
          <w:rFonts w:eastAsia="SimSun"/>
        </w:rPr>
        <w:lastRenderedPageBreak/>
        <w:t xml:space="preserve">Exhibit </w:t>
      </w:r>
      <w:r>
        <w:rPr>
          <w:rFonts w:eastAsia="SimSun"/>
          <w:lang w:eastAsia="zh-CN"/>
        </w:rPr>
        <w:t>4</w:t>
      </w:r>
      <w:r w:rsidR="002603FA" w:rsidRPr="00444C9A">
        <w:rPr>
          <w:rFonts w:eastAsia="SimSun"/>
        </w:rPr>
        <w:t xml:space="preserve">: </w:t>
      </w:r>
      <w:r w:rsidR="00B00BCF" w:rsidRPr="00444C9A">
        <w:rPr>
          <w:rFonts w:eastAsia="SimSun"/>
        </w:rPr>
        <w:t xml:space="preserve">SINGAPORE </w:t>
      </w:r>
      <w:r w:rsidR="00B00BCF" w:rsidRPr="00B00BCF">
        <w:rPr>
          <w:rFonts w:eastAsia="SimSun"/>
          <w:lang w:eastAsia="zh-CN"/>
        </w:rPr>
        <w:t>AIRLINES</w:t>
      </w:r>
      <w:r w:rsidR="00A5393E">
        <w:rPr>
          <w:rFonts w:eastAsia="SimSun"/>
          <w:lang w:eastAsia="zh-CN"/>
        </w:rPr>
        <w:t>—</w:t>
      </w:r>
      <w:r w:rsidR="002603FA" w:rsidRPr="00444C9A">
        <w:rPr>
          <w:rFonts w:eastAsia="SimSun"/>
        </w:rPr>
        <w:t>Cash Flow Statement</w:t>
      </w:r>
      <w:r w:rsidR="00C33B6E">
        <w:rPr>
          <w:rFonts w:eastAsia="SimSun"/>
        </w:rPr>
        <w:t>, 2010–2015</w:t>
      </w:r>
      <w:r w:rsidR="00F81FD3">
        <w:rPr>
          <w:rFonts w:eastAsia="SimSun"/>
        </w:rPr>
        <w:t xml:space="preserve"> </w:t>
      </w:r>
      <w:r w:rsidR="00F81FD3" w:rsidRPr="00F81FD3">
        <w:rPr>
          <w:rFonts w:eastAsia="SimSun"/>
        </w:rPr>
        <w:t>(In SGD millions, except per share</w:t>
      </w:r>
      <w:r w:rsidR="00F81FD3">
        <w:rPr>
          <w:rFonts w:eastAsia="SimSun"/>
        </w:rPr>
        <w:t>)</w:t>
      </w:r>
    </w:p>
    <w:p w14:paraId="2E7FC393" w14:textId="767EAAE7" w:rsidR="00250233" w:rsidRPr="00444C9A" w:rsidRDefault="00250233" w:rsidP="0079599D">
      <w:pPr>
        <w:pStyle w:val="ExhibitText"/>
        <w:rPr>
          <w:rFonts w:eastAsia="SimSun"/>
        </w:rPr>
      </w:pPr>
    </w:p>
    <w:tbl>
      <w:tblPr>
        <w:tblW w:w="4944" w:type="pct"/>
        <w:jc w:val="center"/>
        <w:tblBorders>
          <w:top w:val="single" w:sz="4" w:space="0" w:color="auto"/>
          <w:bottom w:val="single" w:sz="4" w:space="0" w:color="auto"/>
          <w:insideV w:val="single" w:sz="4" w:space="0" w:color="auto"/>
        </w:tblBorders>
        <w:tblLayout w:type="fixed"/>
        <w:tblLook w:val="04A0" w:firstRow="1" w:lastRow="0" w:firstColumn="1" w:lastColumn="0" w:noHBand="0" w:noVBand="1"/>
      </w:tblPr>
      <w:tblGrid>
        <w:gridCol w:w="3060"/>
        <w:gridCol w:w="1080"/>
        <w:gridCol w:w="990"/>
        <w:gridCol w:w="1004"/>
        <w:gridCol w:w="6"/>
        <w:gridCol w:w="1037"/>
        <w:gridCol w:w="1039"/>
        <w:gridCol w:w="1039"/>
      </w:tblGrid>
      <w:tr w:rsidR="00F81FD3" w:rsidRPr="00374923" w14:paraId="2F64CE46" w14:textId="77777777" w:rsidTr="00F81FD3">
        <w:trPr>
          <w:trHeight w:val="285"/>
          <w:jc w:val="center"/>
        </w:trPr>
        <w:tc>
          <w:tcPr>
            <w:tcW w:w="3060" w:type="dxa"/>
            <w:tcBorders>
              <w:top w:val="single" w:sz="12" w:space="0" w:color="auto"/>
              <w:bottom w:val="single" w:sz="12" w:space="0" w:color="auto"/>
            </w:tcBorders>
            <w:shd w:val="clear" w:color="auto" w:fill="auto"/>
            <w:noWrap/>
            <w:vAlign w:val="center"/>
            <w:hideMark/>
          </w:tcPr>
          <w:p w14:paraId="1EF29C27" w14:textId="77777777" w:rsidR="00F81FD3" w:rsidRPr="00F81FD3" w:rsidRDefault="00F81FD3" w:rsidP="00F81FD3">
            <w:pPr>
              <w:rPr>
                <w:rFonts w:ascii="Arial" w:hAnsi="Arial" w:cs="Arial"/>
                <w:b/>
                <w:bCs/>
                <w:color w:val="000000" w:themeColor="text1"/>
                <w:sz w:val="18"/>
                <w:szCs w:val="18"/>
                <w:lang w:val="en-SG" w:eastAsia="en-SG"/>
              </w:rPr>
            </w:pPr>
            <w:r w:rsidRPr="00F81FD3">
              <w:rPr>
                <w:rFonts w:ascii="Arial" w:hAnsi="Arial" w:cs="Arial"/>
                <w:b/>
                <w:bCs/>
                <w:color w:val="000000" w:themeColor="text1"/>
                <w:sz w:val="18"/>
                <w:szCs w:val="18"/>
                <w:lang w:val="en-SG" w:eastAsia="en-SG"/>
              </w:rPr>
              <w:t>12 Months Ending March 31</w:t>
            </w:r>
          </w:p>
        </w:tc>
        <w:tc>
          <w:tcPr>
            <w:tcW w:w="1080" w:type="dxa"/>
            <w:tcBorders>
              <w:top w:val="single" w:sz="12" w:space="0" w:color="auto"/>
              <w:bottom w:val="single" w:sz="12" w:space="0" w:color="auto"/>
            </w:tcBorders>
            <w:shd w:val="clear" w:color="auto" w:fill="auto"/>
            <w:noWrap/>
            <w:vAlign w:val="center"/>
            <w:hideMark/>
          </w:tcPr>
          <w:p w14:paraId="5C5D3F96" w14:textId="77777777" w:rsidR="00F81FD3" w:rsidRPr="00374923" w:rsidRDefault="00F81FD3" w:rsidP="00F81FD3">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2010</w:t>
            </w:r>
          </w:p>
        </w:tc>
        <w:tc>
          <w:tcPr>
            <w:tcW w:w="990" w:type="dxa"/>
            <w:tcBorders>
              <w:top w:val="single" w:sz="12" w:space="0" w:color="auto"/>
              <w:bottom w:val="single" w:sz="12" w:space="0" w:color="auto"/>
            </w:tcBorders>
            <w:shd w:val="clear" w:color="auto" w:fill="auto"/>
            <w:noWrap/>
            <w:vAlign w:val="center"/>
            <w:hideMark/>
          </w:tcPr>
          <w:p w14:paraId="005D474C" w14:textId="77777777" w:rsidR="00F81FD3" w:rsidRPr="00374923" w:rsidRDefault="00F81FD3" w:rsidP="00F81FD3">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2011</w:t>
            </w:r>
          </w:p>
        </w:tc>
        <w:tc>
          <w:tcPr>
            <w:tcW w:w="1004" w:type="dxa"/>
            <w:tcBorders>
              <w:top w:val="single" w:sz="12" w:space="0" w:color="auto"/>
              <w:bottom w:val="single" w:sz="12" w:space="0" w:color="auto"/>
            </w:tcBorders>
            <w:shd w:val="clear" w:color="auto" w:fill="auto"/>
            <w:noWrap/>
            <w:vAlign w:val="center"/>
            <w:hideMark/>
          </w:tcPr>
          <w:p w14:paraId="1584CE02" w14:textId="77777777" w:rsidR="00F81FD3" w:rsidRPr="00374923" w:rsidRDefault="00F81FD3" w:rsidP="00F81FD3">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2012</w:t>
            </w:r>
          </w:p>
        </w:tc>
        <w:tc>
          <w:tcPr>
            <w:tcW w:w="1043" w:type="dxa"/>
            <w:gridSpan w:val="2"/>
            <w:tcBorders>
              <w:top w:val="single" w:sz="12" w:space="0" w:color="auto"/>
              <w:bottom w:val="single" w:sz="12" w:space="0" w:color="auto"/>
            </w:tcBorders>
            <w:shd w:val="clear" w:color="auto" w:fill="auto"/>
            <w:noWrap/>
            <w:vAlign w:val="center"/>
            <w:hideMark/>
          </w:tcPr>
          <w:p w14:paraId="22DFDA54" w14:textId="77777777" w:rsidR="00F81FD3" w:rsidRPr="00374923" w:rsidRDefault="00F81FD3" w:rsidP="00F81FD3">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2013</w:t>
            </w:r>
          </w:p>
        </w:tc>
        <w:tc>
          <w:tcPr>
            <w:tcW w:w="1039" w:type="dxa"/>
            <w:tcBorders>
              <w:top w:val="single" w:sz="12" w:space="0" w:color="auto"/>
              <w:bottom w:val="single" w:sz="12" w:space="0" w:color="auto"/>
            </w:tcBorders>
            <w:shd w:val="clear" w:color="auto" w:fill="auto"/>
            <w:noWrap/>
            <w:vAlign w:val="center"/>
            <w:hideMark/>
          </w:tcPr>
          <w:p w14:paraId="00C781D2" w14:textId="77777777" w:rsidR="00F81FD3" w:rsidRPr="00374923" w:rsidRDefault="00F81FD3" w:rsidP="00F81FD3">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2014</w:t>
            </w:r>
          </w:p>
        </w:tc>
        <w:tc>
          <w:tcPr>
            <w:tcW w:w="1039" w:type="dxa"/>
            <w:tcBorders>
              <w:top w:val="single" w:sz="12" w:space="0" w:color="auto"/>
              <w:bottom w:val="single" w:sz="12" w:space="0" w:color="auto"/>
            </w:tcBorders>
            <w:shd w:val="clear" w:color="auto" w:fill="auto"/>
            <w:noWrap/>
            <w:vAlign w:val="center"/>
            <w:hideMark/>
          </w:tcPr>
          <w:p w14:paraId="00CC0EEA" w14:textId="77777777" w:rsidR="00F81FD3" w:rsidRPr="00374923" w:rsidRDefault="00F81FD3" w:rsidP="00F81FD3">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2015</w:t>
            </w:r>
          </w:p>
        </w:tc>
      </w:tr>
      <w:tr w:rsidR="00250233" w:rsidRPr="005A2CBC" w14:paraId="45D2A77A"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single" w:sz="12" w:space="0" w:color="auto"/>
              <w:bottom w:val="nil"/>
              <w:right w:val="single" w:sz="4" w:space="0" w:color="auto"/>
            </w:tcBorders>
            <w:shd w:val="clear" w:color="auto" w:fill="auto"/>
            <w:noWrap/>
            <w:vAlign w:val="center"/>
            <w:hideMark/>
          </w:tcPr>
          <w:p w14:paraId="63F10E5B" w14:textId="77777777" w:rsidR="00250233" w:rsidRPr="005A2CBC" w:rsidRDefault="00250233" w:rsidP="00250233">
            <w:pPr>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Cash from Operating Activities</w:t>
            </w:r>
          </w:p>
        </w:tc>
        <w:tc>
          <w:tcPr>
            <w:tcW w:w="1080" w:type="dxa"/>
            <w:tcBorders>
              <w:top w:val="single" w:sz="12" w:space="0" w:color="auto"/>
              <w:left w:val="single" w:sz="4" w:space="0" w:color="auto"/>
              <w:bottom w:val="nil"/>
              <w:right w:val="single" w:sz="4" w:space="0" w:color="auto"/>
            </w:tcBorders>
            <w:shd w:val="clear" w:color="auto" w:fill="auto"/>
            <w:noWrap/>
            <w:vAlign w:val="center"/>
            <w:hideMark/>
          </w:tcPr>
          <w:p w14:paraId="31C0A5B5" w14:textId="46BECB40"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990" w:type="dxa"/>
            <w:tcBorders>
              <w:top w:val="single" w:sz="12" w:space="0" w:color="auto"/>
              <w:left w:val="nil"/>
              <w:bottom w:val="nil"/>
              <w:right w:val="single" w:sz="4" w:space="0" w:color="auto"/>
            </w:tcBorders>
            <w:shd w:val="clear" w:color="auto" w:fill="auto"/>
            <w:noWrap/>
            <w:vAlign w:val="center"/>
            <w:hideMark/>
          </w:tcPr>
          <w:p w14:paraId="46A1D2C4" w14:textId="26923289"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10" w:type="dxa"/>
            <w:gridSpan w:val="2"/>
            <w:tcBorders>
              <w:top w:val="single" w:sz="12" w:space="0" w:color="auto"/>
              <w:left w:val="nil"/>
              <w:bottom w:val="nil"/>
              <w:right w:val="single" w:sz="4" w:space="0" w:color="auto"/>
            </w:tcBorders>
            <w:shd w:val="clear" w:color="auto" w:fill="auto"/>
            <w:noWrap/>
            <w:vAlign w:val="center"/>
            <w:hideMark/>
          </w:tcPr>
          <w:p w14:paraId="491F8404" w14:textId="6B924890"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7" w:type="dxa"/>
            <w:tcBorders>
              <w:top w:val="single" w:sz="12" w:space="0" w:color="auto"/>
              <w:left w:val="nil"/>
              <w:bottom w:val="nil"/>
              <w:right w:val="single" w:sz="4" w:space="0" w:color="auto"/>
            </w:tcBorders>
            <w:shd w:val="clear" w:color="auto" w:fill="auto"/>
            <w:noWrap/>
            <w:vAlign w:val="center"/>
            <w:hideMark/>
          </w:tcPr>
          <w:p w14:paraId="59186CFC" w14:textId="44D90F37"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single" w:sz="12" w:space="0" w:color="auto"/>
              <w:left w:val="nil"/>
              <w:bottom w:val="nil"/>
              <w:right w:val="single" w:sz="4" w:space="0" w:color="auto"/>
            </w:tcBorders>
            <w:shd w:val="clear" w:color="auto" w:fill="auto"/>
            <w:noWrap/>
            <w:vAlign w:val="center"/>
            <w:hideMark/>
          </w:tcPr>
          <w:p w14:paraId="1919F018" w14:textId="13DBFF29"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single" w:sz="12" w:space="0" w:color="auto"/>
              <w:left w:val="nil"/>
              <w:bottom w:val="nil"/>
            </w:tcBorders>
            <w:shd w:val="clear" w:color="auto" w:fill="auto"/>
            <w:noWrap/>
            <w:vAlign w:val="center"/>
            <w:hideMark/>
          </w:tcPr>
          <w:p w14:paraId="131C7574" w14:textId="030A05C8"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r>
      <w:tr w:rsidR="00250233" w:rsidRPr="005A2CBC" w14:paraId="63A8F48D"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3D6FBFF9" w14:textId="22380152"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Net Income</w:t>
            </w:r>
          </w:p>
        </w:tc>
        <w:tc>
          <w:tcPr>
            <w:tcW w:w="1080" w:type="dxa"/>
            <w:tcBorders>
              <w:top w:val="nil"/>
              <w:left w:val="single" w:sz="4" w:space="0" w:color="auto"/>
              <w:bottom w:val="nil"/>
              <w:right w:val="single" w:sz="4" w:space="0" w:color="auto"/>
            </w:tcBorders>
            <w:shd w:val="clear" w:color="auto" w:fill="auto"/>
            <w:noWrap/>
            <w:vAlign w:val="center"/>
            <w:hideMark/>
          </w:tcPr>
          <w:p w14:paraId="03248655"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215.8</w:t>
            </w:r>
          </w:p>
        </w:tc>
        <w:tc>
          <w:tcPr>
            <w:tcW w:w="990" w:type="dxa"/>
            <w:tcBorders>
              <w:top w:val="nil"/>
              <w:left w:val="nil"/>
              <w:bottom w:val="nil"/>
              <w:right w:val="single" w:sz="4" w:space="0" w:color="auto"/>
            </w:tcBorders>
            <w:shd w:val="clear" w:color="auto" w:fill="auto"/>
            <w:noWrap/>
            <w:vAlign w:val="center"/>
            <w:hideMark/>
          </w:tcPr>
          <w:p w14:paraId="2B421A4F"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1,092.0</w:t>
            </w:r>
          </w:p>
        </w:tc>
        <w:tc>
          <w:tcPr>
            <w:tcW w:w="1010" w:type="dxa"/>
            <w:gridSpan w:val="2"/>
            <w:tcBorders>
              <w:top w:val="nil"/>
              <w:left w:val="nil"/>
              <w:bottom w:val="nil"/>
              <w:right w:val="single" w:sz="4" w:space="0" w:color="auto"/>
            </w:tcBorders>
            <w:shd w:val="clear" w:color="auto" w:fill="auto"/>
            <w:noWrap/>
            <w:vAlign w:val="center"/>
            <w:hideMark/>
          </w:tcPr>
          <w:p w14:paraId="21F821B8"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335.9</w:t>
            </w:r>
          </w:p>
        </w:tc>
        <w:tc>
          <w:tcPr>
            <w:tcW w:w="1037" w:type="dxa"/>
            <w:tcBorders>
              <w:top w:val="nil"/>
              <w:left w:val="nil"/>
              <w:bottom w:val="nil"/>
              <w:right w:val="single" w:sz="4" w:space="0" w:color="auto"/>
            </w:tcBorders>
            <w:shd w:val="clear" w:color="auto" w:fill="auto"/>
            <w:noWrap/>
            <w:vAlign w:val="center"/>
            <w:hideMark/>
          </w:tcPr>
          <w:p w14:paraId="4732523B"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378.9</w:t>
            </w:r>
          </w:p>
        </w:tc>
        <w:tc>
          <w:tcPr>
            <w:tcW w:w="1039" w:type="dxa"/>
            <w:tcBorders>
              <w:top w:val="nil"/>
              <w:left w:val="nil"/>
              <w:bottom w:val="nil"/>
              <w:right w:val="single" w:sz="4" w:space="0" w:color="auto"/>
            </w:tcBorders>
            <w:shd w:val="clear" w:color="auto" w:fill="auto"/>
            <w:noWrap/>
            <w:vAlign w:val="center"/>
            <w:hideMark/>
          </w:tcPr>
          <w:p w14:paraId="708978B9"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359.5</w:t>
            </w:r>
          </w:p>
        </w:tc>
        <w:tc>
          <w:tcPr>
            <w:tcW w:w="1039" w:type="dxa"/>
            <w:tcBorders>
              <w:top w:val="nil"/>
              <w:left w:val="nil"/>
              <w:bottom w:val="nil"/>
            </w:tcBorders>
            <w:shd w:val="clear" w:color="auto" w:fill="auto"/>
            <w:noWrap/>
            <w:vAlign w:val="center"/>
            <w:hideMark/>
          </w:tcPr>
          <w:p w14:paraId="64E9427F"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367.9</w:t>
            </w:r>
          </w:p>
        </w:tc>
      </w:tr>
      <w:tr w:rsidR="00250233" w:rsidRPr="005A2CBC" w14:paraId="0F14CA8B"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63BAAD12" w14:textId="59975C5D"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Depreciation &amp; Amortization</w:t>
            </w:r>
          </w:p>
        </w:tc>
        <w:tc>
          <w:tcPr>
            <w:tcW w:w="1080" w:type="dxa"/>
            <w:tcBorders>
              <w:top w:val="nil"/>
              <w:left w:val="single" w:sz="4" w:space="0" w:color="auto"/>
              <w:bottom w:val="nil"/>
              <w:right w:val="single" w:sz="4" w:space="0" w:color="auto"/>
            </w:tcBorders>
            <w:shd w:val="clear" w:color="auto" w:fill="auto"/>
            <w:noWrap/>
            <w:vAlign w:val="center"/>
            <w:hideMark/>
          </w:tcPr>
          <w:p w14:paraId="0B8E824E"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1,756.5</w:t>
            </w:r>
          </w:p>
        </w:tc>
        <w:tc>
          <w:tcPr>
            <w:tcW w:w="990" w:type="dxa"/>
            <w:tcBorders>
              <w:top w:val="nil"/>
              <w:left w:val="nil"/>
              <w:bottom w:val="nil"/>
              <w:right w:val="single" w:sz="4" w:space="0" w:color="auto"/>
            </w:tcBorders>
            <w:shd w:val="clear" w:color="auto" w:fill="auto"/>
            <w:noWrap/>
            <w:vAlign w:val="center"/>
            <w:hideMark/>
          </w:tcPr>
          <w:p w14:paraId="752999FD"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1,696.0</w:t>
            </w:r>
          </w:p>
        </w:tc>
        <w:tc>
          <w:tcPr>
            <w:tcW w:w="1010" w:type="dxa"/>
            <w:gridSpan w:val="2"/>
            <w:tcBorders>
              <w:top w:val="nil"/>
              <w:left w:val="nil"/>
              <w:bottom w:val="nil"/>
              <w:right w:val="single" w:sz="4" w:space="0" w:color="auto"/>
            </w:tcBorders>
            <w:shd w:val="clear" w:color="auto" w:fill="auto"/>
            <w:noWrap/>
            <w:vAlign w:val="center"/>
            <w:hideMark/>
          </w:tcPr>
          <w:p w14:paraId="58056CD4"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1,611.6</w:t>
            </w:r>
          </w:p>
        </w:tc>
        <w:tc>
          <w:tcPr>
            <w:tcW w:w="1037" w:type="dxa"/>
            <w:tcBorders>
              <w:top w:val="nil"/>
              <w:left w:val="nil"/>
              <w:bottom w:val="nil"/>
              <w:right w:val="single" w:sz="4" w:space="0" w:color="auto"/>
            </w:tcBorders>
            <w:shd w:val="clear" w:color="auto" w:fill="auto"/>
            <w:noWrap/>
            <w:vAlign w:val="center"/>
            <w:hideMark/>
          </w:tcPr>
          <w:p w14:paraId="632CECD6"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1,611.8</w:t>
            </w:r>
          </w:p>
        </w:tc>
        <w:tc>
          <w:tcPr>
            <w:tcW w:w="1039" w:type="dxa"/>
            <w:tcBorders>
              <w:top w:val="nil"/>
              <w:left w:val="nil"/>
              <w:bottom w:val="nil"/>
              <w:right w:val="single" w:sz="4" w:space="0" w:color="auto"/>
            </w:tcBorders>
            <w:shd w:val="clear" w:color="auto" w:fill="auto"/>
            <w:noWrap/>
            <w:vAlign w:val="center"/>
            <w:hideMark/>
          </w:tcPr>
          <w:p w14:paraId="4D86B631"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1,601.2</w:t>
            </w:r>
          </w:p>
        </w:tc>
        <w:tc>
          <w:tcPr>
            <w:tcW w:w="1039" w:type="dxa"/>
            <w:tcBorders>
              <w:top w:val="nil"/>
              <w:left w:val="nil"/>
              <w:bottom w:val="nil"/>
            </w:tcBorders>
            <w:shd w:val="clear" w:color="auto" w:fill="auto"/>
            <w:noWrap/>
            <w:vAlign w:val="center"/>
            <w:hideMark/>
          </w:tcPr>
          <w:p w14:paraId="44085795"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1,564.7</w:t>
            </w:r>
          </w:p>
        </w:tc>
      </w:tr>
      <w:tr w:rsidR="00250233" w:rsidRPr="005A2CBC" w14:paraId="59854225"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2BAB010D" w14:textId="1EBF30C2"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Non-Cash Items</w:t>
            </w:r>
          </w:p>
        </w:tc>
        <w:tc>
          <w:tcPr>
            <w:tcW w:w="1080" w:type="dxa"/>
            <w:tcBorders>
              <w:top w:val="nil"/>
              <w:left w:val="single" w:sz="4" w:space="0" w:color="auto"/>
              <w:bottom w:val="nil"/>
              <w:right w:val="single" w:sz="4" w:space="0" w:color="auto"/>
            </w:tcBorders>
            <w:shd w:val="clear" w:color="auto" w:fill="auto"/>
            <w:noWrap/>
            <w:vAlign w:val="center"/>
            <w:hideMark/>
          </w:tcPr>
          <w:p w14:paraId="5A541F4C" w14:textId="27BE3534"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134.5</w:t>
            </w:r>
            <w:r>
              <w:rPr>
                <w:rFonts w:ascii="Arial" w:hAnsi="Arial" w:cs="Arial"/>
                <w:color w:val="000000" w:themeColor="text1"/>
                <w:sz w:val="18"/>
                <w:szCs w:val="18"/>
                <w:lang w:val="en-SG" w:eastAsia="en-SG"/>
              </w:rPr>
              <w:t>)</w:t>
            </w:r>
          </w:p>
        </w:tc>
        <w:tc>
          <w:tcPr>
            <w:tcW w:w="990" w:type="dxa"/>
            <w:tcBorders>
              <w:top w:val="nil"/>
              <w:left w:val="nil"/>
              <w:bottom w:val="nil"/>
              <w:right w:val="single" w:sz="4" w:space="0" w:color="auto"/>
            </w:tcBorders>
            <w:shd w:val="clear" w:color="auto" w:fill="auto"/>
            <w:noWrap/>
            <w:vAlign w:val="center"/>
            <w:hideMark/>
          </w:tcPr>
          <w:p w14:paraId="68417CB3"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74.6</w:t>
            </w:r>
          </w:p>
        </w:tc>
        <w:tc>
          <w:tcPr>
            <w:tcW w:w="1010" w:type="dxa"/>
            <w:gridSpan w:val="2"/>
            <w:tcBorders>
              <w:top w:val="nil"/>
              <w:left w:val="nil"/>
              <w:bottom w:val="nil"/>
              <w:right w:val="single" w:sz="4" w:space="0" w:color="auto"/>
            </w:tcBorders>
            <w:shd w:val="clear" w:color="auto" w:fill="auto"/>
            <w:noWrap/>
            <w:vAlign w:val="center"/>
            <w:hideMark/>
          </w:tcPr>
          <w:p w14:paraId="3359D3EB" w14:textId="470BE49B"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315.2</w:t>
            </w:r>
            <w:r>
              <w:rPr>
                <w:rFonts w:ascii="Arial" w:hAnsi="Arial" w:cs="Arial"/>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18239FA3"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27.5</w:t>
            </w:r>
          </w:p>
        </w:tc>
        <w:tc>
          <w:tcPr>
            <w:tcW w:w="1039" w:type="dxa"/>
            <w:tcBorders>
              <w:top w:val="nil"/>
              <w:left w:val="nil"/>
              <w:bottom w:val="nil"/>
              <w:right w:val="single" w:sz="4" w:space="0" w:color="auto"/>
            </w:tcBorders>
            <w:shd w:val="clear" w:color="auto" w:fill="auto"/>
            <w:noWrap/>
            <w:vAlign w:val="center"/>
            <w:hideMark/>
          </w:tcPr>
          <w:p w14:paraId="29AFEBB6"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165.1</w:t>
            </w:r>
          </w:p>
        </w:tc>
        <w:tc>
          <w:tcPr>
            <w:tcW w:w="1039" w:type="dxa"/>
            <w:tcBorders>
              <w:top w:val="nil"/>
              <w:left w:val="nil"/>
              <w:bottom w:val="nil"/>
            </w:tcBorders>
            <w:shd w:val="clear" w:color="auto" w:fill="auto"/>
            <w:noWrap/>
            <w:vAlign w:val="center"/>
            <w:hideMark/>
          </w:tcPr>
          <w:p w14:paraId="5CF26122"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393.4</w:t>
            </w:r>
          </w:p>
        </w:tc>
      </w:tr>
      <w:tr w:rsidR="00250233" w:rsidRPr="005A2CBC" w14:paraId="73BD4EFB"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68477BC0" w14:textId="6367F6BD" w:rsidR="00250233" w:rsidRPr="00FA522F" w:rsidRDefault="00250233" w:rsidP="00576751">
            <w:pPr>
              <w:ind w:left="144"/>
              <w:rPr>
                <w:rFonts w:ascii="Arial" w:hAnsi="Arial" w:cs="Arial"/>
                <w:color w:val="000000" w:themeColor="text1"/>
                <w:spacing w:val="-4"/>
                <w:sz w:val="18"/>
                <w:szCs w:val="18"/>
                <w:lang w:val="en-SG" w:eastAsia="en-SG"/>
              </w:rPr>
            </w:pPr>
            <w:r w:rsidRPr="00FA522F">
              <w:rPr>
                <w:rFonts w:ascii="Arial" w:hAnsi="Arial" w:cs="Arial"/>
                <w:color w:val="000000" w:themeColor="text1"/>
                <w:spacing w:val="-4"/>
                <w:sz w:val="18"/>
                <w:szCs w:val="18"/>
                <w:lang w:val="en-SG" w:eastAsia="en-SG"/>
              </w:rPr>
              <w:t>+ Ch</w:t>
            </w:r>
            <w:r w:rsidR="00FA522F" w:rsidRPr="00FA522F">
              <w:rPr>
                <w:rFonts w:ascii="Arial" w:hAnsi="Arial" w:cs="Arial"/>
                <w:color w:val="000000" w:themeColor="text1"/>
                <w:spacing w:val="-4"/>
                <w:sz w:val="18"/>
                <w:szCs w:val="18"/>
                <w:lang w:val="en-SG" w:eastAsia="en-SG"/>
              </w:rPr>
              <w:t>an</w:t>
            </w:r>
            <w:r w:rsidRPr="00FA522F">
              <w:rPr>
                <w:rFonts w:ascii="Arial" w:hAnsi="Arial" w:cs="Arial"/>
                <w:color w:val="000000" w:themeColor="text1"/>
                <w:spacing w:val="-4"/>
                <w:sz w:val="18"/>
                <w:szCs w:val="18"/>
                <w:lang w:val="en-SG" w:eastAsia="en-SG"/>
              </w:rPr>
              <w:t>g</w:t>
            </w:r>
            <w:r w:rsidR="00FA522F" w:rsidRPr="00FA522F">
              <w:rPr>
                <w:rFonts w:ascii="Arial" w:hAnsi="Arial" w:cs="Arial"/>
                <w:color w:val="000000" w:themeColor="text1"/>
                <w:spacing w:val="-4"/>
                <w:sz w:val="18"/>
                <w:szCs w:val="18"/>
                <w:lang w:val="en-SG" w:eastAsia="en-SG"/>
              </w:rPr>
              <w:t>e</w:t>
            </w:r>
            <w:r w:rsidRPr="00FA522F">
              <w:rPr>
                <w:rFonts w:ascii="Arial" w:hAnsi="Arial" w:cs="Arial"/>
                <w:color w:val="000000" w:themeColor="text1"/>
                <w:spacing w:val="-4"/>
                <w:sz w:val="18"/>
                <w:szCs w:val="18"/>
                <w:lang w:val="en-SG" w:eastAsia="en-SG"/>
              </w:rPr>
              <w:t xml:space="preserve"> in Non-Cash Work Cap</w:t>
            </w:r>
            <w:r w:rsidR="00774013" w:rsidRPr="00FA522F">
              <w:rPr>
                <w:rFonts w:ascii="Arial" w:hAnsi="Arial" w:cs="Arial"/>
                <w:color w:val="000000" w:themeColor="text1"/>
                <w:spacing w:val="-4"/>
                <w:sz w:val="18"/>
                <w:szCs w:val="18"/>
                <w:lang w:val="en-SG" w:eastAsia="en-SG"/>
              </w:rPr>
              <w:t>ital</w:t>
            </w:r>
          </w:p>
        </w:tc>
        <w:tc>
          <w:tcPr>
            <w:tcW w:w="1080" w:type="dxa"/>
            <w:tcBorders>
              <w:top w:val="nil"/>
              <w:left w:val="single" w:sz="4" w:space="0" w:color="auto"/>
              <w:bottom w:val="nil"/>
              <w:right w:val="single" w:sz="4" w:space="0" w:color="auto"/>
            </w:tcBorders>
            <w:shd w:val="clear" w:color="auto" w:fill="auto"/>
            <w:noWrap/>
            <w:vAlign w:val="center"/>
            <w:hideMark/>
          </w:tcPr>
          <w:p w14:paraId="19636DB0"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290.2</w:t>
            </w:r>
          </w:p>
        </w:tc>
        <w:tc>
          <w:tcPr>
            <w:tcW w:w="990" w:type="dxa"/>
            <w:tcBorders>
              <w:top w:val="nil"/>
              <w:left w:val="nil"/>
              <w:bottom w:val="nil"/>
              <w:right w:val="single" w:sz="4" w:space="0" w:color="auto"/>
            </w:tcBorders>
            <w:shd w:val="clear" w:color="auto" w:fill="auto"/>
            <w:noWrap/>
            <w:vAlign w:val="center"/>
            <w:hideMark/>
          </w:tcPr>
          <w:p w14:paraId="1673B2DC"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567.3</w:t>
            </w:r>
          </w:p>
        </w:tc>
        <w:tc>
          <w:tcPr>
            <w:tcW w:w="1010" w:type="dxa"/>
            <w:gridSpan w:val="2"/>
            <w:tcBorders>
              <w:top w:val="nil"/>
              <w:left w:val="nil"/>
              <w:bottom w:val="nil"/>
              <w:right w:val="single" w:sz="4" w:space="0" w:color="auto"/>
            </w:tcBorders>
            <w:shd w:val="clear" w:color="auto" w:fill="auto"/>
            <w:noWrap/>
            <w:vAlign w:val="center"/>
            <w:hideMark/>
          </w:tcPr>
          <w:p w14:paraId="6FA1650E"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180.5</w:t>
            </w:r>
          </w:p>
        </w:tc>
        <w:tc>
          <w:tcPr>
            <w:tcW w:w="1037" w:type="dxa"/>
            <w:tcBorders>
              <w:top w:val="nil"/>
              <w:left w:val="nil"/>
              <w:bottom w:val="nil"/>
              <w:right w:val="single" w:sz="4" w:space="0" w:color="auto"/>
            </w:tcBorders>
            <w:shd w:val="clear" w:color="auto" w:fill="auto"/>
            <w:noWrap/>
            <w:vAlign w:val="center"/>
            <w:hideMark/>
          </w:tcPr>
          <w:p w14:paraId="1DAEC0B3"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16.4</w:t>
            </w:r>
          </w:p>
        </w:tc>
        <w:tc>
          <w:tcPr>
            <w:tcW w:w="1039" w:type="dxa"/>
            <w:tcBorders>
              <w:top w:val="nil"/>
              <w:left w:val="nil"/>
              <w:bottom w:val="nil"/>
              <w:right w:val="single" w:sz="4" w:space="0" w:color="auto"/>
            </w:tcBorders>
            <w:shd w:val="clear" w:color="auto" w:fill="auto"/>
            <w:noWrap/>
            <w:vAlign w:val="center"/>
            <w:hideMark/>
          </w:tcPr>
          <w:p w14:paraId="54235B2F"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178.1</w:t>
            </w:r>
          </w:p>
        </w:tc>
        <w:tc>
          <w:tcPr>
            <w:tcW w:w="1039" w:type="dxa"/>
            <w:tcBorders>
              <w:top w:val="nil"/>
              <w:left w:val="nil"/>
              <w:bottom w:val="nil"/>
            </w:tcBorders>
            <w:shd w:val="clear" w:color="auto" w:fill="auto"/>
            <w:noWrap/>
            <w:vAlign w:val="center"/>
            <w:hideMark/>
          </w:tcPr>
          <w:p w14:paraId="6B6DF0D7" w14:textId="7E2BC756"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117.0</w:t>
            </w:r>
            <w:r>
              <w:rPr>
                <w:rFonts w:ascii="Arial" w:hAnsi="Arial" w:cs="Arial"/>
                <w:color w:val="000000" w:themeColor="text1"/>
                <w:sz w:val="18"/>
                <w:szCs w:val="18"/>
                <w:lang w:val="en-SG" w:eastAsia="en-SG"/>
              </w:rPr>
              <w:t>)</w:t>
            </w:r>
          </w:p>
        </w:tc>
      </w:tr>
      <w:tr w:rsidR="00250233" w:rsidRPr="005A2CBC" w14:paraId="78200B84"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408BDC29" w14:textId="098ED971" w:rsidR="00250233" w:rsidRPr="005A2CBC" w:rsidRDefault="00250233">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xml:space="preserve">+ Net Cash </w:t>
            </w:r>
            <w:r w:rsidR="004D47A8">
              <w:rPr>
                <w:rFonts w:ascii="Arial" w:hAnsi="Arial" w:cs="Arial"/>
                <w:color w:val="000000" w:themeColor="text1"/>
                <w:sz w:val="18"/>
                <w:szCs w:val="18"/>
                <w:lang w:val="en-SG" w:eastAsia="en-SG"/>
              </w:rPr>
              <w:t>f</w:t>
            </w:r>
            <w:r w:rsidRPr="005A2CBC">
              <w:rPr>
                <w:rFonts w:ascii="Arial" w:hAnsi="Arial" w:cs="Arial"/>
                <w:color w:val="000000" w:themeColor="text1"/>
                <w:sz w:val="18"/>
                <w:szCs w:val="18"/>
                <w:lang w:val="en-SG" w:eastAsia="en-SG"/>
              </w:rPr>
              <w:t>rom Disc</w:t>
            </w:r>
            <w:r w:rsidR="00CF7F9C">
              <w:rPr>
                <w:rFonts w:ascii="Arial" w:hAnsi="Arial" w:cs="Arial"/>
                <w:color w:val="000000" w:themeColor="text1"/>
                <w:sz w:val="18"/>
                <w:szCs w:val="18"/>
                <w:lang w:val="en-SG" w:eastAsia="en-SG"/>
              </w:rPr>
              <w:t>ontinued</w:t>
            </w:r>
            <w:r w:rsidRPr="005A2CBC">
              <w:rPr>
                <w:rFonts w:ascii="Arial" w:hAnsi="Arial" w:cs="Arial"/>
                <w:color w:val="000000" w:themeColor="text1"/>
                <w:sz w:val="18"/>
                <w:szCs w:val="18"/>
                <w:lang w:val="en-SG" w:eastAsia="en-SG"/>
              </w:rPr>
              <w:t xml:space="preserve"> Op</w:t>
            </w:r>
            <w:r w:rsidR="00CF7F9C">
              <w:rPr>
                <w:rFonts w:ascii="Arial" w:hAnsi="Arial" w:cs="Arial"/>
                <w:color w:val="000000" w:themeColor="text1"/>
                <w:sz w:val="18"/>
                <w:szCs w:val="18"/>
                <w:lang w:val="en-SG" w:eastAsia="en-SG"/>
              </w:rPr>
              <w:t>eration</w:t>
            </w:r>
            <w:r w:rsidRPr="005A2CBC">
              <w:rPr>
                <w:rFonts w:ascii="Arial" w:hAnsi="Arial" w:cs="Arial"/>
                <w:color w:val="000000" w:themeColor="text1"/>
                <w:sz w:val="18"/>
                <w:szCs w:val="18"/>
                <w:lang w:val="en-SG" w:eastAsia="en-SG"/>
              </w:rPr>
              <w:t>s</w:t>
            </w:r>
          </w:p>
        </w:tc>
        <w:tc>
          <w:tcPr>
            <w:tcW w:w="1080" w:type="dxa"/>
            <w:tcBorders>
              <w:top w:val="nil"/>
              <w:left w:val="single" w:sz="4" w:space="0" w:color="auto"/>
              <w:bottom w:val="nil"/>
              <w:right w:val="single" w:sz="4" w:space="0" w:color="auto"/>
            </w:tcBorders>
            <w:shd w:val="clear" w:color="auto" w:fill="auto"/>
            <w:noWrap/>
            <w:vAlign w:val="center"/>
            <w:hideMark/>
          </w:tcPr>
          <w:p w14:paraId="5089D6CD"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990" w:type="dxa"/>
            <w:tcBorders>
              <w:top w:val="nil"/>
              <w:left w:val="nil"/>
              <w:bottom w:val="nil"/>
              <w:right w:val="single" w:sz="4" w:space="0" w:color="auto"/>
            </w:tcBorders>
            <w:shd w:val="clear" w:color="auto" w:fill="auto"/>
            <w:noWrap/>
            <w:vAlign w:val="center"/>
            <w:hideMark/>
          </w:tcPr>
          <w:p w14:paraId="5302625E"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10" w:type="dxa"/>
            <w:gridSpan w:val="2"/>
            <w:tcBorders>
              <w:top w:val="nil"/>
              <w:left w:val="nil"/>
              <w:bottom w:val="nil"/>
              <w:right w:val="single" w:sz="4" w:space="0" w:color="auto"/>
            </w:tcBorders>
            <w:shd w:val="clear" w:color="auto" w:fill="auto"/>
            <w:noWrap/>
            <w:vAlign w:val="center"/>
            <w:hideMark/>
          </w:tcPr>
          <w:p w14:paraId="1D849F92"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37" w:type="dxa"/>
            <w:tcBorders>
              <w:top w:val="nil"/>
              <w:left w:val="nil"/>
              <w:bottom w:val="nil"/>
              <w:right w:val="single" w:sz="4" w:space="0" w:color="auto"/>
            </w:tcBorders>
            <w:shd w:val="clear" w:color="auto" w:fill="auto"/>
            <w:noWrap/>
            <w:vAlign w:val="center"/>
            <w:hideMark/>
          </w:tcPr>
          <w:p w14:paraId="03EA5B57"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39" w:type="dxa"/>
            <w:tcBorders>
              <w:top w:val="nil"/>
              <w:left w:val="nil"/>
              <w:bottom w:val="nil"/>
              <w:right w:val="single" w:sz="4" w:space="0" w:color="auto"/>
            </w:tcBorders>
            <w:shd w:val="clear" w:color="auto" w:fill="auto"/>
            <w:noWrap/>
            <w:vAlign w:val="center"/>
            <w:hideMark/>
          </w:tcPr>
          <w:p w14:paraId="50BECE07"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39" w:type="dxa"/>
            <w:tcBorders>
              <w:top w:val="nil"/>
              <w:left w:val="nil"/>
              <w:bottom w:val="nil"/>
            </w:tcBorders>
            <w:shd w:val="clear" w:color="auto" w:fill="auto"/>
            <w:noWrap/>
            <w:vAlign w:val="center"/>
            <w:hideMark/>
          </w:tcPr>
          <w:p w14:paraId="42F2CFF0"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r>
      <w:tr w:rsidR="00250233" w:rsidRPr="005A2CBC" w14:paraId="2B29B08F"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0066C549" w14:textId="77777777" w:rsidR="00250233" w:rsidRPr="005A2CBC" w:rsidRDefault="00250233" w:rsidP="00250233">
            <w:pPr>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Cash from Operating Activities</w:t>
            </w:r>
          </w:p>
        </w:tc>
        <w:tc>
          <w:tcPr>
            <w:tcW w:w="1080" w:type="dxa"/>
            <w:tcBorders>
              <w:top w:val="nil"/>
              <w:left w:val="single" w:sz="4" w:space="0" w:color="auto"/>
              <w:bottom w:val="nil"/>
              <w:right w:val="single" w:sz="4" w:space="0" w:color="auto"/>
            </w:tcBorders>
            <w:shd w:val="clear" w:color="auto" w:fill="auto"/>
            <w:noWrap/>
            <w:vAlign w:val="center"/>
            <w:hideMark/>
          </w:tcPr>
          <w:p w14:paraId="01AB3E97"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2,128.0</w:t>
            </w:r>
          </w:p>
        </w:tc>
        <w:tc>
          <w:tcPr>
            <w:tcW w:w="990" w:type="dxa"/>
            <w:tcBorders>
              <w:top w:val="nil"/>
              <w:left w:val="nil"/>
              <w:bottom w:val="nil"/>
              <w:right w:val="single" w:sz="4" w:space="0" w:color="auto"/>
            </w:tcBorders>
            <w:shd w:val="clear" w:color="auto" w:fill="auto"/>
            <w:noWrap/>
            <w:vAlign w:val="center"/>
            <w:hideMark/>
          </w:tcPr>
          <w:p w14:paraId="218CDBC2"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3,429.9</w:t>
            </w:r>
          </w:p>
        </w:tc>
        <w:tc>
          <w:tcPr>
            <w:tcW w:w="1010" w:type="dxa"/>
            <w:gridSpan w:val="2"/>
            <w:tcBorders>
              <w:top w:val="nil"/>
              <w:left w:val="nil"/>
              <w:bottom w:val="nil"/>
              <w:right w:val="single" w:sz="4" w:space="0" w:color="auto"/>
            </w:tcBorders>
            <w:shd w:val="clear" w:color="auto" w:fill="auto"/>
            <w:noWrap/>
            <w:vAlign w:val="center"/>
            <w:hideMark/>
          </w:tcPr>
          <w:p w14:paraId="33D76C78"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1,812.8</w:t>
            </w:r>
          </w:p>
        </w:tc>
        <w:tc>
          <w:tcPr>
            <w:tcW w:w="1037" w:type="dxa"/>
            <w:tcBorders>
              <w:top w:val="nil"/>
              <w:left w:val="nil"/>
              <w:bottom w:val="nil"/>
              <w:right w:val="single" w:sz="4" w:space="0" w:color="auto"/>
            </w:tcBorders>
            <w:shd w:val="clear" w:color="auto" w:fill="auto"/>
            <w:noWrap/>
            <w:vAlign w:val="center"/>
            <w:hideMark/>
          </w:tcPr>
          <w:p w14:paraId="6A690AB9"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2,034.6</w:t>
            </w:r>
          </w:p>
        </w:tc>
        <w:tc>
          <w:tcPr>
            <w:tcW w:w="1039" w:type="dxa"/>
            <w:tcBorders>
              <w:top w:val="nil"/>
              <w:left w:val="nil"/>
              <w:bottom w:val="nil"/>
              <w:right w:val="single" w:sz="4" w:space="0" w:color="auto"/>
            </w:tcBorders>
            <w:shd w:val="clear" w:color="auto" w:fill="auto"/>
            <w:noWrap/>
            <w:vAlign w:val="center"/>
            <w:hideMark/>
          </w:tcPr>
          <w:p w14:paraId="5ACD5C92"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2,303.9</w:t>
            </w:r>
          </w:p>
        </w:tc>
        <w:tc>
          <w:tcPr>
            <w:tcW w:w="1039" w:type="dxa"/>
            <w:tcBorders>
              <w:top w:val="nil"/>
              <w:left w:val="nil"/>
              <w:bottom w:val="nil"/>
            </w:tcBorders>
            <w:shd w:val="clear" w:color="auto" w:fill="auto"/>
            <w:noWrap/>
            <w:vAlign w:val="center"/>
            <w:hideMark/>
          </w:tcPr>
          <w:p w14:paraId="13652ADA"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2,209.0</w:t>
            </w:r>
          </w:p>
        </w:tc>
      </w:tr>
      <w:tr w:rsidR="00250233" w:rsidRPr="005A2CBC" w14:paraId="57EA80A4"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single" w:sz="4" w:space="0" w:color="auto"/>
            </w:tcBorders>
            <w:shd w:val="clear" w:color="auto" w:fill="auto"/>
            <w:noWrap/>
            <w:vAlign w:val="center"/>
            <w:hideMark/>
          </w:tcPr>
          <w:p w14:paraId="79671CBC" w14:textId="500E7107" w:rsidR="00250233" w:rsidRPr="005A2CBC" w:rsidRDefault="000E5F16" w:rsidP="00250233">
            <w:pPr>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80" w:type="dxa"/>
            <w:tcBorders>
              <w:top w:val="nil"/>
              <w:left w:val="single" w:sz="4" w:space="0" w:color="auto"/>
              <w:bottom w:val="nil"/>
              <w:right w:val="single" w:sz="4" w:space="0" w:color="auto"/>
            </w:tcBorders>
            <w:shd w:val="clear" w:color="auto" w:fill="auto"/>
            <w:noWrap/>
            <w:vAlign w:val="center"/>
            <w:hideMark/>
          </w:tcPr>
          <w:p w14:paraId="03C660BF" w14:textId="55FE0685"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990" w:type="dxa"/>
            <w:tcBorders>
              <w:top w:val="nil"/>
              <w:left w:val="nil"/>
              <w:bottom w:val="nil"/>
              <w:right w:val="single" w:sz="4" w:space="0" w:color="auto"/>
            </w:tcBorders>
            <w:shd w:val="clear" w:color="auto" w:fill="auto"/>
            <w:noWrap/>
            <w:vAlign w:val="center"/>
            <w:hideMark/>
          </w:tcPr>
          <w:p w14:paraId="6C7A2A05" w14:textId="5C44516F"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10" w:type="dxa"/>
            <w:gridSpan w:val="2"/>
            <w:tcBorders>
              <w:top w:val="nil"/>
              <w:left w:val="nil"/>
              <w:bottom w:val="nil"/>
              <w:right w:val="single" w:sz="4" w:space="0" w:color="auto"/>
            </w:tcBorders>
            <w:shd w:val="clear" w:color="auto" w:fill="auto"/>
            <w:noWrap/>
            <w:vAlign w:val="center"/>
            <w:hideMark/>
          </w:tcPr>
          <w:p w14:paraId="25AAE938" w14:textId="29817550"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7" w:type="dxa"/>
            <w:tcBorders>
              <w:top w:val="nil"/>
              <w:left w:val="nil"/>
              <w:bottom w:val="nil"/>
              <w:right w:val="single" w:sz="4" w:space="0" w:color="auto"/>
            </w:tcBorders>
            <w:shd w:val="clear" w:color="auto" w:fill="auto"/>
            <w:noWrap/>
            <w:vAlign w:val="center"/>
            <w:hideMark/>
          </w:tcPr>
          <w:p w14:paraId="28C1D64C" w14:textId="1794AF61"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right w:val="single" w:sz="4" w:space="0" w:color="auto"/>
            </w:tcBorders>
            <w:shd w:val="clear" w:color="auto" w:fill="auto"/>
            <w:noWrap/>
            <w:vAlign w:val="center"/>
            <w:hideMark/>
          </w:tcPr>
          <w:p w14:paraId="2F46E9FE" w14:textId="58AED39C"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tcBorders>
            <w:shd w:val="clear" w:color="auto" w:fill="auto"/>
            <w:noWrap/>
            <w:vAlign w:val="center"/>
            <w:hideMark/>
          </w:tcPr>
          <w:p w14:paraId="4E8B7A95" w14:textId="781B4E52"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r>
      <w:tr w:rsidR="00250233" w:rsidRPr="005A2CBC" w14:paraId="75005350"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single" w:sz="4" w:space="0" w:color="auto"/>
            </w:tcBorders>
            <w:shd w:val="clear" w:color="auto" w:fill="auto"/>
            <w:noWrap/>
            <w:vAlign w:val="center"/>
            <w:hideMark/>
          </w:tcPr>
          <w:p w14:paraId="5A55FD9A" w14:textId="77777777" w:rsidR="00250233" w:rsidRPr="005A2CBC" w:rsidRDefault="00250233" w:rsidP="00250233">
            <w:pPr>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Cash from Investing Activities</w:t>
            </w:r>
          </w:p>
        </w:tc>
        <w:tc>
          <w:tcPr>
            <w:tcW w:w="1080" w:type="dxa"/>
            <w:tcBorders>
              <w:top w:val="nil"/>
              <w:left w:val="single" w:sz="4" w:space="0" w:color="auto"/>
              <w:bottom w:val="nil"/>
              <w:right w:val="single" w:sz="4" w:space="0" w:color="auto"/>
            </w:tcBorders>
            <w:shd w:val="clear" w:color="auto" w:fill="auto"/>
            <w:noWrap/>
            <w:vAlign w:val="center"/>
            <w:hideMark/>
          </w:tcPr>
          <w:p w14:paraId="2FEED79C" w14:textId="58A9AE33"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990" w:type="dxa"/>
            <w:tcBorders>
              <w:top w:val="nil"/>
              <w:left w:val="nil"/>
              <w:bottom w:val="nil"/>
              <w:right w:val="single" w:sz="4" w:space="0" w:color="auto"/>
            </w:tcBorders>
            <w:shd w:val="clear" w:color="auto" w:fill="auto"/>
            <w:noWrap/>
            <w:vAlign w:val="center"/>
            <w:hideMark/>
          </w:tcPr>
          <w:p w14:paraId="78D24D44" w14:textId="3268DAE1"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10" w:type="dxa"/>
            <w:gridSpan w:val="2"/>
            <w:tcBorders>
              <w:top w:val="nil"/>
              <w:left w:val="nil"/>
              <w:bottom w:val="nil"/>
              <w:right w:val="single" w:sz="4" w:space="0" w:color="auto"/>
            </w:tcBorders>
            <w:shd w:val="clear" w:color="auto" w:fill="auto"/>
            <w:noWrap/>
            <w:vAlign w:val="center"/>
            <w:hideMark/>
          </w:tcPr>
          <w:p w14:paraId="36EB227D" w14:textId="075D4781"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7" w:type="dxa"/>
            <w:tcBorders>
              <w:top w:val="nil"/>
              <w:left w:val="nil"/>
              <w:bottom w:val="nil"/>
              <w:right w:val="single" w:sz="4" w:space="0" w:color="auto"/>
            </w:tcBorders>
            <w:shd w:val="clear" w:color="auto" w:fill="auto"/>
            <w:noWrap/>
            <w:vAlign w:val="center"/>
            <w:hideMark/>
          </w:tcPr>
          <w:p w14:paraId="7596E7C1" w14:textId="558902CB"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right w:val="single" w:sz="4" w:space="0" w:color="auto"/>
            </w:tcBorders>
            <w:shd w:val="clear" w:color="auto" w:fill="auto"/>
            <w:noWrap/>
            <w:vAlign w:val="center"/>
            <w:hideMark/>
          </w:tcPr>
          <w:p w14:paraId="3945C8DB" w14:textId="358D137D"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tcBorders>
            <w:shd w:val="clear" w:color="auto" w:fill="auto"/>
            <w:noWrap/>
            <w:vAlign w:val="center"/>
            <w:hideMark/>
          </w:tcPr>
          <w:p w14:paraId="45374935" w14:textId="057874ED"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r>
      <w:tr w:rsidR="00250233" w:rsidRPr="005A2CBC" w14:paraId="19D8BCFB"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288914D5" w14:textId="23EC7AE8"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Change in Fixed &amp; Intang</w:t>
            </w:r>
            <w:r w:rsidR="00774013">
              <w:rPr>
                <w:rFonts w:ascii="Arial" w:hAnsi="Arial" w:cs="Arial"/>
                <w:color w:val="000000" w:themeColor="text1"/>
                <w:sz w:val="18"/>
                <w:szCs w:val="18"/>
                <w:lang w:val="en-SG" w:eastAsia="en-SG"/>
              </w:rPr>
              <w:t>ible</w:t>
            </w:r>
          </w:p>
        </w:tc>
        <w:tc>
          <w:tcPr>
            <w:tcW w:w="1080" w:type="dxa"/>
            <w:tcBorders>
              <w:top w:val="nil"/>
              <w:left w:val="single" w:sz="4" w:space="0" w:color="auto"/>
              <w:bottom w:val="nil"/>
              <w:right w:val="single" w:sz="4" w:space="0" w:color="auto"/>
            </w:tcBorders>
            <w:shd w:val="clear" w:color="auto" w:fill="auto"/>
            <w:noWrap/>
            <w:vAlign w:val="center"/>
            <w:hideMark/>
          </w:tcPr>
          <w:p w14:paraId="2DF0F118" w14:textId="4233EB7A"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1,425.6</w:t>
            </w:r>
            <w:r>
              <w:rPr>
                <w:rFonts w:ascii="Arial" w:hAnsi="Arial" w:cs="Arial"/>
                <w:color w:val="000000" w:themeColor="text1"/>
                <w:sz w:val="18"/>
                <w:szCs w:val="18"/>
                <w:lang w:val="en-SG" w:eastAsia="en-SG"/>
              </w:rPr>
              <w:t>)</w:t>
            </w:r>
          </w:p>
        </w:tc>
        <w:tc>
          <w:tcPr>
            <w:tcW w:w="990" w:type="dxa"/>
            <w:tcBorders>
              <w:top w:val="nil"/>
              <w:left w:val="nil"/>
              <w:bottom w:val="nil"/>
              <w:right w:val="single" w:sz="4" w:space="0" w:color="auto"/>
            </w:tcBorders>
            <w:shd w:val="clear" w:color="auto" w:fill="auto"/>
            <w:noWrap/>
            <w:vAlign w:val="center"/>
            <w:hideMark/>
          </w:tcPr>
          <w:p w14:paraId="0F5DE4A9" w14:textId="5CDD6EF3"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522.0</w:t>
            </w:r>
            <w:r>
              <w:rPr>
                <w:rFonts w:ascii="Arial" w:hAnsi="Arial" w:cs="Arial"/>
                <w:color w:val="000000" w:themeColor="text1"/>
                <w:sz w:val="18"/>
                <w:szCs w:val="18"/>
                <w:lang w:val="en-SG" w:eastAsia="en-SG"/>
              </w:rPr>
              <w:t>)</w:t>
            </w:r>
          </w:p>
        </w:tc>
        <w:tc>
          <w:tcPr>
            <w:tcW w:w="1010" w:type="dxa"/>
            <w:gridSpan w:val="2"/>
            <w:tcBorders>
              <w:top w:val="nil"/>
              <w:left w:val="nil"/>
              <w:bottom w:val="nil"/>
              <w:right w:val="single" w:sz="4" w:space="0" w:color="auto"/>
            </w:tcBorders>
            <w:shd w:val="clear" w:color="auto" w:fill="auto"/>
            <w:noWrap/>
            <w:vAlign w:val="center"/>
            <w:hideMark/>
          </w:tcPr>
          <w:p w14:paraId="2019F10D" w14:textId="35F652FE"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1,202.2</w:t>
            </w:r>
            <w:r>
              <w:rPr>
                <w:rFonts w:ascii="Arial" w:hAnsi="Arial" w:cs="Arial"/>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1E414868" w14:textId="45DAB7A2"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1,311.3</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4983789A" w14:textId="72C3A820"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1,795.6</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53B675F9" w14:textId="5715D181"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1,633.3</w:t>
            </w:r>
            <w:r>
              <w:rPr>
                <w:rFonts w:ascii="Arial" w:hAnsi="Arial" w:cs="Arial"/>
                <w:color w:val="000000" w:themeColor="text1"/>
                <w:sz w:val="18"/>
                <w:szCs w:val="18"/>
                <w:lang w:val="en-SG" w:eastAsia="en-SG"/>
              </w:rPr>
              <w:t>)</w:t>
            </w:r>
          </w:p>
        </w:tc>
      </w:tr>
      <w:tr w:rsidR="00250233" w:rsidRPr="005A2CBC" w14:paraId="36E67782"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2AD6B5C3" w14:textId="7B1321B1"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Net Change in LT Investment</w:t>
            </w:r>
          </w:p>
        </w:tc>
        <w:tc>
          <w:tcPr>
            <w:tcW w:w="1080" w:type="dxa"/>
            <w:tcBorders>
              <w:top w:val="nil"/>
              <w:left w:val="single" w:sz="4" w:space="0" w:color="auto"/>
              <w:bottom w:val="nil"/>
              <w:right w:val="single" w:sz="4" w:space="0" w:color="auto"/>
            </w:tcBorders>
            <w:shd w:val="clear" w:color="auto" w:fill="auto"/>
            <w:noWrap/>
            <w:vAlign w:val="center"/>
            <w:hideMark/>
          </w:tcPr>
          <w:p w14:paraId="0A07C5BF"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990" w:type="dxa"/>
            <w:tcBorders>
              <w:top w:val="nil"/>
              <w:left w:val="nil"/>
              <w:bottom w:val="nil"/>
              <w:right w:val="single" w:sz="4" w:space="0" w:color="auto"/>
            </w:tcBorders>
            <w:shd w:val="clear" w:color="auto" w:fill="auto"/>
            <w:noWrap/>
            <w:vAlign w:val="center"/>
            <w:hideMark/>
          </w:tcPr>
          <w:p w14:paraId="6739E3EF"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10" w:type="dxa"/>
            <w:gridSpan w:val="2"/>
            <w:tcBorders>
              <w:top w:val="nil"/>
              <w:left w:val="nil"/>
              <w:bottom w:val="nil"/>
              <w:right w:val="single" w:sz="4" w:space="0" w:color="auto"/>
            </w:tcBorders>
            <w:shd w:val="clear" w:color="auto" w:fill="auto"/>
            <w:noWrap/>
            <w:vAlign w:val="center"/>
            <w:hideMark/>
          </w:tcPr>
          <w:p w14:paraId="32EA46D4" w14:textId="28008FB8"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339.0</w:t>
            </w:r>
            <w:r>
              <w:rPr>
                <w:rFonts w:ascii="Arial" w:hAnsi="Arial" w:cs="Arial"/>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60AC0848" w14:textId="3896489B"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364.4</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42C6A71F" w14:textId="786C3613"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538.2</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5A06187E" w14:textId="6A6379F3"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580.8</w:t>
            </w:r>
            <w:r>
              <w:rPr>
                <w:rFonts w:ascii="Arial" w:hAnsi="Arial" w:cs="Arial"/>
                <w:color w:val="000000" w:themeColor="text1"/>
                <w:sz w:val="18"/>
                <w:szCs w:val="18"/>
                <w:lang w:val="en-SG" w:eastAsia="en-SG"/>
              </w:rPr>
              <w:t>)</w:t>
            </w:r>
          </w:p>
        </w:tc>
      </w:tr>
      <w:tr w:rsidR="00250233" w:rsidRPr="005A2CBC" w14:paraId="6A867394"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428398FB" w14:textId="48387CEC" w:rsidR="00250233" w:rsidRPr="005A2CBC" w:rsidRDefault="00250233">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xml:space="preserve">+ Net Cash </w:t>
            </w:r>
            <w:r w:rsidR="004D47A8">
              <w:rPr>
                <w:rFonts w:ascii="Arial" w:hAnsi="Arial" w:cs="Arial"/>
                <w:color w:val="000000" w:themeColor="text1"/>
                <w:sz w:val="18"/>
                <w:szCs w:val="18"/>
                <w:lang w:val="en-SG" w:eastAsia="en-SG"/>
              </w:rPr>
              <w:t>f</w:t>
            </w:r>
            <w:r w:rsidRPr="005A2CBC">
              <w:rPr>
                <w:rFonts w:ascii="Arial" w:hAnsi="Arial" w:cs="Arial"/>
                <w:color w:val="000000" w:themeColor="text1"/>
                <w:sz w:val="18"/>
                <w:szCs w:val="18"/>
                <w:lang w:val="en-SG" w:eastAsia="en-SG"/>
              </w:rPr>
              <w:t>rom Acq</w:t>
            </w:r>
            <w:r w:rsidR="00CF7F9C">
              <w:rPr>
                <w:rFonts w:ascii="Arial" w:hAnsi="Arial" w:cs="Arial"/>
                <w:color w:val="000000" w:themeColor="text1"/>
                <w:sz w:val="18"/>
                <w:szCs w:val="18"/>
                <w:lang w:val="en-SG" w:eastAsia="en-SG"/>
              </w:rPr>
              <w:t>uisitions</w:t>
            </w:r>
            <w:r w:rsidRPr="005A2CBC">
              <w:rPr>
                <w:rFonts w:ascii="Arial" w:hAnsi="Arial" w:cs="Arial"/>
                <w:color w:val="000000" w:themeColor="text1"/>
                <w:sz w:val="18"/>
                <w:szCs w:val="18"/>
                <w:lang w:val="en-SG" w:eastAsia="en-SG"/>
              </w:rPr>
              <w:t xml:space="preserve"> &amp; Div</w:t>
            </w:r>
            <w:r w:rsidR="00CF7F9C">
              <w:rPr>
                <w:rFonts w:ascii="Arial" w:hAnsi="Arial" w:cs="Arial"/>
                <w:color w:val="000000" w:themeColor="text1"/>
                <w:sz w:val="18"/>
                <w:szCs w:val="18"/>
                <w:lang w:val="en-SG" w:eastAsia="en-SG"/>
              </w:rPr>
              <w:t>estitures</w:t>
            </w:r>
          </w:p>
        </w:tc>
        <w:tc>
          <w:tcPr>
            <w:tcW w:w="1080" w:type="dxa"/>
            <w:tcBorders>
              <w:top w:val="nil"/>
              <w:left w:val="single" w:sz="4" w:space="0" w:color="auto"/>
              <w:bottom w:val="nil"/>
              <w:right w:val="single" w:sz="4" w:space="0" w:color="auto"/>
            </w:tcBorders>
            <w:shd w:val="clear" w:color="auto" w:fill="auto"/>
            <w:noWrap/>
            <w:vAlign w:val="center"/>
            <w:hideMark/>
          </w:tcPr>
          <w:p w14:paraId="4D90BE75" w14:textId="0F7797CB"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302.9</w:t>
            </w:r>
            <w:r>
              <w:rPr>
                <w:rFonts w:ascii="Arial" w:hAnsi="Arial" w:cs="Arial"/>
                <w:color w:val="000000" w:themeColor="text1"/>
                <w:sz w:val="18"/>
                <w:szCs w:val="18"/>
                <w:lang w:val="en-SG" w:eastAsia="en-SG"/>
              </w:rPr>
              <w:t>)</w:t>
            </w:r>
          </w:p>
        </w:tc>
        <w:tc>
          <w:tcPr>
            <w:tcW w:w="990" w:type="dxa"/>
            <w:tcBorders>
              <w:top w:val="nil"/>
              <w:left w:val="nil"/>
              <w:bottom w:val="nil"/>
              <w:right w:val="single" w:sz="4" w:space="0" w:color="auto"/>
            </w:tcBorders>
            <w:shd w:val="clear" w:color="auto" w:fill="auto"/>
            <w:noWrap/>
            <w:vAlign w:val="center"/>
            <w:hideMark/>
          </w:tcPr>
          <w:p w14:paraId="44E77036"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1.0</w:t>
            </w:r>
          </w:p>
        </w:tc>
        <w:tc>
          <w:tcPr>
            <w:tcW w:w="1010" w:type="dxa"/>
            <w:gridSpan w:val="2"/>
            <w:tcBorders>
              <w:top w:val="nil"/>
              <w:left w:val="nil"/>
              <w:bottom w:val="nil"/>
              <w:right w:val="single" w:sz="4" w:space="0" w:color="auto"/>
            </w:tcBorders>
            <w:shd w:val="clear" w:color="auto" w:fill="auto"/>
            <w:noWrap/>
            <w:vAlign w:val="center"/>
            <w:hideMark/>
          </w:tcPr>
          <w:p w14:paraId="7DC89C0F" w14:textId="7A06F8B8"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54.6</w:t>
            </w:r>
            <w:r>
              <w:rPr>
                <w:rFonts w:ascii="Arial" w:hAnsi="Arial" w:cs="Arial"/>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1417E07D"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4.6</w:t>
            </w:r>
          </w:p>
        </w:tc>
        <w:tc>
          <w:tcPr>
            <w:tcW w:w="1039" w:type="dxa"/>
            <w:tcBorders>
              <w:top w:val="nil"/>
              <w:left w:val="nil"/>
              <w:bottom w:val="nil"/>
              <w:right w:val="single" w:sz="4" w:space="0" w:color="auto"/>
            </w:tcBorders>
            <w:shd w:val="clear" w:color="auto" w:fill="auto"/>
            <w:noWrap/>
            <w:vAlign w:val="center"/>
            <w:hideMark/>
          </w:tcPr>
          <w:p w14:paraId="730BEAC2"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179.4</w:t>
            </w:r>
          </w:p>
        </w:tc>
        <w:tc>
          <w:tcPr>
            <w:tcW w:w="1039" w:type="dxa"/>
            <w:tcBorders>
              <w:top w:val="nil"/>
              <w:left w:val="nil"/>
              <w:bottom w:val="nil"/>
            </w:tcBorders>
            <w:shd w:val="clear" w:color="auto" w:fill="auto"/>
            <w:noWrap/>
            <w:vAlign w:val="center"/>
            <w:hideMark/>
          </w:tcPr>
          <w:p w14:paraId="2B39FC07"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97.5</w:t>
            </w:r>
          </w:p>
        </w:tc>
      </w:tr>
      <w:tr w:rsidR="00250233" w:rsidRPr="005A2CBC" w14:paraId="04FBC0D4"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430CE934" w14:textId="7880B0F6"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Other Investing Activities</w:t>
            </w:r>
          </w:p>
        </w:tc>
        <w:tc>
          <w:tcPr>
            <w:tcW w:w="1080" w:type="dxa"/>
            <w:tcBorders>
              <w:top w:val="nil"/>
              <w:left w:val="single" w:sz="4" w:space="0" w:color="auto"/>
              <w:bottom w:val="nil"/>
              <w:right w:val="single" w:sz="4" w:space="0" w:color="auto"/>
            </w:tcBorders>
            <w:shd w:val="clear" w:color="auto" w:fill="auto"/>
            <w:noWrap/>
            <w:vAlign w:val="center"/>
            <w:hideMark/>
          </w:tcPr>
          <w:p w14:paraId="615B5411"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537.9</w:t>
            </w:r>
          </w:p>
        </w:tc>
        <w:tc>
          <w:tcPr>
            <w:tcW w:w="990" w:type="dxa"/>
            <w:tcBorders>
              <w:top w:val="nil"/>
              <w:left w:val="nil"/>
              <w:bottom w:val="nil"/>
              <w:right w:val="single" w:sz="4" w:space="0" w:color="auto"/>
            </w:tcBorders>
            <w:shd w:val="clear" w:color="auto" w:fill="auto"/>
            <w:noWrap/>
            <w:vAlign w:val="center"/>
            <w:hideMark/>
          </w:tcPr>
          <w:p w14:paraId="07B50AC3" w14:textId="7C11D2F6"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259.6</w:t>
            </w:r>
            <w:r>
              <w:rPr>
                <w:rFonts w:ascii="Arial" w:hAnsi="Arial" w:cs="Arial"/>
                <w:color w:val="000000" w:themeColor="text1"/>
                <w:sz w:val="18"/>
                <w:szCs w:val="18"/>
                <w:lang w:val="en-SG" w:eastAsia="en-SG"/>
              </w:rPr>
              <w:t>)</w:t>
            </w:r>
          </w:p>
        </w:tc>
        <w:tc>
          <w:tcPr>
            <w:tcW w:w="1010" w:type="dxa"/>
            <w:gridSpan w:val="2"/>
            <w:tcBorders>
              <w:top w:val="nil"/>
              <w:left w:val="nil"/>
              <w:bottom w:val="nil"/>
              <w:right w:val="single" w:sz="4" w:space="0" w:color="auto"/>
            </w:tcBorders>
            <w:shd w:val="clear" w:color="auto" w:fill="auto"/>
            <w:noWrap/>
            <w:vAlign w:val="center"/>
            <w:hideMark/>
          </w:tcPr>
          <w:p w14:paraId="476A949C" w14:textId="52D72279"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181.5</w:t>
            </w:r>
            <w:r>
              <w:rPr>
                <w:rFonts w:ascii="Arial" w:hAnsi="Arial" w:cs="Arial"/>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5ED4003C"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310.5</w:t>
            </w:r>
          </w:p>
        </w:tc>
        <w:tc>
          <w:tcPr>
            <w:tcW w:w="1039" w:type="dxa"/>
            <w:tcBorders>
              <w:top w:val="nil"/>
              <w:left w:val="nil"/>
              <w:bottom w:val="nil"/>
              <w:right w:val="single" w:sz="4" w:space="0" w:color="auto"/>
            </w:tcBorders>
            <w:shd w:val="clear" w:color="auto" w:fill="auto"/>
            <w:noWrap/>
            <w:vAlign w:val="center"/>
            <w:hideMark/>
          </w:tcPr>
          <w:p w14:paraId="0619D64B"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89.5</w:t>
            </w:r>
          </w:p>
        </w:tc>
        <w:tc>
          <w:tcPr>
            <w:tcW w:w="1039" w:type="dxa"/>
            <w:tcBorders>
              <w:top w:val="nil"/>
              <w:left w:val="nil"/>
              <w:bottom w:val="nil"/>
            </w:tcBorders>
            <w:shd w:val="clear" w:color="auto" w:fill="auto"/>
            <w:noWrap/>
            <w:vAlign w:val="center"/>
            <w:hideMark/>
          </w:tcPr>
          <w:p w14:paraId="283E9C37"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120.1</w:t>
            </w:r>
          </w:p>
        </w:tc>
      </w:tr>
      <w:tr w:rsidR="00250233" w:rsidRPr="005A2CBC" w14:paraId="311B1374"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49212622" w14:textId="54EBEF5D"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xml:space="preserve">+ Net Cash </w:t>
            </w:r>
            <w:r w:rsidR="00494A24">
              <w:rPr>
                <w:rFonts w:ascii="Arial" w:hAnsi="Arial" w:cs="Arial"/>
                <w:color w:val="000000" w:themeColor="text1"/>
                <w:sz w:val="18"/>
                <w:szCs w:val="18"/>
                <w:lang w:val="en-SG" w:eastAsia="en-SG"/>
              </w:rPr>
              <w:t>f</w:t>
            </w:r>
            <w:r w:rsidRPr="005A2CBC">
              <w:rPr>
                <w:rFonts w:ascii="Arial" w:hAnsi="Arial" w:cs="Arial"/>
                <w:color w:val="000000" w:themeColor="text1"/>
                <w:sz w:val="18"/>
                <w:szCs w:val="18"/>
                <w:lang w:val="en-SG" w:eastAsia="en-SG"/>
              </w:rPr>
              <w:t>rom Disc Ops</w:t>
            </w:r>
          </w:p>
        </w:tc>
        <w:tc>
          <w:tcPr>
            <w:tcW w:w="1080" w:type="dxa"/>
            <w:tcBorders>
              <w:top w:val="nil"/>
              <w:left w:val="single" w:sz="4" w:space="0" w:color="auto"/>
              <w:bottom w:val="nil"/>
              <w:right w:val="single" w:sz="4" w:space="0" w:color="auto"/>
            </w:tcBorders>
            <w:shd w:val="clear" w:color="auto" w:fill="auto"/>
            <w:noWrap/>
            <w:vAlign w:val="center"/>
            <w:hideMark/>
          </w:tcPr>
          <w:p w14:paraId="17C0CB22"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990" w:type="dxa"/>
            <w:tcBorders>
              <w:top w:val="nil"/>
              <w:left w:val="nil"/>
              <w:bottom w:val="nil"/>
              <w:right w:val="single" w:sz="4" w:space="0" w:color="auto"/>
            </w:tcBorders>
            <w:shd w:val="clear" w:color="auto" w:fill="auto"/>
            <w:noWrap/>
            <w:vAlign w:val="center"/>
            <w:hideMark/>
          </w:tcPr>
          <w:p w14:paraId="5A3D9697"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10" w:type="dxa"/>
            <w:gridSpan w:val="2"/>
            <w:tcBorders>
              <w:top w:val="nil"/>
              <w:left w:val="nil"/>
              <w:bottom w:val="nil"/>
              <w:right w:val="single" w:sz="4" w:space="0" w:color="auto"/>
            </w:tcBorders>
            <w:shd w:val="clear" w:color="auto" w:fill="auto"/>
            <w:noWrap/>
            <w:vAlign w:val="center"/>
            <w:hideMark/>
          </w:tcPr>
          <w:p w14:paraId="07C70463"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37" w:type="dxa"/>
            <w:tcBorders>
              <w:top w:val="nil"/>
              <w:left w:val="nil"/>
              <w:bottom w:val="nil"/>
              <w:right w:val="single" w:sz="4" w:space="0" w:color="auto"/>
            </w:tcBorders>
            <w:shd w:val="clear" w:color="auto" w:fill="auto"/>
            <w:noWrap/>
            <w:vAlign w:val="center"/>
            <w:hideMark/>
          </w:tcPr>
          <w:p w14:paraId="79000228"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39" w:type="dxa"/>
            <w:tcBorders>
              <w:top w:val="nil"/>
              <w:left w:val="nil"/>
              <w:bottom w:val="nil"/>
              <w:right w:val="single" w:sz="4" w:space="0" w:color="auto"/>
            </w:tcBorders>
            <w:shd w:val="clear" w:color="auto" w:fill="auto"/>
            <w:noWrap/>
            <w:vAlign w:val="center"/>
            <w:hideMark/>
          </w:tcPr>
          <w:p w14:paraId="105FC194"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39" w:type="dxa"/>
            <w:tcBorders>
              <w:top w:val="nil"/>
              <w:left w:val="nil"/>
              <w:bottom w:val="nil"/>
            </w:tcBorders>
            <w:shd w:val="clear" w:color="auto" w:fill="auto"/>
            <w:noWrap/>
            <w:vAlign w:val="center"/>
            <w:hideMark/>
          </w:tcPr>
          <w:p w14:paraId="449206C9"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r>
      <w:tr w:rsidR="00250233" w:rsidRPr="005A2CBC" w14:paraId="08A4D965"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76C61916" w14:textId="77777777" w:rsidR="00250233" w:rsidRPr="005A2CBC" w:rsidRDefault="00250233" w:rsidP="00250233">
            <w:pPr>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Cash from Investing Activities</w:t>
            </w:r>
          </w:p>
        </w:tc>
        <w:tc>
          <w:tcPr>
            <w:tcW w:w="1080" w:type="dxa"/>
            <w:tcBorders>
              <w:top w:val="nil"/>
              <w:left w:val="single" w:sz="4" w:space="0" w:color="auto"/>
              <w:bottom w:val="nil"/>
              <w:right w:val="single" w:sz="4" w:space="0" w:color="auto"/>
            </w:tcBorders>
            <w:shd w:val="clear" w:color="auto" w:fill="auto"/>
            <w:noWrap/>
            <w:vAlign w:val="center"/>
            <w:hideMark/>
          </w:tcPr>
          <w:p w14:paraId="28BD59EE" w14:textId="4E3627D0"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1,190.6</w:t>
            </w:r>
            <w:r>
              <w:rPr>
                <w:rFonts w:ascii="Arial" w:hAnsi="Arial" w:cs="Arial"/>
                <w:b/>
                <w:bCs/>
                <w:color w:val="000000" w:themeColor="text1"/>
                <w:sz w:val="18"/>
                <w:szCs w:val="18"/>
                <w:lang w:val="en-SG" w:eastAsia="en-SG"/>
              </w:rPr>
              <w:t>)</w:t>
            </w:r>
          </w:p>
        </w:tc>
        <w:tc>
          <w:tcPr>
            <w:tcW w:w="990" w:type="dxa"/>
            <w:tcBorders>
              <w:top w:val="nil"/>
              <w:left w:val="nil"/>
              <w:bottom w:val="nil"/>
              <w:right w:val="single" w:sz="4" w:space="0" w:color="auto"/>
            </w:tcBorders>
            <w:shd w:val="clear" w:color="auto" w:fill="auto"/>
            <w:noWrap/>
            <w:vAlign w:val="center"/>
            <w:hideMark/>
          </w:tcPr>
          <w:p w14:paraId="032FB989" w14:textId="0EA22D8F"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780.6</w:t>
            </w:r>
            <w:r>
              <w:rPr>
                <w:rFonts w:ascii="Arial" w:hAnsi="Arial" w:cs="Arial"/>
                <w:b/>
                <w:bCs/>
                <w:color w:val="000000" w:themeColor="text1"/>
                <w:sz w:val="18"/>
                <w:szCs w:val="18"/>
                <w:lang w:val="en-SG" w:eastAsia="en-SG"/>
              </w:rPr>
              <w:t>)</w:t>
            </w:r>
          </w:p>
        </w:tc>
        <w:tc>
          <w:tcPr>
            <w:tcW w:w="1010" w:type="dxa"/>
            <w:gridSpan w:val="2"/>
            <w:tcBorders>
              <w:top w:val="nil"/>
              <w:left w:val="nil"/>
              <w:bottom w:val="nil"/>
              <w:right w:val="single" w:sz="4" w:space="0" w:color="auto"/>
            </w:tcBorders>
            <w:shd w:val="clear" w:color="auto" w:fill="auto"/>
            <w:noWrap/>
            <w:vAlign w:val="center"/>
            <w:hideMark/>
          </w:tcPr>
          <w:p w14:paraId="58ED677A" w14:textId="7EBA7600"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1,777.3</w:t>
            </w:r>
            <w:r>
              <w:rPr>
                <w:rFonts w:ascii="Arial" w:hAnsi="Arial" w:cs="Arial"/>
                <w:b/>
                <w:bCs/>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26A7A1B2" w14:textId="524DE0E6"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1,360.6</w:t>
            </w:r>
            <w:r>
              <w:rPr>
                <w:rFonts w:ascii="Arial" w:hAnsi="Arial" w:cs="Arial"/>
                <w:b/>
                <w:bCs/>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07F2E323" w14:textId="10B9BDFC"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2,064.9</w:t>
            </w:r>
            <w:r>
              <w:rPr>
                <w:rFonts w:ascii="Arial" w:hAnsi="Arial" w:cs="Arial"/>
                <w:b/>
                <w:bCs/>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0C007568" w14:textId="40BA2BA3"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1,996.5</w:t>
            </w:r>
            <w:r>
              <w:rPr>
                <w:rFonts w:ascii="Arial" w:hAnsi="Arial" w:cs="Arial"/>
                <w:b/>
                <w:bCs/>
                <w:color w:val="000000" w:themeColor="text1"/>
                <w:sz w:val="18"/>
                <w:szCs w:val="18"/>
                <w:lang w:val="en-SG" w:eastAsia="en-SG"/>
              </w:rPr>
              <w:t>)</w:t>
            </w:r>
          </w:p>
        </w:tc>
      </w:tr>
      <w:tr w:rsidR="00250233" w:rsidRPr="005A2CBC" w14:paraId="7DD6A9D4"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single" w:sz="4" w:space="0" w:color="auto"/>
            </w:tcBorders>
            <w:shd w:val="clear" w:color="auto" w:fill="auto"/>
            <w:noWrap/>
            <w:vAlign w:val="center"/>
            <w:hideMark/>
          </w:tcPr>
          <w:p w14:paraId="3734BD87" w14:textId="68F6B738" w:rsidR="00250233" w:rsidRPr="005A2CBC" w:rsidRDefault="000E5F16" w:rsidP="00250233">
            <w:pPr>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80" w:type="dxa"/>
            <w:tcBorders>
              <w:top w:val="nil"/>
              <w:left w:val="single" w:sz="4" w:space="0" w:color="auto"/>
              <w:bottom w:val="nil"/>
              <w:right w:val="single" w:sz="4" w:space="0" w:color="auto"/>
            </w:tcBorders>
            <w:shd w:val="clear" w:color="auto" w:fill="auto"/>
            <w:noWrap/>
            <w:vAlign w:val="center"/>
            <w:hideMark/>
          </w:tcPr>
          <w:p w14:paraId="7D57A29B" w14:textId="36115539"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990" w:type="dxa"/>
            <w:tcBorders>
              <w:top w:val="nil"/>
              <w:left w:val="nil"/>
              <w:bottom w:val="nil"/>
              <w:right w:val="single" w:sz="4" w:space="0" w:color="auto"/>
            </w:tcBorders>
            <w:shd w:val="clear" w:color="auto" w:fill="auto"/>
            <w:noWrap/>
            <w:vAlign w:val="center"/>
            <w:hideMark/>
          </w:tcPr>
          <w:p w14:paraId="260607DA" w14:textId="4778306A"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10" w:type="dxa"/>
            <w:gridSpan w:val="2"/>
            <w:tcBorders>
              <w:top w:val="nil"/>
              <w:left w:val="nil"/>
              <w:bottom w:val="nil"/>
              <w:right w:val="single" w:sz="4" w:space="0" w:color="auto"/>
            </w:tcBorders>
            <w:shd w:val="clear" w:color="auto" w:fill="auto"/>
            <w:noWrap/>
            <w:vAlign w:val="center"/>
            <w:hideMark/>
          </w:tcPr>
          <w:p w14:paraId="5067ED44" w14:textId="5F5D39BB"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7" w:type="dxa"/>
            <w:tcBorders>
              <w:top w:val="nil"/>
              <w:left w:val="nil"/>
              <w:bottom w:val="nil"/>
              <w:right w:val="single" w:sz="4" w:space="0" w:color="auto"/>
            </w:tcBorders>
            <w:shd w:val="clear" w:color="auto" w:fill="auto"/>
            <w:noWrap/>
            <w:vAlign w:val="center"/>
            <w:hideMark/>
          </w:tcPr>
          <w:p w14:paraId="3E0636F3" w14:textId="4497FF46"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right w:val="single" w:sz="4" w:space="0" w:color="auto"/>
            </w:tcBorders>
            <w:shd w:val="clear" w:color="auto" w:fill="auto"/>
            <w:noWrap/>
            <w:vAlign w:val="center"/>
            <w:hideMark/>
          </w:tcPr>
          <w:p w14:paraId="0F76DBAD" w14:textId="3D66771E"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tcBorders>
            <w:shd w:val="clear" w:color="auto" w:fill="auto"/>
            <w:noWrap/>
            <w:vAlign w:val="center"/>
            <w:hideMark/>
          </w:tcPr>
          <w:p w14:paraId="5DD635B1" w14:textId="27B7CCA1"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r>
      <w:tr w:rsidR="00250233" w:rsidRPr="005A2CBC" w14:paraId="1C55DBAE"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single" w:sz="4" w:space="0" w:color="auto"/>
            </w:tcBorders>
            <w:shd w:val="clear" w:color="auto" w:fill="auto"/>
            <w:noWrap/>
            <w:vAlign w:val="center"/>
            <w:hideMark/>
          </w:tcPr>
          <w:p w14:paraId="2F3E24C0" w14:textId="77777777" w:rsidR="00250233" w:rsidRPr="005A2CBC" w:rsidRDefault="00250233" w:rsidP="00250233">
            <w:pPr>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Cash from Financing Activities</w:t>
            </w:r>
          </w:p>
        </w:tc>
        <w:tc>
          <w:tcPr>
            <w:tcW w:w="1080" w:type="dxa"/>
            <w:tcBorders>
              <w:top w:val="nil"/>
              <w:left w:val="single" w:sz="4" w:space="0" w:color="auto"/>
              <w:bottom w:val="nil"/>
              <w:right w:val="single" w:sz="4" w:space="0" w:color="auto"/>
            </w:tcBorders>
            <w:shd w:val="clear" w:color="auto" w:fill="auto"/>
            <w:noWrap/>
            <w:vAlign w:val="center"/>
            <w:hideMark/>
          </w:tcPr>
          <w:p w14:paraId="7E14A19A" w14:textId="042BA445"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990" w:type="dxa"/>
            <w:tcBorders>
              <w:top w:val="nil"/>
              <w:left w:val="nil"/>
              <w:bottom w:val="nil"/>
              <w:right w:val="single" w:sz="4" w:space="0" w:color="auto"/>
            </w:tcBorders>
            <w:shd w:val="clear" w:color="auto" w:fill="auto"/>
            <w:noWrap/>
            <w:vAlign w:val="center"/>
            <w:hideMark/>
          </w:tcPr>
          <w:p w14:paraId="78889890" w14:textId="35BEE9EA"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10" w:type="dxa"/>
            <w:gridSpan w:val="2"/>
            <w:tcBorders>
              <w:top w:val="nil"/>
              <w:left w:val="nil"/>
              <w:bottom w:val="nil"/>
              <w:right w:val="single" w:sz="4" w:space="0" w:color="auto"/>
            </w:tcBorders>
            <w:shd w:val="clear" w:color="auto" w:fill="auto"/>
            <w:noWrap/>
            <w:vAlign w:val="center"/>
            <w:hideMark/>
          </w:tcPr>
          <w:p w14:paraId="2B51C3D3" w14:textId="127ADDAF"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7" w:type="dxa"/>
            <w:tcBorders>
              <w:top w:val="nil"/>
              <w:left w:val="nil"/>
              <w:bottom w:val="nil"/>
              <w:right w:val="single" w:sz="4" w:space="0" w:color="auto"/>
            </w:tcBorders>
            <w:shd w:val="clear" w:color="auto" w:fill="auto"/>
            <w:noWrap/>
            <w:vAlign w:val="center"/>
            <w:hideMark/>
          </w:tcPr>
          <w:p w14:paraId="7AD244B3" w14:textId="589172F2"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right w:val="single" w:sz="4" w:space="0" w:color="auto"/>
            </w:tcBorders>
            <w:shd w:val="clear" w:color="auto" w:fill="auto"/>
            <w:noWrap/>
            <w:vAlign w:val="center"/>
            <w:hideMark/>
          </w:tcPr>
          <w:p w14:paraId="6FA27911" w14:textId="43EA57E6"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tcBorders>
            <w:shd w:val="clear" w:color="auto" w:fill="auto"/>
            <w:noWrap/>
            <w:vAlign w:val="center"/>
            <w:hideMark/>
          </w:tcPr>
          <w:p w14:paraId="470B6CB3" w14:textId="41BF1704"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r>
      <w:tr w:rsidR="00250233" w:rsidRPr="005A2CBC" w14:paraId="53DD8BA0"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24D97515" w14:textId="4128E3CE"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Dividends Paid</w:t>
            </w:r>
          </w:p>
        </w:tc>
        <w:tc>
          <w:tcPr>
            <w:tcW w:w="1080" w:type="dxa"/>
            <w:tcBorders>
              <w:top w:val="nil"/>
              <w:left w:val="single" w:sz="4" w:space="0" w:color="auto"/>
              <w:bottom w:val="nil"/>
              <w:right w:val="single" w:sz="4" w:space="0" w:color="auto"/>
            </w:tcBorders>
            <w:shd w:val="clear" w:color="auto" w:fill="auto"/>
            <w:noWrap/>
            <w:vAlign w:val="center"/>
            <w:hideMark/>
          </w:tcPr>
          <w:p w14:paraId="456D7C6C" w14:textId="58B83CA3"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236.9</w:t>
            </w:r>
            <w:r>
              <w:rPr>
                <w:rFonts w:ascii="Arial" w:hAnsi="Arial" w:cs="Arial"/>
                <w:color w:val="000000" w:themeColor="text1"/>
                <w:sz w:val="18"/>
                <w:szCs w:val="18"/>
                <w:lang w:val="en-SG" w:eastAsia="en-SG"/>
              </w:rPr>
              <w:t>)</w:t>
            </w:r>
          </w:p>
        </w:tc>
        <w:tc>
          <w:tcPr>
            <w:tcW w:w="990" w:type="dxa"/>
            <w:tcBorders>
              <w:top w:val="nil"/>
              <w:left w:val="nil"/>
              <w:bottom w:val="nil"/>
              <w:right w:val="single" w:sz="4" w:space="0" w:color="auto"/>
            </w:tcBorders>
            <w:shd w:val="clear" w:color="auto" w:fill="auto"/>
            <w:noWrap/>
            <w:vAlign w:val="center"/>
            <w:hideMark/>
          </w:tcPr>
          <w:p w14:paraId="144B1441" w14:textId="2EFB1B26"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382.7</w:t>
            </w:r>
            <w:r>
              <w:rPr>
                <w:rFonts w:ascii="Arial" w:hAnsi="Arial" w:cs="Arial"/>
                <w:color w:val="000000" w:themeColor="text1"/>
                <w:sz w:val="18"/>
                <w:szCs w:val="18"/>
                <w:lang w:val="en-SG" w:eastAsia="en-SG"/>
              </w:rPr>
              <w:t>)</w:t>
            </w:r>
          </w:p>
        </w:tc>
        <w:tc>
          <w:tcPr>
            <w:tcW w:w="1010" w:type="dxa"/>
            <w:gridSpan w:val="2"/>
            <w:tcBorders>
              <w:top w:val="nil"/>
              <w:left w:val="nil"/>
              <w:bottom w:val="nil"/>
              <w:right w:val="single" w:sz="4" w:space="0" w:color="auto"/>
            </w:tcBorders>
            <w:shd w:val="clear" w:color="auto" w:fill="auto"/>
            <w:noWrap/>
            <w:vAlign w:val="center"/>
            <w:hideMark/>
          </w:tcPr>
          <w:p w14:paraId="1F54AD00" w14:textId="724D43CA"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1,557.2</w:t>
            </w:r>
            <w:r>
              <w:rPr>
                <w:rFonts w:ascii="Arial" w:hAnsi="Arial" w:cs="Arial"/>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0E7D92FF" w14:textId="192E850F"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188.0</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027D0ABF" w14:textId="28B360D9"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317.8</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1211E727" w14:textId="04973ADB"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481.2</w:t>
            </w:r>
            <w:r>
              <w:rPr>
                <w:rFonts w:ascii="Arial" w:hAnsi="Arial" w:cs="Arial"/>
                <w:color w:val="000000" w:themeColor="text1"/>
                <w:sz w:val="18"/>
                <w:szCs w:val="18"/>
                <w:lang w:val="en-SG" w:eastAsia="en-SG"/>
              </w:rPr>
              <w:t>)</w:t>
            </w:r>
          </w:p>
        </w:tc>
      </w:tr>
      <w:tr w:rsidR="00250233" w:rsidRPr="005A2CBC" w14:paraId="6C3250FA"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75425C67" w14:textId="38B984C1"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Cash From (Repayment) Debt</w:t>
            </w:r>
          </w:p>
        </w:tc>
        <w:tc>
          <w:tcPr>
            <w:tcW w:w="1080" w:type="dxa"/>
            <w:tcBorders>
              <w:top w:val="nil"/>
              <w:left w:val="single" w:sz="4" w:space="0" w:color="auto"/>
              <w:bottom w:val="nil"/>
              <w:right w:val="single" w:sz="4" w:space="0" w:color="auto"/>
            </w:tcBorders>
            <w:shd w:val="clear" w:color="auto" w:fill="auto"/>
            <w:noWrap/>
            <w:vAlign w:val="center"/>
            <w:hideMark/>
          </w:tcPr>
          <w:p w14:paraId="0DDFCF1C" w14:textId="4026A57F"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89.8</w:t>
            </w:r>
            <w:r>
              <w:rPr>
                <w:rFonts w:ascii="Arial" w:hAnsi="Arial" w:cs="Arial"/>
                <w:color w:val="000000" w:themeColor="text1"/>
                <w:sz w:val="18"/>
                <w:szCs w:val="18"/>
                <w:lang w:val="en-SG" w:eastAsia="en-SG"/>
              </w:rPr>
              <w:t>)</w:t>
            </w:r>
          </w:p>
        </w:tc>
        <w:tc>
          <w:tcPr>
            <w:tcW w:w="990" w:type="dxa"/>
            <w:tcBorders>
              <w:top w:val="nil"/>
              <w:left w:val="nil"/>
              <w:bottom w:val="nil"/>
              <w:right w:val="single" w:sz="4" w:space="0" w:color="auto"/>
            </w:tcBorders>
            <w:shd w:val="clear" w:color="auto" w:fill="auto"/>
            <w:noWrap/>
            <w:vAlign w:val="center"/>
            <w:hideMark/>
          </w:tcPr>
          <w:p w14:paraId="5E192A08"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737.4</w:t>
            </w:r>
          </w:p>
        </w:tc>
        <w:tc>
          <w:tcPr>
            <w:tcW w:w="1010" w:type="dxa"/>
            <w:gridSpan w:val="2"/>
            <w:tcBorders>
              <w:top w:val="nil"/>
              <w:left w:val="nil"/>
              <w:bottom w:val="nil"/>
              <w:right w:val="single" w:sz="4" w:space="0" w:color="auto"/>
            </w:tcBorders>
            <w:shd w:val="clear" w:color="auto" w:fill="auto"/>
            <w:noWrap/>
            <w:vAlign w:val="center"/>
            <w:hideMark/>
          </w:tcPr>
          <w:p w14:paraId="066E4BFA" w14:textId="25A7DA9F"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960.5</w:t>
            </w:r>
            <w:r>
              <w:rPr>
                <w:rFonts w:ascii="Arial" w:hAnsi="Arial" w:cs="Arial"/>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50656BD8" w14:textId="337AC54D"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60.6</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5DE715E2" w14:textId="07EFF604"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51.6</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053F65D5"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418.3</w:t>
            </w:r>
          </w:p>
        </w:tc>
      </w:tr>
      <w:tr w:rsidR="00250233" w:rsidRPr="005A2CBC" w14:paraId="7A45D00E"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6159744A" w14:textId="1BBD9F2B"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Cash (Repurchase) of Equity</w:t>
            </w:r>
          </w:p>
        </w:tc>
        <w:tc>
          <w:tcPr>
            <w:tcW w:w="1080" w:type="dxa"/>
            <w:tcBorders>
              <w:top w:val="nil"/>
              <w:left w:val="single" w:sz="4" w:space="0" w:color="auto"/>
              <w:bottom w:val="nil"/>
              <w:right w:val="single" w:sz="4" w:space="0" w:color="auto"/>
            </w:tcBorders>
            <w:shd w:val="clear" w:color="auto" w:fill="auto"/>
            <w:noWrap/>
            <w:vAlign w:val="center"/>
            <w:hideMark/>
          </w:tcPr>
          <w:p w14:paraId="3FCF2342"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105.7</w:t>
            </w:r>
          </w:p>
        </w:tc>
        <w:tc>
          <w:tcPr>
            <w:tcW w:w="990" w:type="dxa"/>
            <w:tcBorders>
              <w:top w:val="nil"/>
              <w:left w:val="nil"/>
              <w:bottom w:val="nil"/>
              <w:right w:val="single" w:sz="4" w:space="0" w:color="auto"/>
            </w:tcBorders>
            <w:shd w:val="clear" w:color="auto" w:fill="auto"/>
            <w:noWrap/>
            <w:vAlign w:val="center"/>
            <w:hideMark/>
          </w:tcPr>
          <w:p w14:paraId="088875CB"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44.9</w:t>
            </w:r>
          </w:p>
        </w:tc>
        <w:tc>
          <w:tcPr>
            <w:tcW w:w="1010" w:type="dxa"/>
            <w:gridSpan w:val="2"/>
            <w:tcBorders>
              <w:top w:val="nil"/>
              <w:left w:val="nil"/>
              <w:bottom w:val="nil"/>
              <w:right w:val="single" w:sz="4" w:space="0" w:color="auto"/>
            </w:tcBorders>
            <w:shd w:val="clear" w:color="auto" w:fill="auto"/>
            <w:noWrap/>
            <w:vAlign w:val="center"/>
            <w:hideMark/>
          </w:tcPr>
          <w:p w14:paraId="761BA5EA" w14:textId="548FF270"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206.4</w:t>
            </w:r>
            <w:r>
              <w:rPr>
                <w:rFonts w:ascii="Arial" w:hAnsi="Arial" w:cs="Arial"/>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1DB8F28D"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0.6</w:t>
            </w:r>
          </w:p>
        </w:tc>
        <w:tc>
          <w:tcPr>
            <w:tcW w:w="1039" w:type="dxa"/>
            <w:tcBorders>
              <w:top w:val="nil"/>
              <w:left w:val="nil"/>
              <w:bottom w:val="nil"/>
              <w:right w:val="single" w:sz="4" w:space="0" w:color="auto"/>
            </w:tcBorders>
            <w:shd w:val="clear" w:color="auto" w:fill="auto"/>
            <w:noWrap/>
            <w:vAlign w:val="center"/>
            <w:hideMark/>
          </w:tcPr>
          <w:p w14:paraId="5B3DDE77"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27.4</w:t>
            </w:r>
          </w:p>
        </w:tc>
        <w:tc>
          <w:tcPr>
            <w:tcW w:w="1039" w:type="dxa"/>
            <w:tcBorders>
              <w:top w:val="nil"/>
              <w:left w:val="nil"/>
              <w:bottom w:val="nil"/>
            </w:tcBorders>
            <w:shd w:val="clear" w:color="auto" w:fill="auto"/>
            <w:noWrap/>
            <w:vAlign w:val="center"/>
            <w:hideMark/>
          </w:tcPr>
          <w:p w14:paraId="6F8C73DD" w14:textId="315486E8"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61.2</w:t>
            </w:r>
            <w:r>
              <w:rPr>
                <w:rFonts w:ascii="Arial" w:hAnsi="Arial" w:cs="Arial"/>
                <w:color w:val="000000" w:themeColor="text1"/>
                <w:sz w:val="18"/>
                <w:szCs w:val="18"/>
                <w:lang w:val="en-SG" w:eastAsia="en-SG"/>
              </w:rPr>
              <w:t>)</w:t>
            </w:r>
          </w:p>
        </w:tc>
      </w:tr>
      <w:tr w:rsidR="00250233" w:rsidRPr="005A2CBC" w14:paraId="477242F0"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634BA324" w14:textId="12C8526B"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Other Financing Activities</w:t>
            </w:r>
          </w:p>
        </w:tc>
        <w:tc>
          <w:tcPr>
            <w:tcW w:w="1080" w:type="dxa"/>
            <w:tcBorders>
              <w:top w:val="nil"/>
              <w:left w:val="single" w:sz="4" w:space="0" w:color="auto"/>
              <w:bottom w:val="nil"/>
              <w:right w:val="single" w:sz="4" w:space="0" w:color="auto"/>
            </w:tcBorders>
            <w:shd w:val="clear" w:color="auto" w:fill="auto"/>
            <w:noWrap/>
            <w:vAlign w:val="center"/>
            <w:hideMark/>
          </w:tcPr>
          <w:p w14:paraId="67BE983B" w14:textId="2A0E8812"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48.4</w:t>
            </w:r>
            <w:r>
              <w:rPr>
                <w:rFonts w:ascii="Arial" w:hAnsi="Arial" w:cs="Arial"/>
                <w:color w:val="000000" w:themeColor="text1"/>
                <w:sz w:val="18"/>
                <w:szCs w:val="18"/>
                <w:lang w:val="en-SG" w:eastAsia="en-SG"/>
              </w:rPr>
              <w:t>)</w:t>
            </w:r>
          </w:p>
        </w:tc>
        <w:tc>
          <w:tcPr>
            <w:tcW w:w="990" w:type="dxa"/>
            <w:tcBorders>
              <w:top w:val="nil"/>
              <w:left w:val="nil"/>
              <w:bottom w:val="nil"/>
              <w:right w:val="single" w:sz="4" w:space="0" w:color="auto"/>
            </w:tcBorders>
            <w:shd w:val="clear" w:color="auto" w:fill="auto"/>
            <w:noWrap/>
            <w:vAlign w:val="center"/>
            <w:hideMark/>
          </w:tcPr>
          <w:p w14:paraId="15E30ED1" w14:textId="0A86F308"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46.1</w:t>
            </w:r>
            <w:r>
              <w:rPr>
                <w:rFonts w:ascii="Arial" w:hAnsi="Arial" w:cs="Arial"/>
                <w:color w:val="000000" w:themeColor="text1"/>
                <w:sz w:val="18"/>
                <w:szCs w:val="18"/>
                <w:lang w:val="en-SG" w:eastAsia="en-SG"/>
              </w:rPr>
              <w:t>)</w:t>
            </w:r>
          </w:p>
        </w:tc>
        <w:tc>
          <w:tcPr>
            <w:tcW w:w="1010" w:type="dxa"/>
            <w:gridSpan w:val="2"/>
            <w:tcBorders>
              <w:top w:val="nil"/>
              <w:left w:val="nil"/>
              <w:bottom w:val="nil"/>
              <w:right w:val="single" w:sz="4" w:space="0" w:color="auto"/>
            </w:tcBorders>
            <w:shd w:val="clear" w:color="auto" w:fill="auto"/>
            <w:noWrap/>
            <w:vAlign w:val="center"/>
            <w:hideMark/>
          </w:tcPr>
          <w:p w14:paraId="42BC134F" w14:textId="7626413C"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73.3</w:t>
            </w:r>
            <w:r>
              <w:rPr>
                <w:rFonts w:ascii="Arial" w:hAnsi="Arial" w:cs="Arial"/>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443D9E0F" w14:textId="34A19801"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56.4</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0AE56F8F" w14:textId="365125EC"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57.4</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1EF566B7"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25.1</w:t>
            </w:r>
          </w:p>
        </w:tc>
      </w:tr>
      <w:tr w:rsidR="00250233" w:rsidRPr="005A2CBC" w14:paraId="7E6B9AC4"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057EBD78" w14:textId="3A1D3E67" w:rsidR="00250233" w:rsidRPr="005A2CBC" w:rsidRDefault="00250233">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 xml:space="preserve">+ Net Cash </w:t>
            </w:r>
            <w:r w:rsidR="004B01B9">
              <w:rPr>
                <w:rFonts w:ascii="Arial" w:hAnsi="Arial" w:cs="Arial"/>
                <w:color w:val="000000" w:themeColor="text1"/>
                <w:sz w:val="18"/>
                <w:szCs w:val="18"/>
                <w:lang w:val="en-SG" w:eastAsia="en-SG"/>
              </w:rPr>
              <w:t>f</w:t>
            </w:r>
            <w:r w:rsidRPr="005A2CBC">
              <w:rPr>
                <w:rFonts w:ascii="Arial" w:hAnsi="Arial" w:cs="Arial"/>
                <w:color w:val="000000" w:themeColor="text1"/>
                <w:sz w:val="18"/>
                <w:szCs w:val="18"/>
                <w:lang w:val="en-SG" w:eastAsia="en-SG"/>
              </w:rPr>
              <w:t>rom Disc</w:t>
            </w:r>
            <w:r w:rsidR="00454CE9">
              <w:rPr>
                <w:rFonts w:ascii="Arial" w:hAnsi="Arial" w:cs="Arial"/>
                <w:color w:val="000000" w:themeColor="text1"/>
                <w:sz w:val="18"/>
                <w:szCs w:val="18"/>
                <w:lang w:val="en-SG" w:eastAsia="en-SG"/>
              </w:rPr>
              <w:t xml:space="preserve">ontinued </w:t>
            </w:r>
            <w:r w:rsidRPr="005A2CBC">
              <w:rPr>
                <w:rFonts w:ascii="Arial" w:hAnsi="Arial" w:cs="Arial"/>
                <w:color w:val="000000" w:themeColor="text1"/>
                <w:sz w:val="18"/>
                <w:szCs w:val="18"/>
                <w:lang w:val="en-SG" w:eastAsia="en-SG"/>
              </w:rPr>
              <w:t>Op</w:t>
            </w:r>
            <w:r w:rsidR="00454CE9">
              <w:rPr>
                <w:rFonts w:ascii="Arial" w:hAnsi="Arial" w:cs="Arial"/>
                <w:color w:val="000000" w:themeColor="text1"/>
                <w:sz w:val="18"/>
                <w:szCs w:val="18"/>
                <w:lang w:val="en-SG" w:eastAsia="en-SG"/>
              </w:rPr>
              <w:t>eration</w:t>
            </w:r>
            <w:r w:rsidRPr="005A2CBC">
              <w:rPr>
                <w:rFonts w:ascii="Arial" w:hAnsi="Arial" w:cs="Arial"/>
                <w:color w:val="000000" w:themeColor="text1"/>
                <w:sz w:val="18"/>
                <w:szCs w:val="18"/>
                <w:lang w:val="en-SG" w:eastAsia="en-SG"/>
              </w:rPr>
              <w:t>s</w:t>
            </w:r>
          </w:p>
        </w:tc>
        <w:tc>
          <w:tcPr>
            <w:tcW w:w="1080" w:type="dxa"/>
            <w:tcBorders>
              <w:top w:val="nil"/>
              <w:left w:val="single" w:sz="4" w:space="0" w:color="auto"/>
              <w:bottom w:val="nil"/>
              <w:right w:val="single" w:sz="4" w:space="0" w:color="auto"/>
            </w:tcBorders>
            <w:shd w:val="clear" w:color="auto" w:fill="auto"/>
            <w:noWrap/>
            <w:vAlign w:val="center"/>
            <w:hideMark/>
          </w:tcPr>
          <w:p w14:paraId="6A37549F"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990" w:type="dxa"/>
            <w:tcBorders>
              <w:top w:val="nil"/>
              <w:left w:val="nil"/>
              <w:bottom w:val="nil"/>
              <w:right w:val="single" w:sz="4" w:space="0" w:color="auto"/>
            </w:tcBorders>
            <w:shd w:val="clear" w:color="auto" w:fill="auto"/>
            <w:noWrap/>
            <w:vAlign w:val="center"/>
            <w:hideMark/>
          </w:tcPr>
          <w:p w14:paraId="67B64228"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10" w:type="dxa"/>
            <w:gridSpan w:val="2"/>
            <w:tcBorders>
              <w:top w:val="nil"/>
              <w:left w:val="nil"/>
              <w:bottom w:val="nil"/>
              <w:right w:val="single" w:sz="4" w:space="0" w:color="auto"/>
            </w:tcBorders>
            <w:shd w:val="clear" w:color="auto" w:fill="auto"/>
            <w:noWrap/>
            <w:vAlign w:val="center"/>
            <w:hideMark/>
          </w:tcPr>
          <w:p w14:paraId="5614F609"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37" w:type="dxa"/>
            <w:tcBorders>
              <w:top w:val="nil"/>
              <w:left w:val="nil"/>
              <w:bottom w:val="nil"/>
              <w:right w:val="single" w:sz="4" w:space="0" w:color="auto"/>
            </w:tcBorders>
            <w:shd w:val="clear" w:color="auto" w:fill="auto"/>
            <w:noWrap/>
            <w:vAlign w:val="center"/>
            <w:hideMark/>
          </w:tcPr>
          <w:p w14:paraId="7D2F9A9F"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39" w:type="dxa"/>
            <w:tcBorders>
              <w:top w:val="nil"/>
              <w:left w:val="nil"/>
              <w:bottom w:val="nil"/>
              <w:right w:val="single" w:sz="4" w:space="0" w:color="auto"/>
            </w:tcBorders>
            <w:shd w:val="clear" w:color="auto" w:fill="auto"/>
            <w:noWrap/>
            <w:vAlign w:val="center"/>
            <w:hideMark/>
          </w:tcPr>
          <w:p w14:paraId="264BC06C"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c>
          <w:tcPr>
            <w:tcW w:w="1039" w:type="dxa"/>
            <w:tcBorders>
              <w:top w:val="nil"/>
              <w:left w:val="nil"/>
              <w:bottom w:val="nil"/>
            </w:tcBorders>
            <w:shd w:val="clear" w:color="auto" w:fill="auto"/>
            <w:noWrap/>
            <w:vAlign w:val="center"/>
            <w:hideMark/>
          </w:tcPr>
          <w:p w14:paraId="4321B00C"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0.0</w:t>
            </w:r>
          </w:p>
        </w:tc>
      </w:tr>
      <w:tr w:rsidR="00250233" w:rsidRPr="005A2CBC" w14:paraId="5A827BC7"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011D4C51" w14:textId="77777777" w:rsidR="00250233" w:rsidRPr="005A2CBC" w:rsidRDefault="00250233" w:rsidP="00250233">
            <w:pPr>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Cash from Financing Activities</w:t>
            </w:r>
          </w:p>
        </w:tc>
        <w:tc>
          <w:tcPr>
            <w:tcW w:w="1080" w:type="dxa"/>
            <w:tcBorders>
              <w:top w:val="nil"/>
              <w:left w:val="single" w:sz="4" w:space="0" w:color="auto"/>
              <w:bottom w:val="nil"/>
              <w:right w:val="single" w:sz="4" w:space="0" w:color="auto"/>
            </w:tcBorders>
            <w:shd w:val="clear" w:color="auto" w:fill="auto"/>
            <w:noWrap/>
            <w:vAlign w:val="center"/>
            <w:hideMark/>
          </w:tcPr>
          <w:p w14:paraId="5C055D52" w14:textId="49C72461"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269.4</w:t>
            </w:r>
            <w:r>
              <w:rPr>
                <w:rFonts w:ascii="Arial" w:hAnsi="Arial" w:cs="Arial"/>
                <w:b/>
                <w:bCs/>
                <w:color w:val="000000" w:themeColor="text1"/>
                <w:sz w:val="18"/>
                <w:szCs w:val="18"/>
                <w:lang w:val="en-SG" w:eastAsia="en-SG"/>
              </w:rPr>
              <w:t>)</w:t>
            </w:r>
          </w:p>
        </w:tc>
        <w:tc>
          <w:tcPr>
            <w:tcW w:w="990" w:type="dxa"/>
            <w:tcBorders>
              <w:top w:val="nil"/>
              <w:left w:val="nil"/>
              <w:bottom w:val="nil"/>
              <w:right w:val="single" w:sz="4" w:space="0" w:color="auto"/>
            </w:tcBorders>
            <w:shd w:val="clear" w:color="auto" w:fill="auto"/>
            <w:noWrap/>
            <w:vAlign w:val="center"/>
            <w:hideMark/>
          </w:tcPr>
          <w:p w14:paraId="54D9FED6"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353.5</w:t>
            </w:r>
          </w:p>
        </w:tc>
        <w:tc>
          <w:tcPr>
            <w:tcW w:w="1010" w:type="dxa"/>
            <w:gridSpan w:val="2"/>
            <w:tcBorders>
              <w:top w:val="nil"/>
              <w:left w:val="nil"/>
              <w:bottom w:val="nil"/>
              <w:right w:val="single" w:sz="4" w:space="0" w:color="auto"/>
            </w:tcBorders>
            <w:shd w:val="clear" w:color="auto" w:fill="auto"/>
            <w:noWrap/>
            <w:vAlign w:val="center"/>
            <w:hideMark/>
          </w:tcPr>
          <w:p w14:paraId="4A123A33" w14:textId="77CB8323"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2,797.4</w:t>
            </w:r>
            <w:r>
              <w:rPr>
                <w:rFonts w:ascii="Arial" w:hAnsi="Arial" w:cs="Arial"/>
                <w:b/>
                <w:bCs/>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384F83EE" w14:textId="5572D71D"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304.4</w:t>
            </w:r>
            <w:r>
              <w:rPr>
                <w:rFonts w:ascii="Arial" w:hAnsi="Arial" w:cs="Arial"/>
                <w:b/>
                <w:bCs/>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5D850D49" w14:textId="31B3680D"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399.4</w:t>
            </w:r>
            <w:r>
              <w:rPr>
                <w:rFonts w:ascii="Arial" w:hAnsi="Arial" w:cs="Arial"/>
                <w:b/>
                <w:bCs/>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545BA2D4" w14:textId="4AAB7F82"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99.0</w:t>
            </w:r>
            <w:r>
              <w:rPr>
                <w:rFonts w:ascii="Arial" w:hAnsi="Arial" w:cs="Arial"/>
                <w:b/>
                <w:bCs/>
                <w:color w:val="000000" w:themeColor="text1"/>
                <w:sz w:val="18"/>
                <w:szCs w:val="18"/>
                <w:lang w:val="en-SG" w:eastAsia="en-SG"/>
              </w:rPr>
              <w:t>)</w:t>
            </w:r>
          </w:p>
        </w:tc>
      </w:tr>
      <w:tr w:rsidR="00250233" w:rsidRPr="005A2CBC" w14:paraId="35FC67A4"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single" w:sz="4" w:space="0" w:color="auto"/>
            </w:tcBorders>
            <w:shd w:val="clear" w:color="auto" w:fill="auto"/>
            <w:noWrap/>
            <w:vAlign w:val="center"/>
            <w:hideMark/>
          </w:tcPr>
          <w:p w14:paraId="5AD3562F" w14:textId="49AF2951" w:rsidR="00250233" w:rsidRPr="005A2CBC" w:rsidRDefault="000E5F16" w:rsidP="00250233">
            <w:pPr>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80" w:type="dxa"/>
            <w:tcBorders>
              <w:top w:val="nil"/>
              <w:left w:val="single" w:sz="4" w:space="0" w:color="auto"/>
              <w:bottom w:val="nil"/>
              <w:right w:val="single" w:sz="4" w:space="0" w:color="auto"/>
            </w:tcBorders>
            <w:shd w:val="clear" w:color="auto" w:fill="auto"/>
            <w:noWrap/>
            <w:vAlign w:val="center"/>
            <w:hideMark/>
          </w:tcPr>
          <w:p w14:paraId="789E418E" w14:textId="6974342B"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990" w:type="dxa"/>
            <w:tcBorders>
              <w:top w:val="nil"/>
              <w:left w:val="nil"/>
              <w:bottom w:val="nil"/>
              <w:right w:val="single" w:sz="4" w:space="0" w:color="auto"/>
            </w:tcBorders>
            <w:shd w:val="clear" w:color="auto" w:fill="auto"/>
            <w:noWrap/>
            <w:vAlign w:val="center"/>
            <w:hideMark/>
          </w:tcPr>
          <w:p w14:paraId="6A45E7C8" w14:textId="3539219F"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10" w:type="dxa"/>
            <w:gridSpan w:val="2"/>
            <w:tcBorders>
              <w:top w:val="nil"/>
              <w:left w:val="nil"/>
              <w:bottom w:val="nil"/>
              <w:right w:val="single" w:sz="4" w:space="0" w:color="auto"/>
            </w:tcBorders>
            <w:shd w:val="clear" w:color="auto" w:fill="auto"/>
            <w:noWrap/>
            <w:vAlign w:val="center"/>
            <w:hideMark/>
          </w:tcPr>
          <w:p w14:paraId="16D9E5F6" w14:textId="7C9F472B"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7" w:type="dxa"/>
            <w:tcBorders>
              <w:top w:val="nil"/>
              <w:left w:val="nil"/>
              <w:bottom w:val="nil"/>
              <w:right w:val="single" w:sz="4" w:space="0" w:color="auto"/>
            </w:tcBorders>
            <w:shd w:val="clear" w:color="auto" w:fill="auto"/>
            <w:noWrap/>
            <w:vAlign w:val="center"/>
            <w:hideMark/>
          </w:tcPr>
          <w:p w14:paraId="4057BCF9" w14:textId="3EA72EF3"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right w:val="single" w:sz="4" w:space="0" w:color="auto"/>
            </w:tcBorders>
            <w:shd w:val="clear" w:color="auto" w:fill="auto"/>
            <w:noWrap/>
            <w:vAlign w:val="center"/>
            <w:hideMark/>
          </w:tcPr>
          <w:p w14:paraId="00F9758D" w14:textId="3C4542B3"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tcBorders>
            <w:shd w:val="clear" w:color="auto" w:fill="auto"/>
            <w:noWrap/>
            <w:vAlign w:val="center"/>
            <w:hideMark/>
          </w:tcPr>
          <w:p w14:paraId="7D1F5492" w14:textId="0EC73DFD"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r>
      <w:tr w:rsidR="00250233" w:rsidRPr="005A2CBC" w14:paraId="09DB2D08"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2F20D4AC" w14:textId="30476E54" w:rsidR="00250233" w:rsidRPr="005A2CBC" w:rsidRDefault="00250233" w:rsidP="00576751">
            <w:pPr>
              <w:ind w:left="144"/>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Effect of Foreign Exchange Rates</w:t>
            </w:r>
          </w:p>
        </w:tc>
        <w:tc>
          <w:tcPr>
            <w:tcW w:w="1080" w:type="dxa"/>
            <w:tcBorders>
              <w:top w:val="nil"/>
              <w:left w:val="single" w:sz="4" w:space="0" w:color="auto"/>
              <w:bottom w:val="nil"/>
              <w:right w:val="single" w:sz="4" w:space="0" w:color="auto"/>
            </w:tcBorders>
            <w:shd w:val="clear" w:color="auto" w:fill="auto"/>
            <w:noWrap/>
            <w:vAlign w:val="center"/>
            <w:hideMark/>
          </w:tcPr>
          <w:p w14:paraId="198B9903" w14:textId="3F6046A9"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34.8</w:t>
            </w:r>
            <w:r>
              <w:rPr>
                <w:rFonts w:ascii="Arial" w:hAnsi="Arial" w:cs="Arial"/>
                <w:color w:val="000000" w:themeColor="text1"/>
                <w:sz w:val="18"/>
                <w:szCs w:val="18"/>
                <w:lang w:val="en-SG" w:eastAsia="en-SG"/>
              </w:rPr>
              <w:t>)</w:t>
            </w:r>
          </w:p>
        </w:tc>
        <w:tc>
          <w:tcPr>
            <w:tcW w:w="990" w:type="dxa"/>
            <w:tcBorders>
              <w:top w:val="nil"/>
              <w:left w:val="nil"/>
              <w:bottom w:val="nil"/>
              <w:right w:val="single" w:sz="4" w:space="0" w:color="auto"/>
            </w:tcBorders>
            <w:shd w:val="clear" w:color="auto" w:fill="auto"/>
            <w:noWrap/>
            <w:vAlign w:val="center"/>
            <w:hideMark/>
          </w:tcPr>
          <w:p w14:paraId="1B79C95B" w14:textId="6B83996F"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40.5</w:t>
            </w:r>
            <w:r>
              <w:rPr>
                <w:rFonts w:ascii="Arial" w:hAnsi="Arial" w:cs="Arial"/>
                <w:color w:val="000000" w:themeColor="text1"/>
                <w:sz w:val="18"/>
                <w:szCs w:val="18"/>
                <w:lang w:val="en-SG" w:eastAsia="en-SG"/>
              </w:rPr>
              <w:t>)</w:t>
            </w:r>
          </w:p>
        </w:tc>
        <w:tc>
          <w:tcPr>
            <w:tcW w:w="1010" w:type="dxa"/>
            <w:gridSpan w:val="2"/>
            <w:tcBorders>
              <w:top w:val="nil"/>
              <w:left w:val="nil"/>
              <w:bottom w:val="nil"/>
              <w:right w:val="single" w:sz="4" w:space="0" w:color="auto"/>
            </w:tcBorders>
            <w:shd w:val="clear" w:color="auto" w:fill="auto"/>
            <w:noWrap/>
            <w:vAlign w:val="center"/>
            <w:hideMark/>
          </w:tcPr>
          <w:p w14:paraId="2A2E638E"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30.4</w:t>
            </w:r>
          </w:p>
        </w:tc>
        <w:tc>
          <w:tcPr>
            <w:tcW w:w="1037" w:type="dxa"/>
            <w:tcBorders>
              <w:top w:val="nil"/>
              <w:left w:val="nil"/>
              <w:bottom w:val="nil"/>
              <w:right w:val="single" w:sz="4" w:space="0" w:color="auto"/>
            </w:tcBorders>
            <w:shd w:val="clear" w:color="auto" w:fill="auto"/>
            <w:noWrap/>
            <w:vAlign w:val="center"/>
            <w:hideMark/>
          </w:tcPr>
          <w:p w14:paraId="50ADFA9A" w14:textId="32A22193"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12.7</w:t>
            </w:r>
            <w:r>
              <w:rPr>
                <w:rFonts w:ascii="Arial" w:hAnsi="Arial" w:cs="Arial"/>
                <w:color w:val="000000" w:themeColor="text1"/>
                <w:sz w:val="18"/>
                <w:szCs w:val="18"/>
                <w:lang w:val="en-SG" w:eastAsia="en-SG"/>
              </w:rPr>
              <w:t>)</w:t>
            </w:r>
          </w:p>
        </w:tc>
        <w:tc>
          <w:tcPr>
            <w:tcW w:w="1039" w:type="dxa"/>
            <w:tcBorders>
              <w:top w:val="nil"/>
              <w:left w:val="nil"/>
              <w:bottom w:val="nil"/>
              <w:right w:val="single" w:sz="4" w:space="0" w:color="auto"/>
            </w:tcBorders>
            <w:shd w:val="clear" w:color="auto" w:fill="auto"/>
            <w:noWrap/>
            <w:vAlign w:val="center"/>
            <w:hideMark/>
          </w:tcPr>
          <w:p w14:paraId="3D73D2BE" w14:textId="10EECDC3" w:rsidR="00250233" w:rsidRPr="005A2CBC" w:rsidRDefault="00774013" w:rsidP="00A5393E">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5A2CBC">
              <w:rPr>
                <w:rFonts w:ascii="Arial" w:hAnsi="Arial" w:cs="Arial"/>
                <w:color w:val="000000" w:themeColor="text1"/>
                <w:sz w:val="18"/>
                <w:szCs w:val="18"/>
                <w:lang w:val="en-SG" w:eastAsia="en-SG"/>
              </w:rPr>
              <w:t>15.3</w:t>
            </w:r>
            <w:r>
              <w:rPr>
                <w:rFonts w:ascii="Arial" w:hAnsi="Arial" w:cs="Arial"/>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1F6892F9" w14:textId="77777777" w:rsidR="00250233" w:rsidRPr="005A2CBC" w:rsidRDefault="00250233" w:rsidP="00A5393E">
            <w:pPr>
              <w:jc w:val="right"/>
              <w:rPr>
                <w:rFonts w:ascii="Arial" w:hAnsi="Arial" w:cs="Arial"/>
                <w:color w:val="000000" w:themeColor="text1"/>
                <w:sz w:val="18"/>
                <w:szCs w:val="18"/>
                <w:lang w:val="en-SG" w:eastAsia="en-SG"/>
              </w:rPr>
            </w:pPr>
            <w:r w:rsidRPr="005A2CBC">
              <w:rPr>
                <w:rFonts w:ascii="Arial" w:hAnsi="Arial" w:cs="Arial"/>
                <w:color w:val="000000" w:themeColor="text1"/>
                <w:sz w:val="18"/>
                <w:szCs w:val="18"/>
                <w:lang w:val="en-SG" w:eastAsia="en-SG"/>
              </w:rPr>
              <w:t>45.3</w:t>
            </w:r>
          </w:p>
        </w:tc>
      </w:tr>
      <w:tr w:rsidR="00250233" w:rsidRPr="005A2CBC" w14:paraId="3C3FB5D5"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single" w:sz="4" w:space="0" w:color="auto"/>
            </w:tcBorders>
            <w:shd w:val="clear" w:color="auto" w:fill="auto"/>
            <w:noWrap/>
            <w:vAlign w:val="center"/>
            <w:hideMark/>
          </w:tcPr>
          <w:p w14:paraId="385B45D4" w14:textId="33AF47DF" w:rsidR="00250233" w:rsidRPr="005A2CBC" w:rsidRDefault="000E5F16" w:rsidP="00250233">
            <w:pPr>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80" w:type="dxa"/>
            <w:tcBorders>
              <w:top w:val="nil"/>
              <w:left w:val="single" w:sz="4" w:space="0" w:color="auto"/>
              <w:bottom w:val="nil"/>
              <w:right w:val="single" w:sz="4" w:space="0" w:color="auto"/>
            </w:tcBorders>
            <w:shd w:val="clear" w:color="auto" w:fill="auto"/>
            <w:noWrap/>
            <w:vAlign w:val="center"/>
            <w:hideMark/>
          </w:tcPr>
          <w:p w14:paraId="20929927" w14:textId="4EE446F1"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990" w:type="dxa"/>
            <w:tcBorders>
              <w:top w:val="nil"/>
              <w:left w:val="nil"/>
              <w:bottom w:val="nil"/>
              <w:right w:val="single" w:sz="4" w:space="0" w:color="auto"/>
            </w:tcBorders>
            <w:shd w:val="clear" w:color="auto" w:fill="auto"/>
            <w:noWrap/>
            <w:vAlign w:val="center"/>
            <w:hideMark/>
          </w:tcPr>
          <w:p w14:paraId="330A3D6B" w14:textId="76C878D9"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10" w:type="dxa"/>
            <w:gridSpan w:val="2"/>
            <w:tcBorders>
              <w:top w:val="nil"/>
              <w:left w:val="nil"/>
              <w:bottom w:val="nil"/>
              <w:right w:val="single" w:sz="4" w:space="0" w:color="auto"/>
            </w:tcBorders>
            <w:shd w:val="clear" w:color="auto" w:fill="auto"/>
            <w:noWrap/>
            <w:vAlign w:val="center"/>
            <w:hideMark/>
          </w:tcPr>
          <w:p w14:paraId="2AE2F9F4" w14:textId="044BC260"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7" w:type="dxa"/>
            <w:tcBorders>
              <w:top w:val="nil"/>
              <w:left w:val="nil"/>
              <w:bottom w:val="nil"/>
              <w:right w:val="single" w:sz="4" w:space="0" w:color="auto"/>
            </w:tcBorders>
            <w:shd w:val="clear" w:color="auto" w:fill="auto"/>
            <w:noWrap/>
            <w:vAlign w:val="center"/>
            <w:hideMark/>
          </w:tcPr>
          <w:p w14:paraId="609BD570" w14:textId="02585BFD"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right w:val="single" w:sz="4" w:space="0" w:color="auto"/>
            </w:tcBorders>
            <w:shd w:val="clear" w:color="auto" w:fill="auto"/>
            <w:noWrap/>
            <w:vAlign w:val="center"/>
            <w:hideMark/>
          </w:tcPr>
          <w:p w14:paraId="555814AF" w14:textId="74FC9EED"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tcBorders>
            <w:shd w:val="clear" w:color="auto" w:fill="auto"/>
            <w:noWrap/>
            <w:vAlign w:val="center"/>
            <w:hideMark/>
          </w:tcPr>
          <w:p w14:paraId="2F1E661A" w14:textId="68044F1F"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r>
      <w:tr w:rsidR="00250233" w:rsidRPr="005A2CBC" w14:paraId="0F14BFD8"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nil"/>
            </w:tcBorders>
            <w:shd w:val="clear" w:color="auto" w:fill="auto"/>
            <w:noWrap/>
            <w:vAlign w:val="center"/>
            <w:hideMark/>
          </w:tcPr>
          <w:p w14:paraId="732F83AB" w14:textId="77777777" w:rsidR="00250233" w:rsidRPr="005A2CBC" w:rsidRDefault="00250233" w:rsidP="00250233">
            <w:pPr>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Net Changes in Cash</w:t>
            </w:r>
          </w:p>
        </w:tc>
        <w:tc>
          <w:tcPr>
            <w:tcW w:w="1080" w:type="dxa"/>
            <w:tcBorders>
              <w:top w:val="nil"/>
              <w:left w:val="single" w:sz="4" w:space="0" w:color="auto"/>
              <w:bottom w:val="nil"/>
              <w:right w:val="single" w:sz="4" w:space="0" w:color="auto"/>
            </w:tcBorders>
            <w:shd w:val="clear" w:color="auto" w:fill="auto"/>
            <w:noWrap/>
            <w:vAlign w:val="center"/>
            <w:hideMark/>
          </w:tcPr>
          <w:p w14:paraId="00DB286B"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633.2</w:t>
            </w:r>
          </w:p>
        </w:tc>
        <w:tc>
          <w:tcPr>
            <w:tcW w:w="990" w:type="dxa"/>
            <w:tcBorders>
              <w:top w:val="nil"/>
              <w:left w:val="nil"/>
              <w:bottom w:val="nil"/>
              <w:right w:val="single" w:sz="4" w:space="0" w:color="auto"/>
            </w:tcBorders>
            <w:shd w:val="clear" w:color="auto" w:fill="auto"/>
            <w:noWrap/>
            <w:vAlign w:val="center"/>
            <w:hideMark/>
          </w:tcPr>
          <w:p w14:paraId="72AA368F"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2,962.3</w:t>
            </w:r>
          </w:p>
        </w:tc>
        <w:tc>
          <w:tcPr>
            <w:tcW w:w="1010" w:type="dxa"/>
            <w:gridSpan w:val="2"/>
            <w:tcBorders>
              <w:top w:val="nil"/>
              <w:left w:val="nil"/>
              <w:bottom w:val="nil"/>
              <w:right w:val="single" w:sz="4" w:space="0" w:color="auto"/>
            </w:tcBorders>
            <w:shd w:val="clear" w:color="auto" w:fill="auto"/>
            <w:noWrap/>
            <w:vAlign w:val="center"/>
            <w:hideMark/>
          </w:tcPr>
          <w:p w14:paraId="06FBF3CE" w14:textId="34585EA6"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2,731.5</w:t>
            </w:r>
            <w:r>
              <w:rPr>
                <w:rFonts w:ascii="Arial" w:hAnsi="Arial" w:cs="Arial"/>
                <w:b/>
                <w:bCs/>
                <w:color w:val="000000" w:themeColor="text1"/>
                <w:sz w:val="18"/>
                <w:szCs w:val="18"/>
                <w:lang w:val="en-SG" w:eastAsia="en-SG"/>
              </w:rPr>
              <w:t>)</w:t>
            </w:r>
          </w:p>
        </w:tc>
        <w:tc>
          <w:tcPr>
            <w:tcW w:w="1037" w:type="dxa"/>
            <w:tcBorders>
              <w:top w:val="nil"/>
              <w:left w:val="nil"/>
              <w:bottom w:val="nil"/>
              <w:right w:val="single" w:sz="4" w:space="0" w:color="auto"/>
            </w:tcBorders>
            <w:shd w:val="clear" w:color="auto" w:fill="auto"/>
            <w:noWrap/>
            <w:vAlign w:val="center"/>
            <w:hideMark/>
          </w:tcPr>
          <w:p w14:paraId="0AC4DB6A"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356.9</w:t>
            </w:r>
          </w:p>
        </w:tc>
        <w:tc>
          <w:tcPr>
            <w:tcW w:w="1039" w:type="dxa"/>
            <w:tcBorders>
              <w:top w:val="nil"/>
              <w:left w:val="nil"/>
              <w:bottom w:val="nil"/>
              <w:right w:val="single" w:sz="4" w:space="0" w:color="auto"/>
            </w:tcBorders>
            <w:shd w:val="clear" w:color="auto" w:fill="auto"/>
            <w:noWrap/>
            <w:vAlign w:val="center"/>
            <w:hideMark/>
          </w:tcPr>
          <w:p w14:paraId="3D22201D" w14:textId="3D33D19C" w:rsidR="00250233" w:rsidRPr="005A2CBC" w:rsidRDefault="00774013"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5A2CBC">
              <w:rPr>
                <w:rFonts w:ascii="Arial" w:hAnsi="Arial" w:cs="Arial"/>
                <w:b/>
                <w:bCs/>
                <w:color w:val="000000" w:themeColor="text1"/>
                <w:sz w:val="18"/>
                <w:szCs w:val="18"/>
                <w:lang w:val="en-SG" w:eastAsia="en-SG"/>
              </w:rPr>
              <w:t>175.7</w:t>
            </w:r>
            <w:r>
              <w:rPr>
                <w:rFonts w:ascii="Arial" w:hAnsi="Arial" w:cs="Arial"/>
                <w:b/>
                <w:bCs/>
                <w:color w:val="000000" w:themeColor="text1"/>
                <w:sz w:val="18"/>
                <w:szCs w:val="18"/>
                <w:lang w:val="en-SG" w:eastAsia="en-SG"/>
              </w:rPr>
              <w:t>)</w:t>
            </w:r>
          </w:p>
        </w:tc>
        <w:tc>
          <w:tcPr>
            <w:tcW w:w="1039" w:type="dxa"/>
            <w:tcBorders>
              <w:top w:val="nil"/>
              <w:left w:val="nil"/>
              <w:bottom w:val="nil"/>
            </w:tcBorders>
            <w:shd w:val="clear" w:color="auto" w:fill="auto"/>
            <w:noWrap/>
            <w:vAlign w:val="center"/>
            <w:hideMark/>
          </w:tcPr>
          <w:p w14:paraId="6136D1A0"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158.8</w:t>
            </w:r>
          </w:p>
        </w:tc>
      </w:tr>
      <w:tr w:rsidR="00250233" w:rsidRPr="005A2CBC" w14:paraId="7E5610CB"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bottom w:val="nil"/>
              <w:right w:val="single" w:sz="4" w:space="0" w:color="auto"/>
            </w:tcBorders>
            <w:shd w:val="clear" w:color="auto" w:fill="auto"/>
            <w:noWrap/>
            <w:vAlign w:val="center"/>
            <w:hideMark/>
          </w:tcPr>
          <w:p w14:paraId="2A107758" w14:textId="5528B389" w:rsidR="00250233" w:rsidRPr="005A2CBC" w:rsidRDefault="000E5F16" w:rsidP="00250233">
            <w:pPr>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80" w:type="dxa"/>
            <w:tcBorders>
              <w:top w:val="nil"/>
              <w:left w:val="single" w:sz="4" w:space="0" w:color="auto"/>
              <w:bottom w:val="nil"/>
              <w:right w:val="single" w:sz="4" w:space="0" w:color="auto"/>
            </w:tcBorders>
            <w:shd w:val="clear" w:color="auto" w:fill="auto"/>
            <w:noWrap/>
            <w:vAlign w:val="center"/>
            <w:hideMark/>
          </w:tcPr>
          <w:p w14:paraId="54BF3572" w14:textId="64D96B66"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990" w:type="dxa"/>
            <w:tcBorders>
              <w:top w:val="nil"/>
              <w:left w:val="nil"/>
              <w:bottom w:val="nil"/>
              <w:right w:val="single" w:sz="4" w:space="0" w:color="auto"/>
            </w:tcBorders>
            <w:shd w:val="clear" w:color="auto" w:fill="auto"/>
            <w:noWrap/>
            <w:vAlign w:val="center"/>
            <w:hideMark/>
          </w:tcPr>
          <w:p w14:paraId="46724562" w14:textId="291EE041"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10" w:type="dxa"/>
            <w:gridSpan w:val="2"/>
            <w:tcBorders>
              <w:top w:val="nil"/>
              <w:left w:val="nil"/>
              <w:bottom w:val="nil"/>
              <w:right w:val="single" w:sz="4" w:space="0" w:color="auto"/>
            </w:tcBorders>
            <w:shd w:val="clear" w:color="auto" w:fill="auto"/>
            <w:noWrap/>
            <w:vAlign w:val="center"/>
            <w:hideMark/>
          </w:tcPr>
          <w:p w14:paraId="28DC9AD1" w14:textId="7D643C76"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7" w:type="dxa"/>
            <w:tcBorders>
              <w:top w:val="nil"/>
              <w:left w:val="nil"/>
              <w:bottom w:val="nil"/>
              <w:right w:val="single" w:sz="4" w:space="0" w:color="auto"/>
            </w:tcBorders>
            <w:shd w:val="clear" w:color="auto" w:fill="auto"/>
            <w:noWrap/>
            <w:vAlign w:val="center"/>
            <w:hideMark/>
          </w:tcPr>
          <w:p w14:paraId="322C1214" w14:textId="3AA7194A"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right w:val="single" w:sz="4" w:space="0" w:color="auto"/>
            </w:tcBorders>
            <w:shd w:val="clear" w:color="auto" w:fill="auto"/>
            <w:noWrap/>
            <w:vAlign w:val="center"/>
            <w:hideMark/>
          </w:tcPr>
          <w:p w14:paraId="5FBE4E0C" w14:textId="1258F96D"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c>
          <w:tcPr>
            <w:tcW w:w="1039" w:type="dxa"/>
            <w:tcBorders>
              <w:top w:val="nil"/>
              <w:left w:val="nil"/>
              <w:bottom w:val="nil"/>
            </w:tcBorders>
            <w:shd w:val="clear" w:color="auto" w:fill="auto"/>
            <w:noWrap/>
            <w:vAlign w:val="center"/>
            <w:hideMark/>
          </w:tcPr>
          <w:p w14:paraId="22C518D3" w14:textId="2254D411" w:rsidR="00250233" w:rsidRPr="005A2CBC" w:rsidRDefault="000E5F16" w:rsidP="00A5393E">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 xml:space="preserve"> </w:t>
            </w:r>
          </w:p>
        </w:tc>
      </w:tr>
      <w:tr w:rsidR="00250233" w:rsidRPr="005A2CBC" w14:paraId="728F7F35" w14:textId="77777777" w:rsidTr="00F81FD3">
        <w:tblPrEx>
          <w:tblBorders>
            <w:top w:val="none" w:sz="0" w:space="0" w:color="auto"/>
            <w:bottom w:val="none" w:sz="0" w:space="0" w:color="auto"/>
            <w:insideV w:val="none" w:sz="0" w:space="0" w:color="auto"/>
          </w:tblBorders>
        </w:tblPrEx>
        <w:trPr>
          <w:trHeight w:val="285"/>
          <w:jc w:val="center"/>
        </w:trPr>
        <w:tc>
          <w:tcPr>
            <w:tcW w:w="3060" w:type="dxa"/>
            <w:tcBorders>
              <w:top w:val="nil"/>
              <w:right w:val="nil"/>
            </w:tcBorders>
            <w:shd w:val="clear" w:color="auto" w:fill="auto"/>
            <w:noWrap/>
            <w:vAlign w:val="center"/>
            <w:hideMark/>
          </w:tcPr>
          <w:p w14:paraId="46CF3A26" w14:textId="77777777" w:rsidR="00250233" w:rsidRPr="005A2CBC" w:rsidRDefault="00250233" w:rsidP="00250233">
            <w:pPr>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Cash Paid for Taxes</w:t>
            </w:r>
          </w:p>
        </w:tc>
        <w:tc>
          <w:tcPr>
            <w:tcW w:w="1080" w:type="dxa"/>
            <w:tcBorders>
              <w:top w:val="nil"/>
              <w:left w:val="single" w:sz="4" w:space="0" w:color="auto"/>
              <w:right w:val="single" w:sz="4" w:space="0" w:color="auto"/>
            </w:tcBorders>
            <w:shd w:val="clear" w:color="auto" w:fill="auto"/>
            <w:noWrap/>
            <w:vAlign w:val="center"/>
            <w:hideMark/>
          </w:tcPr>
          <w:p w14:paraId="16F6AE21"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125.0</w:t>
            </w:r>
          </w:p>
        </w:tc>
        <w:tc>
          <w:tcPr>
            <w:tcW w:w="990" w:type="dxa"/>
            <w:tcBorders>
              <w:top w:val="nil"/>
              <w:left w:val="nil"/>
              <w:right w:val="single" w:sz="4" w:space="0" w:color="auto"/>
            </w:tcBorders>
            <w:shd w:val="clear" w:color="auto" w:fill="auto"/>
            <w:noWrap/>
            <w:vAlign w:val="center"/>
            <w:hideMark/>
          </w:tcPr>
          <w:p w14:paraId="1082F82A"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60.5</w:t>
            </w:r>
          </w:p>
        </w:tc>
        <w:tc>
          <w:tcPr>
            <w:tcW w:w="1010" w:type="dxa"/>
            <w:gridSpan w:val="2"/>
            <w:tcBorders>
              <w:top w:val="nil"/>
              <w:left w:val="nil"/>
              <w:right w:val="single" w:sz="4" w:space="0" w:color="auto"/>
            </w:tcBorders>
            <w:shd w:val="clear" w:color="auto" w:fill="auto"/>
            <w:noWrap/>
            <w:vAlign w:val="center"/>
            <w:hideMark/>
          </w:tcPr>
          <w:p w14:paraId="0B772460"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394.9</w:t>
            </w:r>
          </w:p>
        </w:tc>
        <w:tc>
          <w:tcPr>
            <w:tcW w:w="1037" w:type="dxa"/>
            <w:tcBorders>
              <w:top w:val="nil"/>
              <w:left w:val="nil"/>
              <w:right w:val="single" w:sz="4" w:space="0" w:color="auto"/>
            </w:tcBorders>
            <w:shd w:val="clear" w:color="auto" w:fill="auto"/>
            <w:noWrap/>
            <w:vAlign w:val="center"/>
            <w:hideMark/>
          </w:tcPr>
          <w:p w14:paraId="74BB246E"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192.7</w:t>
            </w:r>
          </w:p>
        </w:tc>
        <w:tc>
          <w:tcPr>
            <w:tcW w:w="1039" w:type="dxa"/>
            <w:tcBorders>
              <w:top w:val="nil"/>
              <w:left w:val="nil"/>
              <w:right w:val="single" w:sz="4" w:space="0" w:color="auto"/>
            </w:tcBorders>
            <w:shd w:val="clear" w:color="auto" w:fill="auto"/>
            <w:noWrap/>
            <w:vAlign w:val="center"/>
            <w:hideMark/>
          </w:tcPr>
          <w:p w14:paraId="4A717A95"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65.2</w:t>
            </w:r>
          </w:p>
        </w:tc>
        <w:tc>
          <w:tcPr>
            <w:tcW w:w="1039" w:type="dxa"/>
            <w:tcBorders>
              <w:top w:val="nil"/>
              <w:left w:val="nil"/>
            </w:tcBorders>
            <w:shd w:val="clear" w:color="auto" w:fill="auto"/>
            <w:noWrap/>
            <w:vAlign w:val="center"/>
            <w:hideMark/>
          </w:tcPr>
          <w:p w14:paraId="7E78923F"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116.3</w:t>
            </w:r>
          </w:p>
        </w:tc>
      </w:tr>
      <w:tr w:rsidR="00250233" w:rsidRPr="005A2CBC" w14:paraId="6B4B0EC5" w14:textId="77777777" w:rsidTr="001B2F9B">
        <w:tblPrEx>
          <w:tblBorders>
            <w:top w:val="none" w:sz="0" w:space="0" w:color="auto"/>
            <w:bottom w:val="none" w:sz="0" w:space="0" w:color="auto"/>
            <w:insideV w:val="none" w:sz="0" w:space="0" w:color="auto"/>
          </w:tblBorders>
        </w:tblPrEx>
        <w:trPr>
          <w:trHeight w:val="70"/>
          <w:jc w:val="center"/>
        </w:trPr>
        <w:tc>
          <w:tcPr>
            <w:tcW w:w="3060" w:type="dxa"/>
            <w:tcBorders>
              <w:top w:val="nil"/>
              <w:bottom w:val="single" w:sz="4" w:space="0" w:color="auto"/>
              <w:right w:val="nil"/>
            </w:tcBorders>
            <w:shd w:val="clear" w:color="auto" w:fill="auto"/>
            <w:noWrap/>
            <w:vAlign w:val="center"/>
            <w:hideMark/>
          </w:tcPr>
          <w:p w14:paraId="06100C11" w14:textId="77777777" w:rsidR="00250233" w:rsidRPr="005A2CBC" w:rsidRDefault="00250233" w:rsidP="00250233">
            <w:pPr>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Cash Paid for Interest</w:t>
            </w:r>
          </w:p>
        </w:tc>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0ABACBD"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66.2</w:t>
            </w:r>
          </w:p>
        </w:tc>
        <w:tc>
          <w:tcPr>
            <w:tcW w:w="990" w:type="dxa"/>
            <w:tcBorders>
              <w:top w:val="nil"/>
              <w:left w:val="nil"/>
              <w:bottom w:val="single" w:sz="4" w:space="0" w:color="auto"/>
              <w:right w:val="single" w:sz="4" w:space="0" w:color="auto"/>
            </w:tcBorders>
            <w:shd w:val="clear" w:color="auto" w:fill="auto"/>
            <w:noWrap/>
            <w:vAlign w:val="center"/>
            <w:hideMark/>
          </w:tcPr>
          <w:p w14:paraId="450E89DB"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69.3</w:t>
            </w:r>
          </w:p>
        </w:tc>
        <w:tc>
          <w:tcPr>
            <w:tcW w:w="1010" w:type="dxa"/>
            <w:gridSpan w:val="2"/>
            <w:tcBorders>
              <w:top w:val="nil"/>
              <w:left w:val="nil"/>
              <w:bottom w:val="single" w:sz="4" w:space="0" w:color="auto"/>
              <w:right w:val="single" w:sz="4" w:space="0" w:color="auto"/>
            </w:tcBorders>
            <w:shd w:val="clear" w:color="auto" w:fill="auto"/>
            <w:noWrap/>
            <w:vAlign w:val="center"/>
            <w:hideMark/>
          </w:tcPr>
          <w:p w14:paraId="59CB5D11"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86.9</w:t>
            </w:r>
          </w:p>
        </w:tc>
        <w:tc>
          <w:tcPr>
            <w:tcW w:w="1037" w:type="dxa"/>
            <w:tcBorders>
              <w:top w:val="nil"/>
              <w:left w:val="nil"/>
              <w:bottom w:val="single" w:sz="4" w:space="0" w:color="auto"/>
              <w:right w:val="single" w:sz="4" w:space="0" w:color="auto"/>
            </w:tcBorders>
            <w:shd w:val="clear" w:color="auto" w:fill="auto"/>
            <w:noWrap/>
            <w:vAlign w:val="center"/>
            <w:hideMark/>
          </w:tcPr>
          <w:p w14:paraId="69BE2C17"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34.2</w:t>
            </w:r>
          </w:p>
        </w:tc>
        <w:tc>
          <w:tcPr>
            <w:tcW w:w="1039" w:type="dxa"/>
            <w:tcBorders>
              <w:top w:val="nil"/>
              <w:left w:val="nil"/>
              <w:bottom w:val="single" w:sz="4" w:space="0" w:color="auto"/>
              <w:right w:val="single" w:sz="4" w:space="0" w:color="auto"/>
            </w:tcBorders>
            <w:shd w:val="clear" w:color="auto" w:fill="auto"/>
            <w:noWrap/>
            <w:vAlign w:val="center"/>
            <w:hideMark/>
          </w:tcPr>
          <w:p w14:paraId="3FAE632B"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36.4</w:t>
            </w:r>
          </w:p>
        </w:tc>
        <w:tc>
          <w:tcPr>
            <w:tcW w:w="1039" w:type="dxa"/>
            <w:tcBorders>
              <w:top w:val="nil"/>
              <w:left w:val="nil"/>
              <w:bottom w:val="single" w:sz="4" w:space="0" w:color="auto"/>
            </w:tcBorders>
            <w:shd w:val="clear" w:color="auto" w:fill="auto"/>
            <w:noWrap/>
            <w:vAlign w:val="center"/>
            <w:hideMark/>
          </w:tcPr>
          <w:p w14:paraId="201F4948" w14:textId="77777777" w:rsidR="00250233" w:rsidRPr="005A2CBC" w:rsidRDefault="00250233" w:rsidP="00A5393E">
            <w:pPr>
              <w:jc w:val="right"/>
              <w:rPr>
                <w:rFonts w:ascii="Arial" w:hAnsi="Arial" w:cs="Arial"/>
                <w:b/>
                <w:bCs/>
                <w:color w:val="000000" w:themeColor="text1"/>
                <w:sz w:val="18"/>
                <w:szCs w:val="18"/>
                <w:lang w:val="en-SG" w:eastAsia="en-SG"/>
              </w:rPr>
            </w:pPr>
            <w:r w:rsidRPr="005A2CBC">
              <w:rPr>
                <w:rFonts w:ascii="Arial" w:hAnsi="Arial" w:cs="Arial"/>
                <w:b/>
                <w:bCs/>
                <w:color w:val="000000" w:themeColor="text1"/>
                <w:sz w:val="18"/>
                <w:szCs w:val="18"/>
                <w:lang w:val="en-SG" w:eastAsia="en-SG"/>
              </w:rPr>
              <w:t>41.5</w:t>
            </w:r>
          </w:p>
        </w:tc>
      </w:tr>
    </w:tbl>
    <w:p w14:paraId="746F4B36" w14:textId="77777777" w:rsidR="00250233" w:rsidRPr="00333ADB" w:rsidRDefault="00250233" w:rsidP="005E5021">
      <w:pPr>
        <w:pStyle w:val="ExhibitHeading"/>
        <w:outlineLvl w:val="0"/>
        <w:rPr>
          <w:rFonts w:eastAsia="SimSun"/>
          <w:lang w:eastAsia="zh-CN"/>
        </w:rPr>
      </w:pPr>
    </w:p>
    <w:p w14:paraId="419E8E47" w14:textId="64A97085" w:rsidR="00774013" w:rsidRDefault="00774013" w:rsidP="007240CC">
      <w:pPr>
        <w:pStyle w:val="Footnote"/>
        <w:jc w:val="both"/>
        <w:rPr>
          <w:rFonts w:eastAsia="SimSun"/>
        </w:rPr>
      </w:pPr>
      <w:r>
        <w:rPr>
          <w:rFonts w:eastAsia="SimSun"/>
        </w:rPr>
        <w:t xml:space="preserve">Note: SGD = </w:t>
      </w:r>
      <w:r w:rsidR="00251048">
        <w:rPr>
          <w:rFonts w:eastAsia="SimSun"/>
        </w:rPr>
        <w:t xml:space="preserve">S$ = </w:t>
      </w:r>
      <w:r>
        <w:rPr>
          <w:rFonts w:eastAsia="SimSun"/>
        </w:rPr>
        <w:t xml:space="preserve">Singapore dollars; </w:t>
      </w:r>
      <w:r w:rsidR="004D47A8">
        <w:rPr>
          <w:rFonts w:eastAsia="SimSun"/>
          <w:lang w:eastAsia="zh-CN"/>
        </w:rPr>
        <w:t xml:space="preserve">S$1 = US$0.744 and US$1 = S$1.344 on May 1, 2016; </w:t>
      </w:r>
      <w:r>
        <w:rPr>
          <w:rFonts w:eastAsia="SimSun"/>
        </w:rPr>
        <w:t>LT = long term</w:t>
      </w:r>
      <w:r w:rsidR="004D47A8">
        <w:rPr>
          <w:rFonts w:eastAsia="SimSun"/>
        </w:rPr>
        <w:t>; Disc Ops = discontinued operations</w:t>
      </w:r>
      <w:r w:rsidR="008B1AAC">
        <w:rPr>
          <w:rFonts w:eastAsia="SimSun"/>
        </w:rPr>
        <w:t>.</w:t>
      </w:r>
    </w:p>
    <w:p w14:paraId="5D181870" w14:textId="226497D7" w:rsidR="002603FA" w:rsidRPr="00444C9A" w:rsidRDefault="002603FA" w:rsidP="00EA150E">
      <w:pPr>
        <w:pStyle w:val="Footnote"/>
        <w:rPr>
          <w:rFonts w:eastAsia="SimSun"/>
        </w:rPr>
      </w:pPr>
      <w:r w:rsidRPr="00444C9A">
        <w:rPr>
          <w:rFonts w:eastAsia="SimSun"/>
        </w:rPr>
        <w:t xml:space="preserve">Source: </w:t>
      </w:r>
      <w:r w:rsidR="002636CB">
        <w:rPr>
          <w:rFonts w:eastAsia="SimSun"/>
        </w:rPr>
        <w:t>“</w:t>
      </w:r>
      <w:r w:rsidR="002636CB">
        <w:t>Singapore Airlines</w:t>
      </w:r>
      <w:r w:rsidR="004D47A8">
        <w:t>,</w:t>
      </w:r>
      <w:r w:rsidR="002636CB">
        <w:t>”</w:t>
      </w:r>
      <w:r w:rsidR="002636CB">
        <w:rPr>
          <w:rFonts w:eastAsia="SimSun"/>
        </w:rPr>
        <w:t xml:space="preserve"> </w:t>
      </w:r>
      <w:r w:rsidRPr="00444C9A">
        <w:rPr>
          <w:rFonts w:eastAsia="SimSun"/>
        </w:rPr>
        <w:t>Bloomberg</w:t>
      </w:r>
      <w:r w:rsidR="00250233" w:rsidRPr="00444C9A">
        <w:rPr>
          <w:rFonts w:eastAsia="SimSun"/>
        </w:rPr>
        <w:t xml:space="preserve"> Terminal, accessed March 19, 2018</w:t>
      </w:r>
      <w:r w:rsidR="00EA150E" w:rsidRPr="00444C9A">
        <w:rPr>
          <w:rFonts w:eastAsia="SimSun"/>
        </w:rPr>
        <w:t>.</w:t>
      </w:r>
    </w:p>
    <w:p w14:paraId="006E6AA4" w14:textId="77777777" w:rsidR="002603FA" w:rsidRPr="00444C9A" w:rsidRDefault="002603FA">
      <w:pPr>
        <w:spacing w:after="200" w:line="276" w:lineRule="auto"/>
        <w:rPr>
          <w:rFonts w:ascii="Arial" w:eastAsia="SimSun" w:hAnsi="Arial"/>
          <w:b/>
          <w:i/>
          <w:caps/>
          <w:sz w:val="17"/>
        </w:rPr>
      </w:pPr>
      <w:r w:rsidRPr="00444C9A">
        <w:rPr>
          <w:rFonts w:eastAsia="SimSun"/>
          <w:i/>
          <w:sz w:val="17"/>
        </w:rPr>
        <w:br w:type="page"/>
      </w:r>
    </w:p>
    <w:p w14:paraId="26FDC2E9" w14:textId="06EFB1D4" w:rsidR="002603FA" w:rsidRPr="00444C9A" w:rsidRDefault="006B3BCF" w:rsidP="005E5021">
      <w:pPr>
        <w:pStyle w:val="ExhibitHeading"/>
        <w:outlineLvl w:val="0"/>
        <w:rPr>
          <w:rFonts w:eastAsia="SimSun"/>
        </w:rPr>
      </w:pPr>
      <w:r w:rsidRPr="00444C9A">
        <w:rPr>
          <w:rFonts w:eastAsia="SimSun"/>
        </w:rPr>
        <w:lastRenderedPageBreak/>
        <w:t>Exhibit 5</w:t>
      </w:r>
      <w:r w:rsidR="002603FA" w:rsidRPr="00444C9A">
        <w:rPr>
          <w:rFonts w:eastAsia="SimSun"/>
        </w:rPr>
        <w:t xml:space="preserve">: </w:t>
      </w:r>
      <w:r w:rsidR="00B00BCF" w:rsidRPr="00444C9A">
        <w:rPr>
          <w:rFonts w:eastAsia="SimSun"/>
        </w:rPr>
        <w:t>SINGAPORE AIRLINES</w:t>
      </w:r>
      <w:r w:rsidR="007E6A51">
        <w:rPr>
          <w:rFonts w:eastAsia="SimSun"/>
          <w:lang w:eastAsia="zh-CN"/>
        </w:rPr>
        <w:t>—</w:t>
      </w:r>
      <w:r w:rsidR="002603FA" w:rsidRPr="00444C9A">
        <w:rPr>
          <w:rFonts w:eastAsia="SimSun"/>
        </w:rPr>
        <w:t>KEY</w:t>
      </w:r>
      <w:r w:rsidR="005A2CBC" w:rsidRPr="00444C9A">
        <w:rPr>
          <w:rFonts w:eastAsia="SimSun"/>
        </w:rPr>
        <w:t xml:space="preserve"> STATISTICS AND</w:t>
      </w:r>
      <w:r w:rsidR="002603FA" w:rsidRPr="00444C9A">
        <w:rPr>
          <w:rFonts w:eastAsia="SimSun"/>
        </w:rPr>
        <w:t xml:space="preserve"> RATIOS</w:t>
      </w:r>
      <w:r w:rsidR="00C33B6E">
        <w:rPr>
          <w:rFonts w:eastAsia="SimSun"/>
        </w:rPr>
        <w:t>, 2010–2015</w:t>
      </w:r>
      <w:r w:rsidR="00194334">
        <w:rPr>
          <w:rFonts w:eastAsia="SimSun"/>
        </w:rPr>
        <w:t xml:space="preserve"> </w:t>
      </w:r>
      <w:r w:rsidR="00194334" w:rsidRPr="00F81FD3">
        <w:rPr>
          <w:rFonts w:eastAsia="SimSun"/>
        </w:rPr>
        <w:t>(In SGD millions, except per share</w:t>
      </w:r>
      <w:r w:rsidR="00194334">
        <w:rPr>
          <w:rFonts w:eastAsia="SimSun"/>
        </w:rPr>
        <w:t>)</w:t>
      </w:r>
    </w:p>
    <w:p w14:paraId="616714B3" w14:textId="4A91FB35" w:rsidR="00250233" w:rsidRPr="00444C9A" w:rsidRDefault="00250233" w:rsidP="0079599D">
      <w:pPr>
        <w:pStyle w:val="ExhibitText"/>
        <w:rPr>
          <w:rFonts w:eastAsia="SimSun"/>
        </w:rPr>
      </w:pPr>
    </w:p>
    <w:tbl>
      <w:tblPr>
        <w:tblW w:w="4897" w:type="pct"/>
        <w:jc w:val="center"/>
        <w:tblBorders>
          <w:top w:val="single" w:sz="4" w:space="0" w:color="auto"/>
          <w:bottom w:val="single" w:sz="4" w:space="0" w:color="auto"/>
          <w:insideV w:val="single" w:sz="4" w:space="0" w:color="auto"/>
        </w:tblBorders>
        <w:tblLayout w:type="fixed"/>
        <w:tblLook w:val="04A0" w:firstRow="1" w:lastRow="0" w:firstColumn="1" w:lastColumn="0" w:noHBand="0" w:noVBand="1"/>
      </w:tblPr>
      <w:tblGrid>
        <w:gridCol w:w="2947"/>
        <w:gridCol w:w="1036"/>
        <w:gridCol w:w="1036"/>
        <w:gridCol w:w="1037"/>
        <w:gridCol w:w="1037"/>
        <w:gridCol w:w="1037"/>
        <w:gridCol w:w="1037"/>
      </w:tblGrid>
      <w:tr w:rsidR="00194334" w:rsidRPr="00374923" w14:paraId="4257B451" w14:textId="77777777" w:rsidTr="00194334">
        <w:trPr>
          <w:trHeight w:val="285"/>
          <w:jc w:val="center"/>
        </w:trPr>
        <w:tc>
          <w:tcPr>
            <w:tcW w:w="2947" w:type="dxa"/>
            <w:tcBorders>
              <w:top w:val="single" w:sz="4" w:space="0" w:color="auto"/>
              <w:bottom w:val="nil"/>
            </w:tcBorders>
            <w:shd w:val="clear" w:color="auto" w:fill="auto"/>
            <w:noWrap/>
            <w:vAlign w:val="center"/>
          </w:tcPr>
          <w:p w14:paraId="70DD3814" w14:textId="77777777" w:rsidR="00194334" w:rsidRPr="00F81FD3" w:rsidRDefault="00194334" w:rsidP="00EA6E19">
            <w:pPr>
              <w:rPr>
                <w:rFonts w:ascii="Arial" w:hAnsi="Arial" w:cs="Arial"/>
                <w:b/>
                <w:bCs/>
                <w:color w:val="000000" w:themeColor="text1"/>
                <w:sz w:val="18"/>
                <w:szCs w:val="18"/>
                <w:lang w:val="en-SG" w:eastAsia="en-SG"/>
              </w:rPr>
            </w:pPr>
            <w:r w:rsidRPr="00F81FD3">
              <w:rPr>
                <w:rFonts w:ascii="Arial" w:hAnsi="Arial" w:cs="Arial"/>
                <w:b/>
                <w:bCs/>
                <w:color w:val="000000" w:themeColor="text1"/>
                <w:sz w:val="18"/>
                <w:szCs w:val="18"/>
                <w:lang w:val="en-SG" w:eastAsia="en-SG"/>
              </w:rPr>
              <w:t>12 Months Ending March 31</w:t>
            </w:r>
          </w:p>
        </w:tc>
        <w:tc>
          <w:tcPr>
            <w:tcW w:w="1036" w:type="dxa"/>
            <w:tcBorders>
              <w:top w:val="single" w:sz="4" w:space="0" w:color="auto"/>
              <w:left w:val="single" w:sz="4" w:space="0" w:color="auto"/>
              <w:bottom w:val="nil"/>
            </w:tcBorders>
            <w:shd w:val="clear" w:color="auto" w:fill="auto"/>
            <w:noWrap/>
            <w:vAlign w:val="center"/>
          </w:tcPr>
          <w:p w14:paraId="71BD597D" w14:textId="77777777" w:rsidR="00194334" w:rsidRPr="00374923" w:rsidRDefault="00194334" w:rsidP="00EA6E19">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2010</w:t>
            </w:r>
          </w:p>
        </w:tc>
        <w:tc>
          <w:tcPr>
            <w:tcW w:w="1036" w:type="dxa"/>
            <w:tcBorders>
              <w:top w:val="single" w:sz="4" w:space="0" w:color="auto"/>
              <w:left w:val="single" w:sz="4" w:space="0" w:color="auto"/>
              <w:bottom w:val="nil"/>
            </w:tcBorders>
            <w:shd w:val="clear" w:color="auto" w:fill="auto"/>
            <w:noWrap/>
            <w:vAlign w:val="center"/>
          </w:tcPr>
          <w:p w14:paraId="081F04ED" w14:textId="77777777" w:rsidR="00194334" w:rsidRPr="00374923" w:rsidRDefault="00194334" w:rsidP="00EA6E19">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2011</w:t>
            </w:r>
          </w:p>
        </w:tc>
        <w:tc>
          <w:tcPr>
            <w:tcW w:w="1037" w:type="dxa"/>
            <w:tcBorders>
              <w:top w:val="single" w:sz="4" w:space="0" w:color="auto"/>
              <w:left w:val="single" w:sz="4" w:space="0" w:color="auto"/>
              <w:bottom w:val="nil"/>
            </w:tcBorders>
            <w:shd w:val="clear" w:color="auto" w:fill="auto"/>
            <w:noWrap/>
            <w:vAlign w:val="center"/>
          </w:tcPr>
          <w:p w14:paraId="290CBCF5" w14:textId="77777777" w:rsidR="00194334" w:rsidRPr="00374923" w:rsidRDefault="00194334" w:rsidP="00EA6E19">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2012</w:t>
            </w:r>
          </w:p>
        </w:tc>
        <w:tc>
          <w:tcPr>
            <w:tcW w:w="1037" w:type="dxa"/>
            <w:tcBorders>
              <w:top w:val="single" w:sz="4" w:space="0" w:color="auto"/>
              <w:left w:val="single" w:sz="4" w:space="0" w:color="auto"/>
              <w:bottom w:val="nil"/>
            </w:tcBorders>
            <w:shd w:val="clear" w:color="auto" w:fill="auto"/>
            <w:noWrap/>
            <w:vAlign w:val="center"/>
          </w:tcPr>
          <w:p w14:paraId="68B9DA12" w14:textId="77777777" w:rsidR="00194334" w:rsidRPr="00374923" w:rsidRDefault="00194334" w:rsidP="00EA6E19">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2013</w:t>
            </w:r>
          </w:p>
        </w:tc>
        <w:tc>
          <w:tcPr>
            <w:tcW w:w="1037" w:type="dxa"/>
            <w:tcBorders>
              <w:top w:val="single" w:sz="4" w:space="0" w:color="auto"/>
              <w:left w:val="single" w:sz="4" w:space="0" w:color="auto"/>
              <w:bottom w:val="nil"/>
            </w:tcBorders>
            <w:shd w:val="clear" w:color="auto" w:fill="auto"/>
            <w:noWrap/>
            <w:vAlign w:val="center"/>
          </w:tcPr>
          <w:p w14:paraId="3CEFC0ED" w14:textId="77777777" w:rsidR="00194334" w:rsidRPr="00374923" w:rsidRDefault="00194334" w:rsidP="00EA6E19">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2014</w:t>
            </w:r>
          </w:p>
        </w:tc>
        <w:tc>
          <w:tcPr>
            <w:tcW w:w="1037" w:type="dxa"/>
            <w:tcBorders>
              <w:top w:val="single" w:sz="4" w:space="0" w:color="auto"/>
              <w:left w:val="single" w:sz="4" w:space="0" w:color="auto"/>
              <w:bottom w:val="nil"/>
            </w:tcBorders>
            <w:shd w:val="clear" w:color="auto" w:fill="auto"/>
            <w:noWrap/>
            <w:vAlign w:val="center"/>
          </w:tcPr>
          <w:p w14:paraId="54C91C83" w14:textId="77777777" w:rsidR="00194334" w:rsidRPr="00374923" w:rsidRDefault="00194334" w:rsidP="00EA6E19">
            <w:pPr>
              <w:jc w:val="center"/>
              <w:rPr>
                <w:rFonts w:ascii="Arial" w:hAnsi="Arial" w:cs="Arial"/>
                <w:b/>
                <w:bCs/>
                <w:color w:val="000000" w:themeColor="text1"/>
                <w:sz w:val="18"/>
                <w:szCs w:val="18"/>
                <w:lang w:val="en-SG" w:eastAsia="en-SG"/>
              </w:rPr>
            </w:pPr>
            <w:r w:rsidRPr="00374923">
              <w:rPr>
                <w:rFonts w:ascii="Arial" w:hAnsi="Arial" w:cs="Arial"/>
                <w:b/>
                <w:bCs/>
                <w:color w:val="000000" w:themeColor="text1"/>
                <w:sz w:val="18"/>
                <w:szCs w:val="18"/>
                <w:lang w:val="en-SG" w:eastAsia="en-SG"/>
              </w:rPr>
              <w:t>2015</w:t>
            </w:r>
          </w:p>
        </w:tc>
      </w:tr>
      <w:tr w:rsidR="00F62181" w:rsidRPr="007E6A51" w14:paraId="2F079533" w14:textId="77777777" w:rsidTr="00194334">
        <w:trPr>
          <w:trHeight w:val="285"/>
          <w:jc w:val="center"/>
        </w:trPr>
        <w:tc>
          <w:tcPr>
            <w:tcW w:w="2947" w:type="dxa"/>
            <w:tcBorders>
              <w:top w:val="single" w:sz="12" w:space="0" w:color="auto"/>
            </w:tcBorders>
            <w:shd w:val="clear" w:color="auto" w:fill="auto"/>
            <w:noWrap/>
            <w:vAlign w:val="center"/>
            <w:hideMark/>
          </w:tcPr>
          <w:p w14:paraId="3344270F" w14:textId="77777777"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Market Capitalization</w:t>
            </w:r>
          </w:p>
        </w:tc>
        <w:tc>
          <w:tcPr>
            <w:tcW w:w="1036" w:type="dxa"/>
            <w:tcBorders>
              <w:top w:val="single" w:sz="12" w:space="0" w:color="auto"/>
            </w:tcBorders>
            <w:shd w:val="clear" w:color="auto" w:fill="auto"/>
            <w:noWrap/>
            <w:vAlign w:val="center"/>
            <w:hideMark/>
          </w:tcPr>
          <w:p w14:paraId="7288EC6C"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18,111.3</w:t>
            </w:r>
          </w:p>
        </w:tc>
        <w:tc>
          <w:tcPr>
            <w:tcW w:w="1036" w:type="dxa"/>
            <w:tcBorders>
              <w:top w:val="single" w:sz="12" w:space="0" w:color="auto"/>
            </w:tcBorders>
            <w:shd w:val="clear" w:color="auto" w:fill="auto"/>
            <w:noWrap/>
            <w:vAlign w:val="center"/>
            <w:hideMark/>
          </w:tcPr>
          <w:p w14:paraId="09E2D81C"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16,345.8</w:t>
            </w:r>
          </w:p>
        </w:tc>
        <w:tc>
          <w:tcPr>
            <w:tcW w:w="1037" w:type="dxa"/>
            <w:tcBorders>
              <w:top w:val="single" w:sz="12" w:space="0" w:color="auto"/>
            </w:tcBorders>
            <w:shd w:val="clear" w:color="auto" w:fill="auto"/>
            <w:noWrap/>
            <w:vAlign w:val="center"/>
            <w:hideMark/>
          </w:tcPr>
          <w:p w14:paraId="5E895ACC"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12,673.8</w:t>
            </w:r>
          </w:p>
        </w:tc>
        <w:tc>
          <w:tcPr>
            <w:tcW w:w="1037" w:type="dxa"/>
            <w:tcBorders>
              <w:top w:val="single" w:sz="12" w:space="0" w:color="auto"/>
            </w:tcBorders>
            <w:shd w:val="clear" w:color="auto" w:fill="auto"/>
            <w:noWrap/>
            <w:vAlign w:val="center"/>
            <w:hideMark/>
          </w:tcPr>
          <w:p w14:paraId="566D3FE4"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12,777.6</w:t>
            </w:r>
          </w:p>
        </w:tc>
        <w:tc>
          <w:tcPr>
            <w:tcW w:w="1037" w:type="dxa"/>
            <w:tcBorders>
              <w:top w:val="single" w:sz="12" w:space="0" w:color="auto"/>
            </w:tcBorders>
            <w:shd w:val="clear" w:color="auto" w:fill="auto"/>
            <w:noWrap/>
            <w:vAlign w:val="center"/>
            <w:hideMark/>
          </w:tcPr>
          <w:p w14:paraId="3838EA5E"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12,313.4</w:t>
            </w:r>
          </w:p>
        </w:tc>
        <w:tc>
          <w:tcPr>
            <w:tcW w:w="1037" w:type="dxa"/>
            <w:tcBorders>
              <w:top w:val="single" w:sz="12" w:space="0" w:color="auto"/>
            </w:tcBorders>
            <w:shd w:val="clear" w:color="auto" w:fill="auto"/>
            <w:noWrap/>
            <w:vAlign w:val="center"/>
            <w:hideMark/>
          </w:tcPr>
          <w:p w14:paraId="7A83D822"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13,974.2</w:t>
            </w:r>
          </w:p>
        </w:tc>
      </w:tr>
      <w:tr w:rsidR="00F62181" w:rsidRPr="007E6A51" w14:paraId="4D8FB9EF" w14:textId="77777777" w:rsidTr="00194334">
        <w:trPr>
          <w:trHeight w:val="285"/>
          <w:jc w:val="center"/>
        </w:trPr>
        <w:tc>
          <w:tcPr>
            <w:tcW w:w="2947" w:type="dxa"/>
            <w:shd w:val="clear" w:color="auto" w:fill="auto"/>
            <w:noWrap/>
            <w:vAlign w:val="center"/>
            <w:hideMark/>
          </w:tcPr>
          <w:p w14:paraId="50F3A150" w14:textId="07FD1635" w:rsidR="00250233" w:rsidRPr="007E6A51" w:rsidRDefault="006226D3" w:rsidP="00576751">
            <w:pPr>
              <w:ind w:left="144"/>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w:t>
            </w:r>
            <w:r w:rsidR="00250233" w:rsidRPr="007E6A51">
              <w:rPr>
                <w:rFonts w:ascii="Arial" w:hAnsi="Arial" w:cs="Arial"/>
                <w:color w:val="000000" w:themeColor="text1"/>
                <w:sz w:val="18"/>
                <w:szCs w:val="18"/>
                <w:lang w:val="en-SG" w:eastAsia="en-SG"/>
              </w:rPr>
              <w:t xml:space="preserve"> Cash &amp; Equivalents</w:t>
            </w:r>
          </w:p>
        </w:tc>
        <w:tc>
          <w:tcPr>
            <w:tcW w:w="1036" w:type="dxa"/>
            <w:shd w:val="clear" w:color="auto" w:fill="auto"/>
            <w:noWrap/>
            <w:vAlign w:val="center"/>
            <w:hideMark/>
          </w:tcPr>
          <w:p w14:paraId="57AAEDB5"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4,612.5</w:t>
            </w:r>
          </w:p>
        </w:tc>
        <w:tc>
          <w:tcPr>
            <w:tcW w:w="1036" w:type="dxa"/>
            <w:shd w:val="clear" w:color="auto" w:fill="auto"/>
            <w:noWrap/>
            <w:vAlign w:val="center"/>
            <w:hideMark/>
          </w:tcPr>
          <w:p w14:paraId="536E1C08"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7,832.0</w:t>
            </w:r>
          </w:p>
        </w:tc>
        <w:tc>
          <w:tcPr>
            <w:tcW w:w="1037" w:type="dxa"/>
            <w:shd w:val="clear" w:color="auto" w:fill="auto"/>
            <w:noWrap/>
            <w:vAlign w:val="center"/>
            <w:hideMark/>
          </w:tcPr>
          <w:p w14:paraId="42365299"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5,327.8</w:t>
            </w:r>
          </w:p>
        </w:tc>
        <w:tc>
          <w:tcPr>
            <w:tcW w:w="1037" w:type="dxa"/>
            <w:shd w:val="clear" w:color="auto" w:fill="auto"/>
            <w:noWrap/>
            <w:vAlign w:val="center"/>
            <w:hideMark/>
          </w:tcPr>
          <w:p w14:paraId="390B7C71"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5,409.0</w:t>
            </w:r>
          </w:p>
        </w:tc>
        <w:tc>
          <w:tcPr>
            <w:tcW w:w="1037" w:type="dxa"/>
            <w:shd w:val="clear" w:color="auto" w:fill="auto"/>
            <w:noWrap/>
            <w:vAlign w:val="center"/>
            <w:hideMark/>
          </w:tcPr>
          <w:p w14:paraId="08B1D21F"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5,171.3</w:t>
            </w:r>
          </w:p>
        </w:tc>
        <w:tc>
          <w:tcPr>
            <w:tcW w:w="1037" w:type="dxa"/>
            <w:shd w:val="clear" w:color="auto" w:fill="auto"/>
            <w:noWrap/>
            <w:vAlign w:val="center"/>
            <w:hideMark/>
          </w:tcPr>
          <w:p w14:paraId="28D6A549"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5,211.3</w:t>
            </w:r>
          </w:p>
        </w:tc>
      </w:tr>
      <w:tr w:rsidR="00F62181" w:rsidRPr="007E6A51" w14:paraId="29C40ADB" w14:textId="77777777" w:rsidTr="00194334">
        <w:trPr>
          <w:trHeight w:val="285"/>
          <w:jc w:val="center"/>
        </w:trPr>
        <w:tc>
          <w:tcPr>
            <w:tcW w:w="2947" w:type="dxa"/>
            <w:shd w:val="clear" w:color="auto" w:fill="auto"/>
            <w:noWrap/>
            <w:vAlign w:val="center"/>
            <w:hideMark/>
          </w:tcPr>
          <w:p w14:paraId="1DDCEC8E" w14:textId="77777777" w:rsidR="00250233" w:rsidRPr="007E6A51" w:rsidRDefault="00250233" w:rsidP="00576751">
            <w:pPr>
              <w:ind w:left="144"/>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 Preferred &amp; Other</w:t>
            </w:r>
          </w:p>
        </w:tc>
        <w:tc>
          <w:tcPr>
            <w:tcW w:w="1036" w:type="dxa"/>
            <w:shd w:val="clear" w:color="auto" w:fill="auto"/>
            <w:noWrap/>
            <w:vAlign w:val="center"/>
            <w:hideMark/>
          </w:tcPr>
          <w:p w14:paraId="029E4CCD"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280.4</w:t>
            </w:r>
          </w:p>
        </w:tc>
        <w:tc>
          <w:tcPr>
            <w:tcW w:w="1036" w:type="dxa"/>
            <w:shd w:val="clear" w:color="auto" w:fill="auto"/>
            <w:noWrap/>
            <w:vAlign w:val="center"/>
            <w:hideMark/>
          </w:tcPr>
          <w:p w14:paraId="0DF501F5"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298.4</w:t>
            </w:r>
          </w:p>
        </w:tc>
        <w:tc>
          <w:tcPr>
            <w:tcW w:w="1037" w:type="dxa"/>
            <w:shd w:val="clear" w:color="auto" w:fill="auto"/>
            <w:noWrap/>
            <w:vAlign w:val="center"/>
            <w:hideMark/>
          </w:tcPr>
          <w:p w14:paraId="0B58D14D"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294.0</w:t>
            </w:r>
          </w:p>
        </w:tc>
        <w:tc>
          <w:tcPr>
            <w:tcW w:w="1037" w:type="dxa"/>
            <w:shd w:val="clear" w:color="auto" w:fill="auto"/>
            <w:noWrap/>
            <w:vAlign w:val="center"/>
            <w:hideMark/>
          </w:tcPr>
          <w:p w14:paraId="6962316A"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312.6</w:t>
            </w:r>
          </w:p>
        </w:tc>
        <w:tc>
          <w:tcPr>
            <w:tcW w:w="1037" w:type="dxa"/>
            <w:shd w:val="clear" w:color="auto" w:fill="auto"/>
            <w:noWrap/>
            <w:vAlign w:val="center"/>
            <w:hideMark/>
          </w:tcPr>
          <w:p w14:paraId="770EA36B"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337.4</w:t>
            </w:r>
          </w:p>
        </w:tc>
        <w:tc>
          <w:tcPr>
            <w:tcW w:w="1037" w:type="dxa"/>
            <w:shd w:val="clear" w:color="auto" w:fill="auto"/>
            <w:noWrap/>
            <w:vAlign w:val="center"/>
            <w:hideMark/>
          </w:tcPr>
          <w:p w14:paraId="07A04001"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466.5</w:t>
            </w:r>
          </w:p>
        </w:tc>
      </w:tr>
      <w:tr w:rsidR="00F62181" w:rsidRPr="007E6A51" w14:paraId="0B237B4C" w14:textId="77777777" w:rsidTr="00194334">
        <w:trPr>
          <w:trHeight w:val="285"/>
          <w:jc w:val="center"/>
        </w:trPr>
        <w:tc>
          <w:tcPr>
            <w:tcW w:w="2947" w:type="dxa"/>
            <w:shd w:val="clear" w:color="auto" w:fill="auto"/>
            <w:noWrap/>
            <w:vAlign w:val="center"/>
            <w:hideMark/>
          </w:tcPr>
          <w:p w14:paraId="60E138A4" w14:textId="77777777" w:rsidR="00250233" w:rsidRPr="007E6A51" w:rsidRDefault="00250233" w:rsidP="00576751">
            <w:pPr>
              <w:ind w:left="144"/>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 Total Debt</w:t>
            </w:r>
          </w:p>
        </w:tc>
        <w:tc>
          <w:tcPr>
            <w:tcW w:w="1036" w:type="dxa"/>
            <w:shd w:val="clear" w:color="auto" w:fill="auto"/>
            <w:noWrap/>
            <w:vAlign w:val="center"/>
            <w:hideMark/>
          </w:tcPr>
          <w:p w14:paraId="408AA66D"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1,338.9</w:t>
            </w:r>
          </w:p>
        </w:tc>
        <w:tc>
          <w:tcPr>
            <w:tcW w:w="1036" w:type="dxa"/>
            <w:shd w:val="clear" w:color="auto" w:fill="auto"/>
            <w:noWrap/>
            <w:vAlign w:val="center"/>
            <w:hideMark/>
          </w:tcPr>
          <w:p w14:paraId="221F7FC3"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2,038.9</w:t>
            </w:r>
          </w:p>
        </w:tc>
        <w:tc>
          <w:tcPr>
            <w:tcW w:w="1037" w:type="dxa"/>
            <w:shd w:val="clear" w:color="auto" w:fill="auto"/>
            <w:noWrap/>
            <w:vAlign w:val="center"/>
            <w:hideMark/>
          </w:tcPr>
          <w:p w14:paraId="2D751F5A"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1,077.8</w:t>
            </w:r>
          </w:p>
        </w:tc>
        <w:tc>
          <w:tcPr>
            <w:tcW w:w="1037" w:type="dxa"/>
            <w:shd w:val="clear" w:color="auto" w:fill="auto"/>
            <w:noWrap/>
            <w:vAlign w:val="center"/>
            <w:hideMark/>
          </w:tcPr>
          <w:p w14:paraId="01408C6D"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1,014.1</w:t>
            </w:r>
          </w:p>
        </w:tc>
        <w:tc>
          <w:tcPr>
            <w:tcW w:w="1037" w:type="dxa"/>
            <w:shd w:val="clear" w:color="auto" w:fill="auto"/>
            <w:noWrap/>
            <w:vAlign w:val="center"/>
            <w:hideMark/>
          </w:tcPr>
          <w:p w14:paraId="2457E513"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965.0</w:t>
            </w:r>
          </w:p>
        </w:tc>
        <w:tc>
          <w:tcPr>
            <w:tcW w:w="1037" w:type="dxa"/>
            <w:shd w:val="clear" w:color="auto" w:fill="auto"/>
            <w:noWrap/>
            <w:vAlign w:val="center"/>
            <w:hideMark/>
          </w:tcPr>
          <w:p w14:paraId="5AFBDB93"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1,739.5</w:t>
            </w:r>
          </w:p>
        </w:tc>
      </w:tr>
      <w:tr w:rsidR="00F62181" w:rsidRPr="007E6A51" w14:paraId="3B9A89D5" w14:textId="77777777" w:rsidTr="00194334">
        <w:trPr>
          <w:trHeight w:val="285"/>
          <w:jc w:val="center"/>
        </w:trPr>
        <w:tc>
          <w:tcPr>
            <w:tcW w:w="2947" w:type="dxa"/>
            <w:shd w:val="clear" w:color="auto" w:fill="auto"/>
            <w:noWrap/>
            <w:vAlign w:val="center"/>
            <w:hideMark/>
          </w:tcPr>
          <w:p w14:paraId="6B3DC928" w14:textId="77777777"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Enterprise Value</w:t>
            </w:r>
          </w:p>
        </w:tc>
        <w:tc>
          <w:tcPr>
            <w:tcW w:w="1036" w:type="dxa"/>
            <w:shd w:val="clear" w:color="auto" w:fill="auto"/>
            <w:noWrap/>
            <w:vAlign w:val="center"/>
            <w:hideMark/>
          </w:tcPr>
          <w:p w14:paraId="04810238"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15,118.1</w:t>
            </w:r>
          </w:p>
        </w:tc>
        <w:tc>
          <w:tcPr>
            <w:tcW w:w="1036" w:type="dxa"/>
            <w:shd w:val="clear" w:color="auto" w:fill="auto"/>
            <w:noWrap/>
            <w:vAlign w:val="center"/>
            <w:hideMark/>
          </w:tcPr>
          <w:p w14:paraId="643EC8AD"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10,851.1</w:t>
            </w:r>
          </w:p>
        </w:tc>
        <w:tc>
          <w:tcPr>
            <w:tcW w:w="1037" w:type="dxa"/>
            <w:shd w:val="clear" w:color="auto" w:fill="auto"/>
            <w:noWrap/>
            <w:vAlign w:val="center"/>
            <w:hideMark/>
          </w:tcPr>
          <w:p w14:paraId="57A586BD"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8,717.8</w:t>
            </w:r>
          </w:p>
        </w:tc>
        <w:tc>
          <w:tcPr>
            <w:tcW w:w="1037" w:type="dxa"/>
            <w:shd w:val="clear" w:color="auto" w:fill="auto"/>
            <w:noWrap/>
            <w:vAlign w:val="center"/>
            <w:hideMark/>
          </w:tcPr>
          <w:p w14:paraId="042EDE1A"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8,695.3</w:t>
            </w:r>
          </w:p>
        </w:tc>
        <w:tc>
          <w:tcPr>
            <w:tcW w:w="1037" w:type="dxa"/>
            <w:shd w:val="clear" w:color="auto" w:fill="auto"/>
            <w:noWrap/>
            <w:vAlign w:val="center"/>
            <w:hideMark/>
          </w:tcPr>
          <w:p w14:paraId="150B2BF8"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8,444.5</w:t>
            </w:r>
          </w:p>
        </w:tc>
        <w:tc>
          <w:tcPr>
            <w:tcW w:w="1037" w:type="dxa"/>
            <w:shd w:val="clear" w:color="auto" w:fill="auto"/>
            <w:noWrap/>
            <w:vAlign w:val="center"/>
            <w:hideMark/>
          </w:tcPr>
          <w:p w14:paraId="68A27620"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10,968.9</w:t>
            </w:r>
          </w:p>
        </w:tc>
      </w:tr>
      <w:tr w:rsidR="00BE6B57" w:rsidRPr="007E6A51" w14:paraId="2E8B9BD9" w14:textId="77777777" w:rsidTr="00194334">
        <w:trPr>
          <w:trHeight w:val="285"/>
          <w:jc w:val="center"/>
        </w:trPr>
        <w:tc>
          <w:tcPr>
            <w:tcW w:w="2947" w:type="dxa"/>
            <w:shd w:val="clear" w:color="auto" w:fill="auto"/>
            <w:noWrap/>
            <w:vAlign w:val="center"/>
          </w:tcPr>
          <w:p w14:paraId="26374437" w14:textId="77777777" w:rsidR="00BE6B57" w:rsidRPr="007E6A51" w:rsidRDefault="00BE6B57" w:rsidP="007E6A51">
            <w:pPr>
              <w:rPr>
                <w:rFonts w:ascii="Arial" w:hAnsi="Arial" w:cs="Arial"/>
                <w:b/>
                <w:bCs/>
                <w:color w:val="000000" w:themeColor="text1"/>
                <w:sz w:val="18"/>
                <w:szCs w:val="18"/>
                <w:lang w:val="en-SG" w:eastAsia="en-SG"/>
              </w:rPr>
            </w:pPr>
          </w:p>
        </w:tc>
        <w:tc>
          <w:tcPr>
            <w:tcW w:w="1036" w:type="dxa"/>
            <w:shd w:val="clear" w:color="auto" w:fill="auto"/>
            <w:noWrap/>
            <w:vAlign w:val="center"/>
          </w:tcPr>
          <w:p w14:paraId="3140A77B"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6" w:type="dxa"/>
            <w:shd w:val="clear" w:color="auto" w:fill="auto"/>
            <w:noWrap/>
            <w:vAlign w:val="center"/>
          </w:tcPr>
          <w:p w14:paraId="1865E7B0"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187601CA"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022F545D"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6CC42D2E"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3D061CCC" w14:textId="77777777" w:rsidR="00BE6B57" w:rsidRPr="007E6A51" w:rsidRDefault="00BE6B57" w:rsidP="007E6A51">
            <w:pPr>
              <w:jc w:val="right"/>
              <w:rPr>
                <w:rFonts w:ascii="Arial" w:hAnsi="Arial" w:cs="Arial"/>
                <w:b/>
                <w:bCs/>
                <w:color w:val="000000" w:themeColor="text1"/>
                <w:sz w:val="18"/>
                <w:szCs w:val="18"/>
                <w:lang w:val="en-SG" w:eastAsia="en-SG"/>
              </w:rPr>
            </w:pPr>
          </w:p>
        </w:tc>
      </w:tr>
      <w:tr w:rsidR="00F62181" w:rsidRPr="007E6A51" w14:paraId="19AFB453" w14:textId="77777777" w:rsidTr="00194334">
        <w:trPr>
          <w:trHeight w:val="285"/>
          <w:jc w:val="center"/>
        </w:trPr>
        <w:tc>
          <w:tcPr>
            <w:tcW w:w="2947" w:type="dxa"/>
            <w:shd w:val="clear" w:color="auto" w:fill="auto"/>
            <w:noWrap/>
            <w:vAlign w:val="center"/>
            <w:hideMark/>
          </w:tcPr>
          <w:p w14:paraId="5D0FBB6C" w14:textId="48529080"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Revenue, Adj</w:t>
            </w:r>
            <w:r w:rsidR="007E6A51">
              <w:rPr>
                <w:rFonts w:ascii="Arial" w:hAnsi="Arial" w:cs="Arial"/>
                <w:b/>
                <w:bCs/>
                <w:color w:val="000000" w:themeColor="text1"/>
                <w:sz w:val="18"/>
                <w:szCs w:val="18"/>
                <w:lang w:val="en-SG" w:eastAsia="en-SG"/>
              </w:rPr>
              <w:t>usted</w:t>
            </w:r>
          </w:p>
        </w:tc>
        <w:tc>
          <w:tcPr>
            <w:tcW w:w="1036" w:type="dxa"/>
            <w:shd w:val="clear" w:color="auto" w:fill="auto"/>
            <w:noWrap/>
            <w:vAlign w:val="center"/>
            <w:hideMark/>
          </w:tcPr>
          <w:p w14:paraId="4DDE9E35"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12,707.3</w:t>
            </w:r>
          </w:p>
        </w:tc>
        <w:tc>
          <w:tcPr>
            <w:tcW w:w="1036" w:type="dxa"/>
            <w:shd w:val="clear" w:color="auto" w:fill="auto"/>
            <w:noWrap/>
            <w:vAlign w:val="center"/>
            <w:hideMark/>
          </w:tcPr>
          <w:p w14:paraId="70684878"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14,524.8</w:t>
            </w:r>
          </w:p>
        </w:tc>
        <w:tc>
          <w:tcPr>
            <w:tcW w:w="1037" w:type="dxa"/>
            <w:shd w:val="clear" w:color="auto" w:fill="auto"/>
            <w:noWrap/>
            <w:vAlign w:val="center"/>
            <w:hideMark/>
          </w:tcPr>
          <w:p w14:paraId="6BB10F0A"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14,857.8</w:t>
            </w:r>
          </w:p>
        </w:tc>
        <w:tc>
          <w:tcPr>
            <w:tcW w:w="1037" w:type="dxa"/>
            <w:shd w:val="clear" w:color="auto" w:fill="auto"/>
            <w:noWrap/>
            <w:vAlign w:val="center"/>
            <w:hideMark/>
          </w:tcPr>
          <w:p w14:paraId="029ADEC2"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15,098.2</w:t>
            </w:r>
          </w:p>
        </w:tc>
        <w:tc>
          <w:tcPr>
            <w:tcW w:w="1037" w:type="dxa"/>
            <w:shd w:val="clear" w:color="auto" w:fill="auto"/>
            <w:noWrap/>
            <w:vAlign w:val="center"/>
            <w:hideMark/>
          </w:tcPr>
          <w:p w14:paraId="0A607027"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15,243.9</w:t>
            </w:r>
          </w:p>
        </w:tc>
        <w:tc>
          <w:tcPr>
            <w:tcW w:w="1037" w:type="dxa"/>
            <w:shd w:val="clear" w:color="auto" w:fill="auto"/>
            <w:noWrap/>
            <w:vAlign w:val="center"/>
            <w:hideMark/>
          </w:tcPr>
          <w:p w14:paraId="30BB3A13"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15,565.5</w:t>
            </w:r>
          </w:p>
        </w:tc>
      </w:tr>
      <w:tr w:rsidR="00F62181" w:rsidRPr="00F81FD3" w14:paraId="57AF4AAB" w14:textId="77777777" w:rsidTr="00194334">
        <w:trPr>
          <w:trHeight w:val="285"/>
          <w:jc w:val="center"/>
        </w:trPr>
        <w:tc>
          <w:tcPr>
            <w:tcW w:w="2947" w:type="dxa"/>
            <w:shd w:val="clear" w:color="auto" w:fill="auto"/>
            <w:noWrap/>
            <w:vAlign w:val="center"/>
            <w:hideMark/>
          </w:tcPr>
          <w:p w14:paraId="04A59F0C" w14:textId="13499C24" w:rsidR="00250233" w:rsidRPr="00F81FD3" w:rsidRDefault="00480C70" w:rsidP="00576751">
            <w:pPr>
              <w:ind w:left="144"/>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Growth</w:t>
            </w:r>
            <w:r w:rsidR="00250233" w:rsidRPr="00F81FD3">
              <w:rPr>
                <w:rFonts w:ascii="Arial" w:hAnsi="Arial" w:cs="Arial"/>
                <w:iCs/>
                <w:color w:val="000000" w:themeColor="text1"/>
                <w:sz w:val="18"/>
                <w:szCs w:val="18"/>
                <w:lang w:val="en-SG" w:eastAsia="en-SG"/>
              </w:rPr>
              <w:t>, YoY</w:t>
            </w:r>
            <w:r w:rsidR="00BE6B57" w:rsidRPr="00F81FD3">
              <w:rPr>
                <w:rFonts w:ascii="Arial" w:hAnsi="Arial" w:cs="Arial"/>
                <w:iCs/>
                <w:color w:val="000000" w:themeColor="text1"/>
                <w:sz w:val="18"/>
                <w:szCs w:val="18"/>
                <w:lang w:val="en-SG" w:eastAsia="en-SG"/>
              </w:rPr>
              <w:t xml:space="preserve"> (%)</w:t>
            </w:r>
          </w:p>
        </w:tc>
        <w:tc>
          <w:tcPr>
            <w:tcW w:w="1036" w:type="dxa"/>
            <w:shd w:val="clear" w:color="auto" w:fill="auto"/>
            <w:noWrap/>
            <w:vAlign w:val="center"/>
            <w:hideMark/>
          </w:tcPr>
          <w:p w14:paraId="5BB99112" w14:textId="09F7BCFD" w:rsidR="00250233" w:rsidRPr="00F81FD3" w:rsidRDefault="00F35E30"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r w:rsidR="00250233" w:rsidRPr="00F81FD3">
              <w:rPr>
                <w:rFonts w:ascii="Arial" w:hAnsi="Arial" w:cs="Arial"/>
                <w:iCs/>
                <w:color w:val="000000" w:themeColor="text1"/>
                <w:sz w:val="18"/>
                <w:szCs w:val="18"/>
                <w:lang w:val="en-SG" w:eastAsia="en-SG"/>
              </w:rPr>
              <w:t>20.6</w:t>
            </w:r>
            <w:r w:rsidRPr="00F81FD3">
              <w:rPr>
                <w:rFonts w:ascii="Arial" w:hAnsi="Arial" w:cs="Arial"/>
                <w:iCs/>
                <w:color w:val="000000" w:themeColor="text1"/>
                <w:sz w:val="18"/>
                <w:szCs w:val="18"/>
                <w:lang w:val="en-SG" w:eastAsia="en-SG"/>
              </w:rPr>
              <w:t>)</w:t>
            </w:r>
          </w:p>
        </w:tc>
        <w:tc>
          <w:tcPr>
            <w:tcW w:w="1036" w:type="dxa"/>
            <w:shd w:val="clear" w:color="auto" w:fill="auto"/>
            <w:noWrap/>
            <w:vAlign w:val="center"/>
            <w:hideMark/>
          </w:tcPr>
          <w:p w14:paraId="78FF4703"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14.3</w:t>
            </w:r>
          </w:p>
        </w:tc>
        <w:tc>
          <w:tcPr>
            <w:tcW w:w="1037" w:type="dxa"/>
            <w:shd w:val="clear" w:color="auto" w:fill="auto"/>
            <w:noWrap/>
            <w:vAlign w:val="center"/>
            <w:hideMark/>
          </w:tcPr>
          <w:p w14:paraId="7454385F"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2.3</w:t>
            </w:r>
          </w:p>
        </w:tc>
        <w:tc>
          <w:tcPr>
            <w:tcW w:w="1037" w:type="dxa"/>
            <w:shd w:val="clear" w:color="auto" w:fill="auto"/>
            <w:noWrap/>
            <w:vAlign w:val="center"/>
            <w:hideMark/>
          </w:tcPr>
          <w:p w14:paraId="5E037F22"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1.6</w:t>
            </w:r>
          </w:p>
        </w:tc>
        <w:tc>
          <w:tcPr>
            <w:tcW w:w="1037" w:type="dxa"/>
            <w:shd w:val="clear" w:color="auto" w:fill="auto"/>
            <w:noWrap/>
            <w:vAlign w:val="center"/>
            <w:hideMark/>
          </w:tcPr>
          <w:p w14:paraId="47312779"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1.0</w:t>
            </w:r>
          </w:p>
        </w:tc>
        <w:tc>
          <w:tcPr>
            <w:tcW w:w="1037" w:type="dxa"/>
            <w:shd w:val="clear" w:color="auto" w:fill="auto"/>
            <w:noWrap/>
            <w:vAlign w:val="center"/>
            <w:hideMark/>
          </w:tcPr>
          <w:p w14:paraId="43C42AEB"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2.1</w:t>
            </w:r>
          </w:p>
        </w:tc>
      </w:tr>
      <w:tr w:rsidR="00F62181" w:rsidRPr="007E6A51" w14:paraId="17CAC3AD" w14:textId="77777777" w:rsidTr="00194334">
        <w:trPr>
          <w:trHeight w:val="285"/>
          <w:jc w:val="center"/>
        </w:trPr>
        <w:tc>
          <w:tcPr>
            <w:tcW w:w="2947" w:type="dxa"/>
            <w:shd w:val="clear" w:color="auto" w:fill="auto"/>
            <w:noWrap/>
            <w:vAlign w:val="center"/>
            <w:hideMark/>
          </w:tcPr>
          <w:p w14:paraId="7AD05F07" w14:textId="14AE4F11"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Gross Profit, Adj</w:t>
            </w:r>
            <w:r w:rsidR="007E6A51">
              <w:rPr>
                <w:rFonts w:ascii="Arial" w:hAnsi="Arial" w:cs="Arial"/>
                <w:b/>
                <w:bCs/>
                <w:color w:val="000000" w:themeColor="text1"/>
                <w:sz w:val="18"/>
                <w:szCs w:val="18"/>
                <w:lang w:val="en-SG" w:eastAsia="en-SG"/>
              </w:rPr>
              <w:t>usted</w:t>
            </w:r>
          </w:p>
        </w:tc>
        <w:tc>
          <w:tcPr>
            <w:tcW w:w="1036" w:type="dxa"/>
            <w:shd w:val="clear" w:color="auto" w:fill="auto"/>
            <w:noWrap/>
            <w:vAlign w:val="center"/>
            <w:hideMark/>
          </w:tcPr>
          <w:p w14:paraId="5F14EF96" w14:textId="12EE9240" w:rsidR="00250233" w:rsidRPr="00BE6B57" w:rsidRDefault="00B41D82" w:rsidP="007E6A51">
            <w:pPr>
              <w:jc w:val="right"/>
              <w:rPr>
                <w:rFonts w:ascii="Arial" w:hAnsi="Arial" w:cs="Arial"/>
                <w:bCs/>
                <w:color w:val="000000" w:themeColor="text1"/>
                <w:sz w:val="18"/>
                <w:szCs w:val="18"/>
                <w:lang w:val="en-SG" w:eastAsia="en-SG"/>
              </w:rPr>
            </w:pPr>
            <w:r>
              <w:rPr>
                <w:rFonts w:ascii="Arial" w:hAnsi="Arial" w:cs="Arial"/>
                <w:bCs/>
                <w:color w:val="000000" w:themeColor="text1"/>
                <w:sz w:val="18"/>
                <w:szCs w:val="18"/>
                <w:lang w:val="en-SG" w:eastAsia="en-SG"/>
              </w:rPr>
              <w:t>–</w:t>
            </w:r>
          </w:p>
        </w:tc>
        <w:tc>
          <w:tcPr>
            <w:tcW w:w="1036" w:type="dxa"/>
            <w:shd w:val="clear" w:color="auto" w:fill="auto"/>
            <w:noWrap/>
            <w:vAlign w:val="center"/>
            <w:hideMark/>
          </w:tcPr>
          <w:p w14:paraId="4138448E" w14:textId="656D6F8C" w:rsidR="00250233" w:rsidRPr="00BE6B57" w:rsidRDefault="00B41D82" w:rsidP="007E6A51">
            <w:pPr>
              <w:jc w:val="right"/>
              <w:rPr>
                <w:rFonts w:ascii="Arial" w:hAnsi="Arial" w:cs="Arial"/>
                <w:bCs/>
                <w:color w:val="000000" w:themeColor="text1"/>
                <w:sz w:val="18"/>
                <w:szCs w:val="18"/>
                <w:lang w:val="en-SG" w:eastAsia="en-SG"/>
              </w:rPr>
            </w:pPr>
            <w:r>
              <w:rPr>
                <w:rFonts w:ascii="Arial" w:hAnsi="Arial" w:cs="Arial"/>
                <w:bCs/>
                <w:color w:val="000000" w:themeColor="text1"/>
                <w:sz w:val="18"/>
                <w:szCs w:val="18"/>
                <w:lang w:val="en-SG" w:eastAsia="en-SG"/>
              </w:rPr>
              <w:t>–</w:t>
            </w:r>
          </w:p>
        </w:tc>
        <w:tc>
          <w:tcPr>
            <w:tcW w:w="1037" w:type="dxa"/>
            <w:shd w:val="clear" w:color="auto" w:fill="auto"/>
            <w:noWrap/>
            <w:vAlign w:val="center"/>
            <w:hideMark/>
          </w:tcPr>
          <w:p w14:paraId="26AAC71E" w14:textId="325D46F2" w:rsidR="00250233" w:rsidRPr="00BE6B57" w:rsidRDefault="00B41D82" w:rsidP="007E6A51">
            <w:pPr>
              <w:jc w:val="right"/>
              <w:rPr>
                <w:rFonts w:ascii="Arial" w:hAnsi="Arial" w:cs="Arial"/>
                <w:bCs/>
                <w:color w:val="000000" w:themeColor="text1"/>
                <w:sz w:val="18"/>
                <w:szCs w:val="18"/>
                <w:lang w:val="en-SG" w:eastAsia="en-SG"/>
              </w:rPr>
            </w:pPr>
            <w:r>
              <w:rPr>
                <w:rFonts w:ascii="Arial" w:hAnsi="Arial" w:cs="Arial"/>
                <w:bCs/>
                <w:color w:val="000000" w:themeColor="text1"/>
                <w:sz w:val="18"/>
                <w:szCs w:val="18"/>
                <w:lang w:val="en-SG" w:eastAsia="en-SG"/>
              </w:rPr>
              <w:t>–</w:t>
            </w:r>
          </w:p>
        </w:tc>
        <w:tc>
          <w:tcPr>
            <w:tcW w:w="1037" w:type="dxa"/>
            <w:shd w:val="clear" w:color="auto" w:fill="auto"/>
            <w:noWrap/>
            <w:vAlign w:val="center"/>
            <w:hideMark/>
          </w:tcPr>
          <w:p w14:paraId="00A580FA" w14:textId="3F7779C5" w:rsidR="00250233" w:rsidRPr="00BE6B57" w:rsidRDefault="00B41D82" w:rsidP="007E6A51">
            <w:pPr>
              <w:jc w:val="right"/>
              <w:rPr>
                <w:rFonts w:ascii="Arial" w:hAnsi="Arial" w:cs="Arial"/>
                <w:bCs/>
                <w:color w:val="000000" w:themeColor="text1"/>
                <w:sz w:val="18"/>
                <w:szCs w:val="18"/>
                <w:lang w:val="en-SG" w:eastAsia="en-SG"/>
              </w:rPr>
            </w:pPr>
            <w:r>
              <w:rPr>
                <w:rFonts w:ascii="Arial" w:hAnsi="Arial" w:cs="Arial"/>
                <w:bCs/>
                <w:color w:val="000000" w:themeColor="text1"/>
                <w:sz w:val="18"/>
                <w:szCs w:val="18"/>
                <w:lang w:val="en-SG" w:eastAsia="en-SG"/>
              </w:rPr>
              <w:t>–</w:t>
            </w:r>
          </w:p>
        </w:tc>
        <w:tc>
          <w:tcPr>
            <w:tcW w:w="1037" w:type="dxa"/>
            <w:shd w:val="clear" w:color="auto" w:fill="auto"/>
            <w:noWrap/>
            <w:vAlign w:val="center"/>
            <w:hideMark/>
          </w:tcPr>
          <w:p w14:paraId="68519756" w14:textId="65875BD2" w:rsidR="00250233" w:rsidRPr="00BE6B57" w:rsidRDefault="00B41D82" w:rsidP="007E6A51">
            <w:pPr>
              <w:jc w:val="right"/>
              <w:rPr>
                <w:rFonts w:ascii="Arial" w:hAnsi="Arial" w:cs="Arial"/>
                <w:bCs/>
                <w:color w:val="000000" w:themeColor="text1"/>
                <w:sz w:val="18"/>
                <w:szCs w:val="18"/>
                <w:lang w:val="en-SG" w:eastAsia="en-SG"/>
              </w:rPr>
            </w:pPr>
            <w:r>
              <w:rPr>
                <w:rFonts w:ascii="Arial" w:hAnsi="Arial" w:cs="Arial"/>
                <w:bCs/>
                <w:color w:val="000000" w:themeColor="text1"/>
                <w:sz w:val="18"/>
                <w:szCs w:val="18"/>
                <w:lang w:val="en-SG" w:eastAsia="en-SG"/>
              </w:rPr>
              <w:t>–</w:t>
            </w:r>
          </w:p>
        </w:tc>
        <w:tc>
          <w:tcPr>
            <w:tcW w:w="1037" w:type="dxa"/>
            <w:shd w:val="clear" w:color="auto" w:fill="auto"/>
            <w:noWrap/>
            <w:vAlign w:val="center"/>
            <w:hideMark/>
          </w:tcPr>
          <w:p w14:paraId="1D27B801" w14:textId="14DA7EA7" w:rsidR="00250233" w:rsidRPr="00BE6B57" w:rsidRDefault="00B41D82" w:rsidP="007E6A51">
            <w:pPr>
              <w:jc w:val="right"/>
              <w:rPr>
                <w:rFonts w:ascii="Arial" w:hAnsi="Arial" w:cs="Arial"/>
                <w:bCs/>
                <w:color w:val="000000" w:themeColor="text1"/>
                <w:sz w:val="18"/>
                <w:szCs w:val="18"/>
                <w:lang w:val="en-SG" w:eastAsia="en-SG"/>
              </w:rPr>
            </w:pPr>
            <w:r>
              <w:rPr>
                <w:rFonts w:ascii="Arial" w:hAnsi="Arial" w:cs="Arial"/>
                <w:bCs/>
                <w:color w:val="000000" w:themeColor="text1"/>
                <w:sz w:val="18"/>
                <w:szCs w:val="18"/>
                <w:lang w:val="en-SG" w:eastAsia="en-SG"/>
              </w:rPr>
              <w:t>–</w:t>
            </w:r>
          </w:p>
        </w:tc>
      </w:tr>
      <w:tr w:rsidR="00F62181" w:rsidRPr="00F81FD3" w14:paraId="3FFCF06E" w14:textId="77777777" w:rsidTr="00194334">
        <w:trPr>
          <w:trHeight w:val="285"/>
          <w:jc w:val="center"/>
        </w:trPr>
        <w:tc>
          <w:tcPr>
            <w:tcW w:w="2947" w:type="dxa"/>
            <w:shd w:val="clear" w:color="auto" w:fill="auto"/>
            <w:noWrap/>
            <w:vAlign w:val="center"/>
            <w:hideMark/>
          </w:tcPr>
          <w:p w14:paraId="58C177FF" w14:textId="529284B0" w:rsidR="00250233" w:rsidRPr="00F81FD3" w:rsidRDefault="00250233" w:rsidP="00576751">
            <w:pPr>
              <w:ind w:left="144"/>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 xml:space="preserve">Margin </w:t>
            </w:r>
            <w:r w:rsidR="00BE6B57" w:rsidRPr="00F81FD3">
              <w:rPr>
                <w:rFonts w:ascii="Arial" w:hAnsi="Arial" w:cs="Arial"/>
                <w:iCs/>
                <w:color w:val="000000" w:themeColor="text1"/>
                <w:sz w:val="18"/>
                <w:szCs w:val="18"/>
                <w:lang w:val="en-SG" w:eastAsia="en-SG"/>
              </w:rPr>
              <w:t>(</w:t>
            </w:r>
            <w:r w:rsidRPr="00F81FD3">
              <w:rPr>
                <w:rFonts w:ascii="Arial" w:hAnsi="Arial" w:cs="Arial"/>
                <w:iCs/>
                <w:color w:val="000000" w:themeColor="text1"/>
                <w:sz w:val="18"/>
                <w:szCs w:val="18"/>
                <w:lang w:val="en-SG" w:eastAsia="en-SG"/>
              </w:rPr>
              <w:t>%</w:t>
            </w:r>
            <w:r w:rsidR="00BE6B57" w:rsidRPr="00F81FD3">
              <w:rPr>
                <w:rFonts w:ascii="Arial" w:hAnsi="Arial" w:cs="Arial"/>
                <w:iCs/>
                <w:color w:val="000000" w:themeColor="text1"/>
                <w:sz w:val="18"/>
                <w:szCs w:val="18"/>
                <w:lang w:val="en-SG" w:eastAsia="en-SG"/>
              </w:rPr>
              <w:t>)</w:t>
            </w:r>
          </w:p>
        </w:tc>
        <w:tc>
          <w:tcPr>
            <w:tcW w:w="1036" w:type="dxa"/>
            <w:shd w:val="clear" w:color="auto" w:fill="auto"/>
            <w:noWrap/>
            <w:vAlign w:val="center"/>
            <w:hideMark/>
          </w:tcPr>
          <w:p w14:paraId="12453A0D" w14:textId="1D398DB5" w:rsidR="00250233" w:rsidRPr="00F81FD3" w:rsidRDefault="00B41D82"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p>
        </w:tc>
        <w:tc>
          <w:tcPr>
            <w:tcW w:w="1036" w:type="dxa"/>
            <w:shd w:val="clear" w:color="auto" w:fill="auto"/>
            <w:noWrap/>
            <w:vAlign w:val="center"/>
            <w:hideMark/>
          </w:tcPr>
          <w:p w14:paraId="04D0B0C9" w14:textId="43FE25B5" w:rsidR="00250233" w:rsidRPr="00F81FD3" w:rsidRDefault="00B41D82"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p>
        </w:tc>
        <w:tc>
          <w:tcPr>
            <w:tcW w:w="1037" w:type="dxa"/>
            <w:shd w:val="clear" w:color="auto" w:fill="auto"/>
            <w:noWrap/>
            <w:vAlign w:val="center"/>
            <w:hideMark/>
          </w:tcPr>
          <w:p w14:paraId="551ABB00" w14:textId="07F95923" w:rsidR="00250233" w:rsidRPr="00F81FD3" w:rsidRDefault="00B41D82"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p>
        </w:tc>
        <w:tc>
          <w:tcPr>
            <w:tcW w:w="1037" w:type="dxa"/>
            <w:shd w:val="clear" w:color="auto" w:fill="auto"/>
            <w:noWrap/>
            <w:vAlign w:val="center"/>
            <w:hideMark/>
          </w:tcPr>
          <w:p w14:paraId="7D84E0BD" w14:textId="03DD5907" w:rsidR="00250233" w:rsidRPr="00F81FD3" w:rsidRDefault="00B41D82"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p>
        </w:tc>
        <w:tc>
          <w:tcPr>
            <w:tcW w:w="1037" w:type="dxa"/>
            <w:shd w:val="clear" w:color="auto" w:fill="auto"/>
            <w:noWrap/>
            <w:vAlign w:val="center"/>
            <w:hideMark/>
          </w:tcPr>
          <w:p w14:paraId="6DAEA885" w14:textId="5DAD15B1" w:rsidR="00250233" w:rsidRPr="00F81FD3" w:rsidRDefault="00B41D82"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p>
        </w:tc>
        <w:tc>
          <w:tcPr>
            <w:tcW w:w="1037" w:type="dxa"/>
            <w:shd w:val="clear" w:color="auto" w:fill="auto"/>
            <w:noWrap/>
            <w:vAlign w:val="center"/>
            <w:hideMark/>
          </w:tcPr>
          <w:p w14:paraId="6083EBE1" w14:textId="54261153" w:rsidR="00250233" w:rsidRPr="00F81FD3" w:rsidRDefault="00B41D82"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p>
        </w:tc>
      </w:tr>
      <w:tr w:rsidR="00F62181" w:rsidRPr="007E6A51" w14:paraId="0937C188" w14:textId="77777777" w:rsidTr="00194334">
        <w:trPr>
          <w:trHeight w:val="285"/>
          <w:jc w:val="center"/>
        </w:trPr>
        <w:tc>
          <w:tcPr>
            <w:tcW w:w="2947" w:type="dxa"/>
            <w:shd w:val="clear" w:color="auto" w:fill="auto"/>
            <w:noWrap/>
            <w:vAlign w:val="center"/>
            <w:hideMark/>
          </w:tcPr>
          <w:p w14:paraId="65A06FB2" w14:textId="70673847"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EBITDA, Adj</w:t>
            </w:r>
            <w:r w:rsidR="007E6A51">
              <w:rPr>
                <w:rFonts w:ascii="Arial" w:hAnsi="Arial" w:cs="Arial"/>
                <w:b/>
                <w:bCs/>
                <w:color w:val="000000" w:themeColor="text1"/>
                <w:sz w:val="18"/>
                <w:szCs w:val="18"/>
                <w:lang w:val="en-SG" w:eastAsia="en-SG"/>
              </w:rPr>
              <w:t>usted</w:t>
            </w:r>
          </w:p>
        </w:tc>
        <w:tc>
          <w:tcPr>
            <w:tcW w:w="1036" w:type="dxa"/>
            <w:shd w:val="clear" w:color="auto" w:fill="auto"/>
            <w:noWrap/>
            <w:vAlign w:val="center"/>
            <w:hideMark/>
          </w:tcPr>
          <w:p w14:paraId="51DE94CA"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1,874.9</w:t>
            </w:r>
          </w:p>
        </w:tc>
        <w:tc>
          <w:tcPr>
            <w:tcW w:w="1036" w:type="dxa"/>
            <w:shd w:val="clear" w:color="auto" w:fill="auto"/>
            <w:noWrap/>
            <w:vAlign w:val="center"/>
            <w:hideMark/>
          </w:tcPr>
          <w:p w14:paraId="62FED835"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3,046.5</w:t>
            </w:r>
          </w:p>
        </w:tc>
        <w:tc>
          <w:tcPr>
            <w:tcW w:w="1037" w:type="dxa"/>
            <w:shd w:val="clear" w:color="auto" w:fill="auto"/>
            <w:noWrap/>
            <w:vAlign w:val="center"/>
            <w:hideMark/>
          </w:tcPr>
          <w:p w14:paraId="65B94663"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1,948.6</w:t>
            </w:r>
          </w:p>
        </w:tc>
        <w:tc>
          <w:tcPr>
            <w:tcW w:w="1037" w:type="dxa"/>
            <w:shd w:val="clear" w:color="auto" w:fill="auto"/>
            <w:noWrap/>
            <w:vAlign w:val="center"/>
            <w:hideMark/>
          </w:tcPr>
          <w:p w14:paraId="0FCE3BB4"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1,932.7</w:t>
            </w:r>
          </w:p>
        </w:tc>
        <w:tc>
          <w:tcPr>
            <w:tcW w:w="1037" w:type="dxa"/>
            <w:shd w:val="clear" w:color="auto" w:fill="auto"/>
            <w:noWrap/>
            <w:vAlign w:val="center"/>
            <w:hideMark/>
          </w:tcPr>
          <w:p w14:paraId="75D525E7"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1,953.0</w:t>
            </w:r>
          </w:p>
        </w:tc>
        <w:tc>
          <w:tcPr>
            <w:tcW w:w="1037" w:type="dxa"/>
            <w:shd w:val="clear" w:color="auto" w:fill="auto"/>
            <w:noWrap/>
            <w:vAlign w:val="center"/>
            <w:hideMark/>
          </w:tcPr>
          <w:p w14:paraId="0D1C13FE"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2,083.1</w:t>
            </w:r>
          </w:p>
        </w:tc>
      </w:tr>
      <w:tr w:rsidR="00F62181" w:rsidRPr="00F81FD3" w14:paraId="2A864575" w14:textId="77777777" w:rsidTr="00194334">
        <w:trPr>
          <w:trHeight w:val="285"/>
          <w:jc w:val="center"/>
        </w:trPr>
        <w:tc>
          <w:tcPr>
            <w:tcW w:w="2947" w:type="dxa"/>
            <w:shd w:val="clear" w:color="auto" w:fill="auto"/>
            <w:noWrap/>
            <w:vAlign w:val="center"/>
            <w:hideMark/>
          </w:tcPr>
          <w:p w14:paraId="3B08321B" w14:textId="78774336" w:rsidR="00250233" w:rsidRPr="00F81FD3" w:rsidRDefault="00250233" w:rsidP="00576751">
            <w:pPr>
              <w:ind w:left="144"/>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 xml:space="preserve">Margin </w:t>
            </w:r>
            <w:r w:rsidR="00BE6B57" w:rsidRPr="00F81FD3">
              <w:rPr>
                <w:rFonts w:ascii="Arial" w:hAnsi="Arial" w:cs="Arial"/>
                <w:iCs/>
                <w:color w:val="000000" w:themeColor="text1"/>
                <w:sz w:val="18"/>
                <w:szCs w:val="18"/>
                <w:lang w:val="en-SG" w:eastAsia="en-SG"/>
              </w:rPr>
              <w:t>(</w:t>
            </w:r>
            <w:r w:rsidRPr="00F81FD3">
              <w:rPr>
                <w:rFonts w:ascii="Arial" w:hAnsi="Arial" w:cs="Arial"/>
                <w:iCs/>
                <w:color w:val="000000" w:themeColor="text1"/>
                <w:sz w:val="18"/>
                <w:szCs w:val="18"/>
                <w:lang w:val="en-SG" w:eastAsia="en-SG"/>
              </w:rPr>
              <w:t>%</w:t>
            </w:r>
            <w:r w:rsidR="00BE6B57" w:rsidRPr="00F81FD3">
              <w:rPr>
                <w:rFonts w:ascii="Arial" w:hAnsi="Arial" w:cs="Arial"/>
                <w:iCs/>
                <w:color w:val="000000" w:themeColor="text1"/>
                <w:sz w:val="18"/>
                <w:szCs w:val="18"/>
                <w:lang w:val="en-SG" w:eastAsia="en-SG"/>
              </w:rPr>
              <w:t>)</w:t>
            </w:r>
          </w:p>
        </w:tc>
        <w:tc>
          <w:tcPr>
            <w:tcW w:w="1036" w:type="dxa"/>
            <w:shd w:val="clear" w:color="auto" w:fill="auto"/>
            <w:noWrap/>
            <w:vAlign w:val="center"/>
            <w:hideMark/>
          </w:tcPr>
          <w:p w14:paraId="2379B5A0"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14.8</w:t>
            </w:r>
          </w:p>
        </w:tc>
        <w:tc>
          <w:tcPr>
            <w:tcW w:w="1036" w:type="dxa"/>
            <w:shd w:val="clear" w:color="auto" w:fill="auto"/>
            <w:noWrap/>
            <w:vAlign w:val="center"/>
            <w:hideMark/>
          </w:tcPr>
          <w:p w14:paraId="0F397C51"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21.0</w:t>
            </w:r>
          </w:p>
        </w:tc>
        <w:tc>
          <w:tcPr>
            <w:tcW w:w="1037" w:type="dxa"/>
            <w:shd w:val="clear" w:color="auto" w:fill="auto"/>
            <w:noWrap/>
            <w:vAlign w:val="center"/>
            <w:hideMark/>
          </w:tcPr>
          <w:p w14:paraId="2B62E3F4"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13.1</w:t>
            </w:r>
          </w:p>
        </w:tc>
        <w:tc>
          <w:tcPr>
            <w:tcW w:w="1037" w:type="dxa"/>
            <w:shd w:val="clear" w:color="auto" w:fill="auto"/>
            <w:noWrap/>
            <w:vAlign w:val="center"/>
            <w:hideMark/>
          </w:tcPr>
          <w:p w14:paraId="0BCFC7C8"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12.8</w:t>
            </w:r>
          </w:p>
        </w:tc>
        <w:tc>
          <w:tcPr>
            <w:tcW w:w="1037" w:type="dxa"/>
            <w:shd w:val="clear" w:color="auto" w:fill="auto"/>
            <w:noWrap/>
            <w:vAlign w:val="center"/>
            <w:hideMark/>
          </w:tcPr>
          <w:p w14:paraId="3D3009B7"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12.8</w:t>
            </w:r>
          </w:p>
        </w:tc>
        <w:tc>
          <w:tcPr>
            <w:tcW w:w="1037" w:type="dxa"/>
            <w:shd w:val="clear" w:color="auto" w:fill="auto"/>
            <w:noWrap/>
            <w:vAlign w:val="center"/>
            <w:hideMark/>
          </w:tcPr>
          <w:p w14:paraId="76F184F3"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13.4</w:t>
            </w:r>
          </w:p>
        </w:tc>
      </w:tr>
      <w:tr w:rsidR="00F62181" w:rsidRPr="007E6A51" w14:paraId="5CB58911" w14:textId="77777777" w:rsidTr="00194334">
        <w:trPr>
          <w:trHeight w:val="285"/>
          <w:jc w:val="center"/>
        </w:trPr>
        <w:tc>
          <w:tcPr>
            <w:tcW w:w="2947" w:type="dxa"/>
            <w:shd w:val="clear" w:color="auto" w:fill="auto"/>
            <w:noWrap/>
            <w:vAlign w:val="center"/>
            <w:hideMark/>
          </w:tcPr>
          <w:p w14:paraId="7C23519F" w14:textId="5208A006"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Net Income, Adj</w:t>
            </w:r>
            <w:r w:rsidR="007E6A51">
              <w:rPr>
                <w:rFonts w:ascii="Arial" w:hAnsi="Arial" w:cs="Arial"/>
                <w:b/>
                <w:bCs/>
                <w:color w:val="000000" w:themeColor="text1"/>
                <w:sz w:val="18"/>
                <w:szCs w:val="18"/>
                <w:lang w:val="en-SG" w:eastAsia="en-SG"/>
              </w:rPr>
              <w:t>usted</w:t>
            </w:r>
          </w:p>
        </w:tc>
        <w:tc>
          <w:tcPr>
            <w:tcW w:w="1036" w:type="dxa"/>
            <w:shd w:val="clear" w:color="auto" w:fill="auto"/>
            <w:noWrap/>
            <w:vAlign w:val="center"/>
            <w:hideMark/>
          </w:tcPr>
          <w:p w14:paraId="5A5E4126"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185.8</w:t>
            </w:r>
          </w:p>
        </w:tc>
        <w:tc>
          <w:tcPr>
            <w:tcW w:w="1036" w:type="dxa"/>
            <w:shd w:val="clear" w:color="auto" w:fill="auto"/>
            <w:noWrap/>
            <w:vAlign w:val="center"/>
            <w:hideMark/>
          </w:tcPr>
          <w:p w14:paraId="6CF62D5D"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1,013.8</w:t>
            </w:r>
          </w:p>
        </w:tc>
        <w:tc>
          <w:tcPr>
            <w:tcW w:w="1037" w:type="dxa"/>
            <w:shd w:val="clear" w:color="auto" w:fill="auto"/>
            <w:noWrap/>
            <w:vAlign w:val="center"/>
            <w:hideMark/>
          </w:tcPr>
          <w:p w14:paraId="3B372B77"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354.7</w:t>
            </w:r>
          </w:p>
        </w:tc>
        <w:tc>
          <w:tcPr>
            <w:tcW w:w="1037" w:type="dxa"/>
            <w:shd w:val="clear" w:color="auto" w:fill="auto"/>
            <w:noWrap/>
            <w:vAlign w:val="center"/>
            <w:hideMark/>
          </w:tcPr>
          <w:p w14:paraId="4E8B569C"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334.1</w:t>
            </w:r>
          </w:p>
        </w:tc>
        <w:tc>
          <w:tcPr>
            <w:tcW w:w="1037" w:type="dxa"/>
            <w:shd w:val="clear" w:color="auto" w:fill="auto"/>
            <w:noWrap/>
            <w:vAlign w:val="center"/>
            <w:hideMark/>
          </w:tcPr>
          <w:p w14:paraId="52868B78"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291.3</w:t>
            </w:r>
          </w:p>
        </w:tc>
        <w:tc>
          <w:tcPr>
            <w:tcW w:w="1037" w:type="dxa"/>
            <w:shd w:val="clear" w:color="auto" w:fill="auto"/>
            <w:noWrap/>
            <w:vAlign w:val="center"/>
            <w:hideMark/>
          </w:tcPr>
          <w:p w14:paraId="0EA14A8C"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306.1</w:t>
            </w:r>
          </w:p>
        </w:tc>
      </w:tr>
      <w:tr w:rsidR="00F62181" w:rsidRPr="00F81FD3" w14:paraId="0DBE2642" w14:textId="77777777" w:rsidTr="00194334">
        <w:trPr>
          <w:trHeight w:val="285"/>
          <w:jc w:val="center"/>
        </w:trPr>
        <w:tc>
          <w:tcPr>
            <w:tcW w:w="2947" w:type="dxa"/>
            <w:shd w:val="clear" w:color="auto" w:fill="auto"/>
            <w:noWrap/>
            <w:vAlign w:val="center"/>
            <w:hideMark/>
          </w:tcPr>
          <w:p w14:paraId="3B583176" w14:textId="125A6681" w:rsidR="00250233" w:rsidRPr="00F81FD3" w:rsidRDefault="00250233" w:rsidP="00576751">
            <w:pPr>
              <w:ind w:left="144"/>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 xml:space="preserve">Margin </w:t>
            </w:r>
            <w:r w:rsidR="00BE6B57" w:rsidRPr="00F81FD3">
              <w:rPr>
                <w:rFonts w:ascii="Arial" w:hAnsi="Arial" w:cs="Arial"/>
                <w:iCs/>
                <w:color w:val="000000" w:themeColor="text1"/>
                <w:sz w:val="18"/>
                <w:szCs w:val="18"/>
                <w:lang w:val="en-SG" w:eastAsia="en-SG"/>
              </w:rPr>
              <w:t>(</w:t>
            </w:r>
            <w:r w:rsidRPr="00F81FD3">
              <w:rPr>
                <w:rFonts w:ascii="Arial" w:hAnsi="Arial" w:cs="Arial"/>
                <w:iCs/>
                <w:color w:val="000000" w:themeColor="text1"/>
                <w:sz w:val="18"/>
                <w:szCs w:val="18"/>
                <w:lang w:val="en-SG" w:eastAsia="en-SG"/>
              </w:rPr>
              <w:t>%</w:t>
            </w:r>
            <w:r w:rsidR="00BE6B57" w:rsidRPr="00F81FD3">
              <w:rPr>
                <w:rFonts w:ascii="Arial" w:hAnsi="Arial" w:cs="Arial"/>
                <w:iCs/>
                <w:color w:val="000000" w:themeColor="text1"/>
                <w:sz w:val="18"/>
                <w:szCs w:val="18"/>
                <w:lang w:val="en-SG" w:eastAsia="en-SG"/>
              </w:rPr>
              <w:t>)</w:t>
            </w:r>
          </w:p>
        </w:tc>
        <w:tc>
          <w:tcPr>
            <w:tcW w:w="1036" w:type="dxa"/>
            <w:shd w:val="clear" w:color="auto" w:fill="auto"/>
            <w:noWrap/>
            <w:vAlign w:val="center"/>
            <w:hideMark/>
          </w:tcPr>
          <w:p w14:paraId="2070241E"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1.5</w:t>
            </w:r>
          </w:p>
        </w:tc>
        <w:tc>
          <w:tcPr>
            <w:tcW w:w="1036" w:type="dxa"/>
            <w:shd w:val="clear" w:color="auto" w:fill="auto"/>
            <w:noWrap/>
            <w:vAlign w:val="center"/>
            <w:hideMark/>
          </w:tcPr>
          <w:p w14:paraId="092662B3"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7.0</w:t>
            </w:r>
          </w:p>
        </w:tc>
        <w:tc>
          <w:tcPr>
            <w:tcW w:w="1037" w:type="dxa"/>
            <w:shd w:val="clear" w:color="auto" w:fill="auto"/>
            <w:noWrap/>
            <w:vAlign w:val="center"/>
            <w:hideMark/>
          </w:tcPr>
          <w:p w14:paraId="20A531AA"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2.4</w:t>
            </w:r>
          </w:p>
        </w:tc>
        <w:tc>
          <w:tcPr>
            <w:tcW w:w="1037" w:type="dxa"/>
            <w:shd w:val="clear" w:color="auto" w:fill="auto"/>
            <w:noWrap/>
            <w:vAlign w:val="center"/>
            <w:hideMark/>
          </w:tcPr>
          <w:p w14:paraId="7C6F08EB"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2.2</w:t>
            </w:r>
          </w:p>
        </w:tc>
        <w:tc>
          <w:tcPr>
            <w:tcW w:w="1037" w:type="dxa"/>
            <w:shd w:val="clear" w:color="auto" w:fill="auto"/>
            <w:noWrap/>
            <w:vAlign w:val="center"/>
            <w:hideMark/>
          </w:tcPr>
          <w:p w14:paraId="4AB6081F"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1.9</w:t>
            </w:r>
          </w:p>
        </w:tc>
        <w:tc>
          <w:tcPr>
            <w:tcW w:w="1037" w:type="dxa"/>
            <w:shd w:val="clear" w:color="auto" w:fill="auto"/>
            <w:noWrap/>
            <w:vAlign w:val="center"/>
            <w:hideMark/>
          </w:tcPr>
          <w:p w14:paraId="446264B4"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2.0</w:t>
            </w:r>
          </w:p>
        </w:tc>
      </w:tr>
      <w:tr w:rsidR="00F62181" w:rsidRPr="007E6A51" w14:paraId="794ADDF4" w14:textId="77777777" w:rsidTr="00194334">
        <w:trPr>
          <w:trHeight w:val="285"/>
          <w:jc w:val="center"/>
        </w:trPr>
        <w:tc>
          <w:tcPr>
            <w:tcW w:w="2947" w:type="dxa"/>
            <w:shd w:val="clear" w:color="auto" w:fill="auto"/>
            <w:noWrap/>
            <w:vAlign w:val="center"/>
            <w:hideMark/>
          </w:tcPr>
          <w:p w14:paraId="52CE75C9" w14:textId="372EEF53"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EPS, Adj</w:t>
            </w:r>
            <w:r w:rsidR="007E6A51">
              <w:rPr>
                <w:rFonts w:ascii="Arial" w:hAnsi="Arial" w:cs="Arial"/>
                <w:b/>
                <w:bCs/>
                <w:color w:val="000000" w:themeColor="text1"/>
                <w:sz w:val="18"/>
                <w:szCs w:val="18"/>
                <w:lang w:val="en-SG" w:eastAsia="en-SG"/>
              </w:rPr>
              <w:t>usted (SGD)</w:t>
            </w:r>
          </w:p>
        </w:tc>
        <w:tc>
          <w:tcPr>
            <w:tcW w:w="1036" w:type="dxa"/>
            <w:shd w:val="clear" w:color="auto" w:fill="auto"/>
            <w:noWrap/>
            <w:vAlign w:val="center"/>
            <w:hideMark/>
          </w:tcPr>
          <w:p w14:paraId="11102312"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0.15</w:t>
            </w:r>
          </w:p>
        </w:tc>
        <w:tc>
          <w:tcPr>
            <w:tcW w:w="1036" w:type="dxa"/>
            <w:shd w:val="clear" w:color="auto" w:fill="auto"/>
            <w:noWrap/>
            <w:vAlign w:val="center"/>
            <w:hideMark/>
          </w:tcPr>
          <w:p w14:paraId="331E34D8"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0.84</w:t>
            </w:r>
          </w:p>
        </w:tc>
        <w:tc>
          <w:tcPr>
            <w:tcW w:w="1037" w:type="dxa"/>
            <w:shd w:val="clear" w:color="auto" w:fill="auto"/>
            <w:noWrap/>
            <w:vAlign w:val="center"/>
            <w:hideMark/>
          </w:tcPr>
          <w:p w14:paraId="28DE0B00"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0.29</w:t>
            </w:r>
          </w:p>
        </w:tc>
        <w:tc>
          <w:tcPr>
            <w:tcW w:w="1037" w:type="dxa"/>
            <w:shd w:val="clear" w:color="auto" w:fill="auto"/>
            <w:noWrap/>
            <w:vAlign w:val="center"/>
            <w:hideMark/>
          </w:tcPr>
          <w:p w14:paraId="6958D23E"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0.28</w:t>
            </w:r>
          </w:p>
        </w:tc>
        <w:tc>
          <w:tcPr>
            <w:tcW w:w="1037" w:type="dxa"/>
            <w:shd w:val="clear" w:color="auto" w:fill="auto"/>
            <w:noWrap/>
            <w:vAlign w:val="center"/>
            <w:hideMark/>
          </w:tcPr>
          <w:p w14:paraId="0F868D29"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0.25</w:t>
            </w:r>
          </w:p>
        </w:tc>
        <w:tc>
          <w:tcPr>
            <w:tcW w:w="1037" w:type="dxa"/>
            <w:shd w:val="clear" w:color="auto" w:fill="auto"/>
            <w:noWrap/>
            <w:vAlign w:val="center"/>
            <w:hideMark/>
          </w:tcPr>
          <w:p w14:paraId="37E2224E"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0.26</w:t>
            </w:r>
          </w:p>
        </w:tc>
      </w:tr>
      <w:tr w:rsidR="00F62181" w:rsidRPr="00F81FD3" w14:paraId="3B60A295" w14:textId="77777777" w:rsidTr="00194334">
        <w:trPr>
          <w:trHeight w:val="285"/>
          <w:jc w:val="center"/>
        </w:trPr>
        <w:tc>
          <w:tcPr>
            <w:tcW w:w="2947" w:type="dxa"/>
            <w:shd w:val="clear" w:color="auto" w:fill="auto"/>
            <w:noWrap/>
            <w:vAlign w:val="center"/>
            <w:hideMark/>
          </w:tcPr>
          <w:p w14:paraId="4831CEC1" w14:textId="311B2E51" w:rsidR="00250233" w:rsidRPr="00F81FD3" w:rsidRDefault="00250233" w:rsidP="00576751">
            <w:pPr>
              <w:ind w:left="144"/>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Growth, YoY</w:t>
            </w:r>
            <w:r w:rsidR="00BE6B57" w:rsidRPr="00F81FD3">
              <w:rPr>
                <w:rFonts w:ascii="Arial" w:hAnsi="Arial" w:cs="Arial"/>
                <w:iCs/>
                <w:color w:val="000000" w:themeColor="text1"/>
                <w:sz w:val="18"/>
                <w:szCs w:val="18"/>
                <w:lang w:val="en-SG" w:eastAsia="en-SG"/>
              </w:rPr>
              <w:t xml:space="preserve"> (%)</w:t>
            </w:r>
          </w:p>
        </w:tc>
        <w:tc>
          <w:tcPr>
            <w:tcW w:w="1036" w:type="dxa"/>
            <w:shd w:val="clear" w:color="auto" w:fill="auto"/>
            <w:noWrap/>
            <w:vAlign w:val="center"/>
            <w:hideMark/>
          </w:tcPr>
          <w:p w14:paraId="648748B3" w14:textId="7ACCAFE4" w:rsidR="00250233" w:rsidRPr="00F81FD3" w:rsidRDefault="00F35E30"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r w:rsidR="00250233" w:rsidRPr="00F81FD3">
              <w:rPr>
                <w:rFonts w:ascii="Arial" w:hAnsi="Arial" w:cs="Arial"/>
                <w:iCs/>
                <w:color w:val="000000" w:themeColor="text1"/>
                <w:sz w:val="18"/>
                <w:szCs w:val="18"/>
                <w:lang w:val="en-SG" w:eastAsia="en-SG"/>
              </w:rPr>
              <w:t>82.5</w:t>
            </w:r>
            <w:r w:rsidRPr="00F81FD3">
              <w:rPr>
                <w:rFonts w:ascii="Arial" w:hAnsi="Arial" w:cs="Arial"/>
                <w:iCs/>
                <w:color w:val="000000" w:themeColor="text1"/>
                <w:sz w:val="18"/>
                <w:szCs w:val="18"/>
                <w:lang w:val="en-SG" w:eastAsia="en-SG"/>
              </w:rPr>
              <w:t>)</w:t>
            </w:r>
          </w:p>
        </w:tc>
        <w:tc>
          <w:tcPr>
            <w:tcW w:w="1036" w:type="dxa"/>
            <w:shd w:val="clear" w:color="auto" w:fill="auto"/>
            <w:noWrap/>
            <w:vAlign w:val="center"/>
            <w:hideMark/>
          </w:tcPr>
          <w:p w14:paraId="34FCDDA2"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440.6</w:t>
            </w:r>
          </w:p>
        </w:tc>
        <w:tc>
          <w:tcPr>
            <w:tcW w:w="1037" w:type="dxa"/>
            <w:shd w:val="clear" w:color="auto" w:fill="auto"/>
            <w:noWrap/>
            <w:vAlign w:val="center"/>
            <w:hideMark/>
          </w:tcPr>
          <w:p w14:paraId="63CF6B30" w14:textId="1984AF33" w:rsidR="00250233" w:rsidRPr="00F81FD3" w:rsidRDefault="00F35E30"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r w:rsidR="00250233" w:rsidRPr="00F81FD3">
              <w:rPr>
                <w:rFonts w:ascii="Arial" w:hAnsi="Arial" w:cs="Arial"/>
                <w:iCs/>
                <w:color w:val="000000" w:themeColor="text1"/>
                <w:sz w:val="18"/>
                <w:szCs w:val="18"/>
                <w:lang w:val="en-SG" w:eastAsia="en-SG"/>
              </w:rPr>
              <w:t>64.8</w:t>
            </w:r>
            <w:r w:rsidRPr="00F81FD3">
              <w:rPr>
                <w:rFonts w:ascii="Arial" w:hAnsi="Arial" w:cs="Arial"/>
                <w:iCs/>
                <w:color w:val="000000" w:themeColor="text1"/>
                <w:sz w:val="18"/>
                <w:szCs w:val="18"/>
                <w:lang w:val="en-SG" w:eastAsia="en-SG"/>
              </w:rPr>
              <w:t>)</w:t>
            </w:r>
          </w:p>
        </w:tc>
        <w:tc>
          <w:tcPr>
            <w:tcW w:w="1037" w:type="dxa"/>
            <w:shd w:val="clear" w:color="auto" w:fill="auto"/>
            <w:noWrap/>
            <w:vAlign w:val="center"/>
            <w:hideMark/>
          </w:tcPr>
          <w:p w14:paraId="274FFA63" w14:textId="1241E443" w:rsidR="00250233" w:rsidRPr="00F81FD3" w:rsidRDefault="00F35E30"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r w:rsidR="00250233" w:rsidRPr="00F81FD3">
              <w:rPr>
                <w:rFonts w:ascii="Arial" w:hAnsi="Arial" w:cs="Arial"/>
                <w:iCs/>
                <w:color w:val="000000" w:themeColor="text1"/>
                <w:sz w:val="18"/>
                <w:szCs w:val="18"/>
                <w:lang w:val="en-SG" w:eastAsia="en-SG"/>
              </w:rPr>
              <w:t>4.6</w:t>
            </w:r>
            <w:r w:rsidRPr="00F81FD3">
              <w:rPr>
                <w:rFonts w:ascii="Arial" w:hAnsi="Arial" w:cs="Arial"/>
                <w:iCs/>
                <w:color w:val="000000" w:themeColor="text1"/>
                <w:sz w:val="18"/>
                <w:szCs w:val="18"/>
                <w:lang w:val="en-SG" w:eastAsia="en-SG"/>
              </w:rPr>
              <w:t>)</w:t>
            </w:r>
          </w:p>
        </w:tc>
        <w:tc>
          <w:tcPr>
            <w:tcW w:w="1037" w:type="dxa"/>
            <w:shd w:val="clear" w:color="auto" w:fill="auto"/>
            <w:noWrap/>
            <w:vAlign w:val="center"/>
            <w:hideMark/>
          </w:tcPr>
          <w:p w14:paraId="42457BA9" w14:textId="04DEA2AE" w:rsidR="00250233" w:rsidRPr="00F81FD3" w:rsidRDefault="00F35E30"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w:t>
            </w:r>
            <w:r w:rsidR="00250233" w:rsidRPr="00F81FD3">
              <w:rPr>
                <w:rFonts w:ascii="Arial" w:hAnsi="Arial" w:cs="Arial"/>
                <w:iCs/>
                <w:color w:val="000000" w:themeColor="text1"/>
                <w:sz w:val="18"/>
                <w:szCs w:val="18"/>
                <w:lang w:val="en-SG" w:eastAsia="en-SG"/>
              </w:rPr>
              <w:t>12.7</w:t>
            </w:r>
            <w:r w:rsidRPr="00F81FD3">
              <w:rPr>
                <w:rFonts w:ascii="Arial" w:hAnsi="Arial" w:cs="Arial"/>
                <w:iCs/>
                <w:color w:val="000000" w:themeColor="text1"/>
                <w:sz w:val="18"/>
                <w:szCs w:val="18"/>
                <w:lang w:val="en-SG" w:eastAsia="en-SG"/>
              </w:rPr>
              <w:t>)</w:t>
            </w:r>
          </w:p>
        </w:tc>
        <w:tc>
          <w:tcPr>
            <w:tcW w:w="1037" w:type="dxa"/>
            <w:shd w:val="clear" w:color="auto" w:fill="auto"/>
            <w:noWrap/>
            <w:vAlign w:val="center"/>
            <w:hideMark/>
          </w:tcPr>
          <w:p w14:paraId="7EA5D81C" w14:textId="77777777" w:rsidR="00250233" w:rsidRPr="00F81FD3" w:rsidRDefault="00250233" w:rsidP="007E6A51">
            <w:pPr>
              <w:jc w:val="right"/>
              <w:rPr>
                <w:rFonts w:ascii="Arial" w:hAnsi="Arial" w:cs="Arial"/>
                <w:iCs/>
                <w:color w:val="000000" w:themeColor="text1"/>
                <w:sz w:val="18"/>
                <w:szCs w:val="18"/>
                <w:lang w:val="en-SG" w:eastAsia="en-SG"/>
              </w:rPr>
            </w:pPr>
            <w:r w:rsidRPr="00F81FD3">
              <w:rPr>
                <w:rFonts w:ascii="Arial" w:hAnsi="Arial" w:cs="Arial"/>
                <w:iCs/>
                <w:color w:val="000000" w:themeColor="text1"/>
                <w:sz w:val="18"/>
                <w:szCs w:val="18"/>
                <w:lang w:val="en-SG" w:eastAsia="en-SG"/>
              </w:rPr>
              <w:t>5.8</w:t>
            </w:r>
          </w:p>
        </w:tc>
      </w:tr>
      <w:tr w:rsidR="00BE6B57" w:rsidRPr="007E6A51" w14:paraId="6FDF274B" w14:textId="77777777" w:rsidTr="00194334">
        <w:trPr>
          <w:trHeight w:val="285"/>
          <w:jc w:val="center"/>
        </w:trPr>
        <w:tc>
          <w:tcPr>
            <w:tcW w:w="2947" w:type="dxa"/>
            <w:shd w:val="clear" w:color="auto" w:fill="auto"/>
            <w:noWrap/>
            <w:vAlign w:val="center"/>
          </w:tcPr>
          <w:p w14:paraId="2F6409BD" w14:textId="77777777" w:rsidR="00BE6B57" w:rsidRPr="007E6A51" w:rsidRDefault="00BE6B57" w:rsidP="007E6A51">
            <w:pPr>
              <w:rPr>
                <w:rFonts w:ascii="Arial" w:hAnsi="Arial" w:cs="Arial"/>
                <w:b/>
                <w:bCs/>
                <w:color w:val="000000" w:themeColor="text1"/>
                <w:sz w:val="18"/>
                <w:szCs w:val="18"/>
                <w:lang w:val="en-SG" w:eastAsia="en-SG"/>
              </w:rPr>
            </w:pPr>
          </w:p>
        </w:tc>
        <w:tc>
          <w:tcPr>
            <w:tcW w:w="1036" w:type="dxa"/>
            <w:shd w:val="clear" w:color="auto" w:fill="auto"/>
            <w:noWrap/>
            <w:vAlign w:val="center"/>
          </w:tcPr>
          <w:p w14:paraId="2BD6570D"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6" w:type="dxa"/>
            <w:shd w:val="clear" w:color="auto" w:fill="auto"/>
            <w:noWrap/>
            <w:vAlign w:val="center"/>
          </w:tcPr>
          <w:p w14:paraId="58D65AD3"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326726F9"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3A4EDB86"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7E487EF0"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3E3AC688" w14:textId="77777777" w:rsidR="00BE6B57" w:rsidRPr="007E6A51" w:rsidRDefault="00BE6B57" w:rsidP="007E6A51">
            <w:pPr>
              <w:jc w:val="right"/>
              <w:rPr>
                <w:rFonts w:ascii="Arial" w:hAnsi="Arial" w:cs="Arial"/>
                <w:b/>
                <w:bCs/>
                <w:color w:val="000000" w:themeColor="text1"/>
                <w:sz w:val="18"/>
                <w:szCs w:val="18"/>
                <w:lang w:val="en-SG" w:eastAsia="en-SG"/>
              </w:rPr>
            </w:pPr>
          </w:p>
        </w:tc>
      </w:tr>
      <w:tr w:rsidR="00F62181" w:rsidRPr="007E6A51" w14:paraId="3A03C2D6" w14:textId="77777777" w:rsidTr="00194334">
        <w:trPr>
          <w:trHeight w:val="285"/>
          <w:jc w:val="center"/>
        </w:trPr>
        <w:tc>
          <w:tcPr>
            <w:tcW w:w="2947" w:type="dxa"/>
            <w:shd w:val="clear" w:color="auto" w:fill="auto"/>
            <w:noWrap/>
            <w:vAlign w:val="center"/>
            <w:hideMark/>
          </w:tcPr>
          <w:p w14:paraId="5A62E33C" w14:textId="77777777"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Cash from Operations</w:t>
            </w:r>
          </w:p>
        </w:tc>
        <w:tc>
          <w:tcPr>
            <w:tcW w:w="1036" w:type="dxa"/>
            <w:shd w:val="clear" w:color="auto" w:fill="auto"/>
            <w:noWrap/>
            <w:vAlign w:val="center"/>
            <w:hideMark/>
          </w:tcPr>
          <w:p w14:paraId="6DA12FC4"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2,128.0</w:t>
            </w:r>
          </w:p>
        </w:tc>
        <w:tc>
          <w:tcPr>
            <w:tcW w:w="1036" w:type="dxa"/>
            <w:shd w:val="clear" w:color="auto" w:fill="auto"/>
            <w:noWrap/>
            <w:vAlign w:val="center"/>
            <w:hideMark/>
          </w:tcPr>
          <w:p w14:paraId="5BB265BE"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3,429.9</w:t>
            </w:r>
          </w:p>
        </w:tc>
        <w:tc>
          <w:tcPr>
            <w:tcW w:w="1037" w:type="dxa"/>
            <w:shd w:val="clear" w:color="auto" w:fill="auto"/>
            <w:noWrap/>
            <w:vAlign w:val="center"/>
            <w:hideMark/>
          </w:tcPr>
          <w:p w14:paraId="65F60775"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1,812.8</w:t>
            </w:r>
          </w:p>
        </w:tc>
        <w:tc>
          <w:tcPr>
            <w:tcW w:w="1037" w:type="dxa"/>
            <w:shd w:val="clear" w:color="auto" w:fill="auto"/>
            <w:noWrap/>
            <w:vAlign w:val="center"/>
            <w:hideMark/>
          </w:tcPr>
          <w:p w14:paraId="2A8900C0"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2,034.6</w:t>
            </w:r>
          </w:p>
        </w:tc>
        <w:tc>
          <w:tcPr>
            <w:tcW w:w="1037" w:type="dxa"/>
            <w:shd w:val="clear" w:color="auto" w:fill="auto"/>
            <w:noWrap/>
            <w:vAlign w:val="center"/>
            <w:hideMark/>
          </w:tcPr>
          <w:p w14:paraId="64EE9925"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2,303.9</w:t>
            </w:r>
          </w:p>
        </w:tc>
        <w:tc>
          <w:tcPr>
            <w:tcW w:w="1037" w:type="dxa"/>
            <w:shd w:val="clear" w:color="auto" w:fill="auto"/>
            <w:noWrap/>
            <w:vAlign w:val="center"/>
            <w:hideMark/>
          </w:tcPr>
          <w:p w14:paraId="307600A7"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2,209.0</w:t>
            </w:r>
          </w:p>
        </w:tc>
      </w:tr>
      <w:tr w:rsidR="00F62181" w:rsidRPr="007E6A51" w14:paraId="6E1817B9" w14:textId="77777777" w:rsidTr="00194334">
        <w:trPr>
          <w:trHeight w:val="285"/>
          <w:jc w:val="center"/>
        </w:trPr>
        <w:tc>
          <w:tcPr>
            <w:tcW w:w="2947" w:type="dxa"/>
            <w:shd w:val="clear" w:color="auto" w:fill="auto"/>
            <w:noWrap/>
            <w:vAlign w:val="center"/>
            <w:hideMark/>
          </w:tcPr>
          <w:p w14:paraId="3D56601D" w14:textId="77777777"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Capital Expenditures</w:t>
            </w:r>
          </w:p>
        </w:tc>
        <w:tc>
          <w:tcPr>
            <w:tcW w:w="1036" w:type="dxa"/>
            <w:shd w:val="clear" w:color="auto" w:fill="auto"/>
            <w:noWrap/>
            <w:vAlign w:val="center"/>
            <w:hideMark/>
          </w:tcPr>
          <w:p w14:paraId="4D45C0B5" w14:textId="6C13937F" w:rsidR="00250233" w:rsidRPr="007E6A51" w:rsidRDefault="00F35E30" w:rsidP="007E6A51">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7E6A51">
              <w:rPr>
                <w:rFonts w:ascii="Arial" w:hAnsi="Arial" w:cs="Arial"/>
                <w:b/>
                <w:bCs/>
                <w:color w:val="000000" w:themeColor="text1"/>
                <w:sz w:val="18"/>
                <w:szCs w:val="18"/>
                <w:lang w:val="en-SG" w:eastAsia="en-SG"/>
              </w:rPr>
              <w:t>1,560.3</w:t>
            </w:r>
            <w:r>
              <w:rPr>
                <w:rFonts w:ascii="Arial" w:hAnsi="Arial" w:cs="Arial"/>
                <w:b/>
                <w:bCs/>
                <w:color w:val="000000" w:themeColor="text1"/>
                <w:sz w:val="18"/>
                <w:szCs w:val="18"/>
                <w:lang w:val="en-SG" w:eastAsia="en-SG"/>
              </w:rPr>
              <w:t>)</w:t>
            </w:r>
          </w:p>
        </w:tc>
        <w:tc>
          <w:tcPr>
            <w:tcW w:w="1036" w:type="dxa"/>
            <w:shd w:val="clear" w:color="auto" w:fill="auto"/>
            <w:noWrap/>
            <w:vAlign w:val="center"/>
            <w:hideMark/>
          </w:tcPr>
          <w:p w14:paraId="07FEC669" w14:textId="460E685F" w:rsidR="00250233" w:rsidRPr="007E6A51" w:rsidRDefault="00F35E30" w:rsidP="007E6A51">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7E6A51">
              <w:rPr>
                <w:rFonts w:ascii="Arial" w:hAnsi="Arial" w:cs="Arial"/>
                <w:b/>
                <w:bCs/>
                <w:color w:val="000000" w:themeColor="text1"/>
                <w:sz w:val="18"/>
                <w:szCs w:val="18"/>
                <w:lang w:val="en-SG" w:eastAsia="en-SG"/>
              </w:rPr>
              <w:t>1,223.8</w:t>
            </w:r>
            <w:r>
              <w:rPr>
                <w:rFonts w:ascii="Arial" w:hAnsi="Arial" w:cs="Arial"/>
                <w:b/>
                <w:bCs/>
                <w:color w:val="000000" w:themeColor="text1"/>
                <w:sz w:val="18"/>
                <w:szCs w:val="18"/>
                <w:lang w:val="en-SG" w:eastAsia="en-SG"/>
              </w:rPr>
              <w:t>)</w:t>
            </w:r>
          </w:p>
        </w:tc>
        <w:tc>
          <w:tcPr>
            <w:tcW w:w="1037" w:type="dxa"/>
            <w:shd w:val="clear" w:color="auto" w:fill="auto"/>
            <w:noWrap/>
            <w:vAlign w:val="center"/>
            <w:hideMark/>
          </w:tcPr>
          <w:p w14:paraId="540E57C6" w14:textId="31C6DA75" w:rsidR="00250233" w:rsidRPr="007E6A51" w:rsidRDefault="00F35E30" w:rsidP="007E6A51">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7E6A51">
              <w:rPr>
                <w:rFonts w:ascii="Arial" w:hAnsi="Arial" w:cs="Arial"/>
                <w:b/>
                <w:bCs/>
                <w:color w:val="000000" w:themeColor="text1"/>
                <w:sz w:val="18"/>
                <w:szCs w:val="18"/>
                <w:lang w:val="en-SG" w:eastAsia="en-SG"/>
              </w:rPr>
              <w:t>1,641.2</w:t>
            </w:r>
            <w:r>
              <w:rPr>
                <w:rFonts w:ascii="Arial" w:hAnsi="Arial" w:cs="Arial"/>
                <w:b/>
                <w:bCs/>
                <w:color w:val="000000" w:themeColor="text1"/>
                <w:sz w:val="18"/>
                <w:szCs w:val="18"/>
                <w:lang w:val="en-SG" w:eastAsia="en-SG"/>
              </w:rPr>
              <w:t>)</w:t>
            </w:r>
          </w:p>
        </w:tc>
        <w:tc>
          <w:tcPr>
            <w:tcW w:w="1037" w:type="dxa"/>
            <w:shd w:val="clear" w:color="auto" w:fill="auto"/>
            <w:noWrap/>
            <w:vAlign w:val="center"/>
            <w:hideMark/>
          </w:tcPr>
          <w:p w14:paraId="454A3885" w14:textId="34B77B18" w:rsidR="00250233" w:rsidRPr="007E6A51" w:rsidRDefault="00F35E30" w:rsidP="007E6A51">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7E6A51">
              <w:rPr>
                <w:rFonts w:ascii="Arial" w:hAnsi="Arial" w:cs="Arial"/>
                <w:b/>
                <w:bCs/>
                <w:color w:val="000000" w:themeColor="text1"/>
                <w:sz w:val="18"/>
                <w:szCs w:val="18"/>
                <w:lang w:val="en-SG" w:eastAsia="en-SG"/>
              </w:rPr>
              <w:t>1,875.4</w:t>
            </w:r>
            <w:r>
              <w:rPr>
                <w:rFonts w:ascii="Arial" w:hAnsi="Arial" w:cs="Arial"/>
                <w:b/>
                <w:bCs/>
                <w:color w:val="000000" w:themeColor="text1"/>
                <w:sz w:val="18"/>
                <w:szCs w:val="18"/>
                <w:lang w:val="en-SG" w:eastAsia="en-SG"/>
              </w:rPr>
              <w:t>)</w:t>
            </w:r>
          </w:p>
        </w:tc>
        <w:tc>
          <w:tcPr>
            <w:tcW w:w="1037" w:type="dxa"/>
            <w:shd w:val="clear" w:color="auto" w:fill="auto"/>
            <w:noWrap/>
            <w:vAlign w:val="center"/>
            <w:hideMark/>
          </w:tcPr>
          <w:p w14:paraId="4B672E3E" w14:textId="7DFA1138" w:rsidR="00250233" w:rsidRPr="007E6A51" w:rsidRDefault="00F35E30" w:rsidP="007E6A51">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7E6A51">
              <w:rPr>
                <w:rFonts w:ascii="Arial" w:hAnsi="Arial" w:cs="Arial"/>
                <w:b/>
                <w:bCs/>
                <w:color w:val="000000" w:themeColor="text1"/>
                <w:sz w:val="18"/>
                <w:szCs w:val="18"/>
                <w:lang w:val="en-SG" w:eastAsia="en-SG"/>
              </w:rPr>
              <w:t>2,574.6</w:t>
            </w:r>
            <w:r>
              <w:rPr>
                <w:rFonts w:ascii="Arial" w:hAnsi="Arial" w:cs="Arial"/>
                <w:b/>
                <w:bCs/>
                <w:color w:val="000000" w:themeColor="text1"/>
                <w:sz w:val="18"/>
                <w:szCs w:val="18"/>
                <w:lang w:val="en-SG" w:eastAsia="en-SG"/>
              </w:rPr>
              <w:t>)</w:t>
            </w:r>
          </w:p>
        </w:tc>
        <w:tc>
          <w:tcPr>
            <w:tcW w:w="1037" w:type="dxa"/>
            <w:shd w:val="clear" w:color="auto" w:fill="auto"/>
            <w:noWrap/>
            <w:vAlign w:val="center"/>
            <w:hideMark/>
          </w:tcPr>
          <w:p w14:paraId="5065D7E4" w14:textId="7D7398D0" w:rsidR="00250233" w:rsidRPr="007E6A51" w:rsidRDefault="00F35E30" w:rsidP="007E6A51">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7E6A51">
              <w:rPr>
                <w:rFonts w:ascii="Arial" w:hAnsi="Arial" w:cs="Arial"/>
                <w:b/>
                <w:bCs/>
                <w:color w:val="000000" w:themeColor="text1"/>
                <w:sz w:val="18"/>
                <w:szCs w:val="18"/>
                <w:lang w:val="en-SG" w:eastAsia="en-SG"/>
              </w:rPr>
              <w:t>2,600.2</w:t>
            </w:r>
            <w:r>
              <w:rPr>
                <w:rFonts w:ascii="Arial" w:hAnsi="Arial" w:cs="Arial"/>
                <w:b/>
                <w:bCs/>
                <w:color w:val="000000" w:themeColor="text1"/>
                <w:sz w:val="18"/>
                <w:szCs w:val="18"/>
                <w:lang w:val="en-SG" w:eastAsia="en-SG"/>
              </w:rPr>
              <w:t>)</w:t>
            </w:r>
          </w:p>
        </w:tc>
      </w:tr>
      <w:tr w:rsidR="00F62181" w:rsidRPr="007E6A51" w14:paraId="3D2ECE44" w14:textId="77777777" w:rsidTr="00194334">
        <w:trPr>
          <w:trHeight w:val="285"/>
          <w:jc w:val="center"/>
        </w:trPr>
        <w:tc>
          <w:tcPr>
            <w:tcW w:w="2947" w:type="dxa"/>
            <w:shd w:val="clear" w:color="auto" w:fill="auto"/>
            <w:noWrap/>
            <w:vAlign w:val="center"/>
            <w:hideMark/>
          </w:tcPr>
          <w:p w14:paraId="2D530281" w14:textId="77777777"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Free Cash Flow</w:t>
            </w:r>
          </w:p>
        </w:tc>
        <w:tc>
          <w:tcPr>
            <w:tcW w:w="1036" w:type="dxa"/>
            <w:shd w:val="clear" w:color="auto" w:fill="auto"/>
            <w:noWrap/>
            <w:vAlign w:val="center"/>
            <w:hideMark/>
          </w:tcPr>
          <w:p w14:paraId="4B0AC930"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567.7</w:t>
            </w:r>
          </w:p>
        </w:tc>
        <w:tc>
          <w:tcPr>
            <w:tcW w:w="1036" w:type="dxa"/>
            <w:shd w:val="clear" w:color="auto" w:fill="auto"/>
            <w:noWrap/>
            <w:vAlign w:val="center"/>
            <w:hideMark/>
          </w:tcPr>
          <w:p w14:paraId="77D5263A"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2,206.1</w:t>
            </w:r>
          </w:p>
        </w:tc>
        <w:tc>
          <w:tcPr>
            <w:tcW w:w="1037" w:type="dxa"/>
            <w:shd w:val="clear" w:color="auto" w:fill="auto"/>
            <w:noWrap/>
            <w:vAlign w:val="center"/>
            <w:hideMark/>
          </w:tcPr>
          <w:p w14:paraId="47287F92"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171.6</w:t>
            </w:r>
          </w:p>
        </w:tc>
        <w:tc>
          <w:tcPr>
            <w:tcW w:w="1037" w:type="dxa"/>
            <w:shd w:val="clear" w:color="auto" w:fill="auto"/>
            <w:noWrap/>
            <w:vAlign w:val="center"/>
            <w:hideMark/>
          </w:tcPr>
          <w:p w14:paraId="77B2F1A8" w14:textId="77777777" w:rsidR="00250233" w:rsidRPr="007E6A51" w:rsidRDefault="00250233"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159.2</w:t>
            </w:r>
          </w:p>
        </w:tc>
        <w:tc>
          <w:tcPr>
            <w:tcW w:w="1037" w:type="dxa"/>
            <w:shd w:val="clear" w:color="auto" w:fill="auto"/>
            <w:noWrap/>
            <w:vAlign w:val="center"/>
            <w:hideMark/>
          </w:tcPr>
          <w:p w14:paraId="26EDB045" w14:textId="56BA4CFC" w:rsidR="00250233" w:rsidRPr="007E6A51" w:rsidRDefault="00F35E30" w:rsidP="007E6A51">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7E6A51">
              <w:rPr>
                <w:rFonts w:ascii="Arial" w:hAnsi="Arial" w:cs="Arial"/>
                <w:b/>
                <w:bCs/>
                <w:color w:val="000000" w:themeColor="text1"/>
                <w:sz w:val="18"/>
                <w:szCs w:val="18"/>
                <w:lang w:val="en-SG" w:eastAsia="en-SG"/>
              </w:rPr>
              <w:t>270.7</w:t>
            </w:r>
            <w:r>
              <w:rPr>
                <w:rFonts w:ascii="Arial" w:hAnsi="Arial" w:cs="Arial"/>
                <w:b/>
                <w:bCs/>
                <w:color w:val="000000" w:themeColor="text1"/>
                <w:sz w:val="18"/>
                <w:szCs w:val="18"/>
                <w:lang w:val="en-SG" w:eastAsia="en-SG"/>
              </w:rPr>
              <w:t>)</w:t>
            </w:r>
          </w:p>
        </w:tc>
        <w:tc>
          <w:tcPr>
            <w:tcW w:w="1037" w:type="dxa"/>
            <w:shd w:val="clear" w:color="auto" w:fill="auto"/>
            <w:noWrap/>
            <w:vAlign w:val="center"/>
            <w:hideMark/>
          </w:tcPr>
          <w:p w14:paraId="079012D3" w14:textId="44284F44" w:rsidR="00250233" w:rsidRPr="007E6A51" w:rsidRDefault="00F35E30" w:rsidP="007E6A51">
            <w:pPr>
              <w:jc w:val="right"/>
              <w:rPr>
                <w:rFonts w:ascii="Arial" w:hAnsi="Arial" w:cs="Arial"/>
                <w:b/>
                <w:bCs/>
                <w:color w:val="000000" w:themeColor="text1"/>
                <w:sz w:val="18"/>
                <w:szCs w:val="18"/>
                <w:lang w:val="en-SG" w:eastAsia="en-SG"/>
              </w:rPr>
            </w:pPr>
            <w:r>
              <w:rPr>
                <w:rFonts w:ascii="Arial" w:hAnsi="Arial" w:cs="Arial"/>
                <w:b/>
                <w:bCs/>
                <w:color w:val="000000" w:themeColor="text1"/>
                <w:sz w:val="18"/>
                <w:szCs w:val="18"/>
                <w:lang w:val="en-SG" w:eastAsia="en-SG"/>
              </w:rPr>
              <w:t>(</w:t>
            </w:r>
            <w:r w:rsidR="00250233" w:rsidRPr="007E6A51">
              <w:rPr>
                <w:rFonts w:ascii="Arial" w:hAnsi="Arial" w:cs="Arial"/>
                <w:b/>
                <w:bCs/>
                <w:color w:val="000000" w:themeColor="text1"/>
                <w:sz w:val="18"/>
                <w:szCs w:val="18"/>
                <w:lang w:val="en-SG" w:eastAsia="en-SG"/>
              </w:rPr>
              <w:t>391.2</w:t>
            </w:r>
            <w:r>
              <w:rPr>
                <w:rFonts w:ascii="Arial" w:hAnsi="Arial" w:cs="Arial"/>
                <w:b/>
                <w:bCs/>
                <w:color w:val="000000" w:themeColor="text1"/>
                <w:sz w:val="18"/>
                <w:szCs w:val="18"/>
                <w:lang w:val="en-SG" w:eastAsia="en-SG"/>
              </w:rPr>
              <w:t>)</w:t>
            </w:r>
          </w:p>
        </w:tc>
      </w:tr>
      <w:tr w:rsidR="00BE6B57" w:rsidRPr="007E6A51" w14:paraId="08248AC1" w14:textId="77777777" w:rsidTr="00194334">
        <w:trPr>
          <w:trHeight w:val="285"/>
          <w:jc w:val="center"/>
        </w:trPr>
        <w:tc>
          <w:tcPr>
            <w:tcW w:w="2947" w:type="dxa"/>
            <w:shd w:val="clear" w:color="auto" w:fill="auto"/>
            <w:noWrap/>
            <w:vAlign w:val="center"/>
          </w:tcPr>
          <w:p w14:paraId="79E90FE5" w14:textId="77777777" w:rsidR="00BE6B57" w:rsidRPr="007E6A51" w:rsidRDefault="00BE6B57" w:rsidP="007E6A51">
            <w:pPr>
              <w:rPr>
                <w:rFonts w:ascii="Arial" w:hAnsi="Arial" w:cs="Arial"/>
                <w:b/>
                <w:bCs/>
                <w:color w:val="000000" w:themeColor="text1"/>
                <w:sz w:val="18"/>
                <w:szCs w:val="18"/>
                <w:lang w:val="en-SG" w:eastAsia="en-SG"/>
              </w:rPr>
            </w:pPr>
          </w:p>
        </w:tc>
        <w:tc>
          <w:tcPr>
            <w:tcW w:w="1036" w:type="dxa"/>
            <w:shd w:val="clear" w:color="auto" w:fill="auto"/>
            <w:noWrap/>
            <w:vAlign w:val="center"/>
          </w:tcPr>
          <w:p w14:paraId="7D13CDC2"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6" w:type="dxa"/>
            <w:shd w:val="clear" w:color="auto" w:fill="auto"/>
            <w:noWrap/>
            <w:vAlign w:val="center"/>
          </w:tcPr>
          <w:p w14:paraId="7BC97832"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7B150594"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708402DD"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136EBB1E" w14:textId="77777777" w:rsidR="00BE6B57" w:rsidRPr="007E6A51" w:rsidRDefault="00BE6B57" w:rsidP="007E6A51">
            <w:pPr>
              <w:jc w:val="right"/>
              <w:rPr>
                <w:rFonts w:ascii="Arial" w:hAnsi="Arial" w:cs="Arial"/>
                <w:b/>
                <w:bCs/>
                <w:color w:val="000000" w:themeColor="text1"/>
                <w:sz w:val="18"/>
                <w:szCs w:val="18"/>
                <w:lang w:val="en-SG" w:eastAsia="en-SG"/>
              </w:rPr>
            </w:pPr>
          </w:p>
        </w:tc>
        <w:tc>
          <w:tcPr>
            <w:tcW w:w="1037" w:type="dxa"/>
            <w:shd w:val="clear" w:color="auto" w:fill="auto"/>
            <w:noWrap/>
            <w:vAlign w:val="center"/>
          </w:tcPr>
          <w:p w14:paraId="1A0D37DB" w14:textId="77777777" w:rsidR="00BE6B57" w:rsidRPr="007E6A51" w:rsidRDefault="00BE6B57" w:rsidP="007E6A51">
            <w:pPr>
              <w:jc w:val="right"/>
              <w:rPr>
                <w:rFonts w:ascii="Arial" w:hAnsi="Arial" w:cs="Arial"/>
                <w:b/>
                <w:bCs/>
                <w:color w:val="000000" w:themeColor="text1"/>
                <w:sz w:val="18"/>
                <w:szCs w:val="18"/>
                <w:lang w:val="en-SG" w:eastAsia="en-SG"/>
              </w:rPr>
            </w:pPr>
          </w:p>
        </w:tc>
      </w:tr>
      <w:tr w:rsidR="00F62181" w:rsidRPr="007E6A51" w14:paraId="714348CF" w14:textId="77777777" w:rsidTr="00194334">
        <w:trPr>
          <w:trHeight w:val="285"/>
          <w:jc w:val="center"/>
        </w:trPr>
        <w:tc>
          <w:tcPr>
            <w:tcW w:w="2947" w:type="dxa"/>
            <w:shd w:val="clear" w:color="auto" w:fill="auto"/>
            <w:noWrap/>
            <w:vAlign w:val="center"/>
            <w:hideMark/>
          </w:tcPr>
          <w:p w14:paraId="601BFD5E" w14:textId="77777777"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Returns</w:t>
            </w:r>
          </w:p>
        </w:tc>
        <w:tc>
          <w:tcPr>
            <w:tcW w:w="1036" w:type="dxa"/>
            <w:shd w:val="clear" w:color="auto" w:fill="auto"/>
            <w:noWrap/>
            <w:vAlign w:val="center"/>
            <w:hideMark/>
          </w:tcPr>
          <w:p w14:paraId="43D07D81" w14:textId="7946F45D"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c>
          <w:tcPr>
            <w:tcW w:w="1036" w:type="dxa"/>
            <w:shd w:val="clear" w:color="auto" w:fill="auto"/>
            <w:noWrap/>
            <w:vAlign w:val="center"/>
            <w:hideMark/>
          </w:tcPr>
          <w:p w14:paraId="306B838C" w14:textId="1A54E267"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c>
          <w:tcPr>
            <w:tcW w:w="1037" w:type="dxa"/>
            <w:shd w:val="clear" w:color="auto" w:fill="auto"/>
            <w:noWrap/>
            <w:vAlign w:val="center"/>
            <w:hideMark/>
          </w:tcPr>
          <w:p w14:paraId="27A268DA" w14:textId="16B0D1D7"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c>
          <w:tcPr>
            <w:tcW w:w="1037" w:type="dxa"/>
            <w:shd w:val="clear" w:color="auto" w:fill="auto"/>
            <w:noWrap/>
            <w:vAlign w:val="center"/>
            <w:hideMark/>
          </w:tcPr>
          <w:p w14:paraId="1C9D489E" w14:textId="721B1F68"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c>
          <w:tcPr>
            <w:tcW w:w="1037" w:type="dxa"/>
            <w:shd w:val="clear" w:color="auto" w:fill="auto"/>
            <w:noWrap/>
            <w:vAlign w:val="center"/>
            <w:hideMark/>
          </w:tcPr>
          <w:p w14:paraId="58F78B92" w14:textId="6F687E28"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c>
          <w:tcPr>
            <w:tcW w:w="1037" w:type="dxa"/>
            <w:shd w:val="clear" w:color="auto" w:fill="auto"/>
            <w:noWrap/>
            <w:vAlign w:val="center"/>
            <w:hideMark/>
          </w:tcPr>
          <w:p w14:paraId="2BB24665" w14:textId="632D4E1C"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r>
      <w:tr w:rsidR="00F62181" w:rsidRPr="007E6A51" w14:paraId="72115B9F" w14:textId="77777777" w:rsidTr="00194334">
        <w:trPr>
          <w:trHeight w:val="285"/>
          <w:jc w:val="center"/>
        </w:trPr>
        <w:tc>
          <w:tcPr>
            <w:tcW w:w="2947" w:type="dxa"/>
            <w:shd w:val="clear" w:color="auto" w:fill="auto"/>
            <w:noWrap/>
            <w:vAlign w:val="center"/>
            <w:hideMark/>
          </w:tcPr>
          <w:p w14:paraId="3D4D2F46" w14:textId="77777777" w:rsidR="00250233" w:rsidRPr="007E6A51" w:rsidRDefault="00250233" w:rsidP="007E6A51">
            <w:pPr>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Return on Common Equity</w:t>
            </w:r>
          </w:p>
        </w:tc>
        <w:tc>
          <w:tcPr>
            <w:tcW w:w="1036" w:type="dxa"/>
            <w:shd w:val="clear" w:color="auto" w:fill="auto"/>
            <w:noWrap/>
            <w:vAlign w:val="center"/>
            <w:hideMark/>
          </w:tcPr>
          <w:p w14:paraId="0CC9EB2B"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1.58</w:t>
            </w:r>
          </w:p>
        </w:tc>
        <w:tc>
          <w:tcPr>
            <w:tcW w:w="1036" w:type="dxa"/>
            <w:shd w:val="clear" w:color="auto" w:fill="auto"/>
            <w:noWrap/>
            <w:vAlign w:val="center"/>
            <w:hideMark/>
          </w:tcPr>
          <w:p w14:paraId="394F92EF"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7.89</w:t>
            </w:r>
          </w:p>
        </w:tc>
        <w:tc>
          <w:tcPr>
            <w:tcW w:w="1037" w:type="dxa"/>
            <w:shd w:val="clear" w:color="auto" w:fill="auto"/>
            <w:noWrap/>
            <w:vAlign w:val="center"/>
            <w:hideMark/>
          </w:tcPr>
          <w:p w14:paraId="3CC4AB26"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2.48</w:t>
            </w:r>
          </w:p>
        </w:tc>
        <w:tc>
          <w:tcPr>
            <w:tcW w:w="1037" w:type="dxa"/>
            <w:shd w:val="clear" w:color="auto" w:fill="auto"/>
            <w:noWrap/>
            <w:vAlign w:val="center"/>
            <w:hideMark/>
          </w:tcPr>
          <w:p w14:paraId="5FE69FDA"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2.92</w:t>
            </w:r>
          </w:p>
        </w:tc>
        <w:tc>
          <w:tcPr>
            <w:tcW w:w="1037" w:type="dxa"/>
            <w:shd w:val="clear" w:color="auto" w:fill="auto"/>
            <w:noWrap/>
            <w:vAlign w:val="center"/>
            <w:hideMark/>
          </w:tcPr>
          <w:p w14:paraId="2D8F603D"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2.73</w:t>
            </w:r>
          </w:p>
        </w:tc>
        <w:tc>
          <w:tcPr>
            <w:tcW w:w="1037" w:type="dxa"/>
            <w:shd w:val="clear" w:color="auto" w:fill="auto"/>
            <w:noWrap/>
            <w:vAlign w:val="center"/>
            <w:hideMark/>
          </w:tcPr>
          <w:p w14:paraId="706BC92B"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2.86</w:t>
            </w:r>
          </w:p>
        </w:tc>
      </w:tr>
      <w:tr w:rsidR="00F62181" w:rsidRPr="007E6A51" w14:paraId="2CCF5F80" w14:textId="77777777" w:rsidTr="00194334">
        <w:trPr>
          <w:trHeight w:val="285"/>
          <w:jc w:val="center"/>
        </w:trPr>
        <w:tc>
          <w:tcPr>
            <w:tcW w:w="2947" w:type="dxa"/>
            <w:shd w:val="clear" w:color="auto" w:fill="auto"/>
            <w:noWrap/>
            <w:vAlign w:val="center"/>
            <w:hideMark/>
          </w:tcPr>
          <w:p w14:paraId="1EF4DD46" w14:textId="77777777" w:rsidR="00250233" w:rsidRPr="007E6A51" w:rsidRDefault="00250233" w:rsidP="007E6A51">
            <w:pPr>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Return on Assets</w:t>
            </w:r>
          </w:p>
        </w:tc>
        <w:tc>
          <w:tcPr>
            <w:tcW w:w="1036" w:type="dxa"/>
            <w:shd w:val="clear" w:color="auto" w:fill="auto"/>
            <w:noWrap/>
            <w:vAlign w:val="center"/>
            <w:hideMark/>
          </w:tcPr>
          <w:p w14:paraId="26B6199C"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0.91</w:t>
            </w:r>
          </w:p>
        </w:tc>
        <w:tc>
          <w:tcPr>
            <w:tcW w:w="1036" w:type="dxa"/>
            <w:shd w:val="clear" w:color="auto" w:fill="auto"/>
            <w:noWrap/>
            <w:vAlign w:val="center"/>
            <w:hideMark/>
          </w:tcPr>
          <w:p w14:paraId="33014E8A"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4.64</w:t>
            </w:r>
          </w:p>
        </w:tc>
        <w:tc>
          <w:tcPr>
            <w:tcW w:w="1037" w:type="dxa"/>
            <w:shd w:val="clear" w:color="auto" w:fill="auto"/>
            <w:noWrap/>
            <w:vAlign w:val="center"/>
            <w:hideMark/>
          </w:tcPr>
          <w:p w14:paraId="542EC7F1"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1.44</w:t>
            </w:r>
          </w:p>
        </w:tc>
        <w:tc>
          <w:tcPr>
            <w:tcW w:w="1037" w:type="dxa"/>
            <w:shd w:val="clear" w:color="auto" w:fill="auto"/>
            <w:noWrap/>
            <w:vAlign w:val="center"/>
            <w:hideMark/>
          </w:tcPr>
          <w:p w14:paraId="21B95127"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1.70</w:t>
            </w:r>
          </w:p>
        </w:tc>
        <w:tc>
          <w:tcPr>
            <w:tcW w:w="1037" w:type="dxa"/>
            <w:shd w:val="clear" w:color="auto" w:fill="auto"/>
            <w:noWrap/>
            <w:vAlign w:val="center"/>
            <w:hideMark/>
          </w:tcPr>
          <w:p w14:paraId="5D6B0E85"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1.60</w:t>
            </w:r>
          </w:p>
        </w:tc>
        <w:tc>
          <w:tcPr>
            <w:tcW w:w="1037" w:type="dxa"/>
            <w:shd w:val="clear" w:color="auto" w:fill="auto"/>
            <w:noWrap/>
            <w:vAlign w:val="center"/>
            <w:hideMark/>
          </w:tcPr>
          <w:p w14:paraId="6F18FDD9"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1.58</w:t>
            </w:r>
          </w:p>
        </w:tc>
      </w:tr>
      <w:tr w:rsidR="00F62181" w:rsidRPr="007E6A51" w14:paraId="4E4BE9D6" w14:textId="77777777" w:rsidTr="00194334">
        <w:trPr>
          <w:trHeight w:val="285"/>
          <w:jc w:val="center"/>
        </w:trPr>
        <w:tc>
          <w:tcPr>
            <w:tcW w:w="2947" w:type="dxa"/>
            <w:shd w:val="clear" w:color="auto" w:fill="auto"/>
            <w:noWrap/>
            <w:vAlign w:val="center"/>
            <w:hideMark/>
          </w:tcPr>
          <w:p w14:paraId="2A8F7A1B" w14:textId="77777777" w:rsidR="00250233" w:rsidRPr="007E6A51" w:rsidRDefault="00250233" w:rsidP="007E6A51">
            <w:pPr>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Return on Capital</w:t>
            </w:r>
          </w:p>
        </w:tc>
        <w:tc>
          <w:tcPr>
            <w:tcW w:w="1036" w:type="dxa"/>
            <w:shd w:val="clear" w:color="auto" w:fill="auto"/>
            <w:noWrap/>
            <w:vAlign w:val="center"/>
            <w:hideMark/>
          </w:tcPr>
          <w:p w14:paraId="189CB038"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2.16</w:t>
            </w:r>
          </w:p>
        </w:tc>
        <w:tc>
          <w:tcPr>
            <w:tcW w:w="1036" w:type="dxa"/>
            <w:shd w:val="clear" w:color="auto" w:fill="auto"/>
            <w:noWrap/>
            <w:vAlign w:val="center"/>
            <w:hideMark/>
          </w:tcPr>
          <w:p w14:paraId="4E21184E"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7.58</w:t>
            </w:r>
          </w:p>
        </w:tc>
        <w:tc>
          <w:tcPr>
            <w:tcW w:w="1037" w:type="dxa"/>
            <w:shd w:val="clear" w:color="auto" w:fill="auto"/>
            <w:noWrap/>
            <w:vAlign w:val="center"/>
            <w:hideMark/>
          </w:tcPr>
          <w:p w14:paraId="66AE3882"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2.96</w:t>
            </w:r>
          </w:p>
        </w:tc>
        <w:tc>
          <w:tcPr>
            <w:tcW w:w="1037" w:type="dxa"/>
            <w:shd w:val="clear" w:color="auto" w:fill="auto"/>
            <w:noWrap/>
            <w:vAlign w:val="center"/>
            <w:hideMark/>
          </w:tcPr>
          <w:p w14:paraId="44BABAB4"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3.33</w:t>
            </w:r>
          </w:p>
        </w:tc>
        <w:tc>
          <w:tcPr>
            <w:tcW w:w="1037" w:type="dxa"/>
            <w:shd w:val="clear" w:color="auto" w:fill="auto"/>
            <w:noWrap/>
            <w:vAlign w:val="center"/>
            <w:hideMark/>
          </w:tcPr>
          <w:p w14:paraId="4A995F4F"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3.12</w:t>
            </w:r>
          </w:p>
        </w:tc>
        <w:tc>
          <w:tcPr>
            <w:tcW w:w="1037" w:type="dxa"/>
            <w:shd w:val="clear" w:color="auto" w:fill="auto"/>
            <w:noWrap/>
            <w:vAlign w:val="center"/>
            <w:hideMark/>
          </w:tcPr>
          <w:p w14:paraId="78EA4452"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3.08</w:t>
            </w:r>
          </w:p>
        </w:tc>
      </w:tr>
      <w:tr w:rsidR="00F62181" w:rsidRPr="007E6A51" w14:paraId="5B1A516F" w14:textId="77777777" w:rsidTr="00194334">
        <w:trPr>
          <w:trHeight w:val="285"/>
          <w:jc w:val="center"/>
        </w:trPr>
        <w:tc>
          <w:tcPr>
            <w:tcW w:w="2947" w:type="dxa"/>
            <w:shd w:val="clear" w:color="auto" w:fill="auto"/>
            <w:noWrap/>
            <w:vAlign w:val="center"/>
            <w:hideMark/>
          </w:tcPr>
          <w:p w14:paraId="51568DE2" w14:textId="77777777" w:rsidR="00250233" w:rsidRPr="007E6A51" w:rsidRDefault="00250233" w:rsidP="007E6A51">
            <w:pPr>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Return on Invested Capital</w:t>
            </w:r>
          </w:p>
        </w:tc>
        <w:tc>
          <w:tcPr>
            <w:tcW w:w="1036" w:type="dxa"/>
            <w:shd w:val="clear" w:color="auto" w:fill="auto"/>
            <w:noWrap/>
            <w:vAlign w:val="center"/>
            <w:hideMark/>
          </w:tcPr>
          <w:p w14:paraId="65537A81"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0.63</w:t>
            </w:r>
          </w:p>
        </w:tc>
        <w:tc>
          <w:tcPr>
            <w:tcW w:w="1036" w:type="dxa"/>
            <w:shd w:val="clear" w:color="auto" w:fill="auto"/>
            <w:noWrap/>
            <w:vAlign w:val="center"/>
            <w:hideMark/>
          </w:tcPr>
          <w:p w14:paraId="4E8FA26B"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5.91</w:t>
            </w:r>
          </w:p>
        </w:tc>
        <w:tc>
          <w:tcPr>
            <w:tcW w:w="1037" w:type="dxa"/>
            <w:shd w:val="clear" w:color="auto" w:fill="auto"/>
            <w:noWrap/>
            <w:vAlign w:val="center"/>
            <w:hideMark/>
          </w:tcPr>
          <w:p w14:paraId="7756D0DD"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1.59</w:t>
            </w:r>
          </w:p>
        </w:tc>
        <w:tc>
          <w:tcPr>
            <w:tcW w:w="1037" w:type="dxa"/>
            <w:shd w:val="clear" w:color="auto" w:fill="auto"/>
            <w:noWrap/>
            <w:vAlign w:val="center"/>
            <w:hideMark/>
          </w:tcPr>
          <w:p w14:paraId="5897A100"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1.71</w:t>
            </w:r>
          </w:p>
        </w:tc>
        <w:tc>
          <w:tcPr>
            <w:tcW w:w="1037" w:type="dxa"/>
            <w:shd w:val="clear" w:color="auto" w:fill="auto"/>
            <w:noWrap/>
            <w:vAlign w:val="center"/>
            <w:hideMark/>
          </w:tcPr>
          <w:p w14:paraId="4C085A6F"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2.40</w:t>
            </w:r>
          </w:p>
        </w:tc>
        <w:tc>
          <w:tcPr>
            <w:tcW w:w="1037" w:type="dxa"/>
            <w:shd w:val="clear" w:color="auto" w:fill="auto"/>
            <w:noWrap/>
            <w:vAlign w:val="center"/>
            <w:hideMark/>
          </w:tcPr>
          <w:p w14:paraId="77824191"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2.91</w:t>
            </w:r>
          </w:p>
        </w:tc>
      </w:tr>
      <w:tr w:rsidR="00F62181" w:rsidRPr="007E6A51" w14:paraId="15A51650" w14:textId="77777777" w:rsidTr="00194334">
        <w:trPr>
          <w:trHeight w:val="285"/>
          <w:jc w:val="center"/>
        </w:trPr>
        <w:tc>
          <w:tcPr>
            <w:tcW w:w="2947" w:type="dxa"/>
            <w:shd w:val="clear" w:color="auto" w:fill="auto"/>
            <w:noWrap/>
            <w:vAlign w:val="center"/>
            <w:hideMark/>
          </w:tcPr>
          <w:p w14:paraId="7E28B422" w14:textId="77777777" w:rsidR="00250233" w:rsidRPr="007E6A51" w:rsidRDefault="00250233" w:rsidP="007E6A51">
            <w:pPr>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Margins</w:t>
            </w:r>
          </w:p>
        </w:tc>
        <w:tc>
          <w:tcPr>
            <w:tcW w:w="1036" w:type="dxa"/>
            <w:shd w:val="clear" w:color="auto" w:fill="auto"/>
            <w:noWrap/>
            <w:vAlign w:val="center"/>
            <w:hideMark/>
          </w:tcPr>
          <w:p w14:paraId="4A3AD138" w14:textId="7B4E7D56"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c>
          <w:tcPr>
            <w:tcW w:w="1036" w:type="dxa"/>
            <w:shd w:val="clear" w:color="auto" w:fill="auto"/>
            <w:noWrap/>
            <w:vAlign w:val="center"/>
            <w:hideMark/>
          </w:tcPr>
          <w:p w14:paraId="4D792723" w14:textId="5003EFE3"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c>
          <w:tcPr>
            <w:tcW w:w="1037" w:type="dxa"/>
            <w:shd w:val="clear" w:color="auto" w:fill="auto"/>
            <w:noWrap/>
            <w:vAlign w:val="center"/>
            <w:hideMark/>
          </w:tcPr>
          <w:p w14:paraId="3BDF42BB" w14:textId="7F31C5C0"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c>
          <w:tcPr>
            <w:tcW w:w="1037" w:type="dxa"/>
            <w:shd w:val="clear" w:color="auto" w:fill="auto"/>
            <w:noWrap/>
            <w:vAlign w:val="center"/>
            <w:hideMark/>
          </w:tcPr>
          <w:p w14:paraId="7F0FD1AD" w14:textId="428592CE"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c>
          <w:tcPr>
            <w:tcW w:w="1037" w:type="dxa"/>
            <w:shd w:val="clear" w:color="auto" w:fill="auto"/>
            <w:noWrap/>
            <w:vAlign w:val="center"/>
            <w:hideMark/>
          </w:tcPr>
          <w:p w14:paraId="1CEBE092" w14:textId="3F04C15F"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c>
          <w:tcPr>
            <w:tcW w:w="1037" w:type="dxa"/>
            <w:shd w:val="clear" w:color="auto" w:fill="auto"/>
            <w:noWrap/>
            <w:vAlign w:val="center"/>
            <w:hideMark/>
          </w:tcPr>
          <w:p w14:paraId="20130B4C" w14:textId="740C4545" w:rsidR="00250233" w:rsidRPr="007E6A51" w:rsidRDefault="000E5F16" w:rsidP="007E6A51">
            <w:pPr>
              <w:jc w:val="right"/>
              <w:rPr>
                <w:rFonts w:ascii="Arial" w:hAnsi="Arial" w:cs="Arial"/>
                <w:b/>
                <w:bCs/>
                <w:color w:val="000000" w:themeColor="text1"/>
                <w:sz w:val="18"/>
                <w:szCs w:val="18"/>
                <w:lang w:val="en-SG" w:eastAsia="en-SG"/>
              </w:rPr>
            </w:pPr>
            <w:r w:rsidRPr="007E6A51">
              <w:rPr>
                <w:rFonts w:ascii="Arial" w:hAnsi="Arial" w:cs="Arial"/>
                <w:b/>
                <w:bCs/>
                <w:color w:val="000000" w:themeColor="text1"/>
                <w:sz w:val="18"/>
                <w:szCs w:val="18"/>
                <w:lang w:val="en-SG" w:eastAsia="en-SG"/>
              </w:rPr>
              <w:t xml:space="preserve"> </w:t>
            </w:r>
          </w:p>
        </w:tc>
      </w:tr>
      <w:tr w:rsidR="00F62181" w:rsidRPr="007E6A51" w14:paraId="37F6BAE8" w14:textId="77777777" w:rsidTr="00194334">
        <w:trPr>
          <w:trHeight w:val="285"/>
          <w:jc w:val="center"/>
        </w:trPr>
        <w:tc>
          <w:tcPr>
            <w:tcW w:w="2947" w:type="dxa"/>
            <w:shd w:val="clear" w:color="auto" w:fill="auto"/>
            <w:noWrap/>
            <w:vAlign w:val="center"/>
            <w:hideMark/>
          </w:tcPr>
          <w:p w14:paraId="7955BB46" w14:textId="77777777" w:rsidR="00250233" w:rsidRPr="007E6A51" w:rsidRDefault="00250233" w:rsidP="007E6A51">
            <w:pPr>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EBITDA Margin</w:t>
            </w:r>
          </w:p>
        </w:tc>
        <w:tc>
          <w:tcPr>
            <w:tcW w:w="1036" w:type="dxa"/>
            <w:shd w:val="clear" w:color="auto" w:fill="auto"/>
            <w:noWrap/>
            <w:vAlign w:val="center"/>
            <w:hideMark/>
          </w:tcPr>
          <w:p w14:paraId="07ED4648"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14.73</w:t>
            </w:r>
          </w:p>
        </w:tc>
        <w:tc>
          <w:tcPr>
            <w:tcW w:w="1036" w:type="dxa"/>
            <w:shd w:val="clear" w:color="auto" w:fill="auto"/>
            <w:noWrap/>
            <w:vAlign w:val="center"/>
            <w:hideMark/>
          </w:tcPr>
          <w:p w14:paraId="34ADE617"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20.91</w:t>
            </w:r>
          </w:p>
        </w:tc>
        <w:tc>
          <w:tcPr>
            <w:tcW w:w="1037" w:type="dxa"/>
            <w:shd w:val="clear" w:color="auto" w:fill="auto"/>
            <w:noWrap/>
            <w:vAlign w:val="center"/>
            <w:hideMark/>
          </w:tcPr>
          <w:p w14:paraId="0E60C119"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13.01</w:t>
            </w:r>
          </w:p>
        </w:tc>
        <w:tc>
          <w:tcPr>
            <w:tcW w:w="1037" w:type="dxa"/>
            <w:shd w:val="clear" w:color="auto" w:fill="auto"/>
            <w:noWrap/>
            <w:vAlign w:val="center"/>
            <w:hideMark/>
          </w:tcPr>
          <w:p w14:paraId="30DC8D29"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12.73</w:t>
            </w:r>
          </w:p>
        </w:tc>
        <w:tc>
          <w:tcPr>
            <w:tcW w:w="1037" w:type="dxa"/>
            <w:shd w:val="clear" w:color="auto" w:fill="auto"/>
            <w:noWrap/>
            <w:vAlign w:val="center"/>
            <w:hideMark/>
          </w:tcPr>
          <w:p w14:paraId="182036C3"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12.68</w:t>
            </w:r>
          </w:p>
        </w:tc>
        <w:tc>
          <w:tcPr>
            <w:tcW w:w="1037" w:type="dxa"/>
            <w:shd w:val="clear" w:color="auto" w:fill="auto"/>
            <w:noWrap/>
            <w:vAlign w:val="center"/>
            <w:hideMark/>
          </w:tcPr>
          <w:p w14:paraId="26E19AA7"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13.40</w:t>
            </w:r>
          </w:p>
        </w:tc>
      </w:tr>
      <w:tr w:rsidR="00F62181" w:rsidRPr="007E6A51" w14:paraId="7F59EC98" w14:textId="77777777" w:rsidTr="00194334">
        <w:trPr>
          <w:trHeight w:val="285"/>
          <w:jc w:val="center"/>
        </w:trPr>
        <w:tc>
          <w:tcPr>
            <w:tcW w:w="2947" w:type="dxa"/>
            <w:shd w:val="clear" w:color="auto" w:fill="auto"/>
            <w:noWrap/>
            <w:vAlign w:val="center"/>
            <w:hideMark/>
          </w:tcPr>
          <w:p w14:paraId="0F6D1FA4" w14:textId="77777777" w:rsidR="00250233" w:rsidRPr="007E6A51" w:rsidRDefault="00250233" w:rsidP="007E6A51">
            <w:pPr>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Operating Margin</w:t>
            </w:r>
          </w:p>
        </w:tc>
        <w:tc>
          <w:tcPr>
            <w:tcW w:w="1036" w:type="dxa"/>
            <w:shd w:val="clear" w:color="auto" w:fill="auto"/>
            <w:noWrap/>
            <w:vAlign w:val="center"/>
            <w:hideMark/>
          </w:tcPr>
          <w:p w14:paraId="52DBC971"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0.91</w:t>
            </w:r>
          </w:p>
        </w:tc>
        <w:tc>
          <w:tcPr>
            <w:tcW w:w="1036" w:type="dxa"/>
            <w:shd w:val="clear" w:color="auto" w:fill="auto"/>
            <w:noWrap/>
            <w:vAlign w:val="center"/>
            <w:hideMark/>
          </w:tcPr>
          <w:p w14:paraId="54CBD59B"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9.23</w:t>
            </w:r>
          </w:p>
        </w:tc>
        <w:tc>
          <w:tcPr>
            <w:tcW w:w="1037" w:type="dxa"/>
            <w:shd w:val="clear" w:color="auto" w:fill="auto"/>
            <w:noWrap/>
            <w:vAlign w:val="center"/>
            <w:hideMark/>
          </w:tcPr>
          <w:p w14:paraId="2ACE882E"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2.16</w:t>
            </w:r>
          </w:p>
        </w:tc>
        <w:tc>
          <w:tcPr>
            <w:tcW w:w="1037" w:type="dxa"/>
            <w:shd w:val="clear" w:color="auto" w:fill="auto"/>
            <w:noWrap/>
            <w:vAlign w:val="center"/>
            <w:hideMark/>
          </w:tcPr>
          <w:p w14:paraId="504B23A1"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2.05</w:t>
            </w:r>
          </w:p>
        </w:tc>
        <w:tc>
          <w:tcPr>
            <w:tcW w:w="1037" w:type="dxa"/>
            <w:shd w:val="clear" w:color="auto" w:fill="auto"/>
            <w:noWrap/>
            <w:vAlign w:val="center"/>
            <w:hideMark/>
          </w:tcPr>
          <w:p w14:paraId="6DA2A5F0"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2.18</w:t>
            </w:r>
          </w:p>
        </w:tc>
        <w:tc>
          <w:tcPr>
            <w:tcW w:w="1037" w:type="dxa"/>
            <w:shd w:val="clear" w:color="auto" w:fill="auto"/>
            <w:noWrap/>
            <w:vAlign w:val="center"/>
            <w:hideMark/>
          </w:tcPr>
          <w:p w14:paraId="13C4C8D9"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3.35</w:t>
            </w:r>
          </w:p>
        </w:tc>
      </w:tr>
      <w:tr w:rsidR="00F62181" w:rsidRPr="007E6A51" w14:paraId="7976C002" w14:textId="77777777" w:rsidTr="00194334">
        <w:trPr>
          <w:trHeight w:val="285"/>
          <w:jc w:val="center"/>
        </w:trPr>
        <w:tc>
          <w:tcPr>
            <w:tcW w:w="2947" w:type="dxa"/>
            <w:shd w:val="clear" w:color="auto" w:fill="auto"/>
            <w:noWrap/>
            <w:vAlign w:val="center"/>
            <w:hideMark/>
          </w:tcPr>
          <w:p w14:paraId="37D6732A" w14:textId="77777777" w:rsidR="00250233" w:rsidRPr="007E6A51" w:rsidRDefault="00250233" w:rsidP="007E6A51">
            <w:pPr>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Incremental Operating Margin</w:t>
            </w:r>
          </w:p>
        </w:tc>
        <w:tc>
          <w:tcPr>
            <w:tcW w:w="1036" w:type="dxa"/>
            <w:shd w:val="clear" w:color="auto" w:fill="auto"/>
            <w:noWrap/>
            <w:vAlign w:val="center"/>
            <w:hideMark/>
          </w:tcPr>
          <w:p w14:paraId="7DDF4216" w14:textId="5975B6DF" w:rsidR="00250233" w:rsidRPr="007E6A51" w:rsidRDefault="00F35E30" w:rsidP="007E6A51">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r w:rsidR="00250233" w:rsidRPr="007E6A51">
              <w:rPr>
                <w:rFonts w:ascii="Arial" w:hAnsi="Arial" w:cs="Arial"/>
                <w:color w:val="000000" w:themeColor="text1"/>
                <w:sz w:val="18"/>
                <w:szCs w:val="18"/>
                <w:lang w:val="en-SG" w:eastAsia="en-SG"/>
              </w:rPr>
              <w:t>21.91</w:t>
            </w:r>
            <w:r>
              <w:rPr>
                <w:rFonts w:ascii="Arial" w:hAnsi="Arial" w:cs="Arial"/>
                <w:color w:val="000000" w:themeColor="text1"/>
                <w:sz w:val="18"/>
                <w:szCs w:val="18"/>
                <w:lang w:val="en-SG" w:eastAsia="en-SG"/>
              </w:rPr>
              <w:t>)</w:t>
            </w:r>
          </w:p>
        </w:tc>
        <w:tc>
          <w:tcPr>
            <w:tcW w:w="1036" w:type="dxa"/>
            <w:shd w:val="clear" w:color="auto" w:fill="auto"/>
            <w:noWrap/>
            <w:vAlign w:val="center"/>
            <w:hideMark/>
          </w:tcPr>
          <w:p w14:paraId="78F73542"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67.41</w:t>
            </w:r>
          </w:p>
        </w:tc>
        <w:tc>
          <w:tcPr>
            <w:tcW w:w="1037" w:type="dxa"/>
            <w:shd w:val="clear" w:color="auto" w:fill="auto"/>
            <w:noWrap/>
            <w:vAlign w:val="center"/>
            <w:hideMark/>
          </w:tcPr>
          <w:p w14:paraId="3EC31B24" w14:textId="537377D1" w:rsidR="00250233" w:rsidRPr="007E6A51" w:rsidRDefault="00B41D82" w:rsidP="007E6A51">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7" w:type="dxa"/>
            <w:shd w:val="clear" w:color="auto" w:fill="auto"/>
            <w:noWrap/>
            <w:vAlign w:val="center"/>
            <w:hideMark/>
          </w:tcPr>
          <w:p w14:paraId="5DF4F8C9" w14:textId="0FC85E87" w:rsidR="00250233" w:rsidRPr="007E6A51" w:rsidRDefault="00B41D82" w:rsidP="007E6A51">
            <w:pPr>
              <w:jc w:val="right"/>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w:t>
            </w:r>
          </w:p>
        </w:tc>
        <w:tc>
          <w:tcPr>
            <w:tcW w:w="1037" w:type="dxa"/>
            <w:shd w:val="clear" w:color="auto" w:fill="auto"/>
            <w:noWrap/>
            <w:vAlign w:val="center"/>
            <w:hideMark/>
          </w:tcPr>
          <w:p w14:paraId="19F92684"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15.24</w:t>
            </w:r>
          </w:p>
        </w:tc>
        <w:tc>
          <w:tcPr>
            <w:tcW w:w="1037" w:type="dxa"/>
            <w:shd w:val="clear" w:color="auto" w:fill="auto"/>
            <w:noWrap/>
            <w:vAlign w:val="center"/>
            <w:hideMark/>
          </w:tcPr>
          <w:p w14:paraId="06475439"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58.64</w:t>
            </w:r>
          </w:p>
        </w:tc>
      </w:tr>
      <w:tr w:rsidR="00F62181" w:rsidRPr="007E6A51" w14:paraId="4F3DCBC3" w14:textId="77777777" w:rsidTr="00194334">
        <w:trPr>
          <w:trHeight w:val="285"/>
          <w:jc w:val="center"/>
        </w:trPr>
        <w:tc>
          <w:tcPr>
            <w:tcW w:w="2947" w:type="dxa"/>
            <w:shd w:val="clear" w:color="auto" w:fill="auto"/>
            <w:noWrap/>
            <w:vAlign w:val="center"/>
            <w:hideMark/>
          </w:tcPr>
          <w:p w14:paraId="5BB0FA7F" w14:textId="77777777" w:rsidR="00250233" w:rsidRPr="007E6A51" w:rsidRDefault="00250233" w:rsidP="007E6A51">
            <w:pPr>
              <w:rPr>
                <w:rFonts w:ascii="Arial" w:hAnsi="Arial" w:cs="Arial"/>
                <w:color w:val="000000" w:themeColor="text1"/>
                <w:sz w:val="18"/>
                <w:szCs w:val="18"/>
                <w:lang w:val="en-SG" w:eastAsia="en-SG"/>
              </w:rPr>
            </w:pPr>
            <w:proofErr w:type="spellStart"/>
            <w:r w:rsidRPr="007E6A51">
              <w:rPr>
                <w:rFonts w:ascii="Arial" w:hAnsi="Arial" w:cs="Arial"/>
                <w:color w:val="000000" w:themeColor="text1"/>
                <w:sz w:val="18"/>
                <w:szCs w:val="18"/>
                <w:lang w:val="en-SG" w:eastAsia="en-SG"/>
              </w:rPr>
              <w:t>Pretax</w:t>
            </w:r>
            <w:proofErr w:type="spellEnd"/>
            <w:r w:rsidRPr="007E6A51">
              <w:rPr>
                <w:rFonts w:ascii="Arial" w:hAnsi="Arial" w:cs="Arial"/>
                <w:color w:val="000000" w:themeColor="text1"/>
                <w:sz w:val="18"/>
                <w:szCs w:val="18"/>
                <w:lang w:val="en-SG" w:eastAsia="en-SG"/>
              </w:rPr>
              <w:t xml:space="preserve"> Margin</w:t>
            </w:r>
          </w:p>
        </w:tc>
        <w:tc>
          <w:tcPr>
            <w:tcW w:w="1036" w:type="dxa"/>
            <w:shd w:val="clear" w:color="auto" w:fill="auto"/>
            <w:noWrap/>
            <w:vAlign w:val="center"/>
            <w:hideMark/>
          </w:tcPr>
          <w:p w14:paraId="5CBA4865"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2.25</w:t>
            </w:r>
          </w:p>
        </w:tc>
        <w:tc>
          <w:tcPr>
            <w:tcW w:w="1036" w:type="dxa"/>
            <w:shd w:val="clear" w:color="auto" w:fill="auto"/>
            <w:noWrap/>
            <w:vAlign w:val="center"/>
            <w:hideMark/>
          </w:tcPr>
          <w:p w14:paraId="717843FF"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9.77</w:t>
            </w:r>
          </w:p>
        </w:tc>
        <w:tc>
          <w:tcPr>
            <w:tcW w:w="1037" w:type="dxa"/>
            <w:shd w:val="clear" w:color="auto" w:fill="auto"/>
            <w:noWrap/>
            <w:vAlign w:val="center"/>
            <w:hideMark/>
          </w:tcPr>
          <w:p w14:paraId="2DD590C3"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3.02</w:t>
            </w:r>
          </w:p>
        </w:tc>
        <w:tc>
          <w:tcPr>
            <w:tcW w:w="1037" w:type="dxa"/>
            <w:shd w:val="clear" w:color="auto" w:fill="auto"/>
            <w:noWrap/>
            <w:vAlign w:val="center"/>
            <w:hideMark/>
          </w:tcPr>
          <w:p w14:paraId="751F5DE1"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3.11</w:t>
            </w:r>
          </w:p>
        </w:tc>
        <w:tc>
          <w:tcPr>
            <w:tcW w:w="1037" w:type="dxa"/>
            <w:shd w:val="clear" w:color="auto" w:fill="auto"/>
            <w:noWrap/>
            <w:vAlign w:val="center"/>
            <w:hideMark/>
          </w:tcPr>
          <w:p w14:paraId="4F618729"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2.41</w:t>
            </w:r>
          </w:p>
        </w:tc>
        <w:tc>
          <w:tcPr>
            <w:tcW w:w="1037" w:type="dxa"/>
            <w:shd w:val="clear" w:color="auto" w:fill="auto"/>
            <w:noWrap/>
            <w:vAlign w:val="center"/>
            <w:hideMark/>
          </w:tcPr>
          <w:p w14:paraId="6B8B04A3"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2.85</w:t>
            </w:r>
          </w:p>
        </w:tc>
      </w:tr>
      <w:tr w:rsidR="00F62181" w:rsidRPr="007E6A51" w14:paraId="477D4634" w14:textId="77777777" w:rsidTr="00194334">
        <w:trPr>
          <w:trHeight w:val="285"/>
          <w:jc w:val="center"/>
        </w:trPr>
        <w:tc>
          <w:tcPr>
            <w:tcW w:w="2947" w:type="dxa"/>
            <w:shd w:val="clear" w:color="auto" w:fill="auto"/>
            <w:noWrap/>
            <w:vAlign w:val="center"/>
            <w:hideMark/>
          </w:tcPr>
          <w:p w14:paraId="10BEDD12" w14:textId="56515C2F" w:rsidR="00250233" w:rsidRPr="007E6A51" w:rsidRDefault="007E6A51" w:rsidP="007E6A51">
            <w:pPr>
              <w:rPr>
                <w:rFonts w:ascii="Arial" w:hAnsi="Arial" w:cs="Arial"/>
                <w:color w:val="000000" w:themeColor="text1"/>
                <w:sz w:val="18"/>
                <w:szCs w:val="18"/>
                <w:lang w:val="en-SG" w:eastAsia="en-SG"/>
              </w:rPr>
            </w:pPr>
            <w:r>
              <w:rPr>
                <w:rFonts w:ascii="Arial" w:hAnsi="Arial" w:cs="Arial"/>
                <w:color w:val="000000" w:themeColor="text1"/>
                <w:sz w:val="18"/>
                <w:szCs w:val="18"/>
                <w:lang w:val="en-SG" w:eastAsia="en-SG"/>
              </w:rPr>
              <w:t>Income B</w:t>
            </w:r>
            <w:r w:rsidR="00250233" w:rsidRPr="007E6A51">
              <w:rPr>
                <w:rFonts w:ascii="Arial" w:hAnsi="Arial" w:cs="Arial"/>
                <w:color w:val="000000" w:themeColor="text1"/>
                <w:sz w:val="18"/>
                <w:szCs w:val="18"/>
                <w:lang w:val="en-SG" w:eastAsia="en-SG"/>
              </w:rPr>
              <w:t>efore XO Margin</w:t>
            </w:r>
          </w:p>
        </w:tc>
        <w:tc>
          <w:tcPr>
            <w:tcW w:w="1036" w:type="dxa"/>
            <w:shd w:val="clear" w:color="auto" w:fill="auto"/>
            <w:noWrap/>
            <w:vAlign w:val="center"/>
            <w:hideMark/>
          </w:tcPr>
          <w:p w14:paraId="048AF9B8"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2.20</w:t>
            </w:r>
          </w:p>
        </w:tc>
        <w:tc>
          <w:tcPr>
            <w:tcW w:w="1036" w:type="dxa"/>
            <w:shd w:val="clear" w:color="auto" w:fill="auto"/>
            <w:noWrap/>
            <w:vAlign w:val="center"/>
            <w:hideMark/>
          </w:tcPr>
          <w:p w14:paraId="629ABEFD"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7.91</w:t>
            </w:r>
          </w:p>
        </w:tc>
        <w:tc>
          <w:tcPr>
            <w:tcW w:w="1037" w:type="dxa"/>
            <w:shd w:val="clear" w:color="auto" w:fill="auto"/>
            <w:noWrap/>
            <w:vAlign w:val="center"/>
            <w:hideMark/>
          </w:tcPr>
          <w:p w14:paraId="659DE41F"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2.67</w:t>
            </w:r>
          </w:p>
        </w:tc>
        <w:tc>
          <w:tcPr>
            <w:tcW w:w="1037" w:type="dxa"/>
            <w:shd w:val="clear" w:color="auto" w:fill="auto"/>
            <w:noWrap/>
            <w:vAlign w:val="center"/>
            <w:hideMark/>
          </w:tcPr>
          <w:p w14:paraId="75456EE5"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2.92</w:t>
            </w:r>
          </w:p>
        </w:tc>
        <w:tc>
          <w:tcPr>
            <w:tcW w:w="1037" w:type="dxa"/>
            <w:shd w:val="clear" w:color="auto" w:fill="auto"/>
            <w:noWrap/>
            <w:vAlign w:val="center"/>
            <w:hideMark/>
          </w:tcPr>
          <w:p w14:paraId="03BC4E24"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2.78</w:t>
            </w:r>
          </w:p>
        </w:tc>
        <w:tc>
          <w:tcPr>
            <w:tcW w:w="1037" w:type="dxa"/>
            <w:shd w:val="clear" w:color="auto" w:fill="auto"/>
            <w:noWrap/>
            <w:vAlign w:val="center"/>
            <w:hideMark/>
          </w:tcPr>
          <w:p w14:paraId="6A0E73CC"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2.61</w:t>
            </w:r>
          </w:p>
        </w:tc>
      </w:tr>
      <w:tr w:rsidR="00F62181" w:rsidRPr="007E6A51" w14:paraId="36E118A9" w14:textId="77777777" w:rsidTr="00194334">
        <w:trPr>
          <w:trHeight w:val="285"/>
          <w:jc w:val="center"/>
        </w:trPr>
        <w:tc>
          <w:tcPr>
            <w:tcW w:w="2947" w:type="dxa"/>
            <w:shd w:val="clear" w:color="auto" w:fill="auto"/>
            <w:noWrap/>
            <w:vAlign w:val="center"/>
            <w:hideMark/>
          </w:tcPr>
          <w:p w14:paraId="2BFB24B7" w14:textId="77777777" w:rsidR="00250233" w:rsidRPr="007E6A51" w:rsidRDefault="00250233" w:rsidP="007E6A51">
            <w:pPr>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Net Income Margin</w:t>
            </w:r>
          </w:p>
        </w:tc>
        <w:tc>
          <w:tcPr>
            <w:tcW w:w="1036" w:type="dxa"/>
            <w:shd w:val="clear" w:color="auto" w:fill="auto"/>
            <w:noWrap/>
            <w:vAlign w:val="center"/>
            <w:hideMark/>
          </w:tcPr>
          <w:p w14:paraId="192AF195"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1.70</w:t>
            </w:r>
          </w:p>
        </w:tc>
        <w:tc>
          <w:tcPr>
            <w:tcW w:w="1036" w:type="dxa"/>
            <w:shd w:val="clear" w:color="auto" w:fill="auto"/>
            <w:noWrap/>
            <w:vAlign w:val="center"/>
            <w:hideMark/>
          </w:tcPr>
          <w:p w14:paraId="1F8294CB"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7.52</w:t>
            </w:r>
          </w:p>
        </w:tc>
        <w:tc>
          <w:tcPr>
            <w:tcW w:w="1037" w:type="dxa"/>
            <w:shd w:val="clear" w:color="auto" w:fill="auto"/>
            <w:noWrap/>
            <w:vAlign w:val="center"/>
            <w:hideMark/>
          </w:tcPr>
          <w:p w14:paraId="6F92FFA8"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2.26</w:t>
            </w:r>
          </w:p>
        </w:tc>
        <w:tc>
          <w:tcPr>
            <w:tcW w:w="1037" w:type="dxa"/>
            <w:shd w:val="clear" w:color="auto" w:fill="auto"/>
            <w:noWrap/>
            <w:vAlign w:val="center"/>
            <w:hideMark/>
          </w:tcPr>
          <w:p w14:paraId="7566B24C"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2.51</w:t>
            </w:r>
          </w:p>
        </w:tc>
        <w:tc>
          <w:tcPr>
            <w:tcW w:w="1037" w:type="dxa"/>
            <w:shd w:val="clear" w:color="auto" w:fill="auto"/>
            <w:noWrap/>
            <w:vAlign w:val="center"/>
            <w:hideMark/>
          </w:tcPr>
          <w:p w14:paraId="7FD3032B"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2.36</w:t>
            </w:r>
          </w:p>
        </w:tc>
        <w:tc>
          <w:tcPr>
            <w:tcW w:w="1037" w:type="dxa"/>
            <w:shd w:val="clear" w:color="auto" w:fill="auto"/>
            <w:noWrap/>
            <w:vAlign w:val="center"/>
            <w:hideMark/>
          </w:tcPr>
          <w:p w14:paraId="5D2D88AC"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2.36</w:t>
            </w:r>
          </w:p>
        </w:tc>
      </w:tr>
      <w:tr w:rsidR="00F62181" w:rsidRPr="007E6A51" w14:paraId="71797402" w14:textId="77777777" w:rsidTr="00194334">
        <w:trPr>
          <w:trHeight w:val="285"/>
          <w:jc w:val="center"/>
        </w:trPr>
        <w:tc>
          <w:tcPr>
            <w:tcW w:w="2947" w:type="dxa"/>
            <w:shd w:val="clear" w:color="auto" w:fill="auto"/>
            <w:noWrap/>
            <w:vAlign w:val="center"/>
            <w:hideMark/>
          </w:tcPr>
          <w:p w14:paraId="747BCDA1" w14:textId="77777777" w:rsidR="00250233" w:rsidRPr="007E6A51" w:rsidRDefault="00250233" w:rsidP="007E6A51">
            <w:pPr>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Net Income to Common Margin</w:t>
            </w:r>
          </w:p>
        </w:tc>
        <w:tc>
          <w:tcPr>
            <w:tcW w:w="1036" w:type="dxa"/>
            <w:shd w:val="clear" w:color="auto" w:fill="auto"/>
            <w:noWrap/>
            <w:vAlign w:val="center"/>
            <w:hideMark/>
          </w:tcPr>
          <w:p w14:paraId="327191D2"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1.70</w:t>
            </w:r>
          </w:p>
        </w:tc>
        <w:tc>
          <w:tcPr>
            <w:tcW w:w="1036" w:type="dxa"/>
            <w:shd w:val="clear" w:color="auto" w:fill="auto"/>
            <w:noWrap/>
            <w:vAlign w:val="center"/>
            <w:hideMark/>
          </w:tcPr>
          <w:p w14:paraId="49F3FB75"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7.52</w:t>
            </w:r>
          </w:p>
        </w:tc>
        <w:tc>
          <w:tcPr>
            <w:tcW w:w="1037" w:type="dxa"/>
            <w:shd w:val="clear" w:color="auto" w:fill="auto"/>
            <w:noWrap/>
            <w:vAlign w:val="center"/>
            <w:hideMark/>
          </w:tcPr>
          <w:p w14:paraId="30028D00"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2.26</w:t>
            </w:r>
          </w:p>
        </w:tc>
        <w:tc>
          <w:tcPr>
            <w:tcW w:w="1037" w:type="dxa"/>
            <w:shd w:val="clear" w:color="auto" w:fill="auto"/>
            <w:noWrap/>
            <w:vAlign w:val="center"/>
            <w:hideMark/>
          </w:tcPr>
          <w:p w14:paraId="6CE7F624"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2.51</w:t>
            </w:r>
          </w:p>
        </w:tc>
        <w:tc>
          <w:tcPr>
            <w:tcW w:w="1037" w:type="dxa"/>
            <w:shd w:val="clear" w:color="auto" w:fill="auto"/>
            <w:noWrap/>
            <w:vAlign w:val="center"/>
            <w:hideMark/>
          </w:tcPr>
          <w:p w14:paraId="19DAA550"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2.36</w:t>
            </w:r>
          </w:p>
        </w:tc>
        <w:tc>
          <w:tcPr>
            <w:tcW w:w="1037" w:type="dxa"/>
            <w:shd w:val="clear" w:color="auto" w:fill="auto"/>
            <w:noWrap/>
            <w:vAlign w:val="center"/>
            <w:hideMark/>
          </w:tcPr>
          <w:p w14:paraId="7404A6A1" w14:textId="77777777" w:rsidR="00250233" w:rsidRPr="007E6A51" w:rsidRDefault="00250233" w:rsidP="007E6A51">
            <w:pPr>
              <w:jc w:val="right"/>
              <w:rPr>
                <w:rFonts w:ascii="Arial" w:hAnsi="Arial" w:cs="Arial"/>
                <w:color w:val="000000" w:themeColor="text1"/>
                <w:sz w:val="18"/>
                <w:szCs w:val="18"/>
                <w:lang w:val="en-SG" w:eastAsia="en-SG"/>
              </w:rPr>
            </w:pPr>
            <w:r w:rsidRPr="007E6A51">
              <w:rPr>
                <w:rFonts w:ascii="Arial" w:hAnsi="Arial" w:cs="Arial"/>
                <w:color w:val="000000" w:themeColor="text1"/>
                <w:sz w:val="18"/>
                <w:szCs w:val="18"/>
                <w:lang w:val="en-SG" w:eastAsia="en-SG"/>
              </w:rPr>
              <w:t>2.36</w:t>
            </w:r>
          </w:p>
        </w:tc>
      </w:tr>
    </w:tbl>
    <w:p w14:paraId="5D5EF479" w14:textId="77777777" w:rsidR="00250233" w:rsidRPr="00333ADB" w:rsidRDefault="00250233" w:rsidP="00A763F5">
      <w:pPr>
        <w:pStyle w:val="ExhibitText"/>
        <w:rPr>
          <w:rFonts w:eastAsia="SimSun"/>
          <w:lang w:eastAsia="zh-CN"/>
        </w:rPr>
      </w:pPr>
    </w:p>
    <w:p w14:paraId="1FEC7BD5" w14:textId="715A1F71" w:rsidR="007E6A51" w:rsidRDefault="007E6A51" w:rsidP="002E05AB">
      <w:pPr>
        <w:pStyle w:val="Footnote"/>
        <w:outlineLvl w:val="0"/>
        <w:rPr>
          <w:rFonts w:eastAsia="SimSun"/>
        </w:rPr>
      </w:pPr>
      <w:r>
        <w:rPr>
          <w:rFonts w:eastAsia="SimSun"/>
        </w:rPr>
        <w:t xml:space="preserve">Note: SGD = </w:t>
      </w:r>
      <w:r w:rsidR="00251048">
        <w:rPr>
          <w:rFonts w:eastAsia="SimSun"/>
        </w:rPr>
        <w:t xml:space="preserve">S$ = </w:t>
      </w:r>
      <w:r>
        <w:rPr>
          <w:rFonts w:eastAsia="SimSun"/>
        </w:rPr>
        <w:t xml:space="preserve">Singapore dollars; </w:t>
      </w:r>
      <w:r w:rsidR="004D47A8">
        <w:rPr>
          <w:rFonts w:eastAsia="SimSun"/>
          <w:lang w:eastAsia="zh-CN"/>
        </w:rPr>
        <w:t xml:space="preserve">S$1 = US$0.744 and US$1 = S$1.344 on May 1, 2016; </w:t>
      </w:r>
      <w:r>
        <w:rPr>
          <w:rFonts w:eastAsia="SimSun"/>
        </w:rPr>
        <w:t>YoY = year ove</w:t>
      </w:r>
      <w:r w:rsidR="00F35E30">
        <w:rPr>
          <w:rFonts w:eastAsia="SimSun"/>
        </w:rPr>
        <w:t xml:space="preserve">r year; </w:t>
      </w:r>
      <w:r w:rsidR="004D47A8">
        <w:rPr>
          <w:rFonts w:eastAsia="SimSun"/>
        </w:rPr>
        <w:t xml:space="preserve">EBITDA = earnings before interest, taxes, depreciation, and amortization; EPS = earnings per share; </w:t>
      </w:r>
      <w:r w:rsidR="00F35E30">
        <w:rPr>
          <w:rFonts w:eastAsia="SimSun"/>
        </w:rPr>
        <w:t>XO = extraordinary</w:t>
      </w:r>
      <w:r w:rsidR="008B1AAC">
        <w:rPr>
          <w:rFonts w:eastAsia="SimSun"/>
        </w:rPr>
        <w:t>.</w:t>
      </w:r>
    </w:p>
    <w:p w14:paraId="12B7F8F4" w14:textId="4C0670CB" w:rsidR="002E05AB" w:rsidRPr="00444C9A" w:rsidRDefault="002E05AB" w:rsidP="002E05AB">
      <w:pPr>
        <w:pStyle w:val="Footnote"/>
        <w:outlineLvl w:val="0"/>
        <w:rPr>
          <w:rFonts w:eastAsia="SimSun"/>
        </w:rPr>
      </w:pPr>
      <w:r w:rsidRPr="00444C9A">
        <w:rPr>
          <w:rFonts w:eastAsia="SimSun"/>
        </w:rPr>
        <w:t xml:space="preserve">Source: </w:t>
      </w:r>
      <w:r w:rsidR="002636CB">
        <w:rPr>
          <w:rFonts w:eastAsia="SimSun"/>
        </w:rPr>
        <w:t>“</w:t>
      </w:r>
      <w:r w:rsidR="002636CB">
        <w:t>Singapore Airlines</w:t>
      </w:r>
      <w:r w:rsidR="004D47A8">
        <w:t>,</w:t>
      </w:r>
      <w:r w:rsidR="002636CB">
        <w:t>”</w:t>
      </w:r>
      <w:r w:rsidR="002636CB">
        <w:rPr>
          <w:rFonts w:eastAsia="SimSun"/>
        </w:rPr>
        <w:t xml:space="preserve"> </w:t>
      </w:r>
      <w:r w:rsidRPr="00444C9A">
        <w:rPr>
          <w:rFonts w:eastAsia="SimSun"/>
        </w:rPr>
        <w:t>Bloomberg</w:t>
      </w:r>
      <w:r w:rsidR="00F62181" w:rsidRPr="00444C9A">
        <w:rPr>
          <w:rFonts w:eastAsia="SimSun"/>
        </w:rPr>
        <w:t xml:space="preserve"> Terminal, accessed March 19, 2018</w:t>
      </w:r>
      <w:r w:rsidR="00BE6B57">
        <w:rPr>
          <w:rFonts w:eastAsia="SimSun"/>
        </w:rPr>
        <w:t>.</w:t>
      </w:r>
      <w:r w:rsidRPr="00444C9A">
        <w:rPr>
          <w:rFonts w:eastAsia="SimSun"/>
        </w:rPr>
        <w:br w:type="page"/>
      </w:r>
    </w:p>
    <w:p w14:paraId="166FFEE6" w14:textId="3485BC80" w:rsidR="008C2632" w:rsidRPr="00444C9A" w:rsidRDefault="008C2632" w:rsidP="0079599D">
      <w:pPr>
        <w:pStyle w:val="ExhibitHeading"/>
        <w:rPr>
          <w:rFonts w:eastAsia="SimSun"/>
        </w:rPr>
      </w:pPr>
      <w:r w:rsidRPr="00444C9A">
        <w:rPr>
          <w:rFonts w:eastAsia="SimSun"/>
        </w:rPr>
        <w:lastRenderedPageBreak/>
        <w:t>Exhi</w:t>
      </w:r>
      <w:r w:rsidR="00622FF0" w:rsidRPr="00444C9A">
        <w:rPr>
          <w:rFonts w:eastAsia="SimSun"/>
        </w:rPr>
        <w:t>bit 6</w:t>
      </w:r>
      <w:r w:rsidRPr="00444C9A">
        <w:rPr>
          <w:rFonts w:eastAsia="SimSun"/>
        </w:rPr>
        <w:t xml:space="preserve">: </w:t>
      </w:r>
      <w:r w:rsidR="00496496">
        <w:rPr>
          <w:rFonts w:eastAsia="SimSun"/>
          <w:lang w:eastAsia="zh-CN"/>
        </w:rPr>
        <w:t xml:space="preserve">Dividends of </w:t>
      </w:r>
      <w:r w:rsidR="00496496" w:rsidRPr="00444C9A">
        <w:rPr>
          <w:rFonts w:eastAsia="SimSun"/>
        </w:rPr>
        <w:t xml:space="preserve">SELECTED </w:t>
      </w:r>
      <w:r w:rsidR="00496496">
        <w:rPr>
          <w:rFonts w:eastAsia="SimSun"/>
          <w:lang w:eastAsia="zh-CN"/>
        </w:rPr>
        <w:t xml:space="preserve">COMPANIES </w:t>
      </w:r>
      <w:r w:rsidRPr="00444C9A">
        <w:rPr>
          <w:rFonts w:eastAsia="SimSun"/>
        </w:rPr>
        <w:t>MAJORITY OWNED BY TEMASEK</w:t>
      </w:r>
      <w:r w:rsidR="00194334">
        <w:rPr>
          <w:rFonts w:eastAsia="SimSun"/>
        </w:rPr>
        <w:t xml:space="preserve"> (in SGD)</w:t>
      </w:r>
    </w:p>
    <w:p w14:paraId="61926ACF" w14:textId="7C76CF5B" w:rsidR="008C2632" w:rsidRPr="0079599D" w:rsidRDefault="008C2632" w:rsidP="0079599D">
      <w:pPr>
        <w:pStyle w:val="ExhibitText"/>
        <w:rPr>
          <w:rFonts w:eastAsia="SimSun"/>
        </w:rPr>
      </w:pPr>
    </w:p>
    <w:p w14:paraId="74FDBEF5" w14:textId="099D53F8" w:rsidR="00496496" w:rsidRDefault="00496496" w:rsidP="00B322B1">
      <w:pPr>
        <w:pStyle w:val="Casehead2"/>
        <w:spacing w:after="120"/>
        <w:rPr>
          <w:rFonts w:eastAsia="SimSun"/>
          <w:lang w:eastAsia="zh-CN"/>
        </w:rPr>
      </w:pPr>
      <w:r>
        <w:rPr>
          <w:rFonts w:eastAsia="SimSun"/>
          <w:lang w:eastAsia="zh-CN"/>
        </w:rPr>
        <w:t>DBS</w:t>
      </w:r>
      <w:r w:rsidR="001B777D">
        <w:rPr>
          <w:rFonts w:eastAsia="SimSun"/>
          <w:lang w:eastAsia="zh-CN"/>
        </w:rPr>
        <w:t xml:space="preserve"> Bank</w:t>
      </w:r>
      <w:r>
        <w:rPr>
          <w:rFonts w:eastAsia="SimSun"/>
          <w:lang w:eastAsia="zh-CN"/>
        </w:rPr>
        <w:t xml:space="preserve"> </w:t>
      </w:r>
    </w:p>
    <w:tbl>
      <w:tblPr>
        <w:tblStyle w:val="TableGrid"/>
        <w:tblW w:w="489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1188"/>
        <w:gridCol w:w="1189"/>
        <w:gridCol w:w="1188"/>
        <w:gridCol w:w="1188"/>
        <w:gridCol w:w="1188"/>
        <w:gridCol w:w="1188"/>
        <w:gridCol w:w="1188"/>
      </w:tblGrid>
      <w:tr w:rsidR="00CB0253" w:rsidRPr="00496496" w14:paraId="12A853DF" w14:textId="77777777" w:rsidTr="008B1AAC">
        <w:trPr>
          <w:trHeight w:val="259"/>
          <w:jc w:val="center"/>
        </w:trPr>
        <w:tc>
          <w:tcPr>
            <w:tcW w:w="872" w:type="dxa"/>
            <w:tcBorders>
              <w:top w:val="single" w:sz="4" w:space="0" w:color="auto"/>
              <w:bottom w:val="single" w:sz="12" w:space="0" w:color="auto"/>
            </w:tcBorders>
            <w:noWrap/>
            <w:vAlign w:val="center"/>
            <w:hideMark/>
          </w:tcPr>
          <w:p w14:paraId="1E31AFEE" w14:textId="77777777" w:rsidR="00CB0253" w:rsidRPr="00496496" w:rsidRDefault="00CB0253" w:rsidP="00496496">
            <w:pPr>
              <w:pStyle w:val="ExhibitText"/>
              <w:jc w:val="center"/>
              <w:rPr>
                <w:rFonts w:eastAsia="SimSun"/>
                <w:b/>
                <w:sz w:val="18"/>
                <w:szCs w:val="18"/>
              </w:rPr>
            </w:pPr>
            <w:r w:rsidRPr="00496496">
              <w:rPr>
                <w:rFonts w:eastAsia="SimSun"/>
                <w:b/>
                <w:sz w:val="18"/>
                <w:szCs w:val="18"/>
              </w:rPr>
              <w:t>Year</w:t>
            </w:r>
          </w:p>
        </w:tc>
        <w:tc>
          <w:tcPr>
            <w:tcW w:w="1215" w:type="dxa"/>
            <w:tcBorders>
              <w:top w:val="single" w:sz="4" w:space="0" w:color="auto"/>
              <w:bottom w:val="single" w:sz="12" w:space="0" w:color="auto"/>
            </w:tcBorders>
            <w:noWrap/>
            <w:vAlign w:val="center"/>
            <w:hideMark/>
          </w:tcPr>
          <w:p w14:paraId="7336FA9A" w14:textId="5EDB1DC5" w:rsidR="00CB0253" w:rsidRPr="00496496" w:rsidRDefault="00CB0253" w:rsidP="00496496">
            <w:pPr>
              <w:pStyle w:val="ExhibitText"/>
              <w:jc w:val="center"/>
              <w:rPr>
                <w:rFonts w:eastAsia="SimSun"/>
                <w:b/>
                <w:sz w:val="18"/>
                <w:szCs w:val="18"/>
              </w:rPr>
            </w:pPr>
            <w:r w:rsidRPr="00496496">
              <w:rPr>
                <w:rFonts w:eastAsia="SimSun"/>
                <w:b/>
                <w:sz w:val="18"/>
                <w:szCs w:val="18"/>
              </w:rPr>
              <w:t>Price</w:t>
            </w:r>
          </w:p>
        </w:tc>
        <w:tc>
          <w:tcPr>
            <w:tcW w:w="1216" w:type="dxa"/>
            <w:tcBorders>
              <w:top w:val="single" w:sz="4" w:space="0" w:color="auto"/>
              <w:bottom w:val="single" w:sz="12" w:space="0" w:color="auto"/>
            </w:tcBorders>
            <w:noWrap/>
            <w:vAlign w:val="center"/>
            <w:hideMark/>
          </w:tcPr>
          <w:p w14:paraId="1F38C82E" w14:textId="77777777" w:rsidR="00CB0253" w:rsidRPr="00496496" w:rsidRDefault="00CB0253" w:rsidP="00496496">
            <w:pPr>
              <w:pStyle w:val="ExhibitText"/>
              <w:jc w:val="center"/>
              <w:rPr>
                <w:rFonts w:eastAsia="SimSun"/>
                <w:b/>
                <w:sz w:val="18"/>
                <w:szCs w:val="18"/>
              </w:rPr>
            </w:pPr>
            <w:r w:rsidRPr="00496496">
              <w:rPr>
                <w:rFonts w:eastAsia="SimSun"/>
                <w:b/>
                <w:sz w:val="18"/>
                <w:szCs w:val="18"/>
              </w:rPr>
              <w:t>1st Q</w:t>
            </w:r>
          </w:p>
        </w:tc>
        <w:tc>
          <w:tcPr>
            <w:tcW w:w="1215" w:type="dxa"/>
            <w:tcBorders>
              <w:top w:val="single" w:sz="4" w:space="0" w:color="auto"/>
              <w:bottom w:val="single" w:sz="12" w:space="0" w:color="auto"/>
            </w:tcBorders>
            <w:noWrap/>
            <w:vAlign w:val="center"/>
            <w:hideMark/>
          </w:tcPr>
          <w:p w14:paraId="60644548" w14:textId="77777777" w:rsidR="00CB0253" w:rsidRPr="00496496" w:rsidRDefault="00CB0253" w:rsidP="00496496">
            <w:pPr>
              <w:pStyle w:val="ExhibitText"/>
              <w:jc w:val="center"/>
              <w:rPr>
                <w:rFonts w:eastAsia="SimSun"/>
                <w:b/>
                <w:sz w:val="18"/>
                <w:szCs w:val="18"/>
              </w:rPr>
            </w:pPr>
            <w:r w:rsidRPr="00496496">
              <w:rPr>
                <w:rFonts w:eastAsia="SimSun"/>
                <w:b/>
                <w:sz w:val="18"/>
                <w:szCs w:val="18"/>
              </w:rPr>
              <w:t>Interim</w:t>
            </w:r>
          </w:p>
        </w:tc>
        <w:tc>
          <w:tcPr>
            <w:tcW w:w="1215" w:type="dxa"/>
            <w:tcBorders>
              <w:top w:val="single" w:sz="4" w:space="0" w:color="auto"/>
              <w:bottom w:val="single" w:sz="12" w:space="0" w:color="auto"/>
            </w:tcBorders>
            <w:noWrap/>
            <w:vAlign w:val="center"/>
            <w:hideMark/>
          </w:tcPr>
          <w:p w14:paraId="01C2BA52" w14:textId="77777777" w:rsidR="00CB0253" w:rsidRPr="00496496" w:rsidRDefault="00CB0253" w:rsidP="00496496">
            <w:pPr>
              <w:pStyle w:val="ExhibitText"/>
              <w:jc w:val="center"/>
              <w:rPr>
                <w:rFonts w:eastAsia="SimSun"/>
                <w:b/>
                <w:sz w:val="18"/>
                <w:szCs w:val="18"/>
              </w:rPr>
            </w:pPr>
            <w:r w:rsidRPr="00496496">
              <w:rPr>
                <w:rFonts w:eastAsia="SimSun"/>
                <w:b/>
                <w:sz w:val="18"/>
                <w:szCs w:val="18"/>
              </w:rPr>
              <w:t>3rd Q</w:t>
            </w:r>
          </w:p>
        </w:tc>
        <w:tc>
          <w:tcPr>
            <w:tcW w:w="1215" w:type="dxa"/>
            <w:tcBorders>
              <w:top w:val="single" w:sz="4" w:space="0" w:color="auto"/>
              <w:bottom w:val="single" w:sz="12" w:space="0" w:color="auto"/>
            </w:tcBorders>
            <w:noWrap/>
            <w:vAlign w:val="center"/>
            <w:hideMark/>
          </w:tcPr>
          <w:p w14:paraId="26728321" w14:textId="77777777" w:rsidR="00CB0253" w:rsidRPr="00496496" w:rsidRDefault="00CB0253" w:rsidP="00496496">
            <w:pPr>
              <w:pStyle w:val="ExhibitText"/>
              <w:jc w:val="center"/>
              <w:rPr>
                <w:rFonts w:eastAsia="SimSun"/>
                <w:b/>
                <w:sz w:val="18"/>
                <w:szCs w:val="18"/>
              </w:rPr>
            </w:pPr>
            <w:r w:rsidRPr="00496496">
              <w:rPr>
                <w:rFonts w:eastAsia="SimSun"/>
                <w:b/>
                <w:sz w:val="18"/>
                <w:szCs w:val="18"/>
              </w:rPr>
              <w:t>Final</w:t>
            </w:r>
          </w:p>
        </w:tc>
        <w:tc>
          <w:tcPr>
            <w:tcW w:w="1215" w:type="dxa"/>
            <w:tcBorders>
              <w:top w:val="single" w:sz="4" w:space="0" w:color="auto"/>
              <w:bottom w:val="single" w:sz="12" w:space="0" w:color="auto"/>
            </w:tcBorders>
            <w:noWrap/>
            <w:vAlign w:val="center"/>
            <w:hideMark/>
          </w:tcPr>
          <w:p w14:paraId="121D4A55" w14:textId="77777777" w:rsidR="00CB0253" w:rsidRPr="00496496" w:rsidRDefault="00CB0253" w:rsidP="00496496">
            <w:pPr>
              <w:pStyle w:val="ExhibitText"/>
              <w:jc w:val="center"/>
              <w:rPr>
                <w:rFonts w:eastAsia="SimSun"/>
                <w:b/>
                <w:sz w:val="18"/>
                <w:szCs w:val="18"/>
              </w:rPr>
            </w:pPr>
            <w:r w:rsidRPr="00496496">
              <w:rPr>
                <w:rFonts w:eastAsia="SimSun"/>
                <w:b/>
                <w:sz w:val="18"/>
                <w:szCs w:val="18"/>
              </w:rPr>
              <w:t>Special</w:t>
            </w:r>
          </w:p>
        </w:tc>
        <w:tc>
          <w:tcPr>
            <w:tcW w:w="1215" w:type="dxa"/>
            <w:tcBorders>
              <w:top w:val="single" w:sz="4" w:space="0" w:color="auto"/>
              <w:bottom w:val="single" w:sz="12" w:space="0" w:color="auto"/>
            </w:tcBorders>
            <w:noWrap/>
            <w:vAlign w:val="center"/>
            <w:hideMark/>
          </w:tcPr>
          <w:p w14:paraId="08B951FC" w14:textId="77777777" w:rsidR="00CB0253" w:rsidRPr="00496496" w:rsidRDefault="00CB0253" w:rsidP="00496496">
            <w:pPr>
              <w:pStyle w:val="ExhibitText"/>
              <w:jc w:val="center"/>
              <w:rPr>
                <w:rFonts w:eastAsia="SimSun"/>
                <w:b/>
                <w:sz w:val="18"/>
                <w:szCs w:val="18"/>
              </w:rPr>
            </w:pPr>
            <w:r w:rsidRPr="00496496">
              <w:rPr>
                <w:rFonts w:eastAsia="SimSun"/>
                <w:b/>
                <w:sz w:val="18"/>
                <w:szCs w:val="18"/>
              </w:rPr>
              <w:t>Total</w:t>
            </w:r>
          </w:p>
        </w:tc>
      </w:tr>
      <w:tr w:rsidR="00CB0253" w:rsidRPr="00496496" w14:paraId="447579D8" w14:textId="77777777" w:rsidTr="008B1AAC">
        <w:trPr>
          <w:trHeight w:val="259"/>
          <w:jc w:val="center"/>
        </w:trPr>
        <w:tc>
          <w:tcPr>
            <w:tcW w:w="872" w:type="dxa"/>
            <w:tcBorders>
              <w:top w:val="single" w:sz="12" w:space="0" w:color="auto"/>
            </w:tcBorders>
            <w:noWrap/>
            <w:vAlign w:val="center"/>
            <w:hideMark/>
          </w:tcPr>
          <w:p w14:paraId="459F8333" w14:textId="77777777" w:rsidR="00CB0253" w:rsidRPr="00496496" w:rsidRDefault="00CB0253" w:rsidP="00496496">
            <w:pPr>
              <w:pStyle w:val="ExhibitText"/>
              <w:jc w:val="center"/>
              <w:rPr>
                <w:rFonts w:eastAsia="SimSun"/>
                <w:sz w:val="18"/>
                <w:szCs w:val="18"/>
              </w:rPr>
            </w:pPr>
            <w:r w:rsidRPr="00496496">
              <w:rPr>
                <w:rFonts w:eastAsia="SimSun"/>
                <w:sz w:val="18"/>
                <w:szCs w:val="18"/>
              </w:rPr>
              <w:t>2006</w:t>
            </w:r>
          </w:p>
        </w:tc>
        <w:tc>
          <w:tcPr>
            <w:tcW w:w="1215" w:type="dxa"/>
            <w:tcBorders>
              <w:top w:val="single" w:sz="12" w:space="0" w:color="auto"/>
            </w:tcBorders>
            <w:noWrap/>
            <w:tcMar>
              <w:left w:w="115" w:type="dxa"/>
              <w:right w:w="288" w:type="dxa"/>
            </w:tcMar>
            <w:vAlign w:val="center"/>
            <w:hideMark/>
          </w:tcPr>
          <w:p w14:paraId="13790D94" w14:textId="61A82A69" w:rsidR="00CB0253" w:rsidRPr="00496496" w:rsidRDefault="00CB0253" w:rsidP="00496496">
            <w:pPr>
              <w:pStyle w:val="ExhibitText"/>
              <w:jc w:val="right"/>
              <w:rPr>
                <w:rFonts w:eastAsia="SimSun"/>
                <w:sz w:val="18"/>
                <w:szCs w:val="18"/>
              </w:rPr>
            </w:pPr>
            <w:r w:rsidRPr="00496496">
              <w:rPr>
                <w:rFonts w:eastAsia="SimSun"/>
                <w:sz w:val="18"/>
                <w:szCs w:val="18"/>
              </w:rPr>
              <w:t>16.50</w:t>
            </w:r>
          </w:p>
        </w:tc>
        <w:tc>
          <w:tcPr>
            <w:tcW w:w="1216" w:type="dxa"/>
            <w:tcBorders>
              <w:top w:val="single" w:sz="12" w:space="0" w:color="auto"/>
            </w:tcBorders>
            <w:noWrap/>
            <w:tcMar>
              <w:left w:w="115" w:type="dxa"/>
              <w:right w:w="288" w:type="dxa"/>
            </w:tcMar>
            <w:vAlign w:val="center"/>
            <w:hideMark/>
          </w:tcPr>
          <w:p w14:paraId="260A9646" w14:textId="77777777" w:rsidR="00CB0253" w:rsidRPr="00496496" w:rsidRDefault="00CB0253" w:rsidP="00496496">
            <w:pPr>
              <w:pStyle w:val="ExhibitText"/>
              <w:jc w:val="right"/>
              <w:rPr>
                <w:rFonts w:eastAsia="SimSun"/>
                <w:sz w:val="18"/>
                <w:szCs w:val="18"/>
              </w:rPr>
            </w:pPr>
            <w:r w:rsidRPr="00496496">
              <w:rPr>
                <w:rFonts w:eastAsia="SimSun"/>
                <w:sz w:val="18"/>
                <w:szCs w:val="18"/>
              </w:rPr>
              <w:t>0.14</w:t>
            </w:r>
          </w:p>
        </w:tc>
        <w:tc>
          <w:tcPr>
            <w:tcW w:w="1215" w:type="dxa"/>
            <w:tcBorders>
              <w:top w:val="single" w:sz="12" w:space="0" w:color="auto"/>
            </w:tcBorders>
            <w:noWrap/>
            <w:tcMar>
              <w:left w:w="115" w:type="dxa"/>
              <w:right w:w="288" w:type="dxa"/>
            </w:tcMar>
            <w:vAlign w:val="center"/>
            <w:hideMark/>
          </w:tcPr>
          <w:p w14:paraId="7F33B50C" w14:textId="77777777" w:rsidR="00CB0253" w:rsidRPr="00496496" w:rsidRDefault="00CB0253" w:rsidP="00496496">
            <w:pPr>
              <w:pStyle w:val="ExhibitText"/>
              <w:jc w:val="right"/>
              <w:rPr>
                <w:rFonts w:eastAsia="SimSun"/>
                <w:sz w:val="18"/>
                <w:szCs w:val="18"/>
              </w:rPr>
            </w:pPr>
            <w:r w:rsidRPr="00496496">
              <w:rPr>
                <w:rFonts w:eastAsia="SimSun"/>
                <w:sz w:val="18"/>
                <w:szCs w:val="18"/>
              </w:rPr>
              <w:t>0.14</w:t>
            </w:r>
          </w:p>
        </w:tc>
        <w:tc>
          <w:tcPr>
            <w:tcW w:w="1215" w:type="dxa"/>
            <w:tcBorders>
              <w:top w:val="single" w:sz="12" w:space="0" w:color="auto"/>
            </w:tcBorders>
            <w:noWrap/>
            <w:tcMar>
              <w:left w:w="115" w:type="dxa"/>
              <w:right w:w="288" w:type="dxa"/>
            </w:tcMar>
            <w:vAlign w:val="center"/>
            <w:hideMark/>
          </w:tcPr>
          <w:p w14:paraId="7DB58158" w14:textId="77777777" w:rsidR="00CB0253" w:rsidRPr="00496496" w:rsidRDefault="00CB0253" w:rsidP="00496496">
            <w:pPr>
              <w:pStyle w:val="ExhibitText"/>
              <w:jc w:val="right"/>
              <w:rPr>
                <w:rFonts w:eastAsia="SimSun"/>
                <w:sz w:val="18"/>
                <w:szCs w:val="18"/>
              </w:rPr>
            </w:pPr>
            <w:r w:rsidRPr="00496496">
              <w:rPr>
                <w:rFonts w:eastAsia="SimSun"/>
                <w:sz w:val="18"/>
                <w:szCs w:val="18"/>
              </w:rPr>
              <w:t>0.14</w:t>
            </w:r>
          </w:p>
        </w:tc>
        <w:tc>
          <w:tcPr>
            <w:tcW w:w="1215" w:type="dxa"/>
            <w:tcBorders>
              <w:top w:val="single" w:sz="12" w:space="0" w:color="auto"/>
            </w:tcBorders>
            <w:noWrap/>
            <w:tcMar>
              <w:left w:w="115" w:type="dxa"/>
              <w:right w:w="288" w:type="dxa"/>
            </w:tcMar>
            <w:vAlign w:val="center"/>
            <w:hideMark/>
          </w:tcPr>
          <w:p w14:paraId="37301411" w14:textId="77777777" w:rsidR="00CB0253" w:rsidRPr="00496496" w:rsidRDefault="00CB0253" w:rsidP="00496496">
            <w:pPr>
              <w:pStyle w:val="ExhibitText"/>
              <w:jc w:val="right"/>
              <w:rPr>
                <w:rFonts w:eastAsia="SimSun"/>
                <w:sz w:val="18"/>
                <w:szCs w:val="18"/>
              </w:rPr>
            </w:pPr>
            <w:r w:rsidRPr="00496496">
              <w:rPr>
                <w:rFonts w:eastAsia="SimSun"/>
                <w:sz w:val="18"/>
                <w:szCs w:val="18"/>
              </w:rPr>
              <w:t>0.17</w:t>
            </w:r>
          </w:p>
        </w:tc>
        <w:tc>
          <w:tcPr>
            <w:tcW w:w="1215" w:type="dxa"/>
            <w:tcBorders>
              <w:top w:val="single" w:sz="12" w:space="0" w:color="auto"/>
            </w:tcBorders>
            <w:noWrap/>
            <w:tcMar>
              <w:left w:w="115" w:type="dxa"/>
              <w:right w:w="288" w:type="dxa"/>
            </w:tcMar>
            <w:vAlign w:val="center"/>
            <w:hideMark/>
          </w:tcPr>
          <w:p w14:paraId="4A7E96D5" w14:textId="77777777" w:rsidR="00CB0253" w:rsidRPr="00496496" w:rsidRDefault="00CB0253" w:rsidP="00496496">
            <w:pPr>
              <w:pStyle w:val="ExhibitText"/>
              <w:jc w:val="right"/>
              <w:rPr>
                <w:rFonts w:eastAsia="SimSun"/>
                <w:sz w:val="18"/>
                <w:szCs w:val="18"/>
              </w:rPr>
            </w:pPr>
            <w:r w:rsidRPr="00496496">
              <w:rPr>
                <w:rFonts w:eastAsia="SimSun"/>
                <w:sz w:val="18"/>
                <w:szCs w:val="18"/>
              </w:rPr>
              <w:t>0.04</w:t>
            </w:r>
          </w:p>
        </w:tc>
        <w:tc>
          <w:tcPr>
            <w:tcW w:w="1215" w:type="dxa"/>
            <w:tcBorders>
              <w:top w:val="single" w:sz="12" w:space="0" w:color="auto"/>
            </w:tcBorders>
            <w:noWrap/>
            <w:tcMar>
              <w:left w:w="115" w:type="dxa"/>
              <w:right w:w="288" w:type="dxa"/>
            </w:tcMar>
            <w:vAlign w:val="center"/>
            <w:hideMark/>
          </w:tcPr>
          <w:p w14:paraId="756D4E3B" w14:textId="77777777" w:rsidR="00CB0253" w:rsidRPr="00496496" w:rsidRDefault="00CB0253" w:rsidP="00496496">
            <w:pPr>
              <w:pStyle w:val="ExhibitText"/>
              <w:jc w:val="right"/>
              <w:rPr>
                <w:rFonts w:eastAsia="SimSun"/>
                <w:sz w:val="18"/>
                <w:szCs w:val="18"/>
              </w:rPr>
            </w:pPr>
            <w:r w:rsidRPr="00496496">
              <w:rPr>
                <w:rFonts w:eastAsia="SimSun"/>
                <w:sz w:val="18"/>
                <w:szCs w:val="18"/>
              </w:rPr>
              <w:t>0.63</w:t>
            </w:r>
          </w:p>
        </w:tc>
      </w:tr>
      <w:tr w:rsidR="00CB0253" w:rsidRPr="00496496" w14:paraId="247C816C" w14:textId="77777777" w:rsidTr="008B1AAC">
        <w:trPr>
          <w:trHeight w:val="259"/>
          <w:jc w:val="center"/>
        </w:trPr>
        <w:tc>
          <w:tcPr>
            <w:tcW w:w="872" w:type="dxa"/>
            <w:noWrap/>
            <w:vAlign w:val="center"/>
            <w:hideMark/>
          </w:tcPr>
          <w:p w14:paraId="69D03972" w14:textId="77777777" w:rsidR="00CB0253" w:rsidRPr="00496496" w:rsidRDefault="00CB0253" w:rsidP="00496496">
            <w:pPr>
              <w:pStyle w:val="ExhibitText"/>
              <w:jc w:val="center"/>
              <w:rPr>
                <w:rFonts w:eastAsia="SimSun"/>
                <w:sz w:val="18"/>
                <w:szCs w:val="18"/>
              </w:rPr>
            </w:pPr>
            <w:r w:rsidRPr="00496496">
              <w:rPr>
                <w:rFonts w:eastAsia="SimSun"/>
                <w:sz w:val="18"/>
                <w:szCs w:val="18"/>
              </w:rPr>
              <w:t>2007</w:t>
            </w:r>
          </w:p>
        </w:tc>
        <w:tc>
          <w:tcPr>
            <w:tcW w:w="1215" w:type="dxa"/>
            <w:noWrap/>
            <w:tcMar>
              <w:left w:w="115" w:type="dxa"/>
              <w:right w:w="288" w:type="dxa"/>
            </w:tcMar>
            <w:vAlign w:val="center"/>
            <w:hideMark/>
          </w:tcPr>
          <w:p w14:paraId="7438AC6B" w14:textId="243843C5" w:rsidR="00CB0253" w:rsidRPr="00496496" w:rsidRDefault="00CB0253" w:rsidP="00496496">
            <w:pPr>
              <w:pStyle w:val="ExhibitText"/>
              <w:jc w:val="right"/>
              <w:rPr>
                <w:rFonts w:eastAsia="SimSun"/>
                <w:sz w:val="18"/>
                <w:szCs w:val="18"/>
              </w:rPr>
            </w:pPr>
            <w:r w:rsidRPr="00496496">
              <w:rPr>
                <w:rFonts w:eastAsia="SimSun"/>
                <w:sz w:val="18"/>
                <w:szCs w:val="18"/>
              </w:rPr>
              <w:t>22.60</w:t>
            </w:r>
          </w:p>
        </w:tc>
        <w:tc>
          <w:tcPr>
            <w:tcW w:w="1216" w:type="dxa"/>
            <w:noWrap/>
            <w:tcMar>
              <w:left w:w="115" w:type="dxa"/>
              <w:right w:w="288" w:type="dxa"/>
            </w:tcMar>
            <w:vAlign w:val="center"/>
            <w:hideMark/>
          </w:tcPr>
          <w:p w14:paraId="3D3B7530" w14:textId="77777777" w:rsidR="00CB0253" w:rsidRPr="00496496" w:rsidRDefault="00CB0253" w:rsidP="00496496">
            <w:pPr>
              <w:pStyle w:val="ExhibitText"/>
              <w:jc w:val="right"/>
              <w:rPr>
                <w:rFonts w:eastAsia="SimSun"/>
                <w:sz w:val="18"/>
                <w:szCs w:val="18"/>
              </w:rPr>
            </w:pPr>
            <w:r w:rsidRPr="00496496">
              <w:rPr>
                <w:rFonts w:eastAsia="SimSun"/>
                <w:sz w:val="18"/>
                <w:szCs w:val="18"/>
              </w:rPr>
              <w:t>0.17</w:t>
            </w:r>
          </w:p>
        </w:tc>
        <w:tc>
          <w:tcPr>
            <w:tcW w:w="1215" w:type="dxa"/>
            <w:noWrap/>
            <w:tcMar>
              <w:left w:w="115" w:type="dxa"/>
              <w:right w:w="288" w:type="dxa"/>
            </w:tcMar>
            <w:vAlign w:val="center"/>
            <w:hideMark/>
          </w:tcPr>
          <w:p w14:paraId="2D0B9711" w14:textId="77777777" w:rsidR="00CB0253" w:rsidRPr="00496496" w:rsidRDefault="00CB0253" w:rsidP="00496496">
            <w:pPr>
              <w:pStyle w:val="ExhibitText"/>
              <w:jc w:val="right"/>
              <w:rPr>
                <w:rFonts w:eastAsia="SimSun"/>
                <w:sz w:val="18"/>
                <w:szCs w:val="18"/>
              </w:rPr>
            </w:pPr>
            <w:r w:rsidRPr="00496496">
              <w:rPr>
                <w:rFonts w:eastAsia="SimSun"/>
                <w:sz w:val="18"/>
                <w:szCs w:val="18"/>
              </w:rPr>
              <w:t>0.17</w:t>
            </w:r>
          </w:p>
        </w:tc>
        <w:tc>
          <w:tcPr>
            <w:tcW w:w="1215" w:type="dxa"/>
            <w:noWrap/>
            <w:tcMar>
              <w:left w:w="115" w:type="dxa"/>
              <w:right w:w="288" w:type="dxa"/>
            </w:tcMar>
            <w:vAlign w:val="center"/>
            <w:hideMark/>
          </w:tcPr>
          <w:p w14:paraId="30AF3ED8" w14:textId="77777777" w:rsidR="00CB0253" w:rsidRPr="00496496" w:rsidRDefault="00CB0253" w:rsidP="00496496">
            <w:pPr>
              <w:pStyle w:val="ExhibitText"/>
              <w:jc w:val="right"/>
              <w:rPr>
                <w:rFonts w:eastAsia="SimSun"/>
                <w:sz w:val="18"/>
                <w:szCs w:val="18"/>
              </w:rPr>
            </w:pPr>
            <w:r w:rsidRPr="00496496">
              <w:rPr>
                <w:rFonts w:eastAsia="SimSun"/>
                <w:sz w:val="18"/>
                <w:szCs w:val="18"/>
              </w:rPr>
              <w:t>0.17</w:t>
            </w:r>
          </w:p>
        </w:tc>
        <w:tc>
          <w:tcPr>
            <w:tcW w:w="1215" w:type="dxa"/>
            <w:noWrap/>
            <w:tcMar>
              <w:left w:w="115" w:type="dxa"/>
              <w:right w:w="288" w:type="dxa"/>
            </w:tcMar>
            <w:vAlign w:val="center"/>
            <w:hideMark/>
          </w:tcPr>
          <w:p w14:paraId="4E0AABE0" w14:textId="77777777" w:rsidR="00CB0253" w:rsidRPr="00496496" w:rsidRDefault="00CB0253" w:rsidP="00496496">
            <w:pPr>
              <w:pStyle w:val="ExhibitText"/>
              <w:jc w:val="right"/>
              <w:rPr>
                <w:rFonts w:eastAsia="SimSun"/>
                <w:sz w:val="18"/>
                <w:szCs w:val="18"/>
              </w:rPr>
            </w:pPr>
            <w:r w:rsidRPr="00496496">
              <w:rPr>
                <w:rFonts w:eastAsia="SimSun"/>
                <w:sz w:val="18"/>
                <w:szCs w:val="18"/>
              </w:rPr>
              <w:t>0.17</w:t>
            </w:r>
          </w:p>
        </w:tc>
        <w:tc>
          <w:tcPr>
            <w:tcW w:w="1215" w:type="dxa"/>
            <w:noWrap/>
            <w:tcMar>
              <w:left w:w="115" w:type="dxa"/>
              <w:right w:w="288" w:type="dxa"/>
            </w:tcMar>
            <w:vAlign w:val="center"/>
            <w:hideMark/>
          </w:tcPr>
          <w:p w14:paraId="0A708E30" w14:textId="2E21E720"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1B0B8ACD" w14:textId="77777777" w:rsidR="00CB0253" w:rsidRPr="00496496" w:rsidRDefault="00CB0253" w:rsidP="00496496">
            <w:pPr>
              <w:pStyle w:val="ExhibitText"/>
              <w:jc w:val="right"/>
              <w:rPr>
                <w:rFonts w:eastAsia="SimSun"/>
                <w:sz w:val="18"/>
                <w:szCs w:val="18"/>
              </w:rPr>
            </w:pPr>
            <w:r w:rsidRPr="00496496">
              <w:rPr>
                <w:rFonts w:eastAsia="SimSun"/>
                <w:sz w:val="18"/>
                <w:szCs w:val="18"/>
              </w:rPr>
              <w:t>0.68</w:t>
            </w:r>
          </w:p>
        </w:tc>
      </w:tr>
      <w:tr w:rsidR="00CB0253" w:rsidRPr="00496496" w14:paraId="281AC740" w14:textId="77777777" w:rsidTr="008B1AAC">
        <w:trPr>
          <w:trHeight w:val="259"/>
          <w:jc w:val="center"/>
        </w:trPr>
        <w:tc>
          <w:tcPr>
            <w:tcW w:w="872" w:type="dxa"/>
            <w:noWrap/>
            <w:vAlign w:val="center"/>
            <w:hideMark/>
          </w:tcPr>
          <w:p w14:paraId="577DDD28" w14:textId="77777777" w:rsidR="00CB0253" w:rsidRPr="00496496" w:rsidRDefault="00CB0253" w:rsidP="00496496">
            <w:pPr>
              <w:pStyle w:val="ExhibitText"/>
              <w:jc w:val="center"/>
              <w:rPr>
                <w:rFonts w:eastAsia="SimSun"/>
                <w:sz w:val="18"/>
                <w:szCs w:val="18"/>
              </w:rPr>
            </w:pPr>
            <w:r w:rsidRPr="00496496">
              <w:rPr>
                <w:rFonts w:eastAsia="SimSun"/>
                <w:sz w:val="18"/>
                <w:szCs w:val="18"/>
              </w:rPr>
              <w:t>2008</w:t>
            </w:r>
          </w:p>
        </w:tc>
        <w:tc>
          <w:tcPr>
            <w:tcW w:w="1215" w:type="dxa"/>
            <w:noWrap/>
            <w:tcMar>
              <w:left w:w="115" w:type="dxa"/>
              <w:right w:w="288" w:type="dxa"/>
            </w:tcMar>
            <w:vAlign w:val="center"/>
            <w:hideMark/>
          </w:tcPr>
          <w:p w14:paraId="129A27F8" w14:textId="163265FC" w:rsidR="00CB0253" w:rsidRPr="00496496" w:rsidRDefault="00CB0253" w:rsidP="00496496">
            <w:pPr>
              <w:pStyle w:val="ExhibitText"/>
              <w:jc w:val="right"/>
              <w:rPr>
                <w:rFonts w:eastAsia="SimSun"/>
                <w:sz w:val="18"/>
                <w:szCs w:val="18"/>
              </w:rPr>
            </w:pPr>
            <w:r w:rsidRPr="00496496">
              <w:rPr>
                <w:rFonts w:eastAsia="SimSun"/>
                <w:sz w:val="18"/>
                <w:szCs w:val="18"/>
              </w:rPr>
              <w:t>20.70</w:t>
            </w:r>
          </w:p>
        </w:tc>
        <w:tc>
          <w:tcPr>
            <w:tcW w:w="1216" w:type="dxa"/>
            <w:noWrap/>
            <w:tcMar>
              <w:left w:w="115" w:type="dxa"/>
              <w:right w:w="288" w:type="dxa"/>
            </w:tcMar>
            <w:vAlign w:val="center"/>
            <w:hideMark/>
          </w:tcPr>
          <w:p w14:paraId="3EFBFFCE" w14:textId="77777777" w:rsidR="00CB0253" w:rsidRPr="00496496" w:rsidRDefault="00CB0253" w:rsidP="00496496">
            <w:pPr>
              <w:pStyle w:val="ExhibitText"/>
              <w:jc w:val="right"/>
              <w:rPr>
                <w:rFonts w:eastAsia="SimSun"/>
                <w:sz w:val="18"/>
                <w:szCs w:val="18"/>
              </w:rPr>
            </w:pPr>
            <w:r w:rsidRPr="00496496">
              <w:rPr>
                <w:rFonts w:eastAsia="SimSun"/>
                <w:sz w:val="18"/>
                <w:szCs w:val="18"/>
              </w:rPr>
              <w:t>0.17</w:t>
            </w:r>
          </w:p>
        </w:tc>
        <w:tc>
          <w:tcPr>
            <w:tcW w:w="1215" w:type="dxa"/>
            <w:noWrap/>
            <w:tcMar>
              <w:left w:w="115" w:type="dxa"/>
              <w:right w:w="288" w:type="dxa"/>
            </w:tcMar>
            <w:vAlign w:val="center"/>
            <w:hideMark/>
          </w:tcPr>
          <w:p w14:paraId="649149D7" w14:textId="77777777" w:rsidR="00CB0253" w:rsidRPr="00496496" w:rsidRDefault="00CB0253" w:rsidP="00496496">
            <w:pPr>
              <w:pStyle w:val="ExhibitText"/>
              <w:jc w:val="right"/>
              <w:rPr>
                <w:rFonts w:eastAsia="SimSun"/>
                <w:sz w:val="18"/>
                <w:szCs w:val="18"/>
              </w:rPr>
            </w:pPr>
            <w:r w:rsidRPr="00496496">
              <w:rPr>
                <w:rFonts w:eastAsia="SimSun"/>
                <w:sz w:val="18"/>
                <w:szCs w:val="18"/>
              </w:rPr>
              <w:t>0.17</w:t>
            </w:r>
          </w:p>
        </w:tc>
        <w:tc>
          <w:tcPr>
            <w:tcW w:w="1215" w:type="dxa"/>
            <w:noWrap/>
            <w:tcMar>
              <w:left w:w="115" w:type="dxa"/>
              <w:right w:w="288" w:type="dxa"/>
            </w:tcMar>
            <w:vAlign w:val="center"/>
            <w:hideMark/>
          </w:tcPr>
          <w:p w14:paraId="34CAAC4D" w14:textId="77777777" w:rsidR="00CB0253" w:rsidRPr="00496496" w:rsidRDefault="00CB0253" w:rsidP="00496496">
            <w:pPr>
              <w:pStyle w:val="ExhibitText"/>
              <w:jc w:val="right"/>
              <w:rPr>
                <w:rFonts w:eastAsia="SimSun"/>
                <w:sz w:val="18"/>
                <w:szCs w:val="18"/>
              </w:rPr>
            </w:pPr>
            <w:r w:rsidRPr="00496496">
              <w:rPr>
                <w:rFonts w:eastAsia="SimSun"/>
                <w:sz w:val="18"/>
                <w:szCs w:val="18"/>
              </w:rPr>
              <w:t>0.17</w:t>
            </w:r>
          </w:p>
        </w:tc>
        <w:tc>
          <w:tcPr>
            <w:tcW w:w="1215" w:type="dxa"/>
            <w:noWrap/>
            <w:tcMar>
              <w:left w:w="115" w:type="dxa"/>
              <w:right w:w="288" w:type="dxa"/>
            </w:tcMar>
            <w:vAlign w:val="center"/>
            <w:hideMark/>
          </w:tcPr>
          <w:p w14:paraId="5E40CEBA" w14:textId="77777777" w:rsidR="00CB0253" w:rsidRPr="00496496" w:rsidRDefault="00CB0253" w:rsidP="00496496">
            <w:pPr>
              <w:pStyle w:val="ExhibitText"/>
              <w:jc w:val="right"/>
              <w:rPr>
                <w:rFonts w:eastAsia="SimSun"/>
                <w:sz w:val="18"/>
                <w:szCs w:val="18"/>
              </w:rPr>
            </w:pPr>
            <w:r w:rsidRPr="00496496">
              <w:rPr>
                <w:rFonts w:eastAsia="SimSun"/>
                <w:sz w:val="18"/>
                <w:szCs w:val="18"/>
              </w:rPr>
              <w:t>0.14</w:t>
            </w:r>
          </w:p>
        </w:tc>
        <w:tc>
          <w:tcPr>
            <w:tcW w:w="1215" w:type="dxa"/>
            <w:noWrap/>
            <w:tcMar>
              <w:left w:w="115" w:type="dxa"/>
              <w:right w:w="288" w:type="dxa"/>
            </w:tcMar>
            <w:vAlign w:val="center"/>
            <w:hideMark/>
          </w:tcPr>
          <w:p w14:paraId="77479DB8" w14:textId="65AC861F"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117A881E" w14:textId="77777777" w:rsidR="00CB0253" w:rsidRPr="00496496" w:rsidRDefault="00CB0253" w:rsidP="00496496">
            <w:pPr>
              <w:pStyle w:val="ExhibitText"/>
              <w:jc w:val="right"/>
              <w:rPr>
                <w:rFonts w:eastAsia="SimSun"/>
                <w:sz w:val="18"/>
                <w:szCs w:val="18"/>
              </w:rPr>
            </w:pPr>
            <w:r w:rsidRPr="00496496">
              <w:rPr>
                <w:rFonts w:eastAsia="SimSun"/>
                <w:sz w:val="18"/>
                <w:szCs w:val="18"/>
              </w:rPr>
              <w:t>0.65</w:t>
            </w:r>
          </w:p>
        </w:tc>
      </w:tr>
      <w:tr w:rsidR="00CB0253" w:rsidRPr="00496496" w14:paraId="18F02131" w14:textId="77777777" w:rsidTr="008B1AAC">
        <w:trPr>
          <w:trHeight w:val="259"/>
          <w:jc w:val="center"/>
        </w:trPr>
        <w:tc>
          <w:tcPr>
            <w:tcW w:w="872" w:type="dxa"/>
            <w:noWrap/>
            <w:vAlign w:val="center"/>
            <w:hideMark/>
          </w:tcPr>
          <w:p w14:paraId="265ABBCB" w14:textId="77777777" w:rsidR="00CB0253" w:rsidRPr="00496496" w:rsidRDefault="00CB0253" w:rsidP="00496496">
            <w:pPr>
              <w:pStyle w:val="ExhibitText"/>
              <w:jc w:val="center"/>
              <w:rPr>
                <w:rFonts w:eastAsia="SimSun"/>
                <w:sz w:val="18"/>
                <w:szCs w:val="18"/>
              </w:rPr>
            </w:pPr>
            <w:r w:rsidRPr="00496496">
              <w:rPr>
                <w:rFonts w:eastAsia="SimSun"/>
                <w:sz w:val="18"/>
                <w:szCs w:val="18"/>
              </w:rPr>
              <w:t>2009</w:t>
            </w:r>
          </w:p>
        </w:tc>
        <w:tc>
          <w:tcPr>
            <w:tcW w:w="1215" w:type="dxa"/>
            <w:noWrap/>
            <w:tcMar>
              <w:left w:w="115" w:type="dxa"/>
              <w:right w:w="288" w:type="dxa"/>
            </w:tcMar>
            <w:vAlign w:val="center"/>
            <w:hideMark/>
          </w:tcPr>
          <w:p w14:paraId="01E3108C" w14:textId="3C47FDA1" w:rsidR="00CB0253" w:rsidRPr="00496496" w:rsidRDefault="00CB0253" w:rsidP="00496496">
            <w:pPr>
              <w:pStyle w:val="ExhibitText"/>
              <w:jc w:val="right"/>
              <w:rPr>
                <w:rFonts w:eastAsia="SimSun"/>
                <w:sz w:val="18"/>
                <w:szCs w:val="18"/>
              </w:rPr>
            </w:pPr>
            <w:r w:rsidRPr="00496496">
              <w:rPr>
                <w:rFonts w:eastAsia="SimSun"/>
                <w:sz w:val="18"/>
                <w:szCs w:val="18"/>
              </w:rPr>
              <w:t>8.42</w:t>
            </w:r>
          </w:p>
        </w:tc>
        <w:tc>
          <w:tcPr>
            <w:tcW w:w="1216" w:type="dxa"/>
            <w:noWrap/>
            <w:tcMar>
              <w:left w:w="115" w:type="dxa"/>
              <w:right w:w="288" w:type="dxa"/>
            </w:tcMar>
            <w:vAlign w:val="center"/>
            <w:hideMark/>
          </w:tcPr>
          <w:p w14:paraId="7EFE8E5E" w14:textId="77777777" w:rsidR="00CB0253" w:rsidRPr="00496496" w:rsidRDefault="00CB0253" w:rsidP="00496496">
            <w:pPr>
              <w:pStyle w:val="ExhibitText"/>
              <w:jc w:val="right"/>
              <w:rPr>
                <w:rFonts w:eastAsia="SimSun"/>
                <w:sz w:val="18"/>
                <w:szCs w:val="18"/>
              </w:rPr>
            </w:pPr>
            <w:r w:rsidRPr="00496496">
              <w:rPr>
                <w:rFonts w:eastAsia="SimSun"/>
                <w:sz w:val="18"/>
                <w:szCs w:val="18"/>
              </w:rPr>
              <w:t>0.14</w:t>
            </w:r>
          </w:p>
        </w:tc>
        <w:tc>
          <w:tcPr>
            <w:tcW w:w="1215" w:type="dxa"/>
            <w:noWrap/>
            <w:tcMar>
              <w:left w:w="115" w:type="dxa"/>
              <w:right w:w="288" w:type="dxa"/>
            </w:tcMar>
            <w:vAlign w:val="center"/>
            <w:hideMark/>
          </w:tcPr>
          <w:p w14:paraId="06A89F3F" w14:textId="77777777" w:rsidR="00CB0253" w:rsidRPr="00496496" w:rsidRDefault="00CB0253" w:rsidP="00496496">
            <w:pPr>
              <w:pStyle w:val="ExhibitText"/>
              <w:jc w:val="right"/>
              <w:rPr>
                <w:rFonts w:eastAsia="SimSun"/>
                <w:sz w:val="18"/>
                <w:szCs w:val="18"/>
              </w:rPr>
            </w:pPr>
            <w:r w:rsidRPr="00496496">
              <w:rPr>
                <w:rFonts w:eastAsia="SimSun"/>
                <w:sz w:val="18"/>
                <w:szCs w:val="18"/>
              </w:rPr>
              <w:t>0.14</w:t>
            </w:r>
          </w:p>
        </w:tc>
        <w:tc>
          <w:tcPr>
            <w:tcW w:w="1215" w:type="dxa"/>
            <w:noWrap/>
            <w:tcMar>
              <w:left w:w="115" w:type="dxa"/>
              <w:right w:w="288" w:type="dxa"/>
            </w:tcMar>
            <w:vAlign w:val="center"/>
            <w:hideMark/>
          </w:tcPr>
          <w:p w14:paraId="0DF1D815" w14:textId="77777777" w:rsidR="00CB0253" w:rsidRPr="00496496" w:rsidRDefault="00CB0253" w:rsidP="00496496">
            <w:pPr>
              <w:pStyle w:val="ExhibitText"/>
              <w:jc w:val="right"/>
              <w:rPr>
                <w:rFonts w:eastAsia="SimSun"/>
                <w:sz w:val="18"/>
                <w:szCs w:val="18"/>
              </w:rPr>
            </w:pPr>
            <w:r w:rsidRPr="00496496">
              <w:rPr>
                <w:rFonts w:eastAsia="SimSun"/>
                <w:sz w:val="18"/>
                <w:szCs w:val="18"/>
              </w:rPr>
              <w:t>0.14</w:t>
            </w:r>
          </w:p>
        </w:tc>
        <w:tc>
          <w:tcPr>
            <w:tcW w:w="1215" w:type="dxa"/>
            <w:noWrap/>
            <w:tcMar>
              <w:left w:w="115" w:type="dxa"/>
              <w:right w:w="288" w:type="dxa"/>
            </w:tcMar>
            <w:vAlign w:val="center"/>
            <w:hideMark/>
          </w:tcPr>
          <w:p w14:paraId="11FB46D8" w14:textId="77777777" w:rsidR="00CB0253" w:rsidRPr="00496496" w:rsidRDefault="00CB0253" w:rsidP="00496496">
            <w:pPr>
              <w:pStyle w:val="ExhibitText"/>
              <w:jc w:val="right"/>
              <w:rPr>
                <w:rFonts w:eastAsia="SimSun"/>
                <w:sz w:val="18"/>
                <w:szCs w:val="18"/>
              </w:rPr>
            </w:pPr>
            <w:r w:rsidRPr="00496496">
              <w:rPr>
                <w:rFonts w:eastAsia="SimSun"/>
                <w:sz w:val="18"/>
                <w:szCs w:val="18"/>
              </w:rPr>
              <w:t>0.14</w:t>
            </w:r>
          </w:p>
        </w:tc>
        <w:tc>
          <w:tcPr>
            <w:tcW w:w="1215" w:type="dxa"/>
            <w:noWrap/>
            <w:tcMar>
              <w:left w:w="115" w:type="dxa"/>
              <w:right w:w="288" w:type="dxa"/>
            </w:tcMar>
            <w:vAlign w:val="center"/>
            <w:hideMark/>
          </w:tcPr>
          <w:p w14:paraId="6FD97C32" w14:textId="26A248C0"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057E7F0E" w14:textId="77777777" w:rsidR="00CB0253" w:rsidRPr="00496496" w:rsidRDefault="00CB0253" w:rsidP="00496496">
            <w:pPr>
              <w:pStyle w:val="ExhibitText"/>
              <w:jc w:val="right"/>
              <w:rPr>
                <w:rFonts w:eastAsia="SimSun"/>
                <w:sz w:val="18"/>
                <w:szCs w:val="18"/>
              </w:rPr>
            </w:pPr>
            <w:r w:rsidRPr="00496496">
              <w:rPr>
                <w:rFonts w:eastAsia="SimSun"/>
                <w:sz w:val="18"/>
                <w:szCs w:val="18"/>
              </w:rPr>
              <w:t>0.56</w:t>
            </w:r>
          </w:p>
        </w:tc>
      </w:tr>
      <w:tr w:rsidR="00CB0253" w:rsidRPr="00496496" w14:paraId="479E555B" w14:textId="77777777" w:rsidTr="008B1AAC">
        <w:trPr>
          <w:trHeight w:val="259"/>
          <w:jc w:val="center"/>
        </w:trPr>
        <w:tc>
          <w:tcPr>
            <w:tcW w:w="872" w:type="dxa"/>
            <w:noWrap/>
            <w:vAlign w:val="center"/>
            <w:hideMark/>
          </w:tcPr>
          <w:p w14:paraId="4F3610D1" w14:textId="77777777" w:rsidR="00CB0253" w:rsidRPr="00496496" w:rsidRDefault="00CB0253" w:rsidP="00496496">
            <w:pPr>
              <w:pStyle w:val="ExhibitText"/>
              <w:jc w:val="center"/>
              <w:rPr>
                <w:rFonts w:eastAsia="SimSun"/>
                <w:sz w:val="18"/>
                <w:szCs w:val="18"/>
              </w:rPr>
            </w:pPr>
            <w:r w:rsidRPr="00496496">
              <w:rPr>
                <w:rFonts w:eastAsia="SimSun"/>
                <w:sz w:val="18"/>
                <w:szCs w:val="18"/>
              </w:rPr>
              <w:t>2010</w:t>
            </w:r>
          </w:p>
        </w:tc>
        <w:tc>
          <w:tcPr>
            <w:tcW w:w="1215" w:type="dxa"/>
            <w:noWrap/>
            <w:tcMar>
              <w:left w:w="115" w:type="dxa"/>
              <w:right w:w="288" w:type="dxa"/>
            </w:tcMar>
            <w:vAlign w:val="center"/>
            <w:hideMark/>
          </w:tcPr>
          <w:p w14:paraId="68300EB8" w14:textId="25BCA572" w:rsidR="00CB0253" w:rsidRPr="00496496" w:rsidRDefault="00CB0253" w:rsidP="00496496">
            <w:pPr>
              <w:pStyle w:val="ExhibitText"/>
              <w:jc w:val="right"/>
              <w:rPr>
                <w:rFonts w:eastAsia="SimSun"/>
                <w:sz w:val="18"/>
                <w:szCs w:val="18"/>
              </w:rPr>
            </w:pPr>
            <w:r w:rsidRPr="00496496">
              <w:rPr>
                <w:rFonts w:eastAsia="SimSun"/>
                <w:sz w:val="18"/>
                <w:szCs w:val="18"/>
              </w:rPr>
              <w:t>15.20</w:t>
            </w:r>
          </w:p>
        </w:tc>
        <w:tc>
          <w:tcPr>
            <w:tcW w:w="1216" w:type="dxa"/>
            <w:noWrap/>
            <w:tcMar>
              <w:left w:w="115" w:type="dxa"/>
              <w:right w:w="288" w:type="dxa"/>
            </w:tcMar>
            <w:vAlign w:val="center"/>
            <w:hideMark/>
          </w:tcPr>
          <w:p w14:paraId="16B19F29" w14:textId="77777777" w:rsidR="00CB0253" w:rsidRPr="00496496" w:rsidRDefault="00CB0253" w:rsidP="00496496">
            <w:pPr>
              <w:pStyle w:val="ExhibitText"/>
              <w:jc w:val="right"/>
              <w:rPr>
                <w:rFonts w:eastAsia="SimSun"/>
                <w:sz w:val="18"/>
                <w:szCs w:val="18"/>
              </w:rPr>
            </w:pPr>
            <w:r w:rsidRPr="00496496">
              <w:rPr>
                <w:rFonts w:eastAsia="SimSun"/>
                <w:sz w:val="18"/>
                <w:szCs w:val="18"/>
              </w:rPr>
              <w:t>0.14</w:t>
            </w:r>
          </w:p>
        </w:tc>
        <w:tc>
          <w:tcPr>
            <w:tcW w:w="1215" w:type="dxa"/>
            <w:noWrap/>
            <w:tcMar>
              <w:left w:w="115" w:type="dxa"/>
              <w:right w:w="288" w:type="dxa"/>
            </w:tcMar>
            <w:vAlign w:val="center"/>
            <w:hideMark/>
          </w:tcPr>
          <w:p w14:paraId="3733941A" w14:textId="77777777" w:rsidR="00CB0253" w:rsidRPr="00496496" w:rsidRDefault="00CB0253" w:rsidP="00496496">
            <w:pPr>
              <w:pStyle w:val="ExhibitText"/>
              <w:jc w:val="right"/>
              <w:rPr>
                <w:rFonts w:eastAsia="SimSun"/>
                <w:sz w:val="18"/>
                <w:szCs w:val="18"/>
              </w:rPr>
            </w:pPr>
            <w:r w:rsidRPr="00496496">
              <w:rPr>
                <w:rFonts w:eastAsia="SimSun"/>
                <w:sz w:val="18"/>
                <w:szCs w:val="18"/>
              </w:rPr>
              <w:t>0.14</w:t>
            </w:r>
          </w:p>
        </w:tc>
        <w:tc>
          <w:tcPr>
            <w:tcW w:w="1215" w:type="dxa"/>
            <w:noWrap/>
            <w:tcMar>
              <w:left w:w="115" w:type="dxa"/>
              <w:right w:w="288" w:type="dxa"/>
            </w:tcMar>
            <w:vAlign w:val="center"/>
            <w:hideMark/>
          </w:tcPr>
          <w:p w14:paraId="50C589BA" w14:textId="3ACDC066"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45418E12" w14:textId="77777777" w:rsidR="00CB0253" w:rsidRPr="00496496" w:rsidRDefault="00CB0253" w:rsidP="00496496">
            <w:pPr>
              <w:pStyle w:val="ExhibitText"/>
              <w:jc w:val="right"/>
              <w:rPr>
                <w:rFonts w:eastAsia="SimSun"/>
                <w:sz w:val="18"/>
                <w:szCs w:val="18"/>
              </w:rPr>
            </w:pPr>
            <w:r w:rsidRPr="00496496">
              <w:rPr>
                <w:rFonts w:eastAsia="SimSun"/>
                <w:sz w:val="18"/>
                <w:szCs w:val="18"/>
              </w:rPr>
              <w:t>0.28</w:t>
            </w:r>
          </w:p>
        </w:tc>
        <w:tc>
          <w:tcPr>
            <w:tcW w:w="1215" w:type="dxa"/>
            <w:noWrap/>
            <w:tcMar>
              <w:left w:w="115" w:type="dxa"/>
              <w:right w:w="288" w:type="dxa"/>
            </w:tcMar>
            <w:vAlign w:val="center"/>
            <w:hideMark/>
          </w:tcPr>
          <w:p w14:paraId="7EF418C9" w14:textId="025AC9F2"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7567C576" w14:textId="77777777" w:rsidR="00CB0253" w:rsidRPr="00496496" w:rsidRDefault="00CB0253" w:rsidP="00496496">
            <w:pPr>
              <w:pStyle w:val="ExhibitText"/>
              <w:jc w:val="right"/>
              <w:rPr>
                <w:rFonts w:eastAsia="SimSun"/>
                <w:sz w:val="18"/>
                <w:szCs w:val="18"/>
              </w:rPr>
            </w:pPr>
            <w:r w:rsidRPr="00496496">
              <w:rPr>
                <w:rFonts w:eastAsia="SimSun"/>
                <w:sz w:val="18"/>
                <w:szCs w:val="18"/>
              </w:rPr>
              <w:t>0.56</w:t>
            </w:r>
          </w:p>
        </w:tc>
      </w:tr>
      <w:tr w:rsidR="00CB0253" w:rsidRPr="00496496" w14:paraId="19E7B715" w14:textId="77777777" w:rsidTr="008B1AAC">
        <w:trPr>
          <w:trHeight w:val="259"/>
          <w:jc w:val="center"/>
        </w:trPr>
        <w:tc>
          <w:tcPr>
            <w:tcW w:w="872" w:type="dxa"/>
            <w:noWrap/>
            <w:vAlign w:val="center"/>
            <w:hideMark/>
          </w:tcPr>
          <w:p w14:paraId="203D6B50" w14:textId="77777777" w:rsidR="00CB0253" w:rsidRPr="00496496" w:rsidRDefault="00CB0253" w:rsidP="00496496">
            <w:pPr>
              <w:pStyle w:val="ExhibitText"/>
              <w:jc w:val="center"/>
              <w:rPr>
                <w:rFonts w:eastAsia="SimSun"/>
                <w:sz w:val="18"/>
                <w:szCs w:val="18"/>
              </w:rPr>
            </w:pPr>
            <w:r w:rsidRPr="00496496">
              <w:rPr>
                <w:rFonts w:eastAsia="SimSun"/>
                <w:sz w:val="18"/>
                <w:szCs w:val="18"/>
              </w:rPr>
              <w:t>2011</w:t>
            </w:r>
          </w:p>
        </w:tc>
        <w:tc>
          <w:tcPr>
            <w:tcW w:w="1215" w:type="dxa"/>
            <w:noWrap/>
            <w:tcMar>
              <w:left w:w="115" w:type="dxa"/>
              <w:right w:w="288" w:type="dxa"/>
            </w:tcMar>
            <w:vAlign w:val="center"/>
            <w:hideMark/>
          </w:tcPr>
          <w:p w14:paraId="6F4A9B13" w14:textId="5D02791C" w:rsidR="00CB0253" w:rsidRPr="00496496" w:rsidRDefault="00CB0253" w:rsidP="00496496">
            <w:pPr>
              <w:pStyle w:val="ExhibitText"/>
              <w:jc w:val="right"/>
              <w:rPr>
                <w:rFonts w:eastAsia="SimSun"/>
                <w:sz w:val="18"/>
                <w:szCs w:val="18"/>
              </w:rPr>
            </w:pPr>
            <w:r w:rsidRPr="00496496">
              <w:rPr>
                <w:rFonts w:eastAsia="SimSun"/>
                <w:sz w:val="18"/>
                <w:szCs w:val="18"/>
              </w:rPr>
              <w:t>14.42</w:t>
            </w:r>
          </w:p>
        </w:tc>
        <w:tc>
          <w:tcPr>
            <w:tcW w:w="1216" w:type="dxa"/>
            <w:noWrap/>
            <w:tcMar>
              <w:left w:w="115" w:type="dxa"/>
              <w:right w:w="288" w:type="dxa"/>
            </w:tcMar>
            <w:vAlign w:val="center"/>
            <w:hideMark/>
          </w:tcPr>
          <w:p w14:paraId="1C2C1EE4" w14:textId="700207ED"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63A9D563" w14:textId="77777777" w:rsidR="00CB0253" w:rsidRPr="00496496" w:rsidRDefault="00CB0253" w:rsidP="00496496">
            <w:pPr>
              <w:pStyle w:val="ExhibitText"/>
              <w:jc w:val="right"/>
              <w:rPr>
                <w:rFonts w:eastAsia="SimSun"/>
                <w:sz w:val="18"/>
                <w:szCs w:val="18"/>
              </w:rPr>
            </w:pPr>
            <w:r w:rsidRPr="00496496">
              <w:rPr>
                <w:rFonts w:eastAsia="SimSun"/>
                <w:sz w:val="18"/>
                <w:szCs w:val="18"/>
              </w:rPr>
              <w:t>0.28</w:t>
            </w:r>
          </w:p>
        </w:tc>
        <w:tc>
          <w:tcPr>
            <w:tcW w:w="1215" w:type="dxa"/>
            <w:noWrap/>
            <w:tcMar>
              <w:left w:w="115" w:type="dxa"/>
              <w:right w:w="288" w:type="dxa"/>
            </w:tcMar>
            <w:vAlign w:val="center"/>
            <w:hideMark/>
          </w:tcPr>
          <w:p w14:paraId="056C1886" w14:textId="18F70617"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1EF59331" w14:textId="77777777" w:rsidR="00CB0253" w:rsidRPr="00496496" w:rsidRDefault="00CB0253" w:rsidP="00496496">
            <w:pPr>
              <w:pStyle w:val="ExhibitText"/>
              <w:jc w:val="right"/>
              <w:rPr>
                <w:rFonts w:eastAsia="SimSun"/>
                <w:sz w:val="18"/>
                <w:szCs w:val="18"/>
              </w:rPr>
            </w:pPr>
            <w:r w:rsidRPr="00496496">
              <w:rPr>
                <w:rFonts w:eastAsia="SimSun"/>
                <w:sz w:val="18"/>
                <w:szCs w:val="18"/>
              </w:rPr>
              <w:t>0.28</w:t>
            </w:r>
          </w:p>
        </w:tc>
        <w:tc>
          <w:tcPr>
            <w:tcW w:w="1215" w:type="dxa"/>
            <w:noWrap/>
            <w:tcMar>
              <w:left w:w="115" w:type="dxa"/>
              <w:right w:w="288" w:type="dxa"/>
            </w:tcMar>
            <w:vAlign w:val="center"/>
            <w:hideMark/>
          </w:tcPr>
          <w:p w14:paraId="4E1C6F5B" w14:textId="57B155A1"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33E8C482" w14:textId="77777777" w:rsidR="00CB0253" w:rsidRPr="00496496" w:rsidRDefault="00CB0253" w:rsidP="00496496">
            <w:pPr>
              <w:pStyle w:val="ExhibitText"/>
              <w:jc w:val="right"/>
              <w:rPr>
                <w:rFonts w:eastAsia="SimSun"/>
                <w:sz w:val="18"/>
                <w:szCs w:val="18"/>
              </w:rPr>
            </w:pPr>
            <w:r w:rsidRPr="00496496">
              <w:rPr>
                <w:rFonts w:eastAsia="SimSun"/>
                <w:sz w:val="18"/>
                <w:szCs w:val="18"/>
              </w:rPr>
              <w:t>0.56</w:t>
            </w:r>
          </w:p>
        </w:tc>
      </w:tr>
      <w:tr w:rsidR="00CB0253" w:rsidRPr="00496496" w14:paraId="78817DAD" w14:textId="77777777" w:rsidTr="008B1AAC">
        <w:trPr>
          <w:trHeight w:val="259"/>
          <w:jc w:val="center"/>
        </w:trPr>
        <w:tc>
          <w:tcPr>
            <w:tcW w:w="872" w:type="dxa"/>
            <w:noWrap/>
            <w:vAlign w:val="center"/>
            <w:hideMark/>
          </w:tcPr>
          <w:p w14:paraId="69675C45" w14:textId="77777777" w:rsidR="00CB0253" w:rsidRPr="00496496" w:rsidRDefault="00CB0253" w:rsidP="00496496">
            <w:pPr>
              <w:pStyle w:val="ExhibitText"/>
              <w:jc w:val="center"/>
              <w:rPr>
                <w:rFonts w:eastAsia="SimSun"/>
                <w:sz w:val="18"/>
                <w:szCs w:val="18"/>
              </w:rPr>
            </w:pPr>
            <w:r w:rsidRPr="00496496">
              <w:rPr>
                <w:rFonts w:eastAsia="SimSun"/>
                <w:sz w:val="18"/>
                <w:szCs w:val="18"/>
              </w:rPr>
              <w:t>2012</w:t>
            </w:r>
          </w:p>
        </w:tc>
        <w:tc>
          <w:tcPr>
            <w:tcW w:w="1215" w:type="dxa"/>
            <w:noWrap/>
            <w:tcMar>
              <w:left w:w="115" w:type="dxa"/>
              <w:right w:w="288" w:type="dxa"/>
            </w:tcMar>
            <w:vAlign w:val="center"/>
            <w:hideMark/>
          </w:tcPr>
          <w:p w14:paraId="3D4BB362" w14:textId="364BBD32" w:rsidR="00CB0253" w:rsidRPr="00496496" w:rsidRDefault="00CB0253" w:rsidP="00496496">
            <w:pPr>
              <w:pStyle w:val="ExhibitText"/>
              <w:jc w:val="right"/>
              <w:rPr>
                <w:rFonts w:eastAsia="SimSun"/>
                <w:sz w:val="18"/>
                <w:szCs w:val="18"/>
              </w:rPr>
            </w:pPr>
            <w:r w:rsidRPr="00496496">
              <w:rPr>
                <w:rFonts w:eastAsia="SimSun"/>
                <w:sz w:val="18"/>
                <w:szCs w:val="18"/>
              </w:rPr>
              <w:t>11.57</w:t>
            </w:r>
          </w:p>
        </w:tc>
        <w:tc>
          <w:tcPr>
            <w:tcW w:w="1216" w:type="dxa"/>
            <w:noWrap/>
            <w:tcMar>
              <w:left w:w="115" w:type="dxa"/>
              <w:right w:w="288" w:type="dxa"/>
            </w:tcMar>
            <w:vAlign w:val="center"/>
            <w:hideMark/>
          </w:tcPr>
          <w:p w14:paraId="1C2D9B28" w14:textId="492EE0F2"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1CA61E3B" w14:textId="77777777" w:rsidR="00CB0253" w:rsidRPr="00496496" w:rsidRDefault="00CB0253" w:rsidP="00496496">
            <w:pPr>
              <w:pStyle w:val="ExhibitText"/>
              <w:jc w:val="right"/>
              <w:rPr>
                <w:rFonts w:eastAsia="SimSun"/>
                <w:sz w:val="18"/>
                <w:szCs w:val="18"/>
              </w:rPr>
            </w:pPr>
            <w:r w:rsidRPr="00496496">
              <w:rPr>
                <w:rFonts w:eastAsia="SimSun"/>
                <w:sz w:val="18"/>
                <w:szCs w:val="18"/>
              </w:rPr>
              <w:t>0.28</w:t>
            </w:r>
          </w:p>
        </w:tc>
        <w:tc>
          <w:tcPr>
            <w:tcW w:w="1215" w:type="dxa"/>
            <w:noWrap/>
            <w:tcMar>
              <w:left w:w="115" w:type="dxa"/>
              <w:right w:w="288" w:type="dxa"/>
            </w:tcMar>
            <w:vAlign w:val="center"/>
            <w:hideMark/>
          </w:tcPr>
          <w:p w14:paraId="2BE288F6" w14:textId="26788D7D"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2CAD22CE" w14:textId="77777777" w:rsidR="00CB0253" w:rsidRPr="00496496" w:rsidRDefault="00CB0253" w:rsidP="00496496">
            <w:pPr>
              <w:pStyle w:val="ExhibitText"/>
              <w:jc w:val="right"/>
              <w:rPr>
                <w:rFonts w:eastAsia="SimSun"/>
                <w:sz w:val="18"/>
                <w:szCs w:val="18"/>
              </w:rPr>
            </w:pPr>
            <w:r w:rsidRPr="00496496">
              <w:rPr>
                <w:rFonts w:eastAsia="SimSun"/>
                <w:sz w:val="18"/>
                <w:szCs w:val="18"/>
              </w:rPr>
              <w:t>0.28</w:t>
            </w:r>
          </w:p>
        </w:tc>
        <w:tc>
          <w:tcPr>
            <w:tcW w:w="1215" w:type="dxa"/>
            <w:noWrap/>
            <w:tcMar>
              <w:left w:w="115" w:type="dxa"/>
              <w:right w:w="288" w:type="dxa"/>
            </w:tcMar>
            <w:vAlign w:val="center"/>
            <w:hideMark/>
          </w:tcPr>
          <w:p w14:paraId="091CFFB9" w14:textId="79D8CBA0"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388B093D" w14:textId="77777777" w:rsidR="00CB0253" w:rsidRPr="00496496" w:rsidRDefault="00CB0253" w:rsidP="00496496">
            <w:pPr>
              <w:pStyle w:val="ExhibitText"/>
              <w:jc w:val="right"/>
              <w:rPr>
                <w:rFonts w:eastAsia="SimSun"/>
                <w:sz w:val="18"/>
                <w:szCs w:val="18"/>
              </w:rPr>
            </w:pPr>
            <w:r w:rsidRPr="00496496">
              <w:rPr>
                <w:rFonts w:eastAsia="SimSun"/>
                <w:sz w:val="18"/>
                <w:szCs w:val="18"/>
              </w:rPr>
              <w:t>0.56</w:t>
            </w:r>
          </w:p>
        </w:tc>
      </w:tr>
      <w:tr w:rsidR="00CB0253" w:rsidRPr="00496496" w14:paraId="70FE8DE9" w14:textId="77777777" w:rsidTr="008B1AAC">
        <w:trPr>
          <w:trHeight w:val="259"/>
          <w:jc w:val="center"/>
        </w:trPr>
        <w:tc>
          <w:tcPr>
            <w:tcW w:w="872" w:type="dxa"/>
            <w:noWrap/>
            <w:vAlign w:val="center"/>
            <w:hideMark/>
          </w:tcPr>
          <w:p w14:paraId="1ABF5095" w14:textId="77777777" w:rsidR="00CB0253" w:rsidRPr="00496496" w:rsidRDefault="00CB0253" w:rsidP="00496496">
            <w:pPr>
              <w:pStyle w:val="ExhibitText"/>
              <w:jc w:val="center"/>
              <w:rPr>
                <w:rFonts w:eastAsia="SimSun"/>
                <w:sz w:val="18"/>
                <w:szCs w:val="18"/>
              </w:rPr>
            </w:pPr>
            <w:r w:rsidRPr="00496496">
              <w:rPr>
                <w:rFonts w:eastAsia="SimSun"/>
                <w:sz w:val="18"/>
                <w:szCs w:val="18"/>
              </w:rPr>
              <w:t>2013</w:t>
            </w:r>
          </w:p>
        </w:tc>
        <w:tc>
          <w:tcPr>
            <w:tcW w:w="1215" w:type="dxa"/>
            <w:noWrap/>
            <w:tcMar>
              <w:left w:w="115" w:type="dxa"/>
              <w:right w:w="288" w:type="dxa"/>
            </w:tcMar>
            <w:vAlign w:val="center"/>
            <w:hideMark/>
          </w:tcPr>
          <w:p w14:paraId="38832BFC" w14:textId="43657A26" w:rsidR="00CB0253" w:rsidRPr="00496496" w:rsidRDefault="00CB0253" w:rsidP="00496496">
            <w:pPr>
              <w:pStyle w:val="ExhibitText"/>
              <w:jc w:val="right"/>
              <w:rPr>
                <w:rFonts w:eastAsia="SimSun"/>
                <w:sz w:val="18"/>
                <w:szCs w:val="18"/>
              </w:rPr>
            </w:pPr>
            <w:r w:rsidRPr="00496496">
              <w:rPr>
                <w:rFonts w:eastAsia="SimSun"/>
                <w:sz w:val="18"/>
                <w:szCs w:val="18"/>
              </w:rPr>
              <w:t>14.84</w:t>
            </w:r>
          </w:p>
        </w:tc>
        <w:tc>
          <w:tcPr>
            <w:tcW w:w="1216" w:type="dxa"/>
            <w:noWrap/>
            <w:tcMar>
              <w:left w:w="115" w:type="dxa"/>
              <w:right w:w="288" w:type="dxa"/>
            </w:tcMar>
            <w:vAlign w:val="center"/>
            <w:hideMark/>
          </w:tcPr>
          <w:p w14:paraId="1B3B43CE" w14:textId="0D08A374"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4BA506D5" w14:textId="77777777" w:rsidR="00CB0253" w:rsidRPr="00496496" w:rsidRDefault="00CB0253" w:rsidP="00496496">
            <w:pPr>
              <w:pStyle w:val="ExhibitText"/>
              <w:jc w:val="right"/>
              <w:rPr>
                <w:rFonts w:eastAsia="SimSun"/>
                <w:sz w:val="18"/>
                <w:szCs w:val="18"/>
              </w:rPr>
            </w:pPr>
            <w:r w:rsidRPr="00496496">
              <w:rPr>
                <w:rFonts w:eastAsia="SimSun"/>
                <w:sz w:val="18"/>
                <w:szCs w:val="18"/>
              </w:rPr>
              <w:t>0.28</w:t>
            </w:r>
          </w:p>
        </w:tc>
        <w:tc>
          <w:tcPr>
            <w:tcW w:w="1215" w:type="dxa"/>
            <w:noWrap/>
            <w:tcMar>
              <w:left w:w="115" w:type="dxa"/>
              <w:right w:w="288" w:type="dxa"/>
            </w:tcMar>
            <w:vAlign w:val="center"/>
            <w:hideMark/>
          </w:tcPr>
          <w:p w14:paraId="150400C8" w14:textId="1F734307"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559EC59B" w14:textId="77777777" w:rsidR="00CB0253" w:rsidRPr="00496496" w:rsidRDefault="00CB0253" w:rsidP="00496496">
            <w:pPr>
              <w:pStyle w:val="ExhibitText"/>
              <w:jc w:val="right"/>
              <w:rPr>
                <w:rFonts w:eastAsia="SimSun"/>
                <w:sz w:val="18"/>
                <w:szCs w:val="18"/>
              </w:rPr>
            </w:pPr>
            <w:r w:rsidRPr="00496496">
              <w:rPr>
                <w:rFonts w:eastAsia="SimSun"/>
                <w:sz w:val="18"/>
                <w:szCs w:val="18"/>
              </w:rPr>
              <w:t>0.30</w:t>
            </w:r>
          </w:p>
        </w:tc>
        <w:tc>
          <w:tcPr>
            <w:tcW w:w="1215" w:type="dxa"/>
            <w:noWrap/>
            <w:tcMar>
              <w:left w:w="115" w:type="dxa"/>
              <w:right w:w="288" w:type="dxa"/>
            </w:tcMar>
            <w:vAlign w:val="center"/>
            <w:hideMark/>
          </w:tcPr>
          <w:p w14:paraId="470FBA0D" w14:textId="23DF2BA0"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41617065" w14:textId="77777777" w:rsidR="00CB0253" w:rsidRPr="00496496" w:rsidRDefault="00CB0253" w:rsidP="00496496">
            <w:pPr>
              <w:pStyle w:val="ExhibitText"/>
              <w:jc w:val="right"/>
              <w:rPr>
                <w:rFonts w:eastAsia="SimSun"/>
                <w:sz w:val="18"/>
                <w:szCs w:val="18"/>
              </w:rPr>
            </w:pPr>
            <w:r w:rsidRPr="00496496">
              <w:rPr>
                <w:rFonts w:eastAsia="SimSun"/>
                <w:sz w:val="18"/>
                <w:szCs w:val="18"/>
              </w:rPr>
              <w:t>0.58</w:t>
            </w:r>
          </w:p>
        </w:tc>
      </w:tr>
      <w:tr w:rsidR="00CB0253" w:rsidRPr="00496496" w14:paraId="2496AF8A" w14:textId="77777777" w:rsidTr="008B1AAC">
        <w:trPr>
          <w:trHeight w:val="259"/>
          <w:jc w:val="center"/>
        </w:trPr>
        <w:tc>
          <w:tcPr>
            <w:tcW w:w="872" w:type="dxa"/>
            <w:noWrap/>
            <w:vAlign w:val="center"/>
            <w:hideMark/>
          </w:tcPr>
          <w:p w14:paraId="709724AB" w14:textId="77777777" w:rsidR="00CB0253" w:rsidRPr="00496496" w:rsidRDefault="00CB0253" w:rsidP="00496496">
            <w:pPr>
              <w:pStyle w:val="ExhibitText"/>
              <w:jc w:val="center"/>
              <w:rPr>
                <w:rFonts w:eastAsia="SimSun"/>
                <w:sz w:val="18"/>
                <w:szCs w:val="18"/>
              </w:rPr>
            </w:pPr>
            <w:r w:rsidRPr="00496496">
              <w:rPr>
                <w:rFonts w:eastAsia="SimSun"/>
                <w:sz w:val="18"/>
                <w:szCs w:val="18"/>
              </w:rPr>
              <w:t>2014</w:t>
            </w:r>
          </w:p>
        </w:tc>
        <w:tc>
          <w:tcPr>
            <w:tcW w:w="1215" w:type="dxa"/>
            <w:noWrap/>
            <w:tcMar>
              <w:left w:w="115" w:type="dxa"/>
              <w:right w:w="288" w:type="dxa"/>
            </w:tcMar>
            <w:vAlign w:val="center"/>
            <w:hideMark/>
          </w:tcPr>
          <w:p w14:paraId="7166AC3A" w14:textId="341F39F7" w:rsidR="00CB0253" w:rsidRPr="00496496" w:rsidRDefault="00CB0253" w:rsidP="00496496">
            <w:pPr>
              <w:pStyle w:val="ExhibitText"/>
              <w:jc w:val="right"/>
              <w:rPr>
                <w:rFonts w:eastAsia="SimSun"/>
                <w:sz w:val="18"/>
                <w:szCs w:val="18"/>
              </w:rPr>
            </w:pPr>
            <w:r w:rsidRPr="00496496">
              <w:rPr>
                <w:rFonts w:eastAsia="SimSun"/>
                <w:sz w:val="18"/>
                <w:szCs w:val="18"/>
              </w:rPr>
              <w:t>17.10</w:t>
            </w:r>
          </w:p>
        </w:tc>
        <w:tc>
          <w:tcPr>
            <w:tcW w:w="1216" w:type="dxa"/>
            <w:noWrap/>
            <w:tcMar>
              <w:left w:w="115" w:type="dxa"/>
              <w:right w:w="288" w:type="dxa"/>
            </w:tcMar>
            <w:vAlign w:val="center"/>
            <w:hideMark/>
          </w:tcPr>
          <w:p w14:paraId="0AEA33DF" w14:textId="439968EC"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55D49CCB" w14:textId="77777777" w:rsidR="00CB0253" w:rsidRPr="00496496" w:rsidRDefault="00CB0253" w:rsidP="00496496">
            <w:pPr>
              <w:pStyle w:val="ExhibitText"/>
              <w:jc w:val="right"/>
              <w:rPr>
                <w:rFonts w:eastAsia="SimSun"/>
                <w:sz w:val="18"/>
                <w:szCs w:val="18"/>
              </w:rPr>
            </w:pPr>
            <w:r w:rsidRPr="00496496">
              <w:rPr>
                <w:rFonts w:eastAsia="SimSun"/>
                <w:sz w:val="18"/>
                <w:szCs w:val="18"/>
              </w:rPr>
              <w:t>0.28</w:t>
            </w:r>
          </w:p>
        </w:tc>
        <w:tc>
          <w:tcPr>
            <w:tcW w:w="1215" w:type="dxa"/>
            <w:noWrap/>
            <w:tcMar>
              <w:left w:w="115" w:type="dxa"/>
              <w:right w:w="288" w:type="dxa"/>
            </w:tcMar>
            <w:vAlign w:val="center"/>
            <w:hideMark/>
          </w:tcPr>
          <w:p w14:paraId="58900D15" w14:textId="6F5B10BB"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2952C9B4" w14:textId="77777777" w:rsidR="00CB0253" w:rsidRPr="00496496" w:rsidRDefault="00CB0253" w:rsidP="00496496">
            <w:pPr>
              <w:pStyle w:val="ExhibitText"/>
              <w:jc w:val="right"/>
              <w:rPr>
                <w:rFonts w:eastAsia="SimSun"/>
                <w:sz w:val="18"/>
                <w:szCs w:val="18"/>
              </w:rPr>
            </w:pPr>
            <w:r w:rsidRPr="00496496">
              <w:rPr>
                <w:rFonts w:eastAsia="SimSun"/>
                <w:sz w:val="18"/>
                <w:szCs w:val="18"/>
              </w:rPr>
              <w:t>0.30</w:t>
            </w:r>
          </w:p>
        </w:tc>
        <w:tc>
          <w:tcPr>
            <w:tcW w:w="1215" w:type="dxa"/>
            <w:noWrap/>
            <w:tcMar>
              <w:left w:w="115" w:type="dxa"/>
              <w:right w:w="288" w:type="dxa"/>
            </w:tcMar>
            <w:vAlign w:val="center"/>
            <w:hideMark/>
          </w:tcPr>
          <w:p w14:paraId="6810C785" w14:textId="139DBE76"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noWrap/>
            <w:tcMar>
              <w:left w:w="115" w:type="dxa"/>
              <w:right w:w="288" w:type="dxa"/>
            </w:tcMar>
            <w:vAlign w:val="center"/>
            <w:hideMark/>
          </w:tcPr>
          <w:p w14:paraId="66C31DF1" w14:textId="77777777" w:rsidR="00CB0253" w:rsidRPr="00496496" w:rsidRDefault="00CB0253" w:rsidP="00496496">
            <w:pPr>
              <w:pStyle w:val="ExhibitText"/>
              <w:jc w:val="right"/>
              <w:rPr>
                <w:rFonts w:eastAsia="SimSun"/>
                <w:sz w:val="18"/>
                <w:szCs w:val="18"/>
              </w:rPr>
            </w:pPr>
            <w:r w:rsidRPr="00496496">
              <w:rPr>
                <w:rFonts w:eastAsia="SimSun"/>
                <w:sz w:val="18"/>
                <w:szCs w:val="18"/>
              </w:rPr>
              <w:t>0.58</w:t>
            </w:r>
          </w:p>
        </w:tc>
      </w:tr>
      <w:tr w:rsidR="00CB0253" w:rsidRPr="00496496" w14:paraId="2D8AEFD4" w14:textId="77777777" w:rsidTr="008B1AAC">
        <w:trPr>
          <w:trHeight w:val="259"/>
          <w:jc w:val="center"/>
        </w:trPr>
        <w:tc>
          <w:tcPr>
            <w:tcW w:w="872" w:type="dxa"/>
            <w:tcBorders>
              <w:bottom w:val="single" w:sz="4" w:space="0" w:color="auto"/>
            </w:tcBorders>
            <w:noWrap/>
            <w:vAlign w:val="center"/>
          </w:tcPr>
          <w:p w14:paraId="5F3D4F9E" w14:textId="1E8DF95B" w:rsidR="00CB0253" w:rsidRPr="00496496" w:rsidRDefault="00CB0253" w:rsidP="00496496">
            <w:pPr>
              <w:pStyle w:val="ExhibitText"/>
              <w:jc w:val="center"/>
              <w:rPr>
                <w:rFonts w:eastAsia="SimSun"/>
                <w:sz w:val="18"/>
                <w:szCs w:val="18"/>
              </w:rPr>
            </w:pPr>
            <w:r w:rsidRPr="00496496">
              <w:rPr>
                <w:rFonts w:eastAsia="SimSun"/>
                <w:sz w:val="18"/>
                <w:szCs w:val="18"/>
              </w:rPr>
              <w:t>2015</w:t>
            </w:r>
          </w:p>
        </w:tc>
        <w:tc>
          <w:tcPr>
            <w:tcW w:w="1215" w:type="dxa"/>
            <w:tcBorders>
              <w:bottom w:val="single" w:sz="4" w:space="0" w:color="auto"/>
            </w:tcBorders>
            <w:noWrap/>
            <w:tcMar>
              <w:left w:w="115" w:type="dxa"/>
              <w:right w:w="288" w:type="dxa"/>
            </w:tcMar>
            <w:vAlign w:val="center"/>
          </w:tcPr>
          <w:p w14:paraId="4E245489" w14:textId="78D14FB2" w:rsidR="00CB0253" w:rsidRPr="00496496" w:rsidRDefault="00CB0253" w:rsidP="00496496">
            <w:pPr>
              <w:pStyle w:val="ExhibitText"/>
              <w:jc w:val="right"/>
              <w:rPr>
                <w:rFonts w:eastAsia="SimSun"/>
                <w:sz w:val="18"/>
                <w:szCs w:val="18"/>
              </w:rPr>
            </w:pPr>
            <w:r w:rsidRPr="00496496">
              <w:rPr>
                <w:rFonts w:eastAsia="SimSun"/>
                <w:sz w:val="18"/>
                <w:szCs w:val="18"/>
              </w:rPr>
              <w:t>20.60</w:t>
            </w:r>
          </w:p>
        </w:tc>
        <w:tc>
          <w:tcPr>
            <w:tcW w:w="1216" w:type="dxa"/>
            <w:tcBorders>
              <w:bottom w:val="single" w:sz="4" w:space="0" w:color="auto"/>
            </w:tcBorders>
            <w:noWrap/>
            <w:tcMar>
              <w:left w:w="115" w:type="dxa"/>
              <w:right w:w="288" w:type="dxa"/>
            </w:tcMar>
            <w:vAlign w:val="center"/>
          </w:tcPr>
          <w:p w14:paraId="62CBFA70" w14:textId="25A07755"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tcBorders>
              <w:bottom w:val="single" w:sz="4" w:space="0" w:color="auto"/>
            </w:tcBorders>
            <w:noWrap/>
            <w:tcMar>
              <w:left w:w="115" w:type="dxa"/>
              <w:right w:w="288" w:type="dxa"/>
            </w:tcMar>
            <w:vAlign w:val="center"/>
          </w:tcPr>
          <w:p w14:paraId="46537F64" w14:textId="650F8CCC" w:rsidR="00CB0253" w:rsidRPr="00496496" w:rsidRDefault="00CB0253" w:rsidP="00496496">
            <w:pPr>
              <w:pStyle w:val="ExhibitText"/>
              <w:jc w:val="right"/>
              <w:rPr>
                <w:rFonts w:eastAsia="SimSun"/>
                <w:sz w:val="18"/>
                <w:szCs w:val="18"/>
              </w:rPr>
            </w:pPr>
            <w:r w:rsidRPr="00496496">
              <w:rPr>
                <w:rFonts w:eastAsia="SimSun"/>
                <w:sz w:val="18"/>
                <w:szCs w:val="18"/>
              </w:rPr>
              <w:t>0.30</w:t>
            </w:r>
          </w:p>
        </w:tc>
        <w:tc>
          <w:tcPr>
            <w:tcW w:w="1215" w:type="dxa"/>
            <w:tcBorders>
              <w:bottom w:val="single" w:sz="4" w:space="0" w:color="auto"/>
            </w:tcBorders>
            <w:noWrap/>
            <w:tcMar>
              <w:left w:w="115" w:type="dxa"/>
              <w:right w:w="288" w:type="dxa"/>
            </w:tcMar>
            <w:vAlign w:val="center"/>
          </w:tcPr>
          <w:p w14:paraId="0C4AFDF7" w14:textId="180EAFC7"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tcBorders>
              <w:bottom w:val="single" w:sz="4" w:space="0" w:color="auto"/>
            </w:tcBorders>
            <w:noWrap/>
            <w:tcMar>
              <w:left w:w="115" w:type="dxa"/>
              <w:right w:w="288" w:type="dxa"/>
            </w:tcMar>
            <w:vAlign w:val="center"/>
          </w:tcPr>
          <w:p w14:paraId="33FDB004" w14:textId="1EA40E06" w:rsidR="00CB0253" w:rsidRPr="00496496" w:rsidRDefault="00CB0253" w:rsidP="00496496">
            <w:pPr>
              <w:pStyle w:val="ExhibitText"/>
              <w:jc w:val="right"/>
              <w:rPr>
                <w:rFonts w:eastAsia="SimSun"/>
                <w:sz w:val="18"/>
                <w:szCs w:val="18"/>
              </w:rPr>
            </w:pPr>
            <w:r w:rsidRPr="00496496">
              <w:rPr>
                <w:rFonts w:eastAsia="SimSun"/>
                <w:sz w:val="18"/>
                <w:szCs w:val="18"/>
              </w:rPr>
              <w:t>0.30</w:t>
            </w:r>
          </w:p>
        </w:tc>
        <w:tc>
          <w:tcPr>
            <w:tcW w:w="1215" w:type="dxa"/>
            <w:tcBorders>
              <w:bottom w:val="single" w:sz="4" w:space="0" w:color="auto"/>
            </w:tcBorders>
            <w:noWrap/>
            <w:tcMar>
              <w:left w:w="115" w:type="dxa"/>
              <w:right w:w="288" w:type="dxa"/>
            </w:tcMar>
            <w:vAlign w:val="center"/>
          </w:tcPr>
          <w:p w14:paraId="265667A4" w14:textId="067A2C1B" w:rsidR="00CB0253" w:rsidRPr="00496496" w:rsidRDefault="00B41D82" w:rsidP="00496496">
            <w:pPr>
              <w:pStyle w:val="ExhibitText"/>
              <w:jc w:val="right"/>
              <w:rPr>
                <w:rFonts w:eastAsia="SimSun"/>
                <w:sz w:val="18"/>
                <w:szCs w:val="18"/>
              </w:rPr>
            </w:pPr>
            <w:r>
              <w:rPr>
                <w:rFonts w:eastAsia="SimSun"/>
                <w:sz w:val="18"/>
                <w:szCs w:val="18"/>
              </w:rPr>
              <w:t>–</w:t>
            </w:r>
          </w:p>
        </w:tc>
        <w:tc>
          <w:tcPr>
            <w:tcW w:w="1215" w:type="dxa"/>
            <w:tcBorders>
              <w:bottom w:val="single" w:sz="4" w:space="0" w:color="auto"/>
            </w:tcBorders>
            <w:noWrap/>
            <w:tcMar>
              <w:left w:w="115" w:type="dxa"/>
              <w:right w:w="288" w:type="dxa"/>
            </w:tcMar>
            <w:vAlign w:val="center"/>
          </w:tcPr>
          <w:p w14:paraId="5BD2BE6A" w14:textId="5BAF9330" w:rsidR="00CB0253" w:rsidRPr="00496496" w:rsidRDefault="00CB0253" w:rsidP="00496496">
            <w:pPr>
              <w:pStyle w:val="ExhibitText"/>
              <w:jc w:val="right"/>
              <w:rPr>
                <w:rFonts w:eastAsia="SimSun"/>
                <w:sz w:val="18"/>
                <w:szCs w:val="18"/>
              </w:rPr>
            </w:pPr>
            <w:r w:rsidRPr="00496496">
              <w:rPr>
                <w:rFonts w:eastAsia="SimSun"/>
                <w:sz w:val="18"/>
                <w:szCs w:val="18"/>
              </w:rPr>
              <w:t>0.60</w:t>
            </w:r>
          </w:p>
        </w:tc>
      </w:tr>
    </w:tbl>
    <w:p w14:paraId="65D2134A" w14:textId="77777777" w:rsidR="007925E4" w:rsidRDefault="007925E4" w:rsidP="007925E4">
      <w:pPr>
        <w:pStyle w:val="ExhibitText"/>
        <w:rPr>
          <w:rFonts w:eastAsia="SimSun"/>
          <w:lang w:eastAsia="zh-CN"/>
        </w:rPr>
      </w:pPr>
    </w:p>
    <w:p w14:paraId="11C7B287" w14:textId="4E15B618" w:rsidR="00281AA6" w:rsidRDefault="00281AA6" w:rsidP="00B322B1">
      <w:pPr>
        <w:pStyle w:val="Casehead2"/>
        <w:spacing w:after="120"/>
        <w:rPr>
          <w:rFonts w:eastAsia="SimSun"/>
          <w:lang w:eastAsia="zh-CN"/>
        </w:rPr>
      </w:pPr>
      <w:r>
        <w:rPr>
          <w:rFonts w:eastAsia="SimSun"/>
          <w:lang w:eastAsia="zh-CN"/>
        </w:rPr>
        <w:t xml:space="preserve">SMRT </w:t>
      </w:r>
      <w:r w:rsidR="001B777D">
        <w:rPr>
          <w:rFonts w:eastAsia="SimSun"/>
          <w:lang w:eastAsia="zh-CN"/>
        </w:rPr>
        <w:t xml:space="preserve">Corporation </w:t>
      </w:r>
      <w:r>
        <w:rPr>
          <w:rFonts w:eastAsia="SimSun"/>
          <w:lang w:eastAsia="zh-CN"/>
        </w:rPr>
        <w:t>(</w:t>
      </w:r>
      <w:r w:rsidR="00B322B1">
        <w:rPr>
          <w:rFonts w:eastAsia="SimSun"/>
          <w:lang w:eastAsia="zh-CN"/>
        </w:rPr>
        <w:t>year ending March 31</w:t>
      </w:r>
      <w:r>
        <w:rPr>
          <w:rFonts w:eastAsia="SimSun"/>
          <w:lang w:eastAsia="zh-CN"/>
        </w:rPr>
        <w:t>)</w:t>
      </w:r>
    </w:p>
    <w:tbl>
      <w:tblPr>
        <w:tblStyle w:val="TableGrid"/>
        <w:tblW w:w="494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
        <w:gridCol w:w="1189"/>
        <w:gridCol w:w="1189"/>
        <w:gridCol w:w="1188"/>
        <w:gridCol w:w="1189"/>
        <w:gridCol w:w="1188"/>
        <w:gridCol w:w="1188"/>
        <w:gridCol w:w="1189"/>
      </w:tblGrid>
      <w:tr w:rsidR="00281AA6" w:rsidRPr="00281AA6" w14:paraId="0376E3E3" w14:textId="77777777" w:rsidTr="008B1AAC">
        <w:trPr>
          <w:trHeight w:val="259"/>
          <w:jc w:val="center"/>
        </w:trPr>
        <w:tc>
          <w:tcPr>
            <w:tcW w:w="959" w:type="dxa"/>
            <w:tcBorders>
              <w:top w:val="single" w:sz="4" w:space="0" w:color="auto"/>
              <w:bottom w:val="single" w:sz="12" w:space="0" w:color="auto"/>
            </w:tcBorders>
            <w:noWrap/>
            <w:vAlign w:val="center"/>
            <w:hideMark/>
          </w:tcPr>
          <w:p w14:paraId="43E47D8B" w14:textId="77777777" w:rsidR="00281AA6" w:rsidRPr="00C62FA7" w:rsidRDefault="00281AA6" w:rsidP="00281AA6">
            <w:pPr>
              <w:pStyle w:val="ExhibitText"/>
              <w:jc w:val="center"/>
              <w:rPr>
                <w:rFonts w:eastAsia="SimSun"/>
                <w:b/>
                <w:sz w:val="18"/>
                <w:szCs w:val="18"/>
              </w:rPr>
            </w:pPr>
            <w:r w:rsidRPr="00C62FA7">
              <w:rPr>
                <w:rFonts w:eastAsia="SimSun"/>
                <w:b/>
                <w:sz w:val="18"/>
                <w:szCs w:val="18"/>
              </w:rPr>
              <w:t>Year</w:t>
            </w:r>
          </w:p>
        </w:tc>
        <w:tc>
          <w:tcPr>
            <w:tcW w:w="1216" w:type="dxa"/>
            <w:tcBorders>
              <w:top w:val="single" w:sz="4" w:space="0" w:color="auto"/>
              <w:bottom w:val="single" w:sz="12" w:space="0" w:color="auto"/>
            </w:tcBorders>
            <w:noWrap/>
            <w:vAlign w:val="center"/>
            <w:hideMark/>
          </w:tcPr>
          <w:p w14:paraId="2FB11C5B" w14:textId="77777777" w:rsidR="00281AA6" w:rsidRPr="00281AA6" w:rsidRDefault="00281AA6" w:rsidP="00281AA6">
            <w:pPr>
              <w:pStyle w:val="ExhibitText"/>
              <w:jc w:val="center"/>
              <w:rPr>
                <w:rFonts w:eastAsia="SimSun"/>
                <w:b/>
                <w:sz w:val="18"/>
                <w:szCs w:val="18"/>
              </w:rPr>
            </w:pPr>
            <w:r w:rsidRPr="00281AA6">
              <w:rPr>
                <w:rFonts w:eastAsia="SimSun"/>
                <w:b/>
                <w:sz w:val="18"/>
                <w:szCs w:val="18"/>
              </w:rPr>
              <w:t>Price</w:t>
            </w:r>
          </w:p>
        </w:tc>
        <w:tc>
          <w:tcPr>
            <w:tcW w:w="1216" w:type="dxa"/>
            <w:tcBorders>
              <w:top w:val="single" w:sz="4" w:space="0" w:color="auto"/>
              <w:bottom w:val="single" w:sz="12" w:space="0" w:color="auto"/>
            </w:tcBorders>
            <w:vAlign w:val="center"/>
          </w:tcPr>
          <w:p w14:paraId="4DA4C5C0" w14:textId="77777777" w:rsidR="00281AA6" w:rsidRPr="00281AA6" w:rsidRDefault="00281AA6" w:rsidP="00281AA6">
            <w:pPr>
              <w:pStyle w:val="ExhibitText"/>
              <w:jc w:val="center"/>
              <w:rPr>
                <w:rFonts w:eastAsia="SimSun"/>
                <w:b/>
                <w:sz w:val="18"/>
                <w:szCs w:val="18"/>
              </w:rPr>
            </w:pPr>
          </w:p>
        </w:tc>
        <w:tc>
          <w:tcPr>
            <w:tcW w:w="1215" w:type="dxa"/>
            <w:tcBorders>
              <w:top w:val="single" w:sz="4" w:space="0" w:color="auto"/>
              <w:bottom w:val="single" w:sz="12" w:space="0" w:color="auto"/>
            </w:tcBorders>
            <w:noWrap/>
            <w:vAlign w:val="center"/>
            <w:hideMark/>
          </w:tcPr>
          <w:p w14:paraId="3899A740" w14:textId="3AFB16C1" w:rsidR="00281AA6" w:rsidRPr="00281AA6" w:rsidRDefault="00281AA6" w:rsidP="00281AA6">
            <w:pPr>
              <w:pStyle w:val="ExhibitText"/>
              <w:jc w:val="center"/>
              <w:rPr>
                <w:rFonts w:eastAsia="SimSun"/>
                <w:b/>
                <w:sz w:val="18"/>
                <w:szCs w:val="18"/>
              </w:rPr>
            </w:pPr>
            <w:r w:rsidRPr="00281AA6">
              <w:rPr>
                <w:rFonts w:eastAsia="SimSun"/>
                <w:b/>
                <w:sz w:val="18"/>
                <w:szCs w:val="18"/>
              </w:rPr>
              <w:t>Interim</w:t>
            </w:r>
          </w:p>
        </w:tc>
        <w:tc>
          <w:tcPr>
            <w:tcW w:w="1216" w:type="dxa"/>
            <w:tcBorders>
              <w:top w:val="single" w:sz="4" w:space="0" w:color="auto"/>
              <w:bottom w:val="single" w:sz="12" w:space="0" w:color="auto"/>
            </w:tcBorders>
            <w:vAlign w:val="center"/>
          </w:tcPr>
          <w:p w14:paraId="43A33CA4" w14:textId="77777777" w:rsidR="00281AA6" w:rsidRPr="00281AA6" w:rsidRDefault="00281AA6" w:rsidP="00281AA6">
            <w:pPr>
              <w:pStyle w:val="ExhibitText"/>
              <w:jc w:val="center"/>
              <w:rPr>
                <w:rFonts w:eastAsia="SimSun"/>
                <w:b/>
                <w:sz w:val="18"/>
                <w:szCs w:val="18"/>
              </w:rPr>
            </w:pPr>
          </w:p>
        </w:tc>
        <w:tc>
          <w:tcPr>
            <w:tcW w:w="1215" w:type="dxa"/>
            <w:tcBorders>
              <w:top w:val="single" w:sz="4" w:space="0" w:color="auto"/>
              <w:bottom w:val="single" w:sz="12" w:space="0" w:color="auto"/>
            </w:tcBorders>
            <w:noWrap/>
            <w:vAlign w:val="center"/>
            <w:hideMark/>
          </w:tcPr>
          <w:p w14:paraId="79B21412" w14:textId="2C75F0CA" w:rsidR="00281AA6" w:rsidRPr="00281AA6" w:rsidRDefault="00281AA6" w:rsidP="00281AA6">
            <w:pPr>
              <w:pStyle w:val="ExhibitText"/>
              <w:jc w:val="center"/>
              <w:rPr>
                <w:rFonts w:eastAsia="SimSun"/>
                <w:b/>
                <w:sz w:val="18"/>
                <w:szCs w:val="18"/>
              </w:rPr>
            </w:pPr>
            <w:r w:rsidRPr="00281AA6">
              <w:rPr>
                <w:rFonts w:eastAsia="SimSun"/>
                <w:b/>
                <w:sz w:val="18"/>
                <w:szCs w:val="18"/>
              </w:rPr>
              <w:t>Final</w:t>
            </w:r>
          </w:p>
        </w:tc>
        <w:tc>
          <w:tcPr>
            <w:tcW w:w="1215" w:type="dxa"/>
            <w:tcBorders>
              <w:top w:val="single" w:sz="4" w:space="0" w:color="auto"/>
              <w:bottom w:val="single" w:sz="12" w:space="0" w:color="auto"/>
            </w:tcBorders>
            <w:noWrap/>
            <w:vAlign w:val="center"/>
            <w:hideMark/>
          </w:tcPr>
          <w:p w14:paraId="3FB8DDDE" w14:textId="77777777" w:rsidR="00281AA6" w:rsidRPr="00281AA6" w:rsidRDefault="00281AA6" w:rsidP="00281AA6">
            <w:pPr>
              <w:pStyle w:val="ExhibitText"/>
              <w:jc w:val="center"/>
              <w:rPr>
                <w:rFonts w:eastAsia="SimSun"/>
                <w:b/>
                <w:sz w:val="18"/>
                <w:szCs w:val="18"/>
              </w:rPr>
            </w:pPr>
            <w:r w:rsidRPr="00281AA6">
              <w:rPr>
                <w:rFonts w:eastAsia="SimSun"/>
                <w:b/>
                <w:sz w:val="18"/>
                <w:szCs w:val="18"/>
              </w:rPr>
              <w:t>Special</w:t>
            </w:r>
          </w:p>
        </w:tc>
        <w:tc>
          <w:tcPr>
            <w:tcW w:w="1216" w:type="dxa"/>
            <w:tcBorders>
              <w:top w:val="single" w:sz="4" w:space="0" w:color="auto"/>
              <w:bottom w:val="single" w:sz="12" w:space="0" w:color="auto"/>
            </w:tcBorders>
            <w:noWrap/>
            <w:vAlign w:val="center"/>
            <w:hideMark/>
          </w:tcPr>
          <w:p w14:paraId="322453B5" w14:textId="77777777" w:rsidR="00281AA6" w:rsidRPr="00281AA6" w:rsidRDefault="00281AA6" w:rsidP="00281AA6">
            <w:pPr>
              <w:pStyle w:val="ExhibitText"/>
              <w:jc w:val="center"/>
              <w:rPr>
                <w:rFonts w:eastAsia="SimSun"/>
                <w:b/>
                <w:sz w:val="18"/>
                <w:szCs w:val="18"/>
              </w:rPr>
            </w:pPr>
            <w:r w:rsidRPr="00281AA6">
              <w:rPr>
                <w:rFonts w:eastAsia="SimSun"/>
                <w:b/>
                <w:sz w:val="18"/>
                <w:szCs w:val="18"/>
              </w:rPr>
              <w:t>Total</w:t>
            </w:r>
          </w:p>
        </w:tc>
      </w:tr>
      <w:tr w:rsidR="00281AA6" w:rsidRPr="00281AA6" w14:paraId="788CFB73" w14:textId="77777777" w:rsidTr="008B1AAC">
        <w:trPr>
          <w:trHeight w:val="259"/>
          <w:jc w:val="center"/>
        </w:trPr>
        <w:tc>
          <w:tcPr>
            <w:tcW w:w="959" w:type="dxa"/>
            <w:tcBorders>
              <w:top w:val="single" w:sz="12" w:space="0" w:color="auto"/>
            </w:tcBorders>
            <w:noWrap/>
            <w:vAlign w:val="center"/>
            <w:hideMark/>
          </w:tcPr>
          <w:p w14:paraId="0C6F10CB" w14:textId="4E214F06" w:rsidR="00281AA6" w:rsidRPr="00281AA6" w:rsidRDefault="00281AA6" w:rsidP="00281AA6">
            <w:pPr>
              <w:pStyle w:val="ExhibitText"/>
              <w:jc w:val="center"/>
              <w:rPr>
                <w:rFonts w:eastAsia="SimSun"/>
                <w:sz w:val="18"/>
                <w:szCs w:val="18"/>
              </w:rPr>
            </w:pPr>
            <w:r w:rsidRPr="00281AA6">
              <w:rPr>
                <w:rFonts w:eastAsia="SimSun"/>
                <w:sz w:val="18"/>
                <w:szCs w:val="18"/>
              </w:rPr>
              <w:t>2007</w:t>
            </w:r>
          </w:p>
        </w:tc>
        <w:tc>
          <w:tcPr>
            <w:tcW w:w="1216" w:type="dxa"/>
            <w:tcBorders>
              <w:top w:val="single" w:sz="12" w:space="0" w:color="auto"/>
            </w:tcBorders>
            <w:noWrap/>
            <w:tcMar>
              <w:left w:w="115" w:type="dxa"/>
              <w:right w:w="288" w:type="dxa"/>
            </w:tcMar>
            <w:vAlign w:val="center"/>
            <w:hideMark/>
          </w:tcPr>
          <w:p w14:paraId="1BE3F272" w14:textId="77777777" w:rsidR="00281AA6" w:rsidRPr="00281AA6" w:rsidRDefault="00281AA6" w:rsidP="00281AA6">
            <w:pPr>
              <w:pStyle w:val="ExhibitText"/>
              <w:jc w:val="right"/>
              <w:rPr>
                <w:rFonts w:eastAsia="SimSun"/>
                <w:sz w:val="18"/>
                <w:szCs w:val="18"/>
              </w:rPr>
            </w:pPr>
            <w:r w:rsidRPr="00281AA6">
              <w:rPr>
                <w:rFonts w:eastAsia="SimSun"/>
                <w:sz w:val="18"/>
                <w:szCs w:val="18"/>
              </w:rPr>
              <w:t>1.19</w:t>
            </w:r>
          </w:p>
        </w:tc>
        <w:tc>
          <w:tcPr>
            <w:tcW w:w="1216" w:type="dxa"/>
            <w:tcBorders>
              <w:top w:val="single" w:sz="12" w:space="0" w:color="auto"/>
            </w:tcBorders>
            <w:tcMar>
              <w:left w:w="115" w:type="dxa"/>
              <w:right w:w="288" w:type="dxa"/>
            </w:tcMar>
            <w:vAlign w:val="center"/>
          </w:tcPr>
          <w:p w14:paraId="3E8378D4" w14:textId="77777777" w:rsidR="00281AA6" w:rsidRPr="00281AA6" w:rsidRDefault="00281AA6" w:rsidP="00281AA6">
            <w:pPr>
              <w:pStyle w:val="ExhibitText"/>
              <w:jc w:val="right"/>
              <w:rPr>
                <w:rFonts w:eastAsia="SimSun"/>
                <w:sz w:val="18"/>
                <w:szCs w:val="18"/>
              </w:rPr>
            </w:pPr>
          </w:p>
        </w:tc>
        <w:tc>
          <w:tcPr>
            <w:tcW w:w="1215" w:type="dxa"/>
            <w:tcBorders>
              <w:top w:val="single" w:sz="12" w:space="0" w:color="auto"/>
            </w:tcBorders>
            <w:noWrap/>
            <w:tcMar>
              <w:left w:w="115" w:type="dxa"/>
              <w:right w:w="288" w:type="dxa"/>
            </w:tcMar>
            <w:vAlign w:val="center"/>
          </w:tcPr>
          <w:p w14:paraId="12D8C9D2" w14:textId="45F42CA8" w:rsidR="00281AA6" w:rsidRPr="00281AA6" w:rsidRDefault="00281AA6" w:rsidP="00281AA6">
            <w:pPr>
              <w:pStyle w:val="ExhibitText"/>
              <w:jc w:val="right"/>
              <w:rPr>
                <w:rFonts w:eastAsia="SimSun"/>
                <w:sz w:val="18"/>
                <w:szCs w:val="18"/>
              </w:rPr>
            </w:pPr>
            <w:r w:rsidRPr="00281AA6">
              <w:rPr>
                <w:rFonts w:eastAsia="SimSun"/>
                <w:sz w:val="18"/>
                <w:szCs w:val="18"/>
              </w:rPr>
              <w:t>0.015</w:t>
            </w:r>
            <w:r w:rsidR="00C62FA7">
              <w:rPr>
                <w:rFonts w:eastAsia="SimSun"/>
                <w:sz w:val="18"/>
                <w:szCs w:val="18"/>
              </w:rPr>
              <w:t>0</w:t>
            </w:r>
          </w:p>
        </w:tc>
        <w:tc>
          <w:tcPr>
            <w:tcW w:w="1216" w:type="dxa"/>
            <w:tcBorders>
              <w:top w:val="single" w:sz="12" w:space="0" w:color="auto"/>
            </w:tcBorders>
            <w:tcMar>
              <w:left w:w="115" w:type="dxa"/>
              <w:right w:w="288" w:type="dxa"/>
            </w:tcMar>
            <w:vAlign w:val="center"/>
          </w:tcPr>
          <w:p w14:paraId="66DB40BE" w14:textId="77777777" w:rsidR="00281AA6" w:rsidRPr="00281AA6" w:rsidRDefault="00281AA6" w:rsidP="00281AA6">
            <w:pPr>
              <w:pStyle w:val="ExhibitText"/>
              <w:jc w:val="right"/>
              <w:rPr>
                <w:rFonts w:eastAsia="SimSun"/>
                <w:sz w:val="18"/>
                <w:szCs w:val="18"/>
              </w:rPr>
            </w:pPr>
          </w:p>
        </w:tc>
        <w:tc>
          <w:tcPr>
            <w:tcW w:w="1215" w:type="dxa"/>
            <w:tcBorders>
              <w:top w:val="single" w:sz="12" w:space="0" w:color="auto"/>
            </w:tcBorders>
            <w:noWrap/>
            <w:tcMar>
              <w:left w:w="115" w:type="dxa"/>
              <w:right w:w="288" w:type="dxa"/>
            </w:tcMar>
            <w:vAlign w:val="center"/>
          </w:tcPr>
          <w:p w14:paraId="21C33EEE" w14:textId="685A2F73" w:rsidR="00281AA6" w:rsidRPr="00281AA6" w:rsidRDefault="00281AA6" w:rsidP="00281AA6">
            <w:pPr>
              <w:pStyle w:val="ExhibitText"/>
              <w:jc w:val="right"/>
              <w:rPr>
                <w:rFonts w:eastAsia="SimSun"/>
                <w:sz w:val="18"/>
                <w:szCs w:val="18"/>
              </w:rPr>
            </w:pPr>
            <w:r w:rsidRPr="00281AA6">
              <w:rPr>
                <w:rFonts w:eastAsia="SimSun"/>
                <w:sz w:val="18"/>
                <w:szCs w:val="18"/>
              </w:rPr>
              <w:t>0.0575</w:t>
            </w:r>
          </w:p>
        </w:tc>
        <w:tc>
          <w:tcPr>
            <w:tcW w:w="1215" w:type="dxa"/>
            <w:tcBorders>
              <w:top w:val="single" w:sz="12" w:space="0" w:color="auto"/>
            </w:tcBorders>
            <w:noWrap/>
            <w:tcMar>
              <w:left w:w="115" w:type="dxa"/>
              <w:right w:w="288" w:type="dxa"/>
            </w:tcMar>
            <w:vAlign w:val="center"/>
            <w:hideMark/>
          </w:tcPr>
          <w:p w14:paraId="5A51E86E" w14:textId="1ABA5A1D" w:rsidR="00281AA6" w:rsidRPr="00281AA6" w:rsidRDefault="00281AA6" w:rsidP="00281AA6">
            <w:pPr>
              <w:pStyle w:val="ExhibitText"/>
              <w:jc w:val="right"/>
              <w:rPr>
                <w:rFonts w:eastAsia="SimSun"/>
                <w:sz w:val="18"/>
                <w:szCs w:val="18"/>
              </w:rPr>
            </w:pPr>
          </w:p>
        </w:tc>
        <w:tc>
          <w:tcPr>
            <w:tcW w:w="1216" w:type="dxa"/>
            <w:tcBorders>
              <w:top w:val="single" w:sz="12" w:space="0" w:color="auto"/>
            </w:tcBorders>
            <w:noWrap/>
            <w:tcMar>
              <w:left w:w="115" w:type="dxa"/>
              <w:right w:w="288" w:type="dxa"/>
            </w:tcMar>
            <w:vAlign w:val="center"/>
          </w:tcPr>
          <w:p w14:paraId="134EB81A" w14:textId="448CC15D" w:rsidR="00281AA6" w:rsidRPr="00281AA6" w:rsidRDefault="00281AA6" w:rsidP="00281AA6">
            <w:pPr>
              <w:pStyle w:val="ExhibitText"/>
              <w:jc w:val="right"/>
              <w:rPr>
                <w:rFonts w:eastAsia="SimSun"/>
                <w:sz w:val="18"/>
                <w:szCs w:val="18"/>
              </w:rPr>
            </w:pPr>
            <w:r w:rsidRPr="00281AA6">
              <w:rPr>
                <w:rFonts w:eastAsia="SimSun"/>
                <w:sz w:val="18"/>
                <w:szCs w:val="18"/>
              </w:rPr>
              <w:t>0.0725</w:t>
            </w:r>
          </w:p>
        </w:tc>
      </w:tr>
      <w:tr w:rsidR="00281AA6" w:rsidRPr="00281AA6" w14:paraId="48ADE6BF" w14:textId="77777777" w:rsidTr="008B1AAC">
        <w:trPr>
          <w:trHeight w:val="259"/>
          <w:jc w:val="center"/>
        </w:trPr>
        <w:tc>
          <w:tcPr>
            <w:tcW w:w="959" w:type="dxa"/>
            <w:noWrap/>
            <w:vAlign w:val="center"/>
            <w:hideMark/>
          </w:tcPr>
          <w:p w14:paraId="53976FC6" w14:textId="6EE17C75" w:rsidR="00281AA6" w:rsidRPr="00281AA6" w:rsidRDefault="00281AA6" w:rsidP="00281AA6">
            <w:pPr>
              <w:pStyle w:val="ExhibitText"/>
              <w:jc w:val="center"/>
              <w:rPr>
                <w:rFonts w:eastAsia="SimSun"/>
                <w:sz w:val="18"/>
                <w:szCs w:val="18"/>
              </w:rPr>
            </w:pPr>
            <w:r w:rsidRPr="00281AA6">
              <w:rPr>
                <w:rFonts w:eastAsia="SimSun"/>
                <w:sz w:val="18"/>
                <w:szCs w:val="18"/>
              </w:rPr>
              <w:t>2008</w:t>
            </w:r>
          </w:p>
        </w:tc>
        <w:tc>
          <w:tcPr>
            <w:tcW w:w="1216" w:type="dxa"/>
            <w:noWrap/>
            <w:tcMar>
              <w:left w:w="115" w:type="dxa"/>
              <w:right w:w="288" w:type="dxa"/>
            </w:tcMar>
            <w:vAlign w:val="center"/>
            <w:hideMark/>
          </w:tcPr>
          <w:p w14:paraId="73A7E8A7" w14:textId="2BBD760D" w:rsidR="00281AA6" w:rsidRPr="00281AA6" w:rsidRDefault="00281AA6" w:rsidP="00281AA6">
            <w:pPr>
              <w:pStyle w:val="ExhibitText"/>
              <w:jc w:val="right"/>
              <w:rPr>
                <w:rFonts w:eastAsia="SimSun"/>
                <w:sz w:val="18"/>
                <w:szCs w:val="18"/>
              </w:rPr>
            </w:pPr>
            <w:r w:rsidRPr="00281AA6">
              <w:rPr>
                <w:rFonts w:eastAsia="SimSun"/>
                <w:sz w:val="18"/>
                <w:szCs w:val="18"/>
              </w:rPr>
              <w:t>1.68</w:t>
            </w:r>
          </w:p>
        </w:tc>
        <w:tc>
          <w:tcPr>
            <w:tcW w:w="1216" w:type="dxa"/>
            <w:tcMar>
              <w:left w:w="115" w:type="dxa"/>
              <w:right w:w="288" w:type="dxa"/>
            </w:tcMar>
            <w:vAlign w:val="center"/>
          </w:tcPr>
          <w:p w14:paraId="4643A5C2"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0B9533D3" w14:textId="54BF343B" w:rsidR="00281AA6" w:rsidRPr="00281AA6" w:rsidRDefault="00281AA6" w:rsidP="00281AA6">
            <w:pPr>
              <w:pStyle w:val="ExhibitText"/>
              <w:jc w:val="right"/>
              <w:rPr>
                <w:rFonts w:eastAsia="SimSun"/>
                <w:sz w:val="18"/>
                <w:szCs w:val="18"/>
              </w:rPr>
            </w:pPr>
            <w:r w:rsidRPr="00281AA6">
              <w:rPr>
                <w:rFonts w:eastAsia="SimSun"/>
                <w:sz w:val="18"/>
                <w:szCs w:val="18"/>
              </w:rPr>
              <w:t>0.0175</w:t>
            </w:r>
          </w:p>
        </w:tc>
        <w:tc>
          <w:tcPr>
            <w:tcW w:w="1216" w:type="dxa"/>
            <w:tcMar>
              <w:left w:w="115" w:type="dxa"/>
              <w:right w:w="288" w:type="dxa"/>
            </w:tcMar>
            <w:vAlign w:val="center"/>
          </w:tcPr>
          <w:p w14:paraId="7D5747B8"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75F1E184" w14:textId="04DA568B" w:rsidR="00281AA6" w:rsidRPr="00281AA6" w:rsidRDefault="00281AA6" w:rsidP="00281AA6">
            <w:pPr>
              <w:pStyle w:val="ExhibitText"/>
              <w:jc w:val="right"/>
              <w:rPr>
                <w:rFonts w:eastAsia="SimSun"/>
                <w:sz w:val="18"/>
                <w:szCs w:val="18"/>
              </w:rPr>
            </w:pPr>
            <w:r w:rsidRPr="00281AA6">
              <w:rPr>
                <w:rFonts w:eastAsia="SimSun"/>
                <w:sz w:val="18"/>
                <w:szCs w:val="18"/>
              </w:rPr>
              <w:t>0.06</w:t>
            </w:r>
            <w:r w:rsidR="00C62FA7">
              <w:rPr>
                <w:rFonts w:eastAsia="SimSun"/>
                <w:sz w:val="18"/>
                <w:szCs w:val="18"/>
              </w:rPr>
              <w:t>00</w:t>
            </w:r>
          </w:p>
        </w:tc>
        <w:tc>
          <w:tcPr>
            <w:tcW w:w="1215" w:type="dxa"/>
            <w:noWrap/>
            <w:tcMar>
              <w:left w:w="115" w:type="dxa"/>
              <w:right w:w="288" w:type="dxa"/>
            </w:tcMar>
            <w:vAlign w:val="center"/>
            <w:hideMark/>
          </w:tcPr>
          <w:p w14:paraId="5B658A2D" w14:textId="7A1FBC22" w:rsidR="00281AA6" w:rsidRPr="00281AA6" w:rsidRDefault="00281AA6" w:rsidP="00281AA6">
            <w:pPr>
              <w:pStyle w:val="ExhibitText"/>
              <w:jc w:val="right"/>
              <w:rPr>
                <w:rFonts w:eastAsia="SimSun"/>
                <w:sz w:val="18"/>
                <w:szCs w:val="18"/>
              </w:rPr>
            </w:pPr>
          </w:p>
        </w:tc>
        <w:tc>
          <w:tcPr>
            <w:tcW w:w="1216" w:type="dxa"/>
            <w:noWrap/>
            <w:tcMar>
              <w:left w:w="115" w:type="dxa"/>
              <w:right w:w="288" w:type="dxa"/>
            </w:tcMar>
            <w:vAlign w:val="center"/>
          </w:tcPr>
          <w:p w14:paraId="6172B8B0" w14:textId="5BE2BF9D" w:rsidR="00281AA6" w:rsidRPr="00281AA6" w:rsidRDefault="00281AA6" w:rsidP="00281AA6">
            <w:pPr>
              <w:pStyle w:val="ExhibitText"/>
              <w:jc w:val="right"/>
              <w:rPr>
                <w:rFonts w:eastAsia="SimSun"/>
                <w:sz w:val="18"/>
                <w:szCs w:val="18"/>
              </w:rPr>
            </w:pPr>
            <w:r w:rsidRPr="00281AA6">
              <w:rPr>
                <w:rFonts w:eastAsia="SimSun"/>
                <w:sz w:val="18"/>
                <w:szCs w:val="18"/>
              </w:rPr>
              <w:t>0.0775</w:t>
            </w:r>
          </w:p>
        </w:tc>
      </w:tr>
      <w:tr w:rsidR="00281AA6" w:rsidRPr="00281AA6" w14:paraId="07EA4468" w14:textId="77777777" w:rsidTr="008B1AAC">
        <w:trPr>
          <w:trHeight w:val="259"/>
          <w:jc w:val="center"/>
        </w:trPr>
        <w:tc>
          <w:tcPr>
            <w:tcW w:w="959" w:type="dxa"/>
            <w:noWrap/>
            <w:vAlign w:val="center"/>
            <w:hideMark/>
          </w:tcPr>
          <w:p w14:paraId="527A1A7B" w14:textId="5B708831" w:rsidR="00281AA6" w:rsidRPr="00281AA6" w:rsidRDefault="00281AA6" w:rsidP="00281AA6">
            <w:pPr>
              <w:pStyle w:val="ExhibitText"/>
              <w:jc w:val="center"/>
              <w:rPr>
                <w:rFonts w:eastAsia="SimSun"/>
                <w:sz w:val="18"/>
                <w:szCs w:val="18"/>
              </w:rPr>
            </w:pPr>
            <w:r w:rsidRPr="00281AA6">
              <w:rPr>
                <w:rFonts w:eastAsia="SimSun"/>
                <w:sz w:val="18"/>
                <w:szCs w:val="18"/>
              </w:rPr>
              <w:t>2009</w:t>
            </w:r>
          </w:p>
        </w:tc>
        <w:tc>
          <w:tcPr>
            <w:tcW w:w="1216" w:type="dxa"/>
            <w:noWrap/>
            <w:tcMar>
              <w:left w:w="115" w:type="dxa"/>
              <w:right w:w="288" w:type="dxa"/>
            </w:tcMar>
            <w:vAlign w:val="center"/>
            <w:hideMark/>
          </w:tcPr>
          <w:p w14:paraId="3156CC82" w14:textId="349113F7" w:rsidR="00281AA6" w:rsidRPr="00281AA6" w:rsidRDefault="00281AA6" w:rsidP="00281AA6">
            <w:pPr>
              <w:pStyle w:val="ExhibitText"/>
              <w:jc w:val="right"/>
              <w:rPr>
                <w:rFonts w:eastAsia="SimSun"/>
                <w:sz w:val="18"/>
                <w:szCs w:val="18"/>
              </w:rPr>
            </w:pPr>
            <w:r w:rsidRPr="00281AA6">
              <w:rPr>
                <w:rFonts w:eastAsia="SimSun"/>
                <w:sz w:val="18"/>
                <w:szCs w:val="18"/>
              </w:rPr>
              <w:t>1.65</w:t>
            </w:r>
          </w:p>
        </w:tc>
        <w:tc>
          <w:tcPr>
            <w:tcW w:w="1216" w:type="dxa"/>
            <w:tcMar>
              <w:left w:w="115" w:type="dxa"/>
              <w:right w:w="288" w:type="dxa"/>
            </w:tcMar>
            <w:vAlign w:val="center"/>
          </w:tcPr>
          <w:p w14:paraId="67D66EC7"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69F05950" w14:textId="2C3AD3A7" w:rsidR="00281AA6" w:rsidRPr="00281AA6" w:rsidRDefault="00281AA6" w:rsidP="00281AA6">
            <w:pPr>
              <w:pStyle w:val="ExhibitText"/>
              <w:jc w:val="right"/>
              <w:rPr>
                <w:rFonts w:eastAsia="SimSun"/>
                <w:sz w:val="18"/>
                <w:szCs w:val="18"/>
              </w:rPr>
            </w:pPr>
            <w:r w:rsidRPr="00281AA6">
              <w:rPr>
                <w:rFonts w:eastAsia="SimSun"/>
                <w:sz w:val="18"/>
                <w:szCs w:val="18"/>
              </w:rPr>
              <w:t>0.0175</w:t>
            </w:r>
          </w:p>
        </w:tc>
        <w:tc>
          <w:tcPr>
            <w:tcW w:w="1216" w:type="dxa"/>
            <w:tcMar>
              <w:left w:w="115" w:type="dxa"/>
              <w:right w:w="288" w:type="dxa"/>
            </w:tcMar>
            <w:vAlign w:val="center"/>
          </w:tcPr>
          <w:p w14:paraId="4FA6EEA8"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449F33D8" w14:textId="18B7F144" w:rsidR="00281AA6" w:rsidRPr="00281AA6" w:rsidRDefault="00281AA6" w:rsidP="00281AA6">
            <w:pPr>
              <w:pStyle w:val="ExhibitText"/>
              <w:jc w:val="right"/>
              <w:rPr>
                <w:rFonts w:eastAsia="SimSun"/>
                <w:sz w:val="18"/>
                <w:szCs w:val="18"/>
              </w:rPr>
            </w:pPr>
            <w:r w:rsidRPr="00281AA6">
              <w:rPr>
                <w:rFonts w:eastAsia="SimSun"/>
                <w:sz w:val="18"/>
                <w:szCs w:val="18"/>
              </w:rPr>
              <w:t>0.06</w:t>
            </w:r>
            <w:r w:rsidR="00C62FA7">
              <w:rPr>
                <w:rFonts w:eastAsia="SimSun"/>
                <w:sz w:val="18"/>
                <w:szCs w:val="18"/>
              </w:rPr>
              <w:t>00</w:t>
            </w:r>
          </w:p>
        </w:tc>
        <w:tc>
          <w:tcPr>
            <w:tcW w:w="1215" w:type="dxa"/>
            <w:noWrap/>
            <w:tcMar>
              <w:left w:w="115" w:type="dxa"/>
              <w:right w:w="288" w:type="dxa"/>
            </w:tcMar>
            <w:vAlign w:val="center"/>
            <w:hideMark/>
          </w:tcPr>
          <w:p w14:paraId="2A94C0E2" w14:textId="2E816DFF" w:rsidR="00281AA6" w:rsidRPr="00281AA6" w:rsidRDefault="00281AA6" w:rsidP="00281AA6">
            <w:pPr>
              <w:pStyle w:val="ExhibitText"/>
              <w:jc w:val="right"/>
              <w:rPr>
                <w:rFonts w:eastAsia="SimSun"/>
                <w:sz w:val="18"/>
                <w:szCs w:val="18"/>
              </w:rPr>
            </w:pPr>
          </w:p>
        </w:tc>
        <w:tc>
          <w:tcPr>
            <w:tcW w:w="1216" w:type="dxa"/>
            <w:noWrap/>
            <w:tcMar>
              <w:left w:w="115" w:type="dxa"/>
              <w:right w:w="288" w:type="dxa"/>
            </w:tcMar>
            <w:vAlign w:val="center"/>
          </w:tcPr>
          <w:p w14:paraId="27B868A8" w14:textId="01898422" w:rsidR="00281AA6" w:rsidRPr="00281AA6" w:rsidRDefault="00281AA6" w:rsidP="00281AA6">
            <w:pPr>
              <w:pStyle w:val="ExhibitText"/>
              <w:jc w:val="right"/>
              <w:rPr>
                <w:rFonts w:eastAsia="SimSun"/>
                <w:sz w:val="18"/>
                <w:szCs w:val="18"/>
              </w:rPr>
            </w:pPr>
            <w:r w:rsidRPr="00281AA6">
              <w:rPr>
                <w:rFonts w:eastAsia="SimSun"/>
                <w:sz w:val="18"/>
                <w:szCs w:val="18"/>
              </w:rPr>
              <w:t>0.0775</w:t>
            </w:r>
          </w:p>
        </w:tc>
      </w:tr>
      <w:tr w:rsidR="00281AA6" w:rsidRPr="00281AA6" w14:paraId="0253526F" w14:textId="77777777" w:rsidTr="008B1AAC">
        <w:trPr>
          <w:trHeight w:val="259"/>
          <w:jc w:val="center"/>
        </w:trPr>
        <w:tc>
          <w:tcPr>
            <w:tcW w:w="959" w:type="dxa"/>
            <w:noWrap/>
            <w:vAlign w:val="center"/>
            <w:hideMark/>
          </w:tcPr>
          <w:p w14:paraId="414EF1F1" w14:textId="0725AB07" w:rsidR="00281AA6" w:rsidRPr="00281AA6" w:rsidRDefault="00281AA6" w:rsidP="00281AA6">
            <w:pPr>
              <w:pStyle w:val="ExhibitText"/>
              <w:jc w:val="center"/>
              <w:rPr>
                <w:rFonts w:eastAsia="SimSun"/>
                <w:sz w:val="18"/>
                <w:szCs w:val="18"/>
              </w:rPr>
            </w:pPr>
            <w:r w:rsidRPr="00281AA6">
              <w:rPr>
                <w:rFonts w:eastAsia="SimSun"/>
                <w:sz w:val="18"/>
                <w:szCs w:val="18"/>
              </w:rPr>
              <w:t>2010</w:t>
            </w:r>
          </w:p>
        </w:tc>
        <w:tc>
          <w:tcPr>
            <w:tcW w:w="1216" w:type="dxa"/>
            <w:noWrap/>
            <w:tcMar>
              <w:left w:w="115" w:type="dxa"/>
              <w:right w:w="288" w:type="dxa"/>
            </w:tcMar>
            <w:vAlign w:val="center"/>
            <w:hideMark/>
          </w:tcPr>
          <w:p w14:paraId="0CA4922E" w14:textId="34ECE6B4" w:rsidR="00281AA6" w:rsidRPr="00281AA6" w:rsidRDefault="00281AA6" w:rsidP="00281AA6">
            <w:pPr>
              <w:pStyle w:val="ExhibitText"/>
              <w:jc w:val="right"/>
              <w:rPr>
                <w:rFonts w:eastAsia="SimSun"/>
                <w:sz w:val="18"/>
                <w:szCs w:val="18"/>
              </w:rPr>
            </w:pPr>
            <w:r w:rsidRPr="00281AA6">
              <w:rPr>
                <w:rFonts w:eastAsia="SimSun"/>
                <w:sz w:val="18"/>
                <w:szCs w:val="18"/>
              </w:rPr>
              <w:t>1.91</w:t>
            </w:r>
          </w:p>
        </w:tc>
        <w:tc>
          <w:tcPr>
            <w:tcW w:w="1216" w:type="dxa"/>
            <w:tcMar>
              <w:left w:w="115" w:type="dxa"/>
              <w:right w:w="288" w:type="dxa"/>
            </w:tcMar>
            <w:vAlign w:val="center"/>
          </w:tcPr>
          <w:p w14:paraId="3C896C07"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2088AA35" w14:textId="2864C294" w:rsidR="00281AA6" w:rsidRPr="00281AA6" w:rsidRDefault="00281AA6" w:rsidP="00281AA6">
            <w:pPr>
              <w:pStyle w:val="ExhibitText"/>
              <w:jc w:val="right"/>
              <w:rPr>
                <w:rFonts w:eastAsia="SimSun"/>
                <w:sz w:val="18"/>
                <w:szCs w:val="18"/>
              </w:rPr>
            </w:pPr>
            <w:r w:rsidRPr="00281AA6">
              <w:rPr>
                <w:rFonts w:eastAsia="SimSun"/>
                <w:sz w:val="18"/>
                <w:szCs w:val="18"/>
              </w:rPr>
              <w:t>0.0175</w:t>
            </w:r>
          </w:p>
        </w:tc>
        <w:tc>
          <w:tcPr>
            <w:tcW w:w="1216" w:type="dxa"/>
            <w:tcMar>
              <w:left w:w="115" w:type="dxa"/>
              <w:right w:w="288" w:type="dxa"/>
            </w:tcMar>
            <w:vAlign w:val="center"/>
          </w:tcPr>
          <w:p w14:paraId="76F6E530"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35F66F46" w14:textId="521E7EE4" w:rsidR="00281AA6" w:rsidRPr="00281AA6" w:rsidRDefault="00281AA6" w:rsidP="00281AA6">
            <w:pPr>
              <w:pStyle w:val="ExhibitText"/>
              <w:jc w:val="right"/>
              <w:rPr>
                <w:rFonts w:eastAsia="SimSun"/>
                <w:sz w:val="18"/>
                <w:szCs w:val="18"/>
              </w:rPr>
            </w:pPr>
            <w:r w:rsidRPr="00281AA6">
              <w:rPr>
                <w:rFonts w:eastAsia="SimSun"/>
                <w:sz w:val="18"/>
                <w:szCs w:val="18"/>
              </w:rPr>
              <w:t>0.0675</w:t>
            </w:r>
          </w:p>
        </w:tc>
        <w:tc>
          <w:tcPr>
            <w:tcW w:w="1215" w:type="dxa"/>
            <w:noWrap/>
            <w:tcMar>
              <w:left w:w="115" w:type="dxa"/>
              <w:right w:w="288" w:type="dxa"/>
            </w:tcMar>
            <w:vAlign w:val="center"/>
            <w:hideMark/>
          </w:tcPr>
          <w:p w14:paraId="4A1796DD" w14:textId="36659D0A" w:rsidR="00281AA6" w:rsidRPr="00281AA6" w:rsidRDefault="00281AA6" w:rsidP="00281AA6">
            <w:pPr>
              <w:pStyle w:val="ExhibitText"/>
              <w:jc w:val="right"/>
              <w:rPr>
                <w:rFonts w:eastAsia="SimSun"/>
                <w:sz w:val="18"/>
                <w:szCs w:val="18"/>
              </w:rPr>
            </w:pPr>
          </w:p>
        </w:tc>
        <w:tc>
          <w:tcPr>
            <w:tcW w:w="1216" w:type="dxa"/>
            <w:noWrap/>
            <w:tcMar>
              <w:left w:w="115" w:type="dxa"/>
              <w:right w:w="288" w:type="dxa"/>
            </w:tcMar>
            <w:vAlign w:val="center"/>
          </w:tcPr>
          <w:p w14:paraId="06036C3D" w14:textId="24C1DEC0" w:rsidR="00281AA6" w:rsidRPr="00281AA6" w:rsidRDefault="00281AA6" w:rsidP="00281AA6">
            <w:pPr>
              <w:pStyle w:val="ExhibitText"/>
              <w:jc w:val="right"/>
              <w:rPr>
                <w:rFonts w:eastAsia="SimSun"/>
                <w:sz w:val="18"/>
                <w:szCs w:val="18"/>
              </w:rPr>
            </w:pPr>
            <w:r w:rsidRPr="00281AA6">
              <w:rPr>
                <w:rFonts w:eastAsia="SimSun"/>
                <w:sz w:val="18"/>
                <w:szCs w:val="18"/>
              </w:rPr>
              <w:t>0.085</w:t>
            </w:r>
            <w:r w:rsidR="00C62FA7">
              <w:rPr>
                <w:rFonts w:eastAsia="SimSun"/>
                <w:sz w:val="18"/>
                <w:szCs w:val="18"/>
              </w:rPr>
              <w:t>0</w:t>
            </w:r>
          </w:p>
        </w:tc>
      </w:tr>
      <w:tr w:rsidR="00281AA6" w:rsidRPr="00281AA6" w14:paraId="2A9DDF78" w14:textId="77777777" w:rsidTr="008B1AAC">
        <w:trPr>
          <w:trHeight w:val="259"/>
          <w:jc w:val="center"/>
        </w:trPr>
        <w:tc>
          <w:tcPr>
            <w:tcW w:w="959" w:type="dxa"/>
            <w:noWrap/>
            <w:vAlign w:val="center"/>
            <w:hideMark/>
          </w:tcPr>
          <w:p w14:paraId="518E2F76" w14:textId="4B1EDC3F" w:rsidR="00281AA6" w:rsidRPr="00281AA6" w:rsidRDefault="00281AA6" w:rsidP="00281AA6">
            <w:pPr>
              <w:pStyle w:val="ExhibitText"/>
              <w:jc w:val="center"/>
              <w:rPr>
                <w:rFonts w:eastAsia="SimSun"/>
                <w:sz w:val="18"/>
                <w:szCs w:val="18"/>
              </w:rPr>
            </w:pPr>
            <w:r w:rsidRPr="00281AA6">
              <w:rPr>
                <w:rFonts w:eastAsia="SimSun"/>
                <w:sz w:val="18"/>
                <w:szCs w:val="18"/>
              </w:rPr>
              <w:t>2011</w:t>
            </w:r>
          </w:p>
        </w:tc>
        <w:tc>
          <w:tcPr>
            <w:tcW w:w="1216" w:type="dxa"/>
            <w:noWrap/>
            <w:tcMar>
              <w:left w:w="115" w:type="dxa"/>
              <w:right w:w="288" w:type="dxa"/>
            </w:tcMar>
            <w:vAlign w:val="center"/>
            <w:hideMark/>
          </w:tcPr>
          <w:p w14:paraId="56BF921E" w14:textId="76FDF391" w:rsidR="00281AA6" w:rsidRPr="00281AA6" w:rsidRDefault="00281AA6" w:rsidP="00281AA6">
            <w:pPr>
              <w:pStyle w:val="ExhibitText"/>
              <w:jc w:val="right"/>
              <w:rPr>
                <w:rFonts w:eastAsia="SimSun"/>
                <w:sz w:val="18"/>
                <w:szCs w:val="18"/>
              </w:rPr>
            </w:pPr>
            <w:r w:rsidRPr="00281AA6">
              <w:rPr>
                <w:rFonts w:eastAsia="SimSun"/>
                <w:sz w:val="18"/>
                <w:szCs w:val="18"/>
              </w:rPr>
              <w:t>2.03</w:t>
            </w:r>
          </w:p>
        </w:tc>
        <w:tc>
          <w:tcPr>
            <w:tcW w:w="1216" w:type="dxa"/>
            <w:tcMar>
              <w:left w:w="115" w:type="dxa"/>
              <w:right w:w="288" w:type="dxa"/>
            </w:tcMar>
            <w:vAlign w:val="center"/>
          </w:tcPr>
          <w:p w14:paraId="0CE89E11"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0E5567FC" w14:textId="7F020E39" w:rsidR="00281AA6" w:rsidRPr="00281AA6" w:rsidRDefault="00281AA6" w:rsidP="00281AA6">
            <w:pPr>
              <w:pStyle w:val="ExhibitText"/>
              <w:jc w:val="right"/>
              <w:rPr>
                <w:rFonts w:eastAsia="SimSun"/>
                <w:sz w:val="18"/>
                <w:szCs w:val="18"/>
              </w:rPr>
            </w:pPr>
            <w:r w:rsidRPr="00281AA6">
              <w:rPr>
                <w:rFonts w:eastAsia="SimSun"/>
                <w:sz w:val="18"/>
                <w:szCs w:val="18"/>
              </w:rPr>
              <w:t>0.0175</w:t>
            </w:r>
          </w:p>
        </w:tc>
        <w:tc>
          <w:tcPr>
            <w:tcW w:w="1216" w:type="dxa"/>
            <w:tcMar>
              <w:left w:w="115" w:type="dxa"/>
              <w:right w:w="288" w:type="dxa"/>
            </w:tcMar>
            <w:vAlign w:val="center"/>
          </w:tcPr>
          <w:p w14:paraId="7B2D596D"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7D82F547" w14:textId="63AF71DA" w:rsidR="00281AA6" w:rsidRPr="00281AA6" w:rsidRDefault="00281AA6" w:rsidP="00281AA6">
            <w:pPr>
              <w:pStyle w:val="ExhibitText"/>
              <w:jc w:val="right"/>
              <w:rPr>
                <w:rFonts w:eastAsia="SimSun"/>
                <w:sz w:val="18"/>
                <w:szCs w:val="18"/>
              </w:rPr>
            </w:pPr>
            <w:r w:rsidRPr="00281AA6">
              <w:rPr>
                <w:rFonts w:eastAsia="SimSun"/>
                <w:sz w:val="18"/>
                <w:szCs w:val="18"/>
              </w:rPr>
              <w:t>0.057</w:t>
            </w:r>
            <w:r w:rsidR="00C62FA7">
              <w:rPr>
                <w:rFonts w:eastAsia="SimSun"/>
                <w:sz w:val="18"/>
                <w:szCs w:val="18"/>
              </w:rPr>
              <w:t>0</w:t>
            </w:r>
          </w:p>
        </w:tc>
        <w:tc>
          <w:tcPr>
            <w:tcW w:w="1215" w:type="dxa"/>
            <w:noWrap/>
            <w:tcMar>
              <w:left w:w="115" w:type="dxa"/>
              <w:right w:w="288" w:type="dxa"/>
            </w:tcMar>
            <w:vAlign w:val="center"/>
            <w:hideMark/>
          </w:tcPr>
          <w:p w14:paraId="2408909E" w14:textId="73465475" w:rsidR="00281AA6" w:rsidRPr="00281AA6" w:rsidRDefault="00281AA6" w:rsidP="00281AA6">
            <w:pPr>
              <w:pStyle w:val="ExhibitText"/>
              <w:jc w:val="right"/>
              <w:rPr>
                <w:rFonts w:eastAsia="SimSun"/>
                <w:sz w:val="18"/>
                <w:szCs w:val="18"/>
              </w:rPr>
            </w:pPr>
          </w:p>
        </w:tc>
        <w:tc>
          <w:tcPr>
            <w:tcW w:w="1216" w:type="dxa"/>
            <w:noWrap/>
            <w:tcMar>
              <w:left w:w="115" w:type="dxa"/>
              <w:right w:w="288" w:type="dxa"/>
            </w:tcMar>
            <w:vAlign w:val="center"/>
          </w:tcPr>
          <w:p w14:paraId="77A0BF8F" w14:textId="63A583D0" w:rsidR="00281AA6" w:rsidRPr="00281AA6" w:rsidRDefault="00281AA6" w:rsidP="00281AA6">
            <w:pPr>
              <w:pStyle w:val="ExhibitText"/>
              <w:jc w:val="right"/>
              <w:rPr>
                <w:rFonts w:eastAsia="SimSun"/>
                <w:sz w:val="18"/>
                <w:szCs w:val="18"/>
              </w:rPr>
            </w:pPr>
            <w:r w:rsidRPr="00281AA6">
              <w:rPr>
                <w:rFonts w:eastAsia="SimSun"/>
                <w:sz w:val="18"/>
                <w:szCs w:val="18"/>
              </w:rPr>
              <w:t>0.0745</w:t>
            </w:r>
          </w:p>
        </w:tc>
      </w:tr>
      <w:tr w:rsidR="00281AA6" w:rsidRPr="00281AA6" w14:paraId="202AEBCE" w14:textId="77777777" w:rsidTr="008B1AAC">
        <w:trPr>
          <w:trHeight w:val="259"/>
          <w:jc w:val="center"/>
        </w:trPr>
        <w:tc>
          <w:tcPr>
            <w:tcW w:w="959" w:type="dxa"/>
            <w:noWrap/>
            <w:vAlign w:val="center"/>
            <w:hideMark/>
          </w:tcPr>
          <w:p w14:paraId="0592D78A" w14:textId="79F43945" w:rsidR="00281AA6" w:rsidRPr="00281AA6" w:rsidRDefault="00281AA6" w:rsidP="00281AA6">
            <w:pPr>
              <w:pStyle w:val="ExhibitText"/>
              <w:jc w:val="center"/>
              <w:rPr>
                <w:rFonts w:eastAsia="SimSun"/>
                <w:sz w:val="18"/>
                <w:szCs w:val="18"/>
              </w:rPr>
            </w:pPr>
            <w:r w:rsidRPr="00281AA6">
              <w:rPr>
                <w:rFonts w:eastAsia="SimSun"/>
                <w:sz w:val="18"/>
                <w:szCs w:val="18"/>
              </w:rPr>
              <w:t>2012</w:t>
            </w:r>
          </w:p>
        </w:tc>
        <w:tc>
          <w:tcPr>
            <w:tcW w:w="1216" w:type="dxa"/>
            <w:noWrap/>
            <w:tcMar>
              <w:left w:w="115" w:type="dxa"/>
              <w:right w:w="288" w:type="dxa"/>
            </w:tcMar>
            <w:vAlign w:val="center"/>
            <w:hideMark/>
          </w:tcPr>
          <w:p w14:paraId="6D636D8C" w14:textId="4A686F39" w:rsidR="00281AA6" w:rsidRPr="00281AA6" w:rsidRDefault="00281AA6" w:rsidP="00281AA6">
            <w:pPr>
              <w:pStyle w:val="ExhibitText"/>
              <w:jc w:val="right"/>
              <w:rPr>
                <w:rFonts w:eastAsia="SimSun"/>
                <w:sz w:val="18"/>
                <w:szCs w:val="18"/>
              </w:rPr>
            </w:pPr>
            <w:r w:rsidRPr="00281AA6">
              <w:rPr>
                <w:rFonts w:eastAsia="SimSun"/>
                <w:sz w:val="18"/>
                <w:szCs w:val="18"/>
              </w:rPr>
              <w:t>1.76</w:t>
            </w:r>
          </w:p>
        </w:tc>
        <w:tc>
          <w:tcPr>
            <w:tcW w:w="1216" w:type="dxa"/>
            <w:tcMar>
              <w:left w:w="115" w:type="dxa"/>
              <w:right w:w="288" w:type="dxa"/>
            </w:tcMar>
            <w:vAlign w:val="center"/>
          </w:tcPr>
          <w:p w14:paraId="73AD10D6"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1A6E7857" w14:textId="4361F875" w:rsidR="00281AA6" w:rsidRPr="00281AA6" w:rsidRDefault="00281AA6" w:rsidP="00281AA6">
            <w:pPr>
              <w:pStyle w:val="ExhibitText"/>
              <w:jc w:val="right"/>
              <w:rPr>
                <w:rFonts w:eastAsia="SimSun"/>
                <w:sz w:val="18"/>
                <w:szCs w:val="18"/>
              </w:rPr>
            </w:pPr>
            <w:r w:rsidRPr="00281AA6">
              <w:rPr>
                <w:rFonts w:eastAsia="SimSun"/>
                <w:sz w:val="18"/>
                <w:szCs w:val="18"/>
              </w:rPr>
              <w:t>0.015</w:t>
            </w:r>
            <w:r w:rsidR="00C62FA7">
              <w:rPr>
                <w:rFonts w:eastAsia="SimSun"/>
                <w:sz w:val="18"/>
                <w:szCs w:val="18"/>
              </w:rPr>
              <w:t>0</w:t>
            </w:r>
          </w:p>
        </w:tc>
        <w:tc>
          <w:tcPr>
            <w:tcW w:w="1216" w:type="dxa"/>
            <w:tcMar>
              <w:left w:w="115" w:type="dxa"/>
              <w:right w:w="288" w:type="dxa"/>
            </w:tcMar>
            <w:vAlign w:val="center"/>
          </w:tcPr>
          <w:p w14:paraId="68A741DF"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1B0B6B6A" w14:textId="58EF1901" w:rsidR="00281AA6" w:rsidRPr="00281AA6" w:rsidRDefault="00281AA6" w:rsidP="00281AA6">
            <w:pPr>
              <w:pStyle w:val="ExhibitText"/>
              <w:jc w:val="right"/>
              <w:rPr>
                <w:rFonts w:eastAsia="SimSun"/>
                <w:sz w:val="18"/>
                <w:szCs w:val="18"/>
              </w:rPr>
            </w:pPr>
            <w:r w:rsidRPr="00281AA6">
              <w:rPr>
                <w:rFonts w:eastAsia="SimSun"/>
                <w:sz w:val="18"/>
                <w:szCs w:val="18"/>
              </w:rPr>
              <w:t>0.01</w:t>
            </w:r>
            <w:r w:rsidR="00C62FA7">
              <w:rPr>
                <w:rFonts w:eastAsia="SimSun"/>
                <w:sz w:val="18"/>
                <w:szCs w:val="18"/>
              </w:rPr>
              <w:t>00</w:t>
            </w:r>
          </w:p>
        </w:tc>
        <w:tc>
          <w:tcPr>
            <w:tcW w:w="1215" w:type="dxa"/>
            <w:noWrap/>
            <w:tcMar>
              <w:left w:w="115" w:type="dxa"/>
              <w:right w:w="288" w:type="dxa"/>
            </w:tcMar>
            <w:vAlign w:val="center"/>
            <w:hideMark/>
          </w:tcPr>
          <w:p w14:paraId="202471C4" w14:textId="6C2305CF" w:rsidR="00281AA6" w:rsidRPr="00281AA6" w:rsidRDefault="00281AA6" w:rsidP="00281AA6">
            <w:pPr>
              <w:pStyle w:val="ExhibitText"/>
              <w:jc w:val="right"/>
              <w:rPr>
                <w:rFonts w:eastAsia="SimSun"/>
                <w:sz w:val="18"/>
                <w:szCs w:val="18"/>
              </w:rPr>
            </w:pPr>
          </w:p>
        </w:tc>
        <w:tc>
          <w:tcPr>
            <w:tcW w:w="1216" w:type="dxa"/>
            <w:noWrap/>
            <w:tcMar>
              <w:left w:w="115" w:type="dxa"/>
              <w:right w:w="288" w:type="dxa"/>
            </w:tcMar>
            <w:vAlign w:val="center"/>
          </w:tcPr>
          <w:p w14:paraId="312D1EC8" w14:textId="3C8B3721" w:rsidR="00281AA6" w:rsidRPr="00281AA6" w:rsidRDefault="00281AA6" w:rsidP="00281AA6">
            <w:pPr>
              <w:pStyle w:val="ExhibitText"/>
              <w:jc w:val="right"/>
              <w:rPr>
                <w:rFonts w:eastAsia="SimSun"/>
                <w:sz w:val="18"/>
                <w:szCs w:val="18"/>
              </w:rPr>
            </w:pPr>
            <w:r w:rsidRPr="00281AA6">
              <w:rPr>
                <w:rFonts w:eastAsia="SimSun"/>
                <w:sz w:val="18"/>
                <w:szCs w:val="18"/>
              </w:rPr>
              <w:t>0.025</w:t>
            </w:r>
            <w:r w:rsidR="00C62FA7">
              <w:rPr>
                <w:rFonts w:eastAsia="SimSun"/>
                <w:sz w:val="18"/>
                <w:szCs w:val="18"/>
              </w:rPr>
              <w:t>0</w:t>
            </w:r>
          </w:p>
        </w:tc>
      </w:tr>
      <w:tr w:rsidR="00281AA6" w:rsidRPr="00281AA6" w14:paraId="38222700" w14:textId="77777777" w:rsidTr="008B1AAC">
        <w:trPr>
          <w:trHeight w:val="259"/>
          <w:jc w:val="center"/>
        </w:trPr>
        <w:tc>
          <w:tcPr>
            <w:tcW w:w="959" w:type="dxa"/>
            <w:noWrap/>
            <w:vAlign w:val="center"/>
            <w:hideMark/>
          </w:tcPr>
          <w:p w14:paraId="29A50791" w14:textId="29460AD9" w:rsidR="00281AA6" w:rsidRPr="00281AA6" w:rsidRDefault="00281AA6" w:rsidP="00281AA6">
            <w:pPr>
              <w:pStyle w:val="ExhibitText"/>
              <w:jc w:val="center"/>
              <w:rPr>
                <w:rFonts w:eastAsia="SimSun"/>
                <w:sz w:val="18"/>
                <w:szCs w:val="18"/>
              </w:rPr>
            </w:pPr>
            <w:r w:rsidRPr="00281AA6">
              <w:rPr>
                <w:rFonts w:eastAsia="SimSun"/>
                <w:sz w:val="18"/>
                <w:szCs w:val="18"/>
              </w:rPr>
              <w:t>2013</w:t>
            </w:r>
          </w:p>
        </w:tc>
        <w:tc>
          <w:tcPr>
            <w:tcW w:w="1216" w:type="dxa"/>
            <w:noWrap/>
            <w:tcMar>
              <w:left w:w="115" w:type="dxa"/>
              <w:right w:w="288" w:type="dxa"/>
            </w:tcMar>
            <w:vAlign w:val="center"/>
            <w:hideMark/>
          </w:tcPr>
          <w:p w14:paraId="3B201553" w14:textId="28E14E97" w:rsidR="00281AA6" w:rsidRPr="00281AA6" w:rsidRDefault="00281AA6" w:rsidP="00281AA6">
            <w:pPr>
              <w:pStyle w:val="ExhibitText"/>
              <w:jc w:val="right"/>
              <w:rPr>
                <w:rFonts w:eastAsia="SimSun"/>
                <w:sz w:val="18"/>
                <w:szCs w:val="18"/>
              </w:rPr>
            </w:pPr>
            <w:r w:rsidRPr="00281AA6">
              <w:rPr>
                <w:rFonts w:eastAsia="SimSun"/>
                <w:sz w:val="18"/>
                <w:szCs w:val="18"/>
              </w:rPr>
              <w:t>1.68</w:t>
            </w:r>
          </w:p>
        </w:tc>
        <w:tc>
          <w:tcPr>
            <w:tcW w:w="1216" w:type="dxa"/>
            <w:tcMar>
              <w:left w:w="115" w:type="dxa"/>
              <w:right w:w="288" w:type="dxa"/>
            </w:tcMar>
            <w:vAlign w:val="center"/>
          </w:tcPr>
          <w:p w14:paraId="3409C42D"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58DEEE36" w14:textId="390CF22A" w:rsidR="00281AA6" w:rsidRPr="00281AA6" w:rsidRDefault="00281AA6" w:rsidP="00281AA6">
            <w:pPr>
              <w:pStyle w:val="ExhibitText"/>
              <w:jc w:val="right"/>
              <w:rPr>
                <w:rFonts w:eastAsia="SimSun"/>
                <w:sz w:val="18"/>
                <w:szCs w:val="18"/>
              </w:rPr>
            </w:pPr>
            <w:r w:rsidRPr="00281AA6">
              <w:rPr>
                <w:rFonts w:eastAsia="SimSun"/>
                <w:sz w:val="18"/>
                <w:szCs w:val="18"/>
              </w:rPr>
              <w:t>0.01</w:t>
            </w:r>
            <w:r w:rsidR="00C62FA7">
              <w:rPr>
                <w:rFonts w:eastAsia="SimSun"/>
                <w:sz w:val="18"/>
                <w:szCs w:val="18"/>
              </w:rPr>
              <w:t>00</w:t>
            </w:r>
          </w:p>
        </w:tc>
        <w:tc>
          <w:tcPr>
            <w:tcW w:w="1216" w:type="dxa"/>
            <w:tcMar>
              <w:left w:w="115" w:type="dxa"/>
              <w:right w:w="288" w:type="dxa"/>
            </w:tcMar>
            <w:vAlign w:val="center"/>
          </w:tcPr>
          <w:p w14:paraId="01B333B8"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7B657E62" w14:textId="679F3352" w:rsidR="00281AA6" w:rsidRPr="00281AA6" w:rsidRDefault="00281AA6" w:rsidP="00281AA6">
            <w:pPr>
              <w:pStyle w:val="ExhibitText"/>
              <w:jc w:val="right"/>
              <w:rPr>
                <w:rFonts w:eastAsia="SimSun"/>
                <w:sz w:val="18"/>
                <w:szCs w:val="18"/>
              </w:rPr>
            </w:pPr>
            <w:r w:rsidRPr="00281AA6">
              <w:rPr>
                <w:rFonts w:eastAsia="SimSun"/>
                <w:sz w:val="18"/>
                <w:szCs w:val="18"/>
              </w:rPr>
              <w:t>0.012</w:t>
            </w:r>
            <w:r w:rsidR="00C62FA7">
              <w:rPr>
                <w:rFonts w:eastAsia="SimSun"/>
                <w:sz w:val="18"/>
                <w:szCs w:val="18"/>
              </w:rPr>
              <w:t>0</w:t>
            </w:r>
          </w:p>
        </w:tc>
        <w:tc>
          <w:tcPr>
            <w:tcW w:w="1215" w:type="dxa"/>
            <w:noWrap/>
            <w:tcMar>
              <w:left w:w="115" w:type="dxa"/>
              <w:right w:w="288" w:type="dxa"/>
            </w:tcMar>
            <w:vAlign w:val="center"/>
            <w:hideMark/>
          </w:tcPr>
          <w:p w14:paraId="7FAE5D99" w14:textId="16A2D967" w:rsidR="00281AA6" w:rsidRPr="00281AA6" w:rsidRDefault="00281AA6" w:rsidP="00281AA6">
            <w:pPr>
              <w:pStyle w:val="ExhibitText"/>
              <w:jc w:val="right"/>
              <w:rPr>
                <w:rFonts w:eastAsia="SimSun"/>
                <w:sz w:val="18"/>
                <w:szCs w:val="18"/>
              </w:rPr>
            </w:pPr>
          </w:p>
        </w:tc>
        <w:tc>
          <w:tcPr>
            <w:tcW w:w="1216" w:type="dxa"/>
            <w:noWrap/>
            <w:tcMar>
              <w:left w:w="115" w:type="dxa"/>
              <w:right w:w="288" w:type="dxa"/>
            </w:tcMar>
            <w:vAlign w:val="center"/>
          </w:tcPr>
          <w:p w14:paraId="5F49BB47" w14:textId="43CEBC7D" w:rsidR="00281AA6" w:rsidRPr="00281AA6" w:rsidRDefault="00281AA6" w:rsidP="00281AA6">
            <w:pPr>
              <w:pStyle w:val="ExhibitText"/>
              <w:jc w:val="right"/>
              <w:rPr>
                <w:rFonts w:eastAsia="SimSun"/>
                <w:sz w:val="18"/>
                <w:szCs w:val="18"/>
              </w:rPr>
            </w:pPr>
            <w:r w:rsidRPr="00281AA6">
              <w:rPr>
                <w:rFonts w:eastAsia="SimSun"/>
                <w:sz w:val="18"/>
                <w:szCs w:val="18"/>
              </w:rPr>
              <w:t>0.022</w:t>
            </w:r>
            <w:r w:rsidR="00C62FA7">
              <w:rPr>
                <w:rFonts w:eastAsia="SimSun"/>
                <w:sz w:val="18"/>
                <w:szCs w:val="18"/>
              </w:rPr>
              <w:t>0</w:t>
            </w:r>
          </w:p>
        </w:tc>
      </w:tr>
      <w:tr w:rsidR="00281AA6" w:rsidRPr="00281AA6" w14:paraId="7B355799" w14:textId="77777777" w:rsidTr="008B1AAC">
        <w:trPr>
          <w:trHeight w:val="259"/>
          <w:jc w:val="center"/>
        </w:trPr>
        <w:tc>
          <w:tcPr>
            <w:tcW w:w="959" w:type="dxa"/>
            <w:noWrap/>
            <w:vAlign w:val="center"/>
            <w:hideMark/>
          </w:tcPr>
          <w:p w14:paraId="113F0B96" w14:textId="7F1AE731" w:rsidR="00281AA6" w:rsidRPr="00281AA6" w:rsidRDefault="00281AA6" w:rsidP="00281AA6">
            <w:pPr>
              <w:pStyle w:val="ExhibitText"/>
              <w:jc w:val="center"/>
              <w:rPr>
                <w:rFonts w:eastAsia="SimSun"/>
                <w:sz w:val="18"/>
                <w:szCs w:val="18"/>
              </w:rPr>
            </w:pPr>
            <w:r w:rsidRPr="00281AA6">
              <w:rPr>
                <w:rFonts w:eastAsia="SimSun"/>
                <w:sz w:val="18"/>
                <w:szCs w:val="18"/>
              </w:rPr>
              <w:t>2014</w:t>
            </w:r>
          </w:p>
        </w:tc>
        <w:tc>
          <w:tcPr>
            <w:tcW w:w="1216" w:type="dxa"/>
            <w:noWrap/>
            <w:tcMar>
              <w:left w:w="115" w:type="dxa"/>
              <w:right w:w="288" w:type="dxa"/>
            </w:tcMar>
            <w:vAlign w:val="center"/>
            <w:hideMark/>
          </w:tcPr>
          <w:p w14:paraId="3AAC3223" w14:textId="1B97A783" w:rsidR="00281AA6" w:rsidRPr="00281AA6" w:rsidRDefault="00281AA6" w:rsidP="00281AA6">
            <w:pPr>
              <w:pStyle w:val="ExhibitText"/>
              <w:jc w:val="right"/>
              <w:rPr>
                <w:rFonts w:eastAsia="SimSun"/>
                <w:sz w:val="18"/>
                <w:szCs w:val="18"/>
              </w:rPr>
            </w:pPr>
            <w:r w:rsidRPr="00281AA6">
              <w:rPr>
                <w:rFonts w:eastAsia="SimSun"/>
                <w:sz w:val="18"/>
                <w:szCs w:val="18"/>
              </w:rPr>
              <w:t>1.16</w:t>
            </w:r>
          </w:p>
        </w:tc>
        <w:tc>
          <w:tcPr>
            <w:tcW w:w="1216" w:type="dxa"/>
            <w:tcMar>
              <w:left w:w="115" w:type="dxa"/>
              <w:right w:w="288" w:type="dxa"/>
            </w:tcMar>
            <w:vAlign w:val="center"/>
          </w:tcPr>
          <w:p w14:paraId="27ED35EE"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7B0C4ED7" w14:textId="40B2F5C5" w:rsidR="00281AA6" w:rsidRPr="00281AA6" w:rsidRDefault="00281AA6" w:rsidP="00281AA6">
            <w:pPr>
              <w:pStyle w:val="ExhibitText"/>
              <w:jc w:val="right"/>
              <w:rPr>
                <w:rFonts w:eastAsia="SimSun"/>
                <w:sz w:val="18"/>
                <w:szCs w:val="18"/>
              </w:rPr>
            </w:pPr>
            <w:r w:rsidRPr="00281AA6">
              <w:rPr>
                <w:rFonts w:eastAsia="SimSun"/>
                <w:sz w:val="18"/>
                <w:szCs w:val="18"/>
              </w:rPr>
              <w:t>0.015</w:t>
            </w:r>
            <w:r w:rsidR="00C62FA7">
              <w:rPr>
                <w:rFonts w:eastAsia="SimSun"/>
                <w:sz w:val="18"/>
                <w:szCs w:val="18"/>
              </w:rPr>
              <w:t>0</w:t>
            </w:r>
          </w:p>
        </w:tc>
        <w:tc>
          <w:tcPr>
            <w:tcW w:w="1216" w:type="dxa"/>
            <w:tcMar>
              <w:left w:w="115" w:type="dxa"/>
              <w:right w:w="288" w:type="dxa"/>
            </w:tcMar>
            <w:vAlign w:val="center"/>
          </w:tcPr>
          <w:p w14:paraId="2433408D"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22397E0D" w14:textId="52D3D8DC" w:rsidR="00281AA6" w:rsidRPr="00281AA6" w:rsidRDefault="00281AA6" w:rsidP="00281AA6">
            <w:pPr>
              <w:pStyle w:val="ExhibitText"/>
              <w:jc w:val="right"/>
              <w:rPr>
                <w:rFonts w:eastAsia="SimSun"/>
                <w:sz w:val="18"/>
                <w:szCs w:val="18"/>
              </w:rPr>
            </w:pPr>
            <w:r w:rsidRPr="00281AA6">
              <w:rPr>
                <w:rFonts w:eastAsia="SimSun"/>
                <w:sz w:val="18"/>
                <w:szCs w:val="18"/>
              </w:rPr>
              <w:t>0.0175</w:t>
            </w:r>
          </w:p>
        </w:tc>
        <w:tc>
          <w:tcPr>
            <w:tcW w:w="1215" w:type="dxa"/>
            <w:noWrap/>
            <w:tcMar>
              <w:left w:w="115" w:type="dxa"/>
              <w:right w:w="288" w:type="dxa"/>
            </w:tcMar>
            <w:vAlign w:val="center"/>
            <w:hideMark/>
          </w:tcPr>
          <w:p w14:paraId="12A57A96" w14:textId="007AF9FF" w:rsidR="00281AA6" w:rsidRPr="00281AA6" w:rsidRDefault="00281AA6" w:rsidP="00281AA6">
            <w:pPr>
              <w:pStyle w:val="ExhibitText"/>
              <w:jc w:val="right"/>
              <w:rPr>
                <w:rFonts w:eastAsia="SimSun"/>
                <w:sz w:val="18"/>
                <w:szCs w:val="18"/>
              </w:rPr>
            </w:pPr>
          </w:p>
        </w:tc>
        <w:tc>
          <w:tcPr>
            <w:tcW w:w="1216" w:type="dxa"/>
            <w:noWrap/>
            <w:tcMar>
              <w:left w:w="115" w:type="dxa"/>
              <w:right w:w="288" w:type="dxa"/>
            </w:tcMar>
            <w:vAlign w:val="center"/>
          </w:tcPr>
          <w:p w14:paraId="715C995E" w14:textId="60FCCF56" w:rsidR="00281AA6" w:rsidRPr="00281AA6" w:rsidRDefault="00281AA6" w:rsidP="00281AA6">
            <w:pPr>
              <w:pStyle w:val="ExhibitText"/>
              <w:jc w:val="right"/>
              <w:rPr>
                <w:rFonts w:eastAsia="SimSun"/>
                <w:sz w:val="18"/>
                <w:szCs w:val="18"/>
              </w:rPr>
            </w:pPr>
            <w:r w:rsidRPr="00281AA6">
              <w:rPr>
                <w:rFonts w:eastAsia="SimSun"/>
                <w:sz w:val="18"/>
                <w:szCs w:val="18"/>
              </w:rPr>
              <w:t>0.0325</w:t>
            </w:r>
          </w:p>
        </w:tc>
      </w:tr>
      <w:tr w:rsidR="00281AA6" w:rsidRPr="00281AA6" w14:paraId="6DA7F26F" w14:textId="77777777" w:rsidTr="008B1AAC">
        <w:trPr>
          <w:trHeight w:val="259"/>
          <w:jc w:val="center"/>
        </w:trPr>
        <w:tc>
          <w:tcPr>
            <w:tcW w:w="959" w:type="dxa"/>
            <w:noWrap/>
            <w:vAlign w:val="center"/>
            <w:hideMark/>
          </w:tcPr>
          <w:p w14:paraId="486E900D" w14:textId="46244421" w:rsidR="00281AA6" w:rsidRPr="00281AA6" w:rsidRDefault="00281AA6" w:rsidP="00281AA6">
            <w:pPr>
              <w:pStyle w:val="ExhibitText"/>
              <w:jc w:val="center"/>
              <w:rPr>
                <w:rFonts w:eastAsia="SimSun"/>
                <w:sz w:val="18"/>
                <w:szCs w:val="18"/>
              </w:rPr>
            </w:pPr>
            <w:r w:rsidRPr="00281AA6">
              <w:rPr>
                <w:rFonts w:eastAsia="SimSun"/>
                <w:sz w:val="18"/>
                <w:szCs w:val="18"/>
              </w:rPr>
              <w:t>2015</w:t>
            </w:r>
          </w:p>
        </w:tc>
        <w:tc>
          <w:tcPr>
            <w:tcW w:w="1216" w:type="dxa"/>
            <w:noWrap/>
            <w:tcMar>
              <w:left w:w="115" w:type="dxa"/>
              <w:right w:w="288" w:type="dxa"/>
            </w:tcMar>
            <w:vAlign w:val="center"/>
            <w:hideMark/>
          </w:tcPr>
          <w:p w14:paraId="54992C25" w14:textId="77777777" w:rsidR="00281AA6" w:rsidRPr="00281AA6" w:rsidRDefault="00281AA6" w:rsidP="00281AA6">
            <w:pPr>
              <w:pStyle w:val="ExhibitText"/>
              <w:jc w:val="right"/>
              <w:rPr>
                <w:rFonts w:eastAsia="SimSun"/>
                <w:sz w:val="18"/>
                <w:szCs w:val="18"/>
              </w:rPr>
            </w:pPr>
            <w:r w:rsidRPr="00281AA6">
              <w:rPr>
                <w:rFonts w:eastAsia="SimSun"/>
                <w:sz w:val="18"/>
                <w:szCs w:val="18"/>
              </w:rPr>
              <w:t>1.58</w:t>
            </w:r>
          </w:p>
        </w:tc>
        <w:tc>
          <w:tcPr>
            <w:tcW w:w="1216" w:type="dxa"/>
            <w:tcMar>
              <w:left w:w="115" w:type="dxa"/>
              <w:right w:w="288" w:type="dxa"/>
            </w:tcMar>
            <w:vAlign w:val="center"/>
          </w:tcPr>
          <w:p w14:paraId="3006D6CE"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133F7716" w14:textId="2C8B6F78" w:rsidR="00281AA6" w:rsidRPr="00281AA6" w:rsidRDefault="00281AA6" w:rsidP="00281AA6">
            <w:pPr>
              <w:pStyle w:val="ExhibitText"/>
              <w:jc w:val="right"/>
              <w:rPr>
                <w:rFonts w:eastAsia="SimSun"/>
                <w:sz w:val="18"/>
                <w:szCs w:val="18"/>
              </w:rPr>
            </w:pPr>
            <w:r w:rsidRPr="00281AA6">
              <w:rPr>
                <w:rFonts w:eastAsia="SimSun"/>
                <w:sz w:val="18"/>
                <w:szCs w:val="18"/>
              </w:rPr>
              <w:t>0.015</w:t>
            </w:r>
            <w:r w:rsidR="00C62FA7">
              <w:rPr>
                <w:rFonts w:eastAsia="SimSun"/>
                <w:sz w:val="18"/>
                <w:szCs w:val="18"/>
              </w:rPr>
              <w:t>0</w:t>
            </w:r>
          </w:p>
        </w:tc>
        <w:tc>
          <w:tcPr>
            <w:tcW w:w="1216" w:type="dxa"/>
            <w:tcMar>
              <w:left w:w="115" w:type="dxa"/>
              <w:right w:w="288" w:type="dxa"/>
            </w:tcMar>
            <w:vAlign w:val="center"/>
          </w:tcPr>
          <w:p w14:paraId="7EA905B9"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04C85333" w14:textId="5D40166C" w:rsidR="00281AA6" w:rsidRPr="00281AA6" w:rsidRDefault="00281AA6" w:rsidP="00281AA6">
            <w:pPr>
              <w:pStyle w:val="ExhibitText"/>
              <w:jc w:val="right"/>
              <w:rPr>
                <w:rFonts w:eastAsia="SimSun"/>
                <w:sz w:val="18"/>
                <w:szCs w:val="18"/>
              </w:rPr>
            </w:pPr>
            <w:r w:rsidRPr="00281AA6">
              <w:rPr>
                <w:rFonts w:eastAsia="SimSun"/>
                <w:sz w:val="18"/>
                <w:szCs w:val="18"/>
              </w:rPr>
              <w:t>0.0175</w:t>
            </w:r>
          </w:p>
        </w:tc>
        <w:tc>
          <w:tcPr>
            <w:tcW w:w="1215" w:type="dxa"/>
            <w:noWrap/>
            <w:tcMar>
              <w:left w:w="115" w:type="dxa"/>
              <w:right w:w="288" w:type="dxa"/>
            </w:tcMar>
            <w:vAlign w:val="center"/>
            <w:hideMark/>
          </w:tcPr>
          <w:p w14:paraId="142C7497" w14:textId="08D55A3F" w:rsidR="00281AA6" w:rsidRPr="00281AA6" w:rsidRDefault="00281AA6" w:rsidP="00281AA6">
            <w:pPr>
              <w:pStyle w:val="ExhibitText"/>
              <w:jc w:val="right"/>
              <w:rPr>
                <w:rFonts w:eastAsia="SimSun"/>
                <w:sz w:val="18"/>
                <w:szCs w:val="18"/>
              </w:rPr>
            </w:pPr>
          </w:p>
        </w:tc>
        <w:tc>
          <w:tcPr>
            <w:tcW w:w="1216" w:type="dxa"/>
            <w:noWrap/>
            <w:tcMar>
              <w:left w:w="115" w:type="dxa"/>
              <w:right w:w="288" w:type="dxa"/>
            </w:tcMar>
            <w:vAlign w:val="center"/>
          </w:tcPr>
          <w:p w14:paraId="08818D04" w14:textId="3145ECBC" w:rsidR="00281AA6" w:rsidRPr="00281AA6" w:rsidRDefault="00281AA6" w:rsidP="00281AA6">
            <w:pPr>
              <w:pStyle w:val="ExhibitText"/>
              <w:jc w:val="right"/>
              <w:rPr>
                <w:rFonts w:eastAsia="SimSun"/>
                <w:sz w:val="18"/>
                <w:szCs w:val="18"/>
              </w:rPr>
            </w:pPr>
            <w:r w:rsidRPr="00281AA6">
              <w:rPr>
                <w:rFonts w:eastAsia="SimSun"/>
                <w:sz w:val="18"/>
                <w:szCs w:val="18"/>
              </w:rPr>
              <w:t>0.0325</w:t>
            </w:r>
          </w:p>
        </w:tc>
      </w:tr>
      <w:tr w:rsidR="00281AA6" w:rsidRPr="00281AA6" w14:paraId="76F1D369" w14:textId="77777777" w:rsidTr="008B1AAC">
        <w:trPr>
          <w:trHeight w:val="259"/>
          <w:jc w:val="center"/>
        </w:trPr>
        <w:tc>
          <w:tcPr>
            <w:tcW w:w="959" w:type="dxa"/>
            <w:noWrap/>
            <w:vAlign w:val="center"/>
          </w:tcPr>
          <w:p w14:paraId="71D8374A" w14:textId="78566D3E" w:rsidR="00281AA6" w:rsidRPr="00281AA6" w:rsidRDefault="00281AA6" w:rsidP="00281AA6">
            <w:pPr>
              <w:pStyle w:val="ExhibitText"/>
              <w:jc w:val="center"/>
              <w:rPr>
                <w:rFonts w:eastAsia="SimSun"/>
                <w:sz w:val="18"/>
                <w:szCs w:val="18"/>
              </w:rPr>
            </w:pPr>
            <w:r w:rsidRPr="00281AA6">
              <w:rPr>
                <w:rFonts w:eastAsia="SimSun"/>
                <w:sz w:val="18"/>
                <w:szCs w:val="18"/>
              </w:rPr>
              <w:t>2016</w:t>
            </w:r>
          </w:p>
        </w:tc>
        <w:tc>
          <w:tcPr>
            <w:tcW w:w="1216" w:type="dxa"/>
            <w:noWrap/>
            <w:tcMar>
              <w:left w:w="115" w:type="dxa"/>
              <w:right w:w="288" w:type="dxa"/>
            </w:tcMar>
            <w:vAlign w:val="center"/>
          </w:tcPr>
          <w:p w14:paraId="0ECE01D4" w14:textId="14544BEB" w:rsidR="00281AA6" w:rsidRPr="00281AA6" w:rsidRDefault="00281AA6" w:rsidP="00281AA6">
            <w:pPr>
              <w:pStyle w:val="ExhibitText"/>
              <w:jc w:val="right"/>
              <w:rPr>
                <w:rFonts w:eastAsia="SimSun"/>
                <w:sz w:val="18"/>
                <w:szCs w:val="18"/>
              </w:rPr>
            </w:pPr>
            <w:r w:rsidRPr="00281AA6">
              <w:rPr>
                <w:rFonts w:eastAsia="SimSun"/>
                <w:sz w:val="18"/>
                <w:szCs w:val="18"/>
              </w:rPr>
              <w:t>1.50</w:t>
            </w:r>
          </w:p>
        </w:tc>
        <w:tc>
          <w:tcPr>
            <w:tcW w:w="1216" w:type="dxa"/>
            <w:tcMar>
              <w:left w:w="115" w:type="dxa"/>
              <w:right w:w="288" w:type="dxa"/>
            </w:tcMar>
            <w:vAlign w:val="center"/>
          </w:tcPr>
          <w:p w14:paraId="62C01C00"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1028E3E1" w14:textId="7C400D75" w:rsidR="00281AA6" w:rsidRPr="00281AA6" w:rsidRDefault="00281AA6" w:rsidP="00281AA6">
            <w:pPr>
              <w:pStyle w:val="ExhibitText"/>
              <w:jc w:val="right"/>
              <w:rPr>
                <w:rFonts w:eastAsia="SimSun"/>
                <w:sz w:val="18"/>
                <w:szCs w:val="18"/>
              </w:rPr>
            </w:pPr>
            <w:r w:rsidRPr="00281AA6">
              <w:rPr>
                <w:rFonts w:eastAsia="SimSun"/>
                <w:sz w:val="18"/>
                <w:szCs w:val="18"/>
              </w:rPr>
              <w:t>0.015</w:t>
            </w:r>
            <w:r w:rsidR="00C62FA7">
              <w:rPr>
                <w:rFonts w:eastAsia="SimSun"/>
                <w:sz w:val="18"/>
                <w:szCs w:val="18"/>
              </w:rPr>
              <w:t>0</w:t>
            </w:r>
          </w:p>
        </w:tc>
        <w:tc>
          <w:tcPr>
            <w:tcW w:w="1216" w:type="dxa"/>
            <w:tcMar>
              <w:left w:w="115" w:type="dxa"/>
              <w:right w:w="288" w:type="dxa"/>
            </w:tcMar>
            <w:vAlign w:val="center"/>
          </w:tcPr>
          <w:p w14:paraId="77FDAFC2" w14:textId="77777777" w:rsidR="00281AA6" w:rsidRPr="00281AA6" w:rsidRDefault="00281AA6" w:rsidP="00281AA6">
            <w:pPr>
              <w:pStyle w:val="ExhibitText"/>
              <w:jc w:val="right"/>
              <w:rPr>
                <w:rFonts w:eastAsia="SimSun"/>
                <w:sz w:val="18"/>
                <w:szCs w:val="18"/>
              </w:rPr>
            </w:pPr>
          </w:p>
        </w:tc>
        <w:tc>
          <w:tcPr>
            <w:tcW w:w="1215" w:type="dxa"/>
            <w:noWrap/>
            <w:tcMar>
              <w:left w:w="115" w:type="dxa"/>
              <w:right w:w="288" w:type="dxa"/>
            </w:tcMar>
            <w:vAlign w:val="center"/>
          </w:tcPr>
          <w:p w14:paraId="0BBAFB9E" w14:textId="6180C992" w:rsidR="00281AA6" w:rsidRPr="00281AA6" w:rsidRDefault="00281AA6" w:rsidP="00281AA6">
            <w:pPr>
              <w:pStyle w:val="ExhibitText"/>
              <w:jc w:val="right"/>
              <w:rPr>
                <w:rFonts w:eastAsia="SimSun"/>
                <w:sz w:val="18"/>
                <w:szCs w:val="18"/>
              </w:rPr>
            </w:pPr>
            <w:r w:rsidRPr="00281AA6">
              <w:rPr>
                <w:rFonts w:eastAsia="SimSun"/>
                <w:sz w:val="18"/>
                <w:szCs w:val="18"/>
              </w:rPr>
              <w:t>0.025</w:t>
            </w:r>
            <w:r w:rsidR="00C62FA7">
              <w:rPr>
                <w:rFonts w:eastAsia="SimSun"/>
                <w:sz w:val="18"/>
                <w:szCs w:val="18"/>
              </w:rPr>
              <w:t>0</w:t>
            </w:r>
          </w:p>
        </w:tc>
        <w:tc>
          <w:tcPr>
            <w:tcW w:w="1215" w:type="dxa"/>
            <w:noWrap/>
            <w:tcMar>
              <w:left w:w="115" w:type="dxa"/>
              <w:right w:w="288" w:type="dxa"/>
            </w:tcMar>
            <w:vAlign w:val="center"/>
          </w:tcPr>
          <w:p w14:paraId="1F539DD0" w14:textId="7BF3D59C" w:rsidR="00281AA6" w:rsidRPr="00281AA6" w:rsidRDefault="00281AA6" w:rsidP="00281AA6">
            <w:pPr>
              <w:pStyle w:val="ExhibitText"/>
              <w:jc w:val="right"/>
              <w:rPr>
                <w:rFonts w:eastAsia="SimSun"/>
                <w:sz w:val="18"/>
                <w:szCs w:val="18"/>
              </w:rPr>
            </w:pPr>
          </w:p>
        </w:tc>
        <w:tc>
          <w:tcPr>
            <w:tcW w:w="1216" w:type="dxa"/>
            <w:noWrap/>
            <w:tcMar>
              <w:left w:w="115" w:type="dxa"/>
              <w:right w:w="288" w:type="dxa"/>
            </w:tcMar>
            <w:vAlign w:val="center"/>
          </w:tcPr>
          <w:p w14:paraId="65D9FDFE" w14:textId="4630186A" w:rsidR="00281AA6" w:rsidRPr="00281AA6" w:rsidRDefault="00281AA6" w:rsidP="00281AA6">
            <w:pPr>
              <w:pStyle w:val="ExhibitText"/>
              <w:jc w:val="right"/>
              <w:rPr>
                <w:rFonts w:eastAsia="SimSun"/>
                <w:sz w:val="18"/>
                <w:szCs w:val="18"/>
              </w:rPr>
            </w:pPr>
            <w:r w:rsidRPr="00281AA6">
              <w:rPr>
                <w:rFonts w:eastAsia="SimSun"/>
                <w:sz w:val="18"/>
                <w:szCs w:val="18"/>
              </w:rPr>
              <w:t>0.04</w:t>
            </w:r>
            <w:r w:rsidR="00C62FA7">
              <w:rPr>
                <w:rFonts w:eastAsia="SimSun"/>
                <w:sz w:val="18"/>
                <w:szCs w:val="18"/>
              </w:rPr>
              <w:t>00</w:t>
            </w:r>
          </w:p>
        </w:tc>
      </w:tr>
    </w:tbl>
    <w:p w14:paraId="190088FC" w14:textId="4493E7CA" w:rsidR="00C84DB6" w:rsidRDefault="00C84DB6" w:rsidP="00C84DB6">
      <w:pPr>
        <w:pStyle w:val="ExhibitText"/>
        <w:rPr>
          <w:rFonts w:eastAsia="SimSun"/>
          <w:lang w:eastAsia="zh-CN"/>
        </w:rPr>
      </w:pPr>
    </w:p>
    <w:p w14:paraId="79300BB8" w14:textId="31F78C23" w:rsidR="00C84DB6" w:rsidRDefault="001B777D" w:rsidP="00B322B1">
      <w:pPr>
        <w:pStyle w:val="Casehead2"/>
        <w:spacing w:after="120"/>
        <w:rPr>
          <w:rFonts w:eastAsia="SimSun"/>
          <w:lang w:eastAsia="zh-CN"/>
        </w:rPr>
      </w:pPr>
      <w:r>
        <w:rPr>
          <w:rFonts w:eastAsia="SimSun"/>
          <w:lang w:eastAsia="zh-CN"/>
        </w:rPr>
        <w:t>Singapore Telecommunications Limited</w:t>
      </w:r>
      <w:r w:rsidR="00C84DB6">
        <w:rPr>
          <w:rFonts w:eastAsia="SimSun"/>
          <w:lang w:eastAsia="zh-CN"/>
        </w:rPr>
        <w:t xml:space="preserve"> </w:t>
      </w:r>
      <w:r w:rsidR="00B322B1">
        <w:rPr>
          <w:rFonts w:eastAsia="SimSun"/>
          <w:lang w:eastAsia="zh-CN"/>
        </w:rPr>
        <w:t>(year ending March 31</w:t>
      </w:r>
      <w:r w:rsidR="00C84DB6">
        <w:rPr>
          <w:rFonts w:eastAsia="SimSun"/>
          <w:lang w:eastAsia="zh-CN"/>
        </w:rPr>
        <w:t>)</w:t>
      </w:r>
    </w:p>
    <w:tbl>
      <w:tblPr>
        <w:tblStyle w:val="TableGrid"/>
        <w:tblW w:w="494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3"/>
        <w:gridCol w:w="1174"/>
        <w:gridCol w:w="1174"/>
        <w:gridCol w:w="1175"/>
        <w:gridCol w:w="1174"/>
        <w:gridCol w:w="1175"/>
        <w:gridCol w:w="1175"/>
        <w:gridCol w:w="1175"/>
      </w:tblGrid>
      <w:tr w:rsidR="00C84DB6" w:rsidRPr="00C84DB6" w14:paraId="4D4C618A" w14:textId="77777777" w:rsidTr="008B1AAC">
        <w:trPr>
          <w:trHeight w:val="259"/>
          <w:jc w:val="center"/>
        </w:trPr>
        <w:tc>
          <w:tcPr>
            <w:tcW w:w="1062" w:type="dxa"/>
            <w:tcBorders>
              <w:top w:val="single" w:sz="4" w:space="0" w:color="auto"/>
              <w:bottom w:val="single" w:sz="12" w:space="0" w:color="auto"/>
            </w:tcBorders>
            <w:noWrap/>
            <w:vAlign w:val="center"/>
            <w:hideMark/>
          </w:tcPr>
          <w:p w14:paraId="1657BD46" w14:textId="77777777" w:rsidR="00C84DB6" w:rsidRPr="00C84DB6" w:rsidRDefault="00C84DB6" w:rsidP="00C84DB6">
            <w:pPr>
              <w:pStyle w:val="ExhibitText"/>
              <w:jc w:val="center"/>
              <w:rPr>
                <w:rFonts w:eastAsia="SimSun"/>
                <w:b/>
                <w:sz w:val="18"/>
                <w:szCs w:val="18"/>
              </w:rPr>
            </w:pPr>
            <w:r w:rsidRPr="00C84DB6">
              <w:rPr>
                <w:rFonts w:eastAsia="SimSun"/>
                <w:b/>
                <w:sz w:val="18"/>
                <w:szCs w:val="18"/>
              </w:rPr>
              <w:t>Year</w:t>
            </w:r>
          </w:p>
        </w:tc>
        <w:tc>
          <w:tcPr>
            <w:tcW w:w="1201" w:type="dxa"/>
            <w:tcBorders>
              <w:top w:val="single" w:sz="4" w:space="0" w:color="auto"/>
              <w:bottom w:val="single" w:sz="12" w:space="0" w:color="auto"/>
            </w:tcBorders>
            <w:noWrap/>
            <w:vAlign w:val="center"/>
            <w:hideMark/>
          </w:tcPr>
          <w:p w14:paraId="3F04DDBA" w14:textId="77777777" w:rsidR="00C84DB6" w:rsidRPr="00C84DB6" w:rsidRDefault="00C84DB6" w:rsidP="00C84DB6">
            <w:pPr>
              <w:pStyle w:val="ExhibitText"/>
              <w:jc w:val="center"/>
              <w:rPr>
                <w:rFonts w:eastAsia="SimSun"/>
                <w:b/>
                <w:sz w:val="18"/>
                <w:szCs w:val="18"/>
              </w:rPr>
            </w:pPr>
            <w:r w:rsidRPr="00C84DB6">
              <w:rPr>
                <w:rFonts w:eastAsia="SimSun"/>
                <w:b/>
                <w:sz w:val="18"/>
                <w:szCs w:val="18"/>
              </w:rPr>
              <w:t>Price</w:t>
            </w:r>
          </w:p>
        </w:tc>
        <w:tc>
          <w:tcPr>
            <w:tcW w:w="1201" w:type="dxa"/>
            <w:tcBorders>
              <w:top w:val="single" w:sz="4" w:space="0" w:color="auto"/>
              <w:bottom w:val="single" w:sz="12" w:space="0" w:color="auto"/>
            </w:tcBorders>
            <w:vAlign w:val="center"/>
          </w:tcPr>
          <w:p w14:paraId="6030A571" w14:textId="77777777" w:rsidR="00C84DB6" w:rsidRPr="00C84DB6" w:rsidRDefault="00C84DB6" w:rsidP="00C84DB6">
            <w:pPr>
              <w:pStyle w:val="ExhibitText"/>
              <w:jc w:val="center"/>
              <w:rPr>
                <w:rFonts w:eastAsia="SimSun"/>
                <w:b/>
                <w:sz w:val="18"/>
                <w:szCs w:val="18"/>
              </w:rPr>
            </w:pPr>
          </w:p>
        </w:tc>
        <w:tc>
          <w:tcPr>
            <w:tcW w:w="1201" w:type="dxa"/>
            <w:tcBorders>
              <w:top w:val="single" w:sz="4" w:space="0" w:color="auto"/>
              <w:bottom w:val="single" w:sz="12" w:space="0" w:color="auto"/>
            </w:tcBorders>
            <w:noWrap/>
            <w:vAlign w:val="center"/>
            <w:hideMark/>
          </w:tcPr>
          <w:p w14:paraId="38BB045C" w14:textId="6982F652" w:rsidR="00C84DB6" w:rsidRPr="00C84DB6" w:rsidRDefault="00C84DB6" w:rsidP="00C84DB6">
            <w:pPr>
              <w:pStyle w:val="ExhibitText"/>
              <w:jc w:val="center"/>
              <w:rPr>
                <w:rFonts w:eastAsia="SimSun"/>
                <w:b/>
                <w:sz w:val="18"/>
                <w:szCs w:val="18"/>
              </w:rPr>
            </w:pPr>
            <w:r w:rsidRPr="00C84DB6">
              <w:rPr>
                <w:rFonts w:eastAsia="SimSun"/>
                <w:b/>
                <w:sz w:val="18"/>
                <w:szCs w:val="18"/>
              </w:rPr>
              <w:t>Interim</w:t>
            </w:r>
          </w:p>
        </w:tc>
        <w:tc>
          <w:tcPr>
            <w:tcW w:w="1200" w:type="dxa"/>
            <w:tcBorders>
              <w:top w:val="single" w:sz="4" w:space="0" w:color="auto"/>
              <w:bottom w:val="single" w:sz="12" w:space="0" w:color="auto"/>
            </w:tcBorders>
            <w:vAlign w:val="center"/>
          </w:tcPr>
          <w:p w14:paraId="65FE2371" w14:textId="77777777" w:rsidR="00C84DB6" w:rsidRPr="00C84DB6" w:rsidRDefault="00C84DB6" w:rsidP="00C84DB6">
            <w:pPr>
              <w:pStyle w:val="ExhibitText"/>
              <w:jc w:val="center"/>
              <w:rPr>
                <w:rFonts w:eastAsia="SimSun"/>
                <w:b/>
                <w:sz w:val="18"/>
                <w:szCs w:val="18"/>
              </w:rPr>
            </w:pPr>
          </w:p>
        </w:tc>
        <w:tc>
          <w:tcPr>
            <w:tcW w:w="1201" w:type="dxa"/>
            <w:tcBorders>
              <w:top w:val="single" w:sz="4" w:space="0" w:color="auto"/>
              <w:bottom w:val="single" w:sz="12" w:space="0" w:color="auto"/>
            </w:tcBorders>
            <w:noWrap/>
            <w:vAlign w:val="center"/>
            <w:hideMark/>
          </w:tcPr>
          <w:p w14:paraId="79A30473" w14:textId="4B0A5225" w:rsidR="00C84DB6" w:rsidRPr="00C84DB6" w:rsidRDefault="00C84DB6" w:rsidP="00C84DB6">
            <w:pPr>
              <w:pStyle w:val="ExhibitText"/>
              <w:jc w:val="center"/>
              <w:rPr>
                <w:rFonts w:eastAsia="SimSun"/>
                <w:b/>
                <w:sz w:val="18"/>
                <w:szCs w:val="18"/>
              </w:rPr>
            </w:pPr>
            <w:r w:rsidRPr="00C84DB6">
              <w:rPr>
                <w:rFonts w:eastAsia="SimSun"/>
                <w:b/>
                <w:sz w:val="18"/>
                <w:szCs w:val="18"/>
              </w:rPr>
              <w:t>Final</w:t>
            </w:r>
          </w:p>
        </w:tc>
        <w:tc>
          <w:tcPr>
            <w:tcW w:w="1201" w:type="dxa"/>
            <w:tcBorders>
              <w:top w:val="single" w:sz="4" w:space="0" w:color="auto"/>
              <w:bottom w:val="single" w:sz="12" w:space="0" w:color="auto"/>
            </w:tcBorders>
            <w:noWrap/>
            <w:vAlign w:val="center"/>
            <w:hideMark/>
          </w:tcPr>
          <w:p w14:paraId="7DEEB778" w14:textId="77777777" w:rsidR="00C84DB6" w:rsidRPr="00C84DB6" w:rsidRDefault="00C84DB6" w:rsidP="00C84DB6">
            <w:pPr>
              <w:pStyle w:val="ExhibitText"/>
              <w:jc w:val="center"/>
              <w:rPr>
                <w:rFonts w:eastAsia="SimSun"/>
                <w:b/>
                <w:sz w:val="18"/>
                <w:szCs w:val="18"/>
              </w:rPr>
            </w:pPr>
            <w:r w:rsidRPr="00C84DB6">
              <w:rPr>
                <w:rFonts w:eastAsia="SimSun"/>
                <w:b/>
                <w:sz w:val="18"/>
                <w:szCs w:val="18"/>
              </w:rPr>
              <w:t>Special</w:t>
            </w:r>
          </w:p>
        </w:tc>
        <w:tc>
          <w:tcPr>
            <w:tcW w:w="1201" w:type="dxa"/>
            <w:tcBorders>
              <w:top w:val="single" w:sz="4" w:space="0" w:color="auto"/>
              <w:bottom w:val="single" w:sz="12" w:space="0" w:color="auto"/>
            </w:tcBorders>
            <w:noWrap/>
            <w:vAlign w:val="center"/>
            <w:hideMark/>
          </w:tcPr>
          <w:p w14:paraId="4A0174FF" w14:textId="77777777" w:rsidR="00C84DB6" w:rsidRPr="00C84DB6" w:rsidRDefault="00C84DB6" w:rsidP="00C84DB6">
            <w:pPr>
              <w:pStyle w:val="ExhibitText"/>
              <w:jc w:val="center"/>
              <w:rPr>
                <w:rFonts w:eastAsia="SimSun"/>
                <w:b/>
                <w:sz w:val="18"/>
                <w:szCs w:val="18"/>
              </w:rPr>
            </w:pPr>
            <w:r w:rsidRPr="00C84DB6">
              <w:rPr>
                <w:rFonts w:eastAsia="SimSun"/>
                <w:b/>
                <w:sz w:val="18"/>
                <w:szCs w:val="18"/>
              </w:rPr>
              <w:t>Total</w:t>
            </w:r>
          </w:p>
        </w:tc>
      </w:tr>
      <w:tr w:rsidR="00C84DB6" w:rsidRPr="00C84DB6" w14:paraId="7C54B3B8" w14:textId="77777777" w:rsidTr="008B1AAC">
        <w:trPr>
          <w:trHeight w:val="259"/>
          <w:jc w:val="center"/>
        </w:trPr>
        <w:tc>
          <w:tcPr>
            <w:tcW w:w="1062" w:type="dxa"/>
            <w:tcBorders>
              <w:top w:val="single" w:sz="12" w:space="0" w:color="auto"/>
            </w:tcBorders>
            <w:noWrap/>
            <w:vAlign w:val="center"/>
            <w:hideMark/>
          </w:tcPr>
          <w:p w14:paraId="43377CE4" w14:textId="2A1B5042" w:rsidR="00C84DB6" w:rsidRPr="00C84DB6" w:rsidRDefault="00C84DB6" w:rsidP="00C84DB6">
            <w:pPr>
              <w:pStyle w:val="ExhibitText"/>
              <w:jc w:val="center"/>
              <w:rPr>
                <w:rFonts w:eastAsia="SimSun"/>
                <w:sz w:val="18"/>
                <w:szCs w:val="18"/>
              </w:rPr>
            </w:pPr>
            <w:r w:rsidRPr="00C84DB6">
              <w:rPr>
                <w:rFonts w:eastAsia="SimSun"/>
                <w:sz w:val="18"/>
                <w:szCs w:val="18"/>
              </w:rPr>
              <w:t>2007</w:t>
            </w:r>
          </w:p>
        </w:tc>
        <w:tc>
          <w:tcPr>
            <w:tcW w:w="1201" w:type="dxa"/>
            <w:tcBorders>
              <w:top w:val="single" w:sz="12" w:space="0" w:color="auto"/>
            </w:tcBorders>
            <w:noWrap/>
            <w:tcMar>
              <w:left w:w="115" w:type="dxa"/>
              <w:right w:w="288" w:type="dxa"/>
            </w:tcMar>
            <w:vAlign w:val="center"/>
            <w:hideMark/>
          </w:tcPr>
          <w:p w14:paraId="42BEFE9C" w14:textId="24049670" w:rsidR="00C84DB6" w:rsidRPr="00C84DB6" w:rsidRDefault="00C84DB6" w:rsidP="00C84DB6">
            <w:pPr>
              <w:pStyle w:val="ExhibitText"/>
              <w:jc w:val="right"/>
              <w:rPr>
                <w:rFonts w:eastAsia="SimSun"/>
                <w:sz w:val="18"/>
                <w:szCs w:val="18"/>
              </w:rPr>
            </w:pPr>
            <w:r w:rsidRPr="00C84DB6">
              <w:rPr>
                <w:rFonts w:eastAsia="SimSun"/>
                <w:sz w:val="18"/>
                <w:szCs w:val="18"/>
              </w:rPr>
              <w:t>3.36</w:t>
            </w:r>
          </w:p>
        </w:tc>
        <w:tc>
          <w:tcPr>
            <w:tcW w:w="1201" w:type="dxa"/>
            <w:tcBorders>
              <w:top w:val="single" w:sz="12" w:space="0" w:color="auto"/>
            </w:tcBorders>
            <w:tcMar>
              <w:left w:w="115" w:type="dxa"/>
              <w:right w:w="288" w:type="dxa"/>
            </w:tcMar>
            <w:vAlign w:val="center"/>
          </w:tcPr>
          <w:p w14:paraId="6F36E905" w14:textId="77777777" w:rsidR="00C84DB6" w:rsidRPr="00C84DB6" w:rsidRDefault="00C84DB6" w:rsidP="00C84DB6">
            <w:pPr>
              <w:pStyle w:val="ExhibitText"/>
              <w:jc w:val="right"/>
              <w:rPr>
                <w:rFonts w:eastAsia="SimSun"/>
                <w:sz w:val="18"/>
                <w:szCs w:val="18"/>
              </w:rPr>
            </w:pPr>
          </w:p>
        </w:tc>
        <w:tc>
          <w:tcPr>
            <w:tcW w:w="1201" w:type="dxa"/>
            <w:tcBorders>
              <w:top w:val="single" w:sz="12" w:space="0" w:color="auto"/>
            </w:tcBorders>
            <w:noWrap/>
            <w:tcMar>
              <w:left w:w="115" w:type="dxa"/>
              <w:right w:w="288" w:type="dxa"/>
            </w:tcMar>
            <w:vAlign w:val="center"/>
            <w:hideMark/>
          </w:tcPr>
          <w:p w14:paraId="343A80F6" w14:textId="4547D158" w:rsidR="00C84DB6" w:rsidRPr="00C84DB6" w:rsidRDefault="00C84DB6" w:rsidP="00C84DB6">
            <w:pPr>
              <w:pStyle w:val="ExhibitText"/>
              <w:jc w:val="right"/>
              <w:rPr>
                <w:rFonts w:eastAsia="SimSun"/>
                <w:sz w:val="18"/>
                <w:szCs w:val="18"/>
              </w:rPr>
            </w:pPr>
            <w:r w:rsidRPr="00C84DB6">
              <w:rPr>
                <w:rFonts w:eastAsia="SimSun"/>
                <w:sz w:val="18"/>
                <w:szCs w:val="18"/>
              </w:rPr>
              <w:t>0.045</w:t>
            </w:r>
          </w:p>
        </w:tc>
        <w:tc>
          <w:tcPr>
            <w:tcW w:w="1200" w:type="dxa"/>
            <w:tcBorders>
              <w:top w:val="single" w:sz="12" w:space="0" w:color="auto"/>
            </w:tcBorders>
            <w:tcMar>
              <w:left w:w="115" w:type="dxa"/>
              <w:right w:w="288" w:type="dxa"/>
            </w:tcMar>
            <w:vAlign w:val="center"/>
          </w:tcPr>
          <w:p w14:paraId="329279AE" w14:textId="77777777" w:rsidR="00C84DB6" w:rsidRPr="00C84DB6" w:rsidRDefault="00C84DB6" w:rsidP="00C84DB6">
            <w:pPr>
              <w:pStyle w:val="ExhibitText"/>
              <w:jc w:val="right"/>
              <w:rPr>
                <w:rFonts w:eastAsia="SimSun"/>
                <w:sz w:val="18"/>
                <w:szCs w:val="18"/>
              </w:rPr>
            </w:pPr>
          </w:p>
        </w:tc>
        <w:tc>
          <w:tcPr>
            <w:tcW w:w="1201" w:type="dxa"/>
            <w:tcBorders>
              <w:top w:val="single" w:sz="12" w:space="0" w:color="auto"/>
            </w:tcBorders>
            <w:noWrap/>
            <w:tcMar>
              <w:left w:w="115" w:type="dxa"/>
              <w:right w:w="288" w:type="dxa"/>
            </w:tcMar>
            <w:vAlign w:val="center"/>
            <w:hideMark/>
          </w:tcPr>
          <w:p w14:paraId="4372327C" w14:textId="61A28343" w:rsidR="00C84DB6" w:rsidRPr="00C84DB6" w:rsidRDefault="00C84DB6" w:rsidP="00C84DB6">
            <w:pPr>
              <w:pStyle w:val="ExhibitText"/>
              <w:jc w:val="right"/>
              <w:rPr>
                <w:rFonts w:eastAsia="SimSun"/>
                <w:sz w:val="18"/>
                <w:szCs w:val="18"/>
              </w:rPr>
            </w:pPr>
            <w:r w:rsidRPr="00C84DB6">
              <w:rPr>
                <w:rFonts w:eastAsia="SimSun"/>
                <w:sz w:val="18"/>
                <w:szCs w:val="18"/>
              </w:rPr>
              <w:t>0.065</w:t>
            </w:r>
          </w:p>
        </w:tc>
        <w:tc>
          <w:tcPr>
            <w:tcW w:w="1201" w:type="dxa"/>
            <w:tcBorders>
              <w:top w:val="single" w:sz="12" w:space="0" w:color="auto"/>
            </w:tcBorders>
            <w:noWrap/>
            <w:tcMar>
              <w:left w:w="115" w:type="dxa"/>
              <w:right w:w="288" w:type="dxa"/>
            </w:tcMar>
            <w:vAlign w:val="center"/>
            <w:hideMark/>
          </w:tcPr>
          <w:p w14:paraId="0F07A614" w14:textId="0444B81D" w:rsidR="00C84DB6" w:rsidRPr="00C84DB6" w:rsidRDefault="00C84DB6" w:rsidP="00C84DB6">
            <w:pPr>
              <w:pStyle w:val="ExhibitText"/>
              <w:jc w:val="right"/>
              <w:rPr>
                <w:rFonts w:eastAsia="SimSun"/>
                <w:sz w:val="18"/>
                <w:szCs w:val="18"/>
              </w:rPr>
            </w:pPr>
            <w:r w:rsidRPr="00C84DB6">
              <w:rPr>
                <w:rFonts w:eastAsia="SimSun"/>
                <w:sz w:val="18"/>
                <w:szCs w:val="18"/>
              </w:rPr>
              <w:t>0.095</w:t>
            </w:r>
          </w:p>
        </w:tc>
        <w:tc>
          <w:tcPr>
            <w:tcW w:w="1201" w:type="dxa"/>
            <w:tcBorders>
              <w:top w:val="single" w:sz="12" w:space="0" w:color="auto"/>
            </w:tcBorders>
            <w:noWrap/>
            <w:tcMar>
              <w:left w:w="115" w:type="dxa"/>
              <w:right w:w="288" w:type="dxa"/>
            </w:tcMar>
            <w:vAlign w:val="center"/>
            <w:hideMark/>
          </w:tcPr>
          <w:p w14:paraId="337AF760" w14:textId="27FB743B" w:rsidR="00C84DB6" w:rsidRPr="00C84DB6" w:rsidRDefault="00C84DB6" w:rsidP="00C84DB6">
            <w:pPr>
              <w:pStyle w:val="ExhibitText"/>
              <w:jc w:val="right"/>
              <w:rPr>
                <w:rFonts w:eastAsia="SimSun"/>
                <w:sz w:val="18"/>
                <w:szCs w:val="18"/>
              </w:rPr>
            </w:pPr>
            <w:r w:rsidRPr="00C84DB6">
              <w:rPr>
                <w:rFonts w:eastAsia="SimSun"/>
                <w:sz w:val="18"/>
                <w:szCs w:val="18"/>
              </w:rPr>
              <w:t>0.205</w:t>
            </w:r>
          </w:p>
        </w:tc>
      </w:tr>
      <w:tr w:rsidR="00C84DB6" w:rsidRPr="00C84DB6" w14:paraId="559D3D4D" w14:textId="77777777" w:rsidTr="008B1AAC">
        <w:trPr>
          <w:trHeight w:val="259"/>
          <w:jc w:val="center"/>
        </w:trPr>
        <w:tc>
          <w:tcPr>
            <w:tcW w:w="1062" w:type="dxa"/>
            <w:noWrap/>
            <w:vAlign w:val="center"/>
            <w:hideMark/>
          </w:tcPr>
          <w:p w14:paraId="587F85F7" w14:textId="74E2B948" w:rsidR="00C84DB6" w:rsidRPr="00C84DB6" w:rsidRDefault="00C84DB6" w:rsidP="00C84DB6">
            <w:pPr>
              <w:pStyle w:val="ExhibitText"/>
              <w:jc w:val="center"/>
              <w:rPr>
                <w:rFonts w:eastAsia="SimSun"/>
                <w:sz w:val="18"/>
                <w:szCs w:val="18"/>
              </w:rPr>
            </w:pPr>
            <w:r w:rsidRPr="00C84DB6">
              <w:rPr>
                <w:rFonts w:eastAsia="SimSun"/>
                <w:sz w:val="18"/>
                <w:szCs w:val="18"/>
              </w:rPr>
              <w:t>2008</w:t>
            </w:r>
          </w:p>
        </w:tc>
        <w:tc>
          <w:tcPr>
            <w:tcW w:w="1201" w:type="dxa"/>
            <w:noWrap/>
            <w:tcMar>
              <w:left w:w="115" w:type="dxa"/>
              <w:right w:w="288" w:type="dxa"/>
            </w:tcMar>
            <w:vAlign w:val="center"/>
            <w:hideMark/>
          </w:tcPr>
          <w:p w14:paraId="2F4332C4" w14:textId="1ABA8175" w:rsidR="00C84DB6" w:rsidRPr="00C84DB6" w:rsidRDefault="00C84DB6" w:rsidP="00C84DB6">
            <w:pPr>
              <w:pStyle w:val="ExhibitText"/>
              <w:jc w:val="right"/>
              <w:rPr>
                <w:rFonts w:eastAsia="SimSun"/>
                <w:sz w:val="18"/>
                <w:szCs w:val="18"/>
              </w:rPr>
            </w:pPr>
            <w:r w:rsidRPr="00C84DB6">
              <w:rPr>
                <w:rFonts w:eastAsia="SimSun"/>
                <w:sz w:val="18"/>
                <w:szCs w:val="18"/>
              </w:rPr>
              <w:t>3.98</w:t>
            </w:r>
          </w:p>
        </w:tc>
        <w:tc>
          <w:tcPr>
            <w:tcW w:w="1201" w:type="dxa"/>
            <w:tcMar>
              <w:left w:w="115" w:type="dxa"/>
              <w:right w:w="288" w:type="dxa"/>
            </w:tcMar>
            <w:vAlign w:val="center"/>
          </w:tcPr>
          <w:p w14:paraId="29080CAC"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3FFF6178" w14:textId="28964CAB" w:rsidR="00C84DB6" w:rsidRPr="00C84DB6" w:rsidRDefault="00C84DB6" w:rsidP="00C84DB6">
            <w:pPr>
              <w:pStyle w:val="ExhibitText"/>
              <w:jc w:val="right"/>
              <w:rPr>
                <w:rFonts w:eastAsia="SimSun"/>
                <w:sz w:val="18"/>
                <w:szCs w:val="18"/>
              </w:rPr>
            </w:pPr>
            <w:r w:rsidRPr="00C84DB6">
              <w:rPr>
                <w:rFonts w:eastAsia="SimSun"/>
                <w:sz w:val="18"/>
                <w:szCs w:val="18"/>
              </w:rPr>
              <w:t>0.056</w:t>
            </w:r>
          </w:p>
        </w:tc>
        <w:tc>
          <w:tcPr>
            <w:tcW w:w="1200" w:type="dxa"/>
            <w:tcMar>
              <w:left w:w="115" w:type="dxa"/>
              <w:right w:w="288" w:type="dxa"/>
            </w:tcMar>
            <w:vAlign w:val="center"/>
          </w:tcPr>
          <w:p w14:paraId="5F99F42D"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434B1162" w14:textId="3852E7F8" w:rsidR="00C84DB6" w:rsidRPr="00C84DB6" w:rsidRDefault="00C84DB6" w:rsidP="00C84DB6">
            <w:pPr>
              <w:pStyle w:val="ExhibitText"/>
              <w:jc w:val="right"/>
              <w:rPr>
                <w:rFonts w:eastAsia="SimSun"/>
                <w:sz w:val="18"/>
                <w:szCs w:val="18"/>
              </w:rPr>
            </w:pPr>
            <w:r w:rsidRPr="00C84DB6">
              <w:rPr>
                <w:rFonts w:eastAsia="SimSun"/>
                <w:sz w:val="18"/>
                <w:szCs w:val="18"/>
              </w:rPr>
              <w:t>0.069</w:t>
            </w:r>
          </w:p>
        </w:tc>
        <w:tc>
          <w:tcPr>
            <w:tcW w:w="1201" w:type="dxa"/>
            <w:noWrap/>
            <w:tcMar>
              <w:left w:w="115" w:type="dxa"/>
              <w:right w:w="288" w:type="dxa"/>
            </w:tcMar>
            <w:vAlign w:val="center"/>
            <w:hideMark/>
          </w:tcPr>
          <w:p w14:paraId="31E6BFCF" w14:textId="533173C3" w:rsidR="00C84DB6" w:rsidRPr="00C84DB6" w:rsidRDefault="00B41D82" w:rsidP="00C84DB6">
            <w:pPr>
              <w:pStyle w:val="ExhibitText"/>
              <w:jc w:val="right"/>
              <w:rPr>
                <w:rFonts w:eastAsia="SimSun"/>
                <w:sz w:val="18"/>
                <w:szCs w:val="18"/>
              </w:rPr>
            </w:pPr>
            <w:r>
              <w:rPr>
                <w:rFonts w:eastAsia="SimSun"/>
                <w:sz w:val="18"/>
                <w:szCs w:val="18"/>
              </w:rPr>
              <w:t>–</w:t>
            </w:r>
          </w:p>
        </w:tc>
        <w:tc>
          <w:tcPr>
            <w:tcW w:w="1201" w:type="dxa"/>
            <w:noWrap/>
            <w:tcMar>
              <w:left w:w="115" w:type="dxa"/>
              <w:right w:w="288" w:type="dxa"/>
            </w:tcMar>
            <w:vAlign w:val="center"/>
            <w:hideMark/>
          </w:tcPr>
          <w:p w14:paraId="7C592E8E" w14:textId="2940461E" w:rsidR="00C84DB6" w:rsidRPr="00C84DB6" w:rsidRDefault="00C84DB6" w:rsidP="00C84DB6">
            <w:pPr>
              <w:pStyle w:val="ExhibitText"/>
              <w:jc w:val="right"/>
              <w:rPr>
                <w:rFonts w:eastAsia="SimSun"/>
                <w:sz w:val="18"/>
                <w:szCs w:val="18"/>
              </w:rPr>
            </w:pPr>
            <w:r w:rsidRPr="00C84DB6">
              <w:rPr>
                <w:rFonts w:eastAsia="SimSun"/>
                <w:sz w:val="18"/>
                <w:szCs w:val="18"/>
              </w:rPr>
              <w:t>0.125</w:t>
            </w:r>
          </w:p>
        </w:tc>
      </w:tr>
      <w:tr w:rsidR="00C84DB6" w:rsidRPr="00C84DB6" w14:paraId="56BE9523" w14:textId="77777777" w:rsidTr="008B1AAC">
        <w:trPr>
          <w:trHeight w:val="259"/>
          <w:jc w:val="center"/>
        </w:trPr>
        <w:tc>
          <w:tcPr>
            <w:tcW w:w="1062" w:type="dxa"/>
            <w:noWrap/>
            <w:vAlign w:val="center"/>
            <w:hideMark/>
          </w:tcPr>
          <w:p w14:paraId="0C45A0D2" w14:textId="38EB0009" w:rsidR="00C84DB6" w:rsidRPr="00C84DB6" w:rsidRDefault="00C84DB6" w:rsidP="00C84DB6">
            <w:pPr>
              <w:pStyle w:val="ExhibitText"/>
              <w:jc w:val="center"/>
              <w:rPr>
                <w:rFonts w:eastAsia="SimSun"/>
                <w:sz w:val="18"/>
                <w:szCs w:val="18"/>
              </w:rPr>
            </w:pPr>
            <w:r w:rsidRPr="00C84DB6">
              <w:rPr>
                <w:rFonts w:eastAsia="SimSun"/>
                <w:sz w:val="18"/>
                <w:szCs w:val="18"/>
              </w:rPr>
              <w:t>2009</w:t>
            </w:r>
          </w:p>
        </w:tc>
        <w:tc>
          <w:tcPr>
            <w:tcW w:w="1201" w:type="dxa"/>
            <w:noWrap/>
            <w:tcMar>
              <w:left w:w="115" w:type="dxa"/>
              <w:right w:w="288" w:type="dxa"/>
            </w:tcMar>
            <w:vAlign w:val="center"/>
            <w:hideMark/>
          </w:tcPr>
          <w:p w14:paraId="663756B4" w14:textId="6976E28A" w:rsidR="00C84DB6" w:rsidRPr="00C84DB6" w:rsidRDefault="00C84DB6" w:rsidP="00C84DB6">
            <w:pPr>
              <w:pStyle w:val="ExhibitText"/>
              <w:jc w:val="right"/>
              <w:rPr>
                <w:rFonts w:eastAsia="SimSun"/>
                <w:sz w:val="18"/>
                <w:szCs w:val="18"/>
              </w:rPr>
            </w:pPr>
            <w:r w:rsidRPr="00C84DB6">
              <w:rPr>
                <w:rFonts w:eastAsia="SimSun"/>
                <w:sz w:val="18"/>
                <w:szCs w:val="18"/>
              </w:rPr>
              <w:t>2.55</w:t>
            </w:r>
          </w:p>
        </w:tc>
        <w:tc>
          <w:tcPr>
            <w:tcW w:w="1201" w:type="dxa"/>
            <w:tcMar>
              <w:left w:w="115" w:type="dxa"/>
              <w:right w:w="288" w:type="dxa"/>
            </w:tcMar>
            <w:vAlign w:val="center"/>
          </w:tcPr>
          <w:p w14:paraId="4BD31E94"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74061CFE" w14:textId="34DAE014" w:rsidR="00C84DB6" w:rsidRPr="00C84DB6" w:rsidRDefault="00C84DB6" w:rsidP="00C84DB6">
            <w:pPr>
              <w:pStyle w:val="ExhibitText"/>
              <w:jc w:val="right"/>
              <w:rPr>
                <w:rFonts w:eastAsia="SimSun"/>
                <w:sz w:val="18"/>
                <w:szCs w:val="18"/>
              </w:rPr>
            </w:pPr>
            <w:r w:rsidRPr="00C84DB6">
              <w:rPr>
                <w:rFonts w:eastAsia="SimSun"/>
                <w:sz w:val="18"/>
                <w:szCs w:val="18"/>
              </w:rPr>
              <w:t>0.056</w:t>
            </w:r>
          </w:p>
        </w:tc>
        <w:tc>
          <w:tcPr>
            <w:tcW w:w="1200" w:type="dxa"/>
            <w:tcMar>
              <w:left w:w="115" w:type="dxa"/>
              <w:right w:w="288" w:type="dxa"/>
            </w:tcMar>
            <w:vAlign w:val="center"/>
          </w:tcPr>
          <w:p w14:paraId="21A98DE0"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299321CE" w14:textId="30394F72" w:rsidR="00C84DB6" w:rsidRPr="00C84DB6" w:rsidRDefault="00C84DB6" w:rsidP="00C84DB6">
            <w:pPr>
              <w:pStyle w:val="ExhibitText"/>
              <w:jc w:val="right"/>
              <w:rPr>
                <w:rFonts w:eastAsia="SimSun"/>
                <w:sz w:val="18"/>
                <w:szCs w:val="18"/>
              </w:rPr>
            </w:pPr>
            <w:r w:rsidRPr="00C84DB6">
              <w:rPr>
                <w:rFonts w:eastAsia="SimSun"/>
                <w:sz w:val="18"/>
                <w:szCs w:val="18"/>
              </w:rPr>
              <w:t>0.069</w:t>
            </w:r>
          </w:p>
        </w:tc>
        <w:tc>
          <w:tcPr>
            <w:tcW w:w="1201" w:type="dxa"/>
            <w:noWrap/>
            <w:tcMar>
              <w:left w:w="115" w:type="dxa"/>
              <w:right w:w="288" w:type="dxa"/>
            </w:tcMar>
            <w:vAlign w:val="center"/>
            <w:hideMark/>
          </w:tcPr>
          <w:p w14:paraId="0C84941C" w14:textId="2B32D7BB" w:rsidR="00C84DB6" w:rsidRPr="00C84DB6" w:rsidRDefault="00B41D82" w:rsidP="00C84DB6">
            <w:pPr>
              <w:pStyle w:val="ExhibitText"/>
              <w:jc w:val="right"/>
              <w:rPr>
                <w:rFonts w:eastAsia="SimSun"/>
                <w:sz w:val="18"/>
                <w:szCs w:val="18"/>
              </w:rPr>
            </w:pPr>
            <w:r>
              <w:rPr>
                <w:rFonts w:eastAsia="SimSun"/>
                <w:sz w:val="18"/>
                <w:szCs w:val="18"/>
              </w:rPr>
              <w:t>–</w:t>
            </w:r>
          </w:p>
        </w:tc>
        <w:tc>
          <w:tcPr>
            <w:tcW w:w="1201" w:type="dxa"/>
            <w:noWrap/>
            <w:tcMar>
              <w:left w:w="115" w:type="dxa"/>
              <w:right w:w="288" w:type="dxa"/>
            </w:tcMar>
            <w:vAlign w:val="center"/>
            <w:hideMark/>
          </w:tcPr>
          <w:p w14:paraId="5532B975" w14:textId="2006F79E" w:rsidR="00C84DB6" w:rsidRPr="00C84DB6" w:rsidRDefault="00C84DB6" w:rsidP="00C84DB6">
            <w:pPr>
              <w:pStyle w:val="ExhibitText"/>
              <w:jc w:val="right"/>
              <w:rPr>
                <w:rFonts w:eastAsia="SimSun"/>
                <w:sz w:val="18"/>
                <w:szCs w:val="18"/>
              </w:rPr>
            </w:pPr>
            <w:r w:rsidRPr="00C84DB6">
              <w:rPr>
                <w:rFonts w:eastAsia="SimSun"/>
                <w:sz w:val="18"/>
                <w:szCs w:val="18"/>
              </w:rPr>
              <w:t>0.125</w:t>
            </w:r>
          </w:p>
        </w:tc>
      </w:tr>
      <w:tr w:rsidR="00C84DB6" w:rsidRPr="00C84DB6" w14:paraId="1955CE4C" w14:textId="77777777" w:rsidTr="008B1AAC">
        <w:trPr>
          <w:trHeight w:val="259"/>
          <w:jc w:val="center"/>
        </w:trPr>
        <w:tc>
          <w:tcPr>
            <w:tcW w:w="1062" w:type="dxa"/>
            <w:noWrap/>
            <w:vAlign w:val="center"/>
            <w:hideMark/>
          </w:tcPr>
          <w:p w14:paraId="686C56A0" w14:textId="2A6D1CEE" w:rsidR="00C84DB6" w:rsidRPr="00C84DB6" w:rsidRDefault="00C84DB6" w:rsidP="00C84DB6">
            <w:pPr>
              <w:pStyle w:val="ExhibitText"/>
              <w:jc w:val="center"/>
              <w:rPr>
                <w:rFonts w:eastAsia="SimSun"/>
                <w:sz w:val="18"/>
                <w:szCs w:val="18"/>
              </w:rPr>
            </w:pPr>
            <w:r w:rsidRPr="00C84DB6">
              <w:rPr>
                <w:rFonts w:eastAsia="SimSun"/>
                <w:sz w:val="18"/>
                <w:szCs w:val="18"/>
              </w:rPr>
              <w:t>2010</w:t>
            </w:r>
          </w:p>
        </w:tc>
        <w:tc>
          <w:tcPr>
            <w:tcW w:w="1201" w:type="dxa"/>
            <w:noWrap/>
            <w:tcMar>
              <w:left w:w="115" w:type="dxa"/>
              <w:right w:w="288" w:type="dxa"/>
            </w:tcMar>
            <w:vAlign w:val="center"/>
            <w:hideMark/>
          </w:tcPr>
          <w:p w14:paraId="1F441C15" w14:textId="7147DC38" w:rsidR="00C84DB6" w:rsidRPr="00C84DB6" w:rsidRDefault="00C84DB6" w:rsidP="00C84DB6">
            <w:pPr>
              <w:pStyle w:val="ExhibitText"/>
              <w:jc w:val="right"/>
              <w:rPr>
                <w:rFonts w:eastAsia="SimSun"/>
                <w:sz w:val="18"/>
                <w:szCs w:val="18"/>
              </w:rPr>
            </w:pPr>
            <w:r w:rsidRPr="00C84DB6">
              <w:rPr>
                <w:rFonts w:eastAsia="SimSun"/>
                <w:sz w:val="18"/>
                <w:szCs w:val="18"/>
              </w:rPr>
              <w:t>3.00</w:t>
            </w:r>
          </w:p>
        </w:tc>
        <w:tc>
          <w:tcPr>
            <w:tcW w:w="1201" w:type="dxa"/>
            <w:tcMar>
              <w:left w:w="115" w:type="dxa"/>
              <w:right w:w="288" w:type="dxa"/>
            </w:tcMar>
            <w:vAlign w:val="center"/>
          </w:tcPr>
          <w:p w14:paraId="749BE4C7"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12F610F2" w14:textId="7D490042" w:rsidR="00C84DB6" w:rsidRPr="00C84DB6" w:rsidRDefault="00C84DB6" w:rsidP="00C84DB6">
            <w:pPr>
              <w:pStyle w:val="ExhibitText"/>
              <w:jc w:val="right"/>
              <w:rPr>
                <w:rFonts w:eastAsia="SimSun"/>
                <w:sz w:val="18"/>
                <w:szCs w:val="18"/>
              </w:rPr>
            </w:pPr>
            <w:r w:rsidRPr="00C84DB6">
              <w:rPr>
                <w:rFonts w:eastAsia="SimSun"/>
                <w:sz w:val="18"/>
                <w:szCs w:val="18"/>
              </w:rPr>
              <w:t>0.062</w:t>
            </w:r>
          </w:p>
        </w:tc>
        <w:tc>
          <w:tcPr>
            <w:tcW w:w="1200" w:type="dxa"/>
            <w:tcMar>
              <w:left w:w="115" w:type="dxa"/>
              <w:right w:w="288" w:type="dxa"/>
            </w:tcMar>
            <w:vAlign w:val="center"/>
          </w:tcPr>
          <w:p w14:paraId="297D6CA6"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04F4DA0D" w14:textId="00B48C77" w:rsidR="00C84DB6" w:rsidRPr="00C84DB6" w:rsidRDefault="00C84DB6" w:rsidP="00C84DB6">
            <w:pPr>
              <w:pStyle w:val="ExhibitText"/>
              <w:jc w:val="right"/>
              <w:rPr>
                <w:rFonts w:eastAsia="SimSun"/>
                <w:sz w:val="18"/>
                <w:szCs w:val="18"/>
              </w:rPr>
            </w:pPr>
            <w:r w:rsidRPr="00C84DB6">
              <w:rPr>
                <w:rFonts w:eastAsia="SimSun"/>
                <w:sz w:val="18"/>
                <w:szCs w:val="18"/>
              </w:rPr>
              <w:t>0.080</w:t>
            </w:r>
          </w:p>
        </w:tc>
        <w:tc>
          <w:tcPr>
            <w:tcW w:w="1201" w:type="dxa"/>
            <w:noWrap/>
            <w:tcMar>
              <w:left w:w="115" w:type="dxa"/>
              <w:right w:w="288" w:type="dxa"/>
            </w:tcMar>
            <w:vAlign w:val="center"/>
            <w:hideMark/>
          </w:tcPr>
          <w:p w14:paraId="405DD8CC" w14:textId="588AFD3E" w:rsidR="00C84DB6" w:rsidRPr="00C84DB6" w:rsidRDefault="00B41D82" w:rsidP="00C84DB6">
            <w:pPr>
              <w:pStyle w:val="ExhibitText"/>
              <w:jc w:val="right"/>
              <w:rPr>
                <w:rFonts w:eastAsia="SimSun"/>
                <w:sz w:val="18"/>
                <w:szCs w:val="18"/>
              </w:rPr>
            </w:pPr>
            <w:r>
              <w:rPr>
                <w:rFonts w:eastAsia="SimSun"/>
                <w:sz w:val="18"/>
                <w:szCs w:val="18"/>
              </w:rPr>
              <w:t>–</w:t>
            </w:r>
          </w:p>
        </w:tc>
        <w:tc>
          <w:tcPr>
            <w:tcW w:w="1201" w:type="dxa"/>
            <w:noWrap/>
            <w:tcMar>
              <w:left w:w="115" w:type="dxa"/>
              <w:right w:w="288" w:type="dxa"/>
            </w:tcMar>
            <w:vAlign w:val="center"/>
            <w:hideMark/>
          </w:tcPr>
          <w:p w14:paraId="6B52ED2A" w14:textId="46563773" w:rsidR="00C84DB6" w:rsidRPr="00C84DB6" w:rsidRDefault="00C84DB6" w:rsidP="00C84DB6">
            <w:pPr>
              <w:pStyle w:val="ExhibitText"/>
              <w:jc w:val="right"/>
              <w:rPr>
                <w:rFonts w:eastAsia="SimSun"/>
                <w:sz w:val="18"/>
                <w:szCs w:val="18"/>
              </w:rPr>
            </w:pPr>
            <w:r w:rsidRPr="00C84DB6">
              <w:rPr>
                <w:rFonts w:eastAsia="SimSun"/>
                <w:sz w:val="18"/>
                <w:szCs w:val="18"/>
              </w:rPr>
              <w:t>0.142</w:t>
            </w:r>
          </w:p>
        </w:tc>
      </w:tr>
      <w:tr w:rsidR="00C84DB6" w:rsidRPr="00C84DB6" w14:paraId="1897AAAB" w14:textId="77777777" w:rsidTr="008B1AAC">
        <w:trPr>
          <w:trHeight w:val="259"/>
          <w:jc w:val="center"/>
        </w:trPr>
        <w:tc>
          <w:tcPr>
            <w:tcW w:w="1062" w:type="dxa"/>
            <w:noWrap/>
            <w:vAlign w:val="center"/>
            <w:hideMark/>
          </w:tcPr>
          <w:p w14:paraId="0BD7F029" w14:textId="36FBB120" w:rsidR="00C84DB6" w:rsidRPr="00C84DB6" w:rsidRDefault="00C84DB6" w:rsidP="00C84DB6">
            <w:pPr>
              <w:pStyle w:val="ExhibitText"/>
              <w:jc w:val="center"/>
              <w:rPr>
                <w:rFonts w:eastAsia="SimSun"/>
                <w:sz w:val="18"/>
                <w:szCs w:val="18"/>
              </w:rPr>
            </w:pPr>
            <w:r w:rsidRPr="00C84DB6">
              <w:rPr>
                <w:rFonts w:eastAsia="SimSun"/>
                <w:sz w:val="18"/>
                <w:szCs w:val="18"/>
              </w:rPr>
              <w:t>2011</w:t>
            </w:r>
          </w:p>
        </w:tc>
        <w:tc>
          <w:tcPr>
            <w:tcW w:w="1201" w:type="dxa"/>
            <w:noWrap/>
            <w:tcMar>
              <w:left w:w="115" w:type="dxa"/>
              <w:right w:w="288" w:type="dxa"/>
            </w:tcMar>
            <w:vAlign w:val="center"/>
            <w:hideMark/>
          </w:tcPr>
          <w:p w14:paraId="7625115C" w14:textId="0B3E99DB" w:rsidR="00C84DB6" w:rsidRPr="00C84DB6" w:rsidRDefault="00C84DB6" w:rsidP="00C84DB6">
            <w:pPr>
              <w:pStyle w:val="ExhibitText"/>
              <w:jc w:val="right"/>
              <w:rPr>
                <w:rFonts w:eastAsia="SimSun"/>
                <w:sz w:val="18"/>
                <w:szCs w:val="18"/>
              </w:rPr>
            </w:pPr>
            <w:r w:rsidRPr="00C84DB6">
              <w:rPr>
                <w:rFonts w:eastAsia="SimSun"/>
                <w:sz w:val="18"/>
                <w:szCs w:val="18"/>
              </w:rPr>
              <w:t>3.07</w:t>
            </w:r>
          </w:p>
        </w:tc>
        <w:tc>
          <w:tcPr>
            <w:tcW w:w="1201" w:type="dxa"/>
            <w:tcMar>
              <w:left w:w="115" w:type="dxa"/>
              <w:right w:w="288" w:type="dxa"/>
            </w:tcMar>
            <w:vAlign w:val="center"/>
          </w:tcPr>
          <w:p w14:paraId="1238DA11"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0717E6AB" w14:textId="1BA4896D" w:rsidR="00C84DB6" w:rsidRPr="00C84DB6" w:rsidRDefault="00C84DB6" w:rsidP="00C84DB6">
            <w:pPr>
              <w:pStyle w:val="ExhibitText"/>
              <w:jc w:val="right"/>
              <w:rPr>
                <w:rFonts w:eastAsia="SimSun"/>
                <w:sz w:val="18"/>
                <w:szCs w:val="18"/>
              </w:rPr>
            </w:pPr>
            <w:r w:rsidRPr="00C84DB6">
              <w:rPr>
                <w:rFonts w:eastAsia="SimSun"/>
                <w:sz w:val="18"/>
                <w:szCs w:val="18"/>
              </w:rPr>
              <w:t>0.068</w:t>
            </w:r>
          </w:p>
        </w:tc>
        <w:tc>
          <w:tcPr>
            <w:tcW w:w="1200" w:type="dxa"/>
            <w:tcMar>
              <w:left w:w="115" w:type="dxa"/>
              <w:right w:w="288" w:type="dxa"/>
            </w:tcMar>
            <w:vAlign w:val="center"/>
          </w:tcPr>
          <w:p w14:paraId="51D523E6"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3AF8E57E" w14:textId="4BBDF7B8" w:rsidR="00C84DB6" w:rsidRPr="00C84DB6" w:rsidRDefault="00C84DB6" w:rsidP="00C84DB6">
            <w:pPr>
              <w:pStyle w:val="ExhibitText"/>
              <w:jc w:val="right"/>
              <w:rPr>
                <w:rFonts w:eastAsia="SimSun"/>
                <w:sz w:val="18"/>
                <w:szCs w:val="18"/>
              </w:rPr>
            </w:pPr>
            <w:r w:rsidRPr="00C84DB6">
              <w:rPr>
                <w:rFonts w:eastAsia="SimSun"/>
                <w:sz w:val="18"/>
                <w:szCs w:val="18"/>
              </w:rPr>
              <w:t>0.090</w:t>
            </w:r>
          </w:p>
        </w:tc>
        <w:tc>
          <w:tcPr>
            <w:tcW w:w="1201" w:type="dxa"/>
            <w:noWrap/>
            <w:tcMar>
              <w:left w:w="115" w:type="dxa"/>
              <w:right w:w="288" w:type="dxa"/>
            </w:tcMar>
            <w:vAlign w:val="center"/>
            <w:hideMark/>
          </w:tcPr>
          <w:p w14:paraId="7988F587" w14:textId="72C2563F" w:rsidR="00C84DB6" w:rsidRPr="00C84DB6" w:rsidRDefault="00C84DB6" w:rsidP="00C84DB6">
            <w:pPr>
              <w:pStyle w:val="ExhibitText"/>
              <w:jc w:val="right"/>
              <w:rPr>
                <w:rFonts w:eastAsia="SimSun"/>
                <w:sz w:val="18"/>
                <w:szCs w:val="18"/>
              </w:rPr>
            </w:pPr>
            <w:r w:rsidRPr="00C84DB6">
              <w:rPr>
                <w:rFonts w:eastAsia="SimSun"/>
                <w:sz w:val="18"/>
                <w:szCs w:val="18"/>
              </w:rPr>
              <w:t>0.10</w:t>
            </w:r>
          </w:p>
        </w:tc>
        <w:tc>
          <w:tcPr>
            <w:tcW w:w="1201" w:type="dxa"/>
            <w:noWrap/>
            <w:tcMar>
              <w:left w:w="115" w:type="dxa"/>
              <w:right w:w="288" w:type="dxa"/>
            </w:tcMar>
            <w:vAlign w:val="center"/>
            <w:hideMark/>
          </w:tcPr>
          <w:p w14:paraId="16402552" w14:textId="0B12DAD8" w:rsidR="00C84DB6" w:rsidRPr="00C84DB6" w:rsidRDefault="00C84DB6" w:rsidP="00C84DB6">
            <w:pPr>
              <w:pStyle w:val="ExhibitText"/>
              <w:jc w:val="right"/>
              <w:rPr>
                <w:rFonts w:eastAsia="SimSun"/>
                <w:sz w:val="18"/>
                <w:szCs w:val="18"/>
              </w:rPr>
            </w:pPr>
            <w:r w:rsidRPr="00C84DB6">
              <w:rPr>
                <w:rFonts w:eastAsia="SimSun"/>
                <w:sz w:val="18"/>
                <w:szCs w:val="18"/>
              </w:rPr>
              <w:t>0.258</w:t>
            </w:r>
          </w:p>
        </w:tc>
      </w:tr>
      <w:tr w:rsidR="00C84DB6" w:rsidRPr="00C84DB6" w14:paraId="0D14F604" w14:textId="77777777" w:rsidTr="008B1AAC">
        <w:trPr>
          <w:trHeight w:val="259"/>
          <w:jc w:val="center"/>
        </w:trPr>
        <w:tc>
          <w:tcPr>
            <w:tcW w:w="1062" w:type="dxa"/>
            <w:noWrap/>
            <w:vAlign w:val="center"/>
            <w:hideMark/>
          </w:tcPr>
          <w:p w14:paraId="0D7B2CAE" w14:textId="70C6EA38" w:rsidR="00C84DB6" w:rsidRPr="00C84DB6" w:rsidRDefault="00C84DB6" w:rsidP="00C84DB6">
            <w:pPr>
              <w:pStyle w:val="ExhibitText"/>
              <w:jc w:val="center"/>
              <w:rPr>
                <w:rFonts w:eastAsia="SimSun"/>
                <w:sz w:val="18"/>
                <w:szCs w:val="18"/>
              </w:rPr>
            </w:pPr>
            <w:r w:rsidRPr="00C84DB6">
              <w:rPr>
                <w:rFonts w:eastAsia="SimSun"/>
                <w:sz w:val="18"/>
                <w:szCs w:val="18"/>
              </w:rPr>
              <w:t>2012</w:t>
            </w:r>
          </w:p>
        </w:tc>
        <w:tc>
          <w:tcPr>
            <w:tcW w:w="1201" w:type="dxa"/>
            <w:noWrap/>
            <w:tcMar>
              <w:left w:w="115" w:type="dxa"/>
              <w:right w:w="288" w:type="dxa"/>
            </w:tcMar>
            <w:vAlign w:val="center"/>
            <w:hideMark/>
          </w:tcPr>
          <w:p w14:paraId="496DB86C" w14:textId="5EC2877B" w:rsidR="00C84DB6" w:rsidRPr="00C84DB6" w:rsidRDefault="00C84DB6" w:rsidP="00C84DB6">
            <w:pPr>
              <w:pStyle w:val="ExhibitText"/>
              <w:jc w:val="right"/>
              <w:rPr>
                <w:rFonts w:eastAsia="SimSun"/>
                <w:sz w:val="18"/>
                <w:szCs w:val="18"/>
              </w:rPr>
            </w:pPr>
            <w:r w:rsidRPr="00C84DB6">
              <w:rPr>
                <w:rFonts w:eastAsia="SimSun"/>
                <w:sz w:val="18"/>
                <w:szCs w:val="18"/>
              </w:rPr>
              <w:t>3.10</w:t>
            </w:r>
          </w:p>
        </w:tc>
        <w:tc>
          <w:tcPr>
            <w:tcW w:w="1201" w:type="dxa"/>
            <w:tcMar>
              <w:left w:w="115" w:type="dxa"/>
              <w:right w:w="288" w:type="dxa"/>
            </w:tcMar>
            <w:vAlign w:val="center"/>
          </w:tcPr>
          <w:p w14:paraId="1FC18F4D"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1148DD55" w14:textId="2A126BE2" w:rsidR="00C84DB6" w:rsidRPr="00C84DB6" w:rsidRDefault="00C84DB6" w:rsidP="00C84DB6">
            <w:pPr>
              <w:pStyle w:val="ExhibitText"/>
              <w:jc w:val="right"/>
              <w:rPr>
                <w:rFonts w:eastAsia="SimSun"/>
                <w:sz w:val="18"/>
                <w:szCs w:val="18"/>
              </w:rPr>
            </w:pPr>
            <w:r w:rsidRPr="00C84DB6">
              <w:rPr>
                <w:rFonts w:eastAsia="SimSun"/>
                <w:sz w:val="18"/>
                <w:szCs w:val="18"/>
              </w:rPr>
              <w:t>0.068</w:t>
            </w:r>
          </w:p>
        </w:tc>
        <w:tc>
          <w:tcPr>
            <w:tcW w:w="1200" w:type="dxa"/>
            <w:tcMar>
              <w:left w:w="115" w:type="dxa"/>
              <w:right w:w="288" w:type="dxa"/>
            </w:tcMar>
            <w:vAlign w:val="center"/>
          </w:tcPr>
          <w:p w14:paraId="3A2B74BC"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335FAE0B" w14:textId="78CF0CD0" w:rsidR="00C84DB6" w:rsidRPr="00C84DB6" w:rsidRDefault="00C84DB6" w:rsidP="00C84DB6">
            <w:pPr>
              <w:pStyle w:val="ExhibitText"/>
              <w:jc w:val="right"/>
              <w:rPr>
                <w:rFonts w:eastAsia="SimSun"/>
                <w:sz w:val="18"/>
                <w:szCs w:val="18"/>
              </w:rPr>
            </w:pPr>
            <w:r w:rsidRPr="00C84DB6">
              <w:rPr>
                <w:rFonts w:eastAsia="SimSun"/>
                <w:sz w:val="18"/>
                <w:szCs w:val="18"/>
              </w:rPr>
              <w:t>0.090</w:t>
            </w:r>
          </w:p>
        </w:tc>
        <w:tc>
          <w:tcPr>
            <w:tcW w:w="1201" w:type="dxa"/>
            <w:noWrap/>
            <w:tcMar>
              <w:left w:w="115" w:type="dxa"/>
              <w:right w:w="288" w:type="dxa"/>
            </w:tcMar>
            <w:vAlign w:val="center"/>
            <w:hideMark/>
          </w:tcPr>
          <w:p w14:paraId="78A49D41" w14:textId="67222B55" w:rsidR="00C84DB6" w:rsidRPr="00C84DB6" w:rsidRDefault="00B41D82" w:rsidP="00C84DB6">
            <w:pPr>
              <w:pStyle w:val="ExhibitText"/>
              <w:jc w:val="right"/>
              <w:rPr>
                <w:rFonts w:eastAsia="SimSun"/>
                <w:sz w:val="18"/>
                <w:szCs w:val="18"/>
              </w:rPr>
            </w:pPr>
            <w:r>
              <w:rPr>
                <w:rFonts w:eastAsia="SimSun"/>
                <w:sz w:val="18"/>
                <w:szCs w:val="18"/>
              </w:rPr>
              <w:t>–</w:t>
            </w:r>
          </w:p>
        </w:tc>
        <w:tc>
          <w:tcPr>
            <w:tcW w:w="1201" w:type="dxa"/>
            <w:noWrap/>
            <w:tcMar>
              <w:left w:w="115" w:type="dxa"/>
              <w:right w:w="288" w:type="dxa"/>
            </w:tcMar>
            <w:vAlign w:val="center"/>
            <w:hideMark/>
          </w:tcPr>
          <w:p w14:paraId="5E31CED5" w14:textId="7087E4E1" w:rsidR="00C84DB6" w:rsidRPr="00C84DB6" w:rsidRDefault="00C84DB6" w:rsidP="00C84DB6">
            <w:pPr>
              <w:pStyle w:val="ExhibitText"/>
              <w:jc w:val="right"/>
              <w:rPr>
                <w:rFonts w:eastAsia="SimSun"/>
                <w:sz w:val="18"/>
                <w:szCs w:val="18"/>
              </w:rPr>
            </w:pPr>
            <w:r w:rsidRPr="00C84DB6">
              <w:rPr>
                <w:rFonts w:eastAsia="SimSun"/>
                <w:sz w:val="18"/>
                <w:szCs w:val="18"/>
              </w:rPr>
              <w:t>0.158</w:t>
            </w:r>
          </w:p>
        </w:tc>
      </w:tr>
      <w:tr w:rsidR="00C84DB6" w:rsidRPr="00C84DB6" w14:paraId="5C0C062A" w14:textId="77777777" w:rsidTr="008B1AAC">
        <w:trPr>
          <w:trHeight w:val="259"/>
          <w:jc w:val="center"/>
        </w:trPr>
        <w:tc>
          <w:tcPr>
            <w:tcW w:w="1062" w:type="dxa"/>
            <w:noWrap/>
            <w:vAlign w:val="center"/>
            <w:hideMark/>
          </w:tcPr>
          <w:p w14:paraId="782EBF28" w14:textId="1A145F21" w:rsidR="00C84DB6" w:rsidRPr="00C84DB6" w:rsidRDefault="00C84DB6" w:rsidP="00C84DB6">
            <w:pPr>
              <w:pStyle w:val="ExhibitText"/>
              <w:jc w:val="center"/>
              <w:rPr>
                <w:rFonts w:eastAsia="SimSun"/>
                <w:sz w:val="18"/>
                <w:szCs w:val="18"/>
              </w:rPr>
            </w:pPr>
            <w:r w:rsidRPr="00C84DB6">
              <w:rPr>
                <w:rFonts w:eastAsia="SimSun"/>
                <w:sz w:val="18"/>
                <w:szCs w:val="18"/>
              </w:rPr>
              <w:t>2013</w:t>
            </w:r>
          </w:p>
        </w:tc>
        <w:tc>
          <w:tcPr>
            <w:tcW w:w="1201" w:type="dxa"/>
            <w:noWrap/>
            <w:tcMar>
              <w:left w:w="115" w:type="dxa"/>
              <w:right w:w="288" w:type="dxa"/>
            </w:tcMar>
            <w:vAlign w:val="center"/>
            <w:hideMark/>
          </w:tcPr>
          <w:p w14:paraId="34685B37" w14:textId="328542AD" w:rsidR="00C84DB6" w:rsidRPr="00C84DB6" w:rsidRDefault="00C84DB6" w:rsidP="00C84DB6">
            <w:pPr>
              <w:pStyle w:val="ExhibitText"/>
              <w:jc w:val="right"/>
              <w:rPr>
                <w:rFonts w:eastAsia="SimSun"/>
                <w:sz w:val="18"/>
                <w:szCs w:val="18"/>
              </w:rPr>
            </w:pPr>
            <w:r w:rsidRPr="00C84DB6">
              <w:rPr>
                <w:rFonts w:eastAsia="SimSun"/>
                <w:sz w:val="18"/>
                <w:szCs w:val="18"/>
              </w:rPr>
              <w:t>3.30</w:t>
            </w:r>
          </w:p>
        </w:tc>
        <w:tc>
          <w:tcPr>
            <w:tcW w:w="1201" w:type="dxa"/>
            <w:tcMar>
              <w:left w:w="115" w:type="dxa"/>
              <w:right w:w="288" w:type="dxa"/>
            </w:tcMar>
            <w:vAlign w:val="center"/>
          </w:tcPr>
          <w:p w14:paraId="1404CC40"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22802639" w14:textId="5FA33A6A" w:rsidR="00C84DB6" w:rsidRPr="00C84DB6" w:rsidRDefault="00C84DB6" w:rsidP="00C84DB6">
            <w:pPr>
              <w:pStyle w:val="ExhibitText"/>
              <w:jc w:val="right"/>
              <w:rPr>
                <w:rFonts w:eastAsia="SimSun"/>
                <w:sz w:val="18"/>
                <w:szCs w:val="18"/>
              </w:rPr>
            </w:pPr>
            <w:r w:rsidRPr="00C84DB6">
              <w:rPr>
                <w:rFonts w:eastAsia="SimSun"/>
                <w:sz w:val="18"/>
                <w:szCs w:val="18"/>
              </w:rPr>
              <w:t>0.068</w:t>
            </w:r>
          </w:p>
        </w:tc>
        <w:tc>
          <w:tcPr>
            <w:tcW w:w="1200" w:type="dxa"/>
            <w:tcMar>
              <w:left w:w="115" w:type="dxa"/>
              <w:right w:w="288" w:type="dxa"/>
            </w:tcMar>
            <w:vAlign w:val="center"/>
          </w:tcPr>
          <w:p w14:paraId="5A9FA968"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294718FF" w14:textId="302A1CCD" w:rsidR="00C84DB6" w:rsidRPr="00C84DB6" w:rsidRDefault="00C84DB6" w:rsidP="00C84DB6">
            <w:pPr>
              <w:pStyle w:val="ExhibitText"/>
              <w:jc w:val="right"/>
              <w:rPr>
                <w:rFonts w:eastAsia="SimSun"/>
                <w:sz w:val="18"/>
                <w:szCs w:val="18"/>
              </w:rPr>
            </w:pPr>
            <w:r w:rsidRPr="00C84DB6">
              <w:rPr>
                <w:rFonts w:eastAsia="SimSun"/>
                <w:sz w:val="18"/>
                <w:szCs w:val="18"/>
              </w:rPr>
              <w:t>0.100</w:t>
            </w:r>
          </w:p>
        </w:tc>
        <w:tc>
          <w:tcPr>
            <w:tcW w:w="1201" w:type="dxa"/>
            <w:noWrap/>
            <w:tcMar>
              <w:left w:w="115" w:type="dxa"/>
              <w:right w:w="288" w:type="dxa"/>
            </w:tcMar>
            <w:vAlign w:val="center"/>
            <w:hideMark/>
          </w:tcPr>
          <w:p w14:paraId="2796C2A2" w14:textId="24E546BB" w:rsidR="00C84DB6" w:rsidRPr="00C84DB6" w:rsidRDefault="00B41D82" w:rsidP="00C84DB6">
            <w:pPr>
              <w:pStyle w:val="ExhibitText"/>
              <w:jc w:val="right"/>
              <w:rPr>
                <w:rFonts w:eastAsia="SimSun"/>
                <w:sz w:val="18"/>
                <w:szCs w:val="18"/>
              </w:rPr>
            </w:pPr>
            <w:r>
              <w:rPr>
                <w:rFonts w:eastAsia="SimSun"/>
                <w:sz w:val="18"/>
                <w:szCs w:val="18"/>
              </w:rPr>
              <w:t>–</w:t>
            </w:r>
          </w:p>
        </w:tc>
        <w:tc>
          <w:tcPr>
            <w:tcW w:w="1201" w:type="dxa"/>
            <w:noWrap/>
            <w:tcMar>
              <w:left w:w="115" w:type="dxa"/>
              <w:right w:w="288" w:type="dxa"/>
            </w:tcMar>
            <w:vAlign w:val="center"/>
            <w:hideMark/>
          </w:tcPr>
          <w:p w14:paraId="5DB58C14" w14:textId="5673DF3E" w:rsidR="00C84DB6" w:rsidRPr="00C84DB6" w:rsidRDefault="00C84DB6" w:rsidP="00C84DB6">
            <w:pPr>
              <w:pStyle w:val="ExhibitText"/>
              <w:jc w:val="right"/>
              <w:rPr>
                <w:rFonts w:eastAsia="SimSun"/>
                <w:sz w:val="18"/>
                <w:szCs w:val="18"/>
              </w:rPr>
            </w:pPr>
            <w:r w:rsidRPr="00C84DB6">
              <w:rPr>
                <w:rFonts w:eastAsia="SimSun"/>
                <w:sz w:val="18"/>
                <w:szCs w:val="18"/>
              </w:rPr>
              <w:t>0.168</w:t>
            </w:r>
          </w:p>
        </w:tc>
      </w:tr>
      <w:tr w:rsidR="00C84DB6" w:rsidRPr="00C84DB6" w14:paraId="3BDE1BCF" w14:textId="77777777" w:rsidTr="008B1AAC">
        <w:trPr>
          <w:trHeight w:val="259"/>
          <w:jc w:val="center"/>
        </w:trPr>
        <w:tc>
          <w:tcPr>
            <w:tcW w:w="1062" w:type="dxa"/>
            <w:noWrap/>
            <w:vAlign w:val="center"/>
            <w:hideMark/>
          </w:tcPr>
          <w:p w14:paraId="54557184" w14:textId="1A924756" w:rsidR="00C84DB6" w:rsidRPr="00C84DB6" w:rsidRDefault="00C84DB6" w:rsidP="00C84DB6">
            <w:pPr>
              <w:pStyle w:val="ExhibitText"/>
              <w:jc w:val="center"/>
              <w:rPr>
                <w:rFonts w:eastAsia="SimSun"/>
                <w:sz w:val="18"/>
                <w:szCs w:val="18"/>
              </w:rPr>
            </w:pPr>
            <w:r w:rsidRPr="00C84DB6">
              <w:rPr>
                <w:rFonts w:eastAsia="SimSun"/>
                <w:sz w:val="18"/>
                <w:szCs w:val="18"/>
              </w:rPr>
              <w:t>2014</w:t>
            </w:r>
          </w:p>
        </w:tc>
        <w:tc>
          <w:tcPr>
            <w:tcW w:w="1201" w:type="dxa"/>
            <w:noWrap/>
            <w:tcMar>
              <w:left w:w="115" w:type="dxa"/>
              <w:right w:w="288" w:type="dxa"/>
            </w:tcMar>
            <w:vAlign w:val="center"/>
            <w:hideMark/>
          </w:tcPr>
          <w:p w14:paraId="6CF0C33F" w14:textId="5DF24165" w:rsidR="00C84DB6" w:rsidRPr="00C84DB6" w:rsidRDefault="00C84DB6" w:rsidP="00C84DB6">
            <w:pPr>
              <w:pStyle w:val="ExhibitText"/>
              <w:jc w:val="right"/>
              <w:rPr>
                <w:rFonts w:eastAsia="SimSun"/>
                <w:sz w:val="18"/>
                <w:szCs w:val="18"/>
              </w:rPr>
            </w:pPr>
            <w:r w:rsidRPr="00C84DB6">
              <w:rPr>
                <w:rFonts w:eastAsia="SimSun"/>
                <w:sz w:val="18"/>
                <w:szCs w:val="18"/>
              </w:rPr>
              <w:t>3.66</w:t>
            </w:r>
          </w:p>
        </w:tc>
        <w:tc>
          <w:tcPr>
            <w:tcW w:w="1201" w:type="dxa"/>
            <w:tcMar>
              <w:left w:w="115" w:type="dxa"/>
              <w:right w:w="288" w:type="dxa"/>
            </w:tcMar>
            <w:vAlign w:val="center"/>
          </w:tcPr>
          <w:p w14:paraId="3BA5B0D1"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6B7F301C" w14:textId="171C81A1" w:rsidR="00C84DB6" w:rsidRPr="00C84DB6" w:rsidRDefault="00C84DB6" w:rsidP="00C84DB6">
            <w:pPr>
              <w:pStyle w:val="ExhibitText"/>
              <w:jc w:val="right"/>
              <w:rPr>
                <w:rFonts w:eastAsia="SimSun"/>
                <w:sz w:val="18"/>
                <w:szCs w:val="18"/>
              </w:rPr>
            </w:pPr>
            <w:r w:rsidRPr="00C84DB6">
              <w:rPr>
                <w:rFonts w:eastAsia="SimSun"/>
                <w:sz w:val="18"/>
                <w:szCs w:val="18"/>
              </w:rPr>
              <w:t>0.068</w:t>
            </w:r>
          </w:p>
        </w:tc>
        <w:tc>
          <w:tcPr>
            <w:tcW w:w="1200" w:type="dxa"/>
            <w:tcMar>
              <w:left w:w="115" w:type="dxa"/>
              <w:right w:w="288" w:type="dxa"/>
            </w:tcMar>
            <w:vAlign w:val="center"/>
          </w:tcPr>
          <w:p w14:paraId="4BB4A231"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0965957D" w14:textId="3A32D8D1" w:rsidR="00C84DB6" w:rsidRPr="00C84DB6" w:rsidRDefault="00C84DB6" w:rsidP="00C84DB6">
            <w:pPr>
              <w:pStyle w:val="ExhibitText"/>
              <w:jc w:val="right"/>
              <w:rPr>
                <w:rFonts w:eastAsia="SimSun"/>
                <w:sz w:val="18"/>
                <w:szCs w:val="18"/>
              </w:rPr>
            </w:pPr>
            <w:r w:rsidRPr="00C84DB6">
              <w:rPr>
                <w:rFonts w:eastAsia="SimSun"/>
                <w:sz w:val="18"/>
                <w:szCs w:val="18"/>
              </w:rPr>
              <w:t>0.100</w:t>
            </w:r>
          </w:p>
        </w:tc>
        <w:tc>
          <w:tcPr>
            <w:tcW w:w="1201" w:type="dxa"/>
            <w:noWrap/>
            <w:tcMar>
              <w:left w:w="115" w:type="dxa"/>
              <w:right w:w="288" w:type="dxa"/>
            </w:tcMar>
            <w:vAlign w:val="center"/>
            <w:hideMark/>
          </w:tcPr>
          <w:p w14:paraId="1924A4DE" w14:textId="0AD7282A" w:rsidR="00C84DB6" w:rsidRPr="00C84DB6" w:rsidRDefault="00B41D82" w:rsidP="00C84DB6">
            <w:pPr>
              <w:pStyle w:val="ExhibitText"/>
              <w:jc w:val="right"/>
              <w:rPr>
                <w:rFonts w:eastAsia="SimSun"/>
                <w:sz w:val="18"/>
                <w:szCs w:val="18"/>
              </w:rPr>
            </w:pPr>
            <w:r>
              <w:rPr>
                <w:rFonts w:eastAsia="SimSun"/>
                <w:sz w:val="18"/>
                <w:szCs w:val="18"/>
              </w:rPr>
              <w:t>–</w:t>
            </w:r>
          </w:p>
        </w:tc>
        <w:tc>
          <w:tcPr>
            <w:tcW w:w="1201" w:type="dxa"/>
            <w:noWrap/>
            <w:tcMar>
              <w:left w:w="115" w:type="dxa"/>
              <w:right w:w="288" w:type="dxa"/>
            </w:tcMar>
            <w:vAlign w:val="center"/>
            <w:hideMark/>
          </w:tcPr>
          <w:p w14:paraId="2DD5A4ED" w14:textId="3F880B45" w:rsidR="00C84DB6" w:rsidRPr="00C84DB6" w:rsidRDefault="00C84DB6" w:rsidP="00C84DB6">
            <w:pPr>
              <w:pStyle w:val="ExhibitText"/>
              <w:jc w:val="right"/>
              <w:rPr>
                <w:rFonts w:eastAsia="SimSun"/>
                <w:sz w:val="18"/>
                <w:szCs w:val="18"/>
              </w:rPr>
            </w:pPr>
            <w:r w:rsidRPr="00C84DB6">
              <w:rPr>
                <w:rFonts w:eastAsia="SimSun"/>
                <w:sz w:val="18"/>
                <w:szCs w:val="18"/>
              </w:rPr>
              <w:t>0.168</w:t>
            </w:r>
          </w:p>
        </w:tc>
      </w:tr>
      <w:tr w:rsidR="00C84DB6" w:rsidRPr="00C84DB6" w14:paraId="1FA038FF" w14:textId="77777777" w:rsidTr="008B1AAC">
        <w:trPr>
          <w:trHeight w:val="259"/>
          <w:jc w:val="center"/>
        </w:trPr>
        <w:tc>
          <w:tcPr>
            <w:tcW w:w="1062" w:type="dxa"/>
            <w:noWrap/>
            <w:vAlign w:val="center"/>
            <w:hideMark/>
          </w:tcPr>
          <w:p w14:paraId="52DDAB57" w14:textId="78C7799E" w:rsidR="00C84DB6" w:rsidRPr="00C84DB6" w:rsidRDefault="00C84DB6" w:rsidP="00C84DB6">
            <w:pPr>
              <w:pStyle w:val="ExhibitText"/>
              <w:jc w:val="center"/>
              <w:rPr>
                <w:rFonts w:eastAsia="SimSun"/>
                <w:sz w:val="18"/>
                <w:szCs w:val="18"/>
              </w:rPr>
            </w:pPr>
            <w:r w:rsidRPr="00C84DB6">
              <w:rPr>
                <w:rFonts w:eastAsia="SimSun"/>
                <w:sz w:val="18"/>
                <w:szCs w:val="18"/>
              </w:rPr>
              <w:t>2015</w:t>
            </w:r>
          </w:p>
        </w:tc>
        <w:tc>
          <w:tcPr>
            <w:tcW w:w="1201" w:type="dxa"/>
            <w:noWrap/>
            <w:tcMar>
              <w:left w:w="115" w:type="dxa"/>
              <w:right w:w="288" w:type="dxa"/>
            </w:tcMar>
            <w:vAlign w:val="center"/>
            <w:hideMark/>
          </w:tcPr>
          <w:p w14:paraId="1D030BF6" w14:textId="6BB1327F" w:rsidR="00C84DB6" w:rsidRPr="00C84DB6" w:rsidRDefault="00C84DB6" w:rsidP="00C84DB6">
            <w:pPr>
              <w:pStyle w:val="ExhibitText"/>
              <w:jc w:val="right"/>
              <w:rPr>
                <w:rFonts w:eastAsia="SimSun"/>
                <w:sz w:val="18"/>
                <w:szCs w:val="18"/>
              </w:rPr>
            </w:pPr>
            <w:r w:rsidRPr="00C84DB6">
              <w:rPr>
                <w:rFonts w:eastAsia="SimSun"/>
                <w:sz w:val="18"/>
                <w:szCs w:val="18"/>
              </w:rPr>
              <w:t>3.90</w:t>
            </w:r>
          </w:p>
        </w:tc>
        <w:tc>
          <w:tcPr>
            <w:tcW w:w="1201" w:type="dxa"/>
            <w:tcMar>
              <w:left w:w="115" w:type="dxa"/>
              <w:right w:w="288" w:type="dxa"/>
            </w:tcMar>
            <w:vAlign w:val="center"/>
          </w:tcPr>
          <w:p w14:paraId="7D4F0606"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18EEB0AA" w14:textId="5E7D05A9" w:rsidR="00C84DB6" w:rsidRPr="00C84DB6" w:rsidRDefault="00C84DB6" w:rsidP="00C84DB6">
            <w:pPr>
              <w:pStyle w:val="ExhibitText"/>
              <w:jc w:val="right"/>
              <w:rPr>
                <w:rFonts w:eastAsia="SimSun"/>
                <w:sz w:val="18"/>
                <w:szCs w:val="18"/>
              </w:rPr>
            </w:pPr>
            <w:r w:rsidRPr="00C84DB6">
              <w:rPr>
                <w:rFonts w:eastAsia="SimSun"/>
                <w:sz w:val="18"/>
                <w:szCs w:val="18"/>
              </w:rPr>
              <w:t>0.068</w:t>
            </w:r>
          </w:p>
        </w:tc>
        <w:tc>
          <w:tcPr>
            <w:tcW w:w="1200" w:type="dxa"/>
            <w:tcMar>
              <w:left w:w="115" w:type="dxa"/>
              <w:right w:w="288" w:type="dxa"/>
            </w:tcMar>
            <w:vAlign w:val="center"/>
          </w:tcPr>
          <w:p w14:paraId="1B062610"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hideMark/>
          </w:tcPr>
          <w:p w14:paraId="17FC2A80" w14:textId="6BBF0A97" w:rsidR="00C84DB6" w:rsidRPr="00C84DB6" w:rsidRDefault="00C84DB6" w:rsidP="00C84DB6">
            <w:pPr>
              <w:pStyle w:val="ExhibitText"/>
              <w:jc w:val="right"/>
              <w:rPr>
                <w:rFonts w:eastAsia="SimSun"/>
                <w:sz w:val="18"/>
                <w:szCs w:val="18"/>
              </w:rPr>
            </w:pPr>
            <w:r w:rsidRPr="00C84DB6">
              <w:rPr>
                <w:rFonts w:eastAsia="SimSun"/>
                <w:sz w:val="18"/>
                <w:szCs w:val="18"/>
              </w:rPr>
              <w:t>0.107</w:t>
            </w:r>
          </w:p>
        </w:tc>
        <w:tc>
          <w:tcPr>
            <w:tcW w:w="1201" w:type="dxa"/>
            <w:noWrap/>
            <w:tcMar>
              <w:left w:w="115" w:type="dxa"/>
              <w:right w:w="288" w:type="dxa"/>
            </w:tcMar>
            <w:vAlign w:val="center"/>
            <w:hideMark/>
          </w:tcPr>
          <w:p w14:paraId="3FF72194" w14:textId="7B2C7785" w:rsidR="00C84DB6" w:rsidRPr="00C84DB6" w:rsidRDefault="00B41D82" w:rsidP="00C84DB6">
            <w:pPr>
              <w:pStyle w:val="ExhibitText"/>
              <w:jc w:val="right"/>
              <w:rPr>
                <w:rFonts w:eastAsia="SimSun"/>
                <w:sz w:val="18"/>
                <w:szCs w:val="18"/>
              </w:rPr>
            </w:pPr>
            <w:r>
              <w:rPr>
                <w:rFonts w:eastAsia="SimSun"/>
                <w:sz w:val="18"/>
                <w:szCs w:val="18"/>
              </w:rPr>
              <w:t>–</w:t>
            </w:r>
          </w:p>
        </w:tc>
        <w:tc>
          <w:tcPr>
            <w:tcW w:w="1201" w:type="dxa"/>
            <w:noWrap/>
            <w:tcMar>
              <w:left w:w="115" w:type="dxa"/>
              <w:right w:w="288" w:type="dxa"/>
            </w:tcMar>
            <w:vAlign w:val="center"/>
            <w:hideMark/>
          </w:tcPr>
          <w:p w14:paraId="06D003A2" w14:textId="42DCF7DB" w:rsidR="00C84DB6" w:rsidRPr="00C84DB6" w:rsidRDefault="00C84DB6" w:rsidP="00C84DB6">
            <w:pPr>
              <w:pStyle w:val="ExhibitText"/>
              <w:jc w:val="right"/>
              <w:rPr>
                <w:rFonts w:eastAsia="SimSun"/>
                <w:sz w:val="18"/>
                <w:szCs w:val="18"/>
              </w:rPr>
            </w:pPr>
            <w:r w:rsidRPr="00C84DB6">
              <w:rPr>
                <w:rFonts w:eastAsia="SimSun"/>
                <w:sz w:val="18"/>
                <w:szCs w:val="18"/>
              </w:rPr>
              <w:t>0.175</w:t>
            </w:r>
          </w:p>
        </w:tc>
      </w:tr>
      <w:tr w:rsidR="00C84DB6" w:rsidRPr="00C84DB6" w14:paraId="006C6FEC" w14:textId="77777777" w:rsidTr="008B1AAC">
        <w:trPr>
          <w:trHeight w:val="259"/>
          <w:jc w:val="center"/>
        </w:trPr>
        <w:tc>
          <w:tcPr>
            <w:tcW w:w="1062" w:type="dxa"/>
            <w:noWrap/>
            <w:vAlign w:val="center"/>
          </w:tcPr>
          <w:p w14:paraId="605068C9" w14:textId="4461E196" w:rsidR="00C84DB6" w:rsidRPr="00C84DB6" w:rsidRDefault="00C84DB6" w:rsidP="00C84DB6">
            <w:pPr>
              <w:pStyle w:val="ExhibitText"/>
              <w:jc w:val="center"/>
              <w:rPr>
                <w:rFonts w:eastAsia="SimSun"/>
                <w:sz w:val="18"/>
                <w:szCs w:val="18"/>
              </w:rPr>
            </w:pPr>
            <w:r w:rsidRPr="00C84DB6">
              <w:rPr>
                <w:rFonts w:eastAsia="SimSun"/>
                <w:sz w:val="18"/>
                <w:szCs w:val="18"/>
              </w:rPr>
              <w:t>2016</w:t>
            </w:r>
          </w:p>
        </w:tc>
        <w:tc>
          <w:tcPr>
            <w:tcW w:w="1201" w:type="dxa"/>
            <w:noWrap/>
            <w:tcMar>
              <w:left w:w="115" w:type="dxa"/>
              <w:right w:w="288" w:type="dxa"/>
            </w:tcMar>
            <w:vAlign w:val="center"/>
          </w:tcPr>
          <w:p w14:paraId="07D0CC8D" w14:textId="341EB494" w:rsidR="00C84DB6" w:rsidRPr="00C84DB6" w:rsidRDefault="00C84DB6" w:rsidP="00C84DB6">
            <w:pPr>
              <w:pStyle w:val="ExhibitText"/>
              <w:jc w:val="right"/>
              <w:rPr>
                <w:rFonts w:eastAsia="SimSun"/>
                <w:sz w:val="18"/>
                <w:szCs w:val="18"/>
              </w:rPr>
            </w:pPr>
            <w:r w:rsidRPr="00C84DB6">
              <w:rPr>
                <w:rFonts w:eastAsia="SimSun"/>
                <w:sz w:val="18"/>
                <w:szCs w:val="18"/>
              </w:rPr>
              <w:t>3.67</w:t>
            </w:r>
          </w:p>
        </w:tc>
        <w:tc>
          <w:tcPr>
            <w:tcW w:w="1201" w:type="dxa"/>
            <w:tcMar>
              <w:left w:w="115" w:type="dxa"/>
              <w:right w:w="288" w:type="dxa"/>
            </w:tcMar>
            <w:vAlign w:val="center"/>
          </w:tcPr>
          <w:p w14:paraId="31EB7AC3"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tcPr>
          <w:p w14:paraId="7043F56B" w14:textId="5BA70804" w:rsidR="00C84DB6" w:rsidRPr="00C84DB6" w:rsidRDefault="00C84DB6" w:rsidP="00C84DB6">
            <w:pPr>
              <w:pStyle w:val="ExhibitText"/>
              <w:jc w:val="right"/>
              <w:rPr>
                <w:rFonts w:eastAsia="SimSun"/>
                <w:sz w:val="18"/>
                <w:szCs w:val="18"/>
              </w:rPr>
            </w:pPr>
            <w:r w:rsidRPr="00C84DB6">
              <w:rPr>
                <w:rFonts w:eastAsia="SimSun"/>
                <w:sz w:val="18"/>
                <w:szCs w:val="18"/>
              </w:rPr>
              <w:t>0.068</w:t>
            </w:r>
          </w:p>
        </w:tc>
        <w:tc>
          <w:tcPr>
            <w:tcW w:w="1200" w:type="dxa"/>
            <w:tcMar>
              <w:left w:w="115" w:type="dxa"/>
              <w:right w:w="288" w:type="dxa"/>
            </w:tcMar>
            <w:vAlign w:val="center"/>
          </w:tcPr>
          <w:p w14:paraId="4C0032F7" w14:textId="77777777" w:rsidR="00C84DB6" w:rsidRPr="00C84DB6" w:rsidRDefault="00C84DB6" w:rsidP="00C84DB6">
            <w:pPr>
              <w:pStyle w:val="ExhibitText"/>
              <w:jc w:val="right"/>
              <w:rPr>
                <w:rFonts w:eastAsia="SimSun"/>
                <w:sz w:val="18"/>
                <w:szCs w:val="18"/>
              </w:rPr>
            </w:pPr>
          </w:p>
        </w:tc>
        <w:tc>
          <w:tcPr>
            <w:tcW w:w="1201" w:type="dxa"/>
            <w:noWrap/>
            <w:tcMar>
              <w:left w:w="115" w:type="dxa"/>
              <w:right w:w="288" w:type="dxa"/>
            </w:tcMar>
            <w:vAlign w:val="center"/>
          </w:tcPr>
          <w:p w14:paraId="7A2AEC8C" w14:textId="55EEFA2B" w:rsidR="00C84DB6" w:rsidRPr="00C84DB6" w:rsidRDefault="00C84DB6" w:rsidP="00C84DB6">
            <w:pPr>
              <w:pStyle w:val="ExhibitText"/>
              <w:jc w:val="right"/>
              <w:rPr>
                <w:rFonts w:eastAsia="SimSun"/>
                <w:sz w:val="18"/>
                <w:szCs w:val="18"/>
              </w:rPr>
            </w:pPr>
            <w:r w:rsidRPr="00C84DB6">
              <w:rPr>
                <w:rFonts w:eastAsia="SimSun"/>
                <w:sz w:val="18"/>
                <w:szCs w:val="18"/>
              </w:rPr>
              <w:t>0.107</w:t>
            </w:r>
          </w:p>
        </w:tc>
        <w:tc>
          <w:tcPr>
            <w:tcW w:w="1201" w:type="dxa"/>
            <w:noWrap/>
            <w:tcMar>
              <w:left w:w="115" w:type="dxa"/>
              <w:right w:w="288" w:type="dxa"/>
            </w:tcMar>
            <w:vAlign w:val="center"/>
          </w:tcPr>
          <w:p w14:paraId="5BC1BF9A" w14:textId="73F22638" w:rsidR="00C84DB6" w:rsidRPr="00C84DB6" w:rsidRDefault="00B41D82" w:rsidP="00C84DB6">
            <w:pPr>
              <w:pStyle w:val="ExhibitText"/>
              <w:jc w:val="right"/>
              <w:rPr>
                <w:rFonts w:eastAsia="SimSun"/>
                <w:sz w:val="18"/>
                <w:szCs w:val="18"/>
              </w:rPr>
            </w:pPr>
            <w:r>
              <w:rPr>
                <w:rFonts w:eastAsia="SimSun"/>
                <w:sz w:val="18"/>
                <w:szCs w:val="18"/>
              </w:rPr>
              <w:t>–</w:t>
            </w:r>
          </w:p>
        </w:tc>
        <w:tc>
          <w:tcPr>
            <w:tcW w:w="1201" w:type="dxa"/>
            <w:noWrap/>
            <w:tcMar>
              <w:left w:w="115" w:type="dxa"/>
              <w:right w:w="288" w:type="dxa"/>
            </w:tcMar>
            <w:vAlign w:val="center"/>
          </w:tcPr>
          <w:p w14:paraId="32E063D1" w14:textId="24A10F21" w:rsidR="00C84DB6" w:rsidRPr="00C84DB6" w:rsidRDefault="00C84DB6" w:rsidP="00C84DB6">
            <w:pPr>
              <w:pStyle w:val="ExhibitText"/>
              <w:jc w:val="right"/>
              <w:rPr>
                <w:rFonts w:eastAsia="SimSun"/>
                <w:sz w:val="18"/>
                <w:szCs w:val="18"/>
              </w:rPr>
            </w:pPr>
            <w:r w:rsidRPr="00C84DB6">
              <w:rPr>
                <w:rFonts w:eastAsia="SimSun"/>
                <w:sz w:val="18"/>
                <w:szCs w:val="18"/>
              </w:rPr>
              <w:t>0.175</w:t>
            </w:r>
          </w:p>
        </w:tc>
      </w:tr>
    </w:tbl>
    <w:p w14:paraId="60B757FD" w14:textId="5BE970CB" w:rsidR="008C2632" w:rsidRDefault="008C2632" w:rsidP="008C2632">
      <w:pPr>
        <w:pStyle w:val="Footnote"/>
        <w:rPr>
          <w:rFonts w:eastAsia="SimSun"/>
        </w:rPr>
      </w:pPr>
    </w:p>
    <w:p w14:paraId="2599040C" w14:textId="00C7F741" w:rsidR="00493383" w:rsidRPr="00444C9A" w:rsidRDefault="00493383" w:rsidP="00454CE9">
      <w:pPr>
        <w:pStyle w:val="Footnote"/>
        <w:jc w:val="both"/>
        <w:rPr>
          <w:rFonts w:eastAsia="SimSun"/>
        </w:rPr>
      </w:pPr>
      <w:r w:rsidRPr="00444C9A">
        <w:rPr>
          <w:rFonts w:eastAsia="SimSun"/>
        </w:rPr>
        <w:t xml:space="preserve">Note: </w:t>
      </w:r>
      <w:r w:rsidR="00CF0390">
        <w:rPr>
          <w:rFonts w:eastAsia="SimSun"/>
        </w:rPr>
        <w:t xml:space="preserve">SGD = </w:t>
      </w:r>
      <w:r w:rsidR="00251048">
        <w:rPr>
          <w:rFonts w:eastAsia="SimSun"/>
        </w:rPr>
        <w:t xml:space="preserve">S$ = </w:t>
      </w:r>
      <w:r w:rsidR="00CF0390">
        <w:rPr>
          <w:rFonts w:eastAsia="SimSun"/>
        </w:rPr>
        <w:t>Singapore dollar</w:t>
      </w:r>
      <w:r w:rsidR="00005435">
        <w:rPr>
          <w:rFonts w:eastAsia="SimSun"/>
        </w:rPr>
        <w:t>;</w:t>
      </w:r>
      <w:r w:rsidR="00CF0390" w:rsidRPr="00444C9A">
        <w:rPr>
          <w:rFonts w:eastAsia="SimSun"/>
        </w:rPr>
        <w:t xml:space="preserve"> </w:t>
      </w:r>
      <w:r w:rsidR="004D47A8">
        <w:rPr>
          <w:rFonts w:eastAsia="SimSun"/>
          <w:lang w:eastAsia="zh-CN"/>
        </w:rPr>
        <w:t xml:space="preserve">S$1 = US$0.744 and US$1 = S$1.344 on May 1, 2016; </w:t>
      </w:r>
      <w:r w:rsidR="004D47A8">
        <w:rPr>
          <w:rFonts w:eastAsia="SimSun"/>
        </w:rPr>
        <w:t>Q = quarter;</w:t>
      </w:r>
      <w:r w:rsidR="004D47A8" w:rsidRPr="00444C9A">
        <w:rPr>
          <w:rFonts w:eastAsia="SimSun"/>
        </w:rPr>
        <w:t xml:space="preserve"> </w:t>
      </w:r>
      <w:r w:rsidRPr="00444C9A">
        <w:rPr>
          <w:rFonts w:eastAsia="SimSun"/>
        </w:rPr>
        <w:t xml:space="preserve">Price </w:t>
      </w:r>
      <w:r w:rsidR="000A0285" w:rsidRPr="00444C9A">
        <w:rPr>
          <w:rFonts w:eastAsia="SimSun"/>
        </w:rPr>
        <w:t>is</w:t>
      </w:r>
      <w:r w:rsidRPr="00444C9A">
        <w:rPr>
          <w:rFonts w:eastAsia="SimSun"/>
        </w:rPr>
        <w:t xml:space="preserve"> the opening price of the year</w:t>
      </w:r>
      <w:r w:rsidR="008B1AAC">
        <w:rPr>
          <w:rFonts w:eastAsia="SimSun"/>
        </w:rPr>
        <w:t>.</w:t>
      </w:r>
    </w:p>
    <w:p w14:paraId="639CCBA5" w14:textId="5E49CB2C" w:rsidR="00C95FD5" w:rsidRPr="00454CE9" w:rsidRDefault="008C2632" w:rsidP="00454CE9">
      <w:pPr>
        <w:pStyle w:val="Footnote"/>
        <w:jc w:val="both"/>
        <w:rPr>
          <w:rFonts w:eastAsia="SimSun"/>
          <w:b/>
          <w:caps/>
        </w:rPr>
        <w:sectPr w:rsidR="00C95FD5" w:rsidRPr="00454CE9" w:rsidSect="00DA5BF0">
          <w:headerReference w:type="default" r:id="rId13"/>
          <w:endnotePr>
            <w:numFmt w:val="decimal"/>
          </w:endnotePr>
          <w:pgSz w:w="12240" w:h="15840"/>
          <w:pgMar w:top="1440" w:right="1440" w:bottom="1440" w:left="1440" w:header="1080" w:footer="720" w:gutter="0"/>
          <w:cols w:space="720"/>
          <w:titlePg/>
          <w:docGrid w:linePitch="360"/>
        </w:sectPr>
      </w:pPr>
      <w:r w:rsidRPr="008B1AAC">
        <w:rPr>
          <w:rFonts w:eastAsia="SimSun"/>
          <w:spacing w:val="-4"/>
        </w:rPr>
        <w:t xml:space="preserve">Source: </w:t>
      </w:r>
      <w:r w:rsidR="008B136A" w:rsidRPr="008B1AAC">
        <w:rPr>
          <w:rFonts w:eastAsia="SimSun"/>
          <w:spacing w:val="-4"/>
        </w:rPr>
        <w:t>C</w:t>
      </w:r>
      <w:r w:rsidR="00BD686D" w:rsidRPr="008B1AAC">
        <w:rPr>
          <w:rFonts w:eastAsia="SimSun"/>
          <w:spacing w:val="-4"/>
        </w:rPr>
        <w:t xml:space="preserve">reated by </w:t>
      </w:r>
      <w:r w:rsidR="00496496" w:rsidRPr="008B1AAC">
        <w:rPr>
          <w:rFonts w:eastAsia="SimSun"/>
          <w:spacing w:val="-4"/>
        </w:rPr>
        <w:t xml:space="preserve">the case </w:t>
      </w:r>
      <w:r w:rsidR="00BD686D" w:rsidRPr="008B1AAC">
        <w:rPr>
          <w:rFonts w:eastAsia="SimSun"/>
          <w:spacing w:val="-4"/>
        </w:rPr>
        <w:t xml:space="preserve">authors based on information from </w:t>
      </w:r>
      <w:r w:rsidR="004D47A8" w:rsidRPr="008B1AAC">
        <w:rPr>
          <w:rFonts w:eastAsia="SimSun"/>
          <w:spacing w:val="-4"/>
        </w:rPr>
        <w:t xml:space="preserve">DBS, </w:t>
      </w:r>
      <w:r w:rsidR="00454CE9" w:rsidRPr="008B1AAC">
        <w:rPr>
          <w:rFonts w:eastAsia="SimSun"/>
          <w:spacing w:val="-4"/>
        </w:rPr>
        <w:t>“Dividend Information,” accessed August 3, 2018,</w:t>
      </w:r>
      <w:r w:rsidR="00DB06A7" w:rsidRPr="008B1AAC">
        <w:rPr>
          <w:spacing w:val="-4"/>
        </w:rPr>
        <w:t xml:space="preserve"> </w:t>
      </w:r>
      <w:r w:rsidR="004D47A8" w:rsidRPr="008B1AAC">
        <w:rPr>
          <w:rFonts w:eastAsia="SimSun"/>
          <w:spacing w:val="-4"/>
        </w:rPr>
        <w:t xml:space="preserve">www.dbs.com/investor/dividend-information.html; </w:t>
      </w:r>
      <w:r w:rsidR="004D47A8" w:rsidRPr="008B1AAC">
        <w:rPr>
          <w:spacing w:val="-4"/>
        </w:rPr>
        <w:t xml:space="preserve">Singtel Telecommunications Limited, </w:t>
      </w:r>
      <w:r w:rsidR="00454CE9" w:rsidRPr="008B1AAC">
        <w:rPr>
          <w:spacing w:val="-4"/>
        </w:rPr>
        <w:t xml:space="preserve">“Dividends,” accessed July 9, 2018, www.singtel.com/about-Us/investor-relations/dividends; SMRT </w:t>
      </w:r>
      <w:r w:rsidR="00454CE9" w:rsidRPr="008B1AAC">
        <w:rPr>
          <w:i/>
          <w:spacing w:val="-4"/>
        </w:rPr>
        <w:t xml:space="preserve">Twin Tracks to Performance and Growth, </w:t>
      </w:r>
      <w:r w:rsidR="00454CE9" w:rsidRPr="008B1AAC">
        <w:rPr>
          <w:spacing w:val="-4"/>
        </w:rPr>
        <w:t>2016, accessed August 3, 2018, www.smrt.com.sg/Portals/0/InvestorRelations/Annual%20Report/2016/SMRT%20Annual%20Report%202016_LR.pdf</w:t>
      </w:r>
      <w:r w:rsidR="00DB06A7" w:rsidRPr="00454CE9">
        <w:rPr>
          <w:rFonts w:eastAsia="SimSun"/>
        </w:rPr>
        <w:t>.</w:t>
      </w:r>
    </w:p>
    <w:p w14:paraId="54B69E3A" w14:textId="79E067A0" w:rsidR="002603FA" w:rsidRPr="00444C9A" w:rsidRDefault="00402E54" w:rsidP="0079599D">
      <w:pPr>
        <w:pStyle w:val="ExhibitHeading"/>
        <w:rPr>
          <w:rFonts w:eastAsia="SimSun"/>
        </w:rPr>
      </w:pPr>
      <w:r w:rsidRPr="00444C9A">
        <w:rPr>
          <w:rFonts w:eastAsia="SimSun"/>
        </w:rPr>
        <w:lastRenderedPageBreak/>
        <w:t xml:space="preserve">Exhibit </w:t>
      </w:r>
      <w:r w:rsidR="00D45B22">
        <w:rPr>
          <w:rFonts w:eastAsia="SimSun"/>
        </w:rPr>
        <w:t>7</w:t>
      </w:r>
      <w:r w:rsidR="002603FA" w:rsidRPr="00444C9A">
        <w:rPr>
          <w:rFonts w:eastAsia="SimSun"/>
        </w:rPr>
        <w:t>: Singapore Airlines</w:t>
      </w:r>
      <w:r w:rsidR="008520DF">
        <w:rPr>
          <w:rFonts w:eastAsia="SimSun"/>
          <w:lang w:eastAsia="zh-CN"/>
        </w:rPr>
        <w:t>—</w:t>
      </w:r>
      <w:r w:rsidR="002603FA" w:rsidRPr="00444C9A">
        <w:rPr>
          <w:rFonts w:eastAsia="SimSun"/>
        </w:rPr>
        <w:t>Competitors’ dividends</w:t>
      </w:r>
    </w:p>
    <w:p w14:paraId="7CE0FCD2" w14:textId="77777777" w:rsidR="002603FA" w:rsidRPr="0079599D" w:rsidRDefault="002603FA" w:rsidP="0079599D">
      <w:pPr>
        <w:pStyle w:val="ExhibitText"/>
        <w:rPr>
          <w:rFonts w:eastAsia="SimSun"/>
        </w:rPr>
      </w:pPr>
    </w:p>
    <w:tbl>
      <w:tblPr>
        <w:tblW w:w="4944" w:type="pct"/>
        <w:jc w:val="center"/>
        <w:tblBorders>
          <w:top w:val="single" w:sz="4" w:space="0" w:color="auto"/>
          <w:bottom w:val="single" w:sz="4" w:space="0" w:color="auto"/>
        </w:tblBorders>
        <w:tblLook w:val="04A0" w:firstRow="1" w:lastRow="0" w:firstColumn="1" w:lastColumn="0" w:noHBand="0" w:noVBand="1"/>
      </w:tblPr>
      <w:tblGrid>
        <w:gridCol w:w="2877"/>
        <w:gridCol w:w="1273"/>
        <w:gridCol w:w="1275"/>
        <w:gridCol w:w="1278"/>
        <w:gridCol w:w="1276"/>
        <w:gridCol w:w="1276"/>
      </w:tblGrid>
      <w:tr w:rsidR="008520DF" w:rsidRPr="00B322B1" w14:paraId="0337EE10" w14:textId="77777777" w:rsidTr="008B1AAC">
        <w:trPr>
          <w:trHeight w:val="60"/>
          <w:jc w:val="center"/>
        </w:trPr>
        <w:tc>
          <w:tcPr>
            <w:tcW w:w="800" w:type="pct"/>
            <w:tcBorders>
              <w:top w:val="single" w:sz="4" w:space="0" w:color="auto"/>
              <w:bottom w:val="single" w:sz="12" w:space="0" w:color="auto"/>
            </w:tcBorders>
            <w:shd w:val="clear" w:color="auto" w:fill="auto"/>
            <w:noWrap/>
            <w:vAlign w:val="center"/>
          </w:tcPr>
          <w:p w14:paraId="78DADDA7" w14:textId="03C96B0E" w:rsidR="008520DF" w:rsidRPr="00B322B1" w:rsidRDefault="008520DF" w:rsidP="00B322B1">
            <w:pPr>
              <w:pStyle w:val="ExhibitText"/>
              <w:jc w:val="center"/>
              <w:rPr>
                <w:b/>
                <w:sz w:val="18"/>
                <w:szCs w:val="18"/>
                <w:lang w:eastAsia="zh-CN"/>
              </w:rPr>
            </w:pPr>
            <w:r w:rsidRPr="00B322B1">
              <w:rPr>
                <w:b/>
                <w:sz w:val="18"/>
                <w:szCs w:val="18"/>
                <w:lang w:eastAsia="zh-CN"/>
              </w:rPr>
              <w:t>Year</w:t>
            </w:r>
          </w:p>
        </w:tc>
        <w:tc>
          <w:tcPr>
            <w:tcW w:w="839" w:type="pct"/>
            <w:tcBorders>
              <w:top w:val="single" w:sz="4" w:space="0" w:color="auto"/>
              <w:bottom w:val="single" w:sz="12" w:space="0" w:color="auto"/>
            </w:tcBorders>
            <w:shd w:val="clear" w:color="auto" w:fill="auto"/>
            <w:noWrap/>
            <w:vAlign w:val="center"/>
          </w:tcPr>
          <w:p w14:paraId="7F763DF5" w14:textId="0E01809D" w:rsidR="008520DF" w:rsidRPr="00B322B1" w:rsidRDefault="008520DF" w:rsidP="00B322B1">
            <w:pPr>
              <w:pStyle w:val="ExhibitText"/>
              <w:jc w:val="center"/>
              <w:rPr>
                <w:b/>
                <w:sz w:val="18"/>
                <w:szCs w:val="18"/>
                <w:lang w:eastAsia="zh-CN"/>
              </w:rPr>
            </w:pPr>
            <w:r w:rsidRPr="00B322B1">
              <w:rPr>
                <w:b/>
                <w:sz w:val="18"/>
                <w:szCs w:val="18"/>
                <w:lang w:eastAsia="zh-CN"/>
              </w:rPr>
              <w:t>Price</w:t>
            </w:r>
          </w:p>
        </w:tc>
        <w:tc>
          <w:tcPr>
            <w:tcW w:w="840" w:type="pct"/>
            <w:tcBorders>
              <w:top w:val="single" w:sz="4" w:space="0" w:color="auto"/>
              <w:bottom w:val="single" w:sz="12" w:space="0" w:color="auto"/>
            </w:tcBorders>
            <w:shd w:val="clear" w:color="auto" w:fill="auto"/>
            <w:noWrap/>
            <w:vAlign w:val="center"/>
          </w:tcPr>
          <w:p w14:paraId="7633EE97" w14:textId="1D532C84" w:rsidR="008520DF" w:rsidRPr="00B322B1" w:rsidRDefault="008520DF" w:rsidP="00B322B1">
            <w:pPr>
              <w:pStyle w:val="ExhibitText"/>
              <w:jc w:val="center"/>
              <w:rPr>
                <w:b/>
                <w:sz w:val="18"/>
                <w:szCs w:val="18"/>
                <w:lang w:eastAsia="zh-CN"/>
              </w:rPr>
            </w:pPr>
            <w:r w:rsidRPr="00B322B1">
              <w:rPr>
                <w:b/>
                <w:sz w:val="18"/>
                <w:szCs w:val="18"/>
                <w:lang w:eastAsia="zh-CN"/>
              </w:rPr>
              <w:t>Interim</w:t>
            </w:r>
          </w:p>
        </w:tc>
        <w:tc>
          <w:tcPr>
            <w:tcW w:w="841" w:type="pct"/>
            <w:tcBorders>
              <w:top w:val="single" w:sz="4" w:space="0" w:color="auto"/>
              <w:bottom w:val="single" w:sz="12" w:space="0" w:color="auto"/>
            </w:tcBorders>
            <w:shd w:val="clear" w:color="auto" w:fill="auto"/>
            <w:noWrap/>
            <w:vAlign w:val="center"/>
          </w:tcPr>
          <w:p w14:paraId="41550A2C" w14:textId="3A6CED5B" w:rsidR="008520DF" w:rsidRPr="00B322B1" w:rsidRDefault="008520DF" w:rsidP="00B322B1">
            <w:pPr>
              <w:pStyle w:val="ExhibitText"/>
              <w:jc w:val="center"/>
              <w:rPr>
                <w:b/>
                <w:sz w:val="18"/>
                <w:szCs w:val="18"/>
                <w:lang w:eastAsia="zh-CN"/>
              </w:rPr>
            </w:pPr>
            <w:r w:rsidRPr="00B322B1">
              <w:rPr>
                <w:b/>
                <w:sz w:val="18"/>
                <w:szCs w:val="18"/>
                <w:lang w:eastAsia="zh-CN"/>
              </w:rPr>
              <w:t>Final</w:t>
            </w:r>
          </w:p>
        </w:tc>
        <w:tc>
          <w:tcPr>
            <w:tcW w:w="840" w:type="pct"/>
            <w:tcBorders>
              <w:top w:val="single" w:sz="4" w:space="0" w:color="auto"/>
              <w:bottom w:val="single" w:sz="12" w:space="0" w:color="auto"/>
            </w:tcBorders>
            <w:shd w:val="clear" w:color="auto" w:fill="auto"/>
            <w:noWrap/>
            <w:vAlign w:val="center"/>
          </w:tcPr>
          <w:p w14:paraId="76740270" w14:textId="060BEE82" w:rsidR="008520DF" w:rsidRPr="00B322B1" w:rsidRDefault="008520DF" w:rsidP="00B322B1">
            <w:pPr>
              <w:pStyle w:val="ExhibitText"/>
              <w:jc w:val="center"/>
              <w:rPr>
                <w:b/>
                <w:sz w:val="18"/>
                <w:szCs w:val="18"/>
                <w:lang w:eastAsia="zh-CN"/>
              </w:rPr>
            </w:pPr>
            <w:r w:rsidRPr="00B322B1">
              <w:rPr>
                <w:b/>
                <w:sz w:val="18"/>
                <w:szCs w:val="18"/>
                <w:lang w:eastAsia="zh-CN"/>
              </w:rPr>
              <w:t>Special</w:t>
            </w:r>
          </w:p>
        </w:tc>
        <w:tc>
          <w:tcPr>
            <w:tcW w:w="841" w:type="pct"/>
            <w:tcBorders>
              <w:top w:val="single" w:sz="4" w:space="0" w:color="auto"/>
              <w:bottom w:val="single" w:sz="12" w:space="0" w:color="auto"/>
            </w:tcBorders>
            <w:shd w:val="clear" w:color="auto" w:fill="auto"/>
            <w:noWrap/>
            <w:vAlign w:val="center"/>
          </w:tcPr>
          <w:p w14:paraId="5B8E7554" w14:textId="32CFDFE6" w:rsidR="008520DF" w:rsidRPr="00B322B1" w:rsidRDefault="008520DF" w:rsidP="00B322B1">
            <w:pPr>
              <w:pStyle w:val="ExhibitText"/>
              <w:jc w:val="center"/>
              <w:rPr>
                <w:b/>
                <w:sz w:val="18"/>
                <w:szCs w:val="18"/>
                <w:lang w:eastAsia="zh-CN"/>
              </w:rPr>
            </w:pPr>
            <w:r w:rsidRPr="00B322B1">
              <w:rPr>
                <w:b/>
                <w:sz w:val="18"/>
                <w:szCs w:val="18"/>
                <w:lang w:eastAsia="zh-CN"/>
              </w:rPr>
              <w:t>Total</w:t>
            </w:r>
          </w:p>
        </w:tc>
      </w:tr>
      <w:tr w:rsidR="00B322B1" w:rsidRPr="00B322B1" w14:paraId="05EF44C5" w14:textId="77777777" w:rsidTr="008B1AAC">
        <w:trPr>
          <w:trHeight w:val="40"/>
          <w:jc w:val="center"/>
        </w:trPr>
        <w:tc>
          <w:tcPr>
            <w:tcW w:w="800" w:type="pct"/>
            <w:tcBorders>
              <w:top w:val="single" w:sz="12" w:space="0" w:color="auto"/>
            </w:tcBorders>
            <w:shd w:val="clear" w:color="auto" w:fill="auto"/>
            <w:noWrap/>
            <w:vAlign w:val="center"/>
          </w:tcPr>
          <w:p w14:paraId="1AD22906" w14:textId="32FDC814" w:rsidR="008520DF" w:rsidRPr="00BF0F18" w:rsidRDefault="008520DF" w:rsidP="00BF0F18">
            <w:pPr>
              <w:pStyle w:val="ExhibitText"/>
              <w:jc w:val="center"/>
              <w:rPr>
                <w:b/>
                <w:sz w:val="18"/>
                <w:szCs w:val="18"/>
                <w:lang w:eastAsia="zh-CN"/>
              </w:rPr>
            </w:pPr>
            <w:r w:rsidRPr="00BF0F18">
              <w:rPr>
                <w:b/>
                <w:sz w:val="18"/>
                <w:szCs w:val="18"/>
                <w:lang w:eastAsia="zh-CN"/>
              </w:rPr>
              <w:t>Japan Airlines</w:t>
            </w:r>
            <w:r w:rsidR="000B4ECA">
              <w:rPr>
                <w:b/>
                <w:sz w:val="18"/>
                <w:szCs w:val="18"/>
                <w:lang w:eastAsia="zh-CN"/>
              </w:rPr>
              <w:t xml:space="preserve"> Co., Ltd.</w:t>
            </w:r>
          </w:p>
        </w:tc>
        <w:tc>
          <w:tcPr>
            <w:tcW w:w="839" w:type="pct"/>
            <w:tcBorders>
              <w:top w:val="single" w:sz="12" w:space="0" w:color="auto"/>
            </w:tcBorders>
            <w:shd w:val="clear" w:color="auto" w:fill="auto"/>
            <w:noWrap/>
            <w:tcMar>
              <w:left w:w="115" w:type="dxa"/>
              <w:right w:w="360" w:type="dxa"/>
            </w:tcMar>
            <w:vAlign w:val="center"/>
          </w:tcPr>
          <w:p w14:paraId="0B7C89C0" w14:textId="442876B3" w:rsidR="008520DF" w:rsidRPr="00B322B1" w:rsidRDefault="00B322B1" w:rsidP="00BF0F18">
            <w:pPr>
              <w:pStyle w:val="ExhibitText"/>
              <w:jc w:val="right"/>
              <w:rPr>
                <w:sz w:val="18"/>
                <w:szCs w:val="18"/>
                <w:lang w:eastAsia="zh-CN"/>
              </w:rPr>
            </w:pPr>
            <w:r w:rsidRPr="00B322B1">
              <w:rPr>
                <w:sz w:val="18"/>
                <w:szCs w:val="18"/>
                <w:lang w:eastAsia="zh-CN"/>
              </w:rPr>
              <w:t>(JPY)</w:t>
            </w:r>
          </w:p>
        </w:tc>
        <w:tc>
          <w:tcPr>
            <w:tcW w:w="840" w:type="pct"/>
            <w:tcBorders>
              <w:top w:val="single" w:sz="12" w:space="0" w:color="auto"/>
            </w:tcBorders>
            <w:shd w:val="clear" w:color="auto" w:fill="auto"/>
            <w:noWrap/>
            <w:vAlign w:val="center"/>
          </w:tcPr>
          <w:p w14:paraId="43BD3190" w14:textId="77777777" w:rsidR="008520DF" w:rsidRPr="00B322B1" w:rsidRDefault="008520DF" w:rsidP="00B322B1">
            <w:pPr>
              <w:pStyle w:val="ExhibitText"/>
              <w:rPr>
                <w:sz w:val="18"/>
                <w:szCs w:val="18"/>
                <w:lang w:eastAsia="zh-CN"/>
              </w:rPr>
            </w:pPr>
          </w:p>
        </w:tc>
        <w:tc>
          <w:tcPr>
            <w:tcW w:w="841" w:type="pct"/>
            <w:tcBorders>
              <w:top w:val="single" w:sz="12" w:space="0" w:color="auto"/>
            </w:tcBorders>
            <w:shd w:val="clear" w:color="auto" w:fill="auto"/>
            <w:noWrap/>
            <w:vAlign w:val="center"/>
          </w:tcPr>
          <w:p w14:paraId="4C233E99" w14:textId="77777777" w:rsidR="008520DF" w:rsidRPr="00B322B1" w:rsidRDefault="008520DF" w:rsidP="00B322B1">
            <w:pPr>
              <w:pStyle w:val="ExhibitText"/>
              <w:rPr>
                <w:sz w:val="18"/>
                <w:szCs w:val="18"/>
                <w:lang w:eastAsia="zh-CN"/>
              </w:rPr>
            </w:pPr>
          </w:p>
        </w:tc>
        <w:tc>
          <w:tcPr>
            <w:tcW w:w="840" w:type="pct"/>
            <w:tcBorders>
              <w:top w:val="single" w:sz="12" w:space="0" w:color="auto"/>
            </w:tcBorders>
            <w:shd w:val="clear" w:color="auto" w:fill="auto"/>
            <w:noWrap/>
            <w:vAlign w:val="center"/>
          </w:tcPr>
          <w:p w14:paraId="7F2552E3" w14:textId="77777777" w:rsidR="008520DF" w:rsidRPr="00B322B1" w:rsidRDefault="008520DF" w:rsidP="00B322B1">
            <w:pPr>
              <w:pStyle w:val="ExhibitText"/>
              <w:rPr>
                <w:sz w:val="18"/>
                <w:szCs w:val="18"/>
                <w:lang w:eastAsia="zh-CN"/>
              </w:rPr>
            </w:pPr>
          </w:p>
        </w:tc>
        <w:tc>
          <w:tcPr>
            <w:tcW w:w="841" w:type="pct"/>
            <w:tcBorders>
              <w:top w:val="single" w:sz="12" w:space="0" w:color="auto"/>
            </w:tcBorders>
            <w:shd w:val="clear" w:color="auto" w:fill="auto"/>
            <w:noWrap/>
            <w:vAlign w:val="center"/>
          </w:tcPr>
          <w:p w14:paraId="55E9D077" w14:textId="77777777" w:rsidR="008520DF" w:rsidRPr="00B322B1" w:rsidRDefault="008520DF" w:rsidP="00B322B1">
            <w:pPr>
              <w:pStyle w:val="ExhibitText"/>
              <w:rPr>
                <w:sz w:val="18"/>
                <w:szCs w:val="18"/>
                <w:lang w:eastAsia="zh-CN"/>
              </w:rPr>
            </w:pPr>
          </w:p>
        </w:tc>
      </w:tr>
      <w:tr w:rsidR="00B322B1" w:rsidRPr="00B322B1" w14:paraId="658EDE31" w14:textId="77777777" w:rsidTr="008B1AAC">
        <w:trPr>
          <w:trHeight w:val="70"/>
          <w:jc w:val="center"/>
        </w:trPr>
        <w:tc>
          <w:tcPr>
            <w:tcW w:w="800" w:type="pct"/>
            <w:shd w:val="clear" w:color="auto" w:fill="auto"/>
            <w:noWrap/>
            <w:vAlign w:val="center"/>
            <w:hideMark/>
          </w:tcPr>
          <w:p w14:paraId="584B6DF2" w14:textId="416107E9" w:rsidR="00782937" w:rsidRPr="00B322B1" w:rsidRDefault="00782937" w:rsidP="00B322B1">
            <w:pPr>
              <w:pStyle w:val="ExhibitText"/>
              <w:jc w:val="center"/>
              <w:rPr>
                <w:sz w:val="18"/>
                <w:szCs w:val="18"/>
                <w:lang w:eastAsia="zh-CN"/>
              </w:rPr>
            </w:pPr>
            <w:r w:rsidRPr="00B322B1">
              <w:rPr>
                <w:sz w:val="18"/>
                <w:szCs w:val="18"/>
                <w:lang w:eastAsia="zh-CN"/>
              </w:rPr>
              <w:t>03/2013</w:t>
            </w:r>
          </w:p>
        </w:tc>
        <w:tc>
          <w:tcPr>
            <w:tcW w:w="839" w:type="pct"/>
            <w:shd w:val="clear" w:color="auto" w:fill="auto"/>
            <w:noWrap/>
            <w:tcMar>
              <w:left w:w="115" w:type="dxa"/>
              <w:right w:w="360" w:type="dxa"/>
            </w:tcMar>
            <w:vAlign w:val="center"/>
            <w:hideMark/>
          </w:tcPr>
          <w:p w14:paraId="60C5CCA1" w14:textId="77777777" w:rsidR="00782937" w:rsidRPr="00B322B1" w:rsidRDefault="00782937" w:rsidP="00B322B1">
            <w:pPr>
              <w:pStyle w:val="ExhibitText"/>
              <w:jc w:val="right"/>
              <w:rPr>
                <w:sz w:val="18"/>
                <w:szCs w:val="18"/>
                <w:lang w:eastAsia="zh-CN"/>
              </w:rPr>
            </w:pPr>
            <w:r w:rsidRPr="00B322B1">
              <w:rPr>
                <w:sz w:val="18"/>
                <w:szCs w:val="18"/>
                <w:lang w:eastAsia="zh-CN"/>
              </w:rPr>
              <w:t>2,185</w:t>
            </w:r>
          </w:p>
        </w:tc>
        <w:tc>
          <w:tcPr>
            <w:tcW w:w="840" w:type="pct"/>
            <w:shd w:val="clear" w:color="auto" w:fill="auto"/>
            <w:noWrap/>
            <w:tcMar>
              <w:left w:w="115" w:type="dxa"/>
              <w:right w:w="360" w:type="dxa"/>
            </w:tcMar>
            <w:vAlign w:val="center"/>
            <w:hideMark/>
          </w:tcPr>
          <w:p w14:paraId="1F483606" w14:textId="50042E80" w:rsidR="00782937"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304D4F7C" w14:textId="074B811F" w:rsidR="00782937" w:rsidRPr="00B322B1" w:rsidRDefault="00782937" w:rsidP="00B322B1">
            <w:pPr>
              <w:pStyle w:val="ExhibitText"/>
              <w:jc w:val="right"/>
              <w:rPr>
                <w:sz w:val="18"/>
                <w:szCs w:val="18"/>
                <w:lang w:eastAsia="zh-CN"/>
              </w:rPr>
            </w:pPr>
            <w:r w:rsidRPr="00B322B1">
              <w:rPr>
                <w:sz w:val="18"/>
                <w:szCs w:val="18"/>
                <w:lang w:eastAsia="zh-CN"/>
              </w:rPr>
              <w:t>190</w:t>
            </w:r>
          </w:p>
        </w:tc>
        <w:tc>
          <w:tcPr>
            <w:tcW w:w="840" w:type="pct"/>
            <w:shd w:val="clear" w:color="auto" w:fill="auto"/>
            <w:noWrap/>
            <w:tcMar>
              <w:left w:w="115" w:type="dxa"/>
              <w:right w:w="360" w:type="dxa"/>
            </w:tcMar>
            <w:vAlign w:val="center"/>
            <w:hideMark/>
          </w:tcPr>
          <w:p w14:paraId="20EF1094" w14:textId="4B78C455" w:rsidR="00782937"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0E5BD104" w14:textId="24334A9B" w:rsidR="00782937" w:rsidRPr="00B322B1" w:rsidRDefault="00782937" w:rsidP="00B322B1">
            <w:pPr>
              <w:pStyle w:val="ExhibitText"/>
              <w:jc w:val="right"/>
              <w:rPr>
                <w:sz w:val="18"/>
                <w:szCs w:val="18"/>
                <w:lang w:eastAsia="zh-CN"/>
              </w:rPr>
            </w:pPr>
            <w:r w:rsidRPr="00B322B1">
              <w:rPr>
                <w:sz w:val="18"/>
                <w:szCs w:val="18"/>
                <w:lang w:eastAsia="zh-CN"/>
              </w:rPr>
              <w:t>190</w:t>
            </w:r>
          </w:p>
        </w:tc>
      </w:tr>
      <w:tr w:rsidR="00B322B1" w:rsidRPr="00B322B1" w14:paraId="36D6FDFD" w14:textId="77777777" w:rsidTr="008B1AAC">
        <w:trPr>
          <w:trHeight w:val="70"/>
          <w:jc w:val="center"/>
        </w:trPr>
        <w:tc>
          <w:tcPr>
            <w:tcW w:w="800" w:type="pct"/>
            <w:shd w:val="clear" w:color="auto" w:fill="auto"/>
            <w:noWrap/>
            <w:vAlign w:val="center"/>
          </w:tcPr>
          <w:p w14:paraId="274FF70B" w14:textId="5699644F" w:rsidR="003D41B6" w:rsidRPr="00B322B1" w:rsidRDefault="003D41B6" w:rsidP="00B322B1">
            <w:pPr>
              <w:pStyle w:val="ExhibitText"/>
              <w:jc w:val="center"/>
              <w:rPr>
                <w:sz w:val="18"/>
                <w:szCs w:val="18"/>
                <w:lang w:eastAsia="zh-CN"/>
              </w:rPr>
            </w:pPr>
            <w:r w:rsidRPr="00B322B1">
              <w:rPr>
                <w:sz w:val="18"/>
                <w:szCs w:val="18"/>
                <w:lang w:eastAsia="zh-CN"/>
              </w:rPr>
              <w:t>03/2014</w:t>
            </w:r>
          </w:p>
        </w:tc>
        <w:tc>
          <w:tcPr>
            <w:tcW w:w="839" w:type="pct"/>
            <w:shd w:val="clear" w:color="auto" w:fill="auto"/>
            <w:noWrap/>
            <w:tcMar>
              <w:left w:w="115" w:type="dxa"/>
              <w:right w:w="360" w:type="dxa"/>
            </w:tcMar>
            <w:vAlign w:val="center"/>
          </w:tcPr>
          <w:p w14:paraId="41C536F0" w14:textId="55AA1F36" w:rsidR="003D41B6" w:rsidRPr="00B322B1" w:rsidRDefault="003D41B6" w:rsidP="00B322B1">
            <w:pPr>
              <w:pStyle w:val="ExhibitText"/>
              <w:jc w:val="right"/>
              <w:rPr>
                <w:sz w:val="18"/>
                <w:szCs w:val="18"/>
                <w:lang w:eastAsia="zh-CN"/>
              </w:rPr>
            </w:pPr>
            <w:r w:rsidRPr="00B322B1">
              <w:rPr>
                <w:sz w:val="18"/>
                <w:szCs w:val="18"/>
                <w:lang w:eastAsia="zh-CN"/>
              </w:rPr>
              <w:t>2,540</w:t>
            </w:r>
          </w:p>
        </w:tc>
        <w:tc>
          <w:tcPr>
            <w:tcW w:w="840" w:type="pct"/>
            <w:shd w:val="clear" w:color="auto" w:fill="auto"/>
            <w:noWrap/>
            <w:tcMar>
              <w:left w:w="115" w:type="dxa"/>
              <w:right w:w="360" w:type="dxa"/>
            </w:tcMar>
            <w:vAlign w:val="center"/>
          </w:tcPr>
          <w:p w14:paraId="45D97C24" w14:textId="7310D6EE" w:rsidR="003D41B6" w:rsidRPr="00B322B1" w:rsidRDefault="00B41D82" w:rsidP="00B322B1">
            <w:pPr>
              <w:pStyle w:val="ExhibitText"/>
              <w:jc w:val="right"/>
              <w:rPr>
                <w:sz w:val="18"/>
                <w:szCs w:val="18"/>
                <w:lang w:eastAsia="zh-CN"/>
              </w:rPr>
            </w:pPr>
            <w:r>
              <w:rPr>
                <w:sz w:val="18"/>
                <w:szCs w:val="18"/>
                <w:lang w:eastAsia="zh-CN"/>
              </w:rPr>
              <w:softHyphen/>
              <w:t>–</w:t>
            </w:r>
          </w:p>
        </w:tc>
        <w:tc>
          <w:tcPr>
            <w:tcW w:w="841" w:type="pct"/>
            <w:shd w:val="clear" w:color="auto" w:fill="auto"/>
            <w:noWrap/>
            <w:tcMar>
              <w:left w:w="115" w:type="dxa"/>
              <w:right w:w="360" w:type="dxa"/>
            </w:tcMar>
            <w:vAlign w:val="center"/>
          </w:tcPr>
          <w:p w14:paraId="437C3A95" w14:textId="0C8D404E" w:rsidR="003D41B6" w:rsidRPr="00B322B1" w:rsidRDefault="003D41B6" w:rsidP="00B322B1">
            <w:pPr>
              <w:pStyle w:val="ExhibitText"/>
              <w:jc w:val="right"/>
              <w:rPr>
                <w:sz w:val="18"/>
                <w:szCs w:val="18"/>
                <w:lang w:eastAsia="zh-CN"/>
              </w:rPr>
            </w:pPr>
            <w:r w:rsidRPr="00B322B1">
              <w:rPr>
                <w:sz w:val="18"/>
                <w:szCs w:val="18"/>
                <w:lang w:eastAsia="zh-CN"/>
              </w:rPr>
              <w:t>160</w:t>
            </w:r>
          </w:p>
        </w:tc>
        <w:tc>
          <w:tcPr>
            <w:tcW w:w="840" w:type="pct"/>
            <w:shd w:val="clear" w:color="auto" w:fill="auto"/>
            <w:noWrap/>
            <w:tcMar>
              <w:left w:w="115" w:type="dxa"/>
              <w:right w:w="360" w:type="dxa"/>
            </w:tcMar>
            <w:vAlign w:val="center"/>
          </w:tcPr>
          <w:p w14:paraId="0FE0473D" w14:textId="6812516F" w:rsidR="003D41B6"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2A19B239" w14:textId="75E3E898" w:rsidR="003D41B6" w:rsidRPr="00B322B1" w:rsidRDefault="003D41B6" w:rsidP="00B322B1">
            <w:pPr>
              <w:pStyle w:val="ExhibitText"/>
              <w:jc w:val="right"/>
              <w:rPr>
                <w:sz w:val="18"/>
                <w:szCs w:val="18"/>
                <w:lang w:eastAsia="zh-CN"/>
              </w:rPr>
            </w:pPr>
            <w:r w:rsidRPr="00B322B1">
              <w:rPr>
                <w:sz w:val="18"/>
                <w:szCs w:val="18"/>
                <w:lang w:eastAsia="zh-CN"/>
              </w:rPr>
              <w:t>160</w:t>
            </w:r>
          </w:p>
        </w:tc>
      </w:tr>
      <w:tr w:rsidR="00B322B1" w:rsidRPr="00B322B1" w14:paraId="7EAE58AE" w14:textId="77777777" w:rsidTr="008B1AAC">
        <w:trPr>
          <w:trHeight w:val="70"/>
          <w:jc w:val="center"/>
        </w:trPr>
        <w:tc>
          <w:tcPr>
            <w:tcW w:w="800" w:type="pct"/>
            <w:shd w:val="clear" w:color="auto" w:fill="auto"/>
            <w:noWrap/>
            <w:vAlign w:val="center"/>
          </w:tcPr>
          <w:p w14:paraId="34EEF7DC" w14:textId="435EF559" w:rsidR="003D41B6" w:rsidRPr="00B322B1" w:rsidRDefault="003D41B6" w:rsidP="00B322B1">
            <w:pPr>
              <w:pStyle w:val="ExhibitText"/>
              <w:jc w:val="center"/>
              <w:rPr>
                <w:sz w:val="18"/>
                <w:szCs w:val="18"/>
                <w:lang w:eastAsia="zh-CN"/>
              </w:rPr>
            </w:pPr>
            <w:r w:rsidRPr="00B322B1">
              <w:rPr>
                <w:sz w:val="18"/>
                <w:szCs w:val="18"/>
                <w:lang w:eastAsia="zh-CN"/>
              </w:rPr>
              <w:t>03/2015</w:t>
            </w:r>
          </w:p>
        </w:tc>
        <w:tc>
          <w:tcPr>
            <w:tcW w:w="839" w:type="pct"/>
            <w:shd w:val="clear" w:color="auto" w:fill="auto"/>
            <w:noWrap/>
            <w:tcMar>
              <w:left w:w="115" w:type="dxa"/>
              <w:right w:w="360" w:type="dxa"/>
            </w:tcMar>
            <w:vAlign w:val="center"/>
          </w:tcPr>
          <w:p w14:paraId="4EA788A4" w14:textId="3E4E9A62" w:rsidR="003D41B6" w:rsidRPr="00B322B1" w:rsidRDefault="003D41B6" w:rsidP="00B322B1">
            <w:pPr>
              <w:pStyle w:val="ExhibitText"/>
              <w:jc w:val="right"/>
              <w:rPr>
                <w:sz w:val="18"/>
                <w:szCs w:val="18"/>
                <w:lang w:eastAsia="zh-CN"/>
              </w:rPr>
            </w:pPr>
            <w:r w:rsidRPr="00B322B1">
              <w:rPr>
                <w:sz w:val="18"/>
                <w:szCs w:val="18"/>
                <w:lang w:eastAsia="zh-CN"/>
              </w:rPr>
              <w:t>3,620</w:t>
            </w:r>
          </w:p>
        </w:tc>
        <w:tc>
          <w:tcPr>
            <w:tcW w:w="840" w:type="pct"/>
            <w:shd w:val="clear" w:color="auto" w:fill="auto"/>
            <w:noWrap/>
            <w:tcMar>
              <w:left w:w="115" w:type="dxa"/>
              <w:right w:w="360" w:type="dxa"/>
            </w:tcMar>
            <w:vAlign w:val="center"/>
          </w:tcPr>
          <w:p w14:paraId="0C31CDA1" w14:textId="21CAFB99" w:rsidR="003D41B6"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6DAA48FE" w14:textId="1FB95298" w:rsidR="003D41B6" w:rsidRPr="00B322B1" w:rsidRDefault="003D41B6" w:rsidP="00B322B1">
            <w:pPr>
              <w:pStyle w:val="ExhibitText"/>
              <w:jc w:val="right"/>
              <w:rPr>
                <w:sz w:val="18"/>
                <w:szCs w:val="18"/>
                <w:lang w:eastAsia="zh-CN"/>
              </w:rPr>
            </w:pPr>
            <w:r w:rsidRPr="00B322B1">
              <w:rPr>
                <w:sz w:val="18"/>
                <w:szCs w:val="18"/>
                <w:lang w:eastAsia="zh-CN"/>
              </w:rPr>
              <w:t>104</w:t>
            </w:r>
          </w:p>
        </w:tc>
        <w:tc>
          <w:tcPr>
            <w:tcW w:w="840" w:type="pct"/>
            <w:shd w:val="clear" w:color="auto" w:fill="auto"/>
            <w:noWrap/>
            <w:tcMar>
              <w:left w:w="115" w:type="dxa"/>
              <w:right w:w="360" w:type="dxa"/>
            </w:tcMar>
            <w:vAlign w:val="center"/>
          </w:tcPr>
          <w:p w14:paraId="38BF1842" w14:textId="0322E21F" w:rsidR="003D41B6"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161269AE" w14:textId="23A24C0A" w:rsidR="003D41B6" w:rsidRPr="00B322B1" w:rsidRDefault="003D41B6" w:rsidP="00B322B1">
            <w:pPr>
              <w:pStyle w:val="ExhibitText"/>
              <w:jc w:val="right"/>
              <w:rPr>
                <w:sz w:val="18"/>
                <w:szCs w:val="18"/>
                <w:lang w:eastAsia="zh-CN"/>
              </w:rPr>
            </w:pPr>
            <w:r w:rsidRPr="00B322B1">
              <w:rPr>
                <w:sz w:val="18"/>
                <w:szCs w:val="18"/>
                <w:lang w:eastAsia="zh-CN"/>
              </w:rPr>
              <w:t>104</w:t>
            </w:r>
          </w:p>
        </w:tc>
      </w:tr>
      <w:tr w:rsidR="00B322B1" w:rsidRPr="00B322B1" w14:paraId="6C40C0F2" w14:textId="77777777" w:rsidTr="008B1AAC">
        <w:trPr>
          <w:trHeight w:val="70"/>
          <w:jc w:val="center"/>
        </w:trPr>
        <w:tc>
          <w:tcPr>
            <w:tcW w:w="800" w:type="pct"/>
            <w:shd w:val="clear" w:color="auto" w:fill="auto"/>
            <w:noWrap/>
            <w:vAlign w:val="center"/>
          </w:tcPr>
          <w:p w14:paraId="018D0FD7" w14:textId="7072F078" w:rsidR="003D41B6" w:rsidRPr="00B322B1" w:rsidRDefault="003D41B6" w:rsidP="00B322B1">
            <w:pPr>
              <w:pStyle w:val="ExhibitText"/>
              <w:jc w:val="center"/>
              <w:rPr>
                <w:sz w:val="18"/>
                <w:szCs w:val="18"/>
                <w:lang w:eastAsia="zh-CN"/>
              </w:rPr>
            </w:pPr>
            <w:r w:rsidRPr="00B322B1">
              <w:rPr>
                <w:sz w:val="18"/>
                <w:szCs w:val="18"/>
                <w:lang w:eastAsia="zh-CN"/>
              </w:rPr>
              <w:t>03/2016</w:t>
            </w:r>
          </w:p>
        </w:tc>
        <w:tc>
          <w:tcPr>
            <w:tcW w:w="839" w:type="pct"/>
            <w:shd w:val="clear" w:color="auto" w:fill="auto"/>
            <w:noWrap/>
            <w:tcMar>
              <w:left w:w="115" w:type="dxa"/>
              <w:right w:w="360" w:type="dxa"/>
            </w:tcMar>
            <w:vAlign w:val="center"/>
          </w:tcPr>
          <w:p w14:paraId="1BA54BB4" w14:textId="1433D449" w:rsidR="003D41B6" w:rsidRPr="00B322B1" w:rsidRDefault="003D41B6" w:rsidP="00B322B1">
            <w:pPr>
              <w:pStyle w:val="ExhibitText"/>
              <w:jc w:val="right"/>
              <w:rPr>
                <w:sz w:val="18"/>
                <w:szCs w:val="18"/>
                <w:lang w:eastAsia="zh-CN"/>
              </w:rPr>
            </w:pPr>
            <w:r w:rsidRPr="00B322B1">
              <w:rPr>
                <w:sz w:val="18"/>
                <w:szCs w:val="18"/>
                <w:lang w:eastAsia="zh-CN"/>
              </w:rPr>
              <w:t>4,356</w:t>
            </w:r>
          </w:p>
        </w:tc>
        <w:tc>
          <w:tcPr>
            <w:tcW w:w="840" w:type="pct"/>
            <w:shd w:val="clear" w:color="auto" w:fill="auto"/>
            <w:noWrap/>
            <w:tcMar>
              <w:left w:w="115" w:type="dxa"/>
              <w:right w:w="360" w:type="dxa"/>
            </w:tcMar>
            <w:vAlign w:val="center"/>
          </w:tcPr>
          <w:p w14:paraId="2F55EC65" w14:textId="6C4961F3" w:rsidR="003D41B6"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0E5A9FEB" w14:textId="0AC16052" w:rsidR="003D41B6" w:rsidRPr="00B322B1" w:rsidRDefault="003D41B6" w:rsidP="00B322B1">
            <w:pPr>
              <w:pStyle w:val="ExhibitText"/>
              <w:jc w:val="right"/>
              <w:rPr>
                <w:sz w:val="18"/>
                <w:szCs w:val="18"/>
                <w:lang w:eastAsia="zh-CN"/>
              </w:rPr>
            </w:pPr>
            <w:r w:rsidRPr="00B322B1">
              <w:rPr>
                <w:sz w:val="18"/>
                <w:szCs w:val="18"/>
                <w:lang w:eastAsia="zh-CN"/>
              </w:rPr>
              <w:t>120</w:t>
            </w:r>
          </w:p>
        </w:tc>
        <w:tc>
          <w:tcPr>
            <w:tcW w:w="840" w:type="pct"/>
            <w:shd w:val="clear" w:color="auto" w:fill="auto"/>
            <w:noWrap/>
            <w:tcMar>
              <w:left w:w="115" w:type="dxa"/>
              <w:right w:w="360" w:type="dxa"/>
            </w:tcMar>
            <w:vAlign w:val="center"/>
          </w:tcPr>
          <w:p w14:paraId="45B5C590" w14:textId="563FAB4D" w:rsidR="003D41B6"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6968F692" w14:textId="538BF444" w:rsidR="003D41B6" w:rsidRPr="00B322B1" w:rsidRDefault="003D41B6" w:rsidP="00B322B1">
            <w:pPr>
              <w:pStyle w:val="ExhibitText"/>
              <w:jc w:val="right"/>
              <w:rPr>
                <w:sz w:val="18"/>
                <w:szCs w:val="18"/>
                <w:lang w:eastAsia="zh-CN"/>
              </w:rPr>
            </w:pPr>
            <w:r w:rsidRPr="00B322B1">
              <w:rPr>
                <w:sz w:val="18"/>
                <w:szCs w:val="18"/>
                <w:lang w:eastAsia="zh-CN"/>
              </w:rPr>
              <w:t>120</w:t>
            </w:r>
          </w:p>
        </w:tc>
      </w:tr>
      <w:tr w:rsidR="00B322B1" w:rsidRPr="00B322B1" w14:paraId="3DAD2D00" w14:textId="77777777" w:rsidTr="008B1AAC">
        <w:trPr>
          <w:trHeight w:val="70"/>
          <w:jc w:val="center"/>
        </w:trPr>
        <w:tc>
          <w:tcPr>
            <w:tcW w:w="800" w:type="pct"/>
            <w:shd w:val="clear" w:color="auto" w:fill="auto"/>
            <w:noWrap/>
            <w:vAlign w:val="center"/>
          </w:tcPr>
          <w:p w14:paraId="51A51FDC" w14:textId="77777777" w:rsidR="00B322B1" w:rsidRPr="00B322B1" w:rsidRDefault="00B322B1" w:rsidP="00B322B1">
            <w:pPr>
              <w:pStyle w:val="ExhibitText"/>
              <w:jc w:val="left"/>
              <w:rPr>
                <w:sz w:val="18"/>
                <w:szCs w:val="18"/>
                <w:lang w:eastAsia="zh-CN"/>
              </w:rPr>
            </w:pPr>
          </w:p>
        </w:tc>
        <w:tc>
          <w:tcPr>
            <w:tcW w:w="839" w:type="pct"/>
            <w:shd w:val="clear" w:color="auto" w:fill="auto"/>
            <w:noWrap/>
            <w:vAlign w:val="center"/>
          </w:tcPr>
          <w:p w14:paraId="46C415E2" w14:textId="77777777" w:rsidR="00B322B1" w:rsidRPr="00B322B1" w:rsidRDefault="00B322B1" w:rsidP="00B322B1">
            <w:pPr>
              <w:pStyle w:val="ExhibitText"/>
              <w:rPr>
                <w:sz w:val="18"/>
                <w:szCs w:val="18"/>
                <w:lang w:eastAsia="zh-CN"/>
              </w:rPr>
            </w:pPr>
          </w:p>
        </w:tc>
        <w:tc>
          <w:tcPr>
            <w:tcW w:w="840" w:type="pct"/>
            <w:shd w:val="clear" w:color="auto" w:fill="auto"/>
            <w:noWrap/>
            <w:vAlign w:val="center"/>
          </w:tcPr>
          <w:p w14:paraId="6B886C92" w14:textId="77777777" w:rsidR="00B322B1" w:rsidRPr="00B322B1" w:rsidRDefault="00B322B1" w:rsidP="00B322B1">
            <w:pPr>
              <w:pStyle w:val="ExhibitText"/>
              <w:rPr>
                <w:sz w:val="18"/>
                <w:szCs w:val="18"/>
                <w:lang w:eastAsia="zh-CN"/>
              </w:rPr>
            </w:pPr>
          </w:p>
        </w:tc>
        <w:tc>
          <w:tcPr>
            <w:tcW w:w="841" w:type="pct"/>
            <w:shd w:val="clear" w:color="auto" w:fill="auto"/>
            <w:noWrap/>
            <w:vAlign w:val="center"/>
          </w:tcPr>
          <w:p w14:paraId="6BBA0556" w14:textId="77777777" w:rsidR="00B322B1" w:rsidRPr="00B322B1" w:rsidRDefault="00B322B1" w:rsidP="00B322B1">
            <w:pPr>
              <w:pStyle w:val="ExhibitText"/>
              <w:rPr>
                <w:sz w:val="18"/>
                <w:szCs w:val="18"/>
                <w:lang w:eastAsia="zh-CN"/>
              </w:rPr>
            </w:pPr>
          </w:p>
        </w:tc>
        <w:tc>
          <w:tcPr>
            <w:tcW w:w="840" w:type="pct"/>
            <w:shd w:val="clear" w:color="auto" w:fill="auto"/>
            <w:noWrap/>
            <w:vAlign w:val="center"/>
          </w:tcPr>
          <w:p w14:paraId="5A6BAE73" w14:textId="77777777" w:rsidR="00B322B1" w:rsidRPr="00B322B1" w:rsidRDefault="00B322B1" w:rsidP="00B322B1">
            <w:pPr>
              <w:pStyle w:val="ExhibitText"/>
              <w:rPr>
                <w:sz w:val="18"/>
                <w:szCs w:val="18"/>
                <w:lang w:eastAsia="zh-CN"/>
              </w:rPr>
            </w:pPr>
          </w:p>
        </w:tc>
        <w:tc>
          <w:tcPr>
            <w:tcW w:w="841" w:type="pct"/>
            <w:shd w:val="clear" w:color="auto" w:fill="auto"/>
            <w:noWrap/>
            <w:vAlign w:val="center"/>
          </w:tcPr>
          <w:p w14:paraId="70105581" w14:textId="77777777" w:rsidR="00B322B1" w:rsidRPr="00B322B1" w:rsidRDefault="00B322B1" w:rsidP="00B322B1">
            <w:pPr>
              <w:pStyle w:val="ExhibitText"/>
              <w:rPr>
                <w:sz w:val="18"/>
                <w:szCs w:val="18"/>
                <w:lang w:eastAsia="zh-CN"/>
              </w:rPr>
            </w:pPr>
          </w:p>
        </w:tc>
      </w:tr>
      <w:tr w:rsidR="00BF0F18" w:rsidRPr="00B322B1" w14:paraId="5E1AC002" w14:textId="77777777" w:rsidTr="008B1AAC">
        <w:trPr>
          <w:trHeight w:val="70"/>
          <w:jc w:val="center"/>
        </w:trPr>
        <w:tc>
          <w:tcPr>
            <w:tcW w:w="800" w:type="pct"/>
            <w:shd w:val="clear" w:color="auto" w:fill="auto"/>
            <w:noWrap/>
            <w:vAlign w:val="center"/>
          </w:tcPr>
          <w:p w14:paraId="1C1292D8" w14:textId="4CF16D19" w:rsidR="008520DF" w:rsidRPr="00BF0F18" w:rsidRDefault="008520DF" w:rsidP="00BF0F18">
            <w:pPr>
              <w:pStyle w:val="ExhibitText"/>
              <w:jc w:val="center"/>
              <w:rPr>
                <w:b/>
                <w:sz w:val="18"/>
                <w:szCs w:val="18"/>
                <w:lang w:eastAsia="zh-CN"/>
              </w:rPr>
            </w:pPr>
            <w:r w:rsidRPr="00BF0F18">
              <w:rPr>
                <w:b/>
                <w:sz w:val="18"/>
                <w:szCs w:val="18"/>
                <w:lang w:eastAsia="zh-CN"/>
              </w:rPr>
              <w:t>Cathay Pacific</w:t>
            </w:r>
            <w:r w:rsidR="000B4ECA">
              <w:rPr>
                <w:b/>
                <w:sz w:val="18"/>
                <w:szCs w:val="18"/>
                <w:lang w:eastAsia="zh-CN"/>
              </w:rPr>
              <w:t xml:space="preserve"> Airways Limited</w:t>
            </w:r>
          </w:p>
        </w:tc>
        <w:tc>
          <w:tcPr>
            <w:tcW w:w="839" w:type="pct"/>
            <w:shd w:val="clear" w:color="auto" w:fill="auto"/>
            <w:noWrap/>
            <w:tcMar>
              <w:right w:w="360" w:type="dxa"/>
            </w:tcMar>
            <w:vAlign w:val="center"/>
          </w:tcPr>
          <w:p w14:paraId="0F982730" w14:textId="4129F2A2" w:rsidR="008520DF" w:rsidRPr="00B322B1" w:rsidRDefault="00B322B1" w:rsidP="00BF0F18">
            <w:pPr>
              <w:pStyle w:val="ExhibitText"/>
              <w:jc w:val="right"/>
              <w:rPr>
                <w:sz w:val="18"/>
                <w:szCs w:val="18"/>
                <w:lang w:eastAsia="zh-CN"/>
              </w:rPr>
            </w:pPr>
            <w:r w:rsidRPr="00B322B1">
              <w:rPr>
                <w:sz w:val="18"/>
                <w:szCs w:val="18"/>
                <w:lang w:eastAsia="zh-CN"/>
              </w:rPr>
              <w:t>(HKD)</w:t>
            </w:r>
          </w:p>
        </w:tc>
        <w:tc>
          <w:tcPr>
            <w:tcW w:w="840" w:type="pct"/>
            <w:shd w:val="clear" w:color="auto" w:fill="auto"/>
            <w:noWrap/>
            <w:vAlign w:val="center"/>
          </w:tcPr>
          <w:p w14:paraId="5B241130" w14:textId="77777777" w:rsidR="008520DF" w:rsidRPr="00B322B1" w:rsidRDefault="008520DF" w:rsidP="00B322B1">
            <w:pPr>
              <w:pStyle w:val="ExhibitText"/>
              <w:rPr>
                <w:sz w:val="18"/>
                <w:szCs w:val="18"/>
                <w:lang w:eastAsia="zh-CN"/>
              </w:rPr>
            </w:pPr>
          </w:p>
        </w:tc>
        <w:tc>
          <w:tcPr>
            <w:tcW w:w="841" w:type="pct"/>
            <w:shd w:val="clear" w:color="auto" w:fill="auto"/>
            <w:noWrap/>
            <w:vAlign w:val="center"/>
          </w:tcPr>
          <w:p w14:paraId="11B4337C" w14:textId="77777777" w:rsidR="008520DF" w:rsidRPr="00B322B1" w:rsidRDefault="008520DF" w:rsidP="00B322B1">
            <w:pPr>
              <w:pStyle w:val="ExhibitText"/>
              <w:rPr>
                <w:sz w:val="18"/>
                <w:szCs w:val="18"/>
                <w:lang w:eastAsia="zh-CN"/>
              </w:rPr>
            </w:pPr>
          </w:p>
        </w:tc>
        <w:tc>
          <w:tcPr>
            <w:tcW w:w="840" w:type="pct"/>
            <w:shd w:val="clear" w:color="auto" w:fill="auto"/>
            <w:noWrap/>
            <w:vAlign w:val="center"/>
          </w:tcPr>
          <w:p w14:paraId="4927D5BE" w14:textId="77777777" w:rsidR="008520DF" w:rsidRPr="00B322B1" w:rsidRDefault="008520DF" w:rsidP="00B322B1">
            <w:pPr>
              <w:pStyle w:val="ExhibitText"/>
              <w:rPr>
                <w:sz w:val="18"/>
                <w:szCs w:val="18"/>
                <w:lang w:eastAsia="zh-CN"/>
              </w:rPr>
            </w:pPr>
          </w:p>
        </w:tc>
        <w:tc>
          <w:tcPr>
            <w:tcW w:w="841" w:type="pct"/>
            <w:shd w:val="clear" w:color="auto" w:fill="auto"/>
            <w:noWrap/>
            <w:vAlign w:val="center"/>
          </w:tcPr>
          <w:p w14:paraId="183FAE9F" w14:textId="77777777" w:rsidR="008520DF" w:rsidRPr="00B322B1" w:rsidRDefault="008520DF" w:rsidP="00B322B1">
            <w:pPr>
              <w:pStyle w:val="ExhibitText"/>
              <w:rPr>
                <w:sz w:val="18"/>
                <w:szCs w:val="18"/>
                <w:lang w:eastAsia="zh-CN"/>
              </w:rPr>
            </w:pPr>
          </w:p>
        </w:tc>
      </w:tr>
      <w:tr w:rsidR="00B322B1" w:rsidRPr="00B322B1" w14:paraId="71FC03DC" w14:textId="77777777" w:rsidTr="008B1AAC">
        <w:trPr>
          <w:trHeight w:val="70"/>
          <w:jc w:val="center"/>
        </w:trPr>
        <w:tc>
          <w:tcPr>
            <w:tcW w:w="800" w:type="pct"/>
            <w:shd w:val="clear" w:color="auto" w:fill="auto"/>
            <w:noWrap/>
            <w:vAlign w:val="center"/>
            <w:hideMark/>
          </w:tcPr>
          <w:p w14:paraId="4CA3A78A" w14:textId="77777777" w:rsidR="0005343F" w:rsidRPr="00B322B1" w:rsidRDefault="0005343F" w:rsidP="00B322B1">
            <w:pPr>
              <w:pStyle w:val="ExhibitText"/>
              <w:jc w:val="center"/>
              <w:rPr>
                <w:sz w:val="18"/>
                <w:szCs w:val="18"/>
                <w:lang w:eastAsia="zh-CN"/>
              </w:rPr>
            </w:pPr>
            <w:r w:rsidRPr="00B322B1">
              <w:rPr>
                <w:sz w:val="18"/>
                <w:szCs w:val="18"/>
                <w:lang w:eastAsia="zh-CN"/>
              </w:rPr>
              <w:t>2006</w:t>
            </w:r>
          </w:p>
        </w:tc>
        <w:tc>
          <w:tcPr>
            <w:tcW w:w="839" w:type="pct"/>
            <w:shd w:val="clear" w:color="auto" w:fill="auto"/>
            <w:noWrap/>
            <w:tcMar>
              <w:left w:w="115" w:type="dxa"/>
              <w:right w:w="360" w:type="dxa"/>
            </w:tcMar>
            <w:vAlign w:val="center"/>
            <w:hideMark/>
          </w:tcPr>
          <w:p w14:paraId="3D5F367E" w14:textId="77777777" w:rsidR="0005343F" w:rsidRPr="00B322B1" w:rsidRDefault="0005343F" w:rsidP="00B322B1">
            <w:pPr>
              <w:pStyle w:val="ExhibitText"/>
              <w:jc w:val="right"/>
              <w:rPr>
                <w:sz w:val="18"/>
                <w:szCs w:val="18"/>
                <w:lang w:eastAsia="zh-CN"/>
              </w:rPr>
            </w:pPr>
            <w:r w:rsidRPr="00B322B1">
              <w:rPr>
                <w:sz w:val="18"/>
                <w:szCs w:val="18"/>
                <w:lang w:eastAsia="zh-CN"/>
              </w:rPr>
              <w:t>19.18</w:t>
            </w:r>
          </w:p>
        </w:tc>
        <w:tc>
          <w:tcPr>
            <w:tcW w:w="840" w:type="pct"/>
            <w:shd w:val="clear" w:color="auto" w:fill="auto"/>
            <w:noWrap/>
            <w:tcMar>
              <w:left w:w="115" w:type="dxa"/>
              <w:right w:w="360" w:type="dxa"/>
            </w:tcMar>
            <w:vAlign w:val="center"/>
            <w:hideMark/>
          </w:tcPr>
          <w:p w14:paraId="08BA660E" w14:textId="77777777" w:rsidR="0005343F" w:rsidRPr="00B322B1" w:rsidRDefault="0005343F" w:rsidP="00B322B1">
            <w:pPr>
              <w:pStyle w:val="ExhibitText"/>
              <w:jc w:val="right"/>
              <w:rPr>
                <w:sz w:val="18"/>
                <w:szCs w:val="18"/>
                <w:lang w:eastAsia="zh-CN"/>
              </w:rPr>
            </w:pPr>
            <w:r w:rsidRPr="00B322B1">
              <w:rPr>
                <w:sz w:val="18"/>
                <w:szCs w:val="18"/>
                <w:lang w:eastAsia="zh-CN"/>
              </w:rPr>
              <w:t>0.20</w:t>
            </w:r>
          </w:p>
        </w:tc>
        <w:tc>
          <w:tcPr>
            <w:tcW w:w="841" w:type="pct"/>
            <w:shd w:val="clear" w:color="auto" w:fill="auto"/>
            <w:noWrap/>
            <w:tcMar>
              <w:left w:w="115" w:type="dxa"/>
              <w:right w:w="360" w:type="dxa"/>
            </w:tcMar>
            <w:vAlign w:val="center"/>
            <w:hideMark/>
          </w:tcPr>
          <w:p w14:paraId="71E9D83C" w14:textId="77777777" w:rsidR="0005343F" w:rsidRPr="00B322B1" w:rsidRDefault="0005343F" w:rsidP="00B322B1">
            <w:pPr>
              <w:pStyle w:val="ExhibitText"/>
              <w:jc w:val="right"/>
              <w:rPr>
                <w:sz w:val="18"/>
                <w:szCs w:val="18"/>
                <w:lang w:eastAsia="zh-CN"/>
              </w:rPr>
            </w:pPr>
            <w:r w:rsidRPr="00B322B1">
              <w:rPr>
                <w:sz w:val="18"/>
                <w:szCs w:val="18"/>
                <w:lang w:eastAsia="zh-CN"/>
              </w:rPr>
              <w:t>0.32</w:t>
            </w:r>
          </w:p>
        </w:tc>
        <w:tc>
          <w:tcPr>
            <w:tcW w:w="840" w:type="pct"/>
            <w:shd w:val="clear" w:color="auto" w:fill="auto"/>
            <w:noWrap/>
            <w:tcMar>
              <w:left w:w="115" w:type="dxa"/>
              <w:right w:w="360" w:type="dxa"/>
            </w:tcMar>
            <w:vAlign w:val="center"/>
            <w:hideMark/>
          </w:tcPr>
          <w:p w14:paraId="33197BFF" w14:textId="77777777" w:rsidR="0005343F" w:rsidRPr="00B322B1" w:rsidRDefault="0005343F" w:rsidP="00B322B1">
            <w:pPr>
              <w:pStyle w:val="ExhibitText"/>
              <w:jc w:val="right"/>
              <w:rPr>
                <w:sz w:val="18"/>
                <w:szCs w:val="18"/>
                <w:lang w:eastAsia="zh-CN"/>
              </w:rPr>
            </w:pPr>
            <w:r w:rsidRPr="00B322B1">
              <w:rPr>
                <w:sz w:val="18"/>
                <w:szCs w:val="18"/>
                <w:lang w:eastAsia="zh-CN"/>
              </w:rPr>
              <w:t>0.32</w:t>
            </w:r>
          </w:p>
        </w:tc>
        <w:tc>
          <w:tcPr>
            <w:tcW w:w="841" w:type="pct"/>
            <w:shd w:val="clear" w:color="auto" w:fill="auto"/>
            <w:noWrap/>
            <w:tcMar>
              <w:left w:w="115" w:type="dxa"/>
              <w:right w:w="360" w:type="dxa"/>
            </w:tcMar>
            <w:vAlign w:val="center"/>
            <w:hideMark/>
          </w:tcPr>
          <w:p w14:paraId="73B6A566" w14:textId="77777777" w:rsidR="0005343F" w:rsidRPr="00B322B1" w:rsidRDefault="0005343F" w:rsidP="00B322B1">
            <w:pPr>
              <w:pStyle w:val="ExhibitText"/>
              <w:jc w:val="right"/>
              <w:rPr>
                <w:sz w:val="18"/>
                <w:szCs w:val="18"/>
                <w:lang w:eastAsia="zh-CN"/>
              </w:rPr>
            </w:pPr>
            <w:r w:rsidRPr="00B322B1">
              <w:rPr>
                <w:sz w:val="18"/>
                <w:szCs w:val="18"/>
                <w:lang w:eastAsia="zh-CN"/>
              </w:rPr>
              <w:t>0.84</w:t>
            </w:r>
          </w:p>
        </w:tc>
      </w:tr>
      <w:tr w:rsidR="00B322B1" w:rsidRPr="00B322B1" w14:paraId="5CDDE157" w14:textId="77777777" w:rsidTr="008B1AAC">
        <w:trPr>
          <w:trHeight w:val="70"/>
          <w:jc w:val="center"/>
        </w:trPr>
        <w:tc>
          <w:tcPr>
            <w:tcW w:w="800" w:type="pct"/>
            <w:shd w:val="clear" w:color="auto" w:fill="auto"/>
            <w:noWrap/>
            <w:vAlign w:val="center"/>
            <w:hideMark/>
          </w:tcPr>
          <w:p w14:paraId="6C2D0229" w14:textId="77777777" w:rsidR="0005343F" w:rsidRPr="00B322B1" w:rsidRDefault="0005343F" w:rsidP="00B322B1">
            <w:pPr>
              <w:pStyle w:val="ExhibitText"/>
              <w:jc w:val="center"/>
              <w:rPr>
                <w:sz w:val="18"/>
                <w:szCs w:val="18"/>
                <w:lang w:eastAsia="zh-CN"/>
              </w:rPr>
            </w:pPr>
            <w:r w:rsidRPr="00B322B1">
              <w:rPr>
                <w:sz w:val="18"/>
                <w:szCs w:val="18"/>
                <w:lang w:eastAsia="zh-CN"/>
              </w:rPr>
              <w:t>2007</w:t>
            </w:r>
          </w:p>
        </w:tc>
        <w:tc>
          <w:tcPr>
            <w:tcW w:w="839" w:type="pct"/>
            <w:shd w:val="clear" w:color="auto" w:fill="auto"/>
            <w:noWrap/>
            <w:tcMar>
              <w:left w:w="115" w:type="dxa"/>
              <w:right w:w="360" w:type="dxa"/>
            </w:tcMar>
            <w:vAlign w:val="center"/>
            <w:hideMark/>
          </w:tcPr>
          <w:p w14:paraId="15B8C6D3" w14:textId="77777777" w:rsidR="0005343F" w:rsidRPr="00B322B1" w:rsidRDefault="0005343F" w:rsidP="00B322B1">
            <w:pPr>
              <w:pStyle w:val="ExhibitText"/>
              <w:jc w:val="right"/>
              <w:rPr>
                <w:sz w:val="18"/>
                <w:szCs w:val="18"/>
                <w:lang w:eastAsia="zh-CN"/>
              </w:rPr>
            </w:pPr>
            <w:r w:rsidRPr="00B322B1">
              <w:rPr>
                <w:sz w:val="18"/>
                <w:szCs w:val="18"/>
                <w:lang w:eastAsia="zh-CN"/>
              </w:rPr>
              <w:t>20.40</w:t>
            </w:r>
          </w:p>
        </w:tc>
        <w:tc>
          <w:tcPr>
            <w:tcW w:w="840" w:type="pct"/>
            <w:shd w:val="clear" w:color="auto" w:fill="auto"/>
            <w:noWrap/>
            <w:tcMar>
              <w:left w:w="115" w:type="dxa"/>
              <w:right w:w="360" w:type="dxa"/>
            </w:tcMar>
            <w:vAlign w:val="center"/>
            <w:hideMark/>
          </w:tcPr>
          <w:p w14:paraId="6CB03DBA" w14:textId="77777777" w:rsidR="0005343F" w:rsidRPr="00B322B1" w:rsidRDefault="0005343F" w:rsidP="00B322B1">
            <w:pPr>
              <w:pStyle w:val="ExhibitText"/>
              <w:jc w:val="right"/>
              <w:rPr>
                <w:sz w:val="18"/>
                <w:szCs w:val="18"/>
                <w:lang w:eastAsia="zh-CN"/>
              </w:rPr>
            </w:pPr>
            <w:r w:rsidRPr="00B322B1">
              <w:rPr>
                <w:sz w:val="18"/>
                <w:szCs w:val="18"/>
                <w:lang w:eastAsia="zh-CN"/>
              </w:rPr>
              <w:t>0.25</w:t>
            </w:r>
          </w:p>
        </w:tc>
        <w:tc>
          <w:tcPr>
            <w:tcW w:w="841" w:type="pct"/>
            <w:shd w:val="clear" w:color="auto" w:fill="auto"/>
            <w:noWrap/>
            <w:tcMar>
              <w:left w:w="115" w:type="dxa"/>
              <w:right w:w="360" w:type="dxa"/>
            </w:tcMar>
            <w:vAlign w:val="center"/>
            <w:hideMark/>
          </w:tcPr>
          <w:p w14:paraId="403D07CD" w14:textId="77777777" w:rsidR="0005343F" w:rsidRPr="00B322B1" w:rsidRDefault="0005343F" w:rsidP="00B322B1">
            <w:pPr>
              <w:pStyle w:val="ExhibitText"/>
              <w:jc w:val="right"/>
              <w:rPr>
                <w:sz w:val="18"/>
                <w:szCs w:val="18"/>
                <w:lang w:eastAsia="zh-CN"/>
              </w:rPr>
            </w:pPr>
            <w:r w:rsidRPr="00B322B1">
              <w:rPr>
                <w:sz w:val="18"/>
                <w:szCs w:val="18"/>
                <w:lang w:eastAsia="zh-CN"/>
              </w:rPr>
              <w:t>0.59</w:t>
            </w:r>
          </w:p>
        </w:tc>
        <w:tc>
          <w:tcPr>
            <w:tcW w:w="840" w:type="pct"/>
            <w:shd w:val="clear" w:color="auto" w:fill="auto"/>
            <w:noWrap/>
            <w:tcMar>
              <w:left w:w="115" w:type="dxa"/>
              <w:right w:w="360" w:type="dxa"/>
            </w:tcMar>
            <w:vAlign w:val="center"/>
            <w:hideMark/>
          </w:tcPr>
          <w:p w14:paraId="00610770" w14:textId="639B9BD6" w:rsidR="0005343F"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2566FD80" w14:textId="77777777" w:rsidR="0005343F" w:rsidRPr="00B322B1" w:rsidRDefault="0005343F" w:rsidP="00B322B1">
            <w:pPr>
              <w:pStyle w:val="ExhibitText"/>
              <w:jc w:val="right"/>
              <w:rPr>
                <w:sz w:val="18"/>
                <w:szCs w:val="18"/>
                <w:lang w:eastAsia="zh-CN"/>
              </w:rPr>
            </w:pPr>
            <w:r w:rsidRPr="00B322B1">
              <w:rPr>
                <w:sz w:val="18"/>
                <w:szCs w:val="18"/>
                <w:lang w:eastAsia="zh-CN"/>
              </w:rPr>
              <w:t>0.84</w:t>
            </w:r>
          </w:p>
        </w:tc>
      </w:tr>
      <w:tr w:rsidR="00B322B1" w:rsidRPr="00B322B1" w14:paraId="4B745845" w14:textId="77777777" w:rsidTr="008B1AAC">
        <w:trPr>
          <w:trHeight w:val="70"/>
          <w:jc w:val="center"/>
        </w:trPr>
        <w:tc>
          <w:tcPr>
            <w:tcW w:w="800" w:type="pct"/>
            <w:shd w:val="clear" w:color="auto" w:fill="auto"/>
            <w:noWrap/>
            <w:vAlign w:val="center"/>
            <w:hideMark/>
          </w:tcPr>
          <w:p w14:paraId="471AAC6F" w14:textId="77777777" w:rsidR="0005343F" w:rsidRPr="00B322B1" w:rsidRDefault="0005343F" w:rsidP="00B322B1">
            <w:pPr>
              <w:pStyle w:val="ExhibitText"/>
              <w:jc w:val="center"/>
              <w:rPr>
                <w:sz w:val="18"/>
                <w:szCs w:val="18"/>
                <w:lang w:eastAsia="zh-CN"/>
              </w:rPr>
            </w:pPr>
            <w:r w:rsidRPr="00B322B1">
              <w:rPr>
                <w:sz w:val="18"/>
                <w:szCs w:val="18"/>
                <w:lang w:eastAsia="zh-CN"/>
              </w:rPr>
              <w:t>2008</w:t>
            </w:r>
          </w:p>
        </w:tc>
        <w:tc>
          <w:tcPr>
            <w:tcW w:w="839" w:type="pct"/>
            <w:shd w:val="clear" w:color="auto" w:fill="auto"/>
            <w:noWrap/>
            <w:tcMar>
              <w:left w:w="115" w:type="dxa"/>
              <w:right w:w="360" w:type="dxa"/>
            </w:tcMar>
            <w:vAlign w:val="center"/>
            <w:hideMark/>
          </w:tcPr>
          <w:p w14:paraId="6555F264" w14:textId="77777777" w:rsidR="0005343F" w:rsidRPr="00B322B1" w:rsidRDefault="0005343F" w:rsidP="00B322B1">
            <w:pPr>
              <w:pStyle w:val="ExhibitText"/>
              <w:jc w:val="right"/>
              <w:rPr>
                <w:sz w:val="18"/>
                <w:szCs w:val="18"/>
                <w:lang w:eastAsia="zh-CN"/>
              </w:rPr>
            </w:pPr>
            <w:r w:rsidRPr="00B322B1">
              <w:rPr>
                <w:sz w:val="18"/>
                <w:szCs w:val="18"/>
                <w:lang w:eastAsia="zh-CN"/>
              </w:rPr>
              <w:t>8.72</w:t>
            </w:r>
          </w:p>
        </w:tc>
        <w:tc>
          <w:tcPr>
            <w:tcW w:w="840" w:type="pct"/>
            <w:shd w:val="clear" w:color="auto" w:fill="auto"/>
            <w:noWrap/>
            <w:tcMar>
              <w:left w:w="115" w:type="dxa"/>
              <w:right w:w="360" w:type="dxa"/>
            </w:tcMar>
            <w:vAlign w:val="center"/>
            <w:hideMark/>
          </w:tcPr>
          <w:p w14:paraId="2D40DEE4" w14:textId="77777777" w:rsidR="0005343F" w:rsidRPr="00B322B1" w:rsidRDefault="0005343F" w:rsidP="00B322B1">
            <w:pPr>
              <w:pStyle w:val="ExhibitText"/>
              <w:jc w:val="right"/>
              <w:rPr>
                <w:sz w:val="18"/>
                <w:szCs w:val="18"/>
                <w:lang w:eastAsia="zh-CN"/>
              </w:rPr>
            </w:pPr>
            <w:r w:rsidRPr="00B322B1">
              <w:rPr>
                <w:sz w:val="18"/>
                <w:szCs w:val="18"/>
                <w:lang w:eastAsia="zh-CN"/>
              </w:rPr>
              <w:t>0.03</w:t>
            </w:r>
          </w:p>
        </w:tc>
        <w:tc>
          <w:tcPr>
            <w:tcW w:w="841" w:type="pct"/>
            <w:shd w:val="clear" w:color="auto" w:fill="auto"/>
            <w:noWrap/>
            <w:tcMar>
              <w:left w:w="115" w:type="dxa"/>
              <w:right w:w="360" w:type="dxa"/>
            </w:tcMar>
            <w:vAlign w:val="center"/>
            <w:hideMark/>
          </w:tcPr>
          <w:p w14:paraId="2CB38E45" w14:textId="63B64C0A" w:rsidR="0005343F" w:rsidRPr="00B322B1" w:rsidRDefault="00B41D82" w:rsidP="00B322B1">
            <w:pPr>
              <w:pStyle w:val="ExhibitText"/>
              <w:jc w:val="right"/>
              <w:rPr>
                <w:sz w:val="18"/>
                <w:szCs w:val="18"/>
                <w:lang w:eastAsia="zh-CN"/>
              </w:rPr>
            </w:pPr>
            <w:r>
              <w:rPr>
                <w:sz w:val="18"/>
                <w:szCs w:val="18"/>
                <w:lang w:eastAsia="zh-CN"/>
              </w:rPr>
              <w:t>–</w:t>
            </w:r>
          </w:p>
        </w:tc>
        <w:tc>
          <w:tcPr>
            <w:tcW w:w="840" w:type="pct"/>
            <w:shd w:val="clear" w:color="auto" w:fill="auto"/>
            <w:noWrap/>
            <w:tcMar>
              <w:left w:w="115" w:type="dxa"/>
              <w:right w:w="360" w:type="dxa"/>
            </w:tcMar>
            <w:vAlign w:val="center"/>
            <w:hideMark/>
          </w:tcPr>
          <w:p w14:paraId="7F65C4CE" w14:textId="638FF9AA" w:rsidR="0005343F"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7E3C0792" w14:textId="77777777" w:rsidR="0005343F" w:rsidRPr="00B322B1" w:rsidRDefault="0005343F" w:rsidP="00B322B1">
            <w:pPr>
              <w:pStyle w:val="ExhibitText"/>
              <w:jc w:val="right"/>
              <w:rPr>
                <w:sz w:val="18"/>
                <w:szCs w:val="18"/>
                <w:lang w:eastAsia="zh-CN"/>
              </w:rPr>
            </w:pPr>
            <w:r w:rsidRPr="00B322B1">
              <w:rPr>
                <w:sz w:val="18"/>
                <w:szCs w:val="18"/>
                <w:lang w:eastAsia="zh-CN"/>
              </w:rPr>
              <w:t>0.03</w:t>
            </w:r>
          </w:p>
        </w:tc>
      </w:tr>
      <w:tr w:rsidR="00B322B1" w:rsidRPr="00B322B1" w14:paraId="0FADE4C0" w14:textId="77777777" w:rsidTr="008B1AAC">
        <w:trPr>
          <w:trHeight w:val="70"/>
          <w:jc w:val="center"/>
        </w:trPr>
        <w:tc>
          <w:tcPr>
            <w:tcW w:w="800" w:type="pct"/>
            <w:shd w:val="clear" w:color="auto" w:fill="auto"/>
            <w:noWrap/>
            <w:vAlign w:val="center"/>
            <w:hideMark/>
          </w:tcPr>
          <w:p w14:paraId="496B2F6D" w14:textId="77777777" w:rsidR="0005343F" w:rsidRPr="00B322B1" w:rsidRDefault="0005343F" w:rsidP="00B322B1">
            <w:pPr>
              <w:pStyle w:val="ExhibitText"/>
              <w:jc w:val="center"/>
              <w:rPr>
                <w:sz w:val="18"/>
                <w:szCs w:val="18"/>
                <w:lang w:eastAsia="zh-CN"/>
              </w:rPr>
            </w:pPr>
            <w:r w:rsidRPr="00B322B1">
              <w:rPr>
                <w:sz w:val="18"/>
                <w:szCs w:val="18"/>
                <w:lang w:eastAsia="zh-CN"/>
              </w:rPr>
              <w:t>2009</w:t>
            </w:r>
          </w:p>
        </w:tc>
        <w:tc>
          <w:tcPr>
            <w:tcW w:w="839" w:type="pct"/>
            <w:shd w:val="clear" w:color="auto" w:fill="auto"/>
            <w:noWrap/>
            <w:tcMar>
              <w:left w:w="115" w:type="dxa"/>
              <w:right w:w="360" w:type="dxa"/>
            </w:tcMar>
            <w:vAlign w:val="center"/>
            <w:hideMark/>
          </w:tcPr>
          <w:p w14:paraId="300732B4" w14:textId="77777777" w:rsidR="0005343F" w:rsidRPr="00B322B1" w:rsidRDefault="0005343F" w:rsidP="00B322B1">
            <w:pPr>
              <w:pStyle w:val="ExhibitText"/>
              <w:jc w:val="right"/>
              <w:rPr>
                <w:sz w:val="18"/>
                <w:szCs w:val="18"/>
                <w:lang w:eastAsia="zh-CN"/>
              </w:rPr>
            </w:pPr>
            <w:r w:rsidRPr="00B322B1">
              <w:rPr>
                <w:sz w:val="18"/>
                <w:szCs w:val="18"/>
                <w:lang w:eastAsia="zh-CN"/>
              </w:rPr>
              <w:t>14.48</w:t>
            </w:r>
          </w:p>
        </w:tc>
        <w:tc>
          <w:tcPr>
            <w:tcW w:w="840" w:type="pct"/>
            <w:shd w:val="clear" w:color="auto" w:fill="auto"/>
            <w:noWrap/>
            <w:tcMar>
              <w:left w:w="115" w:type="dxa"/>
              <w:right w:w="360" w:type="dxa"/>
            </w:tcMar>
            <w:vAlign w:val="center"/>
            <w:hideMark/>
          </w:tcPr>
          <w:p w14:paraId="1F30EF85" w14:textId="2569ED63" w:rsidR="0005343F"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336189C6" w14:textId="77777777" w:rsidR="0005343F" w:rsidRPr="00B322B1" w:rsidRDefault="0005343F" w:rsidP="00B322B1">
            <w:pPr>
              <w:pStyle w:val="ExhibitText"/>
              <w:jc w:val="right"/>
              <w:rPr>
                <w:sz w:val="18"/>
                <w:szCs w:val="18"/>
                <w:lang w:eastAsia="zh-CN"/>
              </w:rPr>
            </w:pPr>
            <w:r w:rsidRPr="00B322B1">
              <w:rPr>
                <w:sz w:val="18"/>
                <w:szCs w:val="18"/>
                <w:lang w:eastAsia="zh-CN"/>
              </w:rPr>
              <w:t>0.10</w:t>
            </w:r>
          </w:p>
        </w:tc>
        <w:tc>
          <w:tcPr>
            <w:tcW w:w="840" w:type="pct"/>
            <w:shd w:val="clear" w:color="auto" w:fill="auto"/>
            <w:noWrap/>
            <w:tcMar>
              <w:left w:w="115" w:type="dxa"/>
              <w:right w:w="360" w:type="dxa"/>
            </w:tcMar>
            <w:vAlign w:val="center"/>
            <w:hideMark/>
          </w:tcPr>
          <w:p w14:paraId="3FEF3D35" w14:textId="6BC4C7C1" w:rsidR="0005343F"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580BF0A5" w14:textId="77777777" w:rsidR="0005343F" w:rsidRPr="00B322B1" w:rsidRDefault="0005343F" w:rsidP="00B322B1">
            <w:pPr>
              <w:pStyle w:val="ExhibitText"/>
              <w:jc w:val="right"/>
              <w:rPr>
                <w:sz w:val="18"/>
                <w:szCs w:val="18"/>
                <w:lang w:eastAsia="zh-CN"/>
              </w:rPr>
            </w:pPr>
            <w:r w:rsidRPr="00B322B1">
              <w:rPr>
                <w:sz w:val="18"/>
                <w:szCs w:val="18"/>
                <w:lang w:eastAsia="zh-CN"/>
              </w:rPr>
              <w:t>0.10</w:t>
            </w:r>
          </w:p>
        </w:tc>
      </w:tr>
      <w:tr w:rsidR="00B322B1" w:rsidRPr="00B322B1" w14:paraId="5D433265" w14:textId="77777777" w:rsidTr="008B1AAC">
        <w:trPr>
          <w:trHeight w:val="70"/>
          <w:jc w:val="center"/>
        </w:trPr>
        <w:tc>
          <w:tcPr>
            <w:tcW w:w="800" w:type="pct"/>
            <w:shd w:val="clear" w:color="auto" w:fill="auto"/>
            <w:noWrap/>
            <w:vAlign w:val="center"/>
            <w:hideMark/>
          </w:tcPr>
          <w:p w14:paraId="1D2D56BE" w14:textId="77777777" w:rsidR="0005343F" w:rsidRPr="00B322B1" w:rsidRDefault="0005343F" w:rsidP="00B322B1">
            <w:pPr>
              <w:pStyle w:val="ExhibitText"/>
              <w:jc w:val="center"/>
              <w:rPr>
                <w:sz w:val="18"/>
                <w:szCs w:val="18"/>
                <w:lang w:eastAsia="zh-CN"/>
              </w:rPr>
            </w:pPr>
            <w:r w:rsidRPr="00B322B1">
              <w:rPr>
                <w:sz w:val="18"/>
                <w:szCs w:val="18"/>
                <w:lang w:eastAsia="zh-CN"/>
              </w:rPr>
              <w:t>2010</w:t>
            </w:r>
          </w:p>
        </w:tc>
        <w:tc>
          <w:tcPr>
            <w:tcW w:w="839" w:type="pct"/>
            <w:shd w:val="clear" w:color="auto" w:fill="auto"/>
            <w:noWrap/>
            <w:tcMar>
              <w:left w:w="115" w:type="dxa"/>
              <w:right w:w="360" w:type="dxa"/>
            </w:tcMar>
            <w:vAlign w:val="center"/>
            <w:hideMark/>
          </w:tcPr>
          <w:p w14:paraId="6F658B51" w14:textId="77777777" w:rsidR="0005343F" w:rsidRPr="00B322B1" w:rsidRDefault="0005343F" w:rsidP="00B322B1">
            <w:pPr>
              <w:pStyle w:val="ExhibitText"/>
              <w:jc w:val="right"/>
              <w:rPr>
                <w:sz w:val="18"/>
                <w:szCs w:val="18"/>
                <w:lang w:eastAsia="zh-CN"/>
              </w:rPr>
            </w:pPr>
            <w:r w:rsidRPr="00B322B1">
              <w:rPr>
                <w:sz w:val="18"/>
                <w:szCs w:val="18"/>
                <w:lang w:eastAsia="zh-CN"/>
              </w:rPr>
              <w:t>21.45</w:t>
            </w:r>
          </w:p>
        </w:tc>
        <w:tc>
          <w:tcPr>
            <w:tcW w:w="840" w:type="pct"/>
            <w:shd w:val="clear" w:color="auto" w:fill="auto"/>
            <w:noWrap/>
            <w:tcMar>
              <w:left w:w="115" w:type="dxa"/>
              <w:right w:w="360" w:type="dxa"/>
            </w:tcMar>
            <w:vAlign w:val="center"/>
            <w:hideMark/>
          </w:tcPr>
          <w:p w14:paraId="259E8987" w14:textId="77777777" w:rsidR="0005343F" w:rsidRPr="00B322B1" w:rsidRDefault="0005343F" w:rsidP="00B322B1">
            <w:pPr>
              <w:pStyle w:val="ExhibitText"/>
              <w:jc w:val="right"/>
              <w:rPr>
                <w:sz w:val="18"/>
                <w:szCs w:val="18"/>
                <w:lang w:eastAsia="zh-CN"/>
              </w:rPr>
            </w:pPr>
            <w:r w:rsidRPr="00B322B1">
              <w:rPr>
                <w:sz w:val="18"/>
                <w:szCs w:val="18"/>
                <w:lang w:eastAsia="zh-CN"/>
              </w:rPr>
              <w:t>0.33</w:t>
            </w:r>
          </w:p>
        </w:tc>
        <w:tc>
          <w:tcPr>
            <w:tcW w:w="841" w:type="pct"/>
            <w:shd w:val="clear" w:color="auto" w:fill="auto"/>
            <w:noWrap/>
            <w:tcMar>
              <w:left w:w="115" w:type="dxa"/>
              <w:right w:w="360" w:type="dxa"/>
            </w:tcMar>
            <w:vAlign w:val="center"/>
            <w:hideMark/>
          </w:tcPr>
          <w:p w14:paraId="4E0ED77C" w14:textId="77777777" w:rsidR="0005343F" w:rsidRPr="00B322B1" w:rsidRDefault="0005343F" w:rsidP="00B322B1">
            <w:pPr>
              <w:pStyle w:val="ExhibitText"/>
              <w:jc w:val="right"/>
              <w:rPr>
                <w:sz w:val="18"/>
                <w:szCs w:val="18"/>
                <w:lang w:eastAsia="zh-CN"/>
              </w:rPr>
            </w:pPr>
            <w:r w:rsidRPr="00B322B1">
              <w:rPr>
                <w:sz w:val="18"/>
                <w:szCs w:val="18"/>
                <w:lang w:eastAsia="zh-CN"/>
              </w:rPr>
              <w:t>0.78</w:t>
            </w:r>
          </w:p>
        </w:tc>
        <w:tc>
          <w:tcPr>
            <w:tcW w:w="840" w:type="pct"/>
            <w:shd w:val="clear" w:color="auto" w:fill="auto"/>
            <w:noWrap/>
            <w:tcMar>
              <w:left w:w="115" w:type="dxa"/>
              <w:right w:w="360" w:type="dxa"/>
            </w:tcMar>
            <w:vAlign w:val="center"/>
            <w:hideMark/>
          </w:tcPr>
          <w:p w14:paraId="2A6D88EA" w14:textId="77301A51" w:rsidR="0005343F"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472A3CD1" w14:textId="77777777" w:rsidR="0005343F" w:rsidRPr="00B322B1" w:rsidRDefault="0005343F" w:rsidP="00B322B1">
            <w:pPr>
              <w:pStyle w:val="ExhibitText"/>
              <w:jc w:val="right"/>
              <w:rPr>
                <w:sz w:val="18"/>
                <w:szCs w:val="18"/>
                <w:lang w:eastAsia="zh-CN"/>
              </w:rPr>
            </w:pPr>
            <w:r w:rsidRPr="00B322B1">
              <w:rPr>
                <w:sz w:val="18"/>
                <w:szCs w:val="18"/>
                <w:lang w:eastAsia="zh-CN"/>
              </w:rPr>
              <w:t>1.11</w:t>
            </w:r>
          </w:p>
        </w:tc>
      </w:tr>
      <w:tr w:rsidR="00B322B1" w:rsidRPr="00B322B1" w14:paraId="4CE94BF1" w14:textId="77777777" w:rsidTr="008B1AAC">
        <w:trPr>
          <w:trHeight w:val="70"/>
          <w:jc w:val="center"/>
        </w:trPr>
        <w:tc>
          <w:tcPr>
            <w:tcW w:w="800" w:type="pct"/>
            <w:shd w:val="clear" w:color="auto" w:fill="auto"/>
            <w:noWrap/>
            <w:vAlign w:val="center"/>
            <w:hideMark/>
          </w:tcPr>
          <w:p w14:paraId="75F14639" w14:textId="77777777" w:rsidR="0005343F" w:rsidRPr="00B322B1" w:rsidRDefault="0005343F" w:rsidP="00B322B1">
            <w:pPr>
              <w:pStyle w:val="ExhibitText"/>
              <w:jc w:val="center"/>
              <w:rPr>
                <w:sz w:val="18"/>
                <w:szCs w:val="18"/>
                <w:lang w:eastAsia="zh-CN"/>
              </w:rPr>
            </w:pPr>
            <w:r w:rsidRPr="00B322B1">
              <w:rPr>
                <w:sz w:val="18"/>
                <w:szCs w:val="18"/>
                <w:lang w:eastAsia="zh-CN"/>
              </w:rPr>
              <w:t>2011</w:t>
            </w:r>
          </w:p>
        </w:tc>
        <w:tc>
          <w:tcPr>
            <w:tcW w:w="839" w:type="pct"/>
            <w:shd w:val="clear" w:color="auto" w:fill="auto"/>
            <w:noWrap/>
            <w:tcMar>
              <w:left w:w="115" w:type="dxa"/>
              <w:right w:w="360" w:type="dxa"/>
            </w:tcMar>
            <w:vAlign w:val="center"/>
            <w:hideMark/>
          </w:tcPr>
          <w:p w14:paraId="441FEA60" w14:textId="77777777" w:rsidR="0005343F" w:rsidRPr="00B322B1" w:rsidRDefault="0005343F" w:rsidP="00B322B1">
            <w:pPr>
              <w:pStyle w:val="ExhibitText"/>
              <w:jc w:val="right"/>
              <w:rPr>
                <w:sz w:val="18"/>
                <w:szCs w:val="18"/>
                <w:lang w:eastAsia="zh-CN"/>
              </w:rPr>
            </w:pPr>
            <w:r w:rsidRPr="00B322B1">
              <w:rPr>
                <w:sz w:val="18"/>
                <w:szCs w:val="18"/>
                <w:lang w:eastAsia="zh-CN"/>
              </w:rPr>
              <w:t>13.32</w:t>
            </w:r>
          </w:p>
        </w:tc>
        <w:tc>
          <w:tcPr>
            <w:tcW w:w="840" w:type="pct"/>
            <w:shd w:val="clear" w:color="auto" w:fill="auto"/>
            <w:noWrap/>
            <w:tcMar>
              <w:left w:w="115" w:type="dxa"/>
              <w:right w:w="360" w:type="dxa"/>
            </w:tcMar>
            <w:vAlign w:val="center"/>
            <w:hideMark/>
          </w:tcPr>
          <w:p w14:paraId="176F2D7C" w14:textId="77777777" w:rsidR="0005343F" w:rsidRPr="00B322B1" w:rsidRDefault="0005343F" w:rsidP="00B322B1">
            <w:pPr>
              <w:pStyle w:val="ExhibitText"/>
              <w:jc w:val="right"/>
              <w:rPr>
                <w:sz w:val="18"/>
                <w:szCs w:val="18"/>
                <w:lang w:eastAsia="zh-CN"/>
              </w:rPr>
            </w:pPr>
            <w:r w:rsidRPr="00B322B1">
              <w:rPr>
                <w:sz w:val="18"/>
                <w:szCs w:val="18"/>
                <w:lang w:eastAsia="zh-CN"/>
              </w:rPr>
              <w:t>0.18</w:t>
            </w:r>
          </w:p>
        </w:tc>
        <w:tc>
          <w:tcPr>
            <w:tcW w:w="841" w:type="pct"/>
            <w:shd w:val="clear" w:color="auto" w:fill="auto"/>
            <w:noWrap/>
            <w:tcMar>
              <w:left w:w="115" w:type="dxa"/>
              <w:right w:w="360" w:type="dxa"/>
            </w:tcMar>
            <w:vAlign w:val="center"/>
            <w:hideMark/>
          </w:tcPr>
          <w:p w14:paraId="1F30A1E6" w14:textId="77777777" w:rsidR="0005343F" w:rsidRPr="00B322B1" w:rsidRDefault="0005343F" w:rsidP="00B322B1">
            <w:pPr>
              <w:pStyle w:val="ExhibitText"/>
              <w:jc w:val="right"/>
              <w:rPr>
                <w:sz w:val="18"/>
                <w:szCs w:val="18"/>
                <w:lang w:eastAsia="zh-CN"/>
              </w:rPr>
            </w:pPr>
            <w:r w:rsidRPr="00B322B1">
              <w:rPr>
                <w:sz w:val="18"/>
                <w:szCs w:val="18"/>
                <w:lang w:eastAsia="zh-CN"/>
              </w:rPr>
              <w:t>0.34</w:t>
            </w:r>
          </w:p>
        </w:tc>
        <w:tc>
          <w:tcPr>
            <w:tcW w:w="840" w:type="pct"/>
            <w:shd w:val="clear" w:color="auto" w:fill="auto"/>
            <w:noWrap/>
            <w:tcMar>
              <w:left w:w="115" w:type="dxa"/>
              <w:right w:w="360" w:type="dxa"/>
            </w:tcMar>
            <w:vAlign w:val="center"/>
            <w:hideMark/>
          </w:tcPr>
          <w:p w14:paraId="27BFC2B5" w14:textId="0B6E8226" w:rsidR="0005343F"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029D5E8B" w14:textId="77777777" w:rsidR="0005343F" w:rsidRPr="00B322B1" w:rsidRDefault="0005343F" w:rsidP="00B322B1">
            <w:pPr>
              <w:pStyle w:val="ExhibitText"/>
              <w:jc w:val="right"/>
              <w:rPr>
                <w:sz w:val="18"/>
                <w:szCs w:val="18"/>
                <w:lang w:eastAsia="zh-CN"/>
              </w:rPr>
            </w:pPr>
            <w:r w:rsidRPr="00B322B1">
              <w:rPr>
                <w:sz w:val="18"/>
                <w:szCs w:val="18"/>
                <w:lang w:eastAsia="zh-CN"/>
              </w:rPr>
              <w:t>0.52</w:t>
            </w:r>
          </w:p>
        </w:tc>
      </w:tr>
      <w:tr w:rsidR="00B322B1" w:rsidRPr="00B322B1" w14:paraId="2AA0A8D9" w14:textId="77777777" w:rsidTr="008B1AAC">
        <w:trPr>
          <w:trHeight w:val="70"/>
          <w:jc w:val="center"/>
        </w:trPr>
        <w:tc>
          <w:tcPr>
            <w:tcW w:w="800" w:type="pct"/>
            <w:shd w:val="clear" w:color="auto" w:fill="auto"/>
            <w:noWrap/>
            <w:vAlign w:val="center"/>
            <w:hideMark/>
          </w:tcPr>
          <w:p w14:paraId="2D134B99" w14:textId="77777777" w:rsidR="0005343F" w:rsidRPr="00B322B1" w:rsidRDefault="0005343F" w:rsidP="00B322B1">
            <w:pPr>
              <w:pStyle w:val="ExhibitText"/>
              <w:jc w:val="center"/>
              <w:rPr>
                <w:sz w:val="18"/>
                <w:szCs w:val="18"/>
                <w:lang w:eastAsia="zh-CN"/>
              </w:rPr>
            </w:pPr>
            <w:r w:rsidRPr="00B322B1">
              <w:rPr>
                <w:sz w:val="18"/>
                <w:szCs w:val="18"/>
                <w:lang w:eastAsia="zh-CN"/>
              </w:rPr>
              <w:t>2012</w:t>
            </w:r>
          </w:p>
        </w:tc>
        <w:tc>
          <w:tcPr>
            <w:tcW w:w="839" w:type="pct"/>
            <w:shd w:val="clear" w:color="auto" w:fill="auto"/>
            <w:noWrap/>
            <w:tcMar>
              <w:left w:w="115" w:type="dxa"/>
              <w:right w:w="360" w:type="dxa"/>
            </w:tcMar>
            <w:vAlign w:val="center"/>
            <w:hideMark/>
          </w:tcPr>
          <w:p w14:paraId="5847E766" w14:textId="77777777" w:rsidR="0005343F" w:rsidRPr="00B322B1" w:rsidRDefault="0005343F" w:rsidP="00B322B1">
            <w:pPr>
              <w:pStyle w:val="ExhibitText"/>
              <w:jc w:val="right"/>
              <w:rPr>
                <w:sz w:val="18"/>
                <w:szCs w:val="18"/>
                <w:lang w:eastAsia="zh-CN"/>
              </w:rPr>
            </w:pPr>
            <w:r w:rsidRPr="00B322B1">
              <w:rPr>
                <w:sz w:val="18"/>
                <w:szCs w:val="18"/>
                <w:lang w:eastAsia="zh-CN"/>
              </w:rPr>
              <w:t>14.22</w:t>
            </w:r>
          </w:p>
        </w:tc>
        <w:tc>
          <w:tcPr>
            <w:tcW w:w="840" w:type="pct"/>
            <w:shd w:val="clear" w:color="auto" w:fill="auto"/>
            <w:noWrap/>
            <w:tcMar>
              <w:left w:w="115" w:type="dxa"/>
              <w:right w:w="360" w:type="dxa"/>
            </w:tcMar>
            <w:vAlign w:val="center"/>
            <w:hideMark/>
          </w:tcPr>
          <w:p w14:paraId="59852472" w14:textId="2983B4DD" w:rsidR="0005343F"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63D414EF" w14:textId="77777777" w:rsidR="0005343F" w:rsidRPr="00B322B1" w:rsidRDefault="0005343F" w:rsidP="00B322B1">
            <w:pPr>
              <w:pStyle w:val="ExhibitText"/>
              <w:jc w:val="right"/>
              <w:rPr>
                <w:sz w:val="18"/>
                <w:szCs w:val="18"/>
                <w:lang w:eastAsia="zh-CN"/>
              </w:rPr>
            </w:pPr>
            <w:r w:rsidRPr="00B322B1">
              <w:rPr>
                <w:sz w:val="18"/>
                <w:szCs w:val="18"/>
                <w:lang w:eastAsia="zh-CN"/>
              </w:rPr>
              <w:t>0.08</w:t>
            </w:r>
          </w:p>
        </w:tc>
        <w:tc>
          <w:tcPr>
            <w:tcW w:w="840" w:type="pct"/>
            <w:shd w:val="clear" w:color="auto" w:fill="auto"/>
            <w:noWrap/>
            <w:tcMar>
              <w:left w:w="115" w:type="dxa"/>
              <w:right w:w="360" w:type="dxa"/>
            </w:tcMar>
            <w:vAlign w:val="center"/>
            <w:hideMark/>
          </w:tcPr>
          <w:p w14:paraId="5A3407C3" w14:textId="3CBE3995" w:rsidR="0005343F"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191AB61C" w14:textId="77777777" w:rsidR="0005343F" w:rsidRPr="00B322B1" w:rsidRDefault="0005343F" w:rsidP="00B322B1">
            <w:pPr>
              <w:pStyle w:val="ExhibitText"/>
              <w:jc w:val="right"/>
              <w:rPr>
                <w:sz w:val="18"/>
                <w:szCs w:val="18"/>
                <w:lang w:eastAsia="zh-CN"/>
              </w:rPr>
            </w:pPr>
            <w:r w:rsidRPr="00B322B1">
              <w:rPr>
                <w:sz w:val="18"/>
                <w:szCs w:val="18"/>
                <w:lang w:eastAsia="zh-CN"/>
              </w:rPr>
              <w:t>0.08</w:t>
            </w:r>
          </w:p>
        </w:tc>
      </w:tr>
      <w:tr w:rsidR="00B322B1" w:rsidRPr="00B322B1" w14:paraId="1057F2B8" w14:textId="77777777" w:rsidTr="008B1AAC">
        <w:trPr>
          <w:trHeight w:val="70"/>
          <w:jc w:val="center"/>
        </w:trPr>
        <w:tc>
          <w:tcPr>
            <w:tcW w:w="800" w:type="pct"/>
            <w:shd w:val="clear" w:color="auto" w:fill="auto"/>
            <w:noWrap/>
            <w:vAlign w:val="center"/>
          </w:tcPr>
          <w:p w14:paraId="65203B72" w14:textId="22E5C584" w:rsidR="00524829" w:rsidRPr="00B322B1" w:rsidRDefault="00524829" w:rsidP="00B322B1">
            <w:pPr>
              <w:pStyle w:val="ExhibitText"/>
              <w:jc w:val="center"/>
              <w:rPr>
                <w:sz w:val="18"/>
                <w:szCs w:val="18"/>
                <w:lang w:eastAsia="zh-CN"/>
              </w:rPr>
            </w:pPr>
            <w:r w:rsidRPr="00B322B1">
              <w:rPr>
                <w:sz w:val="18"/>
                <w:szCs w:val="18"/>
                <w:lang w:eastAsia="zh-CN"/>
              </w:rPr>
              <w:t>2013</w:t>
            </w:r>
          </w:p>
        </w:tc>
        <w:tc>
          <w:tcPr>
            <w:tcW w:w="839" w:type="pct"/>
            <w:shd w:val="clear" w:color="auto" w:fill="auto"/>
            <w:noWrap/>
            <w:tcMar>
              <w:left w:w="115" w:type="dxa"/>
              <w:right w:w="360" w:type="dxa"/>
            </w:tcMar>
            <w:vAlign w:val="center"/>
          </w:tcPr>
          <w:p w14:paraId="20956B71" w14:textId="63D711BF" w:rsidR="00524829" w:rsidRPr="00B322B1" w:rsidRDefault="00524829" w:rsidP="00B322B1">
            <w:pPr>
              <w:pStyle w:val="ExhibitText"/>
              <w:jc w:val="right"/>
              <w:rPr>
                <w:sz w:val="18"/>
                <w:szCs w:val="18"/>
                <w:lang w:eastAsia="zh-CN"/>
              </w:rPr>
            </w:pPr>
            <w:r w:rsidRPr="00B322B1">
              <w:rPr>
                <w:sz w:val="18"/>
                <w:szCs w:val="18"/>
                <w:lang w:eastAsia="zh-CN"/>
              </w:rPr>
              <w:t>16.40</w:t>
            </w:r>
          </w:p>
        </w:tc>
        <w:tc>
          <w:tcPr>
            <w:tcW w:w="840" w:type="pct"/>
            <w:shd w:val="clear" w:color="auto" w:fill="auto"/>
            <w:noWrap/>
            <w:tcMar>
              <w:left w:w="115" w:type="dxa"/>
              <w:right w:w="360" w:type="dxa"/>
            </w:tcMar>
            <w:vAlign w:val="center"/>
          </w:tcPr>
          <w:p w14:paraId="1F479E87" w14:textId="4CD0C073" w:rsidR="00524829" w:rsidRPr="00B322B1" w:rsidRDefault="00524829" w:rsidP="00B322B1">
            <w:pPr>
              <w:pStyle w:val="ExhibitText"/>
              <w:jc w:val="right"/>
              <w:rPr>
                <w:sz w:val="18"/>
                <w:szCs w:val="18"/>
                <w:lang w:eastAsia="zh-CN"/>
              </w:rPr>
            </w:pPr>
            <w:r w:rsidRPr="00B322B1">
              <w:rPr>
                <w:sz w:val="18"/>
                <w:szCs w:val="18"/>
                <w:lang w:eastAsia="zh-CN"/>
              </w:rPr>
              <w:t>0.06</w:t>
            </w:r>
          </w:p>
        </w:tc>
        <w:tc>
          <w:tcPr>
            <w:tcW w:w="841" w:type="pct"/>
            <w:shd w:val="clear" w:color="auto" w:fill="auto"/>
            <w:noWrap/>
            <w:tcMar>
              <w:left w:w="115" w:type="dxa"/>
              <w:right w:w="360" w:type="dxa"/>
            </w:tcMar>
            <w:vAlign w:val="center"/>
          </w:tcPr>
          <w:p w14:paraId="199957AB" w14:textId="7F73E379" w:rsidR="00524829" w:rsidRPr="00B322B1" w:rsidRDefault="00524829" w:rsidP="00B322B1">
            <w:pPr>
              <w:pStyle w:val="ExhibitText"/>
              <w:jc w:val="right"/>
              <w:rPr>
                <w:sz w:val="18"/>
                <w:szCs w:val="18"/>
                <w:lang w:eastAsia="zh-CN"/>
              </w:rPr>
            </w:pPr>
            <w:r w:rsidRPr="00B322B1">
              <w:rPr>
                <w:sz w:val="18"/>
                <w:szCs w:val="18"/>
                <w:lang w:eastAsia="zh-CN"/>
              </w:rPr>
              <w:t>0.16</w:t>
            </w:r>
          </w:p>
        </w:tc>
        <w:tc>
          <w:tcPr>
            <w:tcW w:w="840" w:type="pct"/>
            <w:shd w:val="clear" w:color="auto" w:fill="auto"/>
            <w:noWrap/>
            <w:tcMar>
              <w:left w:w="115" w:type="dxa"/>
              <w:right w:w="360" w:type="dxa"/>
            </w:tcMar>
            <w:vAlign w:val="center"/>
          </w:tcPr>
          <w:p w14:paraId="2AC4FE8F" w14:textId="68B3E4EA" w:rsidR="00524829"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626679B5" w14:textId="144171C7" w:rsidR="00524829" w:rsidRPr="00B322B1" w:rsidRDefault="00524829" w:rsidP="00B322B1">
            <w:pPr>
              <w:pStyle w:val="ExhibitText"/>
              <w:jc w:val="right"/>
              <w:rPr>
                <w:sz w:val="18"/>
                <w:szCs w:val="18"/>
                <w:lang w:eastAsia="zh-CN"/>
              </w:rPr>
            </w:pPr>
            <w:r w:rsidRPr="00B322B1">
              <w:rPr>
                <w:sz w:val="18"/>
                <w:szCs w:val="18"/>
                <w:lang w:eastAsia="zh-CN"/>
              </w:rPr>
              <w:t>0.22</w:t>
            </w:r>
          </w:p>
        </w:tc>
      </w:tr>
      <w:tr w:rsidR="00B322B1" w:rsidRPr="00B322B1" w14:paraId="2153BC1D" w14:textId="77777777" w:rsidTr="008B1AAC">
        <w:trPr>
          <w:trHeight w:val="70"/>
          <w:jc w:val="center"/>
        </w:trPr>
        <w:tc>
          <w:tcPr>
            <w:tcW w:w="800" w:type="pct"/>
            <w:shd w:val="clear" w:color="auto" w:fill="auto"/>
            <w:noWrap/>
            <w:vAlign w:val="center"/>
          </w:tcPr>
          <w:p w14:paraId="707A6219" w14:textId="2DB6AD12" w:rsidR="00524829" w:rsidRPr="00B322B1" w:rsidRDefault="00524829" w:rsidP="00B322B1">
            <w:pPr>
              <w:pStyle w:val="ExhibitText"/>
              <w:jc w:val="center"/>
              <w:rPr>
                <w:sz w:val="18"/>
                <w:szCs w:val="18"/>
                <w:lang w:eastAsia="zh-CN"/>
              </w:rPr>
            </w:pPr>
            <w:r w:rsidRPr="00B322B1">
              <w:rPr>
                <w:sz w:val="18"/>
                <w:szCs w:val="18"/>
                <w:lang w:eastAsia="zh-CN"/>
              </w:rPr>
              <w:t>2014</w:t>
            </w:r>
          </w:p>
        </w:tc>
        <w:tc>
          <w:tcPr>
            <w:tcW w:w="839" w:type="pct"/>
            <w:shd w:val="clear" w:color="auto" w:fill="auto"/>
            <w:noWrap/>
            <w:tcMar>
              <w:left w:w="115" w:type="dxa"/>
              <w:right w:w="360" w:type="dxa"/>
            </w:tcMar>
            <w:vAlign w:val="center"/>
          </w:tcPr>
          <w:p w14:paraId="22124E0C" w14:textId="541A53D8" w:rsidR="00524829" w:rsidRPr="00B322B1" w:rsidRDefault="00524829" w:rsidP="00B322B1">
            <w:pPr>
              <w:pStyle w:val="ExhibitText"/>
              <w:jc w:val="right"/>
              <w:rPr>
                <w:sz w:val="18"/>
                <w:szCs w:val="18"/>
                <w:lang w:eastAsia="zh-CN"/>
              </w:rPr>
            </w:pPr>
            <w:r w:rsidRPr="00B322B1">
              <w:rPr>
                <w:sz w:val="18"/>
                <w:szCs w:val="18"/>
                <w:lang w:eastAsia="zh-CN"/>
              </w:rPr>
              <w:t>16.90</w:t>
            </w:r>
          </w:p>
        </w:tc>
        <w:tc>
          <w:tcPr>
            <w:tcW w:w="840" w:type="pct"/>
            <w:shd w:val="clear" w:color="auto" w:fill="auto"/>
            <w:noWrap/>
            <w:tcMar>
              <w:left w:w="115" w:type="dxa"/>
              <w:right w:w="360" w:type="dxa"/>
            </w:tcMar>
            <w:vAlign w:val="center"/>
          </w:tcPr>
          <w:p w14:paraId="3348EAAB" w14:textId="110F6A2D" w:rsidR="00524829" w:rsidRPr="00B322B1" w:rsidRDefault="00524829" w:rsidP="00B322B1">
            <w:pPr>
              <w:pStyle w:val="ExhibitText"/>
              <w:jc w:val="right"/>
              <w:rPr>
                <w:sz w:val="18"/>
                <w:szCs w:val="18"/>
                <w:lang w:eastAsia="zh-CN"/>
              </w:rPr>
            </w:pPr>
            <w:r w:rsidRPr="00B322B1">
              <w:rPr>
                <w:sz w:val="18"/>
                <w:szCs w:val="18"/>
                <w:lang w:eastAsia="zh-CN"/>
              </w:rPr>
              <w:t>0.10</w:t>
            </w:r>
          </w:p>
        </w:tc>
        <w:tc>
          <w:tcPr>
            <w:tcW w:w="841" w:type="pct"/>
            <w:shd w:val="clear" w:color="auto" w:fill="auto"/>
            <w:noWrap/>
            <w:tcMar>
              <w:left w:w="115" w:type="dxa"/>
              <w:right w:w="360" w:type="dxa"/>
            </w:tcMar>
            <w:vAlign w:val="center"/>
          </w:tcPr>
          <w:p w14:paraId="0F5F6077" w14:textId="1768F89F" w:rsidR="00524829" w:rsidRPr="00B322B1" w:rsidRDefault="00524829" w:rsidP="00B322B1">
            <w:pPr>
              <w:pStyle w:val="ExhibitText"/>
              <w:jc w:val="right"/>
              <w:rPr>
                <w:sz w:val="18"/>
                <w:szCs w:val="18"/>
                <w:lang w:eastAsia="zh-CN"/>
              </w:rPr>
            </w:pPr>
            <w:r w:rsidRPr="00B322B1">
              <w:rPr>
                <w:sz w:val="18"/>
                <w:szCs w:val="18"/>
                <w:lang w:eastAsia="zh-CN"/>
              </w:rPr>
              <w:t>0.26</w:t>
            </w:r>
          </w:p>
        </w:tc>
        <w:tc>
          <w:tcPr>
            <w:tcW w:w="840" w:type="pct"/>
            <w:shd w:val="clear" w:color="auto" w:fill="auto"/>
            <w:noWrap/>
            <w:tcMar>
              <w:left w:w="115" w:type="dxa"/>
              <w:right w:w="360" w:type="dxa"/>
            </w:tcMar>
            <w:vAlign w:val="center"/>
          </w:tcPr>
          <w:p w14:paraId="59046D80" w14:textId="5861D267" w:rsidR="00524829"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19E9B127" w14:textId="4E463D8B" w:rsidR="00524829" w:rsidRPr="00B322B1" w:rsidRDefault="00524829" w:rsidP="00B322B1">
            <w:pPr>
              <w:pStyle w:val="ExhibitText"/>
              <w:jc w:val="right"/>
              <w:rPr>
                <w:sz w:val="18"/>
                <w:szCs w:val="18"/>
                <w:lang w:eastAsia="zh-CN"/>
              </w:rPr>
            </w:pPr>
            <w:r w:rsidRPr="00B322B1">
              <w:rPr>
                <w:sz w:val="18"/>
                <w:szCs w:val="18"/>
                <w:lang w:eastAsia="zh-CN"/>
              </w:rPr>
              <w:t>0.36</w:t>
            </w:r>
          </w:p>
        </w:tc>
      </w:tr>
      <w:tr w:rsidR="00B322B1" w:rsidRPr="00B322B1" w14:paraId="0D9668D2" w14:textId="77777777" w:rsidTr="008B1AAC">
        <w:trPr>
          <w:trHeight w:val="70"/>
          <w:jc w:val="center"/>
        </w:trPr>
        <w:tc>
          <w:tcPr>
            <w:tcW w:w="800" w:type="pct"/>
            <w:shd w:val="clear" w:color="auto" w:fill="auto"/>
            <w:noWrap/>
            <w:vAlign w:val="center"/>
          </w:tcPr>
          <w:p w14:paraId="24647516" w14:textId="5100319B" w:rsidR="00524829" w:rsidRPr="00B322B1" w:rsidRDefault="00524829" w:rsidP="00B322B1">
            <w:pPr>
              <w:pStyle w:val="ExhibitText"/>
              <w:jc w:val="center"/>
              <w:rPr>
                <w:sz w:val="18"/>
                <w:szCs w:val="18"/>
                <w:lang w:eastAsia="zh-CN"/>
              </w:rPr>
            </w:pPr>
            <w:r w:rsidRPr="00B322B1">
              <w:rPr>
                <w:sz w:val="18"/>
                <w:szCs w:val="18"/>
                <w:lang w:eastAsia="zh-CN"/>
              </w:rPr>
              <w:t>2015</w:t>
            </w:r>
          </w:p>
        </w:tc>
        <w:tc>
          <w:tcPr>
            <w:tcW w:w="839" w:type="pct"/>
            <w:shd w:val="clear" w:color="auto" w:fill="auto"/>
            <w:noWrap/>
            <w:tcMar>
              <w:left w:w="115" w:type="dxa"/>
              <w:right w:w="360" w:type="dxa"/>
            </w:tcMar>
            <w:vAlign w:val="center"/>
          </w:tcPr>
          <w:p w14:paraId="3CEC8A95" w14:textId="2B08835E" w:rsidR="00524829" w:rsidRPr="00B322B1" w:rsidRDefault="00136F94" w:rsidP="00B322B1">
            <w:pPr>
              <w:pStyle w:val="ExhibitText"/>
              <w:jc w:val="right"/>
              <w:rPr>
                <w:sz w:val="18"/>
                <w:szCs w:val="18"/>
                <w:lang w:eastAsia="zh-CN"/>
              </w:rPr>
            </w:pPr>
            <w:r w:rsidRPr="00B322B1">
              <w:rPr>
                <w:sz w:val="18"/>
                <w:szCs w:val="18"/>
                <w:lang w:eastAsia="zh-CN"/>
              </w:rPr>
              <w:t>13.42</w:t>
            </w:r>
          </w:p>
        </w:tc>
        <w:tc>
          <w:tcPr>
            <w:tcW w:w="840" w:type="pct"/>
            <w:shd w:val="clear" w:color="auto" w:fill="auto"/>
            <w:noWrap/>
            <w:tcMar>
              <w:left w:w="115" w:type="dxa"/>
              <w:right w:w="360" w:type="dxa"/>
            </w:tcMar>
            <w:vAlign w:val="center"/>
          </w:tcPr>
          <w:p w14:paraId="598D5BCE" w14:textId="7D9F5D5E" w:rsidR="00524829" w:rsidRPr="00B322B1" w:rsidRDefault="00136F94" w:rsidP="00B322B1">
            <w:pPr>
              <w:pStyle w:val="ExhibitText"/>
              <w:jc w:val="right"/>
              <w:rPr>
                <w:sz w:val="18"/>
                <w:szCs w:val="18"/>
                <w:lang w:eastAsia="zh-CN"/>
              </w:rPr>
            </w:pPr>
            <w:r w:rsidRPr="00B322B1">
              <w:rPr>
                <w:sz w:val="18"/>
                <w:szCs w:val="18"/>
                <w:lang w:eastAsia="zh-CN"/>
              </w:rPr>
              <w:t>0.26</w:t>
            </w:r>
          </w:p>
        </w:tc>
        <w:tc>
          <w:tcPr>
            <w:tcW w:w="841" w:type="pct"/>
            <w:shd w:val="clear" w:color="auto" w:fill="auto"/>
            <w:noWrap/>
            <w:tcMar>
              <w:left w:w="115" w:type="dxa"/>
              <w:right w:w="360" w:type="dxa"/>
            </w:tcMar>
            <w:vAlign w:val="center"/>
          </w:tcPr>
          <w:p w14:paraId="1F07DA56" w14:textId="4DD39D0F" w:rsidR="00524829" w:rsidRPr="00B322B1" w:rsidRDefault="00136F94" w:rsidP="00B322B1">
            <w:pPr>
              <w:pStyle w:val="ExhibitText"/>
              <w:jc w:val="right"/>
              <w:rPr>
                <w:sz w:val="18"/>
                <w:szCs w:val="18"/>
                <w:lang w:eastAsia="zh-CN"/>
              </w:rPr>
            </w:pPr>
            <w:r w:rsidRPr="00B322B1">
              <w:rPr>
                <w:sz w:val="18"/>
                <w:szCs w:val="18"/>
                <w:lang w:eastAsia="zh-CN"/>
              </w:rPr>
              <w:t>0.27</w:t>
            </w:r>
          </w:p>
        </w:tc>
        <w:tc>
          <w:tcPr>
            <w:tcW w:w="840" w:type="pct"/>
            <w:shd w:val="clear" w:color="auto" w:fill="auto"/>
            <w:noWrap/>
            <w:tcMar>
              <w:left w:w="115" w:type="dxa"/>
              <w:right w:w="360" w:type="dxa"/>
            </w:tcMar>
            <w:vAlign w:val="center"/>
          </w:tcPr>
          <w:p w14:paraId="0B4FC952" w14:textId="3BD19AC0" w:rsidR="00524829"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0EEB0B7C" w14:textId="6EF0A56E" w:rsidR="00524829" w:rsidRPr="00B322B1" w:rsidRDefault="00136F94" w:rsidP="00B322B1">
            <w:pPr>
              <w:pStyle w:val="ExhibitText"/>
              <w:jc w:val="right"/>
              <w:rPr>
                <w:sz w:val="18"/>
                <w:szCs w:val="18"/>
                <w:lang w:eastAsia="zh-CN"/>
              </w:rPr>
            </w:pPr>
            <w:r w:rsidRPr="00B322B1">
              <w:rPr>
                <w:sz w:val="18"/>
                <w:szCs w:val="18"/>
                <w:lang w:eastAsia="zh-CN"/>
              </w:rPr>
              <w:t>0.53</w:t>
            </w:r>
          </w:p>
        </w:tc>
      </w:tr>
      <w:tr w:rsidR="00B322B1" w:rsidRPr="00B322B1" w14:paraId="412A50C9" w14:textId="77777777" w:rsidTr="008B1AAC">
        <w:trPr>
          <w:trHeight w:val="70"/>
          <w:jc w:val="center"/>
        </w:trPr>
        <w:tc>
          <w:tcPr>
            <w:tcW w:w="800" w:type="pct"/>
            <w:shd w:val="clear" w:color="auto" w:fill="auto"/>
            <w:noWrap/>
            <w:vAlign w:val="center"/>
          </w:tcPr>
          <w:p w14:paraId="1A188049" w14:textId="77777777" w:rsidR="00B322B1" w:rsidRPr="00B322B1" w:rsidRDefault="00B322B1" w:rsidP="00B322B1">
            <w:pPr>
              <w:pStyle w:val="ExhibitText"/>
              <w:jc w:val="left"/>
              <w:rPr>
                <w:sz w:val="18"/>
                <w:szCs w:val="18"/>
                <w:lang w:eastAsia="zh-CN"/>
              </w:rPr>
            </w:pPr>
          </w:p>
        </w:tc>
        <w:tc>
          <w:tcPr>
            <w:tcW w:w="839" w:type="pct"/>
            <w:shd w:val="clear" w:color="auto" w:fill="auto"/>
            <w:noWrap/>
            <w:tcMar>
              <w:right w:w="360" w:type="dxa"/>
            </w:tcMar>
            <w:vAlign w:val="center"/>
          </w:tcPr>
          <w:p w14:paraId="38FE4377" w14:textId="77777777" w:rsidR="00B322B1" w:rsidRPr="00B322B1" w:rsidRDefault="00B322B1" w:rsidP="00B322B1">
            <w:pPr>
              <w:pStyle w:val="ExhibitText"/>
              <w:rPr>
                <w:sz w:val="18"/>
                <w:szCs w:val="18"/>
                <w:lang w:eastAsia="zh-CN"/>
              </w:rPr>
            </w:pPr>
          </w:p>
        </w:tc>
        <w:tc>
          <w:tcPr>
            <w:tcW w:w="840" w:type="pct"/>
            <w:shd w:val="clear" w:color="auto" w:fill="auto"/>
            <w:noWrap/>
            <w:vAlign w:val="center"/>
          </w:tcPr>
          <w:p w14:paraId="0D6F08FF" w14:textId="77777777" w:rsidR="00B322B1" w:rsidRPr="00B322B1" w:rsidRDefault="00B322B1" w:rsidP="00B322B1">
            <w:pPr>
              <w:pStyle w:val="ExhibitText"/>
              <w:rPr>
                <w:sz w:val="18"/>
                <w:szCs w:val="18"/>
                <w:lang w:eastAsia="zh-CN"/>
              </w:rPr>
            </w:pPr>
          </w:p>
        </w:tc>
        <w:tc>
          <w:tcPr>
            <w:tcW w:w="841" w:type="pct"/>
            <w:shd w:val="clear" w:color="auto" w:fill="auto"/>
            <w:noWrap/>
            <w:vAlign w:val="center"/>
          </w:tcPr>
          <w:p w14:paraId="77B8CD2A" w14:textId="77777777" w:rsidR="00B322B1" w:rsidRPr="00B322B1" w:rsidRDefault="00B322B1" w:rsidP="00B322B1">
            <w:pPr>
              <w:pStyle w:val="ExhibitText"/>
              <w:rPr>
                <w:sz w:val="18"/>
                <w:szCs w:val="18"/>
                <w:lang w:eastAsia="zh-CN"/>
              </w:rPr>
            </w:pPr>
          </w:p>
        </w:tc>
        <w:tc>
          <w:tcPr>
            <w:tcW w:w="840" w:type="pct"/>
            <w:shd w:val="clear" w:color="auto" w:fill="auto"/>
            <w:noWrap/>
            <w:vAlign w:val="center"/>
          </w:tcPr>
          <w:p w14:paraId="07A3BCBF" w14:textId="77777777" w:rsidR="00B322B1" w:rsidRPr="00B322B1" w:rsidRDefault="00B322B1" w:rsidP="00B322B1">
            <w:pPr>
              <w:pStyle w:val="ExhibitText"/>
              <w:rPr>
                <w:sz w:val="18"/>
                <w:szCs w:val="18"/>
                <w:lang w:eastAsia="zh-CN"/>
              </w:rPr>
            </w:pPr>
          </w:p>
        </w:tc>
        <w:tc>
          <w:tcPr>
            <w:tcW w:w="841" w:type="pct"/>
            <w:shd w:val="clear" w:color="auto" w:fill="auto"/>
            <w:noWrap/>
            <w:vAlign w:val="center"/>
          </w:tcPr>
          <w:p w14:paraId="2F8CA1DC" w14:textId="77777777" w:rsidR="00B322B1" w:rsidRPr="00B322B1" w:rsidRDefault="00B322B1" w:rsidP="00B322B1">
            <w:pPr>
              <w:pStyle w:val="ExhibitText"/>
              <w:rPr>
                <w:sz w:val="18"/>
                <w:szCs w:val="18"/>
                <w:lang w:eastAsia="zh-CN"/>
              </w:rPr>
            </w:pPr>
          </w:p>
        </w:tc>
      </w:tr>
      <w:tr w:rsidR="008520DF" w:rsidRPr="00B322B1" w14:paraId="4E158FB7" w14:textId="77777777" w:rsidTr="000B4ECA">
        <w:trPr>
          <w:trHeight w:val="171"/>
          <w:jc w:val="center"/>
        </w:trPr>
        <w:tc>
          <w:tcPr>
            <w:tcW w:w="800" w:type="pct"/>
            <w:shd w:val="clear" w:color="auto" w:fill="auto"/>
            <w:noWrap/>
            <w:vAlign w:val="center"/>
          </w:tcPr>
          <w:p w14:paraId="1E410571" w14:textId="406B32FD" w:rsidR="008520DF" w:rsidRPr="00BF0F18" w:rsidRDefault="008520DF" w:rsidP="00BF0F18">
            <w:pPr>
              <w:pStyle w:val="ExhibitText"/>
              <w:jc w:val="center"/>
              <w:rPr>
                <w:b/>
                <w:sz w:val="18"/>
                <w:szCs w:val="18"/>
                <w:lang w:eastAsia="zh-CN"/>
              </w:rPr>
            </w:pPr>
            <w:r w:rsidRPr="00BF0F18">
              <w:rPr>
                <w:b/>
                <w:sz w:val="18"/>
                <w:szCs w:val="18"/>
                <w:lang w:eastAsia="zh-CN"/>
              </w:rPr>
              <w:t>Air China</w:t>
            </w:r>
            <w:r w:rsidR="000B4ECA">
              <w:rPr>
                <w:b/>
                <w:sz w:val="18"/>
                <w:szCs w:val="18"/>
                <w:lang w:eastAsia="zh-CN"/>
              </w:rPr>
              <w:t xml:space="preserve"> Limited</w:t>
            </w:r>
          </w:p>
        </w:tc>
        <w:tc>
          <w:tcPr>
            <w:tcW w:w="839" w:type="pct"/>
            <w:shd w:val="clear" w:color="auto" w:fill="auto"/>
            <w:noWrap/>
            <w:tcMar>
              <w:right w:w="360" w:type="dxa"/>
            </w:tcMar>
            <w:vAlign w:val="center"/>
          </w:tcPr>
          <w:p w14:paraId="3F7A788C" w14:textId="0597FC81" w:rsidR="008520DF" w:rsidRPr="00B322B1" w:rsidRDefault="00B322B1" w:rsidP="00BF0F18">
            <w:pPr>
              <w:pStyle w:val="ExhibitText"/>
              <w:jc w:val="right"/>
              <w:rPr>
                <w:sz w:val="18"/>
                <w:szCs w:val="18"/>
                <w:lang w:eastAsia="zh-CN"/>
              </w:rPr>
            </w:pPr>
            <w:r w:rsidRPr="00B322B1">
              <w:rPr>
                <w:sz w:val="18"/>
                <w:szCs w:val="18"/>
                <w:lang w:eastAsia="zh-CN"/>
              </w:rPr>
              <w:t>(CNY)</w:t>
            </w:r>
          </w:p>
        </w:tc>
        <w:tc>
          <w:tcPr>
            <w:tcW w:w="840" w:type="pct"/>
            <w:shd w:val="clear" w:color="auto" w:fill="auto"/>
            <w:noWrap/>
            <w:vAlign w:val="center"/>
          </w:tcPr>
          <w:p w14:paraId="586F6B0C" w14:textId="77777777" w:rsidR="008520DF" w:rsidRPr="00B322B1" w:rsidRDefault="008520DF" w:rsidP="00B322B1">
            <w:pPr>
              <w:pStyle w:val="ExhibitText"/>
              <w:rPr>
                <w:sz w:val="18"/>
                <w:szCs w:val="18"/>
                <w:lang w:eastAsia="zh-CN"/>
              </w:rPr>
            </w:pPr>
          </w:p>
        </w:tc>
        <w:tc>
          <w:tcPr>
            <w:tcW w:w="841" w:type="pct"/>
            <w:shd w:val="clear" w:color="auto" w:fill="auto"/>
            <w:noWrap/>
            <w:vAlign w:val="center"/>
          </w:tcPr>
          <w:p w14:paraId="456AA38B" w14:textId="77777777" w:rsidR="008520DF" w:rsidRPr="00B322B1" w:rsidRDefault="008520DF" w:rsidP="00B322B1">
            <w:pPr>
              <w:pStyle w:val="ExhibitText"/>
              <w:rPr>
                <w:sz w:val="18"/>
                <w:szCs w:val="18"/>
                <w:lang w:eastAsia="zh-CN"/>
              </w:rPr>
            </w:pPr>
          </w:p>
        </w:tc>
        <w:tc>
          <w:tcPr>
            <w:tcW w:w="840" w:type="pct"/>
            <w:shd w:val="clear" w:color="auto" w:fill="auto"/>
            <w:noWrap/>
            <w:vAlign w:val="center"/>
          </w:tcPr>
          <w:p w14:paraId="2710F2D3" w14:textId="77777777" w:rsidR="008520DF" w:rsidRPr="00B322B1" w:rsidRDefault="008520DF" w:rsidP="00B322B1">
            <w:pPr>
              <w:pStyle w:val="ExhibitText"/>
              <w:rPr>
                <w:sz w:val="18"/>
                <w:szCs w:val="18"/>
                <w:lang w:eastAsia="zh-CN"/>
              </w:rPr>
            </w:pPr>
          </w:p>
        </w:tc>
        <w:tc>
          <w:tcPr>
            <w:tcW w:w="841" w:type="pct"/>
            <w:shd w:val="clear" w:color="auto" w:fill="auto"/>
            <w:noWrap/>
            <w:vAlign w:val="center"/>
          </w:tcPr>
          <w:p w14:paraId="50404EA2" w14:textId="77777777" w:rsidR="008520DF" w:rsidRPr="00B322B1" w:rsidRDefault="008520DF" w:rsidP="00B322B1">
            <w:pPr>
              <w:pStyle w:val="ExhibitText"/>
              <w:rPr>
                <w:sz w:val="18"/>
                <w:szCs w:val="18"/>
                <w:lang w:eastAsia="zh-CN"/>
              </w:rPr>
            </w:pPr>
          </w:p>
        </w:tc>
      </w:tr>
      <w:tr w:rsidR="00B322B1" w:rsidRPr="00B322B1" w14:paraId="0C5F8952" w14:textId="77777777" w:rsidTr="008B1AAC">
        <w:trPr>
          <w:trHeight w:val="70"/>
          <w:jc w:val="center"/>
        </w:trPr>
        <w:tc>
          <w:tcPr>
            <w:tcW w:w="800" w:type="pct"/>
            <w:shd w:val="clear" w:color="auto" w:fill="auto"/>
            <w:noWrap/>
            <w:vAlign w:val="center"/>
            <w:hideMark/>
          </w:tcPr>
          <w:p w14:paraId="1B333DE9" w14:textId="77777777" w:rsidR="00462460" w:rsidRPr="00B322B1" w:rsidRDefault="00462460" w:rsidP="00B322B1">
            <w:pPr>
              <w:pStyle w:val="ExhibitText"/>
              <w:jc w:val="center"/>
              <w:rPr>
                <w:sz w:val="18"/>
                <w:szCs w:val="18"/>
                <w:lang w:eastAsia="zh-CN"/>
              </w:rPr>
            </w:pPr>
            <w:r w:rsidRPr="00B322B1">
              <w:rPr>
                <w:sz w:val="18"/>
                <w:szCs w:val="18"/>
                <w:lang w:eastAsia="zh-CN"/>
              </w:rPr>
              <w:t>2006</w:t>
            </w:r>
          </w:p>
        </w:tc>
        <w:tc>
          <w:tcPr>
            <w:tcW w:w="839" w:type="pct"/>
            <w:shd w:val="clear" w:color="auto" w:fill="auto"/>
            <w:noWrap/>
            <w:tcMar>
              <w:left w:w="115" w:type="dxa"/>
              <w:right w:w="360" w:type="dxa"/>
            </w:tcMar>
            <w:vAlign w:val="center"/>
            <w:hideMark/>
          </w:tcPr>
          <w:p w14:paraId="17DAD62F" w14:textId="77777777" w:rsidR="00462460" w:rsidRPr="00B322B1" w:rsidRDefault="00462460" w:rsidP="00B322B1">
            <w:pPr>
              <w:pStyle w:val="ExhibitText"/>
              <w:jc w:val="right"/>
              <w:rPr>
                <w:sz w:val="18"/>
                <w:szCs w:val="18"/>
                <w:lang w:eastAsia="zh-CN"/>
              </w:rPr>
            </w:pPr>
            <w:r w:rsidRPr="00B322B1">
              <w:rPr>
                <w:sz w:val="18"/>
                <w:szCs w:val="18"/>
                <w:lang w:eastAsia="zh-CN"/>
              </w:rPr>
              <w:t>5.15</w:t>
            </w:r>
          </w:p>
        </w:tc>
        <w:tc>
          <w:tcPr>
            <w:tcW w:w="840" w:type="pct"/>
            <w:shd w:val="clear" w:color="auto" w:fill="auto"/>
            <w:noWrap/>
            <w:tcMar>
              <w:left w:w="115" w:type="dxa"/>
              <w:right w:w="360" w:type="dxa"/>
            </w:tcMar>
            <w:vAlign w:val="center"/>
            <w:hideMark/>
          </w:tcPr>
          <w:p w14:paraId="415787F0" w14:textId="732A8FB7"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5606EB3C" w14:textId="598A1D4F" w:rsidR="00462460" w:rsidRPr="00B322B1" w:rsidRDefault="00462460" w:rsidP="00B322B1">
            <w:pPr>
              <w:pStyle w:val="ExhibitText"/>
              <w:jc w:val="right"/>
              <w:rPr>
                <w:sz w:val="18"/>
                <w:szCs w:val="18"/>
                <w:lang w:eastAsia="zh-CN"/>
              </w:rPr>
            </w:pPr>
            <w:r w:rsidRPr="00B322B1">
              <w:rPr>
                <w:sz w:val="18"/>
                <w:szCs w:val="18"/>
                <w:lang w:eastAsia="zh-CN"/>
              </w:rPr>
              <w:t>0.04</w:t>
            </w:r>
            <w:r w:rsidR="00B4696C">
              <w:rPr>
                <w:sz w:val="18"/>
                <w:szCs w:val="18"/>
                <w:lang w:eastAsia="zh-CN"/>
              </w:rPr>
              <w:t>4</w:t>
            </w:r>
            <w:r w:rsidRPr="00B322B1">
              <w:rPr>
                <w:sz w:val="18"/>
                <w:szCs w:val="18"/>
                <w:lang w:eastAsia="zh-CN"/>
              </w:rPr>
              <w:t>2</w:t>
            </w:r>
            <w:r w:rsidR="00B4696C">
              <w:rPr>
                <w:sz w:val="18"/>
                <w:szCs w:val="18"/>
                <w:lang w:eastAsia="zh-CN"/>
              </w:rPr>
              <w:t>8</w:t>
            </w:r>
          </w:p>
        </w:tc>
        <w:tc>
          <w:tcPr>
            <w:tcW w:w="840" w:type="pct"/>
            <w:shd w:val="clear" w:color="auto" w:fill="auto"/>
            <w:noWrap/>
            <w:tcMar>
              <w:left w:w="115" w:type="dxa"/>
              <w:right w:w="360" w:type="dxa"/>
            </w:tcMar>
            <w:vAlign w:val="center"/>
            <w:hideMark/>
          </w:tcPr>
          <w:p w14:paraId="627B4FF6" w14:textId="42D842C3"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2FB7712D" w14:textId="099C8090" w:rsidR="00462460" w:rsidRPr="00B322B1" w:rsidRDefault="00462460" w:rsidP="00B322B1">
            <w:pPr>
              <w:pStyle w:val="ExhibitText"/>
              <w:jc w:val="right"/>
              <w:rPr>
                <w:sz w:val="18"/>
                <w:szCs w:val="18"/>
                <w:lang w:eastAsia="zh-CN"/>
              </w:rPr>
            </w:pPr>
            <w:r w:rsidRPr="00B322B1">
              <w:rPr>
                <w:sz w:val="18"/>
                <w:szCs w:val="18"/>
                <w:lang w:eastAsia="zh-CN"/>
              </w:rPr>
              <w:t>0.04</w:t>
            </w:r>
            <w:r w:rsidR="00B4696C">
              <w:rPr>
                <w:sz w:val="18"/>
                <w:szCs w:val="18"/>
                <w:lang w:eastAsia="zh-CN"/>
              </w:rPr>
              <w:t>4</w:t>
            </w:r>
            <w:r w:rsidRPr="00B322B1">
              <w:rPr>
                <w:sz w:val="18"/>
                <w:szCs w:val="18"/>
                <w:lang w:eastAsia="zh-CN"/>
              </w:rPr>
              <w:t>2</w:t>
            </w:r>
            <w:r w:rsidR="00B4696C">
              <w:rPr>
                <w:sz w:val="18"/>
                <w:szCs w:val="18"/>
                <w:lang w:eastAsia="zh-CN"/>
              </w:rPr>
              <w:t>8</w:t>
            </w:r>
          </w:p>
        </w:tc>
      </w:tr>
      <w:tr w:rsidR="00B322B1" w:rsidRPr="00B322B1" w14:paraId="2713E90A" w14:textId="77777777" w:rsidTr="008B1AAC">
        <w:trPr>
          <w:trHeight w:val="70"/>
          <w:jc w:val="center"/>
        </w:trPr>
        <w:tc>
          <w:tcPr>
            <w:tcW w:w="800" w:type="pct"/>
            <w:shd w:val="clear" w:color="auto" w:fill="auto"/>
            <w:noWrap/>
            <w:vAlign w:val="center"/>
            <w:hideMark/>
          </w:tcPr>
          <w:p w14:paraId="4823D97E" w14:textId="77777777" w:rsidR="00462460" w:rsidRPr="00B322B1" w:rsidRDefault="00462460" w:rsidP="00B322B1">
            <w:pPr>
              <w:pStyle w:val="ExhibitText"/>
              <w:jc w:val="center"/>
              <w:rPr>
                <w:sz w:val="18"/>
                <w:szCs w:val="18"/>
                <w:lang w:eastAsia="zh-CN"/>
              </w:rPr>
            </w:pPr>
            <w:r w:rsidRPr="00B322B1">
              <w:rPr>
                <w:sz w:val="18"/>
                <w:szCs w:val="18"/>
                <w:lang w:eastAsia="zh-CN"/>
              </w:rPr>
              <w:t>2007</w:t>
            </w:r>
          </w:p>
        </w:tc>
        <w:tc>
          <w:tcPr>
            <w:tcW w:w="839" w:type="pct"/>
            <w:shd w:val="clear" w:color="auto" w:fill="auto"/>
            <w:noWrap/>
            <w:tcMar>
              <w:left w:w="115" w:type="dxa"/>
              <w:right w:w="360" w:type="dxa"/>
            </w:tcMar>
            <w:vAlign w:val="center"/>
            <w:hideMark/>
          </w:tcPr>
          <w:p w14:paraId="225B9449" w14:textId="77777777" w:rsidR="00462460" w:rsidRPr="00B322B1" w:rsidRDefault="00462460" w:rsidP="00B322B1">
            <w:pPr>
              <w:pStyle w:val="ExhibitText"/>
              <w:jc w:val="right"/>
              <w:rPr>
                <w:sz w:val="18"/>
                <w:szCs w:val="18"/>
                <w:lang w:eastAsia="zh-CN"/>
              </w:rPr>
            </w:pPr>
            <w:r w:rsidRPr="00B322B1">
              <w:rPr>
                <w:sz w:val="18"/>
                <w:szCs w:val="18"/>
                <w:lang w:eastAsia="zh-CN"/>
              </w:rPr>
              <w:t>27.44</w:t>
            </w:r>
          </w:p>
        </w:tc>
        <w:tc>
          <w:tcPr>
            <w:tcW w:w="840" w:type="pct"/>
            <w:shd w:val="clear" w:color="auto" w:fill="auto"/>
            <w:noWrap/>
            <w:tcMar>
              <w:left w:w="115" w:type="dxa"/>
              <w:right w:w="360" w:type="dxa"/>
            </w:tcMar>
            <w:vAlign w:val="center"/>
            <w:hideMark/>
          </w:tcPr>
          <w:p w14:paraId="2E54825F" w14:textId="7D86003D"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7B1A45C8" w14:textId="212DBD37" w:rsidR="00462460" w:rsidRPr="00B322B1" w:rsidRDefault="00462460" w:rsidP="00B322B1">
            <w:pPr>
              <w:pStyle w:val="ExhibitText"/>
              <w:jc w:val="right"/>
              <w:rPr>
                <w:sz w:val="18"/>
                <w:szCs w:val="18"/>
                <w:lang w:eastAsia="zh-CN"/>
              </w:rPr>
            </w:pPr>
            <w:r w:rsidRPr="00B322B1">
              <w:rPr>
                <w:sz w:val="18"/>
                <w:szCs w:val="18"/>
                <w:lang w:eastAsia="zh-CN"/>
              </w:rPr>
              <w:t>0.06</w:t>
            </w:r>
            <w:r w:rsidR="00B4696C">
              <w:rPr>
                <w:sz w:val="18"/>
                <w:szCs w:val="18"/>
                <w:lang w:eastAsia="zh-CN"/>
              </w:rPr>
              <w:t>156</w:t>
            </w:r>
          </w:p>
        </w:tc>
        <w:tc>
          <w:tcPr>
            <w:tcW w:w="840" w:type="pct"/>
            <w:shd w:val="clear" w:color="auto" w:fill="auto"/>
            <w:noWrap/>
            <w:tcMar>
              <w:left w:w="115" w:type="dxa"/>
              <w:right w:w="360" w:type="dxa"/>
            </w:tcMar>
            <w:vAlign w:val="center"/>
            <w:hideMark/>
          </w:tcPr>
          <w:p w14:paraId="39F4109A" w14:textId="18C4165B"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632DC307" w14:textId="651727F6" w:rsidR="00462460" w:rsidRPr="00B322B1" w:rsidRDefault="00462460" w:rsidP="00B322B1">
            <w:pPr>
              <w:pStyle w:val="ExhibitText"/>
              <w:jc w:val="right"/>
              <w:rPr>
                <w:sz w:val="18"/>
                <w:szCs w:val="18"/>
                <w:lang w:eastAsia="zh-CN"/>
              </w:rPr>
            </w:pPr>
            <w:r w:rsidRPr="00B322B1">
              <w:rPr>
                <w:sz w:val="18"/>
                <w:szCs w:val="18"/>
                <w:lang w:eastAsia="zh-CN"/>
              </w:rPr>
              <w:t>0.06</w:t>
            </w:r>
            <w:r w:rsidR="00B4696C">
              <w:rPr>
                <w:sz w:val="18"/>
                <w:szCs w:val="18"/>
                <w:lang w:eastAsia="zh-CN"/>
              </w:rPr>
              <w:t>156</w:t>
            </w:r>
          </w:p>
        </w:tc>
      </w:tr>
      <w:tr w:rsidR="00B322B1" w:rsidRPr="00B322B1" w14:paraId="45445A86" w14:textId="77777777" w:rsidTr="008B1AAC">
        <w:trPr>
          <w:trHeight w:val="70"/>
          <w:jc w:val="center"/>
        </w:trPr>
        <w:tc>
          <w:tcPr>
            <w:tcW w:w="800" w:type="pct"/>
            <w:shd w:val="clear" w:color="auto" w:fill="auto"/>
            <w:noWrap/>
            <w:vAlign w:val="center"/>
            <w:hideMark/>
          </w:tcPr>
          <w:p w14:paraId="41DFE6CB" w14:textId="77777777" w:rsidR="00462460" w:rsidRPr="00B322B1" w:rsidRDefault="00462460" w:rsidP="00B322B1">
            <w:pPr>
              <w:pStyle w:val="ExhibitText"/>
              <w:jc w:val="center"/>
              <w:rPr>
                <w:sz w:val="18"/>
                <w:szCs w:val="18"/>
                <w:lang w:eastAsia="zh-CN"/>
              </w:rPr>
            </w:pPr>
            <w:r w:rsidRPr="00B322B1">
              <w:rPr>
                <w:sz w:val="18"/>
                <w:szCs w:val="18"/>
                <w:lang w:eastAsia="zh-CN"/>
              </w:rPr>
              <w:t>2008</w:t>
            </w:r>
          </w:p>
        </w:tc>
        <w:tc>
          <w:tcPr>
            <w:tcW w:w="839" w:type="pct"/>
            <w:shd w:val="clear" w:color="auto" w:fill="auto"/>
            <w:noWrap/>
            <w:tcMar>
              <w:left w:w="115" w:type="dxa"/>
              <w:right w:w="360" w:type="dxa"/>
            </w:tcMar>
            <w:vAlign w:val="center"/>
            <w:hideMark/>
          </w:tcPr>
          <w:p w14:paraId="45A5E27F" w14:textId="77777777" w:rsidR="00462460" w:rsidRPr="00B322B1" w:rsidRDefault="00462460" w:rsidP="00B322B1">
            <w:pPr>
              <w:pStyle w:val="ExhibitText"/>
              <w:jc w:val="right"/>
              <w:rPr>
                <w:sz w:val="18"/>
                <w:szCs w:val="18"/>
                <w:lang w:eastAsia="zh-CN"/>
              </w:rPr>
            </w:pPr>
            <w:r w:rsidRPr="00B322B1">
              <w:rPr>
                <w:sz w:val="18"/>
                <w:szCs w:val="18"/>
                <w:lang w:eastAsia="zh-CN"/>
              </w:rPr>
              <w:t>4.10</w:t>
            </w:r>
          </w:p>
        </w:tc>
        <w:tc>
          <w:tcPr>
            <w:tcW w:w="840" w:type="pct"/>
            <w:shd w:val="clear" w:color="auto" w:fill="auto"/>
            <w:noWrap/>
            <w:tcMar>
              <w:left w:w="115" w:type="dxa"/>
              <w:right w:w="360" w:type="dxa"/>
            </w:tcMar>
            <w:vAlign w:val="center"/>
            <w:hideMark/>
          </w:tcPr>
          <w:p w14:paraId="07EEF96F" w14:textId="359A4DA4"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75E3BBE3" w14:textId="7BA16956" w:rsidR="00462460" w:rsidRPr="00B322B1" w:rsidRDefault="00B41D82" w:rsidP="00B322B1">
            <w:pPr>
              <w:pStyle w:val="ExhibitText"/>
              <w:jc w:val="right"/>
              <w:rPr>
                <w:sz w:val="18"/>
                <w:szCs w:val="18"/>
                <w:lang w:eastAsia="zh-CN"/>
              </w:rPr>
            </w:pPr>
            <w:r>
              <w:rPr>
                <w:sz w:val="18"/>
                <w:szCs w:val="18"/>
                <w:lang w:eastAsia="zh-CN"/>
              </w:rPr>
              <w:t>–</w:t>
            </w:r>
          </w:p>
        </w:tc>
        <w:tc>
          <w:tcPr>
            <w:tcW w:w="840" w:type="pct"/>
            <w:shd w:val="clear" w:color="auto" w:fill="auto"/>
            <w:noWrap/>
            <w:tcMar>
              <w:left w:w="115" w:type="dxa"/>
              <w:right w:w="360" w:type="dxa"/>
            </w:tcMar>
            <w:vAlign w:val="center"/>
            <w:hideMark/>
          </w:tcPr>
          <w:p w14:paraId="3CABE5E2" w14:textId="7A53037F"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299ED0AA" w14:textId="5DBA17B2" w:rsidR="00462460" w:rsidRPr="00B322B1" w:rsidRDefault="00B41D82" w:rsidP="00B322B1">
            <w:pPr>
              <w:pStyle w:val="ExhibitText"/>
              <w:jc w:val="right"/>
              <w:rPr>
                <w:sz w:val="18"/>
                <w:szCs w:val="18"/>
                <w:lang w:eastAsia="zh-CN"/>
              </w:rPr>
            </w:pPr>
            <w:r>
              <w:rPr>
                <w:sz w:val="18"/>
                <w:szCs w:val="18"/>
                <w:lang w:eastAsia="zh-CN"/>
              </w:rPr>
              <w:t>–</w:t>
            </w:r>
          </w:p>
        </w:tc>
      </w:tr>
      <w:tr w:rsidR="00B322B1" w:rsidRPr="00B322B1" w14:paraId="425542E6" w14:textId="77777777" w:rsidTr="008B1AAC">
        <w:trPr>
          <w:trHeight w:val="70"/>
          <w:jc w:val="center"/>
        </w:trPr>
        <w:tc>
          <w:tcPr>
            <w:tcW w:w="800" w:type="pct"/>
            <w:shd w:val="clear" w:color="auto" w:fill="auto"/>
            <w:noWrap/>
            <w:vAlign w:val="center"/>
            <w:hideMark/>
          </w:tcPr>
          <w:p w14:paraId="6A518E9C" w14:textId="77777777" w:rsidR="00462460" w:rsidRPr="00B322B1" w:rsidRDefault="00462460" w:rsidP="00B322B1">
            <w:pPr>
              <w:pStyle w:val="ExhibitText"/>
              <w:jc w:val="center"/>
              <w:rPr>
                <w:sz w:val="18"/>
                <w:szCs w:val="18"/>
                <w:lang w:eastAsia="zh-CN"/>
              </w:rPr>
            </w:pPr>
            <w:r w:rsidRPr="00B322B1">
              <w:rPr>
                <w:sz w:val="18"/>
                <w:szCs w:val="18"/>
                <w:lang w:eastAsia="zh-CN"/>
              </w:rPr>
              <w:t>2009</w:t>
            </w:r>
          </w:p>
        </w:tc>
        <w:tc>
          <w:tcPr>
            <w:tcW w:w="839" w:type="pct"/>
            <w:shd w:val="clear" w:color="auto" w:fill="auto"/>
            <w:noWrap/>
            <w:tcMar>
              <w:left w:w="115" w:type="dxa"/>
              <w:right w:w="360" w:type="dxa"/>
            </w:tcMar>
            <w:vAlign w:val="center"/>
            <w:hideMark/>
          </w:tcPr>
          <w:p w14:paraId="55D8DEE5" w14:textId="77777777" w:rsidR="00462460" w:rsidRPr="00B322B1" w:rsidRDefault="00462460" w:rsidP="00B322B1">
            <w:pPr>
              <w:pStyle w:val="ExhibitText"/>
              <w:jc w:val="right"/>
              <w:rPr>
                <w:sz w:val="18"/>
                <w:szCs w:val="18"/>
                <w:lang w:eastAsia="zh-CN"/>
              </w:rPr>
            </w:pPr>
            <w:r w:rsidRPr="00B322B1">
              <w:rPr>
                <w:sz w:val="18"/>
                <w:szCs w:val="18"/>
                <w:lang w:eastAsia="zh-CN"/>
              </w:rPr>
              <w:t>9.71</w:t>
            </w:r>
          </w:p>
        </w:tc>
        <w:tc>
          <w:tcPr>
            <w:tcW w:w="840" w:type="pct"/>
            <w:shd w:val="clear" w:color="auto" w:fill="auto"/>
            <w:noWrap/>
            <w:tcMar>
              <w:left w:w="115" w:type="dxa"/>
              <w:right w:w="360" w:type="dxa"/>
            </w:tcMar>
            <w:vAlign w:val="center"/>
            <w:hideMark/>
          </w:tcPr>
          <w:p w14:paraId="7BEBEA6E" w14:textId="472BEB8B"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248D65BD" w14:textId="7AF81234" w:rsidR="00462460" w:rsidRPr="00B322B1" w:rsidRDefault="00B41D82" w:rsidP="00B322B1">
            <w:pPr>
              <w:pStyle w:val="ExhibitText"/>
              <w:jc w:val="right"/>
              <w:rPr>
                <w:sz w:val="18"/>
                <w:szCs w:val="18"/>
                <w:lang w:eastAsia="zh-CN"/>
              </w:rPr>
            </w:pPr>
            <w:r>
              <w:rPr>
                <w:sz w:val="18"/>
                <w:szCs w:val="18"/>
                <w:lang w:eastAsia="zh-CN"/>
              </w:rPr>
              <w:t>–</w:t>
            </w:r>
          </w:p>
        </w:tc>
        <w:tc>
          <w:tcPr>
            <w:tcW w:w="840" w:type="pct"/>
            <w:shd w:val="clear" w:color="auto" w:fill="auto"/>
            <w:noWrap/>
            <w:tcMar>
              <w:left w:w="115" w:type="dxa"/>
              <w:right w:w="360" w:type="dxa"/>
            </w:tcMar>
            <w:vAlign w:val="center"/>
            <w:hideMark/>
          </w:tcPr>
          <w:p w14:paraId="5F84CD2A" w14:textId="19DF4583"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04BFA55E" w14:textId="257A665E" w:rsidR="00462460" w:rsidRPr="00B322B1" w:rsidRDefault="00B41D82" w:rsidP="00B322B1">
            <w:pPr>
              <w:pStyle w:val="ExhibitText"/>
              <w:jc w:val="right"/>
              <w:rPr>
                <w:sz w:val="18"/>
                <w:szCs w:val="18"/>
                <w:lang w:eastAsia="zh-CN"/>
              </w:rPr>
            </w:pPr>
            <w:r>
              <w:rPr>
                <w:sz w:val="18"/>
                <w:szCs w:val="18"/>
                <w:lang w:eastAsia="zh-CN"/>
              </w:rPr>
              <w:t>–</w:t>
            </w:r>
          </w:p>
        </w:tc>
      </w:tr>
      <w:tr w:rsidR="00B322B1" w:rsidRPr="00B322B1" w14:paraId="4A9997B0" w14:textId="77777777" w:rsidTr="008B1AAC">
        <w:trPr>
          <w:trHeight w:val="70"/>
          <w:jc w:val="center"/>
        </w:trPr>
        <w:tc>
          <w:tcPr>
            <w:tcW w:w="800" w:type="pct"/>
            <w:shd w:val="clear" w:color="auto" w:fill="auto"/>
            <w:noWrap/>
            <w:vAlign w:val="center"/>
            <w:hideMark/>
          </w:tcPr>
          <w:p w14:paraId="5BF43DC1" w14:textId="77777777" w:rsidR="00462460" w:rsidRPr="00B322B1" w:rsidRDefault="00462460" w:rsidP="00B322B1">
            <w:pPr>
              <w:pStyle w:val="ExhibitText"/>
              <w:jc w:val="center"/>
              <w:rPr>
                <w:sz w:val="18"/>
                <w:szCs w:val="18"/>
                <w:lang w:eastAsia="zh-CN"/>
              </w:rPr>
            </w:pPr>
            <w:r w:rsidRPr="00B322B1">
              <w:rPr>
                <w:sz w:val="18"/>
                <w:szCs w:val="18"/>
                <w:lang w:eastAsia="zh-CN"/>
              </w:rPr>
              <w:t>2010</w:t>
            </w:r>
          </w:p>
        </w:tc>
        <w:tc>
          <w:tcPr>
            <w:tcW w:w="839" w:type="pct"/>
            <w:shd w:val="clear" w:color="auto" w:fill="auto"/>
            <w:noWrap/>
            <w:tcMar>
              <w:left w:w="115" w:type="dxa"/>
              <w:right w:w="360" w:type="dxa"/>
            </w:tcMar>
            <w:vAlign w:val="center"/>
            <w:hideMark/>
          </w:tcPr>
          <w:p w14:paraId="43F20AE7" w14:textId="77777777" w:rsidR="00462460" w:rsidRPr="00B322B1" w:rsidRDefault="00462460" w:rsidP="00B322B1">
            <w:pPr>
              <w:pStyle w:val="ExhibitText"/>
              <w:jc w:val="right"/>
              <w:rPr>
                <w:sz w:val="18"/>
                <w:szCs w:val="18"/>
                <w:lang w:eastAsia="zh-CN"/>
              </w:rPr>
            </w:pPr>
            <w:r w:rsidRPr="00B322B1">
              <w:rPr>
                <w:sz w:val="18"/>
                <w:szCs w:val="18"/>
                <w:lang w:eastAsia="zh-CN"/>
              </w:rPr>
              <w:t>13.68</w:t>
            </w:r>
          </w:p>
        </w:tc>
        <w:tc>
          <w:tcPr>
            <w:tcW w:w="840" w:type="pct"/>
            <w:shd w:val="clear" w:color="auto" w:fill="auto"/>
            <w:noWrap/>
            <w:tcMar>
              <w:left w:w="115" w:type="dxa"/>
              <w:right w:w="360" w:type="dxa"/>
            </w:tcMar>
            <w:vAlign w:val="center"/>
            <w:hideMark/>
          </w:tcPr>
          <w:p w14:paraId="37990813" w14:textId="63B5EB54"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04D797AC" w14:textId="72882066" w:rsidR="00462460" w:rsidRPr="00B322B1" w:rsidRDefault="00462460" w:rsidP="00B322B1">
            <w:pPr>
              <w:pStyle w:val="ExhibitText"/>
              <w:jc w:val="right"/>
              <w:rPr>
                <w:sz w:val="18"/>
                <w:szCs w:val="18"/>
                <w:lang w:eastAsia="zh-CN"/>
              </w:rPr>
            </w:pPr>
            <w:r w:rsidRPr="00B322B1">
              <w:rPr>
                <w:sz w:val="18"/>
                <w:szCs w:val="18"/>
                <w:lang w:eastAsia="zh-CN"/>
              </w:rPr>
              <w:t>0.1</w:t>
            </w:r>
            <w:r w:rsidR="00B4696C">
              <w:rPr>
                <w:sz w:val="18"/>
                <w:szCs w:val="18"/>
                <w:lang w:eastAsia="zh-CN"/>
              </w:rPr>
              <w:t>0638</w:t>
            </w:r>
          </w:p>
        </w:tc>
        <w:tc>
          <w:tcPr>
            <w:tcW w:w="840" w:type="pct"/>
            <w:shd w:val="clear" w:color="auto" w:fill="auto"/>
            <w:noWrap/>
            <w:tcMar>
              <w:left w:w="115" w:type="dxa"/>
              <w:right w:w="360" w:type="dxa"/>
            </w:tcMar>
            <w:vAlign w:val="center"/>
            <w:hideMark/>
          </w:tcPr>
          <w:p w14:paraId="5DE261FF" w14:textId="5511E4C8"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50D65C89" w14:textId="7210AD9A" w:rsidR="00462460" w:rsidRPr="00B322B1" w:rsidRDefault="00462460" w:rsidP="00B322B1">
            <w:pPr>
              <w:pStyle w:val="ExhibitText"/>
              <w:jc w:val="right"/>
              <w:rPr>
                <w:sz w:val="18"/>
                <w:szCs w:val="18"/>
                <w:lang w:eastAsia="zh-CN"/>
              </w:rPr>
            </w:pPr>
            <w:r w:rsidRPr="00B322B1">
              <w:rPr>
                <w:sz w:val="18"/>
                <w:szCs w:val="18"/>
                <w:lang w:eastAsia="zh-CN"/>
              </w:rPr>
              <w:t>0.1</w:t>
            </w:r>
            <w:r w:rsidR="00B4696C">
              <w:rPr>
                <w:sz w:val="18"/>
                <w:szCs w:val="18"/>
                <w:lang w:eastAsia="zh-CN"/>
              </w:rPr>
              <w:t>0638</w:t>
            </w:r>
          </w:p>
        </w:tc>
      </w:tr>
      <w:tr w:rsidR="00B322B1" w:rsidRPr="00B322B1" w14:paraId="63F57991" w14:textId="77777777" w:rsidTr="008B1AAC">
        <w:trPr>
          <w:trHeight w:val="70"/>
          <w:jc w:val="center"/>
        </w:trPr>
        <w:tc>
          <w:tcPr>
            <w:tcW w:w="800" w:type="pct"/>
            <w:shd w:val="clear" w:color="auto" w:fill="auto"/>
            <w:noWrap/>
            <w:vAlign w:val="center"/>
            <w:hideMark/>
          </w:tcPr>
          <w:p w14:paraId="015D07BE" w14:textId="77777777" w:rsidR="00462460" w:rsidRPr="00B322B1" w:rsidRDefault="00462460" w:rsidP="00B322B1">
            <w:pPr>
              <w:pStyle w:val="ExhibitText"/>
              <w:jc w:val="center"/>
              <w:rPr>
                <w:sz w:val="18"/>
                <w:szCs w:val="18"/>
                <w:lang w:eastAsia="zh-CN"/>
              </w:rPr>
            </w:pPr>
            <w:r w:rsidRPr="00B322B1">
              <w:rPr>
                <w:sz w:val="18"/>
                <w:szCs w:val="18"/>
                <w:lang w:eastAsia="zh-CN"/>
              </w:rPr>
              <w:t>2011</w:t>
            </w:r>
          </w:p>
        </w:tc>
        <w:tc>
          <w:tcPr>
            <w:tcW w:w="839" w:type="pct"/>
            <w:shd w:val="clear" w:color="auto" w:fill="auto"/>
            <w:noWrap/>
            <w:tcMar>
              <w:left w:w="115" w:type="dxa"/>
              <w:right w:w="360" w:type="dxa"/>
            </w:tcMar>
            <w:vAlign w:val="center"/>
            <w:hideMark/>
          </w:tcPr>
          <w:p w14:paraId="68FEBE77" w14:textId="77777777" w:rsidR="00462460" w:rsidRPr="00B322B1" w:rsidRDefault="00462460" w:rsidP="00B322B1">
            <w:pPr>
              <w:pStyle w:val="ExhibitText"/>
              <w:jc w:val="right"/>
              <w:rPr>
                <w:sz w:val="18"/>
                <w:szCs w:val="18"/>
                <w:lang w:eastAsia="zh-CN"/>
              </w:rPr>
            </w:pPr>
            <w:r w:rsidRPr="00B322B1">
              <w:rPr>
                <w:sz w:val="18"/>
                <w:szCs w:val="18"/>
                <w:lang w:eastAsia="zh-CN"/>
              </w:rPr>
              <w:t>6.37</w:t>
            </w:r>
          </w:p>
        </w:tc>
        <w:tc>
          <w:tcPr>
            <w:tcW w:w="840" w:type="pct"/>
            <w:shd w:val="clear" w:color="auto" w:fill="auto"/>
            <w:noWrap/>
            <w:tcMar>
              <w:left w:w="115" w:type="dxa"/>
              <w:right w:w="360" w:type="dxa"/>
            </w:tcMar>
            <w:vAlign w:val="center"/>
            <w:hideMark/>
          </w:tcPr>
          <w:p w14:paraId="0FDDCF26" w14:textId="2A82C2BF"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4B60A3AB" w14:textId="4321E61F" w:rsidR="00462460" w:rsidRPr="00B322B1" w:rsidRDefault="00462460" w:rsidP="00B322B1">
            <w:pPr>
              <w:pStyle w:val="ExhibitText"/>
              <w:jc w:val="right"/>
              <w:rPr>
                <w:sz w:val="18"/>
                <w:szCs w:val="18"/>
                <w:lang w:eastAsia="zh-CN"/>
              </w:rPr>
            </w:pPr>
            <w:r w:rsidRPr="00B322B1">
              <w:rPr>
                <w:sz w:val="18"/>
                <w:szCs w:val="18"/>
                <w:lang w:eastAsia="zh-CN"/>
              </w:rPr>
              <w:t>0.1</w:t>
            </w:r>
            <w:r w:rsidR="00B4696C">
              <w:rPr>
                <w:sz w:val="18"/>
                <w:szCs w:val="18"/>
                <w:lang w:eastAsia="zh-CN"/>
              </w:rPr>
              <w:t>062</w:t>
            </w:r>
          </w:p>
        </w:tc>
        <w:tc>
          <w:tcPr>
            <w:tcW w:w="840" w:type="pct"/>
            <w:shd w:val="clear" w:color="auto" w:fill="auto"/>
            <w:noWrap/>
            <w:tcMar>
              <w:left w:w="115" w:type="dxa"/>
              <w:right w:w="360" w:type="dxa"/>
            </w:tcMar>
            <w:vAlign w:val="center"/>
            <w:hideMark/>
          </w:tcPr>
          <w:p w14:paraId="5573C02B" w14:textId="7575D70D"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54A024C9" w14:textId="6060C83A" w:rsidR="00462460" w:rsidRPr="00B322B1" w:rsidRDefault="00462460" w:rsidP="00B322B1">
            <w:pPr>
              <w:pStyle w:val="ExhibitText"/>
              <w:jc w:val="right"/>
              <w:rPr>
                <w:sz w:val="18"/>
                <w:szCs w:val="18"/>
                <w:lang w:eastAsia="zh-CN"/>
              </w:rPr>
            </w:pPr>
            <w:r w:rsidRPr="00B322B1">
              <w:rPr>
                <w:sz w:val="18"/>
                <w:szCs w:val="18"/>
                <w:lang w:eastAsia="zh-CN"/>
              </w:rPr>
              <w:t>0.1</w:t>
            </w:r>
            <w:r w:rsidR="00B4696C">
              <w:rPr>
                <w:sz w:val="18"/>
                <w:szCs w:val="18"/>
                <w:lang w:eastAsia="zh-CN"/>
              </w:rPr>
              <w:t>062</w:t>
            </w:r>
          </w:p>
        </w:tc>
      </w:tr>
      <w:tr w:rsidR="00B322B1" w:rsidRPr="00B322B1" w14:paraId="43915818" w14:textId="77777777" w:rsidTr="008B1AAC">
        <w:trPr>
          <w:trHeight w:val="70"/>
          <w:jc w:val="center"/>
        </w:trPr>
        <w:tc>
          <w:tcPr>
            <w:tcW w:w="800" w:type="pct"/>
            <w:shd w:val="clear" w:color="auto" w:fill="auto"/>
            <w:noWrap/>
            <w:vAlign w:val="center"/>
            <w:hideMark/>
          </w:tcPr>
          <w:p w14:paraId="5B458970" w14:textId="77777777" w:rsidR="00462460" w:rsidRPr="00B322B1" w:rsidRDefault="00462460" w:rsidP="00B322B1">
            <w:pPr>
              <w:pStyle w:val="ExhibitText"/>
              <w:jc w:val="center"/>
              <w:rPr>
                <w:sz w:val="18"/>
                <w:szCs w:val="18"/>
                <w:lang w:eastAsia="zh-CN"/>
              </w:rPr>
            </w:pPr>
            <w:r w:rsidRPr="00B322B1">
              <w:rPr>
                <w:sz w:val="18"/>
                <w:szCs w:val="18"/>
                <w:lang w:eastAsia="zh-CN"/>
              </w:rPr>
              <w:t>2012</w:t>
            </w:r>
          </w:p>
        </w:tc>
        <w:tc>
          <w:tcPr>
            <w:tcW w:w="839" w:type="pct"/>
            <w:shd w:val="clear" w:color="auto" w:fill="auto"/>
            <w:noWrap/>
            <w:tcMar>
              <w:left w:w="115" w:type="dxa"/>
              <w:right w:w="360" w:type="dxa"/>
            </w:tcMar>
            <w:vAlign w:val="center"/>
            <w:hideMark/>
          </w:tcPr>
          <w:p w14:paraId="15B67EC2" w14:textId="77777777" w:rsidR="00462460" w:rsidRPr="00B322B1" w:rsidRDefault="00462460" w:rsidP="00B322B1">
            <w:pPr>
              <w:pStyle w:val="ExhibitText"/>
              <w:jc w:val="right"/>
              <w:rPr>
                <w:sz w:val="18"/>
                <w:szCs w:val="18"/>
                <w:lang w:eastAsia="zh-CN"/>
              </w:rPr>
            </w:pPr>
            <w:r w:rsidRPr="00B322B1">
              <w:rPr>
                <w:sz w:val="18"/>
                <w:szCs w:val="18"/>
                <w:lang w:eastAsia="zh-CN"/>
              </w:rPr>
              <w:t>6.00</w:t>
            </w:r>
          </w:p>
        </w:tc>
        <w:tc>
          <w:tcPr>
            <w:tcW w:w="840" w:type="pct"/>
            <w:shd w:val="clear" w:color="auto" w:fill="auto"/>
            <w:noWrap/>
            <w:tcMar>
              <w:left w:w="115" w:type="dxa"/>
              <w:right w:w="360" w:type="dxa"/>
            </w:tcMar>
            <w:vAlign w:val="center"/>
            <w:hideMark/>
          </w:tcPr>
          <w:p w14:paraId="15298FA0" w14:textId="44C7FA5E"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hideMark/>
          </w:tcPr>
          <w:p w14:paraId="7677BAF9" w14:textId="777E9033" w:rsidR="00462460" w:rsidRPr="00B322B1" w:rsidRDefault="00462460" w:rsidP="00B322B1">
            <w:pPr>
              <w:pStyle w:val="ExhibitText"/>
              <w:jc w:val="right"/>
              <w:rPr>
                <w:sz w:val="18"/>
                <w:szCs w:val="18"/>
                <w:lang w:eastAsia="zh-CN"/>
              </w:rPr>
            </w:pPr>
            <w:r w:rsidRPr="00B322B1">
              <w:rPr>
                <w:sz w:val="18"/>
                <w:szCs w:val="18"/>
                <w:lang w:eastAsia="zh-CN"/>
              </w:rPr>
              <w:t>0.05935</w:t>
            </w:r>
          </w:p>
        </w:tc>
        <w:tc>
          <w:tcPr>
            <w:tcW w:w="840" w:type="pct"/>
            <w:shd w:val="clear" w:color="auto" w:fill="auto"/>
            <w:noWrap/>
            <w:tcMar>
              <w:left w:w="115" w:type="dxa"/>
              <w:right w:w="360" w:type="dxa"/>
            </w:tcMar>
            <w:vAlign w:val="center"/>
            <w:hideMark/>
          </w:tcPr>
          <w:p w14:paraId="6A4CD818" w14:textId="46DCD0AC"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210AF174" w14:textId="1E53FC4F" w:rsidR="00462460" w:rsidRPr="00B322B1" w:rsidRDefault="00462460" w:rsidP="00B322B1">
            <w:pPr>
              <w:pStyle w:val="ExhibitText"/>
              <w:jc w:val="right"/>
              <w:rPr>
                <w:sz w:val="18"/>
                <w:szCs w:val="18"/>
                <w:lang w:eastAsia="zh-CN"/>
              </w:rPr>
            </w:pPr>
            <w:r w:rsidRPr="00B322B1">
              <w:rPr>
                <w:sz w:val="18"/>
                <w:szCs w:val="18"/>
                <w:lang w:eastAsia="zh-CN"/>
              </w:rPr>
              <w:t>0.05935</w:t>
            </w:r>
          </w:p>
        </w:tc>
      </w:tr>
      <w:tr w:rsidR="00B322B1" w:rsidRPr="00B322B1" w14:paraId="58D44835" w14:textId="77777777" w:rsidTr="008B1AAC">
        <w:trPr>
          <w:trHeight w:val="70"/>
          <w:jc w:val="center"/>
        </w:trPr>
        <w:tc>
          <w:tcPr>
            <w:tcW w:w="800" w:type="pct"/>
            <w:shd w:val="clear" w:color="auto" w:fill="auto"/>
            <w:noWrap/>
            <w:vAlign w:val="center"/>
          </w:tcPr>
          <w:p w14:paraId="635878F2" w14:textId="66F1B0D3" w:rsidR="00462460" w:rsidRPr="00B322B1" w:rsidRDefault="00462460" w:rsidP="00B322B1">
            <w:pPr>
              <w:pStyle w:val="ExhibitText"/>
              <w:jc w:val="center"/>
              <w:rPr>
                <w:sz w:val="18"/>
                <w:szCs w:val="18"/>
                <w:lang w:eastAsia="zh-CN"/>
              </w:rPr>
            </w:pPr>
            <w:r w:rsidRPr="00B322B1">
              <w:rPr>
                <w:sz w:val="18"/>
                <w:szCs w:val="18"/>
                <w:lang w:eastAsia="zh-CN"/>
              </w:rPr>
              <w:t>2013</w:t>
            </w:r>
          </w:p>
        </w:tc>
        <w:tc>
          <w:tcPr>
            <w:tcW w:w="839" w:type="pct"/>
            <w:shd w:val="clear" w:color="auto" w:fill="auto"/>
            <w:noWrap/>
            <w:tcMar>
              <w:left w:w="115" w:type="dxa"/>
              <w:right w:w="360" w:type="dxa"/>
            </w:tcMar>
            <w:vAlign w:val="center"/>
          </w:tcPr>
          <w:p w14:paraId="5424CD5B" w14:textId="61197826" w:rsidR="00462460" w:rsidRPr="00B322B1" w:rsidRDefault="00462460" w:rsidP="00B322B1">
            <w:pPr>
              <w:pStyle w:val="ExhibitText"/>
              <w:jc w:val="right"/>
              <w:rPr>
                <w:sz w:val="18"/>
                <w:szCs w:val="18"/>
                <w:lang w:eastAsia="zh-CN"/>
              </w:rPr>
            </w:pPr>
            <w:r w:rsidRPr="00B322B1">
              <w:rPr>
                <w:sz w:val="18"/>
                <w:szCs w:val="18"/>
                <w:lang w:eastAsia="zh-CN"/>
              </w:rPr>
              <w:t>3.95</w:t>
            </w:r>
          </w:p>
        </w:tc>
        <w:tc>
          <w:tcPr>
            <w:tcW w:w="840" w:type="pct"/>
            <w:shd w:val="clear" w:color="auto" w:fill="auto"/>
            <w:noWrap/>
            <w:tcMar>
              <w:left w:w="115" w:type="dxa"/>
              <w:right w:w="360" w:type="dxa"/>
            </w:tcMar>
            <w:vAlign w:val="center"/>
          </w:tcPr>
          <w:p w14:paraId="22E6F60D" w14:textId="203E3F3D"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117A09F9" w14:textId="486B10F4" w:rsidR="00462460" w:rsidRPr="00B322B1" w:rsidRDefault="00462460" w:rsidP="00B322B1">
            <w:pPr>
              <w:pStyle w:val="ExhibitText"/>
              <w:jc w:val="right"/>
              <w:rPr>
                <w:sz w:val="18"/>
                <w:szCs w:val="18"/>
                <w:lang w:eastAsia="zh-CN"/>
              </w:rPr>
            </w:pPr>
            <w:r w:rsidRPr="00B322B1">
              <w:rPr>
                <w:sz w:val="18"/>
                <w:szCs w:val="18"/>
                <w:lang w:eastAsia="zh-CN"/>
              </w:rPr>
              <w:t>0.04531</w:t>
            </w:r>
          </w:p>
        </w:tc>
        <w:tc>
          <w:tcPr>
            <w:tcW w:w="840" w:type="pct"/>
            <w:shd w:val="clear" w:color="auto" w:fill="auto"/>
            <w:noWrap/>
            <w:tcMar>
              <w:left w:w="115" w:type="dxa"/>
              <w:right w:w="360" w:type="dxa"/>
            </w:tcMar>
            <w:vAlign w:val="center"/>
          </w:tcPr>
          <w:p w14:paraId="11DD403F" w14:textId="0F0CB817"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6FF6597F" w14:textId="170334AC" w:rsidR="00462460" w:rsidRPr="00B322B1" w:rsidRDefault="00462460" w:rsidP="00B322B1">
            <w:pPr>
              <w:pStyle w:val="ExhibitText"/>
              <w:jc w:val="right"/>
              <w:rPr>
                <w:sz w:val="18"/>
                <w:szCs w:val="18"/>
                <w:lang w:eastAsia="zh-CN"/>
              </w:rPr>
            </w:pPr>
            <w:r w:rsidRPr="00B322B1">
              <w:rPr>
                <w:sz w:val="18"/>
                <w:szCs w:val="18"/>
                <w:lang w:eastAsia="zh-CN"/>
              </w:rPr>
              <w:t>0.04531</w:t>
            </w:r>
          </w:p>
        </w:tc>
      </w:tr>
      <w:tr w:rsidR="00B322B1" w:rsidRPr="00B322B1" w14:paraId="5B1F390D" w14:textId="77777777" w:rsidTr="008B1AAC">
        <w:trPr>
          <w:trHeight w:val="70"/>
          <w:jc w:val="center"/>
        </w:trPr>
        <w:tc>
          <w:tcPr>
            <w:tcW w:w="800" w:type="pct"/>
            <w:shd w:val="clear" w:color="auto" w:fill="auto"/>
            <w:noWrap/>
            <w:vAlign w:val="center"/>
          </w:tcPr>
          <w:p w14:paraId="39ED5B0C" w14:textId="09BED91A" w:rsidR="00462460" w:rsidRPr="00B322B1" w:rsidRDefault="00462460" w:rsidP="00B322B1">
            <w:pPr>
              <w:pStyle w:val="ExhibitText"/>
              <w:jc w:val="center"/>
              <w:rPr>
                <w:sz w:val="18"/>
                <w:szCs w:val="18"/>
                <w:lang w:eastAsia="zh-CN"/>
              </w:rPr>
            </w:pPr>
            <w:r w:rsidRPr="00B322B1">
              <w:rPr>
                <w:sz w:val="18"/>
                <w:szCs w:val="18"/>
                <w:lang w:eastAsia="zh-CN"/>
              </w:rPr>
              <w:t>2014</w:t>
            </w:r>
          </w:p>
        </w:tc>
        <w:tc>
          <w:tcPr>
            <w:tcW w:w="839" w:type="pct"/>
            <w:shd w:val="clear" w:color="auto" w:fill="auto"/>
            <w:noWrap/>
            <w:tcMar>
              <w:left w:w="115" w:type="dxa"/>
              <w:right w:w="360" w:type="dxa"/>
            </w:tcMar>
            <w:vAlign w:val="center"/>
          </w:tcPr>
          <w:p w14:paraId="61CABC64" w14:textId="799B7CD4" w:rsidR="00462460" w:rsidRPr="00B322B1" w:rsidRDefault="00462460" w:rsidP="00B322B1">
            <w:pPr>
              <w:pStyle w:val="ExhibitText"/>
              <w:jc w:val="right"/>
              <w:rPr>
                <w:sz w:val="18"/>
                <w:szCs w:val="18"/>
                <w:lang w:eastAsia="zh-CN"/>
              </w:rPr>
            </w:pPr>
            <w:r w:rsidRPr="00B322B1">
              <w:rPr>
                <w:sz w:val="18"/>
                <w:szCs w:val="18"/>
                <w:lang w:eastAsia="zh-CN"/>
              </w:rPr>
              <w:t>7.84</w:t>
            </w:r>
          </w:p>
        </w:tc>
        <w:tc>
          <w:tcPr>
            <w:tcW w:w="840" w:type="pct"/>
            <w:shd w:val="clear" w:color="auto" w:fill="auto"/>
            <w:noWrap/>
            <w:tcMar>
              <w:left w:w="115" w:type="dxa"/>
              <w:right w:w="360" w:type="dxa"/>
            </w:tcMar>
            <w:vAlign w:val="center"/>
          </w:tcPr>
          <w:p w14:paraId="39AA2AC9" w14:textId="75FF1548"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50382E6B" w14:textId="68D5677C" w:rsidR="00462460" w:rsidRPr="00B322B1" w:rsidRDefault="00462460" w:rsidP="00B322B1">
            <w:pPr>
              <w:pStyle w:val="ExhibitText"/>
              <w:jc w:val="right"/>
              <w:rPr>
                <w:sz w:val="18"/>
                <w:szCs w:val="18"/>
                <w:lang w:eastAsia="zh-CN"/>
              </w:rPr>
            </w:pPr>
            <w:r w:rsidRPr="00B322B1">
              <w:rPr>
                <w:sz w:val="18"/>
                <w:szCs w:val="18"/>
                <w:lang w:eastAsia="zh-CN"/>
              </w:rPr>
              <w:t>0.05223</w:t>
            </w:r>
          </w:p>
        </w:tc>
        <w:tc>
          <w:tcPr>
            <w:tcW w:w="840" w:type="pct"/>
            <w:shd w:val="clear" w:color="auto" w:fill="auto"/>
            <w:noWrap/>
            <w:tcMar>
              <w:left w:w="115" w:type="dxa"/>
              <w:right w:w="360" w:type="dxa"/>
            </w:tcMar>
            <w:vAlign w:val="center"/>
          </w:tcPr>
          <w:p w14:paraId="1659B111" w14:textId="55E05D92"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09EA85C3" w14:textId="71087962" w:rsidR="00462460" w:rsidRPr="00B322B1" w:rsidRDefault="00462460" w:rsidP="00B322B1">
            <w:pPr>
              <w:pStyle w:val="ExhibitText"/>
              <w:jc w:val="right"/>
              <w:rPr>
                <w:sz w:val="18"/>
                <w:szCs w:val="18"/>
                <w:lang w:eastAsia="zh-CN"/>
              </w:rPr>
            </w:pPr>
            <w:r w:rsidRPr="00B322B1">
              <w:rPr>
                <w:sz w:val="18"/>
                <w:szCs w:val="18"/>
                <w:lang w:eastAsia="zh-CN"/>
              </w:rPr>
              <w:t>0.05223</w:t>
            </w:r>
          </w:p>
        </w:tc>
      </w:tr>
      <w:tr w:rsidR="00B322B1" w:rsidRPr="00B322B1" w14:paraId="5F0D83EA" w14:textId="77777777" w:rsidTr="008B1AAC">
        <w:trPr>
          <w:trHeight w:val="70"/>
          <w:jc w:val="center"/>
        </w:trPr>
        <w:tc>
          <w:tcPr>
            <w:tcW w:w="800" w:type="pct"/>
            <w:shd w:val="clear" w:color="auto" w:fill="auto"/>
            <w:noWrap/>
            <w:vAlign w:val="center"/>
          </w:tcPr>
          <w:p w14:paraId="57DCA035" w14:textId="43E167C5" w:rsidR="00462460" w:rsidRPr="00B322B1" w:rsidRDefault="00462460" w:rsidP="00B322B1">
            <w:pPr>
              <w:pStyle w:val="ExhibitText"/>
              <w:jc w:val="center"/>
              <w:rPr>
                <w:sz w:val="18"/>
                <w:szCs w:val="18"/>
                <w:lang w:eastAsia="zh-CN"/>
              </w:rPr>
            </w:pPr>
            <w:r w:rsidRPr="00B322B1">
              <w:rPr>
                <w:sz w:val="18"/>
                <w:szCs w:val="18"/>
                <w:lang w:eastAsia="zh-CN"/>
              </w:rPr>
              <w:t>2015</w:t>
            </w:r>
          </w:p>
        </w:tc>
        <w:tc>
          <w:tcPr>
            <w:tcW w:w="839" w:type="pct"/>
            <w:shd w:val="clear" w:color="auto" w:fill="auto"/>
            <w:noWrap/>
            <w:tcMar>
              <w:left w:w="115" w:type="dxa"/>
              <w:right w:w="360" w:type="dxa"/>
            </w:tcMar>
            <w:vAlign w:val="center"/>
          </w:tcPr>
          <w:p w14:paraId="45FAEE17" w14:textId="4FCB05B8" w:rsidR="00462460" w:rsidRPr="00B322B1" w:rsidRDefault="00462460" w:rsidP="00B322B1">
            <w:pPr>
              <w:pStyle w:val="ExhibitText"/>
              <w:jc w:val="right"/>
              <w:rPr>
                <w:sz w:val="18"/>
                <w:szCs w:val="18"/>
                <w:lang w:eastAsia="zh-CN"/>
              </w:rPr>
            </w:pPr>
            <w:r w:rsidRPr="00B322B1">
              <w:rPr>
                <w:sz w:val="18"/>
                <w:szCs w:val="18"/>
                <w:lang w:eastAsia="zh-CN"/>
              </w:rPr>
              <w:t>8.58</w:t>
            </w:r>
          </w:p>
        </w:tc>
        <w:tc>
          <w:tcPr>
            <w:tcW w:w="840" w:type="pct"/>
            <w:shd w:val="clear" w:color="auto" w:fill="auto"/>
            <w:noWrap/>
            <w:tcMar>
              <w:left w:w="115" w:type="dxa"/>
              <w:right w:w="360" w:type="dxa"/>
            </w:tcMar>
            <w:vAlign w:val="center"/>
          </w:tcPr>
          <w:p w14:paraId="468CC438" w14:textId="1B7291F8"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21506659" w14:textId="21B8D75A" w:rsidR="00462460" w:rsidRPr="00B322B1" w:rsidRDefault="00462460" w:rsidP="00B322B1">
            <w:pPr>
              <w:pStyle w:val="ExhibitText"/>
              <w:jc w:val="right"/>
              <w:rPr>
                <w:sz w:val="18"/>
                <w:szCs w:val="18"/>
                <w:lang w:eastAsia="zh-CN"/>
              </w:rPr>
            </w:pPr>
            <w:r w:rsidRPr="00B322B1">
              <w:rPr>
                <w:sz w:val="18"/>
                <w:szCs w:val="18"/>
                <w:lang w:eastAsia="zh-CN"/>
              </w:rPr>
              <w:t>0.107</w:t>
            </w:r>
            <w:r w:rsidR="00B322B1">
              <w:rPr>
                <w:sz w:val="18"/>
                <w:szCs w:val="18"/>
                <w:lang w:eastAsia="zh-CN"/>
              </w:rPr>
              <w:t>00</w:t>
            </w:r>
          </w:p>
        </w:tc>
        <w:tc>
          <w:tcPr>
            <w:tcW w:w="840" w:type="pct"/>
            <w:shd w:val="clear" w:color="auto" w:fill="auto"/>
            <w:noWrap/>
            <w:tcMar>
              <w:left w:w="115" w:type="dxa"/>
              <w:right w:w="360" w:type="dxa"/>
            </w:tcMar>
            <w:vAlign w:val="center"/>
          </w:tcPr>
          <w:p w14:paraId="24731B2E" w14:textId="1556881A" w:rsidR="00462460" w:rsidRPr="00B322B1" w:rsidRDefault="00B41D82" w:rsidP="00B322B1">
            <w:pPr>
              <w:pStyle w:val="ExhibitText"/>
              <w:jc w:val="right"/>
              <w:rPr>
                <w:sz w:val="18"/>
                <w:szCs w:val="18"/>
                <w:lang w:eastAsia="zh-CN"/>
              </w:rPr>
            </w:pPr>
            <w:r>
              <w:rPr>
                <w:sz w:val="18"/>
                <w:szCs w:val="18"/>
                <w:lang w:eastAsia="zh-CN"/>
              </w:rPr>
              <w:t>–</w:t>
            </w:r>
          </w:p>
        </w:tc>
        <w:tc>
          <w:tcPr>
            <w:tcW w:w="841" w:type="pct"/>
            <w:shd w:val="clear" w:color="auto" w:fill="auto"/>
            <w:noWrap/>
            <w:tcMar>
              <w:left w:w="115" w:type="dxa"/>
              <w:right w:w="360" w:type="dxa"/>
            </w:tcMar>
            <w:vAlign w:val="center"/>
          </w:tcPr>
          <w:p w14:paraId="6EE68C0D" w14:textId="58E9E777" w:rsidR="00462460" w:rsidRPr="00B322B1" w:rsidRDefault="00462460" w:rsidP="00B322B1">
            <w:pPr>
              <w:pStyle w:val="ExhibitText"/>
              <w:jc w:val="right"/>
              <w:rPr>
                <w:sz w:val="18"/>
                <w:szCs w:val="18"/>
                <w:lang w:eastAsia="zh-CN"/>
              </w:rPr>
            </w:pPr>
            <w:r w:rsidRPr="00B322B1">
              <w:rPr>
                <w:sz w:val="18"/>
                <w:szCs w:val="18"/>
                <w:lang w:eastAsia="zh-CN"/>
              </w:rPr>
              <w:t>0.107</w:t>
            </w:r>
            <w:r w:rsidR="00B322B1">
              <w:rPr>
                <w:sz w:val="18"/>
                <w:szCs w:val="18"/>
                <w:lang w:eastAsia="zh-CN"/>
              </w:rPr>
              <w:t>00</w:t>
            </w:r>
          </w:p>
        </w:tc>
      </w:tr>
    </w:tbl>
    <w:p w14:paraId="3A31F2D1" w14:textId="77777777" w:rsidR="002603FA" w:rsidRPr="00444C9A" w:rsidRDefault="002603FA" w:rsidP="0079599D">
      <w:pPr>
        <w:pStyle w:val="ExhibitText"/>
        <w:rPr>
          <w:rFonts w:eastAsia="SimSun"/>
        </w:rPr>
      </w:pPr>
    </w:p>
    <w:p w14:paraId="47F9C16F" w14:textId="14814361" w:rsidR="0097157E" w:rsidRPr="00E65477" w:rsidRDefault="0097157E" w:rsidP="00136F94">
      <w:pPr>
        <w:pStyle w:val="Footnote"/>
        <w:rPr>
          <w:rFonts w:eastAsia="SimSun"/>
          <w:spacing w:val="-2"/>
        </w:rPr>
      </w:pPr>
      <w:r w:rsidRPr="00E65477">
        <w:rPr>
          <w:rFonts w:eastAsia="SimSun"/>
          <w:spacing w:val="-2"/>
        </w:rPr>
        <w:t xml:space="preserve">Note: </w:t>
      </w:r>
      <w:r w:rsidR="00435E69" w:rsidRPr="00E65477">
        <w:rPr>
          <w:rFonts w:eastAsia="SimSun"/>
          <w:spacing w:val="-2"/>
        </w:rPr>
        <w:t>The p</w:t>
      </w:r>
      <w:r w:rsidRPr="00E65477">
        <w:rPr>
          <w:rFonts w:eastAsia="SimSun"/>
          <w:spacing w:val="-2"/>
        </w:rPr>
        <w:t xml:space="preserve">rice </w:t>
      </w:r>
      <w:r w:rsidR="00435E69" w:rsidRPr="00E65477">
        <w:rPr>
          <w:rFonts w:eastAsia="SimSun"/>
          <w:spacing w:val="-2"/>
        </w:rPr>
        <w:t xml:space="preserve">shown </w:t>
      </w:r>
      <w:r w:rsidRPr="00E65477">
        <w:rPr>
          <w:rFonts w:eastAsia="SimSun"/>
          <w:spacing w:val="-2"/>
        </w:rPr>
        <w:t>is the opening price of the year</w:t>
      </w:r>
      <w:r w:rsidR="00435E69" w:rsidRPr="00E65477">
        <w:rPr>
          <w:rFonts w:eastAsia="SimSun"/>
          <w:spacing w:val="-2"/>
        </w:rPr>
        <w:t>; JPY = Japanese yen; HKD = Hong Kong dollar; CNY = Chinese yuan</w:t>
      </w:r>
      <w:r w:rsidR="008B1AAC" w:rsidRPr="00E65477">
        <w:rPr>
          <w:rFonts w:eastAsia="SimSun"/>
          <w:spacing w:val="-2"/>
        </w:rPr>
        <w:t>.</w:t>
      </w:r>
    </w:p>
    <w:p w14:paraId="1BB15270" w14:textId="0CA55095" w:rsidR="00AF4801" w:rsidRDefault="00136F94" w:rsidP="00E77DE7">
      <w:pPr>
        <w:pStyle w:val="Footnote"/>
        <w:jc w:val="both"/>
        <w:rPr>
          <w:rFonts w:eastAsia="SimSun"/>
        </w:rPr>
      </w:pPr>
      <w:r w:rsidRPr="00444C9A">
        <w:rPr>
          <w:rFonts w:eastAsia="SimSun"/>
        </w:rPr>
        <w:t xml:space="preserve">Source: </w:t>
      </w:r>
      <w:r w:rsidR="008B136A" w:rsidRPr="00444C9A">
        <w:rPr>
          <w:rFonts w:eastAsia="SimSun"/>
        </w:rPr>
        <w:t>C</w:t>
      </w:r>
      <w:r w:rsidRPr="00444C9A">
        <w:rPr>
          <w:rFonts w:eastAsia="SimSun"/>
        </w:rPr>
        <w:t>reated by authors based on information from</w:t>
      </w:r>
      <w:r w:rsidR="00DB06A7" w:rsidRPr="00DB06A7">
        <w:t xml:space="preserve"> </w:t>
      </w:r>
      <w:r w:rsidR="00435E69">
        <w:t xml:space="preserve">Japan Airlines, </w:t>
      </w:r>
      <w:r w:rsidR="00454CE9">
        <w:t xml:space="preserve">“Dividend Policy,” accessed August, 3, 2018, </w:t>
      </w:r>
      <w:r w:rsidR="00454CE9" w:rsidRPr="00454CE9">
        <w:rPr>
          <w:rFonts w:eastAsia="SimSun"/>
        </w:rPr>
        <w:t>www.jal.com/en/investor/issue/dividend/</w:t>
      </w:r>
      <w:r w:rsidR="00454CE9">
        <w:rPr>
          <w:rFonts w:eastAsia="SimSun"/>
        </w:rPr>
        <w:t xml:space="preserve">; </w:t>
      </w:r>
      <w:r w:rsidR="00435E69">
        <w:rPr>
          <w:rFonts w:eastAsia="SimSun"/>
        </w:rPr>
        <w:t xml:space="preserve">Cathay Pacific, </w:t>
      </w:r>
      <w:r w:rsidR="00454CE9">
        <w:rPr>
          <w:rFonts w:eastAsia="SimSun"/>
        </w:rPr>
        <w:t xml:space="preserve">“Dividend History,” accessed August 3, 2018, </w:t>
      </w:r>
      <w:r w:rsidR="00E77DE7" w:rsidRPr="00E77DE7">
        <w:rPr>
          <w:rFonts w:eastAsia="SimSun"/>
        </w:rPr>
        <w:t>www.cathaypacific.com/cx/fr_FR/about-us/investor-relations/dividend-history.html</w:t>
      </w:r>
      <w:r w:rsidR="00E77DE7">
        <w:rPr>
          <w:rFonts w:eastAsia="SimSun"/>
        </w:rPr>
        <w:t xml:space="preserve">; </w:t>
      </w:r>
      <w:r w:rsidR="00435E69">
        <w:rPr>
          <w:rFonts w:eastAsia="SimSun"/>
        </w:rPr>
        <w:t xml:space="preserve">Air China, </w:t>
      </w:r>
      <w:r w:rsidR="00E77DE7">
        <w:rPr>
          <w:rFonts w:eastAsia="SimSun"/>
        </w:rPr>
        <w:t xml:space="preserve">“Dividend Information,” accessed August 3, </w:t>
      </w:r>
      <w:r w:rsidR="008B1AAC" w:rsidRPr="008B1AAC">
        <w:rPr>
          <w:rFonts w:eastAsia="SimSun"/>
        </w:rPr>
        <w:t>www.airchina.cn/en/investor_relations/stock/dividend/index.shtml</w:t>
      </w:r>
      <w:r w:rsidR="00E77DE7">
        <w:rPr>
          <w:rFonts w:eastAsia="SimSun"/>
        </w:rPr>
        <w:t>.</w:t>
      </w:r>
    </w:p>
    <w:p w14:paraId="514FAC07" w14:textId="77777777" w:rsidR="008B1AAC" w:rsidRDefault="008B1AAC" w:rsidP="00E77DE7">
      <w:pPr>
        <w:pStyle w:val="Footnote"/>
        <w:jc w:val="both"/>
        <w:rPr>
          <w:rFonts w:eastAsia="SimSun"/>
        </w:rPr>
      </w:pPr>
    </w:p>
    <w:p w14:paraId="66420461" w14:textId="77777777" w:rsidR="008B1AAC" w:rsidRPr="00444C9A" w:rsidRDefault="008B1AAC" w:rsidP="00E77DE7">
      <w:pPr>
        <w:pStyle w:val="Footnote"/>
        <w:jc w:val="both"/>
        <w:rPr>
          <w:b/>
        </w:rPr>
      </w:pPr>
    </w:p>
    <w:p w14:paraId="78AB6C3B" w14:textId="140B8D33" w:rsidR="00906B02" w:rsidRPr="00444C9A" w:rsidRDefault="00622FF0" w:rsidP="0079599D">
      <w:pPr>
        <w:pStyle w:val="ExhibitHeading"/>
      </w:pPr>
      <w:r w:rsidRPr="00444C9A">
        <w:t xml:space="preserve">EXHIBIT </w:t>
      </w:r>
      <w:r w:rsidR="00D45B22">
        <w:t>8</w:t>
      </w:r>
      <w:r w:rsidR="00906B02" w:rsidRPr="00444C9A">
        <w:t>: SINGAPORE</w:t>
      </w:r>
      <w:r w:rsidR="00C60FAD" w:rsidRPr="00444C9A">
        <w:t>’</w:t>
      </w:r>
      <w:r w:rsidR="00C60FAD">
        <w:t>s</w:t>
      </w:r>
      <w:r w:rsidR="00C60FAD" w:rsidRPr="00444C9A">
        <w:t xml:space="preserve"> </w:t>
      </w:r>
      <w:r w:rsidR="00906B02" w:rsidRPr="00444C9A">
        <w:t xml:space="preserve">RANKINGS IN </w:t>
      </w:r>
      <w:r w:rsidR="00B41D82">
        <w:t xml:space="preserve">the </w:t>
      </w:r>
      <w:r w:rsidR="00C60FAD" w:rsidRPr="00444C9A">
        <w:t>RULE OF LAW</w:t>
      </w:r>
      <w:r w:rsidR="00B41D82">
        <w:t xml:space="preserve"> index</w:t>
      </w:r>
    </w:p>
    <w:p w14:paraId="6363FAC2" w14:textId="77777777" w:rsidR="00906B02" w:rsidRPr="00444C9A" w:rsidRDefault="00906B02" w:rsidP="0079599D">
      <w:pPr>
        <w:pStyle w:val="ExhibitText"/>
      </w:pPr>
    </w:p>
    <w:tbl>
      <w:tblPr>
        <w:tblStyle w:val="TableGrid"/>
        <w:tblW w:w="3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3491"/>
        <w:gridCol w:w="1116"/>
      </w:tblGrid>
      <w:tr w:rsidR="00BF0F18" w:rsidRPr="00BF0F18" w14:paraId="2B1450F2" w14:textId="77777777" w:rsidTr="008B1AAC">
        <w:trPr>
          <w:trHeight w:val="70"/>
          <w:jc w:val="center"/>
        </w:trPr>
        <w:tc>
          <w:tcPr>
            <w:tcW w:w="1009" w:type="dxa"/>
            <w:vAlign w:val="center"/>
          </w:tcPr>
          <w:p w14:paraId="08C61C4A" w14:textId="3DAAB1C5" w:rsidR="00BF0F18" w:rsidRPr="00BF0F18" w:rsidRDefault="00BF0F18" w:rsidP="00BF0F18">
            <w:pPr>
              <w:pStyle w:val="ExhibitText"/>
              <w:jc w:val="left"/>
              <w:rPr>
                <w:b/>
              </w:rPr>
            </w:pPr>
            <w:bookmarkStart w:id="1" w:name="_GoBack" w:colFirst="0" w:colLast="2"/>
            <w:r w:rsidRPr="00BF0F18">
              <w:rPr>
                <w:b/>
              </w:rPr>
              <w:t>Factor</w:t>
            </w:r>
          </w:p>
        </w:tc>
        <w:tc>
          <w:tcPr>
            <w:tcW w:w="3491" w:type="dxa"/>
            <w:vAlign w:val="center"/>
          </w:tcPr>
          <w:p w14:paraId="333806EB" w14:textId="1E64D668" w:rsidR="00BF0F18" w:rsidRPr="00BF0F18" w:rsidRDefault="00BF0F18" w:rsidP="00BF0F18">
            <w:pPr>
              <w:pStyle w:val="ExhibitText"/>
              <w:jc w:val="left"/>
              <w:rPr>
                <w:b/>
              </w:rPr>
            </w:pPr>
            <w:r w:rsidRPr="00BF0F18">
              <w:rPr>
                <w:b/>
              </w:rPr>
              <w:t>Description</w:t>
            </w:r>
          </w:p>
        </w:tc>
        <w:tc>
          <w:tcPr>
            <w:tcW w:w="1116" w:type="dxa"/>
            <w:tcMar>
              <w:left w:w="115" w:type="dxa"/>
              <w:right w:w="115" w:type="dxa"/>
            </w:tcMar>
            <w:vAlign w:val="center"/>
          </w:tcPr>
          <w:p w14:paraId="076E3C84" w14:textId="4CB6DFDA" w:rsidR="00BF0F18" w:rsidRPr="00BF0F18" w:rsidRDefault="00BF0F18" w:rsidP="00BF0F18">
            <w:pPr>
              <w:pStyle w:val="ExhibitText"/>
              <w:jc w:val="right"/>
              <w:rPr>
                <w:b/>
              </w:rPr>
            </w:pPr>
            <w:r w:rsidRPr="00BF0F18">
              <w:rPr>
                <w:b/>
              </w:rPr>
              <w:t>Ranking</w:t>
            </w:r>
          </w:p>
        </w:tc>
      </w:tr>
      <w:tr w:rsidR="00906B02" w:rsidRPr="00333ADB" w14:paraId="0183ED79" w14:textId="77777777" w:rsidTr="008B1AAC">
        <w:trPr>
          <w:trHeight w:val="70"/>
          <w:jc w:val="center"/>
        </w:trPr>
        <w:tc>
          <w:tcPr>
            <w:tcW w:w="1009" w:type="dxa"/>
            <w:vAlign w:val="center"/>
          </w:tcPr>
          <w:p w14:paraId="0D97D0E7" w14:textId="77777777" w:rsidR="00906B02" w:rsidRPr="00333ADB" w:rsidRDefault="00906B02" w:rsidP="00BF0F18">
            <w:pPr>
              <w:pStyle w:val="ExhibitText"/>
              <w:jc w:val="left"/>
            </w:pPr>
            <w:r w:rsidRPr="00333ADB">
              <w:t>Factor 1</w:t>
            </w:r>
          </w:p>
        </w:tc>
        <w:tc>
          <w:tcPr>
            <w:tcW w:w="3491" w:type="dxa"/>
            <w:vAlign w:val="center"/>
          </w:tcPr>
          <w:p w14:paraId="1435DB07" w14:textId="77777777" w:rsidR="00906B02" w:rsidRPr="00333ADB" w:rsidRDefault="00906B02" w:rsidP="00BF0F18">
            <w:pPr>
              <w:pStyle w:val="ExhibitText"/>
              <w:jc w:val="left"/>
            </w:pPr>
            <w:r w:rsidRPr="00333ADB">
              <w:t>Constraints on Government Powers</w:t>
            </w:r>
          </w:p>
        </w:tc>
        <w:tc>
          <w:tcPr>
            <w:tcW w:w="1116" w:type="dxa"/>
            <w:tcMar>
              <w:left w:w="115" w:type="dxa"/>
              <w:right w:w="288" w:type="dxa"/>
            </w:tcMar>
            <w:vAlign w:val="center"/>
          </w:tcPr>
          <w:p w14:paraId="71205C5A" w14:textId="77777777" w:rsidR="00906B02" w:rsidRPr="00333ADB" w:rsidRDefault="00906B02" w:rsidP="00BF0F18">
            <w:pPr>
              <w:pStyle w:val="ExhibitText"/>
              <w:jc w:val="right"/>
            </w:pPr>
            <w:r w:rsidRPr="00333ADB">
              <w:t>21</w:t>
            </w:r>
          </w:p>
        </w:tc>
      </w:tr>
      <w:tr w:rsidR="00906B02" w:rsidRPr="00333ADB" w14:paraId="25851A58" w14:textId="77777777" w:rsidTr="008B1AAC">
        <w:trPr>
          <w:trHeight w:val="70"/>
          <w:jc w:val="center"/>
        </w:trPr>
        <w:tc>
          <w:tcPr>
            <w:tcW w:w="1009" w:type="dxa"/>
            <w:vAlign w:val="center"/>
          </w:tcPr>
          <w:p w14:paraId="3D39E957" w14:textId="77777777" w:rsidR="00906B02" w:rsidRPr="00333ADB" w:rsidRDefault="00906B02" w:rsidP="00BF0F18">
            <w:pPr>
              <w:pStyle w:val="ExhibitText"/>
              <w:jc w:val="left"/>
            </w:pPr>
            <w:r w:rsidRPr="00333ADB">
              <w:t>Factor 2</w:t>
            </w:r>
          </w:p>
        </w:tc>
        <w:tc>
          <w:tcPr>
            <w:tcW w:w="3491" w:type="dxa"/>
            <w:vAlign w:val="center"/>
          </w:tcPr>
          <w:p w14:paraId="71B972CA" w14:textId="77777777" w:rsidR="00906B02" w:rsidRPr="00333ADB" w:rsidRDefault="00906B02" w:rsidP="00BF0F18">
            <w:pPr>
              <w:pStyle w:val="ExhibitText"/>
              <w:jc w:val="left"/>
            </w:pPr>
            <w:r w:rsidRPr="00333ADB">
              <w:t>Absence of Corruption</w:t>
            </w:r>
          </w:p>
        </w:tc>
        <w:tc>
          <w:tcPr>
            <w:tcW w:w="1116" w:type="dxa"/>
            <w:tcMar>
              <w:left w:w="115" w:type="dxa"/>
              <w:right w:w="288" w:type="dxa"/>
            </w:tcMar>
            <w:vAlign w:val="center"/>
          </w:tcPr>
          <w:p w14:paraId="72759FEC" w14:textId="77777777" w:rsidR="00906B02" w:rsidRPr="00333ADB" w:rsidRDefault="00906B02" w:rsidP="00BF0F18">
            <w:pPr>
              <w:pStyle w:val="ExhibitText"/>
              <w:jc w:val="right"/>
            </w:pPr>
            <w:r w:rsidRPr="00333ADB">
              <w:t>5</w:t>
            </w:r>
          </w:p>
        </w:tc>
      </w:tr>
      <w:tr w:rsidR="00906B02" w:rsidRPr="00333ADB" w14:paraId="244CCA2F" w14:textId="77777777" w:rsidTr="008B1AAC">
        <w:trPr>
          <w:trHeight w:val="70"/>
          <w:jc w:val="center"/>
        </w:trPr>
        <w:tc>
          <w:tcPr>
            <w:tcW w:w="1009" w:type="dxa"/>
            <w:vAlign w:val="center"/>
          </w:tcPr>
          <w:p w14:paraId="7E507450" w14:textId="77777777" w:rsidR="00906B02" w:rsidRPr="00333ADB" w:rsidRDefault="00906B02" w:rsidP="00BF0F18">
            <w:pPr>
              <w:pStyle w:val="ExhibitText"/>
              <w:jc w:val="left"/>
            </w:pPr>
            <w:r w:rsidRPr="00333ADB">
              <w:t>Factor 3</w:t>
            </w:r>
          </w:p>
        </w:tc>
        <w:tc>
          <w:tcPr>
            <w:tcW w:w="3491" w:type="dxa"/>
            <w:vAlign w:val="center"/>
          </w:tcPr>
          <w:p w14:paraId="6F8B12CD" w14:textId="77777777" w:rsidR="00906B02" w:rsidRPr="00333ADB" w:rsidRDefault="00906B02" w:rsidP="00BF0F18">
            <w:pPr>
              <w:pStyle w:val="ExhibitText"/>
              <w:jc w:val="left"/>
            </w:pPr>
            <w:r w:rsidRPr="00333ADB">
              <w:t xml:space="preserve">Open Government </w:t>
            </w:r>
          </w:p>
        </w:tc>
        <w:tc>
          <w:tcPr>
            <w:tcW w:w="1116" w:type="dxa"/>
            <w:tcMar>
              <w:left w:w="115" w:type="dxa"/>
              <w:right w:w="288" w:type="dxa"/>
            </w:tcMar>
            <w:vAlign w:val="center"/>
          </w:tcPr>
          <w:p w14:paraId="455D387C" w14:textId="77777777" w:rsidR="00906B02" w:rsidRPr="00333ADB" w:rsidRDefault="00906B02" w:rsidP="00BF0F18">
            <w:pPr>
              <w:pStyle w:val="ExhibitText"/>
              <w:jc w:val="right"/>
            </w:pPr>
            <w:r w:rsidRPr="00333ADB">
              <w:t>21</w:t>
            </w:r>
          </w:p>
        </w:tc>
      </w:tr>
      <w:tr w:rsidR="00906B02" w:rsidRPr="00333ADB" w14:paraId="608D0742" w14:textId="77777777" w:rsidTr="008B1AAC">
        <w:trPr>
          <w:trHeight w:val="70"/>
          <w:jc w:val="center"/>
        </w:trPr>
        <w:tc>
          <w:tcPr>
            <w:tcW w:w="1009" w:type="dxa"/>
            <w:vAlign w:val="center"/>
          </w:tcPr>
          <w:p w14:paraId="30F53E73" w14:textId="77777777" w:rsidR="00906B02" w:rsidRPr="00333ADB" w:rsidRDefault="00906B02" w:rsidP="00BF0F18">
            <w:pPr>
              <w:pStyle w:val="ExhibitText"/>
              <w:jc w:val="left"/>
            </w:pPr>
            <w:r w:rsidRPr="00333ADB">
              <w:t>Factor 4</w:t>
            </w:r>
          </w:p>
        </w:tc>
        <w:tc>
          <w:tcPr>
            <w:tcW w:w="3491" w:type="dxa"/>
            <w:vAlign w:val="center"/>
          </w:tcPr>
          <w:p w14:paraId="4B697F4B" w14:textId="77777777" w:rsidR="00906B02" w:rsidRPr="00333ADB" w:rsidRDefault="00906B02" w:rsidP="00BF0F18">
            <w:pPr>
              <w:pStyle w:val="ExhibitText"/>
              <w:jc w:val="left"/>
            </w:pPr>
            <w:r w:rsidRPr="00333ADB">
              <w:t>Fundamental Rights</w:t>
            </w:r>
          </w:p>
        </w:tc>
        <w:tc>
          <w:tcPr>
            <w:tcW w:w="1116" w:type="dxa"/>
            <w:tcMar>
              <w:left w:w="115" w:type="dxa"/>
              <w:right w:w="288" w:type="dxa"/>
            </w:tcMar>
            <w:vAlign w:val="center"/>
          </w:tcPr>
          <w:p w14:paraId="29453EF5" w14:textId="77777777" w:rsidR="00906B02" w:rsidRPr="00333ADB" w:rsidRDefault="00906B02" w:rsidP="00BF0F18">
            <w:pPr>
              <w:pStyle w:val="ExhibitText"/>
              <w:jc w:val="right"/>
            </w:pPr>
            <w:r w:rsidRPr="00333ADB">
              <w:t>26</w:t>
            </w:r>
          </w:p>
        </w:tc>
      </w:tr>
      <w:tr w:rsidR="00906B02" w:rsidRPr="00333ADB" w14:paraId="5C05E04A" w14:textId="77777777" w:rsidTr="008B1AAC">
        <w:trPr>
          <w:trHeight w:val="70"/>
          <w:jc w:val="center"/>
        </w:trPr>
        <w:tc>
          <w:tcPr>
            <w:tcW w:w="1009" w:type="dxa"/>
            <w:vAlign w:val="center"/>
          </w:tcPr>
          <w:p w14:paraId="1D5C490B" w14:textId="77777777" w:rsidR="00906B02" w:rsidRPr="00333ADB" w:rsidRDefault="00906B02" w:rsidP="00BF0F18">
            <w:pPr>
              <w:pStyle w:val="ExhibitText"/>
              <w:jc w:val="left"/>
            </w:pPr>
            <w:r w:rsidRPr="00333ADB">
              <w:t>Factor 5</w:t>
            </w:r>
          </w:p>
        </w:tc>
        <w:tc>
          <w:tcPr>
            <w:tcW w:w="3491" w:type="dxa"/>
            <w:vAlign w:val="center"/>
          </w:tcPr>
          <w:p w14:paraId="786AEB35" w14:textId="77777777" w:rsidR="00906B02" w:rsidRPr="00333ADB" w:rsidRDefault="00906B02" w:rsidP="00BF0F18">
            <w:pPr>
              <w:pStyle w:val="ExhibitText"/>
              <w:jc w:val="left"/>
            </w:pPr>
            <w:r w:rsidRPr="00333ADB">
              <w:t>Order &amp; Security</w:t>
            </w:r>
          </w:p>
        </w:tc>
        <w:tc>
          <w:tcPr>
            <w:tcW w:w="1116" w:type="dxa"/>
            <w:tcMar>
              <w:left w:w="115" w:type="dxa"/>
              <w:right w:w="288" w:type="dxa"/>
            </w:tcMar>
            <w:vAlign w:val="center"/>
          </w:tcPr>
          <w:p w14:paraId="38CE43A5" w14:textId="77777777" w:rsidR="00906B02" w:rsidRPr="00333ADB" w:rsidRDefault="00906B02" w:rsidP="00BF0F18">
            <w:pPr>
              <w:pStyle w:val="ExhibitText"/>
              <w:jc w:val="right"/>
            </w:pPr>
            <w:r w:rsidRPr="00333ADB">
              <w:t>2</w:t>
            </w:r>
          </w:p>
        </w:tc>
      </w:tr>
      <w:tr w:rsidR="00906B02" w:rsidRPr="00333ADB" w14:paraId="7FA9AC51" w14:textId="77777777" w:rsidTr="008B1AAC">
        <w:trPr>
          <w:trHeight w:val="70"/>
          <w:jc w:val="center"/>
        </w:trPr>
        <w:tc>
          <w:tcPr>
            <w:tcW w:w="1009" w:type="dxa"/>
            <w:vAlign w:val="center"/>
          </w:tcPr>
          <w:p w14:paraId="687A5E6E" w14:textId="77777777" w:rsidR="00906B02" w:rsidRPr="00333ADB" w:rsidRDefault="00906B02" w:rsidP="00BF0F18">
            <w:pPr>
              <w:pStyle w:val="ExhibitText"/>
              <w:jc w:val="left"/>
            </w:pPr>
            <w:r w:rsidRPr="00333ADB">
              <w:t>Factor 6</w:t>
            </w:r>
          </w:p>
        </w:tc>
        <w:tc>
          <w:tcPr>
            <w:tcW w:w="3491" w:type="dxa"/>
            <w:vAlign w:val="center"/>
          </w:tcPr>
          <w:p w14:paraId="3985A337" w14:textId="77777777" w:rsidR="00906B02" w:rsidRPr="00333ADB" w:rsidRDefault="00906B02" w:rsidP="00BF0F18">
            <w:pPr>
              <w:pStyle w:val="ExhibitText"/>
              <w:jc w:val="left"/>
            </w:pPr>
            <w:r w:rsidRPr="00333ADB">
              <w:t>Regulatory Enforcement</w:t>
            </w:r>
          </w:p>
        </w:tc>
        <w:tc>
          <w:tcPr>
            <w:tcW w:w="1116" w:type="dxa"/>
            <w:tcMar>
              <w:left w:w="115" w:type="dxa"/>
              <w:right w:w="288" w:type="dxa"/>
            </w:tcMar>
            <w:vAlign w:val="center"/>
          </w:tcPr>
          <w:p w14:paraId="56D3351E" w14:textId="77777777" w:rsidR="00906B02" w:rsidRPr="00333ADB" w:rsidRDefault="00906B02" w:rsidP="00BF0F18">
            <w:pPr>
              <w:pStyle w:val="ExhibitText"/>
              <w:jc w:val="right"/>
            </w:pPr>
            <w:r w:rsidRPr="00333ADB">
              <w:t>8</w:t>
            </w:r>
          </w:p>
        </w:tc>
      </w:tr>
      <w:tr w:rsidR="00906B02" w:rsidRPr="00333ADB" w14:paraId="2D23544B" w14:textId="77777777" w:rsidTr="008B1AAC">
        <w:trPr>
          <w:trHeight w:val="70"/>
          <w:jc w:val="center"/>
        </w:trPr>
        <w:tc>
          <w:tcPr>
            <w:tcW w:w="1009" w:type="dxa"/>
            <w:vAlign w:val="center"/>
          </w:tcPr>
          <w:p w14:paraId="2B449943" w14:textId="77777777" w:rsidR="00906B02" w:rsidRPr="00333ADB" w:rsidRDefault="00906B02" w:rsidP="00BF0F18">
            <w:pPr>
              <w:pStyle w:val="ExhibitText"/>
              <w:jc w:val="left"/>
            </w:pPr>
            <w:r w:rsidRPr="00333ADB">
              <w:t>Factor 7</w:t>
            </w:r>
          </w:p>
        </w:tc>
        <w:tc>
          <w:tcPr>
            <w:tcW w:w="3491" w:type="dxa"/>
            <w:vAlign w:val="center"/>
          </w:tcPr>
          <w:p w14:paraId="01B8604F" w14:textId="77777777" w:rsidR="00906B02" w:rsidRPr="00333ADB" w:rsidRDefault="00906B02" w:rsidP="00BF0F18">
            <w:pPr>
              <w:pStyle w:val="ExhibitText"/>
              <w:jc w:val="left"/>
            </w:pPr>
            <w:r w:rsidRPr="00333ADB">
              <w:t>Civil Justice</w:t>
            </w:r>
          </w:p>
        </w:tc>
        <w:tc>
          <w:tcPr>
            <w:tcW w:w="1116" w:type="dxa"/>
            <w:tcMar>
              <w:left w:w="115" w:type="dxa"/>
              <w:right w:w="288" w:type="dxa"/>
            </w:tcMar>
            <w:vAlign w:val="center"/>
          </w:tcPr>
          <w:p w14:paraId="19535652" w14:textId="77777777" w:rsidR="00906B02" w:rsidRPr="00333ADB" w:rsidRDefault="00906B02" w:rsidP="00BF0F18">
            <w:pPr>
              <w:pStyle w:val="ExhibitText"/>
              <w:jc w:val="right"/>
            </w:pPr>
            <w:r w:rsidRPr="00333ADB">
              <w:t>6</w:t>
            </w:r>
          </w:p>
        </w:tc>
      </w:tr>
      <w:tr w:rsidR="00906B02" w:rsidRPr="00333ADB" w14:paraId="2BCD38B5" w14:textId="77777777" w:rsidTr="008B1AAC">
        <w:trPr>
          <w:trHeight w:val="70"/>
          <w:jc w:val="center"/>
        </w:trPr>
        <w:tc>
          <w:tcPr>
            <w:tcW w:w="1009" w:type="dxa"/>
            <w:vAlign w:val="center"/>
          </w:tcPr>
          <w:p w14:paraId="3F659D2F" w14:textId="77777777" w:rsidR="00906B02" w:rsidRPr="00333ADB" w:rsidRDefault="00906B02" w:rsidP="00BF0F18">
            <w:pPr>
              <w:pStyle w:val="ExhibitText"/>
              <w:jc w:val="left"/>
            </w:pPr>
            <w:r w:rsidRPr="00333ADB">
              <w:t>Factor 8</w:t>
            </w:r>
          </w:p>
        </w:tc>
        <w:tc>
          <w:tcPr>
            <w:tcW w:w="3491" w:type="dxa"/>
            <w:vAlign w:val="center"/>
          </w:tcPr>
          <w:p w14:paraId="384BE90B" w14:textId="77777777" w:rsidR="00906B02" w:rsidRPr="00333ADB" w:rsidRDefault="00906B02" w:rsidP="00BF0F18">
            <w:pPr>
              <w:pStyle w:val="ExhibitText"/>
              <w:jc w:val="left"/>
            </w:pPr>
            <w:r w:rsidRPr="00333ADB">
              <w:t>Criminal Justice</w:t>
            </w:r>
          </w:p>
        </w:tc>
        <w:tc>
          <w:tcPr>
            <w:tcW w:w="1116" w:type="dxa"/>
            <w:tcMar>
              <w:left w:w="115" w:type="dxa"/>
              <w:right w:w="288" w:type="dxa"/>
            </w:tcMar>
            <w:vAlign w:val="center"/>
          </w:tcPr>
          <w:p w14:paraId="53382416" w14:textId="77777777" w:rsidR="00906B02" w:rsidRPr="00333ADB" w:rsidRDefault="00906B02" w:rsidP="00BF0F18">
            <w:pPr>
              <w:pStyle w:val="ExhibitText"/>
              <w:jc w:val="right"/>
            </w:pPr>
            <w:r w:rsidRPr="00333ADB">
              <w:t>2</w:t>
            </w:r>
          </w:p>
        </w:tc>
      </w:tr>
      <w:bookmarkEnd w:id="1"/>
    </w:tbl>
    <w:p w14:paraId="7B0553FD" w14:textId="35752C3F" w:rsidR="00906B02" w:rsidRPr="00333ADB" w:rsidRDefault="00906B02" w:rsidP="00A763F5">
      <w:pPr>
        <w:pStyle w:val="ExhibitText"/>
        <w:rPr>
          <w:rFonts w:eastAsia="SimSun"/>
          <w:lang w:eastAsia="zh-CN"/>
        </w:rPr>
      </w:pPr>
    </w:p>
    <w:p w14:paraId="6BBC39C2" w14:textId="67E908CA" w:rsidR="00005435" w:rsidRPr="00FA522F" w:rsidRDefault="00906B02" w:rsidP="00FA522F">
      <w:pPr>
        <w:pStyle w:val="Footnote"/>
        <w:jc w:val="both"/>
      </w:pPr>
      <w:r w:rsidRPr="00FA522F">
        <w:t xml:space="preserve">Source: </w:t>
      </w:r>
      <w:r w:rsidR="00E95B37" w:rsidRPr="00FA522F">
        <w:t xml:space="preserve">The World Justice Project, </w:t>
      </w:r>
      <w:r w:rsidR="00E95B37" w:rsidRPr="000B4ECA">
        <w:rPr>
          <w:i/>
        </w:rPr>
        <w:t>Rule of Law Index 2014</w:t>
      </w:r>
      <w:r w:rsidR="00E95B37" w:rsidRPr="00FA522F">
        <w:t xml:space="preserve">, 14–28, accessed December 20, 2016, </w:t>
      </w:r>
      <w:r w:rsidRPr="00FA522F">
        <w:t>http://worldjusticeproject.org/sites/default/files/files/wjp_ru</w:t>
      </w:r>
      <w:r w:rsidR="00E95B37" w:rsidRPr="00FA522F">
        <w:t>le_of_law_index_2014_report.pdf</w:t>
      </w:r>
      <w:r w:rsidRPr="00FA522F">
        <w:t>.</w:t>
      </w:r>
      <w:r w:rsidR="005943BD" w:rsidRPr="00FA522F">
        <w:t xml:space="preserve"> </w:t>
      </w:r>
    </w:p>
    <w:p w14:paraId="72030918" w14:textId="77777777" w:rsidR="00005435" w:rsidRDefault="00005435">
      <w:pPr>
        <w:spacing w:after="200" w:line="276" w:lineRule="auto"/>
        <w:rPr>
          <w:rFonts w:ascii="Arial" w:hAnsi="Arial" w:cs="Arial"/>
          <w:sz w:val="17"/>
          <w:szCs w:val="17"/>
        </w:rPr>
      </w:pPr>
      <w:r>
        <w:br w:type="page"/>
      </w:r>
    </w:p>
    <w:p w14:paraId="17C7D2A7" w14:textId="7980C424" w:rsidR="005943BD" w:rsidRPr="00444C9A" w:rsidRDefault="00005435" w:rsidP="00005435">
      <w:pPr>
        <w:pStyle w:val="Casehead1"/>
      </w:pPr>
      <w:r>
        <w:lastRenderedPageBreak/>
        <w:t>Endnotes</w:t>
      </w:r>
    </w:p>
    <w:sectPr w:rsidR="005943BD" w:rsidRPr="00444C9A" w:rsidSect="0079599D">
      <w:headerReference w:type="default" r:id="rId14"/>
      <w:endnotePr>
        <w:numFmt w:val="decimal"/>
      </w:endnotePr>
      <w:pgSz w:w="12240" w:h="15840"/>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2FC78" w14:textId="77777777" w:rsidR="00EA6E19" w:rsidRDefault="00EA6E19" w:rsidP="00D75295">
      <w:r>
        <w:separator/>
      </w:r>
    </w:p>
  </w:endnote>
  <w:endnote w:type="continuationSeparator" w:id="0">
    <w:p w14:paraId="2F4FDFDB" w14:textId="77777777" w:rsidR="00EA6E19" w:rsidRDefault="00EA6E19" w:rsidP="00D75295">
      <w:r>
        <w:continuationSeparator/>
      </w:r>
    </w:p>
  </w:endnote>
  <w:endnote w:id="1">
    <w:p w14:paraId="5DDFF479" w14:textId="5E8C66E0" w:rsidR="00EA6E19" w:rsidRPr="00DC01C1" w:rsidRDefault="00EA6E19" w:rsidP="00005435">
      <w:pPr>
        <w:pStyle w:val="Footnote"/>
        <w:jc w:val="both"/>
      </w:pPr>
      <w:r w:rsidRPr="00DC01C1">
        <w:rPr>
          <w:rStyle w:val="EndnoteReference"/>
        </w:rPr>
        <w:endnoteRef/>
      </w:r>
      <w:r w:rsidRPr="00DC01C1">
        <w:t xml:space="preserve"> This case has been written based on published sources. Consequently, the interpretation and perspectives presented in this case are not necessarily those of Singapore Airlines </w:t>
      </w:r>
      <w:r>
        <w:t xml:space="preserve">Limited </w:t>
      </w:r>
      <w:r w:rsidRPr="00DC01C1">
        <w:t>or any of its employees.</w:t>
      </w:r>
    </w:p>
  </w:endnote>
  <w:endnote w:id="2">
    <w:p w14:paraId="2D7BCD53" w14:textId="66C023F1" w:rsidR="00EA6E19" w:rsidRDefault="00EA6E19" w:rsidP="00005435">
      <w:pPr>
        <w:pStyle w:val="Footnote"/>
        <w:jc w:val="both"/>
      </w:pPr>
      <w:r w:rsidRPr="00DC01C1">
        <w:rPr>
          <w:rStyle w:val="EndnoteReference"/>
        </w:rPr>
        <w:endnoteRef/>
      </w:r>
      <w:r w:rsidRPr="00DC01C1">
        <w:t xml:space="preserve"> </w:t>
      </w:r>
      <w:r>
        <w:t xml:space="preserve">Skytrax, </w:t>
      </w:r>
      <w:r w:rsidRPr="00DC01C1">
        <w:t xml:space="preserve">“World Airline Awards—Top 100 Airlines: 2015,” accessed July 27, 2015, </w:t>
      </w:r>
      <w:r w:rsidRPr="000B4ECA">
        <w:t>www.worldairlineawards.com/</w:t>
      </w:r>
      <w:r w:rsidRPr="00DC01C1">
        <w:t>Awards/</w:t>
      </w:r>
    </w:p>
    <w:p w14:paraId="280D96BF" w14:textId="0180B07D" w:rsidR="00EA6E19" w:rsidRPr="00DC01C1" w:rsidRDefault="00EA6E19" w:rsidP="00005435">
      <w:pPr>
        <w:pStyle w:val="Footnote"/>
        <w:jc w:val="both"/>
      </w:pPr>
      <w:r w:rsidRPr="00DC01C1">
        <w:t>world_airline_rating_2015.html.</w:t>
      </w:r>
    </w:p>
  </w:endnote>
  <w:endnote w:id="3">
    <w:p w14:paraId="2C5CEAA4" w14:textId="1113BA25" w:rsidR="00EA6E19" w:rsidRPr="00DC01C1" w:rsidRDefault="00EA6E19" w:rsidP="00005435">
      <w:pPr>
        <w:pStyle w:val="Footnote"/>
        <w:jc w:val="both"/>
      </w:pPr>
      <w:r w:rsidRPr="00DC01C1">
        <w:rPr>
          <w:rStyle w:val="EndnoteReference"/>
        </w:rPr>
        <w:endnoteRef/>
      </w:r>
      <w:r w:rsidRPr="00DC01C1">
        <w:t xml:space="preserve"> </w:t>
      </w:r>
      <w:r>
        <w:t xml:space="preserve">Skytrax, </w:t>
      </w:r>
      <w:r w:rsidRPr="00DC01C1">
        <w:t>“World’s Top 10 Airlines,” accessed July 27, 2015, www.worldairlineawards.com/Awards/worlds_best_airline.html.</w:t>
      </w:r>
    </w:p>
  </w:endnote>
  <w:endnote w:id="4">
    <w:p w14:paraId="60AC7F40" w14:textId="6246F06D" w:rsidR="00EA6E19" w:rsidRPr="00DC01C1" w:rsidRDefault="00EA6E19" w:rsidP="00005435">
      <w:pPr>
        <w:pStyle w:val="Footnote"/>
        <w:jc w:val="both"/>
      </w:pPr>
      <w:r w:rsidRPr="00DC01C1">
        <w:rPr>
          <w:rStyle w:val="EndnoteReference"/>
        </w:rPr>
        <w:endnoteRef/>
      </w:r>
      <w:r w:rsidRPr="00DC01C1">
        <w:t xml:space="preserve"> </w:t>
      </w:r>
      <w:r>
        <w:t xml:space="preserve">Skytrax, </w:t>
      </w:r>
      <w:r w:rsidRPr="00DC01C1">
        <w:t>“World Airline Awards—Top 100 Airlines: 2015,” op. cit.</w:t>
      </w:r>
    </w:p>
  </w:endnote>
  <w:endnote w:id="5">
    <w:p w14:paraId="0F45B6D0" w14:textId="0B956633" w:rsidR="00EA6E19" w:rsidRDefault="00EA6E19" w:rsidP="00005435">
      <w:pPr>
        <w:pStyle w:val="Footnote"/>
        <w:jc w:val="both"/>
      </w:pPr>
      <w:r w:rsidRPr="00DC01C1">
        <w:rPr>
          <w:rStyle w:val="EndnoteReference"/>
        </w:rPr>
        <w:endnoteRef/>
      </w:r>
      <w:r w:rsidRPr="00DC01C1">
        <w:t xml:space="preserve"> Singapore Airlines Limited, </w:t>
      </w:r>
      <w:r w:rsidRPr="007240CC">
        <w:rPr>
          <w:i/>
        </w:rPr>
        <w:t>Annual Report FY2016/17</w:t>
      </w:r>
      <w:r w:rsidRPr="00DC01C1">
        <w:t xml:space="preserve">, May 2017, accessed July 9, 2018, </w:t>
      </w:r>
      <w:r w:rsidRPr="000B4ECA">
        <w:t>www.singaporeair.com/</w:t>
      </w:r>
      <w:r w:rsidRPr="00DC01C1">
        <w:t>saar5/pdf/</w:t>
      </w:r>
    </w:p>
    <w:p w14:paraId="2248B2D3" w14:textId="0082F074" w:rsidR="00EA6E19" w:rsidRPr="00DC01C1" w:rsidRDefault="00EA6E19" w:rsidP="00005435">
      <w:pPr>
        <w:pStyle w:val="Footnote"/>
        <w:jc w:val="both"/>
      </w:pPr>
      <w:r w:rsidRPr="00DC01C1">
        <w:t>Investor-Relations/Annual-Report/annualreport1617.pdf.</w:t>
      </w:r>
    </w:p>
  </w:endnote>
  <w:endnote w:id="6">
    <w:p w14:paraId="03A25379" w14:textId="67B593FC" w:rsidR="00EA6E19" w:rsidRPr="00DC01C1" w:rsidRDefault="00EA6E19" w:rsidP="00005435">
      <w:pPr>
        <w:pStyle w:val="Footnote"/>
        <w:jc w:val="both"/>
      </w:pPr>
      <w:r w:rsidRPr="00DC01C1">
        <w:rPr>
          <w:rStyle w:val="EndnoteReference"/>
        </w:rPr>
        <w:endnoteRef/>
      </w:r>
      <w:r w:rsidRPr="00DC01C1">
        <w:t xml:space="preserve"> All dollar amounts are in US</w:t>
      </w:r>
      <w:r>
        <w:t>$</w:t>
      </w:r>
      <w:r w:rsidRPr="00DC01C1">
        <w:t xml:space="preserve"> unless otherwise indicated. Derek Low, “What It</w:t>
      </w:r>
      <w:r>
        <w:t>’</w:t>
      </w:r>
      <w:r w:rsidRPr="00DC01C1">
        <w:t>s like to Fly the $23,000 Singapore Airlines Suites Class,” Derek Low (blog), October 2, 2014, accessed June 18, 2018, https://dereklow.co/what-its-like-to-fly-the-23000-singapore-airlines-suites-class.</w:t>
      </w:r>
    </w:p>
  </w:endnote>
  <w:endnote w:id="7">
    <w:p w14:paraId="3E73BFF6" w14:textId="3BFB2342" w:rsidR="00EA6E19" w:rsidRPr="00DC01C1" w:rsidRDefault="00EA6E19" w:rsidP="00005435">
      <w:pPr>
        <w:pStyle w:val="Footnote"/>
        <w:jc w:val="both"/>
      </w:pPr>
      <w:r w:rsidRPr="00DC01C1">
        <w:rPr>
          <w:rStyle w:val="EndnoteReference"/>
        </w:rPr>
        <w:endnoteRef/>
      </w:r>
      <w:r w:rsidRPr="00DC01C1">
        <w:t xml:space="preserve"> </w:t>
      </w:r>
      <w:r w:rsidRPr="007240CC">
        <w:rPr>
          <w:i/>
        </w:rPr>
        <w:t>Business Traveller</w:t>
      </w:r>
      <w:r w:rsidRPr="00DC01C1">
        <w:t>, “Business Traveller Asia-Pacific Awards 2017 Results,” September 8, 2017, accessed June 15, 2018, www.businesstraveller.com/awards/business-traveller-asia-pacific-awards-2017-results.</w:t>
      </w:r>
    </w:p>
  </w:endnote>
  <w:endnote w:id="8">
    <w:p w14:paraId="581CFB54" w14:textId="27A4647A" w:rsidR="00EA6E19" w:rsidRPr="00DC01C1" w:rsidRDefault="00EA6E19" w:rsidP="00005435">
      <w:pPr>
        <w:pStyle w:val="Footnote"/>
        <w:jc w:val="both"/>
      </w:pPr>
      <w:r w:rsidRPr="00DC01C1">
        <w:rPr>
          <w:rStyle w:val="EndnoteReference"/>
        </w:rPr>
        <w:endnoteRef/>
      </w:r>
      <w:r w:rsidRPr="00DC01C1">
        <w:t xml:space="preserve"> </w:t>
      </w:r>
      <w:r>
        <w:t xml:space="preserve">Channel NewsAsia, </w:t>
      </w:r>
      <w:r w:rsidRPr="00DC01C1">
        <w:t>“The Singapore Girl: From an Experiment to an Icon,” July 28, 2015, accessed July 9, 2018, www.channelnewsasia.com/news/singapore/the-singapore-girl-from-an-experiment-to-an-icon-8253406.</w:t>
      </w:r>
    </w:p>
  </w:endnote>
  <w:endnote w:id="9">
    <w:p w14:paraId="0568FDC9" w14:textId="6E57808E" w:rsidR="00EA6E19" w:rsidRPr="00DC01C1" w:rsidRDefault="00EA6E19" w:rsidP="00005435">
      <w:pPr>
        <w:pStyle w:val="Footnote"/>
        <w:jc w:val="both"/>
      </w:pPr>
      <w:r w:rsidRPr="00DC01C1">
        <w:rPr>
          <w:rStyle w:val="EndnoteReference"/>
        </w:rPr>
        <w:endnoteRef/>
      </w:r>
      <w:r w:rsidRPr="00DC01C1">
        <w:t xml:space="preserve"> </w:t>
      </w:r>
      <w:proofErr w:type="spellStart"/>
      <w:r w:rsidRPr="00DC01C1">
        <w:t>Loizos</w:t>
      </w:r>
      <w:proofErr w:type="spellEnd"/>
      <w:r w:rsidRPr="00DC01C1">
        <w:t xml:space="preserve"> </w:t>
      </w:r>
      <w:proofErr w:type="spellStart"/>
      <w:r w:rsidRPr="00DC01C1">
        <w:t>Heracleous</w:t>
      </w:r>
      <w:proofErr w:type="spellEnd"/>
      <w:r w:rsidRPr="00DC01C1">
        <w:t xml:space="preserve"> and Jochen Wirtz, “Singapore Airlines’ Balancing Act,” </w:t>
      </w:r>
      <w:r w:rsidRPr="00DC01C1">
        <w:rPr>
          <w:i/>
        </w:rPr>
        <w:t>Harvard Business Review</w:t>
      </w:r>
      <w:r w:rsidRPr="00DC01C1">
        <w:t xml:space="preserve">, July–August 2010. Available from Ivey Publishing, product </w:t>
      </w:r>
      <w:r>
        <w:t>n</w:t>
      </w:r>
      <w:r w:rsidRPr="00DC01C1">
        <w:t>o. R1007P.</w:t>
      </w:r>
    </w:p>
  </w:endnote>
  <w:endnote w:id="10">
    <w:p w14:paraId="1A5D8AC4" w14:textId="19C32145" w:rsidR="00EA6E19" w:rsidRDefault="00EA6E19" w:rsidP="00005435">
      <w:pPr>
        <w:pStyle w:val="Footnote"/>
        <w:jc w:val="both"/>
      </w:pPr>
      <w:r w:rsidRPr="00DC01C1">
        <w:rPr>
          <w:rStyle w:val="EndnoteReference"/>
          <w:spacing w:val="-6"/>
        </w:rPr>
        <w:endnoteRef/>
      </w:r>
      <w:r w:rsidRPr="00DC01C1">
        <w:rPr>
          <w:spacing w:val="-6"/>
        </w:rPr>
        <w:t xml:space="preserve"> </w:t>
      </w:r>
      <w:r w:rsidRPr="00DC01C1">
        <w:t xml:space="preserve">Singapore Airlines, “Singapore Airlines Launches World’s First Inflight Entertainment System to Offer Both Audio and Video on Demand,” press release, September 15, 1997, accessed June 15, 2018, </w:t>
      </w:r>
      <w:r w:rsidRPr="00F81FD3">
        <w:t>www.thefreelibrary.com/Singapore+Airlines+</w:t>
      </w:r>
    </w:p>
    <w:p w14:paraId="58F79551" w14:textId="11A139ED" w:rsidR="00EA6E19" w:rsidRPr="00DC01C1" w:rsidRDefault="00EA6E19" w:rsidP="00005435">
      <w:pPr>
        <w:pStyle w:val="Footnote"/>
        <w:jc w:val="both"/>
        <w:rPr>
          <w:spacing w:val="-6"/>
        </w:rPr>
      </w:pPr>
      <w:proofErr w:type="spellStart"/>
      <w:r w:rsidRPr="00F81FD3">
        <w:t>Launches+World's+First+Inflight+Entertainment</w:t>
      </w:r>
      <w:proofErr w:type="spellEnd"/>
      <w:r w:rsidRPr="00F81FD3">
        <w:t>...-a019759106</w:t>
      </w:r>
      <w:r>
        <w:t xml:space="preserve">; </w:t>
      </w:r>
      <w:r w:rsidRPr="00DC01C1">
        <w:rPr>
          <w:spacing w:val="-6"/>
        </w:rPr>
        <w:t>Singapore Airlines, “Book the Cook,” accessed June 15, 2018, www.singaporeair.com/en_UK/sg/flying-withus/dining/book-the-cook.</w:t>
      </w:r>
    </w:p>
  </w:endnote>
  <w:endnote w:id="11">
    <w:p w14:paraId="27DCBDAC" w14:textId="3BBB258D" w:rsidR="00EA6E19" w:rsidRPr="00DC01C1" w:rsidRDefault="00EA6E19" w:rsidP="00005435">
      <w:pPr>
        <w:pStyle w:val="Footnote"/>
        <w:jc w:val="both"/>
      </w:pPr>
      <w:r w:rsidRPr="00DC01C1">
        <w:rPr>
          <w:rStyle w:val="EndnoteReference"/>
        </w:rPr>
        <w:endnoteRef/>
      </w:r>
      <w:r w:rsidRPr="00DC01C1">
        <w:t xml:space="preserve"> </w:t>
      </w:r>
      <w:proofErr w:type="spellStart"/>
      <w:r w:rsidRPr="00DC01C1">
        <w:t>Heracleous</w:t>
      </w:r>
      <w:proofErr w:type="spellEnd"/>
      <w:r w:rsidRPr="00DC01C1">
        <w:t xml:space="preserve"> and Wirtz, op. cit.</w:t>
      </w:r>
    </w:p>
  </w:endnote>
  <w:endnote w:id="12">
    <w:p w14:paraId="483B524A" w14:textId="5D6CAFD4" w:rsidR="00EA6E19" w:rsidRPr="00DC01C1" w:rsidRDefault="00EA6E19" w:rsidP="00005435">
      <w:pPr>
        <w:pStyle w:val="Footnote"/>
        <w:jc w:val="both"/>
      </w:pPr>
      <w:r w:rsidRPr="00DC01C1">
        <w:rPr>
          <w:rStyle w:val="EndnoteReference"/>
        </w:rPr>
        <w:endnoteRef/>
      </w:r>
      <w:r w:rsidRPr="00DC01C1">
        <w:t xml:space="preserve"> Ibid.</w:t>
      </w:r>
    </w:p>
  </w:endnote>
  <w:endnote w:id="13">
    <w:p w14:paraId="47B17DE8" w14:textId="159C62D9" w:rsidR="00EA6E19" w:rsidRPr="00DC01C1" w:rsidRDefault="00EA6E19" w:rsidP="00005435">
      <w:pPr>
        <w:pStyle w:val="Footnote"/>
        <w:jc w:val="both"/>
      </w:pPr>
      <w:r w:rsidRPr="00DC01C1">
        <w:rPr>
          <w:rStyle w:val="EndnoteReference"/>
        </w:rPr>
        <w:endnoteRef/>
      </w:r>
      <w:r w:rsidRPr="00DC01C1">
        <w:t xml:space="preserve"> Singapore Airlines, “Stock and Shareholding Information,” accessed May 25, 2015, www.singaporeair.com/jsp/cms/en_UK/global_header/shareholdinginfo.jsp.</w:t>
      </w:r>
    </w:p>
  </w:endnote>
  <w:endnote w:id="14">
    <w:p w14:paraId="534B5F9F" w14:textId="3D8854E3" w:rsidR="00EA6E19" w:rsidRPr="00DC01C1" w:rsidRDefault="00EA6E19" w:rsidP="00005435">
      <w:pPr>
        <w:pStyle w:val="Footnote"/>
        <w:jc w:val="both"/>
      </w:pPr>
      <w:r w:rsidRPr="00DC01C1">
        <w:rPr>
          <w:rStyle w:val="EndnoteReference"/>
        </w:rPr>
        <w:endnoteRef/>
      </w:r>
      <w:r w:rsidRPr="00DC01C1">
        <w:t xml:space="preserve"> Sovereign Wealth Fund Institute (SWFI), “</w:t>
      </w:r>
      <w:proofErr w:type="spellStart"/>
      <w:r w:rsidRPr="00DC01C1">
        <w:t>Linaburg-Maduell</w:t>
      </w:r>
      <w:proofErr w:type="spellEnd"/>
      <w:r w:rsidRPr="00DC01C1">
        <w:t xml:space="preserve"> Transparency Index,” accessed February 15, 2017, www.swfinstitute.org/statistics-research/linaburg-maduell-transparency-index.</w:t>
      </w:r>
    </w:p>
  </w:endnote>
  <w:endnote w:id="15">
    <w:p w14:paraId="3D110B64" w14:textId="66F03003" w:rsidR="00EA6E19" w:rsidRDefault="00EA6E19" w:rsidP="00005435">
      <w:pPr>
        <w:pStyle w:val="Footnote"/>
        <w:jc w:val="both"/>
      </w:pPr>
      <w:r w:rsidRPr="008B1AAC">
        <w:rPr>
          <w:rStyle w:val="EndnoteReference"/>
        </w:rPr>
        <w:endnoteRef/>
      </w:r>
      <w:r w:rsidRPr="008B1AAC">
        <w:t xml:space="preserve"> </w:t>
      </w:r>
      <w:r w:rsidRPr="008B1AAC">
        <w:rPr>
          <w:rFonts w:eastAsia="SimSun"/>
        </w:rPr>
        <w:t>Temasek Holdings</w:t>
      </w:r>
      <w:r w:rsidRPr="008B1AAC">
        <w:rPr>
          <w:rFonts w:eastAsia="SimSun"/>
          <w:lang w:eastAsia="zh-CN"/>
        </w:rPr>
        <w:t xml:space="preserve"> Private Limited, </w:t>
      </w:r>
      <w:r w:rsidRPr="008B1AAC">
        <w:rPr>
          <w:rFonts w:eastAsia="SimSun"/>
          <w:i/>
          <w:lang w:eastAsia="zh-CN"/>
        </w:rPr>
        <w:t xml:space="preserve">Investor Institution Steward, </w:t>
      </w:r>
      <w:r w:rsidRPr="008B1AAC">
        <w:rPr>
          <w:rFonts w:eastAsia="SimSun"/>
          <w:lang w:eastAsia="zh-CN"/>
        </w:rPr>
        <w:t xml:space="preserve">2017, accessed July 9, 2018, </w:t>
      </w:r>
      <w:r w:rsidRPr="008B1AAC">
        <w:t>www.temasek.com.sg/content/dam/temasek-corporate/our-financials/investor-library/annual-review/en-tr-thumbnail-and-pdf/</w:t>
      </w:r>
    </w:p>
    <w:p w14:paraId="62328406" w14:textId="51EEDC0F" w:rsidR="00EA6E19" w:rsidRPr="008B1AAC" w:rsidRDefault="00EA6E19" w:rsidP="00005435">
      <w:pPr>
        <w:pStyle w:val="Footnote"/>
        <w:jc w:val="both"/>
      </w:pPr>
      <w:r w:rsidRPr="008B1AAC">
        <w:t>temasek-review-20171.pdf.</w:t>
      </w:r>
    </w:p>
  </w:endnote>
  <w:endnote w:id="16">
    <w:p w14:paraId="57474B4F" w14:textId="0F3B7D61" w:rsidR="00EA6E19" w:rsidRPr="00DC01C1" w:rsidRDefault="00EA6E19" w:rsidP="00005435">
      <w:pPr>
        <w:pStyle w:val="Footnote"/>
        <w:jc w:val="both"/>
        <w:rPr>
          <w:spacing w:val="-4"/>
        </w:rPr>
      </w:pPr>
      <w:r w:rsidRPr="00DC01C1">
        <w:rPr>
          <w:rStyle w:val="EndnoteReference"/>
          <w:spacing w:val="-4"/>
        </w:rPr>
        <w:endnoteRef/>
      </w:r>
      <w:r w:rsidRPr="00DC01C1">
        <w:rPr>
          <w:spacing w:val="-4"/>
        </w:rPr>
        <w:t xml:space="preserve"> SMRT Corporation Ltd</w:t>
      </w:r>
      <w:r>
        <w:rPr>
          <w:spacing w:val="-4"/>
        </w:rPr>
        <w:t>.</w:t>
      </w:r>
      <w:r w:rsidRPr="00DC01C1">
        <w:rPr>
          <w:spacing w:val="-4"/>
        </w:rPr>
        <w:t xml:space="preserve">, </w:t>
      </w:r>
      <w:r w:rsidRPr="00DC01C1">
        <w:rPr>
          <w:i/>
          <w:spacing w:val="-4"/>
        </w:rPr>
        <w:t xml:space="preserve">Twin Tracks to Performance and Growth, </w:t>
      </w:r>
      <w:r w:rsidRPr="00DC01C1">
        <w:rPr>
          <w:spacing w:val="-4"/>
        </w:rPr>
        <w:t xml:space="preserve">2016, accessed </w:t>
      </w:r>
      <w:r>
        <w:rPr>
          <w:spacing w:val="-4"/>
        </w:rPr>
        <w:t>August 3</w:t>
      </w:r>
      <w:r w:rsidRPr="00DC01C1">
        <w:rPr>
          <w:spacing w:val="-4"/>
        </w:rPr>
        <w:t>, 2018, www.smrt.com.sg/Portals/0/InvestorRelations/Annual%20Report/2016/SMRT%20Annual%20Report%202016_LR.pdf; Singtel Telecommunications Limited, “Dividends,” accessed July 9, 2018, www.singtel.com/about-Us/investor-relations/dividends.</w:t>
      </w:r>
    </w:p>
  </w:endnote>
  <w:endnote w:id="17">
    <w:p w14:paraId="642BCEF8" w14:textId="78459A52" w:rsidR="00EA6E19" w:rsidRPr="00DC01C1" w:rsidRDefault="00EA6E19" w:rsidP="00005435">
      <w:pPr>
        <w:pStyle w:val="Footnote"/>
        <w:jc w:val="both"/>
      </w:pPr>
      <w:r w:rsidRPr="00DC01C1">
        <w:rPr>
          <w:rStyle w:val="EndnoteReference"/>
        </w:rPr>
        <w:endnoteRef/>
      </w:r>
      <w:r w:rsidRPr="00DC01C1">
        <w:t xml:space="preserve"> </w:t>
      </w:r>
      <w:r>
        <w:t>Securities Investors Association (Singapore) (</w:t>
      </w:r>
      <w:r w:rsidRPr="00DC01C1">
        <w:t>SIAS</w:t>
      </w:r>
      <w:r>
        <w:t>)</w:t>
      </w:r>
      <w:r w:rsidRPr="00DC01C1">
        <w:t>, “SIAS Congratulates Winners of 12th Investors’ Choice Awards 2011,” accessed June 18, 2018, https://sias.org.sg/cgweek2016/pdf/12th_investors.pdf.</w:t>
      </w:r>
    </w:p>
  </w:endnote>
  <w:endnote w:id="18">
    <w:p w14:paraId="3AA1FF83" w14:textId="213E42D0" w:rsidR="00EA6E19" w:rsidRPr="00DC01C1" w:rsidRDefault="00EA6E19" w:rsidP="00005435">
      <w:pPr>
        <w:pStyle w:val="Footnote"/>
        <w:jc w:val="both"/>
      </w:pPr>
      <w:r w:rsidRPr="00DC01C1">
        <w:rPr>
          <w:rStyle w:val="EndnoteReference"/>
        </w:rPr>
        <w:endnoteRef/>
      </w:r>
      <w:r w:rsidRPr="00DC01C1">
        <w:t xml:space="preserve"> Singapore Airlines, “Our Subsidiaries,” accessed May 25, 2015, www.singaporeair.com/en_UK/sg/flying-withus/our-story/our-subsidiaries.</w:t>
      </w:r>
    </w:p>
  </w:endnote>
  <w:endnote w:id="19">
    <w:p w14:paraId="73D42984" w14:textId="77777777" w:rsidR="00EA6E19" w:rsidRPr="00DC01C1" w:rsidRDefault="00EA6E19" w:rsidP="00005435">
      <w:pPr>
        <w:pStyle w:val="Footnote"/>
        <w:jc w:val="both"/>
      </w:pPr>
      <w:r w:rsidRPr="00DC01C1">
        <w:rPr>
          <w:rStyle w:val="EndnoteReference"/>
        </w:rPr>
        <w:endnoteRef/>
      </w:r>
      <w:r w:rsidRPr="00DC01C1">
        <w:t xml:space="preserve"> Bloomberg Terminal, accessed May 25, 2015.</w:t>
      </w:r>
    </w:p>
  </w:endnote>
  <w:endnote w:id="20">
    <w:p w14:paraId="5291E028" w14:textId="079F16E5" w:rsidR="00EA6E19" w:rsidRPr="00DC01C1" w:rsidRDefault="00EA6E19" w:rsidP="00005435">
      <w:pPr>
        <w:pStyle w:val="Footnote"/>
        <w:jc w:val="both"/>
      </w:pPr>
      <w:r w:rsidRPr="00DC01C1">
        <w:rPr>
          <w:rStyle w:val="EndnoteReference"/>
        </w:rPr>
        <w:endnoteRef/>
      </w:r>
      <w:r w:rsidRPr="00DC01C1">
        <w:t xml:space="preserve"> Brian </w:t>
      </w:r>
      <w:proofErr w:type="spellStart"/>
      <w:r w:rsidRPr="00DC01C1">
        <w:t>Sumers</w:t>
      </w:r>
      <w:proofErr w:type="spellEnd"/>
      <w:r w:rsidRPr="00DC01C1">
        <w:t xml:space="preserve">, “The $4 Billion Dollar Reason Why Airlines Are Debating ‘Open Skies,’” </w:t>
      </w:r>
      <w:r w:rsidRPr="007240CC">
        <w:rPr>
          <w:i/>
        </w:rPr>
        <w:t xml:space="preserve">Conde Nast </w:t>
      </w:r>
      <w:proofErr w:type="spellStart"/>
      <w:r w:rsidRPr="007240CC">
        <w:rPr>
          <w:i/>
        </w:rPr>
        <w:t>Traveler</w:t>
      </w:r>
      <w:proofErr w:type="spellEnd"/>
      <w:r w:rsidRPr="00DC01C1">
        <w:rPr>
          <w:i/>
        </w:rPr>
        <w:t xml:space="preserve">, </w:t>
      </w:r>
      <w:r w:rsidRPr="00DC01C1">
        <w:t>August 4, 2015, accessed August 1, 2018, www.cntraveler.com/stories/2015-08-04/the-dollar4-billion-dollar-reason-why-airlines-are-debating-open-skies.</w:t>
      </w:r>
    </w:p>
  </w:endnote>
  <w:endnote w:id="21">
    <w:p w14:paraId="3E06C362" w14:textId="2752E8EE" w:rsidR="00EA6E19" w:rsidRPr="00DC01C1" w:rsidRDefault="00EA6E19" w:rsidP="00005435">
      <w:pPr>
        <w:pStyle w:val="Footnote"/>
        <w:jc w:val="both"/>
      </w:pPr>
      <w:r w:rsidRPr="00DC01C1">
        <w:rPr>
          <w:rStyle w:val="EndnoteReference"/>
        </w:rPr>
        <w:endnoteRef/>
      </w:r>
      <w:r w:rsidRPr="00DC01C1">
        <w:t xml:space="preserve"> Ibid.</w:t>
      </w:r>
    </w:p>
  </w:endnote>
  <w:endnote w:id="22">
    <w:p w14:paraId="6A0A23A9" w14:textId="278DCE6A" w:rsidR="00EA6E19" w:rsidRPr="00DC01C1" w:rsidRDefault="00EA6E19" w:rsidP="00005435">
      <w:pPr>
        <w:pStyle w:val="Footnote"/>
        <w:jc w:val="both"/>
      </w:pPr>
      <w:r w:rsidRPr="00DC01C1">
        <w:rPr>
          <w:rStyle w:val="EndnoteReference"/>
        </w:rPr>
        <w:endnoteRef/>
      </w:r>
      <w:r w:rsidRPr="00DC01C1">
        <w:t xml:space="preserve"> Ibid.</w:t>
      </w:r>
    </w:p>
  </w:endnote>
  <w:endnote w:id="23">
    <w:p w14:paraId="25F29923" w14:textId="4D8B9118" w:rsidR="00EA6E19" w:rsidRPr="00DC01C1" w:rsidRDefault="00EA6E19" w:rsidP="00005435">
      <w:pPr>
        <w:pStyle w:val="Footnote"/>
        <w:jc w:val="both"/>
      </w:pPr>
      <w:r w:rsidRPr="00DC01C1">
        <w:rPr>
          <w:rStyle w:val="EndnoteReference"/>
        </w:rPr>
        <w:endnoteRef/>
      </w:r>
      <w:r w:rsidRPr="00DC01C1">
        <w:t xml:space="preserve"> CAPA Centre for Aviation, “CAPA 2015 Aviation Outlook,” accessed July 28, 2015, www.airlineleader.com/categories/main-feature/aviation-outlook-2015-a-year-when-everyone-can-make-money-209028.</w:t>
      </w:r>
    </w:p>
  </w:endnote>
  <w:endnote w:id="24">
    <w:p w14:paraId="1C204CFD" w14:textId="7ED169C9" w:rsidR="00EA6E19" w:rsidRPr="00DC01C1" w:rsidRDefault="00EA6E19" w:rsidP="00005435">
      <w:pPr>
        <w:pStyle w:val="Footnote"/>
        <w:jc w:val="both"/>
      </w:pPr>
      <w:r w:rsidRPr="00DC01C1">
        <w:rPr>
          <w:rStyle w:val="EndnoteReference"/>
        </w:rPr>
        <w:endnoteRef/>
      </w:r>
      <w:r w:rsidRPr="00DC01C1">
        <w:t xml:space="preserve"> </w:t>
      </w:r>
      <w:proofErr w:type="spellStart"/>
      <w:r w:rsidRPr="00DC01C1">
        <w:t>Sumers</w:t>
      </w:r>
      <w:proofErr w:type="spellEnd"/>
      <w:r w:rsidRPr="00DC01C1">
        <w:t>, op. cit.</w:t>
      </w:r>
    </w:p>
  </w:endnote>
  <w:endnote w:id="25">
    <w:p w14:paraId="7F26FF36" w14:textId="42D4524F" w:rsidR="00EA6E19" w:rsidRPr="007240CC" w:rsidRDefault="00EA6E19" w:rsidP="00005435">
      <w:pPr>
        <w:pStyle w:val="Footnote"/>
        <w:jc w:val="both"/>
        <w:rPr>
          <w:b/>
        </w:rPr>
      </w:pPr>
      <w:r w:rsidRPr="00DC01C1">
        <w:rPr>
          <w:rStyle w:val="EndnoteReference"/>
        </w:rPr>
        <w:endnoteRef/>
      </w:r>
      <w:r w:rsidRPr="00DC01C1">
        <w:t xml:space="preserve"> </w:t>
      </w:r>
      <w:r w:rsidRPr="00DC01C1">
        <w:rPr>
          <w:i/>
        </w:rPr>
        <w:t xml:space="preserve">Straits Times, </w:t>
      </w:r>
      <w:r w:rsidRPr="00DC01C1">
        <w:t xml:space="preserve">“Singapore Still Tops for Doing Business: World Bank,” October 28, 2015, </w:t>
      </w:r>
      <w:r>
        <w:t xml:space="preserve">accessed September 12, 2018, </w:t>
      </w:r>
      <w:r w:rsidRPr="007240CC">
        <w:t>www.straitstimes.com/business/singapore-still-tops-for-doing-business-world-bank</w:t>
      </w:r>
      <w:r w:rsidRPr="00DC01C1">
        <w:t>.</w:t>
      </w:r>
    </w:p>
  </w:endnote>
  <w:endnote w:id="26">
    <w:p w14:paraId="1E363A83" w14:textId="2AD91F9F" w:rsidR="00EA6E19" w:rsidRPr="00444C9A" w:rsidRDefault="00EA6E19" w:rsidP="00005435">
      <w:pPr>
        <w:pStyle w:val="Footnote"/>
        <w:jc w:val="both"/>
      </w:pPr>
      <w:r w:rsidRPr="00DC01C1">
        <w:rPr>
          <w:rStyle w:val="EndnoteReference"/>
        </w:rPr>
        <w:endnoteRef/>
      </w:r>
      <w:r w:rsidRPr="00DC01C1">
        <w:t xml:space="preserve"> Xavier Sala-I-Martín, </w:t>
      </w:r>
      <w:proofErr w:type="spellStart"/>
      <w:r w:rsidRPr="00DC01C1">
        <w:t>Beñat</w:t>
      </w:r>
      <w:proofErr w:type="spellEnd"/>
      <w:r w:rsidRPr="00DC01C1">
        <w:t xml:space="preserve"> Bilbao-Osorio, Attilio Di Battista, Margareta </w:t>
      </w:r>
      <w:proofErr w:type="spellStart"/>
      <w:r w:rsidRPr="00DC01C1">
        <w:t>Drzeniek</w:t>
      </w:r>
      <w:proofErr w:type="spellEnd"/>
      <w:r w:rsidRPr="00DC01C1">
        <w:t xml:space="preserve"> </w:t>
      </w:r>
      <w:proofErr w:type="spellStart"/>
      <w:r w:rsidRPr="00DC01C1">
        <w:t>Hanouz</w:t>
      </w:r>
      <w:proofErr w:type="spellEnd"/>
      <w:r>
        <w:t>,</w:t>
      </w:r>
      <w:r w:rsidRPr="00444C9A">
        <w:t xml:space="preserve"> Caroline Galvan</w:t>
      </w:r>
      <w:r>
        <w:t>, and</w:t>
      </w:r>
      <w:r w:rsidRPr="00444C9A">
        <w:t xml:space="preserve"> Thierry Geiger, “The Global Competitiveness Index 2014–2015: Accelerating a Robust Recovery to Create Productive Jobs and Support Inclusive Growth,” </w:t>
      </w:r>
      <w:r>
        <w:t xml:space="preserve">chap. 1.1 in </w:t>
      </w:r>
      <w:r w:rsidRPr="00FE254B">
        <w:rPr>
          <w:i/>
        </w:rPr>
        <w:t>The Global Competitiveness Report 2014–2015</w:t>
      </w:r>
      <w:r>
        <w:t xml:space="preserve"> (Geneva: </w:t>
      </w:r>
      <w:r w:rsidRPr="00444C9A">
        <w:t xml:space="preserve">World Economic Forum, </w:t>
      </w:r>
      <w:r>
        <w:t>2014)</w:t>
      </w:r>
      <w:r w:rsidRPr="00917BAD">
        <w:t xml:space="preserve">, </w:t>
      </w:r>
      <w:r w:rsidRPr="00444C9A">
        <w:t xml:space="preserve">accessed June 26, 2015, </w:t>
      </w:r>
      <w:r w:rsidRPr="00FE254B">
        <w:t>www3</w:t>
      </w:r>
      <w:r w:rsidRPr="00444C9A">
        <w:t>.weforum.org/</w:t>
      </w:r>
      <w:r w:rsidRPr="00FE254B">
        <w:t>docs/GCR2014-15/GCR_Chapter1.1_2014-15.pdf</w:t>
      </w:r>
      <w:r w:rsidRPr="00917BAD">
        <w:t>.</w:t>
      </w:r>
    </w:p>
  </w:endnote>
  <w:endnote w:id="27">
    <w:p w14:paraId="216F7AB3" w14:textId="03417165" w:rsidR="00EA6E19" w:rsidRPr="00444C9A" w:rsidRDefault="00EA6E19" w:rsidP="00005435">
      <w:pPr>
        <w:pStyle w:val="Footnote"/>
        <w:jc w:val="both"/>
      </w:pPr>
      <w:r w:rsidRPr="00444C9A">
        <w:rPr>
          <w:rStyle w:val="EndnoteReference"/>
        </w:rPr>
        <w:endnoteRef/>
      </w:r>
      <w:r w:rsidRPr="00444C9A">
        <w:t xml:space="preserve"> </w:t>
      </w:r>
      <w:r>
        <w:t>Institute for Management Development (</w:t>
      </w:r>
      <w:r w:rsidRPr="00444C9A">
        <w:t>IMD</w:t>
      </w:r>
      <w:r>
        <w:t>)</w:t>
      </w:r>
      <w:r w:rsidRPr="00444C9A">
        <w:t>, “</w:t>
      </w:r>
      <w:r>
        <w:t xml:space="preserve">Competitiveness Ranking: Singapore,” </w:t>
      </w:r>
      <w:r w:rsidRPr="00444C9A">
        <w:t xml:space="preserve">IMD World Competitiveness </w:t>
      </w:r>
      <w:r>
        <w:t>Online, accessed June 18, 2018,</w:t>
      </w:r>
      <w:r w:rsidRPr="00444C9A">
        <w:t xml:space="preserve"> https://worldcompetitiveness.imd.org/countryprofile/SG/wcy.</w:t>
      </w:r>
    </w:p>
  </w:endnote>
  <w:endnote w:id="28">
    <w:p w14:paraId="2C1E1B32" w14:textId="27EA843A" w:rsidR="00EA6E19" w:rsidRDefault="00EA6E19" w:rsidP="00005435">
      <w:pPr>
        <w:pStyle w:val="Footnote"/>
        <w:jc w:val="both"/>
      </w:pPr>
      <w:r w:rsidRPr="00917BAD">
        <w:rPr>
          <w:rStyle w:val="EndnoteReference"/>
        </w:rPr>
        <w:endnoteRef/>
      </w:r>
      <w:r w:rsidRPr="00917BAD">
        <w:t xml:space="preserve"> </w:t>
      </w:r>
      <w:r>
        <w:t xml:space="preserve">World Justice Project, </w:t>
      </w:r>
      <w:r w:rsidRPr="00AB4CAA">
        <w:rPr>
          <w:i/>
        </w:rPr>
        <w:t>Rule of Law Index 2014</w:t>
      </w:r>
      <w:r>
        <w:t xml:space="preserve">, </w:t>
      </w:r>
      <w:r w:rsidRPr="00917BAD">
        <w:t>accessed December 20, 2016</w:t>
      </w:r>
      <w:r>
        <w:t xml:space="preserve">, </w:t>
      </w:r>
      <w:r w:rsidRPr="000B4ECA">
        <w:t>http://worldjusticeproject.org/</w:t>
      </w:r>
      <w:r w:rsidRPr="00853C76">
        <w:t>sites/default/</w:t>
      </w:r>
    </w:p>
    <w:p w14:paraId="4CC2E6F7" w14:textId="1A061A45" w:rsidR="00EA6E19" w:rsidRPr="00917BAD" w:rsidRDefault="00EA6E19" w:rsidP="00005435">
      <w:pPr>
        <w:pStyle w:val="Footnote"/>
        <w:jc w:val="both"/>
      </w:pPr>
      <w:r w:rsidRPr="00853C76">
        <w:t>files/files/wjp_rule_of_law_index_2014_report.pdf</w:t>
      </w:r>
      <w:r w:rsidRPr="00917BAD">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55C21" w14:textId="77777777" w:rsidR="00EA6E19" w:rsidRDefault="00EA6E19" w:rsidP="00D75295">
      <w:r>
        <w:separator/>
      </w:r>
    </w:p>
  </w:footnote>
  <w:footnote w:type="continuationSeparator" w:id="0">
    <w:p w14:paraId="16B08B7C" w14:textId="77777777" w:rsidR="00EA6E19" w:rsidRDefault="00EA6E19"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022F2" w14:textId="3CFBE8B8" w:rsidR="00EA6E19" w:rsidRDefault="00EA6E19" w:rsidP="002603FA">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10</w:t>
    </w:r>
    <w:r>
      <w:rPr>
        <w:rFonts w:ascii="Arial" w:hAnsi="Arial"/>
        <w:b/>
      </w:rPr>
      <w:fldChar w:fldCharType="end"/>
    </w:r>
    <w:r>
      <w:rPr>
        <w:rFonts w:ascii="Arial" w:hAnsi="Arial"/>
        <w:b/>
      </w:rPr>
      <w:tab/>
      <w:t>9B18N018</w:t>
    </w:r>
  </w:p>
  <w:p w14:paraId="624962B2" w14:textId="77777777" w:rsidR="00EA6E19" w:rsidRPr="00C92CC4" w:rsidRDefault="00EA6E19" w:rsidP="002603FA">
    <w:pPr>
      <w:pStyle w:val="Header"/>
      <w:tabs>
        <w:tab w:val="clear" w:pos="4680"/>
        <w:tab w:val="clear" w:pos="9360"/>
        <w:tab w:val="right" w:pos="12960"/>
      </w:tabs>
      <w:rPr>
        <w:sz w:val="18"/>
        <w:szCs w:val="18"/>
      </w:rPr>
    </w:pPr>
  </w:p>
  <w:p w14:paraId="345C3D20" w14:textId="77777777" w:rsidR="00EA6E19" w:rsidRPr="00C92CC4" w:rsidRDefault="00EA6E19" w:rsidP="002603FA">
    <w:pPr>
      <w:pStyle w:val="Header"/>
      <w:tabs>
        <w:tab w:val="clear" w:pos="4680"/>
        <w:tab w:val="clear" w:pos="9360"/>
        <w:tab w:val="right" w:pos="1296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5164" w14:textId="7D8B11A5" w:rsidR="00EA6E19" w:rsidRDefault="00EA6E19" w:rsidP="002603FA">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12</w:t>
    </w:r>
    <w:r>
      <w:rPr>
        <w:rFonts w:ascii="Arial" w:hAnsi="Arial"/>
        <w:b/>
      </w:rPr>
      <w:fldChar w:fldCharType="end"/>
    </w:r>
    <w:r>
      <w:rPr>
        <w:rFonts w:ascii="Arial" w:hAnsi="Arial"/>
        <w:b/>
      </w:rPr>
      <w:tab/>
      <w:t>9B18N018</w:t>
    </w:r>
  </w:p>
  <w:p w14:paraId="17915394" w14:textId="77777777" w:rsidR="00EA6E19" w:rsidRPr="00C92CC4" w:rsidRDefault="00EA6E19" w:rsidP="002603FA">
    <w:pPr>
      <w:pStyle w:val="Header"/>
      <w:tabs>
        <w:tab w:val="clear" w:pos="4680"/>
      </w:tabs>
      <w:rPr>
        <w:sz w:val="18"/>
        <w:szCs w:val="18"/>
      </w:rPr>
    </w:pPr>
  </w:p>
  <w:p w14:paraId="3D401DF9" w14:textId="77777777" w:rsidR="00EA6E19" w:rsidRPr="00C92CC4" w:rsidRDefault="00EA6E19" w:rsidP="002603FA">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90C4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F28C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008F7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E4C5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C43D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4892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C640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9CF3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547A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6897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186"/>
    <w:rsid w:val="0000085A"/>
    <w:rsid w:val="00005435"/>
    <w:rsid w:val="00007DB1"/>
    <w:rsid w:val="00013360"/>
    <w:rsid w:val="000153DA"/>
    <w:rsid w:val="000163A0"/>
    <w:rsid w:val="00016436"/>
    <w:rsid w:val="000216CE"/>
    <w:rsid w:val="000230D1"/>
    <w:rsid w:val="00023499"/>
    <w:rsid w:val="00025DC7"/>
    <w:rsid w:val="00026486"/>
    <w:rsid w:val="00030B2E"/>
    <w:rsid w:val="000351F0"/>
    <w:rsid w:val="000409E4"/>
    <w:rsid w:val="00044ECC"/>
    <w:rsid w:val="00045A70"/>
    <w:rsid w:val="000531D3"/>
    <w:rsid w:val="0005343F"/>
    <w:rsid w:val="00054A87"/>
    <w:rsid w:val="0005646B"/>
    <w:rsid w:val="000574DF"/>
    <w:rsid w:val="000614CD"/>
    <w:rsid w:val="000633AC"/>
    <w:rsid w:val="0007047A"/>
    <w:rsid w:val="00071C1F"/>
    <w:rsid w:val="000743A5"/>
    <w:rsid w:val="00075CAE"/>
    <w:rsid w:val="0008102D"/>
    <w:rsid w:val="00084512"/>
    <w:rsid w:val="00084AD4"/>
    <w:rsid w:val="00087E00"/>
    <w:rsid w:val="00091581"/>
    <w:rsid w:val="00094C0E"/>
    <w:rsid w:val="00096A31"/>
    <w:rsid w:val="000A0285"/>
    <w:rsid w:val="000A0DF5"/>
    <w:rsid w:val="000A1E35"/>
    <w:rsid w:val="000A3E12"/>
    <w:rsid w:val="000B066A"/>
    <w:rsid w:val="000B2CA6"/>
    <w:rsid w:val="000B349E"/>
    <w:rsid w:val="000B3913"/>
    <w:rsid w:val="000B4ECA"/>
    <w:rsid w:val="000C3FB3"/>
    <w:rsid w:val="000D022F"/>
    <w:rsid w:val="000D0803"/>
    <w:rsid w:val="000D13D6"/>
    <w:rsid w:val="000D5C8B"/>
    <w:rsid w:val="000E16C9"/>
    <w:rsid w:val="000E30ED"/>
    <w:rsid w:val="000E37D3"/>
    <w:rsid w:val="000E500F"/>
    <w:rsid w:val="000E5F16"/>
    <w:rsid w:val="000F0C22"/>
    <w:rsid w:val="000F6B09"/>
    <w:rsid w:val="000F6FDC"/>
    <w:rsid w:val="00102913"/>
    <w:rsid w:val="00103702"/>
    <w:rsid w:val="00104567"/>
    <w:rsid w:val="00105850"/>
    <w:rsid w:val="00117CCA"/>
    <w:rsid w:val="001201FD"/>
    <w:rsid w:val="0012732D"/>
    <w:rsid w:val="00132896"/>
    <w:rsid w:val="00136F94"/>
    <w:rsid w:val="00143588"/>
    <w:rsid w:val="00144933"/>
    <w:rsid w:val="00154FC9"/>
    <w:rsid w:val="0016435B"/>
    <w:rsid w:val="00167E67"/>
    <w:rsid w:val="00184FED"/>
    <w:rsid w:val="0019241A"/>
    <w:rsid w:val="00194028"/>
    <w:rsid w:val="00194334"/>
    <w:rsid w:val="001A3DF0"/>
    <w:rsid w:val="001A5335"/>
    <w:rsid w:val="001A6F03"/>
    <w:rsid w:val="001A752D"/>
    <w:rsid w:val="001B0CBB"/>
    <w:rsid w:val="001B2F9B"/>
    <w:rsid w:val="001B5EB6"/>
    <w:rsid w:val="001B777D"/>
    <w:rsid w:val="001C2A43"/>
    <w:rsid w:val="001C3FBB"/>
    <w:rsid w:val="001D26B0"/>
    <w:rsid w:val="001D75F9"/>
    <w:rsid w:val="001E009F"/>
    <w:rsid w:val="001E0B8B"/>
    <w:rsid w:val="001E4A39"/>
    <w:rsid w:val="001F0AC7"/>
    <w:rsid w:val="002015F0"/>
    <w:rsid w:val="00203AA1"/>
    <w:rsid w:val="00203E26"/>
    <w:rsid w:val="00204C08"/>
    <w:rsid w:val="00213E98"/>
    <w:rsid w:val="00222AA2"/>
    <w:rsid w:val="002258AC"/>
    <w:rsid w:val="002272BA"/>
    <w:rsid w:val="00237C5D"/>
    <w:rsid w:val="00247282"/>
    <w:rsid w:val="00250233"/>
    <w:rsid w:val="00251048"/>
    <w:rsid w:val="002510C2"/>
    <w:rsid w:val="002540CE"/>
    <w:rsid w:val="002603FA"/>
    <w:rsid w:val="002636CB"/>
    <w:rsid w:val="002641A3"/>
    <w:rsid w:val="002705A6"/>
    <w:rsid w:val="00271EA3"/>
    <w:rsid w:val="00277319"/>
    <w:rsid w:val="00281AA6"/>
    <w:rsid w:val="002831E6"/>
    <w:rsid w:val="00286862"/>
    <w:rsid w:val="002923F3"/>
    <w:rsid w:val="00294E4A"/>
    <w:rsid w:val="00294F2A"/>
    <w:rsid w:val="00296740"/>
    <w:rsid w:val="002A03CF"/>
    <w:rsid w:val="002A280B"/>
    <w:rsid w:val="002B2B58"/>
    <w:rsid w:val="002B6B69"/>
    <w:rsid w:val="002C4A4E"/>
    <w:rsid w:val="002E05AB"/>
    <w:rsid w:val="002E113C"/>
    <w:rsid w:val="002E32F0"/>
    <w:rsid w:val="002E3A34"/>
    <w:rsid w:val="002F1304"/>
    <w:rsid w:val="002F156D"/>
    <w:rsid w:val="002F44F6"/>
    <w:rsid w:val="002F460C"/>
    <w:rsid w:val="002F48D6"/>
    <w:rsid w:val="002F66BE"/>
    <w:rsid w:val="00302789"/>
    <w:rsid w:val="00314E40"/>
    <w:rsid w:val="00323A8C"/>
    <w:rsid w:val="00333ADB"/>
    <w:rsid w:val="00344A00"/>
    <w:rsid w:val="00346269"/>
    <w:rsid w:val="0034670F"/>
    <w:rsid w:val="00347031"/>
    <w:rsid w:val="0034739F"/>
    <w:rsid w:val="003526AD"/>
    <w:rsid w:val="00354899"/>
    <w:rsid w:val="00355FD6"/>
    <w:rsid w:val="00361C8E"/>
    <w:rsid w:val="00362A47"/>
    <w:rsid w:val="00364A5C"/>
    <w:rsid w:val="0037138B"/>
    <w:rsid w:val="0037293E"/>
    <w:rsid w:val="00373FB1"/>
    <w:rsid w:val="00374923"/>
    <w:rsid w:val="0037654B"/>
    <w:rsid w:val="00394822"/>
    <w:rsid w:val="003A1391"/>
    <w:rsid w:val="003A7E34"/>
    <w:rsid w:val="003B30D8"/>
    <w:rsid w:val="003B3D71"/>
    <w:rsid w:val="003B664C"/>
    <w:rsid w:val="003B7EF2"/>
    <w:rsid w:val="003C03B0"/>
    <w:rsid w:val="003C30C9"/>
    <w:rsid w:val="003C34A0"/>
    <w:rsid w:val="003C3FA4"/>
    <w:rsid w:val="003D0255"/>
    <w:rsid w:val="003D086B"/>
    <w:rsid w:val="003D0E92"/>
    <w:rsid w:val="003D213D"/>
    <w:rsid w:val="003D41B6"/>
    <w:rsid w:val="003E55DD"/>
    <w:rsid w:val="003E665A"/>
    <w:rsid w:val="003F2B0C"/>
    <w:rsid w:val="00402E54"/>
    <w:rsid w:val="00407DB3"/>
    <w:rsid w:val="00410390"/>
    <w:rsid w:val="00413880"/>
    <w:rsid w:val="00414E94"/>
    <w:rsid w:val="00415EB7"/>
    <w:rsid w:val="00415F26"/>
    <w:rsid w:val="004221E4"/>
    <w:rsid w:val="004223DC"/>
    <w:rsid w:val="00430071"/>
    <w:rsid w:val="00431622"/>
    <w:rsid w:val="00435824"/>
    <w:rsid w:val="00435E69"/>
    <w:rsid w:val="00441743"/>
    <w:rsid w:val="004422DC"/>
    <w:rsid w:val="00444C9A"/>
    <w:rsid w:val="004451DE"/>
    <w:rsid w:val="004519CD"/>
    <w:rsid w:val="00454CE9"/>
    <w:rsid w:val="00462190"/>
    <w:rsid w:val="00462460"/>
    <w:rsid w:val="0046424B"/>
    <w:rsid w:val="004644DD"/>
    <w:rsid w:val="00471088"/>
    <w:rsid w:val="00474C77"/>
    <w:rsid w:val="0047680C"/>
    <w:rsid w:val="00480C70"/>
    <w:rsid w:val="004825B4"/>
    <w:rsid w:val="00483AF9"/>
    <w:rsid w:val="00484F2A"/>
    <w:rsid w:val="00485A72"/>
    <w:rsid w:val="004877FF"/>
    <w:rsid w:val="00493383"/>
    <w:rsid w:val="00494A24"/>
    <w:rsid w:val="00496496"/>
    <w:rsid w:val="004B01B9"/>
    <w:rsid w:val="004B1CCB"/>
    <w:rsid w:val="004C062D"/>
    <w:rsid w:val="004D0CFA"/>
    <w:rsid w:val="004D47A8"/>
    <w:rsid w:val="004D4CD3"/>
    <w:rsid w:val="004D570C"/>
    <w:rsid w:val="004D5F2A"/>
    <w:rsid w:val="004D73A5"/>
    <w:rsid w:val="004E0BDF"/>
    <w:rsid w:val="004E7D7C"/>
    <w:rsid w:val="004F2E97"/>
    <w:rsid w:val="004F6A03"/>
    <w:rsid w:val="004F78AA"/>
    <w:rsid w:val="00510BA3"/>
    <w:rsid w:val="00510FEF"/>
    <w:rsid w:val="00522D8D"/>
    <w:rsid w:val="00524350"/>
    <w:rsid w:val="00524829"/>
    <w:rsid w:val="00525C7E"/>
    <w:rsid w:val="00525CEC"/>
    <w:rsid w:val="00526438"/>
    <w:rsid w:val="005320F4"/>
    <w:rsid w:val="00532CF5"/>
    <w:rsid w:val="00537698"/>
    <w:rsid w:val="00543C99"/>
    <w:rsid w:val="00550461"/>
    <w:rsid w:val="005528CB"/>
    <w:rsid w:val="005649FA"/>
    <w:rsid w:val="00566771"/>
    <w:rsid w:val="00574AA8"/>
    <w:rsid w:val="00576751"/>
    <w:rsid w:val="00581E2E"/>
    <w:rsid w:val="005821C9"/>
    <w:rsid w:val="00583B16"/>
    <w:rsid w:val="00584EEF"/>
    <w:rsid w:val="00584F15"/>
    <w:rsid w:val="00586F9D"/>
    <w:rsid w:val="005924EE"/>
    <w:rsid w:val="00592E75"/>
    <w:rsid w:val="005943BD"/>
    <w:rsid w:val="00594496"/>
    <w:rsid w:val="0059487C"/>
    <w:rsid w:val="005A0A74"/>
    <w:rsid w:val="005A2CBC"/>
    <w:rsid w:val="005A3E9E"/>
    <w:rsid w:val="005B434D"/>
    <w:rsid w:val="005C226E"/>
    <w:rsid w:val="005C63F8"/>
    <w:rsid w:val="005D0912"/>
    <w:rsid w:val="005D26A3"/>
    <w:rsid w:val="005D2BFE"/>
    <w:rsid w:val="005E5021"/>
    <w:rsid w:val="005E58AF"/>
    <w:rsid w:val="005E5F90"/>
    <w:rsid w:val="005E7448"/>
    <w:rsid w:val="005F030D"/>
    <w:rsid w:val="00605C56"/>
    <w:rsid w:val="00610928"/>
    <w:rsid w:val="00612157"/>
    <w:rsid w:val="006148A6"/>
    <w:rsid w:val="006163F7"/>
    <w:rsid w:val="00617CBF"/>
    <w:rsid w:val="006226D3"/>
    <w:rsid w:val="00622FF0"/>
    <w:rsid w:val="006266E1"/>
    <w:rsid w:val="00627259"/>
    <w:rsid w:val="006304FA"/>
    <w:rsid w:val="006334B9"/>
    <w:rsid w:val="00634032"/>
    <w:rsid w:val="0063483B"/>
    <w:rsid w:val="0063680D"/>
    <w:rsid w:val="00652606"/>
    <w:rsid w:val="006544D0"/>
    <w:rsid w:val="006572AB"/>
    <w:rsid w:val="0066023F"/>
    <w:rsid w:val="006630E6"/>
    <w:rsid w:val="006707E7"/>
    <w:rsid w:val="0067449F"/>
    <w:rsid w:val="00681012"/>
    <w:rsid w:val="00682754"/>
    <w:rsid w:val="00682FB3"/>
    <w:rsid w:val="00685508"/>
    <w:rsid w:val="0069671A"/>
    <w:rsid w:val="00697E26"/>
    <w:rsid w:val="006A38E4"/>
    <w:rsid w:val="006A58A9"/>
    <w:rsid w:val="006A606D"/>
    <w:rsid w:val="006B1392"/>
    <w:rsid w:val="006B3BCF"/>
    <w:rsid w:val="006B6D1A"/>
    <w:rsid w:val="006B7F7A"/>
    <w:rsid w:val="006C0371"/>
    <w:rsid w:val="006C08B6"/>
    <w:rsid w:val="006C0B1A"/>
    <w:rsid w:val="006C2B15"/>
    <w:rsid w:val="006C4384"/>
    <w:rsid w:val="006C5239"/>
    <w:rsid w:val="006C6065"/>
    <w:rsid w:val="006C7F9F"/>
    <w:rsid w:val="006D2311"/>
    <w:rsid w:val="006D24EF"/>
    <w:rsid w:val="006E2F6D"/>
    <w:rsid w:val="006E58F6"/>
    <w:rsid w:val="006E77E1"/>
    <w:rsid w:val="006F12FE"/>
    <w:rsid w:val="006F131D"/>
    <w:rsid w:val="006F1D9E"/>
    <w:rsid w:val="00707746"/>
    <w:rsid w:val="00712A66"/>
    <w:rsid w:val="00721430"/>
    <w:rsid w:val="007240CC"/>
    <w:rsid w:val="0072692F"/>
    <w:rsid w:val="0073363A"/>
    <w:rsid w:val="00733FD1"/>
    <w:rsid w:val="007452B8"/>
    <w:rsid w:val="007462C9"/>
    <w:rsid w:val="00752BCD"/>
    <w:rsid w:val="00766DA1"/>
    <w:rsid w:val="00774013"/>
    <w:rsid w:val="0077735F"/>
    <w:rsid w:val="00782937"/>
    <w:rsid w:val="00785370"/>
    <w:rsid w:val="007862FC"/>
    <w:rsid w:val="007866A6"/>
    <w:rsid w:val="007908C3"/>
    <w:rsid w:val="00792079"/>
    <w:rsid w:val="007925E4"/>
    <w:rsid w:val="0079599D"/>
    <w:rsid w:val="00795B08"/>
    <w:rsid w:val="007A130D"/>
    <w:rsid w:val="007A6CA1"/>
    <w:rsid w:val="007C1428"/>
    <w:rsid w:val="007D02BE"/>
    <w:rsid w:val="007D4102"/>
    <w:rsid w:val="007D4ECE"/>
    <w:rsid w:val="007D6F5D"/>
    <w:rsid w:val="007D7F7F"/>
    <w:rsid w:val="007E37D5"/>
    <w:rsid w:val="007E5921"/>
    <w:rsid w:val="007E6A51"/>
    <w:rsid w:val="007F150C"/>
    <w:rsid w:val="008001B3"/>
    <w:rsid w:val="00816564"/>
    <w:rsid w:val="00817992"/>
    <w:rsid w:val="00821FFC"/>
    <w:rsid w:val="008271CA"/>
    <w:rsid w:val="00827DD8"/>
    <w:rsid w:val="008303BF"/>
    <w:rsid w:val="00831F52"/>
    <w:rsid w:val="00836467"/>
    <w:rsid w:val="00836C39"/>
    <w:rsid w:val="0084464B"/>
    <w:rsid w:val="008467D5"/>
    <w:rsid w:val="008520DF"/>
    <w:rsid w:val="00853C76"/>
    <w:rsid w:val="00856D9F"/>
    <w:rsid w:val="00861AC1"/>
    <w:rsid w:val="008667EC"/>
    <w:rsid w:val="00866F6D"/>
    <w:rsid w:val="00870A6F"/>
    <w:rsid w:val="0087239C"/>
    <w:rsid w:val="008726F4"/>
    <w:rsid w:val="00873C4A"/>
    <w:rsid w:val="0087400C"/>
    <w:rsid w:val="008772D7"/>
    <w:rsid w:val="00877EDB"/>
    <w:rsid w:val="008842AF"/>
    <w:rsid w:val="008931FD"/>
    <w:rsid w:val="008A4DC4"/>
    <w:rsid w:val="008A5474"/>
    <w:rsid w:val="008A5FB2"/>
    <w:rsid w:val="008A6D50"/>
    <w:rsid w:val="008B136A"/>
    <w:rsid w:val="008B1AAC"/>
    <w:rsid w:val="008B5CA5"/>
    <w:rsid w:val="008B6CC6"/>
    <w:rsid w:val="008C244F"/>
    <w:rsid w:val="008C2632"/>
    <w:rsid w:val="008C31A9"/>
    <w:rsid w:val="008C4B22"/>
    <w:rsid w:val="008C571E"/>
    <w:rsid w:val="008C5C7C"/>
    <w:rsid w:val="008D2D3C"/>
    <w:rsid w:val="008D3A45"/>
    <w:rsid w:val="008E2C6B"/>
    <w:rsid w:val="008E4C57"/>
    <w:rsid w:val="008F6BD3"/>
    <w:rsid w:val="00901726"/>
    <w:rsid w:val="009067A4"/>
    <w:rsid w:val="00906B02"/>
    <w:rsid w:val="0090722E"/>
    <w:rsid w:val="009166B1"/>
    <w:rsid w:val="00917BAD"/>
    <w:rsid w:val="00917DA4"/>
    <w:rsid w:val="009304AB"/>
    <w:rsid w:val="00931E6E"/>
    <w:rsid w:val="00932624"/>
    <w:rsid w:val="00933D8C"/>
    <w:rsid w:val="009340DB"/>
    <w:rsid w:val="0093575B"/>
    <w:rsid w:val="0093776C"/>
    <w:rsid w:val="009433D7"/>
    <w:rsid w:val="00945F9E"/>
    <w:rsid w:val="00950BF4"/>
    <w:rsid w:val="00954BA4"/>
    <w:rsid w:val="00960A16"/>
    <w:rsid w:val="009653E6"/>
    <w:rsid w:val="00966D8D"/>
    <w:rsid w:val="009673B8"/>
    <w:rsid w:val="00967D99"/>
    <w:rsid w:val="0097157E"/>
    <w:rsid w:val="00972498"/>
    <w:rsid w:val="00974CC6"/>
    <w:rsid w:val="009754C3"/>
    <w:rsid w:val="00976AD4"/>
    <w:rsid w:val="00980004"/>
    <w:rsid w:val="00982BBB"/>
    <w:rsid w:val="009924B5"/>
    <w:rsid w:val="0099255A"/>
    <w:rsid w:val="009A312F"/>
    <w:rsid w:val="009A5348"/>
    <w:rsid w:val="009A5358"/>
    <w:rsid w:val="009A5B47"/>
    <w:rsid w:val="009A67BB"/>
    <w:rsid w:val="009A7184"/>
    <w:rsid w:val="009B230A"/>
    <w:rsid w:val="009B619B"/>
    <w:rsid w:val="009C016A"/>
    <w:rsid w:val="009C096A"/>
    <w:rsid w:val="009C4260"/>
    <w:rsid w:val="009C44AA"/>
    <w:rsid w:val="009C76D5"/>
    <w:rsid w:val="009C7B53"/>
    <w:rsid w:val="009D3EA0"/>
    <w:rsid w:val="009E3275"/>
    <w:rsid w:val="009F1B17"/>
    <w:rsid w:val="009F48D4"/>
    <w:rsid w:val="009F7AA4"/>
    <w:rsid w:val="009F7D1D"/>
    <w:rsid w:val="00A10312"/>
    <w:rsid w:val="00A112ED"/>
    <w:rsid w:val="00A1449C"/>
    <w:rsid w:val="00A14915"/>
    <w:rsid w:val="00A338F3"/>
    <w:rsid w:val="00A4658B"/>
    <w:rsid w:val="00A46F64"/>
    <w:rsid w:val="00A5151B"/>
    <w:rsid w:val="00A5393E"/>
    <w:rsid w:val="00A559DB"/>
    <w:rsid w:val="00A56C07"/>
    <w:rsid w:val="00A60BAF"/>
    <w:rsid w:val="00A64E15"/>
    <w:rsid w:val="00A7339A"/>
    <w:rsid w:val="00A763F5"/>
    <w:rsid w:val="00A767CB"/>
    <w:rsid w:val="00A77071"/>
    <w:rsid w:val="00A85587"/>
    <w:rsid w:val="00AA217A"/>
    <w:rsid w:val="00AA3C9D"/>
    <w:rsid w:val="00AA4204"/>
    <w:rsid w:val="00AB4CAA"/>
    <w:rsid w:val="00AB51B6"/>
    <w:rsid w:val="00AC0ED8"/>
    <w:rsid w:val="00AC75A2"/>
    <w:rsid w:val="00AD07C5"/>
    <w:rsid w:val="00AD40DE"/>
    <w:rsid w:val="00AD5284"/>
    <w:rsid w:val="00AE081D"/>
    <w:rsid w:val="00AE0CBE"/>
    <w:rsid w:val="00AE5450"/>
    <w:rsid w:val="00AF038E"/>
    <w:rsid w:val="00AF35FC"/>
    <w:rsid w:val="00AF4801"/>
    <w:rsid w:val="00AF5871"/>
    <w:rsid w:val="00AF66D4"/>
    <w:rsid w:val="00B00BCF"/>
    <w:rsid w:val="00B03639"/>
    <w:rsid w:val="00B06258"/>
    <w:rsid w:val="00B0652A"/>
    <w:rsid w:val="00B22A27"/>
    <w:rsid w:val="00B23ED9"/>
    <w:rsid w:val="00B30408"/>
    <w:rsid w:val="00B31495"/>
    <w:rsid w:val="00B316A1"/>
    <w:rsid w:val="00B322B1"/>
    <w:rsid w:val="00B372B1"/>
    <w:rsid w:val="00B3757D"/>
    <w:rsid w:val="00B40937"/>
    <w:rsid w:val="00B41D82"/>
    <w:rsid w:val="00B423EF"/>
    <w:rsid w:val="00B453DE"/>
    <w:rsid w:val="00B4696C"/>
    <w:rsid w:val="00B469C7"/>
    <w:rsid w:val="00B4742F"/>
    <w:rsid w:val="00B530D2"/>
    <w:rsid w:val="00B545C4"/>
    <w:rsid w:val="00B55EDD"/>
    <w:rsid w:val="00B64C0A"/>
    <w:rsid w:val="00B70FE0"/>
    <w:rsid w:val="00B733D6"/>
    <w:rsid w:val="00B81CF1"/>
    <w:rsid w:val="00B901F9"/>
    <w:rsid w:val="00B92055"/>
    <w:rsid w:val="00B960B9"/>
    <w:rsid w:val="00B963F7"/>
    <w:rsid w:val="00BA2616"/>
    <w:rsid w:val="00BB179C"/>
    <w:rsid w:val="00BB7F78"/>
    <w:rsid w:val="00BC09BF"/>
    <w:rsid w:val="00BD5614"/>
    <w:rsid w:val="00BD686D"/>
    <w:rsid w:val="00BD6EFB"/>
    <w:rsid w:val="00BD6F05"/>
    <w:rsid w:val="00BD7615"/>
    <w:rsid w:val="00BE4FE2"/>
    <w:rsid w:val="00BE6B57"/>
    <w:rsid w:val="00BF0C28"/>
    <w:rsid w:val="00BF0F18"/>
    <w:rsid w:val="00BF128D"/>
    <w:rsid w:val="00BF3FE8"/>
    <w:rsid w:val="00C11433"/>
    <w:rsid w:val="00C14A45"/>
    <w:rsid w:val="00C159A5"/>
    <w:rsid w:val="00C15BE2"/>
    <w:rsid w:val="00C21436"/>
    <w:rsid w:val="00C22219"/>
    <w:rsid w:val="00C26D74"/>
    <w:rsid w:val="00C31686"/>
    <w:rsid w:val="00C33B6E"/>
    <w:rsid w:val="00C3447F"/>
    <w:rsid w:val="00C4008A"/>
    <w:rsid w:val="00C40F19"/>
    <w:rsid w:val="00C53BAD"/>
    <w:rsid w:val="00C60FAD"/>
    <w:rsid w:val="00C617EC"/>
    <w:rsid w:val="00C62CA3"/>
    <w:rsid w:val="00C62FA7"/>
    <w:rsid w:val="00C7671D"/>
    <w:rsid w:val="00C81491"/>
    <w:rsid w:val="00C81676"/>
    <w:rsid w:val="00C84DB6"/>
    <w:rsid w:val="00C8630C"/>
    <w:rsid w:val="00C873A2"/>
    <w:rsid w:val="00C92CC4"/>
    <w:rsid w:val="00C94B2F"/>
    <w:rsid w:val="00C95FD5"/>
    <w:rsid w:val="00C96A98"/>
    <w:rsid w:val="00C975BF"/>
    <w:rsid w:val="00CA0AFB"/>
    <w:rsid w:val="00CA2CE1"/>
    <w:rsid w:val="00CA3976"/>
    <w:rsid w:val="00CA5B11"/>
    <w:rsid w:val="00CA757B"/>
    <w:rsid w:val="00CB0253"/>
    <w:rsid w:val="00CB09AD"/>
    <w:rsid w:val="00CB6B09"/>
    <w:rsid w:val="00CC03A2"/>
    <w:rsid w:val="00CC1787"/>
    <w:rsid w:val="00CC182C"/>
    <w:rsid w:val="00CC4A67"/>
    <w:rsid w:val="00CD0824"/>
    <w:rsid w:val="00CD1080"/>
    <w:rsid w:val="00CD2908"/>
    <w:rsid w:val="00CF0390"/>
    <w:rsid w:val="00CF3AE2"/>
    <w:rsid w:val="00CF6972"/>
    <w:rsid w:val="00CF7F9C"/>
    <w:rsid w:val="00D03A82"/>
    <w:rsid w:val="00D0491D"/>
    <w:rsid w:val="00D1006D"/>
    <w:rsid w:val="00D103D1"/>
    <w:rsid w:val="00D14ECB"/>
    <w:rsid w:val="00D15344"/>
    <w:rsid w:val="00D158C5"/>
    <w:rsid w:val="00D26142"/>
    <w:rsid w:val="00D31BEC"/>
    <w:rsid w:val="00D34E92"/>
    <w:rsid w:val="00D45B22"/>
    <w:rsid w:val="00D5419C"/>
    <w:rsid w:val="00D63150"/>
    <w:rsid w:val="00D63E53"/>
    <w:rsid w:val="00D64A32"/>
    <w:rsid w:val="00D64EFC"/>
    <w:rsid w:val="00D72BE9"/>
    <w:rsid w:val="00D75295"/>
    <w:rsid w:val="00D76CE9"/>
    <w:rsid w:val="00D8721B"/>
    <w:rsid w:val="00D95217"/>
    <w:rsid w:val="00D97F12"/>
    <w:rsid w:val="00DA1D21"/>
    <w:rsid w:val="00DA5BF0"/>
    <w:rsid w:val="00DA7395"/>
    <w:rsid w:val="00DB0149"/>
    <w:rsid w:val="00DB06A7"/>
    <w:rsid w:val="00DB42E7"/>
    <w:rsid w:val="00DC01C1"/>
    <w:rsid w:val="00DC0837"/>
    <w:rsid w:val="00DC15D4"/>
    <w:rsid w:val="00DC504F"/>
    <w:rsid w:val="00DC67D5"/>
    <w:rsid w:val="00DD0732"/>
    <w:rsid w:val="00DD362C"/>
    <w:rsid w:val="00DD7C8D"/>
    <w:rsid w:val="00DE1E71"/>
    <w:rsid w:val="00DE1FC9"/>
    <w:rsid w:val="00DE5263"/>
    <w:rsid w:val="00DF23DA"/>
    <w:rsid w:val="00DF318C"/>
    <w:rsid w:val="00DF32C2"/>
    <w:rsid w:val="00E12910"/>
    <w:rsid w:val="00E15D79"/>
    <w:rsid w:val="00E20DB7"/>
    <w:rsid w:val="00E228AC"/>
    <w:rsid w:val="00E22B3D"/>
    <w:rsid w:val="00E22ED0"/>
    <w:rsid w:val="00E25194"/>
    <w:rsid w:val="00E27EC0"/>
    <w:rsid w:val="00E358C6"/>
    <w:rsid w:val="00E36226"/>
    <w:rsid w:val="00E368AD"/>
    <w:rsid w:val="00E36C92"/>
    <w:rsid w:val="00E426F7"/>
    <w:rsid w:val="00E43219"/>
    <w:rsid w:val="00E43544"/>
    <w:rsid w:val="00E467C5"/>
    <w:rsid w:val="00E471A7"/>
    <w:rsid w:val="00E635CF"/>
    <w:rsid w:val="00E65477"/>
    <w:rsid w:val="00E66DAF"/>
    <w:rsid w:val="00E73026"/>
    <w:rsid w:val="00E74744"/>
    <w:rsid w:val="00E77DE7"/>
    <w:rsid w:val="00E93E20"/>
    <w:rsid w:val="00E95B37"/>
    <w:rsid w:val="00EA0A25"/>
    <w:rsid w:val="00EA150E"/>
    <w:rsid w:val="00EA4759"/>
    <w:rsid w:val="00EA6E19"/>
    <w:rsid w:val="00EB1BD1"/>
    <w:rsid w:val="00EB41FA"/>
    <w:rsid w:val="00EB47D8"/>
    <w:rsid w:val="00EB5410"/>
    <w:rsid w:val="00EB54B3"/>
    <w:rsid w:val="00EB5F0A"/>
    <w:rsid w:val="00EC00ED"/>
    <w:rsid w:val="00EC62E7"/>
    <w:rsid w:val="00EC6E0A"/>
    <w:rsid w:val="00ED42CB"/>
    <w:rsid w:val="00ED4E18"/>
    <w:rsid w:val="00ED7280"/>
    <w:rsid w:val="00EE1B07"/>
    <w:rsid w:val="00EE1F37"/>
    <w:rsid w:val="00EE6822"/>
    <w:rsid w:val="00EF6FF1"/>
    <w:rsid w:val="00F0159C"/>
    <w:rsid w:val="00F05EC0"/>
    <w:rsid w:val="00F105B7"/>
    <w:rsid w:val="00F17A21"/>
    <w:rsid w:val="00F24F42"/>
    <w:rsid w:val="00F26B24"/>
    <w:rsid w:val="00F35E30"/>
    <w:rsid w:val="00F4285C"/>
    <w:rsid w:val="00F50843"/>
    <w:rsid w:val="00F50E91"/>
    <w:rsid w:val="00F55F84"/>
    <w:rsid w:val="00F57D29"/>
    <w:rsid w:val="00F62181"/>
    <w:rsid w:val="00F63664"/>
    <w:rsid w:val="00F646C3"/>
    <w:rsid w:val="00F7015E"/>
    <w:rsid w:val="00F70CB9"/>
    <w:rsid w:val="00F81FD3"/>
    <w:rsid w:val="00F84484"/>
    <w:rsid w:val="00F85E8C"/>
    <w:rsid w:val="00F86B17"/>
    <w:rsid w:val="00F92A99"/>
    <w:rsid w:val="00F92D30"/>
    <w:rsid w:val="00F92FE6"/>
    <w:rsid w:val="00F9482D"/>
    <w:rsid w:val="00F96201"/>
    <w:rsid w:val="00FA11C4"/>
    <w:rsid w:val="00FA1A3C"/>
    <w:rsid w:val="00FA522F"/>
    <w:rsid w:val="00FC0459"/>
    <w:rsid w:val="00FC1232"/>
    <w:rsid w:val="00FC30E9"/>
    <w:rsid w:val="00FC37AA"/>
    <w:rsid w:val="00FD0B18"/>
    <w:rsid w:val="00FD0F82"/>
    <w:rsid w:val="00FD33F2"/>
    <w:rsid w:val="00FD389C"/>
    <w:rsid w:val="00FE254B"/>
    <w:rsid w:val="00FE49BC"/>
    <w:rsid w:val="00FE714F"/>
    <w:rsid w:val="00FF6E07"/>
    <w:rsid w:val="00FF7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CBA6234"/>
  <w15:docId w15:val="{09FF9F67-F700-4D77-BF82-1C691EFE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E5F1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5943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444C9A"/>
    <w:rPr>
      <w:b w:val="0"/>
      <w:color w:val="auto"/>
      <w:vertAlign w:val="superscript"/>
    </w:rPr>
  </w:style>
  <w:style w:type="paragraph" w:customStyle="1" w:styleId="Footnote">
    <w:name w:val="Footnote"/>
    <w:basedOn w:val="FootnoteText"/>
    <w:link w:val="FootnoteChar"/>
    <w:qFormat/>
    <w:rsid w:val="00444C9A"/>
    <w:rPr>
      <w:rFonts w:ascii="Arial" w:hAnsi="Arial" w:cs="Arial"/>
      <w:sz w:val="17"/>
      <w:szCs w:val="17"/>
    </w:rPr>
  </w:style>
  <w:style w:type="character" w:customStyle="1" w:styleId="FootnoteChar">
    <w:name w:val="Footnote Char"/>
    <w:basedOn w:val="FootnoteTextChar"/>
    <w:link w:val="Footnote"/>
    <w:rsid w:val="004E0BDF"/>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5943BD"/>
    <w:rPr>
      <w:rFonts w:asciiTheme="majorHAnsi" w:eastAsiaTheme="majorEastAsia" w:hAnsiTheme="majorHAnsi" w:cstheme="majorBidi"/>
      <w:b/>
      <w:bCs/>
      <w:color w:val="365F91" w:themeColor="accent1" w:themeShade="BF"/>
      <w:sz w:val="28"/>
      <w:szCs w:val="28"/>
    </w:rPr>
  </w:style>
  <w:style w:type="table" w:customStyle="1" w:styleId="TableGrid3">
    <w:name w:val="Table Grid3"/>
    <w:basedOn w:val="TableNormal"/>
    <w:next w:val="TableGrid"/>
    <w:uiPriority w:val="39"/>
    <w:rsid w:val="00260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60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53C76"/>
    <w:rPr>
      <w:color w:val="800080" w:themeColor="followedHyperlink"/>
      <w:u w:val="single"/>
    </w:rPr>
  </w:style>
  <w:style w:type="character" w:customStyle="1" w:styleId="apple-converted-space">
    <w:name w:val="apple-converted-space"/>
    <w:basedOn w:val="DefaultParagraphFont"/>
    <w:rsid w:val="00444C9A"/>
  </w:style>
  <w:style w:type="character" w:customStyle="1" w:styleId="apple-style-span">
    <w:name w:val="apple-style-span"/>
    <w:basedOn w:val="DefaultParagraphFont"/>
    <w:rsid w:val="00444C9A"/>
    <w:rPr>
      <w:rFonts w:ascii="Times New Roman" w:hAnsi="Times New Roman"/>
      <w:caps w:val="0"/>
      <w:smallCaps w:val="0"/>
      <w:strike w:val="0"/>
      <w:dstrike w:val="0"/>
      <w:vanish w:val="0"/>
      <w:sz w:val="22"/>
      <w:vertAlign w:val="baseline"/>
    </w:rPr>
  </w:style>
  <w:style w:type="character" w:customStyle="1" w:styleId="UnresolvedMention1">
    <w:name w:val="Unresolved Mention1"/>
    <w:basedOn w:val="DefaultParagraphFont"/>
    <w:uiPriority w:val="99"/>
    <w:semiHidden/>
    <w:unhideWhenUsed/>
    <w:rsid w:val="00430071"/>
    <w:rPr>
      <w:color w:val="605E5C"/>
      <w:shd w:val="clear" w:color="auto" w:fill="E1DFDD"/>
    </w:rPr>
  </w:style>
  <w:style w:type="character" w:customStyle="1" w:styleId="UnresolvedMention2">
    <w:name w:val="Unresolved Mention2"/>
    <w:basedOn w:val="DefaultParagraphFont"/>
    <w:uiPriority w:val="99"/>
    <w:semiHidden/>
    <w:unhideWhenUsed/>
    <w:rsid w:val="00DB06A7"/>
    <w:rPr>
      <w:color w:val="605E5C"/>
      <w:shd w:val="clear" w:color="auto" w:fill="E1DFDD"/>
    </w:rPr>
  </w:style>
  <w:style w:type="paragraph" w:styleId="DocumentMap">
    <w:name w:val="Document Map"/>
    <w:basedOn w:val="Normal"/>
    <w:link w:val="DocumentMapChar"/>
    <w:uiPriority w:val="99"/>
    <w:semiHidden/>
    <w:unhideWhenUsed/>
    <w:rsid w:val="00B41D8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41D82"/>
    <w:rPr>
      <w:rFonts w:ascii="Lucida Grande" w:eastAsia="Times New Roman" w:hAnsi="Lucida Grande" w:cs="Lucida Grande"/>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064844">
      <w:bodyDiv w:val="1"/>
      <w:marLeft w:val="0"/>
      <w:marRight w:val="0"/>
      <w:marTop w:val="0"/>
      <w:marBottom w:val="0"/>
      <w:divBdr>
        <w:top w:val="none" w:sz="0" w:space="0" w:color="auto"/>
        <w:left w:val="none" w:sz="0" w:space="0" w:color="auto"/>
        <w:bottom w:val="none" w:sz="0" w:space="0" w:color="auto"/>
        <w:right w:val="none" w:sz="0" w:space="0" w:color="auto"/>
      </w:divBdr>
    </w:div>
    <w:div w:id="736363203">
      <w:bodyDiv w:val="1"/>
      <w:marLeft w:val="0"/>
      <w:marRight w:val="0"/>
      <w:marTop w:val="0"/>
      <w:marBottom w:val="0"/>
      <w:divBdr>
        <w:top w:val="none" w:sz="0" w:space="0" w:color="auto"/>
        <w:left w:val="none" w:sz="0" w:space="0" w:color="auto"/>
        <w:bottom w:val="none" w:sz="0" w:space="0" w:color="auto"/>
        <w:right w:val="none" w:sz="0" w:space="0" w:color="auto"/>
      </w:divBdr>
    </w:div>
    <w:div w:id="821123651">
      <w:bodyDiv w:val="1"/>
      <w:marLeft w:val="0"/>
      <w:marRight w:val="0"/>
      <w:marTop w:val="0"/>
      <w:marBottom w:val="0"/>
      <w:divBdr>
        <w:top w:val="none" w:sz="0" w:space="0" w:color="auto"/>
        <w:left w:val="none" w:sz="0" w:space="0" w:color="auto"/>
        <w:bottom w:val="none" w:sz="0" w:space="0" w:color="auto"/>
        <w:right w:val="none" w:sz="0" w:space="0" w:color="auto"/>
      </w:divBdr>
    </w:div>
    <w:div w:id="902569676">
      <w:bodyDiv w:val="1"/>
      <w:marLeft w:val="0"/>
      <w:marRight w:val="0"/>
      <w:marTop w:val="0"/>
      <w:marBottom w:val="0"/>
      <w:divBdr>
        <w:top w:val="none" w:sz="0" w:space="0" w:color="auto"/>
        <w:left w:val="none" w:sz="0" w:space="0" w:color="auto"/>
        <w:bottom w:val="none" w:sz="0" w:space="0" w:color="auto"/>
        <w:right w:val="none" w:sz="0" w:space="0" w:color="auto"/>
      </w:divBdr>
    </w:div>
    <w:div w:id="1898734847">
      <w:bodyDiv w:val="1"/>
      <w:marLeft w:val="0"/>
      <w:marRight w:val="0"/>
      <w:marTop w:val="0"/>
      <w:marBottom w:val="0"/>
      <w:divBdr>
        <w:top w:val="none" w:sz="0" w:space="0" w:color="auto"/>
        <w:left w:val="none" w:sz="0" w:space="0" w:color="auto"/>
        <w:bottom w:val="none" w:sz="0" w:space="0" w:color="auto"/>
        <w:right w:val="none" w:sz="0" w:space="0" w:color="auto"/>
      </w:divBdr>
    </w:div>
    <w:div w:id="1906916935">
      <w:bodyDiv w:val="1"/>
      <w:marLeft w:val="0"/>
      <w:marRight w:val="0"/>
      <w:marTop w:val="0"/>
      <w:marBottom w:val="0"/>
      <w:divBdr>
        <w:top w:val="none" w:sz="0" w:space="0" w:color="auto"/>
        <w:left w:val="none" w:sz="0" w:space="0" w:color="auto"/>
        <w:bottom w:val="none" w:sz="0" w:space="0" w:color="auto"/>
        <w:right w:val="none" w:sz="0" w:space="0" w:color="auto"/>
      </w:divBdr>
    </w:div>
    <w:div w:id="1928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NUS\Emir\SIA\SIA%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14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SG">
                <a:solidFill>
                  <a:sysClr val="windowText" lastClr="000000"/>
                </a:solidFill>
              </a:rPr>
              <a:t>Singapore Airlines—Dividends History</a:t>
            </a:r>
          </a:p>
        </c:rich>
      </c:tx>
      <c:overlay val="0"/>
      <c:spPr>
        <a:noFill/>
        <a:ln>
          <a:noFill/>
        </a:ln>
        <a:effectLst/>
      </c:spPr>
      <c:txPr>
        <a:bodyPr rot="0" spcFirstLastPara="1" vertOverflow="ellipsis" vert="horz" wrap="square" anchor="ctr" anchorCtr="1"/>
        <a:lstStyle/>
        <a:p>
          <a:pPr>
            <a:defRPr sz="114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stacked"/>
        <c:varyColors val="0"/>
        <c:ser>
          <c:idx val="0"/>
          <c:order val="0"/>
          <c:tx>
            <c:strRef>
              <c:f>'Div 2'!$C$1</c:f>
              <c:strCache>
                <c:ptCount val="1"/>
                <c:pt idx="0">
                  <c:v>Interim</c:v>
                </c:pt>
              </c:strCache>
            </c:strRef>
          </c:tx>
          <c:spPr>
            <a:solidFill>
              <a:sysClr val="windowText" lastClr="000000"/>
            </a:solidFill>
            <a:ln>
              <a:solidFill>
                <a:sysClr val="windowText" lastClr="000000"/>
              </a:solidFill>
            </a:ln>
            <a:effectLst/>
          </c:spPr>
          <c:invertIfNegative val="0"/>
          <c:cat>
            <c:numRef>
              <c:f>'Div 2'!$A$2:$A$13</c:f>
              <c:numCache>
                <c:formatCode>yyyy</c:formatCode>
                <c:ptCount val="12"/>
                <c:pt idx="0">
                  <c:v>38077</c:v>
                </c:pt>
                <c:pt idx="1">
                  <c:v>38442</c:v>
                </c:pt>
                <c:pt idx="2">
                  <c:v>38807</c:v>
                </c:pt>
                <c:pt idx="3">
                  <c:v>39172</c:v>
                </c:pt>
                <c:pt idx="4">
                  <c:v>39538</c:v>
                </c:pt>
                <c:pt idx="5">
                  <c:v>39903</c:v>
                </c:pt>
                <c:pt idx="6">
                  <c:v>40268</c:v>
                </c:pt>
                <c:pt idx="7">
                  <c:v>40633</c:v>
                </c:pt>
                <c:pt idx="8">
                  <c:v>40999</c:v>
                </c:pt>
                <c:pt idx="9">
                  <c:v>41364</c:v>
                </c:pt>
                <c:pt idx="10">
                  <c:v>41729</c:v>
                </c:pt>
                <c:pt idx="11">
                  <c:v>42094</c:v>
                </c:pt>
              </c:numCache>
            </c:numRef>
          </c:cat>
          <c:val>
            <c:numRef>
              <c:f>'Div 2'!$C$2:$C$13</c:f>
              <c:numCache>
                <c:formatCode>_(* #,##0.00_);_(* \(#,##0.00\);_(* "-"??_);_(@_)</c:formatCode>
                <c:ptCount val="12"/>
                <c:pt idx="0">
                  <c:v>0</c:v>
                </c:pt>
                <c:pt idx="1">
                  <c:v>0.1</c:v>
                </c:pt>
                <c:pt idx="2">
                  <c:v>0.1</c:v>
                </c:pt>
                <c:pt idx="3">
                  <c:v>0.15</c:v>
                </c:pt>
                <c:pt idx="4">
                  <c:v>0.2</c:v>
                </c:pt>
                <c:pt idx="5">
                  <c:v>0.2</c:v>
                </c:pt>
                <c:pt idx="6">
                  <c:v>0</c:v>
                </c:pt>
                <c:pt idx="7">
                  <c:v>0.2</c:v>
                </c:pt>
                <c:pt idx="8">
                  <c:v>0.1</c:v>
                </c:pt>
                <c:pt idx="9">
                  <c:v>0.06</c:v>
                </c:pt>
                <c:pt idx="10">
                  <c:v>0.1</c:v>
                </c:pt>
                <c:pt idx="11">
                  <c:v>0.05</c:v>
                </c:pt>
              </c:numCache>
            </c:numRef>
          </c:val>
          <c:extLst>
            <c:ext xmlns:c16="http://schemas.microsoft.com/office/drawing/2014/chart" uri="{C3380CC4-5D6E-409C-BE32-E72D297353CC}">
              <c16:uniqueId val="{00000000-5DA2-4E32-9EBF-517347A4CF8E}"/>
            </c:ext>
          </c:extLst>
        </c:ser>
        <c:ser>
          <c:idx val="1"/>
          <c:order val="1"/>
          <c:tx>
            <c:strRef>
              <c:f>'Div 2'!$D$1</c:f>
              <c:strCache>
                <c:ptCount val="1"/>
                <c:pt idx="0">
                  <c:v>Final</c:v>
                </c:pt>
              </c:strCache>
            </c:strRef>
          </c:tx>
          <c:spPr>
            <a:pattFill prst="wdUpDiag">
              <a:fgClr>
                <a:sysClr val="windowText" lastClr="000000"/>
              </a:fgClr>
              <a:bgClr>
                <a:sysClr val="window" lastClr="FFFFFF"/>
              </a:bgClr>
            </a:pattFill>
            <a:ln>
              <a:solidFill>
                <a:sysClr val="windowText" lastClr="000000"/>
              </a:solidFill>
            </a:ln>
            <a:effectLst/>
          </c:spPr>
          <c:invertIfNegative val="0"/>
          <c:cat>
            <c:numRef>
              <c:f>'Div 2'!$A$2:$A$13</c:f>
              <c:numCache>
                <c:formatCode>yyyy</c:formatCode>
                <c:ptCount val="12"/>
                <c:pt idx="0">
                  <c:v>38077</c:v>
                </c:pt>
                <c:pt idx="1">
                  <c:v>38442</c:v>
                </c:pt>
                <c:pt idx="2">
                  <c:v>38807</c:v>
                </c:pt>
                <c:pt idx="3">
                  <c:v>39172</c:v>
                </c:pt>
                <c:pt idx="4">
                  <c:v>39538</c:v>
                </c:pt>
                <c:pt idx="5">
                  <c:v>39903</c:v>
                </c:pt>
                <c:pt idx="6">
                  <c:v>40268</c:v>
                </c:pt>
                <c:pt idx="7">
                  <c:v>40633</c:v>
                </c:pt>
                <c:pt idx="8">
                  <c:v>40999</c:v>
                </c:pt>
                <c:pt idx="9">
                  <c:v>41364</c:v>
                </c:pt>
                <c:pt idx="10">
                  <c:v>41729</c:v>
                </c:pt>
                <c:pt idx="11">
                  <c:v>42094</c:v>
                </c:pt>
              </c:numCache>
            </c:numRef>
          </c:cat>
          <c:val>
            <c:numRef>
              <c:f>'Div 2'!$D$2:$D$13</c:f>
              <c:numCache>
                <c:formatCode>_(* #,##0.00_);_(* \(#,##0.00\);_(* "-"??_);_(@_)</c:formatCode>
                <c:ptCount val="12"/>
                <c:pt idx="0">
                  <c:v>0.25</c:v>
                </c:pt>
                <c:pt idx="1">
                  <c:v>0.3</c:v>
                </c:pt>
                <c:pt idx="2">
                  <c:v>0.35</c:v>
                </c:pt>
                <c:pt idx="3">
                  <c:v>0.35</c:v>
                </c:pt>
                <c:pt idx="4">
                  <c:v>0.8</c:v>
                </c:pt>
                <c:pt idx="5">
                  <c:v>0.2</c:v>
                </c:pt>
                <c:pt idx="6">
                  <c:v>0.12</c:v>
                </c:pt>
                <c:pt idx="7">
                  <c:v>0.4</c:v>
                </c:pt>
                <c:pt idx="8">
                  <c:v>0.1</c:v>
                </c:pt>
                <c:pt idx="9">
                  <c:v>0.17</c:v>
                </c:pt>
                <c:pt idx="10">
                  <c:v>0.11</c:v>
                </c:pt>
                <c:pt idx="11">
                  <c:v>0.17</c:v>
                </c:pt>
              </c:numCache>
            </c:numRef>
          </c:val>
          <c:extLst>
            <c:ext xmlns:c16="http://schemas.microsoft.com/office/drawing/2014/chart" uri="{C3380CC4-5D6E-409C-BE32-E72D297353CC}">
              <c16:uniqueId val="{00000001-5DA2-4E32-9EBF-517347A4CF8E}"/>
            </c:ext>
          </c:extLst>
        </c:ser>
        <c:ser>
          <c:idx val="2"/>
          <c:order val="2"/>
          <c:tx>
            <c:strRef>
              <c:f>'Div 2'!$E$1</c:f>
              <c:strCache>
                <c:ptCount val="1"/>
                <c:pt idx="0">
                  <c:v>Special</c:v>
                </c:pt>
              </c:strCache>
            </c:strRef>
          </c:tx>
          <c:spPr>
            <a:pattFill prst="ltUpDiag">
              <a:fgClr>
                <a:schemeClr val="accent3"/>
              </a:fgClr>
              <a:bgClr>
                <a:schemeClr val="bg1"/>
              </a:bgClr>
            </a:pattFill>
            <a:ln>
              <a:solidFill>
                <a:schemeClr val="accent3"/>
              </a:solidFill>
            </a:ln>
            <a:effectLst/>
          </c:spPr>
          <c:invertIfNegative val="0"/>
          <c:cat>
            <c:numRef>
              <c:f>'Div 2'!$A$2:$A$13</c:f>
              <c:numCache>
                <c:formatCode>yyyy</c:formatCode>
                <c:ptCount val="12"/>
                <c:pt idx="0">
                  <c:v>38077</c:v>
                </c:pt>
                <c:pt idx="1">
                  <c:v>38442</c:v>
                </c:pt>
                <c:pt idx="2">
                  <c:v>38807</c:v>
                </c:pt>
                <c:pt idx="3">
                  <c:v>39172</c:v>
                </c:pt>
                <c:pt idx="4">
                  <c:v>39538</c:v>
                </c:pt>
                <c:pt idx="5">
                  <c:v>39903</c:v>
                </c:pt>
                <c:pt idx="6">
                  <c:v>40268</c:v>
                </c:pt>
                <c:pt idx="7">
                  <c:v>40633</c:v>
                </c:pt>
                <c:pt idx="8">
                  <c:v>40999</c:v>
                </c:pt>
                <c:pt idx="9">
                  <c:v>41364</c:v>
                </c:pt>
                <c:pt idx="10">
                  <c:v>41729</c:v>
                </c:pt>
                <c:pt idx="11">
                  <c:v>42094</c:v>
                </c:pt>
              </c:numCache>
            </c:numRef>
          </c:cat>
          <c:val>
            <c:numRef>
              <c:f>'Div 2'!$E$2:$E$13</c:f>
              <c:numCache>
                <c:formatCode>_(* #,##0.00_);_(* \(#,##0.00\);_(* "-"??_);_(@_)</c:formatCode>
                <c:ptCount val="12"/>
                <c:pt idx="0">
                  <c:v>0</c:v>
                </c:pt>
                <c:pt idx="1">
                  <c:v>0</c:v>
                </c:pt>
                <c:pt idx="2">
                  <c:v>0</c:v>
                </c:pt>
                <c:pt idx="3">
                  <c:v>0.5</c:v>
                </c:pt>
                <c:pt idx="4">
                  <c:v>0</c:v>
                </c:pt>
                <c:pt idx="5">
                  <c:v>0</c:v>
                </c:pt>
                <c:pt idx="6">
                  <c:v>0</c:v>
                </c:pt>
                <c:pt idx="7">
                  <c:v>0.8</c:v>
                </c:pt>
                <c:pt idx="8">
                  <c:v>0</c:v>
                </c:pt>
                <c:pt idx="9">
                  <c:v>0</c:v>
                </c:pt>
                <c:pt idx="10">
                  <c:v>0.25</c:v>
                </c:pt>
                <c:pt idx="11">
                  <c:v>0</c:v>
                </c:pt>
              </c:numCache>
            </c:numRef>
          </c:val>
          <c:extLst>
            <c:ext xmlns:c16="http://schemas.microsoft.com/office/drawing/2014/chart" uri="{C3380CC4-5D6E-409C-BE32-E72D297353CC}">
              <c16:uniqueId val="{00000002-5DA2-4E32-9EBF-517347A4CF8E}"/>
            </c:ext>
          </c:extLst>
        </c:ser>
        <c:dLbls>
          <c:showLegendKey val="0"/>
          <c:showVal val="0"/>
          <c:showCatName val="0"/>
          <c:showSerName val="0"/>
          <c:showPercent val="0"/>
          <c:showBubbleSize val="0"/>
        </c:dLbls>
        <c:gapWidth val="75"/>
        <c:overlap val="100"/>
        <c:axId val="164493128"/>
        <c:axId val="164443296"/>
      </c:barChart>
      <c:lineChart>
        <c:grouping val="standard"/>
        <c:varyColors val="0"/>
        <c:ser>
          <c:idx val="3"/>
          <c:order val="3"/>
          <c:tx>
            <c:strRef>
              <c:f>'Div 2'!$G$1</c:f>
              <c:strCache>
                <c:ptCount val="1"/>
                <c:pt idx="0">
                  <c:v>Dividend Yield</c:v>
                </c:pt>
              </c:strCache>
            </c:strRef>
          </c:tx>
          <c:spPr>
            <a:ln w="28575" cap="rnd">
              <a:solidFill>
                <a:sysClr val="windowText" lastClr="000000"/>
              </a:solidFill>
              <a:round/>
            </a:ln>
            <a:effectLst/>
          </c:spPr>
          <c:marker>
            <c:symbol val="none"/>
          </c:marker>
          <c:cat>
            <c:numRef>
              <c:f>'Div 2'!$A$2:$A$13</c:f>
              <c:numCache>
                <c:formatCode>yyyy</c:formatCode>
                <c:ptCount val="12"/>
                <c:pt idx="0">
                  <c:v>38077</c:v>
                </c:pt>
                <c:pt idx="1">
                  <c:v>38442</c:v>
                </c:pt>
                <c:pt idx="2">
                  <c:v>38807</c:v>
                </c:pt>
                <c:pt idx="3">
                  <c:v>39172</c:v>
                </c:pt>
                <c:pt idx="4">
                  <c:v>39538</c:v>
                </c:pt>
                <c:pt idx="5">
                  <c:v>39903</c:v>
                </c:pt>
                <c:pt idx="6">
                  <c:v>40268</c:v>
                </c:pt>
                <c:pt idx="7">
                  <c:v>40633</c:v>
                </c:pt>
                <c:pt idx="8">
                  <c:v>40999</c:v>
                </c:pt>
                <c:pt idx="9">
                  <c:v>41364</c:v>
                </c:pt>
                <c:pt idx="10">
                  <c:v>41729</c:v>
                </c:pt>
                <c:pt idx="11">
                  <c:v>42094</c:v>
                </c:pt>
              </c:numCache>
            </c:numRef>
          </c:cat>
          <c:val>
            <c:numRef>
              <c:f>'Div 2'!$G$2:$G$13</c:f>
              <c:numCache>
                <c:formatCode>0.00%</c:formatCode>
                <c:ptCount val="12"/>
                <c:pt idx="0">
                  <c:v>2.27272727272727E-2</c:v>
                </c:pt>
                <c:pt idx="1">
                  <c:v>3.3613445378151301E-2</c:v>
                </c:pt>
                <c:pt idx="2">
                  <c:v>3.2142857142857098E-2</c:v>
                </c:pt>
                <c:pt idx="3">
                  <c:v>6.02409638554217E-2</c:v>
                </c:pt>
                <c:pt idx="4">
                  <c:v>6.4102564102564097E-2</c:v>
                </c:pt>
                <c:pt idx="5">
                  <c:v>0.04</c:v>
                </c:pt>
                <c:pt idx="6">
                  <c:v>7.8125E-3</c:v>
                </c:pt>
                <c:pt idx="7">
                  <c:v>0.10233918128654999</c:v>
                </c:pt>
                <c:pt idx="8">
                  <c:v>1.8570102135561699E-2</c:v>
                </c:pt>
                <c:pt idx="9">
                  <c:v>2.1159153633854601E-2</c:v>
                </c:pt>
                <c:pt idx="10">
                  <c:v>4.3935052531041102E-2</c:v>
                </c:pt>
                <c:pt idx="11">
                  <c:v>1.8410041841004199E-2</c:v>
                </c:pt>
              </c:numCache>
            </c:numRef>
          </c:val>
          <c:smooth val="0"/>
          <c:extLst>
            <c:ext xmlns:c16="http://schemas.microsoft.com/office/drawing/2014/chart" uri="{C3380CC4-5D6E-409C-BE32-E72D297353CC}">
              <c16:uniqueId val="{00000003-5DA2-4E32-9EBF-517347A4CF8E}"/>
            </c:ext>
          </c:extLst>
        </c:ser>
        <c:dLbls>
          <c:showLegendKey val="0"/>
          <c:showVal val="0"/>
          <c:showCatName val="0"/>
          <c:showSerName val="0"/>
          <c:showPercent val="0"/>
          <c:showBubbleSize val="0"/>
        </c:dLbls>
        <c:marker val="1"/>
        <c:smooth val="0"/>
        <c:axId val="164455328"/>
        <c:axId val="164454944"/>
      </c:lineChart>
      <c:dateAx>
        <c:axId val="164493128"/>
        <c:scaling>
          <c:orientation val="minMax"/>
        </c:scaling>
        <c:delete val="0"/>
        <c:axPos val="b"/>
        <c:numFmt formatCode="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5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4443296"/>
        <c:crosses val="autoZero"/>
        <c:auto val="1"/>
        <c:lblOffset val="100"/>
        <c:baseTimeUnit val="years"/>
      </c:dateAx>
      <c:valAx>
        <c:axId val="16444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5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SG">
                    <a:solidFill>
                      <a:sysClr val="windowText" lastClr="000000"/>
                    </a:solidFill>
                  </a:rPr>
                  <a:t>Dividend / SGD</a:t>
                </a:r>
              </a:p>
            </c:rich>
          </c:tx>
          <c:overlay val="0"/>
          <c:spPr>
            <a:noFill/>
            <a:ln>
              <a:noFill/>
            </a:ln>
            <a:effectLst/>
          </c:spPr>
          <c:txPr>
            <a:bodyPr rot="-5400000" spcFirstLastPara="1" vertOverflow="ellipsis" vert="horz" wrap="square" anchor="ctr" anchorCtr="1"/>
            <a:lstStyle/>
            <a:p>
              <a:pPr>
                <a:defRPr sz="95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4493128"/>
        <c:crosses val="autoZero"/>
        <c:crossBetween val="between"/>
      </c:valAx>
      <c:valAx>
        <c:axId val="164454944"/>
        <c:scaling>
          <c:orientation val="minMax"/>
        </c:scaling>
        <c:delete val="0"/>
        <c:axPos val="r"/>
        <c:title>
          <c:tx>
            <c:rich>
              <a:bodyPr rot="-5400000" spcFirstLastPara="1" vertOverflow="ellipsis" vert="horz" wrap="square" anchor="ctr" anchorCtr="1"/>
              <a:lstStyle/>
              <a:p>
                <a:pPr>
                  <a:defRPr sz="95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SG">
                    <a:solidFill>
                      <a:sysClr val="windowText" lastClr="000000"/>
                    </a:solidFill>
                  </a:rPr>
                  <a:t>Dividend Yield</a:t>
                </a:r>
              </a:p>
            </c:rich>
          </c:tx>
          <c:overlay val="0"/>
          <c:spPr>
            <a:noFill/>
            <a:ln>
              <a:noFill/>
            </a:ln>
            <a:effectLst/>
          </c:spPr>
          <c:txPr>
            <a:bodyPr rot="-5400000" spcFirstLastPara="1" vertOverflow="ellipsis" vert="horz" wrap="square" anchor="ctr" anchorCtr="1"/>
            <a:lstStyle/>
            <a:p>
              <a:pPr>
                <a:defRPr sz="95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4455328"/>
        <c:crosses val="max"/>
        <c:crossBetween val="between"/>
      </c:valAx>
      <c:dateAx>
        <c:axId val="164455328"/>
        <c:scaling>
          <c:orientation val="minMax"/>
        </c:scaling>
        <c:delete val="1"/>
        <c:axPos val="b"/>
        <c:numFmt formatCode="yyyy" sourceLinked="1"/>
        <c:majorTickMark val="out"/>
        <c:minorTickMark val="none"/>
        <c:tickLblPos val="nextTo"/>
        <c:crossAx val="164454944"/>
        <c:crosses val="autoZero"/>
        <c:auto val="1"/>
        <c:lblOffset val="100"/>
        <c:baseTimeUnit val="year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5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6350" cap="flat" cmpd="sng" algn="ctr">
      <a:solidFill>
        <a:sysClr val="window" lastClr="FFFFFF">
          <a:lumMod val="50000"/>
        </a:sysClr>
      </a:solidFill>
      <a:round/>
    </a:ln>
    <a:effectLst/>
  </c:spPr>
  <c:txPr>
    <a:bodyPr/>
    <a:lstStyle/>
    <a:p>
      <a:pPr>
        <a:defRPr sz="950">
          <a:latin typeface="Arial" panose="020B0604020202020204" pitchFamily="34" charset="0"/>
          <a:cs typeface="Arial" panose="020B0604020202020204" pitchFamily="3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0ADAB-54EF-4B1C-9D53-AE1BFDA6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3918</Words>
  <Characters>22337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3</cp:revision>
  <cp:lastPrinted>2018-07-09T10:02:00Z</cp:lastPrinted>
  <dcterms:created xsi:type="dcterms:W3CDTF">2022-04-20T19:34:00Z</dcterms:created>
  <dcterms:modified xsi:type="dcterms:W3CDTF">2022-04-21T12:56:00Z</dcterms:modified>
</cp:coreProperties>
</file>