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5"/>
        <w:gridCol w:w="4605"/>
      </w:tblGrid>
      <w:tr w:rsidR="00B638DF" w14:paraId="257B641A" w14:textId="77777777" w:rsidTr="001C66BB">
        <w:tc>
          <w:tcPr>
            <w:tcW w:w="4788" w:type="dxa"/>
          </w:tcPr>
          <w:p w14:paraId="3FD485E1" w14:textId="77777777" w:rsidR="00B638DF" w:rsidRDefault="00B638DF" w:rsidP="001C66BB">
            <w:pPr>
              <w:tabs>
                <w:tab w:val="left" w:pos="-1440"/>
                <w:tab w:val="left" w:pos="-720"/>
                <w:tab w:val="left" w:pos="1"/>
              </w:tabs>
              <w:jc w:val="both"/>
              <w:rPr>
                <w:rFonts w:ascii="Arial" w:hAnsi="Arial"/>
                <w:b/>
                <w:sz w:val="24"/>
              </w:rPr>
            </w:pPr>
            <w:r w:rsidRPr="00521B55">
              <w:rPr>
                <w:rFonts w:ascii="Arial" w:hAnsi="Arial"/>
                <w:b/>
                <w:noProof/>
                <w:sz w:val="24"/>
                <w:lang w:val="en-US"/>
              </w:rPr>
              <w:drawing>
                <wp:inline distT="0" distB="0" distL="0" distR="0" wp14:anchorId="3F81A569" wp14:editId="6BB38795">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5720EEF0" w14:textId="77777777" w:rsidR="00B638DF" w:rsidRDefault="00B638DF" w:rsidP="001C66BB">
            <w:pPr>
              <w:tabs>
                <w:tab w:val="left" w:pos="-1440"/>
                <w:tab w:val="left" w:pos="-720"/>
                <w:tab w:val="left" w:pos="1"/>
              </w:tabs>
              <w:jc w:val="both"/>
              <w:rPr>
                <w:rFonts w:ascii="Arial" w:hAnsi="Arial"/>
                <w:b/>
                <w:sz w:val="24"/>
              </w:rPr>
            </w:pPr>
            <w:r>
              <w:rPr>
                <w:rFonts w:ascii="Arial" w:hAnsi="Arial"/>
                <w:b/>
                <w:noProof/>
                <w:sz w:val="24"/>
                <w:lang w:val="en-US"/>
              </w:rPr>
              <w:drawing>
                <wp:anchor distT="0" distB="0" distL="114300" distR="114300" simplePos="0" relativeHeight="251659264" behindDoc="1" locked="0" layoutInCell="1" allowOverlap="1" wp14:anchorId="6165422F" wp14:editId="04A8E403">
                  <wp:simplePos x="0" y="0"/>
                  <wp:positionH relativeFrom="column">
                    <wp:posOffset>1651635</wp:posOffset>
                  </wp:positionH>
                  <wp:positionV relativeFrom="paragraph">
                    <wp:posOffset>20320</wp:posOffset>
                  </wp:positionV>
                  <wp:extent cx="1304290" cy="548640"/>
                  <wp:effectExtent l="0" t="0" r="0" b="3810"/>
                  <wp:wrapTight wrapText="bothSides">
                    <wp:wrapPolygon edited="0">
                      <wp:start x="0" y="0"/>
                      <wp:lineTo x="0" y="21000"/>
                      <wp:lineTo x="21137" y="21000"/>
                      <wp:lineTo x="21137" y="0"/>
                      <wp:lineTo x="0" y="0"/>
                    </wp:wrapPolygon>
                  </wp:wrapTight>
                  <wp:docPr id="3" name="Picture 3" descr="logo_grey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greyscale"/>
                          <pic:cNvPicPr>
                            <a:picLocks noChangeAspect="1" noChangeArrowheads="1"/>
                          </pic:cNvPicPr>
                        </pic:nvPicPr>
                        <pic:blipFill>
                          <a:blip r:embed="rId9" cstate="print">
                            <a:extLst>
                              <a:ext uri="{28A0092B-C50C-407E-A947-70E740481C1C}">
                                <a14:useLocalDpi xmlns:a14="http://schemas.microsoft.com/office/drawing/2010/main" val="0"/>
                              </a:ext>
                            </a:extLst>
                          </a:blip>
                          <a:srcRect t="13083" b="16718"/>
                          <a:stretch>
                            <a:fillRect/>
                          </a:stretch>
                        </pic:blipFill>
                        <pic:spPr bwMode="auto">
                          <a:xfrm>
                            <a:off x="0" y="0"/>
                            <a:ext cx="1304290" cy="5486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09BBF70A" w14:textId="77777777" w:rsidR="00B638DF" w:rsidRPr="00441F90" w:rsidRDefault="00B638DF" w:rsidP="00B638DF">
      <w:pPr>
        <w:pBdr>
          <w:bottom w:val="single" w:sz="18" w:space="1" w:color="auto"/>
        </w:pBdr>
        <w:tabs>
          <w:tab w:val="left" w:pos="-1440"/>
          <w:tab w:val="left" w:pos="-720"/>
          <w:tab w:val="left" w:pos="1"/>
        </w:tabs>
        <w:jc w:val="both"/>
        <w:rPr>
          <w:rFonts w:ascii="Arial" w:hAnsi="Arial"/>
          <w:b/>
          <w:sz w:val="2"/>
          <w:szCs w:val="2"/>
          <w:lang w:val="en-CA"/>
        </w:rPr>
      </w:pPr>
    </w:p>
    <w:p w14:paraId="0B00F9F3" w14:textId="5CD352CB" w:rsidR="00B638DF" w:rsidRPr="00007B22" w:rsidRDefault="00223FFA" w:rsidP="00B638DF">
      <w:pPr>
        <w:pStyle w:val="ProductNumber"/>
        <w:rPr>
          <w:lang w:val="en-CA"/>
        </w:rPr>
      </w:pPr>
      <w:r>
        <w:rPr>
          <w:lang w:val="en-CA"/>
        </w:rPr>
        <w:t>9B1</w:t>
      </w:r>
      <w:r w:rsidR="001A6768">
        <w:rPr>
          <w:lang w:val="en-CA"/>
        </w:rPr>
        <w:t>8</w:t>
      </w:r>
      <w:r>
        <w:rPr>
          <w:lang w:val="en-CA"/>
        </w:rPr>
        <w:t>N019</w:t>
      </w:r>
    </w:p>
    <w:p w14:paraId="1249A8C6" w14:textId="77777777" w:rsidR="00D75295" w:rsidRPr="00BF476B" w:rsidRDefault="00D75295" w:rsidP="00D75295">
      <w:pPr>
        <w:jc w:val="right"/>
        <w:rPr>
          <w:rFonts w:ascii="Arial" w:hAnsi="Arial"/>
          <w:b/>
          <w:sz w:val="28"/>
        </w:rPr>
      </w:pPr>
    </w:p>
    <w:p w14:paraId="2EDC76BB" w14:textId="77777777" w:rsidR="00866F6D" w:rsidRPr="00BF476B" w:rsidRDefault="00866F6D" w:rsidP="00D75295">
      <w:pPr>
        <w:jc w:val="right"/>
        <w:rPr>
          <w:rFonts w:ascii="Arial" w:hAnsi="Arial"/>
          <w:b/>
          <w:sz w:val="28"/>
        </w:rPr>
      </w:pPr>
    </w:p>
    <w:p w14:paraId="5AC3A801" w14:textId="77777777" w:rsidR="00013360" w:rsidRPr="00BF476B" w:rsidRDefault="00C23E52" w:rsidP="00BE361B">
      <w:pPr>
        <w:pStyle w:val="CaseTitle"/>
        <w:spacing w:after="0" w:line="240" w:lineRule="auto"/>
        <w:outlineLvl w:val="0"/>
      </w:pPr>
      <w:r w:rsidRPr="00BF476B">
        <w:t>A Note on Dividend Policy</w:t>
      </w:r>
    </w:p>
    <w:p w14:paraId="1F111C2C" w14:textId="77777777" w:rsidR="00013360" w:rsidRPr="00BF476B" w:rsidRDefault="00013360" w:rsidP="00013360">
      <w:pPr>
        <w:pStyle w:val="CaseTitle"/>
        <w:spacing w:after="0" w:line="240" w:lineRule="auto"/>
        <w:rPr>
          <w:sz w:val="20"/>
        </w:rPr>
      </w:pPr>
    </w:p>
    <w:p w14:paraId="6E72920F" w14:textId="77777777" w:rsidR="00013360" w:rsidRPr="00BF476B" w:rsidRDefault="00013360" w:rsidP="00013360">
      <w:pPr>
        <w:pStyle w:val="CaseTitle"/>
        <w:spacing w:after="0" w:line="240" w:lineRule="auto"/>
        <w:rPr>
          <w:sz w:val="20"/>
        </w:rPr>
      </w:pPr>
    </w:p>
    <w:p w14:paraId="3C5A2DA1" w14:textId="0B29A82B" w:rsidR="00013360" w:rsidRPr="00BF476B" w:rsidRDefault="00C23E52" w:rsidP="00104567">
      <w:pPr>
        <w:pStyle w:val="StyleCopyrightStatementAfter0ptBottomSinglesolidline1"/>
      </w:pPr>
      <w:r w:rsidRPr="00BF476B">
        <w:t>Emir Hrnjić and David Reeb</w:t>
      </w:r>
      <w:r w:rsidR="007E5921" w:rsidRPr="00BF476B">
        <w:t xml:space="preserve"> wrote this </w:t>
      </w:r>
      <w:r w:rsidR="005270BF">
        <w:t>note</w:t>
      </w:r>
      <w:r w:rsidR="007E5921" w:rsidRPr="00BF476B">
        <w:t xml:space="preserve"> sol</w:t>
      </w:r>
      <w:r w:rsidR="00D75295" w:rsidRPr="00BF476B">
        <w:t>ely to provide material f</w:t>
      </w:r>
      <w:r w:rsidR="001A04F0" w:rsidRPr="00BF476B">
        <w:t>or class discussion. The author</w:t>
      </w:r>
      <w:r w:rsidR="00D75295" w:rsidRPr="00BF476B">
        <w:t xml:space="preserve"> do</w:t>
      </w:r>
      <w:r w:rsidR="001A04F0" w:rsidRPr="00BF476B">
        <w:t>es</w:t>
      </w:r>
      <w:r w:rsidR="00D75295" w:rsidRPr="00BF476B">
        <w:t xml:space="preserve"> not intend to illustrate either effective or ineffective handling of a managerial situation. The authors may have disguised certain names and other identifying information to protect confidentiality.</w:t>
      </w:r>
    </w:p>
    <w:p w14:paraId="6A954DC8" w14:textId="77777777" w:rsidR="00013360" w:rsidRPr="00BF476B" w:rsidRDefault="00013360" w:rsidP="00104567">
      <w:pPr>
        <w:pStyle w:val="StyleCopyrightStatementAfter0ptBottomSinglesolidline1"/>
      </w:pPr>
    </w:p>
    <w:p w14:paraId="2F1F8EA3" w14:textId="77777777" w:rsidR="00B638DF" w:rsidRPr="00C02410" w:rsidRDefault="00B638DF" w:rsidP="00B638DF">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C02410">
        <w:rPr>
          <w:rFonts w:ascii="Arial" w:hAnsi="Arial"/>
          <w:i/>
          <w:iCs/>
          <w:color w:val="000000"/>
          <w:sz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C02410">
          <w:rPr>
            <w:rFonts w:ascii="Arial" w:hAnsi="Arial"/>
            <w:i/>
            <w:iCs/>
            <w:color w:val="000000"/>
            <w:sz w:val="16"/>
          </w:rPr>
          <w:t>cases@ivey.ca</w:t>
        </w:r>
      </w:hyperlink>
      <w:r w:rsidRPr="00C02410">
        <w:rPr>
          <w:rFonts w:ascii="Arial" w:hAnsi="Arial"/>
          <w:i/>
          <w:iCs/>
          <w:color w:val="000000"/>
          <w:sz w:val="16"/>
        </w:rPr>
        <w:t xml:space="preserve">; </w:t>
      </w:r>
      <w:hyperlink r:id="rId11" w:history="1">
        <w:r w:rsidRPr="00C02410">
          <w:rPr>
            <w:rFonts w:ascii="Arial" w:hAnsi="Arial"/>
            <w:i/>
            <w:iCs/>
            <w:color w:val="000000"/>
            <w:sz w:val="16"/>
          </w:rPr>
          <w:t>www.iveycases.com</w:t>
        </w:r>
      </w:hyperlink>
      <w:r w:rsidRPr="00C02410">
        <w:rPr>
          <w:rFonts w:ascii="Arial" w:hAnsi="Arial"/>
          <w:i/>
          <w:iCs/>
          <w:color w:val="000000"/>
          <w:sz w:val="16"/>
        </w:rPr>
        <w:t>.</w:t>
      </w:r>
    </w:p>
    <w:p w14:paraId="68AFDCE7" w14:textId="77777777" w:rsidR="00B638DF" w:rsidRPr="00C02410" w:rsidRDefault="00B638DF" w:rsidP="00B638DF">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120D303A" w14:textId="5DD7FA79" w:rsidR="003B7EF2" w:rsidRPr="00BF476B" w:rsidRDefault="00B638DF" w:rsidP="00B638DF">
      <w:pPr>
        <w:pStyle w:val="StyleStyleCopyrightStatementAfter0ptBottomSinglesolid"/>
        <w:outlineLvl w:val="0"/>
      </w:pPr>
      <w:r w:rsidRPr="00C02410">
        <w:rPr>
          <w:rFonts w:cs="Arial"/>
          <w:iCs w:val="0"/>
          <w:color w:val="auto"/>
          <w:szCs w:val="16"/>
        </w:rPr>
        <w:t>Copyright © 20</w:t>
      </w:r>
      <w:r>
        <w:rPr>
          <w:rFonts w:cs="Arial"/>
          <w:iCs w:val="0"/>
          <w:color w:val="auto"/>
          <w:szCs w:val="16"/>
        </w:rPr>
        <w:t>18</w:t>
      </w:r>
      <w:r w:rsidRPr="00C02410">
        <w:rPr>
          <w:rFonts w:cs="Arial"/>
          <w:iCs w:val="0"/>
          <w:color w:val="auto"/>
          <w:szCs w:val="16"/>
        </w:rPr>
        <w:t xml:space="preserve">, </w:t>
      </w:r>
      <w:r w:rsidRPr="00C02410">
        <w:rPr>
          <w:rFonts w:cs="Arial"/>
          <w:iCs w:val="0"/>
          <w:color w:val="auto"/>
          <w:szCs w:val="16"/>
          <w:lang w:val="en-CA"/>
        </w:rPr>
        <w:t>Ivey Business School Foundation</w:t>
      </w:r>
      <w:r w:rsidRPr="00C02410">
        <w:rPr>
          <w:rFonts w:cs="Arial"/>
          <w:iCs w:val="0"/>
          <w:color w:val="auto"/>
          <w:szCs w:val="16"/>
          <w:lang w:val="en-CA"/>
        </w:rPr>
        <w:tab/>
      </w:r>
      <w:r w:rsidRPr="00C02410">
        <w:rPr>
          <w:rFonts w:cs="Arial"/>
          <w:iCs w:val="0"/>
          <w:color w:val="auto"/>
          <w:szCs w:val="16"/>
        </w:rPr>
        <w:t xml:space="preserve">Version: </w:t>
      </w:r>
      <w:r>
        <w:rPr>
          <w:rFonts w:cs="Arial"/>
          <w:iCs w:val="0"/>
          <w:color w:val="auto"/>
          <w:szCs w:val="16"/>
        </w:rPr>
        <w:t>2018-</w:t>
      </w:r>
      <w:r w:rsidR="001A6768">
        <w:rPr>
          <w:rFonts w:cs="Arial"/>
          <w:iCs w:val="0"/>
          <w:color w:val="auto"/>
          <w:szCs w:val="16"/>
        </w:rPr>
        <w:t>10-01</w:t>
      </w:r>
    </w:p>
    <w:p w14:paraId="1EFFCA5C" w14:textId="77777777" w:rsidR="003B7EF2" w:rsidRPr="00BF476B" w:rsidRDefault="003B7EF2" w:rsidP="00104567">
      <w:pPr>
        <w:pStyle w:val="StyleCopyrightStatementAfter0ptBottomSinglesolidline1"/>
        <w:rPr>
          <w:rFonts w:ascii="Times New Roman" w:hAnsi="Times New Roman"/>
          <w:sz w:val="20"/>
        </w:rPr>
      </w:pPr>
    </w:p>
    <w:p w14:paraId="5602E21E" w14:textId="77777777" w:rsidR="003B7EF2" w:rsidRDefault="003B7EF2" w:rsidP="00C23E52">
      <w:pPr>
        <w:pStyle w:val="BodyTextMain"/>
      </w:pPr>
    </w:p>
    <w:p w14:paraId="47A989AA" w14:textId="2B9327E2" w:rsidR="0021327F" w:rsidRPr="00BF476B" w:rsidRDefault="00C23E52" w:rsidP="00C23E52">
      <w:pPr>
        <w:pStyle w:val="BodyTextMain"/>
        <w:rPr>
          <w:rFonts w:eastAsia="Calibri"/>
          <w:spacing w:val="-2"/>
          <w:kern w:val="22"/>
        </w:rPr>
      </w:pPr>
      <w:r w:rsidRPr="00BF476B">
        <w:t xml:space="preserve">Profit-making corporations return cash to investors through dividends or share repurchases. Market participants label the fraction of profits paid to shareholders </w:t>
      </w:r>
      <w:r w:rsidR="00DE7AD8">
        <w:t>as</w:t>
      </w:r>
      <w:r w:rsidRPr="00BF476B">
        <w:t xml:space="preserve"> dividends as the “payout ratio</w:t>
      </w:r>
      <w:r w:rsidR="00DE7AD8">
        <w:t>” (dividends</w:t>
      </w:r>
      <w:r w:rsidR="00B8496D">
        <w:t xml:space="preserve"> ÷ </w:t>
      </w:r>
      <w:r w:rsidR="00DE7AD8">
        <w:t>net earnings).</w:t>
      </w:r>
      <w:r w:rsidRPr="00BF476B">
        <w:t xml:space="preserve"> However, a large </w:t>
      </w:r>
      <w:r w:rsidR="00DE7AD8">
        <w:t>number</w:t>
      </w:r>
      <w:r w:rsidRPr="00BF476B">
        <w:t xml:space="preserve"> of firms have never paid a dividend. For instance, over half of the listed firms in the </w:t>
      </w:r>
      <w:r>
        <w:t>U</w:t>
      </w:r>
      <w:r w:rsidR="00DE7AD8">
        <w:t xml:space="preserve">nited </w:t>
      </w:r>
      <w:r>
        <w:t>S</w:t>
      </w:r>
      <w:r w:rsidR="00DE7AD8">
        <w:t>tates</w:t>
      </w:r>
      <w:r w:rsidRPr="00BF476B">
        <w:t xml:space="preserve"> did not pay a dividend or repurchase shares over the </w:t>
      </w:r>
      <w:r w:rsidR="00B8496D">
        <w:t>p</w:t>
      </w:r>
      <w:r w:rsidR="00B8496D" w:rsidRPr="00BF476B">
        <w:t xml:space="preserve">ast </w:t>
      </w:r>
      <w:r w:rsidRPr="00BF476B">
        <w:t>decade.</w:t>
      </w:r>
      <w:r w:rsidR="0021327F" w:rsidRPr="00BE361B">
        <w:rPr>
          <w:rStyle w:val="EndnoteReference"/>
          <w:rFonts w:eastAsia="SimSun"/>
        </w:rPr>
        <w:endnoteReference w:id="1"/>
      </w:r>
      <w:r w:rsidR="0021327F" w:rsidRPr="00BF476B">
        <w:t xml:space="preserve"> </w:t>
      </w:r>
      <w:r w:rsidR="0021327F">
        <w:t>O</w:t>
      </w:r>
      <w:r w:rsidR="0021327F" w:rsidRPr="00813A8A">
        <w:rPr>
          <w:rFonts w:eastAsia="Calibri"/>
          <w:spacing w:val="-2"/>
          <w:kern w:val="22"/>
        </w:rPr>
        <w:t>nly</w:t>
      </w:r>
      <w:r w:rsidR="0021327F" w:rsidRPr="00BF476B">
        <w:rPr>
          <w:rFonts w:eastAsia="Calibri"/>
          <w:spacing w:val="-2"/>
          <w:kern w:val="22"/>
        </w:rPr>
        <w:t xml:space="preserve"> 20 per cent of firms on the Singapore Stock Exchange consistently paid dividends over the </w:t>
      </w:r>
      <w:r w:rsidR="0021327F">
        <w:rPr>
          <w:rFonts w:eastAsia="Calibri"/>
          <w:spacing w:val="-2"/>
          <w:kern w:val="22"/>
        </w:rPr>
        <w:t>same period</w:t>
      </w:r>
      <w:r w:rsidR="0021327F" w:rsidRPr="00BF476B">
        <w:rPr>
          <w:rFonts w:eastAsia="Calibri"/>
          <w:spacing w:val="-2"/>
          <w:kern w:val="22"/>
        </w:rPr>
        <w:t xml:space="preserve">, with similar </w:t>
      </w:r>
      <w:r w:rsidR="0021327F">
        <w:rPr>
          <w:rFonts w:eastAsia="Calibri"/>
          <w:spacing w:val="-2"/>
          <w:kern w:val="22"/>
        </w:rPr>
        <w:t>rates</w:t>
      </w:r>
      <w:r w:rsidR="0021327F" w:rsidRPr="00BF476B">
        <w:rPr>
          <w:rFonts w:eastAsia="Calibri"/>
          <w:spacing w:val="-2"/>
          <w:kern w:val="22"/>
        </w:rPr>
        <w:t xml:space="preserve"> observed in both </w:t>
      </w:r>
      <w:r w:rsidR="0021327F">
        <w:rPr>
          <w:rFonts w:eastAsia="Calibri"/>
          <w:spacing w:val="-2"/>
          <w:kern w:val="22"/>
        </w:rPr>
        <w:t xml:space="preserve">the </w:t>
      </w:r>
      <w:r w:rsidR="0021327F" w:rsidRPr="00813A8A">
        <w:rPr>
          <w:rFonts w:eastAsia="Calibri"/>
          <w:spacing w:val="-2"/>
          <w:kern w:val="22"/>
        </w:rPr>
        <w:t>US</w:t>
      </w:r>
      <w:r w:rsidR="0021327F" w:rsidRPr="00BF476B">
        <w:rPr>
          <w:rFonts w:eastAsia="Calibri"/>
          <w:spacing w:val="-2"/>
          <w:kern w:val="22"/>
        </w:rPr>
        <w:t xml:space="preserve"> and European stock markets.</w:t>
      </w:r>
      <w:r w:rsidR="0021327F" w:rsidRPr="00BE361B">
        <w:rPr>
          <w:rStyle w:val="EndnoteReference"/>
          <w:rFonts w:eastAsia="Calibri"/>
        </w:rPr>
        <w:endnoteReference w:id="2"/>
      </w:r>
      <w:r w:rsidR="0021327F" w:rsidRPr="00BF476B">
        <w:rPr>
          <w:rFonts w:eastAsia="Calibri"/>
          <w:spacing w:val="-2"/>
          <w:kern w:val="22"/>
        </w:rPr>
        <w:t xml:space="preserve"> </w:t>
      </w:r>
      <w:r w:rsidR="0021327F" w:rsidRPr="00BF476B">
        <w:t xml:space="preserve">The </w:t>
      </w:r>
      <w:r w:rsidR="007573A0">
        <w:t>percentage</w:t>
      </w:r>
      <w:r w:rsidR="007573A0" w:rsidRPr="00BF476B">
        <w:t xml:space="preserve"> </w:t>
      </w:r>
      <w:r w:rsidR="0021327F" w:rsidRPr="00BF476B">
        <w:t>of dividend-paying firms plummeted to a record</w:t>
      </w:r>
      <w:r w:rsidR="00D17402">
        <w:t xml:space="preserve"> </w:t>
      </w:r>
      <w:r w:rsidR="0021327F" w:rsidRPr="00BF476B">
        <w:t xml:space="preserve">low </w:t>
      </w:r>
      <w:r w:rsidR="006010D8">
        <w:t xml:space="preserve">of </w:t>
      </w:r>
      <w:r w:rsidR="0021327F" w:rsidRPr="00BF476B">
        <w:t>17 per cent in 2000.</w:t>
      </w:r>
      <w:r w:rsidR="0021327F" w:rsidRPr="00BE361B">
        <w:rPr>
          <w:rStyle w:val="EndnoteReference"/>
        </w:rPr>
        <w:endnoteReference w:id="3"/>
      </w:r>
      <w:r w:rsidR="0021327F" w:rsidRPr="00BF476B">
        <w:t xml:space="preserve"> In fact, most of the “new economy” firms</w:t>
      </w:r>
      <w:r w:rsidR="0021327F">
        <w:t>,</w:t>
      </w:r>
      <w:r w:rsidR="0021327F" w:rsidRPr="00BF476B">
        <w:t xml:space="preserve"> such as Amazon</w:t>
      </w:r>
      <w:r w:rsidR="001A6768">
        <w:t>.com, Inc.</w:t>
      </w:r>
      <w:r w:rsidR="0021327F" w:rsidRPr="00BF476B">
        <w:t>, Facebook</w:t>
      </w:r>
      <w:r w:rsidR="001A6768">
        <w:t xml:space="preserve"> Inc.</w:t>
      </w:r>
      <w:r w:rsidR="00B8496D">
        <w:t>,</w:t>
      </w:r>
      <w:r w:rsidR="0021327F" w:rsidRPr="00BF476B">
        <w:t xml:space="preserve"> </w:t>
      </w:r>
      <w:r w:rsidR="00B8496D">
        <w:t>and</w:t>
      </w:r>
      <w:r w:rsidR="00B8496D" w:rsidRPr="00BF476B">
        <w:t xml:space="preserve"> </w:t>
      </w:r>
      <w:r w:rsidR="0021327F" w:rsidRPr="00BF476B">
        <w:t>Google</w:t>
      </w:r>
      <w:r w:rsidR="001A6768">
        <w:t xml:space="preserve"> LLC</w:t>
      </w:r>
      <w:r w:rsidR="0021327F">
        <w:t>,</w:t>
      </w:r>
      <w:r w:rsidR="0021327F" w:rsidRPr="00BF476B">
        <w:t xml:space="preserve"> reinvest their entire earnings. </w:t>
      </w:r>
    </w:p>
    <w:p w14:paraId="4E1326C2" w14:textId="77777777" w:rsidR="0021327F" w:rsidRPr="00BF476B" w:rsidRDefault="0021327F" w:rsidP="00C23E52">
      <w:pPr>
        <w:pStyle w:val="BodyTextMain"/>
        <w:rPr>
          <w:rFonts w:eastAsia="Calibri"/>
          <w:spacing w:val="-2"/>
          <w:kern w:val="22"/>
        </w:rPr>
      </w:pPr>
    </w:p>
    <w:p w14:paraId="46C7623C" w14:textId="4F8B163A" w:rsidR="0021327F" w:rsidRDefault="0021327F" w:rsidP="00C23E52">
      <w:pPr>
        <w:pStyle w:val="BodyTextMain"/>
        <w:rPr>
          <w:rFonts w:eastAsia="Calibri"/>
          <w:spacing w:val="-2"/>
          <w:kern w:val="22"/>
        </w:rPr>
      </w:pPr>
      <w:r w:rsidRPr="00BF476B">
        <w:rPr>
          <w:rFonts w:eastAsia="Calibri"/>
          <w:spacing w:val="-2"/>
          <w:kern w:val="22"/>
        </w:rPr>
        <w:t xml:space="preserve">The asymmetric reactions by investors to changes in cash dividends </w:t>
      </w:r>
      <w:r w:rsidRPr="00813A8A">
        <w:rPr>
          <w:rFonts w:eastAsia="Calibri"/>
          <w:spacing w:val="-2"/>
          <w:kern w:val="22"/>
        </w:rPr>
        <w:t>highlight</w:t>
      </w:r>
      <w:r w:rsidRPr="00BF476B">
        <w:rPr>
          <w:rFonts w:eastAsia="Calibri"/>
          <w:spacing w:val="-2"/>
          <w:kern w:val="22"/>
        </w:rPr>
        <w:t xml:space="preserve"> the importance of these consistent payments to shareholders.</w:t>
      </w:r>
      <w:r w:rsidRPr="00BF476B">
        <w:rPr>
          <w:spacing w:val="-2"/>
          <w:kern w:val="22"/>
          <w:sz w:val="24"/>
        </w:rPr>
        <w:t xml:space="preserve"> </w:t>
      </w:r>
      <w:r w:rsidRPr="00BF476B">
        <w:rPr>
          <w:rFonts w:eastAsia="Calibri"/>
          <w:spacing w:val="-2"/>
          <w:kern w:val="22"/>
        </w:rPr>
        <w:t>For instance, a cut in dividends typically le</w:t>
      </w:r>
      <w:r>
        <w:rPr>
          <w:rFonts w:eastAsia="Calibri"/>
          <w:spacing w:val="-2"/>
          <w:kern w:val="22"/>
        </w:rPr>
        <w:t>a</w:t>
      </w:r>
      <w:r w:rsidRPr="00BF476B">
        <w:rPr>
          <w:rFonts w:eastAsia="Calibri"/>
          <w:spacing w:val="-2"/>
          <w:kern w:val="22"/>
        </w:rPr>
        <w:t>d</w:t>
      </w:r>
      <w:r>
        <w:rPr>
          <w:rFonts w:eastAsia="Calibri"/>
          <w:spacing w:val="-2"/>
          <w:kern w:val="22"/>
        </w:rPr>
        <w:t>s</w:t>
      </w:r>
      <w:r w:rsidRPr="00BF476B">
        <w:rPr>
          <w:rFonts w:eastAsia="Calibri"/>
          <w:spacing w:val="-2"/>
          <w:kern w:val="22"/>
        </w:rPr>
        <w:t xml:space="preserve"> to a much larger drop in a firm’s stock price relative to the price appreciation from an equivalent dividend boost. Consequently, managers often attempt to deliver persistent dividends and increase them </w:t>
      </w:r>
      <w:r w:rsidR="00B8496D">
        <w:rPr>
          <w:rFonts w:eastAsia="Calibri"/>
          <w:spacing w:val="-2"/>
          <w:kern w:val="22"/>
        </w:rPr>
        <w:t xml:space="preserve">only </w:t>
      </w:r>
      <w:r w:rsidRPr="00BF476B">
        <w:rPr>
          <w:rFonts w:eastAsia="Calibri"/>
          <w:spacing w:val="-2"/>
          <w:kern w:val="22"/>
        </w:rPr>
        <w:t xml:space="preserve">when they are confident </w:t>
      </w:r>
      <w:r>
        <w:rPr>
          <w:rFonts w:eastAsia="Calibri"/>
          <w:spacing w:val="-2"/>
          <w:kern w:val="22"/>
        </w:rPr>
        <w:t>dividends</w:t>
      </w:r>
      <w:r w:rsidRPr="00BF476B">
        <w:rPr>
          <w:rFonts w:eastAsia="Calibri"/>
          <w:spacing w:val="-2"/>
          <w:kern w:val="22"/>
        </w:rPr>
        <w:t xml:space="preserve"> can be maintained. </w:t>
      </w:r>
    </w:p>
    <w:p w14:paraId="13FE2ABA" w14:textId="77777777" w:rsidR="0021327F" w:rsidRDefault="0021327F" w:rsidP="00C23E52">
      <w:pPr>
        <w:pStyle w:val="BodyTextMain"/>
        <w:rPr>
          <w:rFonts w:eastAsia="Calibri"/>
          <w:spacing w:val="-2"/>
          <w:kern w:val="22"/>
        </w:rPr>
      </w:pPr>
    </w:p>
    <w:p w14:paraId="4FC2BED0" w14:textId="245BA6BF" w:rsidR="0021327F" w:rsidRPr="00BF476B" w:rsidRDefault="0021327F" w:rsidP="00C23E52">
      <w:pPr>
        <w:pStyle w:val="BodyTextMain"/>
        <w:rPr>
          <w:rFonts w:eastAsia="Calibri"/>
          <w:spacing w:val="-2"/>
          <w:kern w:val="22"/>
        </w:rPr>
      </w:pPr>
      <w:r w:rsidRPr="00BF476B">
        <w:rPr>
          <w:rFonts w:eastAsia="Calibri"/>
          <w:spacing w:val="-2"/>
          <w:kern w:val="22"/>
        </w:rPr>
        <w:t>Investors rel</w:t>
      </w:r>
      <w:r>
        <w:rPr>
          <w:rFonts w:eastAsia="Calibri"/>
          <w:spacing w:val="-2"/>
          <w:kern w:val="22"/>
        </w:rPr>
        <w:t>y</w:t>
      </w:r>
      <w:r w:rsidRPr="00BF476B">
        <w:rPr>
          <w:rFonts w:eastAsia="Calibri"/>
          <w:spacing w:val="-2"/>
          <w:kern w:val="22"/>
        </w:rPr>
        <w:t xml:space="preserve"> on dividends to evaluate </w:t>
      </w:r>
      <w:r>
        <w:rPr>
          <w:rFonts w:eastAsia="Calibri"/>
          <w:spacing w:val="-2"/>
          <w:kern w:val="22"/>
        </w:rPr>
        <w:t>a firm’s</w:t>
      </w:r>
      <w:r w:rsidRPr="00BF476B">
        <w:rPr>
          <w:rFonts w:eastAsia="Calibri"/>
          <w:spacing w:val="-2"/>
          <w:kern w:val="22"/>
        </w:rPr>
        <w:t xml:space="preserve"> investment prospects. A common view </w:t>
      </w:r>
      <w:r>
        <w:rPr>
          <w:rFonts w:eastAsia="Calibri"/>
          <w:spacing w:val="-2"/>
          <w:kern w:val="22"/>
        </w:rPr>
        <w:t>is</w:t>
      </w:r>
      <w:r w:rsidRPr="00BF476B">
        <w:rPr>
          <w:rFonts w:eastAsia="Calibri"/>
          <w:spacing w:val="-2"/>
          <w:kern w:val="22"/>
        </w:rPr>
        <w:t xml:space="preserve"> that an opaque dividend policy create</w:t>
      </w:r>
      <w:r>
        <w:rPr>
          <w:rFonts w:eastAsia="Calibri"/>
          <w:spacing w:val="-2"/>
          <w:kern w:val="22"/>
        </w:rPr>
        <w:t>s</w:t>
      </w:r>
      <w:r w:rsidRPr="00BF476B">
        <w:rPr>
          <w:rFonts w:eastAsia="Calibri"/>
          <w:spacing w:val="-2"/>
          <w:kern w:val="22"/>
        </w:rPr>
        <w:t xml:space="preserve"> concerns and uncertainty among investors in the firm. Arguably, investors </w:t>
      </w:r>
      <w:r>
        <w:rPr>
          <w:rFonts w:eastAsia="Calibri"/>
          <w:spacing w:val="-2"/>
          <w:kern w:val="22"/>
        </w:rPr>
        <w:t>use</w:t>
      </w:r>
      <w:r w:rsidRPr="00BF476B">
        <w:rPr>
          <w:rFonts w:eastAsia="Calibri"/>
          <w:spacing w:val="-2"/>
          <w:kern w:val="22"/>
        </w:rPr>
        <w:t xml:space="preserve"> corporate dividends to evaluate and forecast the future of the firm. </w:t>
      </w:r>
    </w:p>
    <w:p w14:paraId="7D1EFF56" w14:textId="77777777" w:rsidR="0021327F" w:rsidRPr="00BF476B" w:rsidRDefault="0021327F" w:rsidP="00C23E52">
      <w:pPr>
        <w:pStyle w:val="BodyTextMain"/>
      </w:pPr>
    </w:p>
    <w:p w14:paraId="293674EA" w14:textId="098CADC8" w:rsidR="0021327F" w:rsidRPr="00BF476B" w:rsidRDefault="0021327F" w:rsidP="00C23E52">
      <w:pPr>
        <w:pStyle w:val="BodyTextMain"/>
      </w:pPr>
      <w:r w:rsidRPr="00BF476B">
        <w:t>A plethora of research on corporate payout policies document</w:t>
      </w:r>
      <w:r>
        <w:t>s</w:t>
      </w:r>
      <w:r w:rsidRPr="00BF476B">
        <w:t xml:space="preserve"> several regularities. Yet, it seem</w:t>
      </w:r>
      <w:r>
        <w:t>s</w:t>
      </w:r>
      <w:r w:rsidRPr="00BF476B">
        <w:t xml:space="preserve"> that we </w:t>
      </w:r>
      <w:r>
        <w:t>do not</w:t>
      </w:r>
      <w:r w:rsidRPr="00813A8A">
        <w:t xml:space="preserve"> complete</w:t>
      </w:r>
      <w:r>
        <w:t>ly</w:t>
      </w:r>
      <w:r w:rsidRPr="00813A8A">
        <w:t xml:space="preserve"> understand</w:t>
      </w:r>
      <w:r w:rsidRPr="00BF476B">
        <w:t xml:space="preserve"> corporate motivations and investor expectations about dividends. Various academics </w:t>
      </w:r>
      <w:r>
        <w:t xml:space="preserve">have </w:t>
      </w:r>
      <w:r w:rsidRPr="00BF476B">
        <w:t>offered theories</w:t>
      </w:r>
      <w:r>
        <w:t xml:space="preserve"> to attempt to explain those motivations and expectations</w:t>
      </w:r>
      <w:r w:rsidRPr="00BF476B">
        <w:t>.</w:t>
      </w:r>
    </w:p>
    <w:p w14:paraId="292FF36D" w14:textId="77777777" w:rsidR="0021327F" w:rsidRPr="00BF476B" w:rsidRDefault="0021327F" w:rsidP="00BE361B">
      <w:pPr>
        <w:pStyle w:val="BodyTextMain"/>
      </w:pPr>
    </w:p>
    <w:p w14:paraId="2F9A5BD7" w14:textId="77777777" w:rsidR="0021327F" w:rsidRPr="00BF476B" w:rsidRDefault="0021327F" w:rsidP="00BE361B">
      <w:pPr>
        <w:pStyle w:val="BodyTextMain"/>
      </w:pPr>
    </w:p>
    <w:p w14:paraId="4FC20645" w14:textId="77777777" w:rsidR="0021327F" w:rsidRPr="00BF476B" w:rsidRDefault="0021327F" w:rsidP="00BE361B">
      <w:pPr>
        <w:pStyle w:val="Casehead1"/>
        <w:outlineLvl w:val="0"/>
        <w:rPr>
          <w:rFonts w:eastAsia="SimSun"/>
        </w:rPr>
      </w:pPr>
      <w:r w:rsidRPr="00BF476B">
        <w:rPr>
          <w:rFonts w:eastAsia="SimSun"/>
        </w:rPr>
        <w:t>RATIONAL DIVIDEND THEORIES</w:t>
      </w:r>
    </w:p>
    <w:p w14:paraId="617763A0" w14:textId="77777777" w:rsidR="0021327F" w:rsidRPr="00BF476B" w:rsidRDefault="0021327F" w:rsidP="00BE361B">
      <w:pPr>
        <w:pStyle w:val="BodyTextMain"/>
        <w:keepNext/>
      </w:pPr>
    </w:p>
    <w:p w14:paraId="3C35D3CE" w14:textId="77777777" w:rsidR="0021327F" w:rsidRPr="00BF476B" w:rsidRDefault="0021327F" w:rsidP="00BE361B">
      <w:pPr>
        <w:pStyle w:val="Casehead2"/>
        <w:outlineLvl w:val="0"/>
        <w:rPr>
          <w:rFonts w:eastAsia="SimSun"/>
        </w:rPr>
      </w:pPr>
      <w:r w:rsidRPr="00BF476B">
        <w:rPr>
          <w:rFonts w:eastAsia="SimSun"/>
        </w:rPr>
        <w:t>Miller-Modigliani Dividend Irrelevance Theory</w:t>
      </w:r>
      <w:r w:rsidRPr="00BE361B">
        <w:rPr>
          <w:rStyle w:val="EndnoteReference"/>
          <w:rFonts w:eastAsia="SimSun"/>
        </w:rPr>
        <w:endnoteReference w:id="4"/>
      </w:r>
    </w:p>
    <w:p w14:paraId="780B6824" w14:textId="77777777" w:rsidR="0021327F" w:rsidRPr="00BF476B" w:rsidRDefault="0021327F" w:rsidP="00BE361B">
      <w:pPr>
        <w:pStyle w:val="BodyTextMain"/>
        <w:keepNext/>
      </w:pPr>
    </w:p>
    <w:p w14:paraId="2D9A7C82" w14:textId="69B3D463" w:rsidR="0021327F" w:rsidRDefault="0021327F" w:rsidP="00C23E52">
      <w:pPr>
        <w:pStyle w:val="BodyTextMain"/>
      </w:pPr>
      <w:r w:rsidRPr="00BF476B">
        <w:t>The dividend irrelevance theory posit</w:t>
      </w:r>
      <w:r>
        <w:t>s</w:t>
      </w:r>
      <w:r w:rsidRPr="00BF476B">
        <w:t xml:space="preserve"> that in perfect markets without agency costs, information asymmetry, taxes</w:t>
      </w:r>
      <w:r>
        <w:t>,</w:t>
      </w:r>
      <w:r w:rsidRPr="00813A8A">
        <w:t xml:space="preserve"> </w:t>
      </w:r>
      <w:r>
        <w:t>or</w:t>
      </w:r>
      <w:r w:rsidRPr="00BF476B">
        <w:t xml:space="preserve"> other frictions, </w:t>
      </w:r>
      <w:r w:rsidR="00B8496D">
        <w:t xml:space="preserve">a </w:t>
      </w:r>
      <w:r w:rsidRPr="00BF476B">
        <w:t xml:space="preserve">dividend policy would be irrelevant. In other words, the choice between keeping money in </w:t>
      </w:r>
      <w:r>
        <w:t xml:space="preserve">the </w:t>
      </w:r>
      <w:r w:rsidRPr="00BF476B">
        <w:t>company (through retained earnings) or paying it out to shareholders (</w:t>
      </w:r>
      <w:r>
        <w:t>by repurchasing shares or paying</w:t>
      </w:r>
      <w:r w:rsidRPr="00BF476B">
        <w:t xml:space="preserve"> dividends) would not affect shareholders’ wealth. </w:t>
      </w:r>
    </w:p>
    <w:p w14:paraId="68A712E7" w14:textId="32E7D2AD" w:rsidR="0021327F" w:rsidRPr="00BF476B" w:rsidRDefault="0021327F" w:rsidP="00C23E52">
      <w:pPr>
        <w:pStyle w:val="BodyTextMain"/>
      </w:pPr>
      <w:r w:rsidRPr="00BF476B">
        <w:lastRenderedPageBreak/>
        <w:t xml:space="preserve">From </w:t>
      </w:r>
      <w:r>
        <w:t xml:space="preserve">the </w:t>
      </w:r>
      <w:r w:rsidRPr="00BF476B">
        <w:t xml:space="preserve">company’s </w:t>
      </w:r>
      <w:r>
        <w:t>perspective</w:t>
      </w:r>
      <w:r w:rsidRPr="00BF476B">
        <w:t xml:space="preserve">, increased dividends could be offset by </w:t>
      </w:r>
      <w:r w:rsidR="00B8496D">
        <w:t xml:space="preserve">either </w:t>
      </w:r>
      <w:r w:rsidRPr="00BF476B">
        <w:t>lower share repurchases or higher share issues. From</w:t>
      </w:r>
      <w:r w:rsidRPr="00813A8A">
        <w:t xml:space="preserve"> </w:t>
      </w:r>
      <w:r>
        <w:t>an</w:t>
      </w:r>
      <w:r w:rsidRPr="00BF476B">
        <w:t xml:space="preserve"> investor’s perspective, Miller and Modigliani </w:t>
      </w:r>
      <w:r>
        <w:t>suggest</w:t>
      </w:r>
      <w:r w:rsidRPr="00BF476B">
        <w:t xml:space="preserve"> that shareholders </w:t>
      </w:r>
      <w:r>
        <w:t>could</w:t>
      </w:r>
      <w:r w:rsidRPr="00BF476B">
        <w:t xml:space="preserve"> create their own synthetic dividends. Specifically, if shareholders received dividends they viewed as too high, they could reinvest part of </w:t>
      </w:r>
      <w:r>
        <w:t xml:space="preserve">the </w:t>
      </w:r>
      <w:r w:rsidRPr="00813A8A">
        <w:t>dividend</w:t>
      </w:r>
      <w:r w:rsidRPr="00BF476B">
        <w:t xml:space="preserve"> proceeds to buy more shares in the company. Similarly, if </w:t>
      </w:r>
      <w:r>
        <w:t>shareholders</w:t>
      </w:r>
      <w:r w:rsidRPr="00BF476B">
        <w:t xml:space="preserve"> received dividends</w:t>
      </w:r>
      <w:r>
        <w:t xml:space="preserve"> considered to be too low</w:t>
      </w:r>
      <w:r w:rsidRPr="00BF476B">
        <w:t xml:space="preserve">, they could sell </w:t>
      </w:r>
      <w:r>
        <w:t xml:space="preserve">a </w:t>
      </w:r>
      <w:r w:rsidRPr="00BF476B">
        <w:t>fraction of their shares to create synthetically higher dividend</w:t>
      </w:r>
      <w:r>
        <w:t>s</w:t>
      </w:r>
      <w:r w:rsidRPr="00BF476B">
        <w:t>.</w:t>
      </w:r>
    </w:p>
    <w:p w14:paraId="6C8D226C" w14:textId="77777777" w:rsidR="0021327F" w:rsidRPr="00BF476B" w:rsidRDefault="0021327F" w:rsidP="00C23E52">
      <w:pPr>
        <w:pStyle w:val="BodyTextMain"/>
      </w:pPr>
    </w:p>
    <w:p w14:paraId="7D6E88C2" w14:textId="25E09340" w:rsidR="0021327F" w:rsidRPr="00B638DF" w:rsidRDefault="00B8496D" w:rsidP="00C23E52">
      <w:pPr>
        <w:pStyle w:val="BodyTextMain"/>
        <w:rPr>
          <w:spacing w:val="-2"/>
        </w:rPr>
      </w:pPr>
      <w:r w:rsidRPr="00B638DF">
        <w:rPr>
          <w:spacing w:val="-2"/>
        </w:rPr>
        <w:t>Al</w:t>
      </w:r>
      <w:r w:rsidR="0021327F" w:rsidRPr="00B638DF">
        <w:rPr>
          <w:spacing w:val="-2"/>
        </w:rPr>
        <w:t>though this theory starts with a very strict set of assumptions, it provides a useful benchmark for comparison purposes. More recent research has relaxed most of these assumptions to derive more realistic scenarios.</w:t>
      </w:r>
    </w:p>
    <w:p w14:paraId="148180AD" w14:textId="77777777" w:rsidR="0021327F" w:rsidRPr="00BF476B" w:rsidRDefault="0021327F" w:rsidP="00BE361B">
      <w:pPr>
        <w:pStyle w:val="BodyTextMain"/>
      </w:pPr>
    </w:p>
    <w:p w14:paraId="47322C9D" w14:textId="77777777" w:rsidR="0021327F" w:rsidRPr="00BF476B" w:rsidRDefault="0021327F" w:rsidP="00BE361B">
      <w:pPr>
        <w:pStyle w:val="BodyTextMain"/>
      </w:pPr>
    </w:p>
    <w:p w14:paraId="6AE64C9D" w14:textId="77777777" w:rsidR="0021327F" w:rsidRPr="00BF476B" w:rsidRDefault="0021327F" w:rsidP="00BE361B">
      <w:pPr>
        <w:pStyle w:val="Casehead2"/>
        <w:outlineLvl w:val="0"/>
        <w:rPr>
          <w:rFonts w:eastAsia="SimSun"/>
        </w:rPr>
      </w:pPr>
      <w:r w:rsidRPr="00BF476B">
        <w:rPr>
          <w:rFonts w:eastAsia="SimSun"/>
        </w:rPr>
        <w:t>Information Content of Dividends</w:t>
      </w:r>
      <w:r w:rsidRPr="00BE361B">
        <w:rPr>
          <w:rStyle w:val="EndnoteReference"/>
          <w:rFonts w:eastAsia="SimSun"/>
        </w:rPr>
        <w:endnoteReference w:id="5"/>
      </w:r>
    </w:p>
    <w:p w14:paraId="20160B1D" w14:textId="77777777" w:rsidR="0021327F" w:rsidRPr="00BF476B" w:rsidRDefault="0021327F" w:rsidP="00C23E52">
      <w:pPr>
        <w:pStyle w:val="BodyTextMain"/>
      </w:pPr>
    </w:p>
    <w:p w14:paraId="3C1AB1B8" w14:textId="1DCCB0D1" w:rsidR="00B638DF" w:rsidRDefault="0021327F" w:rsidP="00C23E52">
      <w:pPr>
        <w:pStyle w:val="BodyTextMain"/>
      </w:pPr>
      <w:r w:rsidRPr="00BF476B">
        <w:t xml:space="preserve">Historically, managers were extremely reluctant to increase or reduce dividends. </w:t>
      </w:r>
      <w:r w:rsidR="00B8496D">
        <w:t xml:space="preserve">In terms of </w:t>
      </w:r>
      <w:r w:rsidR="00B8496D" w:rsidRPr="00BF476B">
        <w:t>the future cash flows of the company</w:t>
      </w:r>
      <w:r w:rsidR="00B8496D">
        <w:t>,</w:t>
      </w:r>
      <w:r w:rsidR="00B8496D" w:rsidRPr="00BF476B">
        <w:t xml:space="preserve"> </w:t>
      </w:r>
      <w:r w:rsidR="00B8496D">
        <w:t>d</w:t>
      </w:r>
      <w:r w:rsidRPr="00BF476B">
        <w:t>ividend increases conveyed a strong positive</w:t>
      </w:r>
      <w:r w:rsidR="00B8496D">
        <w:t xml:space="preserve"> signal</w:t>
      </w:r>
      <w:r w:rsidRPr="00BF476B">
        <w:t>, while dividend decreases conveyed a strong negative signal.</w:t>
      </w:r>
      <w:r w:rsidR="004B6E09">
        <w:t xml:space="preserve"> In fact, dividend research showed that the most important informational content in the dividend payout stemmed from </w:t>
      </w:r>
      <w:r w:rsidR="004B6E09">
        <w:rPr>
          <w:i/>
        </w:rPr>
        <w:t>changes</w:t>
      </w:r>
      <w:r w:rsidR="004B6E09">
        <w:t xml:space="preserve"> in the firm’s dividend.</w:t>
      </w:r>
      <w:r w:rsidR="00B638DF">
        <w:rPr>
          <w:rStyle w:val="EndnoteReference"/>
        </w:rPr>
        <w:endnoteReference w:id="6"/>
      </w:r>
    </w:p>
    <w:p w14:paraId="6F072EA8" w14:textId="77777777" w:rsidR="00B638DF" w:rsidRDefault="00B638DF" w:rsidP="00C23E52">
      <w:pPr>
        <w:pStyle w:val="BodyTextMain"/>
      </w:pPr>
    </w:p>
    <w:p w14:paraId="08B5168E" w14:textId="2CBC1DE6" w:rsidR="0021327F" w:rsidRPr="00BF476B" w:rsidRDefault="00B638DF" w:rsidP="00C23E52">
      <w:pPr>
        <w:pStyle w:val="BodyTextMain"/>
        <w:rPr>
          <w:i/>
        </w:rPr>
      </w:pPr>
      <w:r w:rsidRPr="00BF476B">
        <w:t xml:space="preserve">Survey of financial executives </w:t>
      </w:r>
      <w:r w:rsidR="0021327F" w:rsidRPr="00BF476B">
        <w:t xml:space="preserve">revealed </w:t>
      </w:r>
      <w:r w:rsidR="0021327F">
        <w:t>that executives preferred</w:t>
      </w:r>
      <w:r w:rsidR="0021327F" w:rsidRPr="00BF476B">
        <w:t xml:space="preserve"> to avoid changing dividends because they were concerned about the likelihood of a dividend cut in the future.</w:t>
      </w:r>
      <w:r w:rsidR="001A6768">
        <w:rPr>
          <w:rStyle w:val="EndnoteReference"/>
        </w:rPr>
        <w:endnoteReference w:id="7"/>
      </w:r>
      <w:r w:rsidR="0021327F" w:rsidRPr="00BF476B">
        <w:t xml:space="preserve"> Amihud and Li showed an asymmetric effect of dividend changes</w:t>
      </w:r>
      <w:r w:rsidR="0021327F">
        <w:t>:</w:t>
      </w:r>
      <w:r w:rsidR="0021327F" w:rsidRPr="00BF476B">
        <w:t xml:space="preserve"> dividend increases triggered </w:t>
      </w:r>
      <w:r w:rsidR="0021327F">
        <w:t xml:space="preserve">a </w:t>
      </w:r>
      <w:r w:rsidR="0021327F" w:rsidRPr="00BF476B">
        <w:t xml:space="preserve">0.5 per cent increase in the </w:t>
      </w:r>
      <w:r w:rsidR="0021327F">
        <w:t xml:space="preserve">stock </w:t>
      </w:r>
      <w:r w:rsidR="0021327F" w:rsidRPr="00BF476B">
        <w:t xml:space="preserve">price, while dividend reductions caused </w:t>
      </w:r>
      <w:r w:rsidR="0021327F">
        <w:t xml:space="preserve">a </w:t>
      </w:r>
      <w:r w:rsidR="0021327F" w:rsidRPr="00BF476B">
        <w:t>2 per cent decrease</w:t>
      </w:r>
      <w:r w:rsidR="0021327F" w:rsidRPr="00813A8A">
        <w:t>.</w:t>
      </w:r>
      <w:r w:rsidR="0021327F">
        <w:rPr>
          <w:rStyle w:val="EndnoteReference"/>
        </w:rPr>
        <w:endnoteReference w:id="8"/>
      </w:r>
      <w:r w:rsidR="0021327F" w:rsidRPr="00BF476B">
        <w:t xml:space="preserve"> However, the sensitivity of the price changes to dividend changes have significantly </w:t>
      </w:r>
      <w:r w:rsidR="0021327F">
        <w:t>decreased</w:t>
      </w:r>
      <w:r w:rsidR="0021327F" w:rsidRPr="00BF476B">
        <w:t xml:space="preserve"> in recent decades.</w:t>
      </w:r>
    </w:p>
    <w:p w14:paraId="262EEFD9" w14:textId="77777777" w:rsidR="0021327F" w:rsidRPr="00BF476B" w:rsidRDefault="0021327F" w:rsidP="00BE361B">
      <w:pPr>
        <w:pStyle w:val="BodyTextMain"/>
      </w:pPr>
    </w:p>
    <w:p w14:paraId="71B41C64" w14:textId="77777777" w:rsidR="0021327F" w:rsidRPr="00BF476B" w:rsidRDefault="0021327F" w:rsidP="00BE361B">
      <w:pPr>
        <w:pStyle w:val="BodyTextMain"/>
      </w:pPr>
    </w:p>
    <w:p w14:paraId="25B209E3" w14:textId="77777777" w:rsidR="0021327F" w:rsidRPr="00BF476B" w:rsidRDefault="0021327F" w:rsidP="00BE361B">
      <w:pPr>
        <w:pStyle w:val="Casehead2"/>
        <w:outlineLvl w:val="0"/>
      </w:pPr>
      <w:r w:rsidRPr="00BF476B">
        <w:t>Tax Considerations</w:t>
      </w:r>
    </w:p>
    <w:p w14:paraId="3A32101F" w14:textId="77777777" w:rsidR="0021327F" w:rsidRPr="00BF476B" w:rsidRDefault="0021327F" w:rsidP="00C23E52">
      <w:pPr>
        <w:pStyle w:val="BodyTextMain"/>
      </w:pPr>
    </w:p>
    <w:p w14:paraId="2DA15A1E" w14:textId="50DABA8D" w:rsidR="0021327F" w:rsidRPr="00AF7D3F" w:rsidRDefault="0021327F" w:rsidP="00C23E52">
      <w:pPr>
        <w:pStyle w:val="BodyTextMain"/>
        <w:rPr>
          <w:spacing w:val="-2"/>
        </w:rPr>
      </w:pPr>
      <w:r w:rsidRPr="00AF7D3F">
        <w:rPr>
          <w:spacing w:val="-2"/>
        </w:rPr>
        <w:t xml:space="preserve">If dividends and capital gains were taxed at different levels, investors might show a strong preference for the option with lower taxes. Li et al. used the 2012 tax reform in China, which changed investors’ dividend tax rates, to examine this hypothesis. They documented that “firms facing a reduction in their individual investors’ dividend tax rate are more likely to increase </w:t>
      </w:r>
      <w:r w:rsidR="00FB4872" w:rsidRPr="00AF7D3F">
        <w:rPr>
          <w:spacing w:val="-2"/>
        </w:rPr>
        <w:t xml:space="preserve">their </w:t>
      </w:r>
      <w:r w:rsidRPr="00AF7D3F">
        <w:rPr>
          <w:spacing w:val="-2"/>
        </w:rPr>
        <w:t>dividend payout</w:t>
      </w:r>
      <w:r w:rsidR="00FB4872" w:rsidRPr="00AF7D3F">
        <w:rPr>
          <w:spacing w:val="-2"/>
        </w:rPr>
        <w:t>s</w:t>
      </w:r>
      <w:r w:rsidRPr="00AF7D3F">
        <w:rPr>
          <w:spacing w:val="-2"/>
        </w:rPr>
        <w:t>.”</w:t>
      </w:r>
      <w:r w:rsidRPr="00AF7D3F">
        <w:rPr>
          <w:rStyle w:val="EndnoteReference"/>
          <w:spacing w:val="-2"/>
        </w:rPr>
        <w:endnoteReference w:id="9"/>
      </w:r>
      <w:r w:rsidRPr="00AF7D3F">
        <w:rPr>
          <w:spacing w:val="-2"/>
        </w:rPr>
        <w:t xml:space="preserve"> Desai and Jin, in their study, documented that high-dividend firms attracted institutional investors with low dividend tax rates.</w:t>
      </w:r>
      <w:r w:rsidRPr="00AF7D3F">
        <w:rPr>
          <w:rStyle w:val="EndnoteReference"/>
          <w:spacing w:val="-2"/>
        </w:rPr>
        <w:endnoteReference w:id="10"/>
      </w:r>
      <w:r w:rsidRPr="00AF7D3F">
        <w:rPr>
          <w:spacing w:val="-2"/>
        </w:rPr>
        <w:t xml:space="preserve"> </w:t>
      </w:r>
    </w:p>
    <w:p w14:paraId="220AF71C" w14:textId="77777777" w:rsidR="0021327F" w:rsidRPr="00BF476B" w:rsidRDefault="0021327F" w:rsidP="00BE361B">
      <w:pPr>
        <w:pStyle w:val="BodyTextMain"/>
      </w:pPr>
    </w:p>
    <w:p w14:paraId="19B6A838" w14:textId="11A4419B" w:rsidR="0021327F" w:rsidRPr="00BF476B" w:rsidRDefault="0021327F" w:rsidP="00BE361B">
      <w:pPr>
        <w:pStyle w:val="BodyTextMain"/>
      </w:pPr>
    </w:p>
    <w:p w14:paraId="0F6024EB" w14:textId="77777777" w:rsidR="0021327F" w:rsidRPr="00BF476B" w:rsidRDefault="0021327F" w:rsidP="00BE361B">
      <w:pPr>
        <w:pStyle w:val="Casehead2"/>
        <w:outlineLvl w:val="0"/>
      </w:pPr>
      <w:r w:rsidRPr="00BF476B">
        <w:t xml:space="preserve">Financial Flexibility </w:t>
      </w:r>
    </w:p>
    <w:p w14:paraId="7675042A" w14:textId="77777777" w:rsidR="0021327F" w:rsidRPr="00BF476B" w:rsidRDefault="0021327F" w:rsidP="00BE361B">
      <w:pPr>
        <w:pStyle w:val="BodyTextMain"/>
      </w:pPr>
    </w:p>
    <w:p w14:paraId="022DB353" w14:textId="0113BE6C" w:rsidR="0021327F" w:rsidRPr="00BF476B" w:rsidRDefault="0021327F" w:rsidP="00C23E52">
      <w:pPr>
        <w:pStyle w:val="BodyTextMain"/>
      </w:pPr>
      <w:r w:rsidRPr="00BF476B">
        <w:t>Jagannathan, Stephens</w:t>
      </w:r>
      <w:r>
        <w:t>,</w:t>
      </w:r>
      <w:r w:rsidRPr="00BF476B">
        <w:t xml:space="preserve"> and Weisbach documented that “stock repurchases are very pro-cyclical, while dividends increase steadily over time.”</w:t>
      </w:r>
      <w:r w:rsidRPr="00BE361B">
        <w:rPr>
          <w:rStyle w:val="EndnoteReference"/>
        </w:rPr>
        <w:endnoteReference w:id="11"/>
      </w:r>
      <w:r w:rsidRPr="00BF476B">
        <w:t xml:space="preserve"> When firms had high </w:t>
      </w:r>
      <w:r w:rsidRPr="00BF476B">
        <w:rPr>
          <w:i/>
        </w:rPr>
        <w:t>permanent operating</w:t>
      </w:r>
      <w:r w:rsidRPr="00BF476B">
        <w:t xml:space="preserve"> cash flows, they typically paid dividends, while firms with higher </w:t>
      </w:r>
      <w:r w:rsidRPr="00BF476B">
        <w:rPr>
          <w:i/>
        </w:rPr>
        <w:t>temporary, non-operating</w:t>
      </w:r>
      <w:r w:rsidRPr="00BF476B">
        <w:t xml:space="preserve"> cash flows engaged in stock repurchases. One might argue that higher </w:t>
      </w:r>
      <w:r w:rsidRPr="00BF476B">
        <w:rPr>
          <w:i/>
        </w:rPr>
        <w:t>temporary, non-operating</w:t>
      </w:r>
      <w:r w:rsidRPr="00BF476B">
        <w:t xml:space="preserve"> cash flows could prompt the firm to pay </w:t>
      </w:r>
      <w:r w:rsidRPr="00BF476B">
        <w:rPr>
          <w:i/>
        </w:rPr>
        <w:t>special dividend</w:t>
      </w:r>
      <w:r>
        <w:rPr>
          <w:i/>
        </w:rPr>
        <w:t>s</w:t>
      </w:r>
      <w:r w:rsidRPr="00BF476B">
        <w:t xml:space="preserve"> in addition to</w:t>
      </w:r>
      <w:r>
        <w:t>,</w:t>
      </w:r>
      <w:r w:rsidRPr="00BF476B">
        <w:t xml:space="preserve"> or instead of</w:t>
      </w:r>
      <w:r>
        <w:t>,</w:t>
      </w:r>
      <w:r w:rsidRPr="00BF476B">
        <w:t xml:space="preserve"> stock repurchases.</w:t>
      </w:r>
    </w:p>
    <w:p w14:paraId="2E453891" w14:textId="77777777" w:rsidR="0021327F" w:rsidRPr="00BF476B" w:rsidRDefault="0021327F" w:rsidP="00BE361B">
      <w:pPr>
        <w:pStyle w:val="BodyTextMain"/>
      </w:pPr>
    </w:p>
    <w:p w14:paraId="3097DC1C" w14:textId="77777777" w:rsidR="0021327F" w:rsidRPr="00BF476B" w:rsidRDefault="0021327F" w:rsidP="00BE361B">
      <w:pPr>
        <w:pStyle w:val="BodyTextMain"/>
      </w:pPr>
    </w:p>
    <w:p w14:paraId="4CE3E8F3" w14:textId="2F64199F" w:rsidR="0021327F" w:rsidRPr="00BF476B" w:rsidRDefault="0021327F" w:rsidP="00BE361B">
      <w:pPr>
        <w:pStyle w:val="Casehead2"/>
        <w:outlineLvl w:val="0"/>
      </w:pPr>
      <w:r w:rsidRPr="00BF476B">
        <w:t>Agency Considerations</w:t>
      </w:r>
      <w:r>
        <w:rPr>
          <w:rStyle w:val="EndnoteReference"/>
        </w:rPr>
        <w:endnoteReference w:id="12"/>
      </w:r>
    </w:p>
    <w:p w14:paraId="5E6C96C1" w14:textId="77777777" w:rsidR="0021327F" w:rsidRPr="00BF476B" w:rsidRDefault="0021327F" w:rsidP="00C23E52">
      <w:pPr>
        <w:pStyle w:val="BodyTextMain"/>
      </w:pPr>
    </w:p>
    <w:p w14:paraId="06E05A36" w14:textId="1149A18C" w:rsidR="0021327F" w:rsidRPr="00BF476B" w:rsidRDefault="0021327F" w:rsidP="00C23E52">
      <w:pPr>
        <w:pStyle w:val="BodyTextMain"/>
      </w:pPr>
      <w:r>
        <w:t xml:space="preserve">When considering </w:t>
      </w:r>
      <w:r w:rsidR="00F7229C">
        <w:t xml:space="preserve">the </w:t>
      </w:r>
      <w:r w:rsidRPr="00813A8A">
        <w:t>efficient</w:t>
      </w:r>
      <w:r w:rsidRPr="00BF476B">
        <w:t xml:space="preserve"> investment of corporate funds, </w:t>
      </w:r>
      <w:r w:rsidRPr="00813A8A">
        <w:t xml:space="preserve">agency costs </w:t>
      </w:r>
      <w:r>
        <w:t>are a</w:t>
      </w:r>
      <w:r w:rsidRPr="00BF476B">
        <w:t xml:space="preserve"> concern in favo</w:t>
      </w:r>
      <w:r>
        <w:t>u</w:t>
      </w:r>
      <w:r w:rsidRPr="00BF476B">
        <w:t>r of increasing dividends</w:t>
      </w:r>
      <w:r w:rsidRPr="00813A8A">
        <w:t>.</w:t>
      </w:r>
      <w:r w:rsidRPr="00BF476B">
        <w:t xml:space="preserve"> Executives with piles of cash might decide to invest in unprofitable projects (</w:t>
      </w:r>
      <w:r w:rsidRPr="00813A8A">
        <w:t>over</w:t>
      </w:r>
      <w:r>
        <w:t>-</w:t>
      </w:r>
      <w:r w:rsidRPr="00813A8A">
        <w:t>investment</w:t>
      </w:r>
      <w:r w:rsidRPr="00BF476B">
        <w:t xml:space="preserve">) or consume extravagant perks </w:t>
      </w:r>
      <w:r w:rsidR="008F71C8">
        <w:t>on</w:t>
      </w:r>
      <w:r w:rsidR="008F71C8" w:rsidRPr="00BF476B">
        <w:t xml:space="preserve"> </w:t>
      </w:r>
      <w:r w:rsidRPr="00BF476B">
        <w:t xml:space="preserve">the company’s account. This </w:t>
      </w:r>
      <w:r w:rsidR="008F71C8">
        <w:t xml:space="preserve">approach </w:t>
      </w:r>
      <w:r>
        <w:t>is</w:t>
      </w:r>
      <w:r w:rsidRPr="00BF476B">
        <w:t xml:space="preserve"> also known as </w:t>
      </w:r>
      <w:r w:rsidR="008F71C8">
        <w:t xml:space="preserve">the </w:t>
      </w:r>
      <w:r w:rsidRPr="00BF476B">
        <w:t>free</w:t>
      </w:r>
      <w:r w:rsidR="00934FAB">
        <w:t xml:space="preserve"> </w:t>
      </w:r>
      <w:r w:rsidRPr="00BF476B">
        <w:t xml:space="preserve">cash flow hypothesis. </w:t>
      </w:r>
      <w:r w:rsidR="00934FAB">
        <w:t>T</w:t>
      </w:r>
      <w:r w:rsidRPr="00BF476B">
        <w:t xml:space="preserve">o eliminate this excess cash, firms might decide to pay dividends as a way to </w:t>
      </w:r>
      <w:r>
        <w:t>restrict executives’ options</w:t>
      </w:r>
      <w:r w:rsidRPr="00BF476B">
        <w:t>.</w:t>
      </w:r>
    </w:p>
    <w:p w14:paraId="734A3B96" w14:textId="4BEF3E97" w:rsidR="0021327F" w:rsidRPr="00BF476B" w:rsidRDefault="0021327F" w:rsidP="00BE361B">
      <w:pPr>
        <w:pStyle w:val="Casehead1"/>
        <w:outlineLvl w:val="0"/>
        <w:rPr>
          <w:rFonts w:eastAsia="SimSun"/>
        </w:rPr>
      </w:pPr>
      <w:r w:rsidRPr="00BF476B">
        <w:lastRenderedPageBreak/>
        <w:t>BEHAVIO</w:t>
      </w:r>
      <w:r>
        <w:t>u</w:t>
      </w:r>
      <w:r w:rsidRPr="00BF476B">
        <w:t xml:space="preserve">RAL </w:t>
      </w:r>
      <w:r w:rsidRPr="00BF476B">
        <w:rPr>
          <w:rFonts w:eastAsia="SimSun"/>
        </w:rPr>
        <w:t>DIVIDEND THEORIES</w:t>
      </w:r>
    </w:p>
    <w:p w14:paraId="01DCD17F" w14:textId="77777777" w:rsidR="0021327F" w:rsidRPr="00BE361B" w:rsidRDefault="0021327F" w:rsidP="00BE361B">
      <w:pPr>
        <w:pStyle w:val="BodyTextMain"/>
      </w:pPr>
    </w:p>
    <w:p w14:paraId="0F5DAD1D" w14:textId="28F3C08F" w:rsidR="0021327F" w:rsidRPr="00BF476B" w:rsidRDefault="0021327F" w:rsidP="00BE361B">
      <w:pPr>
        <w:pStyle w:val="BodyTextMain"/>
        <w:outlineLvl w:val="0"/>
      </w:pPr>
      <w:r>
        <w:t>The rational dividend t</w:t>
      </w:r>
      <w:r w:rsidRPr="00813A8A">
        <w:t>heories assume</w:t>
      </w:r>
      <w:r w:rsidRPr="00BF476B">
        <w:t xml:space="preserve"> that managers and investors </w:t>
      </w:r>
      <w:r>
        <w:t>a</w:t>
      </w:r>
      <w:r w:rsidRPr="00BF476B">
        <w:t>re rational decision-makers</w:t>
      </w:r>
      <w:r>
        <w:t>; behavioural dividend theories consider subjective influences in payout policies</w:t>
      </w:r>
      <w:r w:rsidRPr="00813A8A">
        <w:t>.</w:t>
      </w:r>
      <w:r w:rsidRPr="00BF476B">
        <w:t xml:space="preserve"> </w:t>
      </w:r>
    </w:p>
    <w:p w14:paraId="17C6D8F4" w14:textId="77777777" w:rsidR="0021327F" w:rsidRPr="00BF476B" w:rsidRDefault="0021327F" w:rsidP="00C23E52">
      <w:pPr>
        <w:pStyle w:val="BodyTextMain"/>
      </w:pPr>
    </w:p>
    <w:p w14:paraId="427DC196" w14:textId="50C72018" w:rsidR="0021327F" w:rsidRPr="004E454D" w:rsidRDefault="0021327F" w:rsidP="00C23E52">
      <w:pPr>
        <w:pStyle w:val="BodyTextMain"/>
      </w:pPr>
      <w:r>
        <w:t>In</w:t>
      </w:r>
      <w:r w:rsidRPr="004E454D">
        <w:t xml:space="preserve"> </w:t>
      </w:r>
      <w:r>
        <w:t>one of the early documented cases of dividend behavio</w:t>
      </w:r>
      <w:r w:rsidR="00934FAB">
        <w:t>u</w:t>
      </w:r>
      <w:r>
        <w:t>r that cannot be explained by rational theories,</w:t>
      </w:r>
      <w:r w:rsidRPr="004E454D">
        <w:t xml:space="preserve"> Long studie</w:t>
      </w:r>
      <w:r>
        <w:t>d</w:t>
      </w:r>
      <w:r w:rsidRPr="004E454D">
        <w:t xml:space="preserve"> </w:t>
      </w:r>
      <w:r>
        <w:t>dividends of</w:t>
      </w:r>
      <w:r w:rsidRPr="004E454D">
        <w:t xml:space="preserve"> </w:t>
      </w:r>
      <w:r>
        <w:t xml:space="preserve">the </w:t>
      </w:r>
      <w:r w:rsidRPr="004E454D">
        <w:t xml:space="preserve">Citizens Utilities </w:t>
      </w:r>
      <w:r>
        <w:t>C</w:t>
      </w:r>
      <w:r w:rsidRPr="004E454D">
        <w:t>ompany</w:t>
      </w:r>
      <w:r>
        <w:t xml:space="preserve"> (now Frontier Communications Corporation).</w:t>
      </w:r>
      <w:r>
        <w:rPr>
          <w:rStyle w:val="EndnoteReference"/>
        </w:rPr>
        <w:endnoteReference w:id="13"/>
      </w:r>
      <w:r>
        <w:t xml:space="preserve"> The company </w:t>
      </w:r>
      <w:r w:rsidRPr="004E454D">
        <w:t>had one share class that paid cash dividends and another</w:t>
      </w:r>
      <w:r>
        <w:t xml:space="preserve"> share class</w:t>
      </w:r>
      <w:r w:rsidRPr="004E454D">
        <w:t xml:space="preserve"> that paid stock dividends. </w:t>
      </w:r>
      <w:r w:rsidR="007C0969">
        <w:t>Al</w:t>
      </w:r>
      <w:r>
        <w:t xml:space="preserve">though the fundamentals were identical (the same company) and </w:t>
      </w:r>
      <w:r w:rsidRPr="004E454D">
        <w:t>cash dividend</w:t>
      </w:r>
      <w:r>
        <w:t>s</w:t>
      </w:r>
      <w:r w:rsidRPr="004E454D">
        <w:t xml:space="preserve"> </w:t>
      </w:r>
      <w:r>
        <w:t xml:space="preserve">were </w:t>
      </w:r>
      <w:r w:rsidRPr="003D0EAF">
        <w:rPr>
          <w:i/>
        </w:rPr>
        <w:t>lower</w:t>
      </w:r>
      <w:r w:rsidRPr="004E454D">
        <w:t xml:space="preserve"> than stock dividend</w:t>
      </w:r>
      <w:r>
        <w:t xml:space="preserve">s, </w:t>
      </w:r>
      <w:r w:rsidRPr="004E454D">
        <w:t>the cash dividend share</w:t>
      </w:r>
      <w:r>
        <w:t>s</w:t>
      </w:r>
      <w:r w:rsidRPr="004E454D">
        <w:t xml:space="preserve"> traded at a </w:t>
      </w:r>
      <w:r w:rsidRPr="003D0EAF">
        <w:rPr>
          <w:i/>
        </w:rPr>
        <w:t>higher</w:t>
      </w:r>
      <w:r w:rsidRPr="004E454D">
        <w:t xml:space="preserve"> price</w:t>
      </w:r>
      <w:r>
        <w:t xml:space="preserve">. Further, the premium paid for cash dividend shares varied over time, indicating time-varying behavioural preference for cash dividends. </w:t>
      </w:r>
    </w:p>
    <w:p w14:paraId="6D787321" w14:textId="77777777" w:rsidR="0021327F" w:rsidRPr="00BF476B" w:rsidRDefault="0021327F" w:rsidP="00C23E52">
      <w:pPr>
        <w:pStyle w:val="BodyTextMain"/>
      </w:pPr>
    </w:p>
    <w:p w14:paraId="40E59872" w14:textId="58BE7503" w:rsidR="007C0969" w:rsidRPr="00BF476B" w:rsidRDefault="00947352" w:rsidP="00C23E52">
      <w:pPr>
        <w:pStyle w:val="BodyTextMain"/>
      </w:pPr>
      <w:r>
        <w:t>I</w:t>
      </w:r>
      <w:r w:rsidR="0021327F" w:rsidRPr="00BF476B">
        <w:t>nvestors might like dividends more than capital gains</w:t>
      </w:r>
      <w:r w:rsidR="0021327F">
        <w:t>, which could</w:t>
      </w:r>
      <w:r w:rsidR="0021327F" w:rsidRPr="00BF476B">
        <w:t xml:space="preserve"> be </w:t>
      </w:r>
      <w:r w:rsidR="0021327F">
        <w:t>explained by the classical</w:t>
      </w:r>
      <w:r w:rsidR="0021327F" w:rsidRPr="00BF476B">
        <w:t xml:space="preserve"> “bird-in-hand” theory</w:t>
      </w:r>
      <w:r w:rsidR="0021327F">
        <w:t>.</w:t>
      </w:r>
      <w:r w:rsidR="007C0969">
        <w:rPr>
          <w:rStyle w:val="EndnoteReference"/>
        </w:rPr>
        <w:endnoteReference w:id="14"/>
      </w:r>
      <w:r w:rsidR="007C0969">
        <w:t xml:space="preserve"> It</w:t>
      </w:r>
      <w:r w:rsidR="007C0969" w:rsidRPr="00BF476B">
        <w:t xml:space="preserve"> predicts that stocks </w:t>
      </w:r>
      <w:r w:rsidR="007C0969">
        <w:t>paying dividends—putting money in investors’ hands—</w:t>
      </w:r>
      <w:r w:rsidR="007C0969" w:rsidRPr="00BF476B">
        <w:t>would be valued higher than non</w:t>
      </w:r>
      <w:r w:rsidR="007C0969">
        <w:t>-</w:t>
      </w:r>
      <w:r w:rsidR="007C0969" w:rsidRPr="00BF476B">
        <w:t>dividend</w:t>
      </w:r>
      <w:r w:rsidR="007C0969">
        <w:t>-</w:t>
      </w:r>
      <w:r w:rsidR="007C0969" w:rsidRPr="00BF476B">
        <w:t>paying stocks</w:t>
      </w:r>
      <w:r w:rsidR="007C0969">
        <w:t>, which postpone the reward</w:t>
      </w:r>
      <w:r w:rsidR="007C0969" w:rsidRPr="00BF476B">
        <w:t xml:space="preserve">. </w:t>
      </w:r>
    </w:p>
    <w:p w14:paraId="43163723" w14:textId="77777777" w:rsidR="007C0969" w:rsidRPr="00BF476B" w:rsidRDefault="007C0969" w:rsidP="00C23E52">
      <w:pPr>
        <w:pStyle w:val="BodyTextMain"/>
      </w:pPr>
    </w:p>
    <w:p w14:paraId="464E1EDE" w14:textId="4671C370" w:rsidR="007C0969" w:rsidRPr="00161019" w:rsidRDefault="007C0969" w:rsidP="00C23E52">
      <w:pPr>
        <w:pStyle w:val="BodyTextMain"/>
        <w:rPr>
          <w:spacing w:val="-2"/>
        </w:rPr>
      </w:pPr>
      <w:r w:rsidRPr="00161019">
        <w:rPr>
          <w:spacing w:val="-2"/>
        </w:rPr>
        <w:t>Shefrin and Statman conjectured that investors often adopt a strategy of using dividends to fund personal consumption and rely on capital gains to provide future growth.</w:t>
      </w:r>
      <w:r w:rsidRPr="00161019">
        <w:rPr>
          <w:rStyle w:val="EndnoteReference"/>
          <w:spacing w:val="-2"/>
        </w:rPr>
        <w:endnoteReference w:id="15"/>
      </w:r>
      <w:r w:rsidRPr="00161019">
        <w:rPr>
          <w:spacing w:val="-2"/>
        </w:rPr>
        <w:t xml:space="preserve"> In other words, investors might decide to fund consumption strictly with dividends as a mechanism of self-control; selling shares to fund consumption might tempt an investor to sell more shares than strictly required and overconsume. In a similar vein, Hartzmark and Solomon argued that “investors trade as if they consider dividends and capital gains in separate mental accounts, without fully appreciating that dividends come at the expense of price decreases.”</w:t>
      </w:r>
      <w:r w:rsidRPr="00161019">
        <w:rPr>
          <w:rStyle w:val="EndnoteReference"/>
          <w:spacing w:val="-2"/>
        </w:rPr>
        <w:endnoteReference w:id="16"/>
      </w:r>
      <w:r w:rsidRPr="00161019">
        <w:rPr>
          <w:spacing w:val="-2"/>
        </w:rPr>
        <w:t xml:space="preserve"> </w:t>
      </w:r>
    </w:p>
    <w:p w14:paraId="3E030CBB" w14:textId="77777777" w:rsidR="007C0969" w:rsidRPr="00161019" w:rsidRDefault="007C0969" w:rsidP="00C23E52">
      <w:pPr>
        <w:pStyle w:val="BodyTextMain"/>
        <w:rPr>
          <w:spacing w:val="-2"/>
        </w:rPr>
      </w:pPr>
    </w:p>
    <w:p w14:paraId="160C32DC" w14:textId="02272751" w:rsidR="007C0969" w:rsidRPr="00161019" w:rsidRDefault="007C0969" w:rsidP="00C23E52">
      <w:pPr>
        <w:pStyle w:val="BodyTextMain"/>
        <w:rPr>
          <w:spacing w:val="-2"/>
        </w:rPr>
      </w:pPr>
      <w:r w:rsidRPr="00161019">
        <w:rPr>
          <w:spacing w:val="-2"/>
        </w:rPr>
        <w:t>Shefrin and Thaler proposed the behavioural life cycle model in which older investors prefer dividend-paying stocks because dividends complement the investors’ reduced income.</w:t>
      </w:r>
      <w:r w:rsidRPr="00161019">
        <w:rPr>
          <w:rStyle w:val="EndnoteReference"/>
          <w:spacing w:val="-2"/>
        </w:rPr>
        <w:endnoteReference w:id="17"/>
      </w:r>
      <w:r w:rsidRPr="00161019">
        <w:rPr>
          <w:spacing w:val="-2"/>
        </w:rPr>
        <w:t xml:space="preserve"> In agreement, Graham and Kumar found that older investors buy dividend-paying stocks after dividend announcements are made.</w:t>
      </w:r>
      <w:r w:rsidRPr="00161019">
        <w:rPr>
          <w:rStyle w:val="EndnoteReference"/>
          <w:spacing w:val="-2"/>
        </w:rPr>
        <w:endnoteReference w:id="18"/>
      </w:r>
    </w:p>
    <w:p w14:paraId="6D07DBFD" w14:textId="77777777" w:rsidR="007C0969" w:rsidRPr="00161019" w:rsidRDefault="007C0969" w:rsidP="00C23E52">
      <w:pPr>
        <w:pStyle w:val="BodyTextMain"/>
        <w:rPr>
          <w:spacing w:val="-2"/>
        </w:rPr>
      </w:pPr>
    </w:p>
    <w:p w14:paraId="618F7058" w14:textId="2DBE20EB" w:rsidR="007C0969" w:rsidRPr="00161019" w:rsidRDefault="007C0969" w:rsidP="00C23E52">
      <w:pPr>
        <w:pStyle w:val="BodyTextMain"/>
        <w:rPr>
          <w:spacing w:val="-2"/>
        </w:rPr>
      </w:pPr>
      <w:r w:rsidRPr="00161019">
        <w:rPr>
          <w:spacing w:val="-2"/>
        </w:rPr>
        <w:t>Behavioural biases similarly affect managers. The most common types of behavioural bias among managers are overconfidence and hubris. Researchers argue that over-optimistic managers pay lower dividends because they are more optimistic about firm prospects and prefer to invest in future projects rather than pay dividends.</w:t>
      </w:r>
      <w:r>
        <w:rPr>
          <w:rStyle w:val="EndnoteReference"/>
          <w:spacing w:val="-2"/>
        </w:rPr>
        <w:endnoteReference w:id="19"/>
      </w:r>
    </w:p>
    <w:p w14:paraId="56D5CE7D" w14:textId="77777777" w:rsidR="0021327F" w:rsidRPr="00161019" w:rsidRDefault="0021327F" w:rsidP="00C23E52">
      <w:pPr>
        <w:pStyle w:val="BodyTextMain"/>
        <w:rPr>
          <w:spacing w:val="-2"/>
        </w:rPr>
      </w:pPr>
    </w:p>
    <w:p w14:paraId="635F682D" w14:textId="65BFE3D5" w:rsidR="0021327F" w:rsidRPr="00BE7D06" w:rsidRDefault="0021327F" w:rsidP="00C23E52">
      <w:pPr>
        <w:pStyle w:val="BodyTextMain"/>
        <w:rPr>
          <w:spacing w:val="-4"/>
        </w:rPr>
      </w:pPr>
      <w:r w:rsidRPr="00BE7D06">
        <w:rPr>
          <w:spacing w:val="-4"/>
        </w:rPr>
        <w:t>DeAngelo, DeAngelo, and Skinner interpreted some behavioural biases as a special form of agency costs associated with managing the relationship between management and shareholders.</w:t>
      </w:r>
      <w:r w:rsidRPr="00BE7D06">
        <w:rPr>
          <w:rStyle w:val="EndnoteReference"/>
          <w:spacing w:val="-4"/>
        </w:rPr>
        <w:endnoteReference w:id="20"/>
      </w:r>
      <w:r w:rsidRPr="00BE7D06">
        <w:rPr>
          <w:spacing w:val="-4"/>
        </w:rPr>
        <w:t xml:space="preserve"> According to this theory, if managers have too many resources, they might be more prone to wasteful spending. Consequently, shareholders will require these firms to pay out more to shareholders as a way of constraining managers’ behaviour. </w:t>
      </w:r>
    </w:p>
    <w:p w14:paraId="5E2C6D39" w14:textId="77777777" w:rsidR="0021327F" w:rsidRPr="00BF476B" w:rsidRDefault="0021327F" w:rsidP="00C23E52">
      <w:pPr>
        <w:pStyle w:val="BodyTextMain"/>
        <w:rPr>
          <w:highlight w:val="yellow"/>
        </w:rPr>
      </w:pPr>
    </w:p>
    <w:p w14:paraId="69670C9B" w14:textId="331C05CD" w:rsidR="0021327F" w:rsidRPr="00BF476B" w:rsidRDefault="0021327F" w:rsidP="00C23E52">
      <w:pPr>
        <w:pStyle w:val="BodyTextMain"/>
      </w:pPr>
      <w:r w:rsidRPr="00BF476B">
        <w:t xml:space="preserve">Some investors such as pension funds </w:t>
      </w:r>
      <w:r>
        <w:t>a</w:t>
      </w:r>
      <w:r w:rsidRPr="00BF476B">
        <w:t>re legally obliged to invest in companies with high dividend yields. Understandably, these funds ha</w:t>
      </w:r>
      <w:r>
        <w:t>ve</w:t>
      </w:r>
      <w:r w:rsidRPr="00BF476B">
        <w:t xml:space="preserve"> a preference for dividends and they value dividend-paying stocks at a premium relative to non-dividend paying stocks. Baker and Wurgler documented managers’ decision</w:t>
      </w:r>
      <w:r>
        <w:t>s</w:t>
      </w:r>
      <w:r w:rsidRPr="00BF476B">
        <w:t xml:space="preserve"> to initiate or omit dividends </w:t>
      </w:r>
      <w:r>
        <w:t>and</w:t>
      </w:r>
      <w:r w:rsidRPr="00BF476B">
        <w:t xml:space="preserve"> correlated </w:t>
      </w:r>
      <w:r>
        <w:t xml:space="preserve">them </w:t>
      </w:r>
      <w:r w:rsidRPr="00BF476B">
        <w:t>with investor demand for dividend-paying stocks.</w:t>
      </w:r>
      <w:r w:rsidRPr="00BE361B">
        <w:rPr>
          <w:rStyle w:val="EndnoteReference"/>
        </w:rPr>
        <w:endnoteReference w:id="21"/>
      </w:r>
      <w:r w:rsidRPr="00BF476B">
        <w:t xml:space="preserve"> </w:t>
      </w:r>
      <w:r>
        <w:t>They</w:t>
      </w:r>
      <w:r w:rsidRPr="00BF476B">
        <w:t xml:space="preserve"> showed</w:t>
      </w:r>
      <w:r>
        <w:t>, as well, that a</w:t>
      </w:r>
      <w:r w:rsidRPr="00BF476B">
        <w:t xml:space="preserve"> decline in dividend payments over the years roughly corresponded to the decline in </w:t>
      </w:r>
      <w:r>
        <w:t>a</w:t>
      </w:r>
      <w:r w:rsidRPr="00BF476B">
        <w:t xml:space="preserve"> dividend premium. </w:t>
      </w:r>
      <w:r w:rsidRPr="00813A8A">
        <w:t>In agreement, Kumar, Lei</w:t>
      </w:r>
      <w:r>
        <w:t>,</w:t>
      </w:r>
      <w:r w:rsidRPr="00813A8A">
        <w:t xml:space="preserve"> and </w:t>
      </w:r>
      <w:r w:rsidR="008978EE" w:rsidRPr="00813A8A">
        <w:t>Zh</w:t>
      </w:r>
      <w:r w:rsidR="008978EE">
        <w:t>a</w:t>
      </w:r>
      <w:r w:rsidR="008978EE" w:rsidRPr="00813A8A">
        <w:t xml:space="preserve">ng </w:t>
      </w:r>
      <w:r w:rsidRPr="00813A8A">
        <w:t>showed that firms increase dividends when</w:t>
      </w:r>
      <w:r w:rsidRPr="00B81043">
        <w:t xml:space="preserve"> investor sentiment favours purchasing dividend-yielding stock</w:t>
      </w:r>
      <w:r w:rsidRPr="00813A8A">
        <w:t>.</w:t>
      </w:r>
      <w:r w:rsidRPr="00213612">
        <w:rPr>
          <w:rStyle w:val="EndnoteReference"/>
        </w:rPr>
        <w:endnoteReference w:id="22"/>
      </w:r>
      <w:r>
        <w:t xml:space="preserve"> </w:t>
      </w:r>
    </w:p>
    <w:p w14:paraId="0A116FE3" w14:textId="77777777" w:rsidR="00236737" w:rsidRDefault="00236737" w:rsidP="00C23E52">
      <w:pPr>
        <w:pStyle w:val="BodyTextMain"/>
      </w:pPr>
    </w:p>
    <w:p w14:paraId="1D9F1FD2" w14:textId="246640CB" w:rsidR="0021327F" w:rsidRPr="00BF476B" w:rsidRDefault="0021327F" w:rsidP="00C23E52">
      <w:pPr>
        <w:pStyle w:val="BodyTextMain"/>
      </w:pPr>
      <w:r>
        <w:t>I</w:t>
      </w:r>
      <w:r w:rsidRPr="00813A8A">
        <w:t xml:space="preserve">ndustry herding </w:t>
      </w:r>
      <w:r>
        <w:t>is a</w:t>
      </w:r>
      <w:r w:rsidRPr="00813A8A">
        <w:t>nother behavioural</w:t>
      </w:r>
      <w:r w:rsidRPr="00BF476B">
        <w:t xml:space="preserve"> explanation of dividends</w:t>
      </w:r>
      <w:r w:rsidRPr="00813A8A">
        <w:t>.</w:t>
      </w:r>
      <w:r>
        <w:rPr>
          <w:rStyle w:val="EndnoteReference"/>
        </w:rPr>
        <w:endnoteReference w:id="23"/>
      </w:r>
      <w:r w:rsidRPr="00BF476B">
        <w:t xml:space="preserve"> This hypothesis argue</w:t>
      </w:r>
      <w:r>
        <w:t>s</w:t>
      </w:r>
      <w:r w:rsidRPr="00BF476B">
        <w:t xml:space="preserve"> that firms in an industry follow random mutations</w:t>
      </w:r>
      <w:r w:rsidRPr="00AC6405">
        <w:t xml:space="preserve"> in dividend payouts made </w:t>
      </w:r>
      <w:r w:rsidRPr="00BF476B">
        <w:t>by other firms in the industry. Behavio</w:t>
      </w:r>
      <w:r w:rsidRPr="00813A8A">
        <w:t>u</w:t>
      </w:r>
      <w:r w:rsidRPr="00BF476B">
        <w:t xml:space="preserve">ral economists argue that herding </w:t>
      </w:r>
      <w:r>
        <w:t>is</w:t>
      </w:r>
      <w:r w:rsidRPr="00813A8A">
        <w:t xml:space="preserve"> </w:t>
      </w:r>
      <w:r>
        <w:t>a</w:t>
      </w:r>
      <w:r w:rsidRPr="00813A8A">
        <w:t xml:space="preserve"> </w:t>
      </w:r>
      <w:r w:rsidRPr="00BF476B">
        <w:t xml:space="preserve">tendency </w:t>
      </w:r>
      <w:r>
        <w:t>that evolves from a</w:t>
      </w:r>
      <w:r w:rsidRPr="00BF476B">
        <w:t xml:space="preserve"> fear of being left alone. The result </w:t>
      </w:r>
      <w:r>
        <w:t>is</w:t>
      </w:r>
      <w:r w:rsidRPr="00BF476B">
        <w:t xml:space="preserve"> that many firms simply follow polic</w:t>
      </w:r>
      <w:r w:rsidR="00AF7D3F">
        <w:t>i</w:t>
      </w:r>
      <w:r w:rsidRPr="00BF476B">
        <w:t xml:space="preserve">es </w:t>
      </w:r>
      <w:r>
        <w:t xml:space="preserve">established </w:t>
      </w:r>
      <w:r w:rsidRPr="00BF476B">
        <w:t>by their competitors.</w:t>
      </w:r>
    </w:p>
    <w:p w14:paraId="6935BB29" w14:textId="12FB2EFC" w:rsidR="0021327F" w:rsidRPr="00BF476B" w:rsidRDefault="0021327F" w:rsidP="00C23E52">
      <w:pPr>
        <w:pStyle w:val="BodyTextMain"/>
      </w:pPr>
      <w:r w:rsidRPr="00BF476B">
        <w:lastRenderedPageBreak/>
        <w:t>Finally, Ben-David proposed that dividends had an initial use and purpose</w:t>
      </w:r>
      <w:r>
        <w:t>,</w:t>
      </w:r>
      <w:r w:rsidRPr="00BF476B">
        <w:t xml:space="preserve"> but </w:t>
      </w:r>
      <w:r>
        <w:t xml:space="preserve">they </w:t>
      </w:r>
      <w:r w:rsidRPr="00BF476B">
        <w:t>became a social norm</w:t>
      </w:r>
      <w:r>
        <w:t>.</w:t>
      </w:r>
      <w:r>
        <w:rPr>
          <w:rStyle w:val="EndnoteReference"/>
        </w:rPr>
        <w:endnoteReference w:id="24"/>
      </w:r>
      <w:r>
        <w:t xml:space="preserve"> As a result, managers come</w:t>
      </w:r>
      <w:r w:rsidRPr="00BF476B">
        <w:t xml:space="preserve"> under market pressure to distribute dividends due to </w:t>
      </w:r>
      <w:r>
        <w:t>established social norms. Failure</w:t>
      </w:r>
      <w:r w:rsidRPr="00BF476B">
        <w:t xml:space="preserve"> to pay </w:t>
      </w:r>
      <w:r>
        <w:t xml:space="preserve">dividends </w:t>
      </w:r>
      <w:r w:rsidRPr="00BF476B">
        <w:t>typically le</w:t>
      </w:r>
      <w:r>
        <w:t>a</w:t>
      </w:r>
      <w:r w:rsidRPr="00BF476B">
        <w:t>d</w:t>
      </w:r>
      <w:r>
        <w:t>s</w:t>
      </w:r>
      <w:r w:rsidRPr="00BF476B">
        <w:t xml:space="preserve"> to a negative impact on stock price, so managers simply </w:t>
      </w:r>
      <w:r>
        <w:t>continue</w:t>
      </w:r>
      <w:r w:rsidRPr="00BF476B">
        <w:t xml:space="preserve"> previous dividend patterns. </w:t>
      </w:r>
    </w:p>
    <w:p w14:paraId="4D5A07CF" w14:textId="77777777" w:rsidR="0021327F" w:rsidRPr="00BF476B" w:rsidRDefault="0021327F" w:rsidP="000E7973">
      <w:pPr>
        <w:pStyle w:val="BodyTextMain"/>
      </w:pPr>
    </w:p>
    <w:p w14:paraId="11EA69F7" w14:textId="77777777" w:rsidR="0021327F" w:rsidRPr="00BF476B" w:rsidRDefault="0021327F" w:rsidP="00BE361B">
      <w:pPr>
        <w:pStyle w:val="BodyTextMain"/>
      </w:pPr>
    </w:p>
    <w:p w14:paraId="68EFF36F" w14:textId="264AF90F" w:rsidR="0021327F" w:rsidRPr="00813A8A" w:rsidRDefault="0021327F" w:rsidP="00165AC6">
      <w:pPr>
        <w:pStyle w:val="Casehead1"/>
      </w:pPr>
      <w:r>
        <w:rPr>
          <w:caps w:val="0"/>
        </w:rPr>
        <w:t>The Effect of a Large Shareholder</w:t>
      </w:r>
    </w:p>
    <w:p w14:paraId="585AC6D5" w14:textId="77777777" w:rsidR="0021327F" w:rsidRPr="00813A8A" w:rsidRDefault="0021327F" w:rsidP="000E7973">
      <w:pPr>
        <w:pStyle w:val="BodyTextMain"/>
      </w:pPr>
    </w:p>
    <w:p w14:paraId="2D8ACD98" w14:textId="6029F2EE" w:rsidR="0021327F" w:rsidRPr="00BF476B" w:rsidRDefault="0021327F" w:rsidP="00C23E52">
      <w:pPr>
        <w:pStyle w:val="BodyTextMain"/>
      </w:pPr>
      <w:r w:rsidRPr="00BF476B">
        <w:t>Many public companies ha</w:t>
      </w:r>
      <w:r>
        <w:t>ve</w:t>
      </w:r>
      <w:r w:rsidRPr="00BF476B">
        <w:t xml:space="preserve"> a dominant shareholder. In the </w:t>
      </w:r>
      <w:r w:rsidRPr="00813A8A">
        <w:t>U</w:t>
      </w:r>
      <w:r>
        <w:t xml:space="preserve">nited </w:t>
      </w:r>
      <w:r w:rsidRPr="00813A8A">
        <w:t>S</w:t>
      </w:r>
      <w:r>
        <w:t>tates</w:t>
      </w:r>
      <w:r w:rsidRPr="00813A8A">
        <w:t>,</w:t>
      </w:r>
      <w:r w:rsidRPr="00BF476B">
        <w:t xml:space="preserve"> controlling shareholder</w:t>
      </w:r>
      <w:r>
        <w:t>s</w:t>
      </w:r>
      <w:r w:rsidRPr="00BF476B">
        <w:t xml:space="preserve"> often </w:t>
      </w:r>
      <w:r w:rsidRPr="00813A8A">
        <w:t xml:space="preserve">own </w:t>
      </w:r>
      <w:r>
        <w:t>approximately</w:t>
      </w:r>
      <w:r w:rsidRPr="00BF476B">
        <w:t xml:space="preserve"> 20 per cent of the stock</w:t>
      </w:r>
      <w:r>
        <w:t>;</w:t>
      </w:r>
      <w:r w:rsidRPr="00BF476B">
        <w:t xml:space="preserve"> this </w:t>
      </w:r>
      <w:r>
        <w:t>percentage is</w:t>
      </w:r>
      <w:r w:rsidRPr="00BF476B">
        <w:t xml:space="preserve"> much larger in Europe</w:t>
      </w:r>
      <w:r>
        <w:t xml:space="preserve">, where controlling shareholders </w:t>
      </w:r>
      <w:r w:rsidRPr="00BF476B">
        <w:t>in Germany, France</w:t>
      </w:r>
      <w:r>
        <w:t>, and</w:t>
      </w:r>
      <w:r w:rsidRPr="00BF476B">
        <w:t xml:space="preserve"> Italy</w:t>
      </w:r>
      <w:r>
        <w:t xml:space="preserve"> typically own </w:t>
      </w:r>
      <w:r w:rsidRPr="00813A8A">
        <w:t>more than 50 per cent</w:t>
      </w:r>
      <w:r>
        <w:t xml:space="preserve"> of the stock, and in </w:t>
      </w:r>
      <w:r w:rsidRPr="00BF476B">
        <w:t>Asia</w:t>
      </w:r>
      <w:r>
        <w:t xml:space="preserve">, </w:t>
      </w:r>
      <w:r w:rsidRPr="00BF476B">
        <w:t xml:space="preserve">where </w:t>
      </w:r>
      <w:r>
        <w:t>s</w:t>
      </w:r>
      <w:r w:rsidRPr="00813A8A">
        <w:t xml:space="preserve">tate </w:t>
      </w:r>
      <w:r>
        <w:t>and sovereign wealth funds own</w:t>
      </w:r>
      <w:r w:rsidRPr="00BF476B">
        <w:t xml:space="preserve"> significant shareholdings of firms in China and Singapore</w:t>
      </w:r>
      <w:r w:rsidRPr="00813A8A">
        <w:t>.</w:t>
      </w:r>
      <w:r w:rsidRPr="00213612">
        <w:rPr>
          <w:rStyle w:val="EndnoteReference"/>
        </w:rPr>
        <w:endnoteReference w:id="25"/>
      </w:r>
      <w:r w:rsidRPr="00813A8A">
        <w:t xml:space="preserve"> </w:t>
      </w:r>
    </w:p>
    <w:p w14:paraId="40FE0F7E" w14:textId="77777777" w:rsidR="0021327F" w:rsidRPr="00BF476B" w:rsidRDefault="0021327F" w:rsidP="00C23E52">
      <w:pPr>
        <w:pStyle w:val="BodyTextMain"/>
      </w:pPr>
    </w:p>
    <w:p w14:paraId="6DA5355B" w14:textId="28B713CC" w:rsidR="0021327F" w:rsidRPr="00BF476B" w:rsidRDefault="0021327F" w:rsidP="00C23E52">
      <w:pPr>
        <w:pStyle w:val="BodyTextMain"/>
      </w:pPr>
      <w:r w:rsidRPr="00BF476B">
        <w:t xml:space="preserve">Research on the impact of controlling </w:t>
      </w:r>
      <w:r>
        <w:t xml:space="preserve">a large </w:t>
      </w:r>
      <w:r w:rsidRPr="00BF476B">
        <w:t xml:space="preserve">shareholder’s influence on corporate decision-making </w:t>
      </w:r>
      <w:r>
        <w:t xml:space="preserve">has </w:t>
      </w:r>
      <w:r w:rsidRPr="00BF476B">
        <w:t xml:space="preserve">often focused on family ownership. Founding family control of public companies </w:t>
      </w:r>
      <w:r>
        <w:t>has been</w:t>
      </w:r>
      <w:r w:rsidRPr="00BF476B">
        <w:t xml:space="preserve"> widespread </w:t>
      </w:r>
      <w:r>
        <w:t>with</w:t>
      </w:r>
      <w:r w:rsidRPr="00BF476B">
        <w:t xml:space="preserve"> these families often h</w:t>
      </w:r>
      <w:r>
        <w:t>o</w:t>
      </w:r>
      <w:r w:rsidRPr="00BF476B">
        <w:t>ld</w:t>
      </w:r>
      <w:r>
        <w:t>ing</w:t>
      </w:r>
      <w:r w:rsidRPr="00BF476B">
        <w:t xml:space="preserve"> the bulk of their wealth in the firm</w:t>
      </w:r>
      <w:r w:rsidRPr="00813A8A">
        <w:t>.</w:t>
      </w:r>
      <w:r w:rsidRPr="00213612">
        <w:rPr>
          <w:rStyle w:val="EndnoteReference"/>
        </w:rPr>
        <w:endnoteReference w:id="26"/>
      </w:r>
      <w:r w:rsidRPr="00BF476B">
        <w:t xml:space="preserve"> In multi-generation family firms, such as Walmart </w:t>
      </w:r>
      <w:r>
        <w:t xml:space="preserve">Inc. </w:t>
      </w:r>
      <w:r w:rsidRPr="00BF476B">
        <w:t xml:space="preserve">in the </w:t>
      </w:r>
      <w:r w:rsidRPr="00813A8A">
        <w:t>U</w:t>
      </w:r>
      <w:r>
        <w:t xml:space="preserve">nited </w:t>
      </w:r>
      <w:r w:rsidRPr="00813A8A">
        <w:t>S</w:t>
      </w:r>
      <w:r>
        <w:t>tates</w:t>
      </w:r>
      <w:r w:rsidRPr="00BF476B">
        <w:t xml:space="preserve">, family owners’ income </w:t>
      </w:r>
      <w:r>
        <w:t>is</w:t>
      </w:r>
      <w:r w:rsidRPr="00BF476B">
        <w:t xml:space="preserve"> ultimately based on the </w:t>
      </w:r>
      <w:r>
        <w:t xml:space="preserve">firm’s </w:t>
      </w:r>
      <w:r w:rsidRPr="00BF476B">
        <w:t>dividends.</w:t>
      </w:r>
      <w:r w:rsidRPr="00BE361B">
        <w:rPr>
          <w:rStyle w:val="EndnoteReference"/>
        </w:rPr>
        <w:endnoteReference w:id="27"/>
      </w:r>
      <w:r w:rsidRPr="00BF476B">
        <w:t xml:space="preserve"> </w:t>
      </w:r>
    </w:p>
    <w:p w14:paraId="1FA3915A" w14:textId="77777777" w:rsidR="0021327F" w:rsidRPr="00813A8A" w:rsidRDefault="0021327F" w:rsidP="00C23E52">
      <w:pPr>
        <w:pStyle w:val="BodyTextMain"/>
      </w:pPr>
    </w:p>
    <w:p w14:paraId="75FCC311" w14:textId="444783B5" w:rsidR="0021327F" w:rsidRPr="00BF476B" w:rsidRDefault="0021327F" w:rsidP="00C23E52">
      <w:pPr>
        <w:pStyle w:val="BodyTextMain"/>
      </w:pPr>
      <w:r w:rsidRPr="00BF476B">
        <w:t xml:space="preserve">Academic research </w:t>
      </w:r>
      <w:r>
        <w:t xml:space="preserve">has </w:t>
      </w:r>
      <w:r w:rsidRPr="00BF476B">
        <w:t>often connected a controlling shareholder to tunnelling</w:t>
      </w:r>
      <w:r>
        <w:t>,</w:t>
      </w:r>
      <w:r w:rsidRPr="00BF476B">
        <w:t xml:space="preserve"> defined as “the transfer of resources out of a company to its controlling shareholder (who is typically also a top manager).”</w:t>
      </w:r>
      <w:r w:rsidRPr="00BE361B">
        <w:rPr>
          <w:rStyle w:val="EndnoteReference"/>
        </w:rPr>
        <w:endnoteReference w:id="28"/>
      </w:r>
      <w:r w:rsidRPr="00BF476B">
        <w:t xml:space="preserve"> Johnson et al</w:t>
      </w:r>
      <w:r w:rsidR="0038186B">
        <w:t>.</w:t>
      </w:r>
      <w:r w:rsidRPr="00BF476B">
        <w:t xml:space="preserve"> </w:t>
      </w:r>
      <w:r>
        <w:t>also</w:t>
      </w:r>
      <w:r w:rsidRPr="00BF476B">
        <w:t xml:space="preserve"> provided several examples of firms </w:t>
      </w:r>
      <w:r>
        <w:t xml:space="preserve">with a large controlling shareholder </w:t>
      </w:r>
      <w:r w:rsidRPr="00BF476B">
        <w:t>engaging in dubious transactions.</w:t>
      </w:r>
      <w:r w:rsidRPr="00BE361B">
        <w:rPr>
          <w:rStyle w:val="EndnoteReference"/>
        </w:rPr>
        <w:endnoteReference w:id="29"/>
      </w:r>
      <w:r w:rsidRPr="00BF476B">
        <w:t xml:space="preserve"> Related to this issue, Kalcheva and Lins documented that </w:t>
      </w:r>
      <w:r w:rsidRPr="00813A8A">
        <w:t xml:space="preserve">firms </w:t>
      </w:r>
      <w:r>
        <w:t xml:space="preserve">that pay </w:t>
      </w:r>
      <w:r w:rsidRPr="00BF476B">
        <w:t xml:space="preserve">higher </w:t>
      </w:r>
      <w:r w:rsidRPr="00813A8A">
        <w:t>dividend</w:t>
      </w:r>
      <w:r>
        <w:t>s</w:t>
      </w:r>
      <w:r w:rsidRPr="00BF476B">
        <w:t xml:space="preserve"> have higher values in countries with weak legal systems, </w:t>
      </w:r>
      <w:r>
        <w:t>which</w:t>
      </w:r>
      <w:r w:rsidRPr="007E24E3">
        <w:t xml:space="preserve"> implies that investors associate higher dividends with financially ethical behaviour, reducing potential tunnelling</w:t>
      </w:r>
      <w:r w:rsidRPr="00BF476B">
        <w:t>.</w:t>
      </w:r>
      <w:r w:rsidRPr="00BE361B">
        <w:rPr>
          <w:rStyle w:val="EndnoteReference"/>
        </w:rPr>
        <w:endnoteReference w:id="30"/>
      </w:r>
    </w:p>
    <w:p w14:paraId="7CD4494D" w14:textId="77777777" w:rsidR="0021327F" w:rsidRPr="00BF476B" w:rsidRDefault="0021327F" w:rsidP="00C23E52">
      <w:pPr>
        <w:pStyle w:val="BodyTextMain"/>
      </w:pPr>
    </w:p>
    <w:p w14:paraId="770CFEFD" w14:textId="78E02F8F" w:rsidR="0021327F" w:rsidRPr="00BE7D06" w:rsidRDefault="0021327F" w:rsidP="00C23E52">
      <w:pPr>
        <w:pStyle w:val="BodyTextMain"/>
        <w:rPr>
          <w:spacing w:val="2"/>
        </w:rPr>
      </w:pPr>
      <w:bookmarkStart w:id="0" w:name="_GoBack"/>
      <w:r w:rsidRPr="00BE7D06">
        <w:rPr>
          <w:spacing w:val="2"/>
        </w:rPr>
        <w:t xml:space="preserve">Finally, a controlling shareholder might not be a top manager but </w:t>
      </w:r>
      <w:r w:rsidR="0038186B" w:rsidRPr="00BE7D06">
        <w:rPr>
          <w:spacing w:val="2"/>
        </w:rPr>
        <w:t>might want</w:t>
      </w:r>
      <w:r w:rsidRPr="00BE7D06">
        <w:rPr>
          <w:spacing w:val="2"/>
        </w:rPr>
        <w:t xml:space="preserve"> to monitor the firm to </w:t>
      </w:r>
      <w:r w:rsidR="0038186B" w:rsidRPr="00BE7D06">
        <w:rPr>
          <w:spacing w:val="2"/>
        </w:rPr>
        <w:t>en</w:t>
      </w:r>
      <w:r w:rsidRPr="00BE7D06">
        <w:rPr>
          <w:spacing w:val="2"/>
        </w:rPr>
        <w:t>sure that funds are appropriately used. In this case, managers might use a “sleeping dogs” policy: managers pay enough dividends to pacify a controlling shareholder, while avoiding close scrutiny of their spending of the remaining funds.</w:t>
      </w:r>
      <w:r w:rsidRPr="00BE7D06">
        <w:rPr>
          <w:rStyle w:val="EndnoteReference"/>
          <w:spacing w:val="2"/>
        </w:rPr>
        <w:endnoteReference w:id="31"/>
      </w:r>
    </w:p>
    <w:bookmarkEnd w:id="0"/>
    <w:p w14:paraId="489F1F07" w14:textId="77777777" w:rsidR="0021327F" w:rsidRPr="00BF476B" w:rsidRDefault="0021327F" w:rsidP="00C23E52">
      <w:pPr>
        <w:pStyle w:val="BodyTextMain"/>
      </w:pPr>
    </w:p>
    <w:p w14:paraId="1B7637C5" w14:textId="77777777" w:rsidR="0021327F" w:rsidRPr="00BF476B" w:rsidRDefault="0021327F" w:rsidP="00BE361B">
      <w:pPr>
        <w:pStyle w:val="BodyTextMain"/>
      </w:pPr>
    </w:p>
    <w:p w14:paraId="21464D72" w14:textId="546C6B5C" w:rsidR="0021327F" w:rsidRPr="00333ADB" w:rsidRDefault="0021327F" w:rsidP="00165AC6">
      <w:pPr>
        <w:pStyle w:val="Casehead1"/>
      </w:pPr>
      <w:r>
        <w:t>Survey Evidence</w:t>
      </w:r>
    </w:p>
    <w:p w14:paraId="2115CFD4" w14:textId="77777777" w:rsidR="0021327F" w:rsidRPr="00333ADB" w:rsidRDefault="0021327F" w:rsidP="00C23E52">
      <w:pPr>
        <w:pStyle w:val="BodyTextMain"/>
      </w:pPr>
    </w:p>
    <w:p w14:paraId="309A3780" w14:textId="359AF5BF" w:rsidR="004B6E09" w:rsidRDefault="0021327F" w:rsidP="000529CC">
      <w:pPr>
        <w:pStyle w:val="BodyTextMain"/>
      </w:pPr>
      <w:r w:rsidRPr="0021327F">
        <w:t>Academics have argued about the relative importance of behavioural theories of dividend payouts, but a well-known survey of financial executives indicates that they believe dividend payouts do affect investors’ behaviour.</w:t>
      </w:r>
      <w:r w:rsidRPr="0021327F">
        <w:rPr>
          <w:rStyle w:val="EndnoteReference"/>
        </w:rPr>
        <w:endnoteReference w:id="32"/>
      </w:r>
      <w:r w:rsidRPr="0021327F">
        <w:t xml:space="preserve"> </w:t>
      </w:r>
      <w:r w:rsidR="00165AC6" w:rsidRPr="0021327F">
        <w:t>Th</w:t>
      </w:r>
      <w:r w:rsidR="007605A1" w:rsidRPr="0021327F">
        <w:t>e</w:t>
      </w:r>
      <w:r w:rsidR="00165AC6" w:rsidRPr="0021327F">
        <w:t xml:space="preserve"> survey evidence suggest</w:t>
      </w:r>
      <w:r w:rsidR="007605A1" w:rsidRPr="0021327F">
        <w:t>s</w:t>
      </w:r>
      <w:r w:rsidR="00165AC6" w:rsidRPr="0021327F">
        <w:t xml:space="preserve"> that managers often view dividends as providing information to investors about firm quality.</w:t>
      </w:r>
      <w:r w:rsidR="00AF7D3F">
        <w:rPr>
          <w:rStyle w:val="EndnoteReference"/>
        </w:rPr>
        <w:endnoteReference w:id="33"/>
      </w:r>
      <w:r w:rsidR="00165AC6" w:rsidRPr="00333ADB">
        <w:t xml:space="preserve"> </w:t>
      </w:r>
      <w:r w:rsidR="000529CC">
        <w:t xml:space="preserve">They see historical level as very important </w:t>
      </w:r>
      <w:r w:rsidR="00BA6907">
        <w:t>since</w:t>
      </w:r>
      <w:r w:rsidR="000529CC">
        <w:t xml:space="preserve"> there is a little re</w:t>
      </w:r>
      <w:r w:rsidR="00BA6907">
        <w:t>wa</w:t>
      </w:r>
      <w:r w:rsidR="000529CC">
        <w:t>rd for increasing dividends and large penalty for decreasing or omitting</w:t>
      </w:r>
      <w:r w:rsidR="00BA6907">
        <w:t xml:space="preserve"> dividends</w:t>
      </w:r>
      <w:r w:rsidR="000529CC">
        <w:t xml:space="preserve">. </w:t>
      </w:r>
      <w:r w:rsidR="00BA6907">
        <w:t xml:space="preserve">Executives </w:t>
      </w:r>
      <w:r w:rsidR="000529CC">
        <w:t>think that the most common target is the level of dividend, followed by payout ratio</w:t>
      </w:r>
      <w:r w:rsidR="00BA6907">
        <w:t>,</w:t>
      </w:r>
      <w:r w:rsidR="000529CC">
        <w:t xml:space="preserve"> and growth in dividends. </w:t>
      </w:r>
      <w:r w:rsidR="00BA6907">
        <w:t xml:space="preserve">They </w:t>
      </w:r>
      <w:r w:rsidR="00FB6B33">
        <w:t xml:space="preserve">also </w:t>
      </w:r>
      <w:r w:rsidR="00BA6907">
        <w:t>believe that t</w:t>
      </w:r>
      <w:r w:rsidR="000529CC">
        <w:t xml:space="preserve">ax disadvantage of dividends </w:t>
      </w:r>
      <w:r w:rsidR="00BA6907">
        <w:t xml:space="preserve">is </w:t>
      </w:r>
      <w:r w:rsidR="000529CC">
        <w:t>of second-order importance</w:t>
      </w:r>
      <w:r w:rsidR="00BA6907">
        <w:t xml:space="preserve"> and that i</w:t>
      </w:r>
      <w:r w:rsidR="000529CC">
        <w:t xml:space="preserve">nvestors like dividends even if </w:t>
      </w:r>
      <w:r w:rsidR="00BA6907">
        <w:t xml:space="preserve">they give them a </w:t>
      </w:r>
      <w:r w:rsidR="000529CC">
        <w:t xml:space="preserve">tax disadvantage. </w:t>
      </w:r>
    </w:p>
    <w:p w14:paraId="74A49539" w14:textId="1AD34E6F" w:rsidR="00BA6907" w:rsidRDefault="00BA6907" w:rsidP="000529CC">
      <w:pPr>
        <w:pStyle w:val="BodyTextMain"/>
      </w:pPr>
    </w:p>
    <w:p w14:paraId="3774C101" w14:textId="77777777" w:rsidR="00BA6907" w:rsidRDefault="00BA6907" w:rsidP="000529CC">
      <w:pPr>
        <w:pStyle w:val="BodyTextMain"/>
      </w:pPr>
    </w:p>
    <w:p w14:paraId="4376D079" w14:textId="5FF3524A" w:rsidR="00C23E52" w:rsidRPr="00BF476B" w:rsidRDefault="00C23E52" w:rsidP="00BE361B">
      <w:pPr>
        <w:pStyle w:val="Casehead1"/>
        <w:outlineLvl w:val="0"/>
      </w:pPr>
      <w:r w:rsidRPr="00BF476B">
        <w:t>DIVIDEND STRATEGIES</w:t>
      </w:r>
    </w:p>
    <w:p w14:paraId="402881AE" w14:textId="77777777" w:rsidR="00C23E52" w:rsidRPr="00BF476B" w:rsidRDefault="00C23E52" w:rsidP="00BE361B">
      <w:pPr>
        <w:pStyle w:val="BodyTextMain"/>
        <w:keepNext/>
      </w:pPr>
    </w:p>
    <w:p w14:paraId="6D03D43D" w14:textId="5695F817" w:rsidR="00C23E52" w:rsidRPr="00BF476B" w:rsidRDefault="00C23E52" w:rsidP="00C23E52">
      <w:pPr>
        <w:pStyle w:val="BodyTextMain"/>
      </w:pPr>
      <w:r w:rsidRPr="00BF476B">
        <w:t xml:space="preserve">Most firms follow clear and transparent strategies or decision-rules in setting their dividends. These strategies could broadly be classified </w:t>
      </w:r>
      <w:r>
        <w:t>in</w:t>
      </w:r>
      <w:r w:rsidR="00B63469">
        <w:t>to</w:t>
      </w:r>
      <w:r w:rsidRPr="00BF476B">
        <w:t xml:space="preserve"> four categories. </w:t>
      </w:r>
    </w:p>
    <w:p w14:paraId="46F214CE" w14:textId="77777777" w:rsidR="00C23E52" w:rsidRPr="00BF476B" w:rsidRDefault="00C23E52" w:rsidP="00C23E52">
      <w:pPr>
        <w:pStyle w:val="BodyTextMain"/>
      </w:pPr>
    </w:p>
    <w:p w14:paraId="50150B5C" w14:textId="028605F5" w:rsidR="00C23E52" w:rsidRPr="00BF476B" w:rsidRDefault="00C23E52" w:rsidP="00C23E52">
      <w:pPr>
        <w:pStyle w:val="BodyTextMain"/>
      </w:pPr>
      <w:r w:rsidRPr="00BE361B">
        <w:rPr>
          <w:i/>
        </w:rPr>
        <w:t>Stable (often constant) dividends</w:t>
      </w:r>
      <w:r w:rsidRPr="00BF476B">
        <w:t xml:space="preserve"> </w:t>
      </w:r>
      <w:r w:rsidR="00B63469">
        <w:t>a</w:t>
      </w:r>
      <w:r w:rsidR="00B63469" w:rsidRPr="00BF476B">
        <w:t>re</w:t>
      </w:r>
      <w:r w:rsidRPr="00BF476B">
        <w:t xml:space="preserve"> used by most public firms. In this </w:t>
      </w:r>
      <w:r w:rsidR="00CC0C41">
        <w:t>strategy</w:t>
      </w:r>
      <w:r w:rsidRPr="00BF476B">
        <w:t xml:space="preserve">, changes to dividend levels </w:t>
      </w:r>
      <w:r w:rsidR="00B63469">
        <w:t>a</w:t>
      </w:r>
      <w:r w:rsidR="00B63469" w:rsidRPr="00BF476B">
        <w:t>re</w:t>
      </w:r>
      <w:r w:rsidRPr="00BF476B">
        <w:t xml:space="preserve"> extremely rare and happen </w:t>
      </w:r>
      <w:r w:rsidR="00CC0C41">
        <w:t xml:space="preserve">only </w:t>
      </w:r>
      <w:r w:rsidRPr="00BF476B">
        <w:t xml:space="preserve">in extraordinary circumstances. As </w:t>
      </w:r>
      <w:r w:rsidR="00B63469">
        <w:t xml:space="preserve">previously </w:t>
      </w:r>
      <w:r w:rsidRPr="00BF476B">
        <w:t xml:space="preserve">mentioned, (positive) </w:t>
      </w:r>
      <w:r w:rsidRPr="00BF476B">
        <w:lastRenderedPageBreak/>
        <w:t xml:space="preserve">price reactions to dividend increases </w:t>
      </w:r>
      <w:r w:rsidR="00B63469">
        <w:t>a</w:t>
      </w:r>
      <w:r w:rsidR="00B63469" w:rsidRPr="00BF476B">
        <w:t>re</w:t>
      </w:r>
      <w:r w:rsidRPr="00BF476B">
        <w:t xml:space="preserve"> typically significantly smaller in magnitude than (negative) price reactions to dividend decreases. Hence, </w:t>
      </w:r>
      <w:r w:rsidR="00CC0C41">
        <w:t>when</w:t>
      </w:r>
      <w:r w:rsidR="00CC0C41" w:rsidRPr="00BF476B">
        <w:t xml:space="preserve"> </w:t>
      </w:r>
      <w:r w:rsidRPr="00BF476B">
        <w:t>faced with increased profits, these firms hesitate to increase their dividend level</w:t>
      </w:r>
      <w:r w:rsidR="00B63469" w:rsidRPr="00BF476B">
        <w:t xml:space="preserve">. </w:t>
      </w:r>
      <w:r w:rsidR="00B63469">
        <w:t xml:space="preserve">The price reaction would </w:t>
      </w:r>
      <w:r w:rsidR="00B63469" w:rsidRPr="00BF476B">
        <w:t xml:space="preserve">be </w:t>
      </w:r>
      <w:r w:rsidR="00B63469">
        <w:t>small</w:t>
      </w:r>
      <w:r w:rsidR="00CC0C41">
        <w:t>,</w:t>
      </w:r>
      <w:r w:rsidR="00B63469" w:rsidRPr="00BF476B">
        <w:t xml:space="preserve"> and </w:t>
      </w:r>
      <w:r w:rsidR="00B63469">
        <w:t>a</w:t>
      </w:r>
      <w:r w:rsidR="00B63469" w:rsidRPr="00BF476B">
        <w:t xml:space="preserve"> </w:t>
      </w:r>
      <w:r w:rsidRPr="00BF476B">
        <w:rPr>
          <w:i/>
        </w:rPr>
        <w:t>future decrease</w:t>
      </w:r>
      <w:r w:rsidRPr="00BF476B">
        <w:t xml:space="preserve"> in profits (and dividend</w:t>
      </w:r>
      <w:r w:rsidR="00B63469">
        <w:t>s</w:t>
      </w:r>
      <w:r w:rsidRPr="00BF476B">
        <w:t xml:space="preserve">) would hurt the company in an asymmetric fashion. Nevertheless, if managers </w:t>
      </w:r>
      <w:r w:rsidR="00B63469" w:rsidRPr="00BF476B">
        <w:t>fe</w:t>
      </w:r>
      <w:r w:rsidR="00B63469">
        <w:t>e</w:t>
      </w:r>
      <w:r w:rsidR="00B63469" w:rsidRPr="00BF476B">
        <w:t>l</w:t>
      </w:r>
      <w:r w:rsidRPr="00BF476B">
        <w:t xml:space="preserve"> confident that increased earnings </w:t>
      </w:r>
      <w:r w:rsidR="00B63469">
        <w:t>a</w:t>
      </w:r>
      <w:r w:rsidR="00B63469" w:rsidRPr="00BF476B">
        <w:t>re</w:t>
      </w:r>
      <w:r w:rsidRPr="00BF476B">
        <w:t xml:space="preserve"> sustainable, they </w:t>
      </w:r>
      <w:r w:rsidR="00B63469">
        <w:t>may</w:t>
      </w:r>
      <w:r w:rsidRPr="00BF476B">
        <w:t xml:space="preserve"> increase </w:t>
      </w:r>
      <w:r w:rsidR="00CC0C41">
        <w:t xml:space="preserve">the </w:t>
      </w:r>
      <w:r w:rsidRPr="00BF476B">
        <w:t xml:space="preserve">dividends. Criticism of this strategy </w:t>
      </w:r>
      <w:r w:rsidR="00B63469">
        <w:t>is based on the concern</w:t>
      </w:r>
      <w:r w:rsidRPr="00BF476B">
        <w:t xml:space="preserve"> that managers might engage in earnings management to smooth profits and keep dividends constant. </w:t>
      </w:r>
    </w:p>
    <w:p w14:paraId="5261B12C" w14:textId="77777777" w:rsidR="00C23E52" w:rsidRPr="00BF476B" w:rsidRDefault="00C23E52" w:rsidP="00C23E52">
      <w:pPr>
        <w:pStyle w:val="BodyTextMain"/>
      </w:pPr>
    </w:p>
    <w:p w14:paraId="08D6BC48" w14:textId="427952B9" w:rsidR="00C23E52" w:rsidRPr="00BF476B" w:rsidRDefault="00C23E52" w:rsidP="00C23E52">
      <w:pPr>
        <w:pStyle w:val="BodyTextMain"/>
      </w:pPr>
      <w:r w:rsidRPr="00BF476B">
        <w:t xml:space="preserve">A strategy of </w:t>
      </w:r>
      <w:r w:rsidRPr="00BE361B">
        <w:rPr>
          <w:i/>
        </w:rPr>
        <w:t>stable (low) dividends, with occasional special dividend</w:t>
      </w:r>
      <w:r w:rsidR="00B63469" w:rsidRPr="00B63469">
        <w:rPr>
          <w:i/>
        </w:rPr>
        <w:t>s</w:t>
      </w:r>
      <w:r w:rsidRPr="00BF476B">
        <w:t xml:space="preserve"> to correct for the major disadvantage of </w:t>
      </w:r>
      <w:r w:rsidR="00B63469">
        <w:t xml:space="preserve">a </w:t>
      </w:r>
      <w:r w:rsidRPr="00BF476B">
        <w:t xml:space="preserve">constant dividend strategy, </w:t>
      </w:r>
      <w:r w:rsidR="00B63469">
        <w:t>is</w:t>
      </w:r>
      <w:r w:rsidRPr="00BF476B">
        <w:t xml:space="preserve"> often used by more conservative firms. Th</w:t>
      </w:r>
      <w:r w:rsidR="00B63469">
        <w:t>e</w:t>
      </w:r>
      <w:r w:rsidRPr="00BF476B">
        <w:t xml:space="preserve">se firms pay constant dividends unless there </w:t>
      </w:r>
      <w:r w:rsidR="00690C99">
        <w:t>is</w:t>
      </w:r>
      <w:r w:rsidRPr="00BF476B">
        <w:t xml:space="preserve"> an unexpected cash windfall. In that </w:t>
      </w:r>
      <w:r w:rsidR="00CC0C41">
        <w:t>situation</w:t>
      </w:r>
      <w:r w:rsidRPr="00BF476B">
        <w:t xml:space="preserve">, </w:t>
      </w:r>
      <w:r w:rsidR="00690C99">
        <w:t>the firms</w:t>
      </w:r>
      <w:r w:rsidRPr="00BF476B">
        <w:t xml:space="preserve"> would distribute a special dividend. Special </w:t>
      </w:r>
      <w:r w:rsidRPr="00813A8A">
        <w:t>dividend</w:t>
      </w:r>
      <w:r w:rsidR="00690C99">
        <w:t>s</w:t>
      </w:r>
      <w:r w:rsidRPr="00813A8A">
        <w:t xml:space="preserve"> </w:t>
      </w:r>
      <w:r w:rsidR="00690C99">
        <w:t>do</w:t>
      </w:r>
      <w:r w:rsidRPr="00BF476B">
        <w:t xml:space="preserve"> not create market expectations </w:t>
      </w:r>
      <w:r w:rsidR="00CC0C41">
        <w:t xml:space="preserve">in the way that </w:t>
      </w:r>
      <w:r w:rsidRPr="00BF476B">
        <w:t xml:space="preserve">regular </w:t>
      </w:r>
      <w:r w:rsidRPr="00813A8A">
        <w:t>dividend</w:t>
      </w:r>
      <w:r w:rsidR="001F3B15">
        <w:t>s</w:t>
      </w:r>
      <w:r w:rsidRPr="00813A8A">
        <w:t xml:space="preserve"> </w:t>
      </w:r>
      <w:r w:rsidR="00690C99">
        <w:t>do,</w:t>
      </w:r>
      <w:r w:rsidRPr="00BF476B">
        <w:t xml:space="preserve"> and omitting special dividend</w:t>
      </w:r>
      <w:r w:rsidR="00690C99">
        <w:t>s</w:t>
      </w:r>
      <w:r w:rsidRPr="00BF476B">
        <w:t xml:space="preserve"> in the future would not punish the company’s stock price. However, managers </w:t>
      </w:r>
      <w:r w:rsidR="00CC0C41">
        <w:t>need</w:t>
      </w:r>
      <w:r w:rsidR="00CC0C41" w:rsidRPr="00BF476B">
        <w:t xml:space="preserve"> </w:t>
      </w:r>
      <w:r w:rsidRPr="00BF476B">
        <w:t xml:space="preserve">to be careful not to build market expectations </w:t>
      </w:r>
      <w:r w:rsidR="00690C99">
        <w:t>f</w:t>
      </w:r>
      <w:r w:rsidR="00690C99" w:rsidRPr="00BF476B">
        <w:t>or</w:t>
      </w:r>
      <w:r w:rsidRPr="00BF476B">
        <w:t xml:space="preserve"> special dividend</w:t>
      </w:r>
      <w:r w:rsidR="00690C99">
        <w:t>s</w:t>
      </w:r>
      <w:r w:rsidRPr="00BF476B">
        <w:t>.</w:t>
      </w:r>
    </w:p>
    <w:p w14:paraId="3101BAB9" w14:textId="77777777" w:rsidR="00C23E52" w:rsidRPr="00BF476B" w:rsidRDefault="00C23E52" w:rsidP="00C23E52">
      <w:pPr>
        <w:pStyle w:val="BodyTextMain"/>
      </w:pPr>
    </w:p>
    <w:p w14:paraId="2A651743" w14:textId="711E535F" w:rsidR="00C23E52" w:rsidRPr="00BF476B" w:rsidRDefault="00C23E52" w:rsidP="00C23E52">
      <w:pPr>
        <w:pStyle w:val="BodyTextMain"/>
      </w:pPr>
      <w:r w:rsidRPr="00BF476B">
        <w:t xml:space="preserve">Some firms follow a </w:t>
      </w:r>
      <w:r w:rsidRPr="00BE361B">
        <w:rPr>
          <w:i/>
        </w:rPr>
        <w:t>stable (often constant) payout ratio</w:t>
      </w:r>
      <w:r w:rsidRPr="00BF476B">
        <w:t xml:space="preserve"> strategy. In this </w:t>
      </w:r>
      <w:r w:rsidR="00CC0C41">
        <w:t>strategy</w:t>
      </w:r>
      <w:r w:rsidRPr="00BF476B">
        <w:t>, firms establish a certain percentage of their earnings to be paid as dividends to shareholders</w:t>
      </w:r>
      <w:r w:rsidR="00690C99">
        <w:t>,</w:t>
      </w:r>
      <w:r w:rsidRPr="00BF476B">
        <w:t xml:space="preserve"> and this payout ratio remain</w:t>
      </w:r>
      <w:r w:rsidR="00690C99">
        <w:t>s</w:t>
      </w:r>
      <w:r w:rsidRPr="00BF476B">
        <w:t xml:space="preserve"> stable (or constant). The main advantage of this policy </w:t>
      </w:r>
      <w:r w:rsidR="00690C99">
        <w:t>is</w:t>
      </w:r>
      <w:r w:rsidRPr="00BF476B">
        <w:t xml:space="preserve"> that </w:t>
      </w:r>
      <w:r w:rsidR="00690C99">
        <w:t>it is simple</w:t>
      </w:r>
      <w:r w:rsidR="00690C99" w:rsidRPr="00BF476B">
        <w:t xml:space="preserve"> and transparen</w:t>
      </w:r>
      <w:r w:rsidR="00690C99">
        <w:t>t</w:t>
      </w:r>
      <w:r w:rsidR="00CC0C41">
        <w:t>,</w:t>
      </w:r>
      <w:r w:rsidR="00690C99" w:rsidRPr="00BF476B">
        <w:t xml:space="preserve"> </w:t>
      </w:r>
      <w:r w:rsidR="00CC0C41">
        <w:t>similar to</w:t>
      </w:r>
      <w:r w:rsidR="00CC0C41" w:rsidRPr="00BF476B">
        <w:t xml:space="preserve"> </w:t>
      </w:r>
      <w:r w:rsidR="00690C99">
        <w:t xml:space="preserve">the </w:t>
      </w:r>
      <w:r w:rsidR="00690C99" w:rsidRPr="00BF476B">
        <w:t xml:space="preserve">“stable </w:t>
      </w:r>
      <w:r w:rsidR="00690C99">
        <w:t xml:space="preserve">(often constant) </w:t>
      </w:r>
      <w:r w:rsidR="00690C99" w:rsidRPr="00BF476B">
        <w:t xml:space="preserve">dividend” </w:t>
      </w:r>
      <w:r w:rsidRPr="00BF476B">
        <w:t xml:space="preserve">policy, </w:t>
      </w:r>
      <w:r w:rsidR="00690C99">
        <w:t>but</w:t>
      </w:r>
      <w:r w:rsidRPr="00BF476B">
        <w:t xml:space="preserve"> it </w:t>
      </w:r>
      <w:r w:rsidRPr="00813A8A">
        <w:t>allow</w:t>
      </w:r>
      <w:r w:rsidR="00690C99">
        <w:t>s</w:t>
      </w:r>
      <w:r w:rsidRPr="00813A8A">
        <w:t xml:space="preserve"> </w:t>
      </w:r>
      <w:r w:rsidR="00690C99" w:rsidRPr="00813A8A">
        <w:t>managers</w:t>
      </w:r>
      <w:r w:rsidR="00690C99" w:rsidRPr="00BF476B">
        <w:t xml:space="preserve"> </w:t>
      </w:r>
      <w:r w:rsidRPr="00BF476B">
        <w:t xml:space="preserve">more freedom </w:t>
      </w:r>
      <w:r w:rsidR="00690C99">
        <w:t xml:space="preserve">in </w:t>
      </w:r>
      <w:r w:rsidR="000F334A" w:rsidRPr="000F334A">
        <w:t>setting the dividends</w:t>
      </w:r>
      <w:r w:rsidR="00690C99">
        <w:t xml:space="preserve">, </w:t>
      </w:r>
      <w:r w:rsidRPr="00BF476B">
        <w:t xml:space="preserve">especially </w:t>
      </w:r>
      <w:r w:rsidR="00690C99">
        <w:t>when</w:t>
      </w:r>
      <w:r w:rsidR="00690C99" w:rsidRPr="00BF476B">
        <w:t xml:space="preserve"> profits</w:t>
      </w:r>
      <w:r w:rsidR="00690C99">
        <w:t xml:space="preserve"> are low</w:t>
      </w:r>
      <w:r w:rsidRPr="00813A8A">
        <w:t>.</w:t>
      </w:r>
      <w:r w:rsidRPr="00BF476B">
        <w:t xml:space="preserve"> The main disadvantage of this strategy </w:t>
      </w:r>
      <w:r w:rsidR="00690C99">
        <w:t>is</w:t>
      </w:r>
      <w:r w:rsidRPr="00BF476B">
        <w:t xml:space="preserve"> that dividends </w:t>
      </w:r>
      <w:r w:rsidRPr="00813A8A">
        <w:t>fluctuat</w:t>
      </w:r>
      <w:r w:rsidR="00690C99">
        <w:t>e</w:t>
      </w:r>
      <w:r w:rsidRPr="00BF476B">
        <w:t xml:space="preserve"> with profits. Investors who </w:t>
      </w:r>
      <w:r w:rsidRPr="00813A8A">
        <w:t xml:space="preserve">prefer </w:t>
      </w:r>
      <w:r w:rsidR="00690C99">
        <w:t>a</w:t>
      </w:r>
      <w:r w:rsidR="00690C99" w:rsidRPr="00BF476B">
        <w:t xml:space="preserve"> </w:t>
      </w:r>
      <w:r w:rsidRPr="00BF476B">
        <w:t xml:space="preserve">stable dividend income (such as pension funds) might find </w:t>
      </w:r>
      <w:r w:rsidR="00D83F7D">
        <w:t>a payout ratio</w:t>
      </w:r>
      <w:r w:rsidRPr="00BF476B">
        <w:t xml:space="preserve"> strategy too uncertain </w:t>
      </w:r>
      <w:r w:rsidR="00D83F7D">
        <w:t>because</w:t>
      </w:r>
      <w:r w:rsidRPr="00BF476B">
        <w:t xml:space="preserve"> dividends would be low </w:t>
      </w:r>
      <w:r w:rsidR="00D83F7D">
        <w:t>when</w:t>
      </w:r>
      <w:r w:rsidRPr="00BF476B">
        <w:t xml:space="preserve"> earnings</w:t>
      </w:r>
      <w:r w:rsidR="00D83F7D">
        <w:t xml:space="preserve"> are low</w:t>
      </w:r>
      <w:r w:rsidRPr="00BF476B">
        <w:t xml:space="preserve">. </w:t>
      </w:r>
    </w:p>
    <w:p w14:paraId="033A26D5" w14:textId="77777777" w:rsidR="00C23E52" w:rsidRPr="00BF476B" w:rsidRDefault="00C23E52" w:rsidP="00C23E52">
      <w:pPr>
        <w:pStyle w:val="BodyTextMain"/>
      </w:pPr>
    </w:p>
    <w:p w14:paraId="68F06369" w14:textId="5B2C53B1" w:rsidR="00C23E52" w:rsidRPr="00BF476B" w:rsidRDefault="00C23E52" w:rsidP="00C23E52">
      <w:pPr>
        <w:pStyle w:val="BodyTextMain"/>
      </w:pPr>
      <w:r w:rsidRPr="00BF476B">
        <w:t xml:space="preserve">Finally, firms that follow a strategy of </w:t>
      </w:r>
      <w:r w:rsidRPr="00BE361B">
        <w:rPr>
          <w:i/>
        </w:rPr>
        <w:t>residual dividend payout</w:t>
      </w:r>
      <w:r w:rsidR="00CC0C41">
        <w:rPr>
          <w:i/>
        </w:rPr>
        <w:t>s</w:t>
      </w:r>
      <w:r w:rsidRPr="00BF476B">
        <w:t xml:space="preserve"> make the decision regarding the dividend after </w:t>
      </w:r>
      <w:r w:rsidR="00D83F7D">
        <w:t xml:space="preserve">making </w:t>
      </w:r>
      <w:r w:rsidRPr="00813A8A">
        <w:t>decision</w:t>
      </w:r>
      <w:r w:rsidR="00D83F7D">
        <w:t>s</w:t>
      </w:r>
      <w:r w:rsidRPr="00BF476B">
        <w:t xml:space="preserve"> regarding investments. In fact, all projects with positive </w:t>
      </w:r>
      <w:r w:rsidR="00D83F7D">
        <w:t>net present value</w:t>
      </w:r>
      <w:r w:rsidRPr="00BF476B">
        <w:t xml:space="preserve"> would be undertaken before a firm declared </w:t>
      </w:r>
      <w:r w:rsidR="00D83F7D">
        <w:t xml:space="preserve">a </w:t>
      </w:r>
      <w:r w:rsidRPr="00BF476B">
        <w:t xml:space="preserve">dividend out of </w:t>
      </w:r>
      <w:r w:rsidR="00D83F7D">
        <w:t xml:space="preserve">the </w:t>
      </w:r>
      <w:r w:rsidRPr="00BF476B">
        <w:t xml:space="preserve">residual cash. The main advantage of </w:t>
      </w:r>
      <w:r w:rsidR="00D83F7D">
        <w:t>the residual dividend payout</w:t>
      </w:r>
      <w:r w:rsidRPr="00BF476B">
        <w:t xml:space="preserve"> policy </w:t>
      </w:r>
      <w:r w:rsidR="00D83F7D">
        <w:t>is</w:t>
      </w:r>
      <w:r w:rsidR="00D83F7D" w:rsidRPr="00BF476B">
        <w:t xml:space="preserve"> that </w:t>
      </w:r>
      <w:r w:rsidR="001F3B15">
        <w:t xml:space="preserve">profits </w:t>
      </w:r>
      <w:r w:rsidR="00D83F7D">
        <w:t>are</w:t>
      </w:r>
      <w:r w:rsidR="00D83F7D" w:rsidRPr="00BF476B">
        <w:t xml:space="preserve"> channelled </w:t>
      </w:r>
      <w:r w:rsidRPr="00BF476B">
        <w:t xml:space="preserve">to their best use. However, this policy </w:t>
      </w:r>
      <w:r w:rsidR="00D83F7D">
        <w:t>is</w:t>
      </w:r>
      <w:r w:rsidRPr="00BF476B">
        <w:t xml:space="preserve"> also the most volatile </w:t>
      </w:r>
      <w:r w:rsidR="00D83F7D">
        <w:t>because</w:t>
      </w:r>
      <w:r w:rsidRPr="00BF476B">
        <w:t xml:space="preserve"> </w:t>
      </w:r>
      <w:r w:rsidR="00D83F7D" w:rsidRPr="00BF476B">
        <w:t xml:space="preserve">investment </w:t>
      </w:r>
      <w:r w:rsidR="00D83F7D">
        <w:t>opportunities</w:t>
      </w:r>
      <w:r w:rsidRPr="00BF476B">
        <w:t xml:space="preserve"> might </w:t>
      </w:r>
      <w:r w:rsidRPr="00813A8A">
        <w:t xml:space="preserve">change </w:t>
      </w:r>
      <w:r w:rsidR="00D83F7D" w:rsidRPr="00BF476B">
        <w:t xml:space="preserve">drastically </w:t>
      </w:r>
      <w:r w:rsidRPr="00BF476B">
        <w:t>from year to year.</w:t>
      </w:r>
    </w:p>
    <w:p w14:paraId="1AE1AB48" w14:textId="60C58D1D" w:rsidR="0021327F" w:rsidRDefault="0021327F">
      <w:pPr>
        <w:spacing w:after="200" w:line="276" w:lineRule="auto"/>
        <w:rPr>
          <w:rFonts w:ascii="Arial" w:hAnsi="Arial" w:cs="Arial"/>
          <w:sz w:val="17"/>
          <w:szCs w:val="17"/>
        </w:rPr>
      </w:pPr>
    </w:p>
    <w:p w14:paraId="06934130" w14:textId="77777777" w:rsidR="00B638DF" w:rsidRDefault="00B638DF">
      <w:pPr>
        <w:spacing w:after="200" w:line="276" w:lineRule="auto"/>
        <w:rPr>
          <w:rFonts w:ascii="Arial" w:hAnsi="Arial" w:cs="Arial"/>
          <w:b/>
          <w:caps/>
        </w:rPr>
      </w:pPr>
      <w:r>
        <w:br w:type="page"/>
      </w:r>
    </w:p>
    <w:p w14:paraId="1B80E249" w14:textId="15C37604" w:rsidR="00C23E52" w:rsidRDefault="0021327F" w:rsidP="0021327F">
      <w:pPr>
        <w:pStyle w:val="Casehead1"/>
      </w:pPr>
      <w:r>
        <w:lastRenderedPageBreak/>
        <w:t>endnotes</w:t>
      </w:r>
    </w:p>
    <w:sectPr w:rsidR="00C23E52" w:rsidSect="00EB5410">
      <w:headerReference w:type="default" r:id="rId12"/>
      <w:endnotePr>
        <w:numFmt w:val="decimal"/>
      </w:endnotePr>
      <w:pgSz w:w="12240" w:h="15840"/>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E19562" w16cid:durableId="1F46341A"/>
  <w16cid:commentId w16cid:paraId="6B826AE2" w16cid:durableId="1F4634E2"/>
  <w16cid:commentId w16cid:paraId="3E89219A" w16cid:durableId="1F451420"/>
  <w16cid:commentId w16cid:paraId="2F6D038C" w16cid:durableId="1F4634E5"/>
  <w16cid:commentId w16cid:paraId="69C00095" w16cid:durableId="1F451421"/>
  <w16cid:commentId w16cid:paraId="3DF520BC" w16cid:durableId="1F45142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E7C7CB" w14:textId="77777777" w:rsidR="00352CDB" w:rsidRDefault="00352CDB" w:rsidP="00D75295">
      <w:r>
        <w:separator/>
      </w:r>
    </w:p>
  </w:endnote>
  <w:endnote w:type="continuationSeparator" w:id="0">
    <w:p w14:paraId="3D255181" w14:textId="77777777" w:rsidR="00352CDB" w:rsidRDefault="00352CDB" w:rsidP="00D75295">
      <w:r>
        <w:continuationSeparator/>
      </w:r>
    </w:p>
  </w:endnote>
  <w:endnote w:id="1">
    <w:p w14:paraId="7BB62952" w14:textId="1494B2F3" w:rsidR="00F7229C" w:rsidRPr="00161019" w:rsidRDefault="00F7229C" w:rsidP="0021327F">
      <w:pPr>
        <w:pStyle w:val="Footnote"/>
        <w:jc w:val="both"/>
      </w:pPr>
      <w:r w:rsidRPr="00161019">
        <w:rPr>
          <w:rStyle w:val="EndnoteReference"/>
        </w:rPr>
        <w:endnoteRef/>
      </w:r>
      <w:r w:rsidRPr="00161019">
        <w:t xml:space="preserve"> Richard A. Brealey, Stewart C. Myers, and Alan J. Marcus, </w:t>
      </w:r>
      <w:r w:rsidRPr="00161019">
        <w:rPr>
          <w:i/>
        </w:rPr>
        <w:t>Fundamentals of Corporate Finance</w:t>
      </w:r>
      <w:r w:rsidRPr="00161019">
        <w:t>, 8th ed. (New York, NY: McGraw-Hill, 2015), 424–447.</w:t>
      </w:r>
    </w:p>
  </w:endnote>
  <w:endnote w:id="2">
    <w:p w14:paraId="165C2601" w14:textId="1E980E20" w:rsidR="00F7229C" w:rsidRPr="00161019" w:rsidRDefault="00F7229C" w:rsidP="0021327F">
      <w:pPr>
        <w:pStyle w:val="Footnote"/>
        <w:jc w:val="both"/>
      </w:pPr>
      <w:r w:rsidRPr="00161019">
        <w:rPr>
          <w:rStyle w:val="EndnoteReference"/>
        </w:rPr>
        <w:endnoteRef/>
      </w:r>
      <w:r w:rsidRPr="00161019">
        <w:t xml:space="preserve"> H. Kent Baker, </w:t>
      </w:r>
      <w:r w:rsidRPr="00161019">
        <w:rPr>
          <w:i/>
        </w:rPr>
        <w:t>Dividends and Dividend Policy</w:t>
      </w:r>
      <w:r w:rsidRPr="00161019">
        <w:t xml:space="preserve"> (Hoboken, NJ: John Wiley &amp; Sons, 2009).</w:t>
      </w:r>
    </w:p>
  </w:endnote>
  <w:endnote w:id="3">
    <w:p w14:paraId="682AA78A" w14:textId="1D21F814" w:rsidR="00F7229C" w:rsidRPr="00161019" w:rsidRDefault="00F7229C" w:rsidP="0021327F">
      <w:pPr>
        <w:pStyle w:val="Footnote"/>
        <w:jc w:val="both"/>
      </w:pPr>
      <w:r w:rsidRPr="00161019">
        <w:rPr>
          <w:rStyle w:val="EndnoteReference"/>
        </w:rPr>
        <w:endnoteRef/>
      </w:r>
      <w:r w:rsidRPr="00161019">
        <w:t xml:space="preserve"> </w:t>
      </w:r>
      <w:r w:rsidRPr="00161019">
        <w:rPr>
          <w:spacing w:val="-4"/>
        </w:rPr>
        <w:t xml:space="preserve">Brandon Julio and David L. Ikenberry, “Reappearing Dividends,” </w:t>
      </w:r>
      <w:r w:rsidRPr="00161019">
        <w:rPr>
          <w:i/>
          <w:spacing w:val="-4"/>
        </w:rPr>
        <w:t>Journal of Applied Corporate Finance</w:t>
      </w:r>
      <w:r w:rsidRPr="00161019">
        <w:rPr>
          <w:spacing w:val="-4"/>
        </w:rPr>
        <w:t xml:space="preserve"> 16, no. 4 (2004): 89–100.</w:t>
      </w:r>
    </w:p>
  </w:endnote>
  <w:endnote w:id="4">
    <w:p w14:paraId="476A354B" w14:textId="44A177EE" w:rsidR="00F7229C" w:rsidRPr="00161019" w:rsidRDefault="00F7229C" w:rsidP="0021327F">
      <w:pPr>
        <w:pStyle w:val="Footnote"/>
        <w:jc w:val="both"/>
      </w:pPr>
      <w:r w:rsidRPr="00161019">
        <w:rPr>
          <w:rStyle w:val="EndnoteReference"/>
        </w:rPr>
        <w:endnoteRef/>
      </w:r>
      <w:r w:rsidRPr="00161019">
        <w:t xml:space="preserve"> </w:t>
      </w:r>
      <w:r w:rsidRPr="00161019">
        <w:rPr>
          <w:shd w:val="clear" w:color="auto" w:fill="FFFFFF"/>
        </w:rPr>
        <w:t xml:space="preserve">Merton H. Miller and Franco Modigliani, </w:t>
      </w:r>
      <w:r w:rsidR="00301B7C">
        <w:rPr>
          <w:shd w:val="clear" w:color="auto" w:fill="FFFFFF"/>
        </w:rPr>
        <w:t>“</w:t>
      </w:r>
      <w:r w:rsidRPr="00161019">
        <w:rPr>
          <w:shd w:val="clear" w:color="auto" w:fill="FFFFFF"/>
        </w:rPr>
        <w:t>Dividend Policy, Growth, and the Valuation of Shares,</w:t>
      </w:r>
      <w:r w:rsidR="00301B7C">
        <w:rPr>
          <w:shd w:val="clear" w:color="auto" w:fill="FFFFFF"/>
        </w:rPr>
        <w:t>”</w:t>
      </w:r>
      <w:r w:rsidRPr="00161019">
        <w:rPr>
          <w:rStyle w:val="apple-converted-space"/>
        </w:rPr>
        <w:t xml:space="preserve"> </w:t>
      </w:r>
      <w:r w:rsidRPr="00161019">
        <w:rPr>
          <w:i/>
          <w:shd w:val="clear" w:color="auto" w:fill="FFFFFF"/>
        </w:rPr>
        <w:t>Journal of Business</w:t>
      </w:r>
      <w:r w:rsidRPr="00161019">
        <w:rPr>
          <w:rStyle w:val="apple-converted-space"/>
          <w:color w:val="222222"/>
          <w:shd w:val="clear" w:color="auto" w:fill="FFFFFF"/>
        </w:rPr>
        <w:t xml:space="preserve"> </w:t>
      </w:r>
      <w:r w:rsidRPr="00161019">
        <w:rPr>
          <w:shd w:val="clear" w:color="auto" w:fill="FFFFFF"/>
        </w:rPr>
        <w:t>34, no. 4 (1961): 411–433.</w:t>
      </w:r>
    </w:p>
  </w:endnote>
  <w:endnote w:id="5">
    <w:p w14:paraId="508B681E" w14:textId="6ADA6EC2" w:rsidR="00F7229C" w:rsidRPr="00161019" w:rsidRDefault="00F7229C" w:rsidP="0021327F">
      <w:pPr>
        <w:pStyle w:val="Footnote"/>
        <w:jc w:val="both"/>
      </w:pPr>
      <w:r w:rsidRPr="00161019">
        <w:rPr>
          <w:rStyle w:val="EndnoteReference"/>
        </w:rPr>
        <w:endnoteRef/>
      </w:r>
      <w:r w:rsidRPr="00161019">
        <w:t xml:space="preserve"> </w:t>
      </w:r>
      <w:r w:rsidRPr="00161019">
        <w:rPr>
          <w:shd w:val="clear" w:color="auto" w:fill="FFFFFF"/>
        </w:rPr>
        <w:t>Ibid.</w:t>
      </w:r>
    </w:p>
  </w:endnote>
  <w:endnote w:id="6">
    <w:p w14:paraId="25E5A56D" w14:textId="7285E8D0" w:rsidR="00B638DF" w:rsidRPr="00BA6907" w:rsidRDefault="00B638DF" w:rsidP="00B638DF">
      <w:pPr>
        <w:pStyle w:val="EndnoteText"/>
        <w:jc w:val="both"/>
        <w:rPr>
          <w:rFonts w:ascii="Arial" w:hAnsi="Arial" w:cs="Arial"/>
          <w:sz w:val="17"/>
          <w:szCs w:val="17"/>
          <w:lang w:val="en-US"/>
        </w:rPr>
      </w:pPr>
      <w:r w:rsidRPr="00BA6907">
        <w:rPr>
          <w:rStyle w:val="EndnoteReference"/>
          <w:rFonts w:ascii="Arial" w:hAnsi="Arial" w:cs="Arial"/>
          <w:sz w:val="17"/>
          <w:szCs w:val="17"/>
        </w:rPr>
        <w:endnoteRef/>
      </w:r>
      <w:r w:rsidRPr="00BA6907">
        <w:rPr>
          <w:rFonts w:ascii="Arial" w:hAnsi="Arial" w:cs="Arial"/>
          <w:sz w:val="17"/>
          <w:szCs w:val="17"/>
        </w:rPr>
        <w:t xml:space="preserve"> Merton H. Miller and Franco Modigliani, “Dividend Policy, Growth, and the Valuation of Shares,” </w:t>
      </w:r>
      <w:r w:rsidRPr="00BA6907">
        <w:rPr>
          <w:rFonts w:ascii="Arial" w:hAnsi="Arial" w:cs="Arial"/>
          <w:i/>
          <w:sz w:val="17"/>
          <w:szCs w:val="17"/>
        </w:rPr>
        <w:t>Journal of Business</w:t>
      </w:r>
      <w:r w:rsidRPr="00BA6907">
        <w:rPr>
          <w:rFonts w:ascii="Arial" w:hAnsi="Arial" w:cs="Arial"/>
          <w:sz w:val="17"/>
          <w:szCs w:val="17"/>
        </w:rPr>
        <w:t xml:space="preserve"> 34, no. 4 (1961): 411–433.</w:t>
      </w:r>
    </w:p>
  </w:endnote>
  <w:endnote w:id="7">
    <w:p w14:paraId="4AEC9734" w14:textId="77777777" w:rsidR="001A6768" w:rsidRPr="00BA6907" w:rsidRDefault="001A6768" w:rsidP="001A6768">
      <w:pPr>
        <w:pStyle w:val="EndnoteText"/>
        <w:jc w:val="both"/>
        <w:rPr>
          <w:rFonts w:ascii="Arial" w:hAnsi="Arial" w:cs="Arial"/>
          <w:sz w:val="17"/>
          <w:szCs w:val="17"/>
          <w:lang w:val="en-US"/>
        </w:rPr>
      </w:pPr>
      <w:r w:rsidRPr="00BA6907">
        <w:rPr>
          <w:rStyle w:val="EndnoteReference"/>
          <w:rFonts w:ascii="Arial" w:hAnsi="Arial" w:cs="Arial"/>
          <w:sz w:val="17"/>
          <w:szCs w:val="17"/>
        </w:rPr>
        <w:endnoteRef/>
      </w:r>
      <w:r w:rsidRPr="00BA6907">
        <w:rPr>
          <w:rFonts w:ascii="Arial" w:hAnsi="Arial" w:cs="Arial"/>
          <w:sz w:val="17"/>
          <w:szCs w:val="17"/>
        </w:rPr>
        <w:t xml:space="preserve"> Alon Brav, John R. Graham, Campbell R. Harvey, and Roni Michaely, “Payout Policy in the 21st Century,” </w:t>
      </w:r>
      <w:r w:rsidRPr="00BA6907">
        <w:rPr>
          <w:rFonts w:ascii="Arial" w:hAnsi="Arial" w:cs="Arial"/>
          <w:i/>
          <w:sz w:val="17"/>
          <w:szCs w:val="17"/>
        </w:rPr>
        <w:t>Journal of Financial Economics</w:t>
      </w:r>
      <w:r w:rsidRPr="00BA6907">
        <w:rPr>
          <w:rFonts w:ascii="Arial" w:hAnsi="Arial" w:cs="Arial"/>
          <w:sz w:val="17"/>
          <w:szCs w:val="17"/>
        </w:rPr>
        <w:t xml:space="preserve"> 77, no. 3 (2005): 483521–5272.</w:t>
      </w:r>
    </w:p>
  </w:endnote>
  <w:endnote w:id="8">
    <w:p w14:paraId="5254B440" w14:textId="10DD740B" w:rsidR="00F7229C" w:rsidRPr="00161019" w:rsidRDefault="00F7229C" w:rsidP="0021327F">
      <w:pPr>
        <w:jc w:val="both"/>
        <w:rPr>
          <w:rFonts w:ascii="Arial" w:hAnsi="Arial" w:cs="Arial"/>
          <w:sz w:val="17"/>
          <w:szCs w:val="17"/>
        </w:rPr>
      </w:pPr>
      <w:r w:rsidRPr="00C45B75">
        <w:rPr>
          <w:rStyle w:val="EndnoteReference"/>
          <w:rFonts w:ascii="Arial" w:hAnsi="Arial" w:cs="Arial"/>
          <w:sz w:val="17"/>
          <w:szCs w:val="17"/>
        </w:rPr>
        <w:endnoteRef/>
      </w:r>
      <w:r w:rsidRPr="00C45B75">
        <w:rPr>
          <w:rFonts w:ascii="Arial" w:hAnsi="Arial" w:cs="Arial"/>
          <w:sz w:val="17"/>
          <w:szCs w:val="17"/>
        </w:rPr>
        <w:t xml:space="preserve"> </w:t>
      </w:r>
      <w:r w:rsidRPr="00161019">
        <w:rPr>
          <w:rFonts w:ascii="Arial" w:hAnsi="Arial" w:cs="Arial"/>
          <w:sz w:val="17"/>
          <w:szCs w:val="17"/>
        </w:rPr>
        <w:t xml:space="preserve">Yakov Amihud </w:t>
      </w:r>
      <w:r>
        <w:rPr>
          <w:rFonts w:ascii="Arial" w:hAnsi="Arial" w:cs="Arial"/>
          <w:sz w:val="17"/>
          <w:szCs w:val="17"/>
        </w:rPr>
        <w:t xml:space="preserve">and </w:t>
      </w:r>
      <w:r w:rsidRPr="00161019">
        <w:rPr>
          <w:rFonts w:ascii="Arial" w:hAnsi="Arial" w:cs="Arial"/>
          <w:sz w:val="17"/>
          <w:szCs w:val="17"/>
        </w:rPr>
        <w:t xml:space="preserve">Kefei Li, “The Declining Information Content of Dividend Announcements and the Effects of Institutional Holdings,” </w:t>
      </w:r>
      <w:r w:rsidRPr="00161019">
        <w:rPr>
          <w:rFonts w:ascii="Arial" w:hAnsi="Arial" w:cs="Arial"/>
          <w:i/>
          <w:sz w:val="17"/>
          <w:szCs w:val="17"/>
        </w:rPr>
        <w:t>Journal of Financial and Quantitative Analysis</w:t>
      </w:r>
      <w:r w:rsidRPr="00161019">
        <w:rPr>
          <w:rFonts w:ascii="Arial" w:hAnsi="Arial" w:cs="Arial"/>
          <w:sz w:val="17"/>
          <w:szCs w:val="17"/>
        </w:rPr>
        <w:t xml:space="preserve"> 41, no. 3 (2006): 637</w:t>
      </w:r>
      <w:r>
        <w:rPr>
          <w:rFonts w:ascii="Arial" w:hAnsi="Arial" w:cs="Arial"/>
          <w:sz w:val="17"/>
          <w:szCs w:val="17"/>
        </w:rPr>
        <w:t>–</w:t>
      </w:r>
      <w:r w:rsidRPr="00161019">
        <w:rPr>
          <w:rFonts w:ascii="Arial" w:hAnsi="Arial" w:cs="Arial"/>
          <w:sz w:val="17"/>
          <w:szCs w:val="17"/>
        </w:rPr>
        <w:t>660.</w:t>
      </w:r>
    </w:p>
  </w:endnote>
  <w:endnote w:id="9">
    <w:p w14:paraId="0F2639FE" w14:textId="1AB9845E" w:rsidR="00F7229C" w:rsidRPr="00161019" w:rsidRDefault="00F7229C" w:rsidP="0021327F">
      <w:pPr>
        <w:pStyle w:val="Footnote"/>
        <w:jc w:val="both"/>
      </w:pPr>
      <w:r w:rsidRPr="00161019">
        <w:rPr>
          <w:rStyle w:val="EndnoteReference"/>
        </w:rPr>
        <w:endnoteRef/>
      </w:r>
      <w:r w:rsidRPr="00161019">
        <w:t xml:space="preserve"> Oliver Zhen Li, Hang Liu, Chenkai Ni, and Kangtao Ye, “Individual Investors’ Dividend Taxes and Corporate Payout Policies,” </w:t>
      </w:r>
      <w:r w:rsidRPr="00161019">
        <w:rPr>
          <w:i/>
        </w:rPr>
        <w:t>Journal of Financial and Quantitative Analysis</w:t>
      </w:r>
      <w:r w:rsidRPr="00161019">
        <w:t xml:space="preserve"> 52, no. 3 (2017): </w:t>
      </w:r>
      <w:r>
        <w:t>987</w:t>
      </w:r>
      <w:r w:rsidRPr="00161019">
        <w:t>.</w:t>
      </w:r>
    </w:p>
  </w:endnote>
  <w:endnote w:id="10">
    <w:p w14:paraId="488B78C0" w14:textId="5A17DC3B" w:rsidR="00F7229C" w:rsidRPr="00B638DF" w:rsidRDefault="00F7229C" w:rsidP="0021327F">
      <w:pPr>
        <w:pStyle w:val="Footnote"/>
        <w:jc w:val="both"/>
        <w:rPr>
          <w:spacing w:val="-6"/>
        </w:rPr>
      </w:pPr>
      <w:r w:rsidRPr="00B638DF">
        <w:rPr>
          <w:rStyle w:val="EndnoteReference"/>
          <w:spacing w:val="-6"/>
        </w:rPr>
        <w:endnoteRef/>
      </w:r>
      <w:r w:rsidRPr="00B638DF">
        <w:rPr>
          <w:spacing w:val="-6"/>
        </w:rPr>
        <w:t xml:space="preserve"> Mihir A. Desai and Li Jin, “Institutional Tax Clienteles and Payout Policy,” </w:t>
      </w:r>
      <w:r w:rsidRPr="00B638DF">
        <w:rPr>
          <w:i/>
          <w:spacing w:val="-6"/>
        </w:rPr>
        <w:t>Journal of Financial Economics</w:t>
      </w:r>
      <w:r w:rsidRPr="00B638DF">
        <w:rPr>
          <w:spacing w:val="-6"/>
        </w:rPr>
        <w:t xml:space="preserve"> 100, no. 1 (2011): 68–84.</w:t>
      </w:r>
    </w:p>
  </w:endnote>
  <w:endnote w:id="11">
    <w:p w14:paraId="29A42F6C" w14:textId="2B3387E0" w:rsidR="00F7229C" w:rsidRPr="00161019" w:rsidRDefault="00F7229C" w:rsidP="0021327F">
      <w:pPr>
        <w:pStyle w:val="Footnote"/>
        <w:jc w:val="both"/>
      </w:pPr>
      <w:r w:rsidRPr="00161019">
        <w:rPr>
          <w:rStyle w:val="EndnoteReference"/>
        </w:rPr>
        <w:endnoteRef/>
      </w:r>
      <w:r w:rsidRPr="00161019">
        <w:t xml:space="preserve"> Murali Jagannathan, Clifford P. Stephens, and Michael S. Weisbach, “Financial Flexibility and the Choice </w:t>
      </w:r>
      <w:r w:rsidR="00301B7C">
        <w:t>b</w:t>
      </w:r>
      <w:r w:rsidRPr="00161019">
        <w:t xml:space="preserve">etween Dividends and Stock Repurchases,” </w:t>
      </w:r>
      <w:r w:rsidRPr="00161019">
        <w:rPr>
          <w:i/>
        </w:rPr>
        <w:t>Journal of Financial Economics</w:t>
      </w:r>
      <w:r w:rsidRPr="00161019">
        <w:t xml:space="preserve"> 57, no. 3 (2000): 355.</w:t>
      </w:r>
    </w:p>
  </w:endnote>
  <w:endnote w:id="12">
    <w:p w14:paraId="2E37A90D" w14:textId="72F05A7D" w:rsidR="00F7229C" w:rsidRPr="00161019" w:rsidRDefault="00F7229C" w:rsidP="0021327F">
      <w:pPr>
        <w:pStyle w:val="EndnoteText"/>
        <w:jc w:val="both"/>
        <w:rPr>
          <w:rFonts w:ascii="Arial" w:hAnsi="Arial" w:cs="Arial"/>
          <w:sz w:val="17"/>
          <w:szCs w:val="17"/>
          <w:lang w:val="en-US"/>
        </w:rPr>
      </w:pPr>
      <w:r w:rsidRPr="00161019">
        <w:rPr>
          <w:rStyle w:val="EndnoteReference"/>
          <w:rFonts w:ascii="Arial" w:hAnsi="Arial" w:cs="Arial"/>
          <w:sz w:val="17"/>
          <w:szCs w:val="17"/>
        </w:rPr>
        <w:endnoteRef/>
      </w:r>
      <w:r w:rsidRPr="00161019">
        <w:rPr>
          <w:rFonts w:ascii="Arial" w:hAnsi="Arial" w:cs="Arial"/>
          <w:sz w:val="17"/>
          <w:szCs w:val="17"/>
        </w:rPr>
        <w:t xml:space="preserve"> Michael C. Jensen, “Agency Costs of Free Cash Flow, Corporate Finance, and Takeovers,” </w:t>
      </w:r>
      <w:r w:rsidRPr="00161019">
        <w:rPr>
          <w:rFonts w:ascii="Arial" w:hAnsi="Arial" w:cs="Arial"/>
          <w:i/>
          <w:sz w:val="17"/>
          <w:szCs w:val="17"/>
        </w:rPr>
        <w:t>American Economic Review</w:t>
      </w:r>
      <w:r w:rsidRPr="00161019">
        <w:rPr>
          <w:rFonts w:ascii="Arial" w:hAnsi="Arial" w:cs="Arial"/>
          <w:sz w:val="17"/>
          <w:szCs w:val="17"/>
        </w:rPr>
        <w:t xml:space="preserve"> 76, no. 2 (1986): 323–329.</w:t>
      </w:r>
    </w:p>
  </w:endnote>
  <w:endnote w:id="13">
    <w:p w14:paraId="2A30C01E" w14:textId="051F6F28" w:rsidR="00F7229C" w:rsidRPr="00161019" w:rsidRDefault="00F7229C" w:rsidP="0021327F">
      <w:pPr>
        <w:jc w:val="both"/>
        <w:rPr>
          <w:rFonts w:ascii="Arial" w:hAnsi="Arial" w:cs="Arial"/>
          <w:sz w:val="17"/>
          <w:szCs w:val="17"/>
        </w:rPr>
      </w:pPr>
      <w:r w:rsidRPr="00161019">
        <w:rPr>
          <w:rStyle w:val="EndnoteReference"/>
          <w:rFonts w:ascii="Arial" w:hAnsi="Arial" w:cs="Arial"/>
          <w:sz w:val="17"/>
          <w:szCs w:val="17"/>
        </w:rPr>
        <w:endnoteRef/>
      </w:r>
      <w:r w:rsidRPr="00161019">
        <w:rPr>
          <w:rFonts w:ascii="Arial" w:hAnsi="Arial" w:cs="Arial"/>
          <w:sz w:val="17"/>
          <w:szCs w:val="17"/>
        </w:rPr>
        <w:t xml:space="preserve"> John B. Long, “The Market Valuation of Cash Dividends: A Case to Consider,” </w:t>
      </w:r>
      <w:r w:rsidRPr="00161019">
        <w:rPr>
          <w:rFonts w:ascii="Arial" w:hAnsi="Arial" w:cs="Arial"/>
          <w:i/>
          <w:sz w:val="17"/>
          <w:szCs w:val="17"/>
        </w:rPr>
        <w:t>Journal of Financial Economics</w:t>
      </w:r>
      <w:r w:rsidRPr="00161019">
        <w:rPr>
          <w:rFonts w:ascii="Arial" w:hAnsi="Arial" w:cs="Arial"/>
          <w:sz w:val="17"/>
          <w:szCs w:val="17"/>
        </w:rPr>
        <w:t xml:space="preserve"> 6, no. 2–3: (1978): 235–264.</w:t>
      </w:r>
    </w:p>
  </w:endnote>
  <w:endnote w:id="14">
    <w:p w14:paraId="130E67CB" w14:textId="304397A7" w:rsidR="00F7229C" w:rsidRPr="00947352" w:rsidRDefault="00F7229C" w:rsidP="00C45B75">
      <w:pPr>
        <w:pStyle w:val="Footnote"/>
        <w:jc w:val="both"/>
        <w:rPr>
          <w:lang w:val="en-US"/>
        </w:rPr>
      </w:pPr>
      <w:r>
        <w:rPr>
          <w:rStyle w:val="EndnoteReference"/>
        </w:rPr>
        <w:endnoteRef/>
      </w:r>
      <w:r>
        <w:t xml:space="preserve"> John Lintner, “Distribution of Income of Corporations among Dividend, Retained Earning, and Taxes,” </w:t>
      </w:r>
      <w:r w:rsidRPr="00947352">
        <w:rPr>
          <w:i/>
        </w:rPr>
        <w:t>American Economic Review</w:t>
      </w:r>
      <w:r>
        <w:t xml:space="preserve"> 46, no. 2, (1956): 97–113.</w:t>
      </w:r>
    </w:p>
  </w:endnote>
  <w:endnote w:id="15">
    <w:p w14:paraId="1ABC1BA0" w14:textId="02642C45" w:rsidR="00F7229C" w:rsidRPr="00161019" w:rsidRDefault="00F7229C" w:rsidP="0021327F">
      <w:pPr>
        <w:pStyle w:val="Footnote"/>
        <w:jc w:val="both"/>
      </w:pPr>
      <w:r w:rsidRPr="00161019">
        <w:rPr>
          <w:rStyle w:val="EndnoteReference"/>
        </w:rPr>
        <w:endnoteRef/>
      </w:r>
      <w:r w:rsidRPr="00161019">
        <w:t xml:space="preserve"> Hersh M. Shefrin and Meir Statman, “Explaining Investor Preference for Cash Dividends,” </w:t>
      </w:r>
      <w:r w:rsidRPr="00161019">
        <w:rPr>
          <w:i/>
        </w:rPr>
        <w:t>Journal of Financial Economics</w:t>
      </w:r>
      <w:r w:rsidRPr="00161019">
        <w:t xml:space="preserve"> 13 (1984): 253–282.</w:t>
      </w:r>
    </w:p>
  </w:endnote>
  <w:endnote w:id="16">
    <w:p w14:paraId="3D7C975A" w14:textId="291577CA" w:rsidR="00F7229C" w:rsidRPr="00161019" w:rsidRDefault="00F7229C" w:rsidP="0021327F">
      <w:pPr>
        <w:pStyle w:val="Footnote"/>
        <w:jc w:val="both"/>
        <w:rPr>
          <w:lang w:val="en-CA"/>
        </w:rPr>
      </w:pPr>
      <w:r w:rsidRPr="00161019">
        <w:rPr>
          <w:rStyle w:val="EndnoteReference"/>
        </w:rPr>
        <w:endnoteRef/>
      </w:r>
      <w:r w:rsidRPr="00161019">
        <w:t xml:space="preserve"> Samuel M. Hartzmark and David H. Solomon, </w:t>
      </w:r>
      <w:r w:rsidRPr="00161019">
        <w:rPr>
          <w:i/>
        </w:rPr>
        <w:t>The Dividend Disconnect</w:t>
      </w:r>
      <w:r w:rsidRPr="00161019">
        <w:t xml:space="preserve"> (Miami, FL: 7th Miami Behavioral Finance Conference, 2016).</w:t>
      </w:r>
    </w:p>
  </w:endnote>
  <w:endnote w:id="17">
    <w:p w14:paraId="38F83C44" w14:textId="021B359D" w:rsidR="00F7229C" w:rsidRPr="00B638DF" w:rsidRDefault="00F7229C" w:rsidP="0021327F">
      <w:pPr>
        <w:jc w:val="both"/>
        <w:rPr>
          <w:rFonts w:ascii="Arial" w:hAnsi="Arial" w:cs="Arial"/>
          <w:spacing w:val="-2"/>
          <w:sz w:val="17"/>
          <w:szCs w:val="17"/>
        </w:rPr>
      </w:pPr>
      <w:r w:rsidRPr="00B638DF">
        <w:rPr>
          <w:rStyle w:val="EndnoteReference"/>
          <w:rFonts w:ascii="Arial" w:hAnsi="Arial" w:cs="Arial"/>
          <w:spacing w:val="-2"/>
          <w:sz w:val="17"/>
          <w:szCs w:val="17"/>
        </w:rPr>
        <w:endnoteRef/>
      </w:r>
      <w:r w:rsidRPr="00B638DF">
        <w:rPr>
          <w:rFonts w:ascii="Arial" w:hAnsi="Arial" w:cs="Arial"/>
          <w:spacing w:val="-2"/>
          <w:sz w:val="17"/>
          <w:szCs w:val="17"/>
        </w:rPr>
        <w:t xml:space="preserve"> Hersh M Shefrin and Richard H. Thaler, “The Behavioral Life</w:t>
      </w:r>
      <w:r w:rsidRPr="00B638DF">
        <w:rPr>
          <w:rFonts w:ascii="Cambria Math" w:hAnsi="Cambria Math" w:cs="Cambria Math"/>
          <w:spacing w:val="-2"/>
          <w:sz w:val="17"/>
          <w:szCs w:val="17"/>
        </w:rPr>
        <w:t>‐C</w:t>
      </w:r>
      <w:r w:rsidRPr="00B638DF">
        <w:rPr>
          <w:rFonts w:ascii="Arial" w:hAnsi="Arial" w:cs="Arial"/>
          <w:spacing w:val="-2"/>
          <w:sz w:val="17"/>
          <w:szCs w:val="17"/>
        </w:rPr>
        <w:t xml:space="preserve">ycle Hypothesis,” </w:t>
      </w:r>
      <w:r w:rsidRPr="00B638DF">
        <w:rPr>
          <w:rFonts w:ascii="Arial" w:hAnsi="Arial" w:cs="Arial"/>
          <w:i/>
          <w:spacing w:val="-2"/>
          <w:sz w:val="17"/>
          <w:szCs w:val="17"/>
        </w:rPr>
        <w:t>Economic Inquiry</w:t>
      </w:r>
      <w:r w:rsidRPr="00B638DF">
        <w:rPr>
          <w:rFonts w:ascii="Arial" w:hAnsi="Arial" w:cs="Arial"/>
          <w:spacing w:val="-2"/>
          <w:sz w:val="17"/>
          <w:szCs w:val="17"/>
        </w:rPr>
        <w:t xml:space="preserve"> 26, no. 4 (1988): 609–643.</w:t>
      </w:r>
    </w:p>
  </w:endnote>
  <w:endnote w:id="18">
    <w:p w14:paraId="00570BF9" w14:textId="095F24EE" w:rsidR="00F7229C" w:rsidRPr="00161019" w:rsidRDefault="00F7229C" w:rsidP="0021327F">
      <w:pPr>
        <w:pStyle w:val="EndnoteText"/>
        <w:jc w:val="both"/>
        <w:rPr>
          <w:rFonts w:ascii="Arial" w:hAnsi="Arial" w:cs="Arial"/>
          <w:sz w:val="17"/>
          <w:szCs w:val="17"/>
          <w:lang w:val="en-US"/>
        </w:rPr>
      </w:pPr>
      <w:r w:rsidRPr="00161019">
        <w:rPr>
          <w:rStyle w:val="EndnoteReference"/>
          <w:rFonts w:ascii="Arial" w:hAnsi="Arial" w:cs="Arial"/>
          <w:sz w:val="17"/>
          <w:szCs w:val="17"/>
        </w:rPr>
        <w:endnoteRef/>
      </w:r>
      <w:r w:rsidRPr="00161019">
        <w:rPr>
          <w:rFonts w:ascii="Arial" w:hAnsi="Arial" w:cs="Arial"/>
          <w:sz w:val="17"/>
          <w:szCs w:val="17"/>
        </w:rPr>
        <w:t xml:space="preserve"> John Graham and Alok Kumar, “Do Dividend Clienteles Exist? Evidence on Dividend Preferences of Retail Investors,” </w:t>
      </w:r>
      <w:r w:rsidRPr="00161019">
        <w:rPr>
          <w:rFonts w:ascii="Arial" w:hAnsi="Arial" w:cs="Arial"/>
          <w:i/>
          <w:sz w:val="17"/>
          <w:szCs w:val="17"/>
        </w:rPr>
        <w:t>Journal of Finance</w:t>
      </w:r>
      <w:r w:rsidRPr="00161019">
        <w:rPr>
          <w:rFonts w:ascii="Arial" w:hAnsi="Arial" w:cs="Arial"/>
          <w:sz w:val="17"/>
          <w:szCs w:val="17"/>
        </w:rPr>
        <w:t xml:space="preserve"> 61</w:t>
      </w:r>
      <w:r>
        <w:rPr>
          <w:rFonts w:ascii="Arial" w:hAnsi="Arial" w:cs="Arial"/>
          <w:sz w:val="17"/>
          <w:szCs w:val="17"/>
        </w:rPr>
        <w:t>,</w:t>
      </w:r>
      <w:r w:rsidRPr="00161019">
        <w:rPr>
          <w:rFonts w:ascii="Arial" w:hAnsi="Arial" w:cs="Arial"/>
          <w:sz w:val="17"/>
          <w:szCs w:val="17"/>
        </w:rPr>
        <w:t xml:space="preserve"> no. 3 (2006): 1305</w:t>
      </w:r>
      <w:r>
        <w:rPr>
          <w:rFonts w:ascii="Arial" w:hAnsi="Arial" w:cs="Arial"/>
          <w:sz w:val="17"/>
          <w:szCs w:val="17"/>
        </w:rPr>
        <w:t>–</w:t>
      </w:r>
      <w:r w:rsidRPr="00161019">
        <w:rPr>
          <w:rFonts w:ascii="Arial" w:hAnsi="Arial" w:cs="Arial"/>
          <w:sz w:val="17"/>
          <w:szCs w:val="17"/>
        </w:rPr>
        <w:t>1336.</w:t>
      </w:r>
    </w:p>
  </w:endnote>
  <w:endnote w:id="19">
    <w:p w14:paraId="7201A824" w14:textId="221871A4" w:rsidR="00F7229C" w:rsidRPr="00236737" w:rsidRDefault="00F7229C" w:rsidP="00C45B75">
      <w:pPr>
        <w:pStyle w:val="Footnote"/>
        <w:jc w:val="both"/>
      </w:pPr>
      <w:r>
        <w:rPr>
          <w:rStyle w:val="EndnoteReference"/>
        </w:rPr>
        <w:endnoteRef/>
      </w:r>
      <w:r>
        <w:t xml:space="preserve"> Sanjay Deshmukh, Anand M. Goel, and Keith M. Howe, “CEO Overconfidence and Dividend Policy, </w:t>
      </w:r>
      <w:r w:rsidRPr="00236737">
        <w:rPr>
          <w:i/>
        </w:rPr>
        <w:t xml:space="preserve">Journal of Financial </w:t>
      </w:r>
      <w:r w:rsidRPr="008B5F28">
        <w:rPr>
          <w:i/>
        </w:rPr>
        <w:t xml:space="preserve">Intermediation </w:t>
      </w:r>
      <w:r w:rsidRPr="008B5F28">
        <w:t>22</w:t>
      </w:r>
      <w:r>
        <w:t>, no. 3 (2013): 440–463.</w:t>
      </w:r>
    </w:p>
  </w:endnote>
  <w:endnote w:id="20">
    <w:p w14:paraId="6FC72372" w14:textId="14A7EB57" w:rsidR="00F7229C" w:rsidRPr="00161019" w:rsidRDefault="00F7229C" w:rsidP="0021327F">
      <w:pPr>
        <w:pStyle w:val="Footnote"/>
        <w:jc w:val="both"/>
      </w:pPr>
      <w:r w:rsidRPr="00161019">
        <w:rPr>
          <w:rStyle w:val="EndnoteReference"/>
        </w:rPr>
        <w:endnoteRef/>
      </w:r>
      <w:r w:rsidRPr="00161019">
        <w:t xml:space="preserve"> Harry DeAngelo, Linda DeAngelo, and Douglas Skinner, “Corporate Payout Policy,” </w:t>
      </w:r>
      <w:r w:rsidRPr="00161019">
        <w:rPr>
          <w:i/>
        </w:rPr>
        <w:t>Foundations and Trends in Finance</w:t>
      </w:r>
      <w:r w:rsidRPr="00161019">
        <w:t xml:space="preserve"> 3, no. 2–3 (2009): 95–287.</w:t>
      </w:r>
    </w:p>
  </w:endnote>
  <w:endnote w:id="21">
    <w:p w14:paraId="45A7BEC1" w14:textId="76CF1672" w:rsidR="00F7229C" w:rsidRPr="00161019" w:rsidRDefault="00F7229C" w:rsidP="0021327F">
      <w:pPr>
        <w:pStyle w:val="Footnote"/>
        <w:jc w:val="both"/>
      </w:pPr>
      <w:r w:rsidRPr="00161019">
        <w:rPr>
          <w:rStyle w:val="EndnoteReference"/>
        </w:rPr>
        <w:endnoteRef/>
      </w:r>
      <w:r w:rsidRPr="00161019">
        <w:t xml:space="preserve"> Malcolm Baker and Jeffrey Wurgler, “A Catering Theory of Dividends,” </w:t>
      </w:r>
      <w:r w:rsidRPr="00161019">
        <w:rPr>
          <w:i/>
        </w:rPr>
        <w:t>Journal of Finance</w:t>
      </w:r>
      <w:r w:rsidRPr="00161019">
        <w:t xml:space="preserve"> 59, no. 3 (2004): 1125–1165.</w:t>
      </w:r>
    </w:p>
  </w:endnote>
  <w:endnote w:id="22">
    <w:p w14:paraId="4F4DD325" w14:textId="7E46E2A2" w:rsidR="00F7229C" w:rsidRPr="00161019" w:rsidRDefault="00F7229C" w:rsidP="0021327F">
      <w:pPr>
        <w:pStyle w:val="Footnote"/>
        <w:jc w:val="both"/>
        <w:rPr>
          <w:lang w:val="en-CA"/>
        </w:rPr>
      </w:pPr>
      <w:r w:rsidRPr="00161019">
        <w:rPr>
          <w:rStyle w:val="EndnoteReference"/>
        </w:rPr>
        <w:endnoteRef/>
      </w:r>
      <w:r w:rsidRPr="00161019">
        <w:t xml:space="preserve"> Alok Kumar, Zicheng Lei, and Chendi Zhang, “A Direct Test of the Dividend Catering Hypothesis” (WBS Finance Group Research Paper 2875114, April 8, 2017).</w:t>
      </w:r>
    </w:p>
  </w:endnote>
  <w:endnote w:id="23">
    <w:p w14:paraId="44A8CFE1" w14:textId="30AC4949" w:rsidR="00F7229C" w:rsidRPr="00161019" w:rsidRDefault="00F7229C" w:rsidP="0021327F">
      <w:pPr>
        <w:pStyle w:val="EndnoteText"/>
        <w:jc w:val="both"/>
        <w:rPr>
          <w:rFonts w:ascii="Arial" w:hAnsi="Arial" w:cs="Arial"/>
          <w:sz w:val="17"/>
          <w:szCs w:val="17"/>
          <w:lang w:val="en-US"/>
        </w:rPr>
      </w:pPr>
      <w:r w:rsidRPr="00161019">
        <w:rPr>
          <w:rStyle w:val="EndnoteReference"/>
          <w:rFonts w:ascii="Arial" w:hAnsi="Arial" w:cs="Arial"/>
          <w:sz w:val="17"/>
          <w:szCs w:val="17"/>
        </w:rPr>
        <w:endnoteRef/>
      </w:r>
      <w:r w:rsidRPr="00161019">
        <w:rPr>
          <w:rFonts w:ascii="Arial" w:hAnsi="Arial" w:cs="Arial"/>
          <w:sz w:val="17"/>
          <w:szCs w:val="17"/>
        </w:rPr>
        <w:t xml:space="preserve"> Jillian Grennan, “Dividend Payments as a Response to Peer Influence,” </w:t>
      </w:r>
      <w:r w:rsidRPr="00161019">
        <w:rPr>
          <w:rFonts w:ascii="Arial" w:hAnsi="Arial" w:cs="Arial"/>
          <w:i/>
          <w:sz w:val="17"/>
          <w:szCs w:val="17"/>
        </w:rPr>
        <w:t>Journal of Financial Economics</w:t>
      </w:r>
      <w:r w:rsidRPr="00161019">
        <w:rPr>
          <w:rFonts w:ascii="Arial" w:hAnsi="Arial" w:cs="Arial"/>
          <w:sz w:val="17"/>
          <w:szCs w:val="17"/>
        </w:rPr>
        <w:t>, forthcoming.</w:t>
      </w:r>
    </w:p>
  </w:endnote>
  <w:endnote w:id="24">
    <w:p w14:paraId="14F59B83" w14:textId="201A8AC0" w:rsidR="00F7229C" w:rsidRPr="00161019" w:rsidRDefault="00F7229C" w:rsidP="0021327F">
      <w:pPr>
        <w:jc w:val="both"/>
        <w:rPr>
          <w:rFonts w:ascii="Arial" w:hAnsi="Arial" w:cs="Arial"/>
          <w:sz w:val="17"/>
          <w:szCs w:val="17"/>
        </w:rPr>
      </w:pPr>
      <w:r w:rsidRPr="00161019">
        <w:rPr>
          <w:rStyle w:val="FootnoteChar"/>
          <w:vertAlign w:val="superscript"/>
        </w:rPr>
        <w:endnoteRef/>
      </w:r>
      <w:r w:rsidRPr="00161019">
        <w:t xml:space="preserve"> </w:t>
      </w:r>
      <w:r w:rsidRPr="00161019">
        <w:rPr>
          <w:rFonts w:ascii="Arial" w:hAnsi="Arial" w:cs="Arial"/>
          <w:sz w:val="17"/>
          <w:szCs w:val="17"/>
        </w:rPr>
        <w:t xml:space="preserve">Itzhak (Zahi) Ben-David, “Dividend Policy Decisions,” in </w:t>
      </w:r>
      <w:r w:rsidRPr="00161019">
        <w:rPr>
          <w:rFonts w:ascii="Arial" w:hAnsi="Arial" w:cs="Arial"/>
          <w:i/>
          <w:sz w:val="17"/>
          <w:szCs w:val="17"/>
        </w:rPr>
        <w:t xml:space="preserve">Behavioral Finance: Investors, Corporations, and Markets, </w:t>
      </w:r>
      <w:r w:rsidRPr="00161019">
        <w:rPr>
          <w:rFonts w:ascii="Arial" w:hAnsi="Arial" w:cs="Arial"/>
          <w:sz w:val="17"/>
          <w:szCs w:val="17"/>
        </w:rPr>
        <w:t>ed</w:t>
      </w:r>
      <w:r>
        <w:rPr>
          <w:rFonts w:ascii="Arial" w:hAnsi="Arial" w:cs="Arial"/>
          <w:sz w:val="17"/>
          <w:szCs w:val="17"/>
        </w:rPr>
        <w:t>.</w:t>
      </w:r>
      <w:r w:rsidRPr="00161019">
        <w:rPr>
          <w:rFonts w:ascii="Arial" w:hAnsi="Arial" w:cs="Arial"/>
          <w:sz w:val="17"/>
          <w:szCs w:val="17"/>
        </w:rPr>
        <w:t xml:space="preserve"> H. Kent Baker and John R. Nofsinger (</w:t>
      </w:r>
      <w:r w:rsidRPr="00161019">
        <w:rPr>
          <w:rStyle w:val="FootnoteChar"/>
        </w:rPr>
        <w:t>Hoboken, NJ:</w:t>
      </w:r>
      <w:r w:rsidRPr="00161019">
        <w:rPr>
          <w:rFonts w:ascii="Arial" w:hAnsi="Arial" w:cs="Arial"/>
          <w:sz w:val="17"/>
          <w:szCs w:val="17"/>
        </w:rPr>
        <w:t xml:space="preserve"> John Wiley &amp; Sons, Inc., 2010).</w:t>
      </w:r>
    </w:p>
  </w:endnote>
  <w:endnote w:id="25">
    <w:p w14:paraId="77AA14E5" w14:textId="2130A492" w:rsidR="00F7229C" w:rsidRPr="00161019" w:rsidRDefault="00F7229C" w:rsidP="0021327F">
      <w:pPr>
        <w:pStyle w:val="Footnote"/>
        <w:jc w:val="both"/>
      </w:pPr>
      <w:r w:rsidRPr="00161019">
        <w:rPr>
          <w:rStyle w:val="EndnoteReference"/>
        </w:rPr>
        <w:endnoteRef/>
      </w:r>
      <w:r w:rsidRPr="00161019">
        <w:t xml:space="preserve"> DeAngelo, DeAngelo, and Skinner, op. cit.</w:t>
      </w:r>
    </w:p>
  </w:endnote>
  <w:endnote w:id="26">
    <w:p w14:paraId="52F088F4" w14:textId="54C3697F" w:rsidR="00F7229C" w:rsidRPr="00161019" w:rsidRDefault="00F7229C" w:rsidP="0021327F">
      <w:pPr>
        <w:pStyle w:val="Footnote"/>
        <w:jc w:val="both"/>
      </w:pPr>
      <w:r w:rsidRPr="00161019">
        <w:rPr>
          <w:rStyle w:val="EndnoteReference"/>
        </w:rPr>
        <w:endnoteRef/>
      </w:r>
      <w:r w:rsidRPr="00161019">
        <w:t xml:space="preserve"> Ronald C. Anderson and David M. Reeb, “Founding-Family Ownership and Firm Performance: Evidence from the S&amp;P 500,” </w:t>
      </w:r>
      <w:r w:rsidRPr="00161019">
        <w:rPr>
          <w:i/>
        </w:rPr>
        <w:t>Journal of Finance</w:t>
      </w:r>
      <w:r w:rsidRPr="00161019">
        <w:t xml:space="preserve"> 58, no. 3 (2003): 1301–1328.</w:t>
      </w:r>
    </w:p>
  </w:endnote>
  <w:endnote w:id="27">
    <w:p w14:paraId="70C2EAE7" w14:textId="786AA28F" w:rsidR="00F7229C" w:rsidRPr="00161019" w:rsidRDefault="00F7229C" w:rsidP="0021327F">
      <w:pPr>
        <w:pStyle w:val="Footnote"/>
        <w:jc w:val="both"/>
      </w:pPr>
      <w:r w:rsidRPr="00161019">
        <w:rPr>
          <w:rStyle w:val="EndnoteReference"/>
        </w:rPr>
        <w:endnoteRef/>
      </w:r>
      <w:r w:rsidRPr="00161019">
        <w:t xml:space="preserve"> Ronald C. Anderson and David M. Reeb, “Board Composition: Balancing Family Influence in S&amp;P 500 Firms,” </w:t>
      </w:r>
      <w:r w:rsidRPr="00161019">
        <w:rPr>
          <w:i/>
        </w:rPr>
        <w:t>Administrative Science Quarterly</w:t>
      </w:r>
      <w:r w:rsidRPr="00161019">
        <w:t xml:space="preserve"> 49, no. 2 (2004): 209–237.</w:t>
      </w:r>
    </w:p>
  </w:endnote>
  <w:endnote w:id="28">
    <w:p w14:paraId="00BAA033" w14:textId="6CDBE266" w:rsidR="00F7229C" w:rsidRPr="00161019" w:rsidRDefault="00F7229C" w:rsidP="0021327F">
      <w:pPr>
        <w:pStyle w:val="Footnote"/>
        <w:jc w:val="both"/>
        <w:rPr>
          <w:lang w:val="es-US"/>
        </w:rPr>
      </w:pPr>
      <w:r w:rsidRPr="00161019">
        <w:rPr>
          <w:rStyle w:val="EndnoteReference"/>
        </w:rPr>
        <w:endnoteRef/>
      </w:r>
      <w:r w:rsidRPr="00161019">
        <w:rPr>
          <w:lang w:val="es-US"/>
        </w:rPr>
        <w:t xml:space="preserve"> Simon Johnson, Rafael La Porta, Florencio Lopez-de-Silanes, and Andrei Shleifer, “Tunneling,” </w:t>
      </w:r>
      <w:r w:rsidRPr="00161019">
        <w:rPr>
          <w:i/>
          <w:lang w:val="es-US"/>
        </w:rPr>
        <w:t>American Economic Review</w:t>
      </w:r>
      <w:r w:rsidRPr="00161019">
        <w:rPr>
          <w:lang w:val="es-US"/>
        </w:rPr>
        <w:t xml:space="preserve"> 90, no. 2 (2000): 22.</w:t>
      </w:r>
    </w:p>
  </w:endnote>
  <w:endnote w:id="29">
    <w:p w14:paraId="12A076CF" w14:textId="069498FD" w:rsidR="00F7229C" w:rsidRPr="00161019" w:rsidRDefault="00F7229C" w:rsidP="0021327F">
      <w:pPr>
        <w:pStyle w:val="Footnote"/>
        <w:jc w:val="both"/>
        <w:rPr>
          <w:lang w:val="es-US"/>
        </w:rPr>
      </w:pPr>
      <w:r w:rsidRPr="00161019">
        <w:rPr>
          <w:rStyle w:val="EndnoteReference"/>
        </w:rPr>
        <w:endnoteRef/>
      </w:r>
      <w:r w:rsidRPr="00161019">
        <w:rPr>
          <w:lang w:val="es-US"/>
        </w:rPr>
        <w:t xml:space="preserve"> Ibid.</w:t>
      </w:r>
      <w:r>
        <w:rPr>
          <w:lang w:val="es-US"/>
        </w:rPr>
        <w:t>, 22–27</w:t>
      </w:r>
    </w:p>
  </w:endnote>
  <w:endnote w:id="30">
    <w:p w14:paraId="30FA921B" w14:textId="1DDCB864" w:rsidR="00F7229C" w:rsidRPr="00161019" w:rsidRDefault="00F7229C" w:rsidP="0021327F">
      <w:pPr>
        <w:pStyle w:val="Footnote"/>
        <w:jc w:val="both"/>
      </w:pPr>
      <w:r w:rsidRPr="00161019">
        <w:rPr>
          <w:rStyle w:val="EndnoteReference"/>
        </w:rPr>
        <w:endnoteRef/>
      </w:r>
      <w:r w:rsidRPr="00161019">
        <w:t xml:space="preserve"> Ivalina Kalcheva and Karl V. Lins, </w:t>
      </w:r>
      <w:r>
        <w:t>“</w:t>
      </w:r>
      <w:r w:rsidRPr="00161019">
        <w:t>International Evidence on Cash Holdings and Expected Managerial Agency Problems,</w:t>
      </w:r>
      <w:r>
        <w:t>”</w:t>
      </w:r>
      <w:r w:rsidRPr="00161019">
        <w:t xml:space="preserve"> </w:t>
      </w:r>
      <w:r w:rsidRPr="00161019">
        <w:rPr>
          <w:i/>
        </w:rPr>
        <w:t>Review of Financial Studies</w:t>
      </w:r>
      <w:r w:rsidRPr="00161019">
        <w:t xml:space="preserve"> 20, no. 4 (2007): 1087–1112.</w:t>
      </w:r>
    </w:p>
  </w:endnote>
  <w:endnote w:id="31">
    <w:p w14:paraId="17C3EFEA" w14:textId="2686521F" w:rsidR="00F7229C" w:rsidRPr="00161019" w:rsidRDefault="00F7229C" w:rsidP="0021327F">
      <w:pPr>
        <w:pStyle w:val="Footnote"/>
        <w:jc w:val="both"/>
      </w:pPr>
      <w:r w:rsidRPr="00161019">
        <w:rPr>
          <w:rStyle w:val="EndnoteReference"/>
        </w:rPr>
        <w:endnoteRef/>
      </w:r>
      <w:r w:rsidRPr="00161019">
        <w:t xml:space="preserve"> DeAngelo, DeAngelo, and Skinner, op. cit.</w:t>
      </w:r>
    </w:p>
  </w:endnote>
  <w:endnote w:id="32">
    <w:p w14:paraId="03365B52" w14:textId="77777777" w:rsidR="00F7229C" w:rsidRPr="00917BAD" w:rsidRDefault="00F7229C" w:rsidP="0021327F">
      <w:pPr>
        <w:pStyle w:val="Footnote"/>
        <w:jc w:val="both"/>
        <w:rPr>
          <w:rFonts w:eastAsia="Calibri"/>
        </w:rPr>
      </w:pPr>
      <w:r w:rsidRPr="00161019">
        <w:rPr>
          <w:rStyle w:val="EndnoteReference"/>
        </w:rPr>
        <w:endnoteRef/>
      </w:r>
      <w:r w:rsidRPr="00161019">
        <w:t xml:space="preserve"> </w:t>
      </w:r>
      <w:r w:rsidRPr="00161019">
        <w:rPr>
          <w:rFonts w:eastAsia="Calibri"/>
        </w:rPr>
        <w:t xml:space="preserve">Alon Brav, John R. Graham, Campbell R. Harvey, and Roni Michaely, “Payout Policy in the 21st Century,” </w:t>
      </w:r>
      <w:r w:rsidRPr="00161019">
        <w:rPr>
          <w:rFonts w:eastAsia="Calibri"/>
          <w:i/>
        </w:rPr>
        <w:t>Journal of Financial Economics</w:t>
      </w:r>
      <w:r w:rsidRPr="00161019">
        <w:rPr>
          <w:rFonts w:eastAsia="Calibri"/>
        </w:rPr>
        <w:t xml:space="preserve"> 77, no. 3 (2005): 483–527.</w:t>
      </w:r>
    </w:p>
  </w:endnote>
  <w:endnote w:id="33">
    <w:p w14:paraId="0B49A82C" w14:textId="1FABFF1A" w:rsidR="00AF7D3F" w:rsidRPr="00AF7D3F" w:rsidRDefault="00AF7D3F" w:rsidP="00AF7D3F">
      <w:pPr>
        <w:pStyle w:val="Footnote"/>
        <w:rPr>
          <w:lang w:val="en-US"/>
        </w:rPr>
      </w:pPr>
      <w:r>
        <w:rPr>
          <w:rStyle w:val="EndnoteReference"/>
        </w:rPr>
        <w:endnoteRef/>
      </w:r>
      <w:r>
        <w:t xml:space="preserve"> </w:t>
      </w:r>
      <w:r w:rsidRPr="00BF476B">
        <w:rPr>
          <w:rFonts w:eastAsia="Calibri"/>
        </w:rPr>
        <w:t xml:space="preserve">Alon Brav, John R. Graham, Campbell R. Harvey, and Roni Michaely, </w:t>
      </w:r>
      <w:r>
        <w:rPr>
          <w:rFonts w:eastAsia="Calibri"/>
        </w:rPr>
        <w:t>“Payout Policy in the 21st C</w:t>
      </w:r>
      <w:r w:rsidRPr="00917BAD">
        <w:rPr>
          <w:rFonts w:eastAsia="Calibri"/>
        </w:rPr>
        <w:t>entury,</w:t>
      </w:r>
      <w:r>
        <w:rPr>
          <w:rFonts w:eastAsia="Calibri"/>
        </w:rPr>
        <w:t>”</w:t>
      </w:r>
      <w:r w:rsidRPr="00917BAD">
        <w:rPr>
          <w:rFonts w:eastAsia="Calibri"/>
        </w:rPr>
        <w:t xml:space="preserve"> </w:t>
      </w:r>
      <w:r w:rsidRPr="00BE361B">
        <w:rPr>
          <w:rFonts w:eastAsia="Calibri"/>
          <w:i/>
        </w:rPr>
        <w:t>Journal of Financial Economics</w:t>
      </w:r>
      <w:r w:rsidRPr="00BF476B">
        <w:rPr>
          <w:rFonts w:eastAsia="Calibri"/>
        </w:rPr>
        <w:t xml:space="preserve"> 77, </w:t>
      </w:r>
      <w:r>
        <w:rPr>
          <w:rFonts w:eastAsia="Calibri"/>
        </w:rPr>
        <w:t>no.</w:t>
      </w:r>
      <w:r w:rsidRPr="00BF476B">
        <w:rPr>
          <w:rFonts w:eastAsia="Calibri"/>
        </w:rPr>
        <w:t xml:space="preserve"> 3</w:t>
      </w:r>
      <w:r>
        <w:rPr>
          <w:rFonts w:eastAsia="Calibri"/>
        </w:rPr>
        <w:t xml:space="preserve"> (</w:t>
      </w:r>
      <w:r w:rsidRPr="00BF476B">
        <w:rPr>
          <w:rFonts w:eastAsia="Calibri"/>
        </w:rPr>
        <w:t>2005</w:t>
      </w:r>
      <w:r>
        <w:rPr>
          <w:rFonts w:eastAsia="Calibri"/>
        </w:rPr>
        <w:t>):</w:t>
      </w:r>
      <w:r w:rsidRPr="00BF476B">
        <w:rPr>
          <w:rFonts w:eastAsia="Calibri"/>
        </w:rPr>
        <w:t xml:space="preserve"> 483</w:t>
      </w:r>
      <w:r>
        <w:rPr>
          <w:rFonts w:eastAsia="Calibri"/>
        </w:rPr>
        <w:t>521</w:t>
      </w:r>
      <w:r w:rsidRPr="00BF476B">
        <w:rPr>
          <w:rFonts w:eastAsia="Calibri"/>
        </w:rPr>
        <w:t>–527</w:t>
      </w:r>
      <w:r>
        <w:rPr>
          <w:rFonts w:eastAsia="Calibri"/>
        </w:rPr>
        <w:t>2</w:t>
      </w:r>
      <w:r w:rsidRPr="00BF476B">
        <w:rPr>
          <w:rFonts w:eastAsia="Calibri"/>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EEC5E2" w14:textId="77777777" w:rsidR="00352CDB" w:rsidRDefault="00352CDB" w:rsidP="00D75295">
      <w:r>
        <w:separator/>
      </w:r>
    </w:p>
  </w:footnote>
  <w:footnote w:type="continuationSeparator" w:id="0">
    <w:p w14:paraId="74380585" w14:textId="77777777" w:rsidR="00352CDB" w:rsidRDefault="00352CDB"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6CD56" w14:textId="56DC94BE" w:rsidR="00F7229C" w:rsidRDefault="00F7229C"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E7D06">
      <w:rPr>
        <w:rFonts w:ascii="Arial" w:hAnsi="Arial"/>
        <w:b/>
        <w:noProof/>
      </w:rPr>
      <w:t>5</w:t>
    </w:r>
    <w:r>
      <w:rPr>
        <w:rFonts w:ascii="Arial" w:hAnsi="Arial"/>
        <w:b/>
      </w:rPr>
      <w:fldChar w:fldCharType="end"/>
    </w:r>
    <w:r>
      <w:rPr>
        <w:rFonts w:ascii="Arial" w:hAnsi="Arial"/>
        <w:b/>
      </w:rPr>
      <w:tab/>
    </w:r>
    <w:r w:rsidR="00223FFA">
      <w:rPr>
        <w:rFonts w:ascii="Arial" w:hAnsi="Arial"/>
        <w:b/>
      </w:rPr>
      <w:t>9B18N019</w:t>
    </w:r>
  </w:p>
  <w:p w14:paraId="26A04631" w14:textId="77777777" w:rsidR="00F7229C" w:rsidRPr="00C92CC4" w:rsidRDefault="00F7229C">
    <w:pPr>
      <w:pStyle w:val="Header"/>
      <w:rPr>
        <w:sz w:val="18"/>
        <w:szCs w:val="18"/>
      </w:rPr>
    </w:pPr>
  </w:p>
  <w:p w14:paraId="6DB199A5" w14:textId="77777777" w:rsidR="00F7229C" w:rsidRPr="00C92CC4" w:rsidRDefault="00F7229C">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D4A11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ABACE7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452184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EE05F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30C9F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00E2C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1C6E1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FB85A5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CE44A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681F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1"/>
  </w:num>
  <w:num w:numId="17">
    <w:abstractNumId w:val="15"/>
  </w:num>
  <w:num w:numId="18">
    <w:abstractNumId w:val="22"/>
  </w:num>
  <w:num w:numId="19">
    <w:abstractNumId w:val="11"/>
  </w:num>
  <w:num w:numId="20">
    <w:abstractNumId w:val="10"/>
  </w:num>
  <w:num w:numId="21">
    <w:abstractNumId w:val="23"/>
  </w:num>
  <w:num w:numId="22">
    <w:abstractNumId w:val="17"/>
  </w:num>
  <w:num w:numId="23">
    <w:abstractNumId w:val="2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s-US" w:vendorID="64" w:dllVersion="6" w:nlCheck="1" w:checkStyle="1"/>
  <w:activeWritingStyle w:appName="MSWord" w:lang="en-US" w:vendorID="64" w:dllVersion="6" w:nlCheck="1" w:checkStyle="1"/>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CA" w:vendorID="64" w:dllVersion="6" w:nlCheck="1" w:checkStyle="1"/>
  <w:activeWritingStyle w:appName="MSWord" w:lang="es-US" w:vendorID="64" w:dllVersion="4096" w:nlCheck="1" w:checkStyle="0"/>
  <w:activeWritingStyle w:appName="MSWord" w:lang="en-GB" w:vendorID="64" w:dllVersion="131078" w:nlCheck="1" w:checkStyle="1"/>
  <w:activeWritingStyle w:appName="MSWord" w:lang="en-CA" w:vendorID="64" w:dllVersion="131078" w:nlCheck="1" w:checkStyle="1"/>
  <w:activeWritingStyle w:appName="MSWord" w:lang="es-US"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2E6F"/>
    <w:rsid w:val="00013360"/>
    <w:rsid w:val="000216CE"/>
    <w:rsid w:val="00025DC7"/>
    <w:rsid w:val="00026486"/>
    <w:rsid w:val="00032D2E"/>
    <w:rsid w:val="00037BA5"/>
    <w:rsid w:val="00042D53"/>
    <w:rsid w:val="00044ECC"/>
    <w:rsid w:val="0005151D"/>
    <w:rsid w:val="000529CC"/>
    <w:rsid w:val="000531D3"/>
    <w:rsid w:val="0005646B"/>
    <w:rsid w:val="00072AC2"/>
    <w:rsid w:val="00080339"/>
    <w:rsid w:val="0008102D"/>
    <w:rsid w:val="00094C0E"/>
    <w:rsid w:val="000D09A9"/>
    <w:rsid w:val="000E7973"/>
    <w:rsid w:val="000F0C22"/>
    <w:rsid w:val="000F334A"/>
    <w:rsid w:val="000F6B09"/>
    <w:rsid w:val="000F6FDC"/>
    <w:rsid w:val="00104567"/>
    <w:rsid w:val="0012732D"/>
    <w:rsid w:val="00137A84"/>
    <w:rsid w:val="00154FC9"/>
    <w:rsid w:val="00161019"/>
    <w:rsid w:val="00162D1E"/>
    <w:rsid w:val="00165AC6"/>
    <w:rsid w:val="0019241A"/>
    <w:rsid w:val="001A04F0"/>
    <w:rsid w:val="001A5335"/>
    <w:rsid w:val="001A618E"/>
    <w:rsid w:val="001A6768"/>
    <w:rsid w:val="001A752D"/>
    <w:rsid w:val="001C1778"/>
    <w:rsid w:val="001F3B15"/>
    <w:rsid w:val="001F7453"/>
    <w:rsid w:val="00200EDF"/>
    <w:rsid w:val="00203AA1"/>
    <w:rsid w:val="0021327F"/>
    <w:rsid w:val="00213612"/>
    <w:rsid w:val="00213E98"/>
    <w:rsid w:val="00223FFA"/>
    <w:rsid w:val="00236737"/>
    <w:rsid w:val="002869EA"/>
    <w:rsid w:val="002943ED"/>
    <w:rsid w:val="002D04E8"/>
    <w:rsid w:val="002E3292"/>
    <w:rsid w:val="002E32F0"/>
    <w:rsid w:val="002F460C"/>
    <w:rsid w:val="002F48D6"/>
    <w:rsid w:val="00301B7C"/>
    <w:rsid w:val="00302EB0"/>
    <w:rsid w:val="00352CDB"/>
    <w:rsid w:val="00354899"/>
    <w:rsid w:val="00355FD6"/>
    <w:rsid w:val="00361C8E"/>
    <w:rsid w:val="00364A5C"/>
    <w:rsid w:val="00373FB1"/>
    <w:rsid w:val="0038186B"/>
    <w:rsid w:val="003873DC"/>
    <w:rsid w:val="00392F01"/>
    <w:rsid w:val="003933E9"/>
    <w:rsid w:val="003A5930"/>
    <w:rsid w:val="003B30D8"/>
    <w:rsid w:val="003B3D71"/>
    <w:rsid w:val="003B7EF2"/>
    <w:rsid w:val="003C3FA4"/>
    <w:rsid w:val="003C6FB2"/>
    <w:rsid w:val="003E6E12"/>
    <w:rsid w:val="003F2B0C"/>
    <w:rsid w:val="004221E4"/>
    <w:rsid w:val="004707B6"/>
    <w:rsid w:val="00471088"/>
    <w:rsid w:val="004735E4"/>
    <w:rsid w:val="00483AF9"/>
    <w:rsid w:val="004A3B71"/>
    <w:rsid w:val="004A4B80"/>
    <w:rsid w:val="004B0225"/>
    <w:rsid w:val="004B1CCB"/>
    <w:rsid w:val="004B6E09"/>
    <w:rsid w:val="004D73A5"/>
    <w:rsid w:val="004E08D1"/>
    <w:rsid w:val="004F0E9B"/>
    <w:rsid w:val="004F17A8"/>
    <w:rsid w:val="0052395A"/>
    <w:rsid w:val="005270BF"/>
    <w:rsid w:val="00532CF5"/>
    <w:rsid w:val="00533632"/>
    <w:rsid w:val="005528CB"/>
    <w:rsid w:val="00566771"/>
    <w:rsid w:val="00581E2E"/>
    <w:rsid w:val="00584F15"/>
    <w:rsid w:val="005E49B7"/>
    <w:rsid w:val="005E512A"/>
    <w:rsid w:val="006010D8"/>
    <w:rsid w:val="006163F7"/>
    <w:rsid w:val="006313B2"/>
    <w:rsid w:val="00652606"/>
    <w:rsid w:val="00676CA9"/>
    <w:rsid w:val="00682754"/>
    <w:rsid w:val="00690C99"/>
    <w:rsid w:val="006A58A9"/>
    <w:rsid w:val="006A606D"/>
    <w:rsid w:val="006B3D93"/>
    <w:rsid w:val="006B7F7A"/>
    <w:rsid w:val="006C0371"/>
    <w:rsid w:val="006C08B6"/>
    <w:rsid w:val="006C0B1A"/>
    <w:rsid w:val="006C4384"/>
    <w:rsid w:val="006C58A3"/>
    <w:rsid w:val="006C6065"/>
    <w:rsid w:val="006C614B"/>
    <w:rsid w:val="006C7F9F"/>
    <w:rsid w:val="006E2F6D"/>
    <w:rsid w:val="006E58F6"/>
    <w:rsid w:val="006E77E1"/>
    <w:rsid w:val="006F131D"/>
    <w:rsid w:val="006F1D9E"/>
    <w:rsid w:val="007265D6"/>
    <w:rsid w:val="007315D4"/>
    <w:rsid w:val="00747309"/>
    <w:rsid w:val="00752BCD"/>
    <w:rsid w:val="007573A0"/>
    <w:rsid w:val="007605A1"/>
    <w:rsid w:val="00766528"/>
    <w:rsid w:val="00766DA1"/>
    <w:rsid w:val="007866A6"/>
    <w:rsid w:val="007A130D"/>
    <w:rsid w:val="007B3038"/>
    <w:rsid w:val="007C0969"/>
    <w:rsid w:val="007D4102"/>
    <w:rsid w:val="007D5D9F"/>
    <w:rsid w:val="007E24E3"/>
    <w:rsid w:val="007E5921"/>
    <w:rsid w:val="00814BCE"/>
    <w:rsid w:val="008203EC"/>
    <w:rsid w:val="00821FFC"/>
    <w:rsid w:val="008271CA"/>
    <w:rsid w:val="008467D5"/>
    <w:rsid w:val="00856D9F"/>
    <w:rsid w:val="0086404B"/>
    <w:rsid w:val="00866F6D"/>
    <w:rsid w:val="00872ECF"/>
    <w:rsid w:val="00876BF0"/>
    <w:rsid w:val="008978EE"/>
    <w:rsid w:val="008A4DC4"/>
    <w:rsid w:val="008B5F28"/>
    <w:rsid w:val="008F6094"/>
    <w:rsid w:val="008F71C8"/>
    <w:rsid w:val="009067A4"/>
    <w:rsid w:val="0090722E"/>
    <w:rsid w:val="00923470"/>
    <w:rsid w:val="00923BA8"/>
    <w:rsid w:val="00933165"/>
    <w:rsid w:val="009340DB"/>
    <w:rsid w:val="00934FAB"/>
    <w:rsid w:val="00940AFA"/>
    <w:rsid w:val="00945F9E"/>
    <w:rsid w:val="00947352"/>
    <w:rsid w:val="00964571"/>
    <w:rsid w:val="00972498"/>
    <w:rsid w:val="0097491B"/>
    <w:rsid w:val="00974CC6"/>
    <w:rsid w:val="00976AD4"/>
    <w:rsid w:val="009A312F"/>
    <w:rsid w:val="009A5348"/>
    <w:rsid w:val="009A67BB"/>
    <w:rsid w:val="009C26D7"/>
    <w:rsid w:val="009C76D5"/>
    <w:rsid w:val="009F7AA4"/>
    <w:rsid w:val="00A07168"/>
    <w:rsid w:val="00A559DB"/>
    <w:rsid w:val="00A92C8D"/>
    <w:rsid w:val="00AA6543"/>
    <w:rsid w:val="00AA7193"/>
    <w:rsid w:val="00AC6405"/>
    <w:rsid w:val="00AF35FC"/>
    <w:rsid w:val="00AF7D3F"/>
    <w:rsid w:val="00B03639"/>
    <w:rsid w:val="00B0652A"/>
    <w:rsid w:val="00B229E9"/>
    <w:rsid w:val="00B3757D"/>
    <w:rsid w:val="00B40937"/>
    <w:rsid w:val="00B423EF"/>
    <w:rsid w:val="00B438F4"/>
    <w:rsid w:val="00B453DE"/>
    <w:rsid w:val="00B4742F"/>
    <w:rsid w:val="00B63469"/>
    <w:rsid w:val="00B638DF"/>
    <w:rsid w:val="00B81043"/>
    <w:rsid w:val="00B8496D"/>
    <w:rsid w:val="00B901F9"/>
    <w:rsid w:val="00BA6907"/>
    <w:rsid w:val="00BC2DB8"/>
    <w:rsid w:val="00BD4076"/>
    <w:rsid w:val="00BD6EFB"/>
    <w:rsid w:val="00BE361B"/>
    <w:rsid w:val="00BE7D06"/>
    <w:rsid w:val="00BF476B"/>
    <w:rsid w:val="00BF5520"/>
    <w:rsid w:val="00C03503"/>
    <w:rsid w:val="00C15BE2"/>
    <w:rsid w:val="00C22219"/>
    <w:rsid w:val="00C23E52"/>
    <w:rsid w:val="00C3447F"/>
    <w:rsid w:val="00C45B75"/>
    <w:rsid w:val="00C52C60"/>
    <w:rsid w:val="00C81491"/>
    <w:rsid w:val="00C81676"/>
    <w:rsid w:val="00C92CC4"/>
    <w:rsid w:val="00CA0AFB"/>
    <w:rsid w:val="00CA2CE1"/>
    <w:rsid w:val="00CA3976"/>
    <w:rsid w:val="00CA4F23"/>
    <w:rsid w:val="00CA757B"/>
    <w:rsid w:val="00CB6B09"/>
    <w:rsid w:val="00CC0C41"/>
    <w:rsid w:val="00CC1787"/>
    <w:rsid w:val="00CC182C"/>
    <w:rsid w:val="00CD0824"/>
    <w:rsid w:val="00CD2908"/>
    <w:rsid w:val="00CF2B68"/>
    <w:rsid w:val="00D03A82"/>
    <w:rsid w:val="00D07D73"/>
    <w:rsid w:val="00D15344"/>
    <w:rsid w:val="00D15C93"/>
    <w:rsid w:val="00D17402"/>
    <w:rsid w:val="00D2396A"/>
    <w:rsid w:val="00D31BEC"/>
    <w:rsid w:val="00D63150"/>
    <w:rsid w:val="00D64A32"/>
    <w:rsid w:val="00D64EFC"/>
    <w:rsid w:val="00D75295"/>
    <w:rsid w:val="00D76CE9"/>
    <w:rsid w:val="00D818EE"/>
    <w:rsid w:val="00D83F7D"/>
    <w:rsid w:val="00D97F12"/>
    <w:rsid w:val="00DA0BD7"/>
    <w:rsid w:val="00DB3865"/>
    <w:rsid w:val="00DB42E7"/>
    <w:rsid w:val="00DE5E50"/>
    <w:rsid w:val="00DE7AD8"/>
    <w:rsid w:val="00DF32C2"/>
    <w:rsid w:val="00E05B11"/>
    <w:rsid w:val="00E32D5A"/>
    <w:rsid w:val="00E471A7"/>
    <w:rsid w:val="00E55254"/>
    <w:rsid w:val="00E5671A"/>
    <w:rsid w:val="00E635CF"/>
    <w:rsid w:val="00E85049"/>
    <w:rsid w:val="00EB5410"/>
    <w:rsid w:val="00EC6E0A"/>
    <w:rsid w:val="00ED4E18"/>
    <w:rsid w:val="00ED6050"/>
    <w:rsid w:val="00EE1F37"/>
    <w:rsid w:val="00EF4219"/>
    <w:rsid w:val="00F0159C"/>
    <w:rsid w:val="00F0661C"/>
    <w:rsid w:val="00F0788F"/>
    <w:rsid w:val="00F105B7"/>
    <w:rsid w:val="00F17A21"/>
    <w:rsid w:val="00F50E91"/>
    <w:rsid w:val="00F57D29"/>
    <w:rsid w:val="00F64044"/>
    <w:rsid w:val="00F7229C"/>
    <w:rsid w:val="00F770BA"/>
    <w:rsid w:val="00F836F2"/>
    <w:rsid w:val="00F8706D"/>
    <w:rsid w:val="00F92A99"/>
    <w:rsid w:val="00F96201"/>
    <w:rsid w:val="00FB4872"/>
    <w:rsid w:val="00FB6B33"/>
    <w:rsid w:val="00FC30E9"/>
    <w:rsid w:val="00FD0B18"/>
    <w:rsid w:val="00FD0F82"/>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4BAB20F3"/>
  <w15:docId w15:val="{C4383EE1-FB11-449E-8C65-D3C6F514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0788F"/>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BF476B"/>
    <w:pPr>
      <w:keepNext/>
    </w:pPr>
    <w:rPr>
      <w:rFonts w:ascii="Arial" w:hAnsi="Arial" w:cs="Arial"/>
      <w:b/>
      <w:caps/>
      <w:sz w:val="20"/>
      <w:szCs w:val="20"/>
    </w:rPr>
  </w:style>
  <w:style w:type="character" w:customStyle="1" w:styleId="Casehead1Char">
    <w:name w:val="Casehead 1 Char"/>
    <w:basedOn w:val="BodyTextMainChar"/>
    <w:link w:val="Casehead1"/>
    <w:rsid w:val="000E7973"/>
    <w:rPr>
      <w:rFonts w:ascii="Arial" w:eastAsia="Times New Roman" w:hAnsi="Arial" w:cs="Arial"/>
      <w:b/>
      <w:caps/>
      <w:sz w:val="20"/>
      <w:szCs w:val="20"/>
      <w:lang w:val="en-GB"/>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lang w:val="en-GB"/>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lang w:val="en-GB"/>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lang w:val="en-GB"/>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BF476B"/>
    <w:rPr>
      <w:b w:val="0"/>
      <w:color w:val="auto"/>
      <w:vertAlign w:val="superscript"/>
    </w:rPr>
  </w:style>
  <w:style w:type="paragraph" w:customStyle="1" w:styleId="Footnote">
    <w:name w:val="Footnote"/>
    <w:basedOn w:val="FootnoteText"/>
    <w:link w:val="FootnoteChar"/>
    <w:qFormat/>
    <w:rsid w:val="00BF476B"/>
    <w:rPr>
      <w:rFonts w:ascii="Arial" w:hAnsi="Arial" w:cs="Arial"/>
      <w:sz w:val="17"/>
      <w:szCs w:val="17"/>
    </w:rPr>
  </w:style>
  <w:style w:type="character" w:customStyle="1" w:styleId="FootnoteChar">
    <w:name w:val="Footnote Char"/>
    <w:basedOn w:val="FootnoteTextChar"/>
    <w:link w:val="Footnote"/>
    <w:rsid w:val="007D5D9F"/>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customStyle="1" w:styleId="IveyQuotes">
    <w:name w:val="Ivey Quotes"/>
    <w:basedOn w:val="Normal"/>
    <w:link w:val="IveyQuotesChar"/>
    <w:qFormat/>
    <w:rsid w:val="004A4B80"/>
    <w:pPr>
      <w:tabs>
        <w:tab w:val="left" w:pos="-1440"/>
        <w:tab w:val="left" w:pos="-720"/>
        <w:tab w:val="left" w:pos="1"/>
        <w:tab w:val="right" w:pos="9360"/>
      </w:tabs>
      <w:ind w:left="284"/>
      <w:contextualSpacing/>
      <w:jc w:val="both"/>
    </w:pPr>
    <w:rPr>
      <w:sz w:val="22"/>
    </w:rPr>
  </w:style>
  <w:style w:type="character" w:customStyle="1" w:styleId="IveyQuotesChar">
    <w:name w:val="Ivey Quotes Char"/>
    <w:basedOn w:val="DefaultParagraphFont"/>
    <w:link w:val="IveyQuotes"/>
    <w:rsid w:val="004A4B80"/>
    <w:rPr>
      <w:rFonts w:ascii="Times New Roman" w:eastAsia="Times New Roman" w:hAnsi="Times New Roman" w:cs="Times New Roman"/>
      <w:szCs w:val="20"/>
      <w:lang w:val="en-GB"/>
    </w:rPr>
  </w:style>
  <w:style w:type="table" w:customStyle="1" w:styleId="TableGrid2">
    <w:name w:val="Table Grid2"/>
    <w:basedOn w:val="TableNormal"/>
    <w:next w:val="TableGrid"/>
    <w:uiPriority w:val="39"/>
    <w:rsid w:val="00C23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5E51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635616">
      <w:bodyDiv w:val="1"/>
      <w:marLeft w:val="0"/>
      <w:marRight w:val="0"/>
      <w:marTop w:val="0"/>
      <w:marBottom w:val="0"/>
      <w:divBdr>
        <w:top w:val="none" w:sz="0" w:space="0" w:color="auto"/>
        <w:left w:val="none" w:sz="0" w:space="0" w:color="auto"/>
        <w:bottom w:val="none" w:sz="0" w:space="0" w:color="auto"/>
        <w:right w:val="none" w:sz="0" w:space="0" w:color="auto"/>
      </w:divBdr>
    </w:div>
    <w:div w:id="1489595451">
      <w:bodyDiv w:val="1"/>
      <w:marLeft w:val="0"/>
      <w:marRight w:val="0"/>
      <w:marTop w:val="0"/>
      <w:marBottom w:val="0"/>
      <w:divBdr>
        <w:top w:val="none" w:sz="0" w:space="0" w:color="auto"/>
        <w:left w:val="none" w:sz="0" w:space="0" w:color="auto"/>
        <w:bottom w:val="none" w:sz="0" w:space="0" w:color="auto"/>
        <w:right w:val="none" w:sz="0" w:space="0" w:color="auto"/>
      </w:divBdr>
    </w:div>
    <w:div w:id="201530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77CBEE-9FBC-4CD7-A4AC-6A0F348C2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2428</Words>
  <Characters>13840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16236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McCutcheon, Amber</cp:lastModifiedBy>
  <cp:revision>3</cp:revision>
  <cp:lastPrinted>2018-08-03T20:06:00Z</cp:lastPrinted>
  <dcterms:created xsi:type="dcterms:W3CDTF">2018-09-21T15:10:00Z</dcterms:created>
  <dcterms:modified xsi:type="dcterms:W3CDTF">2018-10-01T19:16:00Z</dcterms:modified>
</cp:coreProperties>
</file>