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8A277" w14:textId="3766FC75" w:rsidR="00A72D9F" w:rsidRPr="00087534" w:rsidRDefault="00AB4D06" w:rsidP="008467D5">
      <w:pPr>
        <w:pBdr>
          <w:bottom w:val="single" w:sz="18" w:space="1" w:color="auto"/>
        </w:pBdr>
        <w:tabs>
          <w:tab w:val="left" w:pos="-1440"/>
          <w:tab w:val="left" w:pos="-720"/>
          <w:tab w:val="left" w:pos="1"/>
        </w:tabs>
        <w:jc w:val="both"/>
        <w:rPr>
          <w:rFonts w:ascii="Arial" w:hAnsi="Arial"/>
          <w:b/>
          <w:noProof/>
          <w:sz w:val="24"/>
          <w:lang w:val="en-GB"/>
        </w:rPr>
      </w:pPr>
      <w:r w:rsidRPr="00AB4D06">
        <w:rPr>
          <w:rFonts w:ascii="Arial" w:hAnsi="Arial"/>
          <w:b/>
          <w:noProof/>
          <w:sz w:val="24"/>
        </w:rPr>
        <w:drawing>
          <wp:inline distT="0" distB="0" distL="0" distR="0" wp14:anchorId="50D2C2B5" wp14:editId="4084882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A7BA87A" w14:textId="4473147D" w:rsidR="00D75295" w:rsidRPr="00087534" w:rsidRDefault="00E61FC8" w:rsidP="00F105B7">
      <w:pPr>
        <w:pStyle w:val="ProductNumber"/>
        <w:rPr>
          <w:lang w:val="en-GB"/>
        </w:rPr>
      </w:pPr>
      <w:r>
        <w:rPr>
          <w:lang w:val="en-GB"/>
        </w:rPr>
        <w:t>9B18N024</w:t>
      </w:r>
    </w:p>
    <w:p w14:paraId="24FB3B9F" w14:textId="77777777" w:rsidR="00D75295" w:rsidRPr="00087534" w:rsidRDefault="00D75295" w:rsidP="00D75295">
      <w:pPr>
        <w:jc w:val="right"/>
        <w:rPr>
          <w:rFonts w:ascii="Arial" w:hAnsi="Arial"/>
          <w:b/>
          <w:sz w:val="28"/>
          <w:szCs w:val="28"/>
          <w:lang w:val="en-GB"/>
        </w:rPr>
      </w:pPr>
    </w:p>
    <w:p w14:paraId="552AFA6F" w14:textId="77777777" w:rsidR="00013360" w:rsidRPr="00087534" w:rsidRDefault="00013360" w:rsidP="00D75295">
      <w:pPr>
        <w:jc w:val="right"/>
        <w:rPr>
          <w:rFonts w:ascii="Arial" w:hAnsi="Arial"/>
          <w:b/>
          <w:sz w:val="28"/>
          <w:szCs w:val="28"/>
          <w:lang w:val="en-GB"/>
        </w:rPr>
      </w:pPr>
    </w:p>
    <w:p w14:paraId="6CD64C96" w14:textId="77777777" w:rsidR="00013360" w:rsidRPr="00087534" w:rsidRDefault="00D33D14" w:rsidP="00013360">
      <w:pPr>
        <w:pStyle w:val="CaseTitle"/>
        <w:spacing w:after="0" w:line="240" w:lineRule="auto"/>
        <w:rPr>
          <w:sz w:val="20"/>
          <w:szCs w:val="20"/>
          <w:lang w:val="en-GB"/>
        </w:rPr>
      </w:pPr>
      <w:r w:rsidRPr="00087534">
        <w:rPr>
          <w:rFonts w:eastAsia="Times New Roman"/>
          <w:szCs w:val="20"/>
          <w:lang w:val="en-GB"/>
        </w:rPr>
        <w:t>NATCO PHARMA: MANUFACTURING AFFORDABLE MEDICINES</w:t>
      </w:r>
    </w:p>
    <w:p w14:paraId="744515A5" w14:textId="77777777" w:rsidR="00CA3976" w:rsidRPr="00087534" w:rsidRDefault="00CA3976" w:rsidP="00013360">
      <w:pPr>
        <w:pStyle w:val="CaseTitle"/>
        <w:spacing w:after="0" w:line="240" w:lineRule="auto"/>
        <w:rPr>
          <w:sz w:val="20"/>
          <w:szCs w:val="20"/>
          <w:lang w:val="en-GB"/>
        </w:rPr>
      </w:pPr>
    </w:p>
    <w:p w14:paraId="195C3E39" w14:textId="77777777" w:rsidR="00013360" w:rsidRPr="00087534" w:rsidRDefault="00013360" w:rsidP="00013360">
      <w:pPr>
        <w:pStyle w:val="CaseTitle"/>
        <w:spacing w:after="0" w:line="240" w:lineRule="auto"/>
        <w:rPr>
          <w:sz w:val="20"/>
          <w:szCs w:val="20"/>
          <w:lang w:val="en-GB"/>
        </w:rPr>
      </w:pPr>
    </w:p>
    <w:p w14:paraId="02CBDE1D" w14:textId="77777777" w:rsidR="00627C63" w:rsidRPr="00087534" w:rsidRDefault="00D87880" w:rsidP="00627C63">
      <w:pPr>
        <w:pStyle w:val="StyleCopyrightStatementAfter0ptBottomSinglesolidline1"/>
        <w:rPr>
          <w:lang w:val="en-GB"/>
        </w:rPr>
      </w:pPr>
      <w:hyperlink r:id="rId9" w:history="1">
        <w:proofErr w:type="spellStart"/>
        <w:r w:rsidR="00D33D14" w:rsidRPr="00087534">
          <w:rPr>
            <w:rStyle w:val="Hyperlink"/>
            <w:color w:val="auto"/>
            <w:u w:val="none"/>
            <w:lang w:val="en-GB"/>
          </w:rPr>
          <w:t>Maram</w:t>
        </w:r>
        <w:proofErr w:type="spellEnd"/>
        <w:r w:rsidR="00D33D14" w:rsidRPr="00087534">
          <w:rPr>
            <w:rStyle w:val="Hyperlink"/>
            <w:color w:val="auto"/>
            <w:u w:val="none"/>
            <w:lang w:val="en-GB"/>
          </w:rPr>
          <w:t xml:space="preserve"> Srikanth</w:t>
        </w:r>
      </w:hyperlink>
      <w:r w:rsidR="00D33D14" w:rsidRPr="00087534">
        <w:rPr>
          <w:color w:val="auto"/>
          <w:lang w:val="en-GB"/>
        </w:rPr>
        <w:t xml:space="preserve">, </w:t>
      </w:r>
      <w:hyperlink r:id="rId10" w:history="1">
        <w:proofErr w:type="spellStart"/>
        <w:r w:rsidR="00D33D14" w:rsidRPr="00087534">
          <w:rPr>
            <w:rStyle w:val="Hyperlink"/>
            <w:color w:val="auto"/>
            <w:u w:val="none"/>
            <w:lang w:val="en-GB"/>
          </w:rPr>
          <w:t>Palanisamy</w:t>
        </w:r>
        <w:proofErr w:type="spellEnd"/>
        <w:r w:rsidR="00D33D14" w:rsidRPr="00087534">
          <w:rPr>
            <w:rStyle w:val="Hyperlink"/>
            <w:color w:val="auto"/>
            <w:u w:val="none"/>
            <w:lang w:val="en-GB"/>
          </w:rPr>
          <w:t xml:space="preserve"> </w:t>
        </w:r>
        <w:proofErr w:type="spellStart"/>
        <w:r w:rsidR="00D33D14" w:rsidRPr="00087534">
          <w:rPr>
            <w:rStyle w:val="Hyperlink"/>
            <w:color w:val="auto"/>
            <w:u w:val="none"/>
            <w:lang w:val="en-GB"/>
          </w:rPr>
          <w:t>Saravanan</w:t>
        </w:r>
        <w:proofErr w:type="spellEnd"/>
      </w:hyperlink>
      <w:r w:rsidR="00D33D14" w:rsidRPr="00087534">
        <w:rPr>
          <w:color w:val="auto"/>
          <w:lang w:val="en-GB"/>
        </w:rPr>
        <w:t xml:space="preserve">, and </w:t>
      </w:r>
      <w:hyperlink r:id="rId11" w:history="1">
        <w:proofErr w:type="spellStart"/>
        <w:r w:rsidR="00D33D14" w:rsidRPr="00087534">
          <w:rPr>
            <w:rStyle w:val="Hyperlink"/>
            <w:color w:val="auto"/>
            <w:u w:val="none"/>
            <w:lang w:val="en-GB"/>
          </w:rPr>
          <w:t>Gunta</w:t>
        </w:r>
        <w:proofErr w:type="spellEnd"/>
        <w:r w:rsidR="00D33D14" w:rsidRPr="00087534">
          <w:rPr>
            <w:rStyle w:val="Hyperlink"/>
            <w:color w:val="auto"/>
            <w:u w:val="none"/>
            <w:lang w:val="en-GB"/>
          </w:rPr>
          <w:t xml:space="preserve"> Srinivas</w:t>
        </w:r>
      </w:hyperlink>
      <w:r w:rsidR="00D33D14" w:rsidRPr="00087534">
        <w:rPr>
          <w:color w:val="auto"/>
          <w:lang w:val="en-GB"/>
        </w:rPr>
        <w:t xml:space="preserve"> </w:t>
      </w:r>
      <w:r w:rsidR="004B632F" w:rsidRPr="00087534">
        <w:rPr>
          <w:color w:val="auto"/>
          <w:lang w:val="en-GB"/>
        </w:rPr>
        <w:t>wrote th</w:t>
      </w:r>
      <w:r w:rsidR="004B632F" w:rsidRPr="00087534">
        <w:rPr>
          <w:lang w:val="en-GB"/>
        </w:rPr>
        <w:t xml:space="preserve">is </w:t>
      </w:r>
      <w:r w:rsidR="00152682" w:rsidRPr="00087534">
        <w:rPr>
          <w:lang w:val="en-GB"/>
        </w:rPr>
        <w:t>case</w:t>
      </w:r>
      <w:r w:rsidR="004B632F" w:rsidRPr="00087534">
        <w:rPr>
          <w:lang w:val="en-GB"/>
        </w:rPr>
        <w:t xml:space="preserve"> </w:t>
      </w:r>
      <w:r w:rsidR="00152682" w:rsidRPr="00087534">
        <w:rPr>
          <w:lang w:val="en-GB"/>
        </w:rPr>
        <w:t>solely to provide material for class discussion. The</w:t>
      </w:r>
      <w:r w:rsidR="001C7777" w:rsidRPr="00087534">
        <w:rPr>
          <w:lang w:val="en-GB"/>
        </w:rPr>
        <w:t xml:space="preserve"> author</w:t>
      </w:r>
      <w:r w:rsidR="001A22D1" w:rsidRPr="00087534">
        <w:rPr>
          <w:lang w:val="en-GB"/>
        </w:rPr>
        <w:t>s</w:t>
      </w:r>
      <w:r w:rsidR="00152682" w:rsidRPr="00087534">
        <w:rPr>
          <w:lang w:val="en-GB"/>
        </w:rPr>
        <w:t xml:space="preserve"> do not intend to illustrate either effective or ineffective handling of a managerial situation. The author</w:t>
      </w:r>
      <w:r w:rsidR="001A22D1" w:rsidRPr="00087534">
        <w:rPr>
          <w:lang w:val="en-GB"/>
        </w:rPr>
        <w:t>s</w:t>
      </w:r>
      <w:r w:rsidR="00152682" w:rsidRPr="00087534">
        <w:rPr>
          <w:lang w:val="en-GB"/>
        </w:rPr>
        <w:t xml:space="preserve"> may have disguised certain names and other identifying information to protect confidentiality.</w:t>
      </w:r>
    </w:p>
    <w:p w14:paraId="6214A3FF" w14:textId="77777777" w:rsidR="00751E0B" w:rsidRDefault="00751E0B" w:rsidP="00751E0B">
      <w:pPr>
        <w:pStyle w:val="StyleCopyrightStatementAfter0ptBottomSinglesolidline1"/>
        <w:rPr>
          <w:lang w:val="en-GB"/>
        </w:rPr>
      </w:pPr>
    </w:p>
    <w:p w14:paraId="04EFDD43" w14:textId="77777777" w:rsidR="00AB4D06" w:rsidRPr="00E23AB7" w:rsidRDefault="00AB4D06" w:rsidP="00AB4D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024E6D2A" w14:textId="00F9E1F5" w:rsidR="00A72D9F" w:rsidRDefault="00A72D9F" w:rsidP="00751E0B">
      <w:pPr>
        <w:pStyle w:val="StyleCopyrightStatementAfter0ptBottomSinglesolidline1"/>
        <w:rPr>
          <w:lang w:val="en-GB"/>
        </w:rPr>
      </w:pPr>
    </w:p>
    <w:p w14:paraId="7AC3C415" w14:textId="3EEE6389" w:rsidR="00751E0B" w:rsidRPr="00087534" w:rsidRDefault="00AB4D06"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087534">
        <w:rPr>
          <w:rFonts w:cs="Arial"/>
          <w:szCs w:val="16"/>
          <w:lang w:val="en-GB"/>
        </w:rPr>
        <w:tab/>
      </w:r>
      <w:r w:rsidR="00751E0B" w:rsidRPr="00087534">
        <w:rPr>
          <w:lang w:val="en-GB"/>
        </w:rPr>
        <w:t xml:space="preserve">Version: </w:t>
      </w:r>
      <w:r w:rsidR="003D0BA1" w:rsidRPr="00087534">
        <w:rPr>
          <w:lang w:val="en-GB"/>
        </w:rPr>
        <w:t>20</w:t>
      </w:r>
      <w:r w:rsidR="00D33D14" w:rsidRPr="00087534">
        <w:rPr>
          <w:lang w:val="en-GB"/>
        </w:rPr>
        <w:t>18</w:t>
      </w:r>
      <w:r w:rsidR="001C7777" w:rsidRPr="00087534">
        <w:rPr>
          <w:lang w:val="en-GB"/>
        </w:rPr>
        <w:t>-</w:t>
      </w:r>
      <w:r w:rsidR="003002B1">
        <w:rPr>
          <w:lang w:val="en-GB"/>
        </w:rPr>
        <w:t>1</w:t>
      </w:r>
      <w:r w:rsidR="00A72D9F">
        <w:rPr>
          <w:lang w:val="en-GB"/>
        </w:rPr>
        <w:t>1</w:t>
      </w:r>
      <w:r w:rsidR="00751E0B" w:rsidRPr="00087534">
        <w:rPr>
          <w:lang w:val="en-GB"/>
        </w:rPr>
        <w:t>-</w:t>
      </w:r>
      <w:r w:rsidR="00D87880">
        <w:rPr>
          <w:lang w:val="en-GB"/>
        </w:rPr>
        <w:t>23</w:t>
      </w:r>
    </w:p>
    <w:p w14:paraId="4346600D" w14:textId="77777777" w:rsidR="00751E0B" w:rsidRPr="00087534" w:rsidRDefault="00751E0B" w:rsidP="00751E0B">
      <w:pPr>
        <w:pStyle w:val="StyleCopyrightStatementAfter0ptBottomSinglesolidline1"/>
        <w:rPr>
          <w:rFonts w:ascii="Times New Roman" w:hAnsi="Times New Roman"/>
          <w:sz w:val="20"/>
          <w:lang w:val="en-GB"/>
        </w:rPr>
      </w:pPr>
    </w:p>
    <w:p w14:paraId="7DDFA777" w14:textId="77777777" w:rsidR="004B632F" w:rsidRPr="00087534" w:rsidRDefault="004B632F" w:rsidP="004B632F">
      <w:pPr>
        <w:pStyle w:val="StyleCopyrightStatementAfter0ptBottomSinglesolidline1"/>
        <w:rPr>
          <w:rFonts w:ascii="Times New Roman" w:hAnsi="Times New Roman"/>
          <w:sz w:val="20"/>
          <w:lang w:val="en-GB"/>
        </w:rPr>
      </w:pPr>
    </w:p>
    <w:p w14:paraId="08286AC8" w14:textId="2F51BF9D" w:rsidR="004338C2" w:rsidRPr="00087534" w:rsidRDefault="00D33D14" w:rsidP="00D33D14">
      <w:pPr>
        <w:pStyle w:val="BodyTextMain"/>
        <w:rPr>
          <w:rFonts w:eastAsia="Calibri"/>
          <w:lang w:val="en-GB"/>
        </w:rPr>
      </w:pPr>
      <w:r w:rsidRPr="00087534">
        <w:rPr>
          <w:rFonts w:eastAsia="Calibri"/>
          <w:lang w:val="en-GB"/>
        </w:rPr>
        <w:t xml:space="preserve">After conducting a strategy meeting on August 31, 2015, </w:t>
      </w:r>
      <w:r w:rsidR="00211F6A">
        <w:rPr>
          <w:rFonts w:eastAsia="Calibri"/>
          <w:lang w:val="en-GB"/>
        </w:rPr>
        <w:t xml:space="preserve">Rajeev </w:t>
      </w:r>
      <w:proofErr w:type="spellStart"/>
      <w:r w:rsidRPr="00087534">
        <w:rPr>
          <w:rFonts w:eastAsia="Calibri"/>
          <w:lang w:val="en-GB"/>
        </w:rPr>
        <w:t>Nannapaneni</w:t>
      </w:r>
      <w:proofErr w:type="spellEnd"/>
      <w:r w:rsidRPr="00087534">
        <w:rPr>
          <w:rFonts w:eastAsia="Calibri"/>
          <w:lang w:val="en-GB"/>
        </w:rPr>
        <w:t>, vice</w:t>
      </w:r>
      <w:r w:rsidR="00527812">
        <w:rPr>
          <w:rFonts w:eastAsia="Calibri"/>
          <w:lang w:val="en-GB"/>
        </w:rPr>
        <w:t>-</w:t>
      </w:r>
      <w:r w:rsidRPr="00087534">
        <w:rPr>
          <w:rFonts w:eastAsia="Calibri"/>
          <w:lang w:val="en-GB"/>
        </w:rPr>
        <w:t xml:space="preserve">chair and chief executive officer (CEO) of </w:t>
      </w:r>
      <w:proofErr w:type="spellStart"/>
      <w:r w:rsidRPr="00087534">
        <w:rPr>
          <w:rFonts w:eastAsia="Calibri"/>
          <w:lang w:val="en-GB"/>
        </w:rPr>
        <w:t>Natco</w:t>
      </w:r>
      <w:proofErr w:type="spellEnd"/>
      <w:r w:rsidRPr="00087534">
        <w:rPr>
          <w:rFonts w:eastAsia="Calibri"/>
          <w:lang w:val="en-GB"/>
        </w:rPr>
        <w:t xml:space="preserve"> Pharma Limited (NPL), was brooding over the </w:t>
      </w:r>
      <w:r w:rsidR="00087534">
        <w:rPr>
          <w:rFonts w:eastAsia="Calibri"/>
          <w:lang w:val="en-GB"/>
        </w:rPr>
        <w:t xml:space="preserve">company’s </w:t>
      </w:r>
      <w:r w:rsidRPr="00087534">
        <w:rPr>
          <w:rFonts w:eastAsia="Calibri"/>
          <w:lang w:val="en-GB"/>
        </w:rPr>
        <w:t>ever</w:t>
      </w:r>
      <w:r w:rsidR="00622676">
        <w:rPr>
          <w:rFonts w:eastAsia="Calibri"/>
          <w:lang w:val="en-GB"/>
        </w:rPr>
        <w:t xml:space="preserve"> </w:t>
      </w:r>
      <w:r w:rsidRPr="00087534">
        <w:rPr>
          <w:rFonts w:eastAsia="Calibri"/>
          <w:lang w:val="en-GB"/>
        </w:rPr>
        <w:t>growing fund requirement</w:t>
      </w:r>
      <w:r w:rsidR="00087534">
        <w:rPr>
          <w:rFonts w:eastAsia="Calibri"/>
          <w:lang w:val="en-GB"/>
        </w:rPr>
        <w:t>s</w:t>
      </w:r>
      <w:r w:rsidRPr="00087534">
        <w:rPr>
          <w:rFonts w:eastAsia="Calibri"/>
          <w:lang w:val="en-GB"/>
        </w:rPr>
        <w:t xml:space="preserve">. </w:t>
      </w:r>
      <w:r w:rsidRPr="00087534">
        <w:rPr>
          <w:rFonts w:eastAsia="Calibri"/>
          <w:color w:val="000000"/>
          <w:lang w:val="en-GB"/>
        </w:rPr>
        <w:t xml:space="preserve">He </w:t>
      </w:r>
      <w:r w:rsidR="00087534">
        <w:rPr>
          <w:rFonts w:eastAsia="Calibri"/>
          <w:color w:val="000000"/>
          <w:lang w:val="en-GB"/>
        </w:rPr>
        <w:t>believed</w:t>
      </w:r>
      <w:r w:rsidR="00087534" w:rsidRPr="00087534">
        <w:rPr>
          <w:rFonts w:eastAsia="Calibri"/>
          <w:color w:val="000000"/>
          <w:lang w:val="en-GB"/>
        </w:rPr>
        <w:t xml:space="preserve"> </w:t>
      </w:r>
      <w:r w:rsidRPr="00087534">
        <w:rPr>
          <w:rFonts w:eastAsia="Calibri"/>
          <w:color w:val="000000"/>
          <w:lang w:val="en-GB"/>
        </w:rPr>
        <w:t xml:space="preserve">that it was important to maintain an </w:t>
      </w:r>
      <w:r w:rsidR="00087534" w:rsidRPr="00087534">
        <w:rPr>
          <w:rFonts w:eastAsia="Calibri"/>
          <w:color w:val="000000"/>
          <w:lang w:val="en-GB"/>
        </w:rPr>
        <w:t>optim</w:t>
      </w:r>
      <w:r w:rsidR="00087534">
        <w:rPr>
          <w:rFonts w:eastAsia="Calibri"/>
          <w:color w:val="000000"/>
          <w:lang w:val="en-GB"/>
        </w:rPr>
        <w:t>al</w:t>
      </w:r>
      <w:r w:rsidR="00087534" w:rsidRPr="00087534">
        <w:rPr>
          <w:rFonts w:eastAsia="Calibri"/>
          <w:color w:val="000000"/>
          <w:lang w:val="en-GB"/>
        </w:rPr>
        <w:t xml:space="preserve"> </w:t>
      </w:r>
      <w:r w:rsidRPr="00087534">
        <w:rPr>
          <w:rFonts w:eastAsia="Calibri"/>
          <w:color w:val="000000"/>
          <w:lang w:val="en-GB"/>
        </w:rPr>
        <w:t>capital structure while catering to the aspirations of the com</w:t>
      </w:r>
      <w:r w:rsidR="000456D5" w:rsidRPr="00087534">
        <w:rPr>
          <w:rFonts w:eastAsia="Calibri"/>
          <w:color w:val="000000"/>
          <w:lang w:val="en-GB"/>
        </w:rPr>
        <w:t>pany</w:t>
      </w:r>
      <w:r w:rsidR="00087534">
        <w:rPr>
          <w:rFonts w:eastAsia="Calibri"/>
          <w:color w:val="000000"/>
          <w:lang w:val="en-GB"/>
        </w:rPr>
        <w:t>,</w:t>
      </w:r>
      <w:r w:rsidR="00D33AEB" w:rsidRPr="00087534">
        <w:rPr>
          <w:lang w:val="en-GB"/>
        </w:rPr>
        <w:t xml:space="preserve"> leading to new growth opportunities</w:t>
      </w:r>
      <w:r w:rsidRPr="00087534">
        <w:rPr>
          <w:rFonts w:eastAsia="Calibri"/>
          <w:color w:val="000000"/>
          <w:lang w:val="en-GB"/>
        </w:rPr>
        <w:t xml:space="preserve">. </w:t>
      </w:r>
      <w:r w:rsidRPr="00087534">
        <w:rPr>
          <w:rFonts w:eastAsia="Calibri"/>
          <w:lang w:val="en-GB"/>
        </w:rPr>
        <w:t xml:space="preserve">He was evaluating the options </w:t>
      </w:r>
      <w:r w:rsidR="00DB1B12">
        <w:rPr>
          <w:rFonts w:eastAsia="Calibri"/>
          <w:lang w:val="en-GB"/>
        </w:rPr>
        <w:t>for</w:t>
      </w:r>
      <w:r w:rsidR="00DB1B12" w:rsidRPr="00087534">
        <w:rPr>
          <w:rFonts w:eastAsia="Calibri"/>
          <w:lang w:val="en-GB"/>
        </w:rPr>
        <w:t xml:space="preserve"> </w:t>
      </w:r>
      <w:r w:rsidRPr="00087534">
        <w:rPr>
          <w:rFonts w:eastAsia="Calibri"/>
          <w:lang w:val="en-GB"/>
        </w:rPr>
        <w:t xml:space="preserve">mobilizing financial resources through </w:t>
      </w:r>
      <w:r w:rsidR="004338C2">
        <w:rPr>
          <w:rFonts w:eastAsia="Calibri"/>
          <w:lang w:val="en-GB"/>
        </w:rPr>
        <w:t xml:space="preserve">either an </w:t>
      </w:r>
      <w:r w:rsidRPr="00087534">
        <w:rPr>
          <w:rFonts w:eastAsia="Calibri"/>
          <w:lang w:val="en-GB"/>
        </w:rPr>
        <w:t>equity or debt route to meet the company’s capital expenditure</w:t>
      </w:r>
      <w:r w:rsidR="00527812">
        <w:rPr>
          <w:rFonts w:eastAsia="Calibri"/>
          <w:lang w:val="en-GB"/>
        </w:rPr>
        <w:t>s</w:t>
      </w:r>
      <w:r w:rsidRPr="00087534">
        <w:rPr>
          <w:rFonts w:eastAsia="Calibri"/>
          <w:lang w:val="en-GB"/>
        </w:rPr>
        <w:t xml:space="preserve"> and long</w:t>
      </w:r>
      <w:r w:rsidR="00087534">
        <w:rPr>
          <w:rFonts w:eastAsia="Calibri"/>
          <w:lang w:val="en-GB"/>
        </w:rPr>
        <w:t>-</w:t>
      </w:r>
      <w:r w:rsidRPr="00087534">
        <w:rPr>
          <w:rFonts w:eastAsia="Calibri"/>
          <w:lang w:val="en-GB"/>
        </w:rPr>
        <w:t>term working capital requirement</w:t>
      </w:r>
      <w:r w:rsidR="00527812">
        <w:rPr>
          <w:rFonts w:eastAsia="Calibri"/>
          <w:lang w:val="en-GB"/>
        </w:rPr>
        <w:t>s</w:t>
      </w:r>
      <w:r w:rsidRPr="00087534">
        <w:rPr>
          <w:rFonts w:eastAsia="Calibri"/>
          <w:lang w:val="en-GB"/>
        </w:rPr>
        <w:t xml:space="preserve"> of </w:t>
      </w:r>
      <w:r w:rsidRPr="00977E45">
        <w:rPr>
          <w:rFonts w:ascii="Arial" w:eastAsia="Calibri" w:hAnsi="Arial" w:cs="Arial"/>
          <w:sz w:val="20"/>
          <w:szCs w:val="20"/>
          <w:lang w:val="en-GB"/>
        </w:rPr>
        <w:t>₹</w:t>
      </w:r>
      <w:r w:rsidRPr="00087534">
        <w:rPr>
          <w:rFonts w:eastAsia="Calibri"/>
          <w:lang w:val="en-GB"/>
        </w:rPr>
        <w:t>3.41 billion.</w:t>
      </w:r>
      <w:r w:rsidR="004338C2" w:rsidRPr="00087534">
        <w:rPr>
          <w:rFonts w:eastAsia="Calibri"/>
          <w:vertAlign w:val="superscript"/>
          <w:lang w:val="en-GB"/>
        </w:rPr>
        <w:footnoteReference w:id="1"/>
      </w:r>
    </w:p>
    <w:p w14:paraId="11953986" w14:textId="77777777" w:rsidR="004338C2" w:rsidRPr="003002B1" w:rsidRDefault="004338C2" w:rsidP="00D33D14">
      <w:pPr>
        <w:pStyle w:val="BodyTextMain"/>
        <w:rPr>
          <w:sz w:val="18"/>
          <w:szCs w:val="18"/>
          <w:lang w:val="en-GB"/>
        </w:rPr>
      </w:pPr>
    </w:p>
    <w:p w14:paraId="24CC8C5E" w14:textId="77777777" w:rsidR="004338C2" w:rsidRPr="003002B1" w:rsidRDefault="004338C2" w:rsidP="00D33D14">
      <w:pPr>
        <w:pStyle w:val="BodyTextMain"/>
        <w:rPr>
          <w:sz w:val="18"/>
          <w:szCs w:val="18"/>
          <w:lang w:val="en-GB"/>
        </w:rPr>
      </w:pPr>
    </w:p>
    <w:p w14:paraId="5631BEF3" w14:textId="080209A8" w:rsidR="004338C2" w:rsidRPr="00087534" w:rsidRDefault="004338C2" w:rsidP="00D33D14">
      <w:pPr>
        <w:pStyle w:val="Casehead1"/>
        <w:rPr>
          <w:rFonts w:eastAsia="Calibri"/>
          <w:lang w:val="en-GB"/>
        </w:rPr>
      </w:pPr>
      <w:r w:rsidRPr="00087534">
        <w:rPr>
          <w:rFonts w:eastAsia="Calibri"/>
          <w:lang w:val="en-GB"/>
        </w:rPr>
        <w:t>BACKGROUND OF N</w:t>
      </w:r>
      <w:r>
        <w:rPr>
          <w:rFonts w:eastAsia="Calibri"/>
          <w:lang w:val="en-GB"/>
        </w:rPr>
        <w:t xml:space="preserve">atco </w:t>
      </w:r>
      <w:r w:rsidRPr="00087534">
        <w:rPr>
          <w:rFonts w:eastAsia="Calibri"/>
          <w:lang w:val="en-GB"/>
        </w:rPr>
        <w:t>P</w:t>
      </w:r>
      <w:r>
        <w:rPr>
          <w:rFonts w:eastAsia="Calibri"/>
          <w:lang w:val="en-GB"/>
        </w:rPr>
        <w:t xml:space="preserve">harma </w:t>
      </w:r>
      <w:r w:rsidRPr="00087534">
        <w:rPr>
          <w:rFonts w:eastAsia="Calibri"/>
          <w:lang w:val="en-GB"/>
        </w:rPr>
        <w:t>L</w:t>
      </w:r>
      <w:r>
        <w:rPr>
          <w:rFonts w:eastAsia="Calibri"/>
          <w:lang w:val="en-GB"/>
        </w:rPr>
        <w:t>imited</w:t>
      </w:r>
    </w:p>
    <w:p w14:paraId="4D775116" w14:textId="77777777" w:rsidR="004338C2" w:rsidRPr="003002B1" w:rsidRDefault="004338C2" w:rsidP="00D33D14">
      <w:pPr>
        <w:pStyle w:val="BodyTextMain"/>
        <w:rPr>
          <w:sz w:val="18"/>
          <w:szCs w:val="18"/>
          <w:lang w:val="en-GB"/>
        </w:rPr>
      </w:pPr>
    </w:p>
    <w:p w14:paraId="756E868A" w14:textId="1D1293EB" w:rsidR="004338C2" w:rsidRPr="00087534" w:rsidRDefault="004338C2" w:rsidP="00D33D14">
      <w:pPr>
        <w:pStyle w:val="BodyTextMain"/>
        <w:rPr>
          <w:lang w:val="en-GB"/>
        </w:rPr>
      </w:pPr>
      <w:proofErr w:type="spellStart"/>
      <w:r w:rsidRPr="00087534">
        <w:rPr>
          <w:rFonts w:eastAsia="Calibri"/>
          <w:lang w:val="en-GB"/>
        </w:rPr>
        <w:t>Natco</w:t>
      </w:r>
      <w:proofErr w:type="spellEnd"/>
      <w:r w:rsidRPr="00087534">
        <w:rPr>
          <w:rFonts w:eastAsia="Calibri"/>
          <w:lang w:val="en-GB"/>
        </w:rPr>
        <w:t xml:space="preserve"> Pharma Limited </w:t>
      </w:r>
      <w:r>
        <w:rPr>
          <w:rFonts w:eastAsia="Calibri"/>
          <w:lang w:val="en-GB"/>
        </w:rPr>
        <w:t>(</w:t>
      </w:r>
      <w:r w:rsidRPr="00087534">
        <w:rPr>
          <w:lang w:val="en-GB"/>
        </w:rPr>
        <w:t>NPL</w:t>
      </w:r>
      <w:r>
        <w:rPr>
          <w:lang w:val="en-GB"/>
        </w:rPr>
        <w:t>)</w:t>
      </w:r>
      <w:r w:rsidRPr="00087534">
        <w:rPr>
          <w:lang w:val="en-GB"/>
        </w:rPr>
        <w:t xml:space="preserve"> was incorporated on September 19, 1981</w:t>
      </w:r>
      <w:r>
        <w:rPr>
          <w:lang w:val="en-GB"/>
        </w:rPr>
        <w:t>,</w:t>
      </w:r>
      <w:r w:rsidRPr="00087534">
        <w:rPr>
          <w:lang w:val="en-GB"/>
        </w:rPr>
        <w:t xml:space="preserve"> as a private limited company in India</w:t>
      </w:r>
      <w:r>
        <w:rPr>
          <w:lang w:val="en-GB"/>
        </w:rPr>
        <w:t>,</w:t>
      </w:r>
      <w:r w:rsidRPr="00087534">
        <w:rPr>
          <w:lang w:val="en-GB"/>
        </w:rPr>
        <w:t xml:space="preserve"> and it began commercial operations in 1984 to manufacture life-saving drugs.</w:t>
      </w:r>
      <w:r w:rsidR="00211F6A">
        <w:rPr>
          <w:lang w:val="en-GB"/>
        </w:rPr>
        <w:t xml:space="preserve"> O</w:t>
      </w:r>
      <w:r w:rsidR="00211F6A" w:rsidRPr="00087534">
        <w:rPr>
          <w:lang w:val="en-GB"/>
        </w:rPr>
        <w:t>n December 30, 1994</w:t>
      </w:r>
      <w:r w:rsidRPr="00087534">
        <w:rPr>
          <w:lang w:val="en-GB"/>
        </w:rPr>
        <w:t xml:space="preserve">, it was converted into a public limited company. NPL was </w:t>
      </w:r>
      <w:r w:rsidR="00211F6A">
        <w:rPr>
          <w:lang w:val="en-GB"/>
        </w:rPr>
        <w:t>found</w:t>
      </w:r>
      <w:r w:rsidR="00211F6A" w:rsidRPr="00087534">
        <w:rPr>
          <w:lang w:val="en-GB"/>
        </w:rPr>
        <w:t xml:space="preserve">ed </w:t>
      </w:r>
      <w:r w:rsidRPr="00087534">
        <w:rPr>
          <w:lang w:val="en-GB"/>
        </w:rPr>
        <w:t xml:space="preserve">by </w:t>
      </w:r>
      <w:r w:rsidR="00211F6A">
        <w:rPr>
          <w:lang w:val="en-GB"/>
        </w:rPr>
        <w:t xml:space="preserve">Rajeev’s father, </w:t>
      </w:r>
      <w:proofErr w:type="spellStart"/>
      <w:r w:rsidRPr="00087534">
        <w:rPr>
          <w:lang w:val="en-GB"/>
        </w:rPr>
        <w:t>Venkaiah</w:t>
      </w:r>
      <w:proofErr w:type="spellEnd"/>
      <w:r w:rsidRPr="00087534">
        <w:rPr>
          <w:lang w:val="en-GB"/>
        </w:rPr>
        <w:t xml:space="preserve"> </w:t>
      </w:r>
      <w:proofErr w:type="spellStart"/>
      <w:r w:rsidRPr="00087534">
        <w:rPr>
          <w:lang w:val="en-GB"/>
        </w:rPr>
        <w:t>Chowdary</w:t>
      </w:r>
      <w:proofErr w:type="spellEnd"/>
      <w:r w:rsidR="00211F6A">
        <w:rPr>
          <w:lang w:val="en-GB"/>
        </w:rPr>
        <w:t xml:space="preserve"> </w:t>
      </w:r>
      <w:proofErr w:type="spellStart"/>
      <w:r w:rsidR="00211F6A" w:rsidRPr="00087534">
        <w:rPr>
          <w:lang w:val="en-GB"/>
        </w:rPr>
        <w:t>Nannapaneni</w:t>
      </w:r>
      <w:proofErr w:type="spellEnd"/>
      <w:r w:rsidRPr="00087534">
        <w:rPr>
          <w:lang w:val="en-GB"/>
        </w:rPr>
        <w:t>, a technocrat turned entrepreneur</w:t>
      </w:r>
      <w:r w:rsidR="00211F6A">
        <w:rPr>
          <w:lang w:val="en-GB"/>
        </w:rPr>
        <w:t>,</w:t>
      </w:r>
      <w:r w:rsidRPr="00087534">
        <w:rPr>
          <w:lang w:val="en-GB"/>
        </w:rPr>
        <w:t xml:space="preserve"> </w:t>
      </w:r>
      <w:r w:rsidR="00211F6A">
        <w:rPr>
          <w:lang w:val="en-GB"/>
        </w:rPr>
        <w:t>who had</w:t>
      </w:r>
      <w:r w:rsidR="00211F6A" w:rsidRPr="00087534">
        <w:rPr>
          <w:lang w:val="en-GB"/>
        </w:rPr>
        <w:t xml:space="preserve"> </w:t>
      </w:r>
      <w:r w:rsidRPr="00087534">
        <w:rPr>
          <w:lang w:val="en-GB"/>
        </w:rPr>
        <w:t>completed his master</w:t>
      </w:r>
      <w:r>
        <w:rPr>
          <w:lang w:val="en-GB"/>
        </w:rPr>
        <w:t>’</w:t>
      </w:r>
      <w:r w:rsidRPr="00087534">
        <w:rPr>
          <w:lang w:val="en-GB"/>
        </w:rPr>
        <w:t>s</w:t>
      </w:r>
      <w:r>
        <w:rPr>
          <w:lang w:val="en-GB"/>
        </w:rPr>
        <w:t xml:space="preserve"> degree</w:t>
      </w:r>
      <w:r w:rsidRPr="00087534">
        <w:rPr>
          <w:lang w:val="en-GB"/>
        </w:rPr>
        <w:t xml:space="preserve"> in pharmaceutical administration </w:t>
      </w:r>
      <w:r w:rsidR="00211F6A">
        <w:rPr>
          <w:lang w:val="en-GB"/>
        </w:rPr>
        <w:t>at</w:t>
      </w:r>
      <w:r w:rsidR="00211F6A" w:rsidRPr="00087534">
        <w:rPr>
          <w:lang w:val="en-GB"/>
        </w:rPr>
        <w:t xml:space="preserve"> </w:t>
      </w:r>
      <w:r w:rsidRPr="00087534">
        <w:rPr>
          <w:lang w:val="en-GB"/>
        </w:rPr>
        <w:t xml:space="preserve">Long Island University, New York. He had </w:t>
      </w:r>
      <w:r>
        <w:rPr>
          <w:lang w:val="en-GB"/>
        </w:rPr>
        <w:t>more than</w:t>
      </w:r>
      <w:r w:rsidRPr="00087534">
        <w:rPr>
          <w:lang w:val="en-GB"/>
        </w:rPr>
        <w:t xml:space="preserve"> four decades of experience in the pharmaceutical industry</w:t>
      </w:r>
      <w:r w:rsidR="00FB543F">
        <w:rPr>
          <w:lang w:val="en-GB"/>
        </w:rPr>
        <w:t>; and as NPL’s</w:t>
      </w:r>
      <w:r w:rsidRPr="00087534">
        <w:rPr>
          <w:lang w:val="en-GB"/>
        </w:rPr>
        <w:t xml:space="preserve"> chairman and managing director</w:t>
      </w:r>
      <w:r w:rsidR="00FB543F">
        <w:rPr>
          <w:lang w:val="en-GB"/>
        </w:rPr>
        <w:t>, he was</w:t>
      </w:r>
      <w:r w:rsidRPr="00087534">
        <w:rPr>
          <w:lang w:val="en-GB"/>
        </w:rPr>
        <w:t xml:space="preserve"> deeply involved in </w:t>
      </w:r>
      <w:r w:rsidR="00FB543F">
        <w:rPr>
          <w:lang w:val="en-GB"/>
        </w:rPr>
        <w:t>the company’s</w:t>
      </w:r>
      <w:r w:rsidR="00FB543F" w:rsidRPr="00087534">
        <w:rPr>
          <w:lang w:val="en-GB"/>
        </w:rPr>
        <w:t xml:space="preserve"> </w:t>
      </w:r>
      <w:r w:rsidRPr="00087534">
        <w:rPr>
          <w:lang w:val="en-GB"/>
        </w:rPr>
        <w:t>new drug discovery and research programs. The company had 12 directors on its board</w:t>
      </w:r>
      <w:r>
        <w:rPr>
          <w:lang w:val="en-GB"/>
        </w:rPr>
        <w:t>,</w:t>
      </w:r>
      <w:r w:rsidRPr="00087534">
        <w:rPr>
          <w:lang w:val="en-GB"/>
        </w:rPr>
        <w:t xml:space="preserve"> including two promoter directors (</w:t>
      </w:r>
      <w:r w:rsidR="00211F6A">
        <w:rPr>
          <w:lang w:val="en-GB"/>
        </w:rPr>
        <w:t xml:space="preserve">one of </w:t>
      </w:r>
      <w:r w:rsidR="00622676">
        <w:rPr>
          <w:lang w:val="en-GB"/>
        </w:rPr>
        <w:t xml:space="preserve">whom </w:t>
      </w:r>
      <w:r w:rsidR="00211F6A">
        <w:rPr>
          <w:lang w:val="en-GB"/>
        </w:rPr>
        <w:t xml:space="preserve">was </w:t>
      </w:r>
      <w:proofErr w:type="spellStart"/>
      <w:r w:rsidRPr="00087534">
        <w:rPr>
          <w:lang w:val="en-GB"/>
        </w:rPr>
        <w:t>Venkaiah</w:t>
      </w:r>
      <w:proofErr w:type="spellEnd"/>
      <w:r w:rsidRPr="00087534">
        <w:rPr>
          <w:lang w:val="en-GB"/>
        </w:rPr>
        <w:t xml:space="preserve"> </w:t>
      </w:r>
      <w:proofErr w:type="spellStart"/>
      <w:r w:rsidRPr="00087534">
        <w:rPr>
          <w:lang w:val="en-GB"/>
        </w:rPr>
        <w:t>Chowdary</w:t>
      </w:r>
      <w:proofErr w:type="spellEnd"/>
      <w:r w:rsidR="00211F6A" w:rsidRPr="00211F6A">
        <w:rPr>
          <w:lang w:val="en-GB"/>
        </w:rPr>
        <w:t xml:space="preserve"> </w:t>
      </w:r>
      <w:proofErr w:type="spellStart"/>
      <w:r w:rsidR="00211F6A" w:rsidRPr="00087534">
        <w:rPr>
          <w:lang w:val="en-GB"/>
        </w:rPr>
        <w:t>Nannapaneni</w:t>
      </w:r>
      <w:proofErr w:type="spellEnd"/>
      <w:r w:rsidRPr="00087534">
        <w:rPr>
          <w:lang w:val="en-GB"/>
        </w:rPr>
        <w:t>). Rajeev joined NPL’s board in 2005 and had been looking after its day</w:t>
      </w:r>
      <w:r>
        <w:rPr>
          <w:lang w:val="en-GB"/>
        </w:rPr>
        <w:t>-</w:t>
      </w:r>
      <w:r w:rsidRPr="00087534">
        <w:rPr>
          <w:lang w:val="en-GB"/>
        </w:rPr>
        <w:t>to</w:t>
      </w:r>
      <w:r>
        <w:rPr>
          <w:lang w:val="en-GB"/>
        </w:rPr>
        <w:t>-</w:t>
      </w:r>
      <w:r w:rsidRPr="00087534">
        <w:rPr>
          <w:lang w:val="en-GB"/>
        </w:rPr>
        <w:t xml:space="preserve">day activities with the help of experienced professionals; he held two bachelor’s degrees, one in </w:t>
      </w:r>
      <w:r>
        <w:rPr>
          <w:lang w:val="en-GB"/>
        </w:rPr>
        <w:t>q</w:t>
      </w:r>
      <w:r w:rsidRPr="00087534">
        <w:rPr>
          <w:lang w:val="en-GB"/>
        </w:rPr>
        <w:t xml:space="preserve">uantitative </w:t>
      </w:r>
      <w:r>
        <w:rPr>
          <w:lang w:val="en-GB"/>
        </w:rPr>
        <w:t>e</w:t>
      </w:r>
      <w:r w:rsidRPr="00087534">
        <w:rPr>
          <w:lang w:val="en-GB"/>
        </w:rPr>
        <w:t xml:space="preserve">conomics and the other in </w:t>
      </w:r>
      <w:r>
        <w:rPr>
          <w:lang w:val="en-GB"/>
        </w:rPr>
        <w:t>h</w:t>
      </w:r>
      <w:r w:rsidRPr="00087534">
        <w:rPr>
          <w:lang w:val="en-GB"/>
        </w:rPr>
        <w:t>istory</w:t>
      </w:r>
      <w:r>
        <w:rPr>
          <w:lang w:val="en-GB"/>
        </w:rPr>
        <w:t>, both</w:t>
      </w:r>
      <w:r w:rsidRPr="00087534">
        <w:rPr>
          <w:lang w:val="en-GB"/>
        </w:rPr>
        <w:t xml:space="preserve"> from Tufts University, Boston.</w:t>
      </w:r>
    </w:p>
    <w:p w14:paraId="2C2C5C43" w14:textId="77777777" w:rsidR="004338C2" w:rsidRPr="003002B1" w:rsidRDefault="004338C2" w:rsidP="00D33D14">
      <w:pPr>
        <w:pStyle w:val="BodyTextMain"/>
        <w:rPr>
          <w:sz w:val="18"/>
          <w:szCs w:val="18"/>
          <w:lang w:val="en-GB"/>
        </w:rPr>
      </w:pPr>
    </w:p>
    <w:p w14:paraId="3CDC4132" w14:textId="38FA57F6" w:rsidR="004338C2" w:rsidRPr="00E61FC8" w:rsidRDefault="004338C2" w:rsidP="00D33D14">
      <w:pPr>
        <w:pStyle w:val="BodyTextMain"/>
        <w:rPr>
          <w:spacing w:val="-4"/>
          <w:kern w:val="2"/>
          <w:lang w:val="en-GB"/>
        </w:rPr>
      </w:pPr>
      <w:r w:rsidRPr="00E61FC8">
        <w:rPr>
          <w:spacing w:val="-4"/>
          <w:kern w:val="2"/>
          <w:lang w:val="en-GB"/>
        </w:rPr>
        <w:t xml:space="preserve">NPL was a vertically integrated pharmaceutical manufacturing company with seven production facilities and an advanced research and development (R&amp;D) centre that was accredited by the Government of India’s Department of Scientific and Industrial Research. The company’s manufacturing facilities were approved by various regulatory authorities, including the United States Food and Drug Administration (USFDA), the public health </w:t>
      </w:r>
      <w:r w:rsidRPr="00E61FC8">
        <w:rPr>
          <w:spacing w:val="-4"/>
          <w:kern w:val="2"/>
          <w:lang w:val="en-GB"/>
        </w:rPr>
        <w:lastRenderedPageBreak/>
        <w:t xml:space="preserve">service of the Netherlands, the German health authority, and the pharmaceuticals and medical devices agency of Japan. The company was also certified by the World Health Organization (WHO) for its good manufacturing practices. The company was setting up a new manufacturing facility in Visakhapatnam, Andhra Pradesh, with a total investment of </w:t>
      </w:r>
      <w:r w:rsidRPr="00E61FC8">
        <w:rPr>
          <w:rFonts w:ascii="Arial" w:hAnsi="Arial" w:cs="Arial"/>
          <w:spacing w:val="-4"/>
          <w:kern w:val="2"/>
          <w:sz w:val="20"/>
          <w:szCs w:val="20"/>
          <w:lang w:val="en-GB"/>
        </w:rPr>
        <w:t>₹</w:t>
      </w:r>
      <w:r w:rsidRPr="00E61FC8">
        <w:rPr>
          <w:spacing w:val="-4"/>
          <w:kern w:val="2"/>
          <w:lang w:val="en-GB"/>
        </w:rPr>
        <w:t>1.2 billion, and it would commence operations in financial year (FY) 2016–17.</w:t>
      </w:r>
    </w:p>
    <w:p w14:paraId="68BDE03F" w14:textId="77777777" w:rsidR="004338C2" w:rsidRPr="003002B1" w:rsidRDefault="004338C2" w:rsidP="00D33D14">
      <w:pPr>
        <w:pStyle w:val="BodyTextMain"/>
        <w:rPr>
          <w:sz w:val="18"/>
          <w:szCs w:val="18"/>
          <w:lang w:val="en-GB"/>
        </w:rPr>
      </w:pPr>
    </w:p>
    <w:p w14:paraId="5750BCDB" w14:textId="1DBD77B3" w:rsidR="004338C2" w:rsidRPr="00E61FC8" w:rsidRDefault="004338C2" w:rsidP="00D33D14">
      <w:pPr>
        <w:pStyle w:val="BodyTextMain"/>
        <w:rPr>
          <w:spacing w:val="-4"/>
          <w:kern w:val="22"/>
          <w:lang w:val="en-GB"/>
        </w:rPr>
      </w:pPr>
      <w:r w:rsidRPr="00E61FC8">
        <w:rPr>
          <w:spacing w:val="-4"/>
          <w:kern w:val="22"/>
          <w:lang w:val="en-GB"/>
        </w:rPr>
        <w:t>NPL was engaged in developing, manufacturing, and marketing active pharmaceutical ingredients (API</w:t>
      </w:r>
      <w:r w:rsidR="0073716A" w:rsidRPr="00E61FC8">
        <w:rPr>
          <w:spacing w:val="-4"/>
          <w:kern w:val="22"/>
          <w:lang w:val="en-GB"/>
        </w:rPr>
        <w:t>s</w:t>
      </w:r>
      <w:r w:rsidRPr="00E61FC8">
        <w:rPr>
          <w:spacing w:val="-4"/>
          <w:kern w:val="22"/>
          <w:lang w:val="en-GB"/>
        </w:rPr>
        <w:t xml:space="preserve">) and finished dosage formulations. The company’s first product was </w:t>
      </w:r>
      <w:proofErr w:type="spellStart"/>
      <w:r w:rsidRPr="00E61FC8">
        <w:rPr>
          <w:spacing w:val="-4"/>
          <w:kern w:val="22"/>
          <w:lang w:val="en-GB"/>
        </w:rPr>
        <w:t>Cardicap</w:t>
      </w:r>
      <w:proofErr w:type="spellEnd"/>
      <w:r w:rsidRPr="00E61FC8">
        <w:rPr>
          <w:spacing w:val="-4"/>
          <w:kern w:val="22"/>
          <w:lang w:val="en-GB"/>
        </w:rPr>
        <w:t>, an anti-</w:t>
      </w:r>
      <w:proofErr w:type="spellStart"/>
      <w:r w:rsidRPr="00E61FC8">
        <w:rPr>
          <w:spacing w:val="-4"/>
          <w:kern w:val="22"/>
          <w:lang w:val="en-GB"/>
        </w:rPr>
        <w:t>anginal</w:t>
      </w:r>
      <w:proofErr w:type="spellEnd"/>
      <w:r w:rsidRPr="00E61FC8">
        <w:rPr>
          <w:spacing w:val="-4"/>
          <w:kern w:val="22"/>
          <w:lang w:val="en-GB"/>
        </w:rPr>
        <w:t xml:space="preserve"> drug. Subsequently, the company introduced many products in the market, namely </w:t>
      </w:r>
      <w:proofErr w:type="spellStart"/>
      <w:r w:rsidRPr="00E61FC8">
        <w:rPr>
          <w:spacing w:val="-4"/>
          <w:kern w:val="22"/>
          <w:lang w:val="en-GB"/>
        </w:rPr>
        <w:t>Coldact</w:t>
      </w:r>
      <w:proofErr w:type="spellEnd"/>
      <w:r w:rsidRPr="00E61FC8">
        <w:rPr>
          <w:spacing w:val="-4"/>
          <w:kern w:val="22"/>
          <w:lang w:val="en-GB"/>
        </w:rPr>
        <w:t xml:space="preserve">, </w:t>
      </w:r>
      <w:proofErr w:type="spellStart"/>
      <w:r w:rsidRPr="00E61FC8">
        <w:rPr>
          <w:spacing w:val="-4"/>
          <w:kern w:val="22"/>
          <w:lang w:val="en-GB"/>
        </w:rPr>
        <w:t>Ferronat</w:t>
      </w:r>
      <w:proofErr w:type="spellEnd"/>
      <w:r w:rsidRPr="00E61FC8">
        <w:rPr>
          <w:spacing w:val="-4"/>
          <w:kern w:val="22"/>
          <w:lang w:val="en-GB"/>
        </w:rPr>
        <w:t>, Isosorbide, and Theophyllin</w:t>
      </w:r>
      <w:r w:rsidR="00FB543F" w:rsidRPr="00E61FC8">
        <w:rPr>
          <w:spacing w:val="-4"/>
          <w:kern w:val="22"/>
          <w:lang w:val="en-GB"/>
        </w:rPr>
        <w:t>e</w:t>
      </w:r>
      <w:r w:rsidRPr="00E61FC8">
        <w:rPr>
          <w:spacing w:val="-4"/>
          <w:kern w:val="22"/>
          <w:lang w:val="en-GB"/>
        </w:rPr>
        <w:t xml:space="preserve">. By 1985, it had dosage forms in cardiovascular, anti-cold, anti-asthmatic, and antibiotic segments. </w:t>
      </w:r>
      <w:r w:rsidR="0073716A" w:rsidRPr="00E61FC8">
        <w:rPr>
          <w:spacing w:val="-4"/>
          <w:kern w:val="22"/>
          <w:lang w:val="en-GB"/>
        </w:rPr>
        <w:t xml:space="preserve">That same year, </w:t>
      </w:r>
      <w:r w:rsidRPr="00E61FC8">
        <w:rPr>
          <w:spacing w:val="-4"/>
          <w:kern w:val="22"/>
          <w:lang w:val="en-GB"/>
        </w:rPr>
        <w:t>NPL pioneered “time-release technology”</w:t>
      </w:r>
      <w:r w:rsidRPr="00E61FC8">
        <w:rPr>
          <w:spacing w:val="-4"/>
          <w:kern w:val="22"/>
          <w:vertAlign w:val="superscript"/>
          <w:lang w:val="en-GB"/>
        </w:rPr>
        <w:footnoteReference w:id="2"/>
      </w:r>
      <w:r w:rsidRPr="00E61FC8">
        <w:rPr>
          <w:spacing w:val="-4"/>
          <w:kern w:val="22"/>
          <w:lang w:val="en-GB"/>
        </w:rPr>
        <w:t xml:space="preserve"> in India </w:t>
      </w:r>
      <w:r w:rsidR="0073716A" w:rsidRPr="00E61FC8">
        <w:rPr>
          <w:spacing w:val="-4"/>
          <w:kern w:val="22"/>
          <w:lang w:val="en-GB"/>
        </w:rPr>
        <w:t xml:space="preserve">for the </w:t>
      </w:r>
      <w:r w:rsidRPr="00E61FC8">
        <w:rPr>
          <w:spacing w:val="-4"/>
          <w:kern w:val="22"/>
          <w:lang w:val="en-GB"/>
        </w:rPr>
        <w:t>dosage forms of life-saving drugs.</w:t>
      </w:r>
    </w:p>
    <w:p w14:paraId="4F6A13F2" w14:textId="77777777" w:rsidR="004338C2" w:rsidRPr="003002B1" w:rsidRDefault="004338C2" w:rsidP="00D33D14">
      <w:pPr>
        <w:pStyle w:val="BodyTextMain"/>
        <w:rPr>
          <w:sz w:val="18"/>
          <w:szCs w:val="18"/>
          <w:lang w:val="en-GB"/>
        </w:rPr>
      </w:pPr>
    </w:p>
    <w:p w14:paraId="338C0474" w14:textId="6F71329B" w:rsidR="004338C2" w:rsidRPr="00087534" w:rsidRDefault="004338C2" w:rsidP="00D33D14">
      <w:pPr>
        <w:pStyle w:val="BodyTextMain"/>
        <w:rPr>
          <w:lang w:val="en-GB"/>
        </w:rPr>
      </w:pPr>
      <w:r w:rsidRPr="00087534">
        <w:rPr>
          <w:lang w:val="en-GB"/>
        </w:rPr>
        <w:t xml:space="preserve">In the formulations segment, NPL was a leading player in </w:t>
      </w:r>
      <w:r w:rsidR="0064511E">
        <w:rPr>
          <w:lang w:val="en-GB"/>
        </w:rPr>
        <w:t>the</w:t>
      </w:r>
      <w:r w:rsidR="0073716A">
        <w:rPr>
          <w:lang w:val="en-GB"/>
        </w:rPr>
        <w:t xml:space="preserve"> </w:t>
      </w:r>
      <w:r w:rsidRPr="00087534">
        <w:rPr>
          <w:lang w:val="en-GB"/>
        </w:rPr>
        <w:t xml:space="preserve">oncology domain and a preferred supplier to many multinational companies in the Indian pharmaceutical industry. </w:t>
      </w:r>
      <w:r>
        <w:rPr>
          <w:lang w:val="en-GB"/>
        </w:rPr>
        <w:t>NPL’s</w:t>
      </w:r>
      <w:r w:rsidRPr="00087534">
        <w:rPr>
          <w:lang w:val="en-GB"/>
        </w:rPr>
        <w:t xml:space="preserve"> major revenue</w:t>
      </w:r>
      <w:r>
        <w:rPr>
          <w:lang w:val="en-GB"/>
        </w:rPr>
        <w:t>-</w:t>
      </w:r>
      <w:r w:rsidRPr="00087534">
        <w:rPr>
          <w:lang w:val="en-GB"/>
        </w:rPr>
        <w:t xml:space="preserve">earning brands were </w:t>
      </w:r>
      <w:proofErr w:type="spellStart"/>
      <w:r w:rsidRPr="00087534">
        <w:rPr>
          <w:lang w:val="en-GB"/>
        </w:rPr>
        <w:t>Veenat</w:t>
      </w:r>
      <w:proofErr w:type="spellEnd"/>
      <w:r w:rsidRPr="00087534">
        <w:rPr>
          <w:lang w:val="en-GB"/>
        </w:rPr>
        <w:t xml:space="preserve">, </w:t>
      </w:r>
      <w:proofErr w:type="spellStart"/>
      <w:r w:rsidRPr="00087534">
        <w:rPr>
          <w:lang w:val="en-GB"/>
        </w:rPr>
        <w:t>Erlonat</w:t>
      </w:r>
      <w:proofErr w:type="spellEnd"/>
      <w:r w:rsidRPr="00087534">
        <w:rPr>
          <w:lang w:val="en-GB"/>
        </w:rPr>
        <w:t xml:space="preserve">, </w:t>
      </w:r>
      <w:proofErr w:type="spellStart"/>
      <w:r w:rsidRPr="00087534">
        <w:rPr>
          <w:lang w:val="en-GB"/>
        </w:rPr>
        <w:t>Geftinat</w:t>
      </w:r>
      <w:proofErr w:type="spellEnd"/>
      <w:r w:rsidRPr="00087534">
        <w:rPr>
          <w:lang w:val="en-GB"/>
        </w:rPr>
        <w:t xml:space="preserve">, </w:t>
      </w:r>
      <w:proofErr w:type="spellStart"/>
      <w:r w:rsidRPr="00087534">
        <w:rPr>
          <w:lang w:val="en-GB"/>
        </w:rPr>
        <w:t>Lenalid</w:t>
      </w:r>
      <w:proofErr w:type="spellEnd"/>
      <w:r w:rsidRPr="00087534">
        <w:rPr>
          <w:lang w:val="en-GB"/>
        </w:rPr>
        <w:t xml:space="preserve">, and </w:t>
      </w:r>
      <w:proofErr w:type="spellStart"/>
      <w:r w:rsidRPr="00087534">
        <w:rPr>
          <w:lang w:val="en-GB"/>
        </w:rPr>
        <w:t>Sorafenat</w:t>
      </w:r>
      <w:proofErr w:type="spellEnd"/>
      <w:r w:rsidRPr="00087534">
        <w:rPr>
          <w:lang w:val="en-GB"/>
        </w:rPr>
        <w:t xml:space="preserve">, each </w:t>
      </w:r>
      <w:r>
        <w:rPr>
          <w:lang w:val="en-GB"/>
        </w:rPr>
        <w:t>representing an annual turnover of</w:t>
      </w:r>
      <w:r w:rsidRPr="00087534">
        <w:rPr>
          <w:lang w:val="en-GB"/>
        </w:rPr>
        <w:t xml:space="preserve"> more </w:t>
      </w:r>
      <w:r w:rsidRPr="000B72C8">
        <w:rPr>
          <w:lang w:val="en-GB"/>
        </w:rPr>
        <w:t>than</w:t>
      </w:r>
      <w:r w:rsidRPr="00087534">
        <w:rPr>
          <w:lang w:val="en-GB"/>
        </w:rPr>
        <w:t xml:space="preserve"> </w:t>
      </w:r>
      <w:r w:rsidRPr="00977E45">
        <w:rPr>
          <w:rFonts w:ascii="Arial" w:hAnsi="Arial" w:cs="Arial"/>
          <w:sz w:val="20"/>
          <w:szCs w:val="20"/>
          <w:lang w:val="en-GB"/>
        </w:rPr>
        <w:t>₹</w:t>
      </w:r>
      <w:r w:rsidRPr="00087534">
        <w:rPr>
          <w:lang w:val="en-GB"/>
        </w:rPr>
        <w:t xml:space="preserve">100 million. The company had just </w:t>
      </w:r>
      <w:r>
        <w:rPr>
          <w:lang w:val="en-GB"/>
        </w:rPr>
        <w:t>six</w:t>
      </w:r>
      <w:r w:rsidRPr="00087534">
        <w:rPr>
          <w:lang w:val="en-GB"/>
        </w:rPr>
        <w:t xml:space="preserve"> products in the oncology segment in 2003; </w:t>
      </w:r>
      <w:r w:rsidR="0073716A">
        <w:rPr>
          <w:lang w:val="en-GB"/>
        </w:rPr>
        <w:t xml:space="preserve">however, by 2015, </w:t>
      </w:r>
      <w:r>
        <w:rPr>
          <w:lang w:val="en-GB"/>
        </w:rPr>
        <w:t>through its constant R&amp;D efforts,</w:t>
      </w:r>
      <w:r w:rsidRPr="00087534">
        <w:rPr>
          <w:lang w:val="en-GB"/>
        </w:rPr>
        <w:t xml:space="preserve"> it </w:t>
      </w:r>
      <w:r>
        <w:rPr>
          <w:lang w:val="en-GB"/>
        </w:rPr>
        <w:t xml:space="preserve">had </w:t>
      </w:r>
      <w:r w:rsidRPr="00087534">
        <w:rPr>
          <w:lang w:val="en-GB"/>
        </w:rPr>
        <w:t>increased its oncology product portfolio to 26 (</w:t>
      </w:r>
      <w:r>
        <w:rPr>
          <w:lang w:val="en-GB"/>
        </w:rPr>
        <w:t xml:space="preserve">for </w:t>
      </w:r>
      <w:r w:rsidR="0064511E">
        <w:rPr>
          <w:lang w:val="en-GB"/>
        </w:rPr>
        <w:t xml:space="preserve">the treatment of </w:t>
      </w:r>
      <w:r w:rsidRPr="00087534">
        <w:rPr>
          <w:lang w:val="en-GB"/>
        </w:rPr>
        <w:t>brain, breast, bone, lung</w:t>
      </w:r>
      <w:r>
        <w:rPr>
          <w:lang w:val="en-GB"/>
        </w:rPr>
        <w:t>,</w:t>
      </w:r>
      <w:r w:rsidRPr="00087534">
        <w:rPr>
          <w:lang w:val="en-GB"/>
        </w:rPr>
        <w:t xml:space="preserve"> and ovarian cancer</w:t>
      </w:r>
      <w:r>
        <w:rPr>
          <w:lang w:val="en-GB"/>
        </w:rPr>
        <w:t>s</w:t>
      </w:r>
      <w:r w:rsidRPr="00087534">
        <w:rPr>
          <w:lang w:val="en-GB"/>
        </w:rPr>
        <w:t xml:space="preserve">) (see Exhibit 1). The company derived </w:t>
      </w:r>
      <w:r w:rsidR="00E4445C" w:rsidRPr="00087534">
        <w:rPr>
          <w:lang w:val="en-GB"/>
        </w:rPr>
        <w:t>27</w:t>
      </w:r>
      <w:r w:rsidR="00E4445C">
        <w:rPr>
          <w:lang w:val="en-GB"/>
        </w:rPr>
        <w:t> </w:t>
      </w:r>
      <w:r w:rsidR="00E4445C" w:rsidRPr="00087534">
        <w:rPr>
          <w:lang w:val="en-GB"/>
        </w:rPr>
        <w:t>per</w:t>
      </w:r>
      <w:r w:rsidR="00E4445C">
        <w:rPr>
          <w:lang w:val="en-GB"/>
        </w:rPr>
        <w:t> </w:t>
      </w:r>
      <w:r w:rsidRPr="00087534">
        <w:rPr>
          <w:lang w:val="en-GB"/>
        </w:rPr>
        <w:t xml:space="preserve">cent of its revenue from </w:t>
      </w:r>
      <w:r w:rsidR="00E4445C">
        <w:rPr>
          <w:lang w:val="en-GB"/>
        </w:rPr>
        <w:t xml:space="preserve">the </w:t>
      </w:r>
      <w:r w:rsidRPr="00087534">
        <w:rPr>
          <w:lang w:val="en-GB"/>
        </w:rPr>
        <w:t>oncology division during FY 2014</w:t>
      </w:r>
      <w:r>
        <w:rPr>
          <w:lang w:val="en-GB"/>
        </w:rPr>
        <w:t>–</w:t>
      </w:r>
      <w:r w:rsidRPr="00087534">
        <w:rPr>
          <w:lang w:val="en-GB"/>
        </w:rPr>
        <w:t xml:space="preserve">15. It also </w:t>
      </w:r>
      <w:r>
        <w:rPr>
          <w:lang w:val="en-GB"/>
        </w:rPr>
        <w:t xml:space="preserve">had a </w:t>
      </w:r>
      <w:r w:rsidRPr="00087534">
        <w:rPr>
          <w:lang w:val="en-GB"/>
        </w:rPr>
        <w:t>presence in other therapeutic segments</w:t>
      </w:r>
      <w:r>
        <w:rPr>
          <w:lang w:val="en-GB"/>
        </w:rPr>
        <w:t>,</w:t>
      </w:r>
      <w:r w:rsidRPr="00087534">
        <w:rPr>
          <w:lang w:val="en-GB"/>
        </w:rPr>
        <w:t xml:space="preserve"> </w:t>
      </w:r>
      <w:r>
        <w:rPr>
          <w:lang w:val="en-GB"/>
        </w:rPr>
        <w:t xml:space="preserve">including </w:t>
      </w:r>
      <w:r w:rsidR="00E4445C">
        <w:rPr>
          <w:lang w:val="en-GB"/>
        </w:rPr>
        <w:t>those</w:t>
      </w:r>
      <w:r>
        <w:rPr>
          <w:lang w:val="en-GB"/>
        </w:rPr>
        <w:t xml:space="preserve"> relating to</w:t>
      </w:r>
      <w:r w:rsidRPr="00087534">
        <w:rPr>
          <w:lang w:val="en-GB"/>
        </w:rPr>
        <w:t xml:space="preserve"> critical care, orthopaedics, gastrointestinal</w:t>
      </w:r>
      <w:r>
        <w:rPr>
          <w:lang w:val="en-GB"/>
        </w:rPr>
        <w:t xml:space="preserve"> ailments,</w:t>
      </w:r>
      <w:r w:rsidRPr="00087534">
        <w:rPr>
          <w:lang w:val="en-GB"/>
        </w:rPr>
        <w:t xml:space="preserve"> and central nervous system</w:t>
      </w:r>
      <w:r>
        <w:rPr>
          <w:lang w:val="en-GB"/>
        </w:rPr>
        <w:t xml:space="preserve"> functioning</w:t>
      </w:r>
      <w:r w:rsidRPr="00087534">
        <w:rPr>
          <w:lang w:val="en-GB"/>
        </w:rPr>
        <w:t xml:space="preserve"> (see Exhibit 2).</w:t>
      </w:r>
    </w:p>
    <w:p w14:paraId="1D93B24E" w14:textId="77777777" w:rsidR="004338C2" w:rsidRPr="003002B1" w:rsidRDefault="004338C2" w:rsidP="00D33D14">
      <w:pPr>
        <w:pStyle w:val="BodyTextMain"/>
        <w:rPr>
          <w:sz w:val="18"/>
          <w:szCs w:val="18"/>
          <w:lang w:val="en-GB"/>
        </w:rPr>
      </w:pPr>
    </w:p>
    <w:p w14:paraId="462C1DD9" w14:textId="79740FF5" w:rsidR="004338C2" w:rsidRPr="00E61FC8" w:rsidRDefault="004338C2" w:rsidP="00D33D14">
      <w:pPr>
        <w:pStyle w:val="BodyTextMain"/>
        <w:rPr>
          <w:spacing w:val="-2"/>
          <w:kern w:val="2"/>
          <w:lang w:val="en-GB"/>
        </w:rPr>
      </w:pPr>
      <w:r w:rsidRPr="00E61FC8">
        <w:rPr>
          <w:spacing w:val="-2"/>
          <w:kern w:val="2"/>
          <w:lang w:val="en-GB"/>
        </w:rPr>
        <w:t xml:space="preserve">NPL had agreements with the leading international pharmaceutical companies to develop, manufacture, and supply APIs and formulations for regulated markets. NPL had also been undertaking contract research and manufacturing services and supplying to well-known companies such as </w:t>
      </w:r>
      <w:proofErr w:type="spellStart"/>
      <w:r w:rsidRPr="00E61FC8">
        <w:rPr>
          <w:spacing w:val="-2"/>
          <w:kern w:val="2"/>
          <w:lang w:val="en-GB"/>
        </w:rPr>
        <w:t>Cadila</w:t>
      </w:r>
      <w:proofErr w:type="spellEnd"/>
      <w:r w:rsidRPr="00E61FC8">
        <w:rPr>
          <w:spacing w:val="-2"/>
          <w:kern w:val="2"/>
          <w:lang w:val="en-GB"/>
        </w:rPr>
        <w:t xml:space="preserve"> Healthcare, </w:t>
      </w:r>
      <w:proofErr w:type="spellStart"/>
      <w:r w:rsidRPr="00E61FC8">
        <w:rPr>
          <w:spacing w:val="-2"/>
          <w:kern w:val="2"/>
          <w:lang w:val="en-GB"/>
        </w:rPr>
        <w:t>Dr.</w:t>
      </w:r>
      <w:proofErr w:type="spellEnd"/>
      <w:r w:rsidRPr="00E61FC8">
        <w:rPr>
          <w:spacing w:val="-2"/>
          <w:kern w:val="2"/>
          <w:lang w:val="en-GB"/>
        </w:rPr>
        <w:t xml:space="preserve"> Reddy’s Laboratories, </w:t>
      </w:r>
      <w:r w:rsidR="00AB4D06" w:rsidRPr="00E61FC8">
        <w:rPr>
          <w:spacing w:val="-2"/>
          <w:kern w:val="2"/>
        </w:rPr>
        <w:t>Wyeth Pharmaceuticals</w:t>
      </w:r>
      <w:r w:rsidRPr="00E61FC8">
        <w:rPr>
          <w:spacing w:val="-2"/>
          <w:kern w:val="2"/>
          <w:lang w:val="en-GB"/>
        </w:rPr>
        <w:t xml:space="preserve">, </w:t>
      </w:r>
      <w:proofErr w:type="spellStart"/>
      <w:r w:rsidRPr="00E61FC8">
        <w:rPr>
          <w:spacing w:val="-2"/>
          <w:kern w:val="2"/>
          <w:lang w:val="en-GB"/>
        </w:rPr>
        <w:t>Lupin</w:t>
      </w:r>
      <w:proofErr w:type="spellEnd"/>
      <w:r w:rsidRPr="00E61FC8">
        <w:rPr>
          <w:spacing w:val="-2"/>
          <w:kern w:val="2"/>
          <w:lang w:val="en-GB"/>
        </w:rPr>
        <w:t xml:space="preserve"> Limited, Mylan </w:t>
      </w:r>
      <w:r w:rsidR="00E4445C" w:rsidRPr="00E61FC8">
        <w:rPr>
          <w:spacing w:val="-2"/>
          <w:kern w:val="2"/>
          <w:lang w:val="en-GB"/>
        </w:rPr>
        <w:t>NV</w:t>
      </w:r>
      <w:r w:rsidRPr="00E61FC8">
        <w:rPr>
          <w:spacing w:val="-2"/>
          <w:kern w:val="2"/>
          <w:lang w:val="en-GB"/>
        </w:rPr>
        <w:t xml:space="preserve">, and Sun Pharmaceuticals Industries Ltd. In the U.S. market, NPL had been pursuing a relatively </w:t>
      </w:r>
      <w:proofErr w:type="spellStart"/>
      <w:r w:rsidRPr="00E61FC8">
        <w:rPr>
          <w:spacing w:val="-2"/>
          <w:kern w:val="2"/>
          <w:lang w:val="en-GB"/>
        </w:rPr>
        <w:t>derisked</w:t>
      </w:r>
      <w:proofErr w:type="spellEnd"/>
      <w:r w:rsidRPr="00E61FC8">
        <w:rPr>
          <w:spacing w:val="-2"/>
          <w:kern w:val="2"/>
          <w:lang w:val="en-GB"/>
        </w:rPr>
        <w:t xml:space="preserve"> business model, wherein it manufactured generic versions</w:t>
      </w:r>
      <w:r w:rsidRPr="00E61FC8">
        <w:rPr>
          <w:spacing w:val="-2"/>
          <w:kern w:val="2"/>
          <w:vertAlign w:val="superscript"/>
          <w:lang w:val="en-GB"/>
        </w:rPr>
        <w:footnoteReference w:id="3"/>
      </w:r>
      <w:r w:rsidRPr="00E61FC8">
        <w:rPr>
          <w:spacing w:val="-2"/>
          <w:kern w:val="2"/>
          <w:lang w:val="en-GB"/>
        </w:rPr>
        <w:t xml:space="preserve"> of patented drugs, while its collaborating partner was typically responsible for marketing and distribution, on a profit-sharing basis. In the domestic market, NPL was selling its products through its 170-plus marketing personnel and 350 distributors spread across India. Also, the company was directly selling its products to government departments, clinics, and hospitals. The company exported goods worth </w:t>
      </w:r>
      <w:r w:rsidRPr="00E61FC8">
        <w:rPr>
          <w:rFonts w:ascii="Arial" w:hAnsi="Arial" w:cs="Arial"/>
          <w:spacing w:val="-2"/>
          <w:kern w:val="2"/>
          <w:sz w:val="20"/>
          <w:szCs w:val="20"/>
          <w:lang w:val="en-GB"/>
        </w:rPr>
        <w:t>₹</w:t>
      </w:r>
      <w:r w:rsidRPr="00E61FC8">
        <w:rPr>
          <w:spacing w:val="-2"/>
          <w:kern w:val="2"/>
          <w:lang w:val="en-GB"/>
        </w:rPr>
        <w:t>2.87 billion (40 per cent of its net sales) to more than 40 countries around the globe during FY 2014–15.</w:t>
      </w:r>
    </w:p>
    <w:p w14:paraId="2581DA8F" w14:textId="77777777" w:rsidR="004338C2" w:rsidRPr="003002B1" w:rsidRDefault="004338C2" w:rsidP="00D33D14">
      <w:pPr>
        <w:pStyle w:val="BodyTextMain"/>
        <w:rPr>
          <w:sz w:val="18"/>
          <w:szCs w:val="18"/>
          <w:lang w:val="en-GB"/>
        </w:rPr>
      </w:pPr>
    </w:p>
    <w:p w14:paraId="01AA79CB" w14:textId="77777777" w:rsidR="004338C2" w:rsidRPr="003002B1" w:rsidRDefault="004338C2" w:rsidP="00D33D14">
      <w:pPr>
        <w:pStyle w:val="BodyTextMain"/>
        <w:rPr>
          <w:sz w:val="18"/>
          <w:szCs w:val="18"/>
          <w:lang w:val="en-GB"/>
        </w:rPr>
      </w:pPr>
    </w:p>
    <w:p w14:paraId="040F0C0F" w14:textId="77777777" w:rsidR="004338C2" w:rsidRPr="00087534" w:rsidRDefault="004338C2" w:rsidP="00D33D14">
      <w:pPr>
        <w:pStyle w:val="Casehead1"/>
        <w:rPr>
          <w:rFonts w:eastAsia="Calibri"/>
          <w:lang w:val="en-GB"/>
        </w:rPr>
      </w:pPr>
      <w:r w:rsidRPr="00087534">
        <w:rPr>
          <w:rFonts w:eastAsia="Calibri"/>
          <w:lang w:val="en-GB"/>
        </w:rPr>
        <w:t>RESEARCH AND DEVELOPMENT</w:t>
      </w:r>
    </w:p>
    <w:p w14:paraId="504E4E7A" w14:textId="77777777" w:rsidR="004338C2" w:rsidRPr="003002B1" w:rsidRDefault="004338C2" w:rsidP="00D33D14">
      <w:pPr>
        <w:pStyle w:val="BodyTextMain"/>
        <w:rPr>
          <w:sz w:val="18"/>
          <w:szCs w:val="18"/>
          <w:lang w:val="en-GB"/>
        </w:rPr>
      </w:pPr>
    </w:p>
    <w:p w14:paraId="67258389" w14:textId="2CC47BE2" w:rsidR="004338C2" w:rsidRDefault="004338C2" w:rsidP="00D33D14">
      <w:pPr>
        <w:pStyle w:val="BodyTextMain"/>
        <w:rPr>
          <w:lang w:val="en-GB"/>
        </w:rPr>
      </w:pPr>
      <w:r w:rsidRPr="00087534">
        <w:rPr>
          <w:lang w:val="en-GB"/>
        </w:rPr>
        <w:t>NPL had well</w:t>
      </w:r>
      <w:r>
        <w:rPr>
          <w:lang w:val="en-GB"/>
        </w:rPr>
        <w:t>-</w:t>
      </w:r>
      <w:r w:rsidRPr="00087534">
        <w:rPr>
          <w:lang w:val="en-GB"/>
        </w:rPr>
        <w:t>equipped R&amp;D facilities in Hyderabad</w:t>
      </w:r>
      <w:r w:rsidR="00E4445C">
        <w:rPr>
          <w:lang w:val="en-GB"/>
        </w:rPr>
        <w:t>, which</w:t>
      </w:r>
      <w:r w:rsidR="00524D3B">
        <w:rPr>
          <w:lang w:val="en-GB"/>
        </w:rPr>
        <w:t xml:space="preserve"> were </w:t>
      </w:r>
      <w:r w:rsidRPr="00087534">
        <w:rPr>
          <w:lang w:val="en-GB"/>
        </w:rPr>
        <w:t>run by qualified scientists, chemists</w:t>
      </w:r>
      <w:r>
        <w:rPr>
          <w:lang w:val="en-GB"/>
        </w:rPr>
        <w:t>,</w:t>
      </w:r>
      <w:r w:rsidRPr="00087534">
        <w:rPr>
          <w:lang w:val="en-GB"/>
        </w:rPr>
        <w:t xml:space="preserve"> and pharmacists. The company had a strong research team of </w:t>
      </w:r>
      <w:r>
        <w:rPr>
          <w:lang w:val="en-GB"/>
        </w:rPr>
        <w:t>more than</w:t>
      </w:r>
      <w:r w:rsidRPr="00087534">
        <w:rPr>
          <w:lang w:val="en-GB"/>
        </w:rPr>
        <w:t xml:space="preserve"> 240 people, </w:t>
      </w:r>
      <w:r>
        <w:rPr>
          <w:lang w:val="en-GB"/>
        </w:rPr>
        <w:t>most</w:t>
      </w:r>
      <w:r w:rsidRPr="00087534">
        <w:rPr>
          <w:lang w:val="en-GB"/>
        </w:rPr>
        <w:t xml:space="preserve"> of them well</w:t>
      </w:r>
      <w:r>
        <w:rPr>
          <w:lang w:val="en-GB"/>
        </w:rPr>
        <w:t>-</w:t>
      </w:r>
      <w:r w:rsidRPr="00087534">
        <w:rPr>
          <w:lang w:val="en-GB"/>
        </w:rPr>
        <w:t>experienced and highly</w:t>
      </w:r>
      <w:r w:rsidR="00D87880">
        <w:rPr>
          <w:lang w:val="en-GB"/>
        </w:rPr>
        <w:t xml:space="preserve"> qualified personnel</w:t>
      </w:r>
      <w:r w:rsidRPr="00087534">
        <w:rPr>
          <w:lang w:val="en-GB"/>
        </w:rPr>
        <w:t xml:space="preserve"> with expertise in biotechnology, cell biology, </w:t>
      </w:r>
      <w:proofErr w:type="spellStart"/>
      <w:r w:rsidR="004219E4" w:rsidRPr="00087534">
        <w:rPr>
          <w:lang w:val="en-GB"/>
        </w:rPr>
        <w:t>nano</w:t>
      </w:r>
      <w:proofErr w:type="spellEnd"/>
      <w:r w:rsidR="004219E4">
        <w:rPr>
          <w:lang w:val="en-GB"/>
        </w:rPr>
        <w:t>-</w:t>
      </w:r>
      <w:r w:rsidRPr="00087534">
        <w:rPr>
          <w:lang w:val="en-GB"/>
        </w:rPr>
        <w:t>pharmaceuticals, peptides chemistry, polymer</w:t>
      </w:r>
      <w:r>
        <w:rPr>
          <w:lang w:val="en-GB"/>
        </w:rPr>
        <w:t>-</w:t>
      </w:r>
      <w:r w:rsidRPr="00087534">
        <w:rPr>
          <w:lang w:val="en-GB"/>
        </w:rPr>
        <w:t>based chemistry</w:t>
      </w:r>
      <w:r>
        <w:rPr>
          <w:lang w:val="en-GB"/>
        </w:rPr>
        <w:t>,</w:t>
      </w:r>
      <w:r w:rsidRPr="00087534">
        <w:rPr>
          <w:lang w:val="en-GB"/>
        </w:rPr>
        <w:t xml:space="preserve"> and synthetic chemistry. The company was keen on protecting its intellectual property rights to emerge as a top-class research</w:t>
      </w:r>
      <w:r>
        <w:rPr>
          <w:lang w:val="en-GB"/>
        </w:rPr>
        <w:t>-</w:t>
      </w:r>
      <w:r w:rsidRPr="00087534">
        <w:rPr>
          <w:lang w:val="en-GB"/>
        </w:rPr>
        <w:t>oriented pharmaceutical organization in India.</w:t>
      </w:r>
    </w:p>
    <w:p w14:paraId="3CDE1982" w14:textId="77777777" w:rsidR="00DF6953" w:rsidRPr="00087534" w:rsidRDefault="00DF6953" w:rsidP="00D33D14">
      <w:pPr>
        <w:pStyle w:val="BodyTextMain"/>
        <w:rPr>
          <w:lang w:val="en-GB"/>
        </w:rPr>
      </w:pPr>
    </w:p>
    <w:p w14:paraId="5B922842" w14:textId="20E3C7F9" w:rsidR="004338C2" w:rsidRPr="00E61FC8" w:rsidRDefault="004338C2" w:rsidP="00D33D14">
      <w:pPr>
        <w:pStyle w:val="BodyTextMain"/>
        <w:rPr>
          <w:spacing w:val="-2"/>
          <w:kern w:val="2"/>
          <w:lang w:val="en-GB"/>
        </w:rPr>
      </w:pPr>
      <w:r w:rsidRPr="00E61FC8">
        <w:rPr>
          <w:spacing w:val="-2"/>
          <w:kern w:val="2"/>
          <w:lang w:val="en-GB"/>
        </w:rPr>
        <w:t xml:space="preserve">During FY 2014–15, NPL became the first company in India to launch </w:t>
      </w:r>
      <w:proofErr w:type="spellStart"/>
      <w:r w:rsidRPr="00E61FC8">
        <w:rPr>
          <w:spacing w:val="-2"/>
          <w:kern w:val="2"/>
          <w:lang w:val="en-GB"/>
        </w:rPr>
        <w:t>hepcinat</w:t>
      </w:r>
      <w:proofErr w:type="spellEnd"/>
      <w:r w:rsidRPr="00E61FC8">
        <w:rPr>
          <w:spacing w:val="-2"/>
          <w:kern w:val="2"/>
          <w:lang w:val="en-GB"/>
        </w:rPr>
        <w:t xml:space="preserve">, a generic medicine, in the gastrointestinal space for the treatment of </w:t>
      </w:r>
      <w:r w:rsidR="00524D3B" w:rsidRPr="00E61FC8">
        <w:rPr>
          <w:spacing w:val="-2"/>
          <w:kern w:val="2"/>
          <w:lang w:val="en-GB"/>
        </w:rPr>
        <w:t xml:space="preserve">the </w:t>
      </w:r>
      <w:r w:rsidRPr="00E61FC8">
        <w:rPr>
          <w:spacing w:val="-2"/>
          <w:kern w:val="2"/>
          <w:lang w:val="en-GB"/>
        </w:rPr>
        <w:t>chronic hepatitis C virus.</w:t>
      </w:r>
      <w:r w:rsidRPr="00E61FC8">
        <w:rPr>
          <w:spacing w:val="-2"/>
          <w:kern w:val="2"/>
          <w:vertAlign w:val="superscript"/>
          <w:lang w:val="en-GB"/>
        </w:rPr>
        <w:footnoteReference w:id="4"/>
      </w:r>
      <w:r w:rsidRPr="00E61FC8">
        <w:rPr>
          <w:spacing w:val="-2"/>
          <w:kern w:val="2"/>
          <w:lang w:val="en-GB"/>
        </w:rPr>
        <w:t xml:space="preserve"> According to estimates by the WHO, </w:t>
      </w:r>
      <w:r w:rsidRPr="00E61FC8">
        <w:rPr>
          <w:spacing w:val="-2"/>
          <w:kern w:val="2"/>
          <w:lang w:val="en-GB"/>
        </w:rPr>
        <w:lastRenderedPageBreak/>
        <w:t xml:space="preserve">more than 150 million people had been </w:t>
      </w:r>
      <w:r w:rsidR="00524D3B" w:rsidRPr="00E61FC8">
        <w:rPr>
          <w:spacing w:val="-2"/>
          <w:kern w:val="2"/>
          <w:lang w:val="en-GB"/>
        </w:rPr>
        <w:t>diagnosed with hepatitis C, including</w:t>
      </w:r>
      <w:r w:rsidRPr="00E61FC8">
        <w:rPr>
          <w:spacing w:val="-2"/>
          <w:kern w:val="2"/>
          <w:lang w:val="en-GB"/>
        </w:rPr>
        <w:t xml:space="preserve"> 15–20 million patients </w:t>
      </w:r>
      <w:r w:rsidR="00524D3B" w:rsidRPr="00E61FC8">
        <w:rPr>
          <w:spacing w:val="-2"/>
          <w:kern w:val="2"/>
          <w:lang w:val="en-GB"/>
        </w:rPr>
        <w:t>in India</w:t>
      </w:r>
      <w:r w:rsidRPr="00E61FC8">
        <w:rPr>
          <w:spacing w:val="-2"/>
          <w:kern w:val="2"/>
          <w:lang w:val="en-GB"/>
        </w:rPr>
        <w:t>.</w:t>
      </w:r>
      <w:r w:rsidRPr="00E61FC8">
        <w:rPr>
          <w:spacing w:val="-2"/>
          <w:kern w:val="2"/>
          <w:vertAlign w:val="superscript"/>
          <w:lang w:val="en-GB"/>
        </w:rPr>
        <w:footnoteReference w:id="5"/>
      </w:r>
      <w:r w:rsidRPr="00E61FC8">
        <w:rPr>
          <w:spacing w:val="-2"/>
          <w:kern w:val="2"/>
          <w:lang w:val="en-GB"/>
        </w:rPr>
        <w:t xml:space="preserve"> One noteworthy feature of NPL’s research was that it could develop life-saving drugs at an affordable cost for patients; for instance, before NPL introduced </w:t>
      </w:r>
      <w:proofErr w:type="spellStart"/>
      <w:r w:rsidRPr="00E61FC8">
        <w:rPr>
          <w:spacing w:val="-2"/>
          <w:kern w:val="2"/>
          <w:lang w:val="en-GB"/>
        </w:rPr>
        <w:t>Veenat</w:t>
      </w:r>
      <w:proofErr w:type="spellEnd"/>
      <w:r w:rsidRPr="00E61FC8">
        <w:rPr>
          <w:spacing w:val="-2"/>
          <w:kern w:val="2"/>
          <w:lang w:val="en-GB"/>
        </w:rPr>
        <w:t xml:space="preserve"> (for curing chronic myeloid </w:t>
      </w:r>
      <w:proofErr w:type="spellStart"/>
      <w:r w:rsidRPr="00E61FC8">
        <w:rPr>
          <w:spacing w:val="-2"/>
          <w:kern w:val="2"/>
          <w:lang w:val="en-GB"/>
        </w:rPr>
        <w:t>leukemia</w:t>
      </w:r>
      <w:proofErr w:type="spellEnd"/>
      <w:r w:rsidRPr="00E61FC8">
        <w:rPr>
          <w:spacing w:val="-2"/>
          <w:kern w:val="2"/>
          <w:lang w:val="en-GB"/>
        </w:rPr>
        <w:t xml:space="preserve">), the cost for a month’s dosage was approximately </w:t>
      </w:r>
      <w:r w:rsidRPr="00E61FC8">
        <w:rPr>
          <w:rFonts w:ascii="Arial" w:hAnsi="Arial" w:cs="Arial"/>
          <w:spacing w:val="-2"/>
          <w:kern w:val="2"/>
          <w:sz w:val="20"/>
          <w:szCs w:val="20"/>
          <w:lang w:val="en-GB"/>
        </w:rPr>
        <w:t>₹</w:t>
      </w:r>
      <w:r w:rsidRPr="00E61FC8">
        <w:rPr>
          <w:spacing w:val="-2"/>
          <w:kern w:val="2"/>
          <w:lang w:val="en-GB"/>
        </w:rPr>
        <w:t xml:space="preserve">120,000 in the Indian market. As a result of NPL’s concerted research efforts, NPL was able to introduce </w:t>
      </w:r>
      <w:proofErr w:type="spellStart"/>
      <w:r w:rsidRPr="00E61FC8">
        <w:rPr>
          <w:spacing w:val="-2"/>
          <w:kern w:val="2"/>
          <w:lang w:val="en-GB"/>
        </w:rPr>
        <w:t>Veenat</w:t>
      </w:r>
      <w:proofErr w:type="spellEnd"/>
      <w:r w:rsidRPr="00E61FC8">
        <w:rPr>
          <w:spacing w:val="-2"/>
          <w:kern w:val="2"/>
          <w:lang w:val="en-GB"/>
        </w:rPr>
        <w:t xml:space="preserve"> at the drastically reduced price of </w:t>
      </w:r>
      <w:r w:rsidRPr="00E61FC8">
        <w:rPr>
          <w:rFonts w:ascii="Arial" w:hAnsi="Arial" w:cs="Arial"/>
          <w:spacing w:val="-2"/>
          <w:kern w:val="2"/>
          <w:sz w:val="20"/>
          <w:szCs w:val="20"/>
          <w:lang w:val="en-GB"/>
        </w:rPr>
        <w:t>₹</w:t>
      </w:r>
      <w:r w:rsidRPr="00E61FC8">
        <w:rPr>
          <w:spacing w:val="-2"/>
          <w:kern w:val="2"/>
          <w:lang w:val="en-GB"/>
        </w:rPr>
        <w:t xml:space="preserve">6,000. Similarly, </w:t>
      </w:r>
      <w:r w:rsidR="00D91ABC" w:rsidRPr="00E61FC8">
        <w:rPr>
          <w:spacing w:val="-2"/>
          <w:kern w:val="2"/>
          <w:lang w:val="en-GB"/>
        </w:rPr>
        <w:t xml:space="preserve">in 2012, </w:t>
      </w:r>
      <w:proofErr w:type="spellStart"/>
      <w:r w:rsidR="00D91ABC" w:rsidRPr="00E61FC8">
        <w:rPr>
          <w:spacing w:val="-2"/>
          <w:kern w:val="2"/>
          <w:lang w:val="en-GB"/>
        </w:rPr>
        <w:t>Natco</w:t>
      </w:r>
      <w:proofErr w:type="spellEnd"/>
      <w:r w:rsidR="00D91ABC" w:rsidRPr="00E61FC8">
        <w:rPr>
          <w:spacing w:val="-2"/>
          <w:kern w:val="2"/>
          <w:lang w:val="en-GB"/>
        </w:rPr>
        <w:t xml:space="preserve"> won </w:t>
      </w:r>
      <w:r w:rsidRPr="00E61FC8">
        <w:rPr>
          <w:spacing w:val="-2"/>
          <w:kern w:val="2"/>
          <w:lang w:val="en-GB"/>
        </w:rPr>
        <w:t>a compulsory licence</w:t>
      </w:r>
      <w:r w:rsidRPr="00E61FC8">
        <w:rPr>
          <w:spacing w:val="-2"/>
          <w:kern w:val="2"/>
          <w:vertAlign w:val="superscript"/>
          <w:lang w:val="en-GB"/>
        </w:rPr>
        <w:footnoteReference w:id="6"/>
      </w:r>
      <w:r w:rsidRPr="00E61FC8">
        <w:rPr>
          <w:spacing w:val="-2"/>
          <w:kern w:val="2"/>
          <w:lang w:val="en-GB"/>
        </w:rPr>
        <w:t xml:space="preserve"> </w:t>
      </w:r>
      <w:r w:rsidR="00D91ABC" w:rsidRPr="00E61FC8">
        <w:rPr>
          <w:spacing w:val="-2"/>
          <w:kern w:val="2"/>
          <w:lang w:val="en-GB"/>
        </w:rPr>
        <w:t xml:space="preserve">to </w:t>
      </w:r>
      <w:r w:rsidRPr="00E61FC8">
        <w:rPr>
          <w:spacing w:val="-2"/>
          <w:kern w:val="2"/>
          <w:lang w:val="en-GB"/>
        </w:rPr>
        <w:t xml:space="preserve">market </w:t>
      </w:r>
      <w:r w:rsidR="00D91ABC" w:rsidRPr="00E61FC8">
        <w:rPr>
          <w:spacing w:val="-2"/>
          <w:kern w:val="2"/>
          <w:lang w:val="en-GB"/>
        </w:rPr>
        <w:t xml:space="preserve">Bayer’s </w:t>
      </w:r>
      <w:r w:rsidRPr="00E61FC8">
        <w:rPr>
          <w:spacing w:val="-2"/>
          <w:kern w:val="2"/>
          <w:lang w:val="en-GB"/>
        </w:rPr>
        <w:t xml:space="preserve">product </w:t>
      </w:r>
      <w:proofErr w:type="spellStart"/>
      <w:r w:rsidRPr="00E61FC8">
        <w:rPr>
          <w:spacing w:val="-2"/>
          <w:kern w:val="2"/>
          <w:lang w:val="en-GB"/>
        </w:rPr>
        <w:t>Nexavar</w:t>
      </w:r>
      <w:proofErr w:type="spellEnd"/>
      <w:r w:rsidRPr="00E61FC8">
        <w:rPr>
          <w:spacing w:val="-2"/>
          <w:kern w:val="2"/>
          <w:lang w:val="en-GB"/>
        </w:rPr>
        <w:t xml:space="preserve"> (for curing kidney cancer) at a low cost of </w:t>
      </w:r>
      <w:r w:rsidRPr="00E61FC8">
        <w:rPr>
          <w:rFonts w:ascii="Arial" w:hAnsi="Arial" w:cs="Arial"/>
          <w:spacing w:val="-2"/>
          <w:kern w:val="2"/>
          <w:sz w:val="20"/>
          <w:szCs w:val="20"/>
          <w:lang w:val="en-GB"/>
        </w:rPr>
        <w:t>₹</w:t>
      </w:r>
      <w:r w:rsidRPr="00E61FC8">
        <w:rPr>
          <w:spacing w:val="-2"/>
          <w:kern w:val="2"/>
          <w:lang w:val="en-GB"/>
        </w:rPr>
        <w:t xml:space="preserve">8,880 for a monthly dose of 120 tablets, compared with Bayer’s price of </w:t>
      </w:r>
      <w:r w:rsidRPr="00E61FC8">
        <w:rPr>
          <w:rFonts w:ascii="Arial" w:hAnsi="Arial" w:cs="Arial"/>
          <w:spacing w:val="-2"/>
          <w:kern w:val="2"/>
          <w:sz w:val="20"/>
          <w:szCs w:val="20"/>
          <w:lang w:val="en-GB"/>
        </w:rPr>
        <w:t>₹</w:t>
      </w:r>
      <w:r w:rsidRPr="00E61FC8">
        <w:rPr>
          <w:spacing w:val="-2"/>
          <w:kern w:val="2"/>
          <w:lang w:val="en-GB"/>
        </w:rPr>
        <w:t>284,428.</w:t>
      </w:r>
    </w:p>
    <w:p w14:paraId="111F497E" w14:textId="77777777" w:rsidR="004338C2" w:rsidRPr="00E61FC8" w:rsidRDefault="004338C2" w:rsidP="00E61FC8">
      <w:pPr>
        <w:pStyle w:val="BodyTextMain"/>
      </w:pPr>
    </w:p>
    <w:p w14:paraId="78530E42" w14:textId="5D7B6EB3" w:rsidR="004338C2" w:rsidRPr="00087534" w:rsidRDefault="004338C2" w:rsidP="00D33D14">
      <w:pPr>
        <w:pStyle w:val="BodyTextMain"/>
        <w:rPr>
          <w:lang w:val="en-GB"/>
        </w:rPr>
      </w:pPr>
      <w:r>
        <w:rPr>
          <w:lang w:val="en-GB"/>
        </w:rPr>
        <w:t>NPL’s</w:t>
      </w:r>
      <w:r w:rsidRPr="00087534">
        <w:rPr>
          <w:lang w:val="en-GB"/>
        </w:rPr>
        <w:t xml:space="preserve"> main focus was the oncology segment</w:t>
      </w:r>
      <w:r>
        <w:rPr>
          <w:lang w:val="en-GB"/>
        </w:rPr>
        <w:t>,</w:t>
      </w:r>
      <w:r w:rsidRPr="00087534">
        <w:rPr>
          <w:lang w:val="en-GB"/>
        </w:rPr>
        <w:t xml:space="preserve"> as cancer had become a global killer disease</w:t>
      </w:r>
      <w:r>
        <w:rPr>
          <w:lang w:val="en-GB"/>
        </w:rPr>
        <w:t>.</w:t>
      </w:r>
      <w:r w:rsidRPr="00087534">
        <w:rPr>
          <w:lang w:val="en-GB"/>
        </w:rPr>
        <w:t xml:space="preserve"> </w:t>
      </w:r>
      <w:r>
        <w:rPr>
          <w:lang w:val="en-GB"/>
        </w:rPr>
        <w:t>A</w:t>
      </w:r>
      <w:r w:rsidRPr="00087534">
        <w:rPr>
          <w:lang w:val="en-GB"/>
        </w:rPr>
        <w:t xml:space="preserve">ccording to </w:t>
      </w:r>
      <w:r>
        <w:rPr>
          <w:lang w:val="en-GB"/>
        </w:rPr>
        <w:t xml:space="preserve">the </w:t>
      </w:r>
      <w:r w:rsidRPr="00087534">
        <w:rPr>
          <w:lang w:val="en-GB"/>
        </w:rPr>
        <w:t>International Agency for Research on Cancer</w:t>
      </w:r>
      <w:r>
        <w:rPr>
          <w:lang w:val="en-GB"/>
        </w:rPr>
        <w:t>,</w:t>
      </w:r>
      <w:r w:rsidRPr="00087534" w:rsidDel="00DD6432">
        <w:rPr>
          <w:lang w:val="en-GB"/>
        </w:rPr>
        <w:t xml:space="preserve"> </w:t>
      </w:r>
      <w:r>
        <w:rPr>
          <w:lang w:val="en-GB"/>
        </w:rPr>
        <w:t>in 2012,</w:t>
      </w:r>
      <w:r w:rsidRPr="00087534">
        <w:rPr>
          <w:lang w:val="en-GB"/>
        </w:rPr>
        <w:t xml:space="preserve"> 8.2 million cancer deaths </w:t>
      </w:r>
      <w:r>
        <w:rPr>
          <w:lang w:val="en-GB"/>
        </w:rPr>
        <w:t xml:space="preserve">occurred globally, </w:t>
      </w:r>
      <w:r w:rsidRPr="00087534">
        <w:rPr>
          <w:lang w:val="en-GB"/>
        </w:rPr>
        <w:t xml:space="preserve">of which 2.9 million </w:t>
      </w:r>
      <w:r>
        <w:rPr>
          <w:lang w:val="en-GB"/>
        </w:rPr>
        <w:t xml:space="preserve">were </w:t>
      </w:r>
      <w:r w:rsidRPr="00087534">
        <w:rPr>
          <w:lang w:val="en-GB"/>
        </w:rPr>
        <w:t xml:space="preserve">in developed countries and 5.3 million </w:t>
      </w:r>
      <w:r>
        <w:rPr>
          <w:lang w:val="en-GB"/>
        </w:rPr>
        <w:t xml:space="preserve">were </w:t>
      </w:r>
      <w:r w:rsidRPr="00087534">
        <w:rPr>
          <w:lang w:val="en-GB"/>
        </w:rPr>
        <w:t>in developing nations.</w:t>
      </w:r>
      <w:r w:rsidRPr="00087534">
        <w:rPr>
          <w:vertAlign w:val="superscript"/>
          <w:lang w:val="en-GB"/>
        </w:rPr>
        <w:footnoteReference w:id="7"/>
      </w:r>
      <w:r w:rsidRPr="00087534">
        <w:rPr>
          <w:lang w:val="en-GB"/>
        </w:rPr>
        <w:t xml:space="preserve"> As per data from the Indian National Cancer Registry Programme, 946,172 people were identified with cancer in 2008.</w:t>
      </w:r>
      <w:r w:rsidRPr="00087534">
        <w:rPr>
          <w:vertAlign w:val="superscript"/>
          <w:lang w:val="en-GB"/>
        </w:rPr>
        <w:footnoteReference w:id="8"/>
      </w:r>
      <w:r w:rsidRPr="00087534">
        <w:rPr>
          <w:lang w:val="en-GB"/>
        </w:rPr>
        <w:t xml:space="preserve"> As a result, extensive research on cancer therapy had been </w:t>
      </w:r>
      <w:r>
        <w:rPr>
          <w:lang w:val="en-GB"/>
        </w:rPr>
        <w:t>on</w:t>
      </w:r>
      <w:r w:rsidRPr="00087534">
        <w:rPr>
          <w:lang w:val="en-GB"/>
        </w:rPr>
        <w:t>going</w:t>
      </w:r>
      <w:r>
        <w:rPr>
          <w:lang w:val="en-GB"/>
        </w:rPr>
        <w:t>,</w:t>
      </w:r>
      <w:r w:rsidRPr="00087534">
        <w:rPr>
          <w:lang w:val="en-GB"/>
        </w:rPr>
        <w:t xml:space="preserve"> and innovation</w:t>
      </w:r>
      <w:r w:rsidR="00055312">
        <w:rPr>
          <w:lang w:val="en-GB"/>
        </w:rPr>
        <w:t>s</w:t>
      </w:r>
      <w:r w:rsidRPr="00087534">
        <w:rPr>
          <w:lang w:val="en-GB"/>
        </w:rPr>
        <w:t xml:space="preserve"> in cancer drug research </w:t>
      </w:r>
      <w:r w:rsidR="00055312">
        <w:rPr>
          <w:lang w:val="en-GB"/>
        </w:rPr>
        <w:t xml:space="preserve">were </w:t>
      </w:r>
      <w:r>
        <w:rPr>
          <w:lang w:val="en-GB"/>
        </w:rPr>
        <w:t>projected</w:t>
      </w:r>
      <w:r w:rsidRPr="00087534">
        <w:rPr>
          <w:lang w:val="en-GB"/>
        </w:rPr>
        <w:t xml:space="preserve"> </w:t>
      </w:r>
      <w:r w:rsidR="00055312">
        <w:rPr>
          <w:lang w:val="en-GB"/>
        </w:rPr>
        <w:t xml:space="preserve">to </w:t>
      </w:r>
      <w:r w:rsidRPr="00087534">
        <w:rPr>
          <w:lang w:val="en-GB"/>
        </w:rPr>
        <w:t>lead to global spending of US$100 billion in 2018.</w:t>
      </w:r>
      <w:r w:rsidRPr="00087534">
        <w:rPr>
          <w:vertAlign w:val="superscript"/>
          <w:lang w:val="en-GB"/>
        </w:rPr>
        <w:footnoteReference w:id="9"/>
      </w:r>
    </w:p>
    <w:p w14:paraId="2556EF9E" w14:textId="77777777" w:rsidR="004338C2" w:rsidRPr="00E61FC8" w:rsidRDefault="004338C2" w:rsidP="00E61FC8">
      <w:pPr>
        <w:pStyle w:val="BodyTextMain"/>
      </w:pPr>
    </w:p>
    <w:p w14:paraId="13333AC5" w14:textId="4D892F13" w:rsidR="004338C2" w:rsidRPr="00087534" w:rsidRDefault="004338C2" w:rsidP="00087534">
      <w:pPr>
        <w:pStyle w:val="BodyTextMain"/>
        <w:tabs>
          <w:tab w:val="decimal" w:pos="6521"/>
        </w:tabs>
        <w:rPr>
          <w:lang w:val="en-GB"/>
        </w:rPr>
      </w:pPr>
      <w:r w:rsidRPr="00087534">
        <w:rPr>
          <w:lang w:val="en-GB"/>
        </w:rPr>
        <w:t xml:space="preserve">The company </w:t>
      </w:r>
      <w:r>
        <w:rPr>
          <w:lang w:val="en-GB"/>
        </w:rPr>
        <w:t>believed</w:t>
      </w:r>
      <w:r w:rsidRPr="00087534">
        <w:rPr>
          <w:lang w:val="en-GB"/>
        </w:rPr>
        <w:t xml:space="preserve"> that research was crucial for its growth in the long term and hence invested substantially in its R&amp;D activities to develop niche products in various therapeutic areas; the company spent a total of </w:t>
      </w:r>
      <w:r w:rsidRPr="00977E45">
        <w:rPr>
          <w:rFonts w:ascii="Arial" w:hAnsi="Arial" w:cs="Arial"/>
          <w:sz w:val="20"/>
          <w:szCs w:val="20"/>
          <w:lang w:val="en-GB"/>
        </w:rPr>
        <w:t>₹</w:t>
      </w:r>
      <w:r w:rsidRPr="00087534">
        <w:rPr>
          <w:lang w:val="en-GB"/>
        </w:rPr>
        <w:t xml:space="preserve">1.81 billion </w:t>
      </w:r>
      <w:r w:rsidR="00DE0C28">
        <w:rPr>
          <w:lang w:val="en-GB"/>
        </w:rPr>
        <w:t>on</w:t>
      </w:r>
      <w:r w:rsidRPr="00087534">
        <w:rPr>
          <w:lang w:val="en-GB"/>
        </w:rPr>
        <w:t xml:space="preserve"> R&amp;D </w:t>
      </w:r>
      <w:r w:rsidR="00DE0C28">
        <w:rPr>
          <w:lang w:val="en-GB"/>
        </w:rPr>
        <w:t>from</w:t>
      </w:r>
      <w:r w:rsidRPr="00087534">
        <w:rPr>
          <w:lang w:val="en-GB"/>
        </w:rPr>
        <w:t xml:space="preserve"> 2010</w:t>
      </w:r>
      <w:r>
        <w:rPr>
          <w:lang w:val="en-GB"/>
        </w:rPr>
        <w:t>–20</w:t>
      </w:r>
      <w:r w:rsidRPr="00087534">
        <w:rPr>
          <w:lang w:val="en-GB"/>
        </w:rPr>
        <w:t>15 and spent 7.23 per cent of its net sales for this purpose during FY 2014</w:t>
      </w:r>
      <w:r>
        <w:rPr>
          <w:lang w:val="en-GB"/>
        </w:rPr>
        <w:t>–</w:t>
      </w:r>
      <w:r w:rsidRPr="00087534">
        <w:rPr>
          <w:lang w:val="en-GB"/>
        </w:rPr>
        <w:t xml:space="preserve">15. The company had been following an accounting policy of recording R&amp;D expenses in its profit and loss account, as and when </w:t>
      </w:r>
      <w:r>
        <w:rPr>
          <w:lang w:val="en-GB"/>
        </w:rPr>
        <w:t xml:space="preserve">they were </w:t>
      </w:r>
      <w:r w:rsidRPr="00087534">
        <w:rPr>
          <w:lang w:val="en-GB"/>
        </w:rPr>
        <w:t>incurred. It filed 31 drug master files and 36 abbreviated new drug applications (ANDAs)</w:t>
      </w:r>
      <w:r w:rsidRPr="00087534">
        <w:rPr>
          <w:vertAlign w:val="superscript"/>
          <w:lang w:val="en-GB"/>
        </w:rPr>
        <w:footnoteReference w:id="10"/>
      </w:r>
      <w:r w:rsidRPr="00087534">
        <w:rPr>
          <w:lang w:val="en-GB"/>
        </w:rPr>
        <w:t xml:space="preserve"> with the USFDA</w:t>
      </w:r>
      <w:r>
        <w:rPr>
          <w:lang w:val="en-GB"/>
        </w:rPr>
        <w:t>,</w:t>
      </w:r>
      <w:r w:rsidRPr="00087534">
        <w:rPr>
          <w:lang w:val="en-GB"/>
        </w:rPr>
        <w:t xml:space="preserve"> receiv</w:t>
      </w:r>
      <w:r w:rsidR="00055312">
        <w:rPr>
          <w:lang w:val="en-GB"/>
        </w:rPr>
        <w:t xml:space="preserve">ing </w:t>
      </w:r>
      <w:r w:rsidRPr="00087534">
        <w:rPr>
          <w:lang w:val="en-GB"/>
        </w:rPr>
        <w:t>approval with regard to 14 ANDAs</w:t>
      </w:r>
      <w:r w:rsidR="00055312">
        <w:rPr>
          <w:lang w:val="en-GB"/>
        </w:rPr>
        <w:t>;</w:t>
      </w:r>
      <w:r w:rsidRPr="00087534">
        <w:rPr>
          <w:lang w:val="en-GB"/>
        </w:rPr>
        <w:t xml:space="preserve"> the remaining were pending approval as of August 31, 2015 (see Exhibit 3). NPL </w:t>
      </w:r>
      <w:r>
        <w:rPr>
          <w:lang w:val="en-GB"/>
        </w:rPr>
        <w:t xml:space="preserve">also </w:t>
      </w:r>
      <w:r w:rsidRPr="00087534">
        <w:rPr>
          <w:lang w:val="en-GB"/>
        </w:rPr>
        <w:t xml:space="preserve">had 179 patents to its credit in India and abroad. The company had several new products in </w:t>
      </w:r>
      <w:r w:rsidR="00D91ABC">
        <w:rPr>
          <w:lang w:val="en-GB"/>
        </w:rPr>
        <w:t>development</w:t>
      </w:r>
      <w:r w:rsidRPr="00087534">
        <w:rPr>
          <w:lang w:val="en-GB"/>
        </w:rPr>
        <w:t xml:space="preserve"> on account of its continuous focus on research. The growth prospects of NPL would be driven in the near future by its domestic oncology segment, </w:t>
      </w:r>
      <w:r w:rsidR="00D91ABC">
        <w:rPr>
          <w:lang w:val="en-GB"/>
        </w:rPr>
        <w:t>h</w:t>
      </w:r>
      <w:r w:rsidRPr="00087534">
        <w:rPr>
          <w:lang w:val="en-GB"/>
        </w:rPr>
        <w:t>epatitis C products</w:t>
      </w:r>
      <w:r>
        <w:rPr>
          <w:lang w:val="en-GB"/>
        </w:rPr>
        <w:t>,</w:t>
      </w:r>
      <w:r w:rsidRPr="00087534">
        <w:rPr>
          <w:lang w:val="en-GB"/>
        </w:rPr>
        <w:t xml:space="preserve"> and generic</w:t>
      </w:r>
      <w:r>
        <w:rPr>
          <w:lang w:val="en-GB"/>
        </w:rPr>
        <w:t xml:space="preserve"> drug</w:t>
      </w:r>
      <w:r w:rsidRPr="00087534">
        <w:rPr>
          <w:lang w:val="en-GB"/>
        </w:rPr>
        <w:t xml:space="preserve">s </w:t>
      </w:r>
      <w:r>
        <w:rPr>
          <w:lang w:val="en-GB"/>
        </w:rPr>
        <w:t>intended</w:t>
      </w:r>
      <w:r w:rsidRPr="00087534">
        <w:rPr>
          <w:lang w:val="en-GB"/>
        </w:rPr>
        <w:t xml:space="preserve"> for the U</w:t>
      </w:r>
      <w:r>
        <w:rPr>
          <w:lang w:val="en-GB"/>
        </w:rPr>
        <w:t>.</w:t>
      </w:r>
      <w:r w:rsidRPr="00087534">
        <w:rPr>
          <w:lang w:val="en-GB"/>
        </w:rPr>
        <w:t>S</w:t>
      </w:r>
      <w:r>
        <w:rPr>
          <w:lang w:val="en-GB"/>
        </w:rPr>
        <w:t>.</w:t>
      </w:r>
      <w:r w:rsidRPr="00087534">
        <w:rPr>
          <w:lang w:val="en-GB"/>
        </w:rPr>
        <w:t xml:space="preserve"> markets.</w:t>
      </w:r>
      <w:r w:rsidRPr="00087534">
        <w:rPr>
          <w:vertAlign w:val="superscript"/>
          <w:lang w:val="en-GB"/>
        </w:rPr>
        <w:footnoteReference w:id="11"/>
      </w:r>
    </w:p>
    <w:p w14:paraId="2F625E26" w14:textId="77777777" w:rsidR="004338C2" w:rsidRPr="00E61FC8" w:rsidRDefault="004338C2" w:rsidP="00E61FC8">
      <w:pPr>
        <w:pStyle w:val="BodyTextMain"/>
      </w:pPr>
    </w:p>
    <w:p w14:paraId="6BC2B5B0" w14:textId="77777777" w:rsidR="004338C2" w:rsidRPr="00E61FC8" w:rsidRDefault="004338C2" w:rsidP="00E61FC8">
      <w:pPr>
        <w:pStyle w:val="BodyTextMain"/>
      </w:pPr>
    </w:p>
    <w:p w14:paraId="27C111A2" w14:textId="5F30F923" w:rsidR="004338C2" w:rsidRPr="00087534" w:rsidRDefault="004338C2" w:rsidP="00D33D14">
      <w:pPr>
        <w:pStyle w:val="Casehead1"/>
        <w:rPr>
          <w:rFonts w:eastAsia="Calibri"/>
          <w:lang w:val="en-GB"/>
        </w:rPr>
      </w:pPr>
      <w:r w:rsidRPr="00087534">
        <w:rPr>
          <w:rFonts w:eastAsia="Calibri"/>
          <w:lang w:val="en-GB"/>
        </w:rPr>
        <w:t>FINANCIAL PERFORMANCE OF N</w:t>
      </w:r>
      <w:r w:rsidR="004852B2">
        <w:rPr>
          <w:rFonts w:eastAsia="Calibri"/>
          <w:lang w:val="en-GB"/>
        </w:rPr>
        <w:t xml:space="preserve">atco </w:t>
      </w:r>
      <w:r w:rsidRPr="00087534">
        <w:rPr>
          <w:rFonts w:eastAsia="Calibri"/>
          <w:lang w:val="en-GB"/>
        </w:rPr>
        <w:t>P</w:t>
      </w:r>
      <w:r w:rsidR="004852B2">
        <w:rPr>
          <w:rFonts w:eastAsia="Calibri"/>
          <w:lang w:val="en-GB"/>
        </w:rPr>
        <w:t xml:space="preserve">harma </w:t>
      </w:r>
      <w:r w:rsidRPr="00087534">
        <w:rPr>
          <w:rFonts w:eastAsia="Calibri"/>
          <w:lang w:val="en-GB"/>
        </w:rPr>
        <w:t>L</w:t>
      </w:r>
      <w:r w:rsidR="004852B2">
        <w:rPr>
          <w:rFonts w:eastAsia="Calibri"/>
          <w:lang w:val="en-GB"/>
        </w:rPr>
        <w:t>imited</w:t>
      </w:r>
    </w:p>
    <w:p w14:paraId="34CE2E85" w14:textId="77777777" w:rsidR="004338C2" w:rsidRPr="003002B1" w:rsidRDefault="004338C2" w:rsidP="00D33D14">
      <w:pPr>
        <w:pStyle w:val="BodyTextMain"/>
        <w:rPr>
          <w:sz w:val="18"/>
          <w:szCs w:val="18"/>
          <w:lang w:val="en-GB"/>
        </w:rPr>
      </w:pPr>
    </w:p>
    <w:p w14:paraId="64DB86C5" w14:textId="5D60E3A9" w:rsidR="004338C2" w:rsidRPr="00087534" w:rsidRDefault="004338C2" w:rsidP="00D33D14">
      <w:pPr>
        <w:pStyle w:val="BodyTextMain"/>
        <w:rPr>
          <w:lang w:val="en-GB"/>
        </w:rPr>
      </w:pPr>
      <w:r w:rsidRPr="00087534">
        <w:rPr>
          <w:lang w:val="en-GB"/>
        </w:rPr>
        <w:t xml:space="preserve">NPL recorded net sales of </w:t>
      </w:r>
      <w:r w:rsidRPr="00977E45">
        <w:rPr>
          <w:rFonts w:ascii="Arial" w:hAnsi="Arial" w:cs="Arial"/>
          <w:sz w:val="20"/>
          <w:szCs w:val="20"/>
          <w:lang w:val="en-GB"/>
        </w:rPr>
        <w:t>₹</w:t>
      </w:r>
      <w:r w:rsidRPr="00087534">
        <w:rPr>
          <w:lang w:val="en-GB"/>
        </w:rPr>
        <w:t xml:space="preserve">7.16 billion with a net profit of </w:t>
      </w:r>
      <w:r w:rsidRPr="00977E45">
        <w:rPr>
          <w:rFonts w:ascii="Arial" w:hAnsi="Arial" w:cs="Arial"/>
          <w:sz w:val="20"/>
          <w:szCs w:val="20"/>
          <w:lang w:val="en-GB"/>
        </w:rPr>
        <w:t>₹</w:t>
      </w:r>
      <w:r w:rsidRPr="00087534">
        <w:rPr>
          <w:lang w:val="en-GB"/>
        </w:rPr>
        <w:t xml:space="preserve">1.53 billion on </w:t>
      </w:r>
      <w:r w:rsidR="00055312">
        <w:rPr>
          <w:lang w:val="en-GB"/>
        </w:rPr>
        <w:t xml:space="preserve">a </w:t>
      </w:r>
      <w:r w:rsidRPr="00087534">
        <w:rPr>
          <w:lang w:val="en-GB"/>
        </w:rPr>
        <w:t>stand-alone basis during FY 2014</w:t>
      </w:r>
      <w:r>
        <w:rPr>
          <w:lang w:val="en-GB"/>
        </w:rPr>
        <w:t>–</w:t>
      </w:r>
      <w:r w:rsidRPr="00087534">
        <w:rPr>
          <w:lang w:val="en-GB"/>
        </w:rPr>
        <w:t xml:space="preserve">15. The company’s net sales increased from </w:t>
      </w:r>
      <w:r w:rsidRPr="00977E45">
        <w:rPr>
          <w:rFonts w:ascii="Arial" w:hAnsi="Arial" w:cs="Arial"/>
          <w:sz w:val="20"/>
          <w:szCs w:val="20"/>
          <w:lang w:val="en-GB"/>
        </w:rPr>
        <w:t>₹</w:t>
      </w:r>
      <w:r w:rsidRPr="00087534">
        <w:rPr>
          <w:lang w:val="en-GB"/>
        </w:rPr>
        <w:t xml:space="preserve">1.54 billion </w:t>
      </w:r>
      <w:r>
        <w:rPr>
          <w:lang w:val="en-GB"/>
        </w:rPr>
        <w:t xml:space="preserve">in </w:t>
      </w:r>
      <w:r w:rsidRPr="00087534">
        <w:rPr>
          <w:lang w:val="en-GB"/>
        </w:rPr>
        <w:t>FY 2004</w:t>
      </w:r>
      <w:r>
        <w:rPr>
          <w:lang w:val="en-GB"/>
        </w:rPr>
        <w:t>–</w:t>
      </w:r>
      <w:r w:rsidRPr="00087534">
        <w:rPr>
          <w:lang w:val="en-GB"/>
        </w:rPr>
        <w:t>05</w:t>
      </w:r>
      <w:r>
        <w:rPr>
          <w:lang w:val="en-GB"/>
        </w:rPr>
        <w:t xml:space="preserve"> </w:t>
      </w:r>
      <w:r w:rsidRPr="00087534">
        <w:rPr>
          <w:lang w:val="en-GB"/>
        </w:rPr>
        <w:t xml:space="preserve">to </w:t>
      </w:r>
      <w:r w:rsidRPr="00977E45">
        <w:rPr>
          <w:rFonts w:ascii="Arial" w:hAnsi="Arial" w:cs="Arial"/>
          <w:sz w:val="20"/>
          <w:szCs w:val="20"/>
          <w:lang w:val="en-GB"/>
        </w:rPr>
        <w:t>₹</w:t>
      </w:r>
      <w:r w:rsidRPr="00087534">
        <w:rPr>
          <w:lang w:val="en-GB"/>
        </w:rPr>
        <w:t xml:space="preserve">7.16 billion </w:t>
      </w:r>
      <w:r>
        <w:rPr>
          <w:lang w:val="en-GB"/>
        </w:rPr>
        <w:t xml:space="preserve">in </w:t>
      </w:r>
      <w:r w:rsidRPr="00087534">
        <w:rPr>
          <w:lang w:val="en-GB"/>
        </w:rPr>
        <w:t>FY 2014</w:t>
      </w:r>
      <w:r>
        <w:rPr>
          <w:lang w:val="en-GB"/>
        </w:rPr>
        <w:t>–</w:t>
      </w:r>
      <w:r w:rsidRPr="00087534">
        <w:rPr>
          <w:lang w:val="en-GB"/>
        </w:rPr>
        <w:t>15</w:t>
      </w:r>
      <w:r>
        <w:rPr>
          <w:lang w:val="en-GB"/>
        </w:rPr>
        <w:t>,</w:t>
      </w:r>
      <w:r w:rsidRPr="00087534">
        <w:rPr>
          <w:lang w:val="en-GB"/>
        </w:rPr>
        <w:t xml:space="preserve"> </w:t>
      </w:r>
      <w:r>
        <w:rPr>
          <w:lang w:val="en-GB"/>
        </w:rPr>
        <w:t>representing</w:t>
      </w:r>
      <w:r w:rsidRPr="00087534">
        <w:rPr>
          <w:lang w:val="en-GB"/>
        </w:rPr>
        <w:t xml:space="preserve"> a compound annual growth rate (CAGR) of 16.50 per cent. The company had </w:t>
      </w:r>
      <w:r w:rsidR="00DD74CC">
        <w:rPr>
          <w:lang w:val="en-GB"/>
        </w:rPr>
        <w:t xml:space="preserve">a </w:t>
      </w:r>
      <w:r w:rsidRPr="00087534">
        <w:rPr>
          <w:lang w:val="en-GB"/>
        </w:rPr>
        <w:t xml:space="preserve">tangible </w:t>
      </w:r>
      <w:r w:rsidRPr="00087534">
        <w:rPr>
          <w:lang w:val="en-GB"/>
        </w:rPr>
        <w:lastRenderedPageBreak/>
        <w:t xml:space="preserve">net worth of </w:t>
      </w:r>
      <w:r w:rsidRPr="00977E45">
        <w:rPr>
          <w:rFonts w:ascii="Arial" w:hAnsi="Arial" w:cs="Arial"/>
          <w:sz w:val="20"/>
          <w:szCs w:val="20"/>
          <w:lang w:val="en-GB"/>
        </w:rPr>
        <w:t>₹</w:t>
      </w:r>
      <w:r w:rsidRPr="00087534">
        <w:rPr>
          <w:lang w:val="en-GB"/>
        </w:rPr>
        <w:t xml:space="preserve">8.79 billion and </w:t>
      </w:r>
      <w:r w:rsidR="00DD74CC">
        <w:rPr>
          <w:lang w:val="en-GB"/>
        </w:rPr>
        <w:t xml:space="preserve">an </w:t>
      </w:r>
      <w:r w:rsidRPr="00087534">
        <w:rPr>
          <w:lang w:val="en-GB"/>
        </w:rPr>
        <w:t xml:space="preserve">interest cover of 7.54 times as of March 31, 2015. The company had been </w:t>
      </w:r>
      <w:r>
        <w:rPr>
          <w:lang w:val="en-GB"/>
        </w:rPr>
        <w:t xml:space="preserve">consistently </w:t>
      </w:r>
      <w:r w:rsidRPr="00087534">
        <w:rPr>
          <w:lang w:val="en-GB"/>
        </w:rPr>
        <w:t>paying dividend</w:t>
      </w:r>
      <w:r>
        <w:rPr>
          <w:lang w:val="en-GB"/>
        </w:rPr>
        <w:t>s</w:t>
      </w:r>
      <w:r w:rsidRPr="00087534">
        <w:rPr>
          <w:lang w:val="en-GB"/>
        </w:rPr>
        <w:t xml:space="preserve"> to its shareholders (see Exhibit 4) and outperforming its peers in the industry (see Exhibit 5).</w:t>
      </w:r>
      <w:r>
        <w:rPr>
          <w:lang w:val="en-GB"/>
        </w:rPr>
        <w:t xml:space="preserve"> </w:t>
      </w:r>
      <w:r w:rsidRPr="00087534">
        <w:rPr>
          <w:lang w:val="en-GB"/>
        </w:rPr>
        <w:t>The company</w:t>
      </w:r>
      <w:r w:rsidR="00DD74CC">
        <w:rPr>
          <w:lang w:val="en-GB"/>
        </w:rPr>
        <w:t xml:space="preserve">’s </w:t>
      </w:r>
      <w:r w:rsidR="00DD74CC" w:rsidRPr="00087534">
        <w:rPr>
          <w:lang w:val="en-GB"/>
        </w:rPr>
        <w:t>financial performance</w:t>
      </w:r>
      <w:r w:rsidRPr="00087534">
        <w:rPr>
          <w:lang w:val="en-GB"/>
        </w:rPr>
        <w:t xml:space="preserve"> </w:t>
      </w:r>
      <w:r>
        <w:rPr>
          <w:lang w:val="en-GB"/>
        </w:rPr>
        <w:t xml:space="preserve">had </w:t>
      </w:r>
      <w:r w:rsidRPr="00087534">
        <w:rPr>
          <w:lang w:val="en-GB"/>
        </w:rPr>
        <w:t xml:space="preserve">registered impressive growth in the past 10 years (see Exhibit 6). </w:t>
      </w:r>
      <w:r w:rsidR="00DD74CC">
        <w:rPr>
          <w:lang w:val="en-GB"/>
        </w:rPr>
        <w:t>As a result</w:t>
      </w:r>
      <w:r w:rsidRPr="00087534">
        <w:rPr>
          <w:lang w:val="en-GB"/>
        </w:rPr>
        <w:t xml:space="preserve">, </w:t>
      </w:r>
      <w:r>
        <w:rPr>
          <w:lang w:val="en-GB"/>
        </w:rPr>
        <w:t>in January</w:t>
      </w:r>
      <w:r w:rsidRPr="00087534">
        <w:rPr>
          <w:lang w:val="en-GB"/>
        </w:rPr>
        <w:t xml:space="preserve"> 2015</w:t>
      </w:r>
      <w:r>
        <w:rPr>
          <w:lang w:val="en-GB"/>
        </w:rPr>
        <w:t xml:space="preserve">, the </w:t>
      </w:r>
      <w:r w:rsidRPr="00087534">
        <w:rPr>
          <w:lang w:val="en-GB"/>
        </w:rPr>
        <w:t xml:space="preserve">Investment Information and Credit Rating Agency of India Limited (ICRA) assigned </w:t>
      </w:r>
      <w:r>
        <w:rPr>
          <w:lang w:val="en-GB"/>
        </w:rPr>
        <w:t xml:space="preserve">NPL a </w:t>
      </w:r>
      <w:r w:rsidRPr="00087534">
        <w:rPr>
          <w:lang w:val="en-GB"/>
        </w:rPr>
        <w:t xml:space="preserve">credit rating of “A1+” for </w:t>
      </w:r>
      <w:r>
        <w:rPr>
          <w:lang w:val="en-GB"/>
        </w:rPr>
        <w:t>its</w:t>
      </w:r>
      <w:r w:rsidRPr="00087534">
        <w:rPr>
          <w:lang w:val="en-GB"/>
        </w:rPr>
        <w:t xml:space="preserve"> short</w:t>
      </w:r>
      <w:r>
        <w:rPr>
          <w:lang w:val="en-GB"/>
        </w:rPr>
        <w:t>-</w:t>
      </w:r>
      <w:r w:rsidRPr="00087534">
        <w:rPr>
          <w:lang w:val="en-GB"/>
        </w:rPr>
        <w:t>term credit facilities and “AA</w:t>
      </w:r>
      <w:r>
        <w:rPr>
          <w:lang w:val="en-GB"/>
        </w:rPr>
        <w:t>–</w:t>
      </w:r>
      <w:r w:rsidRPr="00087534">
        <w:rPr>
          <w:lang w:val="en-GB"/>
        </w:rPr>
        <w:t>” for its long</w:t>
      </w:r>
      <w:r>
        <w:rPr>
          <w:lang w:val="en-GB"/>
        </w:rPr>
        <w:t>-</w:t>
      </w:r>
      <w:r w:rsidRPr="00087534">
        <w:rPr>
          <w:lang w:val="en-GB"/>
        </w:rPr>
        <w:t xml:space="preserve">term credit facilities. These ratings indicated </w:t>
      </w:r>
      <w:r>
        <w:rPr>
          <w:lang w:val="en-GB"/>
        </w:rPr>
        <w:t xml:space="preserve">the company’s </w:t>
      </w:r>
      <w:r w:rsidRPr="00087534">
        <w:rPr>
          <w:lang w:val="en-GB"/>
        </w:rPr>
        <w:t xml:space="preserve">strong operational and financial performance </w:t>
      </w:r>
      <w:r>
        <w:rPr>
          <w:lang w:val="en-GB"/>
        </w:rPr>
        <w:t xml:space="preserve">and its </w:t>
      </w:r>
      <w:r w:rsidRPr="00087534">
        <w:rPr>
          <w:lang w:val="en-GB"/>
        </w:rPr>
        <w:t xml:space="preserve">lower credit risk. </w:t>
      </w:r>
    </w:p>
    <w:p w14:paraId="54CE2754" w14:textId="77777777" w:rsidR="004338C2" w:rsidRPr="003002B1" w:rsidRDefault="004338C2" w:rsidP="00D33D14">
      <w:pPr>
        <w:pStyle w:val="BodyTextMain"/>
        <w:rPr>
          <w:sz w:val="18"/>
          <w:szCs w:val="18"/>
          <w:lang w:val="en-GB"/>
        </w:rPr>
      </w:pPr>
    </w:p>
    <w:p w14:paraId="03C7B3B6" w14:textId="77777777" w:rsidR="004338C2" w:rsidRPr="003002B1" w:rsidRDefault="004338C2" w:rsidP="00D33D14">
      <w:pPr>
        <w:pStyle w:val="BodyTextMain"/>
        <w:rPr>
          <w:sz w:val="18"/>
          <w:szCs w:val="18"/>
          <w:lang w:val="en-GB"/>
        </w:rPr>
      </w:pPr>
    </w:p>
    <w:p w14:paraId="1F45F9B4" w14:textId="2156AD58" w:rsidR="004338C2" w:rsidRPr="00087534" w:rsidRDefault="004338C2" w:rsidP="00D33D14">
      <w:pPr>
        <w:pStyle w:val="Casehead1"/>
        <w:rPr>
          <w:rFonts w:eastAsia="Calibri"/>
          <w:lang w:val="en-GB"/>
        </w:rPr>
      </w:pPr>
      <w:r>
        <w:rPr>
          <w:rFonts w:eastAsia="Calibri"/>
          <w:lang w:val="en-GB"/>
        </w:rPr>
        <w:t xml:space="preserve">NPL’s </w:t>
      </w:r>
      <w:r w:rsidRPr="00087534">
        <w:rPr>
          <w:rFonts w:eastAsia="Calibri"/>
          <w:lang w:val="en-GB"/>
        </w:rPr>
        <w:t>PERFORMANCE IN THE SECURITIES MARKET</w:t>
      </w:r>
    </w:p>
    <w:p w14:paraId="5A8924CA" w14:textId="77777777" w:rsidR="004338C2" w:rsidRPr="003002B1" w:rsidRDefault="004338C2" w:rsidP="00D33D14">
      <w:pPr>
        <w:pStyle w:val="BodyTextMain"/>
        <w:rPr>
          <w:sz w:val="18"/>
          <w:szCs w:val="18"/>
          <w:lang w:val="en-GB"/>
        </w:rPr>
      </w:pPr>
    </w:p>
    <w:p w14:paraId="5A552E46" w14:textId="22DFCF69" w:rsidR="004338C2" w:rsidRPr="00087534" w:rsidRDefault="004338C2" w:rsidP="00D33D14">
      <w:pPr>
        <w:pStyle w:val="BodyTextMain"/>
        <w:rPr>
          <w:lang w:val="en-GB"/>
        </w:rPr>
      </w:pPr>
      <w:r w:rsidRPr="00087534">
        <w:rPr>
          <w:lang w:val="en-GB"/>
        </w:rPr>
        <w:t xml:space="preserve">NPL’s total capital </w:t>
      </w:r>
      <w:r w:rsidR="007071CE" w:rsidRPr="00087534">
        <w:rPr>
          <w:lang w:val="en-GB"/>
        </w:rPr>
        <w:t>as of June 30, 2015</w:t>
      </w:r>
      <w:r w:rsidR="007071CE">
        <w:rPr>
          <w:lang w:val="en-GB"/>
        </w:rPr>
        <w:t xml:space="preserve"> </w:t>
      </w:r>
      <w:r w:rsidRPr="00087534">
        <w:rPr>
          <w:lang w:val="en-GB"/>
        </w:rPr>
        <w:t xml:space="preserve">was </w:t>
      </w:r>
      <w:r w:rsidRPr="00977E45">
        <w:rPr>
          <w:rFonts w:ascii="Arial" w:hAnsi="Arial" w:cs="Arial"/>
          <w:sz w:val="20"/>
          <w:szCs w:val="20"/>
          <w:lang w:val="en-GB"/>
        </w:rPr>
        <w:t>₹</w:t>
      </w:r>
      <w:r w:rsidRPr="00087534">
        <w:rPr>
          <w:lang w:val="en-GB"/>
        </w:rPr>
        <w:t xml:space="preserve">332.30 million, divided into 33.23 million equity shares with a face value of </w:t>
      </w:r>
      <w:r w:rsidRPr="00977E45">
        <w:rPr>
          <w:rFonts w:ascii="Arial" w:hAnsi="Arial" w:cs="Arial"/>
          <w:sz w:val="20"/>
          <w:szCs w:val="20"/>
          <w:lang w:val="en-GB"/>
        </w:rPr>
        <w:t>₹</w:t>
      </w:r>
      <w:r w:rsidRPr="00087534">
        <w:rPr>
          <w:lang w:val="en-GB"/>
        </w:rPr>
        <w:t xml:space="preserve">10 each. While </w:t>
      </w:r>
      <w:r w:rsidR="00DD74CC">
        <w:rPr>
          <w:lang w:val="en-GB"/>
        </w:rPr>
        <w:t xml:space="preserve">the </w:t>
      </w:r>
      <w:r w:rsidRPr="00087534">
        <w:rPr>
          <w:lang w:val="en-GB"/>
        </w:rPr>
        <w:t xml:space="preserve">promoters of NPL held </w:t>
      </w:r>
      <w:r>
        <w:rPr>
          <w:lang w:val="en-GB"/>
        </w:rPr>
        <w:t xml:space="preserve">a </w:t>
      </w:r>
      <w:r w:rsidRPr="00087534">
        <w:rPr>
          <w:lang w:val="en-GB"/>
        </w:rPr>
        <w:t>53.76 per cent stake in its equity, domestic institutional investors held 5.64 per cent, foreign institutional/portfolio investors held 17.38 per cent</w:t>
      </w:r>
      <w:r>
        <w:rPr>
          <w:lang w:val="en-GB"/>
        </w:rPr>
        <w:t>,</w:t>
      </w:r>
      <w:r w:rsidRPr="00087534">
        <w:rPr>
          <w:lang w:val="en-GB"/>
        </w:rPr>
        <w:t xml:space="preserve"> and the remaining 23.22 per cent was held by the general public. NPL’s shares were listed on </w:t>
      </w:r>
      <w:r>
        <w:rPr>
          <w:lang w:val="en-GB"/>
        </w:rPr>
        <w:t xml:space="preserve">both the </w:t>
      </w:r>
      <w:r w:rsidRPr="00087534">
        <w:rPr>
          <w:lang w:val="en-GB"/>
        </w:rPr>
        <w:t xml:space="preserve">National Stock Exchange of India Limited </w:t>
      </w:r>
      <w:r>
        <w:rPr>
          <w:lang w:val="en-GB"/>
        </w:rPr>
        <w:t>and the</w:t>
      </w:r>
      <w:r w:rsidRPr="00087534">
        <w:rPr>
          <w:lang w:val="en-GB"/>
        </w:rPr>
        <w:t xml:space="preserve"> Bombay Stock Exchange Limited. </w:t>
      </w:r>
      <w:r w:rsidR="00DD74CC">
        <w:rPr>
          <w:lang w:val="en-GB"/>
        </w:rPr>
        <w:t>The m</w:t>
      </w:r>
      <w:r w:rsidRPr="00087534">
        <w:rPr>
          <w:lang w:val="en-GB"/>
        </w:rPr>
        <w:t xml:space="preserve">arket price of </w:t>
      </w:r>
      <w:r w:rsidR="00DD74CC">
        <w:rPr>
          <w:lang w:val="en-GB"/>
        </w:rPr>
        <w:t>NPL</w:t>
      </w:r>
      <w:r w:rsidRPr="00087534">
        <w:rPr>
          <w:lang w:val="en-GB"/>
        </w:rPr>
        <w:t>’s share</w:t>
      </w:r>
      <w:r>
        <w:rPr>
          <w:lang w:val="en-GB"/>
        </w:rPr>
        <w:t>s</w:t>
      </w:r>
      <w:r w:rsidRPr="00087534">
        <w:rPr>
          <w:lang w:val="en-GB"/>
        </w:rPr>
        <w:t xml:space="preserve"> was quoted at </w:t>
      </w:r>
      <w:r w:rsidRPr="00977E45">
        <w:rPr>
          <w:rFonts w:ascii="Arial" w:hAnsi="Arial" w:cs="Arial"/>
          <w:sz w:val="20"/>
          <w:szCs w:val="20"/>
          <w:lang w:val="en-GB"/>
        </w:rPr>
        <w:t>₹</w:t>
      </w:r>
      <w:r w:rsidRPr="00087534">
        <w:rPr>
          <w:lang w:val="en-GB"/>
        </w:rPr>
        <w:t xml:space="preserve">2,243.35 </w:t>
      </w:r>
      <w:r>
        <w:rPr>
          <w:lang w:val="en-GB"/>
        </w:rPr>
        <w:t xml:space="preserve">per share </w:t>
      </w:r>
      <w:r w:rsidRPr="00087534">
        <w:rPr>
          <w:lang w:val="en-GB"/>
        </w:rPr>
        <w:t>as of August 31, 2015, with a 52</w:t>
      </w:r>
      <w:r>
        <w:rPr>
          <w:lang w:val="en-GB"/>
        </w:rPr>
        <w:t>-</w:t>
      </w:r>
      <w:r w:rsidRPr="00087534">
        <w:rPr>
          <w:lang w:val="en-GB"/>
        </w:rPr>
        <w:t xml:space="preserve">week high/low value of </w:t>
      </w:r>
      <w:r w:rsidRPr="00977E45">
        <w:rPr>
          <w:rFonts w:ascii="Arial" w:hAnsi="Arial" w:cs="Arial"/>
          <w:sz w:val="20"/>
          <w:szCs w:val="20"/>
          <w:lang w:val="en-GB"/>
        </w:rPr>
        <w:t>₹</w:t>
      </w:r>
      <w:r w:rsidRPr="00087534">
        <w:rPr>
          <w:lang w:val="en-GB"/>
        </w:rPr>
        <w:t>3,118/</w:t>
      </w:r>
      <w:r w:rsidRPr="00977E45">
        <w:rPr>
          <w:rFonts w:ascii="Arial" w:hAnsi="Arial" w:cs="Arial"/>
          <w:sz w:val="20"/>
          <w:szCs w:val="20"/>
          <w:lang w:val="en-GB"/>
        </w:rPr>
        <w:t>₹</w:t>
      </w:r>
      <w:r w:rsidRPr="00087534">
        <w:rPr>
          <w:lang w:val="en-GB"/>
        </w:rPr>
        <w:t>1,950</w:t>
      </w:r>
      <w:r w:rsidR="00DD74CC">
        <w:rPr>
          <w:lang w:val="en-GB"/>
        </w:rPr>
        <w:t xml:space="preserve"> per share</w:t>
      </w:r>
      <w:r w:rsidRPr="00087534">
        <w:rPr>
          <w:lang w:val="en-GB"/>
        </w:rPr>
        <w:t xml:space="preserve">. The book value was </w:t>
      </w:r>
      <w:r w:rsidRPr="00977E45">
        <w:rPr>
          <w:rFonts w:ascii="Arial" w:hAnsi="Arial" w:cs="Arial"/>
          <w:sz w:val="20"/>
          <w:szCs w:val="20"/>
          <w:lang w:val="en-GB"/>
        </w:rPr>
        <w:t>₹</w:t>
      </w:r>
      <w:r w:rsidRPr="00087534">
        <w:rPr>
          <w:lang w:val="en-GB"/>
        </w:rPr>
        <w:t xml:space="preserve">252.80 </w:t>
      </w:r>
      <w:r w:rsidR="00DD74CC">
        <w:rPr>
          <w:lang w:val="en-GB"/>
        </w:rPr>
        <w:t xml:space="preserve">per share </w:t>
      </w:r>
      <w:r w:rsidRPr="00087534">
        <w:rPr>
          <w:lang w:val="en-GB"/>
        </w:rPr>
        <w:t>as of March 31, 2015.</w:t>
      </w:r>
    </w:p>
    <w:p w14:paraId="10DD2BEB" w14:textId="77777777" w:rsidR="004338C2" w:rsidRPr="003002B1" w:rsidRDefault="004338C2" w:rsidP="00D33D14">
      <w:pPr>
        <w:pStyle w:val="BodyTextMain"/>
        <w:rPr>
          <w:sz w:val="18"/>
          <w:szCs w:val="18"/>
          <w:lang w:val="en-GB"/>
        </w:rPr>
      </w:pPr>
    </w:p>
    <w:p w14:paraId="0FEA8CD9" w14:textId="77777777" w:rsidR="004338C2" w:rsidRPr="003002B1" w:rsidRDefault="004338C2" w:rsidP="00D33D14">
      <w:pPr>
        <w:pStyle w:val="BodyTextMain"/>
        <w:rPr>
          <w:sz w:val="18"/>
          <w:szCs w:val="18"/>
          <w:lang w:val="en-GB"/>
        </w:rPr>
      </w:pPr>
    </w:p>
    <w:p w14:paraId="342A1655" w14:textId="77777777" w:rsidR="004338C2" w:rsidRPr="00087534" w:rsidRDefault="004338C2" w:rsidP="00D33D14">
      <w:pPr>
        <w:pStyle w:val="Casehead1"/>
        <w:rPr>
          <w:rFonts w:eastAsia="Calibri"/>
          <w:lang w:val="en-GB"/>
        </w:rPr>
      </w:pPr>
      <w:r w:rsidRPr="00087534">
        <w:rPr>
          <w:rFonts w:eastAsia="Calibri"/>
          <w:lang w:val="en-GB"/>
        </w:rPr>
        <w:t>PROPOSAL FOR DEBT</w:t>
      </w:r>
    </w:p>
    <w:p w14:paraId="4DA788E1" w14:textId="77777777" w:rsidR="004338C2" w:rsidRPr="003002B1" w:rsidRDefault="004338C2" w:rsidP="00D33D14">
      <w:pPr>
        <w:pStyle w:val="BodyTextMain"/>
        <w:rPr>
          <w:rFonts w:eastAsia="Calibri"/>
          <w:sz w:val="18"/>
          <w:szCs w:val="18"/>
          <w:lang w:val="en-GB"/>
        </w:rPr>
      </w:pPr>
    </w:p>
    <w:p w14:paraId="0D15D947" w14:textId="3CC170F3" w:rsidR="004338C2" w:rsidRPr="00087534" w:rsidRDefault="004338C2" w:rsidP="00D33D14">
      <w:pPr>
        <w:pStyle w:val="BodyTextMain"/>
        <w:rPr>
          <w:rFonts w:eastAsia="Calibri"/>
          <w:lang w:val="en-GB"/>
        </w:rPr>
      </w:pPr>
      <w:r w:rsidRPr="00087534">
        <w:rPr>
          <w:rFonts w:eastAsia="Calibri"/>
          <w:lang w:val="en-GB"/>
        </w:rPr>
        <w:t>As NPL had been exporting its products mainly to the U</w:t>
      </w:r>
      <w:r>
        <w:rPr>
          <w:rFonts w:eastAsia="Calibri"/>
          <w:lang w:val="en-GB"/>
        </w:rPr>
        <w:t xml:space="preserve">nited </w:t>
      </w:r>
      <w:r w:rsidRPr="00087534">
        <w:rPr>
          <w:rFonts w:eastAsia="Calibri"/>
          <w:lang w:val="en-GB"/>
        </w:rPr>
        <w:t>S</w:t>
      </w:r>
      <w:r>
        <w:rPr>
          <w:rFonts w:eastAsia="Calibri"/>
          <w:lang w:val="en-GB"/>
        </w:rPr>
        <w:t>tates</w:t>
      </w:r>
      <w:r w:rsidRPr="00087534">
        <w:rPr>
          <w:rFonts w:eastAsia="Calibri"/>
          <w:lang w:val="en-GB"/>
        </w:rPr>
        <w:t>, Europe</w:t>
      </w:r>
      <w:r>
        <w:rPr>
          <w:rFonts w:eastAsia="Calibri"/>
          <w:lang w:val="en-GB"/>
        </w:rPr>
        <w:t>,</w:t>
      </w:r>
      <w:r w:rsidRPr="00087534">
        <w:rPr>
          <w:rFonts w:eastAsia="Calibri"/>
          <w:lang w:val="en-GB"/>
        </w:rPr>
        <w:t xml:space="preserve"> and Latin America, it </w:t>
      </w:r>
      <w:r>
        <w:rPr>
          <w:rFonts w:eastAsia="Calibri"/>
          <w:lang w:val="en-GB"/>
        </w:rPr>
        <w:t>neede</w:t>
      </w:r>
      <w:r w:rsidRPr="00087534">
        <w:rPr>
          <w:rFonts w:eastAsia="Calibri"/>
          <w:lang w:val="en-GB"/>
        </w:rPr>
        <w:t>d to invest heavily in technical know-how, plant and machinery</w:t>
      </w:r>
      <w:r>
        <w:rPr>
          <w:rFonts w:eastAsia="Calibri"/>
          <w:lang w:val="en-GB"/>
        </w:rPr>
        <w:t>,</w:t>
      </w:r>
      <w:r w:rsidRPr="00087534">
        <w:rPr>
          <w:rFonts w:eastAsia="Calibri"/>
          <w:lang w:val="en-GB"/>
        </w:rPr>
        <w:t xml:space="preserve"> and buildings</w:t>
      </w:r>
      <w:r>
        <w:rPr>
          <w:rFonts w:eastAsia="Calibri"/>
          <w:lang w:val="en-GB"/>
        </w:rPr>
        <w:t>, both</w:t>
      </w:r>
      <w:r w:rsidRPr="00087534">
        <w:rPr>
          <w:rFonts w:eastAsia="Calibri"/>
          <w:lang w:val="en-GB"/>
        </w:rPr>
        <w:t xml:space="preserve"> for its ongoing expansion programs and to comply with the regulatory market norms. As such, NPL had been retaining </w:t>
      </w:r>
      <w:r>
        <w:rPr>
          <w:rFonts w:eastAsia="Calibri"/>
          <w:lang w:val="en-GB"/>
        </w:rPr>
        <w:t xml:space="preserve">a </w:t>
      </w:r>
      <w:r w:rsidRPr="00087534">
        <w:rPr>
          <w:rFonts w:eastAsia="Calibri"/>
          <w:lang w:val="en-GB"/>
        </w:rPr>
        <w:t xml:space="preserve">major portion of its profits to build up its fixed assets, </w:t>
      </w:r>
      <w:r>
        <w:rPr>
          <w:rFonts w:eastAsia="Calibri"/>
          <w:lang w:val="en-GB"/>
        </w:rPr>
        <w:t xml:space="preserve">and </w:t>
      </w:r>
      <w:r w:rsidRPr="00087534">
        <w:rPr>
          <w:rFonts w:eastAsia="Calibri"/>
          <w:lang w:val="en-GB"/>
        </w:rPr>
        <w:t>the company’s working capital requirement had been increasing</w:t>
      </w:r>
      <w:r>
        <w:rPr>
          <w:rFonts w:eastAsia="Calibri"/>
          <w:lang w:val="en-GB"/>
        </w:rPr>
        <w:t>,</w:t>
      </w:r>
      <w:r w:rsidRPr="00087534">
        <w:rPr>
          <w:rFonts w:eastAsia="Calibri"/>
          <w:lang w:val="en-GB"/>
        </w:rPr>
        <w:t xml:space="preserve"> owing to </w:t>
      </w:r>
      <w:r>
        <w:rPr>
          <w:rFonts w:eastAsia="Calibri"/>
          <w:lang w:val="en-GB"/>
        </w:rPr>
        <w:t>NPL’s</w:t>
      </w:r>
      <w:r w:rsidRPr="00087534">
        <w:rPr>
          <w:rFonts w:eastAsia="Calibri"/>
          <w:lang w:val="en-GB"/>
        </w:rPr>
        <w:t xml:space="preserve"> enhanced operations. </w:t>
      </w:r>
      <w:r>
        <w:rPr>
          <w:rFonts w:eastAsia="Calibri"/>
          <w:lang w:val="en-GB"/>
        </w:rPr>
        <w:t>T</w:t>
      </w:r>
      <w:r w:rsidRPr="00087534">
        <w:rPr>
          <w:rFonts w:eastAsia="Calibri"/>
          <w:lang w:val="en-GB"/>
        </w:rPr>
        <w:t xml:space="preserve">he company had an option to mobilize </w:t>
      </w:r>
      <w:r w:rsidRPr="00977E45">
        <w:rPr>
          <w:rFonts w:ascii="Arial" w:hAnsi="Arial" w:cs="Arial"/>
          <w:sz w:val="20"/>
          <w:szCs w:val="20"/>
          <w:lang w:val="en-GB"/>
        </w:rPr>
        <w:t>₹</w:t>
      </w:r>
      <w:r w:rsidRPr="00087534">
        <w:rPr>
          <w:rFonts w:eastAsia="Calibri"/>
          <w:lang w:val="en-GB"/>
        </w:rPr>
        <w:t>3.</w:t>
      </w:r>
      <w:r w:rsidR="007071CE" w:rsidRPr="00087534">
        <w:rPr>
          <w:rFonts w:eastAsia="Calibri"/>
          <w:lang w:val="en-GB"/>
        </w:rPr>
        <w:t>41</w:t>
      </w:r>
      <w:r w:rsidR="007071CE">
        <w:rPr>
          <w:rFonts w:eastAsia="Calibri"/>
          <w:lang w:val="en-GB"/>
        </w:rPr>
        <w:t> </w:t>
      </w:r>
      <w:r w:rsidRPr="00087534">
        <w:rPr>
          <w:rFonts w:eastAsia="Calibri"/>
          <w:lang w:val="en-GB"/>
        </w:rPr>
        <w:t xml:space="preserve">billion in the form of loans from </w:t>
      </w:r>
      <w:proofErr w:type="spellStart"/>
      <w:r w:rsidRPr="00087534">
        <w:rPr>
          <w:rFonts w:eastAsia="Calibri"/>
          <w:lang w:val="en-GB"/>
        </w:rPr>
        <w:t>banks</w:t>
      </w:r>
      <w:r w:rsidR="007071CE">
        <w:rPr>
          <w:rFonts w:eastAsia="Calibri"/>
          <w:lang w:val="en-GB"/>
        </w:rPr>
        <w:t>and</w:t>
      </w:r>
      <w:proofErr w:type="spellEnd"/>
      <w:r w:rsidR="007071CE">
        <w:rPr>
          <w:rFonts w:eastAsia="Calibri"/>
          <w:lang w:val="en-GB"/>
        </w:rPr>
        <w:t xml:space="preserve"> f</w:t>
      </w:r>
      <w:r w:rsidRPr="00087534">
        <w:rPr>
          <w:rFonts w:eastAsia="Calibri"/>
          <w:lang w:val="en-GB"/>
        </w:rPr>
        <w:t xml:space="preserve">inancial institutions or through </w:t>
      </w:r>
      <w:r w:rsidR="00DD74CC">
        <w:rPr>
          <w:rFonts w:eastAsia="Calibri"/>
          <w:lang w:val="en-GB"/>
        </w:rPr>
        <w:t xml:space="preserve">the </w:t>
      </w:r>
      <w:r w:rsidRPr="00087534">
        <w:rPr>
          <w:rFonts w:eastAsia="Calibri"/>
          <w:lang w:val="en-GB"/>
        </w:rPr>
        <w:t>issu</w:t>
      </w:r>
      <w:r w:rsidR="00DD74CC">
        <w:rPr>
          <w:rFonts w:eastAsia="Calibri"/>
          <w:lang w:val="en-GB"/>
        </w:rPr>
        <w:t>anc</w:t>
      </w:r>
      <w:r w:rsidRPr="00087534">
        <w:rPr>
          <w:rFonts w:eastAsia="Calibri"/>
          <w:lang w:val="en-GB"/>
        </w:rPr>
        <w:t>e of debentures</w:t>
      </w:r>
      <w:r w:rsidR="00395B59">
        <w:rPr>
          <w:rFonts w:eastAsia="Calibri"/>
          <w:lang w:val="en-GB"/>
        </w:rPr>
        <w:t>,</w:t>
      </w:r>
      <w:r w:rsidRPr="00087534">
        <w:rPr>
          <w:rFonts w:eastAsia="Calibri"/>
          <w:lang w:val="en-GB"/>
        </w:rPr>
        <w:t xml:space="preserve"> as NPL’s debt</w:t>
      </w:r>
      <w:r>
        <w:rPr>
          <w:rFonts w:eastAsia="Calibri"/>
          <w:lang w:val="en-GB"/>
        </w:rPr>
        <w:t>–</w:t>
      </w:r>
      <w:r w:rsidRPr="00087534">
        <w:rPr>
          <w:rFonts w:eastAsia="Calibri"/>
          <w:lang w:val="en-GB"/>
        </w:rPr>
        <w:t>equity ratio was only 0.11 times as of March 31, 2015. Even after mobilizing funds through the debt route, the company’s debt</w:t>
      </w:r>
      <w:r>
        <w:rPr>
          <w:rFonts w:eastAsia="Calibri"/>
          <w:lang w:val="en-GB"/>
        </w:rPr>
        <w:t>–</w:t>
      </w:r>
      <w:r w:rsidRPr="00087534">
        <w:rPr>
          <w:rFonts w:eastAsia="Calibri"/>
          <w:lang w:val="en-GB"/>
        </w:rPr>
        <w:t xml:space="preserve">equity ratio would not be at a higher level. </w:t>
      </w:r>
      <w:r w:rsidR="00DD74CC">
        <w:rPr>
          <w:rFonts w:eastAsia="Calibri"/>
          <w:lang w:val="en-GB"/>
        </w:rPr>
        <w:t>G</w:t>
      </w:r>
      <w:r w:rsidR="00DD74CC" w:rsidRPr="00087534">
        <w:rPr>
          <w:rFonts w:eastAsia="Calibri"/>
          <w:lang w:val="en-GB"/>
        </w:rPr>
        <w:t>iven its sound credit rating</w:t>
      </w:r>
      <w:r w:rsidR="00DD74CC">
        <w:rPr>
          <w:rFonts w:eastAsia="Calibri"/>
          <w:lang w:val="en-GB"/>
        </w:rPr>
        <w:t>,</w:t>
      </w:r>
      <w:r w:rsidR="00DD74CC" w:rsidRPr="00087534">
        <w:rPr>
          <w:rFonts w:eastAsia="Calibri"/>
          <w:lang w:val="en-GB"/>
        </w:rPr>
        <w:t xml:space="preserve"> </w:t>
      </w:r>
      <w:r w:rsidRPr="00087534">
        <w:rPr>
          <w:rFonts w:eastAsia="Calibri"/>
          <w:lang w:val="en-GB"/>
        </w:rPr>
        <w:t xml:space="preserve">the company would </w:t>
      </w:r>
      <w:r w:rsidR="00DD74CC">
        <w:rPr>
          <w:rFonts w:eastAsia="Calibri"/>
          <w:lang w:val="en-GB"/>
        </w:rPr>
        <w:t xml:space="preserve">also </w:t>
      </w:r>
      <w:r w:rsidRPr="00087534">
        <w:rPr>
          <w:rFonts w:eastAsia="Calibri"/>
          <w:lang w:val="en-GB"/>
        </w:rPr>
        <w:t xml:space="preserve">be able to obtain </w:t>
      </w:r>
      <w:r w:rsidR="00DD74CC">
        <w:rPr>
          <w:rFonts w:eastAsia="Calibri"/>
          <w:lang w:val="en-GB"/>
        </w:rPr>
        <w:t>a bank</w:t>
      </w:r>
      <w:r w:rsidR="00DD74CC" w:rsidRPr="00087534">
        <w:rPr>
          <w:rFonts w:eastAsia="Calibri"/>
          <w:lang w:val="en-GB"/>
        </w:rPr>
        <w:t xml:space="preserve"> </w:t>
      </w:r>
      <w:r w:rsidRPr="00087534">
        <w:rPr>
          <w:rFonts w:eastAsia="Calibri"/>
          <w:lang w:val="en-GB"/>
        </w:rPr>
        <w:t xml:space="preserve">loan at an indicative interest rate of 12 per cent. </w:t>
      </w:r>
      <w:r w:rsidR="00395B59">
        <w:rPr>
          <w:rFonts w:eastAsia="Calibri"/>
          <w:lang w:val="en-GB"/>
        </w:rPr>
        <w:t xml:space="preserve">For tax purposes, </w:t>
      </w:r>
      <w:r w:rsidRPr="00087534">
        <w:rPr>
          <w:rFonts w:eastAsia="Calibri"/>
          <w:lang w:val="en-GB"/>
        </w:rPr>
        <w:t xml:space="preserve">NPL was in the </w:t>
      </w:r>
      <w:r w:rsidR="00395B59" w:rsidRPr="00087534">
        <w:rPr>
          <w:rFonts w:eastAsia="Calibri"/>
          <w:lang w:val="en-GB"/>
        </w:rPr>
        <w:t xml:space="preserve">35 per cent </w:t>
      </w:r>
      <w:r w:rsidRPr="00087534">
        <w:rPr>
          <w:rFonts w:eastAsia="Calibri"/>
          <w:lang w:val="en-GB"/>
        </w:rPr>
        <w:t xml:space="preserve">tax bracket. </w:t>
      </w:r>
    </w:p>
    <w:p w14:paraId="377F08C0" w14:textId="77777777" w:rsidR="004338C2" w:rsidRPr="003002B1" w:rsidRDefault="004338C2" w:rsidP="00D33D14">
      <w:pPr>
        <w:pStyle w:val="BodyTextMain"/>
        <w:rPr>
          <w:rFonts w:eastAsia="Calibri"/>
          <w:sz w:val="18"/>
          <w:szCs w:val="18"/>
          <w:lang w:val="en-GB"/>
        </w:rPr>
      </w:pPr>
    </w:p>
    <w:p w14:paraId="76964AA9" w14:textId="6416F29E" w:rsidR="004338C2" w:rsidRPr="00E61FC8" w:rsidRDefault="004338C2" w:rsidP="00D33D14">
      <w:pPr>
        <w:pStyle w:val="BodyTextMain"/>
        <w:rPr>
          <w:rFonts w:eastAsia="Calibri"/>
          <w:color w:val="000000" w:themeColor="text1"/>
          <w:spacing w:val="-2"/>
          <w:kern w:val="22"/>
          <w:lang w:val="en-GB"/>
        </w:rPr>
      </w:pPr>
      <w:r w:rsidRPr="00E61FC8">
        <w:rPr>
          <w:rFonts w:eastAsia="Calibri"/>
          <w:color w:val="000000" w:themeColor="text1"/>
          <w:spacing w:val="-2"/>
          <w:kern w:val="22"/>
          <w:lang w:val="en-GB"/>
        </w:rPr>
        <w:t>While issuing debentures, however, NPL needed to appoint a bank</w:t>
      </w:r>
      <w:r w:rsidR="007071CE" w:rsidRPr="00E61FC8">
        <w:rPr>
          <w:rFonts w:eastAsia="Calibri"/>
          <w:color w:val="000000" w:themeColor="text1"/>
          <w:spacing w:val="-2"/>
          <w:kern w:val="22"/>
          <w:lang w:val="en-GB"/>
        </w:rPr>
        <w:t xml:space="preserve"> or </w:t>
      </w:r>
      <w:r w:rsidRPr="00E61FC8">
        <w:rPr>
          <w:rFonts w:eastAsia="Calibri"/>
          <w:color w:val="000000" w:themeColor="text1"/>
          <w:spacing w:val="-2"/>
          <w:kern w:val="22"/>
          <w:lang w:val="en-GB"/>
        </w:rPr>
        <w:t>financial institution as a debenture trustee to protect the interest</w:t>
      </w:r>
      <w:r w:rsidR="00395B59" w:rsidRPr="00E61FC8">
        <w:rPr>
          <w:rFonts w:eastAsia="Calibri"/>
          <w:color w:val="000000" w:themeColor="text1"/>
          <w:spacing w:val="-2"/>
          <w:kern w:val="22"/>
          <w:lang w:val="en-GB"/>
        </w:rPr>
        <w:t>s</w:t>
      </w:r>
      <w:r w:rsidRPr="00E61FC8">
        <w:rPr>
          <w:rFonts w:eastAsia="Calibri"/>
          <w:color w:val="000000" w:themeColor="text1"/>
          <w:spacing w:val="-2"/>
          <w:kern w:val="22"/>
          <w:lang w:val="en-GB"/>
        </w:rPr>
        <w:t xml:space="preserve"> of debenture</w:t>
      </w:r>
      <w:r w:rsidR="007071CE" w:rsidRPr="00E61FC8">
        <w:rPr>
          <w:rFonts w:eastAsia="Calibri"/>
          <w:color w:val="000000" w:themeColor="text1"/>
          <w:spacing w:val="-2"/>
          <w:kern w:val="22"/>
          <w:lang w:val="en-GB"/>
        </w:rPr>
        <w:t xml:space="preserve"> </w:t>
      </w:r>
      <w:r w:rsidRPr="00E61FC8">
        <w:rPr>
          <w:rFonts w:eastAsia="Calibri"/>
          <w:color w:val="000000" w:themeColor="text1"/>
          <w:spacing w:val="-2"/>
          <w:kern w:val="22"/>
          <w:lang w:val="en-GB"/>
        </w:rPr>
        <w:t>holders and to ensure regular servicing of its debt. These debentures (with a tenure of more than 18 months) were required to be rated by an external credit-rating agency and secured by the company’s immovable assets. The interest rate on the debentures was normally linked to the credit rating, apart from market forces. Sometimes, the debentures included additional features, such as a call option (an option to redeem the debentures at a certain price before the maturity date), a put option (an option to seek redemption at a predetermined price during specific time periods), and a convertibility clause (a right to convert the debentures into equity shares of NPL based on certain terms and conditions).</w:t>
      </w:r>
    </w:p>
    <w:p w14:paraId="1F7F6D71" w14:textId="77777777" w:rsidR="004338C2" w:rsidRPr="003002B1" w:rsidRDefault="004338C2" w:rsidP="00D33D14">
      <w:pPr>
        <w:pStyle w:val="BodyTextMain"/>
        <w:rPr>
          <w:rFonts w:eastAsia="Calibri"/>
          <w:sz w:val="18"/>
          <w:szCs w:val="18"/>
          <w:lang w:val="en-GB"/>
        </w:rPr>
      </w:pPr>
    </w:p>
    <w:p w14:paraId="0506CE9F" w14:textId="78F6189D" w:rsidR="004338C2" w:rsidRPr="00087534" w:rsidRDefault="004338C2" w:rsidP="00D33D14">
      <w:pPr>
        <w:pStyle w:val="BodyTextMain"/>
        <w:rPr>
          <w:rFonts w:eastAsia="Calibri"/>
          <w:bCs/>
          <w:lang w:val="en-GB"/>
        </w:rPr>
      </w:pPr>
      <w:r w:rsidRPr="00087534">
        <w:rPr>
          <w:rFonts w:eastAsia="Calibri"/>
          <w:lang w:val="en-GB"/>
        </w:rPr>
        <w:t xml:space="preserve">The company had another option to raise funds through </w:t>
      </w:r>
      <w:r>
        <w:rPr>
          <w:rFonts w:eastAsia="Calibri"/>
          <w:lang w:val="en-GB"/>
        </w:rPr>
        <w:t xml:space="preserve">the </w:t>
      </w:r>
      <w:r w:rsidRPr="00087534">
        <w:rPr>
          <w:rFonts w:eastAsia="Calibri"/>
          <w:lang w:val="en-GB"/>
        </w:rPr>
        <w:t>collection of deposits from the public. As the public deposits were treated as unsecured loans, the</w:t>
      </w:r>
      <w:r w:rsidR="00395B59">
        <w:rPr>
          <w:rFonts w:eastAsia="Calibri"/>
          <w:lang w:val="en-GB"/>
        </w:rPr>
        <w:t>ir</w:t>
      </w:r>
      <w:r w:rsidRPr="00087534">
        <w:rPr>
          <w:rFonts w:eastAsia="Calibri"/>
          <w:lang w:val="en-GB"/>
        </w:rPr>
        <w:t xml:space="preserve"> indicative interest rate was 13 per cent.</w:t>
      </w:r>
      <w:r w:rsidRPr="00087534">
        <w:rPr>
          <w:rFonts w:eastAsia="Calibri"/>
          <w:color w:val="222222"/>
          <w:lang w:val="en-GB" w:eastAsia="en-IN"/>
        </w:rPr>
        <w:t xml:space="preserve"> </w:t>
      </w:r>
      <w:r w:rsidRPr="00087534">
        <w:rPr>
          <w:rFonts w:eastAsia="Calibri"/>
          <w:color w:val="000000" w:themeColor="text1"/>
          <w:lang w:val="en-GB" w:eastAsia="en-IN"/>
        </w:rPr>
        <w:t xml:space="preserve">Manufacturing companies in India raised funds through </w:t>
      </w:r>
      <w:r>
        <w:rPr>
          <w:rFonts w:eastAsia="Calibri"/>
          <w:color w:val="000000" w:themeColor="text1"/>
          <w:lang w:val="en-GB" w:eastAsia="en-IN"/>
        </w:rPr>
        <w:t xml:space="preserve">the </w:t>
      </w:r>
      <w:r w:rsidRPr="00087534">
        <w:rPr>
          <w:rFonts w:eastAsia="Calibri"/>
          <w:color w:val="000000" w:themeColor="text1"/>
          <w:lang w:val="en-GB" w:eastAsia="en-IN"/>
        </w:rPr>
        <w:t>issu</w:t>
      </w:r>
      <w:r>
        <w:rPr>
          <w:rFonts w:eastAsia="Calibri"/>
          <w:color w:val="000000" w:themeColor="text1"/>
          <w:lang w:val="en-GB" w:eastAsia="en-IN"/>
        </w:rPr>
        <w:t>ance</w:t>
      </w:r>
      <w:r w:rsidRPr="00087534">
        <w:rPr>
          <w:rFonts w:eastAsia="Calibri"/>
          <w:color w:val="000000" w:themeColor="text1"/>
          <w:lang w:val="en-GB" w:eastAsia="en-IN"/>
        </w:rPr>
        <w:t xml:space="preserve"> of fixed deposits to the public/shareholders with a maximum ten</w:t>
      </w:r>
      <w:r>
        <w:rPr>
          <w:rFonts w:eastAsia="Calibri"/>
          <w:color w:val="000000" w:themeColor="text1"/>
          <w:lang w:val="en-GB" w:eastAsia="en-IN"/>
        </w:rPr>
        <w:t>ure</w:t>
      </w:r>
      <w:r w:rsidRPr="00087534">
        <w:rPr>
          <w:rFonts w:eastAsia="Calibri"/>
          <w:color w:val="000000" w:themeColor="text1"/>
          <w:lang w:val="en-GB" w:eastAsia="en-IN"/>
        </w:rPr>
        <w:t xml:space="preserve"> of up to three years. However, the maximum amount of capital mobilized through public deposits was restricted to 35 per cent of the company’s net</w:t>
      </w:r>
      <w:r>
        <w:rPr>
          <w:rFonts w:eastAsia="Calibri"/>
          <w:color w:val="000000" w:themeColor="text1"/>
          <w:lang w:val="en-GB" w:eastAsia="en-IN"/>
        </w:rPr>
        <w:t xml:space="preserve"> </w:t>
      </w:r>
      <w:r w:rsidRPr="00087534">
        <w:rPr>
          <w:rFonts w:eastAsia="Calibri"/>
          <w:color w:val="000000" w:themeColor="text1"/>
          <w:lang w:val="en-GB" w:eastAsia="en-IN"/>
        </w:rPr>
        <w:t xml:space="preserve">worth. These instruments were regulated by the Company Law Board and </w:t>
      </w:r>
      <w:r>
        <w:rPr>
          <w:rFonts w:eastAsia="Calibri"/>
          <w:color w:val="000000" w:themeColor="text1"/>
          <w:lang w:val="en-GB" w:eastAsia="en-IN"/>
        </w:rPr>
        <w:t xml:space="preserve">were </w:t>
      </w:r>
      <w:r w:rsidRPr="00087534">
        <w:rPr>
          <w:rFonts w:eastAsia="Calibri"/>
          <w:color w:val="000000" w:themeColor="text1"/>
          <w:lang w:val="en-GB" w:eastAsia="en-IN"/>
        </w:rPr>
        <w:t>required to be rated by an external credit</w:t>
      </w:r>
      <w:r>
        <w:rPr>
          <w:rFonts w:eastAsia="Calibri"/>
          <w:color w:val="000000" w:themeColor="text1"/>
          <w:lang w:val="en-GB" w:eastAsia="en-IN"/>
        </w:rPr>
        <w:t>-</w:t>
      </w:r>
      <w:r w:rsidRPr="00087534">
        <w:rPr>
          <w:rFonts w:eastAsia="Calibri"/>
          <w:color w:val="000000" w:themeColor="text1"/>
          <w:lang w:val="en-GB" w:eastAsia="en-IN"/>
        </w:rPr>
        <w:t>rating agency.</w:t>
      </w:r>
      <w:r w:rsidRPr="00087534">
        <w:rPr>
          <w:rFonts w:eastAsia="Calibri"/>
          <w:bCs/>
          <w:color w:val="000000" w:themeColor="text1"/>
          <w:lang w:val="en-GB"/>
        </w:rPr>
        <w:t xml:space="preserve"> NPL could </w:t>
      </w:r>
      <w:r w:rsidR="007071CE">
        <w:rPr>
          <w:rFonts w:eastAsia="Calibri"/>
          <w:bCs/>
          <w:color w:val="000000" w:themeColor="text1"/>
          <w:lang w:val="en-GB"/>
        </w:rPr>
        <w:t>a</w:t>
      </w:r>
      <w:r w:rsidR="007071CE" w:rsidRPr="00087534">
        <w:rPr>
          <w:rFonts w:eastAsia="Calibri"/>
          <w:bCs/>
          <w:color w:val="000000" w:themeColor="text1"/>
          <w:lang w:val="en-GB"/>
        </w:rPr>
        <w:t xml:space="preserve">lso </w:t>
      </w:r>
      <w:r w:rsidRPr="00087534">
        <w:rPr>
          <w:rFonts w:eastAsia="Calibri"/>
          <w:bCs/>
          <w:color w:val="000000" w:themeColor="text1"/>
          <w:lang w:val="en-GB"/>
        </w:rPr>
        <w:t xml:space="preserve">mobilize funds through </w:t>
      </w:r>
      <w:r>
        <w:rPr>
          <w:rFonts w:eastAsia="Calibri"/>
          <w:bCs/>
          <w:color w:val="000000" w:themeColor="text1"/>
          <w:lang w:val="en-GB"/>
        </w:rPr>
        <w:t xml:space="preserve">the </w:t>
      </w:r>
      <w:r w:rsidRPr="00087534">
        <w:rPr>
          <w:rFonts w:eastAsia="Calibri"/>
          <w:bCs/>
          <w:color w:val="000000" w:themeColor="text1"/>
          <w:lang w:val="en-GB"/>
        </w:rPr>
        <w:t>issu</w:t>
      </w:r>
      <w:r>
        <w:rPr>
          <w:rFonts w:eastAsia="Calibri"/>
          <w:bCs/>
          <w:color w:val="000000" w:themeColor="text1"/>
          <w:lang w:val="en-GB"/>
        </w:rPr>
        <w:t>ance</w:t>
      </w:r>
      <w:r w:rsidRPr="00087534">
        <w:rPr>
          <w:rFonts w:eastAsia="Calibri"/>
          <w:bCs/>
          <w:color w:val="000000" w:themeColor="text1"/>
          <w:lang w:val="en-GB"/>
        </w:rPr>
        <w:t xml:space="preserve"> of prefer</w:t>
      </w:r>
      <w:r>
        <w:rPr>
          <w:rFonts w:eastAsia="Calibri"/>
          <w:bCs/>
          <w:color w:val="000000" w:themeColor="text1"/>
          <w:lang w:val="en-GB"/>
        </w:rPr>
        <w:t>red</w:t>
      </w:r>
      <w:r w:rsidRPr="00087534">
        <w:rPr>
          <w:rFonts w:eastAsia="Calibri"/>
          <w:bCs/>
          <w:color w:val="000000" w:themeColor="text1"/>
          <w:lang w:val="en-GB"/>
        </w:rPr>
        <w:t xml:space="preserve"> shares, for a maximum ten</w:t>
      </w:r>
      <w:r>
        <w:rPr>
          <w:rFonts w:eastAsia="Calibri"/>
          <w:bCs/>
          <w:color w:val="000000" w:themeColor="text1"/>
          <w:lang w:val="en-GB"/>
        </w:rPr>
        <w:t>ure</w:t>
      </w:r>
      <w:r w:rsidRPr="00087534">
        <w:rPr>
          <w:rFonts w:eastAsia="Calibri"/>
          <w:bCs/>
          <w:color w:val="000000" w:themeColor="text1"/>
          <w:lang w:val="en-GB"/>
        </w:rPr>
        <w:t xml:space="preserve"> of 12 years, </w:t>
      </w:r>
      <w:r>
        <w:rPr>
          <w:rFonts w:eastAsia="Calibri"/>
          <w:bCs/>
          <w:color w:val="000000" w:themeColor="text1"/>
          <w:lang w:val="en-GB"/>
        </w:rPr>
        <w:t>which</w:t>
      </w:r>
      <w:r w:rsidRPr="00087534">
        <w:rPr>
          <w:rFonts w:eastAsia="Calibri"/>
          <w:bCs/>
          <w:color w:val="000000" w:themeColor="text1"/>
          <w:lang w:val="en-GB"/>
        </w:rPr>
        <w:t xml:space="preserve"> would carry a fixed rate of </w:t>
      </w:r>
      <w:r w:rsidRPr="00087534">
        <w:rPr>
          <w:rFonts w:eastAsia="Calibri"/>
          <w:bCs/>
          <w:lang w:val="en-GB"/>
        </w:rPr>
        <w:t xml:space="preserve">dividend. </w:t>
      </w:r>
    </w:p>
    <w:p w14:paraId="71316327" w14:textId="77777777" w:rsidR="004338C2" w:rsidRPr="00CB26E0" w:rsidRDefault="004338C2" w:rsidP="00D33D14">
      <w:pPr>
        <w:pStyle w:val="BodyTextMain"/>
        <w:rPr>
          <w:rFonts w:eastAsia="Calibri"/>
          <w:b/>
          <w:sz w:val="16"/>
          <w:szCs w:val="16"/>
          <w:lang w:val="en-GB"/>
        </w:rPr>
      </w:pPr>
    </w:p>
    <w:p w14:paraId="3AA731E1" w14:textId="77777777" w:rsidR="004338C2" w:rsidRPr="00CB26E0" w:rsidRDefault="004338C2" w:rsidP="00D33D14">
      <w:pPr>
        <w:pStyle w:val="BodyTextMain"/>
        <w:rPr>
          <w:rFonts w:eastAsia="Calibri"/>
          <w:b/>
          <w:sz w:val="16"/>
          <w:szCs w:val="16"/>
          <w:lang w:val="en-GB"/>
        </w:rPr>
      </w:pPr>
    </w:p>
    <w:p w14:paraId="0EB5D49E" w14:textId="0FD62E52" w:rsidR="004338C2" w:rsidRPr="00087534" w:rsidRDefault="004338C2" w:rsidP="00D33D14">
      <w:pPr>
        <w:pStyle w:val="Casehead1"/>
        <w:rPr>
          <w:rFonts w:eastAsia="Calibri"/>
          <w:lang w:val="en-GB"/>
        </w:rPr>
      </w:pPr>
      <w:r w:rsidRPr="00087534">
        <w:rPr>
          <w:rFonts w:eastAsia="Calibri"/>
          <w:lang w:val="en-GB"/>
        </w:rPr>
        <w:lastRenderedPageBreak/>
        <w:t>PROPOSAL FOR QUALIFIED INSTITUTIONAL PLACEMENT</w:t>
      </w:r>
    </w:p>
    <w:p w14:paraId="70AA7834" w14:textId="77777777" w:rsidR="004338C2" w:rsidRPr="00CB26E0" w:rsidRDefault="004338C2" w:rsidP="00D33D14">
      <w:pPr>
        <w:pStyle w:val="BodyTextMain"/>
        <w:rPr>
          <w:sz w:val="16"/>
          <w:szCs w:val="16"/>
          <w:lang w:val="en-GB"/>
        </w:rPr>
      </w:pPr>
    </w:p>
    <w:p w14:paraId="56D255AE" w14:textId="4448C2A6" w:rsidR="004338C2" w:rsidRPr="00E61FC8" w:rsidRDefault="004338C2" w:rsidP="00D33D14">
      <w:pPr>
        <w:pStyle w:val="BodyTextMain"/>
        <w:rPr>
          <w:spacing w:val="-2"/>
          <w:kern w:val="2"/>
          <w:lang w:val="en-GB"/>
        </w:rPr>
      </w:pPr>
      <w:r w:rsidRPr="00E61FC8">
        <w:rPr>
          <w:spacing w:val="-2"/>
          <w:kern w:val="2"/>
          <w:lang w:val="en-GB"/>
        </w:rPr>
        <w:t xml:space="preserve">Apart from the above options, NPL could raise </w:t>
      </w:r>
      <w:r w:rsidRPr="00E61FC8">
        <w:rPr>
          <w:rFonts w:ascii="Arial" w:hAnsi="Arial" w:cs="Arial"/>
          <w:spacing w:val="-2"/>
          <w:kern w:val="2"/>
          <w:sz w:val="20"/>
          <w:szCs w:val="20"/>
          <w:lang w:val="en-GB"/>
        </w:rPr>
        <w:t>₹</w:t>
      </w:r>
      <w:r w:rsidRPr="00E61FC8">
        <w:rPr>
          <w:spacing w:val="-2"/>
          <w:kern w:val="2"/>
          <w:lang w:val="en-GB"/>
        </w:rPr>
        <w:t>3.41 billion through a qualified institutional placement (QIP), also referred to as a rights offering or a seasoned equity offering. Rajeev believed that NPL could invite institutional investors such as qualified institutional buyers (QIBs) instead of pursuing a rights offering or another mode of financing, primarily to reduce costs and expedite the process. The company also had an aversion to debt, mainly due to its past track record with banks</w:t>
      </w:r>
      <w:r w:rsidR="00C20C31" w:rsidRPr="00E61FC8">
        <w:rPr>
          <w:spacing w:val="-2"/>
          <w:kern w:val="2"/>
          <w:lang w:val="en-GB"/>
        </w:rPr>
        <w:t xml:space="preserve"> and </w:t>
      </w:r>
      <w:r w:rsidRPr="00E61FC8">
        <w:rPr>
          <w:spacing w:val="-2"/>
          <w:kern w:val="2"/>
          <w:lang w:val="en-GB"/>
        </w:rPr>
        <w:t>financial institutions</w:t>
      </w:r>
      <w:r w:rsidR="00C20C31" w:rsidRPr="00E61FC8">
        <w:rPr>
          <w:spacing w:val="-2"/>
          <w:kern w:val="2"/>
          <w:lang w:val="en-GB"/>
        </w:rPr>
        <w:t>,</w:t>
      </w:r>
      <w:r w:rsidRPr="00E61FC8">
        <w:rPr>
          <w:spacing w:val="-2"/>
          <w:kern w:val="2"/>
          <w:lang w:val="en-GB"/>
        </w:rPr>
        <w:t xml:space="preserve"> and </w:t>
      </w:r>
      <w:r w:rsidR="00C20C31" w:rsidRPr="00E61FC8">
        <w:rPr>
          <w:spacing w:val="-2"/>
          <w:kern w:val="2"/>
          <w:lang w:val="en-GB"/>
        </w:rPr>
        <w:t xml:space="preserve">it </w:t>
      </w:r>
      <w:r w:rsidRPr="00E61FC8">
        <w:rPr>
          <w:spacing w:val="-2"/>
          <w:kern w:val="2"/>
          <w:lang w:val="en-GB"/>
        </w:rPr>
        <w:t xml:space="preserve">therefore preferred to use equity to meet its </w:t>
      </w:r>
      <w:r w:rsidR="00681216" w:rsidRPr="00E61FC8">
        <w:rPr>
          <w:spacing w:val="-2"/>
          <w:kern w:val="2"/>
          <w:lang w:val="en-GB"/>
        </w:rPr>
        <w:t>increased</w:t>
      </w:r>
      <w:r w:rsidR="00BF2DF3" w:rsidRPr="00E61FC8">
        <w:rPr>
          <w:spacing w:val="-2"/>
          <w:kern w:val="2"/>
          <w:lang w:val="en-GB"/>
        </w:rPr>
        <w:t xml:space="preserve"> </w:t>
      </w:r>
      <w:r w:rsidRPr="00E61FC8">
        <w:rPr>
          <w:spacing w:val="-2"/>
          <w:kern w:val="2"/>
          <w:lang w:val="en-GB"/>
        </w:rPr>
        <w:t>capital expenditure</w:t>
      </w:r>
      <w:r w:rsidR="00681216" w:rsidRPr="00E61FC8">
        <w:rPr>
          <w:spacing w:val="-2"/>
          <w:kern w:val="2"/>
          <w:lang w:val="en-GB"/>
        </w:rPr>
        <w:t>s</w:t>
      </w:r>
      <w:r w:rsidRPr="00E61FC8">
        <w:rPr>
          <w:spacing w:val="-2"/>
          <w:kern w:val="2"/>
          <w:lang w:val="en-GB"/>
        </w:rPr>
        <w:t xml:space="preserve"> as a result of its R&amp;D initiatives. Rajeev believed that the </w:t>
      </w:r>
      <w:r w:rsidR="00681216" w:rsidRPr="00E61FC8">
        <w:rPr>
          <w:spacing w:val="-2"/>
          <w:kern w:val="2"/>
          <w:lang w:val="en-GB"/>
        </w:rPr>
        <w:t xml:space="preserve">current </w:t>
      </w:r>
      <w:r w:rsidRPr="00E61FC8">
        <w:rPr>
          <w:spacing w:val="-2"/>
          <w:kern w:val="2"/>
          <w:lang w:val="en-GB"/>
        </w:rPr>
        <w:t xml:space="preserve">capital market </w:t>
      </w:r>
      <w:r w:rsidR="00681216" w:rsidRPr="00E61FC8">
        <w:rPr>
          <w:spacing w:val="-2"/>
          <w:kern w:val="2"/>
          <w:lang w:val="en-GB"/>
        </w:rPr>
        <w:t xml:space="preserve">conditions </w:t>
      </w:r>
      <w:r w:rsidRPr="00E61FC8">
        <w:rPr>
          <w:spacing w:val="-2"/>
          <w:kern w:val="2"/>
          <w:lang w:val="en-GB"/>
        </w:rPr>
        <w:t>were conducive to mobiliz</w:t>
      </w:r>
      <w:r w:rsidR="00681216" w:rsidRPr="00E61FC8">
        <w:rPr>
          <w:spacing w:val="-2"/>
          <w:kern w:val="2"/>
          <w:lang w:val="en-GB"/>
        </w:rPr>
        <w:t>ing</w:t>
      </w:r>
      <w:r w:rsidRPr="00E61FC8">
        <w:rPr>
          <w:spacing w:val="-2"/>
          <w:kern w:val="2"/>
          <w:lang w:val="en-GB"/>
        </w:rPr>
        <w:t xml:space="preserve"> funds through QIBs, and that </w:t>
      </w:r>
      <w:r w:rsidR="00C20C31" w:rsidRPr="00E61FC8">
        <w:rPr>
          <w:spacing w:val="-2"/>
          <w:kern w:val="2"/>
          <w:lang w:val="en-GB"/>
        </w:rPr>
        <w:t xml:space="preserve">the </w:t>
      </w:r>
      <w:r w:rsidRPr="00E61FC8">
        <w:rPr>
          <w:spacing w:val="-2"/>
          <w:kern w:val="2"/>
          <w:lang w:val="en-GB"/>
        </w:rPr>
        <w:t xml:space="preserve">presence of these institutional investors as shareholders would enhance NPL’s image in the market. Further, NPL’s average stock price had been increasing continuously, from </w:t>
      </w:r>
      <w:r w:rsidRPr="00E61FC8">
        <w:rPr>
          <w:rFonts w:ascii="Arial" w:hAnsi="Arial" w:cs="Arial"/>
          <w:spacing w:val="-2"/>
          <w:kern w:val="2"/>
          <w:sz w:val="20"/>
          <w:szCs w:val="20"/>
          <w:lang w:val="en-GB"/>
        </w:rPr>
        <w:t>₹</w:t>
      </w:r>
      <w:r w:rsidRPr="00E61FC8">
        <w:rPr>
          <w:spacing w:val="-2"/>
          <w:kern w:val="2"/>
          <w:lang w:val="en-GB"/>
        </w:rPr>
        <w:t xml:space="preserve">397.16 </w:t>
      </w:r>
      <w:r w:rsidR="00681216" w:rsidRPr="00E61FC8">
        <w:rPr>
          <w:spacing w:val="-2"/>
          <w:kern w:val="2"/>
          <w:lang w:val="en-GB"/>
        </w:rPr>
        <w:t xml:space="preserve">per share </w:t>
      </w:r>
      <w:r w:rsidRPr="00E61FC8">
        <w:rPr>
          <w:spacing w:val="-2"/>
          <w:kern w:val="2"/>
          <w:lang w:val="en-GB"/>
        </w:rPr>
        <w:t xml:space="preserve">during FY 2012–13 to </w:t>
      </w:r>
      <w:r w:rsidRPr="00E61FC8">
        <w:rPr>
          <w:rFonts w:ascii="Arial" w:hAnsi="Arial" w:cs="Arial"/>
          <w:spacing w:val="-2"/>
          <w:kern w:val="2"/>
          <w:sz w:val="20"/>
          <w:szCs w:val="20"/>
          <w:lang w:val="en-GB"/>
        </w:rPr>
        <w:t>₹</w:t>
      </w:r>
      <w:r w:rsidRPr="00E61FC8">
        <w:rPr>
          <w:spacing w:val="-2"/>
          <w:kern w:val="2"/>
          <w:lang w:val="en-GB"/>
        </w:rPr>
        <w:t xml:space="preserve">2,308.49 </w:t>
      </w:r>
      <w:r w:rsidR="00681216" w:rsidRPr="00E61FC8">
        <w:rPr>
          <w:spacing w:val="-2"/>
          <w:kern w:val="2"/>
          <w:lang w:val="en-GB"/>
        </w:rPr>
        <w:t xml:space="preserve">per share </w:t>
      </w:r>
      <w:r w:rsidRPr="00E61FC8">
        <w:rPr>
          <w:spacing w:val="-2"/>
          <w:kern w:val="2"/>
          <w:lang w:val="en-GB"/>
        </w:rPr>
        <w:t xml:space="preserve">in August 2015 (see Exhibit 4). As such, in this context, he felt that the timing of </w:t>
      </w:r>
      <w:r w:rsidR="00C20C31" w:rsidRPr="00E61FC8">
        <w:rPr>
          <w:spacing w:val="-2"/>
          <w:kern w:val="2"/>
          <w:lang w:val="en-GB"/>
        </w:rPr>
        <w:t xml:space="preserve">an </w:t>
      </w:r>
      <w:r w:rsidRPr="00E61FC8">
        <w:rPr>
          <w:spacing w:val="-2"/>
          <w:kern w:val="2"/>
          <w:lang w:val="en-GB"/>
        </w:rPr>
        <w:t xml:space="preserve">additional issue of equity in the form of </w:t>
      </w:r>
      <w:r w:rsidR="00BF2DF3" w:rsidRPr="00E61FC8">
        <w:rPr>
          <w:spacing w:val="-2"/>
          <w:kern w:val="2"/>
          <w:lang w:val="en-GB"/>
        </w:rPr>
        <w:t xml:space="preserve">a </w:t>
      </w:r>
      <w:r w:rsidRPr="00E61FC8">
        <w:rPr>
          <w:spacing w:val="-2"/>
          <w:kern w:val="2"/>
          <w:lang w:val="en-GB"/>
        </w:rPr>
        <w:t xml:space="preserve">QIP would be the right move. After </w:t>
      </w:r>
      <w:r w:rsidR="00BF2DF3" w:rsidRPr="00E61FC8">
        <w:rPr>
          <w:spacing w:val="-2"/>
          <w:kern w:val="2"/>
          <w:lang w:val="en-GB"/>
        </w:rPr>
        <w:t>reviewing</w:t>
      </w:r>
      <w:r w:rsidRPr="00E61FC8">
        <w:rPr>
          <w:spacing w:val="-2"/>
          <w:kern w:val="2"/>
          <w:lang w:val="en-GB"/>
        </w:rPr>
        <w:t xml:space="preserve"> the legal provisions, he believed that</w:t>
      </w:r>
      <w:r w:rsidR="00C20C31" w:rsidRPr="00E61FC8">
        <w:rPr>
          <w:spacing w:val="-2"/>
          <w:kern w:val="2"/>
          <w:lang w:val="en-GB"/>
        </w:rPr>
        <w:t>,</w:t>
      </w:r>
      <w:r w:rsidRPr="00E61FC8">
        <w:rPr>
          <w:spacing w:val="-2"/>
          <w:kern w:val="2"/>
          <w:lang w:val="en-GB"/>
        </w:rPr>
        <w:t xml:space="preserve"> to mobilize the required </w:t>
      </w:r>
      <w:r w:rsidR="00681216" w:rsidRPr="00E61FC8">
        <w:rPr>
          <w:spacing w:val="-2"/>
          <w:kern w:val="2"/>
          <w:lang w:val="en-GB"/>
        </w:rPr>
        <w:t>funding</w:t>
      </w:r>
      <w:r w:rsidRPr="00E61FC8">
        <w:rPr>
          <w:spacing w:val="-2"/>
          <w:kern w:val="2"/>
          <w:lang w:val="en-GB"/>
        </w:rPr>
        <w:t xml:space="preserve">, the company could issue 1.60 million equity shares (with a face value of </w:t>
      </w:r>
      <w:r w:rsidRPr="00E61FC8">
        <w:rPr>
          <w:rFonts w:ascii="Arial" w:hAnsi="Arial" w:cs="Arial"/>
          <w:spacing w:val="-2"/>
          <w:kern w:val="2"/>
          <w:sz w:val="20"/>
          <w:szCs w:val="20"/>
          <w:lang w:val="en-GB"/>
        </w:rPr>
        <w:t>₹</w:t>
      </w:r>
      <w:r w:rsidRPr="00E61FC8">
        <w:rPr>
          <w:spacing w:val="-2"/>
          <w:kern w:val="2"/>
          <w:lang w:val="en-GB"/>
        </w:rPr>
        <w:t xml:space="preserve">10 </w:t>
      </w:r>
      <w:r w:rsidR="00681216" w:rsidRPr="00E61FC8">
        <w:rPr>
          <w:spacing w:val="-2"/>
          <w:kern w:val="2"/>
          <w:lang w:val="en-GB"/>
        </w:rPr>
        <w:t xml:space="preserve">per share </w:t>
      </w:r>
      <w:r w:rsidRPr="00E61FC8">
        <w:rPr>
          <w:spacing w:val="-2"/>
          <w:kern w:val="2"/>
          <w:lang w:val="en-GB"/>
        </w:rPr>
        <w:t xml:space="preserve">plus a premium of </w:t>
      </w:r>
      <w:r w:rsidRPr="00E61FC8">
        <w:rPr>
          <w:rFonts w:ascii="Arial" w:hAnsi="Arial" w:cs="Arial"/>
          <w:spacing w:val="-2"/>
          <w:kern w:val="2"/>
          <w:sz w:val="20"/>
          <w:szCs w:val="20"/>
          <w:lang w:val="en-GB"/>
        </w:rPr>
        <w:t>₹</w:t>
      </w:r>
      <w:r w:rsidRPr="00E61FC8">
        <w:rPr>
          <w:spacing w:val="-2"/>
          <w:kern w:val="2"/>
          <w:lang w:val="en-GB"/>
        </w:rPr>
        <w:t xml:space="preserve">2,120.55 per share). Essentially, he was of the view that the QIP would create value for the existing </w:t>
      </w:r>
      <w:r w:rsidR="00BF2DF3" w:rsidRPr="00E61FC8">
        <w:rPr>
          <w:spacing w:val="-2"/>
          <w:kern w:val="2"/>
          <w:lang w:val="en-GB"/>
        </w:rPr>
        <w:t xml:space="preserve">NPL </w:t>
      </w:r>
      <w:r w:rsidRPr="00E61FC8">
        <w:rPr>
          <w:spacing w:val="-2"/>
          <w:kern w:val="2"/>
          <w:lang w:val="en-GB"/>
        </w:rPr>
        <w:t>shareholders in terms of its size, capacity, and growth prospects.</w:t>
      </w:r>
    </w:p>
    <w:p w14:paraId="4D777317" w14:textId="77777777" w:rsidR="004338C2" w:rsidRPr="00CB26E0" w:rsidRDefault="004338C2" w:rsidP="003002B1">
      <w:pPr>
        <w:pStyle w:val="BodyTextMain"/>
        <w:rPr>
          <w:rFonts w:eastAsia="Calibri"/>
          <w:sz w:val="16"/>
          <w:szCs w:val="16"/>
          <w:lang w:val="en-GB"/>
        </w:rPr>
      </w:pPr>
    </w:p>
    <w:p w14:paraId="7A872387" w14:textId="77777777" w:rsidR="004338C2" w:rsidRPr="00CB26E0" w:rsidRDefault="004338C2" w:rsidP="003002B1">
      <w:pPr>
        <w:pStyle w:val="BodyTextMain"/>
        <w:rPr>
          <w:rFonts w:eastAsia="Calibri"/>
          <w:sz w:val="16"/>
          <w:szCs w:val="16"/>
          <w:lang w:val="en-GB"/>
        </w:rPr>
      </w:pPr>
    </w:p>
    <w:p w14:paraId="641FD6C6" w14:textId="77777777" w:rsidR="004338C2" w:rsidRPr="00087534" w:rsidRDefault="004338C2" w:rsidP="00D33D14">
      <w:pPr>
        <w:pStyle w:val="Casehead1"/>
        <w:rPr>
          <w:rFonts w:eastAsia="Calibri"/>
          <w:lang w:val="en-GB"/>
        </w:rPr>
      </w:pPr>
      <w:r w:rsidRPr="00087534">
        <w:rPr>
          <w:rFonts w:eastAsia="Calibri"/>
          <w:lang w:val="en-GB"/>
        </w:rPr>
        <w:t>INDUSTRY OUTLOOK</w:t>
      </w:r>
    </w:p>
    <w:p w14:paraId="347F463E" w14:textId="51271589" w:rsidR="004338C2" w:rsidRPr="00CB26E0" w:rsidRDefault="004338C2" w:rsidP="00D33D14">
      <w:pPr>
        <w:pStyle w:val="BodyTextMain"/>
        <w:rPr>
          <w:sz w:val="16"/>
          <w:szCs w:val="16"/>
          <w:lang w:val="en-GB"/>
        </w:rPr>
      </w:pPr>
    </w:p>
    <w:p w14:paraId="11B689F9" w14:textId="573E8CE1" w:rsidR="004338C2" w:rsidRPr="00087534" w:rsidRDefault="004338C2" w:rsidP="00D33D14">
      <w:pPr>
        <w:pStyle w:val="BodyTextMain"/>
        <w:rPr>
          <w:vertAlign w:val="superscript"/>
          <w:lang w:val="en-GB"/>
        </w:rPr>
      </w:pPr>
      <w:r w:rsidRPr="00087534">
        <w:rPr>
          <w:lang w:val="en-GB"/>
        </w:rPr>
        <w:t>Major pharmaceutical players worldwide had been forced to cut costs and outsource the manufacture of bulk drugs to cheaper destinations, such as India and China</w:t>
      </w:r>
      <w:r>
        <w:rPr>
          <w:lang w:val="en-GB"/>
        </w:rPr>
        <w:t>,</w:t>
      </w:r>
      <w:r w:rsidRPr="00087534">
        <w:rPr>
          <w:lang w:val="en-GB"/>
        </w:rPr>
        <w:t xml:space="preserve"> due to slower growth in revenue and severe competition. Hence, Indian pharmaceutical manufacturers had an opportunity to export more and widen their reach in the </w:t>
      </w:r>
      <w:r>
        <w:rPr>
          <w:lang w:val="en-GB"/>
        </w:rPr>
        <w:t xml:space="preserve">U.S. and European </w:t>
      </w:r>
      <w:r w:rsidRPr="00087534">
        <w:rPr>
          <w:lang w:val="en-GB"/>
        </w:rPr>
        <w:t>markets</w:t>
      </w:r>
      <w:r w:rsidR="000639B8">
        <w:rPr>
          <w:lang w:val="en-GB"/>
        </w:rPr>
        <w:t xml:space="preserve"> for generic drugs</w:t>
      </w:r>
      <w:r w:rsidRPr="00087534">
        <w:rPr>
          <w:lang w:val="en-GB"/>
        </w:rPr>
        <w:t>. Indian pharmaceutical companies had approximately 60,000 generic brands covering 60 therapeutic segments.</w:t>
      </w:r>
      <w:r w:rsidRPr="00087534">
        <w:rPr>
          <w:vertAlign w:val="superscript"/>
          <w:lang w:val="en-GB"/>
        </w:rPr>
        <w:footnoteReference w:id="12"/>
      </w:r>
    </w:p>
    <w:p w14:paraId="22D7D9F2" w14:textId="77777777" w:rsidR="004338C2" w:rsidRPr="00CB26E0" w:rsidRDefault="004338C2" w:rsidP="00D33D14">
      <w:pPr>
        <w:pStyle w:val="BodyTextMain"/>
        <w:rPr>
          <w:sz w:val="16"/>
          <w:szCs w:val="16"/>
          <w:lang w:val="en-GB"/>
        </w:rPr>
      </w:pPr>
    </w:p>
    <w:p w14:paraId="4DD0CD23" w14:textId="36603C3D" w:rsidR="004338C2" w:rsidRPr="00087534" w:rsidRDefault="004338C2" w:rsidP="00D33D14">
      <w:pPr>
        <w:pStyle w:val="BodyTextMain"/>
        <w:rPr>
          <w:vertAlign w:val="superscript"/>
          <w:lang w:val="en-GB"/>
        </w:rPr>
      </w:pPr>
      <w:r w:rsidRPr="00087534">
        <w:rPr>
          <w:lang w:val="en-GB"/>
        </w:rPr>
        <w:t xml:space="preserve">The Indian pharmaceutical industry had a 10 per cent </w:t>
      </w:r>
      <w:r>
        <w:rPr>
          <w:lang w:val="en-GB"/>
        </w:rPr>
        <w:t xml:space="preserve">share </w:t>
      </w:r>
      <w:r w:rsidRPr="00087534">
        <w:rPr>
          <w:lang w:val="en-GB"/>
        </w:rPr>
        <w:t xml:space="preserve">of </w:t>
      </w:r>
      <w:r>
        <w:rPr>
          <w:lang w:val="en-GB"/>
        </w:rPr>
        <w:t xml:space="preserve">the </w:t>
      </w:r>
      <w:r w:rsidRPr="00087534">
        <w:rPr>
          <w:lang w:val="en-GB"/>
        </w:rPr>
        <w:t xml:space="preserve">global pharmaceutical industry in terms of volume and 2.40 per cent in terms of value (on account of generic drugs); the size of the </w:t>
      </w:r>
      <w:r>
        <w:rPr>
          <w:lang w:val="en-GB"/>
        </w:rPr>
        <w:t xml:space="preserve">total Indian pharmaceutical </w:t>
      </w:r>
      <w:r w:rsidRPr="00087534">
        <w:rPr>
          <w:lang w:val="en-GB"/>
        </w:rPr>
        <w:t>industry was US$20 billion in 2015 and expected to reach US$55 billion by 2020</w:t>
      </w:r>
      <w:r w:rsidR="00C20C31">
        <w:rPr>
          <w:lang w:val="en-GB"/>
        </w:rPr>
        <w:t>,</w:t>
      </w:r>
      <w:r w:rsidRPr="00087534">
        <w:rPr>
          <w:lang w:val="en-GB"/>
        </w:rPr>
        <w:t xml:space="preserve"> with an estimated CAGR of 15.92 per cent.</w:t>
      </w:r>
      <w:r w:rsidRPr="00087534">
        <w:rPr>
          <w:vertAlign w:val="superscript"/>
          <w:lang w:val="en-GB"/>
        </w:rPr>
        <w:footnoteReference w:id="13"/>
      </w:r>
      <w:r w:rsidRPr="00A72D9F">
        <w:rPr>
          <w:lang w:val="en-GB"/>
        </w:rPr>
        <w:t xml:space="preserve"> </w:t>
      </w:r>
      <w:r w:rsidRPr="00087534">
        <w:rPr>
          <w:lang w:val="en-GB"/>
        </w:rPr>
        <w:t>This growth in the industry was driven by massive export potential, increas</w:t>
      </w:r>
      <w:r>
        <w:rPr>
          <w:lang w:val="en-GB"/>
        </w:rPr>
        <w:t>ed</w:t>
      </w:r>
      <w:r w:rsidRPr="00087534">
        <w:rPr>
          <w:lang w:val="en-GB"/>
        </w:rPr>
        <w:t xml:space="preserve"> access to health</w:t>
      </w:r>
      <w:r>
        <w:rPr>
          <w:lang w:val="en-GB"/>
        </w:rPr>
        <w:t>-</w:t>
      </w:r>
      <w:r w:rsidRPr="00087534">
        <w:rPr>
          <w:lang w:val="en-GB"/>
        </w:rPr>
        <w:t>care facilities</w:t>
      </w:r>
      <w:r>
        <w:rPr>
          <w:lang w:val="en-GB"/>
        </w:rPr>
        <w:t>,</w:t>
      </w:r>
      <w:r w:rsidRPr="00087534">
        <w:rPr>
          <w:lang w:val="en-GB"/>
        </w:rPr>
        <w:t xml:space="preserve"> </w:t>
      </w:r>
      <w:r w:rsidR="00C440D1">
        <w:rPr>
          <w:lang w:val="en-GB"/>
        </w:rPr>
        <w:t xml:space="preserve">increased access to </w:t>
      </w:r>
      <w:r w:rsidRPr="00087534">
        <w:rPr>
          <w:lang w:val="en-GB"/>
        </w:rPr>
        <w:t xml:space="preserve">medical insurance, </w:t>
      </w:r>
      <w:r>
        <w:rPr>
          <w:lang w:val="en-GB"/>
        </w:rPr>
        <w:t xml:space="preserve">an </w:t>
      </w:r>
      <w:r w:rsidRPr="00087534">
        <w:rPr>
          <w:lang w:val="en-GB"/>
        </w:rPr>
        <w:t xml:space="preserve">aging population, sedentary lifestyles, unhealthy eating habits, </w:t>
      </w:r>
      <w:r>
        <w:rPr>
          <w:lang w:val="en-GB"/>
        </w:rPr>
        <w:t xml:space="preserve">a </w:t>
      </w:r>
      <w:r w:rsidR="00BF2DF3">
        <w:rPr>
          <w:lang w:val="en-GB"/>
        </w:rPr>
        <w:t>high</w:t>
      </w:r>
      <w:r>
        <w:rPr>
          <w:lang w:val="en-GB"/>
        </w:rPr>
        <w:t xml:space="preserve">er prevalence of </w:t>
      </w:r>
      <w:r w:rsidRPr="00087534">
        <w:rPr>
          <w:lang w:val="en-GB"/>
        </w:rPr>
        <w:t>chronic diseases due to higher stress levels</w:t>
      </w:r>
      <w:r>
        <w:rPr>
          <w:lang w:val="en-GB"/>
        </w:rPr>
        <w:t>,</w:t>
      </w:r>
      <w:r w:rsidRPr="00087534">
        <w:rPr>
          <w:lang w:val="en-GB"/>
        </w:rPr>
        <w:t xml:space="preserve"> and rising per capita income</w:t>
      </w:r>
      <w:r w:rsidR="000639B8">
        <w:rPr>
          <w:lang w:val="en-GB"/>
        </w:rPr>
        <w:t>s</w:t>
      </w:r>
      <w:r w:rsidRPr="00087534">
        <w:rPr>
          <w:lang w:val="en-GB"/>
        </w:rPr>
        <w:t>.</w:t>
      </w:r>
      <w:r w:rsidRPr="00087534">
        <w:rPr>
          <w:vertAlign w:val="superscript"/>
          <w:lang w:val="en-GB"/>
        </w:rPr>
        <w:footnoteReference w:id="14"/>
      </w:r>
    </w:p>
    <w:p w14:paraId="5E5AA8B5" w14:textId="77777777" w:rsidR="004338C2" w:rsidRPr="00CB26E0" w:rsidRDefault="004338C2" w:rsidP="00D33D14">
      <w:pPr>
        <w:pStyle w:val="BodyTextMain"/>
        <w:rPr>
          <w:sz w:val="16"/>
          <w:szCs w:val="16"/>
          <w:lang w:val="en-GB"/>
        </w:rPr>
      </w:pPr>
    </w:p>
    <w:p w14:paraId="5706FE4C" w14:textId="45DCB72A" w:rsidR="004338C2" w:rsidRPr="00087534" w:rsidRDefault="004338C2" w:rsidP="00D33D14">
      <w:pPr>
        <w:pStyle w:val="BodyTextMain"/>
        <w:rPr>
          <w:lang w:val="en-GB"/>
        </w:rPr>
      </w:pPr>
      <w:r w:rsidRPr="00087534">
        <w:rPr>
          <w:lang w:val="en-GB"/>
        </w:rPr>
        <w:t xml:space="preserve">Indian pharmaceutical companies primarily manufactured formulations and bulk drugs. APIs were the main components for making finished pharmaceutical products. The global API market broadly consisted of semi-regulated and regulated markets. While the regulated markets had high entry barriers in terms of compliance </w:t>
      </w:r>
      <w:r w:rsidR="00BF2DF3">
        <w:rPr>
          <w:lang w:val="en-GB"/>
        </w:rPr>
        <w:t>with</w:t>
      </w:r>
      <w:r w:rsidR="00BF2DF3" w:rsidRPr="00087534">
        <w:rPr>
          <w:lang w:val="en-GB"/>
        </w:rPr>
        <w:t xml:space="preserve"> </w:t>
      </w:r>
      <w:r w:rsidRPr="00087534">
        <w:rPr>
          <w:lang w:val="en-GB"/>
        </w:rPr>
        <w:t>norms and intellectual property rights, semi-regulated markets did not have such hurdles. Hence, products sold in regulated markets commanded a premium in pricing</w:t>
      </w:r>
      <w:r>
        <w:rPr>
          <w:lang w:val="en-GB"/>
        </w:rPr>
        <w:t>, in part because of their</w:t>
      </w:r>
      <w:r w:rsidR="00BF2DF3">
        <w:rPr>
          <w:lang w:val="en-GB"/>
        </w:rPr>
        <w:t xml:space="preserve"> need</w:t>
      </w:r>
      <w:r w:rsidRPr="00087534">
        <w:rPr>
          <w:lang w:val="en-GB"/>
        </w:rPr>
        <w:t xml:space="preserve"> for quality and regulatory compliance.</w:t>
      </w:r>
    </w:p>
    <w:p w14:paraId="42567B95" w14:textId="77777777" w:rsidR="004338C2" w:rsidRPr="00CB26E0" w:rsidRDefault="004338C2" w:rsidP="00D33D14">
      <w:pPr>
        <w:pStyle w:val="BodyTextMain"/>
        <w:rPr>
          <w:sz w:val="16"/>
          <w:szCs w:val="16"/>
          <w:lang w:val="en-GB"/>
        </w:rPr>
      </w:pPr>
    </w:p>
    <w:p w14:paraId="0ACFD208" w14:textId="430D958D" w:rsidR="004338C2" w:rsidRPr="00E61FC8" w:rsidRDefault="004338C2" w:rsidP="00D33D14">
      <w:pPr>
        <w:pStyle w:val="BodyTextMain"/>
        <w:rPr>
          <w:spacing w:val="-2"/>
          <w:kern w:val="22"/>
          <w:lang w:val="en-GB"/>
        </w:rPr>
      </w:pPr>
      <w:r w:rsidRPr="00E61FC8">
        <w:rPr>
          <w:spacing w:val="-2"/>
          <w:kern w:val="22"/>
          <w:lang w:val="en-GB"/>
        </w:rPr>
        <w:t xml:space="preserve">Throughout the world, </w:t>
      </w:r>
      <w:r w:rsidR="00FC3EE0" w:rsidRPr="00E61FC8">
        <w:rPr>
          <w:spacing w:val="-2"/>
          <w:kern w:val="22"/>
          <w:lang w:val="en-GB"/>
        </w:rPr>
        <w:t xml:space="preserve">there was an increased need for </w:t>
      </w:r>
      <w:r w:rsidRPr="00E61FC8">
        <w:rPr>
          <w:spacing w:val="-2"/>
          <w:kern w:val="22"/>
          <w:lang w:val="en-GB"/>
        </w:rPr>
        <w:t xml:space="preserve">regulatory compliance and a focus on intellectual property rights in the pharmaceutical industry. Governments across the world were keen </w:t>
      </w:r>
      <w:r w:rsidR="00FC3EE0" w:rsidRPr="00E61FC8">
        <w:rPr>
          <w:spacing w:val="-2"/>
          <w:kern w:val="22"/>
          <w:lang w:val="en-GB"/>
        </w:rPr>
        <w:t xml:space="preserve">to reduce </w:t>
      </w:r>
      <w:r w:rsidRPr="00E61FC8">
        <w:rPr>
          <w:spacing w:val="-2"/>
          <w:kern w:val="22"/>
          <w:lang w:val="en-GB"/>
        </w:rPr>
        <w:t>their health-care costs. As the cost of generic</w:t>
      </w:r>
      <w:r w:rsidR="00C74B23" w:rsidRPr="00E61FC8">
        <w:rPr>
          <w:spacing w:val="-2"/>
          <w:kern w:val="22"/>
          <w:lang w:val="en-GB"/>
        </w:rPr>
        <w:t xml:space="preserve"> </w:t>
      </w:r>
      <w:r w:rsidR="00BF2DF3" w:rsidRPr="00E61FC8">
        <w:rPr>
          <w:spacing w:val="-2"/>
          <w:kern w:val="22"/>
          <w:lang w:val="en-GB"/>
        </w:rPr>
        <w:t>drug</w:t>
      </w:r>
      <w:r w:rsidRPr="00E61FC8">
        <w:rPr>
          <w:spacing w:val="-2"/>
          <w:kern w:val="22"/>
          <w:lang w:val="en-GB"/>
        </w:rPr>
        <w:t xml:space="preserve">s </w:t>
      </w:r>
      <w:r w:rsidR="004219E4" w:rsidRPr="00E61FC8">
        <w:rPr>
          <w:spacing w:val="-2"/>
          <w:kern w:val="22"/>
          <w:lang w:val="en-GB"/>
        </w:rPr>
        <w:t>was a</w:t>
      </w:r>
      <w:r w:rsidRPr="00E61FC8">
        <w:rPr>
          <w:spacing w:val="-2"/>
          <w:kern w:val="22"/>
          <w:lang w:val="en-GB"/>
        </w:rPr>
        <w:t xml:space="preserve"> fraction of the cost of patented drugs,</w:t>
      </w:r>
      <w:r w:rsidRPr="00E61FC8">
        <w:rPr>
          <w:spacing w:val="-2"/>
          <w:kern w:val="22"/>
          <w:vertAlign w:val="superscript"/>
          <w:lang w:val="en-GB"/>
        </w:rPr>
        <w:footnoteReference w:id="15"/>
      </w:r>
      <w:r w:rsidRPr="00E61FC8">
        <w:rPr>
          <w:spacing w:val="-2"/>
          <w:kern w:val="22"/>
          <w:lang w:val="en-GB"/>
        </w:rPr>
        <w:t xml:space="preserve"> most nations, especially developed economies, had been shifting toward these generic formulations. For example, </w:t>
      </w:r>
      <w:r w:rsidR="00BF2DF3" w:rsidRPr="00E61FC8">
        <w:rPr>
          <w:spacing w:val="-2"/>
          <w:kern w:val="22"/>
          <w:lang w:val="en-GB"/>
        </w:rPr>
        <w:t xml:space="preserve">although </w:t>
      </w:r>
      <w:r w:rsidRPr="00E61FC8">
        <w:rPr>
          <w:spacing w:val="-2"/>
          <w:kern w:val="22"/>
          <w:lang w:val="en-GB"/>
        </w:rPr>
        <w:t xml:space="preserve">more than </w:t>
      </w:r>
      <w:r w:rsidRPr="00E61FC8">
        <w:rPr>
          <w:spacing w:val="-2"/>
          <w:kern w:val="22"/>
          <w:lang w:val="en-GB"/>
        </w:rPr>
        <w:lastRenderedPageBreak/>
        <w:t>50 per cent of worldwide prescriptions were in the form of generic</w:t>
      </w:r>
      <w:r w:rsidR="00BF2DF3" w:rsidRPr="00E61FC8">
        <w:rPr>
          <w:spacing w:val="-2"/>
          <w:kern w:val="22"/>
          <w:lang w:val="en-GB"/>
        </w:rPr>
        <w:t xml:space="preserve"> drug</w:t>
      </w:r>
      <w:r w:rsidRPr="00E61FC8">
        <w:rPr>
          <w:spacing w:val="-2"/>
          <w:kern w:val="22"/>
          <w:lang w:val="en-GB"/>
        </w:rPr>
        <w:t xml:space="preserve">s, in the United States, generic formulations were estimated to represent 86 per cent </w:t>
      </w:r>
      <w:r w:rsidR="00FC3EE0" w:rsidRPr="00E61FC8">
        <w:rPr>
          <w:spacing w:val="-2"/>
          <w:kern w:val="22"/>
          <w:lang w:val="en-GB"/>
        </w:rPr>
        <w:t xml:space="preserve">of </w:t>
      </w:r>
      <w:r w:rsidRPr="00E61FC8">
        <w:rPr>
          <w:spacing w:val="-2"/>
          <w:kern w:val="22"/>
          <w:lang w:val="en-GB"/>
        </w:rPr>
        <w:t>all drugs in terms of volume.</w:t>
      </w:r>
      <w:r w:rsidRPr="00E61FC8">
        <w:rPr>
          <w:spacing w:val="-2"/>
          <w:kern w:val="22"/>
          <w:vertAlign w:val="superscript"/>
          <w:lang w:val="en-GB"/>
        </w:rPr>
        <w:footnoteReference w:id="16"/>
      </w:r>
      <w:r w:rsidRPr="00E61FC8">
        <w:rPr>
          <w:spacing w:val="-2"/>
          <w:kern w:val="22"/>
          <w:lang w:val="en-GB"/>
        </w:rPr>
        <w:t xml:space="preserve"> </w:t>
      </w:r>
      <w:r w:rsidR="00FC3EE0" w:rsidRPr="00E61FC8">
        <w:rPr>
          <w:spacing w:val="-2"/>
          <w:kern w:val="22"/>
          <w:lang w:val="en-GB"/>
        </w:rPr>
        <w:t>T</w:t>
      </w:r>
      <w:r w:rsidRPr="00E61FC8">
        <w:rPr>
          <w:spacing w:val="-2"/>
          <w:kern w:val="22"/>
          <w:lang w:val="en-GB"/>
        </w:rPr>
        <w:t>he U.S. government saved US$931 billion during the period 2001–2010, due to higher usage of generic drugs. Approximately 40 per cent of the generic drugs used in the United States were imported from India, and this trend was expected to increase.</w:t>
      </w:r>
      <w:r w:rsidRPr="00E61FC8">
        <w:rPr>
          <w:spacing w:val="-2"/>
          <w:kern w:val="22"/>
          <w:vertAlign w:val="superscript"/>
          <w:lang w:val="en-GB"/>
        </w:rPr>
        <w:footnoteReference w:id="17"/>
      </w:r>
      <w:r w:rsidRPr="00E61FC8">
        <w:rPr>
          <w:spacing w:val="-2"/>
          <w:kern w:val="22"/>
          <w:lang w:val="en-GB"/>
        </w:rPr>
        <w:t xml:space="preserve"> India exported pharmaceutical products to more than 180 countries</w:t>
      </w:r>
      <w:r w:rsidR="000639B8" w:rsidRPr="00E61FC8">
        <w:rPr>
          <w:spacing w:val="-2"/>
          <w:kern w:val="22"/>
          <w:lang w:val="en-GB"/>
        </w:rPr>
        <w:t>;</w:t>
      </w:r>
      <w:r w:rsidRPr="00E61FC8">
        <w:rPr>
          <w:spacing w:val="-2"/>
          <w:kern w:val="22"/>
          <w:lang w:val="en-GB"/>
        </w:rPr>
        <w:t xml:space="preserve"> the United States</w:t>
      </w:r>
      <w:r w:rsidR="000639B8" w:rsidRPr="00E61FC8">
        <w:rPr>
          <w:spacing w:val="-2"/>
          <w:kern w:val="22"/>
          <w:lang w:val="en-GB"/>
        </w:rPr>
        <w:t xml:space="preserve">, which </w:t>
      </w:r>
      <w:r w:rsidR="00BF2DF3" w:rsidRPr="00E61FC8">
        <w:rPr>
          <w:spacing w:val="-2"/>
          <w:kern w:val="22"/>
          <w:lang w:val="en-GB"/>
        </w:rPr>
        <w:t>represent</w:t>
      </w:r>
      <w:r w:rsidR="000639B8" w:rsidRPr="00E61FC8">
        <w:rPr>
          <w:spacing w:val="-2"/>
          <w:kern w:val="22"/>
          <w:lang w:val="en-GB"/>
        </w:rPr>
        <w:t>ed</w:t>
      </w:r>
      <w:r w:rsidRPr="00E61FC8">
        <w:rPr>
          <w:spacing w:val="-2"/>
          <w:kern w:val="22"/>
          <w:lang w:val="en-GB"/>
        </w:rPr>
        <w:t xml:space="preserve"> 26.73 per cent</w:t>
      </w:r>
      <w:r w:rsidR="00BF2DF3" w:rsidRPr="00E61FC8">
        <w:rPr>
          <w:spacing w:val="-2"/>
          <w:kern w:val="22"/>
          <w:lang w:val="en-GB"/>
        </w:rPr>
        <w:t xml:space="preserve"> of all exports</w:t>
      </w:r>
      <w:r w:rsidRPr="00E61FC8">
        <w:rPr>
          <w:spacing w:val="-2"/>
          <w:kern w:val="22"/>
          <w:lang w:val="en-GB"/>
        </w:rPr>
        <w:t xml:space="preserve">, </w:t>
      </w:r>
      <w:r w:rsidR="000639B8" w:rsidRPr="00E61FC8">
        <w:rPr>
          <w:spacing w:val="-2"/>
          <w:kern w:val="22"/>
          <w:lang w:val="en-GB"/>
        </w:rPr>
        <w:t xml:space="preserve">valued at </w:t>
      </w:r>
      <w:r w:rsidRPr="00E61FC8">
        <w:rPr>
          <w:spacing w:val="-2"/>
          <w:kern w:val="22"/>
          <w:lang w:val="en-GB"/>
        </w:rPr>
        <w:t>US$4.</w:t>
      </w:r>
      <w:r w:rsidR="00FC3EE0" w:rsidRPr="00E61FC8">
        <w:rPr>
          <w:spacing w:val="-2"/>
          <w:kern w:val="22"/>
          <w:lang w:val="en-GB"/>
        </w:rPr>
        <w:t>02 </w:t>
      </w:r>
      <w:r w:rsidRPr="00E61FC8">
        <w:rPr>
          <w:spacing w:val="-2"/>
          <w:kern w:val="22"/>
          <w:lang w:val="en-GB"/>
        </w:rPr>
        <w:t xml:space="preserve">billion, </w:t>
      </w:r>
      <w:r w:rsidR="000639B8" w:rsidRPr="00E61FC8">
        <w:rPr>
          <w:spacing w:val="-2"/>
          <w:kern w:val="22"/>
          <w:lang w:val="en-GB"/>
        </w:rPr>
        <w:t>was the major export destination</w:t>
      </w:r>
      <w:r w:rsidR="00813E4C" w:rsidRPr="00E61FC8">
        <w:rPr>
          <w:spacing w:val="-2"/>
          <w:kern w:val="22"/>
          <w:lang w:val="en-GB"/>
        </w:rPr>
        <w:t xml:space="preserve"> for Indian-manufactured pharmaceuticals</w:t>
      </w:r>
      <w:r w:rsidR="000639B8" w:rsidRPr="00E61FC8">
        <w:rPr>
          <w:spacing w:val="-2"/>
          <w:kern w:val="22"/>
          <w:lang w:val="en-GB"/>
        </w:rPr>
        <w:t xml:space="preserve">, </w:t>
      </w:r>
      <w:r w:rsidRPr="00E61FC8">
        <w:rPr>
          <w:spacing w:val="-2"/>
          <w:kern w:val="22"/>
          <w:lang w:val="en-GB"/>
        </w:rPr>
        <w:t>followed by Russia and the United Kingdom.</w:t>
      </w:r>
      <w:r w:rsidRPr="00E61FC8">
        <w:rPr>
          <w:spacing w:val="-2"/>
          <w:kern w:val="22"/>
          <w:vertAlign w:val="superscript"/>
          <w:lang w:val="en-GB"/>
        </w:rPr>
        <w:footnoteReference w:id="18"/>
      </w:r>
    </w:p>
    <w:p w14:paraId="61B93AA5" w14:textId="77777777" w:rsidR="004338C2" w:rsidRPr="00CB26E0" w:rsidRDefault="004338C2" w:rsidP="00D33D14">
      <w:pPr>
        <w:pStyle w:val="BodyTextMain"/>
        <w:rPr>
          <w:sz w:val="16"/>
          <w:szCs w:val="16"/>
          <w:lang w:val="en-GB"/>
        </w:rPr>
      </w:pPr>
    </w:p>
    <w:p w14:paraId="1A0BBF8F" w14:textId="2A08D323" w:rsidR="004338C2" w:rsidRPr="00087534" w:rsidRDefault="004338C2" w:rsidP="001F2104">
      <w:pPr>
        <w:jc w:val="both"/>
        <w:rPr>
          <w:sz w:val="22"/>
          <w:szCs w:val="22"/>
          <w:lang w:val="en-GB"/>
        </w:rPr>
      </w:pPr>
      <w:r w:rsidRPr="00087534">
        <w:rPr>
          <w:sz w:val="22"/>
          <w:szCs w:val="22"/>
          <w:lang w:val="en-GB"/>
        </w:rPr>
        <w:t>The export of bulk drugs, especially off-patented products (</w:t>
      </w:r>
      <w:r>
        <w:rPr>
          <w:sz w:val="22"/>
          <w:szCs w:val="22"/>
          <w:lang w:val="en-GB"/>
        </w:rPr>
        <w:t xml:space="preserve">i.e., </w:t>
      </w:r>
      <w:r w:rsidRPr="00087534">
        <w:rPr>
          <w:sz w:val="22"/>
          <w:szCs w:val="22"/>
          <w:lang w:val="en-GB"/>
        </w:rPr>
        <w:t>generic</w:t>
      </w:r>
      <w:r w:rsidR="000639B8">
        <w:rPr>
          <w:sz w:val="22"/>
          <w:szCs w:val="22"/>
          <w:lang w:val="en-GB"/>
        </w:rPr>
        <w:t xml:space="preserve"> drug</w:t>
      </w:r>
      <w:r w:rsidRPr="00087534">
        <w:rPr>
          <w:sz w:val="22"/>
          <w:szCs w:val="22"/>
          <w:lang w:val="en-GB"/>
        </w:rPr>
        <w:t xml:space="preserve">s), would drive overall exports, as such exports </w:t>
      </w:r>
      <w:r>
        <w:rPr>
          <w:sz w:val="22"/>
          <w:szCs w:val="22"/>
          <w:lang w:val="en-GB"/>
        </w:rPr>
        <w:t>represented a huge opportunity from</w:t>
      </w:r>
      <w:r w:rsidRPr="00087534">
        <w:rPr>
          <w:sz w:val="22"/>
          <w:szCs w:val="22"/>
          <w:lang w:val="en-GB"/>
        </w:rPr>
        <w:t xml:space="preserve"> 2015</w:t>
      </w:r>
      <w:r>
        <w:rPr>
          <w:sz w:val="22"/>
          <w:szCs w:val="22"/>
          <w:lang w:val="en-GB"/>
        </w:rPr>
        <w:t>–20</w:t>
      </w:r>
      <w:r w:rsidRPr="00087534">
        <w:rPr>
          <w:sz w:val="22"/>
          <w:szCs w:val="22"/>
          <w:lang w:val="en-GB"/>
        </w:rPr>
        <w:t xml:space="preserve">20; </w:t>
      </w:r>
      <w:r>
        <w:rPr>
          <w:sz w:val="22"/>
          <w:szCs w:val="22"/>
          <w:lang w:val="en-GB"/>
        </w:rPr>
        <w:t xml:space="preserve">the </w:t>
      </w:r>
      <w:r w:rsidRPr="00087534">
        <w:rPr>
          <w:sz w:val="22"/>
          <w:szCs w:val="22"/>
          <w:lang w:val="en-GB"/>
        </w:rPr>
        <w:t>expiry of patents</w:t>
      </w:r>
      <w:r>
        <w:rPr>
          <w:sz w:val="22"/>
          <w:szCs w:val="22"/>
          <w:lang w:val="en-GB"/>
        </w:rPr>
        <w:t>,</w:t>
      </w:r>
      <w:r w:rsidRPr="00087534">
        <w:rPr>
          <w:sz w:val="22"/>
          <w:szCs w:val="22"/>
          <w:lang w:val="en-GB"/>
        </w:rPr>
        <w:t xml:space="preserve"> coupled with </w:t>
      </w:r>
      <w:r>
        <w:rPr>
          <w:sz w:val="22"/>
          <w:szCs w:val="22"/>
          <w:lang w:val="en-GB"/>
        </w:rPr>
        <w:t xml:space="preserve">innovators’ </w:t>
      </w:r>
      <w:r w:rsidRPr="00087534">
        <w:rPr>
          <w:sz w:val="22"/>
          <w:szCs w:val="22"/>
          <w:lang w:val="en-GB"/>
        </w:rPr>
        <w:t xml:space="preserve">introduction of </w:t>
      </w:r>
      <w:r>
        <w:rPr>
          <w:sz w:val="22"/>
          <w:szCs w:val="22"/>
          <w:lang w:val="en-GB"/>
        </w:rPr>
        <w:t xml:space="preserve">a </w:t>
      </w:r>
      <w:r w:rsidRPr="00087534">
        <w:rPr>
          <w:sz w:val="22"/>
          <w:szCs w:val="22"/>
          <w:lang w:val="en-GB"/>
        </w:rPr>
        <w:t>few new molecules in the pharmaceutical market offered good opportunities for the Indian formulation and bulk drug companies.</w:t>
      </w:r>
      <w:r w:rsidRPr="00087534">
        <w:rPr>
          <w:sz w:val="22"/>
          <w:szCs w:val="22"/>
          <w:vertAlign w:val="superscript"/>
          <w:lang w:val="en-GB"/>
        </w:rPr>
        <w:footnoteReference w:id="19"/>
      </w:r>
      <w:r w:rsidRPr="00A72D9F">
        <w:rPr>
          <w:sz w:val="22"/>
          <w:szCs w:val="22"/>
          <w:lang w:val="en-GB"/>
        </w:rPr>
        <w:t xml:space="preserve"> </w:t>
      </w:r>
      <w:r w:rsidRPr="00087534">
        <w:rPr>
          <w:sz w:val="22"/>
          <w:szCs w:val="22"/>
          <w:lang w:val="en-GB"/>
        </w:rPr>
        <w:t xml:space="preserve">According to </w:t>
      </w:r>
      <w:r>
        <w:rPr>
          <w:sz w:val="22"/>
          <w:szCs w:val="22"/>
          <w:lang w:val="en-GB"/>
        </w:rPr>
        <w:t xml:space="preserve">a </w:t>
      </w:r>
      <w:r w:rsidRPr="00087534">
        <w:rPr>
          <w:sz w:val="22"/>
          <w:szCs w:val="22"/>
          <w:lang w:val="en-GB"/>
        </w:rPr>
        <w:t>Credit Analysis and Research Limited (CARE) report dated August 2014, patented drugs</w:t>
      </w:r>
      <w:r w:rsidRPr="00087534">
        <w:rPr>
          <w:rStyle w:val="FootnoteReference"/>
          <w:sz w:val="22"/>
          <w:szCs w:val="22"/>
          <w:lang w:val="en-GB"/>
        </w:rPr>
        <w:footnoteReference w:id="20"/>
      </w:r>
      <w:r w:rsidRPr="00087534">
        <w:rPr>
          <w:sz w:val="22"/>
          <w:szCs w:val="22"/>
          <w:lang w:val="en-GB"/>
        </w:rPr>
        <w:t xml:space="preserve"> representing annual revenues of US$71.7 billion would go off patent in the U</w:t>
      </w:r>
      <w:r>
        <w:rPr>
          <w:sz w:val="22"/>
          <w:szCs w:val="22"/>
          <w:lang w:val="en-GB"/>
        </w:rPr>
        <w:t xml:space="preserve">nited </w:t>
      </w:r>
      <w:r w:rsidRPr="00087534">
        <w:rPr>
          <w:sz w:val="22"/>
          <w:szCs w:val="22"/>
          <w:lang w:val="en-GB"/>
        </w:rPr>
        <w:t>S</w:t>
      </w:r>
      <w:r>
        <w:rPr>
          <w:sz w:val="22"/>
          <w:szCs w:val="22"/>
          <w:lang w:val="en-GB"/>
        </w:rPr>
        <w:t>tates</w:t>
      </w:r>
      <w:r w:rsidRPr="00087534">
        <w:rPr>
          <w:sz w:val="22"/>
          <w:szCs w:val="22"/>
          <w:lang w:val="en-GB"/>
        </w:rPr>
        <w:t xml:space="preserve"> </w:t>
      </w:r>
      <w:r>
        <w:rPr>
          <w:sz w:val="22"/>
          <w:szCs w:val="22"/>
          <w:lang w:val="en-GB"/>
        </w:rPr>
        <w:t>between</w:t>
      </w:r>
      <w:r w:rsidRPr="00087534">
        <w:rPr>
          <w:sz w:val="22"/>
          <w:szCs w:val="22"/>
          <w:lang w:val="en-GB"/>
        </w:rPr>
        <w:t xml:space="preserve"> 2015</w:t>
      </w:r>
      <w:r>
        <w:rPr>
          <w:sz w:val="22"/>
          <w:szCs w:val="22"/>
          <w:lang w:val="en-GB"/>
        </w:rPr>
        <w:t xml:space="preserve"> and 20</w:t>
      </w:r>
      <w:r w:rsidRPr="00087534">
        <w:rPr>
          <w:sz w:val="22"/>
          <w:szCs w:val="22"/>
          <w:lang w:val="en-GB"/>
        </w:rPr>
        <w:t xml:space="preserve">17, leading to new growth opportunities for the generic </w:t>
      </w:r>
      <w:r>
        <w:rPr>
          <w:sz w:val="22"/>
          <w:szCs w:val="22"/>
          <w:lang w:val="en-GB"/>
        </w:rPr>
        <w:t xml:space="preserve">drug </w:t>
      </w:r>
      <w:r w:rsidRPr="00087534">
        <w:rPr>
          <w:sz w:val="22"/>
          <w:szCs w:val="22"/>
          <w:lang w:val="en-GB"/>
        </w:rPr>
        <w:t>producers.</w:t>
      </w:r>
    </w:p>
    <w:p w14:paraId="4FC08ED7" w14:textId="77777777" w:rsidR="004338C2" w:rsidRPr="00CB26E0" w:rsidRDefault="004338C2" w:rsidP="00D33D14">
      <w:pPr>
        <w:pStyle w:val="BodyTextMain"/>
        <w:rPr>
          <w:sz w:val="16"/>
          <w:szCs w:val="16"/>
          <w:lang w:val="en-GB"/>
        </w:rPr>
      </w:pPr>
    </w:p>
    <w:p w14:paraId="2934A94B" w14:textId="111F0617" w:rsidR="004338C2" w:rsidRPr="003002B1" w:rsidRDefault="004338C2" w:rsidP="00D33D14">
      <w:pPr>
        <w:pStyle w:val="BodyTextMain"/>
        <w:rPr>
          <w:spacing w:val="-2"/>
          <w:kern w:val="22"/>
          <w:lang w:val="en-GB"/>
        </w:rPr>
      </w:pPr>
      <w:r w:rsidRPr="003002B1">
        <w:rPr>
          <w:spacing w:val="-2"/>
          <w:kern w:val="22"/>
          <w:lang w:val="en-GB"/>
        </w:rPr>
        <w:t xml:space="preserve">The oncology segment also had good market potential in India, and the market was expected to achieve an annual growth rate of 20 per cent by 2020. Half of all cancer-related deaths in India were </w:t>
      </w:r>
      <w:r w:rsidR="00FC3EE0">
        <w:rPr>
          <w:spacing w:val="-2"/>
          <w:kern w:val="22"/>
          <w:lang w:val="en-GB"/>
        </w:rPr>
        <w:t xml:space="preserve">from </w:t>
      </w:r>
      <w:r w:rsidRPr="003002B1">
        <w:rPr>
          <w:spacing w:val="-2"/>
          <w:kern w:val="22"/>
          <w:lang w:val="en-GB"/>
        </w:rPr>
        <w:t xml:space="preserve">lung cancer </w:t>
      </w:r>
      <w:r w:rsidR="00813E4C" w:rsidRPr="003002B1">
        <w:rPr>
          <w:spacing w:val="-2"/>
          <w:kern w:val="22"/>
          <w:lang w:val="en-GB"/>
        </w:rPr>
        <w:t>and</w:t>
      </w:r>
      <w:r w:rsidRPr="003002B1">
        <w:rPr>
          <w:spacing w:val="-2"/>
          <w:kern w:val="22"/>
          <w:lang w:val="en-GB"/>
        </w:rPr>
        <w:t xml:space="preserve"> oral cavity cancer (for men) </w:t>
      </w:r>
      <w:r w:rsidR="00813E4C" w:rsidRPr="003002B1">
        <w:rPr>
          <w:spacing w:val="-2"/>
          <w:kern w:val="22"/>
          <w:lang w:val="en-GB"/>
        </w:rPr>
        <w:t>and</w:t>
      </w:r>
      <w:r w:rsidRPr="003002B1">
        <w:rPr>
          <w:spacing w:val="-2"/>
          <w:kern w:val="22"/>
          <w:lang w:val="en-GB"/>
        </w:rPr>
        <w:t xml:space="preserve"> breast cancer </w:t>
      </w:r>
      <w:r w:rsidR="00813E4C" w:rsidRPr="003002B1">
        <w:rPr>
          <w:spacing w:val="-2"/>
          <w:kern w:val="22"/>
          <w:lang w:val="en-GB"/>
        </w:rPr>
        <w:t>and</w:t>
      </w:r>
      <w:r w:rsidRPr="003002B1">
        <w:rPr>
          <w:spacing w:val="-2"/>
          <w:kern w:val="22"/>
          <w:lang w:val="en-GB"/>
        </w:rPr>
        <w:t xml:space="preserve"> cervical cancer (for women). Global pharmaceutical sales increased by 6 per cent in 2014, due to the launch of new drugs for treating diseases such as </w:t>
      </w:r>
      <w:r w:rsidR="000639B8" w:rsidRPr="003002B1">
        <w:rPr>
          <w:spacing w:val="-2"/>
          <w:kern w:val="22"/>
          <w:lang w:val="en-GB"/>
        </w:rPr>
        <w:t>h</w:t>
      </w:r>
      <w:r w:rsidRPr="003002B1">
        <w:rPr>
          <w:spacing w:val="-2"/>
          <w:kern w:val="22"/>
          <w:lang w:val="en-GB"/>
        </w:rPr>
        <w:t>epatitis C.</w:t>
      </w:r>
      <w:r w:rsidRPr="003002B1">
        <w:rPr>
          <w:spacing w:val="-2"/>
          <w:kern w:val="22"/>
          <w:vertAlign w:val="superscript"/>
          <w:lang w:val="en-GB"/>
        </w:rPr>
        <w:footnoteReference w:id="21"/>
      </w:r>
      <w:r w:rsidRPr="003002B1">
        <w:rPr>
          <w:spacing w:val="-2"/>
          <w:kern w:val="22"/>
          <w:lang w:val="en-GB"/>
        </w:rPr>
        <w:t xml:space="preserve"> Further, the WHO forecasted that approximately 150 </w:t>
      </w:r>
      <w:r w:rsidR="004219E4" w:rsidRPr="003002B1">
        <w:rPr>
          <w:spacing w:val="-2"/>
          <w:kern w:val="22"/>
          <w:lang w:val="en-GB"/>
        </w:rPr>
        <w:t>million</w:t>
      </w:r>
      <w:r w:rsidRPr="003002B1">
        <w:rPr>
          <w:spacing w:val="-2"/>
          <w:kern w:val="22"/>
          <w:lang w:val="en-GB"/>
        </w:rPr>
        <w:t xml:space="preserve"> people, or 3 per cent of the world population, were infected with the </w:t>
      </w:r>
      <w:r w:rsidR="000639B8" w:rsidRPr="003002B1">
        <w:rPr>
          <w:spacing w:val="-2"/>
          <w:kern w:val="22"/>
          <w:lang w:val="en-GB"/>
        </w:rPr>
        <w:t>h</w:t>
      </w:r>
      <w:r w:rsidRPr="003002B1">
        <w:rPr>
          <w:spacing w:val="-2"/>
          <w:kern w:val="22"/>
          <w:lang w:val="en-GB"/>
        </w:rPr>
        <w:t xml:space="preserve">epatitis C virus. China had the largest number of </w:t>
      </w:r>
      <w:r w:rsidR="000639B8" w:rsidRPr="003002B1">
        <w:rPr>
          <w:spacing w:val="-2"/>
          <w:kern w:val="22"/>
          <w:lang w:val="en-GB"/>
        </w:rPr>
        <w:t>h</w:t>
      </w:r>
      <w:r w:rsidRPr="003002B1">
        <w:rPr>
          <w:spacing w:val="-2"/>
          <w:kern w:val="22"/>
          <w:lang w:val="en-GB"/>
        </w:rPr>
        <w:t>epatitis C patients (29.7 million), followed by India (18.2 million), Egypt (11.8 million), and Indonesia (9.43 million).</w:t>
      </w:r>
      <w:r w:rsidRPr="003002B1">
        <w:rPr>
          <w:spacing w:val="-2"/>
          <w:kern w:val="22"/>
          <w:vertAlign w:val="superscript"/>
          <w:lang w:val="en-GB"/>
        </w:rPr>
        <w:footnoteReference w:id="22"/>
      </w:r>
    </w:p>
    <w:p w14:paraId="644F7E42" w14:textId="77777777" w:rsidR="004338C2" w:rsidRPr="00CB26E0" w:rsidRDefault="004338C2" w:rsidP="003002B1">
      <w:pPr>
        <w:pStyle w:val="BodyTextMain"/>
        <w:rPr>
          <w:sz w:val="16"/>
          <w:szCs w:val="16"/>
          <w:lang w:val="en-GB"/>
        </w:rPr>
      </w:pPr>
    </w:p>
    <w:p w14:paraId="742EA749" w14:textId="77777777" w:rsidR="004338C2" w:rsidRPr="00CB26E0" w:rsidRDefault="004338C2" w:rsidP="003002B1">
      <w:pPr>
        <w:pStyle w:val="BodyTextMain"/>
        <w:rPr>
          <w:rFonts w:eastAsia="Calibri"/>
          <w:sz w:val="16"/>
          <w:szCs w:val="16"/>
          <w:lang w:val="en-GB"/>
        </w:rPr>
      </w:pPr>
    </w:p>
    <w:p w14:paraId="473D36FA" w14:textId="77777777" w:rsidR="004338C2" w:rsidRPr="00087534" w:rsidRDefault="004338C2" w:rsidP="00B24638">
      <w:pPr>
        <w:pStyle w:val="Casehead1"/>
        <w:keepNext/>
        <w:rPr>
          <w:rFonts w:eastAsia="Calibri"/>
          <w:lang w:val="en-GB"/>
        </w:rPr>
      </w:pPr>
      <w:r w:rsidRPr="00087534">
        <w:rPr>
          <w:rFonts w:eastAsia="Calibri"/>
          <w:lang w:val="en-GB"/>
        </w:rPr>
        <w:t>CONCLUSION</w:t>
      </w:r>
    </w:p>
    <w:p w14:paraId="1272EDEA" w14:textId="77777777" w:rsidR="004338C2" w:rsidRPr="00CB26E0" w:rsidRDefault="004338C2" w:rsidP="00B24638">
      <w:pPr>
        <w:pStyle w:val="BodyTextMain"/>
        <w:keepNext/>
        <w:rPr>
          <w:sz w:val="16"/>
          <w:szCs w:val="16"/>
          <w:lang w:val="en-GB"/>
        </w:rPr>
      </w:pPr>
    </w:p>
    <w:p w14:paraId="3A9B91A9" w14:textId="0AB7CFE3" w:rsidR="004338C2" w:rsidRPr="00087534" w:rsidRDefault="004338C2" w:rsidP="003002B1">
      <w:pPr>
        <w:pStyle w:val="BodyTextMain"/>
        <w:rPr>
          <w:lang w:val="en-GB"/>
        </w:rPr>
      </w:pPr>
      <w:r w:rsidRPr="00087534">
        <w:rPr>
          <w:lang w:val="en-GB"/>
        </w:rPr>
        <w:t xml:space="preserve">After documenting a brief pharmaceutical industry outlook, Rajeev prepared </w:t>
      </w:r>
      <w:r>
        <w:rPr>
          <w:lang w:val="en-GB"/>
        </w:rPr>
        <w:t xml:space="preserve">a </w:t>
      </w:r>
      <w:r w:rsidRPr="00087534">
        <w:rPr>
          <w:lang w:val="en-GB"/>
        </w:rPr>
        <w:t xml:space="preserve">risk management policy </w:t>
      </w:r>
      <w:r>
        <w:rPr>
          <w:lang w:val="en-GB"/>
        </w:rPr>
        <w:t>for</w:t>
      </w:r>
      <w:r w:rsidRPr="00087534">
        <w:rPr>
          <w:lang w:val="en-GB"/>
        </w:rPr>
        <w:t xml:space="preserve"> the company (see Exhibit 7) and mulled over the options </w:t>
      </w:r>
      <w:r w:rsidR="00813E4C">
        <w:rPr>
          <w:lang w:val="en-GB"/>
        </w:rPr>
        <w:t>for</w:t>
      </w:r>
      <w:r w:rsidR="00813E4C" w:rsidRPr="00087534">
        <w:rPr>
          <w:lang w:val="en-GB"/>
        </w:rPr>
        <w:t xml:space="preserve"> rais</w:t>
      </w:r>
      <w:r w:rsidR="00813E4C">
        <w:rPr>
          <w:lang w:val="en-GB"/>
        </w:rPr>
        <w:t>ing</w:t>
      </w:r>
      <w:r w:rsidR="00813E4C" w:rsidRPr="00087534">
        <w:rPr>
          <w:lang w:val="en-GB"/>
        </w:rPr>
        <w:t xml:space="preserve"> </w:t>
      </w:r>
      <w:r w:rsidRPr="00087534">
        <w:rPr>
          <w:lang w:val="en-GB"/>
        </w:rPr>
        <w:t xml:space="preserve">the required funds for NPL. More specifically, Rajeev tried to answer the following questions: </w:t>
      </w:r>
      <w:r>
        <w:rPr>
          <w:lang w:val="en-GB"/>
        </w:rPr>
        <w:t>H</w:t>
      </w:r>
      <w:r w:rsidRPr="00087534">
        <w:rPr>
          <w:lang w:val="en-GB"/>
        </w:rPr>
        <w:t xml:space="preserve">ow </w:t>
      </w:r>
      <w:r w:rsidR="00813E4C">
        <w:rPr>
          <w:lang w:val="en-GB"/>
        </w:rPr>
        <w:t>could NPL</w:t>
      </w:r>
      <w:r w:rsidR="00813E4C" w:rsidRPr="00087534">
        <w:rPr>
          <w:lang w:val="en-GB"/>
        </w:rPr>
        <w:t xml:space="preserve"> </w:t>
      </w:r>
      <w:r w:rsidRPr="00087534">
        <w:rPr>
          <w:lang w:val="en-GB"/>
        </w:rPr>
        <w:t>maintain an optim</w:t>
      </w:r>
      <w:r>
        <w:rPr>
          <w:lang w:val="en-GB"/>
        </w:rPr>
        <w:t>al</w:t>
      </w:r>
      <w:r w:rsidRPr="00087534">
        <w:rPr>
          <w:lang w:val="en-GB"/>
        </w:rPr>
        <w:t xml:space="preserve"> capital structure</w:t>
      </w:r>
      <w:r w:rsidR="00813E4C">
        <w:rPr>
          <w:lang w:val="en-GB"/>
        </w:rPr>
        <w:t>,</w:t>
      </w:r>
      <w:r w:rsidRPr="00087534">
        <w:rPr>
          <w:lang w:val="en-GB"/>
        </w:rPr>
        <w:t xml:space="preserve"> while meeting </w:t>
      </w:r>
      <w:r w:rsidR="00813E4C">
        <w:rPr>
          <w:lang w:val="en-GB"/>
        </w:rPr>
        <w:t>its</w:t>
      </w:r>
      <w:r>
        <w:rPr>
          <w:lang w:val="en-GB"/>
        </w:rPr>
        <w:t xml:space="preserve"> </w:t>
      </w:r>
      <w:r w:rsidRPr="00087534">
        <w:rPr>
          <w:lang w:val="en-GB"/>
        </w:rPr>
        <w:t>growth aspirations</w:t>
      </w:r>
      <w:r w:rsidR="00364419">
        <w:rPr>
          <w:lang w:val="en-GB"/>
        </w:rPr>
        <w:t>?</w:t>
      </w:r>
      <w:r w:rsidRPr="00087534">
        <w:rPr>
          <w:lang w:val="en-GB"/>
        </w:rPr>
        <w:t xml:space="preserve"> </w:t>
      </w:r>
      <w:r>
        <w:rPr>
          <w:lang w:val="en-GB"/>
        </w:rPr>
        <w:t>W</w:t>
      </w:r>
      <w:r w:rsidRPr="00087534">
        <w:rPr>
          <w:lang w:val="en-GB"/>
        </w:rPr>
        <w:t xml:space="preserve">ould </w:t>
      </w:r>
      <w:r>
        <w:rPr>
          <w:lang w:val="en-GB"/>
        </w:rPr>
        <w:t xml:space="preserve">debt or equity </w:t>
      </w:r>
      <w:r w:rsidRPr="00087534">
        <w:rPr>
          <w:lang w:val="en-GB"/>
        </w:rPr>
        <w:t>be the be</w:t>
      </w:r>
      <w:r>
        <w:rPr>
          <w:lang w:val="en-GB"/>
        </w:rPr>
        <w:t>tter</w:t>
      </w:r>
      <w:r w:rsidRPr="00087534">
        <w:rPr>
          <w:lang w:val="en-GB"/>
        </w:rPr>
        <w:t xml:space="preserve"> option for mobilizing financial resources to feed </w:t>
      </w:r>
      <w:r>
        <w:rPr>
          <w:lang w:val="en-GB"/>
        </w:rPr>
        <w:t>NPL’s</w:t>
      </w:r>
      <w:r w:rsidRPr="00087534">
        <w:rPr>
          <w:lang w:val="en-GB"/>
        </w:rPr>
        <w:t xml:space="preserve"> growth? </w:t>
      </w:r>
      <w:r>
        <w:rPr>
          <w:lang w:val="en-GB"/>
        </w:rPr>
        <w:t>H</w:t>
      </w:r>
      <w:r w:rsidRPr="00087534">
        <w:rPr>
          <w:lang w:val="en-GB"/>
        </w:rPr>
        <w:t xml:space="preserve">ow </w:t>
      </w:r>
      <w:r>
        <w:rPr>
          <w:lang w:val="en-GB"/>
        </w:rPr>
        <w:t xml:space="preserve">should NPL position itself </w:t>
      </w:r>
      <w:r w:rsidRPr="00087534">
        <w:rPr>
          <w:lang w:val="en-GB"/>
        </w:rPr>
        <w:t>as a top-notch R&amp;D</w:t>
      </w:r>
      <w:r>
        <w:rPr>
          <w:lang w:val="en-GB"/>
        </w:rPr>
        <w:t>-</w:t>
      </w:r>
      <w:r w:rsidRPr="00087534">
        <w:rPr>
          <w:lang w:val="en-GB"/>
        </w:rPr>
        <w:t>based pharmaceutical company in India?</w:t>
      </w:r>
      <w:r w:rsidRPr="00087534">
        <w:rPr>
          <w:lang w:val="en-GB"/>
        </w:rPr>
        <w:br w:type="page"/>
      </w:r>
    </w:p>
    <w:p w14:paraId="7D2FCADF" w14:textId="5CDB0948" w:rsidR="004338C2" w:rsidRPr="00087534" w:rsidRDefault="004338C2" w:rsidP="00D33D14">
      <w:pPr>
        <w:pStyle w:val="ExhibitHeading"/>
        <w:rPr>
          <w:rFonts w:eastAsia="Arial Unicode MS"/>
          <w:lang w:val="en-GB"/>
        </w:rPr>
      </w:pPr>
      <w:r w:rsidRPr="00087534">
        <w:rPr>
          <w:rFonts w:eastAsia="Arial Unicode MS"/>
          <w:lang w:val="en-GB"/>
        </w:rPr>
        <w:lastRenderedPageBreak/>
        <w:t>EXHIBIT 1: N</w:t>
      </w:r>
      <w:r>
        <w:rPr>
          <w:rFonts w:eastAsia="Arial Unicode MS"/>
          <w:lang w:val="en-GB"/>
        </w:rPr>
        <w:t xml:space="preserve">atco </w:t>
      </w:r>
      <w:r w:rsidRPr="00087534">
        <w:rPr>
          <w:rFonts w:eastAsia="Arial Unicode MS"/>
          <w:lang w:val="en-GB"/>
        </w:rPr>
        <w:t>P</w:t>
      </w:r>
      <w:r>
        <w:rPr>
          <w:rFonts w:eastAsia="Arial Unicode MS"/>
          <w:lang w:val="en-GB"/>
        </w:rPr>
        <w:t xml:space="preserve">harma </w:t>
      </w:r>
      <w:r w:rsidRPr="00087534">
        <w:rPr>
          <w:rFonts w:eastAsia="Arial Unicode MS"/>
          <w:lang w:val="en-GB"/>
        </w:rPr>
        <w:t>L</w:t>
      </w:r>
      <w:r>
        <w:rPr>
          <w:rFonts w:eastAsia="Arial Unicode MS"/>
          <w:lang w:val="en-GB"/>
        </w:rPr>
        <w:t>imited</w:t>
      </w:r>
      <w:r w:rsidRPr="00087534">
        <w:rPr>
          <w:rFonts w:eastAsia="Arial Unicode MS"/>
          <w:lang w:val="en-GB"/>
        </w:rPr>
        <w:t>’S ONCOLOGY PRODUCT PORTFOLIO</w:t>
      </w:r>
    </w:p>
    <w:p w14:paraId="2D86BBFB" w14:textId="77777777" w:rsidR="004338C2" w:rsidRPr="00087534" w:rsidRDefault="004338C2" w:rsidP="00D33D14">
      <w:pPr>
        <w:pStyle w:val="ExhibitText"/>
        <w:rPr>
          <w:rFonts w:eastAsia="Arial Unicode MS"/>
          <w:lang w:val="en-GB"/>
        </w:rPr>
      </w:pPr>
    </w:p>
    <w:tbl>
      <w:tblPr>
        <w:tblStyle w:val="TableGrid"/>
        <w:tblW w:w="0" w:type="auto"/>
        <w:jc w:val="center"/>
        <w:tblLook w:val="04A0" w:firstRow="1" w:lastRow="0" w:firstColumn="1" w:lastColumn="0" w:noHBand="0" w:noVBand="1"/>
      </w:tblPr>
      <w:tblGrid>
        <w:gridCol w:w="972"/>
        <w:gridCol w:w="1399"/>
        <w:gridCol w:w="3150"/>
        <w:gridCol w:w="1710"/>
      </w:tblGrid>
      <w:tr w:rsidR="004338C2" w:rsidRPr="00087534" w14:paraId="6EFF0FCF" w14:textId="77777777" w:rsidTr="00D33D14">
        <w:trPr>
          <w:jc w:val="center"/>
        </w:trPr>
        <w:tc>
          <w:tcPr>
            <w:tcW w:w="846" w:type="dxa"/>
            <w:vAlign w:val="center"/>
          </w:tcPr>
          <w:p w14:paraId="24E66679" w14:textId="1E831A49" w:rsidR="004338C2" w:rsidRPr="00087534" w:rsidRDefault="004338C2" w:rsidP="00977E45">
            <w:pPr>
              <w:pStyle w:val="ExhibitText"/>
              <w:jc w:val="center"/>
              <w:rPr>
                <w:rFonts w:eastAsia="Arial Unicode MS"/>
                <w:b/>
                <w:lang w:val="en-GB"/>
              </w:rPr>
            </w:pPr>
            <w:r w:rsidRPr="00087534">
              <w:rPr>
                <w:rFonts w:eastAsia="Arial Unicode MS"/>
                <w:b/>
                <w:lang w:val="en-GB"/>
              </w:rPr>
              <w:t>S</w:t>
            </w:r>
            <w:r w:rsidR="00813E4C">
              <w:rPr>
                <w:rFonts w:eastAsia="Arial Unicode MS"/>
                <w:b/>
                <w:lang w:val="en-GB"/>
              </w:rPr>
              <w:t>eria</w:t>
            </w:r>
            <w:r w:rsidRPr="00087534">
              <w:rPr>
                <w:rFonts w:eastAsia="Arial Unicode MS"/>
                <w:b/>
                <w:lang w:val="en-GB"/>
              </w:rPr>
              <w:t>l N</w:t>
            </w:r>
            <w:r w:rsidR="00813E4C">
              <w:rPr>
                <w:rFonts w:eastAsia="Arial Unicode MS"/>
                <w:b/>
                <w:lang w:val="en-GB"/>
              </w:rPr>
              <w:t>umber</w:t>
            </w:r>
          </w:p>
        </w:tc>
        <w:tc>
          <w:tcPr>
            <w:tcW w:w="1399" w:type="dxa"/>
            <w:vAlign w:val="center"/>
          </w:tcPr>
          <w:p w14:paraId="35F60514" w14:textId="77777777" w:rsidR="004338C2" w:rsidRPr="00087534" w:rsidRDefault="004338C2" w:rsidP="00D33D14">
            <w:pPr>
              <w:pStyle w:val="ExhibitText"/>
              <w:jc w:val="center"/>
              <w:rPr>
                <w:rFonts w:eastAsia="Arial Unicode MS"/>
                <w:b/>
                <w:lang w:val="en-GB"/>
              </w:rPr>
            </w:pPr>
            <w:r w:rsidRPr="00087534">
              <w:rPr>
                <w:rFonts w:eastAsia="Arial Unicode MS"/>
                <w:b/>
                <w:lang w:val="en-GB"/>
              </w:rPr>
              <w:t>Brand</w:t>
            </w:r>
          </w:p>
        </w:tc>
        <w:tc>
          <w:tcPr>
            <w:tcW w:w="3150" w:type="dxa"/>
            <w:vAlign w:val="center"/>
          </w:tcPr>
          <w:p w14:paraId="3A2D90EE" w14:textId="77777777" w:rsidR="004338C2" w:rsidRPr="00087534" w:rsidRDefault="004338C2" w:rsidP="00D33D14">
            <w:pPr>
              <w:pStyle w:val="ExhibitText"/>
              <w:jc w:val="center"/>
              <w:rPr>
                <w:rFonts w:eastAsia="Arial Unicode MS"/>
                <w:b/>
                <w:lang w:val="en-GB"/>
              </w:rPr>
            </w:pPr>
            <w:r w:rsidRPr="00087534">
              <w:rPr>
                <w:rFonts w:eastAsia="Arial Unicode MS"/>
                <w:b/>
                <w:lang w:val="en-GB"/>
              </w:rPr>
              <w:t>Therapeutic Segment</w:t>
            </w:r>
          </w:p>
        </w:tc>
        <w:tc>
          <w:tcPr>
            <w:tcW w:w="1710" w:type="dxa"/>
            <w:vAlign w:val="center"/>
          </w:tcPr>
          <w:p w14:paraId="011DCAF0" w14:textId="77777777" w:rsidR="004338C2" w:rsidRPr="00087534" w:rsidRDefault="004338C2" w:rsidP="00D33D14">
            <w:pPr>
              <w:pStyle w:val="ExhibitText"/>
              <w:jc w:val="center"/>
              <w:rPr>
                <w:rFonts w:eastAsia="Arial Unicode MS"/>
                <w:b/>
                <w:lang w:val="en-GB"/>
              </w:rPr>
            </w:pPr>
            <w:r w:rsidRPr="00087534">
              <w:rPr>
                <w:rFonts w:eastAsia="Arial Unicode MS"/>
                <w:b/>
                <w:lang w:val="en-GB"/>
              </w:rPr>
              <w:t>Dosage Form</w:t>
            </w:r>
          </w:p>
        </w:tc>
      </w:tr>
      <w:tr w:rsidR="004338C2" w:rsidRPr="00087534" w14:paraId="0F02BFB0" w14:textId="77777777" w:rsidTr="00D33D14">
        <w:trPr>
          <w:jc w:val="center"/>
        </w:trPr>
        <w:tc>
          <w:tcPr>
            <w:tcW w:w="846" w:type="dxa"/>
            <w:vAlign w:val="center"/>
          </w:tcPr>
          <w:p w14:paraId="4A0E6200" w14:textId="77777777" w:rsidR="004338C2" w:rsidRPr="00087534" w:rsidRDefault="004338C2" w:rsidP="00D33D14">
            <w:pPr>
              <w:pStyle w:val="ExhibitText"/>
              <w:jc w:val="center"/>
              <w:rPr>
                <w:rFonts w:eastAsia="Arial Unicode MS"/>
                <w:lang w:val="en-GB"/>
              </w:rPr>
            </w:pPr>
            <w:r w:rsidRPr="00087534">
              <w:rPr>
                <w:rFonts w:eastAsia="Arial Unicode MS"/>
                <w:lang w:val="en-GB"/>
              </w:rPr>
              <w:t>1.</w:t>
            </w:r>
          </w:p>
        </w:tc>
        <w:tc>
          <w:tcPr>
            <w:tcW w:w="1399" w:type="dxa"/>
          </w:tcPr>
          <w:p w14:paraId="24D26B4D"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Erlonat</w:t>
            </w:r>
            <w:proofErr w:type="spellEnd"/>
          </w:p>
        </w:tc>
        <w:tc>
          <w:tcPr>
            <w:tcW w:w="3150" w:type="dxa"/>
          </w:tcPr>
          <w:p w14:paraId="376B1F85" w14:textId="77777777" w:rsidR="004338C2" w:rsidRPr="00087534" w:rsidRDefault="004338C2" w:rsidP="00D33D14">
            <w:pPr>
              <w:pStyle w:val="ExhibitText"/>
              <w:rPr>
                <w:rFonts w:eastAsia="Arial Unicode MS"/>
                <w:lang w:val="en-GB"/>
              </w:rPr>
            </w:pPr>
            <w:r w:rsidRPr="00087534">
              <w:rPr>
                <w:rFonts w:eastAsia="Arial Unicode MS"/>
                <w:lang w:val="en-GB"/>
              </w:rPr>
              <w:t>Lung cancer</w:t>
            </w:r>
          </w:p>
        </w:tc>
        <w:tc>
          <w:tcPr>
            <w:tcW w:w="1710" w:type="dxa"/>
          </w:tcPr>
          <w:p w14:paraId="23A51426"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1D83B1D7" w14:textId="77777777" w:rsidTr="00D33D14">
        <w:trPr>
          <w:jc w:val="center"/>
        </w:trPr>
        <w:tc>
          <w:tcPr>
            <w:tcW w:w="846" w:type="dxa"/>
            <w:vAlign w:val="center"/>
          </w:tcPr>
          <w:p w14:paraId="77807A28" w14:textId="77777777" w:rsidR="004338C2" w:rsidRPr="00087534" w:rsidRDefault="004338C2" w:rsidP="00D33D14">
            <w:pPr>
              <w:pStyle w:val="ExhibitText"/>
              <w:jc w:val="center"/>
              <w:rPr>
                <w:rFonts w:eastAsia="Arial Unicode MS"/>
                <w:lang w:val="en-GB"/>
              </w:rPr>
            </w:pPr>
            <w:r w:rsidRPr="00087534">
              <w:rPr>
                <w:rFonts w:eastAsia="Arial Unicode MS"/>
                <w:lang w:val="en-GB"/>
              </w:rPr>
              <w:t>2.</w:t>
            </w:r>
          </w:p>
        </w:tc>
        <w:tc>
          <w:tcPr>
            <w:tcW w:w="1399" w:type="dxa"/>
          </w:tcPr>
          <w:p w14:paraId="16DB4BB7"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Geftinat</w:t>
            </w:r>
            <w:proofErr w:type="spellEnd"/>
          </w:p>
        </w:tc>
        <w:tc>
          <w:tcPr>
            <w:tcW w:w="3150" w:type="dxa"/>
          </w:tcPr>
          <w:p w14:paraId="75F476A1" w14:textId="77777777" w:rsidR="004338C2" w:rsidRPr="00087534" w:rsidRDefault="004338C2" w:rsidP="00D33D14">
            <w:pPr>
              <w:pStyle w:val="ExhibitText"/>
              <w:rPr>
                <w:rFonts w:eastAsia="Arial Unicode MS"/>
                <w:lang w:val="en-GB"/>
              </w:rPr>
            </w:pPr>
            <w:r w:rsidRPr="00087534">
              <w:rPr>
                <w:rFonts w:eastAsia="Arial Unicode MS"/>
                <w:lang w:val="en-GB"/>
              </w:rPr>
              <w:t>Lung cancer</w:t>
            </w:r>
          </w:p>
        </w:tc>
        <w:tc>
          <w:tcPr>
            <w:tcW w:w="1710" w:type="dxa"/>
          </w:tcPr>
          <w:p w14:paraId="3E7805CF"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5FEF8C04" w14:textId="77777777" w:rsidTr="00D33D14">
        <w:trPr>
          <w:jc w:val="center"/>
        </w:trPr>
        <w:tc>
          <w:tcPr>
            <w:tcW w:w="846" w:type="dxa"/>
            <w:vAlign w:val="center"/>
          </w:tcPr>
          <w:p w14:paraId="604A3E33" w14:textId="77777777" w:rsidR="004338C2" w:rsidRPr="00087534" w:rsidRDefault="004338C2" w:rsidP="00D33D14">
            <w:pPr>
              <w:pStyle w:val="ExhibitText"/>
              <w:jc w:val="center"/>
              <w:rPr>
                <w:rFonts w:eastAsia="Arial Unicode MS"/>
                <w:lang w:val="en-GB"/>
              </w:rPr>
            </w:pPr>
            <w:r w:rsidRPr="00087534">
              <w:rPr>
                <w:rFonts w:eastAsia="Arial Unicode MS"/>
                <w:lang w:val="en-GB"/>
              </w:rPr>
              <w:t>3.</w:t>
            </w:r>
          </w:p>
        </w:tc>
        <w:tc>
          <w:tcPr>
            <w:tcW w:w="1399" w:type="dxa"/>
          </w:tcPr>
          <w:p w14:paraId="1B41141B"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Lenalid</w:t>
            </w:r>
            <w:proofErr w:type="spellEnd"/>
          </w:p>
        </w:tc>
        <w:tc>
          <w:tcPr>
            <w:tcW w:w="3150" w:type="dxa"/>
          </w:tcPr>
          <w:p w14:paraId="2AAD00AA" w14:textId="77777777" w:rsidR="004338C2" w:rsidRPr="00087534" w:rsidRDefault="004338C2" w:rsidP="00D33D14">
            <w:pPr>
              <w:pStyle w:val="ExhibitText"/>
              <w:rPr>
                <w:rFonts w:eastAsia="Arial Unicode MS"/>
                <w:lang w:val="en-GB"/>
              </w:rPr>
            </w:pPr>
            <w:r w:rsidRPr="00087534">
              <w:rPr>
                <w:rFonts w:eastAsia="Arial Unicode MS"/>
                <w:lang w:val="en-GB"/>
              </w:rPr>
              <w:t>Multiple myeloma</w:t>
            </w:r>
          </w:p>
        </w:tc>
        <w:tc>
          <w:tcPr>
            <w:tcW w:w="1710" w:type="dxa"/>
          </w:tcPr>
          <w:p w14:paraId="49FF3DB8" w14:textId="77777777" w:rsidR="004338C2" w:rsidRPr="00087534" w:rsidRDefault="004338C2" w:rsidP="00D33D14">
            <w:pPr>
              <w:pStyle w:val="ExhibitText"/>
              <w:rPr>
                <w:rFonts w:eastAsia="Arial Unicode MS"/>
                <w:lang w:val="en-GB"/>
              </w:rPr>
            </w:pPr>
            <w:r w:rsidRPr="00087534">
              <w:rPr>
                <w:rFonts w:eastAsia="Arial Unicode MS"/>
                <w:lang w:val="en-GB"/>
              </w:rPr>
              <w:t>Capsule</w:t>
            </w:r>
          </w:p>
        </w:tc>
      </w:tr>
      <w:tr w:rsidR="004338C2" w:rsidRPr="00087534" w14:paraId="50805516" w14:textId="77777777" w:rsidTr="00D33D14">
        <w:trPr>
          <w:jc w:val="center"/>
        </w:trPr>
        <w:tc>
          <w:tcPr>
            <w:tcW w:w="846" w:type="dxa"/>
            <w:vAlign w:val="center"/>
          </w:tcPr>
          <w:p w14:paraId="03DB5CEF" w14:textId="77777777" w:rsidR="004338C2" w:rsidRPr="00087534" w:rsidRDefault="004338C2" w:rsidP="00D33D14">
            <w:pPr>
              <w:pStyle w:val="ExhibitText"/>
              <w:jc w:val="center"/>
              <w:rPr>
                <w:rFonts w:eastAsia="Arial Unicode MS"/>
                <w:lang w:val="en-GB"/>
              </w:rPr>
            </w:pPr>
            <w:r w:rsidRPr="00087534">
              <w:rPr>
                <w:rFonts w:eastAsia="Arial Unicode MS"/>
                <w:lang w:val="en-GB"/>
              </w:rPr>
              <w:t>4.</w:t>
            </w:r>
          </w:p>
        </w:tc>
        <w:tc>
          <w:tcPr>
            <w:tcW w:w="1399" w:type="dxa"/>
          </w:tcPr>
          <w:p w14:paraId="1188EA62"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Sorafenat</w:t>
            </w:r>
            <w:proofErr w:type="spellEnd"/>
          </w:p>
        </w:tc>
        <w:tc>
          <w:tcPr>
            <w:tcW w:w="3150" w:type="dxa"/>
          </w:tcPr>
          <w:p w14:paraId="4C9475DC" w14:textId="77777777" w:rsidR="004338C2" w:rsidRPr="00087534" w:rsidRDefault="004338C2" w:rsidP="00D33D14">
            <w:pPr>
              <w:pStyle w:val="ExhibitText"/>
              <w:rPr>
                <w:rFonts w:eastAsia="Arial Unicode MS"/>
                <w:lang w:val="en-GB"/>
              </w:rPr>
            </w:pPr>
            <w:r w:rsidRPr="00087534">
              <w:rPr>
                <w:rFonts w:eastAsia="Arial Unicode MS"/>
                <w:lang w:val="en-GB"/>
              </w:rPr>
              <w:t>Liver and kidney cancer</w:t>
            </w:r>
          </w:p>
        </w:tc>
        <w:tc>
          <w:tcPr>
            <w:tcW w:w="1710" w:type="dxa"/>
          </w:tcPr>
          <w:p w14:paraId="767A64F7"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5FA5CA30" w14:textId="77777777" w:rsidTr="00D33D14">
        <w:trPr>
          <w:jc w:val="center"/>
        </w:trPr>
        <w:tc>
          <w:tcPr>
            <w:tcW w:w="846" w:type="dxa"/>
            <w:vAlign w:val="center"/>
          </w:tcPr>
          <w:p w14:paraId="664D027C" w14:textId="77777777" w:rsidR="004338C2" w:rsidRPr="00087534" w:rsidRDefault="004338C2" w:rsidP="00D33D14">
            <w:pPr>
              <w:pStyle w:val="ExhibitText"/>
              <w:jc w:val="center"/>
              <w:rPr>
                <w:rFonts w:eastAsia="Arial Unicode MS"/>
                <w:lang w:val="en-GB"/>
              </w:rPr>
            </w:pPr>
            <w:r w:rsidRPr="00087534">
              <w:rPr>
                <w:rFonts w:eastAsia="Arial Unicode MS"/>
                <w:lang w:val="en-GB"/>
              </w:rPr>
              <w:t>5.</w:t>
            </w:r>
          </w:p>
        </w:tc>
        <w:tc>
          <w:tcPr>
            <w:tcW w:w="1399" w:type="dxa"/>
          </w:tcPr>
          <w:p w14:paraId="3365328E"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Veenat</w:t>
            </w:r>
            <w:proofErr w:type="spellEnd"/>
          </w:p>
        </w:tc>
        <w:tc>
          <w:tcPr>
            <w:tcW w:w="3150" w:type="dxa"/>
          </w:tcPr>
          <w:p w14:paraId="4C512D74" w14:textId="77777777" w:rsidR="004338C2" w:rsidRPr="00087534" w:rsidRDefault="004338C2" w:rsidP="00D33D14">
            <w:pPr>
              <w:pStyle w:val="ExhibitText"/>
              <w:rPr>
                <w:rFonts w:eastAsia="Arial Unicode MS"/>
                <w:lang w:val="en-GB"/>
              </w:rPr>
            </w:pPr>
            <w:r w:rsidRPr="00087534">
              <w:rPr>
                <w:rFonts w:eastAsia="Arial Unicode MS"/>
                <w:lang w:val="en-GB"/>
              </w:rPr>
              <w:t>Chronic myeloid leukaemia</w:t>
            </w:r>
          </w:p>
        </w:tc>
        <w:tc>
          <w:tcPr>
            <w:tcW w:w="1710" w:type="dxa"/>
          </w:tcPr>
          <w:p w14:paraId="61499A00" w14:textId="77777777" w:rsidR="004338C2" w:rsidRPr="00087534" w:rsidRDefault="004338C2" w:rsidP="00D33D14">
            <w:pPr>
              <w:pStyle w:val="ExhibitText"/>
              <w:rPr>
                <w:rFonts w:eastAsia="Arial Unicode MS"/>
                <w:lang w:val="en-GB"/>
              </w:rPr>
            </w:pPr>
            <w:r w:rsidRPr="00087534">
              <w:rPr>
                <w:rFonts w:eastAsia="Arial Unicode MS"/>
                <w:lang w:val="en-GB"/>
              </w:rPr>
              <w:t>Capsule</w:t>
            </w:r>
          </w:p>
        </w:tc>
      </w:tr>
      <w:tr w:rsidR="004338C2" w:rsidRPr="00087534" w14:paraId="042A3900" w14:textId="77777777" w:rsidTr="00D33D14">
        <w:trPr>
          <w:jc w:val="center"/>
        </w:trPr>
        <w:tc>
          <w:tcPr>
            <w:tcW w:w="846" w:type="dxa"/>
            <w:vAlign w:val="center"/>
          </w:tcPr>
          <w:p w14:paraId="764A8B9F" w14:textId="77777777" w:rsidR="004338C2" w:rsidRPr="00087534" w:rsidRDefault="004338C2" w:rsidP="00D33D14">
            <w:pPr>
              <w:pStyle w:val="ExhibitText"/>
              <w:jc w:val="center"/>
              <w:rPr>
                <w:rFonts w:eastAsia="Arial Unicode MS"/>
                <w:lang w:val="en-GB"/>
              </w:rPr>
            </w:pPr>
            <w:r w:rsidRPr="00087534">
              <w:rPr>
                <w:rFonts w:eastAsia="Arial Unicode MS"/>
                <w:lang w:val="en-GB"/>
              </w:rPr>
              <w:t>6.</w:t>
            </w:r>
          </w:p>
        </w:tc>
        <w:tc>
          <w:tcPr>
            <w:tcW w:w="1399" w:type="dxa"/>
          </w:tcPr>
          <w:p w14:paraId="24DB3A17"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Alphalan</w:t>
            </w:r>
            <w:proofErr w:type="spellEnd"/>
          </w:p>
        </w:tc>
        <w:tc>
          <w:tcPr>
            <w:tcW w:w="3150" w:type="dxa"/>
          </w:tcPr>
          <w:p w14:paraId="09504A6B" w14:textId="77777777" w:rsidR="004338C2" w:rsidRPr="00087534" w:rsidRDefault="004338C2" w:rsidP="00D33D14">
            <w:pPr>
              <w:pStyle w:val="ExhibitText"/>
              <w:rPr>
                <w:rFonts w:eastAsia="Arial Unicode MS"/>
                <w:lang w:val="en-GB"/>
              </w:rPr>
            </w:pPr>
            <w:r w:rsidRPr="00087534">
              <w:rPr>
                <w:rFonts w:eastAsia="Arial Unicode MS"/>
                <w:lang w:val="en-GB"/>
              </w:rPr>
              <w:t>Multiple myeloma</w:t>
            </w:r>
          </w:p>
        </w:tc>
        <w:tc>
          <w:tcPr>
            <w:tcW w:w="1710" w:type="dxa"/>
          </w:tcPr>
          <w:p w14:paraId="684397FA"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1D6F01D0" w14:textId="77777777" w:rsidTr="00D33D14">
        <w:trPr>
          <w:jc w:val="center"/>
        </w:trPr>
        <w:tc>
          <w:tcPr>
            <w:tcW w:w="846" w:type="dxa"/>
            <w:vAlign w:val="center"/>
          </w:tcPr>
          <w:p w14:paraId="62D96D0B" w14:textId="77777777" w:rsidR="004338C2" w:rsidRPr="00087534" w:rsidRDefault="004338C2" w:rsidP="00D33D14">
            <w:pPr>
              <w:pStyle w:val="ExhibitText"/>
              <w:jc w:val="center"/>
              <w:rPr>
                <w:rFonts w:eastAsia="Arial Unicode MS"/>
                <w:lang w:val="en-GB"/>
              </w:rPr>
            </w:pPr>
            <w:r w:rsidRPr="00087534">
              <w:rPr>
                <w:rFonts w:eastAsia="Arial Unicode MS"/>
                <w:lang w:val="en-GB"/>
              </w:rPr>
              <w:t>7.</w:t>
            </w:r>
          </w:p>
        </w:tc>
        <w:tc>
          <w:tcPr>
            <w:tcW w:w="1399" w:type="dxa"/>
          </w:tcPr>
          <w:p w14:paraId="4A393A1A"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Bendit</w:t>
            </w:r>
            <w:proofErr w:type="spellEnd"/>
          </w:p>
        </w:tc>
        <w:tc>
          <w:tcPr>
            <w:tcW w:w="3150" w:type="dxa"/>
          </w:tcPr>
          <w:p w14:paraId="1076E1FF" w14:textId="77777777" w:rsidR="004338C2" w:rsidRPr="00087534" w:rsidRDefault="004338C2" w:rsidP="00D33D14">
            <w:pPr>
              <w:pStyle w:val="ExhibitText"/>
              <w:rPr>
                <w:rFonts w:eastAsia="Arial Unicode MS"/>
                <w:lang w:val="en-GB"/>
              </w:rPr>
            </w:pPr>
            <w:r w:rsidRPr="00087534">
              <w:rPr>
                <w:rFonts w:eastAsia="Arial Unicode MS"/>
                <w:lang w:val="en-GB"/>
              </w:rPr>
              <w:t>Chronic lymphocytic leukaemia</w:t>
            </w:r>
          </w:p>
        </w:tc>
        <w:tc>
          <w:tcPr>
            <w:tcW w:w="1710" w:type="dxa"/>
          </w:tcPr>
          <w:p w14:paraId="3BC8B25A"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166C8140" w14:textId="77777777" w:rsidTr="00D33D14">
        <w:trPr>
          <w:jc w:val="center"/>
        </w:trPr>
        <w:tc>
          <w:tcPr>
            <w:tcW w:w="846" w:type="dxa"/>
            <w:vAlign w:val="center"/>
          </w:tcPr>
          <w:p w14:paraId="46A5373E" w14:textId="77777777" w:rsidR="004338C2" w:rsidRPr="00087534" w:rsidRDefault="004338C2" w:rsidP="00D33D14">
            <w:pPr>
              <w:pStyle w:val="ExhibitText"/>
              <w:jc w:val="center"/>
              <w:rPr>
                <w:rFonts w:eastAsia="Arial Unicode MS"/>
                <w:lang w:val="en-GB"/>
              </w:rPr>
            </w:pPr>
            <w:r w:rsidRPr="00087534">
              <w:rPr>
                <w:rFonts w:eastAsia="Arial Unicode MS"/>
                <w:lang w:val="en-GB"/>
              </w:rPr>
              <w:t>8.</w:t>
            </w:r>
          </w:p>
        </w:tc>
        <w:tc>
          <w:tcPr>
            <w:tcW w:w="1399" w:type="dxa"/>
          </w:tcPr>
          <w:p w14:paraId="4B452595"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Clokeran</w:t>
            </w:r>
            <w:proofErr w:type="spellEnd"/>
          </w:p>
        </w:tc>
        <w:tc>
          <w:tcPr>
            <w:tcW w:w="3150" w:type="dxa"/>
          </w:tcPr>
          <w:p w14:paraId="36BF99B9" w14:textId="77777777" w:rsidR="004338C2" w:rsidRPr="00087534" w:rsidRDefault="004338C2" w:rsidP="00D33D14">
            <w:pPr>
              <w:pStyle w:val="ExhibitText"/>
              <w:rPr>
                <w:rFonts w:eastAsia="Arial Unicode MS"/>
                <w:lang w:val="en-GB"/>
              </w:rPr>
            </w:pPr>
            <w:r w:rsidRPr="00087534">
              <w:rPr>
                <w:rFonts w:eastAsia="Arial Unicode MS"/>
                <w:lang w:val="en-GB"/>
              </w:rPr>
              <w:t>Chronic lymphocytic leukaemia</w:t>
            </w:r>
          </w:p>
        </w:tc>
        <w:tc>
          <w:tcPr>
            <w:tcW w:w="1710" w:type="dxa"/>
          </w:tcPr>
          <w:p w14:paraId="6F792AD1"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2E0E4E81" w14:textId="77777777" w:rsidTr="00D33D14">
        <w:trPr>
          <w:jc w:val="center"/>
        </w:trPr>
        <w:tc>
          <w:tcPr>
            <w:tcW w:w="846" w:type="dxa"/>
            <w:vAlign w:val="center"/>
          </w:tcPr>
          <w:p w14:paraId="5BA72853" w14:textId="77777777" w:rsidR="004338C2" w:rsidRPr="00087534" w:rsidRDefault="004338C2" w:rsidP="00D33D14">
            <w:pPr>
              <w:pStyle w:val="ExhibitText"/>
              <w:jc w:val="center"/>
              <w:rPr>
                <w:rFonts w:eastAsia="Arial Unicode MS"/>
                <w:lang w:val="en-GB"/>
              </w:rPr>
            </w:pPr>
            <w:r w:rsidRPr="00087534">
              <w:rPr>
                <w:rFonts w:eastAsia="Arial Unicode MS"/>
                <w:lang w:val="en-GB"/>
              </w:rPr>
              <w:t>9.</w:t>
            </w:r>
          </w:p>
        </w:tc>
        <w:tc>
          <w:tcPr>
            <w:tcW w:w="1399" w:type="dxa"/>
          </w:tcPr>
          <w:p w14:paraId="36C2DB35"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Bortenat</w:t>
            </w:r>
            <w:proofErr w:type="spellEnd"/>
          </w:p>
        </w:tc>
        <w:tc>
          <w:tcPr>
            <w:tcW w:w="3150" w:type="dxa"/>
          </w:tcPr>
          <w:p w14:paraId="6C605F09" w14:textId="77777777" w:rsidR="004338C2" w:rsidRPr="00087534" w:rsidRDefault="004338C2" w:rsidP="00D33D14">
            <w:pPr>
              <w:pStyle w:val="ExhibitText"/>
              <w:rPr>
                <w:rFonts w:eastAsia="Arial Unicode MS"/>
                <w:lang w:val="en-GB"/>
              </w:rPr>
            </w:pPr>
            <w:r w:rsidRPr="00087534">
              <w:rPr>
                <w:rFonts w:eastAsia="Arial Unicode MS"/>
                <w:lang w:val="en-GB"/>
              </w:rPr>
              <w:t>Myeloma</w:t>
            </w:r>
          </w:p>
        </w:tc>
        <w:tc>
          <w:tcPr>
            <w:tcW w:w="1710" w:type="dxa"/>
          </w:tcPr>
          <w:p w14:paraId="482AD3DB"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25F5F831" w14:textId="77777777" w:rsidTr="00D33D14">
        <w:trPr>
          <w:jc w:val="center"/>
        </w:trPr>
        <w:tc>
          <w:tcPr>
            <w:tcW w:w="846" w:type="dxa"/>
            <w:vAlign w:val="center"/>
          </w:tcPr>
          <w:p w14:paraId="75E66B73" w14:textId="77777777" w:rsidR="004338C2" w:rsidRPr="00087534" w:rsidRDefault="004338C2" w:rsidP="00D33D14">
            <w:pPr>
              <w:pStyle w:val="ExhibitText"/>
              <w:jc w:val="center"/>
              <w:rPr>
                <w:rFonts w:eastAsia="Arial Unicode MS"/>
                <w:lang w:val="en-GB"/>
              </w:rPr>
            </w:pPr>
            <w:r w:rsidRPr="00087534">
              <w:rPr>
                <w:rFonts w:eastAsia="Arial Unicode MS"/>
                <w:lang w:val="en-GB"/>
              </w:rPr>
              <w:t>10.</w:t>
            </w:r>
          </w:p>
        </w:tc>
        <w:tc>
          <w:tcPr>
            <w:tcW w:w="1399" w:type="dxa"/>
          </w:tcPr>
          <w:p w14:paraId="23B50AA6"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Xpreza</w:t>
            </w:r>
            <w:proofErr w:type="spellEnd"/>
          </w:p>
        </w:tc>
        <w:tc>
          <w:tcPr>
            <w:tcW w:w="3150" w:type="dxa"/>
          </w:tcPr>
          <w:p w14:paraId="73663D1F" w14:textId="77777777" w:rsidR="004338C2" w:rsidRPr="00087534" w:rsidRDefault="004338C2" w:rsidP="00D33D14">
            <w:pPr>
              <w:pStyle w:val="ExhibitText"/>
              <w:rPr>
                <w:rFonts w:eastAsia="Arial Unicode MS"/>
                <w:lang w:val="en-GB"/>
              </w:rPr>
            </w:pPr>
            <w:r w:rsidRPr="00087534">
              <w:rPr>
                <w:rFonts w:eastAsia="Arial Unicode MS"/>
                <w:lang w:val="en-GB"/>
              </w:rPr>
              <w:t>Myelodysplastic syndrome</w:t>
            </w:r>
          </w:p>
        </w:tc>
        <w:tc>
          <w:tcPr>
            <w:tcW w:w="1710" w:type="dxa"/>
          </w:tcPr>
          <w:p w14:paraId="3443BEA8"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03EB8148" w14:textId="77777777" w:rsidTr="00D33D14">
        <w:trPr>
          <w:jc w:val="center"/>
        </w:trPr>
        <w:tc>
          <w:tcPr>
            <w:tcW w:w="846" w:type="dxa"/>
            <w:vAlign w:val="center"/>
          </w:tcPr>
          <w:p w14:paraId="683F3C60" w14:textId="77777777" w:rsidR="004338C2" w:rsidRPr="00087534" w:rsidRDefault="004338C2" w:rsidP="00D33D14">
            <w:pPr>
              <w:pStyle w:val="ExhibitText"/>
              <w:jc w:val="center"/>
              <w:rPr>
                <w:rFonts w:eastAsia="Arial Unicode MS"/>
                <w:lang w:val="en-GB"/>
              </w:rPr>
            </w:pPr>
            <w:r w:rsidRPr="00087534">
              <w:rPr>
                <w:rFonts w:eastAsia="Arial Unicode MS"/>
                <w:lang w:val="en-GB"/>
              </w:rPr>
              <w:t>11.</w:t>
            </w:r>
          </w:p>
        </w:tc>
        <w:tc>
          <w:tcPr>
            <w:tcW w:w="1399" w:type="dxa"/>
          </w:tcPr>
          <w:p w14:paraId="5CFC2124"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Desifer</w:t>
            </w:r>
            <w:proofErr w:type="spellEnd"/>
          </w:p>
        </w:tc>
        <w:tc>
          <w:tcPr>
            <w:tcW w:w="3150" w:type="dxa"/>
          </w:tcPr>
          <w:p w14:paraId="4F903BFE" w14:textId="77777777" w:rsidR="004338C2" w:rsidRPr="00087534" w:rsidRDefault="004338C2" w:rsidP="00D33D14">
            <w:pPr>
              <w:pStyle w:val="ExhibitText"/>
              <w:rPr>
                <w:rFonts w:eastAsia="Arial Unicode MS"/>
                <w:lang w:val="en-GB"/>
              </w:rPr>
            </w:pPr>
            <w:r w:rsidRPr="00087534">
              <w:rPr>
                <w:rFonts w:eastAsia="Arial Unicode MS"/>
                <w:lang w:val="en-GB"/>
              </w:rPr>
              <w:t>Anaemia</w:t>
            </w:r>
          </w:p>
        </w:tc>
        <w:tc>
          <w:tcPr>
            <w:tcW w:w="1710" w:type="dxa"/>
          </w:tcPr>
          <w:p w14:paraId="6B5A57E9"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30A0CC47" w14:textId="77777777" w:rsidTr="00D33D14">
        <w:trPr>
          <w:jc w:val="center"/>
        </w:trPr>
        <w:tc>
          <w:tcPr>
            <w:tcW w:w="846" w:type="dxa"/>
            <w:vAlign w:val="center"/>
          </w:tcPr>
          <w:p w14:paraId="7CCB4F8A" w14:textId="77777777" w:rsidR="004338C2" w:rsidRPr="00087534" w:rsidRDefault="004338C2" w:rsidP="00D33D14">
            <w:pPr>
              <w:pStyle w:val="ExhibitText"/>
              <w:jc w:val="center"/>
              <w:rPr>
                <w:rFonts w:eastAsia="Arial Unicode MS"/>
                <w:lang w:val="en-GB"/>
              </w:rPr>
            </w:pPr>
            <w:r w:rsidRPr="00087534">
              <w:rPr>
                <w:rFonts w:eastAsia="Arial Unicode MS"/>
                <w:lang w:val="en-GB"/>
              </w:rPr>
              <w:t>12.</w:t>
            </w:r>
          </w:p>
        </w:tc>
        <w:tc>
          <w:tcPr>
            <w:tcW w:w="1399" w:type="dxa"/>
          </w:tcPr>
          <w:p w14:paraId="1EB75DAA"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Rasburnat</w:t>
            </w:r>
            <w:proofErr w:type="spellEnd"/>
          </w:p>
        </w:tc>
        <w:tc>
          <w:tcPr>
            <w:tcW w:w="3150" w:type="dxa"/>
          </w:tcPr>
          <w:p w14:paraId="7B911866" w14:textId="77777777" w:rsidR="004338C2" w:rsidRPr="00087534" w:rsidRDefault="004338C2" w:rsidP="00D33D14">
            <w:pPr>
              <w:pStyle w:val="ExhibitText"/>
              <w:rPr>
                <w:rFonts w:eastAsia="Arial Unicode MS"/>
                <w:lang w:val="en-GB"/>
              </w:rPr>
            </w:pPr>
            <w:r w:rsidRPr="00087534">
              <w:rPr>
                <w:rFonts w:eastAsia="Arial Unicode MS"/>
                <w:lang w:val="en-GB"/>
              </w:rPr>
              <w:t>Tumour lysis syndrome</w:t>
            </w:r>
          </w:p>
        </w:tc>
        <w:tc>
          <w:tcPr>
            <w:tcW w:w="1710" w:type="dxa"/>
          </w:tcPr>
          <w:p w14:paraId="0861F280"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37896F14" w14:textId="77777777" w:rsidTr="00D33D14">
        <w:trPr>
          <w:jc w:val="center"/>
        </w:trPr>
        <w:tc>
          <w:tcPr>
            <w:tcW w:w="846" w:type="dxa"/>
            <w:vAlign w:val="center"/>
          </w:tcPr>
          <w:p w14:paraId="23C986FA" w14:textId="77777777" w:rsidR="004338C2" w:rsidRPr="00087534" w:rsidRDefault="004338C2" w:rsidP="00D33D14">
            <w:pPr>
              <w:pStyle w:val="ExhibitText"/>
              <w:jc w:val="center"/>
              <w:rPr>
                <w:rFonts w:eastAsia="Arial Unicode MS"/>
                <w:lang w:val="en-GB"/>
              </w:rPr>
            </w:pPr>
            <w:r w:rsidRPr="00087534">
              <w:rPr>
                <w:rFonts w:eastAsia="Arial Unicode MS"/>
                <w:lang w:val="en-GB"/>
              </w:rPr>
              <w:t>13.</w:t>
            </w:r>
          </w:p>
        </w:tc>
        <w:tc>
          <w:tcPr>
            <w:tcW w:w="1399" w:type="dxa"/>
          </w:tcPr>
          <w:p w14:paraId="054BEDBB"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Vorizol</w:t>
            </w:r>
            <w:proofErr w:type="spellEnd"/>
          </w:p>
        </w:tc>
        <w:tc>
          <w:tcPr>
            <w:tcW w:w="3150" w:type="dxa"/>
          </w:tcPr>
          <w:p w14:paraId="4CEBC84B" w14:textId="77777777" w:rsidR="004338C2" w:rsidRPr="00087534" w:rsidRDefault="004338C2" w:rsidP="00D33D14">
            <w:pPr>
              <w:pStyle w:val="ExhibitText"/>
              <w:rPr>
                <w:rFonts w:eastAsia="Arial Unicode MS"/>
                <w:lang w:val="en-GB"/>
              </w:rPr>
            </w:pPr>
            <w:r w:rsidRPr="00087534">
              <w:rPr>
                <w:rFonts w:eastAsia="Arial Unicode MS"/>
                <w:lang w:val="en-GB"/>
              </w:rPr>
              <w:t>Supportive cancer care</w:t>
            </w:r>
          </w:p>
        </w:tc>
        <w:tc>
          <w:tcPr>
            <w:tcW w:w="1710" w:type="dxa"/>
          </w:tcPr>
          <w:p w14:paraId="0C6FC947"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5F72A666" w14:textId="77777777" w:rsidTr="00D33D14">
        <w:trPr>
          <w:jc w:val="center"/>
        </w:trPr>
        <w:tc>
          <w:tcPr>
            <w:tcW w:w="846" w:type="dxa"/>
            <w:vAlign w:val="center"/>
          </w:tcPr>
          <w:p w14:paraId="2E771447" w14:textId="77777777" w:rsidR="004338C2" w:rsidRPr="00087534" w:rsidRDefault="004338C2" w:rsidP="00D33D14">
            <w:pPr>
              <w:pStyle w:val="ExhibitText"/>
              <w:jc w:val="center"/>
              <w:rPr>
                <w:rFonts w:eastAsia="Arial Unicode MS"/>
                <w:lang w:val="en-GB"/>
              </w:rPr>
            </w:pPr>
            <w:r w:rsidRPr="00087534">
              <w:rPr>
                <w:rFonts w:eastAsia="Arial Unicode MS"/>
                <w:lang w:val="en-GB"/>
              </w:rPr>
              <w:t>14.</w:t>
            </w:r>
          </w:p>
        </w:tc>
        <w:tc>
          <w:tcPr>
            <w:tcW w:w="1399" w:type="dxa"/>
          </w:tcPr>
          <w:p w14:paraId="2951C29C"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Pemnat</w:t>
            </w:r>
            <w:proofErr w:type="spellEnd"/>
          </w:p>
        </w:tc>
        <w:tc>
          <w:tcPr>
            <w:tcW w:w="3150" w:type="dxa"/>
          </w:tcPr>
          <w:p w14:paraId="40A393D8" w14:textId="77777777" w:rsidR="004338C2" w:rsidRPr="00087534" w:rsidRDefault="004338C2" w:rsidP="00D33D14">
            <w:pPr>
              <w:pStyle w:val="ExhibitText"/>
              <w:rPr>
                <w:rFonts w:eastAsia="Arial Unicode MS"/>
                <w:lang w:val="en-GB"/>
              </w:rPr>
            </w:pPr>
            <w:r w:rsidRPr="00087534">
              <w:rPr>
                <w:rFonts w:eastAsia="Arial Unicode MS"/>
                <w:lang w:val="en-GB"/>
              </w:rPr>
              <w:t>Lung cancer</w:t>
            </w:r>
          </w:p>
        </w:tc>
        <w:tc>
          <w:tcPr>
            <w:tcW w:w="1710" w:type="dxa"/>
          </w:tcPr>
          <w:p w14:paraId="5E6B8FA5"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11DFE6AF" w14:textId="77777777" w:rsidTr="00D33D14">
        <w:trPr>
          <w:jc w:val="center"/>
        </w:trPr>
        <w:tc>
          <w:tcPr>
            <w:tcW w:w="846" w:type="dxa"/>
            <w:vAlign w:val="center"/>
          </w:tcPr>
          <w:p w14:paraId="4C6681C1" w14:textId="77777777" w:rsidR="004338C2" w:rsidRPr="00087534" w:rsidRDefault="004338C2" w:rsidP="00D33D14">
            <w:pPr>
              <w:pStyle w:val="ExhibitText"/>
              <w:jc w:val="center"/>
              <w:rPr>
                <w:rFonts w:eastAsia="Arial Unicode MS"/>
                <w:lang w:val="en-GB"/>
              </w:rPr>
            </w:pPr>
            <w:r w:rsidRPr="00087534">
              <w:rPr>
                <w:rFonts w:eastAsia="Arial Unicode MS"/>
                <w:lang w:val="en-GB"/>
              </w:rPr>
              <w:t>15</w:t>
            </w:r>
          </w:p>
        </w:tc>
        <w:tc>
          <w:tcPr>
            <w:tcW w:w="1399" w:type="dxa"/>
          </w:tcPr>
          <w:p w14:paraId="138C95C5" w14:textId="77777777" w:rsidR="004338C2" w:rsidRPr="00087534" w:rsidRDefault="004338C2" w:rsidP="00D33D14">
            <w:pPr>
              <w:pStyle w:val="ExhibitText"/>
              <w:rPr>
                <w:rFonts w:eastAsia="Arial Unicode MS"/>
                <w:lang w:val="en-GB"/>
              </w:rPr>
            </w:pPr>
            <w:r w:rsidRPr="00087534">
              <w:rPr>
                <w:rFonts w:eastAsia="Arial Unicode MS"/>
                <w:lang w:val="en-GB"/>
              </w:rPr>
              <w:t>X-</w:t>
            </w:r>
            <w:proofErr w:type="spellStart"/>
            <w:r w:rsidRPr="00087534">
              <w:rPr>
                <w:rFonts w:eastAsia="Arial Unicode MS"/>
                <w:lang w:val="en-GB"/>
              </w:rPr>
              <w:t>trant</w:t>
            </w:r>
            <w:proofErr w:type="spellEnd"/>
          </w:p>
        </w:tc>
        <w:tc>
          <w:tcPr>
            <w:tcW w:w="3150" w:type="dxa"/>
          </w:tcPr>
          <w:p w14:paraId="135A5314" w14:textId="77777777" w:rsidR="004338C2" w:rsidRPr="00087534" w:rsidRDefault="004338C2" w:rsidP="00D33D14">
            <w:pPr>
              <w:pStyle w:val="ExhibitText"/>
              <w:rPr>
                <w:rFonts w:eastAsia="Arial Unicode MS"/>
                <w:lang w:val="en-GB"/>
              </w:rPr>
            </w:pPr>
            <w:r w:rsidRPr="00087534">
              <w:rPr>
                <w:rFonts w:eastAsia="Arial Unicode MS"/>
                <w:lang w:val="en-GB"/>
              </w:rPr>
              <w:t>Prostate cancer</w:t>
            </w:r>
          </w:p>
        </w:tc>
        <w:tc>
          <w:tcPr>
            <w:tcW w:w="1710" w:type="dxa"/>
          </w:tcPr>
          <w:p w14:paraId="0B31D5B3" w14:textId="77777777" w:rsidR="004338C2" w:rsidRPr="00087534" w:rsidRDefault="004338C2" w:rsidP="00D33D14">
            <w:pPr>
              <w:pStyle w:val="ExhibitText"/>
              <w:rPr>
                <w:rFonts w:eastAsia="Arial Unicode MS"/>
                <w:lang w:val="en-GB"/>
              </w:rPr>
            </w:pPr>
            <w:r w:rsidRPr="00087534">
              <w:rPr>
                <w:rFonts w:eastAsia="Arial Unicode MS"/>
                <w:lang w:val="en-GB"/>
              </w:rPr>
              <w:t>Capsule</w:t>
            </w:r>
          </w:p>
        </w:tc>
      </w:tr>
      <w:tr w:rsidR="004338C2" w:rsidRPr="00087534" w14:paraId="55F12375" w14:textId="77777777" w:rsidTr="00D33D14">
        <w:trPr>
          <w:jc w:val="center"/>
        </w:trPr>
        <w:tc>
          <w:tcPr>
            <w:tcW w:w="846" w:type="dxa"/>
            <w:vAlign w:val="center"/>
          </w:tcPr>
          <w:p w14:paraId="55A172F5" w14:textId="77777777" w:rsidR="004338C2" w:rsidRPr="00087534" w:rsidRDefault="004338C2" w:rsidP="00D33D14">
            <w:pPr>
              <w:pStyle w:val="ExhibitText"/>
              <w:jc w:val="center"/>
              <w:rPr>
                <w:rFonts w:eastAsia="Arial Unicode MS"/>
                <w:lang w:val="en-GB"/>
              </w:rPr>
            </w:pPr>
            <w:r w:rsidRPr="00087534">
              <w:rPr>
                <w:rFonts w:eastAsia="Arial Unicode MS"/>
                <w:lang w:val="en-GB"/>
              </w:rPr>
              <w:t>16.</w:t>
            </w:r>
          </w:p>
        </w:tc>
        <w:tc>
          <w:tcPr>
            <w:tcW w:w="1399" w:type="dxa"/>
          </w:tcPr>
          <w:p w14:paraId="2DC4015D"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Zoldonat</w:t>
            </w:r>
            <w:proofErr w:type="spellEnd"/>
          </w:p>
        </w:tc>
        <w:tc>
          <w:tcPr>
            <w:tcW w:w="3150" w:type="dxa"/>
          </w:tcPr>
          <w:p w14:paraId="537516E3" w14:textId="77777777" w:rsidR="004338C2" w:rsidRPr="00087534" w:rsidRDefault="004338C2" w:rsidP="00D33D14">
            <w:pPr>
              <w:pStyle w:val="ExhibitText"/>
              <w:rPr>
                <w:rFonts w:eastAsia="Arial Unicode MS"/>
                <w:lang w:val="en-GB"/>
              </w:rPr>
            </w:pPr>
            <w:r w:rsidRPr="00087534">
              <w:rPr>
                <w:rFonts w:eastAsia="Arial Unicode MS"/>
                <w:lang w:val="en-GB"/>
              </w:rPr>
              <w:t>Supportive cancer care</w:t>
            </w:r>
          </w:p>
        </w:tc>
        <w:tc>
          <w:tcPr>
            <w:tcW w:w="1710" w:type="dxa"/>
          </w:tcPr>
          <w:p w14:paraId="4DFBF4F4"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369BDEAE" w14:textId="77777777" w:rsidTr="00D33D14">
        <w:trPr>
          <w:jc w:val="center"/>
        </w:trPr>
        <w:tc>
          <w:tcPr>
            <w:tcW w:w="846" w:type="dxa"/>
            <w:vAlign w:val="center"/>
          </w:tcPr>
          <w:p w14:paraId="1EEA3226" w14:textId="77777777" w:rsidR="004338C2" w:rsidRPr="00087534" w:rsidRDefault="004338C2" w:rsidP="00D33D14">
            <w:pPr>
              <w:pStyle w:val="ExhibitText"/>
              <w:jc w:val="center"/>
              <w:rPr>
                <w:rFonts w:eastAsia="Arial Unicode MS"/>
                <w:lang w:val="en-GB"/>
              </w:rPr>
            </w:pPr>
            <w:r w:rsidRPr="00087534">
              <w:rPr>
                <w:rFonts w:eastAsia="Arial Unicode MS"/>
                <w:lang w:val="en-GB"/>
              </w:rPr>
              <w:t>17.</w:t>
            </w:r>
          </w:p>
        </w:tc>
        <w:tc>
          <w:tcPr>
            <w:tcW w:w="1399" w:type="dxa"/>
          </w:tcPr>
          <w:p w14:paraId="19928BD6"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Natdox</w:t>
            </w:r>
            <w:proofErr w:type="spellEnd"/>
            <w:r w:rsidRPr="00087534">
              <w:rPr>
                <w:rFonts w:eastAsia="Arial Unicode MS"/>
                <w:lang w:val="en-GB"/>
              </w:rPr>
              <w:t>-LP</w:t>
            </w:r>
          </w:p>
        </w:tc>
        <w:tc>
          <w:tcPr>
            <w:tcW w:w="3150" w:type="dxa"/>
          </w:tcPr>
          <w:p w14:paraId="260B54C7" w14:textId="77777777" w:rsidR="004338C2" w:rsidRPr="00087534" w:rsidRDefault="004338C2" w:rsidP="00D33D14">
            <w:pPr>
              <w:pStyle w:val="ExhibitText"/>
              <w:rPr>
                <w:rFonts w:eastAsia="Arial Unicode MS"/>
                <w:lang w:val="en-GB"/>
              </w:rPr>
            </w:pPr>
            <w:r w:rsidRPr="00087534">
              <w:rPr>
                <w:rFonts w:eastAsia="Arial Unicode MS"/>
                <w:lang w:val="en-GB"/>
              </w:rPr>
              <w:t>Ovarian cancer</w:t>
            </w:r>
          </w:p>
        </w:tc>
        <w:tc>
          <w:tcPr>
            <w:tcW w:w="1710" w:type="dxa"/>
          </w:tcPr>
          <w:p w14:paraId="1BC02D70"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53725628" w14:textId="77777777" w:rsidTr="00D33D14">
        <w:trPr>
          <w:jc w:val="center"/>
        </w:trPr>
        <w:tc>
          <w:tcPr>
            <w:tcW w:w="846" w:type="dxa"/>
            <w:vAlign w:val="center"/>
          </w:tcPr>
          <w:p w14:paraId="14BA8D82" w14:textId="77777777" w:rsidR="004338C2" w:rsidRPr="00087534" w:rsidRDefault="004338C2" w:rsidP="00D33D14">
            <w:pPr>
              <w:pStyle w:val="ExhibitText"/>
              <w:jc w:val="center"/>
              <w:rPr>
                <w:rFonts w:eastAsia="Arial Unicode MS"/>
                <w:lang w:val="en-GB"/>
              </w:rPr>
            </w:pPr>
            <w:r w:rsidRPr="00087534">
              <w:rPr>
                <w:rFonts w:eastAsia="Arial Unicode MS"/>
                <w:lang w:val="en-GB"/>
              </w:rPr>
              <w:t>18.</w:t>
            </w:r>
          </w:p>
        </w:tc>
        <w:tc>
          <w:tcPr>
            <w:tcW w:w="1399" w:type="dxa"/>
          </w:tcPr>
          <w:p w14:paraId="53D374F7"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Anastronat</w:t>
            </w:r>
            <w:proofErr w:type="spellEnd"/>
          </w:p>
        </w:tc>
        <w:tc>
          <w:tcPr>
            <w:tcW w:w="3150" w:type="dxa"/>
          </w:tcPr>
          <w:p w14:paraId="723AFF2B" w14:textId="77777777" w:rsidR="004338C2" w:rsidRPr="00087534" w:rsidRDefault="004338C2" w:rsidP="00D33D14">
            <w:pPr>
              <w:pStyle w:val="ExhibitText"/>
              <w:rPr>
                <w:rFonts w:eastAsia="Arial Unicode MS"/>
                <w:lang w:val="en-GB"/>
              </w:rPr>
            </w:pPr>
            <w:r w:rsidRPr="00087534">
              <w:rPr>
                <w:rFonts w:eastAsia="Arial Unicode MS"/>
                <w:lang w:val="en-GB"/>
              </w:rPr>
              <w:t>Breast cancer</w:t>
            </w:r>
          </w:p>
        </w:tc>
        <w:tc>
          <w:tcPr>
            <w:tcW w:w="1710" w:type="dxa"/>
          </w:tcPr>
          <w:p w14:paraId="5C5C13D9"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481A44A8" w14:textId="77777777" w:rsidTr="00D33D14">
        <w:trPr>
          <w:jc w:val="center"/>
        </w:trPr>
        <w:tc>
          <w:tcPr>
            <w:tcW w:w="846" w:type="dxa"/>
            <w:vAlign w:val="center"/>
          </w:tcPr>
          <w:p w14:paraId="64600CB4" w14:textId="77777777" w:rsidR="004338C2" w:rsidRPr="00087534" w:rsidRDefault="004338C2" w:rsidP="00D33D14">
            <w:pPr>
              <w:pStyle w:val="ExhibitText"/>
              <w:jc w:val="center"/>
              <w:rPr>
                <w:rFonts w:eastAsia="Arial Unicode MS"/>
                <w:lang w:val="en-GB"/>
              </w:rPr>
            </w:pPr>
            <w:r w:rsidRPr="00087534">
              <w:rPr>
                <w:rFonts w:eastAsia="Arial Unicode MS"/>
                <w:lang w:val="en-GB"/>
              </w:rPr>
              <w:t>19.</w:t>
            </w:r>
          </w:p>
        </w:tc>
        <w:tc>
          <w:tcPr>
            <w:tcW w:w="1399" w:type="dxa"/>
          </w:tcPr>
          <w:p w14:paraId="53D43CDE"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Bandrone</w:t>
            </w:r>
            <w:proofErr w:type="spellEnd"/>
          </w:p>
        </w:tc>
        <w:tc>
          <w:tcPr>
            <w:tcW w:w="3150" w:type="dxa"/>
          </w:tcPr>
          <w:p w14:paraId="102FE492" w14:textId="77777777" w:rsidR="004338C2" w:rsidRPr="00087534" w:rsidRDefault="004338C2" w:rsidP="00D33D14">
            <w:pPr>
              <w:pStyle w:val="ExhibitText"/>
              <w:rPr>
                <w:rFonts w:eastAsia="Arial Unicode MS"/>
                <w:lang w:val="en-GB"/>
              </w:rPr>
            </w:pPr>
            <w:r w:rsidRPr="00087534">
              <w:rPr>
                <w:rFonts w:eastAsia="Arial Unicode MS"/>
                <w:lang w:val="en-GB"/>
              </w:rPr>
              <w:t>Supportive cancer care</w:t>
            </w:r>
          </w:p>
        </w:tc>
        <w:tc>
          <w:tcPr>
            <w:tcW w:w="1710" w:type="dxa"/>
          </w:tcPr>
          <w:p w14:paraId="1860794D" w14:textId="77777777" w:rsidR="004338C2" w:rsidRPr="00087534" w:rsidRDefault="004338C2" w:rsidP="00D33D14">
            <w:pPr>
              <w:pStyle w:val="ExhibitText"/>
              <w:rPr>
                <w:rFonts w:eastAsia="Arial Unicode MS"/>
                <w:lang w:val="en-GB"/>
              </w:rPr>
            </w:pPr>
            <w:r w:rsidRPr="00087534">
              <w:rPr>
                <w:rFonts w:eastAsia="Arial Unicode MS"/>
                <w:lang w:val="en-GB"/>
              </w:rPr>
              <w:t>Tablet/injection</w:t>
            </w:r>
          </w:p>
        </w:tc>
      </w:tr>
      <w:tr w:rsidR="004338C2" w:rsidRPr="00087534" w14:paraId="10E49FBD" w14:textId="77777777" w:rsidTr="00D33D14">
        <w:trPr>
          <w:jc w:val="center"/>
        </w:trPr>
        <w:tc>
          <w:tcPr>
            <w:tcW w:w="846" w:type="dxa"/>
            <w:vAlign w:val="center"/>
          </w:tcPr>
          <w:p w14:paraId="32C8B806" w14:textId="77777777" w:rsidR="004338C2" w:rsidRPr="00087534" w:rsidRDefault="004338C2" w:rsidP="00D33D14">
            <w:pPr>
              <w:pStyle w:val="ExhibitText"/>
              <w:jc w:val="center"/>
              <w:rPr>
                <w:rFonts w:eastAsia="Arial Unicode MS"/>
                <w:lang w:val="en-GB"/>
              </w:rPr>
            </w:pPr>
            <w:r w:rsidRPr="00087534">
              <w:rPr>
                <w:rFonts w:eastAsia="Arial Unicode MS"/>
                <w:lang w:val="en-GB"/>
              </w:rPr>
              <w:t>20.</w:t>
            </w:r>
          </w:p>
        </w:tc>
        <w:tc>
          <w:tcPr>
            <w:tcW w:w="1399" w:type="dxa"/>
          </w:tcPr>
          <w:p w14:paraId="59489399"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Xtane</w:t>
            </w:r>
            <w:proofErr w:type="spellEnd"/>
          </w:p>
        </w:tc>
        <w:tc>
          <w:tcPr>
            <w:tcW w:w="3150" w:type="dxa"/>
          </w:tcPr>
          <w:p w14:paraId="5053311E" w14:textId="77777777" w:rsidR="004338C2" w:rsidRPr="00087534" w:rsidRDefault="004338C2" w:rsidP="00D33D14">
            <w:pPr>
              <w:pStyle w:val="ExhibitText"/>
              <w:rPr>
                <w:rFonts w:eastAsia="Arial Unicode MS"/>
                <w:lang w:val="en-GB"/>
              </w:rPr>
            </w:pPr>
            <w:r w:rsidRPr="00087534">
              <w:rPr>
                <w:rFonts w:eastAsia="Arial Unicode MS"/>
                <w:lang w:val="en-GB"/>
              </w:rPr>
              <w:t>Breast cancer</w:t>
            </w:r>
          </w:p>
        </w:tc>
        <w:tc>
          <w:tcPr>
            <w:tcW w:w="1710" w:type="dxa"/>
          </w:tcPr>
          <w:p w14:paraId="22903241"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2C4AA193" w14:textId="77777777" w:rsidTr="00D33D14">
        <w:trPr>
          <w:jc w:val="center"/>
        </w:trPr>
        <w:tc>
          <w:tcPr>
            <w:tcW w:w="846" w:type="dxa"/>
            <w:vAlign w:val="center"/>
          </w:tcPr>
          <w:p w14:paraId="2DD0CB03" w14:textId="77777777" w:rsidR="004338C2" w:rsidRPr="00087534" w:rsidRDefault="004338C2" w:rsidP="00D33D14">
            <w:pPr>
              <w:pStyle w:val="ExhibitText"/>
              <w:jc w:val="center"/>
              <w:rPr>
                <w:rFonts w:eastAsia="Arial Unicode MS"/>
                <w:lang w:val="en-GB"/>
              </w:rPr>
            </w:pPr>
            <w:r w:rsidRPr="00087534">
              <w:rPr>
                <w:rFonts w:eastAsia="Arial Unicode MS"/>
                <w:lang w:val="en-GB"/>
              </w:rPr>
              <w:t>21.</w:t>
            </w:r>
          </w:p>
        </w:tc>
        <w:tc>
          <w:tcPr>
            <w:tcW w:w="1399" w:type="dxa"/>
          </w:tcPr>
          <w:p w14:paraId="3E08F227"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Fulvenat</w:t>
            </w:r>
            <w:proofErr w:type="spellEnd"/>
          </w:p>
        </w:tc>
        <w:tc>
          <w:tcPr>
            <w:tcW w:w="3150" w:type="dxa"/>
          </w:tcPr>
          <w:p w14:paraId="783EA79E" w14:textId="77777777" w:rsidR="004338C2" w:rsidRPr="00087534" w:rsidRDefault="004338C2" w:rsidP="00D33D14">
            <w:pPr>
              <w:pStyle w:val="ExhibitText"/>
              <w:rPr>
                <w:rFonts w:eastAsia="Arial Unicode MS"/>
                <w:lang w:val="en-GB"/>
              </w:rPr>
            </w:pPr>
            <w:r w:rsidRPr="00087534">
              <w:rPr>
                <w:rFonts w:eastAsia="Arial Unicode MS"/>
                <w:lang w:val="en-GB"/>
              </w:rPr>
              <w:t>Breast cancer</w:t>
            </w:r>
          </w:p>
        </w:tc>
        <w:tc>
          <w:tcPr>
            <w:tcW w:w="1710" w:type="dxa"/>
          </w:tcPr>
          <w:p w14:paraId="16B1565B"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171B8D8F" w14:textId="77777777" w:rsidTr="00D33D14">
        <w:trPr>
          <w:jc w:val="center"/>
        </w:trPr>
        <w:tc>
          <w:tcPr>
            <w:tcW w:w="846" w:type="dxa"/>
            <w:vAlign w:val="center"/>
          </w:tcPr>
          <w:p w14:paraId="462546F0" w14:textId="77777777" w:rsidR="004338C2" w:rsidRPr="00087534" w:rsidRDefault="004338C2" w:rsidP="00D33D14">
            <w:pPr>
              <w:pStyle w:val="ExhibitText"/>
              <w:jc w:val="center"/>
              <w:rPr>
                <w:rFonts w:eastAsia="Arial Unicode MS"/>
                <w:lang w:val="en-GB"/>
              </w:rPr>
            </w:pPr>
            <w:r w:rsidRPr="00087534">
              <w:rPr>
                <w:rFonts w:eastAsia="Arial Unicode MS"/>
                <w:lang w:val="en-GB"/>
              </w:rPr>
              <w:t>22.</w:t>
            </w:r>
          </w:p>
        </w:tc>
        <w:tc>
          <w:tcPr>
            <w:tcW w:w="1399" w:type="dxa"/>
          </w:tcPr>
          <w:p w14:paraId="1F1F4A6B"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Letronat</w:t>
            </w:r>
            <w:proofErr w:type="spellEnd"/>
          </w:p>
        </w:tc>
        <w:tc>
          <w:tcPr>
            <w:tcW w:w="3150" w:type="dxa"/>
          </w:tcPr>
          <w:p w14:paraId="0E76AD90" w14:textId="77777777" w:rsidR="004338C2" w:rsidRPr="00087534" w:rsidRDefault="004338C2" w:rsidP="00D33D14">
            <w:pPr>
              <w:pStyle w:val="ExhibitText"/>
              <w:rPr>
                <w:rFonts w:eastAsia="Arial Unicode MS"/>
                <w:lang w:val="en-GB"/>
              </w:rPr>
            </w:pPr>
            <w:r w:rsidRPr="00087534">
              <w:rPr>
                <w:rFonts w:eastAsia="Arial Unicode MS"/>
                <w:lang w:val="en-GB"/>
              </w:rPr>
              <w:t>Breast cancer</w:t>
            </w:r>
          </w:p>
        </w:tc>
        <w:tc>
          <w:tcPr>
            <w:tcW w:w="1710" w:type="dxa"/>
          </w:tcPr>
          <w:p w14:paraId="79ED13BF"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1776C11A" w14:textId="77777777" w:rsidTr="00D33D14">
        <w:trPr>
          <w:jc w:val="center"/>
        </w:trPr>
        <w:tc>
          <w:tcPr>
            <w:tcW w:w="846" w:type="dxa"/>
            <w:vAlign w:val="center"/>
          </w:tcPr>
          <w:p w14:paraId="17127481" w14:textId="77777777" w:rsidR="004338C2" w:rsidRPr="00087534" w:rsidRDefault="004338C2" w:rsidP="00D33D14">
            <w:pPr>
              <w:pStyle w:val="ExhibitText"/>
              <w:jc w:val="center"/>
              <w:rPr>
                <w:rFonts w:eastAsia="Arial Unicode MS"/>
                <w:lang w:val="en-GB"/>
              </w:rPr>
            </w:pPr>
            <w:r w:rsidRPr="00087534">
              <w:rPr>
                <w:rFonts w:eastAsia="Arial Unicode MS"/>
                <w:lang w:val="en-GB"/>
              </w:rPr>
              <w:t>23.</w:t>
            </w:r>
          </w:p>
        </w:tc>
        <w:tc>
          <w:tcPr>
            <w:tcW w:w="1399" w:type="dxa"/>
          </w:tcPr>
          <w:p w14:paraId="3A0C2C44" w14:textId="77777777" w:rsidR="004338C2" w:rsidRPr="00087534" w:rsidRDefault="004338C2" w:rsidP="00D33D14">
            <w:pPr>
              <w:pStyle w:val="ExhibitText"/>
              <w:rPr>
                <w:rFonts w:eastAsia="Arial Unicode MS"/>
                <w:lang w:val="en-GB"/>
              </w:rPr>
            </w:pPr>
            <w:r w:rsidRPr="00087534">
              <w:rPr>
                <w:rFonts w:eastAsia="Arial Unicode MS"/>
                <w:lang w:val="en-GB"/>
              </w:rPr>
              <w:t>PT-Max</w:t>
            </w:r>
          </w:p>
        </w:tc>
        <w:tc>
          <w:tcPr>
            <w:tcW w:w="3150" w:type="dxa"/>
          </w:tcPr>
          <w:p w14:paraId="000AF769" w14:textId="77777777" w:rsidR="004338C2" w:rsidRPr="00087534" w:rsidRDefault="004338C2" w:rsidP="00D33D14">
            <w:pPr>
              <w:pStyle w:val="ExhibitText"/>
              <w:rPr>
                <w:rFonts w:eastAsia="Arial Unicode MS"/>
                <w:lang w:val="en-GB"/>
              </w:rPr>
            </w:pPr>
            <w:r w:rsidRPr="00087534">
              <w:rPr>
                <w:rFonts w:eastAsia="Arial Unicode MS"/>
                <w:lang w:val="en-GB"/>
              </w:rPr>
              <w:t>Supportive cancer care</w:t>
            </w:r>
          </w:p>
        </w:tc>
        <w:tc>
          <w:tcPr>
            <w:tcW w:w="1710" w:type="dxa"/>
          </w:tcPr>
          <w:p w14:paraId="3FC22E4B"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465D063E" w14:textId="77777777" w:rsidTr="00D33D14">
        <w:trPr>
          <w:jc w:val="center"/>
        </w:trPr>
        <w:tc>
          <w:tcPr>
            <w:tcW w:w="846" w:type="dxa"/>
            <w:vAlign w:val="center"/>
          </w:tcPr>
          <w:p w14:paraId="41DAB8FE" w14:textId="77777777" w:rsidR="004338C2" w:rsidRPr="00087534" w:rsidRDefault="004338C2" w:rsidP="00D33D14">
            <w:pPr>
              <w:pStyle w:val="ExhibitText"/>
              <w:jc w:val="center"/>
              <w:rPr>
                <w:rFonts w:eastAsia="Arial Unicode MS"/>
                <w:lang w:val="en-GB"/>
              </w:rPr>
            </w:pPr>
            <w:r w:rsidRPr="00087534">
              <w:rPr>
                <w:rFonts w:eastAsia="Arial Unicode MS"/>
                <w:lang w:val="en-GB"/>
              </w:rPr>
              <w:t>24.</w:t>
            </w:r>
          </w:p>
        </w:tc>
        <w:tc>
          <w:tcPr>
            <w:tcW w:w="1399" w:type="dxa"/>
          </w:tcPr>
          <w:p w14:paraId="7EF7CB1A"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Temonat</w:t>
            </w:r>
            <w:proofErr w:type="spellEnd"/>
          </w:p>
        </w:tc>
        <w:tc>
          <w:tcPr>
            <w:tcW w:w="3150" w:type="dxa"/>
          </w:tcPr>
          <w:p w14:paraId="033794B1" w14:textId="77777777" w:rsidR="004338C2" w:rsidRPr="00087534" w:rsidRDefault="004338C2" w:rsidP="00D33D14">
            <w:pPr>
              <w:pStyle w:val="ExhibitText"/>
              <w:rPr>
                <w:rFonts w:eastAsia="Arial Unicode MS"/>
                <w:lang w:val="en-GB"/>
              </w:rPr>
            </w:pPr>
            <w:r w:rsidRPr="00087534">
              <w:rPr>
                <w:rFonts w:eastAsia="Arial Unicode MS"/>
                <w:lang w:val="en-GB"/>
              </w:rPr>
              <w:t>Glioma</w:t>
            </w:r>
          </w:p>
        </w:tc>
        <w:tc>
          <w:tcPr>
            <w:tcW w:w="1710" w:type="dxa"/>
          </w:tcPr>
          <w:p w14:paraId="065001AD" w14:textId="77777777" w:rsidR="004338C2" w:rsidRPr="00087534" w:rsidRDefault="004338C2" w:rsidP="00D33D14">
            <w:pPr>
              <w:pStyle w:val="ExhibitText"/>
              <w:rPr>
                <w:rFonts w:eastAsia="Arial Unicode MS"/>
                <w:lang w:val="en-GB"/>
              </w:rPr>
            </w:pPr>
            <w:r w:rsidRPr="00087534">
              <w:rPr>
                <w:rFonts w:eastAsia="Arial Unicode MS"/>
                <w:lang w:val="en-GB"/>
              </w:rPr>
              <w:t>Capsule</w:t>
            </w:r>
          </w:p>
        </w:tc>
      </w:tr>
      <w:tr w:rsidR="004338C2" w:rsidRPr="00087534" w14:paraId="43867FE3" w14:textId="77777777" w:rsidTr="00D33D14">
        <w:trPr>
          <w:jc w:val="center"/>
        </w:trPr>
        <w:tc>
          <w:tcPr>
            <w:tcW w:w="846" w:type="dxa"/>
            <w:vAlign w:val="center"/>
          </w:tcPr>
          <w:p w14:paraId="79C5526D" w14:textId="77777777" w:rsidR="004338C2" w:rsidRPr="00087534" w:rsidRDefault="004338C2" w:rsidP="00D33D14">
            <w:pPr>
              <w:pStyle w:val="ExhibitText"/>
              <w:jc w:val="center"/>
              <w:rPr>
                <w:rFonts w:eastAsia="Arial Unicode MS"/>
                <w:lang w:val="en-GB"/>
              </w:rPr>
            </w:pPr>
            <w:r w:rsidRPr="00087534">
              <w:rPr>
                <w:rFonts w:eastAsia="Arial Unicode MS"/>
                <w:lang w:val="en-GB"/>
              </w:rPr>
              <w:t>25.</w:t>
            </w:r>
          </w:p>
        </w:tc>
        <w:tc>
          <w:tcPr>
            <w:tcW w:w="1399" w:type="dxa"/>
          </w:tcPr>
          <w:p w14:paraId="21F80F51"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Tigi</w:t>
            </w:r>
            <w:proofErr w:type="spellEnd"/>
          </w:p>
        </w:tc>
        <w:tc>
          <w:tcPr>
            <w:tcW w:w="3150" w:type="dxa"/>
          </w:tcPr>
          <w:p w14:paraId="447069AC" w14:textId="77777777" w:rsidR="004338C2" w:rsidRPr="00087534" w:rsidRDefault="004338C2" w:rsidP="00D33D14">
            <w:pPr>
              <w:pStyle w:val="ExhibitText"/>
              <w:rPr>
                <w:rFonts w:eastAsia="Arial Unicode MS"/>
                <w:lang w:val="en-GB"/>
              </w:rPr>
            </w:pPr>
            <w:r w:rsidRPr="00087534">
              <w:rPr>
                <w:rFonts w:eastAsia="Arial Unicode MS"/>
                <w:lang w:val="en-GB"/>
              </w:rPr>
              <w:t>Supportive cancer care</w:t>
            </w:r>
          </w:p>
        </w:tc>
        <w:tc>
          <w:tcPr>
            <w:tcW w:w="1710" w:type="dxa"/>
          </w:tcPr>
          <w:p w14:paraId="2792BDC2"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626AF95D" w14:textId="77777777" w:rsidTr="00D33D14">
        <w:trPr>
          <w:jc w:val="center"/>
        </w:trPr>
        <w:tc>
          <w:tcPr>
            <w:tcW w:w="846" w:type="dxa"/>
            <w:vAlign w:val="center"/>
          </w:tcPr>
          <w:p w14:paraId="19E4FB16" w14:textId="77777777" w:rsidR="004338C2" w:rsidRPr="00087534" w:rsidRDefault="004338C2" w:rsidP="00D33D14">
            <w:pPr>
              <w:pStyle w:val="ExhibitText"/>
              <w:jc w:val="center"/>
              <w:rPr>
                <w:rFonts w:eastAsia="Arial Unicode MS"/>
                <w:lang w:val="en-GB"/>
              </w:rPr>
            </w:pPr>
            <w:r w:rsidRPr="00087534">
              <w:rPr>
                <w:rFonts w:eastAsia="Arial Unicode MS"/>
                <w:lang w:val="en-GB"/>
              </w:rPr>
              <w:t>26.</w:t>
            </w:r>
          </w:p>
        </w:tc>
        <w:tc>
          <w:tcPr>
            <w:tcW w:w="1399" w:type="dxa"/>
          </w:tcPr>
          <w:p w14:paraId="008149BF"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Trabec</w:t>
            </w:r>
            <w:proofErr w:type="spellEnd"/>
          </w:p>
        </w:tc>
        <w:tc>
          <w:tcPr>
            <w:tcW w:w="3150" w:type="dxa"/>
          </w:tcPr>
          <w:p w14:paraId="7AF6D430" w14:textId="77777777" w:rsidR="004338C2" w:rsidRPr="00087534" w:rsidRDefault="004338C2" w:rsidP="00D33D14">
            <w:pPr>
              <w:pStyle w:val="ExhibitText"/>
              <w:rPr>
                <w:rFonts w:eastAsia="Arial Unicode MS"/>
                <w:lang w:val="en-GB"/>
              </w:rPr>
            </w:pPr>
            <w:r w:rsidRPr="00087534">
              <w:rPr>
                <w:rFonts w:eastAsia="Arial Unicode MS"/>
                <w:lang w:val="en-GB"/>
              </w:rPr>
              <w:t>Soft tissue sarcoma</w:t>
            </w:r>
          </w:p>
        </w:tc>
        <w:tc>
          <w:tcPr>
            <w:tcW w:w="1710" w:type="dxa"/>
          </w:tcPr>
          <w:p w14:paraId="6A37314B"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bl>
    <w:p w14:paraId="3CED4CF0" w14:textId="77777777" w:rsidR="004338C2" w:rsidRPr="00087534" w:rsidRDefault="004338C2" w:rsidP="00A72D9F">
      <w:pPr>
        <w:pStyle w:val="Footnote"/>
        <w:rPr>
          <w:rFonts w:eastAsia="Arial Unicode MS"/>
          <w:lang w:val="en-GB"/>
        </w:rPr>
      </w:pPr>
    </w:p>
    <w:p w14:paraId="76AD5918" w14:textId="7904F664" w:rsidR="004338C2" w:rsidRPr="00087534" w:rsidRDefault="004338C2" w:rsidP="00D33D14">
      <w:pPr>
        <w:pStyle w:val="Footnote"/>
        <w:rPr>
          <w:rFonts w:eastAsia="Arial Unicode MS"/>
          <w:lang w:val="en-GB"/>
        </w:rPr>
      </w:pPr>
      <w:r w:rsidRPr="00087534">
        <w:rPr>
          <w:rFonts w:eastAsia="Arial Unicode MS"/>
          <w:lang w:val="en-GB"/>
        </w:rPr>
        <w:t xml:space="preserve">Note: Each </w:t>
      </w:r>
      <w:proofErr w:type="spellStart"/>
      <w:r>
        <w:rPr>
          <w:rFonts w:eastAsia="Arial Unicode MS"/>
          <w:lang w:val="en-GB"/>
        </w:rPr>
        <w:t>Natco</w:t>
      </w:r>
      <w:proofErr w:type="spellEnd"/>
      <w:r>
        <w:rPr>
          <w:rFonts w:eastAsia="Arial Unicode MS"/>
          <w:lang w:val="en-GB"/>
        </w:rPr>
        <w:t xml:space="preserve"> Pharma Limited </w:t>
      </w:r>
      <w:r w:rsidRPr="00087534">
        <w:rPr>
          <w:rFonts w:eastAsia="Arial Unicode MS"/>
          <w:lang w:val="en-GB"/>
        </w:rPr>
        <w:t>brand from serial number</w:t>
      </w:r>
      <w:r w:rsidR="00364419">
        <w:rPr>
          <w:rFonts w:eastAsia="Arial Unicode MS"/>
          <w:lang w:val="en-GB"/>
        </w:rPr>
        <w:t>s</w:t>
      </w:r>
      <w:r w:rsidRPr="00087534">
        <w:rPr>
          <w:rFonts w:eastAsia="Arial Unicode MS"/>
          <w:lang w:val="en-GB"/>
        </w:rPr>
        <w:t xml:space="preserve"> 1</w:t>
      </w:r>
      <w:r w:rsidR="00364419">
        <w:rPr>
          <w:rFonts w:eastAsia="Arial Unicode MS"/>
          <w:lang w:val="en-GB"/>
        </w:rPr>
        <w:t>–</w:t>
      </w:r>
      <w:r w:rsidRPr="00087534">
        <w:rPr>
          <w:rFonts w:eastAsia="Arial Unicode MS"/>
          <w:lang w:val="en-GB"/>
        </w:rPr>
        <w:t xml:space="preserve">5 had </w:t>
      </w:r>
      <w:r>
        <w:rPr>
          <w:rFonts w:eastAsia="Arial Unicode MS"/>
          <w:lang w:val="en-GB"/>
        </w:rPr>
        <w:t xml:space="preserve">an </w:t>
      </w:r>
      <w:r w:rsidRPr="00087534">
        <w:rPr>
          <w:rFonts w:eastAsia="Arial Unicode MS"/>
          <w:lang w:val="en-GB"/>
        </w:rPr>
        <w:t xml:space="preserve">annual turnover of </w:t>
      </w:r>
      <w:r>
        <w:rPr>
          <w:rFonts w:eastAsia="Arial Unicode MS"/>
          <w:lang w:val="en-GB"/>
        </w:rPr>
        <w:t>more than</w:t>
      </w:r>
      <w:r w:rsidRPr="00087534">
        <w:rPr>
          <w:rFonts w:eastAsia="Arial Unicode MS"/>
          <w:lang w:val="en-GB"/>
        </w:rPr>
        <w:t xml:space="preserve"> </w:t>
      </w:r>
      <w:r w:rsidRPr="00977E45">
        <w:rPr>
          <w:rFonts w:eastAsia="Arial Unicode MS"/>
          <w:lang w:val="en-GB"/>
        </w:rPr>
        <w:t>₹</w:t>
      </w:r>
      <w:r w:rsidRPr="00087534">
        <w:rPr>
          <w:rFonts w:eastAsia="Arial Unicode MS"/>
          <w:lang w:val="en-GB"/>
        </w:rPr>
        <w:t xml:space="preserve">100 million in </w:t>
      </w:r>
      <w:r>
        <w:rPr>
          <w:rFonts w:eastAsia="Arial Unicode MS"/>
          <w:lang w:val="en-GB"/>
        </w:rPr>
        <w:t>fiscal year</w:t>
      </w:r>
      <w:r w:rsidRPr="00087534">
        <w:rPr>
          <w:rFonts w:eastAsia="Arial Unicode MS"/>
          <w:lang w:val="en-GB"/>
        </w:rPr>
        <w:t xml:space="preserve"> 2014</w:t>
      </w:r>
      <w:r>
        <w:rPr>
          <w:rFonts w:eastAsia="Arial Unicode MS"/>
          <w:lang w:val="en-GB"/>
        </w:rPr>
        <w:t>–</w:t>
      </w:r>
      <w:r w:rsidRPr="00087534">
        <w:rPr>
          <w:rFonts w:eastAsia="Arial Unicode MS"/>
          <w:lang w:val="en-GB"/>
        </w:rPr>
        <w:t>15</w:t>
      </w:r>
      <w:r>
        <w:rPr>
          <w:rFonts w:eastAsia="Arial Unicode MS"/>
          <w:lang w:val="en-GB"/>
        </w:rPr>
        <w:t xml:space="preserve">. </w:t>
      </w:r>
      <w:r w:rsidRPr="00E86B7A">
        <w:rPr>
          <w:lang w:val="en-CA"/>
        </w:rPr>
        <w:t xml:space="preserve">₹ </w:t>
      </w:r>
      <w:r w:rsidRPr="00E86B7A">
        <w:t xml:space="preserve">= </w:t>
      </w:r>
      <w:r>
        <w:t>INR</w:t>
      </w:r>
      <w:r w:rsidRPr="00E86B7A">
        <w:t xml:space="preserve"> </w:t>
      </w:r>
      <w:r w:rsidRPr="00994588">
        <w:t>= Indian rupee</w:t>
      </w:r>
      <w:r>
        <w:t>;</w:t>
      </w:r>
      <w:r w:rsidRPr="00994588">
        <w:t xml:space="preserve"> US$</w:t>
      </w:r>
      <w:r>
        <w:t>1</w:t>
      </w:r>
      <w:r w:rsidR="00364419">
        <w:t>.00</w:t>
      </w:r>
      <w:r w:rsidRPr="00994588">
        <w:t xml:space="preserve"> = ₹66.31</w:t>
      </w:r>
      <w:r w:rsidR="00813E4C">
        <w:t xml:space="preserve"> on August 31, 2015</w:t>
      </w:r>
      <w:r>
        <w:t>.</w:t>
      </w:r>
    </w:p>
    <w:p w14:paraId="733FD99D" w14:textId="458152C9" w:rsidR="004338C2" w:rsidRPr="00087534" w:rsidRDefault="004338C2" w:rsidP="00D33D14">
      <w:pPr>
        <w:pStyle w:val="Footnote"/>
        <w:rPr>
          <w:rFonts w:eastAsia="Arial Unicode MS"/>
          <w:lang w:val="en-GB"/>
        </w:rPr>
      </w:pPr>
      <w:r w:rsidRPr="00087534">
        <w:rPr>
          <w:rFonts w:eastAsia="Arial Unicode MS"/>
          <w:lang w:val="en-GB"/>
        </w:rPr>
        <w:t>Source: Company documents</w:t>
      </w:r>
      <w:r>
        <w:rPr>
          <w:rFonts w:eastAsia="Arial Unicode MS"/>
          <w:lang w:val="en-GB"/>
        </w:rPr>
        <w:t>.</w:t>
      </w:r>
    </w:p>
    <w:p w14:paraId="738C4B73" w14:textId="77777777" w:rsidR="004338C2" w:rsidRPr="00087534" w:rsidRDefault="004338C2" w:rsidP="00D33D14">
      <w:pPr>
        <w:pStyle w:val="ExhibitText"/>
        <w:rPr>
          <w:rFonts w:eastAsia="Arial Unicode MS"/>
          <w:lang w:val="en-GB"/>
        </w:rPr>
      </w:pPr>
    </w:p>
    <w:p w14:paraId="68377EE0" w14:textId="77777777" w:rsidR="004338C2" w:rsidRPr="00087534" w:rsidRDefault="004338C2" w:rsidP="00D33D14">
      <w:pPr>
        <w:pStyle w:val="ExhibitText"/>
        <w:rPr>
          <w:rFonts w:eastAsia="Arial Unicode MS"/>
          <w:lang w:val="en-GB"/>
        </w:rPr>
      </w:pPr>
    </w:p>
    <w:p w14:paraId="340B3A35" w14:textId="5F457DA1" w:rsidR="004338C2" w:rsidRPr="00087534" w:rsidRDefault="004338C2" w:rsidP="00D33D14">
      <w:pPr>
        <w:pStyle w:val="ExhibitHeading"/>
        <w:rPr>
          <w:rFonts w:eastAsia="Arial Unicode MS"/>
          <w:lang w:val="en-GB"/>
        </w:rPr>
      </w:pPr>
      <w:r w:rsidRPr="00087534">
        <w:rPr>
          <w:rFonts w:eastAsia="Arial Unicode MS"/>
          <w:lang w:val="en-GB"/>
        </w:rPr>
        <w:t>EXHIBIT 2: N</w:t>
      </w:r>
      <w:r>
        <w:rPr>
          <w:rFonts w:eastAsia="Arial Unicode MS"/>
          <w:lang w:val="en-GB"/>
        </w:rPr>
        <w:t xml:space="preserve">atco </w:t>
      </w:r>
      <w:r w:rsidRPr="00087534">
        <w:rPr>
          <w:rFonts w:eastAsia="Arial Unicode MS"/>
          <w:lang w:val="en-GB"/>
        </w:rPr>
        <w:t>P</w:t>
      </w:r>
      <w:r>
        <w:rPr>
          <w:rFonts w:eastAsia="Arial Unicode MS"/>
          <w:lang w:val="en-GB"/>
        </w:rPr>
        <w:t xml:space="preserve">harma </w:t>
      </w:r>
      <w:r w:rsidRPr="00087534">
        <w:rPr>
          <w:rFonts w:eastAsia="Arial Unicode MS"/>
          <w:lang w:val="en-GB"/>
        </w:rPr>
        <w:t>L</w:t>
      </w:r>
      <w:r>
        <w:rPr>
          <w:rFonts w:eastAsia="Arial Unicode MS"/>
          <w:lang w:val="en-GB"/>
        </w:rPr>
        <w:t>imited</w:t>
      </w:r>
      <w:r w:rsidRPr="00087534">
        <w:rPr>
          <w:rFonts w:eastAsia="Arial Unicode MS"/>
          <w:lang w:val="en-GB"/>
        </w:rPr>
        <w:t>’S NON-ONCOLOGY PRODUCT PORTFOLIO (PHARMA SEGMENT)</w:t>
      </w:r>
    </w:p>
    <w:p w14:paraId="2DC4CD22" w14:textId="77777777" w:rsidR="004338C2" w:rsidRPr="00087534" w:rsidRDefault="004338C2" w:rsidP="00D33D14">
      <w:pPr>
        <w:pStyle w:val="ExhibitText"/>
        <w:rPr>
          <w:rFonts w:eastAsia="Arial Unicode MS"/>
          <w:lang w:val="en-GB"/>
        </w:rPr>
      </w:pPr>
    </w:p>
    <w:tbl>
      <w:tblPr>
        <w:tblStyle w:val="TableGrid"/>
        <w:tblW w:w="0" w:type="auto"/>
        <w:jc w:val="center"/>
        <w:tblLook w:val="04A0" w:firstRow="1" w:lastRow="0" w:firstColumn="1" w:lastColumn="0" w:noHBand="0" w:noVBand="1"/>
      </w:tblPr>
      <w:tblGrid>
        <w:gridCol w:w="972"/>
        <w:gridCol w:w="1219"/>
        <w:gridCol w:w="2250"/>
        <w:gridCol w:w="1890"/>
      </w:tblGrid>
      <w:tr w:rsidR="004338C2" w:rsidRPr="00087534" w14:paraId="70349926" w14:textId="77777777" w:rsidTr="00D33D14">
        <w:trPr>
          <w:jc w:val="center"/>
        </w:trPr>
        <w:tc>
          <w:tcPr>
            <w:tcW w:w="846" w:type="dxa"/>
            <w:vAlign w:val="center"/>
          </w:tcPr>
          <w:p w14:paraId="71FE6EEF" w14:textId="14EF609F" w:rsidR="004338C2" w:rsidRPr="00087534" w:rsidRDefault="004338C2" w:rsidP="00977E45">
            <w:pPr>
              <w:pStyle w:val="ExhibitText"/>
              <w:jc w:val="center"/>
              <w:rPr>
                <w:rFonts w:eastAsia="Arial Unicode MS"/>
                <w:b/>
                <w:lang w:val="en-GB"/>
              </w:rPr>
            </w:pPr>
            <w:r w:rsidRPr="00087534">
              <w:rPr>
                <w:rFonts w:eastAsia="Arial Unicode MS"/>
                <w:b/>
                <w:lang w:val="en-GB"/>
              </w:rPr>
              <w:t>S</w:t>
            </w:r>
            <w:r w:rsidR="00813E4C">
              <w:rPr>
                <w:rFonts w:eastAsia="Arial Unicode MS"/>
                <w:b/>
                <w:lang w:val="en-GB"/>
              </w:rPr>
              <w:t>eria</w:t>
            </w:r>
            <w:r w:rsidRPr="00087534">
              <w:rPr>
                <w:rFonts w:eastAsia="Arial Unicode MS"/>
                <w:b/>
                <w:lang w:val="en-GB"/>
              </w:rPr>
              <w:t>l N</w:t>
            </w:r>
            <w:r w:rsidR="00813E4C">
              <w:rPr>
                <w:rFonts w:eastAsia="Arial Unicode MS"/>
                <w:b/>
                <w:lang w:val="en-GB"/>
              </w:rPr>
              <w:t>umber</w:t>
            </w:r>
          </w:p>
        </w:tc>
        <w:tc>
          <w:tcPr>
            <w:tcW w:w="1219" w:type="dxa"/>
            <w:vAlign w:val="center"/>
          </w:tcPr>
          <w:p w14:paraId="48F2C202" w14:textId="77777777" w:rsidR="004338C2" w:rsidRPr="00087534" w:rsidRDefault="004338C2" w:rsidP="00D33D14">
            <w:pPr>
              <w:pStyle w:val="ExhibitText"/>
              <w:jc w:val="center"/>
              <w:rPr>
                <w:rFonts w:eastAsia="Arial Unicode MS"/>
                <w:b/>
                <w:lang w:val="en-GB"/>
              </w:rPr>
            </w:pPr>
            <w:r w:rsidRPr="00087534">
              <w:rPr>
                <w:rFonts w:eastAsia="Arial Unicode MS"/>
                <w:b/>
                <w:lang w:val="en-GB"/>
              </w:rPr>
              <w:t>Brand</w:t>
            </w:r>
          </w:p>
        </w:tc>
        <w:tc>
          <w:tcPr>
            <w:tcW w:w="2250" w:type="dxa"/>
            <w:vAlign w:val="center"/>
          </w:tcPr>
          <w:p w14:paraId="240991E2" w14:textId="77777777" w:rsidR="004338C2" w:rsidRPr="00087534" w:rsidRDefault="004338C2" w:rsidP="00D33D14">
            <w:pPr>
              <w:pStyle w:val="ExhibitText"/>
              <w:jc w:val="center"/>
              <w:rPr>
                <w:rFonts w:eastAsia="Arial Unicode MS"/>
                <w:b/>
                <w:lang w:val="en-GB"/>
              </w:rPr>
            </w:pPr>
            <w:r w:rsidRPr="00087534">
              <w:rPr>
                <w:rFonts w:eastAsia="Arial Unicode MS"/>
                <w:b/>
                <w:lang w:val="en-GB"/>
              </w:rPr>
              <w:t>Therapeutic Segment</w:t>
            </w:r>
          </w:p>
        </w:tc>
        <w:tc>
          <w:tcPr>
            <w:tcW w:w="1890" w:type="dxa"/>
            <w:vAlign w:val="center"/>
          </w:tcPr>
          <w:p w14:paraId="1E2E45B3" w14:textId="77777777" w:rsidR="004338C2" w:rsidRPr="00087534" w:rsidRDefault="004338C2" w:rsidP="00D33D14">
            <w:pPr>
              <w:pStyle w:val="ExhibitText"/>
              <w:jc w:val="center"/>
              <w:rPr>
                <w:rFonts w:eastAsia="Arial Unicode MS"/>
                <w:b/>
                <w:lang w:val="en-GB"/>
              </w:rPr>
            </w:pPr>
            <w:r w:rsidRPr="00087534">
              <w:rPr>
                <w:rFonts w:eastAsia="Arial Unicode MS"/>
                <w:b/>
                <w:lang w:val="en-GB"/>
              </w:rPr>
              <w:t>Dosage Form</w:t>
            </w:r>
          </w:p>
        </w:tc>
      </w:tr>
      <w:tr w:rsidR="004338C2" w:rsidRPr="00087534" w14:paraId="50C6B35F" w14:textId="77777777" w:rsidTr="00D33D14">
        <w:trPr>
          <w:jc w:val="center"/>
        </w:trPr>
        <w:tc>
          <w:tcPr>
            <w:tcW w:w="846" w:type="dxa"/>
            <w:vAlign w:val="center"/>
          </w:tcPr>
          <w:p w14:paraId="2CE43EB1" w14:textId="77777777" w:rsidR="004338C2" w:rsidRPr="00087534" w:rsidRDefault="004338C2" w:rsidP="00D33D14">
            <w:pPr>
              <w:pStyle w:val="ExhibitText"/>
              <w:jc w:val="center"/>
              <w:rPr>
                <w:rFonts w:eastAsia="Arial Unicode MS"/>
                <w:lang w:val="en-GB"/>
              </w:rPr>
            </w:pPr>
            <w:r w:rsidRPr="00087534">
              <w:rPr>
                <w:rFonts w:eastAsia="Arial Unicode MS"/>
                <w:lang w:val="en-GB"/>
              </w:rPr>
              <w:t>1.</w:t>
            </w:r>
          </w:p>
        </w:tc>
        <w:tc>
          <w:tcPr>
            <w:tcW w:w="1219" w:type="dxa"/>
          </w:tcPr>
          <w:p w14:paraId="4B45D7C1"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Hepcinat</w:t>
            </w:r>
            <w:proofErr w:type="spellEnd"/>
          </w:p>
        </w:tc>
        <w:tc>
          <w:tcPr>
            <w:tcW w:w="2250" w:type="dxa"/>
          </w:tcPr>
          <w:p w14:paraId="5172DD94" w14:textId="77777777" w:rsidR="004338C2" w:rsidRPr="00087534" w:rsidRDefault="004338C2" w:rsidP="00D33D14">
            <w:pPr>
              <w:pStyle w:val="ExhibitText"/>
              <w:rPr>
                <w:rFonts w:eastAsia="Arial Unicode MS"/>
                <w:lang w:val="en-GB"/>
              </w:rPr>
            </w:pPr>
            <w:r w:rsidRPr="00087534">
              <w:rPr>
                <w:rFonts w:eastAsia="Arial Unicode MS"/>
                <w:lang w:val="en-GB"/>
              </w:rPr>
              <w:t>Hepatitis C*</w:t>
            </w:r>
          </w:p>
        </w:tc>
        <w:tc>
          <w:tcPr>
            <w:tcW w:w="1890" w:type="dxa"/>
          </w:tcPr>
          <w:p w14:paraId="3EAB6822"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34935BAA" w14:textId="77777777" w:rsidTr="00D33D14">
        <w:trPr>
          <w:jc w:val="center"/>
        </w:trPr>
        <w:tc>
          <w:tcPr>
            <w:tcW w:w="846" w:type="dxa"/>
            <w:vAlign w:val="center"/>
          </w:tcPr>
          <w:p w14:paraId="71DC273D" w14:textId="77777777" w:rsidR="004338C2" w:rsidRPr="00087534" w:rsidRDefault="004338C2" w:rsidP="00D33D14">
            <w:pPr>
              <w:pStyle w:val="ExhibitText"/>
              <w:jc w:val="center"/>
              <w:rPr>
                <w:rFonts w:eastAsia="Arial Unicode MS"/>
                <w:lang w:val="en-GB"/>
              </w:rPr>
            </w:pPr>
            <w:r w:rsidRPr="00087534">
              <w:rPr>
                <w:rFonts w:eastAsia="Arial Unicode MS"/>
                <w:lang w:val="en-GB"/>
              </w:rPr>
              <w:t>2.</w:t>
            </w:r>
          </w:p>
        </w:tc>
        <w:tc>
          <w:tcPr>
            <w:tcW w:w="1219" w:type="dxa"/>
          </w:tcPr>
          <w:p w14:paraId="25DA464C" w14:textId="77777777" w:rsidR="004338C2" w:rsidRPr="00087534" w:rsidRDefault="004338C2" w:rsidP="00D33D14">
            <w:pPr>
              <w:pStyle w:val="ExhibitText"/>
              <w:rPr>
                <w:rFonts w:eastAsia="Arial Unicode MS"/>
                <w:lang w:val="en-GB"/>
              </w:rPr>
            </w:pPr>
            <w:r w:rsidRPr="00087534">
              <w:rPr>
                <w:rFonts w:eastAsia="Arial Unicode MS"/>
                <w:lang w:val="en-GB"/>
              </w:rPr>
              <w:t>X-</w:t>
            </w:r>
            <w:proofErr w:type="spellStart"/>
            <w:r w:rsidRPr="00087534">
              <w:rPr>
                <w:rFonts w:eastAsia="Arial Unicode MS"/>
                <w:lang w:val="en-GB"/>
              </w:rPr>
              <w:t>Vir</w:t>
            </w:r>
            <w:proofErr w:type="spellEnd"/>
          </w:p>
        </w:tc>
        <w:tc>
          <w:tcPr>
            <w:tcW w:w="2250" w:type="dxa"/>
          </w:tcPr>
          <w:p w14:paraId="41C7A441" w14:textId="77777777" w:rsidR="004338C2" w:rsidRPr="00087534" w:rsidRDefault="004338C2" w:rsidP="00D33D14">
            <w:pPr>
              <w:pStyle w:val="ExhibitText"/>
              <w:rPr>
                <w:rFonts w:eastAsia="Arial Unicode MS"/>
                <w:lang w:val="en-GB"/>
              </w:rPr>
            </w:pPr>
            <w:r w:rsidRPr="00087534">
              <w:rPr>
                <w:rFonts w:eastAsia="Arial Unicode MS"/>
                <w:lang w:val="en-GB"/>
              </w:rPr>
              <w:t>Hepatitis B</w:t>
            </w:r>
          </w:p>
        </w:tc>
        <w:tc>
          <w:tcPr>
            <w:tcW w:w="1890" w:type="dxa"/>
          </w:tcPr>
          <w:p w14:paraId="22F538DE"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5BD8E24C" w14:textId="77777777" w:rsidTr="00D33D14">
        <w:trPr>
          <w:jc w:val="center"/>
        </w:trPr>
        <w:tc>
          <w:tcPr>
            <w:tcW w:w="846" w:type="dxa"/>
            <w:vAlign w:val="center"/>
          </w:tcPr>
          <w:p w14:paraId="14305962" w14:textId="77777777" w:rsidR="004338C2" w:rsidRPr="00087534" w:rsidRDefault="004338C2" w:rsidP="00D33D14">
            <w:pPr>
              <w:pStyle w:val="ExhibitText"/>
              <w:jc w:val="center"/>
              <w:rPr>
                <w:rFonts w:eastAsia="Arial Unicode MS"/>
                <w:lang w:val="en-GB"/>
              </w:rPr>
            </w:pPr>
            <w:r w:rsidRPr="00087534">
              <w:rPr>
                <w:rFonts w:eastAsia="Arial Unicode MS"/>
                <w:lang w:val="en-GB"/>
              </w:rPr>
              <w:t>3.</w:t>
            </w:r>
          </w:p>
        </w:tc>
        <w:tc>
          <w:tcPr>
            <w:tcW w:w="1219" w:type="dxa"/>
          </w:tcPr>
          <w:p w14:paraId="1DE1C92A"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Glatimer</w:t>
            </w:r>
            <w:proofErr w:type="spellEnd"/>
          </w:p>
        </w:tc>
        <w:tc>
          <w:tcPr>
            <w:tcW w:w="2250" w:type="dxa"/>
          </w:tcPr>
          <w:p w14:paraId="79EF0B73" w14:textId="77777777" w:rsidR="004338C2" w:rsidRPr="00087534" w:rsidRDefault="004338C2" w:rsidP="00D33D14">
            <w:pPr>
              <w:pStyle w:val="ExhibitText"/>
              <w:rPr>
                <w:rFonts w:eastAsia="Arial Unicode MS"/>
                <w:lang w:val="en-GB"/>
              </w:rPr>
            </w:pPr>
            <w:r w:rsidRPr="00087534">
              <w:rPr>
                <w:rFonts w:eastAsia="Arial Unicode MS"/>
                <w:lang w:val="en-GB"/>
              </w:rPr>
              <w:t>Multiple sclerosis</w:t>
            </w:r>
          </w:p>
        </w:tc>
        <w:tc>
          <w:tcPr>
            <w:tcW w:w="1890" w:type="dxa"/>
          </w:tcPr>
          <w:p w14:paraId="629727A5" w14:textId="77777777" w:rsidR="004338C2" w:rsidRPr="00087534" w:rsidRDefault="004338C2" w:rsidP="00D33D14">
            <w:pPr>
              <w:pStyle w:val="ExhibitText"/>
              <w:rPr>
                <w:rFonts w:eastAsia="Arial Unicode MS"/>
                <w:lang w:val="en-GB"/>
              </w:rPr>
            </w:pPr>
            <w:r w:rsidRPr="00087534">
              <w:rPr>
                <w:rFonts w:eastAsia="Arial Unicode MS"/>
                <w:lang w:val="en-GB"/>
              </w:rPr>
              <w:t>Injection</w:t>
            </w:r>
          </w:p>
        </w:tc>
      </w:tr>
      <w:tr w:rsidR="004338C2" w:rsidRPr="00087534" w14:paraId="126755D1" w14:textId="77777777" w:rsidTr="00D33D14">
        <w:trPr>
          <w:jc w:val="center"/>
        </w:trPr>
        <w:tc>
          <w:tcPr>
            <w:tcW w:w="846" w:type="dxa"/>
            <w:vAlign w:val="center"/>
          </w:tcPr>
          <w:p w14:paraId="2A6E5307" w14:textId="77777777" w:rsidR="004338C2" w:rsidRPr="00087534" w:rsidRDefault="004338C2" w:rsidP="00D33D14">
            <w:pPr>
              <w:pStyle w:val="ExhibitText"/>
              <w:jc w:val="center"/>
              <w:rPr>
                <w:rFonts w:eastAsia="Arial Unicode MS"/>
                <w:lang w:val="en-GB"/>
              </w:rPr>
            </w:pPr>
            <w:r w:rsidRPr="00087534">
              <w:rPr>
                <w:rFonts w:eastAsia="Arial Unicode MS"/>
                <w:lang w:val="en-GB"/>
              </w:rPr>
              <w:t>4.</w:t>
            </w:r>
          </w:p>
        </w:tc>
        <w:tc>
          <w:tcPr>
            <w:tcW w:w="1219" w:type="dxa"/>
          </w:tcPr>
          <w:p w14:paraId="65741014"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Natclovir</w:t>
            </w:r>
            <w:proofErr w:type="spellEnd"/>
          </w:p>
        </w:tc>
        <w:tc>
          <w:tcPr>
            <w:tcW w:w="2250" w:type="dxa"/>
          </w:tcPr>
          <w:p w14:paraId="3099B59E" w14:textId="77777777" w:rsidR="004338C2" w:rsidRPr="00087534" w:rsidRDefault="004338C2" w:rsidP="00D33D14">
            <w:pPr>
              <w:pStyle w:val="ExhibitText"/>
              <w:rPr>
                <w:rFonts w:eastAsia="Arial Unicode MS"/>
                <w:lang w:val="en-GB"/>
              </w:rPr>
            </w:pPr>
            <w:r w:rsidRPr="00087534">
              <w:rPr>
                <w:rFonts w:eastAsia="Arial Unicode MS"/>
                <w:lang w:val="en-GB"/>
              </w:rPr>
              <w:t>Anti-viral</w:t>
            </w:r>
          </w:p>
        </w:tc>
        <w:tc>
          <w:tcPr>
            <w:tcW w:w="1890" w:type="dxa"/>
          </w:tcPr>
          <w:p w14:paraId="13D94CE3" w14:textId="77777777" w:rsidR="004338C2" w:rsidRPr="00087534" w:rsidRDefault="004338C2" w:rsidP="00D33D14">
            <w:pPr>
              <w:pStyle w:val="ExhibitText"/>
              <w:rPr>
                <w:rFonts w:eastAsia="Arial Unicode MS"/>
                <w:lang w:val="en-GB"/>
              </w:rPr>
            </w:pPr>
            <w:r w:rsidRPr="00087534">
              <w:rPr>
                <w:rFonts w:eastAsia="Arial Unicode MS"/>
                <w:lang w:val="en-GB"/>
              </w:rPr>
              <w:t>Injection/capsule</w:t>
            </w:r>
          </w:p>
        </w:tc>
      </w:tr>
      <w:tr w:rsidR="004338C2" w:rsidRPr="00087534" w14:paraId="19742FC8" w14:textId="77777777" w:rsidTr="00D33D14">
        <w:trPr>
          <w:jc w:val="center"/>
        </w:trPr>
        <w:tc>
          <w:tcPr>
            <w:tcW w:w="846" w:type="dxa"/>
            <w:vAlign w:val="center"/>
          </w:tcPr>
          <w:p w14:paraId="2153F2FE" w14:textId="77777777" w:rsidR="004338C2" w:rsidRPr="00087534" w:rsidRDefault="004338C2" w:rsidP="00D33D14">
            <w:pPr>
              <w:pStyle w:val="ExhibitText"/>
              <w:jc w:val="center"/>
              <w:rPr>
                <w:rFonts w:eastAsia="Arial Unicode MS"/>
                <w:lang w:val="en-GB"/>
              </w:rPr>
            </w:pPr>
            <w:r w:rsidRPr="00087534">
              <w:rPr>
                <w:rFonts w:eastAsia="Arial Unicode MS"/>
                <w:lang w:val="en-GB"/>
              </w:rPr>
              <w:t>5.</w:t>
            </w:r>
          </w:p>
        </w:tc>
        <w:tc>
          <w:tcPr>
            <w:tcW w:w="1219" w:type="dxa"/>
          </w:tcPr>
          <w:p w14:paraId="2C9DB95D" w14:textId="77777777" w:rsidR="004338C2" w:rsidRPr="00087534" w:rsidRDefault="004338C2" w:rsidP="00D33D14">
            <w:pPr>
              <w:pStyle w:val="ExhibitText"/>
              <w:rPr>
                <w:rFonts w:eastAsia="Arial Unicode MS"/>
                <w:lang w:val="en-GB"/>
              </w:rPr>
            </w:pPr>
            <w:r w:rsidRPr="00087534">
              <w:rPr>
                <w:rFonts w:eastAsia="Arial Unicode MS"/>
                <w:lang w:val="en-GB"/>
              </w:rPr>
              <w:t>T-score kit</w:t>
            </w:r>
          </w:p>
        </w:tc>
        <w:tc>
          <w:tcPr>
            <w:tcW w:w="2250" w:type="dxa"/>
          </w:tcPr>
          <w:p w14:paraId="39DCFC61" w14:textId="77777777" w:rsidR="004338C2" w:rsidRPr="00087534" w:rsidRDefault="004338C2" w:rsidP="00D33D14">
            <w:pPr>
              <w:pStyle w:val="ExhibitText"/>
              <w:rPr>
                <w:rFonts w:eastAsia="Arial Unicode MS"/>
                <w:lang w:val="en-GB"/>
              </w:rPr>
            </w:pPr>
            <w:r w:rsidRPr="00087534">
              <w:rPr>
                <w:rFonts w:eastAsia="Arial Unicode MS"/>
                <w:lang w:val="en-GB"/>
              </w:rPr>
              <w:t>Osteoporosis</w:t>
            </w:r>
          </w:p>
        </w:tc>
        <w:tc>
          <w:tcPr>
            <w:tcW w:w="1890" w:type="dxa"/>
          </w:tcPr>
          <w:p w14:paraId="6DCAD5AD"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r w:rsidR="004338C2" w:rsidRPr="00087534" w14:paraId="766F0434" w14:textId="77777777" w:rsidTr="00D33D14">
        <w:trPr>
          <w:jc w:val="center"/>
        </w:trPr>
        <w:tc>
          <w:tcPr>
            <w:tcW w:w="846" w:type="dxa"/>
            <w:vAlign w:val="center"/>
          </w:tcPr>
          <w:p w14:paraId="1959CEB8" w14:textId="77777777" w:rsidR="004338C2" w:rsidRPr="00087534" w:rsidRDefault="004338C2" w:rsidP="00D33D14">
            <w:pPr>
              <w:pStyle w:val="ExhibitText"/>
              <w:jc w:val="center"/>
              <w:rPr>
                <w:rFonts w:eastAsia="Arial Unicode MS"/>
                <w:lang w:val="en-GB"/>
              </w:rPr>
            </w:pPr>
            <w:r w:rsidRPr="00087534">
              <w:rPr>
                <w:rFonts w:eastAsia="Arial Unicode MS"/>
                <w:lang w:val="en-GB"/>
              </w:rPr>
              <w:t>6.</w:t>
            </w:r>
          </w:p>
        </w:tc>
        <w:tc>
          <w:tcPr>
            <w:tcW w:w="1219" w:type="dxa"/>
          </w:tcPr>
          <w:p w14:paraId="255C3220" w14:textId="77777777" w:rsidR="004338C2" w:rsidRPr="00087534" w:rsidRDefault="004338C2" w:rsidP="00D33D14">
            <w:pPr>
              <w:pStyle w:val="ExhibitText"/>
              <w:rPr>
                <w:rFonts w:eastAsia="Arial Unicode MS"/>
                <w:lang w:val="en-GB"/>
              </w:rPr>
            </w:pPr>
            <w:proofErr w:type="spellStart"/>
            <w:r w:rsidRPr="00087534">
              <w:rPr>
                <w:rFonts w:eastAsia="Arial Unicode MS"/>
                <w:lang w:val="en-GB"/>
              </w:rPr>
              <w:t>Teravir</w:t>
            </w:r>
            <w:proofErr w:type="spellEnd"/>
          </w:p>
        </w:tc>
        <w:tc>
          <w:tcPr>
            <w:tcW w:w="2250" w:type="dxa"/>
          </w:tcPr>
          <w:p w14:paraId="5CFBC1D3" w14:textId="77777777" w:rsidR="004338C2" w:rsidRPr="00087534" w:rsidRDefault="004338C2" w:rsidP="00D33D14">
            <w:pPr>
              <w:pStyle w:val="ExhibitText"/>
              <w:rPr>
                <w:rFonts w:eastAsia="Arial Unicode MS"/>
                <w:lang w:val="en-GB"/>
              </w:rPr>
            </w:pPr>
            <w:r w:rsidRPr="00087534">
              <w:rPr>
                <w:rFonts w:eastAsia="Arial Unicode MS"/>
                <w:lang w:val="en-GB"/>
              </w:rPr>
              <w:t>Hepatitis B</w:t>
            </w:r>
          </w:p>
        </w:tc>
        <w:tc>
          <w:tcPr>
            <w:tcW w:w="1890" w:type="dxa"/>
          </w:tcPr>
          <w:p w14:paraId="4147B171" w14:textId="77777777" w:rsidR="004338C2" w:rsidRPr="00087534" w:rsidRDefault="004338C2" w:rsidP="00D33D14">
            <w:pPr>
              <w:pStyle w:val="ExhibitText"/>
              <w:rPr>
                <w:rFonts w:eastAsia="Arial Unicode MS"/>
                <w:lang w:val="en-GB"/>
              </w:rPr>
            </w:pPr>
            <w:r w:rsidRPr="00087534">
              <w:rPr>
                <w:rFonts w:eastAsia="Arial Unicode MS"/>
                <w:lang w:val="en-GB"/>
              </w:rPr>
              <w:t>Tablet</w:t>
            </w:r>
          </w:p>
        </w:tc>
      </w:tr>
    </w:tbl>
    <w:p w14:paraId="7682AC89" w14:textId="77777777" w:rsidR="004338C2" w:rsidRPr="00087534" w:rsidRDefault="004338C2" w:rsidP="00D33D14">
      <w:pPr>
        <w:pStyle w:val="Footnote"/>
        <w:rPr>
          <w:rFonts w:eastAsia="Calibri"/>
          <w:lang w:val="en-GB"/>
        </w:rPr>
      </w:pPr>
    </w:p>
    <w:p w14:paraId="766872D7" w14:textId="0BDEED87" w:rsidR="004338C2" w:rsidRPr="00087534" w:rsidRDefault="004338C2" w:rsidP="00D33D14">
      <w:pPr>
        <w:pStyle w:val="Footnote"/>
        <w:rPr>
          <w:lang w:val="en-GB"/>
        </w:rPr>
      </w:pPr>
      <w:r w:rsidRPr="00087534">
        <w:rPr>
          <w:rFonts w:eastAsia="Calibri"/>
          <w:lang w:val="en-GB"/>
        </w:rPr>
        <w:t xml:space="preserve">Note: </w:t>
      </w:r>
      <w:r w:rsidRPr="00087534">
        <w:rPr>
          <w:lang w:val="en-GB"/>
        </w:rPr>
        <w:t>*</w:t>
      </w:r>
      <w:proofErr w:type="spellStart"/>
      <w:r w:rsidRPr="00087534">
        <w:rPr>
          <w:lang w:val="en-GB"/>
        </w:rPr>
        <w:t>N</w:t>
      </w:r>
      <w:r>
        <w:rPr>
          <w:lang w:val="en-GB"/>
        </w:rPr>
        <w:t>atco</w:t>
      </w:r>
      <w:proofErr w:type="spellEnd"/>
      <w:r>
        <w:rPr>
          <w:lang w:val="en-GB"/>
        </w:rPr>
        <w:t xml:space="preserve"> </w:t>
      </w:r>
      <w:r w:rsidRPr="00087534">
        <w:rPr>
          <w:lang w:val="en-GB"/>
        </w:rPr>
        <w:t>P</w:t>
      </w:r>
      <w:r>
        <w:rPr>
          <w:lang w:val="en-GB"/>
        </w:rPr>
        <w:t xml:space="preserve">harma </w:t>
      </w:r>
      <w:r w:rsidRPr="00087534">
        <w:rPr>
          <w:lang w:val="en-GB"/>
        </w:rPr>
        <w:t>L</w:t>
      </w:r>
      <w:r>
        <w:rPr>
          <w:lang w:val="en-GB"/>
        </w:rPr>
        <w:t>imited</w:t>
      </w:r>
      <w:r w:rsidRPr="00087534">
        <w:rPr>
          <w:lang w:val="en-GB"/>
        </w:rPr>
        <w:t xml:space="preserve"> signed an agreement with Gilead Sciences to sell generic drugs </w:t>
      </w:r>
      <w:r>
        <w:rPr>
          <w:lang w:val="en-GB"/>
        </w:rPr>
        <w:t>to treat the</w:t>
      </w:r>
      <w:r w:rsidRPr="00087534">
        <w:rPr>
          <w:lang w:val="en-GB"/>
        </w:rPr>
        <w:t xml:space="preserve"> </w:t>
      </w:r>
      <w:r w:rsidR="00E336CA">
        <w:rPr>
          <w:lang w:val="en-GB"/>
        </w:rPr>
        <w:t>h</w:t>
      </w:r>
      <w:r w:rsidRPr="00087534">
        <w:rPr>
          <w:lang w:val="en-GB"/>
        </w:rPr>
        <w:t xml:space="preserve">epatitis C </w:t>
      </w:r>
      <w:r>
        <w:rPr>
          <w:lang w:val="en-GB"/>
        </w:rPr>
        <w:t>v</w:t>
      </w:r>
      <w:r w:rsidRPr="00087534">
        <w:rPr>
          <w:lang w:val="en-GB"/>
        </w:rPr>
        <w:t>irus in 101 developing countries</w:t>
      </w:r>
      <w:r>
        <w:rPr>
          <w:lang w:val="en-GB"/>
        </w:rPr>
        <w:t>,</w:t>
      </w:r>
      <w:r w:rsidRPr="00087534">
        <w:rPr>
          <w:lang w:val="en-GB"/>
        </w:rPr>
        <w:t xml:space="preserve"> including India</w:t>
      </w:r>
      <w:r>
        <w:rPr>
          <w:lang w:val="en-GB"/>
        </w:rPr>
        <w:t>,</w:t>
      </w:r>
      <w:r w:rsidRPr="00087534">
        <w:rPr>
          <w:lang w:val="en-GB"/>
        </w:rPr>
        <w:t xml:space="preserve"> catering to </w:t>
      </w:r>
      <w:r>
        <w:rPr>
          <w:lang w:val="en-GB"/>
        </w:rPr>
        <w:t>more than</w:t>
      </w:r>
      <w:r w:rsidRPr="00087534">
        <w:rPr>
          <w:lang w:val="en-GB"/>
        </w:rPr>
        <w:t xml:space="preserve"> 100 million patients.</w:t>
      </w:r>
    </w:p>
    <w:p w14:paraId="200A98F2" w14:textId="024B1349" w:rsidR="004338C2" w:rsidRPr="00087534" w:rsidRDefault="004338C2" w:rsidP="00D33D14">
      <w:pPr>
        <w:pStyle w:val="Footnote"/>
        <w:rPr>
          <w:lang w:val="en-GB"/>
        </w:rPr>
      </w:pPr>
      <w:r w:rsidRPr="00087534">
        <w:rPr>
          <w:lang w:val="en-GB"/>
        </w:rPr>
        <w:t>Source: Company documents.</w:t>
      </w:r>
    </w:p>
    <w:p w14:paraId="519A32B0" w14:textId="77777777" w:rsidR="004338C2" w:rsidRPr="00087534" w:rsidRDefault="004338C2">
      <w:pPr>
        <w:spacing w:after="200" w:line="276" w:lineRule="auto"/>
        <w:rPr>
          <w:rFonts w:ascii="Arial" w:hAnsi="Arial" w:cs="Arial"/>
          <w:sz w:val="17"/>
          <w:szCs w:val="17"/>
          <w:lang w:val="en-GB"/>
        </w:rPr>
      </w:pPr>
      <w:r w:rsidRPr="00087534">
        <w:rPr>
          <w:lang w:val="en-GB"/>
        </w:rPr>
        <w:br w:type="page"/>
      </w:r>
    </w:p>
    <w:p w14:paraId="23975B50" w14:textId="4E6D6578" w:rsidR="004338C2" w:rsidRPr="00087534" w:rsidRDefault="004338C2" w:rsidP="004B2E9B">
      <w:pPr>
        <w:pStyle w:val="ExhibitHeading"/>
        <w:rPr>
          <w:rFonts w:eastAsia="Arial Unicode MS"/>
          <w:lang w:val="en-GB"/>
        </w:rPr>
      </w:pPr>
      <w:r w:rsidRPr="00087534">
        <w:rPr>
          <w:rFonts w:eastAsia="Arial Unicode MS"/>
          <w:lang w:val="en-GB"/>
        </w:rPr>
        <w:lastRenderedPageBreak/>
        <w:t>EXHIBIT 3: N</w:t>
      </w:r>
      <w:r>
        <w:rPr>
          <w:rFonts w:eastAsia="Arial Unicode MS"/>
          <w:lang w:val="en-GB"/>
        </w:rPr>
        <w:t xml:space="preserve">atco </w:t>
      </w:r>
      <w:r w:rsidRPr="00087534">
        <w:rPr>
          <w:rFonts w:eastAsia="Arial Unicode MS"/>
          <w:lang w:val="en-GB"/>
        </w:rPr>
        <w:t>P</w:t>
      </w:r>
      <w:r>
        <w:rPr>
          <w:rFonts w:eastAsia="Arial Unicode MS"/>
          <w:lang w:val="en-GB"/>
        </w:rPr>
        <w:t xml:space="preserve">harma </w:t>
      </w:r>
      <w:r w:rsidRPr="00087534">
        <w:rPr>
          <w:rFonts w:eastAsia="Arial Unicode MS"/>
          <w:lang w:val="en-GB"/>
        </w:rPr>
        <w:t>L</w:t>
      </w:r>
      <w:r>
        <w:rPr>
          <w:rFonts w:eastAsia="Arial Unicode MS"/>
          <w:lang w:val="en-GB"/>
        </w:rPr>
        <w:t>imited</w:t>
      </w:r>
      <w:r w:rsidRPr="00087534">
        <w:rPr>
          <w:rFonts w:eastAsia="Arial Unicode MS"/>
          <w:lang w:val="en-GB"/>
        </w:rPr>
        <w:t>’s A</w:t>
      </w:r>
      <w:r>
        <w:rPr>
          <w:rFonts w:eastAsia="Arial Unicode MS"/>
          <w:lang w:val="en-GB"/>
        </w:rPr>
        <w:t xml:space="preserve">bbreviated </w:t>
      </w:r>
      <w:r w:rsidRPr="00087534">
        <w:rPr>
          <w:rFonts w:eastAsia="Arial Unicode MS"/>
          <w:lang w:val="en-GB"/>
        </w:rPr>
        <w:t>N</w:t>
      </w:r>
      <w:r>
        <w:rPr>
          <w:rFonts w:eastAsia="Arial Unicode MS"/>
          <w:lang w:val="en-GB"/>
        </w:rPr>
        <w:t xml:space="preserve">ew </w:t>
      </w:r>
      <w:r w:rsidRPr="00087534">
        <w:rPr>
          <w:rFonts w:eastAsia="Arial Unicode MS"/>
          <w:lang w:val="en-GB"/>
        </w:rPr>
        <w:t>D</w:t>
      </w:r>
      <w:r>
        <w:rPr>
          <w:rFonts w:eastAsia="Arial Unicode MS"/>
          <w:lang w:val="en-GB"/>
        </w:rPr>
        <w:t xml:space="preserve">rug </w:t>
      </w:r>
      <w:r w:rsidRPr="00087534">
        <w:rPr>
          <w:rFonts w:eastAsia="Arial Unicode MS"/>
          <w:lang w:val="en-GB"/>
        </w:rPr>
        <w:t>A</w:t>
      </w:r>
      <w:r>
        <w:rPr>
          <w:rFonts w:eastAsia="Arial Unicode MS"/>
          <w:lang w:val="en-GB"/>
        </w:rPr>
        <w:t>pplication</w:t>
      </w:r>
      <w:r w:rsidRPr="00087534">
        <w:rPr>
          <w:rFonts w:eastAsia="Arial Unicode MS"/>
          <w:lang w:val="en-GB"/>
        </w:rPr>
        <w:t xml:space="preserve">s PENDING APPROVAL FROM </w:t>
      </w:r>
      <w:r>
        <w:rPr>
          <w:rFonts w:eastAsia="Arial Unicode MS"/>
          <w:lang w:val="en-GB"/>
        </w:rPr>
        <w:t xml:space="preserve">the </w:t>
      </w:r>
      <w:r w:rsidRPr="00087534">
        <w:rPr>
          <w:rFonts w:eastAsia="Arial Unicode MS"/>
          <w:lang w:val="en-GB"/>
        </w:rPr>
        <w:t>U</w:t>
      </w:r>
      <w:r>
        <w:rPr>
          <w:rFonts w:eastAsia="Arial Unicode MS"/>
          <w:lang w:val="en-GB"/>
        </w:rPr>
        <w:t>.</w:t>
      </w:r>
      <w:r w:rsidRPr="00087534">
        <w:rPr>
          <w:rFonts w:eastAsia="Arial Unicode MS"/>
          <w:lang w:val="en-GB"/>
        </w:rPr>
        <w:t>S</w:t>
      </w:r>
      <w:r>
        <w:rPr>
          <w:rFonts w:eastAsia="Arial Unicode MS"/>
          <w:lang w:val="en-GB"/>
        </w:rPr>
        <w:t>.</w:t>
      </w:r>
      <w:r w:rsidRPr="00087534">
        <w:rPr>
          <w:rFonts w:eastAsia="Arial Unicode MS"/>
          <w:lang w:val="en-GB"/>
        </w:rPr>
        <w:t xml:space="preserve"> F</w:t>
      </w:r>
      <w:r>
        <w:rPr>
          <w:rFonts w:eastAsia="Arial Unicode MS"/>
          <w:lang w:val="en-GB"/>
        </w:rPr>
        <w:t xml:space="preserve">ood and </w:t>
      </w:r>
      <w:r w:rsidRPr="00087534">
        <w:rPr>
          <w:rFonts w:eastAsia="Arial Unicode MS"/>
          <w:lang w:val="en-GB"/>
        </w:rPr>
        <w:t>D</w:t>
      </w:r>
      <w:r>
        <w:rPr>
          <w:rFonts w:eastAsia="Arial Unicode MS"/>
          <w:lang w:val="en-GB"/>
        </w:rPr>
        <w:t xml:space="preserve">rug </w:t>
      </w:r>
      <w:r w:rsidRPr="00087534">
        <w:rPr>
          <w:rFonts w:eastAsia="Arial Unicode MS"/>
          <w:lang w:val="en-GB"/>
        </w:rPr>
        <w:t>A</w:t>
      </w:r>
      <w:r>
        <w:rPr>
          <w:rFonts w:eastAsia="Arial Unicode MS"/>
          <w:lang w:val="en-GB"/>
        </w:rPr>
        <w:t>dministration</w:t>
      </w:r>
      <w:r w:rsidRPr="00087534">
        <w:rPr>
          <w:rFonts w:eastAsia="Arial Unicode MS"/>
          <w:lang w:val="en-GB"/>
        </w:rPr>
        <w:t xml:space="preserve"> (</w:t>
      </w:r>
      <w:r>
        <w:rPr>
          <w:rFonts w:eastAsia="Arial Unicode MS"/>
          <w:lang w:val="en-GB"/>
        </w:rPr>
        <w:t>in US</w:t>
      </w:r>
      <w:r w:rsidRPr="00087534">
        <w:rPr>
          <w:rFonts w:eastAsia="Arial Unicode MS"/>
          <w:lang w:val="en-GB"/>
        </w:rPr>
        <w:t>$ MILLION</w:t>
      </w:r>
      <w:r>
        <w:rPr>
          <w:rFonts w:eastAsia="Arial Unicode MS"/>
          <w:lang w:val="en-GB"/>
        </w:rPr>
        <w:t>s</w:t>
      </w:r>
      <w:r w:rsidRPr="00087534">
        <w:rPr>
          <w:rFonts w:eastAsia="Arial Unicode MS"/>
          <w:lang w:val="en-GB"/>
        </w:rPr>
        <w:t>)</w:t>
      </w:r>
    </w:p>
    <w:p w14:paraId="0096C995" w14:textId="77777777" w:rsidR="004338C2" w:rsidRPr="00087534" w:rsidRDefault="004338C2" w:rsidP="004B2E9B">
      <w:pPr>
        <w:pStyle w:val="ExhibitText"/>
        <w:rPr>
          <w:rFonts w:eastAsia="Arial Unicode MS"/>
          <w:lang w:val="en-GB"/>
        </w:rPr>
      </w:pPr>
    </w:p>
    <w:tbl>
      <w:tblPr>
        <w:tblW w:w="8905" w:type="dxa"/>
        <w:jc w:val="center"/>
        <w:tblLook w:val="04A0" w:firstRow="1" w:lastRow="0" w:firstColumn="1" w:lastColumn="0" w:noHBand="0" w:noVBand="1"/>
      </w:tblPr>
      <w:tblGrid>
        <w:gridCol w:w="1795"/>
        <w:gridCol w:w="1800"/>
        <w:gridCol w:w="2250"/>
        <w:gridCol w:w="1080"/>
        <w:gridCol w:w="1980"/>
      </w:tblGrid>
      <w:tr w:rsidR="004338C2" w:rsidRPr="00087534" w14:paraId="20D9539A" w14:textId="77777777" w:rsidTr="00E61FC8">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0117A" w14:textId="77777777" w:rsidR="004338C2" w:rsidRPr="00087534" w:rsidRDefault="004338C2" w:rsidP="004B2E9B">
            <w:pPr>
              <w:pStyle w:val="ExhibitText"/>
              <w:jc w:val="left"/>
              <w:rPr>
                <w:b/>
                <w:lang w:val="en-GB" w:eastAsia="en-IN"/>
              </w:rPr>
            </w:pPr>
            <w:r w:rsidRPr="00087534">
              <w:rPr>
                <w:b/>
                <w:lang w:val="en-GB" w:eastAsia="en-IN"/>
              </w:rPr>
              <w:t>Brand Name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6A6B3F93" w14:textId="77777777" w:rsidR="004338C2" w:rsidRPr="00087534" w:rsidRDefault="004338C2" w:rsidP="004B2E9B">
            <w:pPr>
              <w:pStyle w:val="ExhibitText"/>
              <w:jc w:val="center"/>
              <w:rPr>
                <w:b/>
                <w:lang w:val="en-GB" w:eastAsia="en-IN"/>
              </w:rPr>
            </w:pPr>
            <w:r w:rsidRPr="00087534">
              <w:rPr>
                <w:b/>
                <w:lang w:val="en-GB" w:eastAsia="en-IN"/>
              </w:rPr>
              <w:t>Molecule</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2F72CFF8" w14:textId="77777777" w:rsidR="004338C2" w:rsidRPr="00087534" w:rsidRDefault="004338C2" w:rsidP="004B2E9B">
            <w:pPr>
              <w:pStyle w:val="ExhibitText"/>
              <w:jc w:val="center"/>
              <w:rPr>
                <w:b/>
                <w:lang w:val="en-GB" w:eastAsia="en-IN"/>
              </w:rPr>
            </w:pPr>
            <w:r w:rsidRPr="00087534">
              <w:rPr>
                <w:b/>
                <w:lang w:val="en-GB" w:eastAsia="en-IN"/>
              </w:rPr>
              <w:t>Therapeutic Segment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2A12BEB" w14:textId="77777777" w:rsidR="004338C2" w:rsidRPr="00087534" w:rsidRDefault="004338C2" w:rsidP="004B2E9B">
            <w:pPr>
              <w:pStyle w:val="ExhibitText"/>
              <w:jc w:val="center"/>
              <w:rPr>
                <w:b/>
                <w:lang w:val="en-GB" w:eastAsia="en-IN"/>
              </w:rPr>
            </w:pPr>
            <w:r w:rsidRPr="00087534">
              <w:rPr>
                <w:b/>
                <w:lang w:val="en-GB" w:eastAsia="en-IN"/>
              </w:rPr>
              <w:t>Dosage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C1EB381" w14:textId="77777777" w:rsidR="004338C2" w:rsidRPr="00087534" w:rsidRDefault="004338C2" w:rsidP="004B2E9B">
            <w:pPr>
              <w:pStyle w:val="ExhibitText"/>
              <w:jc w:val="center"/>
              <w:rPr>
                <w:b/>
                <w:lang w:val="en-GB" w:eastAsia="en-IN"/>
              </w:rPr>
            </w:pPr>
            <w:r w:rsidRPr="00087534">
              <w:rPr>
                <w:b/>
                <w:lang w:val="en-GB" w:eastAsia="en-IN"/>
              </w:rPr>
              <w:t>Estimated Market*</w:t>
            </w:r>
          </w:p>
        </w:tc>
      </w:tr>
      <w:tr w:rsidR="004338C2" w:rsidRPr="00087534" w14:paraId="76CD6E57"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C68F876" w14:textId="53065E33" w:rsidR="004338C2" w:rsidRPr="00087534" w:rsidRDefault="004338C2" w:rsidP="004B2E9B">
            <w:pPr>
              <w:pStyle w:val="ExhibitText"/>
              <w:jc w:val="left"/>
              <w:rPr>
                <w:lang w:val="en-GB" w:eastAsia="en-IN"/>
              </w:rPr>
            </w:pPr>
            <w:proofErr w:type="spellStart"/>
            <w:r w:rsidRPr="00087534">
              <w:rPr>
                <w:color w:val="333333"/>
                <w:lang w:val="en-GB" w:eastAsia="en-IN"/>
              </w:rPr>
              <w:t>Copaxone</w:t>
            </w:r>
            <w:proofErr w:type="spellEnd"/>
            <w:r w:rsidRPr="00087534">
              <w:rPr>
                <w:color w:val="333333"/>
                <w:lang w:val="en-GB" w:eastAsia="en-IN"/>
              </w:rPr>
              <w:t xml:space="preserve"> 20</w:t>
            </w:r>
            <w:r>
              <w:rPr>
                <w:color w:val="333333"/>
                <w:lang w:val="en-GB" w:eastAsia="en-IN"/>
              </w:rPr>
              <w:t xml:space="preserve"> </w:t>
            </w:r>
            <w:r w:rsidRPr="00087534">
              <w:rPr>
                <w:color w:val="333333"/>
                <w:lang w:val="en-GB" w:eastAsia="en-IN"/>
              </w:rPr>
              <w:t>mg</w:t>
            </w:r>
          </w:p>
        </w:tc>
        <w:tc>
          <w:tcPr>
            <w:tcW w:w="1800" w:type="dxa"/>
            <w:tcBorders>
              <w:top w:val="nil"/>
              <w:left w:val="nil"/>
              <w:bottom w:val="single" w:sz="4" w:space="0" w:color="auto"/>
              <w:right w:val="single" w:sz="4" w:space="0" w:color="auto"/>
            </w:tcBorders>
            <w:shd w:val="clear" w:color="auto" w:fill="auto"/>
            <w:noWrap/>
            <w:vAlign w:val="center"/>
            <w:hideMark/>
          </w:tcPr>
          <w:p w14:paraId="7210A593" w14:textId="04D6D718" w:rsidR="004338C2" w:rsidRPr="00087534" w:rsidRDefault="004338C2" w:rsidP="004B2E9B">
            <w:pPr>
              <w:pStyle w:val="ExhibitText"/>
              <w:jc w:val="left"/>
              <w:rPr>
                <w:lang w:val="en-GB" w:eastAsia="en-IN"/>
              </w:rPr>
            </w:pPr>
            <w:proofErr w:type="spellStart"/>
            <w:r w:rsidRPr="00087534">
              <w:rPr>
                <w:color w:val="333333"/>
                <w:lang w:val="en-GB" w:eastAsia="en-IN"/>
              </w:rPr>
              <w:t>Glatiramer</w:t>
            </w:r>
            <w:proofErr w:type="spellEnd"/>
            <w:r w:rsidRPr="00087534">
              <w:rPr>
                <w:color w:val="333333"/>
                <w:lang w:val="en-GB" w:eastAsia="en-IN"/>
              </w:rPr>
              <w:t xml:space="preserve"> 20</w:t>
            </w:r>
            <w:r>
              <w:rPr>
                <w:color w:val="333333"/>
                <w:lang w:val="en-GB" w:eastAsia="en-IN"/>
              </w:rPr>
              <w:t xml:space="preserve"> </w:t>
            </w:r>
            <w:r w:rsidRPr="00087534">
              <w:rPr>
                <w:color w:val="333333"/>
                <w:lang w:val="en-GB" w:eastAsia="en-IN"/>
              </w:rPr>
              <w:t xml:space="preserve">mg </w:t>
            </w:r>
          </w:p>
        </w:tc>
        <w:tc>
          <w:tcPr>
            <w:tcW w:w="2250" w:type="dxa"/>
            <w:tcBorders>
              <w:top w:val="nil"/>
              <w:left w:val="nil"/>
              <w:bottom w:val="single" w:sz="4" w:space="0" w:color="auto"/>
              <w:right w:val="single" w:sz="4" w:space="0" w:color="auto"/>
            </w:tcBorders>
            <w:shd w:val="clear" w:color="auto" w:fill="auto"/>
            <w:noWrap/>
            <w:vAlign w:val="center"/>
            <w:hideMark/>
          </w:tcPr>
          <w:p w14:paraId="03ACE906" w14:textId="77777777" w:rsidR="004338C2" w:rsidRPr="00087534" w:rsidRDefault="004338C2" w:rsidP="004B2E9B">
            <w:pPr>
              <w:pStyle w:val="ExhibitText"/>
              <w:jc w:val="left"/>
              <w:rPr>
                <w:lang w:val="en-GB" w:eastAsia="en-IN"/>
              </w:rPr>
            </w:pPr>
            <w:r w:rsidRPr="00087534">
              <w:rPr>
                <w:color w:val="333333"/>
                <w:lang w:val="en-GB" w:eastAsia="en-IN"/>
              </w:rPr>
              <w:t xml:space="preserve">Multiple sclerosis </w:t>
            </w:r>
          </w:p>
        </w:tc>
        <w:tc>
          <w:tcPr>
            <w:tcW w:w="1080" w:type="dxa"/>
            <w:tcBorders>
              <w:top w:val="nil"/>
              <w:left w:val="nil"/>
              <w:bottom w:val="single" w:sz="4" w:space="0" w:color="auto"/>
              <w:right w:val="single" w:sz="4" w:space="0" w:color="auto"/>
            </w:tcBorders>
            <w:shd w:val="clear" w:color="auto" w:fill="auto"/>
            <w:noWrap/>
            <w:vAlign w:val="center"/>
            <w:hideMark/>
          </w:tcPr>
          <w:p w14:paraId="1B743EF5" w14:textId="28041A4C" w:rsidR="004338C2" w:rsidRPr="00087534" w:rsidRDefault="004338C2" w:rsidP="004B2E9B">
            <w:pPr>
              <w:pStyle w:val="ExhibitText"/>
              <w:jc w:val="left"/>
              <w:rPr>
                <w:lang w:val="en-GB" w:eastAsia="en-IN"/>
              </w:rPr>
            </w:pPr>
            <w:r w:rsidRPr="00087534">
              <w:rPr>
                <w:lang w:val="en-GB" w:eastAsia="en-IN"/>
              </w:rPr>
              <w:t xml:space="preserve">Pre-filled syringe </w:t>
            </w:r>
          </w:p>
        </w:tc>
        <w:tc>
          <w:tcPr>
            <w:tcW w:w="1980" w:type="dxa"/>
            <w:tcBorders>
              <w:top w:val="nil"/>
              <w:left w:val="nil"/>
              <w:bottom w:val="single" w:sz="4" w:space="0" w:color="auto"/>
              <w:right w:val="single" w:sz="4" w:space="0" w:color="auto"/>
            </w:tcBorders>
            <w:shd w:val="clear" w:color="auto" w:fill="auto"/>
            <w:noWrap/>
            <w:vAlign w:val="center"/>
            <w:hideMark/>
          </w:tcPr>
          <w:p w14:paraId="55A0042F" w14:textId="7464D5DF" w:rsidR="004338C2" w:rsidRPr="00087534" w:rsidRDefault="004338C2" w:rsidP="00E61FC8">
            <w:pPr>
              <w:pStyle w:val="ExhibitText"/>
              <w:tabs>
                <w:tab w:val="decimal" w:pos="882"/>
              </w:tabs>
              <w:jc w:val="right"/>
              <w:rPr>
                <w:lang w:val="en-GB" w:eastAsia="en-IN"/>
              </w:rPr>
            </w:pPr>
            <w:r w:rsidRPr="00087534">
              <w:rPr>
                <w:lang w:val="en-GB" w:eastAsia="en-IN"/>
              </w:rPr>
              <w:t xml:space="preserve">2,353.91 </w:t>
            </w:r>
          </w:p>
        </w:tc>
      </w:tr>
      <w:tr w:rsidR="004338C2" w:rsidRPr="00087534" w14:paraId="48DF8346"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20EF5B1" w14:textId="3658B9A6" w:rsidR="004338C2" w:rsidRPr="00087534" w:rsidRDefault="004338C2" w:rsidP="004B2E9B">
            <w:pPr>
              <w:pStyle w:val="ExhibitText"/>
              <w:jc w:val="left"/>
              <w:rPr>
                <w:lang w:val="en-GB" w:eastAsia="en-IN"/>
              </w:rPr>
            </w:pPr>
            <w:proofErr w:type="spellStart"/>
            <w:r w:rsidRPr="00087534">
              <w:rPr>
                <w:color w:val="333333"/>
                <w:lang w:val="en-GB" w:eastAsia="en-IN"/>
              </w:rPr>
              <w:t>Copaxone</w:t>
            </w:r>
            <w:proofErr w:type="spellEnd"/>
            <w:r w:rsidRPr="00087534">
              <w:rPr>
                <w:color w:val="333333"/>
                <w:lang w:val="en-GB" w:eastAsia="en-IN"/>
              </w:rPr>
              <w:t xml:space="preserve"> 40</w:t>
            </w:r>
            <w:r>
              <w:rPr>
                <w:color w:val="333333"/>
                <w:lang w:val="en-GB" w:eastAsia="en-IN"/>
              </w:rPr>
              <w:t xml:space="preserve"> </w:t>
            </w:r>
            <w:r w:rsidRPr="00087534">
              <w:rPr>
                <w:color w:val="333333"/>
                <w:lang w:val="en-GB" w:eastAsia="en-IN"/>
              </w:rPr>
              <w:t>mg</w:t>
            </w:r>
          </w:p>
        </w:tc>
        <w:tc>
          <w:tcPr>
            <w:tcW w:w="1800" w:type="dxa"/>
            <w:tcBorders>
              <w:top w:val="nil"/>
              <w:left w:val="nil"/>
              <w:bottom w:val="single" w:sz="4" w:space="0" w:color="auto"/>
              <w:right w:val="single" w:sz="4" w:space="0" w:color="auto"/>
            </w:tcBorders>
            <w:shd w:val="clear" w:color="auto" w:fill="auto"/>
            <w:noWrap/>
            <w:vAlign w:val="center"/>
            <w:hideMark/>
          </w:tcPr>
          <w:p w14:paraId="52F46B54" w14:textId="410679A1" w:rsidR="004338C2" w:rsidRPr="00087534" w:rsidRDefault="004338C2" w:rsidP="004B2E9B">
            <w:pPr>
              <w:pStyle w:val="ExhibitText"/>
              <w:jc w:val="left"/>
              <w:rPr>
                <w:lang w:val="en-GB" w:eastAsia="en-IN"/>
              </w:rPr>
            </w:pPr>
            <w:proofErr w:type="spellStart"/>
            <w:r w:rsidRPr="00087534">
              <w:rPr>
                <w:color w:val="333333"/>
                <w:lang w:val="en-GB" w:eastAsia="en-IN"/>
              </w:rPr>
              <w:t>Glatiramer</w:t>
            </w:r>
            <w:proofErr w:type="spellEnd"/>
            <w:r w:rsidRPr="00087534">
              <w:rPr>
                <w:color w:val="333333"/>
                <w:lang w:val="en-GB" w:eastAsia="en-IN"/>
              </w:rPr>
              <w:t xml:space="preserve"> 40</w:t>
            </w:r>
            <w:r>
              <w:rPr>
                <w:color w:val="333333"/>
                <w:lang w:val="en-GB" w:eastAsia="en-IN"/>
              </w:rPr>
              <w:t xml:space="preserve"> </w:t>
            </w:r>
            <w:r w:rsidRPr="00087534">
              <w:rPr>
                <w:color w:val="333333"/>
                <w:lang w:val="en-GB" w:eastAsia="en-IN"/>
              </w:rPr>
              <w:t xml:space="preserve">mg </w:t>
            </w:r>
          </w:p>
        </w:tc>
        <w:tc>
          <w:tcPr>
            <w:tcW w:w="2250" w:type="dxa"/>
            <w:tcBorders>
              <w:top w:val="nil"/>
              <w:left w:val="nil"/>
              <w:bottom w:val="single" w:sz="4" w:space="0" w:color="auto"/>
              <w:right w:val="single" w:sz="4" w:space="0" w:color="auto"/>
            </w:tcBorders>
            <w:shd w:val="clear" w:color="auto" w:fill="auto"/>
            <w:noWrap/>
            <w:vAlign w:val="center"/>
            <w:hideMark/>
          </w:tcPr>
          <w:p w14:paraId="05C6622A" w14:textId="77777777" w:rsidR="004338C2" w:rsidRPr="00087534" w:rsidRDefault="004338C2" w:rsidP="004B2E9B">
            <w:pPr>
              <w:pStyle w:val="ExhibitText"/>
              <w:jc w:val="left"/>
              <w:rPr>
                <w:lang w:val="en-GB" w:eastAsia="en-IN"/>
              </w:rPr>
            </w:pPr>
            <w:r w:rsidRPr="00087534">
              <w:rPr>
                <w:color w:val="333333"/>
                <w:lang w:val="en-GB" w:eastAsia="en-IN"/>
              </w:rPr>
              <w:t xml:space="preserve">Multiple sclerosis </w:t>
            </w:r>
          </w:p>
        </w:tc>
        <w:tc>
          <w:tcPr>
            <w:tcW w:w="1080" w:type="dxa"/>
            <w:tcBorders>
              <w:top w:val="nil"/>
              <w:left w:val="nil"/>
              <w:bottom w:val="single" w:sz="4" w:space="0" w:color="auto"/>
              <w:right w:val="single" w:sz="4" w:space="0" w:color="auto"/>
            </w:tcBorders>
            <w:shd w:val="clear" w:color="auto" w:fill="auto"/>
            <w:noWrap/>
            <w:vAlign w:val="center"/>
            <w:hideMark/>
          </w:tcPr>
          <w:p w14:paraId="26B0A746" w14:textId="77777777" w:rsidR="004338C2" w:rsidRPr="00087534" w:rsidRDefault="004338C2" w:rsidP="004B2E9B">
            <w:pPr>
              <w:pStyle w:val="ExhibitText"/>
              <w:jc w:val="left"/>
              <w:rPr>
                <w:lang w:val="en-GB" w:eastAsia="en-IN"/>
              </w:rPr>
            </w:pPr>
            <w:r w:rsidRPr="00087534">
              <w:rPr>
                <w:lang w:val="en-GB" w:eastAsia="en-IN"/>
              </w:rPr>
              <w:t xml:space="preserve">Pre-filled syringe </w:t>
            </w:r>
          </w:p>
        </w:tc>
        <w:tc>
          <w:tcPr>
            <w:tcW w:w="1980" w:type="dxa"/>
            <w:tcBorders>
              <w:top w:val="nil"/>
              <w:left w:val="nil"/>
              <w:bottom w:val="single" w:sz="4" w:space="0" w:color="auto"/>
              <w:right w:val="single" w:sz="4" w:space="0" w:color="auto"/>
            </w:tcBorders>
            <w:shd w:val="clear" w:color="auto" w:fill="auto"/>
            <w:noWrap/>
            <w:vAlign w:val="center"/>
            <w:hideMark/>
          </w:tcPr>
          <w:p w14:paraId="620DDCE1" w14:textId="5B6DC59E" w:rsidR="004338C2" w:rsidRPr="00087534" w:rsidRDefault="004338C2" w:rsidP="00E61FC8">
            <w:pPr>
              <w:pStyle w:val="ExhibitText"/>
              <w:tabs>
                <w:tab w:val="decimal" w:pos="882"/>
              </w:tabs>
              <w:jc w:val="right"/>
              <w:rPr>
                <w:lang w:val="en-GB" w:eastAsia="en-IN"/>
              </w:rPr>
            </w:pPr>
            <w:r w:rsidRPr="00087534">
              <w:rPr>
                <w:lang w:val="en-GB" w:eastAsia="en-IN"/>
              </w:rPr>
              <w:t xml:space="preserve">1,516.26 </w:t>
            </w:r>
          </w:p>
        </w:tc>
      </w:tr>
      <w:tr w:rsidR="004338C2" w:rsidRPr="00087534" w14:paraId="17BB9771"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1BBDE9C" w14:textId="77777777" w:rsidR="004338C2" w:rsidRPr="00087534" w:rsidRDefault="004338C2" w:rsidP="004B2E9B">
            <w:pPr>
              <w:pStyle w:val="ExhibitText"/>
              <w:jc w:val="left"/>
              <w:rPr>
                <w:lang w:val="en-GB" w:eastAsia="en-IN"/>
              </w:rPr>
            </w:pPr>
            <w:proofErr w:type="spellStart"/>
            <w:r w:rsidRPr="00087534">
              <w:rPr>
                <w:color w:val="333333"/>
                <w:lang w:val="en-GB" w:eastAsia="en-IN"/>
              </w:rPr>
              <w:t>Entocort</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5F57D9C4" w14:textId="77777777" w:rsidR="004338C2" w:rsidRPr="00087534" w:rsidRDefault="004338C2" w:rsidP="004B2E9B">
            <w:pPr>
              <w:pStyle w:val="ExhibitText"/>
              <w:jc w:val="left"/>
              <w:rPr>
                <w:lang w:val="en-GB" w:eastAsia="en-IN"/>
              </w:rPr>
            </w:pPr>
            <w:r w:rsidRPr="00087534">
              <w:rPr>
                <w:color w:val="333333"/>
                <w:lang w:val="en-GB" w:eastAsia="en-IN"/>
              </w:rPr>
              <w:t xml:space="preserve">Budesonide </w:t>
            </w:r>
          </w:p>
        </w:tc>
        <w:tc>
          <w:tcPr>
            <w:tcW w:w="2250" w:type="dxa"/>
            <w:tcBorders>
              <w:top w:val="nil"/>
              <w:left w:val="nil"/>
              <w:bottom w:val="single" w:sz="4" w:space="0" w:color="auto"/>
              <w:right w:val="single" w:sz="4" w:space="0" w:color="auto"/>
            </w:tcBorders>
            <w:shd w:val="clear" w:color="auto" w:fill="auto"/>
            <w:noWrap/>
            <w:vAlign w:val="center"/>
            <w:hideMark/>
          </w:tcPr>
          <w:p w14:paraId="484A1EE7" w14:textId="77777777" w:rsidR="004338C2" w:rsidRPr="00087534" w:rsidRDefault="004338C2" w:rsidP="004B2E9B">
            <w:pPr>
              <w:pStyle w:val="ExhibitText"/>
              <w:jc w:val="left"/>
              <w:rPr>
                <w:lang w:val="en-GB" w:eastAsia="en-IN"/>
              </w:rPr>
            </w:pPr>
            <w:r w:rsidRPr="00087534">
              <w:rPr>
                <w:color w:val="333333"/>
                <w:lang w:val="en-GB" w:eastAsia="en-IN"/>
              </w:rPr>
              <w:t xml:space="preserve">Crohn disease </w:t>
            </w:r>
          </w:p>
        </w:tc>
        <w:tc>
          <w:tcPr>
            <w:tcW w:w="1080" w:type="dxa"/>
            <w:tcBorders>
              <w:top w:val="nil"/>
              <w:left w:val="nil"/>
              <w:bottom w:val="single" w:sz="4" w:space="0" w:color="auto"/>
              <w:right w:val="single" w:sz="4" w:space="0" w:color="auto"/>
            </w:tcBorders>
            <w:shd w:val="clear" w:color="auto" w:fill="auto"/>
            <w:noWrap/>
            <w:vAlign w:val="center"/>
            <w:hideMark/>
          </w:tcPr>
          <w:p w14:paraId="5E905091" w14:textId="77777777" w:rsidR="004338C2" w:rsidRPr="00087534" w:rsidRDefault="004338C2" w:rsidP="004B2E9B">
            <w:pPr>
              <w:pStyle w:val="ExhibitText"/>
              <w:jc w:val="left"/>
              <w:rPr>
                <w:lang w:val="en-GB" w:eastAsia="en-IN"/>
              </w:rPr>
            </w:pPr>
            <w:r w:rsidRPr="00087534">
              <w:rPr>
                <w:lang w:val="en-GB" w:eastAsia="en-IN"/>
              </w:rPr>
              <w:t xml:space="preserve">Capsules </w:t>
            </w:r>
          </w:p>
        </w:tc>
        <w:tc>
          <w:tcPr>
            <w:tcW w:w="1980" w:type="dxa"/>
            <w:tcBorders>
              <w:top w:val="nil"/>
              <w:left w:val="nil"/>
              <w:bottom w:val="single" w:sz="4" w:space="0" w:color="auto"/>
              <w:right w:val="single" w:sz="4" w:space="0" w:color="auto"/>
            </w:tcBorders>
            <w:shd w:val="clear" w:color="auto" w:fill="auto"/>
            <w:noWrap/>
            <w:vAlign w:val="center"/>
            <w:hideMark/>
          </w:tcPr>
          <w:p w14:paraId="616FC3E8"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494.38 </w:t>
            </w:r>
          </w:p>
        </w:tc>
      </w:tr>
      <w:tr w:rsidR="004338C2" w:rsidRPr="00087534" w14:paraId="0C856F05"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2AD7CB5" w14:textId="77777777" w:rsidR="004338C2" w:rsidRPr="00087534" w:rsidRDefault="004338C2" w:rsidP="004B2E9B">
            <w:pPr>
              <w:pStyle w:val="ExhibitText"/>
              <w:jc w:val="left"/>
              <w:rPr>
                <w:lang w:val="en-GB" w:eastAsia="en-IN"/>
              </w:rPr>
            </w:pPr>
            <w:proofErr w:type="spellStart"/>
            <w:r w:rsidRPr="00087534">
              <w:rPr>
                <w:color w:val="333333"/>
                <w:lang w:val="en-GB" w:eastAsia="en-IN"/>
              </w:rPr>
              <w:t>Fosrenol</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2495D724" w14:textId="77777777" w:rsidR="004338C2" w:rsidRPr="00087534" w:rsidRDefault="004338C2" w:rsidP="004B2E9B">
            <w:pPr>
              <w:pStyle w:val="ExhibitText"/>
              <w:jc w:val="left"/>
              <w:rPr>
                <w:lang w:val="en-GB" w:eastAsia="en-IN"/>
              </w:rPr>
            </w:pPr>
            <w:r w:rsidRPr="00087534">
              <w:rPr>
                <w:color w:val="333333"/>
                <w:lang w:val="en-GB" w:eastAsia="en-IN"/>
              </w:rPr>
              <w:t>Lanthanum Carbonate</w:t>
            </w:r>
          </w:p>
        </w:tc>
        <w:tc>
          <w:tcPr>
            <w:tcW w:w="2250" w:type="dxa"/>
            <w:tcBorders>
              <w:top w:val="nil"/>
              <w:left w:val="nil"/>
              <w:bottom w:val="single" w:sz="4" w:space="0" w:color="auto"/>
              <w:right w:val="single" w:sz="4" w:space="0" w:color="auto"/>
            </w:tcBorders>
            <w:shd w:val="clear" w:color="auto" w:fill="auto"/>
            <w:noWrap/>
            <w:vAlign w:val="center"/>
            <w:hideMark/>
          </w:tcPr>
          <w:p w14:paraId="236B3A13" w14:textId="152F96B0" w:rsidR="004338C2" w:rsidRPr="00087534" w:rsidRDefault="004338C2" w:rsidP="005A5CAC">
            <w:pPr>
              <w:pStyle w:val="ExhibitText"/>
              <w:jc w:val="left"/>
              <w:rPr>
                <w:lang w:val="en-GB" w:eastAsia="en-IN"/>
              </w:rPr>
            </w:pPr>
            <w:r w:rsidRPr="00087534">
              <w:rPr>
                <w:color w:val="333333"/>
                <w:lang w:val="en-GB" w:eastAsia="en-IN"/>
              </w:rPr>
              <w:t>End</w:t>
            </w:r>
            <w:r>
              <w:rPr>
                <w:color w:val="333333"/>
                <w:lang w:val="en-GB" w:eastAsia="en-IN"/>
              </w:rPr>
              <w:t>-</w:t>
            </w:r>
            <w:r w:rsidRPr="00087534">
              <w:rPr>
                <w:color w:val="333333"/>
                <w:lang w:val="en-GB" w:eastAsia="en-IN"/>
              </w:rPr>
              <w:t xml:space="preserve">stage renal disease </w:t>
            </w:r>
          </w:p>
        </w:tc>
        <w:tc>
          <w:tcPr>
            <w:tcW w:w="1080" w:type="dxa"/>
            <w:tcBorders>
              <w:top w:val="nil"/>
              <w:left w:val="nil"/>
              <w:bottom w:val="single" w:sz="4" w:space="0" w:color="auto"/>
              <w:right w:val="single" w:sz="4" w:space="0" w:color="auto"/>
            </w:tcBorders>
            <w:shd w:val="clear" w:color="auto" w:fill="auto"/>
            <w:noWrap/>
            <w:vAlign w:val="center"/>
            <w:hideMark/>
          </w:tcPr>
          <w:p w14:paraId="639FB501" w14:textId="77777777" w:rsidR="004338C2" w:rsidRPr="00087534" w:rsidRDefault="004338C2" w:rsidP="004B2E9B">
            <w:pPr>
              <w:pStyle w:val="ExhibitText"/>
              <w:jc w:val="left"/>
              <w:rPr>
                <w:lang w:val="en-GB" w:eastAsia="en-IN"/>
              </w:rPr>
            </w:pPr>
            <w:r w:rsidRPr="00087534">
              <w:rPr>
                <w:color w:val="333333"/>
                <w:lang w:val="en-GB" w:eastAsia="en-IN"/>
              </w:rPr>
              <w:t>Tablets</w:t>
            </w:r>
          </w:p>
        </w:tc>
        <w:tc>
          <w:tcPr>
            <w:tcW w:w="1980" w:type="dxa"/>
            <w:tcBorders>
              <w:top w:val="nil"/>
              <w:left w:val="nil"/>
              <w:bottom w:val="single" w:sz="4" w:space="0" w:color="auto"/>
              <w:right w:val="single" w:sz="4" w:space="0" w:color="auto"/>
            </w:tcBorders>
            <w:shd w:val="clear" w:color="auto" w:fill="auto"/>
            <w:noWrap/>
            <w:vAlign w:val="center"/>
            <w:hideMark/>
          </w:tcPr>
          <w:p w14:paraId="00EFD9DC"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114.43 </w:t>
            </w:r>
          </w:p>
        </w:tc>
      </w:tr>
      <w:tr w:rsidR="004338C2" w:rsidRPr="00087534" w14:paraId="0DC300D3"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7600B8BA" w14:textId="77777777" w:rsidR="004338C2" w:rsidRPr="00087534" w:rsidRDefault="004338C2" w:rsidP="004B2E9B">
            <w:pPr>
              <w:pStyle w:val="ExhibitText"/>
              <w:jc w:val="left"/>
              <w:rPr>
                <w:lang w:val="en-GB" w:eastAsia="en-IN"/>
              </w:rPr>
            </w:pPr>
            <w:proofErr w:type="spellStart"/>
            <w:r w:rsidRPr="00087534">
              <w:rPr>
                <w:color w:val="333333"/>
                <w:lang w:val="en-GB" w:eastAsia="en-IN"/>
              </w:rPr>
              <w:t>Gilenya</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14BBBFD5" w14:textId="77777777" w:rsidR="004338C2" w:rsidRPr="00087534" w:rsidRDefault="004338C2" w:rsidP="004B2E9B">
            <w:pPr>
              <w:pStyle w:val="ExhibitText"/>
              <w:jc w:val="left"/>
              <w:rPr>
                <w:lang w:val="en-GB" w:eastAsia="en-IN"/>
              </w:rPr>
            </w:pPr>
            <w:proofErr w:type="spellStart"/>
            <w:r w:rsidRPr="00087534">
              <w:rPr>
                <w:color w:val="333333"/>
                <w:lang w:val="en-GB" w:eastAsia="en-IN"/>
              </w:rPr>
              <w:t>Fingolimod</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01BAFAD1" w14:textId="77777777" w:rsidR="004338C2" w:rsidRPr="00087534" w:rsidRDefault="004338C2" w:rsidP="004B2E9B">
            <w:pPr>
              <w:pStyle w:val="ExhibitText"/>
              <w:jc w:val="left"/>
              <w:rPr>
                <w:lang w:val="en-GB" w:eastAsia="en-IN"/>
              </w:rPr>
            </w:pPr>
            <w:r w:rsidRPr="00087534">
              <w:rPr>
                <w:color w:val="333333"/>
                <w:lang w:val="en-GB" w:eastAsia="en-IN"/>
              </w:rPr>
              <w:t xml:space="preserve">Multiple sclerosis </w:t>
            </w:r>
          </w:p>
        </w:tc>
        <w:tc>
          <w:tcPr>
            <w:tcW w:w="1080" w:type="dxa"/>
            <w:tcBorders>
              <w:top w:val="nil"/>
              <w:left w:val="nil"/>
              <w:bottom w:val="single" w:sz="4" w:space="0" w:color="auto"/>
              <w:right w:val="single" w:sz="4" w:space="0" w:color="auto"/>
            </w:tcBorders>
            <w:shd w:val="clear" w:color="auto" w:fill="auto"/>
            <w:noWrap/>
            <w:vAlign w:val="center"/>
            <w:hideMark/>
          </w:tcPr>
          <w:p w14:paraId="7D34CC62" w14:textId="77777777" w:rsidR="004338C2" w:rsidRPr="00087534" w:rsidRDefault="004338C2" w:rsidP="004B2E9B">
            <w:pPr>
              <w:pStyle w:val="ExhibitText"/>
              <w:jc w:val="left"/>
              <w:rPr>
                <w:lang w:val="en-GB" w:eastAsia="en-IN"/>
              </w:rPr>
            </w:pPr>
            <w:r w:rsidRPr="00087534">
              <w:rPr>
                <w:lang w:val="en-GB" w:eastAsia="en-IN"/>
              </w:rPr>
              <w:t xml:space="preserve">Capsules </w:t>
            </w:r>
          </w:p>
        </w:tc>
        <w:tc>
          <w:tcPr>
            <w:tcW w:w="1980" w:type="dxa"/>
            <w:tcBorders>
              <w:top w:val="nil"/>
              <w:left w:val="nil"/>
              <w:bottom w:val="single" w:sz="4" w:space="0" w:color="auto"/>
              <w:right w:val="single" w:sz="4" w:space="0" w:color="auto"/>
            </w:tcBorders>
            <w:shd w:val="clear" w:color="auto" w:fill="auto"/>
            <w:noWrap/>
            <w:vAlign w:val="center"/>
            <w:hideMark/>
          </w:tcPr>
          <w:p w14:paraId="6D91CF1A" w14:textId="1D43371C" w:rsidR="004338C2" w:rsidRPr="00087534" w:rsidRDefault="004338C2" w:rsidP="00E61FC8">
            <w:pPr>
              <w:pStyle w:val="ExhibitText"/>
              <w:tabs>
                <w:tab w:val="decimal" w:pos="882"/>
              </w:tabs>
              <w:jc w:val="right"/>
              <w:rPr>
                <w:lang w:val="en-GB" w:eastAsia="en-IN"/>
              </w:rPr>
            </w:pPr>
            <w:r w:rsidRPr="00087534">
              <w:rPr>
                <w:lang w:val="en-GB" w:eastAsia="en-IN"/>
              </w:rPr>
              <w:t xml:space="preserve">1,321.66 </w:t>
            </w:r>
          </w:p>
        </w:tc>
      </w:tr>
      <w:tr w:rsidR="004338C2" w:rsidRPr="00087534" w14:paraId="02CAA1FE"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D03532E" w14:textId="77777777" w:rsidR="004338C2" w:rsidRPr="00087534" w:rsidRDefault="004338C2" w:rsidP="004B2E9B">
            <w:pPr>
              <w:pStyle w:val="ExhibitText"/>
              <w:jc w:val="left"/>
              <w:rPr>
                <w:lang w:val="en-GB" w:eastAsia="en-IN"/>
              </w:rPr>
            </w:pPr>
            <w:proofErr w:type="spellStart"/>
            <w:r w:rsidRPr="00087534">
              <w:rPr>
                <w:color w:val="333333"/>
                <w:lang w:val="en-GB" w:eastAsia="en-IN"/>
              </w:rPr>
              <w:t>Jevtana</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539ACBD9" w14:textId="77777777" w:rsidR="004338C2" w:rsidRPr="00087534" w:rsidRDefault="004338C2" w:rsidP="004B2E9B">
            <w:pPr>
              <w:pStyle w:val="ExhibitText"/>
              <w:jc w:val="left"/>
              <w:rPr>
                <w:lang w:val="en-GB" w:eastAsia="en-IN"/>
              </w:rPr>
            </w:pPr>
            <w:proofErr w:type="spellStart"/>
            <w:r w:rsidRPr="00087534">
              <w:rPr>
                <w:color w:val="333333"/>
                <w:lang w:val="en-GB" w:eastAsia="en-IN"/>
              </w:rPr>
              <w:t>Cabazitaxel</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748B3040" w14:textId="77777777" w:rsidR="004338C2" w:rsidRPr="00087534" w:rsidRDefault="004338C2" w:rsidP="004B2E9B">
            <w:pPr>
              <w:pStyle w:val="ExhibitText"/>
              <w:jc w:val="left"/>
              <w:rPr>
                <w:lang w:val="en-GB" w:eastAsia="en-IN"/>
              </w:rPr>
            </w:pPr>
            <w:r w:rsidRPr="00087534">
              <w:rPr>
                <w:color w:val="333333"/>
                <w:lang w:val="en-GB" w:eastAsia="en-IN"/>
              </w:rPr>
              <w:t xml:space="preserve">Prostate cancer </w:t>
            </w:r>
          </w:p>
        </w:tc>
        <w:tc>
          <w:tcPr>
            <w:tcW w:w="1080" w:type="dxa"/>
            <w:tcBorders>
              <w:top w:val="nil"/>
              <w:left w:val="nil"/>
              <w:bottom w:val="single" w:sz="4" w:space="0" w:color="auto"/>
              <w:right w:val="single" w:sz="4" w:space="0" w:color="auto"/>
            </w:tcBorders>
            <w:shd w:val="clear" w:color="auto" w:fill="auto"/>
            <w:noWrap/>
            <w:vAlign w:val="center"/>
            <w:hideMark/>
          </w:tcPr>
          <w:p w14:paraId="1AC70116" w14:textId="77777777" w:rsidR="004338C2" w:rsidRPr="00087534" w:rsidRDefault="004338C2" w:rsidP="004B2E9B">
            <w:pPr>
              <w:pStyle w:val="ExhibitText"/>
              <w:jc w:val="left"/>
              <w:rPr>
                <w:lang w:val="en-GB" w:eastAsia="en-IN"/>
              </w:rPr>
            </w:pPr>
            <w:r w:rsidRPr="00087534">
              <w:rPr>
                <w:color w:val="333333"/>
                <w:lang w:val="en-GB" w:eastAsia="en-IN"/>
              </w:rPr>
              <w:t>Injection</w:t>
            </w:r>
          </w:p>
        </w:tc>
        <w:tc>
          <w:tcPr>
            <w:tcW w:w="1980" w:type="dxa"/>
            <w:tcBorders>
              <w:top w:val="nil"/>
              <w:left w:val="nil"/>
              <w:bottom w:val="single" w:sz="4" w:space="0" w:color="auto"/>
              <w:right w:val="single" w:sz="4" w:space="0" w:color="auto"/>
            </w:tcBorders>
            <w:shd w:val="clear" w:color="auto" w:fill="auto"/>
            <w:noWrap/>
            <w:vAlign w:val="center"/>
            <w:hideMark/>
          </w:tcPr>
          <w:p w14:paraId="5F8169F4"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117.60 </w:t>
            </w:r>
          </w:p>
        </w:tc>
      </w:tr>
      <w:tr w:rsidR="004338C2" w:rsidRPr="00087534" w14:paraId="272C6371"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2B5336A" w14:textId="77777777" w:rsidR="004338C2" w:rsidRPr="00087534" w:rsidRDefault="004338C2" w:rsidP="004B2E9B">
            <w:pPr>
              <w:pStyle w:val="ExhibitText"/>
              <w:jc w:val="left"/>
              <w:rPr>
                <w:lang w:val="en-GB" w:eastAsia="en-IN"/>
              </w:rPr>
            </w:pPr>
            <w:proofErr w:type="spellStart"/>
            <w:r w:rsidRPr="00087534">
              <w:rPr>
                <w:color w:val="333333"/>
                <w:lang w:val="en-GB" w:eastAsia="en-IN"/>
              </w:rPr>
              <w:t>Nexavar</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6C822E71" w14:textId="77777777" w:rsidR="004338C2" w:rsidRPr="00087534" w:rsidRDefault="004338C2" w:rsidP="004B2E9B">
            <w:pPr>
              <w:pStyle w:val="ExhibitText"/>
              <w:jc w:val="left"/>
              <w:rPr>
                <w:lang w:val="en-GB" w:eastAsia="en-IN"/>
              </w:rPr>
            </w:pPr>
            <w:proofErr w:type="spellStart"/>
            <w:r w:rsidRPr="00087534">
              <w:rPr>
                <w:color w:val="333333"/>
                <w:lang w:val="en-GB" w:eastAsia="en-IN"/>
              </w:rPr>
              <w:t>Sorafenib</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593C9A16" w14:textId="77777777" w:rsidR="004338C2" w:rsidRPr="00087534" w:rsidRDefault="004338C2" w:rsidP="004B2E9B">
            <w:pPr>
              <w:pStyle w:val="ExhibitText"/>
              <w:jc w:val="left"/>
              <w:rPr>
                <w:lang w:val="en-GB" w:eastAsia="en-IN"/>
              </w:rPr>
            </w:pPr>
            <w:r w:rsidRPr="00087534">
              <w:rPr>
                <w:color w:val="333333"/>
                <w:lang w:val="en-GB" w:eastAsia="en-IN"/>
              </w:rPr>
              <w:t>Anti-cancer</w:t>
            </w:r>
          </w:p>
        </w:tc>
        <w:tc>
          <w:tcPr>
            <w:tcW w:w="1080" w:type="dxa"/>
            <w:tcBorders>
              <w:top w:val="nil"/>
              <w:left w:val="nil"/>
              <w:bottom w:val="single" w:sz="4" w:space="0" w:color="auto"/>
              <w:right w:val="single" w:sz="4" w:space="0" w:color="auto"/>
            </w:tcBorders>
            <w:shd w:val="clear" w:color="auto" w:fill="auto"/>
            <w:noWrap/>
            <w:vAlign w:val="center"/>
            <w:hideMark/>
          </w:tcPr>
          <w:p w14:paraId="04F033B5" w14:textId="77777777" w:rsidR="004338C2" w:rsidRPr="00087534" w:rsidRDefault="004338C2" w:rsidP="004B2E9B">
            <w:pPr>
              <w:pStyle w:val="ExhibitText"/>
              <w:jc w:val="left"/>
              <w:rPr>
                <w:lang w:val="en-GB" w:eastAsia="en-IN"/>
              </w:rPr>
            </w:pPr>
            <w:r w:rsidRPr="00087534">
              <w:rPr>
                <w:color w:val="333333"/>
                <w:lang w:val="en-GB" w:eastAsia="en-IN"/>
              </w:rPr>
              <w:t>Tablets</w:t>
            </w:r>
          </w:p>
        </w:tc>
        <w:tc>
          <w:tcPr>
            <w:tcW w:w="1980" w:type="dxa"/>
            <w:tcBorders>
              <w:top w:val="nil"/>
              <w:left w:val="nil"/>
              <w:bottom w:val="single" w:sz="4" w:space="0" w:color="auto"/>
              <w:right w:val="single" w:sz="4" w:space="0" w:color="auto"/>
            </w:tcBorders>
            <w:shd w:val="clear" w:color="auto" w:fill="auto"/>
            <w:noWrap/>
            <w:vAlign w:val="center"/>
            <w:hideMark/>
          </w:tcPr>
          <w:p w14:paraId="0DFC67F2"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42.17 </w:t>
            </w:r>
          </w:p>
        </w:tc>
      </w:tr>
      <w:tr w:rsidR="004338C2" w:rsidRPr="00087534" w14:paraId="1B7CB661"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CEFA630" w14:textId="5DB49622" w:rsidR="004338C2" w:rsidRPr="00087534" w:rsidRDefault="004338C2" w:rsidP="005A5CAC">
            <w:pPr>
              <w:pStyle w:val="ExhibitText"/>
              <w:jc w:val="left"/>
              <w:rPr>
                <w:lang w:val="en-GB" w:eastAsia="en-IN"/>
              </w:rPr>
            </w:pPr>
            <w:proofErr w:type="spellStart"/>
            <w:r w:rsidRPr="00087534">
              <w:rPr>
                <w:color w:val="333333"/>
                <w:lang w:val="en-GB" w:eastAsia="en-IN"/>
              </w:rPr>
              <w:t>Nuv</w:t>
            </w:r>
            <w:r>
              <w:rPr>
                <w:color w:val="333333"/>
                <w:lang w:val="en-GB" w:eastAsia="en-IN"/>
              </w:rPr>
              <w:t>i</w:t>
            </w:r>
            <w:r w:rsidRPr="00087534">
              <w:rPr>
                <w:color w:val="333333"/>
                <w:lang w:val="en-GB" w:eastAsia="en-IN"/>
              </w:rPr>
              <w:t>gil</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40C76BDC" w14:textId="77777777" w:rsidR="004338C2" w:rsidRPr="00087534" w:rsidRDefault="004338C2" w:rsidP="004B2E9B">
            <w:pPr>
              <w:pStyle w:val="ExhibitText"/>
              <w:jc w:val="left"/>
              <w:rPr>
                <w:lang w:val="en-GB" w:eastAsia="en-IN"/>
              </w:rPr>
            </w:pPr>
            <w:proofErr w:type="spellStart"/>
            <w:r w:rsidRPr="00087534">
              <w:rPr>
                <w:color w:val="333333"/>
                <w:lang w:val="en-GB" w:eastAsia="en-IN"/>
              </w:rPr>
              <w:t>Armodafinil</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3D81AA78" w14:textId="77777777" w:rsidR="004338C2" w:rsidRPr="00087534" w:rsidRDefault="004338C2" w:rsidP="004B2E9B">
            <w:pPr>
              <w:pStyle w:val="ExhibitText"/>
              <w:jc w:val="left"/>
              <w:rPr>
                <w:lang w:val="en-GB" w:eastAsia="en-IN"/>
              </w:rPr>
            </w:pPr>
            <w:r w:rsidRPr="00087534">
              <w:rPr>
                <w:color w:val="333333"/>
                <w:lang w:val="en-GB" w:eastAsia="en-IN"/>
              </w:rPr>
              <w:t xml:space="preserve">Anti-depressants </w:t>
            </w:r>
          </w:p>
        </w:tc>
        <w:tc>
          <w:tcPr>
            <w:tcW w:w="1080" w:type="dxa"/>
            <w:tcBorders>
              <w:top w:val="nil"/>
              <w:left w:val="nil"/>
              <w:bottom w:val="single" w:sz="4" w:space="0" w:color="auto"/>
              <w:right w:val="single" w:sz="4" w:space="0" w:color="auto"/>
            </w:tcBorders>
            <w:shd w:val="clear" w:color="auto" w:fill="auto"/>
            <w:noWrap/>
            <w:vAlign w:val="center"/>
            <w:hideMark/>
          </w:tcPr>
          <w:p w14:paraId="32758560" w14:textId="77777777" w:rsidR="004338C2" w:rsidRPr="00087534" w:rsidRDefault="004338C2" w:rsidP="004B2E9B">
            <w:pPr>
              <w:pStyle w:val="ExhibitText"/>
              <w:jc w:val="left"/>
              <w:rPr>
                <w:lang w:val="en-GB" w:eastAsia="en-IN"/>
              </w:rPr>
            </w:pPr>
            <w:r w:rsidRPr="00087534">
              <w:rPr>
                <w:lang w:val="en-GB" w:eastAsia="en-IN"/>
              </w:rPr>
              <w:t xml:space="preserve">Tablets </w:t>
            </w:r>
          </w:p>
        </w:tc>
        <w:tc>
          <w:tcPr>
            <w:tcW w:w="1980" w:type="dxa"/>
            <w:tcBorders>
              <w:top w:val="nil"/>
              <w:left w:val="nil"/>
              <w:bottom w:val="single" w:sz="4" w:space="0" w:color="auto"/>
              <w:right w:val="single" w:sz="4" w:space="0" w:color="auto"/>
            </w:tcBorders>
            <w:shd w:val="clear" w:color="auto" w:fill="auto"/>
            <w:noWrap/>
            <w:vAlign w:val="center"/>
            <w:hideMark/>
          </w:tcPr>
          <w:p w14:paraId="618A8E29"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448.60 </w:t>
            </w:r>
          </w:p>
        </w:tc>
      </w:tr>
      <w:tr w:rsidR="004338C2" w:rsidRPr="00087534" w14:paraId="772DBDD8"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A6D67E7" w14:textId="77777777" w:rsidR="004338C2" w:rsidRPr="00087534" w:rsidRDefault="004338C2" w:rsidP="004B2E9B">
            <w:pPr>
              <w:pStyle w:val="ExhibitText"/>
              <w:jc w:val="left"/>
              <w:rPr>
                <w:lang w:val="en-GB" w:eastAsia="en-IN"/>
              </w:rPr>
            </w:pPr>
            <w:proofErr w:type="spellStart"/>
            <w:r w:rsidRPr="00087534">
              <w:rPr>
                <w:color w:val="333333"/>
                <w:lang w:val="en-GB" w:eastAsia="en-IN"/>
              </w:rPr>
              <w:t>Revlimid</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7237D963" w14:textId="77777777" w:rsidR="004338C2" w:rsidRPr="00087534" w:rsidRDefault="004338C2" w:rsidP="004B2E9B">
            <w:pPr>
              <w:pStyle w:val="ExhibitText"/>
              <w:jc w:val="left"/>
              <w:rPr>
                <w:lang w:val="en-GB" w:eastAsia="en-IN"/>
              </w:rPr>
            </w:pPr>
            <w:proofErr w:type="spellStart"/>
            <w:r w:rsidRPr="00087534">
              <w:rPr>
                <w:color w:val="333333"/>
                <w:lang w:val="en-GB" w:eastAsia="en-IN"/>
              </w:rPr>
              <w:t>Lenalidomide</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639BAE50" w14:textId="3036114B" w:rsidR="004338C2" w:rsidRPr="00087534" w:rsidRDefault="004338C2" w:rsidP="004B2E9B">
            <w:pPr>
              <w:pStyle w:val="ExhibitText"/>
              <w:jc w:val="left"/>
              <w:rPr>
                <w:lang w:val="en-GB" w:eastAsia="en-IN"/>
              </w:rPr>
            </w:pPr>
            <w:r w:rsidRPr="00087534">
              <w:rPr>
                <w:color w:val="333333"/>
                <w:lang w:val="en-GB" w:eastAsia="en-IN"/>
              </w:rPr>
              <w:t>Multiple my</w:t>
            </w:r>
            <w:r>
              <w:rPr>
                <w:color w:val="333333"/>
                <w:lang w:val="en-GB" w:eastAsia="en-IN"/>
              </w:rPr>
              <w:t>e</w:t>
            </w:r>
            <w:r w:rsidRPr="00087534">
              <w:rPr>
                <w:color w:val="333333"/>
                <w:lang w:val="en-GB" w:eastAsia="en-IN"/>
              </w:rPr>
              <w:t>loma</w:t>
            </w:r>
          </w:p>
        </w:tc>
        <w:tc>
          <w:tcPr>
            <w:tcW w:w="1080" w:type="dxa"/>
            <w:tcBorders>
              <w:top w:val="nil"/>
              <w:left w:val="nil"/>
              <w:bottom w:val="single" w:sz="4" w:space="0" w:color="auto"/>
              <w:right w:val="single" w:sz="4" w:space="0" w:color="auto"/>
            </w:tcBorders>
            <w:shd w:val="clear" w:color="auto" w:fill="auto"/>
            <w:noWrap/>
            <w:vAlign w:val="center"/>
            <w:hideMark/>
          </w:tcPr>
          <w:p w14:paraId="667B1CEF" w14:textId="77777777" w:rsidR="004338C2" w:rsidRPr="00087534" w:rsidRDefault="004338C2" w:rsidP="004B2E9B">
            <w:pPr>
              <w:pStyle w:val="ExhibitText"/>
              <w:jc w:val="left"/>
              <w:rPr>
                <w:lang w:val="en-GB" w:eastAsia="en-IN"/>
              </w:rPr>
            </w:pPr>
            <w:r w:rsidRPr="00087534">
              <w:rPr>
                <w:lang w:val="en-GB" w:eastAsia="en-IN"/>
              </w:rPr>
              <w:t xml:space="preserve">Capsules </w:t>
            </w:r>
          </w:p>
        </w:tc>
        <w:tc>
          <w:tcPr>
            <w:tcW w:w="1980" w:type="dxa"/>
            <w:tcBorders>
              <w:top w:val="nil"/>
              <w:left w:val="nil"/>
              <w:bottom w:val="single" w:sz="4" w:space="0" w:color="auto"/>
              <w:right w:val="single" w:sz="4" w:space="0" w:color="auto"/>
            </w:tcBorders>
            <w:shd w:val="clear" w:color="auto" w:fill="auto"/>
            <w:noWrap/>
            <w:vAlign w:val="center"/>
            <w:hideMark/>
          </w:tcPr>
          <w:p w14:paraId="1C11EFEB"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974.16 </w:t>
            </w:r>
          </w:p>
        </w:tc>
      </w:tr>
      <w:tr w:rsidR="004338C2" w:rsidRPr="00087534" w14:paraId="1489912E"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0D8FF81" w14:textId="77777777" w:rsidR="004338C2" w:rsidRPr="00087534" w:rsidRDefault="004338C2" w:rsidP="004B2E9B">
            <w:pPr>
              <w:pStyle w:val="ExhibitText"/>
              <w:jc w:val="left"/>
              <w:rPr>
                <w:lang w:val="en-GB" w:eastAsia="en-IN"/>
              </w:rPr>
            </w:pPr>
            <w:r w:rsidRPr="00087534">
              <w:rPr>
                <w:color w:val="333333"/>
                <w:lang w:val="en-GB" w:eastAsia="en-IN"/>
              </w:rPr>
              <w:t xml:space="preserve">Tamiflu </w:t>
            </w:r>
          </w:p>
        </w:tc>
        <w:tc>
          <w:tcPr>
            <w:tcW w:w="1800" w:type="dxa"/>
            <w:tcBorders>
              <w:top w:val="nil"/>
              <w:left w:val="nil"/>
              <w:bottom w:val="single" w:sz="4" w:space="0" w:color="auto"/>
              <w:right w:val="single" w:sz="4" w:space="0" w:color="auto"/>
            </w:tcBorders>
            <w:shd w:val="clear" w:color="auto" w:fill="auto"/>
            <w:noWrap/>
            <w:vAlign w:val="center"/>
            <w:hideMark/>
          </w:tcPr>
          <w:p w14:paraId="0FCED168" w14:textId="73F09008" w:rsidR="004338C2" w:rsidRPr="00087534" w:rsidRDefault="004338C2" w:rsidP="005A5CAC">
            <w:pPr>
              <w:pStyle w:val="ExhibitText"/>
              <w:jc w:val="left"/>
              <w:rPr>
                <w:lang w:val="en-GB" w:eastAsia="en-IN"/>
              </w:rPr>
            </w:pPr>
            <w:r w:rsidRPr="00087534">
              <w:rPr>
                <w:color w:val="333333"/>
                <w:lang w:val="en-GB" w:eastAsia="en-IN"/>
              </w:rPr>
              <w:t xml:space="preserve">Oseltamivir </w:t>
            </w:r>
            <w:r>
              <w:rPr>
                <w:color w:val="333333"/>
                <w:lang w:val="en-GB" w:eastAsia="en-IN"/>
              </w:rPr>
              <w:t>c</w:t>
            </w:r>
            <w:r w:rsidRPr="00087534">
              <w:rPr>
                <w:color w:val="333333"/>
                <w:lang w:val="en-GB" w:eastAsia="en-IN"/>
              </w:rPr>
              <w:t xml:space="preserve">apsules </w:t>
            </w:r>
          </w:p>
        </w:tc>
        <w:tc>
          <w:tcPr>
            <w:tcW w:w="2250" w:type="dxa"/>
            <w:tcBorders>
              <w:top w:val="nil"/>
              <w:left w:val="nil"/>
              <w:bottom w:val="single" w:sz="4" w:space="0" w:color="auto"/>
              <w:right w:val="single" w:sz="4" w:space="0" w:color="auto"/>
            </w:tcBorders>
            <w:shd w:val="clear" w:color="auto" w:fill="auto"/>
            <w:noWrap/>
            <w:vAlign w:val="center"/>
            <w:hideMark/>
          </w:tcPr>
          <w:p w14:paraId="0C443895" w14:textId="77777777" w:rsidR="004338C2" w:rsidRPr="00087534" w:rsidRDefault="004338C2" w:rsidP="004B2E9B">
            <w:pPr>
              <w:pStyle w:val="ExhibitText"/>
              <w:jc w:val="left"/>
              <w:rPr>
                <w:lang w:val="en-GB" w:eastAsia="en-IN"/>
              </w:rPr>
            </w:pPr>
            <w:r w:rsidRPr="00087534">
              <w:rPr>
                <w:color w:val="333333"/>
                <w:lang w:val="en-GB" w:eastAsia="en-IN"/>
              </w:rPr>
              <w:t xml:space="preserve">Influenza infection </w:t>
            </w:r>
          </w:p>
        </w:tc>
        <w:tc>
          <w:tcPr>
            <w:tcW w:w="1080" w:type="dxa"/>
            <w:tcBorders>
              <w:top w:val="nil"/>
              <w:left w:val="nil"/>
              <w:bottom w:val="single" w:sz="4" w:space="0" w:color="auto"/>
              <w:right w:val="single" w:sz="4" w:space="0" w:color="auto"/>
            </w:tcBorders>
            <w:shd w:val="clear" w:color="auto" w:fill="auto"/>
            <w:noWrap/>
            <w:vAlign w:val="center"/>
            <w:hideMark/>
          </w:tcPr>
          <w:p w14:paraId="303B6FA4" w14:textId="77777777" w:rsidR="004338C2" w:rsidRPr="00087534" w:rsidRDefault="004338C2" w:rsidP="004B2E9B">
            <w:pPr>
              <w:pStyle w:val="ExhibitText"/>
              <w:jc w:val="left"/>
              <w:rPr>
                <w:lang w:val="en-GB" w:eastAsia="en-IN"/>
              </w:rPr>
            </w:pPr>
            <w:r w:rsidRPr="00087534">
              <w:rPr>
                <w:lang w:val="en-GB" w:eastAsia="en-IN"/>
              </w:rPr>
              <w:t xml:space="preserve">Capsules </w:t>
            </w:r>
          </w:p>
        </w:tc>
        <w:tc>
          <w:tcPr>
            <w:tcW w:w="1980" w:type="dxa"/>
            <w:tcBorders>
              <w:top w:val="nil"/>
              <w:left w:val="nil"/>
              <w:bottom w:val="single" w:sz="4" w:space="0" w:color="auto"/>
              <w:right w:val="single" w:sz="4" w:space="0" w:color="auto"/>
            </w:tcBorders>
            <w:shd w:val="clear" w:color="auto" w:fill="auto"/>
            <w:noWrap/>
            <w:vAlign w:val="center"/>
            <w:hideMark/>
          </w:tcPr>
          <w:p w14:paraId="7336B34D"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519.24 </w:t>
            </w:r>
          </w:p>
        </w:tc>
      </w:tr>
      <w:tr w:rsidR="004338C2" w:rsidRPr="00087534" w14:paraId="0A96A8F5"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7C933D17" w14:textId="77777777" w:rsidR="004338C2" w:rsidRPr="00087534" w:rsidRDefault="004338C2" w:rsidP="004B2E9B">
            <w:pPr>
              <w:pStyle w:val="ExhibitText"/>
              <w:jc w:val="left"/>
              <w:rPr>
                <w:lang w:val="en-GB" w:eastAsia="en-IN"/>
              </w:rPr>
            </w:pPr>
            <w:proofErr w:type="spellStart"/>
            <w:r w:rsidRPr="00087534">
              <w:rPr>
                <w:color w:val="333333"/>
                <w:lang w:val="en-GB" w:eastAsia="en-IN"/>
              </w:rPr>
              <w:t>Tracleer</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79BA214" w14:textId="77777777" w:rsidR="004338C2" w:rsidRPr="00087534" w:rsidRDefault="004338C2" w:rsidP="004B2E9B">
            <w:pPr>
              <w:pStyle w:val="ExhibitText"/>
              <w:jc w:val="left"/>
              <w:rPr>
                <w:lang w:val="en-GB" w:eastAsia="en-IN"/>
              </w:rPr>
            </w:pPr>
            <w:proofErr w:type="spellStart"/>
            <w:r w:rsidRPr="00087534">
              <w:rPr>
                <w:color w:val="333333"/>
                <w:lang w:val="en-GB" w:eastAsia="en-IN"/>
              </w:rPr>
              <w:t>Bosentan</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68A5A384" w14:textId="77777777" w:rsidR="004338C2" w:rsidRPr="00087534" w:rsidRDefault="004338C2" w:rsidP="004B2E9B">
            <w:pPr>
              <w:pStyle w:val="ExhibitText"/>
              <w:jc w:val="left"/>
              <w:rPr>
                <w:lang w:val="en-GB" w:eastAsia="en-IN"/>
              </w:rPr>
            </w:pPr>
            <w:r w:rsidRPr="00087534">
              <w:rPr>
                <w:color w:val="333333"/>
                <w:lang w:val="en-GB" w:eastAsia="en-IN"/>
              </w:rPr>
              <w:t xml:space="preserve">Hypertension </w:t>
            </w:r>
          </w:p>
        </w:tc>
        <w:tc>
          <w:tcPr>
            <w:tcW w:w="1080" w:type="dxa"/>
            <w:tcBorders>
              <w:top w:val="nil"/>
              <w:left w:val="nil"/>
              <w:bottom w:val="single" w:sz="4" w:space="0" w:color="auto"/>
              <w:right w:val="single" w:sz="4" w:space="0" w:color="auto"/>
            </w:tcBorders>
            <w:shd w:val="clear" w:color="auto" w:fill="auto"/>
            <w:noWrap/>
            <w:vAlign w:val="center"/>
            <w:hideMark/>
          </w:tcPr>
          <w:p w14:paraId="357EFF62" w14:textId="77777777" w:rsidR="004338C2" w:rsidRPr="00087534" w:rsidRDefault="004338C2" w:rsidP="004B2E9B">
            <w:pPr>
              <w:pStyle w:val="ExhibitText"/>
              <w:jc w:val="left"/>
              <w:rPr>
                <w:lang w:val="en-GB" w:eastAsia="en-IN"/>
              </w:rPr>
            </w:pPr>
            <w:r w:rsidRPr="00087534">
              <w:rPr>
                <w:color w:val="333333"/>
                <w:lang w:val="en-GB" w:eastAsia="en-IN"/>
              </w:rPr>
              <w:t>Tablets</w:t>
            </w:r>
          </w:p>
        </w:tc>
        <w:tc>
          <w:tcPr>
            <w:tcW w:w="1980" w:type="dxa"/>
            <w:tcBorders>
              <w:top w:val="nil"/>
              <w:left w:val="nil"/>
              <w:bottom w:val="single" w:sz="4" w:space="0" w:color="auto"/>
              <w:right w:val="single" w:sz="4" w:space="0" w:color="auto"/>
            </w:tcBorders>
            <w:shd w:val="clear" w:color="auto" w:fill="auto"/>
            <w:noWrap/>
            <w:vAlign w:val="center"/>
            <w:hideMark/>
          </w:tcPr>
          <w:p w14:paraId="641812D0"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46.65 </w:t>
            </w:r>
          </w:p>
        </w:tc>
      </w:tr>
      <w:tr w:rsidR="004338C2" w:rsidRPr="00087534" w14:paraId="1031AE0D"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0DC67FD" w14:textId="77777777" w:rsidR="004338C2" w:rsidRPr="00087534" w:rsidRDefault="004338C2" w:rsidP="004B2E9B">
            <w:pPr>
              <w:pStyle w:val="ExhibitText"/>
              <w:jc w:val="left"/>
              <w:rPr>
                <w:lang w:val="en-GB" w:eastAsia="en-IN"/>
              </w:rPr>
            </w:pPr>
            <w:proofErr w:type="spellStart"/>
            <w:r w:rsidRPr="00087534">
              <w:rPr>
                <w:color w:val="333333"/>
                <w:lang w:val="en-GB" w:eastAsia="en-IN"/>
              </w:rPr>
              <w:t>Treanda</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28E3C76" w14:textId="77777777" w:rsidR="004338C2" w:rsidRPr="00087534" w:rsidRDefault="004338C2" w:rsidP="004B2E9B">
            <w:pPr>
              <w:pStyle w:val="ExhibitText"/>
              <w:jc w:val="left"/>
              <w:rPr>
                <w:lang w:val="en-GB" w:eastAsia="en-IN"/>
              </w:rPr>
            </w:pPr>
            <w:proofErr w:type="spellStart"/>
            <w:r w:rsidRPr="00087534">
              <w:rPr>
                <w:color w:val="333333"/>
                <w:lang w:val="en-GB" w:eastAsia="en-IN"/>
              </w:rPr>
              <w:t>Bendamustine</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15B255C2" w14:textId="77777777" w:rsidR="004338C2" w:rsidRPr="00087534" w:rsidRDefault="004338C2" w:rsidP="004B2E9B">
            <w:pPr>
              <w:pStyle w:val="ExhibitText"/>
              <w:jc w:val="left"/>
              <w:rPr>
                <w:lang w:val="en-GB" w:eastAsia="en-IN"/>
              </w:rPr>
            </w:pPr>
            <w:proofErr w:type="spellStart"/>
            <w:r w:rsidRPr="00087534">
              <w:rPr>
                <w:color w:val="333333"/>
                <w:lang w:val="en-GB" w:eastAsia="en-IN"/>
              </w:rPr>
              <w:t>Leukemia</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590B39D" w14:textId="77777777" w:rsidR="004338C2" w:rsidRPr="00087534" w:rsidRDefault="004338C2" w:rsidP="004B2E9B">
            <w:pPr>
              <w:pStyle w:val="ExhibitText"/>
              <w:jc w:val="left"/>
              <w:rPr>
                <w:lang w:val="en-GB" w:eastAsia="en-IN"/>
              </w:rPr>
            </w:pPr>
            <w:r w:rsidRPr="00087534">
              <w:rPr>
                <w:lang w:val="en-GB" w:eastAsia="en-IN"/>
              </w:rPr>
              <w:t xml:space="preserve">Injection </w:t>
            </w:r>
          </w:p>
        </w:tc>
        <w:tc>
          <w:tcPr>
            <w:tcW w:w="1980" w:type="dxa"/>
            <w:tcBorders>
              <w:top w:val="nil"/>
              <w:left w:val="nil"/>
              <w:bottom w:val="single" w:sz="4" w:space="0" w:color="auto"/>
              <w:right w:val="single" w:sz="4" w:space="0" w:color="auto"/>
            </w:tcBorders>
            <w:shd w:val="clear" w:color="auto" w:fill="auto"/>
            <w:noWrap/>
            <w:vAlign w:val="center"/>
            <w:hideMark/>
          </w:tcPr>
          <w:p w14:paraId="4B477A75"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675.11 </w:t>
            </w:r>
          </w:p>
        </w:tc>
      </w:tr>
      <w:tr w:rsidR="004338C2" w:rsidRPr="00087534" w14:paraId="121E17DE"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CEEF081" w14:textId="77777777" w:rsidR="004338C2" w:rsidRPr="00087534" w:rsidRDefault="004338C2" w:rsidP="004B2E9B">
            <w:pPr>
              <w:pStyle w:val="ExhibitText"/>
              <w:jc w:val="left"/>
              <w:rPr>
                <w:lang w:val="en-GB" w:eastAsia="en-IN"/>
              </w:rPr>
            </w:pPr>
            <w:proofErr w:type="spellStart"/>
            <w:r w:rsidRPr="00087534">
              <w:rPr>
                <w:color w:val="333333"/>
                <w:lang w:val="en-GB" w:eastAsia="en-IN"/>
              </w:rPr>
              <w:t>Tykerb</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558D5F27" w14:textId="66DAE667" w:rsidR="004338C2" w:rsidRPr="00087534" w:rsidRDefault="004338C2" w:rsidP="004B2E9B">
            <w:pPr>
              <w:pStyle w:val="ExhibitText"/>
              <w:jc w:val="left"/>
              <w:rPr>
                <w:lang w:val="en-GB" w:eastAsia="en-IN"/>
              </w:rPr>
            </w:pPr>
            <w:proofErr w:type="spellStart"/>
            <w:r w:rsidRPr="00087534">
              <w:rPr>
                <w:color w:val="333333"/>
                <w:lang w:val="en-GB" w:eastAsia="en-IN"/>
              </w:rPr>
              <w:t>Lapatinib</w:t>
            </w:r>
            <w:proofErr w:type="spellEnd"/>
            <w:r>
              <w:rPr>
                <w:color w:val="333333"/>
                <w:lang w:val="en-GB" w:eastAsia="en-IN"/>
              </w:rPr>
              <w:t xml:space="preserve"> </w:t>
            </w:r>
            <w:proofErr w:type="spellStart"/>
            <w:r w:rsidRPr="00087534">
              <w:rPr>
                <w:color w:val="333333"/>
                <w:lang w:val="en-GB" w:eastAsia="en-IN"/>
              </w:rPr>
              <w:t>Ditosylate</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2B88304A" w14:textId="77777777" w:rsidR="004338C2" w:rsidRPr="00087534" w:rsidRDefault="004338C2" w:rsidP="004B2E9B">
            <w:pPr>
              <w:pStyle w:val="ExhibitText"/>
              <w:jc w:val="left"/>
              <w:rPr>
                <w:lang w:val="en-GB" w:eastAsia="en-IN"/>
              </w:rPr>
            </w:pPr>
            <w:r w:rsidRPr="00087534">
              <w:rPr>
                <w:color w:val="333333"/>
                <w:lang w:val="en-GB" w:eastAsia="en-IN"/>
              </w:rPr>
              <w:t>Anti-cancer</w:t>
            </w:r>
          </w:p>
        </w:tc>
        <w:tc>
          <w:tcPr>
            <w:tcW w:w="1080" w:type="dxa"/>
            <w:tcBorders>
              <w:top w:val="nil"/>
              <w:left w:val="nil"/>
              <w:bottom w:val="single" w:sz="4" w:space="0" w:color="auto"/>
              <w:right w:val="single" w:sz="4" w:space="0" w:color="auto"/>
            </w:tcBorders>
            <w:shd w:val="clear" w:color="auto" w:fill="auto"/>
            <w:noWrap/>
            <w:vAlign w:val="center"/>
            <w:hideMark/>
          </w:tcPr>
          <w:p w14:paraId="22B1478C" w14:textId="77777777" w:rsidR="004338C2" w:rsidRPr="00087534" w:rsidRDefault="004338C2" w:rsidP="004B2E9B">
            <w:pPr>
              <w:pStyle w:val="ExhibitText"/>
              <w:jc w:val="left"/>
              <w:rPr>
                <w:lang w:val="en-GB" w:eastAsia="en-IN"/>
              </w:rPr>
            </w:pPr>
            <w:r w:rsidRPr="00087534">
              <w:rPr>
                <w:color w:val="333333"/>
                <w:lang w:val="en-GB" w:eastAsia="en-IN"/>
              </w:rPr>
              <w:t>Tablets</w:t>
            </w:r>
          </w:p>
        </w:tc>
        <w:tc>
          <w:tcPr>
            <w:tcW w:w="1980" w:type="dxa"/>
            <w:tcBorders>
              <w:top w:val="nil"/>
              <w:left w:val="nil"/>
              <w:bottom w:val="single" w:sz="4" w:space="0" w:color="auto"/>
              <w:right w:val="single" w:sz="4" w:space="0" w:color="auto"/>
            </w:tcBorders>
            <w:shd w:val="clear" w:color="auto" w:fill="auto"/>
            <w:noWrap/>
            <w:vAlign w:val="center"/>
            <w:hideMark/>
          </w:tcPr>
          <w:p w14:paraId="06129656"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87.33 </w:t>
            </w:r>
          </w:p>
        </w:tc>
      </w:tr>
      <w:tr w:rsidR="004338C2" w:rsidRPr="00087534" w14:paraId="769AF492" w14:textId="77777777" w:rsidTr="00E61FC8">
        <w:trPr>
          <w:trHeight w:val="300"/>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7866316" w14:textId="77777777" w:rsidR="004338C2" w:rsidRPr="00087534" w:rsidRDefault="004338C2" w:rsidP="004B2E9B">
            <w:pPr>
              <w:pStyle w:val="ExhibitText"/>
              <w:jc w:val="left"/>
              <w:rPr>
                <w:lang w:val="en-GB" w:eastAsia="en-IN"/>
              </w:rPr>
            </w:pPr>
            <w:proofErr w:type="spellStart"/>
            <w:r w:rsidRPr="00087534">
              <w:rPr>
                <w:color w:val="333333"/>
                <w:lang w:val="en-GB" w:eastAsia="en-IN"/>
              </w:rPr>
              <w:t>Vidaza</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699408C0" w14:textId="77777777" w:rsidR="004338C2" w:rsidRPr="00087534" w:rsidRDefault="004338C2" w:rsidP="004B2E9B">
            <w:pPr>
              <w:pStyle w:val="ExhibitText"/>
              <w:jc w:val="left"/>
              <w:rPr>
                <w:lang w:val="en-GB" w:eastAsia="en-IN"/>
              </w:rPr>
            </w:pPr>
            <w:proofErr w:type="spellStart"/>
            <w:r w:rsidRPr="00087534">
              <w:rPr>
                <w:color w:val="333333"/>
                <w:lang w:val="en-GB" w:eastAsia="en-IN"/>
              </w:rPr>
              <w:t>Azacitidine</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6F208BB5" w14:textId="77777777" w:rsidR="004338C2" w:rsidRPr="00087534" w:rsidRDefault="004338C2" w:rsidP="004B2E9B">
            <w:pPr>
              <w:pStyle w:val="ExhibitText"/>
              <w:jc w:val="left"/>
              <w:rPr>
                <w:lang w:val="en-GB" w:eastAsia="en-IN"/>
              </w:rPr>
            </w:pPr>
            <w:r w:rsidRPr="00087534">
              <w:rPr>
                <w:color w:val="333333"/>
                <w:lang w:val="en-GB" w:eastAsia="en-IN"/>
              </w:rPr>
              <w:t>Myelodysplastic syndrome</w:t>
            </w:r>
          </w:p>
        </w:tc>
        <w:tc>
          <w:tcPr>
            <w:tcW w:w="1080" w:type="dxa"/>
            <w:tcBorders>
              <w:top w:val="nil"/>
              <w:left w:val="nil"/>
              <w:bottom w:val="single" w:sz="4" w:space="0" w:color="auto"/>
              <w:right w:val="single" w:sz="4" w:space="0" w:color="auto"/>
            </w:tcBorders>
            <w:shd w:val="clear" w:color="auto" w:fill="auto"/>
            <w:noWrap/>
            <w:vAlign w:val="center"/>
            <w:hideMark/>
          </w:tcPr>
          <w:p w14:paraId="4E9C966A" w14:textId="77777777" w:rsidR="004338C2" w:rsidRPr="00087534" w:rsidRDefault="004338C2" w:rsidP="004B2E9B">
            <w:pPr>
              <w:pStyle w:val="ExhibitText"/>
              <w:jc w:val="left"/>
              <w:rPr>
                <w:lang w:val="en-GB" w:eastAsia="en-IN"/>
              </w:rPr>
            </w:pPr>
            <w:r w:rsidRPr="00087534">
              <w:rPr>
                <w:color w:val="333333"/>
                <w:lang w:val="en-GB" w:eastAsia="en-IN"/>
              </w:rPr>
              <w:t>Injection</w:t>
            </w:r>
          </w:p>
        </w:tc>
        <w:tc>
          <w:tcPr>
            <w:tcW w:w="1980" w:type="dxa"/>
            <w:tcBorders>
              <w:top w:val="nil"/>
              <w:left w:val="nil"/>
              <w:bottom w:val="single" w:sz="4" w:space="0" w:color="auto"/>
              <w:right w:val="single" w:sz="4" w:space="0" w:color="auto"/>
            </w:tcBorders>
            <w:shd w:val="clear" w:color="auto" w:fill="auto"/>
            <w:noWrap/>
            <w:vAlign w:val="center"/>
            <w:hideMark/>
          </w:tcPr>
          <w:p w14:paraId="68433D7E" w14:textId="77777777" w:rsidR="004338C2" w:rsidRPr="00087534" w:rsidRDefault="004338C2" w:rsidP="00E61FC8">
            <w:pPr>
              <w:pStyle w:val="ExhibitText"/>
              <w:tabs>
                <w:tab w:val="decimal" w:pos="882"/>
              </w:tabs>
              <w:jc w:val="right"/>
              <w:rPr>
                <w:lang w:val="en-GB" w:eastAsia="en-IN"/>
              </w:rPr>
            </w:pPr>
            <w:r w:rsidRPr="00087534">
              <w:rPr>
                <w:lang w:val="en-GB" w:eastAsia="en-IN"/>
              </w:rPr>
              <w:t xml:space="preserve">279.68 </w:t>
            </w:r>
          </w:p>
        </w:tc>
      </w:tr>
    </w:tbl>
    <w:p w14:paraId="31A57129" w14:textId="77777777" w:rsidR="004338C2" w:rsidRPr="00087534" w:rsidRDefault="004338C2" w:rsidP="00A72D9F">
      <w:pPr>
        <w:pStyle w:val="Footnote"/>
        <w:rPr>
          <w:rFonts w:eastAsia="Arial Unicode MS"/>
          <w:lang w:val="en-GB"/>
        </w:rPr>
      </w:pPr>
    </w:p>
    <w:p w14:paraId="32F30FEE" w14:textId="3D2A4D90" w:rsidR="004338C2" w:rsidRPr="00087534" w:rsidRDefault="004338C2" w:rsidP="004B2E9B">
      <w:pPr>
        <w:pStyle w:val="Footnote"/>
        <w:rPr>
          <w:lang w:val="en-GB"/>
        </w:rPr>
      </w:pPr>
      <w:r w:rsidRPr="00087534">
        <w:rPr>
          <w:rFonts w:eastAsia="Arial Unicode MS"/>
          <w:lang w:val="en-GB"/>
        </w:rPr>
        <w:t>Note: *</w:t>
      </w:r>
      <w:r>
        <w:rPr>
          <w:rFonts w:eastAsia="Arial Unicode MS"/>
          <w:lang w:val="en-GB"/>
        </w:rPr>
        <w:t xml:space="preserve"> The e</w:t>
      </w:r>
      <w:r w:rsidRPr="00087534">
        <w:rPr>
          <w:lang w:val="en-GB"/>
        </w:rPr>
        <w:t xml:space="preserve">stimated market potential </w:t>
      </w:r>
      <w:r w:rsidR="00364419">
        <w:rPr>
          <w:lang w:val="en-GB"/>
        </w:rPr>
        <w:t xml:space="preserve">was </w:t>
      </w:r>
      <w:r w:rsidRPr="00087534">
        <w:rPr>
          <w:lang w:val="en-GB"/>
        </w:rPr>
        <w:t>based on sales in 2014</w:t>
      </w:r>
      <w:r>
        <w:rPr>
          <w:lang w:val="en-GB"/>
        </w:rPr>
        <w:t>,</w:t>
      </w:r>
      <w:r w:rsidRPr="00087534">
        <w:rPr>
          <w:lang w:val="en-GB"/>
        </w:rPr>
        <w:t xml:space="preserve"> as per the report </w:t>
      </w:r>
      <w:r>
        <w:rPr>
          <w:lang w:val="en-GB"/>
        </w:rPr>
        <w:t>noted in the source below.</w:t>
      </w:r>
    </w:p>
    <w:p w14:paraId="31B6F5BA" w14:textId="592F052A" w:rsidR="004338C2" w:rsidRPr="00087534" w:rsidRDefault="004338C2" w:rsidP="004B2E9B">
      <w:pPr>
        <w:pStyle w:val="Footnote"/>
        <w:rPr>
          <w:lang w:val="en-GB"/>
        </w:rPr>
      </w:pPr>
      <w:r w:rsidRPr="00087534">
        <w:rPr>
          <w:lang w:val="en-GB"/>
        </w:rPr>
        <w:t>Source: Company documents</w:t>
      </w:r>
      <w:r>
        <w:rPr>
          <w:lang w:val="en-GB"/>
        </w:rPr>
        <w:t xml:space="preserve"> and IMS Institute for Healthcare Informatics, </w:t>
      </w:r>
      <w:r w:rsidRPr="00FB1880">
        <w:rPr>
          <w:i/>
          <w:lang w:val="en-GB"/>
        </w:rPr>
        <w:t>Global Outlook for Medicines through 2018</w:t>
      </w:r>
      <w:r w:rsidRPr="00087534">
        <w:rPr>
          <w:lang w:val="en-GB"/>
        </w:rPr>
        <w:t>, November 2014</w:t>
      </w:r>
      <w:r>
        <w:rPr>
          <w:lang w:val="en-GB"/>
        </w:rPr>
        <w:t>,</w:t>
      </w:r>
      <w:r w:rsidRPr="00087534">
        <w:rPr>
          <w:lang w:val="en-GB"/>
        </w:rPr>
        <w:t xml:space="preserve"> </w:t>
      </w:r>
      <w:r>
        <w:rPr>
          <w:lang w:val="en-GB"/>
        </w:rPr>
        <w:t>accessed</w:t>
      </w:r>
      <w:r w:rsidR="003712BA">
        <w:rPr>
          <w:lang w:val="en-GB"/>
        </w:rPr>
        <w:t xml:space="preserve"> October 2, 2018</w:t>
      </w:r>
      <w:r>
        <w:rPr>
          <w:lang w:val="en-GB"/>
        </w:rPr>
        <w:t>.</w:t>
      </w:r>
    </w:p>
    <w:p w14:paraId="1713A698" w14:textId="036F53DC" w:rsidR="004338C2" w:rsidRPr="00977E45" w:rsidRDefault="004338C2" w:rsidP="00977E45">
      <w:pPr>
        <w:pStyle w:val="Footnote"/>
        <w:rPr>
          <w:lang w:val="en-GB"/>
        </w:rPr>
      </w:pPr>
    </w:p>
    <w:p w14:paraId="52FDB95C" w14:textId="77777777" w:rsidR="004338C2" w:rsidRPr="00087534" w:rsidRDefault="004338C2" w:rsidP="004B2E9B">
      <w:pPr>
        <w:pStyle w:val="ExhibitText"/>
        <w:rPr>
          <w:lang w:val="en-GB"/>
        </w:rPr>
      </w:pPr>
    </w:p>
    <w:p w14:paraId="6ABCE1A0" w14:textId="69F2D62A" w:rsidR="004338C2" w:rsidRPr="00087534" w:rsidRDefault="004338C2" w:rsidP="004B2E9B">
      <w:pPr>
        <w:pStyle w:val="ExhibitText"/>
        <w:rPr>
          <w:lang w:val="en-GB"/>
        </w:rPr>
      </w:pPr>
    </w:p>
    <w:p w14:paraId="6B28A3D8" w14:textId="470F13CE" w:rsidR="004338C2" w:rsidRPr="00087534" w:rsidRDefault="004338C2" w:rsidP="004B2E9B">
      <w:pPr>
        <w:pStyle w:val="ExhibitHeading"/>
        <w:rPr>
          <w:rFonts w:eastAsia="Arial Unicode MS"/>
          <w:lang w:val="en-GB"/>
        </w:rPr>
      </w:pPr>
      <w:r w:rsidRPr="00087534">
        <w:rPr>
          <w:rFonts w:eastAsia="Arial Unicode MS"/>
          <w:lang w:val="en-GB"/>
        </w:rPr>
        <w:t>EXHIBIT 4: N</w:t>
      </w:r>
      <w:r>
        <w:rPr>
          <w:rFonts w:eastAsia="Arial Unicode MS"/>
          <w:lang w:val="en-GB"/>
        </w:rPr>
        <w:t xml:space="preserve">atco </w:t>
      </w:r>
      <w:r w:rsidRPr="00087534">
        <w:rPr>
          <w:rFonts w:eastAsia="Arial Unicode MS"/>
          <w:lang w:val="en-GB"/>
        </w:rPr>
        <w:t>P</w:t>
      </w:r>
      <w:r>
        <w:rPr>
          <w:rFonts w:eastAsia="Arial Unicode MS"/>
          <w:lang w:val="en-GB"/>
        </w:rPr>
        <w:t xml:space="preserve">harma </w:t>
      </w:r>
      <w:r w:rsidRPr="00087534">
        <w:rPr>
          <w:rFonts w:eastAsia="Arial Unicode MS"/>
          <w:lang w:val="en-GB"/>
        </w:rPr>
        <w:t>L</w:t>
      </w:r>
      <w:r>
        <w:rPr>
          <w:rFonts w:eastAsia="Arial Unicode MS"/>
          <w:lang w:val="en-GB"/>
        </w:rPr>
        <w:t>imited</w:t>
      </w:r>
      <w:r w:rsidRPr="00087534">
        <w:rPr>
          <w:rFonts w:eastAsia="Arial Unicode MS"/>
          <w:lang w:val="en-GB"/>
        </w:rPr>
        <w:t>’s SHARE PRICE AND PAYMENT OF DIVIDENDS</w:t>
      </w:r>
      <w:proofErr w:type="gramStart"/>
      <w:r>
        <w:rPr>
          <w:rFonts w:eastAsia="Arial Unicode MS"/>
          <w:lang w:val="en-GB"/>
        </w:rPr>
        <w:t>,</w:t>
      </w:r>
      <w:proofErr w:type="gramEnd"/>
      <w:r w:rsidR="00364419">
        <w:rPr>
          <w:rFonts w:eastAsia="Arial Unicode MS"/>
          <w:lang w:val="en-GB"/>
        </w:rPr>
        <w:br/>
        <w:t xml:space="preserve">FY </w:t>
      </w:r>
      <w:r>
        <w:rPr>
          <w:rFonts w:eastAsia="Arial Unicode MS"/>
          <w:lang w:val="en-GB"/>
        </w:rPr>
        <w:t>2012–13 to 2015</w:t>
      </w:r>
    </w:p>
    <w:p w14:paraId="112284D1" w14:textId="77777777" w:rsidR="004338C2" w:rsidRPr="00087534" w:rsidRDefault="004338C2" w:rsidP="004B2E9B">
      <w:pPr>
        <w:pStyle w:val="ExhibitText"/>
        <w:rPr>
          <w:rFonts w:eastAsia="Arial Unicode MS"/>
          <w:lang w:val="en-GB"/>
        </w:rPr>
      </w:pPr>
    </w:p>
    <w:tbl>
      <w:tblPr>
        <w:tblStyle w:val="TableGrid"/>
        <w:tblW w:w="0" w:type="auto"/>
        <w:jc w:val="center"/>
        <w:tblLook w:val="04A0" w:firstRow="1" w:lastRow="0" w:firstColumn="1" w:lastColumn="0" w:noHBand="0" w:noVBand="1"/>
      </w:tblPr>
      <w:tblGrid>
        <w:gridCol w:w="1435"/>
        <w:gridCol w:w="2070"/>
        <w:gridCol w:w="1440"/>
        <w:gridCol w:w="3600"/>
      </w:tblGrid>
      <w:tr w:rsidR="004338C2" w:rsidRPr="00087534" w14:paraId="5DE70C11" w14:textId="77777777" w:rsidTr="00E61FC8">
        <w:trPr>
          <w:jc w:val="center"/>
        </w:trPr>
        <w:tc>
          <w:tcPr>
            <w:tcW w:w="1435" w:type="dxa"/>
            <w:vAlign w:val="center"/>
          </w:tcPr>
          <w:p w14:paraId="744DF667" w14:textId="77777777" w:rsidR="004338C2" w:rsidRPr="00087534" w:rsidRDefault="004338C2" w:rsidP="004B2E9B">
            <w:pPr>
              <w:pStyle w:val="ExhibitText"/>
              <w:jc w:val="left"/>
              <w:rPr>
                <w:rFonts w:eastAsia="Arial Unicode MS"/>
                <w:b/>
                <w:lang w:val="en-GB"/>
              </w:rPr>
            </w:pPr>
            <w:r w:rsidRPr="00087534">
              <w:rPr>
                <w:rFonts w:eastAsia="Arial Unicode MS"/>
                <w:b/>
                <w:lang w:val="en-GB"/>
              </w:rPr>
              <w:t>Financial Year / Month</w:t>
            </w:r>
          </w:p>
        </w:tc>
        <w:tc>
          <w:tcPr>
            <w:tcW w:w="2070" w:type="dxa"/>
            <w:vAlign w:val="center"/>
          </w:tcPr>
          <w:p w14:paraId="6DF2BB43" w14:textId="3B0817E1" w:rsidR="004338C2" w:rsidRPr="00087534" w:rsidRDefault="004338C2" w:rsidP="003551AD">
            <w:pPr>
              <w:pStyle w:val="ExhibitText"/>
              <w:jc w:val="center"/>
              <w:rPr>
                <w:rFonts w:eastAsia="Arial Unicode MS"/>
                <w:b/>
                <w:lang w:val="en-GB"/>
              </w:rPr>
            </w:pPr>
            <w:r w:rsidRPr="00087534">
              <w:rPr>
                <w:rFonts w:eastAsia="Arial Unicode MS"/>
                <w:b/>
                <w:lang w:val="en-GB"/>
              </w:rPr>
              <w:t xml:space="preserve">Average </w:t>
            </w:r>
            <w:r>
              <w:rPr>
                <w:rFonts w:eastAsia="Arial Unicode MS"/>
                <w:b/>
                <w:lang w:val="en-GB"/>
              </w:rPr>
              <w:t xml:space="preserve">Share </w:t>
            </w:r>
            <w:r w:rsidRPr="00087534">
              <w:rPr>
                <w:rFonts w:eastAsia="Arial Unicode MS"/>
                <w:b/>
                <w:lang w:val="en-GB"/>
              </w:rPr>
              <w:t xml:space="preserve">Price on NSE (in </w:t>
            </w:r>
            <w:r w:rsidRPr="00977E45">
              <w:rPr>
                <w:rFonts w:eastAsia="Arial Unicode MS"/>
                <w:b/>
                <w:lang w:val="en-GB"/>
              </w:rPr>
              <w:t>₹</w:t>
            </w:r>
            <w:r w:rsidRPr="00087534">
              <w:rPr>
                <w:rFonts w:eastAsia="Arial Unicode MS"/>
                <w:b/>
                <w:lang w:val="en-GB"/>
              </w:rPr>
              <w:t>)</w:t>
            </w:r>
          </w:p>
        </w:tc>
        <w:tc>
          <w:tcPr>
            <w:tcW w:w="1440" w:type="dxa"/>
            <w:vAlign w:val="center"/>
          </w:tcPr>
          <w:p w14:paraId="1406DE45" w14:textId="77777777" w:rsidR="004338C2" w:rsidRPr="00087534" w:rsidRDefault="004338C2" w:rsidP="004B2E9B">
            <w:pPr>
              <w:pStyle w:val="ExhibitText"/>
              <w:jc w:val="center"/>
              <w:rPr>
                <w:rFonts w:eastAsia="Arial Unicode MS"/>
                <w:b/>
                <w:lang w:val="en-GB"/>
              </w:rPr>
            </w:pPr>
            <w:r w:rsidRPr="00087534">
              <w:rPr>
                <w:rFonts w:eastAsia="Arial Unicode MS"/>
                <w:b/>
                <w:lang w:val="en-GB"/>
              </w:rPr>
              <w:t>Rate of</w:t>
            </w:r>
          </w:p>
          <w:p w14:paraId="6689CA51" w14:textId="77777777" w:rsidR="004338C2" w:rsidRPr="00087534" w:rsidRDefault="004338C2" w:rsidP="004B2E9B">
            <w:pPr>
              <w:pStyle w:val="ExhibitText"/>
              <w:jc w:val="center"/>
              <w:rPr>
                <w:rFonts w:eastAsia="Arial Unicode MS"/>
                <w:b/>
                <w:lang w:val="en-GB"/>
              </w:rPr>
            </w:pPr>
            <w:r w:rsidRPr="00087534">
              <w:rPr>
                <w:rFonts w:eastAsia="Arial Unicode MS"/>
                <w:b/>
                <w:lang w:val="en-GB"/>
              </w:rPr>
              <w:t>Dividend (%)</w:t>
            </w:r>
          </w:p>
        </w:tc>
        <w:tc>
          <w:tcPr>
            <w:tcW w:w="3600" w:type="dxa"/>
            <w:vAlign w:val="center"/>
          </w:tcPr>
          <w:p w14:paraId="4F2369AE" w14:textId="2D9F1EA3" w:rsidR="004338C2" w:rsidRPr="00087534" w:rsidRDefault="004338C2" w:rsidP="004B2E9B">
            <w:pPr>
              <w:pStyle w:val="ExhibitText"/>
              <w:jc w:val="center"/>
              <w:rPr>
                <w:rFonts w:eastAsia="Arial Unicode MS"/>
                <w:b/>
                <w:lang w:val="en-GB"/>
              </w:rPr>
            </w:pPr>
            <w:r w:rsidRPr="00087534">
              <w:rPr>
                <w:rFonts w:eastAsia="Arial Unicode MS"/>
                <w:b/>
                <w:lang w:val="en-GB"/>
              </w:rPr>
              <w:t xml:space="preserve">Number of </w:t>
            </w:r>
            <w:proofErr w:type="spellStart"/>
            <w:r w:rsidRPr="00087534">
              <w:rPr>
                <w:rFonts w:eastAsia="Arial Unicode MS"/>
                <w:b/>
                <w:lang w:val="en-GB"/>
              </w:rPr>
              <w:t>N</w:t>
            </w:r>
            <w:r>
              <w:rPr>
                <w:rFonts w:eastAsia="Arial Unicode MS"/>
                <w:b/>
                <w:lang w:val="en-GB"/>
              </w:rPr>
              <w:t>atco</w:t>
            </w:r>
            <w:proofErr w:type="spellEnd"/>
            <w:r>
              <w:rPr>
                <w:rFonts w:eastAsia="Arial Unicode MS"/>
                <w:b/>
                <w:lang w:val="en-GB"/>
              </w:rPr>
              <w:t xml:space="preserve"> </w:t>
            </w:r>
            <w:r w:rsidRPr="00087534">
              <w:rPr>
                <w:rFonts w:eastAsia="Arial Unicode MS"/>
                <w:b/>
                <w:lang w:val="en-GB"/>
              </w:rPr>
              <w:t>P</w:t>
            </w:r>
            <w:r>
              <w:rPr>
                <w:rFonts w:eastAsia="Arial Unicode MS"/>
                <w:b/>
                <w:lang w:val="en-GB"/>
              </w:rPr>
              <w:t xml:space="preserve">harma </w:t>
            </w:r>
            <w:r w:rsidRPr="00087534">
              <w:rPr>
                <w:rFonts w:eastAsia="Arial Unicode MS"/>
                <w:b/>
                <w:lang w:val="en-GB"/>
              </w:rPr>
              <w:t>L</w:t>
            </w:r>
            <w:r>
              <w:rPr>
                <w:rFonts w:eastAsia="Arial Unicode MS"/>
                <w:b/>
                <w:lang w:val="en-GB"/>
              </w:rPr>
              <w:t>imited</w:t>
            </w:r>
            <w:r w:rsidRPr="00087534">
              <w:rPr>
                <w:rFonts w:eastAsia="Arial Unicode MS"/>
                <w:b/>
                <w:lang w:val="en-GB"/>
              </w:rPr>
              <w:t>’s Shares Traded on</w:t>
            </w:r>
            <w:r>
              <w:rPr>
                <w:rFonts w:eastAsia="Arial Unicode MS"/>
                <w:b/>
                <w:lang w:val="en-GB"/>
              </w:rPr>
              <w:t xml:space="preserve"> the</w:t>
            </w:r>
            <w:r w:rsidRPr="00087534">
              <w:rPr>
                <w:rFonts w:eastAsia="Arial Unicode MS"/>
                <w:b/>
                <w:lang w:val="en-GB"/>
              </w:rPr>
              <w:t xml:space="preserve"> NSE</w:t>
            </w:r>
          </w:p>
          <w:p w14:paraId="1C9A1367" w14:textId="4088E802" w:rsidR="004338C2" w:rsidRPr="00087534" w:rsidRDefault="004338C2" w:rsidP="003551AD">
            <w:pPr>
              <w:pStyle w:val="ExhibitText"/>
              <w:jc w:val="center"/>
              <w:rPr>
                <w:rFonts w:eastAsia="Arial Unicode MS"/>
                <w:b/>
                <w:lang w:val="en-GB"/>
              </w:rPr>
            </w:pPr>
            <w:r w:rsidRPr="00087534">
              <w:rPr>
                <w:rFonts w:eastAsia="Arial Unicode MS"/>
                <w:b/>
                <w:lang w:val="en-GB"/>
              </w:rPr>
              <w:t xml:space="preserve">(in </w:t>
            </w:r>
            <w:r>
              <w:rPr>
                <w:rFonts w:eastAsia="Arial Unicode MS"/>
                <w:b/>
                <w:lang w:val="en-GB"/>
              </w:rPr>
              <w:t>m</w:t>
            </w:r>
            <w:r w:rsidRPr="00087534">
              <w:rPr>
                <w:rFonts w:eastAsia="Arial Unicode MS"/>
                <w:b/>
                <w:lang w:val="en-GB"/>
              </w:rPr>
              <w:t>illion</w:t>
            </w:r>
            <w:r>
              <w:rPr>
                <w:rFonts w:eastAsia="Arial Unicode MS"/>
                <w:b/>
                <w:lang w:val="en-GB"/>
              </w:rPr>
              <w:t>s</w:t>
            </w:r>
            <w:r w:rsidRPr="00087534">
              <w:rPr>
                <w:rFonts w:eastAsia="Arial Unicode MS"/>
                <w:b/>
                <w:lang w:val="en-GB"/>
              </w:rPr>
              <w:t>)</w:t>
            </w:r>
          </w:p>
        </w:tc>
      </w:tr>
      <w:tr w:rsidR="004338C2" w:rsidRPr="00087534" w14:paraId="09C2BE3F" w14:textId="77777777" w:rsidTr="00E61FC8">
        <w:trPr>
          <w:jc w:val="center"/>
        </w:trPr>
        <w:tc>
          <w:tcPr>
            <w:tcW w:w="1435" w:type="dxa"/>
            <w:vAlign w:val="center"/>
          </w:tcPr>
          <w:p w14:paraId="03C6C41E" w14:textId="5F396353" w:rsidR="004338C2" w:rsidRPr="00087534" w:rsidRDefault="004338C2" w:rsidP="00A72D9F">
            <w:pPr>
              <w:pStyle w:val="ExhibitText"/>
              <w:jc w:val="left"/>
              <w:rPr>
                <w:rFonts w:eastAsia="Arial Unicode MS"/>
                <w:lang w:val="en-GB"/>
              </w:rPr>
            </w:pPr>
            <w:r w:rsidRPr="00087534">
              <w:rPr>
                <w:rFonts w:eastAsia="Arial Unicode MS"/>
                <w:lang w:val="en-GB"/>
              </w:rPr>
              <w:t>2012</w:t>
            </w:r>
            <w:r>
              <w:rPr>
                <w:rFonts w:eastAsia="Arial Unicode MS"/>
                <w:lang w:val="en-GB"/>
              </w:rPr>
              <w:t>–</w:t>
            </w:r>
            <w:r w:rsidRPr="00087534">
              <w:rPr>
                <w:rFonts w:eastAsia="Arial Unicode MS"/>
                <w:lang w:val="en-GB"/>
              </w:rPr>
              <w:t>13</w:t>
            </w:r>
          </w:p>
        </w:tc>
        <w:tc>
          <w:tcPr>
            <w:tcW w:w="2070" w:type="dxa"/>
            <w:vAlign w:val="center"/>
          </w:tcPr>
          <w:p w14:paraId="7B5E6180" w14:textId="77777777" w:rsidR="004338C2" w:rsidRPr="00087534" w:rsidRDefault="004338C2" w:rsidP="00E61FC8">
            <w:pPr>
              <w:pStyle w:val="ExhibitText"/>
              <w:tabs>
                <w:tab w:val="decimal" w:pos="1203"/>
              </w:tabs>
              <w:jc w:val="right"/>
              <w:rPr>
                <w:rFonts w:eastAsia="Arial Unicode MS"/>
                <w:lang w:val="en-GB"/>
              </w:rPr>
            </w:pPr>
            <w:r w:rsidRPr="00087534">
              <w:rPr>
                <w:rFonts w:eastAsia="Arial Unicode MS"/>
                <w:lang w:val="en-GB"/>
              </w:rPr>
              <w:t>397.16</w:t>
            </w:r>
          </w:p>
        </w:tc>
        <w:tc>
          <w:tcPr>
            <w:tcW w:w="1440" w:type="dxa"/>
            <w:vAlign w:val="center"/>
          </w:tcPr>
          <w:p w14:paraId="6ECF6AF3" w14:textId="77777777" w:rsidR="004338C2" w:rsidRPr="00087534" w:rsidRDefault="004338C2" w:rsidP="004B2E9B">
            <w:pPr>
              <w:pStyle w:val="ExhibitText"/>
              <w:jc w:val="right"/>
              <w:rPr>
                <w:rFonts w:eastAsia="Arial Unicode MS"/>
                <w:lang w:val="en-GB"/>
              </w:rPr>
            </w:pPr>
            <w:r w:rsidRPr="00087534">
              <w:rPr>
                <w:rFonts w:eastAsia="Arial Unicode MS"/>
                <w:lang w:val="en-GB"/>
              </w:rPr>
              <w:t>40</w:t>
            </w:r>
          </w:p>
        </w:tc>
        <w:tc>
          <w:tcPr>
            <w:tcW w:w="3600" w:type="dxa"/>
            <w:vAlign w:val="center"/>
          </w:tcPr>
          <w:p w14:paraId="2646EB6F" w14:textId="10728368" w:rsidR="004338C2" w:rsidRPr="00087534" w:rsidRDefault="004338C2" w:rsidP="00E61FC8">
            <w:pPr>
              <w:pStyle w:val="ExhibitText"/>
              <w:tabs>
                <w:tab w:val="decimal" w:pos="1160"/>
              </w:tabs>
              <w:jc w:val="right"/>
              <w:rPr>
                <w:rFonts w:eastAsia="Arial Unicode MS"/>
                <w:lang w:val="en-GB"/>
              </w:rPr>
            </w:pPr>
            <w:r w:rsidRPr="00087534">
              <w:rPr>
                <w:rFonts w:eastAsia="Arial Unicode MS"/>
                <w:lang w:val="en-GB"/>
              </w:rPr>
              <w:t>16.16</w:t>
            </w:r>
          </w:p>
        </w:tc>
      </w:tr>
      <w:tr w:rsidR="004338C2" w:rsidRPr="00087534" w14:paraId="761490BD" w14:textId="77777777" w:rsidTr="00E61FC8">
        <w:trPr>
          <w:jc w:val="center"/>
        </w:trPr>
        <w:tc>
          <w:tcPr>
            <w:tcW w:w="1435" w:type="dxa"/>
            <w:vAlign w:val="center"/>
          </w:tcPr>
          <w:p w14:paraId="0F091DDA" w14:textId="37A455BF" w:rsidR="004338C2" w:rsidRPr="00087534" w:rsidRDefault="004338C2" w:rsidP="00A72D9F">
            <w:pPr>
              <w:pStyle w:val="ExhibitText"/>
              <w:jc w:val="left"/>
              <w:rPr>
                <w:rFonts w:eastAsia="Arial Unicode MS"/>
                <w:lang w:val="en-GB"/>
              </w:rPr>
            </w:pPr>
            <w:r w:rsidRPr="00087534">
              <w:rPr>
                <w:rFonts w:eastAsia="Arial Unicode MS"/>
                <w:lang w:val="en-GB"/>
              </w:rPr>
              <w:t>2013</w:t>
            </w:r>
            <w:r>
              <w:rPr>
                <w:rFonts w:eastAsia="Arial Unicode MS"/>
                <w:lang w:val="en-GB"/>
              </w:rPr>
              <w:t>–</w:t>
            </w:r>
            <w:r w:rsidRPr="00087534">
              <w:rPr>
                <w:rFonts w:eastAsia="Arial Unicode MS"/>
                <w:lang w:val="en-GB"/>
              </w:rPr>
              <w:t>14</w:t>
            </w:r>
          </w:p>
        </w:tc>
        <w:tc>
          <w:tcPr>
            <w:tcW w:w="2070" w:type="dxa"/>
            <w:vAlign w:val="center"/>
          </w:tcPr>
          <w:p w14:paraId="6BCAF90D" w14:textId="77777777" w:rsidR="004338C2" w:rsidRPr="00087534" w:rsidRDefault="004338C2" w:rsidP="00E61FC8">
            <w:pPr>
              <w:pStyle w:val="ExhibitText"/>
              <w:tabs>
                <w:tab w:val="decimal" w:pos="1203"/>
              </w:tabs>
              <w:jc w:val="right"/>
              <w:rPr>
                <w:rFonts w:eastAsia="Arial Unicode MS"/>
                <w:lang w:val="en-GB"/>
              </w:rPr>
            </w:pPr>
            <w:r w:rsidRPr="00087534">
              <w:rPr>
                <w:rFonts w:eastAsia="Arial Unicode MS"/>
                <w:lang w:val="en-GB"/>
              </w:rPr>
              <w:t>631.96</w:t>
            </w:r>
          </w:p>
        </w:tc>
        <w:tc>
          <w:tcPr>
            <w:tcW w:w="1440" w:type="dxa"/>
            <w:vAlign w:val="center"/>
          </w:tcPr>
          <w:p w14:paraId="64C16527" w14:textId="77777777" w:rsidR="004338C2" w:rsidRPr="00087534" w:rsidRDefault="004338C2" w:rsidP="004B2E9B">
            <w:pPr>
              <w:pStyle w:val="ExhibitText"/>
              <w:jc w:val="right"/>
              <w:rPr>
                <w:rFonts w:eastAsia="Arial Unicode MS"/>
                <w:lang w:val="en-GB"/>
              </w:rPr>
            </w:pPr>
            <w:r w:rsidRPr="00087534">
              <w:rPr>
                <w:rFonts w:eastAsia="Arial Unicode MS"/>
                <w:lang w:val="en-GB"/>
              </w:rPr>
              <w:t>50</w:t>
            </w:r>
          </w:p>
        </w:tc>
        <w:tc>
          <w:tcPr>
            <w:tcW w:w="3600" w:type="dxa"/>
            <w:vAlign w:val="center"/>
          </w:tcPr>
          <w:p w14:paraId="6A5265B4" w14:textId="77777777" w:rsidR="004338C2" w:rsidRPr="00087534" w:rsidRDefault="004338C2" w:rsidP="00E61FC8">
            <w:pPr>
              <w:pStyle w:val="ExhibitText"/>
              <w:tabs>
                <w:tab w:val="decimal" w:pos="1160"/>
              </w:tabs>
              <w:jc w:val="right"/>
              <w:rPr>
                <w:rFonts w:eastAsia="Arial Unicode MS"/>
                <w:lang w:val="en-GB"/>
              </w:rPr>
            </w:pPr>
            <w:r w:rsidRPr="00087534">
              <w:rPr>
                <w:rFonts w:eastAsia="Arial Unicode MS"/>
                <w:lang w:val="en-GB"/>
              </w:rPr>
              <w:t>16.62</w:t>
            </w:r>
          </w:p>
        </w:tc>
      </w:tr>
      <w:tr w:rsidR="004338C2" w:rsidRPr="00087534" w14:paraId="5891A934" w14:textId="77777777" w:rsidTr="00E61FC8">
        <w:trPr>
          <w:jc w:val="center"/>
        </w:trPr>
        <w:tc>
          <w:tcPr>
            <w:tcW w:w="1435" w:type="dxa"/>
            <w:vAlign w:val="center"/>
          </w:tcPr>
          <w:p w14:paraId="0E01A783" w14:textId="367A5E1F" w:rsidR="004338C2" w:rsidRPr="00087534" w:rsidRDefault="004338C2" w:rsidP="00A72D9F">
            <w:pPr>
              <w:pStyle w:val="ExhibitText"/>
              <w:jc w:val="left"/>
              <w:rPr>
                <w:rFonts w:eastAsia="Arial Unicode MS"/>
                <w:lang w:val="en-GB"/>
              </w:rPr>
            </w:pPr>
            <w:r w:rsidRPr="00087534">
              <w:rPr>
                <w:rFonts w:eastAsia="Arial Unicode MS"/>
                <w:lang w:val="en-GB"/>
              </w:rPr>
              <w:t>2014</w:t>
            </w:r>
            <w:r>
              <w:rPr>
                <w:rFonts w:eastAsia="Arial Unicode MS"/>
                <w:lang w:val="en-GB"/>
              </w:rPr>
              <w:t>–</w:t>
            </w:r>
            <w:r w:rsidRPr="00087534">
              <w:rPr>
                <w:rFonts w:eastAsia="Arial Unicode MS"/>
                <w:lang w:val="en-GB"/>
              </w:rPr>
              <w:t>15</w:t>
            </w:r>
          </w:p>
        </w:tc>
        <w:tc>
          <w:tcPr>
            <w:tcW w:w="2070" w:type="dxa"/>
            <w:vAlign w:val="center"/>
          </w:tcPr>
          <w:p w14:paraId="70840203" w14:textId="3FD267C1" w:rsidR="004338C2" w:rsidRPr="00087534" w:rsidRDefault="004338C2" w:rsidP="00E61FC8">
            <w:pPr>
              <w:pStyle w:val="ExhibitText"/>
              <w:tabs>
                <w:tab w:val="decimal" w:pos="1203"/>
              </w:tabs>
              <w:jc w:val="right"/>
              <w:rPr>
                <w:rFonts w:eastAsia="Arial Unicode MS"/>
                <w:lang w:val="en-GB"/>
              </w:rPr>
            </w:pPr>
            <w:r w:rsidRPr="00087534">
              <w:rPr>
                <w:rFonts w:eastAsia="Arial Unicode MS"/>
                <w:lang w:val="en-GB"/>
              </w:rPr>
              <w:t>1</w:t>
            </w:r>
            <w:r>
              <w:rPr>
                <w:rFonts w:eastAsia="Arial Unicode MS"/>
                <w:lang w:val="en-GB"/>
              </w:rPr>
              <w:t>,</w:t>
            </w:r>
            <w:r w:rsidRPr="00087534">
              <w:rPr>
                <w:rFonts w:eastAsia="Arial Unicode MS"/>
                <w:lang w:val="en-GB"/>
              </w:rPr>
              <w:t>255.68</w:t>
            </w:r>
          </w:p>
        </w:tc>
        <w:tc>
          <w:tcPr>
            <w:tcW w:w="1440" w:type="dxa"/>
            <w:vAlign w:val="center"/>
          </w:tcPr>
          <w:p w14:paraId="134E1A7D" w14:textId="77777777" w:rsidR="004338C2" w:rsidRPr="00087534" w:rsidRDefault="004338C2" w:rsidP="004B2E9B">
            <w:pPr>
              <w:pStyle w:val="ExhibitText"/>
              <w:jc w:val="right"/>
              <w:rPr>
                <w:rFonts w:eastAsia="Arial Unicode MS"/>
                <w:lang w:val="en-GB"/>
              </w:rPr>
            </w:pPr>
            <w:r w:rsidRPr="00087534">
              <w:rPr>
                <w:rFonts w:eastAsia="Arial Unicode MS"/>
                <w:lang w:val="en-GB"/>
              </w:rPr>
              <w:t>50</w:t>
            </w:r>
          </w:p>
        </w:tc>
        <w:tc>
          <w:tcPr>
            <w:tcW w:w="3600" w:type="dxa"/>
            <w:vAlign w:val="center"/>
          </w:tcPr>
          <w:p w14:paraId="365AE861" w14:textId="77777777" w:rsidR="004338C2" w:rsidRPr="00087534" w:rsidRDefault="004338C2" w:rsidP="00E61FC8">
            <w:pPr>
              <w:pStyle w:val="ExhibitText"/>
              <w:tabs>
                <w:tab w:val="decimal" w:pos="1160"/>
              </w:tabs>
              <w:jc w:val="right"/>
              <w:rPr>
                <w:rFonts w:eastAsia="Arial Unicode MS"/>
                <w:lang w:val="en-GB"/>
              </w:rPr>
            </w:pPr>
            <w:r w:rsidRPr="00087534">
              <w:rPr>
                <w:rFonts w:eastAsia="Arial Unicode MS"/>
                <w:lang w:val="en-GB"/>
              </w:rPr>
              <w:t>22.73</w:t>
            </w:r>
          </w:p>
        </w:tc>
      </w:tr>
      <w:tr w:rsidR="004338C2" w:rsidRPr="00087534" w14:paraId="1F757E03" w14:textId="77777777" w:rsidTr="00E61FC8">
        <w:trPr>
          <w:jc w:val="center"/>
        </w:trPr>
        <w:tc>
          <w:tcPr>
            <w:tcW w:w="1435" w:type="dxa"/>
            <w:vAlign w:val="center"/>
          </w:tcPr>
          <w:p w14:paraId="6715132B" w14:textId="0F79AE05" w:rsidR="004338C2" w:rsidRPr="00087534" w:rsidRDefault="004338C2" w:rsidP="00A72D9F">
            <w:pPr>
              <w:pStyle w:val="ExhibitText"/>
              <w:jc w:val="left"/>
              <w:rPr>
                <w:rFonts w:eastAsia="Arial Unicode MS"/>
                <w:lang w:val="en-GB"/>
              </w:rPr>
            </w:pPr>
            <w:r w:rsidRPr="00087534">
              <w:rPr>
                <w:rFonts w:eastAsia="Arial Unicode MS"/>
                <w:lang w:val="en-GB"/>
              </w:rPr>
              <w:t>August 2015</w:t>
            </w:r>
          </w:p>
        </w:tc>
        <w:tc>
          <w:tcPr>
            <w:tcW w:w="2070" w:type="dxa"/>
            <w:vAlign w:val="center"/>
          </w:tcPr>
          <w:p w14:paraId="2E8D4C50" w14:textId="05E32052" w:rsidR="004338C2" w:rsidRPr="00087534" w:rsidRDefault="004338C2" w:rsidP="00E61FC8">
            <w:pPr>
              <w:pStyle w:val="ExhibitText"/>
              <w:tabs>
                <w:tab w:val="decimal" w:pos="1203"/>
              </w:tabs>
              <w:jc w:val="right"/>
              <w:rPr>
                <w:rFonts w:eastAsia="Arial Unicode MS"/>
                <w:lang w:val="en-GB"/>
              </w:rPr>
            </w:pPr>
            <w:r w:rsidRPr="00087534">
              <w:rPr>
                <w:rFonts w:eastAsia="Arial Unicode MS"/>
                <w:lang w:val="en-GB"/>
              </w:rPr>
              <w:t>2</w:t>
            </w:r>
            <w:r>
              <w:rPr>
                <w:rFonts w:eastAsia="Arial Unicode MS"/>
                <w:lang w:val="en-GB"/>
              </w:rPr>
              <w:t>,</w:t>
            </w:r>
            <w:r w:rsidRPr="00087534">
              <w:rPr>
                <w:rFonts w:eastAsia="Arial Unicode MS"/>
                <w:lang w:val="en-GB"/>
              </w:rPr>
              <w:t>308.49</w:t>
            </w:r>
          </w:p>
        </w:tc>
        <w:tc>
          <w:tcPr>
            <w:tcW w:w="1440" w:type="dxa"/>
            <w:vAlign w:val="center"/>
          </w:tcPr>
          <w:p w14:paraId="7DB55DEB" w14:textId="4A15B8BA" w:rsidR="004338C2" w:rsidRPr="00087534" w:rsidRDefault="004338C2" w:rsidP="004B2E9B">
            <w:pPr>
              <w:pStyle w:val="ExhibitText"/>
              <w:jc w:val="right"/>
              <w:rPr>
                <w:rFonts w:eastAsia="Arial Unicode MS"/>
                <w:lang w:val="en-GB"/>
              </w:rPr>
            </w:pPr>
            <w:r>
              <w:rPr>
                <w:rFonts w:eastAsia="Arial Unicode MS"/>
                <w:lang w:val="en-GB"/>
              </w:rPr>
              <w:t>–</w:t>
            </w:r>
          </w:p>
        </w:tc>
        <w:tc>
          <w:tcPr>
            <w:tcW w:w="3600" w:type="dxa"/>
            <w:vAlign w:val="center"/>
          </w:tcPr>
          <w:p w14:paraId="31E0FDCD" w14:textId="77777777" w:rsidR="004338C2" w:rsidRPr="00087534" w:rsidRDefault="004338C2" w:rsidP="00E61FC8">
            <w:pPr>
              <w:pStyle w:val="ExhibitText"/>
              <w:tabs>
                <w:tab w:val="decimal" w:pos="1160"/>
              </w:tabs>
              <w:jc w:val="right"/>
              <w:rPr>
                <w:rFonts w:eastAsia="Arial Unicode MS"/>
                <w:lang w:val="en-GB"/>
              </w:rPr>
            </w:pPr>
            <w:r w:rsidRPr="00087534">
              <w:rPr>
                <w:rFonts w:eastAsia="Arial Unicode MS"/>
                <w:lang w:val="en-GB"/>
              </w:rPr>
              <w:t>2.16</w:t>
            </w:r>
          </w:p>
        </w:tc>
      </w:tr>
    </w:tbl>
    <w:p w14:paraId="796FF913" w14:textId="77777777" w:rsidR="004338C2" w:rsidRPr="00087534" w:rsidRDefault="004338C2" w:rsidP="00A72D9F">
      <w:pPr>
        <w:pStyle w:val="Footnote"/>
        <w:rPr>
          <w:rFonts w:eastAsia="Arial Unicode MS"/>
          <w:lang w:val="en-GB"/>
        </w:rPr>
      </w:pPr>
    </w:p>
    <w:p w14:paraId="434DC1E0" w14:textId="29FB537F" w:rsidR="004338C2" w:rsidRDefault="004338C2" w:rsidP="004B2E9B">
      <w:pPr>
        <w:pStyle w:val="Footnote"/>
        <w:rPr>
          <w:rFonts w:eastAsia="Arial Unicode MS"/>
          <w:lang w:val="en-GB"/>
        </w:rPr>
      </w:pPr>
      <w:r>
        <w:rPr>
          <w:rFonts w:eastAsia="Arial Unicode MS"/>
          <w:lang w:val="en-GB"/>
        </w:rPr>
        <w:t xml:space="preserve">Note: NSE = National Stock Exchange of India Limited; </w:t>
      </w:r>
      <w:r w:rsidRPr="00977E45">
        <w:t xml:space="preserve">₹ </w:t>
      </w:r>
      <w:r w:rsidRPr="00E86B7A">
        <w:t xml:space="preserve">= </w:t>
      </w:r>
      <w:r>
        <w:t>INR</w:t>
      </w:r>
      <w:r w:rsidRPr="00E86B7A">
        <w:t xml:space="preserve"> </w:t>
      </w:r>
      <w:r w:rsidRPr="00994588">
        <w:t>= Indian rupee</w:t>
      </w:r>
      <w:r>
        <w:t>;</w:t>
      </w:r>
      <w:r w:rsidRPr="00994588">
        <w:t xml:space="preserve"> US$</w:t>
      </w:r>
      <w:r>
        <w:t>1</w:t>
      </w:r>
      <w:r w:rsidR="00364419">
        <w:t>.00</w:t>
      </w:r>
      <w:r w:rsidRPr="00994588">
        <w:t xml:space="preserve"> = </w:t>
      </w:r>
      <w:r w:rsidRPr="00977E45">
        <w:t>₹</w:t>
      </w:r>
      <w:r w:rsidRPr="00994588">
        <w:t>66.31</w:t>
      </w:r>
      <w:r w:rsidR="00E336CA">
        <w:t xml:space="preserve"> on August 31, 2015.</w:t>
      </w:r>
    </w:p>
    <w:p w14:paraId="7D17442D" w14:textId="3E5C9947" w:rsidR="00E336CA" w:rsidRDefault="004338C2" w:rsidP="00E336CA">
      <w:pPr>
        <w:pStyle w:val="Footnote"/>
        <w:rPr>
          <w:rFonts w:eastAsia="Arial Unicode MS"/>
          <w:lang w:val="en-GB"/>
        </w:rPr>
      </w:pPr>
      <w:r w:rsidRPr="00087534">
        <w:rPr>
          <w:rFonts w:eastAsia="Arial Unicode MS"/>
          <w:lang w:val="en-GB"/>
        </w:rPr>
        <w:t>Source: Company documents.</w:t>
      </w:r>
    </w:p>
    <w:p w14:paraId="749AA3C8" w14:textId="77777777" w:rsidR="00E336CA" w:rsidRDefault="00E336CA">
      <w:pPr>
        <w:spacing w:after="200" w:line="276" w:lineRule="auto"/>
        <w:rPr>
          <w:rFonts w:ascii="Arial" w:eastAsia="Arial Unicode MS" w:hAnsi="Arial" w:cs="Arial"/>
          <w:sz w:val="17"/>
          <w:szCs w:val="17"/>
          <w:lang w:val="en-GB"/>
        </w:rPr>
      </w:pPr>
      <w:r>
        <w:rPr>
          <w:rFonts w:eastAsia="Arial Unicode MS"/>
          <w:lang w:val="en-GB"/>
        </w:rPr>
        <w:br w:type="page"/>
      </w:r>
    </w:p>
    <w:p w14:paraId="3A33D360" w14:textId="29BF0921" w:rsidR="00E336CA" w:rsidRDefault="004338C2" w:rsidP="00977E45">
      <w:pPr>
        <w:jc w:val="center"/>
        <w:rPr>
          <w:rFonts w:ascii="Arial" w:eastAsia="Arial Unicode MS" w:hAnsi="Arial" w:cs="Arial"/>
          <w:b/>
          <w:bCs/>
          <w:lang w:val="en-GB"/>
        </w:rPr>
      </w:pPr>
      <w:r w:rsidRPr="00087534">
        <w:rPr>
          <w:rFonts w:ascii="Arial" w:eastAsia="Arial Unicode MS" w:hAnsi="Arial" w:cs="Arial"/>
          <w:b/>
          <w:bCs/>
          <w:lang w:val="en-GB"/>
        </w:rPr>
        <w:lastRenderedPageBreak/>
        <w:t>EXHIBIT 5: COMPARISON OF N</w:t>
      </w:r>
      <w:r>
        <w:rPr>
          <w:rFonts w:ascii="Arial" w:eastAsia="Arial Unicode MS" w:hAnsi="Arial" w:cs="Arial"/>
          <w:b/>
          <w:bCs/>
          <w:lang w:val="en-GB"/>
        </w:rPr>
        <w:t xml:space="preserve">ATCO </w:t>
      </w:r>
      <w:r w:rsidRPr="00087534">
        <w:rPr>
          <w:rFonts w:ascii="Arial" w:eastAsia="Arial Unicode MS" w:hAnsi="Arial" w:cs="Arial"/>
          <w:b/>
          <w:bCs/>
          <w:lang w:val="en-GB"/>
        </w:rPr>
        <w:t>P</w:t>
      </w:r>
      <w:r>
        <w:rPr>
          <w:rFonts w:ascii="Arial" w:eastAsia="Arial Unicode MS" w:hAnsi="Arial" w:cs="Arial"/>
          <w:b/>
          <w:bCs/>
          <w:lang w:val="en-GB"/>
        </w:rPr>
        <w:t xml:space="preserve">HARMA </w:t>
      </w:r>
      <w:r w:rsidRPr="00087534">
        <w:rPr>
          <w:rFonts w:ascii="Arial" w:eastAsia="Arial Unicode MS" w:hAnsi="Arial" w:cs="Arial"/>
          <w:b/>
          <w:bCs/>
          <w:lang w:val="en-GB"/>
        </w:rPr>
        <w:t>L</w:t>
      </w:r>
      <w:r>
        <w:rPr>
          <w:rFonts w:ascii="Arial" w:eastAsia="Arial Unicode MS" w:hAnsi="Arial" w:cs="Arial"/>
          <w:b/>
          <w:bCs/>
          <w:lang w:val="en-GB"/>
        </w:rPr>
        <w:t>IMITED AND ITS PEERS,</w:t>
      </w:r>
      <w:r w:rsidRPr="00087534">
        <w:rPr>
          <w:rFonts w:ascii="Arial" w:eastAsia="Arial Unicode MS" w:hAnsi="Arial" w:cs="Arial"/>
          <w:b/>
          <w:bCs/>
          <w:lang w:val="en-GB"/>
        </w:rPr>
        <w:t xml:space="preserve"> </w:t>
      </w:r>
      <w:r w:rsidR="00364419">
        <w:rPr>
          <w:rFonts w:ascii="Arial" w:eastAsia="Arial Unicode MS" w:hAnsi="Arial" w:cs="Arial"/>
          <w:b/>
          <w:bCs/>
          <w:lang w:val="en-GB"/>
        </w:rPr>
        <w:t xml:space="preserve">FY </w:t>
      </w:r>
      <w:r w:rsidRPr="00087534">
        <w:rPr>
          <w:rFonts w:ascii="Arial" w:eastAsia="Arial Unicode MS" w:hAnsi="Arial" w:cs="Arial"/>
          <w:b/>
          <w:bCs/>
          <w:lang w:val="en-GB"/>
        </w:rPr>
        <w:t>2014</w:t>
      </w:r>
      <w:r>
        <w:rPr>
          <w:rFonts w:ascii="Arial" w:eastAsia="Arial Unicode MS" w:hAnsi="Arial" w:cs="Arial"/>
          <w:b/>
          <w:bCs/>
          <w:lang w:val="en-GB"/>
        </w:rPr>
        <w:t>–</w:t>
      </w:r>
      <w:r w:rsidRPr="00087534">
        <w:rPr>
          <w:rFonts w:ascii="Arial" w:eastAsia="Arial Unicode MS" w:hAnsi="Arial" w:cs="Arial"/>
          <w:b/>
          <w:bCs/>
          <w:lang w:val="en-GB"/>
        </w:rPr>
        <w:t xml:space="preserve">15 </w:t>
      </w:r>
    </w:p>
    <w:p w14:paraId="147C542B" w14:textId="7140CA89" w:rsidR="004338C2" w:rsidRPr="00087534" w:rsidRDefault="004338C2" w:rsidP="006036F9">
      <w:pPr>
        <w:spacing w:after="200" w:line="276" w:lineRule="auto"/>
        <w:jc w:val="center"/>
        <w:rPr>
          <w:rFonts w:ascii="Arial" w:eastAsia="Arial Unicode MS" w:hAnsi="Arial" w:cs="Arial"/>
          <w:b/>
          <w:bCs/>
          <w:sz w:val="17"/>
          <w:szCs w:val="17"/>
          <w:lang w:val="en-GB"/>
        </w:rPr>
      </w:pPr>
      <w:r w:rsidRPr="00087534">
        <w:rPr>
          <w:rFonts w:ascii="Arial" w:eastAsia="Arial Unicode MS" w:hAnsi="Arial" w:cs="Arial"/>
          <w:b/>
          <w:bCs/>
          <w:lang w:val="en-GB"/>
        </w:rPr>
        <w:t>(</w:t>
      </w:r>
      <w:r>
        <w:rPr>
          <w:rFonts w:ascii="Arial" w:eastAsia="Arial Unicode MS" w:hAnsi="Arial" w:cs="Arial"/>
          <w:b/>
          <w:bCs/>
          <w:lang w:val="en-GB"/>
        </w:rPr>
        <w:t xml:space="preserve">IN </w:t>
      </w:r>
      <w:r w:rsidRPr="00087534">
        <w:rPr>
          <w:rFonts w:ascii="Arial" w:eastAsia="Arial Unicode MS" w:hAnsi="Arial" w:cs="Arial"/>
          <w:b/>
          <w:bCs/>
          <w:lang w:val="en-GB"/>
        </w:rPr>
        <w:t>₹ MILLION</w:t>
      </w:r>
      <w:r>
        <w:rPr>
          <w:rFonts w:ascii="Arial" w:eastAsia="Arial Unicode MS" w:hAnsi="Arial" w:cs="Arial"/>
          <w:b/>
          <w:bCs/>
          <w:lang w:val="en-GB"/>
        </w:rPr>
        <w:t>S</w:t>
      </w:r>
      <w:r w:rsidRPr="00087534">
        <w:rPr>
          <w:rFonts w:ascii="Arial" w:eastAsia="Arial Unicode MS" w:hAnsi="Arial" w:cs="Arial"/>
          <w:b/>
          <w:bCs/>
          <w:lang w:val="en-GB"/>
        </w:rPr>
        <w: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45"/>
        <w:gridCol w:w="810"/>
        <w:gridCol w:w="1800"/>
        <w:gridCol w:w="1170"/>
        <w:gridCol w:w="1080"/>
        <w:gridCol w:w="1350"/>
      </w:tblGrid>
      <w:tr w:rsidR="004338C2" w:rsidRPr="00087534" w14:paraId="2F565F82" w14:textId="77777777" w:rsidTr="00EB00F5">
        <w:trPr>
          <w:trHeight w:val="563"/>
          <w:jc w:val="center"/>
        </w:trPr>
        <w:tc>
          <w:tcPr>
            <w:tcW w:w="3145" w:type="dxa"/>
            <w:vAlign w:val="center"/>
          </w:tcPr>
          <w:p w14:paraId="554468D2" w14:textId="77777777" w:rsidR="004338C2" w:rsidRPr="00087534" w:rsidRDefault="004338C2" w:rsidP="003322F4">
            <w:pPr>
              <w:pStyle w:val="ExhibitText"/>
              <w:jc w:val="left"/>
              <w:rPr>
                <w:rFonts w:eastAsia="Calibri"/>
                <w:b/>
                <w:lang w:val="en-GB"/>
              </w:rPr>
            </w:pPr>
            <w:r w:rsidRPr="00087534">
              <w:rPr>
                <w:rFonts w:eastAsia="Calibri"/>
                <w:b/>
                <w:lang w:val="en-GB"/>
              </w:rPr>
              <w:t>Financial Indicator</w:t>
            </w:r>
          </w:p>
        </w:tc>
        <w:tc>
          <w:tcPr>
            <w:tcW w:w="810" w:type="dxa"/>
            <w:vAlign w:val="center"/>
          </w:tcPr>
          <w:p w14:paraId="3C762392" w14:textId="77777777" w:rsidR="004338C2" w:rsidRPr="00087534" w:rsidRDefault="004338C2" w:rsidP="003322F4">
            <w:pPr>
              <w:pStyle w:val="ExhibitText"/>
              <w:jc w:val="center"/>
              <w:rPr>
                <w:rFonts w:eastAsia="Calibri"/>
                <w:b/>
                <w:lang w:val="en-GB"/>
              </w:rPr>
            </w:pPr>
            <w:r w:rsidRPr="00087534">
              <w:rPr>
                <w:rFonts w:eastAsia="Calibri"/>
                <w:b/>
                <w:lang w:val="en-GB"/>
              </w:rPr>
              <w:t>NPL</w:t>
            </w:r>
          </w:p>
        </w:tc>
        <w:tc>
          <w:tcPr>
            <w:tcW w:w="1800" w:type="dxa"/>
            <w:vAlign w:val="center"/>
          </w:tcPr>
          <w:p w14:paraId="1B3F70D5" w14:textId="77777777" w:rsidR="004338C2" w:rsidRPr="00087534" w:rsidRDefault="004338C2" w:rsidP="003322F4">
            <w:pPr>
              <w:pStyle w:val="ExhibitText"/>
              <w:jc w:val="center"/>
              <w:rPr>
                <w:rFonts w:eastAsia="Calibri"/>
                <w:b/>
                <w:lang w:val="en-GB"/>
              </w:rPr>
            </w:pPr>
            <w:r w:rsidRPr="00087534">
              <w:rPr>
                <w:rFonts w:eastAsia="Calibri"/>
                <w:b/>
                <w:lang w:val="en-GB"/>
              </w:rPr>
              <w:t>Alembic Pharmaceuticals</w:t>
            </w:r>
          </w:p>
          <w:p w14:paraId="6BD85838" w14:textId="77777777" w:rsidR="004338C2" w:rsidRPr="00087534" w:rsidRDefault="004338C2" w:rsidP="003322F4">
            <w:pPr>
              <w:pStyle w:val="ExhibitText"/>
              <w:jc w:val="center"/>
              <w:rPr>
                <w:rFonts w:eastAsia="Calibri"/>
                <w:b/>
                <w:highlight w:val="yellow"/>
                <w:lang w:val="en-GB"/>
              </w:rPr>
            </w:pPr>
            <w:r w:rsidRPr="00087534">
              <w:rPr>
                <w:rFonts w:eastAsia="Calibri"/>
                <w:b/>
                <w:lang w:val="en-GB"/>
              </w:rPr>
              <w:t>Limited</w:t>
            </w:r>
          </w:p>
        </w:tc>
        <w:tc>
          <w:tcPr>
            <w:tcW w:w="1170" w:type="dxa"/>
            <w:vAlign w:val="center"/>
          </w:tcPr>
          <w:p w14:paraId="65BD4910" w14:textId="77777777" w:rsidR="004338C2" w:rsidRPr="00087534" w:rsidRDefault="004338C2" w:rsidP="003322F4">
            <w:pPr>
              <w:pStyle w:val="ExhibitText"/>
              <w:jc w:val="center"/>
              <w:rPr>
                <w:rFonts w:eastAsia="Calibri"/>
                <w:b/>
                <w:lang w:val="en-GB"/>
              </w:rPr>
            </w:pPr>
            <w:r w:rsidRPr="00087534">
              <w:rPr>
                <w:rFonts w:eastAsia="Calibri"/>
                <w:b/>
                <w:lang w:val="en-GB"/>
              </w:rPr>
              <w:t>Granules India Limited</w:t>
            </w:r>
          </w:p>
        </w:tc>
        <w:tc>
          <w:tcPr>
            <w:tcW w:w="1080" w:type="dxa"/>
            <w:vAlign w:val="center"/>
          </w:tcPr>
          <w:p w14:paraId="29A8DA3C" w14:textId="77777777" w:rsidR="004338C2" w:rsidRPr="00087534" w:rsidRDefault="004338C2" w:rsidP="003322F4">
            <w:pPr>
              <w:pStyle w:val="ExhibitText"/>
              <w:jc w:val="center"/>
              <w:rPr>
                <w:b/>
                <w:lang w:val="en-GB"/>
              </w:rPr>
            </w:pPr>
            <w:r w:rsidRPr="00087534">
              <w:rPr>
                <w:b/>
                <w:lang w:val="en-GB"/>
              </w:rPr>
              <w:t>Ajanta Pharma Limited</w:t>
            </w:r>
          </w:p>
        </w:tc>
        <w:tc>
          <w:tcPr>
            <w:tcW w:w="1350" w:type="dxa"/>
            <w:vAlign w:val="center"/>
          </w:tcPr>
          <w:p w14:paraId="4DC8E718" w14:textId="2318C409" w:rsidR="004338C2" w:rsidRPr="00087534" w:rsidRDefault="004338C2" w:rsidP="003322F4">
            <w:pPr>
              <w:pStyle w:val="ExhibitText"/>
              <w:jc w:val="center"/>
              <w:rPr>
                <w:b/>
                <w:lang w:val="en-GB"/>
              </w:rPr>
            </w:pPr>
            <w:proofErr w:type="spellStart"/>
            <w:r w:rsidRPr="00087534">
              <w:rPr>
                <w:b/>
                <w:lang w:val="en-GB"/>
              </w:rPr>
              <w:t>Dr.</w:t>
            </w:r>
            <w:proofErr w:type="spellEnd"/>
            <w:r w:rsidRPr="00087534">
              <w:rPr>
                <w:b/>
                <w:lang w:val="en-GB"/>
              </w:rPr>
              <w:t xml:space="preserve"> Reddy’s Laboratories Limited</w:t>
            </w:r>
          </w:p>
        </w:tc>
      </w:tr>
      <w:tr w:rsidR="004338C2" w:rsidRPr="00087534" w14:paraId="30FC8B23" w14:textId="77777777" w:rsidTr="00EB00F5">
        <w:trPr>
          <w:trHeight w:val="254"/>
          <w:jc w:val="center"/>
        </w:trPr>
        <w:tc>
          <w:tcPr>
            <w:tcW w:w="3145" w:type="dxa"/>
            <w:noWrap/>
            <w:vAlign w:val="center"/>
          </w:tcPr>
          <w:p w14:paraId="1F9AC543" w14:textId="77777777" w:rsidR="004338C2" w:rsidRPr="00087534" w:rsidRDefault="004338C2" w:rsidP="003322F4">
            <w:pPr>
              <w:pStyle w:val="ExhibitText"/>
              <w:jc w:val="left"/>
              <w:rPr>
                <w:lang w:val="en-GB"/>
              </w:rPr>
            </w:pPr>
            <w:r w:rsidRPr="00087534">
              <w:rPr>
                <w:lang w:val="en-GB"/>
              </w:rPr>
              <w:t>Net Sales</w:t>
            </w:r>
          </w:p>
        </w:tc>
        <w:tc>
          <w:tcPr>
            <w:tcW w:w="810" w:type="dxa"/>
            <w:noWrap/>
            <w:vAlign w:val="center"/>
          </w:tcPr>
          <w:p w14:paraId="0F8E5650" w14:textId="77777777" w:rsidR="004338C2" w:rsidRPr="00087534" w:rsidRDefault="004338C2" w:rsidP="003322F4">
            <w:pPr>
              <w:pStyle w:val="ExhibitText"/>
              <w:jc w:val="right"/>
              <w:rPr>
                <w:lang w:val="en-GB"/>
              </w:rPr>
            </w:pPr>
            <w:r w:rsidRPr="00087534">
              <w:rPr>
                <w:lang w:val="en-GB"/>
              </w:rPr>
              <w:t>7,156</w:t>
            </w:r>
          </w:p>
        </w:tc>
        <w:tc>
          <w:tcPr>
            <w:tcW w:w="1800" w:type="dxa"/>
            <w:vAlign w:val="center"/>
          </w:tcPr>
          <w:p w14:paraId="6291ECAA" w14:textId="77777777" w:rsidR="004338C2" w:rsidRPr="00087534" w:rsidRDefault="004338C2" w:rsidP="003322F4">
            <w:pPr>
              <w:pStyle w:val="ExhibitText"/>
              <w:jc w:val="right"/>
              <w:rPr>
                <w:lang w:val="en-GB"/>
              </w:rPr>
            </w:pPr>
            <w:r w:rsidRPr="00087534">
              <w:rPr>
                <w:lang w:val="en-GB"/>
              </w:rPr>
              <w:t>19,809</w:t>
            </w:r>
          </w:p>
        </w:tc>
        <w:tc>
          <w:tcPr>
            <w:tcW w:w="1170" w:type="dxa"/>
            <w:vAlign w:val="center"/>
          </w:tcPr>
          <w:p w14:paraId="1331190A" w14:textId="77777777" w:rsidR="004338C2" w:rsidRPr="00087534" w:rsidRDefault="004338C2" w:rsidP="003322F4">
            <w:pPr>
              <w:pStyle w:val="ExhibitText"/>
              <w:jc w:val="right"/>
              <w:rPr>
                <w:lang w:val="en-GB"/>
              </w:rPr>
            </w:pPr>
            <w:r w:rsidRPr="00087534">
              <w:rPr>
                <w:lang w:val="en-GB"/>
              </w:rPr>
              <w:t>12,133</w:t>
            </w:r>
          </w:p>
        </w:tc>
        <w:tc>
          <w:tcPr>
            <w:tcW w:w="1080" w:type="dxa"/>
            <w:vAlign w:val="center"/>
          </w:tcPr>
          <w:p w14:paraId="5D9A61F5" w14:textId="77777777" w:rsidR="004338C2" w:rsidRPr="00087534" w:rsidRDefault="004338C2" w:rsidP="003322F4">
            <w:pPr>
              <w:pStyle w:val="ExhibitText"/>
              <w:jc w:val="right"/>
              <w:rPr>
                <w:lang w:val="en-GB"/>
              </w:rPr>
            </w:pPr>
            <w:r w:rsidRPr="00087534">
              <w:rPr>
                <w:lang w:val="en-GB"/>
              </w:rPr>
              <w:t>13,286</w:t>
            </w:r>
          </w:p>
        </w:tc>
        <w:tc>
          <w:tcPr>
            <w:tcW w:w="1350" w:type="dxa"/>
            <w:vAlign w:val="center"/>
          </w:tcPr>
          <w:p w14:paraId="06ACDF3B" w14:textId="77777777" w:rsidR="004338C2" w:rsidRPr="00087534" w:rsidRDefault="004338C2" w:rsidP="003322F4">
            <w:pPr>
              <w:pStyle w:val="ExhibitText"/>
              <w:jc w:val="right"/>
              <w:rPr>
                <w:lang w:val="en-GB"/>
              </w:rPr>
            </w:pPr>
            <w:r w:rsidRPr="00087534">
              <w:rPr>
                <w:lang w:val="en-GB"/>
              </w:rPr>
              <w:t>99,275</w:t>
            </w:r>
          </w:p>
        </w:tc>
      </w:tr>
      <w:tr w:rsidR="004338C2" w:rsidRPr="00087534" w14:paraId="3C34981B" w14:textId="77777777" w:rsidTr="00EB00F5">
        <w:trPr>
          <w:trHeight w:val="254"/>
          <w:jc w:val="center"/>
        </w:trPr>
        <w:tc>
          <w:tcPr>
            <w:tcW w:w="3145" w:type="dxa"/>
            <w:noWrap/>
            <w:vAlign w:val="center"/>
          </w:tcPr>
          <w:p w14:paraId="63729A19" w14:textId="3956C3D3" w:rsidR="004338C2" w:rsidRPr="00087534" w:rsidRDefault="004338C2" w:rsidP="004219E4">
            <w:pPr>
              <w:pStyle w:val="ExhibitText"/>
              <w:jc w:val="left"/>
              <w:rPr>
                <w:lang w:val="en-GB"/>
              </w:rPr>
            </w:pPr>
            <w:r w:rsidRPr="00087534">
              <w:rPr>
                <w:lang w:val="en-GB"/>
              </w:rPr>
              <w:t xml:space="preserve">Earnings </w:t>
            </w:r>
            <w:r w:rsidR="00E336CA">
              <w:rPr>
                <w:lang w:val="en-GB"/>
              </w:rPr>
              <w:t>b</w:t>
            </w:r>
            <w:r w:rsidRPr="00087534">
              <w:rPr>
                <w:lang w:val="en-GB"/>
              </w:rPr>
              <w:t xml:space="preserve">efore </w:t>
            </w:r>
            <w:r w:rsidR="00E61FC8" w:rsidRPr="00087534">
              <w:rPr>
                <w:lang w:val="en-GB"/>
              </w:rPr>
              <w:t>Interest</w:t>
            </w:r>
            <w:r w:rsidR="00E61FC8">
              <w:rPr>
                <w:lang w:val="en-GB"/>
              </w:rPr>
              <w:t>,</w:t>
            </w:r>
            <w:r w:rsidR="00E61FC8" w:rsidRPr="00087534">
              <w:rPr>
                <w:lang w:val="en-GB"/>
              </w:rPr>
              <w:t xml:space="preserve"> Tax</w:t>
            </w:r>
            <w:r w:rsidRPr="00087534">
              <w:rPr>
                <w:lang w:val="en-GB"/>
              </w:rPr>
              <w:t xml:space="preserve"> Depreciation</w:t>
            </w:r>
            <w:r>
              <w:rPr>
                <w:lang w:val="en-GB"/>
              </w:rPr>
              <w:t>,</w:t>
            </w:r>
            <w:r w:rsidRPr="00087534">
              <w:rPr>
                <w:lang w:val="en-GB"/>
              </w:rPr>
              <w:t xml:space="preserve"> and Amorti</w:t>
            </w:r>
            <w:r>
              <w:rPr>
                <w:lang w:val="en-GB"/>
              </w:rPr>
              <w:t>z</w:t>
            </w:r>
            <w:r w:rsidRPr="00087534">
              <w:rPr>
                <w:lang w:val="en-GB"/>
              </w:rPr>
              <w:t>ation (EBITDA)</w:t>
            </w:r>
          </w:p>
        </w:tc>
        <w:tc>
          <w:tcPr>
            <w:tcW w:w="810" w:type="dxa"/>
            <w:noWrap/>
            <w:vAlign w:val="center"/>
          </w:tcPr>
          <w:p w14:paraId="3E8EAFDC" w14:textId="77777777" w:rsidR="004338C2" w:rsidRPr="00087534" w:rsidRDefault="004338C2" w:rsidP="003322F4">
            <w:pPr>
              <w:pStyle w:val="ExhibitText"/>
              <w:jc w:val="right"/>
              <w:rPr>
                <w:lang w:val="en-GB"/>
              </w:rPr>
            </w:pPr>
            <w:r w:rsidRPr="00087534">
              <w:rPr>
                <w:lang w:val="en-GB"/>
              </w:rPr>
              <w:t>2,270</w:t>
            </w:r>
          </w:p>
        </w:tc>
        <w:tc>
          <w:tcPr>
            <w:tcW w:w="1800" w:type="dxa"/>
            <w:vAlign w:val="center"/>
          </w:tcPr>
          <w:p w14:paraId="02FD71A7" w14:textId="77777777" w:rsidR="004338C2" w:rsidRPr="00087534" w:rsidRDefault="004338C2" w:rsidP="003322F4">
            <w:pPr>
              <w:pStyle w:val="ExhibitText"/>
              <w:jc w:val="right"/>
              <w:rPr>
                <w:lang w:val="en-GB"/>
              </w:rPr>
            </w:pPr>
          </w:p>
          <w:p w14:paraId="4FFDC844" w14:textId="77777777" w:rsidR="004338C2" w:rsidRPr="00087534" w:rsidRDefault="004338C2" w:rsidP="003322F4">
            <w:pPr>
              <w:pStyle w:val="ExhibitText"/>
              <w:jc w:val="right"/>
              <w:rPr>
                <w:lang w:val="en-GB"/>
              </w:rPr>
            </w:pPr>
            <w:r w:rsidRPr="00087534">
              <w:rPr>
                <w:lang w:val="en-GB"/>
              </w:rPr>
              <w:t>4,084</w:t>
            </w:r>
          </w:p>
        </w:tc>
        <w:tc>
          <w:tcPr>
            <w:tcW w:w="1170" w:type="dxa"/>
            <w:vAlign w:val="center"/>
          </w:tcPr>
          <w:p w14:paraId="55F8C62D" w14:textId="77777777" w:rsidR="004338C2" w:rsidRPr="00087534" w:rsidRDefault="004338C2" w:rsidP="003322F4">
            <w:pPr>
              <w:pStyle w:val="ExhibitText"/>
              <w:jc w:val="right"/>
              <w:rPr>
                <w:lang w:val="en-GB"/>
              </w:rPr>
            </w:pPr>
            <w:r w:rsidRPr="00087534">
              <w:rPr>
                <w:lang w:val="en-GB"/>
              </w:rPr>
              <w:t>2,127</w:t>
            </w:r>
          </w:p>
        </w:tc>
        <w:tc>
          <w:tcPr>
            <w:tcW w:w="1080" w:type="dxa"/>
            <w:vAlign w:val="center"/>
          </w:tcPr>
          <w:p w14:paraId="43D7854A" w14:textId="77777777" w:rsidR="004338C2" w:rsidRPr="00087534" w:rsidRDefault="004338C2" w:rsidP="003322F4">
            <w:pPr>
              <w:pStyle w:val="ExhibitText"/>
              <w:jc w:val="right"/>
              <w:rPr>
                <w:lang w:val="en-GB"/>
              </w:rPr>
            </w:pPr>
            <w:r w:rsidRPr="00087534">
              <w:rPr>
                <w:lang w:val="en-GB"/>
              </w:rPr>
              <w:t>4,993</w:t>
            </w:r>
          </w:p>
        </w:tc>
        <w:tc>
          <w:tcPr>
            <w:tcW w:w="1350" w:type="dxa"/>
            <w:vAlign w:val="center"/>
          </w:tcPr>
          <w:p w14:paraId="3E2132A9" w14:textId="77777777" w:rsidR="004338C2" w:rsidRPr="00087534" w:rsidRDefault="004338C2" w:rsidP="003322F4">
            <w:pPr>
              <w:pStyle w:val="ExhibitText"/>
              <w:jc w:val="right"/>
              <w:rPr>
                <w:lang w:val="en-GB"/>
              </w:rPr>
            </w:pPr>
          </w:p>
          <w:p w14:paraId="1AA161E0" w14:textId="77777777" w:rsidR="004338C2" w:rsidRPr="00087534" w:rsidRDefault="004338C2" w:rsidP="003322F4">
            <w:pPr>
              <w:pStyle w:val="ExhibitText"/>
              <w:jc w:val="right"/>
              <w:rPr>
                <w:lang w:val="en-GB"/>
              </w:rPr>
            </w:pPr>
            <w:r w:rsidRPr="00087534">
              <w:rPr>
                <w:lang w:val="en-GB"/>
              </w:rPr>
              <w:t>26,139</w:t>
            </w:r>
          </w:p>
        </w:tc>
      </w:tr>
      <w:tr w:rsidR="004338C2" w:rsidRPr="00087534" w14:paraId="6DCD08A7" w14:textId="77777777" w:rsidTr="00EB00F5">
        <w:trPr>
          <w:trHeight w:val="254"/>
          <w:jc w:val="center"/>
        </w:trPr>
        <w:tc>
          <w:tcPr>
            <w:tcW w:w="3145" w:type="dxa"/>
            <w:noWrap/>
            <w:vAlign w:val="center"/>
          </w:tcPr>
          <w:p w14:paraId="48BC1375" w14:textId="46E51FD5" w:rsidR="004338C2" w:rsidRPr="00087534" w:rsidRDefault="004338C2" w:rsidP="00EC4BC9">
            <w:pPr>
              <w:pStyle w:val="ExhibitText"/>
              <w:jc w:val="left"/>
              <w:rPr>
                <w:lang w:val="en-GB"/>
              </w:rPr>
            </w:pPr>
            <w:r w:rsidRPr="00087534">
              <w:rPr>
                <w:lang w:val="en-GB"/>
              </w:rPr>
              <w:t xml:space="preserve">Profit </w:t>
            </w:r>
            <w:r w:rsidR="00DD1231" w:rsidRPr="00087534">
              <w:rPr>
                <w:lang w:val="en-GB"/>
              </w:rPr>
              <w:t xml:space="preserve">After Tax </w:t>
            </w:r>
            <w:r w:rsidRPr="00087534">
              <w:rPr>
                <w:lang w:val="en-GB"/>
              </w:rPr>
              <w:t>(PAT)</w:t>
            </w:r>
          </w:p>
        </w:tc>
        <w:tc>
          <w:tcPr>
            <w:tcW w:w="810" w:type="dxa"/>
            <w:noWrap/>
            <w:vAlign w:val="center"/>
          </w:tcPr>
          <w:p w14:paraId="72434C90" w14:textId="77777777" w:rsidR="004338C2" w:rsidRPr="00087534" w:rsidRDefault="004338C2" w:rsidP="003322F4">
            <w:pPr>
              <w:pStyle w:val="ExhibitText"/>
              <w:jc w:val="right"/>
              <w:rPr>
                <w:lang w:val="en-GB"/>
              </w:rPr>
            </w:pPr>
            <w:r w:rsidRPr="00087534">
              <w:rPr>
                <w:lang w:val="en-GB"/>
              </w:rPr>
              <w:t>1,529</w:t>
            </w:r>
          </w:p>
        </w:tc>
        <w:tc>
          <w:tcPr>
            <w:tcW w:w="1800" w:type="dxa"/>
            <w:vAlign w:val="center"/>
          </w:tcPr>
          <w:p w14:paraId="1ADD2115" w14:textId="77777777" w:rsidR="004338C2" w:rsidRPr="00087534" w:rsidRDefault="004338C2" w:rsidP="003322F4">
            <w:pPr>
              <w:pStyle w:val="ExhibitText"/>
              <w:jc w:val="right"/>
              <w:rPr>
                <w:lang w:val="en-GB"/>
              </w:rPr>
            </w:pPr>
            <w:r w:rsidRPr="00087534">
              <w:rPr>
                <w:lang w:val="en-GB"/>
              </w:rPr>
              <w:t>2,866</w:t>
            </w:r>
          </w:p>
        </w:tc>
        <w:tc>
          <w:tcPr>
            <w:tcW w:w="1170" w:type="dxa"/>
            <w:vAlign w:val="center"/>
          </w:tcPr>
          <w:p w14:paraId="304AE458" w14:textId="77777777" w:rsidR="004338C2" w:rsidRPr="00087534" w:rsidRDefault="004338C2" w:rsidP="003322F4">
            <w:pPr>
              <w:pStyle w:val="ExhibitText"/>
              <w:jc w:val="right"/>
              <w:rPr>
                <w:lang w:val="en-GB"/>
              </w:rPr>
            </w:pPr>
            <w:r w:rsidRPr="00087534">
              <w:rPr>
                <w:lang w:val="en-GB"/>
              </w:rPr>
              <w:t>952</w:t>
            </w:r>
          </w:p>
        </w:tc>
        <w:tc>
          <w:tcPr>
            <w:tcW w:w="1080" w:type="dxa"/>
            <w:vAlign w:val="center"/>
          </w:tcPr>
          <w:p w14:paraId="4426C2E9" w14:textId="77777777" w:rsidR="004338C2" w:rsidRPr="00087534" w:rsidRDefault="004338C2" w:rsidP="003322F4">
            <w:pPr>
              <w:pStyle w:val="ExhibitText"/>
              <w:jc w:val="right"/>
              <w:rPr>
                <w:lang w:val="en-GB"/>
              </w:rPr>
            </w:pPr>
            <w:r w:rsidRPr="00087534">
              <w:rPr>
                <w:lang w:val="en-GB"/>
              </w:rPr>
              <w:t>3,064</w:t>
            </w:r>
          </w:p>
        </w:tc>
        <w:tc>
          <w:tcPr>
            <w:tcW w:w="1350" w:type="dxa"/>
            <w:vAlign w:val="center"/>
          </w:tcPr>
          <w:p w14:paraId="1E102E4D" w14:textId="77777777" w:rsidR="004338C2" w:rsidRPr="00087534" w:rsidRDefault="004338C2" w:rsidP="003322F4">
            <w:pPr>
              <w:pStyle w:val="ExhibitText"/>
              <w:jc w:val="right"/>
              <w:rPr>
                <w:lang w:val="en-GB"/>
              </w:rPr>
            </w:pPr>
            <w:r w:rsidRPr="00087534">
              <w:rPr>
                <w:lang w:val="en-GB"/>
              </w:rPr>
              <w:t>16,794</w:t>
            </w:r>
          </w:p>
        </w:tc>
      </w:tr>
      <w:tr w:rsidR="004338C2" w:rsidRPr="00087534" w14:paraId="08BEC63A" w14:textId="77777777" w:rsidTr="00EB00F5">
        <w:trPr>
          <w:trHeight w:val="254"/>
          <w:jc w:val="center"/>
        </w:trPr>
        <w:tc>
          <w:tcPr>
            <w:tcW w:w="3145" w:type="dxa"/>
            <w:noWrap/>
            <w:vAlign w:val="center"/>
          </w:tcPr>
          <w:p w14:paraId="6DD1CFD9" w14:textId="142A84DD" w:rsidR="004338C2" w:rsidRPr="00087534" w:rsidRDefault="004338C2" w:rsidP="003322F4">
            <w:pPr>
              <w:pStyle w:val="ExhibitText"/>
              <w:jc w:val="left"/>
              <w:rPr>
                <w:lang w:val="en-GB"/>
              </w:rPr>
            </w:pPr>
            <w:r w:rsidRPr="00087534">
              <w:rPr>
                <w:lang w:val="en-GB"/>
              </w:rPr>
              <w:t>EBIT</w:t>
            </w:r>
            <w:r>
              <w:rPr>
                <w:lang w:val="en-GB"/>
              </w:rPr>
              <w:t>D</w:t>
            </w:r>
            <w:r w:rsidRPr="00087534">
              <w:rPr>
                <w:lang w:val="en-GB"/>
              </w:rPr>
              <w:t>A (%)</w:t>
            </w:r>
          </w:p>
        </w:tc>
        <w:tc>
          <w:tcPr>
            <w:tcW w:w="810" w:type="dxa"/>
            <w:noWrap/>
            <w:vAlign w:val="center"/>
          </w:tcPr>
          <w:p w14:paraId="251FA84D" w14:textId="77777777" w:rsidR="004338C2" w:rsidRPr="00087534" w:rsidRDefault="004338C2" w:rsidP="003322F4">
            <w:pPr>
              <w:pStyle w:val="ExhibitText"/>
              <w:jc w:val="right"/>
              <w:rPr>
                <w:lang w:val="en-GB"/>
              </w:rPr>
            </w:pPr>
            <w:r w:rsidRPr="00087534">
              <w:rPr>
                <w:lang w:val="en-GB"/>
              </w:rPr>
              <w:t>31.72</w:t>
            </w:r>
          </w:p>
        </w:tc>
        <w:tc>
          <w:tcPr>
            <w:tcW w:w="1800" w:type="dxa"/>
            <w:vAlign w:val="center"/>
          </w:tcPr>
          <w:p w14:paraId="4A885E2D" w14:textId="77777777" w:rsidR="004338C2" w:rsidRPr="00087534" w:rsidRDefault="004338C2" w:rsidP="003322F4">
            <w:pPr>
              <w:pStyle w:val="ExhibitText"/>
              <w:jc w:val="right"/>
              <w:rPr>
                <w:lang w:val="en-GB"/>
              </w:rPr>
            </w:pPr>
            <w:r w:rsidRPr="00087534">
              <w:rPr>
                <w:lang w:val="en-GB"/>
              </w:rPr>
              <w:t>20.62</w:t>
            </w:r>
          </w:p>
        </w:tc>
        <w:tc>
          <w:tcPr>
            <w:tcW w:w="1170" w:type="dxa"/>
            <w:vAlign w:val="center"/>
          </w:tcPr>
          <w:p w14:paraId="6C91B3C5" w14:textId="77777777" w:rsidR="004338C2" w:rsidRPr="00087534" w:rsidRDefault="004338C2" w:rsidP="003322F4">
            <w:pPr>
              <w:pStyle w:val="ExhibitText"/>
              <w:jc w:val="right"/>
              <w:rPr>
                <w:lang w:val="en-GB"/>
              </w:rPr>
            </w:pPr>
            <w:r w:rsidRPr="00087534">
              <w:rPr>
                <w:lang w:val="en-GB"/>
              </w:rPr>
              <w:t>17.53</w:t>
            </w:r>
          </w:p>
        </w:tc>
        <w:tc>
          <w:tcPr>
            <w:tcW w:w="1080" w:type="dxa"/>
            <w:vAlign w:val="center"/>
          </w:tcPr>
          <w:p w14:paraId="2CAA7B16" w14:textId="77777777" w:rsidR="004338C2" w:rsidRPr="00087534" w:rsidRDefault="004338C2" w:rsidP="003322F4">
            <w:pPr>
              <w:pStyle w:val="ExhibitText"/>
              <w:jc w:val="right"/>
              <w:rPr>
                <w:lang w:val="en-GB"/>
              </w:rPr>
            </w:pPr>
            <w:r w:rsidRPr="00087534">
              <w:rPr>
                <w:lang w:val="en-GB"/>
              </w:rPr>
              <w:t>37.58</w:t>
            </w:r>
          </w:p>
        </w:tc>
        <w:tc>
          <w:tcPr>
            <w:tcW w:w="1350" w:type="dxa"/>
            <w:vAlign w:val="center"/>
          </w:tcPr>
          <w:p w14:paraId="2340D1D6" w14:textId="77777777" w:rsidR="004338C2" w:rsidRPr="00087534" w:rsidRDefault="004338C2" w:rsidP="003322F4">
            <w:pPr>
              <w:pStyle w:val="ExhibitText"/>
              <w:jc w:val="right"/>
              <w:rPr>
                <w:lang w:val="en-GB"/>
              </w:rPr>
            </w:pPr>
            <w:r w:rsidRPr="00087534">
              <w:rPr>
                <w:lang w:val="en-GB"/>
              </w:rPr>
              <w:t>26.32</w:t>
            </w:r>
          </w:p>
        </w:tc>
      </w:tr>
      <w:tr w:rsidR="004338C2" w:rsidRPr="00087534" w14:paraId="247A4240" w14:textId="77777777" w:rsidTr="00EB00F5">
        <w:trPr>
          <w:trHeight w:val="254"/>
          <w:jc w:val="center"/>
        </w:trPr>
        <w:tc>
          <w:tcPr>
            <w:tcW w:w="3145" w:type="dxa"/>
            <w:noWrap/>
            <w:vAlign w:val="center"/>
          </w:tcPr>
          <w:p w14:paraId="19C75D7D" w14:textId="1AC75EF3" w:rsidR="004338C2" w:rsidRPr="00087534" w:rsidRDefault="004338C2" w:rsidP="003322F4">
            <w:pPr>
              <w:pStyle w:val="ExhibitText"/>
              <w:jc w:val="left"/>
              <w:rPr>
                <w:lang w:val="en-GB"/>
              </w:rPr>
            </w:pPr>
            <w:r w:rsidRPr="00087534">
              <w:rPr>
                <w:lang w:val="en-GB"/>
              </w:rPr>
              <w:t>PAT (%)</w:t>
            </w:r>
          </w:p>
        </w:tc>
        <w:tc>
          <w:tcPr>
            <w:tcW w:w="810" w:type="dxa"/>
            <w:noWrap/>
            <w:vAlign w:val="center"/>
          </w:tcPr>
          <w:p w14:paraId="105A43A7" w14:textId="77777777" w:rsidR="004338C2" w:rsidRPr="00087534" w:rsidRDefault="004338C2" w:rsidP="003322F4">
            <w:pPr>
              <w:pStyle w:val="ExhibitText"/>
              <w:jc w:val="right"/>
              <w:rPr>
                <w:lang w:val="en-GB"/>
              </w:rPr>
            </w:pPr>
            <w:r w:rsidRPr="00087534">
              <w:rPr>
                <w:lang w:val="en-GB"/>
              </w:rPr>
              <w:t>21.37</w:t>
            </w:r>
          </w:p>
        </w:tc>
        <w:tc>
          <w:tcPr>
            <w:tcW w:w="1800" w:type="dxa"/>
            <w:vAlign w:val="center"/>
          </w:tcPr>
          <w:p w14:paraId="71E21CD4" w14:textId="77777777" w:rsidR="004338C2" w:rsidRPr="00087534" w:rsidRDefault="004338C2" w:rsidP="003322F4">
            <w:pPr>
              <w:pStyle w:val="ExhibitText"/>
              <w:jc w:val="right"/>
              <w:rPr>
                <w:lang w:val="en-GB"/>
              </w:rPr>
            </w:pPr>
            <w:r w:rsidRPr="00087534">
              <w:rPr>
                <w:lang w:val="en-GB"/>
              </w:rPr>
              <w:t>14.47</w:t>
            </w:r>
          </w:p>
        </w:tc>
        <w:tc>
          <w:tcPr>
            <w:tcW w:w="1170" w:type="dxa"/>
            <w:vAlign w:val="center"/>
          </w:tcPr>
          <w:p w14:paraId="0A78F5F1" w14:textId="77777777" w:rsidR="004338C2" w:rsidRPr="00087534" w:rsidRDefault="004338C2" w:rsidP="003322F4">
            <w:pPr>
              <w:pStyle w:val="ExhibitText"/>
              <w:jc w:val="right"/>
              <w:rPr>
                <w:lang w:val="en-GB"/>
              </w:rPr>
            </w:pPr>
            <w:r w:rsidRPr="00087534">
              <w:rPr>
                <w:lang w:val="en-GB"/>
              </w:rPr>
              <w:t>7.84</w:t>
            </w:r>
          </w:p>
        </w:tc>
        <w:tc>
          <w:tcPr>
            <w:tcW w:w="1080" w:type="dxa"/>
            <w:vAlign w:val="center"/>
          </w:tcPr>
          <w:p w14:paraId="5D7FDB04" w14:textId="77777777" w:rsidR="004338C2" w:rsidRPr="00087534" w:rsidRDefault="004338C2" w:rsidP="003322F4">
            <w:pPr>
              <w:pStyle w:val="ExhibitText"/>
              <w:jc w:val="right"/>
              <w:rPr>
                <w:lang w:val="en-GB"/>
              </w:rPr>
            </w:pPr>
            <w:r w:rsidRPr="00087534">
              <w:rPr>
                <w:lang w:val="en-GB"/>
              </w:rPr>
              <w:t>23.06</w:t>
            </w:r>
          </w:p>
        </w:tc>
        <w:tc>
          <w:tcPr>
            <w:tcW w:w="1350" w:type="dxa"/>
            <w:vAlign w:val="center"/>
          </w:tcPr>
          <w:p w14:paraId="0D0218B3" w14:textId="77777777" w:rsidR="004338C2" w:rsidRPr="00087534" w:rsidRDefault="004338C2" w:rsidP="003322F4">
            <w:pPr>
              <w:pStyle w:val="ExhibitText"/>
              <w:jc w:val="right"/>
              <w:rPr>
                <w:lang w:val="en-GB"/>
              </w:rPr>
            </w:pPr>
            <w:r w:rsidRPr="00087534">
              <w:rPr>
                <w:lang w:val="en-GB"/>
              </w:rPr>
              <w:t>16.92</w:t>
            </w:r>
          </w:p>
        </w:tc>
      </w:tr>
      <w:tr w:rsidR="004338C2" w:rsidRPr="00087534" w14:paraId="1FB9225F" w14:textId="77777777" w:rsidTr="00EB00F5">
        <w:trPr>
          <w:trHeight w:val="254"/>
          <w:jc w:val="center"/>
        </w:trPr>
        <w:tc>
          <w:tcPr>
            <w:tcW w:w="3145" w:type="dxa"/>
            <w:noWrap/>
            <w:vAlign w:val="center"/>
          </w:tcPr>
          <w:p w14:paraId="014C6613" w14:textId="5DDDF17D" w:rsidR="004338C2" w:rsidRPr="00087534" w:rsidRDefault="004338C2" w:rsidP="004219E4">
            <w:pPr>
              <w:pStyle w:val="ExhibitText"/>
              <w:jc w:val="left"/>
              <w:rPr>
                <w:lang w:val="en-GB"/>
              </w:rPr>
            </w:pPr>
            <w:r w:rsidRPr="00087534">
              <w:rPr>
                <w:lang w:val="en-GB"/>
              </w:rPr>
              <w:t xml:space="preserve">R&amp;D </w:t>
            </w:r>
            <w:r w:rsidR="00DD1231">
              <w:rPr>
                <w:lang w:val="en-GB"/>
              </w:rPr>
              <w:t>E</w:t>
            </w:r>
            <w:r w:rsidR="00DD1231" w:rsidRPr="00087534">
              <w:rPr>
                <w:lang w:val="en-GB"/>
              </w:rPr>
              <w:t xml:space="preserve">xpenses </w:t>
            </w:r>
            <w:r w:rsidRPr="00087534">
              <w:rPr>
                <w:lang w:val="en-GB"/>
              </w:rPr>
              <w:t xml:space="preserve">as % of </w:t>
            </w:r>
            <w:r w:rsidR="00DD1231" w:rsidRPr="00087534">
              <w:rPr>
                <w:lang w:val="en-GB"/>
              </w:rPr>
              <w:t>Net Sales</w:t>
            </w:r>
          </w:p>
        </w:tc>
        <w:tc>
          <w:tcPr>
            <w:tcW w:w="810" w:type="dxa"/>
            <w:noWrap/>
            <w:vAlign w:val="center"/>
          </w:tcPr>
          <w:p w14:paraId="6AF48BB1" w14:textId="77777777" w:rsidR="004338C2" w:rsidRPr="00087534" w:rsidRDefault="004338C2" w:rsidP="003322F4">
            <w:pPr>
              <w:pStyle w:val="ExhibitText"/>
              <w:jc w:val="right"/>
              <w:rPr>
                <w:lang w:val="en-GB"/>
              </w:rPr>
            </w:pPr>
            <w:r w:rsidRPr="00087534">
              <w:rPr>
                <w:lang w:val="en-GB"/>
              </w:rPr>
              <w:t>7.23</w:t>
            </w:r>
          </w:p>
        </w:tc>
        <w:tc>
          <w:tcPr>
            <w:tcW w:w="1800" w:type="dxa"/>
            <w:vAlign w:val="center"/>
          </w:tcPr>
          <w:p w14:paraId="429FE642" w14:textId="77777777" w:rsidR="004338C2" w:rsidRPr="00087534" w:rsidRDefault="004338C2" w:rsidP="003322F4">
            <w:pPr>
              <w:pStyle w:val="ExhibitText"/>
              <w:jc w:val="right"/>
              <w:rPr>
                <w:lang w:val="en-GB"/>
              </w:rPr>
            </w:pPr>
            <w:r w:rsidRPr="00087534">
              <w:rPr>
                <w:lang w:val="en-GB"/>
              </w:rPr>
              <w:t>6.78</w:t>
            </w:r>
          </w:p>
        </w:tc>
        <w:tc>
          <w:tcPr>
            <w:tcW w:w="1170" w:type="dxa"/>
            <w:vAlign w:val="center"/>
          </w:tcPr>
          <w:p w14:paraId="0B515902" w14:textId="77777777" w:rsidR="004338C2" w:rsidRPr="00087534" w:rsidRDefault="004338C2" w:rsidP="003322F4">
            <w:pPr>
              <w:pStyle w:val="ExhibitText"/>
              <w:jc w:val="right"/>
              <w:rPr>
                <w:lang w:val="en-GB"/>
              </w:rPr>
            </w:pPr>
            <w:r w:rsidRPr="00087534">
              <w:rPr>
                <w:lang w:val="en-GB"/>
              </w:rPr>
              <w:t>1.21</w:t>
            </w:r>
          </w:p>
        </w:tc>
        <w:tc>
          <w:tcPr>
            <w:tcW w:w="1080" w:type="dxa"/>
            <w:vAlign w:val="center"/>
          </w:tcPr>
          <w:p w14:paraId="4AD04BD6" w14:textId="77777777" w:rsidR="004338C2" w:rsidRPr="00087534" w:rsidRDefault="004338C2" w:rsidP="003322F4">
            <w:pPr>
              <w:pStyle w:val="ExhibitText"/>
              <w:jc w:val="right"/>
              <w:rPr>
                <w:lang w:val="en-GB"/>
              </w:rPr>
            </w:pPr>
            <w:r w:rsidRPr="00087534">
              <w:rPr>
                <w:lang w:val="en-GB"/>
              </w:rPr>
              <w:t>5.16</w:t>
            </w:r>
          </w:p>
        </w:tc>
        <w:tc>
          <w:tcPr>
            <w:tcW w:w="1350" w:type="dxa"/>
            <w:vAlign w:val="center"/>
          </w:tcPr>
          <w:p w14:paraId="33FA2DBB" w14:textId="77777777" w:rsidR="004338C2" w:rsidRPr="00087534" w:rsidRDefault="004338C2" w:rsidP="003322F4">
            <w:pPr>
              <w:pStyle w:val="ExhibitText"/>
              <w:jc w:val="right"/>
              <w:rPr>
                <w:lang w:val="en-GB"/>
              </w:rPr>
            </w:pPr>
            <w:r w:rsidRPr="00087534">
              <w:rPr>
                <w:lang w:val="en-GB"/>
              </w:rPr>
              <w:t>11.77</w:t>
            </w:r>
          </w:p>
        </w:tc>
      </w:tr>
      <w:tr w:rsidR="004338C2" w:rsidRPr="00087534" w14:paraId="0A57F7A5" w14:textId="77777777" w:rsidTr="00EB00F5">
        <w:trPr>
          <w:trHeight w:val="254"/>
          <w:jc w:val="center"/>
        </w:trPr>
        <w:tc>
          <w:tcPr>
            <w:tcW w:w="3145" w:type="dxa"/>
            <w:noWrap/>
            <w:vAlign w:val="center"/>
          </w:tcPr>
          <w:p w14:paraId="1C685C46" w14:textId="5CB1CBD0" w:rsidR="004338C2" w:rsidRPr="00087534" w:rsidRDefault="004338C2" w:rsidP="003322F4">
            <w:pPr>
              <w:pStyle w:val="ExhibitText"/>
              <w:jc w:val="left"/>
              <w:rPr>
                <w:lang w:val="en-GB"/>
              </w:rPr>
            </w:pPr>
            <w:r w:rsidRPr="00087534">
              <w:rPr>
                <w:lang w:val="en-GB"/>
              </w:rPr>
              <w:t xml:space="preserve">Tangible </w:t>
            </w:r>
            <w:r w:rsidR="00DD1231" w:rsidRPr="00087534">
              <w:rPr>
                <w:lang w:val="en-GB"/>
              </w:rPr>
              <w:t>Net Worth</w:t>
            </w:r>
          </w:p>
        </w:tc>
        <w:tc>
          <w:tcPr>
            <w:tcW w:w="810" w:type="dxa"/>
            <w:noWrap/>
            <w:vAlign w:val="center"/>
          </w:tcPr>
          <w:p w14:paraId="6AA8A106" w14:textId="77777777" w:rsidR="004338C2" w:rsidRPr="00087534" w:rsidRDefault="004338C2" w:rsidP="003322F4">
            <w:pPr>
              <w:pStyle w:val="ExhibitText"/>
              <w:jc w:val="right"/>
              <w:rPr>
                <w:lang w:val="en-GB"/>
              </w:rPr>
            </w:pPr>
            <w:r w:rsidRPr="00087534">
              <w:rPr>
                <w:lang w:val="en-GB"/>
              </w:rPr>
              <w:t>8,790</w:t>
            </w:r>
          </w:p>
        </w:tc>
        <w:tc>
          <w:tcPr>
            <w:tcW w:w="1800" w:type="dxa"/>
            <w:vAlign w:val="center"/>
          </w:tcPr>
          <w:p w14:paraId="62365AD7" w14:textId="77777777" w:rsidR="004338C2" w:rsidRPr="00087534" w:rsidRDefault="004338C2" w:rsidP="003322F4">
            <w:pPr>
              <w:pStyle w:val="ExhibitText"/>
              <w:jc w:val="right"/>
              <w:rPr>
                <w:lang w:val="en-GB"/>
              </w:rPr>
            </w:pPr>
            <w:r w:rsidRPr="00087534">
              <w:rPr>
                <w:lang w:val="en-GB"/>
              </w:rPr>
              <w:t>8,336</w:t>
            </w:r>
          </w:p>
        </w:tc>
        <w:tc>
          <w:tcPr>
            <w:tcW w:w="1170" w:type="dxa"/>
            <w:vAlign w:val="center"/>
          </w:tcPr>
          <w:p w14:paraId="5A47C704" w14:textId="77777777" w:rsidR="004338C2" w:rsidRPr="00087534" w:rsidRDefault="004338C2" w:rsidP="003322F4">
            <w:pPr>
              <w:pStyle w:val="ExhibitText"/>
              <w:jc w:val="right"/>
              <w:rPr>
                <w:lang w:val="en-GB"/>
              </w:rPr>
            </w:pPr>
            <w:r w:rsidRPr="00087534">
              <w:rPr>
                <w:lang w:val="en-GB"/>
              </w:rPr>
              <w:t>4,254</w:t>
            </w:r>
          </w:p>
        </w:tc>
        <w:tc>
          <w:tcPr>
            <w:tcW w:w="1080" w:type="dxa"/>
            <w:vAlign w:val="center"/>
          </w:tcPr>
          <w:p w14:paraId="0EAAC749" w14:textId="77777777" w:rsidR="004338C2" w:rsidRPr="00087534" w:rsidRDefault="004338C2" w:rsidP="003322F4">
            <w:pPr>
              <w:pStyle w:val="ExhibitText"/>
              <w:jc w:val="right"/>
              <w:rPr>
                <w:lang w:val="en-GB"/>
              </w:rPr>
            </w:pPr>
            <w:r w:rsidRPr="00087534">
              <w:rPr>
                <w:lang w:val="en-GB"/>
              </w:rPr>
              <w:t>7,863</w:t>
            </w:r>
          </w:p>
        </w:tc>
        <w:tc>
          <w:tcPr>
            <w:tcW w:w="1350" w:type="dxa"/>
            <w:vAlign w:val="center"/>
          </w:tcPr>
          <w:p w14:paraId="48AC0566" w14:textId="77777777" w:rsidR="004338C2" w:rsidRPr="00087534" w:rsidRDefault="004338C2" w:rsidP="003322F4">
            <w:pPr>
              <w:pStyle w:val="ExhibitText"/>
              <w:jc w:val="right"/>
              <w:rPr>
                <w:lang w:val="en-GB"/>
              </w:rPr>
            </w:pPr>
            <w:r w:rsidRPr="00087534">
              <w:rPr>
                <w:lang w:val="en-GB"/>
              </w:rPr>
              <w:t>106,340</w:t>
            </w:r>
          </w:p>
        </w:tc>
      </w:tr>
      <w:tr w:rsidR="004338C2" w:rsidRPr="00087534" w14:paraId="269B77B8" w14:textId="77777777" w:rsidTr="00EB00F5">
        <w:trPr>
          <w:trHeight w:val="254"/>
          <w:jc w:val="center"/>
        </w:trPr>
        <w:tc>
          <w:tcPr>
            <w:tcW w:w="3145" w:type="dxa"/>
            <w:noWrap/>
            <w:vAlign w:val="center"/>
          </w:tcPr>
          <w:p w14:paraId="6BC42365" w14:textId="2985DFBB" w:rsidR="004338C2" w:rsidRPr="00087534" w:rsidRDefault="004338C2" w:rsidP="003322F4">
            <w:pPr>
              <w:pStyle w:val="ExhibitText"/>
              <w:jc w:val="left"/>
              <w:rPr>
                <w:lang w:val="en-GB"/>
              </w:rPr>
            </w:pPr>
            <w:r w:rsidRPr="00087534">
              <w:rPr>
                <w:lang w:val="en-GB"/>
              </w:rPr>
              <w:t xml:space="preserve">Current </w:t>
            </w:r>
            <w:r w:rsidR="00DD1231" w:rsidRPr="00087534">
              <w:rPr>
                <w:lang w:val="en-GB"/>
              </w:rPr>
              <w:t>Ratio (Times)</w:t>
            </w:r>
          </w:p>
        </w:tc>
        <w:tc>
          <w:tcPr>
            <w:tcW w:w="810" w:type="dxa"/>
            <w:noWrap/>
            <w:vAlign w:val="center"/>
          </w:tcPr>
          <w:p w14:paraId="5E8ECB35" w14:textId="77777777" w:rsidR="004338C2" w:rsidRPr="00087534" w:rsidRDefault="004338C2" w:rsidP="003322F4">
            <w:pPr>
              <w:pStyle w:val="ExhibitText"/>
              <w:jc w:val="right"/>
              <w:rPr>
                <w:lang w:val="en-GB"/>
              </w:rPr>
            </w:pPr>
            <w:r w:rsidRPr="00087534">
              <w:rPr>
                <w:lang w:val="en-GB"/>
              </w:rPr>
              <w:t>1.11</w:t>
            </w:r>
          </w:p>
        </w:tc>
        <w:tc>
          <w:tcPr>
            <w:tcW w:w="1800" w:type="dxa"/>
            <w:vAlign w:val="center"/>
          </w:tcPr>
          <w:p w14:paraId="2716914A" w14:textId="77777777" w:rsidR="004338C2" w:rsidRPr="00087534" w:rsidRDefault="004338C2" w:rsidP="003322F4">
            <w:pPr>
              <w:pStyle w:val="ExhibitText"/>
              <w:jc w:val="right"/>
              <w:rPr>
                <w:lang w:val="en-GB"/>
              </w:rPr>
            </w:pPr>
            <w:r w:rsidRPr="00087534">
              <w:rPr>
                <w:lang w:val="en-GB"/>
              </w:rPr>
              <w:t>1.39</w:t>
            </w:r>
          </w:p>
        </w:tc>
        <w:tc>
          <w:tcPr>
            <w:tcW w:w="1170" w:type="dxa"/>
            <w:vAlign w:val="center"/>
          </w:tcPr>
          <w:p w14:paraId="27D07FFA" w14:textId="77777777" w:rsidR="004338C2" w:rsidRPr="00087534" w:rsidRDefault="004338C2" w:rsidP="003322F4">
            <w:pPr>
              <w:pStyle w:val="ExhibitText"/>
              <w:jc w:val="right"/>
              <w:rPr>
                <w:lang w:val="en-GB"/>
              </w:rPr>
            </w:pPr>
            <w:r w:rsidRPr="00087534">
              <w:rPr>
                <w:lang w:val="en-GB"/>
              </w:rPr>
              <w:t>1.25</w:t>
            </w:r>
          </w:p>
        </w:tc>
        <w:tc>
          <w:tcPr>
            <w:tcW w:w="1080" w:type="dxa"/>
            <w:vAlign w:val="center"/>
          </w:tcPr>
          <w:p w14:paraId="04CA673A" w14:textId="77777777" w:rsidR="004338C2" w:rsidRPr="00087534" w:rsidRDefault="004338C2" w:rsidP="003322F4">
            <w:pPr>
              <w:pStyle w:val="ExhibitText"/>
              <w:jc w:val="right"/>
              <w:rPr>
                <w:lang w:val="en-GB"/>
              </w:rPr>
            </w:pPr>
            <w:r w:rsidRPr="00087534">
              <w:rPr>
                <w:lang w:val="en-GB"/>
              </w:rPr>
              <w:t>2.34</w:t>
            </w:r>
          </w:p>
        </w:tc>
        <w:tc>
          <w:tcPr>
            <w:tcW w:w="1350" w:type="dxa"/>
            <w:vAlign w:val="center"/>
          </w:tcPr>
          <w:p w14:paraId="63E6C188" w14:textId="77777777" w:rsidR="004338C2" w:rsidRPr="00087534" w:rsidRDefault="004338C2" w:rsidP="003322F4">
            <w:pPr>
              <w:pStyle w:val="ExhibitText"/>
              <w:jc w:val="right"/>
              <w:rPr>
                <w:lang w:val="en-GB"/>
              </w:rPr>
            </w:pPr>
            <w:r w:rsidRPr="00087534">
              <w:rPr>
                <w:lang w:val="en-GB"/>
              </w:rPr>
              <w:t>2.22</w:t>
            </w:r>
          </w:p>
        </w:tc>
      </w:tr>
      <w:tr w:rsidR="004338C2" w:rsidRPr="00087534" w14:paraId="51218F5A" w14:textId="77777777" w:rsidTr="00EB00F5">
        <w:trPr>
          <w:trHeight w:val="254"/>
          <w:jc w:val="center"/>
        </w:trPr>
        <w:tc>
          <w:tcPr>
            <w:tcW w:w="3145" w:type="dxa"/>
            <w:noWrap/>
            <w:vAlign w:val="center"/>
          </w:tcPr>
          <w:p w14:paraId="354C843E" w14:textId="0DAAEDA7" w:rsidR="004338C2" w:rsidRPr="00087534" w:rsidRDefault="004338C2" w:rsidP="00EE02B8">
            <w:pPr>
              <w:pStyle w:val="ExhibitText"/>
              <w:jc w:val="left"/>
              <w:rPr>
                <w:lang w:val="en-GB"/>
              </w:rPr>
            </w:pPr>
            <w:r w:rsidRPr="00087534">
              <w:rPr>
                <w:lang w:val="en-GB"/>
              </w:rPr>
              <w:t>Debt</w:t>
            </w:r>
            <w:r w:rsidR="00DD1231">
              <w:rPr>
                <w:lang w:val="en-GB"/>
              </w:rPr>
              <w:t>–</w:t>
            </w:r>
            <w:r w:rsidR="00DD1231" w:rsidRPr="00087534">
              <w:rPr>
                <w:lang w:val="en-GB"/>
              </w:rPr>
              <w:t>Equity Ratio (Times)</w:t>
            </w:r>
          </w:p>
        </w:tc>
        <w:tc>
          <w:tcPr>
            <w:tcW w:w="810" w:type="dxa"/>
            <w:noWrap/>
            <w:vAlign w:val="center"/>
          </w:tcPr>
          <w:p w14:paraId="537A136B" w14:textId="77777777" w:rsidR="004338C2" w:rsidRPr="00087534" w:rsidRDefault="004338C2" w:rsidP="003322F4">
            <w:pPr>
              <w:pStyle w:val="ExhibitText"/>
              <w:jc w:val="right"/>
              <w:rPr>
                <w:lang w:val="en-GB"/>
              </w:rPr>
            </w:pPr>
            <w:r w:rsidRPr="00087534">
              <w:rPr>
                <w:lang w:val="en-GB"/>
              </w:rPr>
              <w:t>0.11</w:t>
            </w:r>
          </w:p>
        </w:tc>
        <w:tc>
          <w:tcPr>
            <w:tcW w:w="1800" w:type="dxa"/>
            <w:vAlign w:val="center"/>
          </w:tcPr>
          <w:p w14:paraId="0D47C1FF" w14:textId="77777777" w:rsidR="004338C2" w:rsidRPr="00087534" w:rsidRDefault="004338C2" w:rsidP="003322F4">
            <w:pPr>
              <w:pStyle w:val="ExhibitText"/>
              <w:jc w:val="right"/>
              <w:rPr>
                <w:lang w:val="en-GB"/>
              </w:rPr>
            </w:pPr>
            <w:r w:rsidRPr="00087534">
              <w:rPr>
                <w:lang w:val="en-GB"/>
              </w:rPr>
              <w:t>0.04</w:t>
            </w:r>
          </w:p>
        </w:tc>
        <w:tc>
          <w:tcPr>
            <w:tcW w:w="1170" w:type="dxa"/>
            <w:vAlign w:val="center"/>
          </w:tcPr>
          <w:p w14:paraId="14EA0A1D" w14:textId="77777777" w:rsidR="004338C2" w:rsidRPr="00087534" w:rsidRDefault="004338C2" w:rsidP="003322F4">
            <w:pPr>
              <w:pStyle w:val="ExhibitText"/>
              <w:jc w:val="right"/>
              <w:rPr>
                <w:lang w:val="en-GB"/>
              </w:rPr>
            </w:pPr>
            <w:r w:rsidRPr="00087534">
              <w:rPr>
                <w:lang w:val="en-GB"/>
              </w:rPr>
              <w:t>0.58</w:t>
            </w:r>
          </w:p>
        </w:tc>
        <w:tc>
          <w:tcPr>
            <w:tcW w:w="1080" w:type="dxa"/>
            <w:vAlign w:val="center"/>
          </w:tcPr>
          <w:p w14:paraId="7192B008" w14:textId="77777777" w:rsidR="004338C2" w:rsidRPr="00087534" w:rsidRDefault="004338C2" w:rsidP="003322F4">
            <w:pPr>
              <w:pStyle w:val="ExhibitText"/>
              <w:jc w:val="right"/>
              <w:rPr>
                <w:lang w:val="en-GB"/>
              </w:rPr>
            </w:pPr>
            <w:r w:rsidRPr="00087534">
              <w:rPr>
                <w:lang w:val="en-GB"/>
              </w:rPr>
              <w:t>0.04</w:t>
            </w:r>
          </w:p>
        </w:tc>
        <w:tc>
          <w:tcPr>
            <w:tcW w:w="1350" w:type="dxa"/>
            <w:vAlign w:val="center"/>
          </w:tcPr>
          <w:p w14:paraId="23781746" w14:textId="77777777" w:rsidR="004338C2" w:rsidRPr="00087534" w:rsidRDefault="004338C2" w:rsidP="003322F4">
            <w:pPr>
              <w:pStyle w:val="ExhibitText"/>
              <w:jc w:val="right"/>
              <w:rPr>
                <w:lang w:val="en-GB"/>
              </w:rPr>
            </w:pPr>
            <w:r w:rsidRPr="00087534">
              <w:rPr>
                <w:lang w:val="en-GB"/>
              </w:rPr>
              <w:t>0.09</w:t>
            </w:r>
          </w:p>
        </w:tc>
      </w:tr>
      <w:tr w:rsidR="004338C2" w:rsidRPr="00087534" w14:paraId="74AE51E6" w14:textId="77777777" w:rsidTr="00EB00F5">
        <w:trPr>
          <w:trHeight w:val="254"/>
          <w:jc w:val="center"/>
        </w:trPr>
        <w:tc>
          <w:tcPr>
            <w:tcW w:w="3145" w:type="dxa"/>
            <w:noWrap/>
            <w:vAlign w:val="center"/>
          </w:tcPr>
          <w:p w14:paraId="0F854F02" w14:textId="5593831E" w:rsidR="004338C2" w:rsidRPr="00087534" w:rsidRDefault="004338C2" w:rsidP="003322F4">
            <w:pPr>
              <w:pStyle w:val="ExhibitText"/>
              <w:jc w:val="left"/>
              <w:rPr>
                <w:lang w:val="en-GB"/>
              </w:rPr>
            </w:pPr>
            <w:r w:rsidRPr="00087534">
              <w:rPr>
                <w:lang w:val="en-GB"/>
              </w:rPr>
              <w:t xml:space="preserve">Interest </w:t>
            </w:r>
            <w:r w:rsidR="00DD1231" w:rsidRPr="00087534">
              <w:rPr>
                <w:lang w:val="en-GB"/>
              </w:rPr>
              <w:t>Coverage Ratio (Times)</w:t>
            </w:r>
          </w:p>
        </w:tc>
        <w:tc>
          <w:tcPr>
            <w:tcW w:w="810" w:type="dxa"/>
            <w:noWrap/>
            <w:vAlign w:val="center"/>
          </w:tcPr>
          <w:p w14:paraId="0834B501" w14:textId="77777777" w:rsidR="004338C2" w:rsidRPr="00087534" w:rsidRDefault="004338C2" w:rsidP="003322F4">
            <w:pPr>
              <w:pStyle w:val="ExhibitText"/>
              <w:jc w:val="right"/>
              <w:rPr>
                <w:lang w:val="en-GB"/>
              </w:rPr>
            </w:pPr>
            <w:r w:rsidRPr="00087534">
              <w:rPr>
                <w:lang w:val="en-GB"/>
              </w:rPr>
              <w:t>7.54</w:t>
            </w:r>
          </w:p>
        </w:tc>
        <w:tc>
          <w:tcPr>
            <w:tcW w:w="1800" w:type="dxa"/>
            <w:vAlign w:val="center"/>
          </w:tcPr>
          <w:p w14:paraId="6910A075" w14:textId="77777777" w:rsidR="004338C2" w:rsidRPr="00087534" w:rsidRDefault="004338C2" w:rsidP="003322F4">
            <w:pPr>
              <w:pStyle w:val="ExhibitText"/>
              <w:jc w:val="right"/>
              <w:rPr>
                <w:lang w:val="en-GB"/>
              </w:rPr>
            </w:pPr>
            <w:r w:rsidRPr="00087534">
              <w:rPr>
                <w:lang w:val="en-GB"/>
              </w:rPr>
              <w:t>367.93</w:t>
            </w:r>
          </w:p>
        </w:tc>
        <w:tc>
          <w:tcPr>
            <w:tcW w:w="1170" w:type="dxa"/>
            <w:vAlign w:val="center"/>
          </w:tcPr>
          <w:p w14:paraId="3DE89214" w14:textId="77777777" w:rsidR="004338C2" w:rsidRPr="00087534" w:rsidRDefault="004338C2" w:rsidP="003322F4">
            <w:pPr>
              <w:pStyle w:val="ExhibitText"/>
              <w:jc w:val="right"/>
              <w:rPr>
                <w:lang w:val="en-GB"/>
              </w:rPr>
            </w:pPr>
            <w:r w:rsidRPr="00087534">
              <w:rPr>
                <w:lang w:val="en-GB"/>
              </w:rPr>
              <w:t>6.88</w:t>
            </w:r>
          </w:p>
        </w:tc>
        <w:tc>
          <w:tcPr>
            <w:tcW w:w="1080" w:type="dxa"/>
            <w:vAlign w:val="center"/>
          </w:tcPr>
          <w:p w14:paraId="1E38E07C" w14:textId="77777777" w:rsidR="004338C2" w:rsidRPr="00087534" w:rsidRDefault="004338C2" w:rsidP="003322F4">
            <w:pPr>
              <w:pStyle w:val="ExhibitText"/>
              <w:jc w:val="right"/>
              <w:rPr>
                <w:lang w:val="en-GB"/>
              </w:rPr>
            </w:pPr>
            <w:r w:rsidRPr="00087534">
              <w:rPr>
                <w:lang w:val="en-GB"/>
              </w:rPr>
              <w:t>99.86</w:t>
            </w:r>
          </w:p>
        </w:tc>
        <w:tc>
          <w:tcPr>
            <w:tcW w:w="1350" w:type="dxa"/>
            <w:vAlign w:val="center"/>
          </w:tcPr>
          <w:p w14:paraId="0708B903" w14:textId="77777777" w:rsidR="004338C2" w:rsidRPr="00087534" w:rsidRDefault="004338C2" w:rsidP="003322F4">
            <w:pPr>
              <w:pStyle w:val="ExhibitText"/>
              <w:jc w:val="right"/>
              <w:rPr>
                <w:lang w:val="en-GB"/>
              </w:rPr>
            </w:pPr>
            <w:r w:rsidRPr="00087534">
              <w:rPr>
                <w:lang w:val="en-GB"/>
              </w:rPr>
              <w:t>40.97</w:t>
            </w:r>
          </w:p>
        </w:tc>
      </w:tr>
      <w:tr w:rsidR="004338C2" w:rsidRPr="00087534" w14:paraId="1FC8D8E4" w14:textId="77777777" w:rsidTr="00EB00F5">
        <w:trPr>
          <w:trHeight w:val="254"/>
          <w:jc w:val="center"/>
        </w:trPr>
        <w:tc>
          <w:tcPr>
            <w:tcW w:w="3145" w:type="dxa"/>
            <w:noWrap/>
            <w:vAlign w:val="center"/>
          </w:tcPr>
          <w:p w14:paraId="5E88CC07" w14:textId="7B5BBEF6" w:rsidR="004338C2" w:rsidRPr="00087534" w:rsidRDefault="004338C2" w:rsidP="00EE02B8">
            <w:pPr>
              <w:pStyle w:val="ExhibitText"/>
              <w:jc w:val="left"/>
              <w:rPr>
                <w:lang w:val="en-GB"/>
              </w:rPr>
            </w:pPr>
            <w:r w:rsidRPr="00087534">
              <w:rPr>
                <w:lang w:val="en-GB"/>
              </w:rPr>
              <w:t>Price</w:t>
            </w:r>
            <w:r w:rsidR="00DD1231">
              <w:rPr>
                <w:lang w:val="en-GB"/>
              </w:rPr>
              <w:t>–</w:t>
            </w:r>
            <w:r w:rsidR="00DD1231" w:rsidRPr="00087534">
              <w:rPr>
                <w:lang w:val="en-GB"/>
              </w:rPr>
              <w:t>Earnings Ratio (Times)</w:t>
            </w:r>
          </w:p>
        </w:tc>
        <w:tc>
          <w:tcPr>
            <w:tcW w:w="810" w:type="dxa"/>
            <w:noWrap/>
            <w:vAlign w:val="center"/>
          </w:tcPr>
          <w:p w14:paraId="410822E7" w14:textId="77777777" w:rsidR="004338C2" w:rsidRPr="00087534" w:rsidRDefault="004338C2" w:rsidP="003322F4">
            <w:pPr>
              <w:pStyle w:val="ExhibitText"/>
              <w:jc w:val="right"/>
              <w:rPr>
                <w:lang w:val="en-GB"/>
              </w:rPr>
            </w:pPr>
            <w:r w:rsidRPr="00087534">
              <w:rPr>
                <w:lang w:val="en-GB"/>
              </w:rPr>
              <w:t>45.38</w:t>
            </w:r>
          </w:p>
        </w:tc>
        <w:tc>
          <w:tcPr>
            <w:tcW w:w="1800" w:type="dxa"/>
            <w:vAlign w:val="center"/>
          </w:tcPr>
          <w:p w14:paraId="702FC325" w14:textId="77777777" w:rsidR="004338C2" w:rsidRPr="00087534" w:rsidRDefault="004338C2" w:rsidP="003322F4">
            <w:pPr>
              <w:pStyle w:val="ExhibitText"/>
              <w:jc w:val="right"/>
              <w:rPr>
                <w:lang w:val="en-GB"/>
              </w:rPr>
            </w:pPr>
            <w:r w:rsidRPr="00087534">
              <w:rPr>
                <w:lang w:val="en-GB"/>
              </w:rPr>
              <w:t>13.86</w:t>
            </w:r>
          </w:p>
        </w:tc>
        <w:tc>
          <w:tcPr>
            <w:tcW w:w="1170" w:type="dxa"/>
            <w:vAlign w:val="center"/>
          </w:tcPr>
          <w:p w14:paraId="735E4A5D" w14:textId="77777777" w:rsidR="004338C2" w:rsidRPr="00087534" w:rsidRDefault="004338C2" w:rsidP="003322F4">
            <w:pPr>
              <w:pStyle w:val="ExhibitText"/>
              <w:jc w:val="right"/>
              <w:rPr>
                <w:lang w:val="en-GB"/>
              </w:rPr>
            </w:pPr>
            <w:r w:rsidRPr="00087534">
              <w:rPr>
                <w:lang w:val="en-GB"/>
              </w:rPr>
              <w:t>22.28</w:t>
            </w:r>
          </w:p>
        </w:tc>
        <w:tc>
          <w:tcPr>
            <w:tcW w:w="1080" w:type="dxa"/>
            <w:vAlign w:val="center"/>
          </w:tcPr>
          <w:p w14:paraId="0357CF98" w14:textId="77777777" w:rsidR="004338C2" w:rsidRPr="00087534" w:rsidRDefault="004338C2" w:rsidP="003322F4">
            <w:pPr>
              <w:pStyle w:val="ExhibitText"/>
              <w:jc w:val="right"/>
              <w:rPr>
                <w:lang w:val="en-GB"/>
              </w:rPr>
            </w:pPr>
            <w:r w:rsidRPr="00087534">
              <w:rPr>
                <w:lang w:val="en-GB"/>
              </w:rPr>
              <w:t>32.03</w:t>
            </w:r>
          </w:p>
        </w:tc>
        <w:tc>
          <w:tcPr>
            <w:tcW w:w="1350" w:type="dxa"/>
            <w:vAlign w:val="center"/>
          </w:tcPr>
          <w:p w14:paraId="5AC3ACCB" w14:textId="77777777" w:rsidR="004338C2" w:rsidRPr="00087534" w:rsidRDefault="004338C2" w:rsidP="003322F4">
            <w:pPr>
              <w:pStyle w:val="ExhibitText"/>
              <w:jc w:val="right"/>
              <w:rPr>
                <w:lang w:val="en-GB"/>
              </w:rPr>
            </w:pPr>
            <w:r w:rsidRPr="00087534">
              <w:rPr>
                <w:lang w:val="en-GB"/>
              </w:rPr>
              <w:t>25.90</w:t>
            </w:r>
          </w:p>
        </w:tc>
      </w:tr>
      <w:tr w:rsidR="004338C2" w:rsidRPr="00087534" w14:paraId="6A334BAA" w14:textId="77777777" w:rsidTr="00EB00F5">
        <w:trPr>
          <w:trHeight w:val="254"/>
          <w:jc w:val="center"/>
        </w:trPr>
        <w:tc>
          <w:tcPr>
            <w:tcW w:w="3145" w:type="dxa"/>
            <w:noWrap/>
            <w:vAlign w:val="center"/>
          </w:tcPr>
          <w:p w14:paraId="773560F1" w14:textId="153FF28D" w:rsidR="004338C2" w:rsidRPr="00087534" w:rsidRDefault="004338C2" w:rsidP="003322F4">
            <w:pPr>
              <w:pStyle w:val="ExhibitText"/>
              <w:jc w:val="left"/>
              <w:rPr>
                <w:lang w:val="en-GB"/>
              </w:rPr>
            </w:pPr>
            <w:r w:rsidRPr="00087534">
              <w:rPr>
                <w:lang w:val="en-GB"/>
              </w:rPr>
              <w:t xml:space="preserve">Earnings </w:t>
            </w:r>
            <w:r w:rsidR="00DD1231" w:rsidRPr="00087534">
              <w:rPr>
                <w:lang w:val="en-GB"/>
              </w:rPr>
              <w:t>per Share (Times)</w:t>
            </w:r>
          </w:p>
        </w:tc>
        <w:tc>
          <w:tcPr>
            <w:tcW w:w="810" w:type="dxa"/>
            <w:noWrap/>
            <w:vAlign w:val="center"/>
          </w:tcPr>
          <w:p w14:paraId="55D4EDA4" w14:textId="77777777" w:rsidR="004338C2" w:rsidRPr="00087534" w:rsidRDefault="004338C2" w:rsidP="003322F4">
            <w:pPr>
              <w:pStyle w:val="ExhibitText"/>
              <w:jc w:val="right"/>
              <w:rPr>
                <w:lang w:val="en-GB"/>
              </w:rPr>
            </w:pPr>
            <w:r w:rsidRPr="00087534">
              <w:rPr>
                <w:lang w:val="en-GB"/>
              </w:rPr>
              <w:t>46.17</w:t>
            </w:r>
          </w:p>
        </w:tc>
        <w:tc>
          <w:tcPr>
            <w:tcW w:w="1800" w:type="dxa"/>
            <w:vAlign w:val="center"/>
          </w:tcPr>
          <w:p w14:paraId="64ADA297" w14:textId="77777777" w:rsidR="004338C2" w:rsidRPr="00087534" w:rsidRDefault="004338C2" w:rsidP="003322F4">
            <w:pPr>
              <w:pStyle w:val="ExhibitText"/>
              <w:jc w:val="right"/>
              <w:rPr>
                <w:lang w:val="en-GB"/>
              </w:rPr>
            </w:pPr>
            <w:r w:rsidRPr="00087534">
              <w:rPr>
                <w:lang w:val="en-GB"/>
              </w:rPr>
              <w:t>15.20</w:t>
            </w:r>
          </w:p>
        </w:tc>
        <w:tc>
          <w:tcPr>
            <w:tcW w:w="1170" w:type="dxa"/>
            <w:vAlign w:val="center"/>
          </w:tcPr>
          <w:p w14:paraId="744357EA" w14:textId="77777777" w:rsidR="004338C2" w:rsidRPr="00087534" w:rsidRDefault="004338C2" w:rsidP="003322F4">
            <w:pPr>
              <w:pStyle w:val="ExhibitText"/>
              <w:jc w:val="right"/>
              <w:rPr>
                <w:lang w:val="en-GB"/>
              </w:rPr>
            </w:pPr>
            <w:r w:rsidRPr="00087534">
              <w:rPr>
                <w:lang w:val="en-GB"/>
              </w:rPr>
              <w:t>4.67</w:t>
            </w:r>
          </w:p>
        </w:tc>
        <w:tc>
          <w:tcPr>
            <w:tcW w:w="1080" w:type="dxa"/>
            <w:vAlign w:val="center"/>
          </w:tcPr>
          <w:p w14:paraId="56909CC6" w14:textId="77777777" w:rsidR="004338C2" w:rsidRPr="00087534" w:rsidRDefault="004338C2" w:rsidP="003322F4">
            <w:pPr>
              <w:pStyle w:val="ExhibitText"/>
              <w:jc w:val="right"/>
              <w:rPr>
                <w:lang w:val="en-GB"/>
              </w:rPr>
            </w:pPr>
            <w:r w:rsidRPr="00087534">
              <w:rPr>
                <w:lang w:val="en-GB"/>
              </w:rPr>
              <w:t>34.84</w:t>
            </w:r>
          </w:p>
        </w:tc>
        <w:tc>
          <w:tcPr>
            <w:tcW w:w="1350" w:type="dxa"/>
            <w:vAlign w:val="center"/>
          </w:tcPr>
          <w:p w14:paraId="04DB4002" w14:textId="77777777" w:rsidR="004338C2" w:rsidRPr="00087534" w:rsidRDefault="004338C2" w:rsidP="003322F4">
            <w:pPr>
              <w:pStyle w:val="ExhibitText"/>
              <w:jc w:val="right"/>
              <w:rPr>
                <w:lang w:val="en-GB"/>
              </w:rPr>
            </w:pPr>
            <w:r w:rsidRPr="00087534">
              <w:rPr>
                <w:lang w:val="en-GB"/>
              </w:rPr>
              <w:t>98.60</w:t>
            </w:r>
          </w:p>
        </w:tc>
      </w:tr>
      <w:tr w:rsidR="004338C2" w:rsidRPr="00087534" w14:paraId="2B52D70F" w14:textId="77777777" w:rsidTr="00EB00F5">
        <w:trPr>
          <w:trHeight w:val="254"/>
          <w:jc w:val="center"/>
        </w:trPr>
        <w:tc>
          <w:tcPr>
            <w:tcW w:w="3145" w:type="dxa"/>
            <w:noWrap/>
            <w:vAlign w:val="center"/>
          </w:tcPr>
          <w:p w14:paraId="4CEAA8C6" w14:textId="745D9FF0" w:rsidR="004338C2" w:rsidRPr="00087534" w:rsidRDefault="004338C2" w:rsidP="00E336CA">
            <w:pPr>
              <w:pStyle w:val="ExhibitText"/>
              <w:jc w:val="left"/>
              <w:rPr>
                <w:lang w:val="en-GB"/>
              </w:rPr>
            </w:pPr>
            <w:r w:rsidRPr="00087534">
              <w:rPr>
                <w:lang w:val="en-GB"/>
              </w:rPr>
              <w:t>Price</w:t>
            </w:r>
            <w:r w:rsidR="00DD1231">
              <w:rPr>
                <w:lang w:val="en-GB"/>
              </w:rPr>
              <w:t>-</w:t>
            </w:r>
            <w:r w:rsidR="00DD1231" w:rsidRPr="00087534">
              <w:rPr>
                <w:lang w:val="en-GB"/>
              </w:rPr>
              <w:t>to</w:t>
            </w:r>
            <w:r w:rsidR="00DD1231">
              <w:rPr>
                <w:lang w:val="en-GB"/>
              </w:rPr>
              <w:t>-</w:t>
            </w:r>
            <w:r w:rsidR="00DD1231" w:rsidRPr="00087534">
              <w:rPr>
                <w:lang w:val="en-GB"/>
              </w:rPr>
              <w:t>Book Value Ratio (Times)</w:t>
            </w:r>
          </w:p>
        </w:tc>
        <w:tc>
          <w:tcPr>
            <w:tcW w:w="810" w:type="dxa"/>
            <w:noWrap/>
            <w:vAlign w:val="center"/>
          </w:tcPr>
          <w:p w14:paraId="6159A2F9" w14:textId="77777777" w:rsidR="004338C2" w:rsidRPr="00087534" w:rsidRDefault="004338C2" w:rsidP="003322F4">
            <w:pPr>
              <w:pStyle w:val="ExhibitText"/>
              <w:jc w:val="right"/>
              <w:rPr>
                <w:lang w:val="en-GB"/>
              </w:rPr>
            </w:pPr>
            <w:r w:rsidRPr="00087534">
              <w:rPr>
                <w:lang w:val="en-GB"/>
              </w:rPr>
              <w:t>8.87</w:t>
            </w:r>
          </w:p>
        </w:tc>
        <w:tc>
          <w:tcPr>
            <w:tcW w:w="1800" w:type="dxa"/>
            <w:vAlign w:val="center"/>
          </w:tcPr>
          <w:p w14:paraId="46CE0BA4" w14:textId="77777777" w:rsidR="004338C2" w:rsidRPr="00087534" w:rsidRDefault="004338C2" w:rsidP="003322F4">
            <w:pPr>
              <w:pStyle w:val="ExhibitText"/>
              <w:jc w:val="right"/>
              <w:rPr>
                <w:lang w:val="en-GB"/>
              </w:rPr>
            </w:pPr>
            <w:r w:rsidRPr="00087534">
              <w:rPr>
                <w:lang w:val="en-GB"/>
              </w:rPr>
              <w:t>10.25</w:t>
            </w:r>
          </w:p>
        </w:tc>
        <w:tc>
          <w:tcPr>
            <w:tcW w:w="1170" w:type="dxa"/>
            <w:vAlign w:val="center"/>
          </w:tcPr>
          <w:p w14:paraId="69A15C9B" w14:textId="77777777" w:rsidR="004338C2" w:rsidRPr="00087534" w:rsidRDefault="004338C2" w:rsidP="003322F4">
            <w:pPr>
              <w:pStyle w:val="ExhibitText"/>
              <w:jc w:val="right"/>
              <w:rPr>
                <w:lang w:val="en-GB"/>
              </w:rPr>
            </w:pPr>
            <w:r w:rsidRPr="00087534">
              <w:rPr>
                <w:lang w:val="en-GB"/>
              </w:rPr>
              <w:t>4.08</w:t>
            </w:r>
          </w:p>
        </w:tc>
        <w:tc>
          <w:tcPr>
            <w:tcW w:w="1080" w:type="dxa"/>
            <w:vAlign w:val="center"/>
          </w:tcPr>
          <w:p w14:paraId="6E6A91D4" w14:textId="77777777" w:rsidR="004338C2" w:rsidRPr="00087534" w:rsidRDefault="004338C2" w:rsidP="003322F4">
            <w:pPr>
              <w:pStyle w:val="ExhibitText"/>
              <w:jc w:val="right"/>
              <w:rPr>
                <w:lang w:val="en-GB"/>
              </w:rPr>
            </w:pPr>
            <w:r w:rsidRPr="00087534">
              <w:rPr>
                <w:lang w:val="en-GB"/>
              </w:rPr>
              <w:t>13.78</w:t>
            </w:r>
          </w:p>
        </w:tc>
        <w:tc>
          <w:tcPr>
            <w:tcW w:w="1350" w:type="dxa"/>
            <w:vAlign w:val="center"/>
          </w:tcPr>
          <w:p w14:paraId="096964F6" w14:textId="77777777" w:rsidR="004338C2" w:rsidRPr="00087534" w:rsidRDefault="004338C2" w:rsidP="003322F4">
            <w:pPr>
              <w:pStyle w:val="ExhibitText"/>
              <w:jc w:val="right"/>
              <w:rPr>
                <w:lang w:val="en-GB"/>
              </w:rPr>
            </w:pPr>
            <w:r w:rsidRPr="00087534">
              <w:rPr>
                <w:lang w:val="en-GB"/>
              </w:rPr>
              <w:t>5.59</w:t>
            </w:r>
          </w:p>
        </w:tc>
      </w:tr>
      <w:tr w:rsidR="004338C2" w:rsidRPr="00087534" w14:paraId="0D175147" w14:textId="77777777" w:rsidTr="00EB00F5">
        <w:trPr>
          <w:trHeight w:val="254"/>
          <w:jc w:val="center"/>
        </w:trPr>
        <w:tc>
          <w:tcPr>
            <w:tcW w:w="3145" w:type="dxa"/>
            <w:noWrap/>
            <w:vAlign w:val="center"/>
          </w:tcPr>
          <w:p w14:paraId="24111BF0" w14:textId="3E64B55D" w:rsidR="004338C2" w:rsidRPr="00087534" w:rsidRDefault="004338C2" w:rsidP="003322F4">
            <w:pPr>
              <w:pStyle w:val="ExhibitText"/>
              <w:jc w:val="left"/>
              <w:rPr>
                <w:lang w:val="en-GB"/>
              </w:rPr>
            </w:pPr>
            <w:r w:rsidRPr="00087534">
              <w:rPr>
                <w:lang w:val="en-GB"/>
              </w:rPr>
              <w:t xml:space="preserve">Market </w:t>
            </w:r>
            <w:r w:rsidR="00DD1231" w:rsidRPr="00087534">
              <w:rPr>
                <w:lang w:val="en-GB"/>
              </w:rPr>
              <w:t>Capitalization</w:t>
            </w:r>
          </w:p>
        </w:tc>
        <w:tc>
          <w:tcPr>
            <w:tcW w:w="810" w:type="dxa"/>
            <w:noWrap/>
            <w:vAlign w:val="center"/>
          </w:tcPr>
          <w:p w14:paraId="3F699696" w14:textId="77777777" w:rsidR="004338C2" w:rsidRPr="00087534" w:rsidRDefault="004338C2" w:rsidP="003322F4">
            <w:pPr>
              <w:pStyle w:val="ExhibitText"/>
              <w:jc w:val="right"/>
              <w:rPr>
                <w:lang w:val="en-GB"/>
              </w:rPr>
            </w:pPr>
            <w:r w:rsidRPr="00087534">
              <w:rPr>
                <w:lang w:val="en-GB"/>
              </w:rPr>
              <w:t>80,460</w:t>
            </w:r>
          </w:p>
        </w:tc>
        <w:tc>
          <w:tcPr>
            <w:tcW w:w="1800" w:type="dxa"/>
            <w:vAlign w:val="center"/>
          </w:tcPr>
          <w:p w14:paraId="50C2CE82" w14:textId="77777777" w:rsidR="004338C2" w:rsidRPr="00087534" w:rsidRDefault="004338C2" w:rsidP="003322F4">
            <w:pPr>
              <w:pStyle w:val="ExhibitText"/>
              <w:jc w:val="right"/>
              <w:rPr>
                <w:lang w:val="en-GB"/>
              </w:rPr>
            </w:pPr>
            <w:r w:rsidRPr="00087534">
              <w:rPr>
                <w:lang w:val="en-GB"/>
              </w:rPr>
              <w:t>99,716</w:t>
            </w:r>
          </w:p>
        </w:tc>
        <w:tc>
          <w:tcPr>
            <w:tcW w:w="1170" w:type="dxa"/>
            <w:vAlign w:val="center"/>
          </w:tcPr>
          <w:p w14:paraId="5C793F25" w14:textId="77777777" w:rsidR="004338C2" w:rsidRPr="00087534" w:rsidRDefault="004338C2" w:rsidP="003322F4">
            <w:pPr>
              <w:pStyle w:val="ExhibitText"/>
              <w:jc w:val="right"/>
              <w:rPr>
                <w:lang w:val="en-GB"/>
              </w:rPr>
            </w:pPr>
            <w:r w:rsidRPr="00087534">
              <w:rPr>
                <w:lang w:val="en-GB"/>
              </w:rPr>
              <w:t>26,937</w:t>
            </w:r>
          </w:p>
        </w:tc>
        <w:tc>
          <w:tcPr>
            <w:tcW w:w="1080" w:type="dxa"/>
            <w:vAlign w:val="center"/>
          </w:tcPr>
          <w:p w14:paraId="32785A30" w14:textId="77777777" w:rsidR="004338C2" w:rsidRPr="00087534" w:rsidRDefault="004338C2" w:rsidP="003322F4">
            <w:pPr>
              <w:pStyle w:val="ExhibitText"/>
              <w:jc w:val="right"/>
              <w:rPr>
                <w:lang w:val="en-GB"/>
              </w:rPr>
            </w:pPr>
            <w:r w:rsidRPr="00087534">
              <w:rPr>
                <w:lang w:val="en-GB"/>
              </w:rPr>
              <w:t>132,763</w:t>
            </w:r>
          </w:p>
        </w:tc>
        <w:tc>
          <w:tcPr>
            <w:tcW w:w="1350" w:type="dxa"/>
            <w:vAlign w:val="center"/>
          </w:tcPr>
          <w:p w14:paraId="4E28C4EB" w14:textId="77777777" w:rsidR="004338C2" w:rsidRPr="00087534" w:rsidRDefault="004338C2" w:rsidP="003322F4">
            <w:pPr>
              <w:pStyle w:val="ExhibitText"/>
              <w:jc w:val="right"/>
              <w:rPr>
                <w:lang w:val="en-GB"/>
              </w:rPr>
            </w:pPr>
            <w:r w:rsidRPr="00087534">
              <w:rPr>
                <w:lang w:val="en-GB"/>
              </w:rPr>
              <w:t>500,316</w:t>
            </w:r>
          </w:p>
        </w:tc>
      </w:tr>
      <w:tr w:rsidR="004338C2" w:rsidRPr="00087534" w14:paraId="11104575" w14:textId="77777777" w:rsidTr="00EB00F5">
        <w:trPr>
          <w:trHeight w:val="254"/>
          <w:jc w:val="center"/>
        </w:trPr>
        <w:tc>
          <w:tcPr>
            <w:tcW w:w="3145" w:type="dxa"/>
            <w:noWrap/>
            <w:vAlign w:val="center"/>
          </w:tcPr>
          <w:p w14:paraId="5295C577" w14:textId="4D8323A7" w:rsidR="004338C2" w:rsidRPr="00087534" w:rsidRDefault="004338C2" w:rsidP="003322F4">
            <w:pPr>
              <w:pStyle w:val="ExhibitText"/>
              <w:jc w:val="left"/>
              <w:rPr>
                <w:lang w:val="en-GB"/>
              </w:rPr>
            </w:pPr>
            <w:r w:rsidRPr="00087534">
              <w:rPr>
                <w:lang w:val="en-GB"/>
              </w:rPr>
              <w:t xml:space="preserve">Enterprise </w:t>
            </w:r>
            <w:r w:rsidR="00DD1231" w:rsidRPr="00087534">
              <w:rPr>
                <w:lang w:val="en-GB"/>
              </w:rPr>
              <w:t>Value</w:t>
            </w:r>
          </w:p>
        </w:tc>
        <w:tc>
          <w:tcPr>
            <w:tcW w:w="810" w:type="dxa"/>
            <w:noWrap/>
            <w:vAlign w:val="center"/>
          </w:tcPr>
          <w:p w14:paraId="56C55AAB" w14:textId="77777777" w:rsidR="004338C2" w:rsidRPr="00087534" w:rsidRDefault="004338C2" w:rsidP="003322F4">
            <w:pPr>
              <w:pStyle w:val="ExhibitText"/>
              <w:jc w:val="right"/>
              <w:rPr>
                <w:lang w:val="en-GB"/>
              </w:rPr>
            </w:pPr>
            <w:r w:rsidRPr="00087534">
              <w:rPr>
                <w:lang w:val="en-GB"/>
              </w:rPr>
              <w:t>72,704</w:t>
            </w:r>
          </w:p>
        </w:tc>
        <w:tc>
          <w:tcPr>
            <w:tcW w:w="1800" w:type="dxa"/>
            <w:vAlign w:val="center"/>
          </w:tcPr>
          <w:p w14:paraId="6C34364C" w14:textId="77777777" w:rsidR="004338C2" w:rsidRPr="00087534" w:rsidRDefault="004338C2" w:rsidP="003322F4">
            <w:pPr>
              <w:pStyle w:val="ExhibitText"/>
              <w:jc w:val="right"/>
              <w:rPr>
                <w:lang w:val="en-GB"/>
              </w:rPr>
            </w:pPr>
            <w:r w:rsidRPr="00087534">
              <w:rPr>
                <w:lang w:val="en-GB"/>
              </w:rPr>
              <w:t>87,087</w:t>
            </w:r>
          </w:p>
        </w:tc>
        <w:tc>
          <w:tcPr>
            <w:tcW w:w="1170" w:type="dxa"/>
            <w:vAlign w:val="center"/>
          </w:tcPr>
          <w:p w14:paraId="2A13FC32" w14:textId="77777777" w:rsidR="004338C2" w:rsidRPr="00087534" w:rsidRDefault="004338C2" w:rsidP="003322F4">
            <w:pPr>
              <w:pStyle w:val="ExhibitText"/>
              <w:jc w:val="right"/>
              <w:rPr>
                <w:lang w:val="en-GB"/>
              </w:rPr>
            </w:pPr>
            <w:r w:rsidRPr="00087534">
              <w:rPr>
                <w:lang w:val="en-GB"/>
              </w:rPr>
              <w:t>20,425</w:t>
            </w:r>
          </w:p>
        </w:tc>
        <w:tc>
          <w:tcPr>
            <w:tcW w:w="1080" w:type="dxa"/>
            <w:vAlign w:val="center"/>
          </w:tcPr>
          <w:p w14:paraId="5BBEC3EF" w14:textId="77777777" w:rsidR="004338C2" w:rsidRPr="00087534" w:rsidRDefault="004338C2" w:rsidP="003322F4">
            <w:pPr>
              <w:pStyle w:val="ExhibitText"/>
              <w:jc w:val="right"/>
              <w:rPr>
                <w:lang w:val="en-GB"/>
              </w:rPr>
            </w:pPr>
            <w:r w:rsidRPr="00087534">
              <w:rPr>
                <w:lang w:val="en-GB"/>
              </w:rPr>
              <w:t>107,775</w:t>
            </w:r>
          </w:p>
        </w:tc>
        <w:tc>
          <w:tcPr>
            <w:tcW w:w="1350" w:type="dxa"/>
            <w:vAlign w:val="center"/>
          </w:tcPr>
          <w:p w14:paraId="406F8363" w14:textId="77777777" w:rsidR="004338C2" w:rsidRPr="00087534" w:rsidRDefault="004338C2" w:rsidP="003322F4">
            <w:pPr>
              <w:pStyle w:val="ExhibitText"/>
              <w:jc w:val="right"/>
              <w:rPr>
                <w:lang w:val="en-GB"/>
              </w:rPr>
            </w:pPr>
            <w:r w:rsidRPr="00087534">
              <w:rPr>
                <w:lang w:val="en-GB"/>
              </w:rPr>
              <w:t>616,496</w:t>
            </w:r>
          </w:p>
        </w:tc>
      </w:tr>
    </w:tbl>
    <w:p w14:paraId="384560D6" w14:textId="77777777" w:rsidR="004338C2" w:rsidRPr="00087534" w:rsidRDefault="004338C2" w:rsidP="00D33D14">
      <w:pPr>
        <w:jc w:val="both"/>
        <w:rPr>
          <w:rFonts w:eastAsia="Arial Unicode MS"/>
          <w:bCs/>
          <w:i/>
          <w:lang w:val="en-GB"/>
        </w:rPr>
      </w:pPr>
    </w:p>
    <w:p w14:paraId="2B3BE9FA" w14:textId="4C5113FD" w:rsidR="004338C2" w:rsidRPr="00CB26E0" w:rsidRDefault="004338C2" w:rsidP="00CB26E0">
      <w:pPr>
        <w:pStyle w:val="ExhibitText"/>
        <w:rPr>
          <w:rFonts w:eastAsia="Arial Unicode MS"/>
        </w:rPr>
      </w:pPr>
      <w:r w:rsidRPr="00CB26E0">
        <w:rPr>
          <w:rFonts w:eastAsia="Calibri"/>
        </w:rPr>
        <w:t>NPL’s product portfolio consisted of complex, niche, and difficult-to-manufacture products associated with high disease incidence and sustained revenue potential. The company’s drugs (especially those used to treat cancer) were not over-the-counter drugs but were available only by prescription from specific hospitals/pharmacies. The company was also making its own active pharmaceutical ingredients through backward integration; while it was manufacturing generic versions of patented drugs, its collaborating partner was typically responsible for potential litigation costs, marketing, and distribution. NPL’s profitability was better than its peers</w:t>
      </w:r>
      <w:r w:rsidR="00DD1231">
        <w:rPr>
          <w:rFonts w:eastAsia="Calibri"/>
        </w:rPr>
        <w:t xml:space="preserve">, </w:t>
      </w:r>
      <w:r w:rsidRPr="00CB26E0">
        <w:rPr>
          <w:rFonts w:eastAsia="Calibri"/>
        </w:rPr>
        <w:t>except Ajanta Pharma Ltd., signifying the company’s high</w:t>
      </w:r>
      <w:r w:rsidR="00E336CA" w:rsidRPr="00CB26E0">
        <w:rPr>
          <w:rFonts w:eastAsia="Calibri"/>
        </w:rPr>
        <w:t>-</w:t>
      </w:r>
      <w:r w:rsidRPr="00CB26E0">
        <w:rPr>
          <w:rFonts w:eastAsia="Calibri"/>
        </w:rPr>
        <w:t>value and low</w:t>
      </w:r>
      <w:r w:rsidR="00E336CA" w:rsidRPr="00CB26E0">
        <w:rPr>
          <w:rFonts w:eastAsia="Calibri"/>
        </w:rPr>
        <w:t>-</w:t>
      </w:r>
      <w:r w:rsidRPr="00CB26E0">
        <w:rPr>
          <w:rFonts w:eastAsia="Calibri"/>
        </w:rPr>
        <w:t xml:space="preserve">volume business model. The company’s main focus was on research and development (R&amp;D), which was evident from its higher allocation of R&amp;D funds, compared with its peers, except for Dr. Reddy’s Laboratories Ltd. </w:t>
      </w:r>
    </w:p>
    <w:p w14:paraId="2700762D" w14:textId="77777777" w:rsidR="00CB26E0" w:rsidRDefault="00CB26E0" w:rsidP="003322F4">
      <w:pPr>
        <w:pStyle w:val="Footnote"/>
        <w:rPr>
          <w:rFonts w:eastAsia="Arial Unicode MS"/>
          <w:lang w:val="en-GB"/>
        </w:rPr>
      </w:pPr>
    </w:p>
    <w:p w14:paraId="348BDA3D" w14:textId="2CAFCDDC" w:rsidR="004338C2" w:rsidRPr="00087534" w:rsidRDefault="004338C2" w:rsidP="003322F4">
      <w:pPr>
        <w:pStyle w:val="Footnote"/>
        <w:rPr>
          <w:rFonts w:eastAsia="Arial Unicode MS"/>
          <w:lang w:val="en-GB"/>
        </w:rPr>
      </w:pPr>
      <w:r w:rsidRPr="00087534">
        <w:rPr>
          <w:rFonts w:eastAsia="Arial Unicode MS"/>
          <w:lang w:val="en-GB"/>
        </w:rPr>
        <w:t xml:space="preserve">Note: </w:t>
      </w:r>
      <w:r>
        <w:rPr>
          <w:rFonts w:eastAsia="Arial Unicode MS"/>
          <w:lang w:val="en-GB"/>
        </w:rPr>
        <w:t xml:space="preserve">NPL = </w:t>
      </w:r>
      <w:proofErr w:type="spellStart"/>
      <w:r>
        <w:rPr>
          <w:rFonts w:eastAsia="Arial Unicode MS"/>
          <w:lang w:val="en-GB"/>
        </w:rPr>
        <w:t>Natco</w:t>
      </w:r>
      <w:proofErr w:type="spellEnd"/>
      <w:r>
        <w:rPr>
          <w:rFonts w:eastAsia="Arial Unicode MS"/>
          <w:lang w:val="en-GB"/>
        </w:rPr>
        <w:t xml:space="preserve"> Pharma Limited; </w:t>
      </w:r>
      <w:r w:rsidRPr="00977E45">
        <w:t>₹</w:t>
      </w:r>
      <w:r w:rsidRPr="00E86B7A">
        <w:rPr>
          <w:lang w:val="en-CA"/>
        </w:rPr>
        <w:t xml:space="preserve"> </w:t>
      </w:r>
      <w:r w:rsidRPr="00E86B7A">
        <w:t xml:space="preserve">= </w:t>
      </w:r>
      <w:r>
        <w:t>INR</w:t>
      </w:r>
      <w:r w:rsidRPr="00E86B7A">
        <w:t xml:space="preserve"> </w:t>
      </w:r>
      <w:r w:rsidRPr="00994588">
        <w:t>= Indian rupee</w:t>
      </w:r>
      <w:r>
        <w:t>;</w:t>
      </w:r>
      <w:r w:rsidRPr="00994588">
        <w:t xml:space="preserve"> US$</w:t>
      </w:r>
      <w:r>
        <w:t>1</w:t>
      </w:r>
      <w:r w:rsidR="00DD1231">
        <w:t>.00</w:t>
      </w:r>
      <w:r w:rsidRPr="00994588">
        <w:t xml:space="preserve"> = </w:t>
      </w:r>
      <w:r w:rsidRPr="00977E45">
        <w:t>₹</w:t>
      </w:r>
      <w:r w:rsidRPr="00994588">
        <w:t>66.31</w:t>
      </w:r>
      <w:r w:rsidR="00E336CA">
        <w:t xml:space="preserve"> on August 31, 2015</w:t>
      </w:r>
      <w:r>
        <w:t xml:space="preserve">; </w:t>
      </w:r>
      <w:r w:rsidR="00E336CA">
        <w:t xml:space="preserve">R&amp;D = research and development; </w:t>
      </w:r>
      <w:r w:rsidRPr="00087534">
        <w:rPr>
          <w:rFonts w:eastAsia="Arial Unicode MS"/>
          <w:lang w:val="en-GB"/>
        </w:rPr>
        <w:t xml:space="preserve">Peer comparison was done as per the suggestion made by NPL’s management; the above four peer companies in the Indian pharmaceutical industry were selected based on </w:t>
      </w:r>
      <w:r w:rsidR="00E336CA">
        <w:rPr>
          <w:rFonts w:eastAsia="Arial Unicode MS"/>
          <w:lang w:val="en-GB"/>
        </w:rPr>
        <w:t xml:space="preserve">each </w:t>
      </w:r>
      <w:r>
        <w:rPr>
          <w:rFonts w:eastAsia="Arial Unicode MS"/>
          <w:lang w:val="en-GB"/>
        </w:rPr>
        <w:t>company</w:t>
      </w:r>
      <w:r w:rsidR="00E336CA">
        <w:rPr>
          <w:rFonts w:eastAsia="Arial Unicode MS"/>
          <w:lang w:val="en-GB"/>
        </w:rPr>
        <w:t>’s</w:t>
      </w:r>
      <w:r>
        <w:rPr>
          <w:rFonts w:eastAsia="Arial Unicode MS"/>
          <w:lang w:val="en-GB"/>
        </w:rPr>
        <w:t xml:space="preserve"> </w:t>
      </w:r>
      <w:r w:rsidRPr="00087534">
        <w:rPr>
          <w:rFonts w:eastAsia="Arial Unicode MS"/>
          <w:lang w:val="en-GB"/>
        </w:rPr>
        <w:t xml:space="preserve">size, nature of operations, product profile, and focus on R&amp;D. </w:t>
      </w:r>
    </w:p>
    <w:p w14:paraId="74401566" w14:textId="691AC72E" w:rsidR="004338C2" w:rsidRPr="00087534" w:rsidRDefault="004338C2" w:rsidP="003322F4">
      <w:pPr>
        <w:pStyle w:val="Footnote"/>
        <w:rPr>
          <w:rFonts w:eastAsia="Arial Unicode MS"/>
          <w:lang w:val="en-GB"/>
        </w:rPr>
      </w:pPr>
      <w:r w:rsidRPr="00087534">
        <w:rPr>
          <w:rFonts w:eastAsia="Arial Unicode MS"/>
          <w:lang w:val="en-GB"/>
        </w:rPr>
        <w:t>Source: Company’s documents and annual reports of Alembic Pharmaceuticals Ltd., Granules India Ltd., Ajanta Pharma Ltd.</w:t>
      </w:r>
      <w:r>
        <w:rPr>
          <w:rFonts w:eastAsia="Arial Unicode MS"/>
          <w:lang w:val="en-GB"/>
        </w:rPr>
        <w:t>,</w:t>
      </w:r>
      <w:r w:rsidRPr="00087534">
        <w:rPr>
          <w:rFonts w:eastAsia="Arial Unicode MS"/>
          <w:lang w:val="en-GB"/>
        </w:rPr>
        <w:t xml:space="preserve"> and </w:t>
      </w:r>
      <w:proofErr w:type="spellStart"/>
      <w:r w:rsidRPr="00087534">
        <w:rPr>
          <w:rFonts w:eastAsia="Arial Unicode MS"/>
          <w:lang w:val="en-GB"/>
        </w:rPr>
        <w:t>Dr.</w:t>
      </w:r>
      <w:proofErr w:type="spellEnd"/>
      <w:r w:rsidRPr="00087534">
        <w:rPr>
          <w:rFonts w:eastAsia="Arial Unicode MS"/>
          <w:lang w:val="en-GB"/>
        </w:rPr>
        <w:t xml:space="preserve"> Reddy’s Laboratories Ltd. for the </w:t>
      </w:r>
      <w:r>
        <w:rPr>
          <w:rFonts w:eastAsia="Arial Unicode MS"/>
          <w:lang w:val="en-GB"/>
        </w:rPr>
        <w:t>financial year</w:t>
      </w:r>
      <w:r w:rsidRPr="00087534">
        <w:rPr>
          <w:rFonts w:eastAsia="Arial Unicode MS"/>
          <w:lang w:val="en-GB"/>
        </w:rPr>
        <w:t xml:space="preserve"> 2014</w:t>
      </w:r>
      <w:r>
        <w:rPr>
          <w:rFonts w:eastAsia="Arial Unicode MS"/>
          <w:lang w:val="en-GB"/>
        </w:rPr>
        <w:t>–</w:t>
      </w:r>
      <w:r w:rsidRPr="00087534">
        <w:rPr>
          <w:rFonts w:eastAsia="Arial Unicode MS"/>
          <w:lang w:val="en-GB"/>
        </w:rPr>
        <w:t>15.</w:t>
      </w:r>
    </w:p>
    <w:p w14:paraId="5981CF95" w14:textId="77777777" w:rsidR="004338C2" w:rsidRPr="00087534" w:rsidRDefault="004338C2">
      <w:pPr>
        <w:spacing w:after="200" w:line="276" w:lineRule="auto"/>
        <w:rPr>
          <w:rFonts w:ascii="Arial" w:eastAsia="Arial Unicode MS" w:hAnsi="Arial" w:cs="Arial"/>
          <w:sz w:val="17"/>
          <w:szCs w:val="17"/>
          <w:lang w:val="en-GB"/>
        </w:rPr>
      </w:pPr>
      <w:r w:rsidRPr="00087534">
        <w:rPr>
          <w:rFonts w:eastAsia="Arial Unicode MS"/>
          <w:sz w:val="17"/>
          <w:szCs w:val="17"/>
          <w:lang w:val="en-GB"/>
        </w:rPr>
        <w:br w:type="page"/>
      </w:r>
    </w:p>
    <w:p w14:paraId="640565C3" w14:textId="4358153D" w:rsidR="004338C2" w:rsidRPr="00087534" w:rsidRDefault="004338C2" w:rsidP="003322F4">
      <w:pPr>
        <w:pStyle w:val="ExhibitHeading"/>
        <w:rPr>
          <w:rFonts w:eastAsia="Arial Unicode MS"/>
          <w:lang w:val="en-GB"/>
        </w:rPr>
      </w:pPr>
      <w:r w:rsidRPr="00087534">
        <w:rPr>
          <w:rFonts w:eastAsia="Arial Unicode MS"/>
          <w:lang w:val="en-GB"/>
        </w:rPr>
        <w:lastRenderedPageBreak/>
        <w:t xml:space="preserve">EXHIBIT 6: </w:t>
      </w:r>
      <w:r>
        <w:rPr>
          <w:rFonts w:eastAsia="Arial Unicode MS"/>
          <w:lang w:val="en-GB"/>
        </w:rPr>
        <w:t xml:space="preserve">NatCO pharma Limited’s </w:t>
      </w:r>
      <w:r w:rsidRPr="00087534">
        <w:rPr>
          <w:rFonts w:eastAsia="Arial Unicode MS"/>
          <w:lang w:val="en-GB"/>
        </w:rPr>
        <w:t>FINANCIAL POSITION</w:t>
      </w:r>
      <w:r>
        <w:rPr>
          <w:rFonts w:eastAsia="Arial Unicode MS"/>
          <w:lang w:val="en-GB"/>
        </w:rPr>
        <w:t>, selected years 2004–05 to 2014–15</w:t>
      </w:r>
      <w:r w:rsidRPr="00087534">
        <w:rPr>
          <w:rFonts w:eastAsia="Arial Unicode MS"/>
          <w:lang w:val="en-GB"/>
        </w:rPr>
        <w:t xml:space="preserve"> (</w:t>
      </w:r>
      <w:r>
        <w:rPr>
          <w:rFonts w:eastAsia="Arial Unicode MS"/>
          <w:lang w:val="en-GB"/>
        </w:rPr>
        <w:t xml:space="preserve">in </w:t>
      </w:r>
      <w:r w:rsidRPr="00977E45">
        <w:rPr>
          <w:rFonts w:eastAsia="Arial Unicode MS"/>
          <w:lang w:val="en-GB"/>
        </w:rPr>
        <w:t>₹</w:t>
      </w:r>
      <w:r w:rsidRPr="00087534">
        <w:rPr>
          <w:rFonts w:eastAsia="Arial Unicode MS"/>
          <w:lang w:val="en-GB"/>
        </w:rPr>
        <w:t xml:space="preserve"> MILLION)</w:t>
      </w:r>
    </w:p>
    <w:p w14:paraId="3E1DD37D" w14:textId="77777777" w:rsidR="004338C2" w:rsidRPr="00087534" w:rsidRDefault="004338C2" w:rsidP="003322F4">
      <w:pPr>
        <w:pStyle w:val="ExhibitHeading"/>
        <w:rPr>
          <w:rFonts w:eastAsia="Arial Unicode MS"/>
          <w:lang w:val="en-GB"/>
        </w:rPr>
      </w:pPr>
    </w:p>
    <w:tbl>
      <w:tblPr>
        <w:tblStyle w:val="TableGrid"/>
        <w:tblW w:w="4944" w:type="pct"/>
        <w:jc w:val="center"/>
        <w:tblLook w:val="04A0" w:firstRow="1" w:lastRow="0" w:firstColumn="1" w:lastColumn="0" w:noHBand="0" w:noVBand="1"/>
      </w:tblPr>
      <w:tblGrid>
        <w:gridCol w:w="2603"/>
        <w:gridCol w:w="1329"/>
        <w:gridCol w:w="1329"/>
        <w:gridCol w:w="1329"/>
        <w:gridCol w:w="1329"/>
        <w:gridCol w:w="1326"/>
      </w:tblGrid>
      <w:tr w:rsidR="004338C2" w:rsidRPr="00087534" w14:paraId="113C473D" w14:textId="77777777" w:rsidTr="00977E45">
        <w:trPr>
          <w:jc w:val="center"/>
        </w:trPr>
        <w:tc>
          <w:tcPr>
            <w:tcW w:w="1407" w:type="pct"/>
            <w:vAlign w:val="center"/>
          </w:tcPr>
          <w:p w14:paraId="19474099" w14:textId="77777777" w:rsidR="004338C2" w:rsidRPr="00087534" w:rsidRDefault="004338C2" w:rsidP="003322F4">
            <w:pPr>
              <w:pStyle w:val="ExhibitText"/>
              <w:jc w:val="left"/>
              <w:rPr>
                <w:rFonts w:eastAsia="Arial Unicode MS"/>
                <w:b/>
                <w:lang w:val="en-GB"/>
              </w:rPr>
            </w:pPr>
            <w:r w:rsidRPr="00087534">
              <w:rPr>
                <w:rFonts w:eastAsia="Arial Unicode MS"/>
                <w:b/>
                <w:lang w:val="en-GB"/>
              </w:rPr>
              <w:t>Summary of Profit &amp; Loss Account</w:t>
            </w:r>
          </w:p>
        </w:tc>
        <w:tc>
          <w:tcPr>
            <w:tcW w:w="719" w:type="pct"/>
            <w:vAlign w:val="center"/>
          </w:tcPr>
          <w:p w14:paraId="5D85ED6B" w14:textId="2533A3B9" w:rsidR="004338C2" w:rsidRPr="00087534" w:rsidRDefault="004338C2" w:rsidP="00583B54">
            <w:pPr>
              <w:pStyle w:val="ExhibitText"/>
              <w:jc w:val="center"/>
              <w:rPr>
                <w:rFonts w:eastAsia="Arial Unicode MS"/>
                <w:b/>
                <w:lang w:val="en-GB"/>
              </w:rPr>
            </w:pPr>
            <w:r w:rsidRPr="00087534">
              <w:rPr>
                <w:rFonts w:eastAsia="Arial Unicode MS"/>
                <w:b/>
                <w:lang w:val="en-GB"/>
              </w:rPr>
              <w:t>FY 2004</w:t>
            </w:r>
            <w:r>
              <w:rPr>
                <w:rFonts w:eastAsia="Arial Unicode MS"/>
                <w:b/>
                <w:lang w:val="en-GB"/>
              </w:rPr>
              <w:t>–</w:t>
            </w:r>
            <w:r w:rsidRPr="00087534">
              <w:rPr>
                <w:rFonts w:eastAsia="Arial Unicode MS"/>
                <w:b/>
                <w:lang w:val="en-GB"/>
              </w:rPr>
              <w:t>05</w:t>
            </w:r>
          </w:p>
        </w:tc>
        <w:tc>
          <w:tcPr>
            <w:tcW w:w="719" w:type="pct"/>
            <w:vAlign w:val="center"/>
          </w:tcPr>
          <w:p w14:paraId="75F218C8" w14:textId="491CAC86" w:rsidR="004338C2" w:rsidRPr="00087534" w:rsidRDefault="004338C2" w:rsidP="00583B54">
            <w:pPr>
              <w:pStyle w:val="ExhibitText"/>
              <w:jc w:val="center"/>
              <w:rPr>
                <w:rFonts w:eastAsia="Arial Unicode MS"/>
                <w:b/>
                <w:lang w:val="en-GB"/>
              </w:rPr>
            </w:pPr>
            <w:r w:rsidRPr="00087534">
              <w:rPr>
                <w:rFonts w:eastAsia="Arial Unicode MS"/>
                <w:b/>
                <w:lang w:val="en-GB"/>
              </w:rPr>
              <w:t>FY 2007</w:t>
            </w:r>
            <w:r>
              <w:rPr>
                <w:rFonts w:eastAsia="Arial Unicode MS"/>
                <w:b/>
                <w:lang w:val="en-GB"/>
              </w:rPr>
              <w:t>–</w:t>
            </w:r>
            <w:r w:rsidRPr="00087534">
              <w:rPr>
                <w:rFonts w:eastAsia="Arial Unicode MS"/>
                <w:b/>
                <w:lang w:val="en-GB"/>
              </w:rPr>
              <w:t>08</w:t>
            </w:r>
          </w:p>
        </w:tc>
        <w:tc>
          <w:tcPr>
            <w:tcW w:w="719" w:type="pct"/>
            <w:vAlign w:val="center"/>
          </w:tcPr>
          <w:p w14:paraId="63AD949C" w14:textId="6C1372FC" w:rsidR="004338C2" w:rsidRPr="00087534" w:rsidRDefault="004338C2" w:rsidP="00583B54">
            <w:pPr>
              <w:pStyle w:val="ExhibitText"/>
              <w:jc w:val="center"/>
              <w:rPr>
                <w:rFonts w:eastAsia="Arial Unicode MS"/>
                <w:b/>
                <w:lang w:val="en-GB"/>
              </w:rPr>
            </w:pPr>
            <w:r w:rsidRPr="00087534">
              <w:rPr>
                <w:rFonts w:eastAsia="Arial Unicode MS"/>
                <w:b/>
                <w:lang w:val="en-GB"/>
              </w:rPr>
              <w:t>FY 2010</w:t>
            </w:r>
            <w:r>
              <w:rPr>
                <w:rFonts w:eastAsia="Arial Unicode MS"/>
                <w:b/>
                <w:lang w:val="en-GB"/>
              </w:rPr>
              <w:t>–</w:t>
            </w:r>
            <w:r w:rsidRPr="00087534">
              <w:rPr>
                <w:rFonts w:eastAsia="Arial Unicode MS"/>
                <w:b/>
                <w:lang w:val="en-GB"/>
              </w:rPr>
              <w:t>11</w:t>
            </w:r>
          </w:p>
        </w:tc>
        <w:tc>
          <w:tcPr>
            <w:tcW w:w="719" w:type="pct"/>
            <w:vAlign w:val="center"/>
          </w:tcPr>
          <w:p w14:paraId="152B0A81" w14:textId="412F1360" w:rsidR="004338C2" w:rsidRPr="00087534" w:rsidRDefault="004338C2" w:rsidP="00583B54">
            <w:pPr>
              <w:pStyle w:val="ExhibitText"/>
              <w:jc w:val="center"/>
              <w:rPr>
                <w:rFonts w:eastAsia="Arial Unicode MS"/>
                <w:b/>
                <w:lang w:val="en-GB"/>
              </w:rPr>
            </w:pPr>
            <w:r w:rsidRPr="00087534">
              <w:rPr>
                <w:rFonts w:eastAsia="Arial Unicode MS"/>
                <w:b/>
                <w:lang w:val="en-GB"/>
              </w:rPr>
              <w:t>FY 2013</w:t>
            </w:r>
            <w:r>
              <w:rPr>
                <w:rFonts w:eastAsia="Arial Unicode MS"/>
                <w:b/>
                <w:lang w:val="en-GB"/>
              </w:rPr>
              <w:t>–</w:t>
            </w:r>
            <w:r w:rsidRPr="00087534">
              <w:rPr>
                <w:rFonts w:eastAsia="Arial Unicode MS"/>
                <w:b/>
                <w:lang w:val="en-GB"/>
              </w:rPr>
              <w:t>14</w:t>
            </w:r>
          </w:p>
        </w:tc>
        <w:tc>
          <w:tcPr>
            <w:tcW w:w="719" w:type="pct"/>
            <w:vAlign w:val="center"/>
          </w:tcPr>
          <w:p w14:paraId="2F3EA492" w14:textId="46071E05" w:rsidR="004338C2" w:rsidRPr="00087534" w:rsidRDefault="004338C2" w:rsidP="00583B54">
            <w:pPr>
              <w:pStyle w:val="ExhibitText"/>
              <w:jc w:val="center"/>
              <w:rPr>
                <w:rFonts w:eastAsia="Arial Unicode MS"/>
                <w:b/>
                <w:lang w:val="en-GB"/>
              </w:rPr>
            </w:pPr>
            <w:r w:rsidRPr="00087534">
              <w:rPr>
                <w:rFonts w:eastAsia="Arial Unicode MS"/>
                <w:b/>
                <w:lang w:val="en-GB"/>
              </w:rPr>
              <w:t>FY 2014</w:t>
            </w:r>
            <w:r>
              <w:rPr>
                <w:rFonts w:eastAsia="Arial Unicode MS"/>
                <w:b/>
                <w:lang w:val="en-GB"/>
              </w:rPr>
              <w:t>–</w:t>
            </w:r>
            <w:r w:rsidRPr="00087534">
              <w:rPr>
                <w:rFonts w:eastAsia="Arial Unicode MS"/>
                <w:b/>
                <w:lang w:val="en-GB"/>
              </w:rPr>
              <w:t>15</w:t>
            </w:r>
          </w:p>
        </w:tc>
      </w:tr>
      <w:tr w:rsidR="004338C2" w:rsidRPr="00087534" w14:paraId="717B2EB4" w14:textId="77777777" w:rsidTr="00977E45">
        <w:trPr>
          <w:jc w:val="center"/>
        </w:trPr>
        <w:tc>
          <w:tcPr>
            <w:tcW w:w="1407" w:type="pct"/>
            <w:vAlign w:val="center"/>
          </w:tcPr>
          <w:p w14:paraId="5085AC9A" w14:textId="117FA2BD" w:rsidR="004338C2" w:rsidRPr="00087534" w:rsidRDefault="004338C2" w:rsidP="003322F4">
            <w:pPr>
              <w:pStyle w:val="ExhibitText"/>
              <w:jc w:val="left"/>
              <w:rPr>
                <w:lang w:val="en-GB"/>
              </w:rPr>
            </w:pPr>
            <w:r w:rsidRPr="00087534">
              <w:rPr>
                <w:lang w:val="en-GB"/>
              </w:rPr>
              <w:t xml:space="preserve">Net </w:t>
            </w:r>
            <w:r w:rsidR="00DD1231" w:rsidRPr="00087534">
              <w:rPr>
                <w:lang w:val="en-GB"/>
              </w:rPr>
              <w:t>Sales</w:t>
            </w:r>
          </w:p>
        </w:tc>
        <w:tc>
          <w:tcPr>
            <w:tcW w:w="719" w:type="pct"/>
            <w:vAlign w:val="center"/>
          </w:tcPr>
          <w:p w14:paraId="333B67B0" w14:textId="77777777" w:rsidR="004338C2" w:rsidRPr="00087534" w:rsidRDefault="004338C2" w:rsidP="003322F4">
            <w:pPr>
              <w:pStyle w:val="ExhibitText"/>
              <w:jc w:val="right"/>
              <w:rPr>
                <w:lang w:val="en-GB"/>
              </w:rPr>
            </w:pPr>
            <w:r w:rsidRPr="00087534">
              <w:rPr>
                <w:lang w:val="en-GB"/>
              </w:rPr>
              <w:t>1,544</w:t>
            </w:r>
          </w:p>
        </w:tc>
        <w:tc>
          <w:tcPr>
            <w:tcW w:w="719" w:type="pct"/>
            <w:vAlign w:val="center"/>
          </w:tcPr>
          <w:p w14:paraId="09059951" w14:textId="77777777" w:rsidR="004338C2" w:rsidRPr="00087534" w:rsidRDefault="004338C2" w:rsidP="003322F4">
            <w:pPr>
              <w:pStyle w:val="ExhibitText"/>
              <w:jc w:val="right"/>
              <w:rPr>
                <w:lang w:val="en-GB"/>
              </w:rPr>
            </w:pPr>
            <w:r w:rsidRPr="00087534">
              <w:rPr>
                <w:lang w:val="en-GB"/>
              </w:rPr>
              <w:t>3,378</w:t>
            </w:r>
          </w:p>
        </w:tc>
        <w:tc>
          <w:tcPr>
            <w:tcW w:w="719" w:type="pct"/>
            <w:vAlign w:val="center"/>
          </w:tcPr>
          <w:p w14:paraId="36D76BC1" w14:textId="77777777" w:rsidR="004338C2" w:rsidRPr="00087534" w:rsidRDefault="004338C2" w:rsidP="003322F4">
            <w:pPr>
              <w:pStyle w:val="ExhibitText"/>
              <w:jc w:val="right"/>
              <w:rPr>
                <w:lang w:val="en-GB"/>
              </w:rPr>
            </w:pPr>
            <w:r w:rsidRPr="00087534">
              <w:rPr>
                <w:lang w:val="en-GB"/>
              </w:rPr>
              <w:t>3,483</w:t>
            </w:r>
          </w:p>
        </w:tc>
        <w:tc>
          <w:tcPr>
            <w:tcW w:w="719" w:type="pct"/>
            <w:vAlign w:val="center"/>
          </w:tcPr>
          <w:p w14:paraId="014D8EDA" w14:textId="77777777" w:rsidR="004338C2" w:rsidRPr="00087534" w:rsidRDefault="004338C2" w:rsidP="003322F4">
            <w:pPr>
              <w:pStyle w:val="ExhibitText"/>
              <w:jc w:val="right"/>
              <w:rPr>
                <w:lang w:val="en-GB"/>
              </w:rPr>
            </w:pPr>
            <w:r w:rsidRPr="00087534">
              <w:rPr>
                <w:lang w:val="en-GB"/>
              </w:rPr>
              <w:t>6,223</w:t>
            </w:r>
          </w:p>
        </w:tc>
        <w:tc>
          <w:tcPr>
            <w:tcW w:w="719" w:type="pct"/>
            <w:vAlign w:val="center"/>
          </w:tcPr>
          <w:p w14:paraId="176DFC77" w14:textId="77777777" w:rsidR="004338C2" w:rsidRPr="00087534" w:rsidRDefault="004338C2" w:rsidP="003322F4">
            <w:pPr>
              <w:pStyle w:val="ExhibitText"/>
              <w:jc w:val="right"/>
              <w:rPr>
                <w:lang w:val="en-GB"/>
              </w:rPr>
            </w:pPr>
            <w:r w:rsidRPr="00087534">
              <w:rPr>
                <w:lang w:val="en-GB"/>
              </w:rPr>
              <w:t>7,156</w:t>
            </w:r>
          </w:p>
        </w:tc>
      </w:tr>
      <w:tr w:rsidR="004338C2" w:rsidRPr="00087534" w14:paraId="73B6BBA3" w14:textId="77777777" w:rsidTr="00977E45">
        <w:trPr>
          <w:jc w:val="center"/>
        </w:trPr>
        <w:tc>
          <w:tcPr>
            <w:tcW w:w="1407" w:type="pct"/>
            <w:vAlign w:val="center"/>
          </w:tcPr>
          <w:p w14:paraId="1DBBB40E" w14:textId="0BF0CE31" w:rsidR="004338C2" w:rsidRPr="00087534" w:rsidRDefault="00DD1231" w:rsidP="00583B54">
            <w:pPr>
              <w:pStyle w:val="ExhibitText"/>
              <w:jc w:val="left"/>
              <w:rPr>
                <w:lang w:val="en-GB"/>
              </w:rPr>
            </w:pPr>
            <w:r w:rsidRPr="00087534">
              <w:rPr>
                <w:lang w:val="en-GB"/>
              </w:rPr>
              <w:t>EBIT</w:t>
            </w:r>
            <w:r>
              <w:rPr>
                <w:lang w:val="en-GB"/>
              </w:rPr>
              <w:t>D</w:t>
            </w:r>
            <w:r w:rsidRPr="00087534">
              <w:rPr>
                <w:lang w:val="en-GB"/>
              </w:rPr>
              <w:t>A</w:t>
            </w:r>
          </w:p>
        </w:tc>
        <w:tc>
          <w:tcPr>
            <w:tcW w:w="719" w:type="pct"/>
            <w:vAlign w:val="center"/>
          </w:tcPr>
          <w:p w14:paraId="44F7344F" w14:textId="77777777" w:rsidR="004338C2" w:rsidRPr="00087534" w:rsidRDefault="004338C2" w:rsidP="003322F4">
            <w:pPr>
              <w:pStyle w:val="ExhibitText"/>
              <w:jc w:val="right"/>
              <w:rPr>
                <w:lang w:val="en-GB"/>
              </w:rPr>
            </w:pPr>
            <w:r w:rsidRPr="00087534">
              <w:rPr>
                <w:lang w:val="en-GB"/>
              </w:rPr>
              <w:t>190</w:t>
            </w:r>
          </w:p>
        </w:tc>
        <w:tc>
          <w:tcPr>
            <w:tcW w:w="719" w:type="pct"/>
            <w:vAlign w:val="center"/>
          </w:tcPr>
          <w:p w14:paraId="5A9E8F84" w14:textId="77777777" w:rsidR="004338C2" w:rsidRPr="00087534" w:rsidRDefault="004338C2" w:rsidP="003322F4">
            <w:pPr>
              <w:pStyle w:val="ExhibitText"/>
              <w:jc w:val="right"/>
              <w:rPr>
                <w:lang w:val="en-GB"/>
              </w:rPr>
            </w:pPr>
            <w:r w:rsidRPr="00087534">
              <w:rPr>
                <w:lang w:val="en-GB"/>
              </w:rPr>
              <w:t>717</w:t>
            </w:r>
          </w:p>
        </w:tc>
        <w:tc>
          <w:tcPr>
            <w:tcW w:w="719" w:type="pct"/>
            <w:vAlign w:val="center"/>
          </w:tcPr>
          <w:p w14:paraId="0FF4AC79" w14:textId="77777777" w:rsidR="004338C2" w:rsidRPr="00087534" w:rsidRDefault="004338C2" w:rsidP="003322F4">
            <w:pPr>
              <w:pStyle w:val="ExhibitText"/>
              <w:jc w:val="right"/>
              <w:rPr>
                <w:lang w:val="en-GB"/>
              </w:rPr>
            </w:pPr>
            <w:r w:rsidRPr="00087534">
              <w:rPr>
                <w:lang w:val="en-GB"/>
              </w:rPr>
              <w:t>925</w:t>
            </w:r>
          </w:p>
        </w:tc>
        <w:tc>
          <w:tcPr>
            <w:tcW w:w="719" w:type="pct"/>
            <w:vAlign w:val="center"/>
          </w:tcPr>
          <w:p w14:paraId="3889588D" w14:textId="77777777" w:rsidR="004338C2" w:rsidRPr="00087534" w:rsidRDefault="004338C2" w:rsidP="003322F4">
            <w:pPr>
              <w:pStyle w:val="ExhibitText"/>
              <w:jc w:val="right"/>
              <w:rPr>
                <w:lang w:val="en-GB"/>
              </w:rPr>
            </w:pPr>
            <w:r w:rsidRPr="00087534">
              <w:rPr>
                <w:lang w:val="en-GB"/>
              </w:rPr>
              <w:t>2,023</w:t>
            </w:r>
          </w:p>
        </w:tc>
        <w:tc>
          <w:tcPr>
            <w:tcW w:w="719" w:type="pct"/>
            <w:vAlign w:val="center"/>
          </w:tcPr>
          <w:p w14:paraId="0816F4B7" w14:textId="77777777" w:rsidR="004338C2" w:rsidRPr="00087534" w:rsidRDefault="004338C2" w:rsidP="003322F4">
            <w:pPr>
              <w:pStyle w:val="ExhibitText"/>
              <w:jc w:val="right"/>
              <w:rPr>
                <w:lang w:val="en-GB"/>
              </w:rPr>
            </w:pPr>
            <w:r w:rsidRPr="00087534">
              <w:rPr>
                <w:lang w:val="en-GB"/>
              </w:rPr>
              <w:t>2,270</w:t>
            </w:r>
          </w:p>
        </w:tc>
      </w:tr>
      <w:tr w:rsidR="004338C2" w:rsidRPr="00087534" w14:paraId="20C78DD7" w14:textId="77777777" w:rsidTr="00977E45">
        <w:trPr>
          <w:jc w:val="center"/>
        </w:trPr>
        <w:tc>
          <w:tcPr>
            <w:tcW w:w="1407" w:type="pct"/>
            <w:vAlign w:val="center"/>
          </w:tcPr>
          <w:p w14:paraId="44494E08" w14:textId="77777777" w:rsidR="004338C2" w:rsidRPr="00087534" w:rsidRDefault="004338C2" w:rsidP="003322F4">
            <w:pPr>
              <w:pStyle w:val="ExhibitText"/>
              <w:jc w:val="left"/>
              <w:rPr>
                <w:lang w:val="en-GB"/>
              </w:rPr>
            </w:pPr>
            <w:r w:rsidRPr="00087534">
              <w:rPr>
                <w:lang w:val="en-GB"/>
              </w:rPr>
              <w:t>Depreciation</w:t>
            </w:r>
          </w:p>
        </w:tc>
        <w:tc>
          <w:tcPr>
            <w:tcW w:w="719" w:type="pct"/>
            <w:vAlign w:val="center"/>
          </w:tcPr>
          <w:p w14:paraId="4B435F73" w14:textId="77777777" w:rsidR="004338C2" w:rsidRPr="00087534" w:rsidRDefault="004338C2" w:rsidP="003322F4">
            <w:pPr>
              <w:pStyle w:val="ExhibitText"/>
              <w:jc w:val="right"/>
              <w:rPr>
                <w:lang w:val="en-GB"/>
              </w:rPr>
            </w:pPr>
            <w:r w:rsidRPr="00087534">
              <w:rPr>
                <w:lang w:val="en-GB"/>
              </w:rPr>
              <w:t>58</w:t>
            </w:r>
          </w:p>
        </w:tc>
        <w:tc>
          <w:tcPr>
            <w:tcW w:w="719" w:type="pct"/>
            <w:vAlign w:val="center"/>
          </w:tcPr>
          <w:p w14:paraId="72B190BF" w14:textId="77777777" w:rsidR="004338C2" w:rsidRPr="00087534" w:rsidRDefault="004338C2" w:rsidP="003322F4">
            <w:pPr>
              <w:pStyle w:val="ExhibitText"/>
              <w:jc w:val="right"/>
              <w:rPr>
                <w:lang w:val="en-GB"/>
              </w:rPr>
            </w:pPr>
            <w:r w:rsidRPr="00087534">
              <w:rPr>
                <w:lang w:val="en-GB"/>
              </w:rPr>
              <w:t>86</w:t>
            </w:r>
          </w:p>
        </w:tc>
        <w:tc>
          <w:tcPr>
            <w:tcW w:w="719" w:type="pct"/>
            <w:vAlign w:val="center"/>
          </w:tcPr>
          <w:p w14:paraId="210AE4A7" w14:textId="77777777" w:rsidR="004338C2" w:rsidRPr="00087534" w:rsidRDefault="004338C2" w:rsidP="003322F4">
            <w:pPr>
              <w:pStyle w:val="ExhibitText"/>
              <w:jc w:val="right"/>
              <w:rPr>
                <w:lang w:val="en-GB"/>
              </w:rPr>
            </w:pPr>
            <w:r w:rsidRPr="00087534">
              <w:rPr>
                <w:lang w:val="en-GB"/>
              </w:rPr>
              <w:t>143</w:t>
            </w:r>
          </w:p>
        </w:tc>
        <w:tc>
          <w:tcPr>
            <w:tcW w:w="719" w:type="pct"/>
            <w:vAlign w:val="center"/>
          </w:tcPr>
          <w:p w14:paraId="39F2987C" w14:textId="77777777" w:rsidR="004338C2" w:rsidRPr="00087534" w:rsidRDefault="004338C2" w:rsidP="003322F4">
            <w:pPr>
              <w:pStyle w:val="ExhibitText"/>
              <w:jc w:val="right"/>
              <w:rPr>
                <w:lang w:val="en-GB"/>
              </w:rPr>
            </w:pPr>
            <w:r w:rsidRPr="00087534">
              <w:rPr>
                <w:lang w:val="en-GB"/>
              </w:rPr>
              <w:t>268</w:t>
            </w:r>
          </w:p>
        </w:tc>
        <w:tc>
          <w:tcPr>
            <w:tcW w:w="719" w:type="pct"/>
            <w:vAlign w:val="center"/>
          </w:tcPr>
          <w:p w14:paraId="2AD0A145" w14:textId="77777777" w:rsidR="004338C2" w:rsidRPr="00087534" w:rsidRDefault="004338C2" w:rsidP="003322F4">
            <w:pPr>
              <w:pStyle w:val="ExhibitText"/>
              <w:jc w:val="right"/>
              <w:rPr>
                <w:lang w:val="en-GB"/>
              </w:rPr>
            </w:pPr>
            <w:r w:rsidRPr="00087534">
              <w:rPr>
                <w:lang w:val="en-GB"/>
              </w:rPr>
              <w:t>425</w:t>
            </w:r>
          </w:p>
        </w:tc>
      </w:tr>
      <w:tr w:rsidR="004338C2" w:rsidRPr="00087534" w14:paraId="46C6EE59" w14:textId="77777777" w:rsidTr="00977E45">
        <w:trPr>
          <w:jc w:val="center"/>
        </w:trPr>
        <w:tc>
          <w:tcPr>
            <w:tcW w:w="1407" w:type="pct"/>
            <w:vAlign w:val="center"/>
          </w:tcPr>
          <w:p w14:paraId="2299264F" w14:textId="48F483B5" w:rsidR="004338C2" w:rsidRPr="00087534" w:rsidRDefault="004338C2" w:rsidP="003322F4">
            <w:pPr>
              <w:pStyle w:val="ExhibitText"/>
              <w:jc w:val="left"/>
              <w:rPr>
                <w:lang w:val="en-GB"/>
              </w:rPr>
            </w:pPr>
            <w:r w:rsidRPr="00087534">
              <w:rPr>
                <w:lang w:val="en-GB"/>
              </w:rPr>
              <w:t xml:space="preserve">Finance </w:t>
            </w:r>
            <w:r w:rsidR="00DD1231" w:rsidRPr="00087534">
              <w:rPr>
                <w:lang w:val="en-GB"/>
              </w:rPr>
              <w:t>&amp; Interest Costs</w:t>
            </w:r>
          </w:p>
        </w:tc>
        <w:tc>
          <w:tcPr>
            <w:tcW w:w="719" w:type="pct"/>
            <w:vAlign w:val="center"/>
          </w:tcPr>
          <w:p w14:paraId="685F56D3" w14:textId="77777777" w:rsidR="004338C2" w:rsidRPr="00087534" w:rsidRDefault="004338C2" w:rsidP="003322F4">
            <w:pPr>
              <w:pStyle w:val="ExhibitText"/>
              <w:jc w:val="right"/>
              <w:rPr>
                <w:lang w:val="en-GB"/>
              </w:rPr>
            </w:pPr>
            <w:r w:rsidRPr="00087534">
              <w:rPr>
                <w:lang w:val="en-GB"/>
              </w:rPr>
              <w:t>125</w:t>
            </w:r>
          </w:p>
        </w:tc>
        <w:tc>
          <w:tcPr>
            <w:tcW w:w="719" w:type="pct"/>
            <w:vAlign w:val="center"/>
          </w:tcPr>
          <w:p w14:paraId="2C92CA59" w14:textId="77777777" w:rsidR="004338C2" w:rsidRPr="00087534" w:rsidRDefault="004338C2" w:rsidP="003322F4">
            <w:pPr>
              <w:pStyle w:val="ExhibitText"/>
              <w:jc w:val="right"/>
              <w:rPr>
                <w:lang w:val="en-GB"/>
              </w:rPr>
            </w:pPr>
            <w:r w:rsidRPr="00087534">
              <w:rPr>
                <w:lang w:val="en-GB"/>
              </w:rPr>
              <w:t>85</w:t>
            </w:r>
          </w:p>
        </w:tc>
        <w:tc>
          <w:tcPr>
            <w:tcW w:w="719" w:type="pct"/>
            <w:vAlign w:val="center"/>
          </w:tcPr>
          <w:p w14:paraId="16698F2D" w14:textId="77777777" w:rsidR="004338C2" w:rsidRPr="00087534" w:rsidRDefault="004338C2" w:rsidP="003322F4">
            <w:pPr>
              <w:pStyle w:val="ExhibitText"/>
              <w:jc w:val="right"/>
              <w:rPr>
                <w:lang w:val="en-GB"/>
              </w:rPr>
            </w:pPr>
            <w:r w:rsidRPr="00087534">
              <w:rPr>
                <w:lang w:val="en-GB"/>
              </w:rPr>
              <w:t>142</w:t>
            </w:r>
          </w:p>
        </w:tc>
        <w:tc>
          <w:tcPr>
            <w:tcW w:w="719" w:type="pct"/>
            <w:vAlign w:val="center"/>
          </w:tcPr>
          <w:p w14:paraId="6AA678D4" w14:textId="77777777" w:rsidR="004338C2" w:rsidRPr="00087534" w:rsidRDefault="004338C2" w:rsidP="003322F4">
            <w:pPr>
              <w:pStyle w:val="ExhibitText"/>
              <w:jc w:val="right"/>
              <w:rPr>
                <w:lang w:val="en-GB"/>
              </w:rPr>
            </w:pPr>
            <w:r w:rsidRPr="00087534">
              <w:rPr>
                <w:lang w:val="en-GB"/>
              </w:rPr>
              <w:t>341</w:t>
            </w:r>
          </w:p>
        </w:tc>
        <w:tc>
          <w:tcPr>
            <w:tcW w:w="719" w:type="pct"/>
            <w:vAlign w:val="center"/>
          </w:tcPr>
          <w:p w14:paraId="0F7641CC" w14:textId="77777777" w:rsidR="004338C2" w:rsidRPr="00087534" w:rsidRDefault="004338C2" w:rsidP="003322F4">
            <w:pPr>
              <w:pStyle w:val="ExhibitText"/>
              <w:jc w:val="right"/>
              <w:rPr>
                <w:lang w:val="en-GB"/>
              </w:rPr>
            </w:pPr>
            <w:r w:rsidRPr="00087534">
              <w:rPr>
                <w:lang w:val="en-GB"/>
              </w:rPr>
              <w:t>301</w:t>
            </w:r>
          </w:p>
        </w:tc>
      </w:tr>
      <w:tr w:rsidR="004338C2" w:rsidRPr="00087534" w14:paraId="61CA1AC9" w14:textId="77777777" w:rsidTr="00977E45">
        <w:trPr>
          <w:jc w:val="center"/>
        </w:trPr>
        <w:tc>
          <w:tcPr>
            <w:tcW w:w="1407" w:type="pct"/>
            <w:vAlign w:val="center"/>
          </w:tcPr>
          <w:p w14:paraId="58B2B1DC" w14:textId="6334FEB9" w:rsidR="004338C2" w:rsidRPr="00087534" w:rsidRDefault="004338C2" w:rsidP="003322F4">
            <w:pPr>
              <w:pStyle w:val="ExhibitText"/>
              <w:jc w:val="left"/>
              <w:rPr>
                <w:lang w:val="en-GB"/>
              </w:rPr>
            </w:pPr>
            <w:r w:rsidRPr="00087534">
              <w:rPr>
                <w:lang w:val="en-GB"/>
              </w:rPr>
              <w:t>R</w:t>
            </w:r>
            <w:r w:rsidR="00DD1231" w:rsidRPr="00087534">
              <w:rPr>
                <w:lang w:val="en-GB"/>
              </w:rPr>
              <w:t>&amp;</w:t>
            </w:r>
            <w:r w:rsidRPr="00087534">
              <w:rPr>
                <w:lang w:val="en-GB"/>
              </w:rPr>
              <w:t xml:space="preserve">D </w:t>
            </w:r>
            <w:r w:rsidR="00DD1231" w:rsidRPr="00087534">
              <w:rPr>
                <w:lang w:val="en-GB"/>
              </w:rPr>
              <w:t>Expenses</w:t>
            </w:r>
          </w:p>
        </w:tc>
        <w:tc>
          <w:tcPr>
            <w:tcW w:w="719" w:type="pct"/>
            <w:vAlign w:val="center"/>
          </w:tcPr>
          <w:p w14:paraId="5A5E237B" w14:textId="77777777" w:rsidR="004338C2" w:rsidRPr="00087534" w:rsidRDefault="004338C2" w:rsidP="003322F4">
            <w:pPr>
              <w:pStyle w:val="ExhibitText"/>
              <w:jc w:val="right"/>
              <w:rPr>
                <w:lang w:val="en-GB"/>
              </w:rPr>
            </w:pPr>
            <w:r w:rsidRPr="00087534">
              <w:rPr>
                <w:lang w:val="en-GB"/>
              </w:rPr>
              <w:t>0</w:t>
            </w:r>
          </w:p>
        </w:tc>
        <w:tc>
          <w:tcPr>
            <w:tcW w:w="719" w:type="pct"/>
            <w:vAlign w:val="center"/>
          </w:tcPr>
          <w:p w14:paraId="6884085D" w14:textId="77777777" w:rsidR="004338C2" w:rsidRPr="00087534" w:rsidRDefault="004338C2" w:rsidP="003322F4">
            <w:pPr>
              <w:pStyle w:val="ExhibitText"/>
              <w:jc w:val="right"/>
              <w:rPr>
                <w:lang w:val="en-GB"/>
              </w:rPr>
            </w:pPr>
            <w:r w:rsidRPr="00087534">
              <w:rPr>
                <w:lang w:val="en-GB"/>
              </w:rPr>
              <w:t>0</w:t>
            </w:r>
          </w:p>
        </w:tc>
        <w:tc>
          <w:tcPr>
            <w:tcW w:w="719" w:type="pct"/>
            <w:vAlign w:val="center"/>
          </w:tcPr>
          <w:p w14:paraId="2C41BA18" w14:textId="77777777" w:rsidR="004338C2" w:rsidRPr="00087534" w:rsidRDefault="004338C2" w:rsidP="003322F4">
            <w:pPr>
              <w:pStyle w:val="ExhibitText"/>
              <w:jc w:val="right"/>
              <w:rPr>
                <w:lang w:val="en-GB"/>
              </w:rPr>
            </w:pPr>
            <w:r w:rsidRPr="00087534">
              <w:rPr>
                <w:lang w:val="en-GB"/>
              </w:rPr>
              <w:t>193</w:t>
            </w:r>
          </w:p>
        </w:tc>
        <w:tc>
          <w:tcPr>
            <w:tcW w:w="719" w:type="pct"/>
            <w:vAlign w:val="center"/>
          </w:tcPr>
          <w:p w14:paraId="708CEA2E" w14:textId="77777777" w:rsidR="004338C2" w:rsidRPr="00087534" w:rsidRDefault="004338C2" w:rsidP="003322F4">
            <w:pPr>
              <w:pStyle w:val="ExhibitText"/>
              <w:jc w:val="right"/>
              <w:rPr>
                <w:lang w:val="en-GB"/>
              </w:rPr>
            </w:pPr>
            <w:r w:rsidRPr="00087534">
              <w:rPr>
                <w:lang w:val="en-GB"/>
              </w:rPr>
              <w:t>407</w:t>
            </w:r>
          </w:p>
        </w:tc>
        <w:tc>
          <w:tcPr>
            <w:tcW w:w="719" w:type="pct"/>
            <w:vAlign w:val="center"/>
          </w:tcPr>
          <w:p w14:paraId="6900E124" w14:textId="77777777" w:rsidR="004338C2" w:rsidRPr="00087534" w:rsidRDefault="004338C2" w:rsidP="003322F4">
            <w:pPr>
              <w:pStyle w:val="ExhibitText"/>
              <w:jc w:val="right"/>
              <w:rPr>
                <w:lang w:val="en-GB"/>
              </w:rPr>
            </w:pPr>
            <w:r w:rsidRPr="00087534">
              <w:rPr>
                <w:lang w:val="en-GB"/>
              </w:rPr>
              <w:t>517</w:t>
            </w:r>
          </w:p>
        </w:tc>
      </w:tr>
      <w:tr w:rsidR="004338C2" w:rsidRPr="00087534" w14:paraId="1BB17538" w14:textId="77777777" w:rsidTr="00977E45">
        <w:trPr>
          <w:jc w:val="center"/>
        </w:trPr>
        <w:tc>
          <w:tcPr>
            <w:tcW w:w="1407" w:type="pct"/>
            <w:vAlign w:val="center"/>
          </w:tcPr>
          <w:p w14:paraId="217282C3" w14:textId="77777777" w:rsidR="004338C2" w:rsidRPr="00087534" w:rsidRDefault="004338C2" w:rsidP="003322F4">
            <w:pPr>
              <w:pStyle w:val="ExhibitText"/>
              <w:jc w:val="left"/>
              <w:rPr>
                <w:lang w:val="en-GB"/>
              </w:rPr>
            </w:pPr>
            <w:r w:rsidRPr="00087534">
              <w:rPr>
                <w:lang w:val="en-GB"/>
              </w:rPr>
              <w:t>PAT</w:t>
            </w:r>
          </w:p>
        </w:tc>
        <w:tc>
          <w:tcPr>
            <w:tcW w:w="719" w:type="pct"/>
            <w:vAlign w:val="center"/>
          </w:tcPr>
          <w:p w14:paraId="410F4257" w14:textId="77777777" w:rsidR="004338C2" w:rsidRPr="00087534" w:rsidRDefault="004338C2" w:rsidP="003322F4">
            <w:pPr>
              <w:pStyle w:val="ExhibitText"/>
              <w:jc w:val="right"/>
              <w:rPr>
                <w:lang w:val="en-GB"/>
              </w:rPr>
            </w:pPr>
            <w:r w:rsidRPr="00087534">
              <w:rPr>
                <w:lang w:val="en-GB"/>
              </w:rPr>
              <w:t>16</w:t>
            </w:r>
          </w:p>
        </w:tc>
        <w:tc>
          <w:tcPr>
            <w:tcW w:w="719" w:type="pct"/>
            <w:vAlign w:val="center"/>
          </w:tcPr>
          <w:p w14:paraId="0170D2BC" w14:textId="77777777" w:rsidR="004338C2" w:rsidRPr="00087534" w:rsidRDefault="004338C2" w:rsidP="003322F4">
            <w:pPr>
              <w:pStyle w:val="ExhibitText"/>
              <w:jc w:val="right"/>
              <w:rPr>
                <w:lang w:val="en-GB"/>
              </w:rPr>
            </w:pPr>
            <w:r w:rsidRPr="00087534">
              <w:rPr>
                <w:lang w:val="en-GB"/>
              </w:rPr>
              <w:t>400</w:t>
            </w:r>
          </w:p>
        </w:tc>
        <w:tc>
          <w:tcPr>
            <w:tcW w:w="719" w:type="pct"/>
            <w:vAlign w:val="center"/>
          </w:tcPr>
          <w:p w14:paraId="60512294" w14:textId="77777777" w:rsidR="004338C2" w:rsidRPr="00087534" w:rsidRDefault="004338C2" w:rsidP="003322F4">
            <w:pPr>
              <w:pStyle w:val="ExhibitText"/>
              <w:jc w:val="right"/>
              <w:rPr>
                <w:lang w:val="en-GB"/>
              </w:rPr>
            </w:pPr>
            <w:r w:rsidRPr="00087534">
              <w:rPr>
                <w:lang w:val="en-GB"/>
              </w:rPr>
              <w:t>521</w:t>
            </w:r>
          </w:p>
        </w:tc>
        <w:tc>
          <w:tcPr>
            <w:tcW w:w="719" w:type="pct"/>
            <w:vAlign w:val="center"/>
          </w:tcPr>
          <w:p w14:paraId="23A86F05" w14:textId="77777777" w:rsidR="004338C2" w:rsidRPr="00087534" w:rsidRDefault="004338C2" w:rsidP="003322F4">
            <w:pPr>
              <w:pStyle w:val="ExhibitText"/>
              <w:jc w:val="right"/>
              <w:rPr>
                <w:lang w:val="en-GB"/>
              </w:rPr>
            </w:pPr>
            <w:r w:rsidRPr="00087534">
              <w:rPr>
                <w:lang w:val="en-GB"/>
              </w:rPr>
              <w:t>1,102</w:t>
            </w:r>
          </w:p>
        </w:tc>
        <w:tc>
          <w:tcPr>
            <w:tcW w:w="719" w:type="pct"/>
            <w:vAlign w:val="center"/>
          </w:tcPr>
          <w:p w14:paraId="0FB7DD4C" w14:textId="77777777" w:rsidR="004338C2" w:rsidRPr="00087534" w:rsidRDefault="004338C2" w:rsidP="003322F4">
            <w:pPr>
              <w:pStyle w:val="ExhibitText"/>
              <w:jc w:val="right"/>
              <w:rPr>
                <w:lang w:val="en-GB"/>
              </w:rPr>
            </w:pPr>
            <w:r w:rsidRPr="00087534">
              <w:rPr>
                <w:lang w:val="en-GB"/>
              </w:rPr>
              <w:t>1,529</w:t>
            </w:r>
          </w:p>
        </w:tc>
      </w:tr>
      <w:tr w:rsidR="004338C2" w:rsidRPr="00087534" w14:paraId="10EC83EE" w14:textId="77777777" w:rsidTr="00977E45">
        <w:trPr>
          <w:jc w:val="center"/>
        </w:trPr>
        <w:tc>
          <w:tcPr>
            <w:tcW w:w="1407" w:type="pct"/>
            <w:vAlign w:val="center"/>
          </w:tcPr>
          <w:p w14:paraId="01EA9933" w14:textId="77777777" w:rsidR="004338C2" w:rsidRPr="00087534" w:rsidRDefault="004338C2" w:rsidP="003322F4">
            <w:pPr>
              <w:pStyle w:val="ExhibitText"/>
              <w:jc w:val="left"/>
              <w:rPr>
                <w:lang w:val="en-GB"/>
              </w:rPr>
            </w:pPr>
            <w:r w:rsidRPr="00087534">
              <w:rPr>
                <w:lang w:val="en-GB"/>
              </w:rPr>
              <w:t>Dividends</w:t>
            </w:r>
          </w:p>
        </w:tc>
        <w:tc>
          <w:tcPr>
            <w:tcW w:w="719" w:type="pct"/>
            <w:vAlign w:val="center"/>
          </w:tcPr>
          <w:p w14:paraId="2003E151" w14:textId="77777777" w:rsidR="004338C2" w:rsidRPr="00087534" w:rsidRDefault="004338C2" w:rsidP="003322F4">
            <w:pPr>
              <w:pStyle w:val="ExhibitText"/>
              <w:jc w:val="right"/>
              <w:rPr>
                <w:lang w:val="en-GB"/>
              </w:rPr>
            </w:pPr>
            <w:r w:rsidRPr="00087534">
              <w:rPr>
                <w:lang w:val="en-GB"/>
              </w:rPr>
              <w:t>0</w:t>
            </w:r>
          </w:p>
        </w:tc>
        <w:tc>
          <w:tcPr>
            <w:tcW w:w="719" w:type="pct"/>
            <w:vAlign w:val="center"/>
          </w:tcPr>
          <w:p w14:paraId="4FE7A536" w14:textId="77777777" w:rsidR="004338C2" w:rsidRPr="00087534" w:rsidRDefault="004338C2" w:rsidP="003322F4">
            <w:pPr>
              <w:pStyle w:val="ExhibitText"/>
              <w:jc w:val="right"/>
              <w:rPr>
                <w:lang w:val="en-GB"/>
              </w:rPr>
            </w:pPr>
            <w:r w:rsidRPr="00087534">
              <w:rPr>
                <w:lang w:val="en-GB"/>
              </w:rPr>
              <w:t>0</w:t>
            </w:r>
          </w:p>
        </w:tc>
        <w:tc>
          <w:tcPr>
            <w:tcW w:w="719" w:type="pct"/>
            <w:vAlign w:val="center"/>
          </w:tcPr>
          <w:p w14:paraId="04B9EFB9" w14:textId="77777777" w:rsidR="004338C2" w:rsidRPr="00087534" w:rsidRDefault="004338C2" w:rsidP="003322F4">
            <w:pPr>
              <w:pStyle w:val="ExhibitText"/>
              <w:jc w:val="right"/>
              <w:rPr>
                <w:lang w:val="en-GB"/>
              </w:rPr>
            </w:pPr>
            <w:r w:rsidRPr="00087534">
              <w:rPr>
                <w:lang w:val="en-GB"/>
              </w:rPr>
              <w:t>65</w:t>
            </w:r>
          </w:p>
        </w:tc>
        <w:tc>
          <w:tcPr>
            <w:tcW w:w="719" w:type="pct"/>
            <w:vAlign w:val="center"/>
          </w:tcPr>
          <w:p w14:paraId="6C2E3D48" w14:textId="77777777" w:rsidR="004338C2" w:rsidRPr="00087534" w:rsidRDefault="004338C2" w:rsidP="003322F4">
            <w:pPr>
              <w:pStyle w:val="ExhibitText"/>
              <w:jc w:val="right"/>
              <w:rPr>
                <w:lang w:val="en-GB"/>
              </w:rPr>
            </w:pPr>
            <w:r w:rsidRPr="00087534">
              <w:rPr>
                <w:lang w:val="en-GB"/>
              </w:rPr>
              <w:t>193</w:t>
            </w:r>
          </w:p>
        </w:tc>
        <w:tc>
          <w:tcPr>
            <w:tcW w:w="719" w:type="pct"/>
            <w:vAlign w:val="center"/>
          </w:tcPr>
          <w:p w14:paraId="44F1F262" w14:textId="77777777" w:rsidR="004338C2" w:rsidRPr="00087534" w:rsidRDefault="004338C2" w:rsidP="003322F4">
            <w:pPr>
              <w:pStyle w:val="ExhibitText"/>
              <w:jc w:val="right"/>
              <w:rPr>
                <w:lang w:val="en-GB"/>
              </w:rPr>
            </w:pPr>
            <w:r w:rsidRPr="00087534">
              <w:rPr>
                <w:lang w:val="en-GB"/>
              </w:rPr>
              <w:t>199</w:t>
            </w:r>
          </w:p>
        </w:tc>
      </w:tr>
      <w:tr w:rsidR="004338C2" w:rsidRPr="00087534" w14:paraId="07EE1FC3" w14:textId="77777777" w:rsidTr="00977E45">
        <w:trPr>
          <w:jc w:val="center"/>
        </w:trPr>
        <w:tc>
          <w:tcPr>
            <w:tcW w:w="1407" w:type="pct"/>
            <w:vAlign w:val="center"/>
          </w:tcPr>
          <w:p w14:paraId="5C8DEB45" w14:textId="77777777" w:rsidR="004338C2" w:rsidRPr="00977E45" w:rsidRDefault="004338C2" w:rsidP="003322F4">
            <w:pPr>
              <w:pStyle w:val="ExhibitText"/>
              <w:jc w:val="left"/>
              <w:rPr>
                <w:b/>
                <w:lang w:val="en-GB"/>
              </w:rPr>
            </w:pPr>
            <w:r w:rsidRPr="00977E45">
              <w:rPr>
                <w:b/>
                <w:lang w:val="en-GB"/>
              </w:rPr>
              <w:t>Summary of Balance Sheet</w:t>
            </w:r>
          </w:p>
        </w:tc>
        <w:tc>
          <w:tcPr>
            <w:tcW w:w="719" w:type="pct"/>
            <w:vAlign w:val="center"/>
          </w:tcPr>
          <w:p w14:paraId="4B879D8B" w14:textId="126F42DF" w:rsidR="004338C2" w:rsidRPr="00087534" w:rsidRDefault="004338C2" w:rsidP="003B1DB1">
            <w:pPr>
              <w:pStyle w:val="ExhibitText"/>
              <w:jc w:val="right"/>
              <w:rPr>
                <w:b/>
                <w:bCs/>
                <w:lang w:val="en-GB"/>
              </w:rPr>
            </w:pPr>
            <w:r w:rsidRPr="00087534">
              <w:rPr>
                <w:b/>
                <w:bCs/>
                <w:lang w:val="en-GB"/>
              </w:rPr>
              <w:t>FY 2004</w:t>
            </w:r>
            <w:r>
              <w:rPr>
                <w:b/>
                <w:bCs/>
                <w:lang w:val="en-GB"/>
              </w:rPr>
              <w:t>–</w:t>
            </w:r>
            <w:r w:rsidRPr="00087534">
              <w:rPr>
                <w:b/>
                <w:bCs/>
                <w:lang w:val="en-GB"/>
              </w:rPr>
              <w:t>05</w:t>
            </w:r>
          </w:p>
        </w:tc>
        <w:tc>
          <w:tcPr>
            <w:tcW w:w="719" w:type="pct"/>
            <w:vAlign w:val="center"/>
          </w:tcPr>
          <w:p w14:paraId="2CB3B16B" w14:textId="516516C3" w:rsidR="004338C2" w:rsidRPr="00087534" w:rsidRDefault="004338C2" w:rsidP="003B1DB1">
            <w:pPr>
              <w:pStyle w:val="ExhibitText"/>
              <w:jc w:val="right"/>
              <w:rPr>
                <w:b/>
                <w:bCs/>
                <w:lang w:val="en-GB"/>
              </w:rPr>
            </w:pPr>
            <w:r w:rsidRPr="00087534">
              <w:rPr>
                <w:b/>
                <w:bCs/>
                <w:lang w:val="en-GB"/>
              </w:rPr>
              <w:t>FY 2007</w:t>
            </w:r>
            <w:r>
              <w:rPr>
                <w:b/>
                <w:bCs/>
                <w:lang w:val="en-GB"/>
              </w:rPr>
              <w:t>–</w:t>
            </w:r>
            <w:r w:rsidRPr="00087534">
              <w:rPr>
                <w:b/>
                <w:bCs/>
                <w:lang w:val="en-GB"/>
              </w:rPr>
              <w:t>08</w:t>
            </w:r>
          </w:p>
        </w:tc>
        <w:tc>
          <w:tcPr>
            <w:tcW w:w="719" w:type="pct"/>
            <w:vAlign w:val="center"/>
          </w:tcPr>
          <w:p w14:paraId="04AA1A22" w14:textId="2E27280F" w:rsidR="004338C2" w:rsidRPr="00087534" w:rsidRDefault="004338C2" w:rsidP="003B1DB1">
            <w:pPr>
              <w:pStyle w:val="ExhibitText"/>
              <w:jc w:val="right"/>
              <w:rPr>
                <w:b/>
                <w:bCs/>
                <w:lang w:val="en-GB"/>
              </w:rPr>
            </w:pPr>
            <w:r w:rsidRPr="00087534">
              <w:rPr>
                <w:b/>
                <w:bCs/>
                <w:lang w:val="en-GB"/>
              </w:rPr>
              <w:t>FY 2010</w:t>
            </w:r>
            <w:r>
              <w:rPr>
                <w:b/>
                <w:bCs/>
                <w:lang w:val="en-GB"/>
              </w:rPr>
              <w:t>–</w:t>
            </w:r>
            <w:r w:rsidRPr="00087534">
              <w:rPr>
                <w:b/>
                <w:bCs/>
                <w:lang w:val="en-GB"/>
              </w:rPr>
              <w:t>11</w:t>
            </w:r>
          </w:p>
        </w:tc>
        <w:tc>
          <w:tcPr>
            <w:tcW w:w="719" w:type="pct"/>
            <w:vAlign w:val="center"/>
          </w:tcPr>
          <w:p w14:paraId="0CB9500A" w14:textId="2F388C89" w:rsidR="004338C2" w:rsidRPr="00087534" w:rsidRDefault="004338C2" w:rsidP="003B1DB1">
            <w:pPr>
              <w:pStyle w:val="ExhibitText"/>
              <w:jc w:val="right"/>
              <w:rPr>
                <w:b/>
                <w:bCs/>
                <w:lang w:val="en-GB"/>
              </w:rPr>
            </w:pPr>
            <w:r w:rsidRPr="00087534">
              <w:rPr>
                <w:b/>
                <w:bCs/>
                <w:lang w:val="en-GB"/>
              </w:rPr>
              <w:t>FY 2013</w:t>
            </w:r>
            <w:r>
              <w:rPr>
                <w:b/>
                <w:bCs/>
                <w:lang w:val="en-GB"/>
              </w:rPr>
              <w:t>–</w:t>
            </w:r>
            <w:r w:rsidRPr="00087534">
              <w:rPr>
                <w:b/>
                <w:bCs/>
                <w:lang w:val="en-GB"/>
              </w:rPr>
              <w:t>14</w:t>
            </w:r>
          </w:p>
        </w:tc>
        <w:tc>
          <w:tcPr>
            <w:tcW w:w="719" w:type="pct"/>
            <w:vAlign w:val="center"/>
          </w:tcPr>
          <w:p w14:paraId="3C404043" w14:textId="27742961" w:rsidR="004338C2" w:rsidRPr="00087534" w:rsidRDefault="004338C2" w:rsidP="003B1DB1">
            <w:pPr>
              <w:pStyle w:val="ExhibitText"/>
              <w:jc w:val="right"/>
              <w:rPr>
                <w:b/>
                <w:bCs/>
                <w:lang w:val="en-GB"/>
              </w:rPr>
            </w:pPr>
            <w:r w:rsidRPr="00087534">
              <w:rPr>
                <w:b/>
                <w:bCs/>
                <w:lang w:val="en-GB"/>
              </w:rPr>
              <w:t>FY 2014</w:t>
            </w:r>
            <w:r>
              <w:rPr>
                <w:b/>
                <w:bCs/>
                <w:lang w:val="en-GB"/>
              </w:rPr>
              <w:t>–</w:t>
            </w:r>
            <w:r w:rsidRPr="00087534">
              <w:rPr>
                <w:b/>
                <w:bCs/>
                <w:lang w:val="en-GB"/>
              </w:rPr>
              <w:t>15</w:t>
            </w:r>
          </w:p>
        </w:tc>
      </w:tr>
      <w:tr w:rsidR="004338C2" w:rsidRPr="00087534" w14:paraId="26067CB8" w14:textId="77777777" w:rsidTr="00977E45">
        <w:trPr>
          <w:jc w:val="center"/>
        </w:trPr>
        <w:tc>
          <w:tcPr>
            <w:tcW w:w="1407" w:type="pct"/>
            <w:vAlign w:val="center"/>
          </w:tcPr>
          <w:p w14:paraId="55453203" w14:textId="6E28D107" w:rsidR="004338C2" w:rsidRPr="00087534" w:rsidRDefault="004338C2" w:rsidP="003322F4">
            <w:pPr>
              <w:pStyle w:val="ExhibitText"/>
              <w:jc w:val="left"/>
              <w:rPr>
                <w:lang w:val="en-GB"/>
              </w:rPr>
            </w:pPr>
            <w:r w:rsidRPr="00087534">
              <w:rPr>
                <w:lang w:val="en-GB"/>
              </w:rPr>
              <w:t xml:space="preserve">Equity </w:t>
            </w:r>
            <w:r w:rsidR="00DD1231" w:rsidRPr="00087534">
              <w:rPr>
                <w:lang w:val="en-GB"/>
              </w:rPr>
              <w:t>Share Capital</w:t>
            </w:r>
          </w:p>
        </w:tc>
        <w:tc>
          <w:tcPr>
            <w:tcW w:w="719" w:type="pct"/>
            <w:vAlign w:val="center"/>
          </w:tcPr>
          <w:p w14:paraId="5A9C8371" w14:textId="77777777" w:rsidR="004338C2" w:rsidRPr="00087534" w:rsidRDefault="004338C2" w:rsidP="003322F4">
            <w:pPr>
              <w:pStyle w:val="ExhibitText"/>
              <w:jc w:val="right"/>
              <w:rPr>
                <w:lang w:val="en-GB"/>
              </w:rPr>
            </w:pPr>
            <w:r w:rsidRPr="00087534">
              <w:rPr>
                <w:lang w:val="en-GB"/>
              </w:rPr>
              <w:t>262</w:t>
            </w:r>
          </w:p>
        </w:tc>
        <w:tc>
          <w:tcPr>
            <w:tcW w:w="719" w:type="pct"/>
            <w:vAlign w:val="center"/>
          </w:tcPr>
          <w:p w14:paraId="416B6489" w14:textId="77777777" w:rsidR="004338C2" w:rsidRPr="00087534" w:rsidRDefault="004338C2" w:rsidP="003322F4">
            <w:pPr>
              <w:pStyle w:val="ExhibitText"/>
              <w:jc w:val="right"/>
              <w:rPr>
                <w:lang w:val="en-GB"/>
              </w:rPr>
            </w:pPr>
            <w:r w:rsidRPr="00087534">
              <w:rPr>
                <w:lang w:val="en-GB"/>
              </w:rPr>
              <w:t>280</w:t>
            </w:r>
          </w:p>
        </w:tc>
        <w:tc>
          <w:tcPr>
            <w:tcW w:w="719" w:type="pct"/>
            <w:vAlign w:val="center"/>
          </w:tcPr>
          <w:p w14:paraId="4FFCB77B" w14:textId="77777777" w:rsidR="004338C2" w:rsidRPr="00087534" w:rsidRDefault="004338C2" w:rsidP="003322F4">
            <w:pPr>
              <w:pStyle w:val="ExhibitText"/>
              <w:jc w:val="right"/>
              <w:rPr>
                <w:lang w:val="en-GB"/>
              </w:rPr>
            </w:pPr>
            <w:r w:rsidRPr="00087534">
              <w:rPr>
                <w:lang w:val="en-GB"/>
              </w:rPr>
              <w:t>281</w:t>
            </w:r>
          </w:p>
        </w:tc>
        <w:tc>
          <w:tcPr>
            <w:tcW w:w="719" w:type="pct"/>
            <w:vAlign w:val="center"/>
          </w:tcPr>
          <w:p w14:paraId="2D17D01D" w14:textId="77777777" w:rsidR="004338C2" w:rsidRPr="00087534" w:rsidRDefault="004338C2" w:rsidP="003322F4">
            <w:pPr>
              <w:pStyle w:val="ExhibitText"/>
              <w:jc w:val="right"/>
              <w:rPr>
                <w:lang w:val="en-GB"/>
              </w:rPr>
            </w:pPr>
            <w:r w:rsidRPr="00087534">
              <w:rPr>
                <w:lang w:val="en-GB"/>
              </w:rPr>
              <w:t>331</w:t>
            </w:r>
          </w:p>
        </w:tc>
        <w:tc>
          <w:tcPr>
            <w:tcW w:w="719" w:type="pct"/>
            <w:vAlign w:val="center"/>
          </w:tcPr>
          <w:p w14:paraId="0597A7A1" w14:textId="77777777" w:rsidR="004338C2" w:rsidRPr="00087534" w:rsidRDefault="004338C2" w:rsidP="003322F4">
            <w:pPr>
              <w:pStyle w:val="ExhibitText"/>
              <w:jc w:val="right"/>
              <w:rPr>
                <w:lang w:val="en-GB"/>
              </w:rPr>
            </w:pPr>
            <w:r w:rsidRPr="00087534">
              <w:rPr>
                <w:lang w:val="en-GB"/>
              </w:rPr>
              <w:t>332</w:t>
            </w:r>
          </w:p>
        </w:tc>
      </w:tr>
      <w:tr w:rsidR="004338C2" w:rsidRPr="00087534" w14:paraId="2696F6DE" w14:textId="77777777" w:rsidTr="00977E45">
        <w:trPr>
          <w:jc w:val="center"/>
        </w:trPr>
        <w:tc>
          <w:tcPr>
            <w:tcW w:w="1407" w:type="pct"/>
            <w:vAlign w:val="center"/>
          </w:tcPr>
          <w:p w14:paraId="61EB5F48" w14:textId="46B988A7" w:rsidR="004338C2" w:rsidRPr="00087534" w:rsidRDefault="004338C2" w:rsidP="003322F4">
            <w:pPr>
              <w:pStyle w:val="ExhibitText"/>
              <w:jc w:val="left"/>
              <w:rPr>
                <w:lang w:val="en-GB"/>
              </w:rPr>
            </w:pPr>
            <w:r w:rsidRPr="00087534">
              <w:rPr>
                <w:lang w:val="en-GB"/>
              </w:rPr>
              <w:t xml:space="preserve">Reserves </w:t>
            </w:r>
            <w:r w:rsidR="00DD1231" w:rsidRPr="00087534">
              <w:rPr>
                <w:lang w:val="en-GB"/>
              </w:rPr>
              <w:t>&amp; Surplus</w:t>
            </w:r>
          </w:p>
        </w:tc>
        <w:tc>
          <w:tcPr>
            <w:tcW w:w="719" w:type="pct"/>
            <w:vAlign w:val="center"/>
          </w:tcPr>
          <w:p w14:paraId="1DB32F17" w14:textId="77777777" w:rsidR="004338C2" w:rsidRPr="00087534" w:rsidRDefault="004338C2" w:rsidP="003322F4">
            <w:pPr>
              <w:pStyle w:val="ExhibitText"/>
              <w:jc w:val="right"/>
              <w:rPr>
                <w:lang w:val="en-GB"/>
              </w:rPr>
            </w:pPr>
            <w:r w:rsidRPr="00087534">
              <w:rPr>
                <w:lang w:val="en-GB"/>
              </w:rPr>
              <w:t>875</w:t>
            </w:r>
          </w:p>
        </w:tc>
        <w:tc>
          <w:tcPr>
            <w:tcW w:w="719" w:type="pct"/>
            <w:vAlign w:val="center"/>
          </w:tcPr>
          <w:p w14:paraId="7E224857" w14:textId="77777777" w:rsidR="004338C2" w:rsidRPr="00087534" w:rsidRDefault="004338C2" w:rsidP="003322F4">
            <w:pPr>
              <w:pStyle w:val="ExhibitText"/>
              <w:jc w:val="right"/>
              <w:rPr>
                <w:lang w:val="en-GB"/>
              </w:rPr>
            </w:pPr>
            <w:r w:rsidRPr="00087534">
              <w:rPr>
                <w:lang w:val="en-GB"/>
              </w:rPr>
              <w:t>2,116</w:t>
            </w:r>
          </w:p>
        </w:tc>
        <w:tc>
          <w:tcPr>
            <w:tcW w:w="719" w:type="pct"/>
            <w:vAlign w:val="center"/>
          </w:tcPr>
          <w:p w14:paraId="043E1A49" w14:textId="77777777" w:rsidR="004338C2" w:rsidRPr="00087534" w:rsidRDefault="004338C2" w:rsidP="003322F4">
            <w:pPr>
              <w:pStyle w:val="ExhibitText"/>
              <w:jc w:val="right"/>
              <w:rPr>
                <w:lang w:val="en-GB"/>
              </w:rPr>
            </w:pPr>
            <w:r w:rsidRPr="00087534">
              <w:rPr>
                <w:lang w:val="en-GB"/>
              </w:rPr>
              <w:t>3,188</w:t>
            </w:r>
          </w:p>
        </w:tc>
        <w:tc>
          <w:tcPr>
            <w:tcW w:w="719" w:type="pct"/>
            <w:vAlign w:val="center"/>
          </w:tcPr>
          <w:p w14:paraId="5D830C8E" w14:textId="77777777" w:rsidR="004338C2" w:rsidRPr="00087534" w:rsidRDefault="004338C2" w:rsidP="003322F4">
            <w:pPr>
              <w:pStyle w:val="ExhibitText"/>
              <w:jc w:val="right"/>
              <w:rPr>
                <w:lang w:val="en-GB"/>
              </w:rPr>
            </w:pPr>
            <w:r w:rsidRPr="00087534">
              <w:rPr>
                <w:lang w:val="en-GB"/>
              </w:rPr>
              <w:t>6,998</w:t>
            </w:r>
          </w:p>
        </w:tc>
        <w:tc>
          <w:tcPr>
            <w:tcW w:w="719" w:type="pct"/>
            <w:vAlign w:val="center"/>
          </w:tcPr>
          <w:p w14:paraId="0785799B" w14:textId="77777777" w:rsidR="004338C2" w:rsidRPr="00087534" w:rsidRDefault="004338C2" w:rsidP="003322F4">
            <w:pPr>
              <w:pStyle w:val="ExhibitText"/>
              <w:jc w:val="right"/>
              <w:rPr>
                <w:lang w:val="en-GB"/>
              </w:rPr>
            </w:pPr>
            <w:r w:rsidRPr="00087534">
              <w:rPr>
                <w:lang w:val="en-GB"/>
              </w:rPr>
              <w:t>8,458</w:t>
            </w:r>
          </w:p>
        </w:tc>
      </w:tr>
      <w:tr w:rsidR="004338C2" w:rsidRPr="00087534" w14:paraId="3E35D649" w14:textId="77777777" w:rsidTr="00977E45">
        <w:trPr>
          <w:jc w:val="center"/>
        </w:trPr>
        <w:tc>
          <w:tcPr>
            <w:tcW w:w="1407" w:type="pct"/>
            <w:vAlign w:val="center"/>
          </w:tcPr>
          <w:p w14:paraId="08896809" w14:textId="2E3FC9DC" w:rsidR="004338C2" w:rsidRPr="00087534" w:rsidRDefault="004338C2" w:rsidP="003322F4">
            <w:pPr>
              <w:pStyle w:val="ExhibitText"/>
              <w:jc w:val="left"/>
              <w:rPr>
                <w:lang w:val="en-GB"/>
              </w:rPr>
            </w:pPr>
            <w:r w:rsidRPr="00087534">
              <w:rPr>
                <w:lang w:val="en-GB"/>
              </w:rPr>
              <w:t>Long</w:t>
            </w:r>
            <w:r w:rsidR="00DD1231" w:rsidRPr="00087534">
              <w:rPr>
                <w:lang w:val="en-GB"/>
              </w:rPr>
              <w:t>-Term Borrowings</w:t>
            </w:r>
          </w:p>
        </w:tc>
        <w:tc>
          <w:tcPr>
            <w:tcW w:w="719" w:type="pct"/>
            <w:vAlign w:val="center"/>
          </w:tcPr>
          <w:p w14:paraId="1A68DC64" w14:textId="77777777" w:rsidR="004338C2" w:rsidRPr="00087534" w:rsidRDefault="004338C2" w:rsidP="003322F4">
            <w:pPr>
              <w:pStyle w:val="ExhibitText"/>
              <w:jc w:val="right"/>
              <w:rPr>
                <w:lang w:val="en-GB"/>
              </w:rPr>
            </w:pPr>
            <w:r w:rsidRPr="00087534">
              <w:rPr>
                <w:lang w:val="en-GB"/>
              </w:rPr>
              <w:t>1,112</w:t>
            </w:r>
          </w:p>
        </w:tc>
        <w:tc>
          <w:tcPr>
            <w:tcW w:w="719" w:type="pct"/>
            <w:vAlign w:val="center"/>
          </w:tcPr>
          <w:p w14:paraId="43DBA7DE" w14:textId="77777777" w:rsidR="004338C2" w:rsidRPr="00087534" w:rsidRDefault="004338C2" w:rsidP="003322F4">
            <w:pPr>
              <w:pStyle w:val="ExhibitText"/>
              <w:jc w:val="right"/>
              <w:rPr>
                <w:lang w:val="en-GB"/>
              </w:rPr>
            </w:pPr>
            <w:r w:rsidRPr="00087534">
              <w:rPr>
                <w:lang w:val="en-GB"/>
              </w:rPr>
              <w:t>431</w:t>
            </w:r>
          </w:p>
        </w:tc>
        <w:tc>
          <w:tcPr>
            <w:tcW w:w="719" w:type="pct"/>
            <w:vAlign w:val="center"/>
          </w:tcPr>
          <w:p w14:paraId="5CC3CAAF" w14:textId="77777777" w:rsidR="004338C2" w:rsidRPr="00087534" w:rsidRDefault="004338C2" w:rsidP="003322F4">
            <w:pPr>
              <w:pStyle w:val="ExhibitText"/>
              <w:jc w:val="right"/>
              <w:rPr>
                <w:lang w:val="en-GB"/>
              </w:rPr>
            </w:pPr>
            <w:r w:rsidRPr="00087534">
              <w:rPr>
                <w:lang w:val="en-GB"/>
              </w:rPr>
              <w:t>1,254</w:t>
            </w:r>
          </w:p>
        </w:tc>
        <w:tc>
          <w:tcPr>
            <w:tcW w:w="719" w:type="pct"/>
            <w:vAlign w:val="center"/>
          </w:tcPr>
          <w:p w14:paraId="5E439003" w14:textId="77777777" w:rsidR="004338C2" w:rsidRPr="00087534" w:rsidRDefault="004338C2" w:rsidP="003322F4">
            <w:pPr>
              <w:pStyle w:val="ExhibitText"/>
              <w:jc w:val="right"/>
              <w:rPr>
                <w:lang w:val="en-GB"/>
              </w:rPr>
            </w:pPr>
            <w:r w:rsidRPr="00087534">
              <w:rPr>
                <w:lang w:val="en-GB"/>
              </w:rPr>
              <w:t>950</w:t>
            </w:r>
          </w:p>
        </w:tc>
        <w:tc>
          <w:tcPr>
            <w:tcW w:w="719" w:type="pct"/>
            <w:vAlign w:val="center"/>
          </w:tcPr>
          <w:p w14:paraId="60F8A744" w14:textId="77777777" w:rsidR="004338C2" w:rsidRPr="00087534" w:rsidRDefault="004338C2" w:rsidP="003322F4">
            <w:pPr>
              <w:pStyle w:val="ExhibitText"/>
              <w:jc w:val="right"/>
              <w:rPr>
                <w:lang w:val="en-GB"/>
              </w:rPr>
            </w:pPr>
            <w:r w:rsidRPr="00087534">
              <w:rPr>
                <w:lang w:val="en-GB"/>
              </w:rPr>
              <w:t>963</w:t>
            </w:r>
          </w:p>
        </w:tc>
      </w:tr>
      <w:tr w:rsidR="004338C2" w:rsidRPr="00087534" w14:paraId="31A02635" w14:textId="77777777" w:rsidTr="00977E45">
        <w:trPr>
          <w:jc w:val="center"/>
        </w:trPr>
        <w:tc>
          <w:tcPr>
            <w:tcW w:w="1407" w:type="pct"/>
            <w:vAlign w:val="center"/>
          </w:tcPr>
          <w:p w14:paraId="326A8EA7" w14:textId="511DBF7D" w:rsidR="004338C2" w:rsidRPr="00087534" w:rsidRDefault="004338C2" w:rsidP="003322F4">
            <w:pPr>
              <w:pStyle w:val="ExhibitText"/>
              <w:jc w:val="left"/>
              <w:rPr>
                <w:lang w:val="en-GB"/>
              </w:rPr>
            </w:pPr>
            <w:r w:rsidRPr="00087534">
              <w:rPr>
                <w:lang w:val="en-GB"/>
              </w:rPr>
              <w:t>Non</w:t>
            </w:r>
            <w:r w:rsidR="00DD1231" w:rsidRPr="00087534">
              <w:rPr>
                <w:lang w:val="en-GB"/>
              </w:rPr>
              <w:t>-Current Liabilities</w:t>
            </w:r>
          </w:p>
        </w:tc>
        <w:tc>
          <w:tcPr>
            <w:tcW w:w="719" w:type="pct"/>
            <w:vAlign w:val="center"/>
          </w:tcPr>
          <w:p w14:paraId="3CEF783B" w14:textId="77777777" w:rsidR="004338C2" w:rsidRPr="00087534" w:rsidRDefault="004338C2" w:rsidP="003322F4">
            <w:pPr>
              <w:pStyle w:val="ExhibitText"/>
              <w:jc w:val="right"/>
              <w:rPr>
                <w:lang w:val="en-GB"/>
              </w:rPr>
            </w:pPr>
            <w:r w:rsidRPr="00087534">
              <w:rPr>
                <w:lang w:val="en-GB"/>
              </w:rPr>
              <w:t>157</w:t>
            </w:r>
          </w:p>
        </w:tc>
        <w:tc>
          <w:tcPr>
            <w:tcW w:w="719" w:type="pct"/>
            <w:vAlign w:val="center"/>
          </w:tcPr>
          <w:p w14:paraId="49E447EC" w14:textId="77777777" w:rsidR="004338C2" w:rsidRPr="00087534" w:rsidRDefault="004338C2" w:rsidP="003322F4">
            <w:pPr>
              <w:pStyle w:val="ExhibitText"/>
              <w:jc w:val="right"/>
              <w:rPr>
                <w:lang w:val="en-GB"/>
              </w:rPr>
            </w:pPr>
            <w:r w:rsidRPr="00087534">
              <w:rPr>
                <w:lang w:val="en-GB"/>
              </w:rPr>
              <w:t>19</w:t>
            </w:r>
          </w:p>
        </w:tc>
        <w:tc>
          <w:tcPr>
            <w:tcW w:w="719" w:type="pct"/>
            <w:vAlign w:val="center"/>
          </w:tcPr>
          <w:p w14:paraId="55A8166E" w14:textId="77777777" w:rsidR="004338C2" w:rsidRPr="00087534" w:rsidRDefault="004338C2" w:rsidP="003322F4">
            <w:pPr>
              <w:pStyle w:val="ExhibitText"/>
              <w:jc w:val="right"/>
              <w:rPr>
                <w:lang w:val="en-GB"/>
              </w:rPr>
            </w:pPr>
            <w:r w:rsidRPr="00087534">
              <w:rPr>
                <w:lang w:val="en-GB"/>
              </w:rPr>
              <w:t>350</w:t>
            </w:r>
          </w:p>
        </w:tc>
        <w:tc>
          <w:tcPr>
            <w:tcW w:w="719" w:type="pct"/>
            <w:vAlign w:val="center"/>
          </w:tcPr>
          <w:p w14:paraId="2C7150CE" w14:textId="77777777" w:rsidR="004338C2" w:rsidRPr="00087534" w:rsidRDefault="004338C2" w:rsidP="003322F4">
            <w:pPr>
              <w:pStyle w:val="ExhibitText"/>
              <w:jc w:val="right"/>
              <w:rPr>
                <w:lang w:val="en-GB"/>
              </w:rPr>
            </w:pPr>
            <w:r w:rsidRPr="00087534">
              <w:rPr>
                <w:lang w:val="en-GB"/>
              </w:rPr>
              <w:t>537</w:t>
            </w:r>
          </w:p>
        </w:tc>
        <w:tc>
          <w:tcPr>
            <w:tcW w:w="719" w:type="pct"/>
            <w:vAlign w:val="center"/>
          </w:tcPr>
          <w:p w14:paraId="1235B652" w14:textId="77777777" w:rsidR="004338C2" w:rsidRPr="00087534" w:rsidRDefault="004338C2" w:rsidP="003322F4">
            <w:pPr>
              <w:pStyle w:val="ExhibitText"/>
              <w:jc w:val="right"/>
              <w:rPr>
                <w:lang w:val="en-GB"/>
              </w:rPr>
            </w:pPr>
            <w:r w:rsidRPr="00087534">
              <w:rPr>
                <w:lang w:val="en-GB"/>
              </w:rPr>
              <w:t>212</w:t>
            </w:r>
          </w:p>
        </w:tc>
      </w:tr>
      <w:tr w:rsidR="004338C2" w:rsidRPr="00087534" w14:paraId="17B36EA7" w14:textId="77777777" w:rsidTr="00977E45">
        <w:trPr>
          <w:jc w:val="center"/>
        </w:trPr>
        <w:tc>
          <w:tcPr>
            <w:tcW w:w="1407" w:type="pct"/>
            <w:vAlign w:val="center"/>
          </w:tcPr>
          <w:p w14:paraId="67E67E7E" w14:textId="4C7327C7" w:rsidR="004338C2" w:rsidRPr="00087534" w:rsidRDefault="004338C2" w:rsidP="003322F4">
            <w:pPr>
              <w:pStyle w:val="ExhibitText"/>
              <w:jc w:val="left"/>
              <w:rPr>
                <w:lang w:val="en-GB"/>
              </w:rPr>
            </w:pPr>
            <w:r w:rsidRPr="00087534">
              <w:rPr>
                <w:lang w:val="en-GB"/>
              </w:rPr>
              <w:t xml:space="preserve">Current </w:t>
            </w:r>
            <w:r w:rsidR="00DD1231" w:rsidRPr="00087534">
              <w:rPr>
                <w:lang w:val="en-GB"/>
              </w:rPr>
              <w:t>Liabilities</w:t>
            </w:r>
          </w:p>
        </w:tc>
        <w:tc>
          <w:tcPr>
            <w:tcW w:w="719" w:type="pct"/>
            <w:vAlign w:val="center"/>
          </w:tcPr>
          <w:p w14:paraId="108F8D4E" w14:textId="77777777" w:rsidR="004338C2" w:rsidRPr="00087534" w:rsidRDefault="004338C2" w:rsidP="003322F4">
            <w:pPr>
              <w:pStyle w:val="ExhibitText"/>
              <w:jc w:val="right"/>
              <w:rPr>
                <w:lang w:val="en-GB"/>
              </w:rPr>
            </w:pPr>
            <w:r w:rsidRPr="00087534">
              <w:rPr>
                <w:lang w:val="en-GB"/>
              </w:rPr>
              <w:t>0</w:t>
            </w:r>
          </w:p>
        </w:tc>
        <w:tc>
          <w:tcPr>
            <w:tcW w:w="719" w:type="pct"/>
            <w:vAlign w:val="center"/>
          </w:tcPr>
          <w:p w14:paraId="6E2CA188" w14:textId="77777777" w:rsidR="004338C2" w:rsidRPr="00087534" w:rsidRDefault="004338C2" w:rsidP="003322F4">
            <w:pPr>
              <w:pStyle w:val="ExhibitText"/>
              <w:jc w:val="right"/>
              <w:rPr>
                <w:lang w:val="en-GB"/>
              </w:rPr>
            </w:pPr>
            <w:r w:rsidRPr="00087534">
              <w:rPr>
                <w:lang w:val="en-GB"/>
              </w:rPr>
              <w:t>1,198</w:t>
            </w:r>
          </w:p>
        </w:tc>
        <w:tc>
          <w:tcPr>
            <w:tcW w:w="719" w:type="pct"/>
            <w:vAlign w:val="center"/>
          </w:tcPr>
          <w:p w14:paraId="413DC116" w14:textId="77777777" w:rsidR="004338C2" w:rsidRPr="00087534" w:rsidRDefault="004338C2" w:rsidP="003322F4">
            <w:pPr>
              <w:pStyle w:val="ExhibitText"/>
              <w:jc w:val="right"/>
              <w:rPr>
                <w:lang w:val="en-GB"/>
              </w:rPr>
            </w:pPr>
            <w:r w:rsidRPr="00087534">
              <w:rPr>
                <w:lang w:val="en-GB"/>
              </w:rPr>
              <w:t>1,888</w:t>
            </w:r>
          </w:p>
        </w:tc>
        <w:tc>
          <w:tcPr>
            <w:tcW w:w="719" w:type="pct"/>
            <w:vAlign w:val="center"/>
          </w:tcPr>
          <w:p w14:paraId="79254B5F" w14:textId="77777777" w:rsidR="004338C2" w:rsidRPr="00087534" w:rsidRDefault="004338C2" w:rsidP="003322F4">
            <w:pPr>
              <w:pStyle w:val="ExhibitText"/>
              <w:jc w:val="right"/>
              <w:rPr>
                <w:lang w:val="en-GB"/>
              </w:rPr>
            </w:pPr>
            <w:r w:rsidRPr="00087534">
              <w:rPr>
                <w:lang w:val="en-GB"/>
              </w:rPr>
              <w:t>2,947</w:t>
            </w:r>
          </w:p>
        </w:tc>
        <w:tc>
          <w:tcPr>
            <w:tcW w:w="719" w:type="pct"/>
            <w:vAlign w:val="center"/>
          </w:tcPr>
          <w:p w14:paraId="26C9684F" w14:textId="77777777" w:rsidR="004338C2" w:rsidRPr="00087534" w:rsidRDefault="004338C2" w:rsidP="003322F4">
            <w:pPr>
              <w:pStyle w:val="ExhibitText"/>
              <w:jc w:val="right"/>
              <w:rPr>
                <w:lang w:val="en-GB"/>
              </w:rPr>
            </w:pPr>
            <w:r w:rsidRPr="00087534">
              <w:rPr>
                <w:lang w:val="en-GB"/>
              </w:rPr>
              <w:t>3,983</w:t>
            </w:r>
          </w:p>
        </w:tc>
      </w:tr>
      <w:tr w:rsidR="004338C2" w:rsidRPr="00087534" w14:paraId="58C67CE0" w14:textId="77777777" w:rsidTr="00977E45">
        <w:trPr>
          <w:jc w:val="center"/>
        </w:trPr>
        <w:tc>
          <w:tcPr>
            <w:tcW w:w="1407" w:type="pct"/>
            <w:vAlign w:val="center"/>
          </w:tcPr>
          <w:p w14:paraId="59A8A8E0" w14:textId="707D59F9" w:rsidR="004338C2" w:rsidRPr="00087534" w:rsidRDefault="004338C2" w:rsidP="003322F4">
            <w:pPr>
              <w:pStyle w:val="ExhibitText"/>
              <w:jc w:val="left"/>
              <w:rPr>
                <w:lang w:val="en-GB"/>
              </w:rPr>
            </w:pPr>
            <w:r w:rsidRPr="00087534">
              <w:rPr>
                <w:lang w:val="en-GB"/>
              </w:rPr>
              <w:t xml:space="preserve">Total </w:t>
            </w:r>
            <w:r w:rsidR="00DD1231" w:rsidRPr="00087534">
              <w:rPr>
                <w:lang w:val="en-GB"/>
              </w:rPr>
              <w:t>Liabilities</w:t>
            </w:r>
          </w:p>
        </w:tc>
        <w:tc>
          <w:tcPr>
            <w:tcW w:w="719" w:type="pct"/>
            <w:vAlign w:val="center"/>
          </w:tcPr>
          <w:p w14:paraId="366379A9" w14:textId="77777777" w:rsidR="004338C2" w:rsidRPr="00087534" w:rsidRDefault="004338C2" w:rsidP="003322F4">
            <w:pPr>
              <w:pStyle w:val="ExhibitText"/>
              <w:jc w:val="right"/>
              <w:rPr>
                <w:lang w:val="en-GB"/>
              </w:rPr>
            </w:pPr>
            <w:r w:rsidRPr="00087534">
              <w:rPr>
                <w:lang w:val="en-GB"/>
              </w:rPr>
              <w:t>2,406</w:t>
            </w:r>
          </w:p>
        </w:tc>
        <w:tc>
          <w:tcPr>
            <w:tcW w:w="719" w:type="pct"/>
            <w:vAlign w:val="center"/>
          </w:tcPr>
          <w:p w14:paraId="213F0B88" w14:textId="77777777" w:rsidR="004338C2" w:rsidRPr="00087534" w:rsidRDefault="004338C2" w:rsidP="003322F4">
            <w:pPr>
              <w:pStyle w:val="ExhibitText"/>
              <w:jc w:val="right"/>
              <w:rPr>
                <w:lang w:val="en-GB"/>
              </w:rPr>
            </w:pPr>
            <w:r w:rsidRPr="00087534">
              <w:rPr>
                <w:lang w:val="en-GB"/>
              </w:rPr>
              <w:t>4,044</w:t>
            </w:r>
          </w:p>
        </w:tc>
        <w:tc>
          <w:tcPr>
            <w:tcW w:w="719" w:type="pct"/>
            <w:vAlign w:val="center"/>
          </w:tcPr>
          <w:p w14:paraId="0AAA30A8" w14:textId="77777777" w:rsidR="004338C2" w:rsidRPr="00087534" w:rsidRDefault="004338C2" w:rsidP="003322F4">
            <w:pPr>
              <w:pStyle w:val="ExhibitText"/>
              <w:jc w:val="right"/>
              <w:rPr>
                <w:lang w:val="en-GB"/>
              </w:rPr>
            </w:pPr>
            <w:r w:rsidRPr="00087534">
              <w:rPr>
                <w:lang w:val="en-GB"/>
              </w:rPr>
              <w:t>6,961</w:t>
            </w:r>
          </w:p>
        </w:tc>
        <w:tc>
          <w:tcPr>
            <w:tcW w:w="719" w:type="pct"/>
            <w:vAlign w:val="center"/>
          </w:tcPr>
          <w:p w14:paraId="3E19651D" w14:textId="77777777" w:rsidR="004338C2" w:rsidRPr="00087534" w:rsidRDefault="004338C2" w:rsidP="003322F4">
            <w:pPr>
              <w:pStyle w:val="ExhibitText"/>
              <w:jc w:val="right"/>
              <w:rPr>
                <w:lang w:val="en-GB"/>
              </w:rPr>
            </w:pPr>
            <w:r w:rsidRPr="00087534">
              <w:rPr>
                <w:lang w:val="en-GB"/>
              </w:rPr>
              <w:t>11,763</w:t>
            </w:r>
          </w:p>
        </w:tc>
        <w:tc>
          <w:tcPr>
            <w:tcW w:w="719" w:type="pct"/>
            <w:vAlign w:val="center"/>
          </w:tcPr>
          <w:p w14:paraId="6F48D955" w14:textId="77777777" w:rsidR="004338C2" w:rsidRPr="00087534" w:rsidRDefault="004338C2" w:rsidP="003322F4">
            <w:pPr>
              <w:pStyle w:val="ExhibitText"/>
              <w:jc w:val="right"/>
              <w:rPr>
                <w:lang w:val="en-GB"/>
              </w:rPr>
            </w:pPr>
            <w:r w:rsidRPr="00087534">
              <w:rPr>
                <w:lang w:val="en-GB"/>
              </w:rPr>
              <w:t>13,948</w:t>
            </w:r>
          </w:p>
        </w:tc>
      </w:tr>
      <w:tr w:rsidR="004338C2" w:rsidRPr="00087534" w14:paraId="567D5AD6" w14:textId="77777777" w:rsidTr="00977E45">
        <w:trPr>
          <w:jc w:val="center"/>
        </w:trPr>
        <w:tc>
          <w:tcPr>
            <w:tcW w:w="1407" w:type="pct"/>
            <w:vAlign w:val="center"/>
          </w:tcPr>
          <w:p w14:paraId="51B185E6" w14:textId="1597BB06" w:rsidR="004338C2" w:rsidRPr="00087534" w:rsidRDefault="004338C2" w:rsidP="003B1DB1">
            <w:pPr>
              <w:pStyle w:val="ExhibitText"/>
              <w:jc w:val="left"/>
              <w:rPr>
                <w:lang w:val="en-GB"/>
              </w:rPr>
            </w:pPr>
            <w:r w:rsidRPr="00087534">
              <w:rPr>
                <w:lang w:val="en-GB"/>
              </w:rPr>
              <w:t xml:space="preserve">Net </w:t>
            </w:r>
            <w:r w:rsidR="00DD1231" w:rsidRPr="00087534">
              <w:rPr>
                <w:lang w:val="en-GB"/>
              </w:rPr>
              <w:t xml:space="preserve">Fixed </w:t>
            </w:r>
            <w:r w:rsidR="00DD1231">
              <w:rPr>
                <w:lang w:val="en-GB"/>
              </w:rPr>
              <w:t>A</w:t>
            </w:r>
            <w:r w:rsidR="00DD1231" w:rsidRPr="00087534">
              <w:rPr>
                <w:lang w:val="en-GB"/>
              </w:rPr>
              <w:t>ssets</w:t>
            </w:r>
          </w:p>
        </w:tc>
        <w:tc>
          <w:tcPr>
            <w:tcW w:w="719" w:type="pct"/>
            <w:vAlign w:val="center"/>
          </w:tcPr>
          <w:p w14:paraId="226AB14E" w14:textId="77777777" w:rsidR="004338C2" w:rsidRPr="00087534" w:rsidRDefault="004338C2" w:rsidP="003322F4">
            <w:pPr>
              <w:pStyle w:val="ExhibitText"/>
              <w:jc w:val="right"/>
              <w:rPr>
                <w:lang w:val="en-GB"/>
              </w:rPr>
            </w:pPr>
            <w:r w:rsidRPr="00087534">
              <w:rPr>
                <w:lang w:val="en-GB"/>
              </w:rPr>
              <w:t>1,051</w:t>
            </w:r>
          </w:p>
        </w:tc>
        <w:tc>
          <w:tcPr>
            <w:tcW w:w="719" w:type="pct"/>
            <w:vAlign w:val="center"/>
          </w:tcPr>
          <w:p w14:paraId="7220D4A0" w14:textId="77777777" w:rsidR="004338C2" w:rsidRPr="00087534" w:rsidRDefault="004338C2" w:rsidP="003322F4">
            <w:pPr>
              <w:pStyle w:val="ExhibitText"/>
              <w:jc w:val="right"/>
              <w:rPr>
                <w:lang w:val="en-GB"/>
              </w:rPr>
            </w:pPr>
            <w:r w:rsidRPr="00087534">
              <w:rPr>
                <w:lang w:val="en-GB"/>
              </w:rPr>
              <w:t>1,983</w:t>
            </w:r>
          </w:p>
        </w:tc>
        <w:tc>
          <w:tcPr>
            <w:tcW w:w="719" w:type="pct"/>
            <w:vAlign w:val="center"/>
          </w:tcPr>
          <w:p w14:paraId="7089EF6A" w14:textId="77777777" w:rsidR="004338C2" w:rsidRPr="00087534" w:rsidRDefault="004338C2" w:rsidP="003322F4">
            <w:pPr>
              <w:pStyle w:val="ExhibitText"/>
              <w:jc w:val="right"/>
              <w:rPr>
                <w:lang w:val="en-GB"/>
              </w:rPr>
            </w:pPr>
            <w:r w:rsidRPr="00087534">
              <w:rPr>
                <w:lang w:val="en-GB"/>
              </w:rPr>
              <w:t>3,301</w:t>
            </w:r>
          </w:p>
        </w:tc>
        <w:tc>
          <w:tcPr>
            <w:tcW w:w="719" w:type="pct"/>
            <w:vAlign w:val="center"/>
          </w:tcPr>
          <w:p w14:paraId="76B2A7EC" w14:textId="77777777" w:rsidR="004338C2" w:rsidRPr="00087534" w:rsidRDefault="004338C2" w:rsidP="003322F4">
            <w:pPr>
              <w:pStyle w:val="ExhibitText"/>
              <w:jc w:val="right"/>
              <w:rPr>
                <w:lang w:val="en-GB"/>
              </w:rPr>
            </w:pPr>
            <w:r w:rsidRPr="00087534">
              <w:rPr>
                <w:lang w:val="en-GB"/>
              </w:rPr>
              <w:t>6,220</w:t>
            </w:r>
          </w:p>
        </w:tc>
        <w:tc>
          <w:tcPr>
            <w:tcW w:w="719" w:type="pct"/>
            <w:vAlign w:val="center"/>
          </w:tcPr>
          <w:p w14:paraId="3EE0F0A9" w14:textId="77777777" w:rsidR="004338C2" w:rsidRPr="00087534" w:rsidRDefault="004338C2" w:rsidP="003322F4">
            <w:pPr>
              <w:pStyle w:val="ExhibitText"/>
              <w:jc w:val="right"/>
              <w:rPr>
                <w:lang w:val="en-GB"/>
              </w:rPr>
            </w:pPr>
            <w:r w:rsidRPr="00087534">
              <w:rPr>
                <w:lang w:val="en-GB"/>
              </w:rPr>
              <w:t>6,735</w:t>
            </w:r>
          </w:p>
        </w:tc>
      </w:tr>
      <w:tr w:rsidR="004338C2" w:rsidRPr="00087534" w14:paraId="7A08B9C9" w14:textId="77777777" w:rsidTr="00977E45">
        <w:trPr>
          <w:jc w:val="center"/>
        </w:trPr>
        <w:tc>
          <w:tcPr>
            <w:tcW w:w="1407" w:type="pct"/>
            <w:vAlign w:val="center"/>
          </w:tcPr>
          <w:p w14:paraId="22129C9C" w14:textId="4B4951AF" w:rsidR="004338C2" w:rsidRPr="00087534" w:rsidRDefault="004338C2" w:rsidP="003322F4">
            <w:pPr>
              <w:pStyle w:val="ExhibitText"/>
              <w:jc w:val="left"/>
              <w:rPr>
                <w:lang w:val="en-GB"/>
              </w:rPr>
            </w:pPr>
            <w:r w:rsidRPr="00087534">
              <w:rPr>
                <w:lang w:val="en-GB"/>
              </w:rPr>
              <w:t xml:space="preserve">Long </w:t>
            </w:r>
            <w:r w:rsidR="00DD1231" w:rsidRPr="00087534">
              <w:rPr>
                <w:lang w:val="en-GB"/>
              </w:rPr>
              <w:t>Term Investments</w:t>
            </w:r>
          </w:p>
        </w:tc>
        <w:tc>
          <w:tcPr>
            <w:tcW w:w="719" w:type="pct"/>
            <w:vAlign w:val="center"/>
          </w:tcPr>
          <w:p w14:paraId="3F0ED07B" w14:textId="77777777" w:rsidR="004338C2" w:rsidRPr="00087534" w:rsidRDefault="004338C2" w:rsidP="003322F4">
            <w:pPr>
              <w:pStyle w:val="ExhibitText"/>
              <w:jc w:val="right"/>
              <w:rPr>
                <w:lang w:val="en-GB"/>
              </w:rPr>
            </w:pPr>
            <w:r w:rsidRPr="00087534">
              <w:rPr>
                <w:lang w:val="en-GB"/>
              </w:rPr>
              <w:t>147</w:t>
            </w:r>
          </w:p>
        </w:tc>
        <w:tc>
          <w:tcPr>
            <w:tcW w:w="719" w:type="pct"/>
            <w:vAlign w:val="center"/>
          </w:tcPr>
          <w:p w14:paraId="3660E749" w14:textId="77777777" w:rsidR="004338C2" w:rsidRPr="00087534" w:rsidRDefault="004338C2" w:rsidP="003322F4">
            <w:pPr>
              <w:pStyle w:val="ExhibitText"/>
              <w:jc w:val="right"/>
              <w:rPr>
                <w:lang w:val="en-GB"/>
              </w:rPr>
            </w:pPr>
            <w:r w:rsidRPr="00087534">
              <w:rPr>
                <w:lang w:val="en-GB"/>
              </w:rPr>
              <w:t>670</w:t>
            </w:r>
          </w:p>
        </w:tc>
        <w:tc>
          <w:tcPr>
            <w:tcW w:w="719" w:type="pct"/>
            <w:vAlign w:val="center"/>
          </w:tcPr>
          <w:p w14:paraId="3E95A4E0" w14:textId="77777777" w:rsidR="004338C2" w:rsidRPr="00087534" w:rsidRDefault="004338C2" w:rsidP="003322F4">
            <w:pPr>
              <w:pStyle w:val="ExhibitText"/>
              <w:jc w:val="right"/>
              <w:rPr>
                <w:lang w:val="en-GB"/>
              </w:rPr>
            </w:pPr>
            <w:r w:rsidRPr="00087534">
              <w:rPr>
                <w:lang w:val="en-GB"/>
              </w:rPr>
              <w:t>691</w:t>
            </w:r>
          </w:p>
        </w:tc>
        <w:tc>
          <w:tcPr>
            <w:tcW w:w="719" w:type="pct"/>
            <w:vAlign w:val="center"/>
          </w:tcPr>
          <w:p w14:paraId="0DE2F88C" w14:textId="77777777" w:rsidR="004338C2" w:rsidRPr="00087534" w:rsidRDefault="004338C2" w:rsidP="003322F4">
            <w:pPr>
              <w:pStyle w:val="ExhibitText"/>
              <w:jc w:val="right"/>
              <w:rPr>
                <w:lang w:val="en-GB"/>
              </w:rPr>
            </w:pPr>
            <w:r w:rsidRPr="00087534">
              <w:rPr>
                <w:lang w:val="en-GB"/>
              </w:rPr>
              <w:t>886</w:t>
            </w:r>
          </w:p>
        </w:tc>
        <w:tc>
          <w:tcPr>
            <w:tcW w:w="719" w:type="pct"/>
            <w:vAlign w:val="center"/>
          </w:tcPr>
          <w:p w14:paraId="5765DE29" w14:textId="77777777" w:rsidR="004338C2" w:rsidRPr="00087534" w:rsidRDefault="004338C2" w:rsidP="003322F4">
            <w:pPr>
              <w:pStyle w:val="ExhibitText"/>
              <w:jc w:val="right"/>
              <w:rPr>
                <w:lang w:val="en-GB"/>
              </w:rPr>
            </w:pPr>
            <w:r w:rsidRPr="00087534">
              <w:rPr>
                <w:lang w:val="en-GB"/>
              </w:rPr>
              <w:t>1,311</w:t>
            </w:r>
          </w:p>
        </w:tc>
      </w:tr>
      <w:tr w:rsidR="004338C2" w:rsidRPr="00087534" w14:paraId="2E16C721" w14:textId="77777777" w:rsidTr="00977E45">
        <w:trPr>
          <w:jc w:val="center"/>
        </w:trPr>
        <w:tc>
          <w:tcPr>
            <w:tcW w:w="1407" w:type="pct"/>
            <w:vAlign w:val="center"/>
          </w:tcPr>
          <w:p w14:paraId="3BCC4DA1" w14:textId="1AD8EA4B" w:rsidR="004338C2" w:rsidRPr="00087534" w:rsidRDefault="004338C2" w:rsidP="003322F4">
            <w:pPr>
              <w:pStyle w:val="ExhibitText"/>
              <w:jc w:val="left"/>
              <w:rPr>
                <w:lang w:val="en-GB"/>
              </w:rPr>
            </w:pPr>
            <w:r w:rsidRPr="00087534">
              <w:rPr>
                <w:lang w:val="en-GB"/>
              </w:rPr>
              <w:t>Non</w:t>
            </w:r>
            <w:r w:rsidR="00DD1231" w:rsidRPr="00087534">
              <w:rPr>
                <w:lang w:val="en-GB"/>
              </w:rPr>
              <w:t>-Current Assets</w:t>
            </w:r>
          </w:p>
        </w:tc>
        <w:tc>
          <w:tcPr>
            <w:tcW w:w="719" w:type="pct"/>
            <w:vAlign w:val="center"/>
          </w:tcPr>
          <w:p w14:paraId="27CAEBD6" w14:textId="77777777" w:rsidR="004338C2" w:rsidRPr="00087534" w:rsidRDefault="004338C2" w:rsidP="003322F4">
            <w:pPr>
              <w:pStyle w:val="ExhibitText"/>
              <w:jc w:val="right"/>
              <w:rPr>
                <w:lang w:val="en-GB"/>
              </w:rPr>
            </w:pPr>
            <w:r w:rsidRPr="00087534">
              <w:rPr>
                <w:lang w:val="en-GB"/>
              </w:rPr>
              <w:t>61</w:t>
            </w:r>
          </w:p>
        </w:tc>
        <w:tc>
          <w:tcPr>
            <w:tcW w:w="719" w:type="pct"/>
            <w:vAlign w:val="center"/>
          </w:tcPr>
          <w:p w14:paraId="2EC63C1F" w14:textId="77777777" w:rsidR="004338C2" w:rsidRPr="00087534" w:rsidRDefault="004338C2" w:rsidP="003322F4">
            <w:pPr>
              <w:pStyle w:val="ExhibitText"/>
              <w:jc w:val="right"/>
              <w:rPr>
                <w:lang w:val="en-GB"/>
              </w:rPr>
            </w:pPr>
            <w:r w:rsidRPr="00087534">
              <w:rPr>
                <w:lang w:val="en-GB"/>
              </w:rPr>
              <w:t>6</w:t>
            </w:r>
          </w:p>
        </w:tc>
        <w:tc>
          <w:tcPr>
            <w:tcW w:w="719" w:type="pct"/>
            <w:vAlign w:val="center"/>
          </w:tcPr>
          <w:p w14:paraId="05FD40C4" w14:textId="77777777" w:rsidR="004338C2" w:rsidRPr="00087534" w:rsidRDefault="004338C2" w:rsidP="003322F4">
            <w:pPr>
              <w:pStyle w:val="ExhibitText"/>
              <w:jc w:val="right"/>
              <w:rPr>
                <w:lang w:val="en-GB"/>
              </w:rPr>
            </w:pPr>
            <w:r w:rsidRPr="00087534">
              <w:rPr>
                <w:lang w:val="en-GB"/>
              </w:rPr>
              <w:t>634</w:t>
            </w:r>
          </w:p>
        </w:tc>
        <w:tc>
          <w:tcPr>
            <w:tcW w:w="719" w:type="pct"/>
            <w:vAlign w:val="center"/>
          </w:tcPr>
          <w:p w14:paraId="5FAA47F6" w14:textId="77777777" w:rsidR="004338C2" w:rsidRPr="00087534" w:rsidRDefault="004338C2" w:rsidP="003322F4">
            <w:pPr>
              <w:pStyle w:val="ExhibitText"/>
              <w:jc w:val="right"/>
              <w:rPr>
                <w:lang w:val="en-GB"/>
              </w:rPr>
            </w:pPr>
            <w:r w:rsidRPr="00087534">
              <w:rPr>
                <w:lang w:val="en-GB"/>
              </w:rPr>
              <w:t>1,284</w:t>
            </w:r>
          </w:p>
        </w:tc>
        <w:tc>
          <w:tcPr>
            <w:tcW w:w="719" w:type="pct"/>
            <w:vAlign w:val="center"/>
          </w:tcPr>
          <w:p w14:paraId="2297A161" w14:textId="77777777" w:rsidR="004338C2" w:rsidRPr="00087534" w:rsidRDefault="004338C2" w:rsidP="003322F4">
            <w:pPr>
              <w:pStyle w:val="ExhibitText"/>
              <w:jc w:val="right"/>
              <w:rPr>
                <w:lang w:val="en-GB"/>
              </w:rPr>
            </w:pPr>
            <w:r w:rsidRPr="00087534">
              <w:rPr>
                <w:lang w:val="en-GB"/>
              </w:rPr>
              <w:t>1,460</w:t>
            </w:r>
          </w:p>
        </w:tc>
      </w:tr>
      <w:tr w:rsidR="004338C2" w:rsidRPr="00087534" w14:paraId="281F9F70" w14:textId="77777777" w:rsidTr="00977E45">
        <w:trPr>
          <w:jc w:val="center"/>
        </w:trPr>
        <w:tc>
          <w:tcPr>
            <w:tcW w:w="1407" w:type="pct"/>
            <w:vAlign w:val="center"/>
          </w:tcPr>
          <w:p w14:paraId="3AE1FC01" w14:textId="539FE5EF" w:rsidR="004338C2" w:rsidRPr="00087534" w:rsidRDefault="004338C2" w:rsidP="003322F4">
            <w:pPr>
              <w:pStyle w:val="ExhibitText"/>
              <w:jc w:val="left"/>
              <w:rPr>
                <w:lang w:val="en-GB"/>
              </w:rPr>
            </w:pPr>
            <w:r w:rsidRPr="00087534">
              <w:rPr>
                <w:lang w:val="en-GB"/>
              </w:rPr>
              <w:t xml:space="preserve">Current </w:t>
            </w:r>
            <w:r w:rsidR="00DD1231" w:rsidRPr="00087534">
              <w:rPr>
                <w:lang w:val="en-GB"/>
              </w:rPr>
              <w:t>Assets</w:t>
            </w:r>
          </w:p>
        </w:tc>
        <w:tc>
          <w:tcPr>
            <w:tcW w:w="719" w:type="pct"/>
            <w:vAlign w:val="center"/>
          </w:tcPr>
          <w:p w14:paraId="0A8D82FD" w14:textId="77777777" w:rsidR="004338C2" w:rsidRPr="00087534" w:rsidRDefault="004338C2" w:rsidP="003322F4">
            <w:pPr>
              <w:pStyle w:val="ExhibitText"/>
              <w:jc w:val="right"/>
              <w:rPr>
                <w:lang w:val="en-GB"/>
              </w:rPr>
            </w:pPr>
            <w:r w:rsidRPr="00087534">
              <w:rPr>
                <w:lang w:val="en-GB"/>
              </w:rPr>
              <w:t>1,147</w:t>
            </w:r>
          </w:p>
        </w:tc>
        <w:tc>
          <w:tcPr>
            <w:tcW w:w="719" w:type="pct"/>
            <w:vAlign w:val="center"/>
          </w:tcPr>
          <w:p w14:paraId="71E6E878" w14:textId="77777777" w:rsidR="004338C2" w:rsidRPr="00087534" w:rsidRDefault="004338C2" w:rsidP="003322F4">
            <w:pPr>
              <w:pStyle w:val="ExhibitText"/>
              <w:jc w:val="right"/>
              <w:rPr>
                <w:lang w:val="en-GB"/>
              </w:rPr>
            </w:pPr>
            <w:r w:rsidRPr="00087534">
              <w:rPr>
                <w:lang w:val="en-GB"/>
              </w:rPr>
              <w:t>1,385</w:t>
            </w:r>
          </w:p>
        </w:tc>
        <w:tc>
          <w:tcPr>
            <w:tcW w:w="719" w:type="pct"/>
            <w:vAlign w:val="center"/>
          </w:tcPr>
          <w:p w14:paraId="42712527" w14:textId="77777777" w:rsidR="004338C2" w:rsidRPr="00087534" w:rsidRDefault="004338C2" w:rsidP="003322F4">
            <w:pPr>
              <w:pStyle w:val="ExhibitText"/>
              <w:jc w:val="right"/>
              <w:rPr>
                <w:lang w:val="en-GB"/>
              </w:rPr>
            </w:pPr>
            <w:r w:rsidRPr="00087534">
              <w:rPr>
                <w:lang w:val="en-GB"/>
              </w:rPr>
              <w:t>2,335</w:t>
            </w:r>
          </w:p>
        </w:tc>
        <w:tc>
          <w:tcPr>
            <w:tcW w:w="719" w:type="pct"/>
            <w:vAlign w:val="center"/>
          </w:tcPr>
          <w:p w14:paraId="09AB0FD4" w14:textId="77777777" w:rsidR="004338C2" w:rsidRPr="00087534" w:rsidRDefault="004338C2" w:rsidP="003322F4">
            <w:pPr>
              <w:pStyle w:val="ExhibitText"/>
              <w:jc w:val="right"/>
              <w:rPr>
                <w:lang w:val="en-GB"/>
              </w:rPr>
            </w:pPr>
            <w:r w:rsidRPr="00087534">
              <w:rPr>
                <w:lang w:val="en-GB"/>
              </w:rPr>
              <w:t>3,373</w:t>
            </w:r>
          </w:p>
        </w:tc>
        <w:tc>
          <w:tcPr>
            <w:tcW w:w="719" w:type="pct"/>
            <w:vAlign w:val="center"/>
          </w:tcPr>
          <w:p w14:paraId="028AF683" w14:textId="77777777" w:rsidR="004338C2" w:rsidRPr="00087534" w:rsidRDefault="004338C2" w:rsidP="003322F4">
            <w:pPr>
              <w:pStyle w:val="ExhibitText"/>
              <w:jc w:val="right"/>
              <w:rPr>
                <w:lang w:val="en-GB"/>
              </w:rPr>
            </w:pPr>
            <w:r w:rsidRPr="00087534">
              <w:rPr>
                <w:lang w:val="en-GB"/>
              </w:rPr>
              <w:t>4,442</w:t>
            </w:r>
          </w:p>
        </w:tc>
      </w:tr>
      <w:tr w:rsidR="004338C2" w:rsidRPr="00087534" w14:paraId="2EE35F3A" w14:textId="77777777" w:rsidTr="00977E45">
        <w:trPr>
          <w:jc w:val="center"/>
        </w:trPr>
        <w:tc>
          <w:tcPr>
            <w:tcW w:w="1407" w:type="pct"/>
            <w:vAlign w:val="center"/>
          </w:tcPr>
          <w:p w14:paraId="603446BB" w14:textId="44A33AD1" w:rsidR="004338C2" w:rsidRPr="00087534" w:rsidRDefault="004338C2" w:rsidP="003322F4">
            <w:pPr>
              <w:pStyle w:val="ExhibitText"/>
              <w:jc w:val="left"/>
              <w:rPr>
                <w:lang w:val="en-GB"/>
              </w:rPr>
            </w:pPr>
            <w:r w:rsidRPr="00087534">
              <w:rPr>
                <w:lang w:val="en-GB"/>
              </w:rPr>
              <w:t xml:space="preserve">Total </w:t>
            </w:r>
            <w:r w:rsidR="00DD1231" w:rsidRPr="00087534">
              <w:rPr>
                <w:lang w:val="en-GB"/>
              </w:rPr>
              <w:t>Assets</w:t>
            </w:r>
          </w:p>
        </w:tc>
        <w:tc>
          <w:tcPr>
            <w:tcW w:w="719" w:type="pct"/>
            <w:vAlign w:val="center"/>
          </w:tcPr>
          <w:p w14:paraId="508A69DF" w14:textId="77777777" w:rsidR="004338C2" w:rsidRPr="00087534" w:rsidRDefault="004338C2" w:rsidP="003322F4">
            <w:pPr>
              <w:pStyle w:val="ExhibitText"/>
              <w:jc w:val="right"/>
              <w:rPr>
                <w:lang w:val="en-GB"/>
              </w:rPr>
            </w:pPr>
            <w:r w:rsidRPr="00087534">
              <w:rPr>
                <w:lang w:val="en-GB"/>
              </w:rPr>
              <w:t>2,406</w:t>
            </w:r>
          </w:p>
        </w:tc>
        <w:tc>
          <w:tcPr>
            <w:tcW w:w="719" w:type="pct"/>
            <w:vAlign w:val="center"/>
          </w:tcPr>
          <w:p w14:paraId="690C661A" w14:textId="77777777" w:rsidR="004338C2" w:rsidRPr="00087534" w:rsidRDefault="004338C2" w:rsidP="003322F4">
            <w:pPr>
              <w:pStyle w:val="ExhibitText"/>
              <w:jc w:val="right"/>
              <w:rPr>
                <w:lang w:val="en-GB"/>
              </w:rPr>
            </w:pPr>
            <w:r w:rsidRPr="00087534">
              <w:rPr>
                <w:lang w:val="en-GB"/>
              </w:rPr>
              <w:t>4,044</w:t>
            </w:r>
          </w:p>
        </w:tc>
        <w:tc>
          <w:tcPr>
            <w:tcW w:w="719" w:type="pct"/>
            <w:vAlign w:val="center"/>
          </w:tcPr>
          <w:p w14:paraId="1BB5E856" w14:textId="77777777" w:rsidR="004338C2" w:rsidRPr="00087534" w:rsidRDefault="004338C2" w:rsidP="003322F4">
            <w:pPr>
              <w:pStyle w:val="ExhibitText"/>
              <w:jc w:val="right"/>
              <w:rPr>
                <w:lang w:val="en-GB"/>
              </w:rPr>
            </w:pPr>
            <w:r w:rsidRPr="00087534">
              <w:rPr>
                <w:lang w:val="en-GB"/>
              </w:rPr>
              <w:t>6,961</w:t>
            </w:r>
          </w:p>
        </w:tc>
        <w:tc>
          <w:tcPr>
            <w:tcW w:w="719" w:type="pct"/>
            <w:vAlign w:val="center"/>
          </w:tcPr>
          <w:p w14:paraId="2C9EEC82" w14:textId="77777777" w:rsidR="004338C2" w:rsidRPr="00087534" w:rsidRDefault="004338C2" w:rsidP="003322F4">
            <w:pPr>
              <w:pStyle w:val="ExhibitText"/>
              <w:jc w:val="right"/>
              <w:rPr>
                <w:lang w:val="en-GB"/>
              </w:rPr>
            </w:pPr>
            <w:r w:rsidRPr="00087534">
              <w:rPr>
                <w:lang w:val="en-GB"/>
              </w:rPr>
              <w:t>11,763</w:t>
            </w:r>
          </w:p>
        </w:tc>
        <w:tc>
          <w:tcPr>
            <w:tcW w:w="719" w:type="pct"/>
            <w:vAlign w:val="center"/>
          </w:tcPr>
          <w:p w14:paraId="67E3F2B8" w14:textId="77777777" w:rsidR="004338C2" w:rsidRPr="00087534" w:rsidRDefault="004338C2" w:rsidP="003322F4">
            <w:pPr>
              <w:pStyle w:val="ExhibitText"/>
              <w:jc w:val="right"/>
              <w:rPr>
                <w:lang w:val="en-GB"/>
              </w:rPr>
            </w:pPr>
            <w:r w:rsidRPr="00087534">
              <w:rPr>
                <w:lang w:val="en-GB"/>
              </w:rPr>
              <w:t>13,948</w:t>
            </w:r>
          </w:p>
        </w:tc>
      </w:tr>
    </w:tbl>
    <w:p w14:paraId="63C8FA80" w14:textId="77777777" w:rsidR="004338C2" w:rsidRPr="00087534" w:rsidRDefault="004338C2" w:rsidP="00A72D9F">
      <w:pPr>
        <w:pStyle w:val="Footnote"/>
        <w:rPr>
          <w:rFonts w:eastAsia="Arial Unicode MS"/>
          <w:lang w:val="en-GB"/>
        </w:rPr>
      </w:pPr>
    </w:p>
    <w:p w14:paraId="46707302" w14:textId="1830AF4E" w:rsidR="004338C2" w:rsidRDefault="004338C2" w:rsidP="003322F4">
      <w:pPr>
        <w:pStyle w:val="Footnote"/>
        <w:rPr>
          <w:rFonts w:eastAsia="Arial Unicode MS"/>
          <w:lang w:val="en-GB"/>
        </w:rPr>
      </w:pPr>
      <w:r>
        <w:rPr>
          <w:rFonts w:eastAsia="Arial Unicode MS"/>
          <w:lang w:val="en-GB"/>
        </w:rPr>
        <w:t xml:space="preserve">Note: </w:t>
      </w:r>
      <w:r w:rsidRPr="00977E45">
        <w:t>₹</w:t>
      </w:r>
      <w:r w:rsidRPr="00FB1880">
        <w:t xml:space="preserve"> </w:t>
      </w:r>
      <w:r w:rsidRPr="00E86B7A">
        <w:t xml:space="preserve">= </w:t>
      </w:r>
      <w:r>
        <w:t>INR</w:t>
      </w:r>
      <w:r w:rsidRPr="00E86B7A">
        <w:t xml:space="preserve"> </w:t>
      </w:r>
      <w:r w:rsidRPr="00994588">
        <w:t>= Indian rupee</w:t>
      </w:r>
      <w:r>
        <w:t>;</w:t>
      </w:r>
      <w:r w:rsidRPr="00994588">
        <w:t xml:space="preserve"> US$</w:t>
      </w:r>
      <w:r>
        <w:t>1</w:t>
      </w:r>
      <w:r w:rsidR="00DD1231">
        <w:t>.00</w:t>
      </w:r>
      <w:r w:rsidRPr="00994588">
        <w:t xml:space="preserve"> = </w:t>
      </w:r>
      <w:r w:rsidRPr="00977E45">
        <w:t>₹</w:t>
      </w:r>
      <w:r w:rsidRPr="00994588">
        <w:t>66.31</w:t>
      </w:r>
      <w:r w:rsidR="00E336CA">
        <w:t xml:space="preserve"> on August 31, 2015</w:t>
      </w:r>
      <w:r>
        <w:t xml:space="preserve">; </w:t>
      </w:r>
      <w:r>
        <w:rPr>
          <w:rFonts w:eastAsia="Arial Unicode MS"/>
          <w:lang w:val="en-GB"/>
        </w:rPr>
        <w:t>FY = financial year; EBITDA = earnings before interest, taxes, depreciation, and amortization; R&amp;D = research and development; PAT = profit after tax</w:t>
      </w:r>
      <w:r w:rsidR="00DD1231">
        <w:rPr>
          <w:rFonts w:eastAsia="Arial Unicode MS"/>
          <w:lang w:val="en-GB"/>
        </w:rPr>
        <w:t>.</w:t>
      </w:r>
    </w:p>
    <w:p w14:paraId="303EF6D0" w14:textId="56B569E1" w:rsidR="004338C2" w:rsidRPr="00087534" w:rsidRDefault="004338C2" w:rsidP="003322F4">
      <w:pPr>
        <w:pStyle w:val="Footnote"/>
        <w:rPr>
          <w:rFonts w:eastAsia="Arial Unicode MS"/>
          <w:lang w:val="en-GB"/>
        </w:rPr>
      </w:pPr>
      <w:r w:rsidRPr="00087534">
        <w:rPr>
          <w:rFonts w:eastAsia="Arial Unicode MS"/>
          <w:lang w:val="en-GB"/>
        </w:rPr>
        <w:t>Source: Company documents</w:t>
      </w:r>
      <w:r>
        <w:rPr>
          <w:rFonts w:eastAsia="Arial Unicode MS"/>
          <w:lang w:val="en-GB"/>
        </w:rPr>
        <w:t>.</w:t>
      </w:r>
    </w:p>
    <w:p w14:paraId="7A8F5C21" w14:textId="77777777" w:rsidR="004338C2" w:rsidRPr="00087534" w:rsidRDefault="004338C2">
      <w:pPr>
        <w:spacing w:after="200" w:line="276" w:lineRule="auto"/>
        <w:rPr>
          <w:rFonts w:ascii="Arial" w:eastAsia="Arial Unicode MS" w:hAnsi="Arial" w:cs="Arial"/>
          <w:sz w:val="17"/>
          <w:szCs w:val="17"/>
          <w:lang w:val="en-GB"/>
        </w:rPr>
      </w:pPr>
      <w:r w:rsidRPr="00087534">
        <w:rPr>
          <w:rFonts w:eastAsia="Arial Unicode MS"/>
          <w:lang w:val="en-GB"/>
        </w:rPr>
        <w:br w:type="page"/>
      </w:r>
    </w:p>
    <w:p w14:paraId="68CE64A2" w14:textId="3EE1396E" w:rsidR="004338C2" w:rsidRPr="00087534" w:rsidRDefault="004338C2" w:rsidP="003322F4">
      <w:pPr>
        <w:pStyle w:val="ExhibitHeading"/>
        <w:rPr>
          <w:rFonts w:eastAsia="Calibri"/>
          <w:lang w:val="en-GB"/>
        </w:rPr>
      </w:pPr>
      <w:r w:rsidRPr="00087534">
        <w:rPr>
          <w:rFonts w:eastAsia="Calibri"/>
          <w:lang w:val="en-GB"/>
        </w:rPr>
        <w:lastRenderedPageBreak/>
        <w:t xml:space="preserve">EXHIBIT 7: </w:t>
      </w:r>
      <w:r>
        <w:rPr>
          <w:rFonts w:eastAsia="Calibri"/>
          <w:lang w:val="en-GB"/>
        </w:rPr>
        <w:t xml:space="preserve">Natco pharma limited’s </w:t>
      </w:r>
      <w:r w:rsidRPr="00087534">
        <w:rPr>
          <w:rFonts w:eastAsia="Calibri"/>
          <w:lang w:val="en-GB"/>
        </w:rPr>
        <w:t xml:space="preserve">RISK MANAGEMENT </w:t>
      </w:r>
      <w:r>
        <w:rPr>
          <w:rFonts w:eastAsia="Calibri"/>
          <w:lang w:val="en-GB"/>
        </w:rPr>
        <w:t xml:space="preserve">policy </w:t>
      </w:r>
    </w:p>
    <w:p w14:paraId="50F7846D" w14:textId="77777777" w:rsidR="004338C2" w:rsidRPr="00CB26E0" w:rsidRDefault="004338C2" w:rsidP="003322F4">
      <w:pPr>
        <w:pStyle w:val="ExhibitText"/>
        <w:rPr>
          <w:rFonts w:eastAsia="Calibri"/>
          <w:sz w:val="12"/>
          <w:szCs w:val="12"/>
          <w:lang w:val="en-GB"/>
        </w:rPr>
      </w:pPr>
    </w:p>
    <w:tbl>
      <w:tblPr>
        <w:tblStyle w:val="TableGrid"/>
        <w:tblW w:w="9276" w:type="dxa"/>
        <w:jc w:val="center"/>
        <w:tblLook w:val="04A0" w:firstRow="1" w:lastRow="0" w:firstColumn="1" w:lastColumn="0" w:noHBand="0" w:noVBand="1"/>
      </w:tblPr>
      <w:tblGrid>
        <w:gridCol w:w="3960"/>
        <w:gridCol w:w="5316"/>
      </w:tblGrid>
      <w:tr w:rsidR="004338C2" w:rsidRPr="00087534" w14:paraId="6CA995A3" w14:textId="77777777" w:rsidTr="00CB26E0">
        <w:trPr>
          <w:jc w:val="center"/>
        </w:trPr>
        <w:tc>
          <w:tcPr>
            <w:tcW w:w="3960" w:type="dxa"/>
            <w:vAlign w:val="center"/>
          </w:tcPr>
          <w:p w14:paraId="42A020D0" w14:textId="77777777" w:rsidR="004338C2" w:rsidRPr="00087534" w:rsidRDefault="004338C2" w:rsidP="003322F4">
            <w:pPr>
              <w:pStyle w:val="ExhibitText"/>
              <w:jc w:val="left"/>
              <w:rPr>
                <w:rFonts w:eastAsia="Calibri"/>
                <w:b/>
                <w:lang w:val="en-GB"/>
              </w:rPr>
            </w:pPr>
            <w:r w:rsidRPr="00087534">
              <w:rPr>
                <w:rFonts w:eastAsia="Calibri"/>
                <w:b/>
                <w:lang w:val="en-GB"/>
              </w:rPr>
              <w:t>Nature of Risk</w:t>
            </w:r>
          </w:p>
        </w:tc>
        <w:tc>
          <w:tcPr>
            <w:tcW w:w="5316" w:type="dxa"/>
            <w:vAlign w:val="center"/>
          </w:tcPr>
          <w:p w14:paraId="1417B5E4" w14:textId="77777777" w:rsidR="004338C2" w:rsidRPr="00087534" w:rsidRDefault="004338C2" w:rsidP="003322F4">
            <w:pPr>
              <w:pStyle w:val="ExhibitText"/>
              <w:jc w:val="center"/>
              <w:rPr>
                <w:rFonts w:eastAsia="Calibri"/>
                <w:b/>
                <w:lang w:val="en-GB"/>
              </w:rPr>
            </w:pPr>
            <w:r w:rsidRPr="00087534">
              <w:rPr>
                <w:rFonts w:eastAsia="Calibri"/>
                <w:b/>
                <w:lang w:val="en-GB"/>
              </w:rPr>
              <w:t>Management of Risk</w:t>
            </w:r>
          </w:p>
        </w:tc>
      </w:tr>
      <w:tr w:rsidR="004338C2" w:rsidRPr="00087534" w14:paraId="45CABDD6" w14:textId="77777777" w:rsidTr="00CB26E0">
        <w:trPr>
          <w:jc w:val="center"/>
        </w:trPr>
        <w:tc>
          <w:tcPr>
            <w:tcW w:w="3960" w:type="dxa"/>
            <w:vAlign w:val="center"/>
          </w:tcPr>
          <w:p w14:paraId="40DE75B1" w14:textId="6F62C644" w:rsidR="004338C2" w:rsidRPr="00CB26E0" w:rsidRDefault="004338C2" w:rsidP="00977E45">
            <w:pPr>
              <w:pStyle w:val="ExhibitText"/>
              <w:jc w:val="left"/>
              <w:rPr>
                <w:rFonts w:eastAsia="Calibri"/>
                <w:sz w:val="18"/>
                <w:szCs w:val="18"/>
                <w:lang w:val="en-GB"/>
              </w:rPr>
            </w:pPr>
            <w:r w:rsidRPr="00CB26E0">
              <w:rPr>
                <w:rFonts w:eastAsia="Calibri"/>
                <w:b/>
                <w:bCs/>
                <w:sz w:val="18"/>
                <w:szCs w:val="18"/>
                <w:lang w:val="en-GB"/>
              </w:rPr>
              <w:t>1</w:t>
            </w:r>
            <w:r w:rsidRPr="00CB26E0">
              <w:rPr>
                <w:rFonts w:eastAsia="Calibri"/>
                <w:sz w:val="18"/>
                <w:szCs w:val="18"/>
                <w:lang w:val="en-GB"/>
              </w:rPr>
              <w:t xml:space="preserve">. NPL had a relatively high concentration risk because of its dependence on certain key molecules and its limited presence in the regulated markets. For instance, the company derived 27 per cent of its income in FY 2014–15 </w:t>
            </w:r>
            <w:r w:rsidR="00E336CA" w:rsidRPr="00CB26E0">
              <w:rPr>
                <w:rFonts w:eastAsia="Calibri"/>
                <w:sz w:val="18"/>
                <w:szCs w:val="18"/>
                <w:lang w:val="en-GB"/>
              </w:rPr>
              <w:t xml:space="preserve">from </w:t>
            </w:r>
            <w:r w:rsidRPr="00CB26E0">
              <w:rPr>
                <w:rFonts w:eastAsia="Calibri"/>
                <w:sz w:val="18"/>
                <w:szCs w:val="18"/>
                <w:lang w:val="en-GB"/>
              </w:rPr>
              <w:t>a single therapeutic segment—oncology. Further, persistence of higher margins might remain a challenge in future.</w:t>
            </w:r>
          </w:p>
        </w:tc>
        <w:tc>
          <w:tcPr>
            <w:tcW w:w="5316" w:type="dxa"/>
            <w:vAlign w:val="center"/>
          </w:tcPr>
          <w:p w14:paraId="3155DB4C" w14:textId="5D78BA55" w:rsidR="004338C2" w:rsidRPr="00EB00F5" w:rsidRDefault="004338C2" w:rsidP="004219E4">
            <w:pPr>
              <w:pStyle w:val="ExhibitText"/>
              <w:rPr>
                <w:rFonts w:eastAsia="Calibri"/>
                <w:spacing w:val="-2"/>
                <w:kern w:val="18"/>
                <w:sz w:val="18"/>
                <w:szCs w:val="18"/>
                <w:lang w:val="en-GB"/>
              </w:rPr>
            </w:pPr>
            <w:r w:rsidRPr="00EB00F5">
              <w:rPr>
                <w:rFonts w:eastAsia="Calibri"/>
                <w:spacing w:val="-2"/>
                <w:kern w:val="18"/>
                <w:sz w:val="18"/>
                <w:szCs w:val="18"/>
                <w:lang w:val="en-GB"/>
              </w:rPr>
              <w:t xml:space="preserve">NPL, a market leader in </w:t>
            </w:r>
            <w:r w:rsidR="00DD1231" w:rsidRPr="00EB00F5">
              <w:rPr>
                <w:rFonts w:eastAsia="Calibri"/>
                <w:spacing w:val="-2"/>
                <w:kern w:val="18"/>
                <w:sz w:val="18"/>
                <w:szCs w:val="18"/>
                <w:lang w:val="en-GB"/>
              </w:rPr>
              <w:t xml:space="preserve">the </w:t>
            </w:r>
            <w:r w:rsidRPr="00EB00F5">
              <w:rPr>
                <w:rFonts w:eastAsia="Calibri"/>
                <w:spacing w:val="-2"/>
                <w:kern w:val="18"/>
                <w:sz w:val="18"/>
                <w:szCs w:val="18"/>
                <w:lang w:val="en-GB"/>
              </w:rPr>
              <w:t xml:space="preserve">oncology segment, had been making constant efforts to diversify and introduce new products in new therapeutic areas. In the past, in an effort to strengthen its product portfolio, NPL had launched pharmaceutical products related to swine flu, osteoporosis, gastrointestinal problems, and ailments of the central nervous system. NPL had also upgraded its R&amp;D facilities in Hyderabad operated by qualified and experienced scientists/pharmacists. The company had spent ₹1.81 billion towards R&amp;D from 2010 to 2015. It filed 31 drug master files and 36 ANDAs with the USFDA, </w:t>
            </w:r>
            <w:r w:rsidR="00DD1231" w:rsidRPr="00EB00F5">
              <w:rPr>
                <w:rFonts w:eastAsia="Calibri"/>
                <w:spacing w:val="-2"/>
                <w:kern w:val="18"/>
                <w:sz w:val="18"/>
                <w:szCs w:val="18"/>
                <w:lang w:val="en-GB"/>
              </w:rPr>
              <w:t>and</w:t>
            </w:r>
            <w:r w:rsidRPr="00EB00F5">
              <w:rPr>
                <w:rFonts w:eastAsia="Calibri"/>
                <w:spacing w:val="-2"/>
                <w:kern w:val="18"/>
                <w:sz w:val="18"/>
                <w:szCs w:val="18"/>
                <w:lang w:val="en-GB"/>
              </w:rPr>
              <w:t xml:space="preserve"> had received approval with regard to 14 ANDAs as of August 31, 2015. NPL had 179 patents to its credit. Hence, the risk was considered to be low.</w:t>
            </w:r>
          </w:p>
        </w:tc>
      </w:tr>
      <w:tr w:rsidR="004338C2" w:rsidRPr="00087534" w14:paraId="0684FA50" w14:textId="77777777" w:rsidTr="00CB26E0">
        <w:trPr>
          <w:jc w:val="center"/>
        </w:trPr>
        <w:tc>
          <w:tcPr>
            <w:tcW w:w="3960" w:type="dxa"/>
            <w:vAlign w:val="center"/>
          </w:tcPr>
          <w:p w14:paraId="0DE1A2AC" w14:textId="365B6550" w:rsidR="004338C2" w:rsidRPr="00CB26E0" w:rsidRDefault="004338C2" w:rsidP="00977E45">
            <w:pPr>
              <w:pStyle w:val="ExhibitText"/>
              <w:jc w:val="left"/>
              <w:rPr>
                <w:rFonts w:eastAsia="Calibri"/>
                <w:sz w:val="18"/>
                <w:szCs w:val="18"/>
                <w:lang w:val="en-GB"/>
              </w:rPr>
            </w:pPr>
            <w:r w:rsidRPr="00CB26E0">
              <w:rPr>
                <w:rFonts w:eastAsia="Calibri"/>
                <w:b/>
                <w:bCs/>
                <w:sz w:val="18"/>
                <w:szCs w:val="18"/>
                <w:lang w:val="en-GB"/>
              </w:rPr>
              <w:t>2</w:t>
            </w:r>
            <w:r w:rsidRPr="00CB26E0">
              <w:rPr>
                <w:rFonts w:eastAsia="Calibri"/>
                <w:sz w:val="18"/>
                <w:szCs w:val="18"/>
                <w:lang w:val="en-GB"/>
              </w:rPr>
              <w:t xml:space="preserve">. NPL’s major revenue was derived from generic drugs; revenue from </w:t>
            </w:r>
            <w:r w:rsidR="00E336CA" w:rsidRPr="00CB26E0">
              <w:rPr>
                <w:rFonts w:eastAsia="Calibri"/>
                <w:sz w:val="18"/>
                <w:szCs w:val="18"/>
                <w:lang w:val="en-GB"/>
              </w:rPr>
              <w:t xml:space="preserve">the </w:t>
            </w:r>
            <w:r w:rsidRPr="00CB26E0">
              <w:rPr>
                <w:rFonts w:eastAsia="Calibri"/>
                <w:sz w:val="18"/>
                <w:szCs w:val="18"/>
                <w:lang w:val="en-GB"/>
              </w:rPr>
              <w:t>sale</w:t>
            </w:r>
            <w:r w:rsidR="00E336CA" w:rsidRPr="00CB26E0">
              <w:rPr>
                <w:rFonts w:eastAsia="Calibri"/>
                <w:sz w:val="18"/>
                <w:szCs w:val="18"/>
                <w:lang w:val="en-GB"/>
              </w:rPr>
              <w:t>s</w:t>
            </w:r>
            <w:r w:rsidRPr="00CB26E0">
              <w:rPr>
                <w:rFonts w:eastAsia="Calibri"/>
                <w:sz w:val="18"/>
                <w:szCs w:val="18"/>
                <w:lang w:val="en-GB"/>
              </w:rPr>
              <w:t xml:space="preserve"> of generic drugs would decline gradually</w:t>
            </w:r>
            <w:r w:rsidR="00E336CA" w:rsidRPr="00CB26E0">
              <w:rPr>
                <w:rFonts w:eastAsia="Calibri"/>
                <w:sz w:val="18"/>
                <w:szCs w:val="18"/>
                <w:lang w:val="en-GB"/>
              </w:rPr>
              <w:t>,</w:t>
            </w:r>
            <w:r w:rsidRPr="00CB26E0">
              <w:rPr>
                <w:rFonts w:eastAsia="Calibri"/>
                <w:sz w:val="18"/>
                <w:szCs w:val="18"/>
                <w:lang w:val="en-GB"/>
              </w:rPr>
              <w:t xml:space="preserve"> due to the launch of new versions of drugs by other firms in the market. So the company’s growth in future might be driven by its ability to introduce and successfully commercialize new</w:t>
            </w:r>
            <w:r w:rsidR="00DD1231">
              <w:rPr>
                <w:rFonts w:eastAsia="Calibri"/>
                <w:sz w:val="18"/>
                <w:szCs w:val="18"/>
                <w:lang w:val="en-GB"/>
              </w:rPr>
              <w:t>,</w:t>
            </w:r>
            <w:r w:rsidRPr="00CB26E0">
              <w:rPr>
                <w:rFonts w:eastAsia="Calibri"/>
                <w:sz w:val="18"/>
                <w:szCs w:val="18"/>
                <w:lang w:val="en-GB"/>
              </w:rPr>
              <w:t xml:space="preserve"> complex</w:t>
            </w:r>
            <w:r w:rsidR="00DD1231">
              <w:rPr>
                <w:rFonts w:eastAsia="Calibri"/>
                <w:sz w:val="18"/>
                <w:szCs w:val="18"/>
                <w:lang w:val="en-GB"/>
              </w:rPr>
              <w:t>,</w:t>
            </w:r>
            <w:r w:rsidRPr="00CB26E0">
              <w:rPr>
                <w:rFonts w:eastAsia="Calibri"/>
                <w:sz w:val="18"/>
                <w:szCs w:val="18"/>
                <w:lang w:val="en-GB"/>
              </w:rPr>
              <w:t xml:space="preserve"> and niche APIs and formulations.</w:t>
            </w:r>
          </w:p>
        </w:tc>
        <w:tc>
          <w:tcPr>
            <w:tcW w:w="5316" w:type="dxa"/>
            <w:vAlign w:val="center"/>
          </w:tcPr>
          <w:p w14:paraId="242A517D" w14:textId="5A1D1ECE" w:rsidR="004338C2" w:rsidRPr="00CB26E0" w:rsidRDefault="004338C2" w:rsidP="00B50F1F">
            <w:pPr>
              <w:pStyle w:val="ExhibitText"/>
              <w:rPr>
                <w:rFonts w:eastAsia="Calibri"/>
                <w:sz w:val="18"/>
                <w:szCs w:val="18"/>
                <w:lang w:val="en-GB"/>
              </w:rPr>
            </w:pPr>
            <w:r w:rsidRPr="00CB26E0">
              <w:rPr>
                <w:rFonts w:eastAsia="Calibri"/>
                <w:sz w:val="18"/>
                <w:szCs w:val="18"/>
                <w:lang w:val="en-GB"/>
              </w:rPr>
              <w:t>The company had six products in the oncology segment in 2003, and its constant R&amp;D efforts increased its portfolio to 26 products by 2015. It also had a major presence in other therapeutic segments, including for treatments related to critical care, orthopaedics, gastrointestinal ailments, and central nervous system functioning (see Exhibits 1 and 2). The company could unleash its market potential in the years to come, after approval of the ANDAs filed with the USFDA (see Exhibit 3). As NPL was a vertically integrated pharmaceutical company with focus on R&amp;D, this risk could be addressed.</w:t>
            </w:r>
          </w:p>
        </w:tc>
      </w:tr>
      <w:tr w:rsidR="004338C2" w:rsidRPr="00087534" w14:paraId="5DAF115B" w14:textId="77777777" w:rsidTr="00CB26E0">
        <w:trPr>
          <w:jc w:val="center"/>
        </w:trPr>
        <w:tc>
          <w:tcPr>
            <w:tcW w:w="3960" w:type="dxa"/>
            <w:vAlign w:val="center"/>
          </w:tcPr>
          <w:p w14:paraId="368370A2" w14:textId="57C255AB" w:rsidR="008B6096" w:rsidRPr="00CB26E0" w:rsidRDefault="004338C2" w:rsidP="00CB26E0">
            <w:pPr>
              <w:pStyle w:val="ExhibitText"/>
              <w:jc w:val="left"/>
              <w:rPr>
                <w:rFonts w:eastAsia="Calibri"/>
                <w:sz w:val="18"/>
                <w:szCs w:val="18"/>
                <w:lang w:val="en-GB"/>
              </w:rPr>
            </w:pPr>
            <w:r w:rsidRPr="00CB26E0">
              <w:rPr>
                <w:rFonts w:eastAsia="Calibri"/>
                <w:b/>
                <w:bCs/>
                <w:sz w:val="18"/>
                <w:szCs w:val="18"/>
                <w:lang w:val="en-GB"/>
              </w:rPr>
              <w:t>3</w:t>
            </w:r>
            <w:r w:rsidRPr="00CB26E0">
              <w:rPr>
                <w:rFonts w:eastAsia="Calibri"/>
                <w:sz w:val="18"/>
                <w:szCs w:val="18"/>
                <w:lang w:val="en-GB"/>
              </w:rPr>
              <w:t xml:space="preserve">. NPL had ambitious plans for growth in terms of expansions; </w:t>
            </w:r>
            <w:r w:rsidR="00CC48AA" w:rsidRPr="00CB26E0">
              <w:rPr>
                <w:rFonts w:eastAsia="Calibri"/>
                <w:sz w:val="18"/>
                <w:szCs w:val="18"/>
                <w:lang w:val="en-GB"/>
              </w:rPr>
              <w:t>h</w:t>
            </w:r>
            <w:r w:rsidR="008B6096" w:rsidRPr="00CB26E0">
              <w:rPr>
                <w:rFonts w:eastAsia="Calibri"/>
                <w:sz w:val="18"/>
                <w:szCs w:val="18"/>
                <w:lang w:val="en-GB"/>
              </w:rPr>
              <w:t xml:space="preserve">owever, it might </w:t>
            </w:r>
            <w:r w:rsidR="00CC48AA" w:rsidRPr="00CB26E0">
              <w:rPr>
                <w:rFonts w:eastAsia="Calibri"/>
                <w:sz w:val="18"/>
                <w:szCs w:val="18"/>
                <w:lang w:val="en-GB"/>
              </w:rPr>
              <w:t>face market risk, making it</w:t>
            </w:r>
            <w:r w:rsidR="008B6096" w:rsidRPr="00CB26E0">
              <w:rPr>
                <w:rFonts w:eastAsia="Calibri"/>
                <w:sz w:val="18"/>
                <w:szCs w:val="18"/>
                <w:lang w:val="en-GB"/>
              </w:rPr>
              <w:t xml:space="preserve"> difficult for NPL to sell its products in the future.</w:t>
            </w:r>
          </w:p>
        </w:tc>
        <w:tc>
          <w:tcPr>
            <w:tcW w:w="5316" w:type="dxa"/>
            <w:vAlign w:val="center"/>
          </w:tcPr>
          <w:p w14:paraId="6B84B8B6" w14:textId="7B913E85" w:rsidR="004338C2" w:rsidRPr="00CB26E0" w:rsidRDefault="004338C2" w:rsidP="004219E4">
            <w:pPr>
              <w:pStyle w:val="ExhibitText"/>
              <w:rPr>
                <w:rFonts w:eastAsia="Calibri"/>
                <w:sz w:val="18"/>
                <w:szCs w:val="18"/>
                <w:lang w:val="en-GB"/>
              </w:rPr>
            </w:pPr>
            <w:r w:rsidRPr="00CB26E0">
              <w:rPr>
                <w:rFonts w:eastAsia="Calibri"/>
                <w:sz w:val="18"/>
                <w:szCs w:val="18"/>
                <w:lang w:val="en-GB"/>
              </w:rPr>
              <w:t>NPL was selling its products through its 170-plus marketing personnel and 350 distributors spread across India. Also, the company was directly selling its products to government departments, clinics, and hospitals. It developed good rapport with medical professionals and disseminated knowledge about its products by organizing various campaigns and drug donation programs. The company was exporting to more than 40 countries</w:t>
            </w:r>
            <w:r w:rsidR="007D02AA" w:rsidRPr="00CB26E0">
              <w:rPr>
                <w:rFonts w:eastAsia="Calibri"/>
                <w:sz w:val="18"/>
                <w:szCs w:val="18"/>
                <w:lang w:val="en-GB"/>
              </w:rPr>
              <w:t>,</w:t>
            </w:r>
            <w:r w:rsidRPr="00CB26E0">
              <w:rPr>
                <w:rFonts w:eastAsia="Calibri"/>
                <w:sz w:val="18"/>
                <w:szCs w:val="18"/>
                <w:lang w:val="en-GB"/>
              </w:rPr>
              <w:t xml:space="preserve"> covering </w:t>
            </w:r>
            <w:r w:rsidR="00DD1231">
              <w:rPr>
                <w:rFonts w:eastAsia="Calibri"/>
                <w:sz w:val="18"/>
                <w:szCs w:val="18"/>
                <w:lang w:val="en-GB"/>
              </w:rPr>
              <w:t>all</w:t>
            </w:r>
            <w:r w:rsidRPr="00CB26E0">
              <w:rPr>
                <w:rFonts w:eastAsia="Calibri"/>
                <w:sz w:val="18"/>
                <w:szCs w:val="18"/>
                <w:lang w:val="en-GB"/>
              </w:rPr>
              <w:t xml:space="preserve"> five continents around the globe. As its production facilities were certified by regulatory authorities, </w:t>
            </w:r>
            <w:r w:rsidR="007D02AA" w:rsidRPr="00CB26E0">
              <w:rPr>
                <w:rFonts w:eastAsia="Calibri"/>
                <w:sz w:val="18"/>
                <w:szCs w:val="18"/>
                <w:lang w:val="en-GB"/>
              </w:rPr>
              <w:t xml:space="preserve">the </w:t>
            </w:r>
            <w:r w:rsidRPr="00CB26E0">
              <w:rPr>
                <w:rFonts w:eastAsia="Calibri"/>
                <w:sz w:val="18"/>
                <w:szCs w:val="18"/>
                <w:lang w:val="en-GB"/>
              </w:rPr>
              <w:t>marketing of its products might not be an issue.</w:t>
            </w:r>
          </w:p>
        </w:tc>
      </w:tr>
      <w:tr w:rsidR="00D33D14" w:rsidRPr="00087534" w14:paraId="71D983E7" w14:textId="77777777" w:rsidTr="00CB26E0">
        <w:trPr>
          <w:jc w:val="center"/>
        </w:trPr>
        <w:tc>
          <w:tcPr>
            <w:tcW w:w="3960" w:type="dxa"/>
            <w:vAlign w:val="center"/>
          </w:tcPr>
          <w:p w14:paraId="2039B7FD" w14:textId="57B835E9" w:rsidR="00D33D14" w:rsidRPr="00CB26E0" w:rsidRDefault="004338C2" w:rsidP="00CB26E0">
            <w:pPr>
              <w:pStyle w:val="ExhibitText"/>
              <w:jc w:val="left"/>
              <w:rPr>
                <w:rFonts w:eastAsia="Calibri"/>
                <w:sz w:val="18"/>
                <w:szCs w:val="18"/>
                <w:lang w:val="en-GB"/>
              </w:rPr>
            </w:pPr>
            <w:r w:rsidRPr="00CB26E0">
              <w:rPr>
                <w:rFonts w:eastAsia="Calibri"/>
                <w:b/>
                <w:bCs/>
                <w:sz w:val="18"/>
                <w:szCs w:val="18"/>
                <w:lang w:val="en-GB"/>
              </w:rPr>
              <w:t>4</w:t>
            </w:r>
            <w:r w:rsidRPr="00CB26E0">
              <w:rPr>
                <w:rFonts w:eastAsia="Calibri"/>
                <w:sz w:val="18"/>
                <w:szCs w:val="18"/>
                <w:lang w:val="en-GB"/>
              </w:rPr>
              <w:t xml:space="preserve">. </w:t>
            </w:r>
            <w:r w:rsidR="007D02AA" w:rsidRPr="00CB26E0">
              <w:rPr>
                <w:rFonts w:eastAsia="Calibri"/>
                <w:sz w:val="18"/>
                <w:szCs w:val="18"/>
                <w:lang w:val="en-GB"/>
              </w:rPr>
              <w:t>India’s drug f</w:t>
            </w:r>
            <w:r w:rsidRPr="00CB26E0">
              <w:rPr>
                <w:rFonts w:eastAsia="Calibri"/>
                <w:sz w:val="18"/>
                <w:szCs w:val="18"/>
                <w:lang w:val="en-GB"/>
              </w:rPr>
              <w:t xml:space="preserve">ormulations industry was vulnerable to changes in </w:t>
            </w:r>
            <w:r w:rsidR="007D02AA" w:rsidRPr="00CB26E0">
              <w:rPr>
                <w:rFonts w:eastAsia="Calibri"/>
                <w:sz w:val="18"/>
                <w:szCs w:val="18"/>
                <w:lang w:val="en-GB"/>
              </w:rPr>
              <w:t xml:space="preserve">government </w:t>
            </w:r>
            <w:r w:rsidRPr="00CB26E0">
              <w:rPr>
                <w:rFonts w:eastAsia="Calibri"/>
                <w:sz w:val="18"/>
                <w:szCs w:val="18"/>
                <w:lang w:val="en-GB"/>
              </w:rPr>
              <w:t>policies</w:t>
            </w:r>
            <w:r w:rsidR="007D02AA" w:rsidRPr="00CB26E0">
              <w:rPr>
                <w:rFonts w:eastAsia="Calibri"/>
                <w:sz w:val="18"/>
                <w:szCs w:val="18"/>
                <w:lang w:val="en-GB"/>
              </w:rPr>
              <w:t>,</w:t>
            </w:r>
            <w:r w:rsidRPr="00CB26E0">
              <w:rPr>
                <w:rFonts w:eastAsia="Calibri"/>
                <w:sz w:val="18"/>
                <w:szCs w:val="18"/>
                <w:lang w:val="en-GB"/>
              </w:rPr>
              <w:t xml:space="preserve"> </w:t>
            </w:r>
            <w:r w:rsidR="007D02AA" w:rsidRPr="00CB26E0">
              <w:rPr>
                <w:rFonts w:eastAsia="Calibri"/>
                <w:sz w:val="18"/>
                <w:szCs w:val="18"/>
                <w:lang w:val="en-GB"/>
              </w:rPr>
              <w:t xml:space="preserve">including </w:t>
            </w:r>
            <w:r w:rsidRPr="00CB26E0">
              <w:rPr>
                <w:rFonts w:eastAsia="Calibri"/>
                <w:sz w:val="18"/>
                <w:szCs w:val="18"/>
                <w:lang w:val="en-GB"/>
              </w:rPr>
              <w:t>price controls such as</w:t>
            </w:r>
            <w:r w:rsidR="007D02AA" w:rsidRPr="00CB26E0">
              <w:rPr>
                <w:rFonts w:eastAsia="Calibri"/>
                <w:sz w:val="18"/>
                <w:szCs w:val="18"/>
                <w:lang w:val="en-GB"/>
              </w:rPr>
              <w:t xml:space="preserve"> the</w:t>
            </w:r>
            <w:r w:rsidRPr="00CB26E0">
              <w:rPr>
                <w:rFonts w:eastAsia="Calibri"/>
                <w:sz w:val="18"/>
                <w:szCs w:val="18"/>
                <w:lang w:val="en-GB"/>
              </w:rPr>
              <w:t xml:space="preserve"> drug pricing control order (DPCO), 2013.</w:t>
            </w:r>
            <w:r w:rsidR="00CB26E0" w:rsidRPr="00CB26E0">
              <w:rPr>
                <w:rFonts w:eastAsia="Calibri"/>
                <w:sz w:val="18"/>
                <w:szCs w:val="18"/>
                <w:vertAlign w:val="superscript"/>
                <w:lang w:val="en-GB"/>
              </w:rPr>
              <w:t>*</w:t>
            </w:r>
            <w:r w:rsidRPr="00CB26E0">
              <w:rPr>
                <w:rFonts w:eastAsia="Calibri"/>
                <w:sz w:val="18"/>
                <w:szCs w:val="18"/>
                <w:lang w:val="en-GB"/>
              </w:rPr>
              <w:t xml:space="preserve"> </w:t>
            </w:r>
            <w:r w:rsidR="00D33D14" w:rsidRPr="00CB26E0">
              <w:rPr>
                <w:rFonts w:eastAsia="Calibri"/>
                <w:sz w:val="18"/>
                <w:szCs w:val="18"/>
                <w:lang w:val="en-GB"/>
              </w:rPr>
              <w:t xml:space="preserve">For instance, </w:t>
            </w:r>
            <w:r w:rsidR="007D02AA" w:rsidRPr="00CB26E0">
              <w:rPr>
                <w:rFonts w:eastAsia="Calibri"/>
                <w:sz w:val="18"/>
                <w:szCs w:val="18"/>
                <w:lang w:val="en-GB"/>
              </w:rPr>
              <w:t>the</w:t>
            </w:r>
            <w:r w:rsidR="00D33D14" w:rsidRPr="00CB26E0">
              <w:rPr>
                <w:rFonts w:eastAsia="Calibri"/>
                <w:sz w:val="18"/>
                <w:szCs w:val="18"/>
                <w:lang w:val="en-GB"/>
              </w:rPr>
              <w:t xml:space="preserve"> 348 essential drugs, as per the National List of Essential Medicines 2011, should be </w:t>
            </w:r>
            <w:r w:rsidR="007D02AA" w:rsidRPr="00CB26E0">
              <w:rPr>
                <w:rFonts w:eastAsia="Calibri"/>
                <w:sz w:val="18"/>
                <w:szCs w:val="18"/>
                <w:lang w:val="en-GB"/>
              </w:rPr>
              <w:t xml:space="preserve">available at a </w:t>
            </w:r>
            <w:r w:rsidR="00D33D14" w:rsidRPr="00CB26E0">
              <w:rPr>
                <w:rFonts w:eastAsia="Calibri"/>
                <w:sz w:val="18"/>
                <w:szCs w:val="18"/>
                <w:lang w:val="en-GB"/>
              </w:rPr>
              <w:t>reasonable</w:t>
            </w:r>
            <w:r w:rsidR="007D02AA" w:rsidRPr="00CB26E0">
              <w:rPr>
                <w:rFonts w:eastAsia="Calibri"/>
                <w:sz w:val="18"/>
                <w:szCs w:val="18"/>
                <w:lang w:val="en-GB"/>
              </w:rPr>
              <w:t xml:space="preserve"> cost</w:t>
            </w:r>
            <w:r w:rsidR="00D33D14" w:rsidRPr="00CB26E0">
              <w:rPr>
                <w:rFonts w:eastAsia="Calibri"/>
                <w:sz w:val="18"/>
                <w:szCs w:val="18"/>
                <w:lang w:val="en-GB"/>
              </w:rPr>
              <w:t xml:space="preserve">. As NPL’s products were covered under </w:t>
            </w:r>
            <w:r w:rsidR="007D02AA" w:rsidRPr="00CB26E0">
              <w:rPr>
                <w:rFonts w:eastAsia="Calibri"/>
                <w:sz w:val="18"/>
                <w:szCs w:val="18"/>
                <w:lang w:val="en-GB"/>
              </w:rPr>
              <w:t xml:space="preserve">that </w:t>
            </w:r>
            <w:r w:rsidR="00D33D14" w:rsidRPr="00CB26E0">
              <w:rPr>
                <w:rFonts w:eastAsia="Calibri"/>
                <w:sz w:val="18"/>
                <w:szCs w:val="18"/>
                <w:lang w:val="en-GB"/>
              </w:rPr>
              <w:t>list, its operations could be adversely affected</w:t>
            </w:r>
            <w:r w:rsidR="007D02AA" w:rsidRPr="00CB26E0">
              <w:rPr>
                <w:rFonts w:eastAsia="Calibri"/>
                <w:sz w:val="18"/>
                <w:szCs w:val="18"/>
                <w:lang w:val="en-GB"/>
              </w:rPr>
              <w:t xml:space="preserve"> by a change in policy</w:t>
            </w:r>
            <w:r w:rsidR="00D33D14" w:rsidRPr="00CB26E0">
              <w:rPr>
                <w:rFonts w:eastAsia="Calibri"/>
                <w:sz w:val="18"/>
                <w:szCs w:val="18"/>
                <w:lang w:val="en-GB"/>
              </w:rPr>
              <w:t>.</w:t>
            </w:r>
          </w:p>
        </w:tc>
        <w:tc>
          <w:tcPr>
            <w:tcW w:w="5316" w:type="dxa"/>
            <w:vAlign w:val="center"/>
          </w:tcPr>
          <w:p w14:paraId="615415E9" w14:textId="5FC2E729" w:rsidR="00D33D14" w:rsidRPr="00CB26E0" w:rsidRDefault="00D33D14" w:rsidP="003B785E">
            <w:pPr>
              <w:pStyle w:val="ExhibitText"/>
              <w:rPr>
                <w:rFonts w:eastAsia="Calibri"/>
                <w:sz w:val="18"/>
                <w:szCs w:val="18"/>
                <w:lang w:val="en-GB"/>
              </w:rPr>
            </w:pPr>
            <w:r w:rsidRPr="00CB26E0">
              <w:rPr>
                <w:rFonts w:eastAsia="Calibri"/>
                <w:sz w:val="18"/>
                <w:szCs w:val="18"/>
                <w:lang w:val="en-GB"/>
              </w:rPr>
              <w:t xml:space="preserve">As this risk was considered to be non-diversifiable, NPL had been concentrating on </w:t>
            </w:r>
            <w:r w:rsidR="007D02AA" w:rsidRPr="00CB26E0">
              <w:rPr>
                <w:rFonts w:eastAsia="Calibri"/>
                <w:sz w:val="18"/>
                <w:szCs w:val="18"/>
                <w:lang w:val="en-GB"/>
              </w:rPr>
              <w:t xml:space="preserve">manufacturing </w:t>
            </w:r>
            <w:r w:rsidRPr="00CB26E0">
              <w:rPr>
                <w:rFonts w:eastAsia="Calibri"/>
                <w:sz w:val="18"/>
                <w:szCs w:val="18"/>
                <w:lang w:val="en-GB"/>
              </w:rPr>
              <w:t xml:space="preserve">drugs </w:t>
            </w:r>
            <w:r w:rsidR="003B785E" w:rsidRPr="00CB26E0">
              <w:rPr>
                <w:rFonts w:eastAsia="Calibri"/>
                <w:sz w:val="18"/>
                <w:szCs w:val="18"/>
                <w:lang w:val="en-GB"/>
              </w:rPr>
              <w:t>that had the fewest</w:t>
            </w:r>
            <w:r w:rsidRPr="00CB26E0">
              <w:rPr>
                <w:rFonts w:eastAsia="Calibri"/>
                <w:sz w:val="18"/>
                <w:szCs w:val="18"/>
                <w:lang w:val="en-GB"/>
              </w:rPr>
              <w:t xml:space="preserve"> controls.</w:t>
            </w:r>
          </w:p>
        </w:tc>
      </w:tr>
      <w:tr w:rsidR="00CB26E0" w:rsidRPr="00087534" w14:paraId="0AC818C5" w14:textId="77777777" w:rsidTr="00CB26E0">
        <w:trPr>
          <w:jc w:val="center"/>
        </w:trPr>
        <w:tc>
          <w:tcPr>
            <w:tcW w:w="3960" w:type="dxa"/>
            <w:vAlign w:val="center"/>
          </w:tcPr>
          <w:p w14:paraId="123A4AB9" w14:textId="2E23C169" w:rsidR="00CB26E0" w:rsidRPr="00CB26E0" w:rsidRDefault="00CB26E0" w:rsidP="00CB26E0">
            <w:pPr>
              <w:pStyle w:val="ExhibitText"/>
              <w:jc w:val="left"/>
              <w:rPr>
                <w:rFonts w:eastAsia="Calibri"/>
                <w:b/>
                <w:bCs/>
                <w:sz w:val="18"/>
                <w:szCs w:val="18"/>
                <w:lang w:val="en-GB"/>
              </w:rPr>
            </w:pPr>
            <w:r w:rsidRPr="00CB26E0">
              <w:rPr>
                <w:rFonts w:eastAsia="Calibri"/>
                <w:b/>
                <w:bCs/>
                <w:sz w:val="18"/>
                <w:szCs w:val="18"/>
                <w:lang w:val="en-GB"/>
              </w:rPr>
              <w:t>5</w:t>
            </w:r>
            <w:r w:rsidRPr="00CB26E0">
              <w:rPr>
                <w:rFonts w:eastAsia="Calibri"/>
                <w:sz w:val="18"/>
                <w:szCs w:val="18"/>
                <w:lang w:val="en-GB"/>
              </w:rPr>
              <w:t>. The company was operating in a highly regulated industry, where it might face regulatory and litigation risks. For instance, the company’s manufacturing facilities needed to continuously comply with the regulatory norms of the USFDA. It also needed to manage environmental risks because it engaged in the production of chemicals.</w:t>
            </w:r>
          </w:p>
        </w:tc>
        <w:tc>
          <w:tcPr>
            <w:tcW w:w="5316" w:type="dxa"/>
            <w:vAlign w:val="center"/>
          </w:tcPr>
          <w:p w14:paraId="61516622" w14:textId="3B15FB0C" w:rsidR="00CB26E0" w:rsidRPr="00CB26E0" w:rsidRDefault="00CB26E0" w:rsidP="00CB26E0">
            <w:pPr>
              <w:pStyle w:val="ExhibitText"/>
              <w:rPr>
                <w:rFonts w:eastAsia="Calibri"/>
                <w:sz w:val="18"/>
                <w:szCs w:val="18"/>
                <w:lang w:val="en-GB"/>
              </w:rPr>
            </w:pPr>
            <w:r w:rsidRPr="00CB26E0">
              <w:rPr>
                <w:rFonts w:eastAsia="Calibri"/>
                <w:spacing w:val="-2"/>
                <w:kern w:val="20"/>
                <w:sz w:val="18"/>
                <w:szCs w:val="18"/>
                <w:lang w:val="en-GB"/>
              </w:rPr>
              <w:t xml:space="preserve">NPL had been pursuing a relatively </w:t>
            </w:r>
            <w:proofErr w:type="spellStart"/>
            <w:r w:rsidRPr="00CB26E0">
              <w:rPr>
                <w:rFonts w:eastAsia="Calibri"/>
                <w:spacing w:val="-2"/>
                <w:kern w:val="20"/>
                <w:sz w:val="18"/>
                <w:szCs w:val="18"/>
                <w:lang w:val="en-GB"/>
              </w:rPr>
              <w:t>derisked</w:t>
            </w:r>
            <w:proofErr w:type="spellEnd"/>
            <w:r w:rsidRPr="00CB26E0">
              <w:rPr>
                <w:rFonts w:eastAsia="Calibri"/>
                <w:spacing w:val="-2"/>
                <w:kern w:val="20"/>
                <w:sz w:val="18"/>
                <w:szCs w:val="18"/>
                <w:lang w:val="en-GB"/>
              </w:rPr>
              <w:t xml:space="preserve"> business model, wherein it manufactured generic versions of patented drugs, while its collaborating partner managed the potential litigation costs and the marketing and distribution on </w:t>
            </w:r>
            <w:r w:rsidR="00DD1231">
              <w:rPr>
                <w:rFonts w:eastAsia="Calibri"/>
                <w:spacing w:val="-2"/>
                <w:kern w:val="20"/>
                <w:sz w:val="18"/>
                <w:szCs w:val="18"/>
                <w:lang w:val="en-GB"/>
              </w:rPr>
              <w:t xml:space="preserve">a </w:t>
            </w:r>
            <w:r w:rsidRPr="00CB26E0">
              <w:rPr>
                <w:rFonts w:eastAsia="Calibri"/>
                <w:spacing w:val="-2"/>
                <w:kern w:val="20"/>
                <w:sz w:val="18"/>
                <w:szCs w:val="18"/>
                <w:lang w:val="en-GB"/>
              </w:rPr>
              <w:t>profit-sharing basis. The company had also obtained suitable and adequate product liability insurance. The company’s API plant was a zero-discharge facility, and it had a system of recycling the various solvents to ensure improved productivity and yields. The company’s manufacturing facilities complied with the USFDA, the public health service of the Netherlands, the German health authority, and Japan’s pharmaceuticals and medical devices agency. NPL also had waste management and environment protection systems to comply with various laws. Hence, these risks might have minimal impact on the company.</w:t>
            </w:r>
          </w:p>
        </w:tc>
      </w:tr>
    </w:tbl>
    <w:p w14:paraId="5BFF2A3F" w14:textId="77777777" w:rsidR="00EB00F5" w:rsidRDefault="00EB00F5" w:rsidP="00994588">
      <w:pPr>
        <w:pStyle w:val="ExhibitHeading"/>
        <w:rPr>
          <w:rFonts w:eastAsia="Calibri"/>
          <w:lang w:val="en-GB"/>
        </w:rPr>
      </w:pPr>
    </w:p>
    <w:p w14:paraId="40A1B6D8" w14:textId="65338173" w:rsidR="00994588" w:rsidRPr="00087534" w:rsidRDefault="00994588" w:rsidP="00994588">
      <w:pPr>
        <w:pStyle w:val="ExhibitHeading"/>
        <w:rPr>
          <w:rFonts w:eastAsia="Calibri"/>
          <w:lang w:val="en-GB"/>
        </w:rPr>
      </w:pPr>
      <w:r w:rsidRPr="00087534">
        <w:rPr>
          <w:rFonts w:eastAsia="Calibri"/>
          <w:lang w:val="en-GB"/>
        </w:rPr>
        <w:lastRenderedPageBreak/>
        <w:t xml:space="preserve">EXHIBIT 7 </w:t>
      </w:r>
      <w:r w:rsidR="00DD1231">
        <w:rPr>
          <w:rFonts w:eastAsia="Calibri"/>
          <w:lang w:val="en-GB"/>
        </w:rPr>
        <w:t>(</w:t>
      </w:r>
      <w:r w:rsidRPr="00087534">
        <w:rPr>
          <w:rFonts w:eastAsia="Calibri"/>
          <w:lang w:val="en-GB"/>
        </w:rPr>
        <w:t>CONTINUED</w:t>
      </w:r>
      <w:r w:rsidR="00DD1231">
        <w:rPr>
          <w:rFonts w:eastAsia="Calibri"/>
          <w:lang w:val="en-GB"/>
        </w:rPr>
        <w:t>)</w:t>
      </w:r>
    </w:p>
    <w:p w14:paraId="16F04959" w14:textId="77777777" w:rsidR="00994588" w:rsidRPr="00327928" w:rsidRDefault="00994588" w:rsidP="00327928">
      <w:pPr>
        <w:pStyle w:val="ExhibitText"/>
        <w:rPr>
          <w:rFonts w:eastAsia="Calibri"/>
        </w:rPr>
      </w:pPr>
    </w:p>
    <w:tbl>
      <w:tblPr>
        <w:tblStyle w:val="TableGrid"/>
        <w:tblW w:w="8820" w:type="dxa"/>
        <w:tblInd w:w="265" w:type="dxa"/>
        <w:tblLook w:val="04A0" w:firstRow="1" w:lastRow="0" w:firstColumn="1" w:lastColumn="0" w:noHBand="0" w:noVBand="1"/>
      </w:tblPr>
      <w:tblGrid>
        <w:gridCol w:w="3263"/>
        <w:gridCol w:w="5557"/>
      </w:tblGrid>
      <w:tr w:rsidR="00994588" w:rsidRPr="00087534" w14:paraId="28D77011" w14:textId="77777777" w:rsidTr="00CB26E0">
        <w:tc>
          <w:tcPr>
            <w:tcW w:w="3263" w:type="dxa"/>
            <w:vAlign w:val="center"/>
          </w:tcPr>
          <w:p w14:paraId="1B3A9CBF" w14:textId="77777777" w:rsidR="00994588" w:rsidRPr="00087534" w:rsidRDefault="00994588" w:rsidP="00994588">
            <w:pPr>
              <w:pStyle w:val="ExhibitText"/>
              <w:jc w:val="left"/>
              <w:rPr>
                <w:rFonts w:eastAsia="Calibri"/>
                <w:b/>
                <w:lang w:val="en-GB"/>
              </w:rPr>
            </w:pPr>
            <w:r w:rsidRPr="00087534">
              <w:rPr>
                <w:rFonts w:eastAsia="Calibri"/>
                <w:b/>
                <w:lang w:val="en-GB"/>
              </w:rPr>
              <w:t>Nature of Risk</w:t>
            </w:r>
          </w:p>
        </w:tc>
        <w:tc>
          <w:tcPr>
            <w:tcW w:w="5557" w:type="dxa"/>
            <w:vAlign w:val="center"/>
          </w:tcPr>
          <w:p w14:paraId="329C14D1" w14:textId="77777777" w:rsidR="00994588" w:rsidRPr="00087534" w:rsidRDefault="00994588" w:rsidP="00994588">
            <w:pPr>
              <w:pStyle w:val="ExhibitText"/>
              <w:jc w:val="center"/>
              <w:rPr>
                <w:rFonts w:eastAsia="Calibri"/>
                <w:b/>
                <w:lang w:val="en-GB"/>
              </w:rPr>
            </w:pPr>
            <w:r w:rsidRPr="00087534">
              <w:rPr>
                <w:rFonts w:eastAsia="Calibri"/>
                <w:b/>
                <w:lang w:val="en-GB"/>
              </w:rPr>
              <w:t>Management of Risk</w:t>
            </w:r>
          </w:p>
        </w:tc>
      </w:tr>
      <w:tr w:rsidR="00994588" w:rsidRPr="00087534" w14:paraId="641F8348" w14:textId="77777777" w:rsidTr="00CB26E0">
        <w:tc>
          <w:tcPr>
            <w:tcW w:w="3263" w:type="dxa"/>
            <w:vAlign w:val="center"/>
          </w:tcPr>
          <w:p w14:paraId="7B34A70F" w14:textId="73F13079" w:rsidR="00994588" w:rsidRPr="00327928" w:rsidRDefault="00994588" w:rsidP="00CC48AA">
            <w:pPr>
              <w:pStyle w:val="ExhibitText"/>
              <w:jc w:val="left"/>
              <w:rPr>
                <w:rFonts w:eastAsia="Calibri"/>
                <w:sz w:val="18"/>
                <w:szCs w:val="18"/>
                <w:lang w:val="en-GB"/>
              </w:rPr>
            </w:pPr>
            <w:r w:rsidRPr="00327928">
              <w:rPr>
                <w:rFonts w:eastAsia="Calibri"/>
                <w:b/>
                <w:bCs/>
                <w:sz w:val="18"/>
                <w:szCs w:val="18"/>
                <w:lang w:val="en-GB"/>
              </w:rPr>
              <w:t>6</w:t>
            </w:r>
            <w:r w:rsidRPr="00327928">
              <w:rPr>
                <w:rFonts w:eastAsia="Calibri"/>
                <w:sz w:val="18"/>
                <w:szCs w:val="18"/>
                <w:lang w:val="en-GB"/>
              </w:rPr>
              <w:t xml:space="preserve">. </w:t>
            </w:r>
            <w:r w:rsidRPr="00327928">
              <w:rPr>
                <w:rFonts w:eastAsia="Calibri"/>
                <w:bCs/>
                <w:sz w:val="18"/>
                <w:szCs w:val="18"/>
                <w:lang w:val="en-GB"/>
              </w:rPr>
              <w:t>In the past,</w:t>
            </w:r>
            <w:r w:rsidRPr="00327928">
              <w:rPr>
                <w:rFonts w:eastAsia="Calibri"/>
                <w:sz w:val="18"/>
                <w:szCs w:val="18"/>
                <w:lang w:val="en-GB"/>
              </w:rPr>
              <w:t xml:space="preserve"> NPL </w:t>
            </w:r>
            <w:r w:rsidR="00DD771A" w:rsidRPr="00327928">
              <w:rPr>
                <w:rFonts w:eastAsia="Calibri"/>
                <w:sz w:val="18"/>
                <w:szCs w:val="18"/>
                <w:lang w:val="en-GB"/>
              </w:rPr>
              <w:t xml:space="preserve">had </w:t>
            </w:r>
            <w:r w:rsidRPr="00327928">
              <w:rPr>
                <w:rFonts w:eastAsia="Calibri"/>
                <w:sz w:val="18"/>
                <w:szCs w:val="18"/>
                <w:lang w:val="en-GB"/>
              </w:rPr>
              <w:t>diversified its operations into non-pharmaceutical field</w:t>
            </w:r>
            <w:r w:rsidR="003B785E" w:rsidRPr="00327928">
              <w:rPr>
                <w:rFonts w:eastAsia="Calibri"/>
                <w:sz w:val="18"/>
                <w:szCs w:val="18"/>
                <w:lang w:val="en-GB"/>
              </w:rPr>
              <w:t>s</w:t>
            </w:r>
            <w:r w:rsidRPr="00327928">
              <w:rPr>
                <w:rFonts w:eastAsia="Calibri"/>
                <w:sz w:val="18"/>
                <w:szCs w:val="18"/>
                <w:lang w:val="en-GB"/>
              </w:rPr>
              <w:t xml:space="preserve"> (</w:t>
            </w:r>
            <w:r w:rsidR="003B785E" w:rsidRPr="00327928">
              <w:rPr>
                <w:rFonts w:eastAsia="Calibri"/>
                <w:sz w:val="18"/>
                <w:szCs w:val="18"/>
                <w:lang w:val="en-GB"/>
              </w:rPr>
              <w:t xml:space="preserve">e.g., </w:t>
            </w:r>
            <w:proofErr w:type="spellStart"/>
            <w:r w:rsidRPr="00327928">
              <w:rPr>
                <w:rFonts w:eastAsia="Calibri"/>
                <w:sz w:val="18"/>
                <w:szCs w:val="18"/>
                <w:lang w:val="en-GB"/>
              </w:rPr>
              <w:t>Krishnapatnam</w:t>
            </w:r>
            <w:proofErr w:type="spellEnd"/>
            <w:r w:rsidRPr="00327928">
              <w:rPr>
                <w:rFonts w:eastAsia="Calibri"/>
                <w:sz w:val="18"/>
                <w:szCs w:val="18"/>
                <w:lang w:val="en-GB"/>
              </w:rPr>
              <w:t xml:space="preserve"> Port Company Limited</w:t>
            </w:r>
            <w:proofErr w:type="gramStart"/>
            <w:r w:rsidRPr="00327928">
              <w:rPr>
                <w:rFonts w:eastAsia="Calibri"/>
                <w:sz w:val="18"/>
                <w:szCs w:val="18"/>
                <w:lang w:val="en-GB"/>
              </w:rPr>
              <w:t>)</w:t>
            </w:r>
            <w:r w:rsidR="00CB26E0" w:rsidRPr="00327928">
              <w:rPr>
                <w:rFonts w:eastAsia="Calibri"/>
                <w:sz w:val="18"/>
                <w:szCs w:val="18"/>
                <w:lang w:val="en-GB"/>
              </w:rPr>
              <w:t>*</w:t>
            </w:r>
            <w:proofErr w:type="gramEnd"/>
            <w:r w:rsidR="00CC48AA" w:rsidRPr="00327928">
              <w:rPr>
                <w:rFonts w:eastAsia="Calibri"/>
                <w:sz w:val="18"/>
                <w:szCs w:val="18"/>
                <w:lang w:val="en-GB"/>
              </w:rPr>
              <w:t>*</w:t>
            </w:r>
            <w:r w:rsidRPr="00327928">
              <w:rPr>
                <w:rFonts w:eastAsia="Calibri"/>
                <w:sz w:val="18"/>
                <w:szCs w:val="18"/>
                <w:lang w:val="en-GB"/>
              </w:rPr>
              <w:t xml:space="preserve"> and incurred losses </w:t>
            </w:r>
            <w:r w:rsidR="00C84920" w:rsidRPr="00327928">
              <w:rPr>
                <w:rFonts w:eastAsia="Calibri"/>
                <w:sz w:val="18"/>
                <w:szCs w:val="18"/>
                <w:lang w:val="en-GB"/>
              </w:rPr>
              <w:t xml:space="preserve">that </w:t>
            </w:r>
            <w:r w:rsidRPr="00327928">
              <w:rPr>
                <w:rFonts w:eastAsia="Calibri"/>
                <w:sz w:val="18"/>
                <w:szCs w:val="18"/>
                <w:lang w:val="en-GB"/>
              </w:rPr>
              <w:t xml:space="preserve">ultimately had an adverse impact on its credit record with banks and </w:t>
            </w:r>
            <w:r w:rsidR="00C84920" w:rsidRPr="00327928">
              <w:rPr>
                <w:rFonts w:eastAsia="Calibri"/>
                <w:sz w:val="18"/>
                <w:szCs w:val="18"/>
                <w:lang w:val="en-GB"/>
              </w:rPr>
              <w:t xml:space="preserve">other </w:t>
            </w:r>
            <w:r w:rsidRPr="00327928">
              <w:rPr>
                <w:rFonts w:eastAsia="Calibri"/>
                <w:sz w:val="18"/>
                <w:szCs w:val="18"/>
                <w:lang w:val="en-GB"/>
              </w:rPr>
              <w:t xml:space="preserve">financial institutions. As such, </w:t>
            </w:r>
            <w:r w:rsidR="00DD771A" w:rsidRPr="00327928">
              <w:rPr>
                <w:rFonts w:eastAsia="Calibri"/>
                <w:sz w:val="18"/>
                <w:szCs w:val="18"/>
                <w:lang w:val="en-GB"/>
              </w:rPr>
              <w:t xml:space="preserve">the </w:t>
            </w:r>
            <w:r w:rsidRPr="00327928">
              <w:rPr>
                <w:rFonts w:eastAsia="Calibri"/>
                <w:sz w:val="18"/>
                <w:szCs w:val="18"/>
                <w:lang w:val="en-GB"/>
              </w:rPr>
              <w:t xml:space="preserve">risk of </w:t>
            </w:r>
            <w:r w:rsidR="00DD771A" w:rsidRPr="00327928">
              <w:rPr>
                <w:rFonts w:eastAsia="Calibri"/>
                <w:sz w:val="18"/>
                <w:szCs w:val="18"/>
                <w:lang w:val="en-GB"/>
              </w:rPr>
              <w:t xml:space="preserve">a </w:t>
            </w:r>
            <w:r w:rsidRPr="00327928">
              <w:rPr>
                <w:rFonts w:eastAsia="Calibri"/>
                <w:sz w:val="18"/>
                <w:szCs w:val="18"/>
                <w:lang w:val="en-GB"/>
              </w:rPr>
              <w:t>diversion of funds might not be ruled out in future.</w:t>
            </w:r>
          </w:p>
        </w:tc>
        <w:tc>
          <w:tcPr>
            <w:tcW w:w="5557" w:type="dxa"/>
            <w:vAlign w:val="center"/>
          </w:tcPr>
          <w:p w14:paraId="2DF9D2FA" w14:textId="4EE95CDB" w:rsidR="00994588" w:rsidRPr="00327928" w:rsidRDefault="00994588" w:rsidP="00C84920">
            <w:pPr>
              <w:pStyle w:val="ExhibitText"/>
              <w:rPr>
                <w:rFonts w:eastAsia="Calibri"/>
                <w:sz w:val="18"/>
                <w:szCs w:val="18"/>
                <w:lang w:val="en-GB"/>
              </w:rPr>
            </w:pPr>
            <w:r w:rsidRPr="00327928">
              <w:rPr>
                <w:rFonts w:eastAsia="Calibri"/>
                <w:sz w:val="18"/>
                <w:szCs w:val="18"/>
                <w:lang w:val="en-GB"/>
              </w:rPr>
              <w:t xml:space="preserve">The company </w:t>
            </w:r>
            <w:r w:rsidR="00DD771A" w:rsidRPr="00327928">
              <w:rPr>
                <w:rFonts w:eastAsia="Calibri"/>
                <w:sz w:val="18"/>
                <w:szCs w:val="18"/>
                <w:lang w:val="en-GB"/>
              </w:rPr>
              <w:t xml:space="preserve">had </w:t>
            </w:r>
            <w:r w:rsidRPr="00327928">
              <w:rPr>
                <w:rFonts w:eastAsia="Calibri"/>
                <w:sz w:val="18"/>
                <w:szCs w:val="18"/>
                <w:lang w:val="en-GB"/>
              </w:rPr>
              <w:t>learned from its past mistakes and</w:t>
            </w:r>
            <w:r w:rsidR="00DD771A" w:rsidRPr="00327928">
              <w:rPr>
                <w:rFonts w:eastAsia="Calibri"/>
                <w:sz w:val="18"/>
                <w:szCs w:val="18"/>
                <w:lang w:val="en-GB"/>
              </w:rPr>
              <w:t xml:space="preserve"> was</w:t>
            </w:r>
            <w:r w:rsidRPr="00327928">
              <w:rPr>
                <w:rFonts w:eastAsia="Calibri"/>
                <w:sz w:val="18"/>
                <w:szCs w:val="18"/>
                <w:lang w:val="en-GB"/>
              </w:rPr>
              <w:t xml:space="preserve"> committed to focus </w:t>
            </w:r>
            <w:r w:rsidR="00C84920" w:rsidRPr="00327928">
              <w:rPr>
                <w:rFonts w:eastAsia="Calibri"/>
                <w:sz w:val="18"/>
                <w:szCs w:val="18"/>
                <w:lang w:val="en-GB"/>
              </w:rPr>
              <w:t xml:space="preserve">only </w:t>
            </w:r>
            <w:r w:rsidRPr="00327928">
              <w:rPr>
                <w:rFonts w:eastAsia="Calibri"/>
                <w:sz w:val="18"/>
                <w:szCs w:val="18"/>
                <w:lang w:val="en-GB"/>
              </w:rPr>
              <w:t>on its core area</w:t>
            </w:r>
            <w:r w:rsidR="00C84920" w:rsidRPr="00327928">
              <w:rPr>
                <w:rFonts w:eastAsia="Calibri"/>
                <w:sz w:val="18"/>
                <w:szCs w:val="18"/>
                <w:lang w:val="en-GB"/>
              </w:rPr>
              <w:t xml:space="preserve">—the </w:t>
            </w:r>
            <w:r w:rsidRPr="00327928">
              <w:rPr>
                <w:rFonts w:eastAsia="Calibri"/>
                <w:sz w:val="18"/>
                <w:szCs w:val="18"/>
                <w:lang w:val="en-GB"/>
              </w:rPr>
              <w:t xml:space="preserve">pharmaceutical industry. </w:t>
            </w:r>
            <w:r w:rsidR="00C84920" w:rsidRPr="00327928">
              <w:rPr>
                <w:rFonts w:eastAsia="Calibri"/>
                <w:sz w:val="18"/>
                <w:szCs w:val="18"/>
                <w:lang w:val="en-GB"/>
              </w:rPr>
              <w:t>The risk was misplaced, a</w:t>
            </w:r>
            <w:r w:rsidRPr="00327928">
              <w:rPr>
                <w:rFonts w:eastAsia="Calibri"/>
                <w:sz w:val="18"/>
                <w:szCs w:val="18"/>
                <w:lang w:val="en-GB"/>
              </w:rPr>
              <w:t xml:space="preserve">s the present proposal was meant for </w:t>
            </w:r>
            <w:r w:rsidR="00C84920" w:rsidRPr="00327928">
              <w:rPr>
                <w:rFonts w:eastAsia="Calibri"/>
                <w:sz w:val="18"/>
                <w:szCs w:val="18"/>
                <w:lang w:val="en-GB"/>
              </w:rPr>
              <w:t xml:space="preserve">the </w:t>
            </w:r>
            <w:r w:rsidRPr="00327928">
              <w:rPr>
                <w:rFonts w:eastAsia="Calibri"/>
                <w:sz w:val="18"/>
                <w:szCs w:val="18"/>
                <w:lang w:val="en-GB"/>
              </w:rPr>
              <w:t xml:space="preserve">mobilization of funds for its </w:t>
            </w:r>
            <w:r w:rsidR="00771EF8" w:rsidRPr="00327928">
              <w:rPr>
                <w:rFonts w:eastAsia="Calibri"/>
                <w:sz w:val="18"/>
                <w:szCs w:val="18"/>
                <w:lang w:val="en-GB"/>
              </w:rPr>
              <w:t>R&amp;D</w:t>
            </w:r>
            <w:r w:rsidR="00C84920" w:rsidRPr="00327928">
              <w:rPr>
                <w:rFonts w:eastAsia="Calibri"/>
                <w:sz w:val="18"/>
                <w:szCs w:val="18"/>
                <w:lang w:val="en-GB"/>
              </w:rPr>
              <w:t>-</w:t>
            </w:r>
            <w:r w:rsidRPr="00327928">
              <w:rPr>
                <w:rFonts w:eastAsia="Calibri"/>
                <w:sz w:val="18"/>
                <w:szCs w:val="18"/>
                <w:lang w:val="en-GB"/>
              </w:rPr>
              <w:t>based capital expenditure</w:t>
            </w:r>
            <w:r w:rsidR="00C84920" w:rsidRPr="00327928">
              <w:rPr>
                <w:rFonts w:eastAsia="Calibri"/>
                <w:sz w:val="18"/>
                <w:szCs w:val="18"/>
                <w:lang w:val="en-GB"/>
              </w:rPr>
              <w:t>s</w:t>
            </w:r>
            <w:r w:rsidRPr="00327928">
              <w:rPr>
                <w:rFonts w:eastAsia="Calibri"/>
                <w:sz w:val="18"/>
                <w:szCs w:val="18"/>
                <w:lang w:val="en-GB"/>
              </w:rPr>
              <w:t xml:space="preserve"> and long</w:t>
            </w:r>
            <w:r w:rsidR="00C84920" w:rsidRPr="00327928">
              <w:rPr>
                <w:rFonts w:eastAsia="Calibri"/>
                <w:sz w:val="18"/>
                <w:szCs w:val="18"/>
                <w:lang w:val="en-GB"/>
              </w:rPr>
              <w:t>-</w:t>
            </w:r>
            <w:r w:rsidRPr="00327928">
              <w:rPr>
                <w:rFonts w:eastAsia="Calibri"/>
                <w:sz w:val="18"/>
                <w:szCs w:val="18"/>
                <w:lang w:val="en-GB"/>
              </w:rPr>
              <w:t>term working capital requirement</w:t>
            </w:r>
            <w:r w:rsidR="00C84920" w:rsidRPr="00327928">
              <w:rPr>
                <w:rFonts w:eastAsia="Calibri"/>
                <w:sz w:val="18"/>
                <w:szCs w:val="18"/>
                <w:lang w:val="en-GB"/>
              </w:rPr>
              <w:t>s</w:t>
            </w:r>
            <w:r w:rsidRPr="00327928">
              <w:rPr>
                <w:rFonts w:eastAsia="Calibri"/>
                <w:sz w:val="18"/>
                <w:szCs w:val="18"/>
                <w:lang w:val="en-GB"/>
              </w:rPr>
              <w:t>.</w:t>
            </w:r>
          </w:p>
        </w:tc>
      </w:tr>
      <w:tr w:rsidR="00994588" w:rsidRPr="00087534" w14:paraId="5BE889A3" w14:textId="77777777" w:rsidTr="00CB26E0">
        <w:tc>
          <w:tcPr>
            <w:tcW w:w="3263" w:type="dxa"/>
            <w:vAlign w:val="center"/>
          </w:tcPr>
          <w:p w14:paraId="27FC3F6B" w14:textId="63C630C2" w:rsidR="00994588" w:rsidRPr="00327928" w:rsidRDefault="00994588" w:rsidP="00DD771A">
            <w:pPr>
              <w:pStyle w:val="ExhibitText"/>
              <w:jc w:val="left"/>
              <w:rPr>
                <w:rFonts w:eastAsia="Calibri"/>
                <w:sz w:val="18"/>
                <w:szCs w:val="18"/>
                <w:lang w:val="en-GB"/>
              </w:rPr>
            </w:pPr>
            <w:r w:rsidRPr="00327928">
              <w:rPr>
                <w:rFonts w:eastAsia="Calibri"/>
                <w:b/>
                <w:bCs/>
                <w:sz w:val="18"/>
                <w:szCs w:val="18"/>
                <w:lang w:val="en-GB"/>
              </w:rPr>
              <w:t>7</w:t>
            </w:r>
            <w:r w:rsidRPr="00327928">
              <w:rPr>
                <w:rFonts w:eastAsia="Calibri"/>
                <w:sz w:val="18"/>
                <w:szCs w:val="18"/>
                <w:lang w:val="en-GB"/>
              </w:rPr>
              <w:t xml:space="preserve">. As considerable time (three or more years) and </w:t>
            </w:r>
            <w:r w:rsidR="00DD771A" w:rsidRPr="00327928">
              <w:rPr>
                <w:rFonts w:eastAsia="Calibri"/>
                <w:sz w:val="18"/>
                <w:szCs w:val="18"/>
                <w:lang w:val="en-GB"/>
              </w:rPr>
              <w:t xml:space="preserve">a </w:t>
            </w:r>
            <w:r w:rsidRPr="00327928">
              <w:rPr>
                <w:rFonts w:eastAsia="Calibri"/>
                <w:sz w:val="18"/>
                <w:szCs w:val="18"/>
                <w:lang w:val="en-GB"/>
              </w:rPr>
              <w:t xml:space="preserve">substantial amount of money would be required for </w:t>
            </w:r>
            <w:r w:rsidR="00C84920" w:rsidRPr="00327928">
              <w:rPr>
                <w:rFonts w:eastAsia="Calibri"/>
                <w:sz w:val="18"/>
                <w:szCs w:val="18"/>
                <w:lang w:val="en-GB"/>
              </w:rPr>
              <w:t xml:space="preserve">the </w:t>
            </w:r>
            <w:r w:rsidRPr="00327928">
              <w:rPr>
                <w:rFonts w:eastAsia="Calibri"/>
                <w:sz w:val="18"/>
                <w:szCs w:val="18"/>
                <w:lang w:val="en-GB"/>
              </w:rPr>
              <w:t>testing, reviewing, developing</w:t>
            </w:r>
            <w:r w:rsidR="00C84920" w:rsidRPr="00327928">
              <w:rPr>
                <w:rFonts w:eastAsia="Calibri"/>
                <w:sz w:val="18"/>
                <w:szCs w:val="18"/>
                <w:lang w:val="en-GB"/>
              </w:rPr>
              <w:t>,</w:t>
            </w:r>
            <w:r w:rsidRPr="00327928">
              <w:rPr>
                <w:rFonts w:eastAsia="Calibri"/>
                <w:sz w:val="18"/>
                <w:szCs w:val="18"/>
                <w:lang w:val="en-GB"/>
              </w:rPr>
              <w:t xml:space="preserve"> and marketing of generic drugs, the company might not find the market for its products as projected</w:t>
            </w:r>
            <w:r w:rsidR="00C84920" w:rsidRPr="00327928">
              <w:rPr>
                <w:rFonts w:eastAsia="Calibri"/>
                <w:sz w:val="18"/>
                <w:szCs w:val="18"/>
                <w:lang w:val="en-GB"/>
              </w:rPr>
              <w:t>,</w:t>
            </w:r>
            <w:r w:rsidRPr="00327928">
              <w:rPr>
                <w:rFonts w:eastAsia="Calibri"/>
                <w:sz w:val="18"/>
                <w:szCs w:val="18"/>
                <w:lang w:val="en-GB"/>
              </w:rPr>
              <w:t xml:space="preserve"> thereby </w:t>
            </w:r>
            <w:r w:rsidR="00C84920" w:rsidRPr="00327928">
              <w:rPr>
                <w:rFonts w:eastAsia="Calibri"/>
                <w:sz w:val="18"/>
                <w:szCs w:val="18"/>
                <w:lang w:val="en-GB"/>
              </w:rPr>
              <w:t xml:space="preserve">making it unable to </w:t>
            </w:r>
            <w:r w:rsidR="00DD771A" w:rsidRPr="00327928">
              <w:rPr>
                <w:rFonts w:eastAsia="Calibri"/>
                <w:sz w:val="18"/>
                <w:szCs w:val="18"/>
                <w:lang w:val="en-GB"/>
              </w:rPr>
              <w:t>achie</w:t>
            </w:r>
            <w:r w:rsidR="00C84920" w:rsidRPr="00327928">
              <w:rPr>
                <w:rFonts w:eastAsia="Calibri"/>
                <w:sz w:val="18"/>
                <w:szCs w:val="18"/>
                <w:lang w:val="en-GB"/>
              </w:rPr>
              <w:t xml:space="preserve">ve </w:t>
            </w:r>
            <w:r w:rsidR="00DD771A" w:rsidRPr="00327928">
              <w:rPr>
                <w:rFonts w:eastAsia="Calibri"/>
                <w:sz w:val="18"/>
                <w:szCs w:val="18"/>
                <w:lang w:val="en-GB"/>
              </w:rPr>
              <w:t xml:space="preserve">an </w:t>
            </w:r>
            <w:r w:rsidRPr="00327928">
              <w:rPr>
                <w:rFonts w:eastAsia="Calibri"/>
                <w:sz w:val="18"/>
                <w:szCs w:val="18"/>
                <w:lang w:val="en-GB"/>
              </w:rPr>
              <w:t xml:space="preserve">adequate return on its invested capital. Further, investors would expect more predictable profitability and less volatility in </w:t>
            </w:r>
            <w:r w:rsidR="00C84920" w:rsidRPr="00327928">
              <w:rPr>
                <w:rFonts w:eastAsia="Calibri"/>
                <w:sz w:val="18"/>
                <w:szCs w:val="18"/>
                <w:lang w:val="en-GB"/>
              </w:rPr>
              <w:t xml:space="preserve">NPL’s </w:t>
            </w:r>
            <w:r w:rsidRPr="00327928">
              <w:rPr>
                <w:rFonts w:eastAsia="Calibri"/>
                <w:sz w:val="18"/>
                <w:szCs w:val="18"/>
                <w:lang w:val="en-GB"/>
              </w:rPr>
              <w:t>earnings.</w:t>
            </w:r>
          </w:p>
        </w:tc>
        <w:tc>
          <w:tcPr>
            <w:tcW w:w="5557" w:type="dxa"/>
            <w:vAlign w:val="center"/>
          </w:tcPr>
          <w:p w14:paraId="1319B2AE" w14:textId="45495E0A" w:rsidR="00994588" w:rsidRPr="00EB00F5" w:rsidRDefault="00994588" w:rsidP="00DD771A">
            <w:pPr>
              <w:pStyle w:val="ExhibitText"/>
              <w:rPr>
                <w:rFonts w:eastAsia="Calibri"/>
                <w:spacing w:val="-2"/>
                <w:kern w:val="18"/>
                <w:sz w:val="18"/>
                <w:szCs w:val="18"/>
                <w:lang w:val="en-GB"/>
              </w:rPr>
            </w:pPr>
            <w:r w:rsidRPr="00EB00F5">
              <w:rPr>
                <w:rFonts w:eastAsia="Calibri"/>
                <w:spacing w:val="-2"/>
                <w:kern w:val="18"/>
                <w:sz w:val="18"/>
                <w:szCs w:val="18"/>
                <w:lang w:val="en-GB"/>
              </w:rPr>
              <w:t xml:space="preserve">To address this risk, NPL was launching many products in the market. As it was earning good profit margins and also had five oncology products with annual turnover of more than ₹100 million, it would be able to meet the huge costs for </w:t>
            </w:r>
            <w:r w:rsidR="00DD771A" w:rsidRPr="00EB00F5">
              <w:rPr>
                <w:rFonts w:eastAsia="Calibri"/>
                <w:spacing w:val="-2"/>
                <w:kern w:val="18"/>
                <w:sz w:val="18"/>
                <w:szCs w:val="18"/>
                <w:lang w:val="en-GB"/>
              </w:rPr>
              <w:t xml:space="preserve">the </w:t>
            </w:r>
            <w:r w:rsidRPr="00EB00F5">
              <w:rPr>
                <w:rFonts w:eastAsia="Calibri"/>
                <w:spacing w:val="-2"/>
                <w:kern w:val="18"/>
                <w:sz w:val="18"/>
                <w:szCs w:val="18"/>
                <w:lang w:val="en-GB"/>
              </w:rPr>
              <w:t xml:space="preserve">commercialization of its products. The company could reduce volatility in its earnings once it </w:t>
            </w:r>
            <w:r w:rsidR="00DD771A" w:rsidRPr="00EB00F5">
              <w:rPr>
                <w:rFonts w:eastAsia="Calibri"/>
                <w:spacing w:val="-2"/>
                <w:kern w:val="18"/>
                <w:sz w:val="18"/>
                <w:szCs w:val="18"/>
                <w:lang w:val="en-GB"/>
              </w:rPr>
              <w:t xml:space="preserve">consolidated </w:t>
            </w:r>
            <w:r w:rsidRPr="00EB00F5">
              <w:rPr>
                <w:rFonts w:eastAsia="Calibri"/>
                <w:spacing w:val="-2"/>
                <w:kern w:val="18"/>
                <w:sz w:val="18"/>
                <w:szCs w:val="18"/>
                <w:lang w:val="en-GB"/>
              </w:rPr>
              <w:t>its research efforts in terms of new drug discovery.</w:t>
            </w:r>
          </w:p>
        </w:tc>
      </w:tr>
      <w:tr w:rsidR="00994588" w:rsidRPr="00087534" w14:paraId="25154290" w14:textId="77777777" w:rsidTr="00CB26E0">
        <w:tc>
          <w:tcPr>
            <w:tcW w:w="3263" w:type="dxa"/>
            <w:vAlign w:val="center"/>
          </w:tcPr>
          <w:p w14:paraId="02F5168C" w14:textId="2F5985D9" w:rsidR="00994588" w:rsidRPr="00327928" w:rsidRDefault="00994588" w:rsidP="00977E45">
            <w:pPr>
              <w:pStyle w:val="ExhibitText"/>
              <w:jc w:val="left"/>
              <w:rPr>
                <w:rFonts w:eastAsia="Calibri"/>
                <w:sz w:val="18"/>
                <w:szCs w:val="18"/>
                <w:lang w:val="en-GB"/>
              </w:rPr>
            </w:pPr>
            <w:r w:rsidRPr="00327928">
              <w:rPr>
                <w:rFonts w:eastAsia="Calibri"/>
                <w:b/>
                <w:bCs/>
                <w:sz w:val="18"/>
                <w:szCs w:val="18"/>
                <w:lang w:val="en-GB"/>
              </w:rPr>
              <w:t>8</w:t>
            </w:r>
            <w:r w:rsidRPr="00327928">
              <w:rPr>
                <w:rFonts w:eastAsia="Calibri"/>
                <w:sz w:val="18"/>
                <w:szCs w:val="18"/>
                <w:lang w:val="en-GB"/>
              </w:rPr>
              <w:t>. The company was exporting its products to more than 40 countries and also importing a portion of its raw materials</w:t>
            </w:r>
            <w:r w:rsidR="00C84920" w:rsidRPr="00327928">
              <w:rPr>
                <w:rFonts w:eastAsia="Calibri"/>
                <w:sz w:val="18"/>
                <w:szCs w:val="18"/>
                <w:lang w:val="en-GB"/>
              </w:rPr>
              <w:t xml:space="preserve"> and</w:t>
            </w:r>
            <w:r w:rsidRPr="00327928">
              <w:rPr>
                <w:rFonts w:eastAsia="Calibri"/>
                <w:sz w:val="18"/>
                <w:szCs w:val="18"/>
                <w:lang w:val="en-GB"/>
              </w:rPr>
              <w:t xml:space="preserve"> capital equipment.</w:t>
            </w:r>
            <w:r w:rsidR="00DD771A" w:rsidRPr="00327928">
              <w:rPr>
                <w:rFonts w:eastAsia="Calibri"/>
                <w:sz w:val="18"/>
                <w:szCs w:val="18"/>
                <w:lang w:val="en-GB"/>
              </w:rPr>
              <w:t xml:space="preserve"> </w:t>
            </w:r>
            <w:r w:rsidR="00C84920" w:rsidRPr="00327928">
              <w:rPr>
                <w:rFonts w:eastAsia="Calibri"/>
                <w:sz w:val="18"/>
                <w:szCs w:val="18"/>
                <w:lang w:val="en-GB"/>
              </w:rPr>
              <w:t>I</w:t>
            </w:r>
            <w:r w:rsidRPr="00327928">
              <w:rPr>
                <w:rFonts w:eastAsia="Calibri"/>
                <w:sz w:val="18"/>
                <w:szCs w:val="18"/>
                <w:lang w:val="en-GB"/>
              </w:rPr>
              <w:t>t might face exchange</w:t>
            </w:r>
            <w:r w:rsidR="00C84920" w:rsidRPr="00327928">
              <w:rPr>
                <w:rFonts w:eastAsia="Calibri"/>
                <w:sz w:val="18"/>
                <w:szCs w:val="18"/>
                <w:lang w:val="en-GB"/>
              </w:rPr>
              <w:t>-</w:t>
            </w:r>
            <w:r w:rsidRPr="00327928">
              <w:rPr>
                <w:rFonts w:eastAsia="Calibri"/>
                <w:sz w:val="18"/>
                <w:szCs w:val="18"/>
                <w:lang w:val="en-GB"/>
              </w:rPr>
              <w:t>rate risk</w:t>
            </w:r>
            <w:r w:rsidR="00C84920" w:rsidRPr="00327928">
              <w:rPr>
                <w:rFonts w:eastAsia="Calibri"/>
                <w:sz w:val="18"/>
                <w:szCs w:val="18"/>
                <w:lang w:val="en-GB"/>
              </w:rPr>
              <w:t>s</w:t>
            </w:r>
            <w:r w:rsidRPr="00327928">
              <w:rPr>
                <w:rFonts w:eastAsia="Calibri"/>
                <w:sz w:val="18"/>
                <w:szCs w:val="18"/>
                <w:lang w:val="en-GB"/>
              </w:rPr>
              <w:t xml:space="preserve"> in its export/import transactions.</w:t>
            </w:r>
          </w:p>
        </w:tc>
        <w:tc>
          <w:tcPr>
            <w:tcW w:w="5557" w:type="dxa"/>
            <w:vAlign w:val="center"/>
          </w:tcPr>
          <w:p w14:paraId="0F6EB4A8" w14:textId="592FBB99" w:rsidR="00994588" w:rsidRPr="00EB00F5" w:rsidRDefault="00994588" w:rsidP="004219E4">
            <w:pPr>
              <w:pStyle w:val="ExhibitText"/>
              <w:rPr>
                <w:rFonts w:eastAsia="Calibri"/>
                <w:sz w:val="18"/>
                <w:szCs w:val="18"/>
                <w:lang w:val="en-GB"/>
              </w:rPr>
            </w:pPr>
            <w:r w:rsidRPr="00EB00F5">
              <w:rPr>
                <w:rFonts w:eastAsia="Calibri"/>
                <w:sz w:val="18"/>
                <w:szCs w:val="18"/>
                <w:lang w:val="en-GB"/>
              </w:rPr>
              <w:t xml:space="preserve">NPL had earnings in foreign currency to the extent of ₹3.16 billion </w:t>
            </w:r>
            <w:r w:rsidR="00C84920" w:rsidRPr="00EB00F5">
              <w:rPr>
                <w:rFonts w:eastAsia="Calibri"/>
                <w:sz w:val="18"/>
                <w:szCs w:val="18"/>
                <w:lang w:val="en-GB"/>
              </w:rPr>
              <w:t xml:space="preserve">and </w:t>
            </w:r>
            <w:r w:rsidRPr="00EB00F5">
              <w:rPr>
                <w:rFonts w:eastAsia="Calibri"/>
                <w:sz w:val="18"/>
                <w:szCs w:val="18"/>
                <w:lang w:val="en-GB"/>
              </w:rPr>
              <w:t>against expenses in foreign currency to the tune of ₹0.96 billion during FY 2014</w:t>
            </w:r>
            <w:r w:rsidR="00C84920" w:rsidRPr="00EB00F5">
              <w:rPr>
                <w:rFonts w:eastAsia="Calibri"/>
                <w:sz w:val="18"/>
                <w:szCs w:val="18"/>
                <w:lang w:val="en-GB"/>
              </w:rPr>
              <w:t>–</w:t>
            </w:r>
            <w:r w:rsidRPr="00EB00F5">
              <w:rPr>
                <w:rFonts w:eastAsia="Calibri"/>
                <w:sz w:val="18"/>
                <w:szCs w:val="18"/>
                <w:lang w:val="en-GB"/>
              </w:rPr>
              <w:t xml:space="preserve">15; as such, it had </w:t>
            </w:r>
            <w:r w:rsidR="00C84920" w:rsidRPr="00EB00F5">
              <w:rPr>
                <w:rFonts w:eastAsia="Calibri"/>
                <w:sz w:val="18"/>
                <w:szCs w:val="18"/>
                <w:lang w:val="en-GB"/>
              </w:rPr>
              <w:t xml:space="preserve">a </w:t>
            </w:r>
            <w:r w:rsidRPr="00EB00F5">
              <w:rPr>
                <w:rFonts w:eastAsia="Calibri"/>
                <w:sz w:val="18"/>
                <w:szCs w:val="18"/>
                <w:lang w:val="en-GB"/>
              </w:rPr>
              <w:t xml:space="preserve">natural hedge </w:t>
            </w:r>
            <w:r w:rsidR="00C84920" w:rsidRPr="00EB00F5">
              <w:rPr>
                <w:rFonts w:eastAsia="Calibri"/>
                <w:sz w:val="18"/>
                <w:szCs w:val="18"/>
                <w:lang w:val="en-GB"/>
              </w:rPr>
              <w:t xml:space="preserve">of </w:t>
            </w:r>
            <w:r w:rsidRPr="00EB00F5">
              <w:rPr>
                <w:rFonts w:eastAsia="Calibri"/>
                <w:sz w:val="18"/>
                <w:szCs w:val="18"/>
                <w:lang w:val="en-GB"/>
              </w:rPr>
              <w:t>up to 30.</w:t>
            </w:r>
            <w:r w:rsidR="00013E8C" w:rsidRPr="00EB00F5">
              <w:rPr>
                <w:rFonts w:eastAsia="Calibri"/>
                <w:sz w:val="18"/>
                <w:szCs w:val="18"/>
                <w:lang w:val="en-GB"/>
              </w:rPr>
              <w:t>37 </w:t>
            </w:r>
            <w:r w:rsidRPr="00EB00F5">
              <w:rPr>
                <w:rFonts w:eastAsia="Calibri"/>
                <w:sz w:val="18"/>
                <w:szCs w:val="18"/>
                <w:lang w:val="en-GB"/>
              </w:rPr>
              <w:t xml:space="preserve">per cent. </w:t>
            </w:r>
            <w:r w:rsidR="00C84920" w:rsidRPr="00EB00F5">
              <w:rPr>
                <w:rFonts w:eastAsia="Calibri"/>
                <w:sz w:val="18"/>
                <w:szCs w:val="18"/>
                <w:lang w:val="en-GB"/>
              </w:rPr>
              <w:t>T</w:t>
            </w:r>
            <w:r w:rsidRPr="00EB00F5">
              <w:rPr>
                <w:rFonts w:eastAsia="Calibri"/>
                <w:sz w:val="18"/>
                <w:szCs w:val="18"/>
                <w:lang w:val="en-GB"/>
              </w:rPr>
              <w:t>he company borrowed money in foreign currency to expand its cover</w:t>
            </w:r>
            <w:r w:rsidR="00C84920" w:rsidRPr="00EB00F5">
              <w:rPr>
                <w:rFonts w:eastAsia="Calibri"/>
                <w:sz w:val="18"/>
                <w:szCs w:val="18"/>
                <w:lang w:val="en-GB"/>
              </w:rPr>
              <w:t>age</w:t>
            </w:r>
            <w:r w:rsidRPr="00EB00F5">
              <w:rPr>
                <w:rFonts w:eastAsia="Calibri"/>
                <w:sz w:val="18"/>
                <w:szCs w:val="18"/>
                <w:lang w:val="en-GB"/>
              </w:rPr>
              <w:t xml:space="preserve"> in terms of </w:t>
            </w:r>
            <w:r w:rsidR="00C84920" w:rsidRPr="00EB00F5">
              <w:rPr>
                <w:rFonts w:eastAsia="Calibri"/>
                <w:sz w:val="18"/>
                <w:szCs w:val="18"/>
                <w:lang w:val="en-GB"/>
              </w:rPr>
              <w:t xml:space="preserve">a </w:t>
            </w:r>
            <w:r w:rsidRPr="00EB00F5">
              <w:rPr>
                <w:rFonts w:eastAsia="Calibri"/>
                <w:sz w:val="18"/>
                <w:szCs w:val="18"/>
                <w:lang w:val="en-GB"/>
              </w:rPr>
              <w:t xml:space="preserve">natural hedge. The company had not recorded any major losses due to volatility in foreign exchange rates in the past (NPL’s exports were higher than its imports and </w:t>
            </w:r>
            <w:r w:rsidR="00242B72" w:rsidRPr="00EB00F5">
              <w:rPr>
                <w:rFonts w:eastAsia="Calibri"/>
                <w:sz w:val="18"/>
                <w:szCs w:val="18"/>
                <w:lang w:val="en-GB"/>
              </w:rPr>
              <w:t xml:space="preserve">the </w:t>
            </w:r>
            <w:r w:rsidRPr="00EB00F5">
              <w:rPr>
                <w:rFonts w:eastAsia="Calibri"/>
                <w:sz w:val="18"/>
                <w:szCs w:val="18"/>
                <w:lang w:val="en-GB"/>
              </w:rPr>
              <w:t>₹</w:t>
            </w:r>
            <w:r w:rsidR="00C84920" w:rsidRPr="00EB00F5">
              <w:rPr>
                <w:rFonts w:eastAsia="Calibri"/>
                <w:sz w:val="18"/>
                <w:szCs w:val="18"/>
                <w:lang w:val="en-GB"/>
              </w:rPr>
              <w:t xml:space="preserve"> </w:t>
            </w:r>
            <w:r w:rsidRPr="00EB00F5">
              <w:rPr>
                <w:rFonts w:eastAsia="Calibri"/>
                <w:sz w:val="18"/>
                <w:szCs w:val="18"/>
                <w:lang w:val="en-GB"/>
              </w:rPr>
              <w:t xml:space="preserve">depreciated against </w:t>
            </w:r>
            <w:r w:rsidR="00242B72" w:rsidRPr="00EB00F5">
              <w:rPr>
                <w:rFonts w:eastAsia="Calibri"/>
                <w:sz w:val="18"/>
                <w:szCs w:val="18"/>
                <w:lang w:val="en-GB"/>
              </w:rPr>
              <w:t xml:space="preserve">the </w:t>
            </w:r>
            <w:r w:rsidRPr="00EB00F5">
              <w:rPr>
                <w:rFonts w:eastAsia="Calibri"/>
                <w:sz w:val="18"/>
                <w:szCs w:val="18"/>
                <w:lang w:val="en-GB"/>
              </w:rPr>
              <w:t>US$, in general). Hence, its exchange</w:t>
            </w:r>
            <w:r w:rsidR="00242B72" w:rsidRPr="00EB00F5">
              <w:rPr>
                <w:rFonts w:eastAsia="Calibri"/>
                <w:sz w:val="18"/>
                <w:szCs w:val="18"/>
                <w:lang w:val="en-GB"/>
              </w:rPr>
              <w:t>-</w:t>
            </w:r>
            <w:r w:rsidRPr="00EB00F5">
              <w:rPr>
                <w:rFonts w:eastAsia="Calibri"/>
                <w:sz w:val="18"/>
                <w:szCs w:val="18"/>
                <w:lang w:val="en-GB"/>
              </w:rPr>
              <w:t>rate risk was nominal.</w:t>
            </w:r>
          </w:p>
        </w:tc>
      </w:tr>
    </w:tbl>
    <w:p w14:paraId="3BA75B44" w14:textId="77777777" w:rsidR="00994588" w:rsidRPr="00327928" w:rsidRDefault="00994588" w:rsidP="00A72D9F">
      <w:pPr>
        <w:pStyle w:val="Footnote"/>
        <w:rPr>
          <w:rFonts w:eastAsia="Arial Unicode MS"/>
        </w:rPr>
      </w:pPr>
    </w:p>
    <w:p w14:paraId="2E70D55C" w14:textId="1353CF30" w:rsidR="003B1DB1" w:rsidRPr="00EB00F5" w:rsidRDefault="003B1DB1" w:rsidP="00CC48AA">
      <w:pPr>
        <w:pStyle w:val="Footnote"/>
        <w:rPr>
          <w:spacing w:val="-2"/>
          <w:kern w:val="17"/>
          <w:lang w:val="en-IN"/>
        </w:rPr>
      </w:pPr>
      <w:r w:rsidRPr="00EB00F5">
        <w:rPr>
          <w:rFonts w:eastAsia="Arial Unicode MS"/>
          <w:spacing w:val="-2"/>
          <w:kern w:val="17"/>
          <w:lang w:val="en-GB"/>
        </w:rPr>
        <w:t xml:space="preserve">Note: NPL = </w:t>
      </w:r>
      <w:proofErr w:type="spellStart"/>
      <w:r w:rsidRPr="00EB00F5">
        <w:rPr>
          <w:rFonts w:eastAsia="Arial Unicode MS"/>
          <w:spacing w:val="-2"/>
          <w:kern w:val="17"/>
          <w:lang w:val="en-GB"/>
        </w:rPr>
        <w:t>Natco</w:t>
      </w:r>
      <w:proofErr w:type="spellEnd"/>
      <w:r w:rsidRPr="00EB00F5">
        <w:rPr>
          <w:rFonts w:eastAsia="Arial Unicode MS"/>
          <w:spacing w:val="-2"/>
          <w:kern w:val="17"/>
          <w:lang w:val="en-GB"/>
        </w:rPr>
        <w:t xml:space="preserve"> Pharma Limited; FY = financial year; R&amp;D = research and development; </w:t>
      </w:r>
      <w:r w:rsidRPr="00EB00F5">
        <w:rPr>
          <w:spacing w:val="-2"/>
          <w:kern w:val="17"/>
        </w:rPr>
        <w:t>₹ = INR = Indian rupee; US$1</w:t>
      </w:r>
      <w:r w:rsidR="00013E8C" w:rsidRPr="00EB00F5">
        <w:rPr>
          <w:spacing w:val="-2"/>
          <w:kern w:val="17"/>
        </w:rPr>
        <w:t>.00</w:t>
      </w:r>
      <w:r w:rsidRPr="00EB00F5">
        <w:rPr>
          <w:spacing w:val="-2"/>
          <w:kern w:val="17"/>
        </w:rPr>
        <w:t xml:space="preserve"> = ₹66.31</w:t>
      </w:r>
      <w:r w:rsidR="00E336CA" w:rsidRPr="00EB00F5">
        <w:rPr>
          <w:spacing w:val="-2"/>
          <w:kern w:val="17"/>
        </w:rPr>
        <w:t xml:space="preserve"> on August 31, 2015</w:t>
      </w:r>
      <w:r w:rsidR="00B50F1F" w:rsidRPr="00EB00F5">
        <w:rPr>
          <w:spacing w:val="-2"/>
          <w:kern w:val="17"/>
        </w:rPr>
        <w:t>; ANDAs = abbreviated new drug applications;</w:t>
      </w:r>
      <w:r w:rsidR="003B785E" w:rsidRPr="00EB00F5">
        <w:rPr>
          <w:spacing w:val="-2"/>
          <w:kern w:val="17"/>
        </w:rPr>
        <w:t xml:space="preserve"> US</w:t>
      </w:r>
      <w:r w:rsidR="00B50F1F" w:rsidRPr="00EB00F5">
        <w:rPr>
          <w:spacing w:val="-2"/>
          <w:kern w:val="17"/>
        </w:rPr>
        <w:t>FDA = United States Food and Drug Administration; APIs = active pharmaceutical ingredien</w:t>
      </w:r>
      <w:r w:rsidR="00E336CA" w:rsidRPr="00EB00F5">
        <w:rPr>
          <w:spacing w:val="-2"/>
          <w:kern w:val="17"/>
        </w:rPr>
        <w:t>ts</w:t>
      </w:r>
      <w:r w:rsidR="00CC48AA" w:rsidRPr="00EB00F5">
        <w:rPr>
          <w:spacing w:val="-2"/>
          <w:kern w:val="17"/>
        </w:rPr>
        <w:t xml:space="preserve">; </w:t>
      </w:r>
      <w:r w:rsidR="00CB26E0" w:rsidRPr="00EB00F5">
        <w:rPr>
          <w:spacing w:val="-2"/>
          <w:kern w:val="17"/>
        </w:rPr>
        <w:t xml:space="preserve">*The </w:t>
      </w:r>
      <w:r w:rsidR="00013E8C" w:rsidRPr="00EB00F5">
        <w:rPr>
          <w:spacing w:val="-2"/>
          <w:kern w:val="17"/>
        </w:rPr>
        <w:t>Drug Pricing Control Order (</w:t>
      </w:r>
      <w:r w:rsidR="00CB26E0" w:rsidRPr="00EB00F5">
        <w:rPr>
          <w:spacing w:val="-2"/>
          <w:kern w:val="17"/>
        </w:rPr>
        <w:t>DPCO</w:t>
      </w:r>
      <w:r w:rsidR="00013E8C" w:rsidRPr="00EB00F5">
        <w:rPr>
          <w:spacing w:val="-2"/>
          <w:kern w:val="17"/>
        </w:rPr>
        <w:t>), 2013</w:t>
      </w:r>
      <w:r w:rsidR="00CB26E0" w:rsidRPr="00EB00F5">
        <w:rPr>
          <w:spacing w:val="-2"/>
          <w:kern w:val="17"/>
        </w:rPr>
        <w:t>, enabled the Indian government to regulate the prices of 348 essential drugs, thereby making them available to the public at an affordable cost; *</w:t>
      </w:r>
      <w:r w:rsidR="00CC48AA" w:rsidRPr="00EB00F5">
        <w:rPr>
          <w:spacing w:val="-2"/>
          <w:kern w:val="17"/>
        </w:rPr>
        <w:t>*</w:t>
      </w:r>
      <w:proofErr w:type="spellStart"/>
      <w:r w:rsidR="00CC48AA" w:rsidRPr="00EB00F5">
        <w:rPr>
          <w:spacing w:val="-2"/>
          <w:kern w:val="17"/>
          <w:lang w:val="en-IN"/>
        </w:rPr>
        <w:t>Krishnapatnam</w:t>
      </w:r>
      <w:proofErr w:type="spellEnd"/>
      <w:r w:rsidR="00CC48AA" w:rsidRPr="00EB00F5">
        <w:rPr>
          <w:spacing w:val="-2"/>
          <w:kern w:val="17"/>
          <w:lang w:val="en-IN"/>
        </w:rPr>
        <w:t xml:space="preserve"> </w:t>
      </w:r>
      <w:r w:rsidR="00013E8C" w:rsidRPr="00EB00F5">
        <w:rPr>
          <w:spacing w:val="-2"/>
          <w:kern w:val="17"/>
          <w:lang w:val="en-IN"/>
        </w:rPr>
        <w:t xml:space="preserve">was </w:t>
      </w:r>
      <w:r w:rsidR="00CC48AA" w:rsidRPr="00EB00F5">
        <w:rPr>
          <w:spacing w:val="-2"/>
          <w:kern w:val="17"/>
          <w:lang w:val="en-IN"/>
        </w:rPr>
        <w:t xml:space="preserve">a port town located in Nellore district of Andhra Pradesh state. According to history, Sri </w:t>
      </w:r>
      <w:proofErr w:type="spellStart"/>
      <w:r w:rsidR="00CC48AA" w:rsidRPr="00EB00F5">
        <w:rPr>
          <w:spacing w:val="-2"/>
          <w:kern w:val="17"/>
          <w:lang w:val="en-IN"/>
        </w:rPr>
        <w:t>Krishnadevaraya</w:t>
      </w:r>
      <w:proofErr w:type="spellEnd"/>
      <w:r w:rsidR="00CC48AA" w:rsidRPr="00EB00F5">
        <w:rPr>
          <w:spacing w:val="-2"/>
          <w:kern w:val="17"/>
          <w:lang w:val="en-IN"/>
        </w:rPr>
        <w:t>, a king in South India</w:t>
      </w:r>
      <w:r w:rsidR="00013E8C" w:rsidRPr="00EB00F5">
        <w:rPr>
          <w:spacing w:val="-2"/>
          <w:kern w:val="17"/>
          <w:lang w:val="en-IN"/>
        </w:rPr>
        <w:t>,</w:t>
      </w:r>
      <w:r w:rsidR="00CC48AA" w:rsidRPr="00EB00F5">
        <w:rPr>
          <w:spacing w:val="-2"/>
          <w:kern w:val="17"/>
          <w:lang w:val="en-IN"/>
        </w:rPr>
        <w:t xml:space="preserve"> operated this port; as such it is named after him</w:t>
      </w:r>
      <w:r w:rsidR="00CB26E0" w:rsidRPr="00EB00F5">
        <w:rPr>
          <w:spacing w:val="-2"/>
          <w:kern w:val="17"/>
          <w:lang w:val="en-IN"/>
        </w:rPr>
        <w:t>;</w:t>
      </w:r>
      <w:r w:rsidR="00CC48AA" w:rsidRPr="00EB00F5">
        <w:rPr>
          <w:spacing w:val="-2"/>
          <w:kern w:val="17"/>
          <w:lang w:val="en-IN"/>
        </w:rPr>
        <w:t xml:space="preserve"> NPL incorporated the </w:t>
      </w:r>
      <w:proofErr w:type="spellStart"/>
      <w:r w:rsidR="00CC48AA" w:rsidRPr="00EB00F5">
        <w:rPr>
          <w:spacing w:val="-2"/>
          <w:kern w:val="17"/>
          <w:lang w:val="en-IN"/>
        </w:rPr>
        <w:t>Krishnapatnam</w:t>
      </w:r>
      <w:proofErr w:type="spellEnd"/>
      <w:r w:rsidR="00CC48AA" w:rsidRPr="00EB00F5">
        <w:rPr>
          <w:spacing w:val="-2"/>
          <w:kern w:val="17"/>
          <w:lang w:val="en-IN"/>
        </w:rPr>
        <w:t xml:space="preserve"> Port Company Limited on March 15, 1996 by entering into a memorandum of understanding with the Government of Andhra Pradesh to this effect. </w:t>
      </w:r>
    </w:p>
    <w:p w14:paraId="50F9052F" w14:textId="30FA5462" w:rsidR="00CB26E0" w:rsidRPr="00CB26E0" w:rsidRDefault="00CB26E0" w:rsidP="00E7157A">
      <w:pPr>
        <w:pStyle w:val="Footnote"/>
        <w:rPr>
          <w:rFonts w:eastAsia="Arial Unicode MS"/>
          <w:lang w:val="en-GB"/>
        </w:rPr>
      </w:pPr>
      <w:r>
        <w:rPr>
          <w:rFonts w:eastAsia="Arial Unicode MS"/>
          <w:lang w:val="en-GB"/>
        </w:rPr>
        <w:t>Source: Company </w:t>
      </w:r>
      <w:r w:rsidR="00D33D14" w:rsidRPr="00087534">
        <w:rPr>
          <w:rFonts w:eastAsia="Arial Unicode MS"/>
          <w:lang w:val="en-GB"/>
        </w:rPr>
        <w:t>documents</w:t>
      </w:r>
      <w:r w:rsidR="00E7157A">
        <w:rPr>
          <w:rFonts w:eastAsia="Arial Unicode MS"/>
          <w:lang w:val="en-GB"/>
        </w:rPr>
        <w:t xml:space="preserve">; </w:t>
      </w:r>
      <w:proofErr w:type="spellStart"/>
      <w:r w:rsidR="00E7157A" w:rsidRPr="00E7157A">
        <w:rPr>
          <w:rFonts w:eastAsia="Arial Unicode MS"/>
          <w:lang w:val="en-GB"/>
        </w:rPr>
        <w:t>Krishnapatnam</w:t>
      </w:r>
      <w:proofErr w:type="spellEnd"/>
      <w:r w:rsidR="00E7157A" w:rsidRPr="00E7157A">
        <w:rPr>
          <w:rFonts w:eastAsia="Arial Unicode MS"/>
          <w:lang w:val="en-GB"/>
        </w:rPr>
        <w:t xml:space="preserve"> Port Company Limited</w:t>
      </w:r>
      <w:r w:rsidR="00E7157A">
        <w:rPr>
          <w:rFonts w:eastAsia="Arial Unicode MS"/>
          <w:lang w:val="en-GB"/>
        </w:rPr>
        <w:t>, “</w:t>
      </w:r>
      <w:r w:rsidR="00E7157A" w:rsidRPr="00E7157A">
        <w:rPr>
          <w:rFonts w:eastAsia="Arial Unicode MS"/>
          <w:lang w:val="en-GB"/>
        </w:rPr>
        <w:t xml:space="preserve">Schedule – I Disclosure as per SEBI Guidelines for the Issue of Debentures </w:t>
      </w:r>
      <w:r w:rsidR="00E7157A">
        <w:rPr>
          <w:rFonts w:eastAsia="Arial Unicode MS"/>
          <w:lang w:val="en-GB"/>
        </w:rPr>
        <w:t>o</w:t>
      </w:r>
      <w:r w:rsidR="00E7157A" w:rsidRPr="00E7157A">
        <w:rPr>
          <w:rFonts w:eastAsia="Arial Unicode MS"/>
          <w:lang w:val="en-GB"/>
        </w:rPr>
        <w:t>n Private Placement Basis</w:t>
      </w:r>
      <w:r w:rsidR="00E7157A">
        <w:rPr>
          <w:rFonts w:eastAsia="Arial Unicode MS"/>
          <w:lang w:val="en-GB"/>
        </w:rPr>
        <w:t>,”</w:t>
      </w:r>
      <w:r w:rsidR="00E7157A" w:rsidRPr="00E7157A">
        <w:rPr>
          <w:rFonts w:eastAsia="Arial Unicode MS"/>
          <w:lang w:val="en-GB"/>
        </w:rPr>
        <w:t xml:space="preserve"> </w:t>
      </w:r>
      <w:r w:rsidR="004219E4">
        <w:rPr>
          <w:rFonts w:eastAsia="Arial Unicode MS"/>
          <w:lang w:val="en-GB"/>
        </w:rPr>
        <w:t xml:space="preserve">Bombay Stock Exchange, </w:t>
      </w:r>
      <w:r w:rsidR="00E7157A">
        <w:rPr>
          <w:lang w:val="en-IN"/>
        </w:rPr>
        <w:t xml:space="preserve">accessed October 2, 2018, </w:t>
      </w:r>
      <w:r>
        <w:rPr>
          <w:rFonts w:eastAsia="Arial Unicode MS"/>
          <w:lang w:val="en-GB"/>
        </w:rPr>
        <w:t>www.bseindia.com/downloads/ipo/200933116251KPCL-Disclosure%20Document%20-Final.</w:t>
      </w:r>
      <w:r w:rsidR="00CC48AA" w:rsidRPr="00CB26E0">
        <w:rPr>
          <w:lang w:val="en-IN"/>
        </w:rPr>
        <w:t>pdf</w:t>
      </w:r>
      <w:r>
        <w:rPr>
          <w:lang w:val="en-IN"/>
        </w:rPr>
        <w:t xml:space="preserve">; </w:t>
      </w:r>
      <w:r w:rsidR="00013E8C">
        <w:rPr>
          <w:lang w:val="en-IN"/>
        </w:rPr>
        <w:t xml:space="preserve">“About Port, </w:t>
      </w:r>
      <w:proofErr w:type="spellStart"/>
      <w:r w:rsidR="00013E8C">
        <w:rPr>
          <w:lang w:val="en-IN"/>
        </w:rPr>
        <w:t>Krishnapatnam</w:t>
      </w:r>
      <w:proofErr w:type="spellEnd"/>
      <w:r w:rsidR="00013E8C">
        <w:rPr>
          <w:lang w:val="en-IN"/>
        </w:rPr>
        <w:t xml:space="preserve"> Port, </w:t>
      </w:r>
      <w:r w:rsidR="00013E8C" w:rsidRPr="00CB26E0">
        <w:rPr>
          <w:lang w:val="en-IN"/>
        </w:rPr>
        <w:t>accessed October 2, 2018</w:t>
      </w:r>
      <w:r w:rsidR="00013E8C">
        <w:rPr>
          <w:lang w:val="en-IN"/>
        </w:rPr>
        <w:t xml:space="preserve">, </w:t>
      </w:r>
      <w:r w:rsidRPr="00CB26E0">
        <w:rPr>
          <w:lang w:val="en-IN"/>
        </w:rPr>
        <w:t>www.krishnapatnamport.com/about_port.html</w:t>
      </w:r>
      <w:r>
        <w:rPr>
          <w:lang w:val="en-IN"/>
        </w:rPr>
        <w:t xml:space="preserve">; </w:t>
      </w:r>
      <w:proofErr w:type="spellStart"/>
      <w:r w:rsidRPr="00CB26E0">
        <w:t>Nalinakanthi</w:t>
      </w:r>
      <w:proofErr w:type="spellEnd"/>
      <w:r w:rsidRPr="00CB26E0">
        <w:t xml:space="preserve"> V., “All You Wanted to Know about: DPCO,” </w:t>
      </w:r>
      <w:r w:rsidRPr="00CB26E0">
        <w:rPr>
          <w:i/>
        </w:rPr>
        <w:t>Hindu Business Line</w:t>
      </w:r>
      <w:r w:rsidRPr="00CB26E0">
        <w:t>, September 29, 2014, accessed July 1, 2016, www.thehindubusinessline.com/opinion/all-you-wanted-to-know-about-dpco/article6458442.ece</w:t>
      </w:r>
      <w:r>
        <w:t>.</w:t>
      </w:r>
    </w:p>
    <w:sectPr w:rsidR="00CB26E0" w:rsidRPr="00CB26E0" w:rsidSect="00994588">
      <w:headerReference w:type="default" r:id="rId14"/>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76DF23" w16cid:durableId="1F8E9654"/>
  <w16cid:commentId w16cid:paraId="54D0E289" w16cid:durableId="1F8E98B5"/>
  <w16cid:commentId w16cid:paraId="3099D37C" w16cid:durableId="1F8E9655"/>
  <w16cid:commentId w16cid:paraId="632AB0A5" w16cid:durableId="1F8E99EF"/>
  <w16cid:commentId w16cid:paraId="035E17DF" w16cid:durableId="1F8E9656"/>
  <w16cid:commentId w16cid:paraId="12F0B244" w16cid:durableId="1F8E9E91"/>
  <w16cid:commentId w16cid:paraId="769CC609" w16cid:durableId="1F8E9657"/>
  <w16cid:commentId w16cid:paraId="35F73A26" w16cid:durableId="1F8E9AF7"/>
  <w16cid:commentId w16cid:paraId="2F466385" w16cid:durableId="1F8E9658"/>
  <w16cid:commentId w16cid:paraId="7BAD30A0" w16cid:durableId="1F8E9C1B"/>
  <w16cid:commentId w16cid:paraId="388EE722" w16cid:durableId="1F8E9659"/>
  <w16cid:commentId w16cid:paraId="35D997E1" w16cid:durableId="1F8E9C37"/>
  <w16cid:commentId w16cid:paraId="7F1EA6F3" w16cid:durableId="1F8E965A"/>
  <w16cid:commentId w16cid:paraId="0C770EBD" w16cid:durableId="1F8E9C51"/>
  <w16cid:commentId w16cid:paraId="72408265" w16cid:durableId="1F8E965B"/>
  <w16cid:commentId w16cid:paraId="7583CE72" w16cid:durableId="1F8E9F1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AA665" w14:textId="77777777" w:rsidR="00AB4D06" w:rsidRDefault="00AB4D06" w:rsidP="00D75295">
      <w:r>
        <w:separator/>
      </w:r>
    </w:p>
  </w:endnote>
  <w:endnote w:type="continuationSeparator" w:id="0">
    <w:p w14:paraId="325DAF68" w14:textId="77777777" w:rsidR="00AB4D06" w:rsidRDefault="00AB4D0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vice Font 10cp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561E4" w14:textId="77777777" w:rsidR="00AB4D06" w:rsidRDefault="00AB4D06" w:rsidP="00D75295">
      <w:r>
        <w:separator/>
      </w:r>
    </w:p>
  </w:footnote>
  <w:footnote w:type="continuationSeparator" w:id="0">
    <w:p w14:paraId="2E4F1B27" w14:textId="77777777" w:rsidR="00AB4D06" w:rsidRDefault="00AB4D06" w:rsidP="00D75295">
      <w:r>
        <w:continuationSeparator/>
      </w:r>
    </w:p>
  </w:footnote>
  <w:footnote w:id="1">
    <w:p w14:paraId="38BA2026" w14:textId="39107531" w:rsidR="00AB4D06" w:rsidRPr="00E86B7A" w:rsidRDefault="00AB4D06" w:rsidP="00994588">
      <w:pPr>
        <w:pStyle w:val="Footnote"/>
        <w:rPr>
          <w:rFonts w:ascii="Times New Roman" w:hAnsi="Times New Roman"/>
        </w:rPr>
      </w:pPr>
      <w:r w:rsidRPr="00977E45">
        <w:rPr>
          <w:rStyle w:val="FootnoteReference"/>
        </w:rPr>
        <w:footnoteRef/>
      </w:r>
      <w:r>
        <w:rPr>
          <w:lang w:val="en-CA"/>
        </w:rPr>
        <w:t xml:space="preserve"> </w:t>
      </w:r>
      <w:r w:rsidRPr="00994588">
        <w:t xml:space="preserve">Swaraj Singh </w:t>
      </w:r>
      <w:proofErr w:type="spellStart"/>
      <w:r w:rsidRPr="00994588">
        <w:t>Dhanjal</w:t>
      </w:r>
      <w:proofErr w:type="spellEnd"/>
      <w:r w:rsidRPr="00994588">
        <w:t xml:space="preserve">, </w:t>
      </w:r>
      <w:r>
        <w:t>“</w:t>
      </w:r>
      <w:proofErr w:type="spellStart"/>
      <w:r w:rsidRPr="00994588">
        <w:t>Natco</w:t>
      </w:r>
      <w:proofErr w:type="spellEnd"/>
      <w:r w:rsidRPr="00994588">
        <w:t xml:space="preserve"> Pharma </w:t>
      </w:r>
      <w:r>
        <w:t>R</w:t>
      </w:r>
      <w:r w:rsidRPr="00994588">
        <w:t xml:space="preserve">aises ₹350 </w:t>
      </w:r>
      <w:r>
        <w:t>C</w:t>
      </w:r>
      <w:r w:rsidRPr="00994588">
        <w:t>rore through QIP,</w:t>
      </w:r>
      <w:r>
        <w:t>” Live Mint,</w:t>
      </w:r>
      <w:r w:rsidRPr="00994588">
        <w:t xml:space="preserve"> September 11, 2015</w:t>
      </w:r>
      <w:r>
        <w:t xml:space="preserve">, </w:t>
      </w:r>
      <w:r w:rsidRPr="00994588">
        <w:t>accessed December 19, 2015</w:t>
      </w:r>
      <w:r>
        <w:t xml:space="preserve">, </w:t>
      </w:r>
      <w:r w:rsidRPr="00977E45">
        <w:t>www.livemint.com/Companies/5TKROQFj6IUSqTvpzIFJIK/Natco-Pharma-raises-Rs350-crore-through-QIP.html</w:t>
      </w:r>
      <w:r>
        <w:t>.</w:t>
      </w:r>
      <w:r w:rsidRPr="00994588">
        <w:t xml:space="preserve"> NPL wanted</w:t>
      </w:r>
      <w:r w:rsidRPr="001E3D7A">
        <w:t xml:space="preserve"> to invest </w:t>
      </w:r>
      <w:r w:rsidRPr="004A2A20">
        <w:rPr>
          <w:rFonts w:ascii="Tahoma" w:hAnsi="Tahoma" w:cs="Tahoma"/>
        </w:rPr>
        <w:t>₹</w:t>
      </w:r>
      <w:r w:rsidRPr="001E3D7A">
        <w:t>2.50 billion in technical know-how, plant and machinery</w:t>
      </w:r>
      <w:r>
        <w:t>,</w:t>
      </w:r>
      <w:r w:rsidRPr="001E3D7A">
        <w:t xml:space="preserve"> and buildings for its ongoing expansion programs and also to comply with the regulatory norms</w:t>
      </w:r>
      <w:r w:rsidRPr="004A2A20">
        <w:t xml:space="preserve">; </w:t>
      </w:r>
      <w:r>
        <w:t>l</w:t>
      </w:r>
      <w:r w:rsidRPr="004A2A20">
        <w:t>ong</w:t>
      </w:r>
      <w:r>
        <w:t>-</w:t>
      </w:r>
      <w:r w:rsidRPr="004A2A20">
        <w:t xml:space="preserve">term working capital </w:t>
      </w:r>
      <w:r>
        <w:t>was the net working capital NPL built up</w:t>
      </w:r>
      <w:r w:rsidRPr="001E3D7A">
        <w:rPr>
          <w:bCs/>
        </w:rPr>
        <w:t xml:space="preserve"> in </w:t>
      </w:r>
      <w:r>
        <w:rPr>
          <w:bCs/>
        </w:rPr>
        <w:t>an attempt</w:t>
      </w:r>
      <w:r w:rsidRPr="001E3D7A">
        <w:rPr>
          <w:bCs/>
        </w:rPr>
        <w:t xml:space="preserve"> to improve its liquidity position (i.e., its current ratio stood at 1.11 times as of March 31, 2015</w:t>
      </w:r>
      <w:r>
        <w:rPr>
          <w:bCs/>
        </w:rPr>
        <w:t>,</w:t>
      </w:r>
      <w:r w:rsidRPr="001E3D7A">
        <w:rPr>
          <w:bCs/>
        </w:rPr>
        <w:t xml:space="preserve"> and the company wanted to increase it to 1.33 times</w:t>
      </w:r>
      <w:r>
        <w:rPr>
          <w:bCs/>
        </w:rPr>
        <w:t>,</w:t>
      </w:r>
      <w:r w:rsidRPr="001E3D7A">
        <w:rPr>
          <w:bCs/>
        </w:rPr>
        <w:t xml:space="preserve"> in accordance with the prevailing practice in the Indian corporate/banking sector</w:t>
      </w:r>
      <w:r>
        <w:rPr>
          <w:bCs/>
        </w:rPr>
        <w:t>);</w:t>
      </w:r>
      <w:r w:rsidRPr="00E32E03">
        <w:rPr>
          <w:lang w:val="en-CA"/>
        </w:rPr>
        <w:t xml:space="preserve"> </w:t>
      </w:r>
      <w:r w:rsidRPr="00E86B7A">
        <w:rPr>
          <w:lang w:val="en-CA"/>
        </w:rPr>
        <w:t xml:space="preserve">₹ </w:t>
      </w:r>
      <w:r w:rsidRPr="00E86B7A">
        <w:t xml:space="preserve">= </w:t>
      </w:r>
      <w:r>
        <w:t>INR</w:t>
      </w:r>
      <w:r w:rsidRPr="00E86B7A">
        <w:t xml:space="preserve"> </w:t>
      </w:r>
      <w:r w:rsidRPr="00994588">
        <w:t>= Indian rupee</w:t>
      </w:r>
      <w:r>
        <w:t>;</w:t>
      </w:r>
      <w:r w:rsidRPr="00994588">
        <w:t xml:space="preserve"> </w:t>
      </w:r>
      <w:r>
        <w:t>a</w:t>
      </w:r>
      <w:r w:rsidRPr="00994588">
        <w:t>ll currenc</w:t>
      </w:r>
      <w:r>
        <w:t>y amounts</w:t>
      </w:r>
      <w:r w:rsidRPr="00994588">
        <w:t xml:space="preserve"> are in ₹ unless otherwise specified</w:t>
      </w:r>
      <w:r>
        <w:t>;</w:t>
      </w:r>
      <w:r w:rsidRPr="00994588">
        <w:t xml:space="preserve"> US$</w:t>
      </w:r>
      <w:r>
        <w:t>1.00</w:t>
      </w:r>
      <w:r w:rsidRPr="00994588">
        <w:t xml:space="preserve"> = ₹66.31 </w:t>
      </w:r>
      <w:r>
        <w:t>as of</w:t>
      </w:r>
      <w:r w:rsidRPr="00994588">
        <w:t xml:space="preserve"> August 31, 2015</w:t>
      </w:r>
      <w:r>
        <w:t>;</w:t>
      </w:r>
    </w:p>
  </w:footnote>
  <w:footnote w:id="2">
    <w:p w14:paraId="5770310A" w14:textId="476CBB8E" w:rsidR="00AB4D06" w:rsidRDefault="00AB4D06" w:rsidP="00994588">
      <w:pPr>
        <w:pStyle w:val="Footnote"/>
      </w:pPr>
      <w:r>
        <w:rPr>
          <w:rStyle w:val="FootnoteReference"/>
        </w:rPr>
        <w:footnoteRef/>
      </w:r>
      <w:r>
        <w:t xml:space="preserve"> </w:t>
      </w:r>
      <w:r w:rsidRPr="00E86B7A">
        <w:t>Time</w:t>
      </w:r>
      <w:r>
        <w:t>-</w:t>
      </w:r>
      <w:r w:rsidRPr="00E86B7A">
        <w:t>release technology dissolve</w:t>
      </w:r>
      <w:r>
        <w:t>d</w:t>
      </w:r>
      <w:r w:rsidRPr="00E86B7A">
        <w:t xml:space="preserve"> a medicine gradually in the </w:t>
      </w:r>
      <w:r>
        <w:t xml:space="preserve">patient’s </w:t>
      </w:r>
      <w:r w:rsidRPr="00E86B7A">
        <w:t>bloodstream</w:t>
      </w:r>
      <w:r>
        <w:t>,</w:t>
      </w:r>
      <w:r w:rsidRPr="00E86B7A">
        <w:t xml:space="preserve"> thereby reducing the frequency of </w:t>
      </w:r>
      <w:r>
        <w:t>doses</w:t>
      </w:r>
      <w:r w:rsidRPr="00E86B7A">
        <w:t xml:space="preserve"> on a given day</w:t>
      </w:r>
      <w:r>
        <w:t>.</w:t>
      </w:r>
    </w:p>
  </w:footnote>
  <w:footnote w:id="3">
    <w:p w14:paraId="0616214E" w14:textId="236C5E76" w:rsidR="00AB4D06" w:rsidRPr="003002B1" w:rsidRDefault="00AB4D06" w:rsidP="00994588">
      <w:pPr>
        <w:pStyle w:val="Footnote"/>
      </w:pPr>
      <w:r>
        <w:rPr>
          <w:rStyle w:val="FootnoteReference"/>
        </w:rPr>
        <w:footnoteRef/>
      </w:r>
      <w:r>
        <w:t xml:space="preserve"> After the patent for a brand-name drug expired, generic versions of the drug could be introduced to the market. </w:t>
      </w:r>
      <w:r w:rsidRPr="00994588">
        <w:t>Generic</w:t>
      </w:r>
      <w:r>
        <w:t xml:space="preserve"> drug</w:t>
      </w:r>
      <w:r w:rsidRPr="00994588">
        <w:t xml:space="preserve">s </w:t>
      </w:r>
      <w:r>
        <w:t>we</w:t>
      </w:r>
      <w:r w:rsidRPr="00994588">
        <w:t xml:space="preserve">re bio-equivalent to patented drugs in terms of form, dosage, effect, strength, intended use, </w:t>
      </w:r>
      <w:r>
        <w:t xml:space="preserve">and side effects; IMS Institute for Healthcare </w:t>
      </w:r>
      <w:proofErr w:type="spellStart"/>
      <w:r>
        <w:t>Infomatics</w:t>
      </w:r>
      <w:proofErr w:type="spellEnd"/>
      <w:r>
        <w:t xml:space="preserve">, </w:t>
      </w:r>
      <w:r w:rsidRPr="00A72D9F">
        <w:rPr>
          <w:i/>
        </w:rPr>
        <w:t>Global Outlook for Medicines through 2018</w:t>
      </w:r>
      <w:r>
        <w:t xml:space="preserve">, November, 2014, </w:t>
      </w:r>
      <w:r w:rsidRPr="00AB4D06">
        <w:t>accessed June</w:t>
      </w:r>
      <w:r>
        <w:t xml:space="preserve"> 18, 2016. </w:t>
      </w:r>
    </w:p>
  </w:footnote>
  <w:footnote w:id="4">
    <w:p w14:paraId="778D390A" w14:textId="3D6D110F" w:rsidR="00E61FC8" w:rsidRPr="00E61FC8" w:rsidRDefault="00AB4D06" w:rsidP="00994588">
      <w:pPr>
        <w:pStyle w:val="Footnote"/>
      </w:pPr>
      <w:r>
        <w:rPr>
          <w:rStyle w:val="FootnoteReference"/>
        </w:rPr>
        <w:footnoteRef/>
      </w:r>
      <w:r w:rsidR="00E61FC8">
        <w:t> </w:t>
      </w:r>
      <w:proofErr w:type="spellStart"/>
      <w:r w:rsidR="00E61FC8">
        <w:t>Natco</w:t>
      </w:r>
      <w:proofErr w:type="spellEnd"/>
      <w:r w:rsidR="00E61FC8">
        <w:t> Pharma </w:t>
      </w:r>
      <w:r w:rsidRPr="00E86B7A">
        <w:t>Limited</w:t>
      </w:r>
      <w:r>
        <w:t>,</w:t>
      </w:r>
      <w:r w:rsidR="00E61FC8">
        <w:t> </w:t>
      </w:r>
      <w:r w:rsidR="00E61FC8">
        <w:rPr>
          <w:i/>
        </w:rPr>
        <w:t>Annual Report </w:t>
      </w:r>
      <w:r w:rsidRPr="00977E45">
        <w:rPr>
          <w:i/>
        </w:rPr>
        <w:t>2014–</w:t>
      </w:r>
      <w:r w:rsidR="00E61FC8">
        <w:rPr>
          <w:i/>
        </w:rPr>
        <w:t xml:space="preserve">15, 28, </w:t>
      </w:r>
      <w:r w:rsidR="00E61FC8" w:rsidRPr="00E61FC8">
        <w:t>accessed December 10, 2016, www.natcopharma.co.in/investors/annu</w:t>
      </w:r>
    </w:p>
    <w:p w14:paraId="1A086A8E" w14:textId="58CEA632" w:rsidR="00AB4D06" w:rsidRPr="003002B1" w:rsidRDefault="00E61FC8" w:rsidP="00994588">
      <w:pPr>
        <w:pStyle w:val="Footnote"/>
      </w:pPr>
      <w:proofErr w:type="gramStart"/>
      <w:r w:rsidRPr="00E61FC8">
        <w:t>al-reports</w:t>
      </w:r>
      <w:proofErr w:type="gramEnd"/>
      <w:r w:rsidRPr="00E61FC8">
        <w:t>/</w:t>
      </w:r>
      <w:r>
        <w:t xml:space="preserve">. </w:t>
      </w:r>
      <w:r w:rsidR="00AB4D06">
        <w:t xml:space="preserve">Hepatitis C was </w:t>
      </w:r>
      <w:r w:rsidR="00AB4D06" w:rsidRPr="00E86B7A">
        <w:t xml:space="preserve">a viral disorder caused </w:t>
      </w:r>
      <w:r w:rsidR="00AB4D06">
        <w:t>by the</w:t>
      </w:r>
      <w:r w:rsidR="00AB4D06" w:rsidRPr="00E86B7A">
        <w:t xml:space="preserve"> transfusion of unsafe blood, </w:t>
      </w:r>
      <w:r w:rsidR="00AB4D06">
        <w:t xml:space="preserve">contamination from </w:t>
      </w:r>
      <w:r w:rsidR="00AB4D06" w:rsidRPr="00E86B7A">
        <w:t>tattoo</w:t>
      </w:r>
      <w:r w:rsidR="00AB4D06">
        <w:t xml:space="preserve"> needles</w:t>
      </w:r>
      <w:r w:rsidR="00AB4D06" w:rsidRPr="00E86B7A">
        <w:t xml:space="preserve">, </w:t>
      </w:r>
      <w:r w:rsidR="00AB4D06">
        <w:t>or as a result of surgery.</w:t>
      </w:r>
    </w:p>
  </w:footnote>
  <w:footnote w:id="5">
    <w:p w14:paraId="4FEC8C6C" w14:textId="6E9DE1EF" w:rsidR="00AB4D06" w:rsidRPr="00977E45" w:rsidRDefault="00AB4D06" w:rsidP="00994588">
      <w:pPr>
        <w:pStyle w:val="Footnote"/>
        <w:rPr>
          <w:rFonts w:ascii="Times New Roman" w:hAnsi="Times New Roman"/>
          <w:b/>
        </w:rPr>
      </w:pPr>
      <w:r w:rsidRPr="00977E45">
        <w:rPr>
          <w:rStyle w:val="FootnoteReference"/>
        </w:rPr>
        <w:footnoteRef/>
      </w:r>
      <w:r w:rsidRPr="00E86B7A">
        <w:t xml:space="preserve"> </w:t>
      </w:r>
      <w:r w:rsidRPr="00AB4D06">
        <w:t>CARE, “</w:t>
      </w:r>
      <w:r w:rsidRPr="00AB4D06">
        <w:rPr>
          <w:i/>
        </w:rPr>
        <w:t>Report on Pharmaceutical Industry</w:t>
      </w:r>
      <w:r w:rsidRPr="00AB4D06">
        <w:t>”, CARE Limited, May 14, 2014, accessed May 4, 2016.</w:t>
      </w:r>
    </w:p>
  </w:footnote>
  <w:footnote w:id="6">
    <w:p w14:paraId="40D3E5F9" w14:textId="5CB1C05A" w:rsidR="00AB4D06" w:rsidRPr="00994588" w:rsidRDefault="00AB4D06" w:rsidP="00994588">
      <w:pPr>
        <w:pStyle w:val="Footnote"/>
      </w:pPr>
      <w:r>
        <w:rPr>
          <w:rStyle w:val="FootnoteReference"/>
        </w:rPr>
        <w:footnoteRef/>
      </w:r>
      <w:r>
        <w:t xml:space="preserve"> A c</w:t>
      </w:r>
      <w:r w:rsidRPr="00994588">
        <w:t xml:space="preserve">ompulsory </w:t>
      </w:r>
      <w:proofErr w:type="spellStart"/>
      <w:r w:rsidRPr="00994588">
        <w:t>licence</w:t>
      </w:r>
      <w:proofErr w:type="spellEnd"/>
      <w:r w:rsidRPr="00994588">
        <w:t xml:space="preserve"> allow</w:t>
      </w:r>
      <w:r>
        <w:t>ed</w:t>
      </w:r>
      <w:r w:rsidRPr="00994588">
        <w:t xml:space="preserve"> a generic drug maker</w:t>
      </w:r>
      <w:r>
        <w:t>, on payment of a royalty to the patent holder,</w:t>
      </w:r>
      <w:r w:rsidRPr="00994588">
        <w:t xml:space="preserve"> to produce and market a patented drug at a reasonable price, even if the patent </w:t>
      </w:r>
      <w:r>
        <w:t>wa</w:t>
      </w:r>
      <w:r w:rsidRPr="00994588">
        <w:t xml:space="preserve">s </w:t>
      </w:r>
      <w:r>
        <w:t xml:space="preserve">still </w:t>
      </w:r>
      <w:r w:rsidRPr="00994588">
        <w:t>in force</w:t>
      </w:r>
      <w:r>
        <w:t xml:space="preserve">. The </w:t>
      </w:r>
      <w:proofErr w:type="spellStart"/>
      <w:r>
        <w:t>licence</w:t>
      </w:r>
      <w:proofErr w:type="spellEnd"/>
      <w:r>
        <w:t xml:space="preserve"> was allowed</w:t>
      </w:r>
      <w:r w:rsidRPr="00994588">
        <w:t xml:space="preserve"> to make </w:t>
      </w:r>
      <w:r>
        <w:t>the drug</w:t>
      </w:r>
      <w:r w:rsidRPr="00994588">
        <w:t xml:space="preserve"> affordable to the general public.</w:t>
      </w:r>
    </w:p>
  </w:footnote>
  <w:footnote w:id="7">
    <w:p w14:paraId="1C2A5A06" w14:textId="65DCD93B" w:rsidR="00AB4D06" w:rsidRPr="00977E45" w:rsidRDefault="00AB4D06" w:rsidP="00994588">
      <w:pPr>
        <w:pStyle w:val="Footnote"/>
        <w:rPr>
          <w:rFonts w:ascii="Times New Roman" w:hAnsi="Times New Roman"/>
          <w:b/>
        </w:rPr>
      </w:pPr>
      <w:r w:rsidRPr="00977E45">
        <w:rPr>
          <w:rStyle w:val="FootnoteReference"/>
        </w:rPr>
        <w:footnoteRef/>
      </w:r>
      <w:r>
        <w:t xml:space="preserve"> </w:t>
      </w:r>
      <w:proofErr w:type="spellStart"/>
      <w:r w:rsidRPr="00E86B7A">
        <w:t>Natco</w:t>
      </w:r>
      <w:proofErr w:type="spellEnd"/>
      <w:r w:rsidRPr="00E86B7A">
        <w:t xml:space="preserve"> Pharma Limited</w:t>
      </w:r>
      <w:r>
        <w:t>, op. cit., 7.</w:t>
      </w:r>
    </w:p>
  </w:footnote>
  <w:footnote w:id="8">
    <w:p w14:paraId="1FCC667B" w14:textId="5CFC68E2" w:rsidR="00AB4D06" w:rsidRPr="00E86B7A" w:rsidRDefault="00AB4D06" w:rsidP="00994588">
      <w:pPr>
        <w:pStyle w:val="Footnote"/>
        <w:rPr>
          <w:rFonts w:ascii="Times New Roman" w:hAnsi="Times New Roman"/>
        </w:rPr>
      </w:pPr>
      <w:r w:rsidRPr="00977E45">
        <w:rPr>
          <w:rStyle w:val="FootnoteReference"/>
        </w:rPr>
        <w:footnoteRef/>
      </w:r>
      <w:r w:rsidRPr="00E86B7A">
        <w:t xml:space="preserve"> </w:t>
      </w:r>
      <w:proofErr w:type="gramStart"/>
      <w:r w:rsidRPr="00E86B7A">
        <w:t>Ibid</w:t>
      </w:r>
      <w:r>
        <w:t>.</w:t>
      </w:r>
      <w:r w:rsidRPr="00E86B7A">
        <w:t>,</w:t>
      </w:r>
      <w:proofErr w:type="gramEnd"/>
      <w:r w:rsidRPr="00E86B7A">
        <w:t xml:space="preserve"> 8</w:t>
      </w:r>
      <w:r>
        <w:t>.</w:t>
      </w:r>
    </w:p>
  </w:footnote>
  <w:footnote w:id="9">
    <w:p w14:paraId="7F844F67" w14:textId="0C3B7637" w:rsidR="00AB4D06" w:rsidRPr="00E86B7A" w:rsidRDefault="00AB4D06" w:rsidP="00994588">
      <w:pPr>
        <w:pStyle w:val="Footnote"/>
        <w:rPr>
          <w:rFonts w:ascii="Times New Roman" w:hAnsi="Times New Roman"/>
        </w:rPr>
      </w:pPr>
      <w:r w:rsidRPr="00977E45">
        <w:rPr>
          <w:rStyle w:val="FootnoteReference"/>
        </w:rPr>
        <w:footnoteRef/>
      </w:r>
      <w:r w:rsidRPr="00E86B7A">
        <w:t xml:space="preserve"> </w:t>
      </w:r>
      <w:proofErr w:type="gramStart"/>
      <w:r w:rsidRPr="00E86B7A">
        <w:t>Ibid</w:t>
      </w:r>
      <w:r>
        <w:t>.</w:t>
      </w:r>
      <w:r w:rsidRPr="00E86B7A">
        <w:t>,</w:t>
      </w:r>
      <w:proofErr w:type="gramEnd"/>
      <w:r w:rsidRPr="00E86B7A">
        <w:t xml:space="preserve"> 22</w:t>
      </w:r>
      <w:r>
        <w:t>.</w:t>
      </w:r>
    </w:p>
  </w:footnote>
  <w:footnote w:id="10">
    <w:p w14:paraId="68761E8B" w14:textId="0EA3F90D" w:rsidR="00AB4D06" w:rsidRPr="00994588" w:rsidRDefault="00AB4D06" w:rsidP="00994588">
      <w:pPr>
        <w:pStyle w:val="Footnote"/>
      </w:pPr>
      <w:r>
        <w:rPr>
          <w:rStyle w:val="FootnoteReference"/>
        </w:rPr>
        <w:footnoteRef/>
      </w:r>
      <w:r>
        <w:t xml:space="preserve"> US Department of Health and Human Services, </w:t>
      </w:r>
      <w:r>
        <w:rPr>
          <w:spacing w:val="-4"/>
          <w:kern w:val="17"/>
        </w:rPr>
        <w:t>“</w:t>
      </w:r>
      <w:r w:rsidRPr="003002B1">
        <w:rPr>
          <w:spacing w:val="-4"/>
          <w:kern w:val="17"/>
        </w:rPr>
        <w:t>Drug Master Files: Guidelines,</w:t>
      </w:r>
      <w:r>
        <w:rPr>
          <w:spacing w:val="-4"/>
          <w:kern w:val="17"/>
        </w:rPr>
        <w:t xml:space="preserve">” </w:t>
      </w:r>
      <w:r w:rsidRPr="003002B1">
        <w:rPr>
          <w:spacing w:val="-4"/>
          <w:kern w:val="17"/>
        </w:rPr>
        <w:t>US Food and Drug Administration, accessed</w:t>
      </w:r>
      <w:r>
        <w:rPr>
          <w:spacing w:val="-4"/>
          <w:kern w:val="17"/>
        </w:rPr>
        <w:t xml:space="preserve"> </w:t>
      </w:r>
      <w:r w:rsidRPr="003002B1">
        <w:rPr>
          <w:spacing w:val="-4"/>
          <w:kern w:val="17"/>
        </w:rPr>
        <w:t>May</w:t>
      </w:r>
      <w:r>
        <w:rPr>
          <w:spacing w:val="-4"/>
          <w:kern w:val="17"/>
        </w:rPr>
        <w:t xml:space="preserve"> </w:t>
      </w:r>
      <w:r w:rsidRPr="003002B1">
        <w:rPr>
          <w:spacing w:val="-4"/>
          <w:kern w:val="17"/>
        </w:rPr>
        <w:t>4,</w:t>
      </w:r>
      <w:r>
        <w:rPr>
          <w:spacing w:val="-4"/>
          <w:kern w:val="17"/>
        </w:rPr>
        <w:t xml:space="preserve"> </w:t>
      </w:r>
      <w:r w:rsidRPr="003002B1">
        <w:rPr>
          <w:spacing w:val="-4"/>
          <w:kern w:val="17"/>
        </w:rPr>
        <w:t>2016,</w:t>
      </w:r>
      <w:r>
        <w:rPr>
          <w:spacing w:val="-4"/>
          <w:kern w:val="17"/>
        </w:rPr>
        <w:t xml:space="preserve"> </w:t>
      </w:r>
      <w:r w:rsidRPr="00A72D9F">
        <w:t>www.fda.gov/Drugs/GuidanceComplianceRegulatoryInformation/Guidances/ucm122886.htm</w:t>
      </w:r>
      <w:r>
        <w:rPr>
          <w:spacing w:val="-4"/>
          <w:kern w:val="17"/>
        </w:rPr>
        <w:t xml:space="preserve">; </w:t>
      </w:r>
      <w:r w:rsidRPr="00055312">
        <w:rPr>
          <w:spacing w:val="-4"/>
          <w:kern w:val="17"/>
        </w:rPr>
        <w:t xml:space="preserve">US Department of Health and Human Services, </w:t>
      </w:r>
      <w:r>
        <w:t>“</w:t>
      </w:r>
      <w:r w:rsidRPr="00994588">
        <w:t>Abbreviated New Drug Application (ANDA): Generics,</w:t>
      </w:r>
      <w:r>
        <w:t>”</w:t>
      </w:r>
      <w:r w:rsidRPr="00994588">
        <w:t xml:space="preserve"> U</w:t>
      </w:r>
      <w:r>
        <w:t>.</w:t>
      </w:r>
      <w:r w:rsidRPr="00994588">
        <w:t>S</w:t>
      </w:r>
      <w:r>
        <w:t>.</w:t>
      </w:r>
      <w:r w:rsidRPr="00994588">
        <w:t xml:space="preserve"> Food and Drug Administration, </w:t>
      </w:r>
      <w:r w:rsidR="00E61FC8">
        <w:t>accessed May 4 2016, </w:t>
      </w:r>
      <w:r w:rsidRPr="00A72D9F">
        <w:t>www.fda.gov/Drugs/DevelopmentApprovalProcess/HowDrugsareDevelopedandApproved/ApprovalApplications/AbbreviatedNewDrugApplicationANDAGenerics</w:t>
      </w:r>
      <w:r>
        <w:t xml:space="preserve">. </w:t>
      </w:r>
      <w:r w:rsidRPr="003002B1">
        <w:rPr>
          <w:spacing w:val="-4"/>
          <w:kern w:val="17"/>
        </w:rPr>
        <w:t>A drug master file (DMF) consisted of detailed confidential information related to manufacturing facilities, processes, packaging, and storing of a specific life-saving drug. Drug manufacturers filed DMFs with the USFDA with a view to receiving approval for abbreviated new drug applications</w:t>
      </w:r>
      <w:r>
        <w:rPr>
          <w:spacing w:val="-4"/>
          <w:kern w:val="17"/>
        </w:rPr>
        <w:t xml:space="preserve">. </w:t>
      </w:r>
      <w:r>
        <w:t>An abbreviated new drug application (</w:t>
      </w:r>
      <w:r w:rsidRPr="00994588">
        <w:t>ANDA</w:t>
      </w:r>
      <w:r>
        <w:t>)</w:t>
      </w:r>
      <w:r w:rsidRPr="00994588">
        <w:t xml:space="preserve"> contain</w:t>
      </w:r>
      <w:r>
        <w:t>ed</w:t>
      </w:r>
      <w:r w:rsidRPr="00994588">
        <w:t xml:space="preserve"> data related to </w:t>
      </w:r>
      <w:r>
        <w:t xml:space="preserve">the </w:t>
      </w:r>
      <w:r w:rsidRPr="00994588">
        <w:t xml:space="preserve">manufacturing of a generic product; after </w:t>
      </w:r>
      <w:r>
        <w:t xml:space="preserve">receiving </w:t>
      </w:r>
      <w:r w:rsidRPr="00994588">
        <w:t xml:space="preserve">approval </w:t>
      </w:r>
      <w:r>
        <w:t>from the</w:t>
      </w:r>
      <w:r w:rsidRPr="00994588">
        <w:t xml:space="preserve"> </w:t>
      </w:r>
      <w:r>
        <w:t>US</w:t>
      </w:r>
      <w:r w:rsidRPr="00994588">
        <w:t>FDA, the drug c</w:t>
      </w:r>
      <w:r>
        <w:t>ould</w:t>
      </w:r>
      <w:r w:rsidRPr="00994588">
        <w:t xml:space="preserve"> be manufactured and marketed by the applicant in the U</w:t>
      </w:r>
      <w:r>
        <w:t>.</w:t>
      </w:r>
      <w:r w:rsidRPr="00994588">
        <w:t>S</w:t>
      </w:r>
      <w:r>
        <w:t>.</w:t>
      </w:r>
      <w:r w:rsidRPr="00994588">
        <w:t xml:space="preserve"> markets. Generic drugs </w:t>
      </w:r>
      <w:r>
        <w:t>we</w:t>
      </w:r>
      <w:r w:rsidRPr="00994588">
        <w:t xml:space="preserve">re referred </w:t>
      </w:r>
      <w:r>
        <w:t xml:space="preserve">to </w:t>
      </w:r>
      <w:r w:rsidRPr="00994588">
        <w:t>as abbreviated new drug applications because these applications d</w:t>
      </w:r>
      <w:r>
        <w:t>id</w:t>
      </w:r>
      <w:r w:rsidRPr="00994588">
        <w:t xml:space="preserve"> not include data related to pre-clinical (</w:t>
      </w:r>
      <w:r>
        <w:t xml:space="preserve">i.e., </w:t>
      </w:r>
      <w:r w:rsidRPr="00994588">
        <w:t>animal) and clinical (</w:t>
      </w:r>
      <w:r>
        <w:t xml:space="preserve">i.e., </w:t>
      </w:r>
      <w:r w:rsidRPr="00994588">
        <w:t xml:space="preserve">human) data to prove </w:t>
      </w:r>
      <w:r>
        <w:t xml:space="preserve">the </w:t>
      </w:r>
      <w:r w:rsidRPr="00994588">
        <w:t xml:space="preserve">safety and effectiveness of the drugs. </w:t>
      </w:r>
    </w:p>
  </w:footnote>
  <w:footnote w:id="11">
    <w:p w14:paraId="167EB8D4" w14:textId="188776EA" w:rsidR="00AB4D06" w:rsidRPr="00994588" w:rsidRDefault="00AB4D06" w:rsidP="00994588">
      <w:pPr>
        <w:pStyle w:val="Footnote"/>
      </w:pPr>
      <w:r w:rsidRPr="00977E45">
        <w:rPr>
          <w:rStyle w:val="FootnoteReference"/>
        </w:rPr>
        <w:footnoteRef/>
      </w:r>
      <w:r>
        <w:t xml:space="preserve"> </w:t>
      </w:r>
      <w:proofErr w:type="spellStart"/>
      <w:r w:rsidRPr="00994588">
        <w:t>Nalinakanthi</w:t>
      </w:r>
      <w:proofErr w:type="spellEnd"/>
      <w:r w:rsidRPr="00994588">
        <w:t xml:space="preserve"> V., “</w:t>
      </w:r>
      <w:proofErr w:type="spellStart"/>
      <w:r w:rsidRPr="00994588">
        <w:t>Natco</w:t>
      </w:r>
      <w:proofErr w:type="spellEnd"/>
      <w:r w:rsidRPr="00994588">
        <w:t xml:space="preserve"> Pharma: Healthy Prospects</w:t>
      </w:r>
      <w:r>
        <w:t>,</w:t>
      </w:r>
      <w:r w:rsidRPr="00994588">
        <w:t xml:space="preserve">” </w:t>
      </w:r>
      <w:r w:rsidRPr="00977E45">
        <w:rPr>
          <w:i/>
        </w:rPr>
        <w:t>Hindu Business Line</w:t>
      </w:r>
      <w:r w:rsidRPr="00994588">
        <w:t>, June 5, 2016</w:t>
      </w:r>
      <w:r>
        <w:t>, accessed June 18, 2016,</w:t>
      </w:r>
      <w:r w:rsidRPr="00994588">
        <w:t xml:space="preserve"> www.thehindubusinessline.com/portfolio/firm-calls/natco-pharma-healthy-prospects/article8693684.ece</w:t>
      </w:r>
      <w:r>
        <w:t>.</w:t>
      </w:r>
    </w:p>
  </w:footnote>
  <w:footnote w:id="12">
    <w:p w14:paraId="168559EF" w14:textId="7AC145CC" w:rsidR="00AB4D06" w:rsidRPr="00E86B7A" w:rsidRDefault="00AB4D06" w:rsidP="00994588">
      <w:pPr>
        <w:pStyle w:val="Footnote"/>
        <w:rPr>
          <w:rFonts w:ascii="Times New Roman" w:hAnsi="Times New Roman"/>
        </w:rPr>
      </w:pPr>
      <w:r w:rsidRPr="00977E45">
        <w:rPr>
          <w:rStyle w:val="FootnoteReference"/>
          <w:sz w:val="18"/>
          <w:szCs w:val="18"/>
        </w:rPr>
        <w:footnoteRef/>
      </w:r>
      <w:r w:rsidRPr="00166A6E">
        <w:t xml:space="preserve"> </w:t>
      </w:r>
      <w:r>
        <w:t xml:space="preserve">CARE, op. cit. </w:t>
      </w:r>
    </w:p>
  </w:footnote>
  <w:footnote w:id="13">
    <w:p w14:paraId="14D7F327" w14:textId="779DAA57" w:rsidR="00AB4D06" w:rsidRPr="00E86B7A" w:rsidRDefault="00AB4D06" w:rsidP="00994588">
      <w:pPr>
        <w:pStyle w:val="Footnote"/>
      </w:pPr>
      <w:r w:rsidRPr="00977E45">
        <w:rPr>
          <w:rStyle w:val="FootnoteReference"/>
          <w:sz w:val="18"/>
          <w:szCs w:val="18"/>
        </w:rPr>
        <w:footnoteRef/>
      </w:r>
      <w:r>
        <w:t xml:space="preserve"> India </w:t>
      </w:r>
      <w:r w:rsidRPr="00994588">
        <w:t>Brand Equity Foundation, “Indian Pharmaceuticals Industry Analysis</w:t>
      </w:r>
      <w:r>
        <w:t>,</w:t>
      </w:r>
      <w:r w:rsidRPr="00994588">
        <w:t xml:space="preserve">” </w:t>
      </w:r>
      <w:r>
        <w:t xml:space="preserve">IBEF, </w:t>
      </w:r>
      <w:r w:rsidRPr="00994588">
        <w:t>January 16, 2016</w:t>
      </w:r>
      <w:r>
        <w:t xml:space="preserve">, accessed July 6, 2016, </w:t>
      </w:r>
      <w:r w:rsidRPr="00977E45">
        <w:t>www.ibef.org/industry/indian-pharmaceuticals-industry-analysis-presentation</w:t>
      </w:r>
      <w:r>
        <w:t>.</w:t>
      </w:r>
    </w:p>
  </w:footnote>
  <w:footnote w:id="14">
    <w:p w14:paraId="3B97E407" w14:textId="49034273" w:rsidR="00AB4D06" w:rsidRPr="00977E45" w:rsidRDefault="00AB4D06" w:rsidP="00994588">
      <w:pPr>
        <w:pStyle w:val="Footnote"/>
        <w:rPr>
          <w:rFonts w:ascii="Times New Roman" w:hAnsi="Times New Roman"/>
          <w:b/>
        </w:rPr>
      </w:pPr>
      <w:r w:rsidRPr="00977E45">
        <w:rPr>
          <w:rStyle w:val="FootnoteReference"/>
          <w:sz w:val="18"/>
          <w:szCs w:val="18"/>
        </w:rPr>
        <w:footnoteRef/>
      </w:r>
      <w:r w:rsidRPr="00E86B7A">
        <w:t xml:space="preserve"> </w:t>
      </w:r>
      <w:r w:rsidRPr="00994588">
        <w:t xml:space="preserve">CRISIL, </w:t>
      </w:r>
      <w:r>
        <w:t>“</w:t>
      </w:r>
      <w:r w:rsidRPr="00994588">
        <w:t xml:space="preserve">Acute </w:t>
      </w:r>
      <w:r>
        <w:t>A</w:t>
      </w:r>
      <w:r w:rsidRPr="00994588">
        <w:t xml:space="preserve">ilments </w:t>
      </w:r>
      <w:r>
        <w:t>P</w:t>
      </w:r>
      <w:r w:rsidRPr="00994588">
        <w:t xml:space="preserve">rominent in India, but </w:t>
      </w:r>
      <w:r>
        <w:t>C</w:t>
      </w:r>
      <w:r w:rsidRPr="00994588">
        <w:t xml:space="preserve">hronic </w:t>
      </w:r>
      <w:r>
        <w:t>D</w:t>
      </w:r>
      <w:r w:rsidRPr="00994588">
        <w:t xml:space="preserve">rugs </w:t>
      </w:r>
      <w:r>
        <w:t>D</w:t>
      </w:r>
      <w:r w:rsidRPr="00994588">
        <w:t xml:space="preserve">rive </w:t>
      </w:r>
      <w:r>
        <w:t>F</w:t>
      </w:r>
      <w:r w:rsidRPr="00994588">
        <w:t xml:space="preserve">ormulation </w:t>
      </w:r>
      <w:r>
        <w:t>S</w:t>
      </w:r>
      <w:r w:rsidRPr="00994588">
        <w:t>ales,</w:t>
      </w:r>
      <w:r>
        <w:t>”</w:t>
      </w:r>
      <w:r w:rsidRPr="00994588">
        <w:t xml:space="preserve"> </w:t>
      </w:r>
      <w:r>
        <w:t xml:space="preserve">CRISIL Limited, </w:t>
      </w:r>
      <w:r w:rsidRPr="00994588">
        <w:t xml:space="preserve">May 15, 2015, </w:t>
      </w:r>
      <w:r>
        <w:t>accessed May 5, 2016.”</w:t>
      </w:r>
    </w:p>
  </w:footnote>
  <w:footnote w:id="15">
    <w:p w14:paraId="4D13B79C" w14:textId="644969C5" w:rsidR="00AB4D06" w:rsidRPr="00994588" w:rsidRDefault="00AB4D06" w:rsidP="00994588">
      <w:pPr>
        <w:pStyle w:val="Footnote"/>
      </w:pPr>
      <w:r>
        <w:rPr>
          <w:rStyle w:val="FootnoteReference"/>
        </w:rPr>
        <w:footnoteRef/>
      </w:r>
      <w:r>
        <w:t xml:space="preserve"> A</w:t>
      </w:r>
      <w:r w:rsidRPr="00994588">
        <w:t xml:space="preserve">fter </w:t>
      </w:r>
      <w:r>
        <w:t xml:space="preserve">funding </w:t>
      </w:r>
      <w:r w:rsidRPr="00994588">
        <w:t>extensive R</w:t>
      </w:r>
      <w:r>
        <w:t>&amp;</w:t>
      </w:r>
      <w:r w:rsidRPr="00994588">
        <w:t>D and clinical trials</w:t>
      </w:r>
      <w:r>
        <w:t>, a pharmaceutical</w:t>
      </w:r>
      <w:r w:rsidRPr="00994588">
        <w:t xml:space="preserve"> </w:t>
      </w:r>
      <w:r>
        <w:t xml:space="preserve">company </w:t>
      </w:r>
      <w:r w:rsidRPr="00994588">
        <w:t>require</w:t>
      </w:r>
      <w:r>
        <w:t>d</w:t>
      </w:r>
      <w:r w:rsidRPr="00994588">
        <w:t xml:space="preserve"> billions of dollars and 10</w:t>
      </w:r>
      <w:r>
        <w:t>–</w:t>
      </w:r>
      <w:r w:rsidRPr="00994588">
        <w:t xml:space="preserve">12 years to develop and market an innovative drug. </w:t>
      </w:r>
      <w:r>
        <w:t>CARE, op. cit.</w:t>
      </w:r>
    </w:p>
  </w:footnote>
  <w:footnote w:id="16">
    <w:p w14:paraId="0877B810" w14:textId="271760C0" w:rsidR="00AB4D06" w:rsidRPr="00E86B7A" w:rsidRDefault="00AB4D06" w:rsidP="00994588">
      <w:pPr>
        <w:pStyle w:val="Footnote"/>
        <w:rPr>
          <w:rFonts w:ascii="Times New Roman" w:hAnsi="Times New Roman"/>
        </w:rPr>
      </w:pPr>
      <w:r w:rsidRPr="00977E45">
        <w:rPr>
          <w:rStyle w:val="FootnoteReference"/>
        </w:rPr>
        <w:footnoteRef/>
      </w:r>
      <w:r>
        <w:t xml:space="preserve"> </w:t>
      </w:r>
      <w:proofErr w:type="spellStart"/>
      <w:r w:rsidRPr="00E86B7A">
        <w:t>Natco</w:t>
      </w:r>
      <w:proofErr w:type="spellEnd"/>
      <w:r w:rsidRPr="00E86B7A">
        <w:t xml:space="preserve"> Pharma Limited</w:t>
      </w:r>
      <w:r>
        <w:t xml:space="preserve">, op. cit., 23. </w:t>
      </w:r>
    </w:p>
  </w:footnote>
  <w:footnote w:id="17">
    <w:p w14:paraId="73DCEFDD" w14:textId="0936D309" w:rsidR="00AB4D06" w:rsidRPr="00E86B7A" w:rsidRDefault="00AB4D06" w:rsidP="00994588">
      <w:pPr>
        <w:pStyle w:val="Footnote"/>
        <w:rPr>
          <w:rFonts w:ascii="Times New Roman" w:hAnsi="Times New Roman"/>
        </w:rPr>
      </w:pPr>
      <w:r w:rsidRPr="00977E45">
        <w:rPr>
          <w:rStyle w:val="FootnoteReference"/>
        </w:rPr>
        <w:footnoteRef/>
      </w:r>
      <w:r w:rsidRPr="00977E45">
        <w:rPr>
          <w:rStyle w:val="FootnoteReference"/>
        </w:rPr>
        <w:t xml:space="preserve"> </w:t>
      </w:r>
      <w:r>
        <w:t xml:space="preserve">Ibid. </w:t>
      </w:r>
    </w:p>
  </w:footnote>
  <w:footnote w:id="18">
    <w:p w14:paraId="7DEAD802" w14:textId="5EE8270E" w:rsidR="00AB4D06" w:rsidRPr="00E86B7A" w:rsidRDefault="00AB4D06" w:rsidP="00994588">
      <w:pPr>
        <w:pStyle w:val="Footnote"/>
        <w:rPr>
          <w:rFonts w:ascii="Times New Roman" w:hAnsi="Times New Roman"/>
        </w:rPr>
      </w:pPr>
      <w:r w:rsidRPr="00977E45">
        <w:rPr>
          <w:rStyle w:val="FootnoteReference"/>
        </w:rPr>
        <w:footnoteRef/>
      </w:r>
      <w:r w:rsidRPr="00C22811">
        <w:t xml:space="preserve"> </w:t>
      </w:r>
      <w:r>
        <w:t>CARE, op. cit.</w:t>
      </w:r>
    </w:p>
  </w:footnote>
  <w:footnote w:id="19">
    <w:p w14:paraId="356DC621" w14:textId="62F70DC6" w:rsidR="00AB4D06" w:rsidRPr="003002B1" w:rsidRDefault="00AB4D06" w:rsidP="00994588">
      <w:pPr>
        <w:pStyle w:val="Footnote"/>
        <w:rPr>
          <w:rFonts w:ascii="Times New Roman" w:hAnsi="Times New Roman"/>
          <w:spacing w:val="-6"/>
          <w:kern w:val="17"/>
        </w:rPr>
      </w:pPr>
      <w:r w:rsidRPr="003002B1">
        <w:rPr>
          <w:rStyle w:val="FootnoteReference"/>
          <w:spacing w:val="-6"/>
          <w:kern w:val="17"/>
        </w:rPr>
        <w:footnoteRef/>
      </w:r>
      <w:r w:rsidRPr="003002B1">
        <w:rPr>
          <w:spacing w:val="-6"/>
          <w:kern w:val="17"/>
        </w:rPr>
        <w:t xml:space="preserve"> CRISIL, “Indian Pharmaceutical Manufacturers’ Growth to Remain Healthy,” March 18, 2016</w:t>
      </w:r>
      <w:r w:rsidR="00D87880">
        <w:rPr>
          <w:spacing w:val="-6"/>
          <w:kern w:val="17"/>
        </w:rPr>
        <w:t xml:space="preserve">, accessed May 5, 2016, </w:t>
      </w:r>
      <w:bookmarkStart w:id="0" w:name="_GoBack"/>
      <w:bookmarkEnd w:id="0"/>
      <w:r w:rsidRPr="003002B1">
        <w:rPr>
          <w:spacing w:val="-6"/>
          <w:kern w:val="17"/>
        </w:rPr>
        <w:t>www.crisilresearch.com/industryasync.jspx?serviceId=30&amp;State=null#storyId#118624#sectionId#1330#newsFeedId#undefined.</w:t>
      </w:r>
    </w:p>
  </w:footnote>
  <w:footnote w:id="20">
    <w:p w14:paraId="10106E77" w14:textId="1AEB99E9" w:rsidR="00AB4D06" w:rsidRPr="00EE42EF" w:rsidRDefault="00AB4D06" w:rsidP="003002B1">
      <w:pPr>
        <w:pStyle w:val="Footnote"/>
        <w:rPr>
          <w:lang w:val="en-IN"/>
        </w:rPr>
      </w:pPr>
      <w:r w:rsidRPr="00977E45">
        <w:rPr>
          <w:rStyle w:val="FootnoteReference"/>
        </w:rPr>
        <w:footnoteRef/>
      </w:r>
      <w:r w:rsidRPr="00977E45">
        <w:rPr>
          <w:lang w:val="en-IN"/>
        </w:rPr>
        <w:t xml:space="preserve"> </w:t>
      </w:r>
      <w:r w:rsidRPr="000C27F9">
        <w:rPr>
          <w:lang w:val="en-IN"/>
        </w:rPr>
        <w:t xml:space="preserve">Patented drugs </w:t>
      </w:r>
      <w:r>
        <w:rPr>
          <w:lang w:val="en-IN"/>
        </w:rPr>
        <w:t>we</w:t>
      </w:r>
      <w:r w:rsidRPr="000C27F9">
        <w:rPr>
          <w:lang w:val="en-IN"/>
        </w:rPr>
        <w:t>re</w:t>
      </w:r>
      <w:r w:rsidRPr="000C27F9">
        <w:rPr>
          <w:shd w:val="clear" w:color="auto" w:fill="FFFFFF"/>
        </w:rPr>
        <w:t xml:space="preserve"> non</w:t>
      </w:r>
      <w:r w:rsidRPr="000C27F9">
        <w:rPr>
          <w:shd w:val="clear" w:color="auto" w:fill="FFFFFF"/>
          <w:lang w:val="en-IN"/>
        </w:rPr>
        <w:t>-</w:t>
      </w:r>
      <w:r w:rsidRPr="000C27F9">
        <w:rPr>
          <w:shd w:val="clear" w:color="auto" w:fill="FFFFFF"/>
        </w:rPr>
        <w:t>prescription medicinal preparation</w:t>
      </w:r>
      <w:r w:rsidRPr="000C27F9">
        <w:rPr>
          <w:shd w:val="clear" w:color="auto" w:fill="FFFFFF"/>
          <w:lang w:val="en-IN"/>
        </w:rPr>
        <w:t>s</w:t>
      </w:r>
      <w:r w:rsidRPr="000C27F9">
        <w:rPr>
          <w:shd w:val="clear" w:color="auto" w:fill="FFFFFF"/>
        </w:rPr>
        <w:t xml:space="preserve"> protected by a trademark and whose </w:t>
      </w:r>
      <w:r>
        <w:rPr>
          <w:shd w:val="clear" w:color="auto" w:fill="FFFFFF"/>
        </w:rPr>
        <w:t xml:space="preserve">proprietary </w:t>
      </w:r>
      <w:r w:rsidRPr="000C27F9">
        <w:rPr>
          <w:shd w:val="clear" w:color="auto" w:fill="FFFFFF"/>
        </w:rPr>
        <w:t xml:space="preserve">contents </w:t>
      </w:r>
      <w:r>
        <w:rPr>
          <w:shd w:val="clear" w:color="auto" w:fill="FFFFFF"/>
        </w:rPr>
        <w:t>we</w:t>
      </w:r>
      <w:r w:rsidRPr="000C27F9">
        <w:rPr>
          <w:shd w:val="clear" w:color="auto" w:fill="FFFFFF"/>
        </w:rPr>
        <w:t>re not completely disclosed</w:t>
      </w:r>
      <w:r>
        <w:rPr>
          <w:rStyle w:val="dt"/>
          <w:spacing w:val="10"/>
          <w:bdr w:val="none" w:sz="0" w:space="0" w:color="auto" w:frame="1"/>
          <w:shd w:val="clear" w:color="auto" w:fill="FFFFFF"/>
          <w:lang w:val="en-IN"/>
        </w:rPr>
        <w:t>.</w:t>
      </w:r>
    </w:p>
  </w:footnote>
  <w:footnote w:id="21">
    <w:p w14:paraId="4F56AE23" w14:textId="174AB087" w:rsidR="00AB4D06" w:rsidRPr="003002B1" w:rsidRDefault="00AB4D06" w:rsidP="00994588">
      <w:pPr>
        <w:pStyle w:val="Footnote"/>
        <w:rPr>
          <w:rFonts w:ascii="Times New Roman" w:hAnsi="Times New Roman"/>
          <w:spacing w:val="-6"/>
          <w:kern w:val="17"/>
        </w:rPr>
      </w:pPr>
      <w:r w:rsidRPr="003002B1">
        <w:rPr>
          <w:rStyle w:val="FootnoteReference"/>
          <w:spacing w:val="-6"/>
          <w:kern w:val="17"/>
        </w:rPr>
        <w:footnoteRef/>
      </w:r>
      <w:r w:rsidRPr="003002B1">
        <w:rPr>
          <w:spacing w:val="-6"/>
          <w:kern w:val="17"/>
        </w:rPr>
        <w:t xml:space="preserve"> CRISIL, “New Products Drive </w:t>
      </w:r>
      <w:proofErr w:type="gramStart"/>
      <w:r w:rsidRPr="003002B1">
        <w:rPr>
          <w:spacing w:val="-6"/>
          <w:kern w:val="17"/>
        </w:rPr>
        <w:t>Up</w:t>
      </w:r>
      <w:proofErr w:type="gramEnd"/>
      <w:r w:rsidRPr="003002B1">
        <w:rPr>
          <w:spacing w:val="-6"/>
          <w:kern w:val="17"/>
        </w:rPr>
        <w:t xml:space="preserve"> Global Pharma Sales,” </w:t>
      </w:r>
      <w:r>
        <w:rPr>
          <w:spacing w:val="-6"/>
          <w:kern w:val="17"/>
        </w:rPr>
        <w:t xml:space="preserve">CRISIL Limited, </w:t>
      </w:r>
      <w:r w:rsidRPr="003002B1">
        <w:rPr>
          <w:spacing w:val="-6"/>
          <w:kern w:val="17"/>
        </w:rPr>
        <w:t>May 15, 2015, accessed May 5 2016.</w:t>
      </w:r>
    </w:p>
  </w:footnote>
  <w:footnote w:id="22">
    <w:p w14:paraId="4B635FDD" w14:textId="4B2963DA" w:rsidR="00AB4D06" w:rsidRPr="00E86B7A" w:rsidRDefault="00AB4D06" w:rsidP="00994588">
      <w:pPr>
        <w:pStyle w:val="Footnote"/>
        <w:rPr>
          <w:rFonts w:ascii="Times New Roman" w:hAnsi="Times New Roman"/>
        </w:rPr>
      </w:pPr>
      <w:r w:rsidRPr="00977E45">
        <w:rPr>
          <w:rStyle w:val="FootnoteReference"/>
        </w:rPr>
        <w:footnoteRef/>
      </w:r>
      <w:r w:rsidRPr="00E86B7A">
        <w:t xml:space="preserve"> </w:t>
      </w:r>
      <w:r>
        <w:t xml:space="preserve">CARE, op. cit.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06955" w14:textId="3153D3D4" w:rsidR="00AB4D06" w:rsidRPr="00C92CC4" w:rsidRDefault="00AB4D0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87880">
      <w:rPr>
        <w:rFonts w:ascii="Arial" w:hAnsi="Arial"/>
        <w:b/>
        <w:noProof/>
      </w:rPr>
      <w:t>12</w:t>
    </w:r>
    <w:r>
      <w:rPr>
        <w:rFonts w:ascii="Arial" w:hAnsi="Arial"/>
        <w:b/>
      </w:rPr>
      <w:fldChar w:fldCharType="end"/>
    </w:r>
    <w:r w:rsidR="00E61FC8">
      <w:rPr>
        <w:rFonts w:ascii="Arial" w:hAnsi="Arial"/>
        <w:b/>
      </w:rPr>
      <w:tab/>
      <w:t>9B18N024</w:t>
    </w:r>
  </w:p>
  <w:p w14:paraId="0635BD25" w14:textId="77777777" w:rsidR="00AB4D06" w:rsidRDefault="00AB4D06" w:rsidP="00D13667">
    <w:pPr>
      <w:pStyle w:val="Header"/>
      <w:tabs>
        <w:tab w:val="clear" w:pos="4680"/>
      </w:tabs>
      <w:rPr>
        <w:sz w:val="18"/>
        <w:szCs w:val="18"/>
      </w:rPr>
    </w:pPr>
  </w:p>
  <w:p w14:paraId="56A5F10F" w14:textId="77777777" w:rsidR="00AB4D06" w:rsidRPr="00C92CC4" w:rsidRDefault="00AB4D0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7E675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02C702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B0CEEE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E78603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8883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6A47C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84E96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7482F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7B45FB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24D58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0641E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F96267"/>
    <w:multiLevelType w:val="hybridMultilevel"/>
    <w:tmpl w:val="871E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CD4A9A"/>
    <w:multiLevelType w:val="hybridMultilevel"/>
    <w:tmpl w:val="DDC67900"/>
    <w:lvl w:ilvl="0" w:tplc="A91878A2">
      <w:start w:val="1"/>
      <w:numFmt w:val="bullet"/>
      <w:lvlText w:val=""/>
      <w:lvlJc w:val="left"/>
      <w:pPr>
        <w:tabs>
          <w:tab w:val="num" w:pos="360"/>
        </w:tabs>
        <w:ind w:left="360" w:hanging="360"/>
      </w:pPr>
      <w:rPr>
        <w:rFonts w:ascii="Symbol" w:hAnsi="Symbol" w:hint="default"/>
      </w:rPr>
    </w:lvl>
    <w:lvl w:ilvl="1" w:tplc="2462220E">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8D702E"/>
    <w:multiLevelType w:val="hybridMultilevel"/>
    <w:tmpl w:val="D8340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36D95"/>
    <w:multiLevelType w:val="hybridMultilevel"/>
    <w:tmpl w:val="7DEAF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Device Font 10cpi" w:hAnsi="Device Font 10cp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Device Font 10cpi" w:hAnsi="Device Font 10cp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Device Font 10cpi" w:hAnsi="Device Font 10cp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AF7285"/>
    <w:multiLevelType w:val="hybridMultilevel"/>
    <w:tmpl w:val="99B4284E"/>
    <w:lvl w:ilvl="0" w:tplc="A91878A2">
      <w:start w:val="1"/>
      <w:numFmt w:val="bullet"/>
      <w:lvlText w:val=""/>
      <w:lvlJc w:val="left"/>
      <w:pPr>
        <w:tabs>
          <w:tab w:val="num" w:pos="360"/>
        </w:tabs>
        <w:ind w:left="360" w:hanging="360"/>
      </w:pPr>
      <w:rPr>
        <w:rFonts w:ascii="Symbol" w:hAnsi="Symbol" w:hint="default"/>
      </w:rPr>
    </w:lvl>
    <w:lvl w:ilvl="1" w:tplc="B04CFE3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2"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255200"/>
    <w:multiLevelType w:val="hybridMultilevel"/>
    <w:tmpl w:val="6E787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40"/>
  </w:num>
  <w:num w:numId="3">
    <w:abstractNumId w:val="37"/>
  </w:num>
  <w:num w:numId="4">
    <w:abstractNumId w:val="18"/>
  </w:num>
  <w:num w:numId="5">
    <w:abstractNumId w:val="31"/>
  </w:num>
  <w:num w:numId="6">
    <w:abstractNumId w:val="35"/>
  </w:num>
  <w:num w:numId="7">
    <w:abstractNumId w:val="28"/>
  </w:num>
  <w:num w:numId="8">
    <w:abstractNumId w:val="36"/>
  </w:num>
  <w:num w:numId="9">
    <w:abstractNumId w:val="13"/>
  </w:num>
  <w:num w:numId="10">
    <w:abstractNumId w:val="23"/>
  </w:num>
  <w:num w:numId="11">
    <w:abstractNumId w:val="15"/>
  </w:num>
  <w:num w:numId="12">
    <w:abstractNumId w:val="42"/>
  </w:num>
  <w:num w:numId="13">
    <w:abstractNumId w:val="19"/>
  </w:num>
  <w:num w:numId="14">
    <w:abstractNumId w:val="34"/>
  </w:num>
  <w:num w:numId="15">
    <w:abstractNumId w:val="43"/>
  </w:num>
  <w:num w:numId="16">
    <w:abstractNumId w:val="22"/>
  </w:num>
  <w:num w:numId="17">
    <w:abstractNumId w:val="30"/>
  </w:num>
  <w:num w:numId="18">
    <w:abstractNumId w:val="21"/>
  </w:num>
  <w:num w:numId="19">
    <w:abstractNumId w:val="26"/>
  </w:num>
  <w:num w:numId="20">
    <w:abstractNumId w:val="41"/>
  </w:num>
  <w:num w:numId="21">
    <w:abstractNumId w:val="32"/>
  </w:num>
  <w:num w:numId="22">
    <w:abstractNumId w:val="33"/>
  </w:num>
  <w:num w:numId="23">
    <w:abstractNumId w:val="11"/>
  </w:num>
  <w:num w:numId="24">
    <w:abstractNumId w:val="17"/>
  </w:num>
  <w:num w:numId="25">
    <w:abstractNumId w:val="44"/>
  </w:num>
  <w:num w:numId="26">
    <w:abstractNumId w:val="45"/>
  </w:num>
  <w:num w:numId="27">
    <w:abstractNumId w:val="25"/>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9"/>
  </w:num>
  <w:num w:numId="39">
    <w:abstractNumId w:val="29"/>
  </w:num>
  <w:num w:numId="40">
    <w:abstractNumId w:val="14"/>
  </w:num>
  <w:num w:numId="41">
    <w:abstractNumId w:val="20"/>
  </w:num>
  <w:num w:numId="42">
    <w:abstractNumId w:val="24"/>
  </w:num>
  <w:num w:numId="43">
    <w:abstractNumId w:val="38"/>
  </w:num>
  <w:num w:numId="44">
    <w:abstractNumId w:val="12"/>
  </w:num>
  <w:num w:numId="45">
    <w:abstractNumId w:val="16"/>
  </w:num>
  <w:num w:numId="4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B04"/>
    <w:rsid w:val="00007BB5"/>
    <w:rsid w:val="00013360"/>
    <w:rsid w:val="00013E8C"/>
    <w:rsid w:val="00016759"/>
    <w:rsid w:val="000216CE"/>
    <w:rsid w:val="000226C7"/>
    <w:rsid w:val="00024ED4"/>
    <w:rsid w:val="00025DC7"/>
    <w:rsid w:val="00035F09"/>
    <w:rsid w:val="00044ECC"/>
    <w:rsid w:val="000456D5"/>
    <w:rsid w:val="000531D3"/>
    <w:rsid w:val="00055312"/>
    <w:rsid w:val="0005646B"/>
    <w:rsid w:val="000639B8"/>
    <w:rsid w:val="00073CC6"/>
    <w:rsid w:val="0008102D"/>
    <w:rsid w:val="00084911"/>
    <w:rsid w:val="00087534"/>
    <w:rsid w:val="000949AE"/>
    <w:rsid w:val="00094C0E"/>
    <w:rsid w:val="000B1B39"/>
    <w:rsid w:val="000B4B38"/>
    <w:rsid w:val="000B72C8"/>
    <w:rsid w:val="000C1F2B"/>
    <w:rsid w:val="000C27F9"/>
    <w:rsid w:val="000D3813"/>
    <w:rsid w:val="000D7091"/>
    <w:rsid w:val="000E6320"/>
    <w:rsid w:val="000F0C22"/>
    <w:rsid w:val="000F208C"/>
    <w:rsid w:val="000F6B09"/>
    <w:rsid w:val="000F6FDC"/>
    <w:rsid w:val="001041A8"/>
    <w:rsid w:val="00104567"/>
    <w:rsid w:val="00104916"/>
    <w:rsid w:val="00104AA7"/>
    <w:rsid w:val="00111383"/>
    <w:rsid w:val="0011574B"/>
    <w:rsid w:val="001204AA"/>
    <w:rsid w:val="001223B6"/>
    <w:rsid w:val="00124752"/>
    <w:rsid w:val="0012732D"/>
    <w:rsid w:val="0013741B"/>
    <w:rsid w:val="00142477"/>
    <w:rsid w:val="00143F25"/>
    <w:rsid w:val="00144CD6"/>
    <w:rsid w:val="00152682"/>
    <w:rsid w:val="00154FC9"/>
    <w:rsid w:val="00157C6D"/>
    <w:rsid w:val="00162019"/>
    <w:rsid w:val="00166A6E"/>
    <w:rsid w:val="001712C1"/>
    <w:rsid w:val="0017396F"/>
    <w:rsid w:val="00176105"/>
    <w:rsid w:val="0019241A"/>
    <w:rsid w:val="001A22D1"/>
    <w:rsid w:val="001A752D"/>
    <w:rsid w:val="001A757E"/>
    <w:rsid w:val="001B30FB"/>
    <w:rsid w:val="001B5032"/>
    <w:rsid w:val="001C7777"/>
    <w:rsid w:val="001D674F"/>
    <w:rsid w:val="001E301E"/>
    <w:rsid w:val="001E364F"/>
    <w:rsid w:val="001F2104"/>
    <w:rsid w:val="001F4222"/>
    <w:rsid w:val="00203AA1"/>
    <w:rsid w:val="002052B6"/>
    <w:rsid w:val="00211F6A"/>
    <w:rsid w:val="00213324"/>
    <w:rsid w:val="00213E98"/>
    <w:rsid w:val="00223A8A"/>
    <w:rsid w:val="00224A26"/>
    <w:rsid w:val="00225585"/>
    <w:rsid w:val="0023081A"/>
    <w:rsid w:val="00242B72"/>
    <w:rsid w:val="00250195"/>
    <w:rsid w:val="00251FE9"/>
    <w:rsid w:val="00254D5A"/>
    <w:rsid w:val="002929C3"/>
    <w:rsid w:val="00296E88"/>
    <w:rsid w:val="00297A5B"/>
    <w:rsid w:val="002C2CE9"/>
    <w:rsid w:val="002D23FC"/>
    <w:rsid w:val="002F023A"/>
    <w:rsid w:val="002F460C"/>
    <w:rsid w:val="002F48D6"/>
    <w:rsid w:val="003002B1"/>
    <w:rsid w:val="00317391"/>
    <w:rsid w:val="003211A9"/>
    <w:rsid w:val="00326216"/>
    <w:rsid w:val="00327928"/>
    <w:rsid w:val="003312D2"/>
    <w:rsid w:val="003322F4"/>
    <w:rsid w:val="00336580"/>
    <w:rsid w:val="00342CA7"/>
    <w:rsid w:val="00343E74"/>
    <w:rsid w:val="00354899"/>
    <w:rsid w:val="003551AD"/>
    <w:rsid w:val="00355FD6"/>
    <w:rsid w:val="00364419"/>
    <w:rsid w:val="00364A5C"/>
    <w:rsid w:val="003712BA"/>
    <w:rsid w:val="00373FB1"/>
    <w:rsid w:val="003764B2"/>
    <w:rsid w:val="00393ADA"/>
    <w:rsid w:val="00394611"/>
    <w:rsid w:val="00395B59"/>
    <w:rsid w:val="00396C76"/>
    <w:rsid w:val="003B1DB1"/>
    <w:rsid w:val="003B30D8"/>
    <w:rsid w:val="003B5C94"/>
    <w:rsid w:val="003B785E"/>
    <w:rsid w:val="003B7EF2"/>
    <w:rsid w:val="003C3FA4"/>
    <w:rsid w:val="003C64D8"/>
    <w:rsid w:val="003D0BA1"/>
    <w:rsid w:val="003D71B3"/>
    <w:rsid w:val="003E1109"/>
    <w:rsid w:val="003E6F30"/>
    <w:rsid w:val="003F1BE3"/>
    <w:rsid w:val="003F2B0C"/>
    <w:rsid w:val="004050B2"/>
    <w:rsid w:val="004105B2"/>
    <w:rsid w:val="004106CB"/>
    <w:rsid w:val="00411AA8"/>
    <w:rsid w:val="00412900"/>
    <w:rsid w:val="00413BC7"/>
    <w:rsid w:val="004219E4"/>
    <w:rsid w:val="004221E4"/>
    <w:rsid w:val="004273F8"/>
    <w:rsid w:val="004338C2"/>
    <w:rsid w:val="004355A3"/>
    <w:rsid w:val="00445218"/>
    <w:rsid w:val="00446546"/>
    <w:rsid w:val="00452769"/>
    <w:rsid w:val="00454E87"/>
    <w:rsid w:val="0045541C"/>
    <w:rsid w:val="004620DE"/>
    <w:rsid w:val="00465348"/>
    <w:rsid w:val="00482E71"/>
    <w:rsid w:val="004852B2"/>
    <w:rsid w:val="00490556"/>
    <w:rsid w:val="004B1CCB"/>
    <w:rsid w:val="004B2E9B"/>
    <w:rsid w:val="004B518D"/>
    <w:rsid w:val="004B632F"/>
    <w:rsid w:val="004D0D50"/>
    <w:rsid w:val="004D3FB1"/>
    <w:rsid w:val="004D54F3"/>
    <w:rsid w:val="004D6F21"/>
    <w:rsid w:val="004D73A5"/>
    <w:rsid w:val="0050113A"/>
    <w:rsid w:val="005129FA"/>
    <w:rsid w:val="005160F1"/>
    <w:rsid w:val="00524D3B"/>
    <w:rsid w:val="00524F2F"/>
    <w:rsid w:val="005263E1"/>
    <w:rsid w:val="00527812"/>
    <w:rsid w:val="00527E5C"/>
    <w:rsid w:val="00530A8F"/>
    <w:rsid w:val="00530EBD"/>
    <w:rsid w:val="00532CF5"/>
    <w:rsid w:val="00537385"/>
    <w:rsid w:val="00544D01"/>
    <w:rsid w:val="00550BD1"/>
    <w:rsid w:val="005528CB"/>
    <w:rsid w:val="00556D22"/>
    <w:rsid w:val="00556F37"/>
    <w:rsid w:val="00566771"/>
    <w:rsid w:val="00574467"/>
    <w:rsid w:val="00575493"/>
    <w:rsid w:val="005756F8"/>
    <w:rsid w:val="00581E2E"/>
    <w:rsid w:val="00583B54"/>
    <w:rsid w:val="005841FF"/>
    <w:rsid w:val="00584F15"/>
    <w:rsid w:val="005868F7"/>
    <w:rsid w:val="00591EE5"/>
    <w:rsid w:val="00593E50"/>
    <w:rsid w:val="0059514B"/>
    <w:rsid w:val="005A1B0F"/>
    <w:rsid w:val="005A5B2D"/>
    <w:rsid w:val="005A5CAC"/>
    <w:rsid w:val="005B4BFA"/>
    <w:rsid w:val="005C6FA0"/>
    <w:rsid w:val="005D0FD2"/>
    <w:rsid w:val="005D3565"/>
    <w:rsid w:val="005D4DA1"/>
    <w:rsid w:val="005E19FF"/>
    <w:rsid w:val="005E4B0A"/>
    <w:rsid w:val="005E503E"/>
    <w:rsid w:val="005F2D81"/>
    <w:rsid w:val="005F53CA"/>
    <w:rsid w:val="006036F9"/>
    <w:rsid w:val="00612C3C"/>
    <w:rsid w:val="006163F7"/>
    <w:rsid w:val="006219B2"/>
    <w:rsid w:val="00622676"/>
    <w:rsid w:val="00624B23"/>
    <w:rsid w:val="00627C63"/>
    <w:rsid w:val="0063350B"/>
    <w:rsid w:val="0064511E"/>
    <w:rsid w:val="00647A17"/>
    <w:rsid w:val="00652606"/>
    <w:rsid w:val="00656F14"/>
    <w:rsid w:val="006605EF"/>
    <w:rsid w:val="00670226"/>
    <w:rsid w:val="00671A85"/>
    <w:rsid w:val="0067618A"/>
    <w:rsid w:val="00681216"/>
    <w:rsid w:val="0069102D"/>
    <w:rsid w:val="006946EE"/>
    <w:rsid w:val="006A15D0"/>
    <w:rsid w:val="006A58A9"/>
    <w:rsid w:val="006A606D"/>
    <w:rsid w:val="006B17DE"/>
    <w:rsid w:val="006C0371"/>
    <w:rsid w:val="006C08B6"/>
    <w:rsid w:val="006C0B1A"/>
    <w:rsid w:val="006C2134"/>
    <w:rsid w:val="006C29A0"/>
    <w:rsid w:val="006C6065"/>
    <w:rsid w:val="006C7F9F"/>
    <w:rsid w:val="006E2F6D"/>
    <w:rsid w:val="006E58F6"/>
    <w:rsid w:val="006E77E1"/>
    <w:rsid w:val="006F131D"/>
    <w:rsid w:val="006F6A9C"/>
    <w:rsid w:val="007071CE"/>
    <w:rsid w:val="00711642"/>
    <w:rsid w:val="00712AF0"/>
    <w:rsid w:val="00723C1D"/>
    <w:rsid w:val="007255A5"/>
    <w:rsid w:val="007301D2"/>
    <w:rsid w:val="00730BE8"/>
    <w:rsid w:val="0073716A"/>
    <w:rsid w:val="00747900"/>
    <w:rsid w:val="00747B9C"/>
    <w:rsid w:val="007507C6"/>
    <w:rsid w:val="00751E0B"/>
    <w:rsid w:val="00752BCD"/>
    <w:rsid w:val="00766DA1"/>
    <w:rsid w:val="00770741"/>
    <w:rsid w:val="00771EF8"/>
    <w:rsid w:val="00774CD0"/>
    <w:rsid w:val="00780D94"/>
    <w:rsid w:val="007866A6"/>
    <w:rsid w:val="00787717"/>
    <w:rsid w:val="00794CB7"/>
    <w:rsid w:val="007A130D"/>
    <w:rsid w:val="007B1934"/>
    <w:rsid w:val="007B4A47"/>
    <w:rsid w:val="007C4131"/>
    <w:rsid w:val="007D02AA"/>
    <w:rsid w:val="007D1A06"/>
    <w:rsid w:val="007D1A2D"/>
    <w:rsid w:val="007D4102"/>
    <w:rsid w:val="007D66C5"/>
    <w:rsid w:val="007F43B7"/>
    <w:rsid w:val="008073E4"/>
    <w:rsid w:val="00813E4C"/>
    <w:rsid w:val="00816ADA"/>
    <w:rsid w:val="00821FFC"/>
    <w:rsid w:val="008271CA"/>
    <w:rsid w:val="00830BD6"/>
    <w:rsid w:val="008467D5"/>
    <w:rsid w:val="008623A7"/>
    <w:rsid w:val="008763E7"/>
    <w:rsid w:val="00880383"/>
    <w:rsid w:val="00893D52"/>
    <w:rsid w:val="00896812"/>
    <w:rsid w:val="008A1901"/>
    <w:rsid w:val="008A4DC4"/>
    <w:rsid w:val="008A7790"/>
    <w:rsid w:val="008B438C"/>
    <w:rsid w:val="008B6096"/>
    <w:rsid w:val="008C4721"/>
    <w:rsid w:val="008D06CA"/>
    <w:rsid w:val="008D3A46"/>
    <w:rsid w:val="009067A4"/>
    <w:rsid w:val="0091556E"/>
    <w:rsid w:val="00916E4C"/>
    <w:rsid w:val="00930885"/>
    <w:rsid w:val="00930FE7"/>
    <w:rsid w:val="00933D68"/>
    <w:rsid w:val="00933F78"/>
    <w:rsid w:val="009340DB"/>
    <w:rsid w:val="009366AF"/>
    <w:rsid w:val="00940034"/>
    <w:rsid w:val="0094615C"/>
    <w:rsid w:val="0094618C"/>
    <w:rsid w:val="00954985"/>
    <w:rsid w:val="009553BA"/>
    <w:rsid w:val="0095684B"/>
    <w:rsid w:val="00957BA3"/>
    <w:rsid w:val="009608F4"/>
    <w:rsid w:val="0096150D"/>
    <w:rsid w:val="00972498"/>
    <w:rsid w:val="0097481F"/>
    <w:rsid w:val="00974CC6"/>
    <w:rsid w:val="00974FA2"/>
    <w:rsid w:val="00975FCE"/>
    <w:rsid w:val="00976AD4"/>
    <w:rsid w:val="00977E45"/>
    <w:rsid w:val="009871A3"/>
    <w:rsid w:val="009916DF"/>
    <w:rsid w:val="00994588"/>
    <w:rsid w:val="00995547"/>
    <w:rsid w:val="0099739D"/>
    <w:rsid w:val="009A203E"/>
    <w:rsid w:val="009A312F"/>
    <w:rsid w:val="009A5348"/>
    <w:rsid w:val="009B0AB7"/>
    <w:rsid w:val="009C0156"/>
    <w:rsid w:val="009C1BF9"/>
    <w:rsid w:val="009C5C65"/>
    <w:rsid w:val="009C76D5"/>
    <w:rsid w:val="009D04DA"/>
    <w:rsid w:val="009E2540"/>
    <w:rsid w:val="009E6DDE"/>
    <w:rsid w:val="009E72D1"/>
    <w:rsid w:val="009F7AA4"/>
    <w:rsid w:val="00A10AD7"/>
    <w:rsid w:val="00A31E8C"/>
    <w:rsid w:val="00A36136"/>
    <w:rsid w:val="00A373EB"/>
    <w:rsid w:val="00A45F49"/>
    <w:rsid w:val="00A5367B"/>
    <w:rsid w:val="00A559DB"/>
    <w:rsid w:val="00A569EA"/>
    <w:rsid w:val="00A645CB"/>
    <w:rsid w:val="00A72D9F"/>
    <w:rsid w:val="00A9083A"/>
    <w:rsid w:val="00A95FB1"/>
    <w:rsid w:val="00AA1A8B"/>
    <w:rsid w:val="00AB4D06"/>
    <w:rsid w:val="00AD0275"/>
    <w:rsid w:val="00AD583E"/>
    <w:rsid w:val="00AE412B"/>
    <w:rsid w:val="00AE6EA5"/>
    <w:rsid w:val="00AF35FC"/>
    <w:rsid w:val="00AF5556"/>
    <w:rsid w:val="00AF78E4"/>
    <w:rsid w:val="00B01059"/>
    <w:rsid w:val="00B03639"/>
    <w:rsid w:val="00B0652A"/>
    <w:rsid w:val="00B22C0D"/>
    <w:rsid w:val="00B24638"/>
    <w:rsid w:val="00B24BE2"/>
    <w:rsid w:val="00B40937"/>
    <w:rsid w:val="00B423EF"/>
    <w:rsid w:val="00B42513"/>
    <w:rsid w:val="00B453DE"/>
    <w:rsid w:val="00B50F1F"/>
    <w:rsid w:val="00B5296E"/>
    <w:rsid w:val="00B64E6B"/>
    <w:rsid w:val="00B72597"/>
    <w:rsid w:val="00B74CFF"/>
    <w:rsid w:val="00B83672"/>
    <w:rsid w:val="00B901F9"/>
    <w:rsid w:val="00BB4D7C"/>
    <w:rsid w:val="00BD4A74"/>
    <w:rsid w:val="00BD6EFB"/>
    <w:rsid w:val="00BE1372"/>
    <w:rsid w:val="00BF2DF3"/>
    <w:rsid w:val="00C1584D"/>
    <w:rsid w:val="00C15BE2"/>
    <w:rsid w:val="00C1655B"/>
    <w:rsid w:val="00C20C31"/>
    <w:rsid w:val="00C22811"/>
    <w:rsid w:val="00C260CA"/>
    <w:rsid w:val="00C3447F"/>
    <w:rsid w:val="00C40FF5"/>
    <w:rsid w:val="00C440D1"/>
    <w:rsid w:val="00C455F9"/>
    <w:rsid w:val="00C50600"/>
    <w:rsid w:val="00C61AA8"/>
    <w:rsid w:val="00C66C38"/>
    <w:rsid w:val="00C67102"/>
    <w:rsid w:val="00C74B23"/>
    <w:rsid w:val="00C81491"/>
    <w:rsid w:val="00C81676"/>
    <w:rsid w:val="00C84920"/>
    <w:rsid w:val="00C85142"/>
    <w:rsid w:val="00C85C5D"/>
    <w:rsid w:val="00C92CC4"/>
    <w:rsid w:val="00C94B58"/>
    <w:rsid w:val="00C964CB"/>
    <w:rsid w:val="00CA0AFB"/>
    <w:rsid w:val="00CA2CE1"/>
    <w:rsid w:val="00CA2DD7"/>
    <w:rsid w:val="00CA3976"/>
    <w:rsid w:val="00CA50E3"/>
    <w:rsid w:val="00CA757B"/>
    <w:rsid w:val="00CB26E0"/>
    <w:rsid w:val="00CB514E"/>
    <w:rsid w:val="00CB581A"/>
    <w:rsid w:val="00CC1787"/>
    <w:rsid w:val="00CC182C"/>
    <w:rsid w:val="00CC48AA"/>
    <w:rsid w:val="00CD0824"/>
    <w:rsid w:val="00CD2908"/>
    <w:rsid w:val="00CF2E4F"/>
    <w:rsid w:val="00D03A82"/>
    <w:rsid w:val="00D13667"/>
    <w:rsid w:val="00D15344"/>
    <w:rsid w:val="00D23F57"/>
    <w:rsid w:val="00D271B4"/>
    <w:rsid w:val="00D31BEC"/>
    <w:rsid w:val="00D33AEB"/>
    <w:rsid w:val="00D33D14"/>
    <w:rsid w:val="00D40CCB"/>
    <w:rsid w:val="00D40E4F"/>
    <w:rsid w:val="00D41BD0"/>
    <w:rsid w:val="00D45210"/>
    <w:rsid w:val="00D60366"/>
    <w:rsid w:val="00D63150"/>
    <w:rsid w:val="00D636BA"/>
    <w:rsid w:val="00D64A32"/>
    <w:rsid w:val="00D64EFC"/>
    <w:rsid w:val="00D71908"/>
    <w:rsid w:val="00D71BD0"/>
    <w:rsid w:val="00D75295"/>
    <w:rsid w:val="00D76CE9"/>
    <w:rsid w:val="00D87880"/>
    <w:rsid w:val="00D9129E"/>
    <w:rsid w:val="00D91ABC"/>
    <w:rsid w:val="00D96474"/>
    <w:rsid w:val="00D97F12"/>
    <w:rsid w:val="00DA0CA6"/>
    <w:rsid w:val="00DA3EDA"/>
    <w:rsid w:val="00DA6095"/>
    <w:rsid w:val="00DB1B12"/>
    <w:rsid w:val="00DB2223"/>
    <w:rsid w:val="00DB42E7"/>
    <w:rsid w:val="00DD1231"/>
    <w:rsid w:val="00DD6432"/>
    <w:rsid w:val="00DD74CC"/>
    <w:rsid w:val="00DD771A"/>
    <w:rsid w:val="00DE01A6"/>
    <w:rsid w:val="00DE0C28"/>
    <w:rsid w:val="00DE2458"/>
    <w:rsid w:val="00DE606C"/>
    <w:rsid w:val="00DE7A98"/>
    <w:rsid w:val="00DE7C85"/>
    <w:rsid w:val="00DF1705"/>
    <w:rsid w:val="00DF32C2"/>
    <w:rsid w:val="00DF6953"/>
    <w:rsid w:val="00E32E03"/>
    <w:rsid w:val="00E336CA"/>
    <w:rsid w:val="00E4445C"/>
    <w:rsid w:val="00E471A7"/>
    <w:rsid w:val="00E61F9D"/>
    <w:rsid w:val="00E61FC8"/>
    <w:rsid w:val="00E635CF"/>
    <w:rsid w:val="00E7157A"/>
    <w:rsid w:val="00E94443"/>
    <w:rsid w:val="00EA4D36"/>
    <w:rsid w:val="00EB00F5"/>
    <w:rsid w:val="00EB3DBE"/>
    <w:rsid w:val="00EB4DE9"/>
    <w:rsid w:val="00EB6FC7"/>
    <w:rsid w:val="00EC4BC9"/>
    <w:rsid w:val="00EC6E0A"/>
    <w:rsid w:val="00ED4E18"/>
    <w:rsid w:val="00EE02B8"/>
    <w:rsid w:val="00EE1F37"/>
    <w:rsid w:val="00EE42EF"/>
    <w:rsid w:val="00EF4B9C"/>
    <w:rsid w:val="00F0159C"/>
    <w:rsid w:val="00F105B7"/>
    <w:rsid w:val="00F13220"/>
    <w:rsid w:val="00F17A21"/>
    <w:rsid w:val="00F34AA8"/>
    <w:rsid w:val="00F37B27"/>
    <w:rsid w:val="00F42B32"/>
    <w:rsid w:val="00F46556"/>
    <w:rsid w:val="00F50E91"/>
    <w:rsid w:val="00F57D29"/>
    <w:rsid w:val="00F65310"/>
    <w:rsid w:val="00F818A6"/>
    <w:rsid w:val="00F83619"/>
    <w:rsid w:val="00F96201"/>
    <w:rsid w:val="00FA4EC7"/>
    <w:rsid w:val="00FB543F"/>
    <w:rsid w:val="00FC3EE0"/>
    <w:rsid w:val="00FD0092"/>
    <w:rsid w:val="00FD0B18"/>
    <w:rsid w:val="00FD2FAD"/>
    <w:rsid w:val="00FE4B2E"/>
    <w:rsid w:val="00FE4DFE"/>
    <w:rsid w:val="00FE714F"/>
    <w:rsid w:val="00FE775D"/>
    <w:rsid w:val="00FF56C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4E4E8DF"/>
  <w15:docId w15:val="{FA910D55-C25D-4FF5-A5C3-2E634FB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aliases w:val="Proposal Body Text,Body,TABLE TEXT,bt,Outline-1,Body text,vv,o,body text,Body Txt, bt, (T),(T),Body Tx,LEFT,heading3,Body Text - Level 2,by,OC Body Text,body indent,Body Text (Fullpage),Service Text,b,btnormal,Body Text 12,bf"/>
    <w:basedOn w:val="Normal"/>
    <w:link w:val="BodyTextChar"/>
    <w:unhideWhenUsed/>
    <w:rsid w:val="00CA3976"/>
    <w:pPr>
      <w:spacing w:after="120"/>
    </w:pPr>
  </w:style>
  <w:style w:type="character" w:customStyle="1" w:styleId="BodyTextChar">
    <w:name w:val="Body Text Char"/>
    <w:aliases w:val="Proposal Body Text Char,Body Char,TABLE TEXT Char,bt Char,Outline-1 Char,Body text Char,vv Char,o Char,body text Char,Body Txt Char, bt Char, (T) Char,(T) Char,Body Tx Char,LEFT Char,heading3 Char,Body Text - Level 2 Char,by Char,b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D33D14"/>
  </w:style>
  <w:style w:type="paragraph" w:customStyle="1" w:styleId="CharCharCharChar">
    <w:name w:val="Char Char Char Char"/>
    <w:basedOn w:val="Normal"/>
    <w:rsid w:val="00D33D14"/>
    <w:pPr>
      <w:spacing w:after="160" w:line="240" w:lineRule="exact"/>
    </w:pPr>
    <w:rPr>
      <w:rFonts w:ascii="Verdana" w:hAnsi="Verdana"/>
    </w:rPr>
  </w:style>
  <w:style w:type="paragraph" w:customStyle="1" w:styleId="DefaultText">
    <w:name w:val="Default Text"/>
    <w:basedOn w:val="Normal"/>
    <w:rsid w:val="00D33D14"/>
    <w:pPr>
      <w:autoSpaceDE w:val="0"/>
      <w:autoSpaceDN w:val="0"/>
      <w:adjustRightInd w:val="0"/>
    </w:pPr>
    <w:rPr>
      <w:sz w:val="24"/>
    </w:rPr>
  </w:style>
  <w:style w:type="paragraph" w:customStyle="1" w:styleId="xl26">
    <w:name w:val="xl26"/>
    <w:basedOn w:val="Normal"/>
    <w:rsid w:val="00D33D14"/>
    <w:pPr>
      <w:spacing w:before="100" w:beforeAutospacing="1" w:after="100" w:afterAutospacing="1"/>
      <w:textAlignment w:val="center"/>
    </w:pPr>
    <w:rPr>
      <w:rFonts w:ascii="Arial" w:hAnsi="Arial" w:cs="Arial"/>
      <w:color w:val="000000"/>
      <w:sz w:val="24"/>
      <w:szCs w:val="24"/>
    </w:rPr>
  </w:style>
  <w:style w:type="paragraph" w:customStyle="1" w:styleId="defaulttext0">
    <w:name w:val="defaulttext"/>
    <w:basedOn w:val="Normal"/>
    <w:rsid w:val="00D33D14"/>
    <w:pPr>
      <w:spacing w:before="100" w:beforeAutospacing="1" w:after="100" w:afterAutospacing="1"/>
    </w:pPr>
    <w:rPr>
      <w:rFonts w:ascii="Arial Unicode MS" w:eastAsia="Arial Unicode MS" w:hAnsi="Arial Unicode MS" w:cs="Arial Unicode MS"/>
      <w:sz w:val="24"/>
      <w:szCs w:val="24"/>
    </w:rPr>
  </w:style>
  <w:style w:type="paragraph" w:styleId="BodyText3">
    <w:name w:val="Body Text 3"/>
    <w:basedOn w:val="Normal"/>
    <w:link w:val="BodyText3Char"/>
    <w:uiPriority w:val="99"/>
    <w:semiHidden/>
    <w:unhideWhenUsed/>
    <w:rsid w:val="00D33D14"/>
    <w:pPr>
      <w:spacing w:after="120"/>
    </w:pPr>
    <w:rPr>
      <w:rFonts w:ascii="Calibri" w:eastAsia="Calibri" w:hAnsi="Calibri"/>
      <w:sz w:val="16"/>
      <w:szCs w:val="16"/>
      <w:lang w:val="en-IN"/>
    </w:rPr>
  </w:style>
  <w:style w:type="character" w:customStyle="1" w:styleId="BodyText3Char">
    <w:name w:val="Body Text 3 Char"/>
    <w:basedOn w:val="DefaultParagraphFont"/>
    <w:link w:val="BodyText3"/>
    <w:uiPriority w:val="99"/>
    <w:semiHidden/>
    <w:rsid w:val="00D33D14"/>
    <w:rPr>
      <w:rFonts w:ascii="Calibri" w:eastAsia="Calibri" w:hAnsi="Calibri" w:cs="Times New Roman"/>
      <w:sz w:val="16"/>
      <w:szCs w:val="16"/>
      <w:lang w:val="en-IN"/>
    </w:rPr>
  </w:style>
  <w:style w:type="character" w:customStyle="1" w:styleId="dt">
    <w:name w:val="dt"/>
    <w:basedOn w:val="DefaultParagraphFont"/>
    <w:rsid w:val="004D54F3"/>
  </w:style>
  <w:style w:type="character" w:customStyle="1" w:styleId="UnresolvedMention1">
    <w:name w:val="Unresolved Mention1"/>
    <w:basedOn w:val="DefaultParagraphFont"/>
    <w:uiPriority w:val="99"/>
    <w:semiHidden/>
    <w:unhideWhenUsed/>
    <w:rsid w:val="00A9083A"/>
    <w:rPr>
      <w:color w:val="605E5C"/>
      <w:shd w:val="clear" w:color="auto" w:fill="E1DFDD"/>
    </w:rPr>
  </w:style>
  <w:style w:type="character" w:customStyle="1" w:styleId="UnresolvedMention">
    <w:name w:val="Unresolved Mention"/>
    <w:basedOn w:val="DefaultParagraphFont"/>
    <w:uiPriority w:val="99"/>
    <w:semiHidden/>
    <w:unhideWhenUsed/>
    <w:rsid w:val="00BE1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755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6148299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oIK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A000001CqYFm" TargetMode="External"/><Relationship Id="rId4" Type="http://schemas.openxmlformats.org/officeDocument/2006/relationships/settings" Target="settings.xml"/><Relationship Id="rId9" Type="http://schemas.openxmlformats.org/officeDocument/2006/relationships/hyperlink" Target="https://iveypubs.my.salesforce.com/003A000001cMiFj"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A21892E-9F80-4FC3-A58E-0167070B52B8}">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8C615E2-BCF5-434A-AC5D-594C4686ABE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E6E4A-7DA0-401F-989F-2B8F7BE0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2018-11-12T13:42:00Z</dcterms:created>
  <dcterms:modified xsi:type="dcterms:W3CDTF">2018-11-23T14:23:00Z</dcterms:modified>
</cp:coreProperties>
</file>