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6636" w14:textId="3B972C9C" w:rsidR="004A2B5E" w:rsidRPr="00CD72ED" w:rsidRDefault="0075655C" w:rsidP="00C02410">
      <w:pPr>
        <w:pBdr>
          <w:bottom w:val="single" w:sz="18" w:space="1" w:color="auto"/>
        </w:pBdr>
        <w:tabs>
          <w:tab w:val="left" w:pos="-1440"/>
          <w:tab w:val="left" w:pos="-720"/>
          <w:tab w:val="left" w:pos="1"/>
        </w:tabs>
        <w:jc w:val="both"/>
        <w:rPr>
          <w:rFonts w:ascii="Arial" w:hAnsi="Arial"/>
          <w:b/>
          <w:noProof/>
          <w:sz w:val="24"/>
          <w:lang w:val="en-GB"/>
        </w:rPr>
      </w:pPr>
      <w:r>
        <w:rPr>
          <w:rFonts w:ascii="Arial" w:hAnsi="Arial"/>
          <w:b/>
          <w:noProof/>
          <w:sz w:val="24"/>
        </w:rPr>
        <w:drawing>
          <wp:inline distT="0" distB="0" distL="0" distR="0" wp14:anchorId="0690C241" wp14:editId="56DF8335">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4DB28478" w:rsidR="00C02410" w:rsidRPr="00CD72ED" w:rsidRDefault="0015734F" w:rsidP="00C02410">
      <w:pPr>
        <w:pStyle w:val="ProductNumber"/>
        <w:rPr>
          <w:lang w:val="en-GB"/>
        </w:rPr>
      </w:pPr>
      <w:r>
        <w:rPr>
          <w:lang w:val="en-GB"/>
        </w:rPr>
        <w:t>9B18N025</w:t>
      </w:r>
    </w:p>
    <w:p w14:paraId="4E057522" w14:textId="77777777" w:rsidR="00D75295" w:rsidRPr="00CD72ED" w:rsidRDefault="00D75295" w:rsidP="00D75295">
      <w:pPr>
        <w:jc w:val="right"/>
        <w:rPr>
          <w:rFonts w:ascii="Arial" w:hAnsi="Arial"/>
          <w:b/>
          <w:sz w:val="28"/>
          <w:szCs w:val="28"/>
          <w:lang w:val="en-GB"/>
        </w:rPr>
      </w:pPr>
    </w:p>
    <w:p w14:paraId="426B7211" w14:textId="77777777" w:rsidR="00013360" w:rsidRPr="00CD72ED" w:rsidRDefault="00013360" w:rsidP="00D75295">
      <w:pPr>
        <w:jc w:val="right"/>
        <w:rPr>
          <w:rFonts w:ascii="Arial" w:hAnsi="Arial"/>
          <w:b/>
          <w:sz w:val="28"/>
          <w:szCs w:val="28"/>
          <w:lang w:val="en-GB"/>
        </w:rPr>
      </w:pPr>
    </w:p>
    <w:p w14:paraId="40ABF6FD" w14:textId="038AF6F0" w:rsidR="00CA3976" w:rsidRPr="00CD72ED" w:rsidRDefault="00684280" w:rsidP="00013360">
      <w:pPr>
        <w:pStyle w:val="CaseTitle"/>
        <w:spacing w:after="0" w:line="240" w:lineRule="auto"/>
        <w:rPr>
          <w:sz w:val="20"/>
          <w:szCs w:val="20"/>
          <w:lang w:val="en-GB"/>
        </w:rPr>
      </w:pPr>
      <w:r w:rsidRPr="00CD72ED">
        <w:rPr>
          <w:rFonts w:eastAsia="Arial"/>
          <w:lang w:val="en-GB"/>
        </w:rPr>
        <w:t>Tata Equity</w:t>
      </w:r>
      <w:r w:rsidR="007B3B63">
        <w:rPr>
          <w:rFonts w:eastAsia="Arial"/>
          <w:lang w:val="en-GB"/>
        </w:rPr>
        <w:t xml:space="preserve"> </w:t>
      </w:r>
      <w:r w:rsidRPr="00CD72ED">
        <w:rPr>
          <w:rFonts w:eastAsia="Arial"/>
          <w:lang w:val="en-GB"/>
        </w:rPr>
        <w:t>P</w:t>
      </w:r>
      <w:r w:rsidR="00BF490F">
        <w:rPr>
          <w:rFonts w:eastAsia="Arial"/>
          <w:lang w:val="en-GB"/>
        </w:rPr>
        <w:t>/</w:t>
      </w:r>
      <w:r w:rsidRPr="00CD72ED">
        <w:rPr>
          <w:rFonts w:eastAsia="Arial"/>
          <w:lang w:val="en-GB"/>
        </w:rPr>
        <w:t>E Mutual Fund: Performance Measurement and Attribution</w:t>
      </w:r>
    </w:p>
    <w:p w14:paraId="202F1085" w14:textId="77777777" w:rsidR="00013360" w:rsidRPr="00CD72ED" w:rsidRDefault="00013360" w:rsidP="00013360">
      <w:pPr>
        <w:pStyle w:val="CaseTitle"/>
        <w:spacing w:after="0" w:line="240" w:lineRule="auto"/>
        <w:rPr>
          <w:sz w:val="20"/>
          <w:szCs w:val="20"/>
          <w:lang w:val="en-GB"/>
        </w:rPr>
      </w:pPr>
    </w:p>
    <w:p w14:paraId="070BD281" w14:textId="77777777" w:rsidR="00684280" w:rsidRPr="00CD72ED" w:rsidRDefault="00684280" w:rsidP="00013360">
      <w:pPr>
        <w:pStyle w:val="CaseTitle"/>
        <w:spacing w:after="0" w:line="240" w:lineRule="auto"/>
        <w:rPr>
          <w:sz w:val="20"/>
          <w:szCs w:val="20"/>
          <w:lang w:val="en-GB"/>
        </w:rPr>
      </w:pPr>
    </w:p>
    <w:p w14:paraId="58B0C73F" w14:textId="4A23B02D" w:rsidR="00086B26" w:rsidRPr="00CD72ED" w:rsidRDefault="004A2B5E" w:rsidP="00086B26">
      <w:pPr>
        <w:pStyle w:val="StyleCopyrightStatementAfter0ptBottomSinglesolidline1"/>
        <w:rPr>
          <w:lang w:val="en-GB"/>
        </w:rPr>
      </w:pPr>
      <w:r w:rsidRPr="00CD72ED">
        <w:rPr>
          <w:rFonts w:cs="Arial"/>
          <w:szCs w:val="16"/>
          <w:lang w:val="en-GB"/>
        </w:rPr>
        <w:t xml:space="preserve">Gaurav Singh Chauhan </w:t>
      </w:r>
      <w:r w:rsidR="00086B26" w:rsidRPr="00CD72ED">
        <w:rPr>
          <w:lang w:val="en-GB"/>
        </w:rPr>
        <w:t xml:space="preserve">wrote this </w:t>
      </w:r>
      <w:r w:rsidR="005A471D">
        <w:rPr>
          <w:lang w:val="en-GB"/>
        </w:rPr>
        <w:t>exercise</w:t>
      </w:r>
      <w:r w:rsidR="00086B26" w:rsidRPr="00CD72ED">
        <w:rPr>
          <w:lang w:val="en-GB"/>
        </w:rPr>
        <w:t xml:space="preserve"> solely to provide material for class discussion. The </w:t>
      </w:r>
      <w:r w:rsidR="009E7D1E">
        <w:rPr>
          <w:lang w:val="en-GB"/>
        </w:rPr>
        <w:t>author</w:t>
      </w:r>
      <w:r w:rsidR="009E7D1E" w:rsidRPr="00CD72ED">
        <w:rPr>
          <w:lang w:val="en-GB"/>
        </w:rPr>
        <w:t xml:space="preserve"> </w:t>
      </w:r>
      <w:r w:rsidR="009E7D1E">
        <w:rPr>
          <w:lang w:val="en-GB"/>
        </w:rPr>
        <w:t>does</w:t>
      </w:r>
      <w:r w:rsidR="009E7D1E" w:rsidRPr="00CD72ED">
        <w:rPr>
          <w:lang w:val="en-GB"/>
        </w:rPr>
        <w:t xml:space="preserve"> </w:t>
      </w:r>
      <w:r w:rsidR="00086B26" w:rsidRPr="00CD72ED">
        <w:rPr>
          <w:lang w:val="en-GB"/>
        </w:rPr>
        <w:t xml:space="preserve">not intend to illustrate either effective or ineffective handling of a managerial situation. The </w:t>
      </w:r>
      <w:r w:rsidR="009E7D1E">
        <w:rPr>
          <w:lang w:val="en-GB"/>
        </w:rPr>
        <w:t>author</w:t>
      </w:r>
      <w:r w:rsidR="009E7D1E" w:rsidRPr="00CD72ED">
        <w:rPr>
          <w:lang w:val="en-GB"/>
        </w:rPr>
        <w:t xml:space="preserve"> </w:t>
      </w:r>
      <w:r w:rsidR="00086B26" w:rsidRPr="00CD72ED">
        <w:rPr>
          <w:lang w:val="en-GB"/>
        </w:rPr>
        <w:t>may have disguised certain names and other identifying information to protect confidentiality.</w:t>
      </w:r>
    </w:p>
    <w:p w14:paraId="10D89D5F" w14:textId="77777777" w:rsidR="00086B26" w:rsidRPr="00CD72ED" w:rsidRDefault="00086B26" w:rsidP="00086B26">
      <w:pPr>
        <w:pStyle w:val="StyleCopyrightStatementAfter0ptBottomSinglesolidline1"/>
        <w:rPr>
          <w:lang w:val="en-GB"/>
        </w:rPr>
      </w:pPr>
    </w:p>
    <w:p w14:paraId="22B73A3B" w14:textId="77777777" w:rsidR="0075655C" w:rsidRPr="0075655C" w:rsidRDefault="0075655C" w:rsidP="0075655C">
      <w:pPr>
        <w:pStyle w:val="StyleStyleCopyrightStatementAfter0ptBottomSinglesolid"/>
        <w:rPr>
          <w:rFonts w:cs="Arial"/>
          <w:iCs w:val="0"/>
          <w:color w:val="auto"/>
          <w:szCs w:val="16"/>
          <w:lang w:val="en-GB"/>
        </w:rPr>
      </w:pPr>
      <w:r w:rsidRPr="0075655C">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A41AA9E" w14:textId="77777777" w:rsidR="0075655C" w:rsidRPr="0075655C" w:rsidRDefault="0075655C" w:rsidP="0075655C">
      <w:pPr>
        <w:pStyle w:val="StyleStyleCopyrightStatementAfter0ptBottomSinglesolid"/>
        <w:rPr>
          <w:rFonts w:cs="Arial"/>
          <w:iCs w:val="0"/>
          <w:color w:val="auto"/>
          <w:szCs w:val="16"/>
          <w:lang w:val="en-GB"/>
        </w:rPr>
      </w:pPr>
    </w:p>
    <w:p w14:paraId="3922E14F" w14:textId="1E52520F" w:rsidR="00751E0B" w:rsidRPr="00CD72ED" w:rsidRDefault="00E14031" w:rsidP="00C02410">
      <w:pPr>
        <w:pStyle w:val="StyleStyleCopyrightStatementAfter0ptBottomSinglesolid"/>
        <w:rPr>
          <w:rFonts w:cs="Arial"/>
          <w:szCs w:val="16"/>
          <w:lang w:val="en-GB"/>
        </w:rPr>
      </w:pPr>
      <w:r>
        <w:rPr>
          <w:rFonts w:cs="Arial"/>
          <w:iCs w:val="0"/>
          <w:color w:val="auto"/>
          <w:szCs w:val="16"/>
          <w:lang w:val="en-GB"/>
        </w:rPr>
        <w:t>Copyright © 2018</w:t>
      </w:r>
      <w:r w:rsidR="0075655C" w:rsidRPr="0075655C">
        <w:rPr>
          <w:rFonts w:cs="Arial"/>
          <w:iCs w:val="0"/>
          <w:color w:val="auto"/>
          <w:szCs w:val="16"/>
          <w:lang w:val="en-GB"/>
        </w:rPr>
        <w:t>, Ivey Business School Foundation</w:t>
      </w:r>
      <w:r w:rsidR="00C02410" w:rsidRPr="00CD72ED">
        <w:rPr>
          <w:rFonts w:cs="Arial"/>
          <w:iCs w:val="0"/>
          <w:color w:val="auto"/>
          <w:szCs w:val="16"/>
          <w:lang w:val="en-GB"/>
        </w:rPr>
        <w:tab/>
      </w:r>
      <w:r w:rsidR="0075655C">
        <w:rPr>
          <w:rFonts w:cs="Arial"/>
          <w:iCs w:val="0"/>
          <w:color w:val="auto"/>
          <w:szCs w:val="16"/>
          <w:lang w:val="en-GB"/>
        </w:rPr>
        <w:t>Version: 2018-</w:t>
      </w:r>
      <w:r w:rsidR="001E38D5">
        <w:rPr>
          <w:rFonts w:cs="Arial"/>
          <w:iCs w:val="0"/>
          <w:color w:val="auto"/>
          <w:szCs w:val="16"/>
          <w:lang w:val="en-GB"/>
        </w:rPr>
        <w:t>12-</w:t>
      </w:r>
      <w:r w:rsidR="005A471D">
        <w:rPr>
          <w:rFonts w:cs="Arial"/>
          <w:iCs w:val="0"/>
          <w:color w:val="auto"/>
          <w:szCs w:val="16"/>
          <w:lang w:val="en-GB"/>
        </w:rPr>
        <w:t>17</w:t>
      </w:r>
    </w:p>
    <w:p w14:paraId="0A2A54E4" w14:textId="77777777" w:rsidR="00751E0B" w:rsidRPr="00CD72ED" w:rsidRDefault="00751E0B" w:rsidP="00C8269E">
      <w:pPr>
        <w:pStyle w:val="StyleCopyrightStatementAfter0ptBottomSinglesolidline1"/>
        <w:pBdr>
          <w:top w:val="single" w:sz="8" w:space="2" w:color="auto"/>
        </w:pBdr>
        <w:rPr>
          <w:rFonts w:ascii="Times New Roman" w:hAnsi="Times New Roman"/>
          <w:sz w:val="20"/>
          <w:lang w:val="en-GB"/>
        </w:rPr>
      </w:pPr>
    </w:p>
    <w:p w14:paraId="2C183161" w14:textId="77777777" w:rsidR="00B87DC0" w:rsidRPr="00CD72ED" w:rsidRDefault="00B87DC0" w:rsidP="00C8269E">
      <w:pPr>
        <w:pStyle w:val="StyleCopyrightStatementAfter0ptBottomSinglesolidline1"/>
        <w:pBdr>
          <w:top w:val="single" w:sz="8" w:space="2" w:color="auto"/>
        </w:pBdr>
        <w:rPr>
          <w:rFonts w:ascii="Times New Roman" w:hAnsi="Times New Roman"/>
          <w:sz w:val="20"/>
          <w:lang w:val="en-GB"/>
        </w:rPr>
      </w:pPr>
    </w:p>
    <w:p w14:paraId="4A749316" w14:textId="6ECEACBE" w:rsidR="00684280" w:rsidRPr="00CD72ED" w:rsidRDefault="00875A83" w:rsidP="00684280">
      <w:pPr>
        <w:pStyle w:val="BodyTextMain"/>
        <w:rPr>
          <w:lang w:val="en-GB"/>
        </w:rPr>
      </w:pPr>
      <w:r w:rsidRPr="00CD72ED">
        <w:rPr>
          <w:lang w:val="en-GB"/>
        </w:rPr>
        <w:t>A</w:t>
      </w:r>
      <w:r w:rsidR="00684280" w:rsidRPr="00CD72ED">
        <w:rPr>
          <w:lang w:val="en-GB"/>
        </w:rPr>
        <w:t xml:space="preserve"> colleague in your organization</w:t>
      </w:r>
      <w:r w:rsidRPr="00CD72ED">
        <w:rPr>
          <w:lang w:val="en-GB"/>
        </w:rPr>
        <w:t xml:space="preserve"> suggested that you</w:t>
      </w:r>
      <w:r w:rsidR="00684280" w:rsidRPr="00CD72ED">
        <w:rPr>
          <w:lang w:val="en-GB"/>
        </w:rPr>
        <w:t xml:space="preserve"> consider investing through mutual funds to achieve your financial goals. While mutual funds provide adequate diversification by investing in varied securities, they </w:t>
      </w:r>
      <w:r w:rsidR="00555CEE" w:rsidRPr="00CD72ED">
        <w:rPr>
          <w:lang w:val="en-GB"/>
        </w:rPr>
        <w:t xml:space="preserve">are </w:t>
      </w:r>
      <w:r w:rsidR="00684280" w:rsidRPr="00CD72ED">
        <w:rPr>
          <w:lang w:val="en-GB"/>
        </w:rPr>
        <w:t xml:space="preserve">also managed by professional managers with significant experience in wealth management. In particular, your colleague was impressed by the stellar performance of the </w:t>
      </w:r>
      <w:bookmarkStart w:id="0" w:name="_Hlk528935528"/>
      <w:r w:rsidR="00684280" w:rsidRPr="00CD72ED">
        <w:rPr>
          <w:lang w:val="en-GB"/>
        </w:rPr>
        <w:t>Tata Equity P</w:t>
      </w:r>
      <w:r w:rsidR="00DE3BDB">
        <w:rPr>
          <w:lang w:val="en-GB"/>
        </w:rPr>
        <w:t>/</w:t>
      </w:r>
      <w:r w:rsidR="00684280" w:rsidRPr="00CD72ED">
        <w:rPr>
          <w:lang w:val="en-GB"/>
        </w:rPr>
        <w:t>E</w:t>
      </w:r>
      <w:r w:rsidR="007B3B63">
        <w:rPr>
          <w:lang w:val="en-GB"/>
        </w:rPr>
        <w:t xml:space="preserve"> </w:t>
      </w:r>
      <w:r w:rsidR="00684280" w:rsidRPr="00CD72ED">
        <w:rPr>
          <w:lang w:val="en-GB"/>
        </w:rPr>
        <w:t xml:space="preserve">Fund </w:t>
      </w:r>
      <w:bookmarkEnd w:id="0"/>
      <w:r w:rsidR="00684280" w:rsidRPr="00CD72ED">
        <w:rPr>
          <w:lang w:val="en-GB"/>
        </w:rPr>
        <w:t>(TEPF) and recommended investing in it.</w:t>
      </w:r>
    </w:p>
    <w:p w14:paraId="7074F5DE" w14:textId="77777777" w:rsidR="00684280" w:rsidRPr="00CD72ED" w:rsidRDefault="00684280" w:rsidP="00684280">
      <w:pPr>
        <w:pStyle w:val="BodyTextMain"/>
        <w:rPr>
          <w:lang w:val="en-GB"/>
        </w:rPr>
      </w:pPr>
    </w:p>
    <w:p w14:paraId="753B923A" w14:textId="56A625B5" w:rsidR="00684280" w:rsidRPr="00CD72ED" w:rsidRDefault="00A57A45" w:rsidP="00684280">
      <w:pPr>
        <w:pStyle w:val="BodyTextMain"/>
        <w:rPr>
          <w:lang w:val="en-GB"/>
        </w:rPr>
      </w:pPr>
      <w:r>
        <w:rPr>
          <w:lang w:val="en-GB"/>
        </w:rPr>
        <w:t xml:space="preserve">The </w:t>
      </w:r>
      <w:r w:rsidR="00684280" w:rsidRPr="00CD72ED">
        <w:rPr>
          <w:lang w:val="en-GB"/>
        </w:rPr>
        <w:t>TEPF had been successful in beating its benchmark by wide margins over a sustained period of time and was considered one of the top</w:t>
      </w:r>
      <w:r w:rsidR="001E5576">
        <w:rPr>
          <w:lang w:val="en-GB"/>
        </w:rPr>
        <w:t xml:space="preserve"> </w:t>
      </w:r>
      <w:r w:rsidR="00684280" w:rsidRPr="00CD72ED">
        <w:rPr>
          <w:lang w:val="en-GB"/>
        </w:rPr>
        <w:t>performing funds in its category. Importantly, the fund had shown impressive consistency in retaining its position among the top</w:t>
      </w:r>
      <w:r w:rsidR="001E5576">
        <w:rPr>
          <w:lang w:val="en-GB"/>
        </w:rPr>
        <w:t xml:space="preserve"> </w:t>
      </w:r>
      <w:r w:rsidR="00684280" w:rsidRPr="00CD72ED">
        <w:rPr>
          <w:lang w:val="en-GB"/>
        </w:rPr>
        <w:t>performing funds over time. The fund</w:t>
      </w:r>
      <w:r w:rsidR="00404329" w:rsidRPr="00CD72ED">
        <w:rPr>
          <w:lang w:val="en-GB"/>
        </w:rPr>
        <w:t xml:space="preserve"> </w:t>
      </w:r>
      <w:r w:rsidR="00684280" w:rsidRPr="00CD72ED">
        <w:rPr>
          <w:lang w:val="en-GB"/>
        </w:rPr>
        <w:t>adopted a value-based investment approach</w:t>
      </w:r>
      <w:r w:rsidR="00147688">
        <w:rPr>
          <w:lang w:val="en-GB"/>
        </w:rPr>
        <w:t>,</w:t>
      </w:r>
      <w:r w:rsidR="00684280" w:rsidRPr="00CD72ED">
        <w:rPr>
          <w:lang w:val="en-GB"/>
        </w:rPr>
        <w:t xml:space="preserve"> investing in stocks </w:t>
      </w:r>
      <w:r w:rsidR="00147688">
        <w:rPr>
          <w:lang w:val="en-GB"/>
        </w:rPr>
        <w:t>that were trading</w:t>
      </w:r>
      <w:r w:rsidR="00684280" w:rsidRPr="00CD72ED">
        <w:rPr>
          <w:lang w:val="en-GB"/>
        </w:rPr>
        <w:t xml:space="preserve"> at a reasonable bargain compared to the broad market</w:t>
      </w:r>
      <w:r w:rsidR="001E5576">
        <w:rPr>
          <w:lang w:val="en-GB"/>
        </w:rPr>
        <w:t>,</w:t>
      </w:r>
      <w:r w:rsidR="00147688">
        <w:rPr>
          <w:lang w:val="en-GB"/>
        </w:rPr>
        <w:t xml:space="preserve"> and</w:t>
      </w:r>
      <w:r w:rsidR="00067A38" w:rsidRPr="00CD72ED">
        <w:rPr>
          <w:lang w:val="en-GB"/>
        </w:rPr>
        <w:t xml:space="preserve"> </w:t>
      </w:r>
      <w:r w:rsidR="00684280" w:rsidRPr="00CD72ED">
        <w:rPr>
          <w:lang w:val="en-GB"/>
        </w:rPr>
        <w:t>could potentially beat the markets in the long run.</w:t>
      </w:r>
    </w:p>
    <w:p w14:paraId="52093BBC" w14:textId="77777777" w:rsidR="00684280" w:rsidRPr="00CD72ED" w:rsidRDefault="00684280" w:rsidP="00684280">
      <w:pPr>
        <w:pStyle w:val="BodyTextMain"/>
        <w:rPr>
          <w:lang w:val="en-GB"/>
        </w:rPr>
      </w:pPr>
    </w:p>
    <w:p w14:paraId="0965A6BF" w14:textId="3F016653" w:rsidR="00684280" w:rsidRPr="00CD72ED" w:rsidRDefault="00684280" w:rsidP="00684280">
      <w:pPr>
        <w:pStyle w:val="BodyTextMain"/>
        <w:rPr>
          <w:lang w:val="en-GB"/>
        </w:rPr>
      </w:pPr>
      <w:r w:rsidRPr="00CD72ED">
        <w:rPr>
          <w:lang w:val="en-GB"/>
        </w:rPr>
        <w:t>Before consider</w:t>
      </w:r>
      <w:r w:rsidR="00067A38" w:rsidRPr="00CD72ED">
        <w:rPr>
          <w:lang w:val="en-GB"/>
        </w:rPr>
        <w:t>ing</w:t>
      </w:r>
      <w:r w:rsidR="00A57A45">
        <w:rPr>
          <w:lang w:val="en-GB"/>
        </w:rPr>
        <w:t xml:space="preserve"> the</w:t>
      </w:r>
      <w:r w:rsidRPr="00CD72ED">
        <w:rPr>
          <w:lang w:val="en-GB"/>
        </w:rPr>
        <w:t xml:space="preserve"> TEPF as a serious alternative for your personal investment, you </w:t>
      </w:r>
      <w:r w:rsidR="008F31AB" w:rsidRPr="00CD72ED">
        <w:rPr>
          <w:lang w:val="en-GB"/>
        </w:rPr>
        <w:t xml:space="preserve">wanted </w:t>
      </w:r>
      <w:r w:rsidRPr="00CD72ED">
        <w:rPr>
          <w:lang w:val="en-GB"/>
        </w:rPr>
        <w:t xml:space="preserve">to thoroughly evaluate the fund’s performance to </w:t>
      </w:r>
      <w:r w:rsidR="001E5576">
        <w:rPr>
          <w:lang w:val="en-GB"/>
        </w:rPr>
        <w:t>find out</w:t>
      </w:r>
      <w:r w:rsidRPr="00CD72ED">
        <w:rPr>
          <w:lang w:val="en-GB"/>
        </w:rPr>
        <w:t xml:space="preserve"> </w:t>
      </w:r>
      <w:r w:rsidR="00607F63">
        <w:rPr>
          <w:lang w:val="en-GB"/>
        </w:rPr>
        <w:t xml:space="preserve">the </w:t>
      </w:r>
      <w:r w:rsidRPr="00CD72ED">
        <w:rPr>
          <w:lang w:val="en-GB"/>
        </w:rPr>
        <w:t>extent</w:t>
      </w:r>
      <w:r w:rsidR="00607F63">
        <w:rPr>
          <w:lang w:val="en-GB"/>
        </w:rPr>
        <w:t xml:space="preserve"> to which</w:t>
      </w:r>
      <w:r w:rsidRPr="00CD72ED">
        <w:rPr>
          <w:lang w:val="en-GB"/>
        </w:rPr>
        <w:t xml:space="preserve"> it truly succeeded at generating excess returns after adjusting for risks and to determine the sources of such outperformance, if any. You collected relevant information to find these answers about investing in </w:t>
      </w:r>
      <w:r w:rsidR="00607F63">
        <w:rPr>
          <w:lang w:val="en-GB"/>
        </w:rPr>
        <w:t xml:space="preserve">the </w:t>
      </w:r>
      <w:r w:rsidRPr="00CD72ED">
        <w:rPr>
          <w:lang w:val="en-GB"/>
        </w:rPr>
        <w:t>TEPF.</w:t>
      </w:r>
    </w:p>
    <w:p w14:paraId="47457F53" w14:textId="77777777" w:rsidR="00684280" w:rsidRPr="0075655C" w:rsidRDefault="00684280" w:rsidP="00684280">
      <w:pPr>
        <w:jc w:val="both"/>
        <w:rPr>
          <w:sz w:val="22"/>
          <w:szCs w:val="24"/>
          <w:lang w:val="en-GB"/>
        </w:rPr>
      </w:pPr>
    </w:p>
    <w:p w14:paraId="50327FCC" w14:textId="77777777" w:rsidR="00684280" w:rsidRPr="0075655C" w:rsidRDefault="00684280" w:rsidP="00684280">
      <w:pPr>
        <w:jc w:val="both"/>
        <w:rPr>
          <w:sz w:val="22"/>
          <w:szCs w:val="24"/>
          <w:lang w:val="en-GB"/>
        </w:rPr>
      </w:pPr>
    </w:p>
    <w:p w14:paraId="1BBAA19D" w14:textId="7BA363E2" w:rsidR="00684280" w:rsidRPr="00CD72ED" w:rsidRDefault="00684280" w:rsidP="00684280">
      <w:pPr>
        <w:pStyle w:val="Casehead1"/>
        <w:rPr>
          <w:lang w:val="en-GB"/>
        </w:rPr>
      </w:pPr>
      <w:r w:rsidRPr="00CD72ED">
        <w:rPr>
          <w:lang w:val="en-GB"/>
        </w:rPr>
        <w:t>Business at Tata Mutual Fund</w:t>
      </w:r>
    </w:p>
    <w:p w14:paraId="3C5D9D7C" w14:textId="77777777" w:rsidR="00684280" w:rsidRPr="00CD72ED" w:rsidRDefault="00684280" w:rsidP="0015734F">
      <w:pPr>
        <w:pStyle w:val="BodyTextMain"/>
        <w:rPr>
          <w:lang w:val="en-GB"/>
        </w:rPr>
      </w:pPr>
    </w:p>
    <w:p w14:paraId="61D6CEA9" w14:textId="7E6A9A90" w:rsidR="00684280" w:rsidRPr="00CD72ED" w:rsidRDefault="00444A77" w:rsidP="00684280">
      <w:pPr>
        <w:pStyle w:val="BodyTextMain"/>
        <w:rPr>
          <w:lang w:val="en-GB"/>
        </w:rPr>
      </w:pPr>
      <w:r>
        <w:rPr>
          <w:lang w:val="en-GB"/>
        </w:rPr>
        <w:t>The investments of the</w:t>
      </w:r>
      <w:r w:rsidR="00684280" w:rsidRPr="00CD72ED">
        <w:rPr>
          <w:lang w:val="en-GB"/>
        </w:rPr>
        <w:t xml:space="preserve"> Tata Mutual Fund </w:t>
      </w:r>
      <w:r>
        <w:rPr>
          <w:lang w:val="en-GB"/>
        </w:rPr>
        <w:t xml:space="preserve">were managed by </w:t>
      </w:r>
      <w:r w:rsidRPr="00CD72ED">
        <w:rPr>
          <w:lang w:val="en-GB"/>
        </w:rPr>
        <w:t xml:space="preserve">Tata Asset Management Limited, </w:t>
      </w:r>
      <w:r w:rsidR="00684280" w:rsidRPr="00CD72ED">
        <w:rPr>
          <w:lang w:val="en-GB"/>
        </w:rPr>
        <w:t>part of the esteemed Tata Group</w:t>
      </w:r>
      <w:r>
        <w:rPr>
          <w:lang w:val="en-GB"/>
        </w:rPr>
        <w:t xml:space="preserve">, </w:t>
      </w:r>
      <w:r w:rsidR="00684280" w:rsidRPr="00CD72ED">
        <w:rPr>
          <w:lang w:val="en-GB"/>
        </w:rPr>
        <w:t xml:space="preserve">one of the largest and oldest industrial groups in India. The fund had an average </w:t>
      </w:r>
      <w:bookmarkStart w:id="1" w:name="_Hlk528913442"/>
      <w:r>
        <w:rPr>
          <w:lang w:val="en-GB"/>
        </w:rPr>
        <w:t>assets under management (</w:t>
      </w:r>
      <w:r w:rsidR="00684280" w:rsidRPr="00CD72ED">
        <w:rPr>
          <w:lang w:val="en-GB"/>
        </w:rPr>
        <w:t>AUM</w:t>
      </w:r>
      <w:r>
        <w:rPr>
          <w:lang w:val="en-GB"/>
        </w:rPr>
        <w:t>)</w:t>
      </w:r>
      <w:r w:rsidR="00684280" w:rsidRPr="00CD72ED">
        <w:rPr>
          <w:lang w:val="en-GB"/>
        </w:rPr>
        <w:t xml:space="preserve"> </w:t>
      </w:r>
      <w:bookmarkEnd w:id="1"/>
      <w:r w:rsidR="00684280" w:rsidRPr="00CD72ED">
        <w:rPr>
          <w:lang w:val="en-GB"/>
        </w:rPr>
        <w:t xml:space="preserve">of </w:t>
      </w:r>
      <w:r w:rsidRPr="001E38D5">
        <w:rPr>
          <w:rFonts w:ascii="Arial" w:hAnsi="Arial" w:cs="Arial"/>
          <w:sz w:val="20"/>
          <w:szCs w:val="20"/>
          <w:lang w:val="en-GB"/>
        </w:rPr>
        <w:t>₹</w:t>
      </w:r>
      <w:r w:rsidR="00684280" w:rsidRPr="00CD72ED">
        <w:rPr>
          <w:lang w:val="en-GB"/>
        </w:rPr>
        <w:t>461 billion,</w:t>
      </w:r>
      <w:r>
        <w:rPr>
          <w:rStyle w:val="FootnoteReference"/>
          <w:lang w:val="en-GB"/>
        </w:rPr>
        <w:footnoteReference w:id="1"/>
      </w:r>
      <w:r w:rsidR="00684280" w:rsidRPr="00CD72ED">
        <w:rPr>
          <w:lang w:val="en-GB"/>
        </w:rPr>
        <w:t xml:space="preserve"> which was 2.24</w:t>
      </w:r>
      <w:r w:rsidR="00FC6F62">
        <w:rPr>
          <w:lang w:val="en-GB"/>
        </w:rPr>
        <w:t xml:space="preserve"> per cent</w:t>
      </w:r>
      <w:r w:rsidR="00684280" w:rsidRPr="00CD72ED">
        <w:rPr>
          <w:lang w:val="en-GB"/>
        </w:rPr>
        <w:t xml:space="preserve"> of the industry AUM as of September 2017. Exhibit 1 summarizes the breakdown of the total AUM under </w:t>
      </w:r>
      <w:r w:rsidR="00FC6F62">
        <w:rPr>
          <w:lang w:val="en-GB"/>
        </w:rPr>
        <w:t>Tata Mutual Fund</w:t>
      </w:r>
      <w:r w:rsidR="00684280" w:rsidRPr="00CD72ED">
        <w:rPr>
          <w:lang w:val="en-GB"/>
        </w:rPr>
        <w:t xml:space="preserve"> into funds categorized </w:t>
      </w:r>
      <w:r w:rsidR="005B75AE" w:rsidRPr="00CD72ED">
        <w:rPr>
          <w:lang w:val="en-GB"/>
        </w:rPr>
        <w:t>according to</w:t>
      </w:r>
      <w:r w:rsidR="00684280" w:rsidRPr="00CD72ED">
        <w:rPr>
          <w:lang w:val="en-GB"/>
        </w:rPr>
        <w:t xml:space="preserve"> their asset classes </w:t>
      </w:r>
      <w:r w:rsidR="005B75AE" w:rsidRPr="00CD72ED">
        <w:rPr>
          <w:lang w:val="en-GB"/>
        </w:rPr>
        <w:t>and</w:t>
      </w:r>
      <w:r w:rsidR="00684280" w:rsidRPr="00CD72ED">
        <w:rPr>
          <w:lang w:val="en-GB"/>
        </w:rPr>
        <w:t xml:space="preserve"> their types for the last five years.</w:t>
      </w:r>
    </w:p>
    <w:p w14:paraId="6E6F78DC" w14:textId="77777777" w:rsidR="00684280" w:rsidRPr="0075655C" w:rsidRDefault="00684280" w:rsidP="00684280">
      <w:pPr>
        <w:jc w:val="both"/>
        <w:rPr>
          <w:sz w:val="22"/>
          <w:szCs w:val="24"/>
          <w:lang w:val="en-GB"/>
        </w:rPr>
      </w:pPr>
    </w:p>
    <w:p w14:paraId="08C3264E" w14:textId="72DF755A" w:rsidR="00684280" w:rsidRPr="001001A1" w:rsidRDefault="00684280" w:rsidP="00684280">
      <w:pPr>
        <w:pStyle w:val="BodyTextMain"/>
        <w:rPr>
          <w:spacing w:val="-2"/>
          <w:lang w:val="en-GB"/>
        </w:rPr>
      </w:pPr>
      <w:r w:rsidRPr="001001A1">
        <w:rPr>
          <w:spacing w:val="-2"/>
          <w:lang w:val="en-GB"/>
        </w:rPr>
        <w:t xml:space="preserve">As was the </w:t>
      </w:r>
      <w:r w:rsidR="00B25AB0" w:rsidRPr="001001A1">
        <w:rPr>
          <w:spacing w:val="-2"/>
          <w:lang w:val="en-GB"/>
        </w:rPr>
        <w:t xml:space="preserve">industry </w:t>
      </w:r>
      <w:r w:rsidRPr="001001A1">
        <w:rPr>
          <w:spacing w:val="-2"/>
          <w:lang w:val="en-GB"/>
        </w:rPr>
        <w:t xml:space="preserve">trend, while most of the fund’s AUM was </w:t>
      </w:r>
      <w:r w:rsidR="005B75AE" w:rsidRPr="001001A1">
        <w:rPr>
          <w:spacing w:val="-2"/>
          <w:lang w:val="en-GB"/>
        </w:rPr>
        <w:t xml:space="preserve">composed </w:t>
      </w:r>
      <w:r w:rsidRPr="001001A1">
        <w:rPr>
          <w:spacing w:val="-2"/>
          <w:lang w:val="en-GB"/>
        </w:rPr>
        <w:t>of debt funds (68</w:t>
      </w:r>
      <w:r w:rsidR="001364C7" w:rsidRPr="001001A1">
        <w:rPr>
          <w:spacing w:val="-2"/>
          <w:lang w:val="en-GB"/>
        </w:rPr>
        <w:t xml:space="preserve"> per cent</w:t>
      </w:r>
      <w:r w:rsidRPr="001001A1">
        <w:rPr>
          <w:spacing w:val="-2"/>
          <w:lang w:val="en-GB"/>
        </w:rPr>
        <w:t>), equity and hybrid funds contribute</w:t>
      </w:r>
      <w:r w:rsidR="005B75AE" w:rsidRPr="001001A1">
        <w:rPr>
          <w:spacing w:val="-2"/>
          <w:lang w:val="en-GB"/>
        </w:rPr>
        <w:t>d</w:t>
      </w:r>
      <w:r w:rsidRPr="001001A1">
        <w:rPr>
          <w:spacing w:val="-2"/>
          <w:lang w:val="en-GB"/>
        </w:rPr>
        <w:t xml:space="preserve"> 17</w:t>
      </w:r>
      <w:r w:rsidR="001364C7" w:rsidRPr="001001A1">
        <w:rPr>
          <w:spacing w:val="-2"/>
          <w:lang w:val="en-GB"/>
        </w:rPr>
        <w:t xml:space="preserve"> per cent</w:t>
      </w:r>
      <w:r w:rsidRPr="001001A1">
        <w:rPr>
          <w:spacing w:val="-2"/>
          <w:lang w:val="en-GB"/>
        </w:rPr>
        <w:t xml:space="preserve"> and 15</w:t>
      </w:r>
      <w:r w:rsidR="001364C7" w:rsidRPr="001001A1">
        <w:rPr>
          <w:spacing w:val="-2"/>
          <w:lang w:val="en-GB"/>
        </w:rPr>
        <w:t xml:space="preserve"> per cent</w:t>
      </w:r>
      <w:r w:rsidRPr="001001A1">
        <w:rPr>
          <w:spacing w:val="-2"/>
          <w:lang w:val="en-GB"/>
        </w:rPr>
        <w:t xml:space="preserve">, respectively, of the total AUM. Within debt funds, </w:t>
      </w:r>
      <w:r w:rsidRPr="001001A1">
        <w:rPr>
          <w:spacing w:val="-2"/>
          <w:lang w:val="en-GB"/>
        </w:rPr>
        <w:lastRenderedPageBreak/>
        <w:t>liquid funds dominated and contributed 71</w:t>
      </w:r>
      <w:r w:rsidR="001364C7" w:rsidRPr="001001A1">
        <w:rPr>
          <w:spacing w:val="-2"/>
          <w:lang w:val="en-GB"/>
        </w:rPr>
        <w:t xml:space="preserve"> per cent</w:t>
      </w:r>
      <w:r w:rsidRPr="001001A1">
        <w:rPr>
          <w:spacing w:val="-2"/>
          <w:lang w:val="en-GB"/>
        </w:rPr>
        <w:t xml:space="preserve"> of the corpus, followed by income funds (25</w:t>
      </w:r>
      <w:r w:rsidR="001364C7" w:rsidRPr="001001A1">
        <w:rPr>
          <w:spacing w:val="-2"/>
          <w:lang w:val="en-GB"/>
        </w:rPr>
        <w:t xml:space="preserve"> per cent</w:t>
      </w:r>
      <w:r w:rsidRPr="001001A1">
        <w:rPr>
          <w:spacing w:val="-2"/>
          <w:lang w:val="en-GB"/>
        </w:rPr>
        <w:t>). For equity funds, diversified funds contributed a significant share of 71</w:t>
      </w:r>
      <w:r w:rsidR="008E4BCD" w:rsidRPr="001001A1">
        <w:rPr>
          <w:spacing w:val="-2"/>
          <w:lang w:val="en-GB"/>
        </w:rPr>
        <w:t xml:space="preserve"> per cent</w:t>
      </w:r>
      <w:r w:rsidRPr="001001A1">
        <w:rPr>
          <w:spacing w:val="-2"/>
          <w:lang w:val="en-GB"/>
        </w:rPr>
        <w:t>, followed by other sector-oriented and thematic funds (29</w:t>
      </w:r>
      <w:r w:rsidR="008E4BCD" w:rsidRPr="001001A1">
        <w:rPr>
          <w:spacing w:val="-2"/>
          <w:lang w:val="en-GB"/>
        </w:rPr>
        <w:t xml:space="preserve"> per cent</w:t>
      </w:r>
      <w:r w:rsidRPr="001001A1">
        <w:rPr>
          <w:spacing w:val="-2"/>
          <w:lang w:val="en-GB"/>
        </w:rPr>
        <w:t>). Importantly, almost all funds under the Tata Mutual Fund</w:t>
      </w:r>
      <w:r w:rsidR="00EA1B44" w:rsidRPr="001001A1">
        <w:rPr>
          <w:spacing w:val="-2"/>
          <w:lang w:val="en-GB"/>
        </w:rPr>
        <w:t xml:space="preserve"> </w:t>
      </w:r>
      <w:r w:rsidRPr="001001A1">
        <w:rPr>
          <w:spacing w:val="-2"/>
          <w:lang w:val="en-GB"/>
        </w:rPr>
        <w:t xml:space="preserve">were active in nature; the share of passive equity funds was negligible. Within the hybrid category, equity-oriented funds contributed the bulk of </w:t>
      </w:r>
      <w:r w:rsidR="00834387" w:rsidRPr="001001A1">
        <w:rPr>
          <w:spacing w:val="-2"/>
          <w:lang w:val="en-GB"/>
        </w:rPr>
        <w:t xml:space="preserve">the </w:t>
      </w:r>
      <w:r w:rsidRPr="001001A1">
        <w:rPr>
          <w:spacing w:val="-2"/>
          <w:lang w:val="en-GB"/>
        </w:rPr>
        <w:t>AUM (94</w:t>
      </w:r>
      <w:r w:rsidR="00EA1B44" w:rsidRPr="001001A1">
        <w:rPr>
          <w:spacing w:val="-2"/>
          <w:lang w:val="en-GB"/>
        </w:rPr>
        <w:t xml:space="preserve"> per cent</w:t>
      </w:r>
      <w:r w:rsidRPr="001001A1">
        <w:rPr>
          <w:spacing w:val="-2"/>
          <w:lang w:val="en-GB"/>
        </w:rPr>
        <w:t xml:space="preserve">). This was probably due to the </w:t>
      </w:r>
      <w:r w:rsidR="00EA1B44" w:rsidRPr="001001A1">
        <w:rPr>
          <w:spacing w:val="-2"/>
          <w:lang w:val="en-GB"/>
        </w:rPr>
        <w:t>favourable</w:t>
      </w:r>
      <w:r w:rsidRPr="001001A1">
        <w:rPr>
          <w:spacing w:val="-2"/>
          <w:lang w:val="en-GB"/>
        </w:rPr>
        <w:t xml:space="preserve"> tax treatment of equity-oriented hybrid funds</w:t>
      </w:r>
      <w:r w:rsidR="00EA1B44" w:rsidRPr="001001A1">
        <w:rPr>
          <w:spacing w:val="-2"/>
          <w:lang w:val="en-GB"/>
        </w:rPr>
        <w:t>,</w:t>
      </w:r>
      <w:r w:rsidRPr="001001A1">
        <w:rPr>
          <w:spacing w:val="-2"/>
          <w:lang w:val="en-GB"/>
        </w:rPr>
        <w:t xml:space="preserve"> where</w:t>
      </w:r>
      <w:r w:rsidR="004F3868" w:rsidRPr="001001A1">
        <w:rPr>
          <w:spacing w:val="-2"/>
          <w:lang w:val="en-GB"/>
        </w:rPr>
        <w:t>by</w:t>
      </w:r>
      <w:r w:rsidRPr="001001A1">
        <w:rPr>
          <w:spacing w:val="-2"/>
          <w:lang w:val="en-GB"/>
        </w:rPr>
        <w:t xml:space="preserve"> investors were exempt from any long-term capital gains tax. </w:t>
      </w:r>
    </w:p>
    <w:p w14:paraId="457C6F75" w14:textId="77777777" w:rsidR="00684280" w:rsidRPr="00CD72ED" w:rsidRDefault="00684280" w:rsidP="00684280">
      <w:pPr>
        <w:pStyle w:val="BodyTextMain"/>
        <w:rPr>
          <w:lang w:val="en-GB"/>
        </w:rPr>
      </w:pPr>
    </w:p>
    <w:p w14:paraId="41A129F2" w14:textId="3F02270A" w:rsidR="00684280" w:rsidRPr="00CD72ED" w:rsidRDefault="00684280" w:rsidP="00684280">
      <w:pPr>
        <w:pStyle w:val="BodyTextMain"/>
        <w:rPr>
          <w:lang w:val="en-GB"/>
        </w:rPr>
      </w:pPr>
      <w:r w:rsidRPr="00CD72ED">
        <w:rPr>
          <w:lang w:val="en-GB"/>
        </w:rPr>
        <w:t xml:space="preserve">Exhibit 1 also suggests that the overall AUM </w:t>
      </w:r>
      <w:r w:rsidR="00834387">
        <w:rPr>
          <w:lang w:val="en-GB"/>
        </w:rPr>
        <w:t>had grown</w:t>
      </w:r>
      <w:r w:rsidRPr="00CD72ED">
        <w:rPr>
          <w:lang w:val="en-GB"/>
        </w:rPr>
        <w:t xml:space="preserve"> at a </w:t>
      </w:r>
      <w:r w:rsidR="00834387">
        <w:rPr>
          <w:lang w:val="en-GB"/>
        </w:rPr>
        <w:t>compound annual growth rate (</w:t>
      </w:r>
      <w:r w:rsidRPr="00CD72ED">
        <w:rPr>
          <w:lang w:val="en-GB"/>
        </w:rPr>
        <w:t>CAGR</w:t>
      </w:r>
      <w:r w:rsidR="00834387">
        <w:rPr>
          <w:lang w:val="en-GB"/>
        </w:rPr>
        <w:t>)</w:t>
      </w:r>
      <w:r w:rsidRPr="00CD72ED">
        <w:rPr>
          <w:lang w:val="en-GB"/>
        </w:rPr>
        <w:t xml:space="preserve"> of 36</w:t>
      </w:r>
      <w:r w:rsidR="00EA1B44">
        <w:rPr>
          <w:lang w:val="en-GB"/>
        </w:rPr>
        <w:t xml:space="preserve"> per cent</w:t>
      </w:r>
      <w:r w:rsidRPr="00CD72ED">
        <w:rPr>
          <w:lang w:val="en-GB"/>
        </w:rPr>
        <w:t xml:space="preserve"> </w:t>
      </w:r>
      <w:r w:rsidR="00F67B18" w:rsidRPr="00CD72ED">
        <w:rPr>
          <w:lang w:val="en-GB"/>
        </w:rPr>
        <w:t xml:space="preserve">over </w:t>
      </w:r>
      <w:r w:rsidRPr="00CD72ED">
        <w:rPr>
          <w:lang w:val="en-GB"/>
        </w:rPr>
        <w:t xml:space="preserve">the </w:t>
      </w:r>
      <w:r w:rsidR="00BD3EAC">
        <w:rPr>
          <w:lang w:val="en-GB"/>
        </w:rPr>
        <w:t>past</w:t>
      </w:r>
      <w:r w:rsidR="00BD3EAC" w:rsidRPr="00CD72ED">
        <w:rPr>
          <w:lang w:val="en-GB"/>
        </w:rPr>
        <w:t xml:space="preserve"> </w:t>
      </w:r>
      <w:r w:rsidRPr="00CD72ED">
        <w:rPr>
          <w:lang w:val="en-GB"/>
        </w:rPr>
        <w:t xml:space="preserve">five years. This growth was particularly </w:t>
      </w:r>
      <w:r w:rsidR="00EA1B44" w:rsidRPr="00CD72ED">
        <w:rPr>
          <w:lang w:val="en-GB"/>
        </w:rPr>
        <w:t>fuelled</w:t>
      </w:r>
      <w:r w:rsidRPr="00CD72ED">
        <w:rPr>
          <w:lang w:val="en-GB"/>
        </w:rPr>
        <w:t xml:space="preserve"> by the growth in hybrid funds (65</w:t>
      </w:r>
      <w:r w:rsidR="00EA1B44">
        <w:rPr>
          <w:lang w:val="en-GB"/>
        </w:rPr>
        <w:t xml:space="preserve"> per cent</w:t>
      </w:r>
      <w:r w:rsidRPr="00CD72ED">
        <w:rPr>
          <w:lang w:val="en-GB"/>
        </w:rPr>
        <w:t>), followed by debt funds (36</w:t>
      </w:r>
      <w:r w:rsidR="00EA1B44">
        <w:rPr>
          <w:lang w:val="en-GB"/>
        </w:rPr>
        <w:t xml:space="preserve"> per cent</w:t>
      </w:r>
      <w:r w:rsidRPr="00CD72ED">
        <w:rPr>
          <w:lang w:val="en-GB"/>
        </w:rPr>
        <w:t xml:space="preserve">); equity funds </w:t>
      </w:r>
      <w:r w:rsidR="00834387">
        <w:rPr>
          <w:lang w:val="en-GB"/>
        </w:rPr>
        <w:t>had grown</w:t>
      </w:r>
      <w:r w:rsidRPr="00CD72ED">
        <w:rPr>
          <w:lang w:val="en-GB"/>
        </w:rPr>
        <w:t xml:space="preserve"> at a rate of 24</w:t>
      </w:r>
      <w:r w:rsidR="00EA1B44">
        <w:rPr>
          <w:lang w:val="en-GB"/>
        </w:rPr>
        <w:t xml:space="preserve"> per cent</w:t>
      </w:r>
      <w:r w:rsidRPr="00CD72ED">
        <w:rPr>
          <w:lang w:val="en-GB"/>
        </w:rPr>
        <w:t xml:space="preserve"> per </w:t>
      </w:r>
      <w:r w:rsidR="00834387">
        <w:rPr>
          <w:lang w:val="en-GB"/>
        </w:rPr>
        <w:t>year</w:t>
      </w:r>
      <w:r w:rsidRPr="00CD72ED">
        <w:rPr>
          <w:lang w:val="en-GB"/>
        </w:rPr>
        <w:t xml:space="preserve">. </w:t>
      </w:r>
      <w:r w:rsidR="00EA1B44">
        <w:rPr>
          <w:lang w:val="en-GB"/>
        </w:rPr>
        <w:t>Interestingly, within</w:t>
      </w:r>
      <w:r w:rsidRPr="00CD72ED">
        <w:rPr>
          <w:lang w:val="en-GB"/>
        </w:rPr>
        <w:t xml:space="preserve"> debt funds, the fixed maturity plans witnessed a negative growth</w:t>
      </w:r>
      <w:r w:rsidR="00F67B18" w:rsidRPr="00CD72ED">
        <w:rPr>
          <w:lang w:val="en-GB"/>
        </w:rPr>
        <w:t xml:space="preserve"> rate</w:t>
      </w:r>
      <w:r w:rsidRPr="00CD72ED">
        <w:rPr>
          <w:lang w:val="en-GB"/>
        </w:rPr>
        <w:t xml:space="preserve"> (</w:t>
      </w:r>
      <w:r w:rsidR="00EA1B44">
        <w:rPr>
          <w:lang w:val="en-GB"/>
        </w:rPr>
        <w:t>−</w:t>
      </w:r>
      <w:r w:rsidRPr="00CD72ED">
        <w:rPr>
          <w:lang w:val="en-GB"/>
        </w:rPr>
        <w:t>23</w:t>
      </w:r>
      <w:r w:rsidR="00EA1B44">
        <w:rPr>
          <w:lang w:val="en-GB"/>
        </w:rPr>
        <w:t xml:space="preserve"> per cent</w:t>
      </w:r>
      <w:r w:rsidRPr="00CD72ED">
        <w:rPr>
          <w:lang w:val="en-GB"/>
        </w:rPr>
        <w:t xml:space="preserve">). On the contrary, investment in liquid funds </w:t>
      </w:r>
      <w:r w:rsidR="00834387">
        <w:rPr>
          <w:lang w:val="en-GB"/>
        </w:rPr>
        <w:t>had grown</w:t>
      </w:r>
      <w:r w:rsidRPr="00CD72ED">
        <w:rPr>
          <w:lang w:val="en-GB"/>
        </w:rPr>
        <w:t xml:space="preserve"> at 33</w:t>
      </w:r>
      <w:r w:rsidR="00EA1B44">
        <w:rPr>
          <w:lang w:val="en-GB"/>
        </w:rPr>
        <w:t xml:space="preserve"> per cent</w:t>
      </w:r>
      <w:r w:rsidRPr="00CD72ED">
        <w:rPr>
          <w:lang w:val="en-GB"/>
        </w:rPr>
        <w:t xml:space="preserve"> per </w:t>
      </w:r>
      <w:r w:rsidR="00834387">
        <w:rPr>
          <w:lang w:val="en-GB"/>
        </w:rPr>
        <w:t>year</w:t>
      </w:r>
      <w:r w:rsidRPr="00CD72ED">
        <w:rPr>
          <w:lang w:val="en-GB"/>
        </w:rPr>
        <w:t>. This reflect</w:t>
      </w:r>
      <w:r w:rsidR="00F67B18" w:rsidRPr="00CD72ED">
        <w:rPr>
          <w:lang w:val="en-GB"/>
        </w:rPr>
        <w:t>ed</w:t>
      </w:r>
      <w:r w:rsidRPr="00CD72ED">
        <w:rPr>
          <w:lang w:val="en-GB"/>
        </w:rPr>
        <w:t xml:space="preserve"> the </w:t>
      </w:r>
      <w:r w:rsidR="00F67B18" w:rsidRPr="00CD72ED">
        <w:rPr>
          <w:lang w:val="en-GB"/>
        </w:rPr>
        <w:t xml:space="preserve">increasing </w:t>
      </w:r>
      <w:r w:rsidRPr="00CD72ED">
        <w:rPr>
          <w:lang w:val="en-GB"/>
        </w:rPr>
        <w:t>participation of institutional investors in these funds.</w:t>
      </w:r>
    </w:p>
    <w:p w14:paraId="51CCA5C2" w14:textId="77777777" w:rsidR="00684280" w:rsidRPr="00CD72ED" w:rsidRDefault="00684280" w:rsidP="00684280">
      <w:pPr>
        <w:pStyle w:val="BodyTextMain"/>
        <w:rPr>
          <w:lang w:val="en-GB"/>
        </w:rPr>
      </w:pPr>
    </w:p>
    <w:p w14:paraId="5ED2F7D0" w14:textId="586E070E" w:rsidR="00684280" w:rsidRPr="00CD72ED" w:rsidRDefault="00684280" w:rsidP="00684280">
      <w:pPr>
        <w:pStyle w:val="BodyTextMain"/>
        <w:rPr>
          <w:lang w:val="en-GB"/>
        </w:rPr>
      </w:pPr>
      <w:r w:rsidRPr="00CD72ED">
        <w:rPr>
          <w:lang w:val="en-GB"/>
        </w:rPr>
        <w:t>The growth in the corpus of equity funds was primarily driven by the popularity and</w:t>
      </w:r>
      <w:r w:rsidR="001C1E14">
        <w:rPr>
          <w:lang w:val="en-GB"/>
        </w:rPr>
        <w:t>,</w:t>
      </w:r>
      <w:r w:rsidRPr="00CD72ED">
        <w:rPr>
          <w:lang w:val="en-GB"/>
        </w:rPr>
        <w:t xml:space="preserve"> hence</w:t>
      </w:r>
      <w:r w:rsidR="001C1E14">
        <w:rPr>
          <w:lang w:val="en-GB"/>
        </w:rPr>
        <w:t>,</w:t>
      </w:r>
      <w:r w:rsidRPr="00CD72ED">
        <w:rPr>
          <w:lang w:val="en-GB"/>
        </w:rPr>
        <w:t xml:space="preserve"> utility of diversified funds among retail investors. While diversified funds </w:t>
      </w:r>
      <w:r w:rsidR="00AB6AFC">
        <w:rPr>
          <w:lang w:val="en-GB"/>
        </w:rPr>
        <w:t>had grown</w:t>
      </w:r>
      <w:r w:rsidRPr="00CD72ED">
        <w:rPr>
          <w:lang w:val="en-GB"/>
        </w:rPr>
        <w:t xml:space="preserve"> at 33</w:t>
      </w:r>
      <w:r w:rsidR="001C1E14">
        <w:rPr>
          <w:lang w:val="en-GB"/>
        </w:rPr>
        <w:t xml:space="preserve"> per cent</w:t>
      </w:r>
      <w:r w:rsidRPr="00CD72ED">
        <w:rPr>
          <w:lang w:val="en-GB"/>
        </w:rPr>
        <w:t xml:space="preserve"> per </w:t>
      </w:r>
      <w:r w:rsidR="00AB6AFC">
        <w:rPr>
          <w:lang w:val="en-GB"/>
        </w:rPr>
        <w:t>year</w:t>
      </w:r>
      <w:r w:rsidRPr="00CD72ED">
        <w:rPr>
          <w:lang w:val="en-GB"/>
        </w:rPr>
        <w:t>, the growth in sector-oriented funds, thematic funds</w:t>
      </w:r>
      <w:r w:rsidR="001C1E14">
        <w:rPr>
          <w:lang w:val="en-GB"/>
        </w:rPr>
        <w:t>,</w:t>
      </w:r>
      <w:r w:rsidRPr="00CD72ED">
        <w:rPr>
          <w:lang w:val="en-GB"/>
        </w:rPr>
        <w:t xml:space="preserve"> and index funds </w:t>
      </w:r>
      <w:r w:rsidR="00AB6AFC">
        <w:rPr>
          <w:lang w:val="en-GB"/>
        </w:rPr>
        <w:t>had been</w:t>
      </w:r>
      <w:r w:rsidRPr="00CD72ED">
        <w:rPr>
          <w:lang w:val="en-GB"/>
        </w:rPr>
        <w:t xml:space="preserve"> approximately 10</w:t>
      </w:r>
      <w:r w:rsidR="001C1E14">
        <w:rPr>
          <w:lang w:val="en-GB"/>
        </w:rPr>
        <w:t xml:space="preserve"> per cent</w:t>
      </w:r>
      <w:r w:rsidRPr="00CD72ED">
        <w:rPr>
          <w:lang w:val="en-GB"/>
        </w:rPr>
        <w:t xml:space="preserve"> per </w:t>
      </w:r>
      <w:r w:rsidR="00834387">
        <w:rPr>
          <w:lang w:val="en-GB"/>
        </w:rPr>
        <w:t>year</w:t>
      </w:r>
      <w:r w:rsidRPr="00CD72ED">
        <w:rPr>
          <w:lang w:val="en-GB"/>
        </w:rPr>
        <w:t xml:space="preserve">. Similarly, most of the growth in hybrid funds was led by equity-oriented funds, which </w:t>
      </w:r>
      <w:r w:rsidR="00AB6AFC">
        <w:rPr>
          <w:lang w:val="en-GB"/>
        </w:rPr>
        <w:t>had grown</w:t>
      </w:r>
      <w:r w:rsidRPr="00CD72ED">
        <w:rPr>
          <w:lang w:val="en-GB"/>
        </w:rPr>
        <w:t xml:space="preserve"> at a phenomenal rate of 80</w:t>
      </w:r>
      <w:r w:rsidR="001C1E14">
        <w:rPr>
          <w:lang w:val="en-GB"/>
        </w:rPr>
        <w:t xml:space="preserve"> per cent</w:t>
      </w:r>
      <w:r w:rsidRPr="00CD72ED">
        <w:rPr>
          <w:lang w:val="en-GB"/>
        </w:rPr>
        <w:t xml:space="preserve"> per </w:t>
      </w:r>
      <w:r w:rsidR="00834387">
        <w:rPr>
          <w:lang w:val="en-GB"/>
        </w:rPr>
        <w:t>year</w:t>
      </w:r>
      <w:r w:rsidRPr="00CD72ED">
        <w:rPr>
          <w:lang w:val="en-GB"/>
        </w:rPr>
        <w:t>.</w:t>
      </w:r>
    </w:p>
    <w:p w14:paraId="32FFDD8B" w14:textId="77777777" w:rsidR="00684280" w:rsidRPr="0075655C" w:rsidRDefault="00684280" w:rsidP="00684280">
      <w:pPr>
        <w:jc w:val="both"/>
        <w:rPr>
          <w:sz w:val="22"/>
          <w:szCs w:val="24"/>
          <w:lang w:val="en-GB"/>
        </w:rPr>
      </w:pPr>
    </w:p>
    <w:p w14:paraId="1CE2DDB6" w14:textId="77777777" w:rsidR="00684280" w:rsidRPr="0075655C" w:rsidRDefault="00684280" w:rsidP="00684280">
      <w:pPr>
        <w:jc w:val="both"/>
        <w:rPr>
          <w:sz w:val="22"/>
          <w:szCs w:val="24"/>
          <w:lang w:val="en-GB"/>
        </w:rPr>
      </w:pPr>
    </w:p>
    <w:p w14:paraId="5E79CAAA" w14:textId="390DBF2C" w:rsidR="00684280" w:rsidRPr="00CD72ED" w:rsidRDefault="00684280" w:rsidP="00684280">
      <w:pPr>
        <w:pStyle w:val="Casehead1"/>
        <w:rPr>
          <w:lang w:val="en-GB"/>
        </w:rPr>
      </w:pPr>
      <w:r w:rsidRPr="00CD72ED">
        <w:rPr>
          <w:lang w:val="en-GB"/>
        </w:rPr>
        <w:t xml:space="preserve">The </w:t>
      </w:r>
      <w:r w:rsidR="007B3B63">
        <w:rPr>
          <w:lang w:val="en-GB"/>
        </w:rPr>
        <w:t>TEPF</w:t>
      </w:r>
    </w:p>
    <w:p w14:paraId="46605C25" w14:textId="77777777" w:rsidR="00684280" w:rsidRPr="00CD72ED" w:rsidRDefault="00684280" w:rsidP="00684280">
      <w:pPr>
        <w:pStyle w:val="Casehead1"/>
        <w:rPr>
          <w:lang w:val="en-GB"/>
        </w:rPr>
      </w:pPr>
    </w:p>
    <w:p w14:paraId="0160CF60" w14:textId="3B56D874" w:rsidR="00684280" w:rsidRPr="001E38D5" w:rsidRDefault="00684280" w:rsidP="00684280">
      <w:pPr>
        <w:pStyle w:val="BodyTextMain"/>
        <w:rPr>
          <w:spacing w:val="-2"/>
          <w:lang w:val="en-GB"/>
        </w:rPr>
      </w:pPr>
      <w:r w:rsidRPr="001E38D5">
        <w:rPr>
          <w:spacing w:val="-2"/>
          <w:lang w:val="en-GB"/>
        </w:rPr>
        <w:t xml:space="preserve">In 2004, Tata Mutual Funds launched the TEPF with </w:t>
      </w:r>
      <w:r w:rsidR="0004415D" w:rsidRPr="001E38D5">
        <w:rPr>
          <w:spacing w:val="-2"/>
          <w:lang w:val="en-GB"/>
        </w:rPr>
        <w:t xml:space="preserve">the </w:t>
      </w:r>
      <w:r w:rsidRPr="001E38D5">
        <w:rPr>
          <w:spacing w:val="-2"/>
          <w:lang w:val="en-GB"/>
        </w:rPr>
        <w:t xml:space="preserve">objective </w:t>
      </w:r>
      <w:r w:rsidR="0004415D" w:rsidRPr="001E38D5">
        <w:rPr>
          <w:spacing w:val="-2"/>
          <w:lang w:val="en-GB"/>
        </w:rPr>
        <w:t xml:space="preserve">of </w:t>
      </w:r>
      <w:r w:rsidRPr="001E38D5">
        <w:rPr>
          <w:spacing w:val="-2"/>
          <w:lang w:val="en-GB"/>
        </w:rPr>
        <w:t>invest</w:t>
      </w:r>
      <w:r w:rsidR="0004415D" w:rsidRPr="001E38D5">
        <w:rPr>
          <w:spacing w:val="-2"/>
          <w:lang w:val="en-GB"/>
        </w:rPr>
        <w:t>ing</w:t>
      </w:r>
      <w:r w:rsidRPr="001E38D5">
        <w:rPr>
          <w:spacing w:val="-2"/>
          <w:lang w:val="en-GB"/>
        </w:rPr>
        <w:t xml:space="preserve"> in a diversified portfolio of value-oriented stocks. Value stocks were those stocks that traded at a relatively lower </w:t>
      </w:r>
      <w:r w:rsidR="007B3B63" w:rsidRPr="001E38D5">
        <w:rPr>
          <w:spacing w:val="-2"/>
          <w:lang w:val="en-GB"/>
        </w:rPr>
        <w:t>price–</w:t>
      </w:r>
      <w:r w:rsidR="00BD3EAC" w:rsidRPr="001E38D5">
        <w:rPr>
          <w:spacing w:val="-2"/>
          <w:lang w:val="en-GB"/>
        </w:rPr>
        <w:t>earnings (P/</w:t>
      </w:r>
      <w:r w:rsidR="007B3B63" w:rsidRPr="001E38D5">
        <w:rPr>
          <w:spacing w:val="-2"/>
          <w:lang w:val="en-GB"/>
        </w:rPr>
        <w:t>E)</w:t>
      </w:r>
      <w:r w:rsidRPr="001E38D5">
        <w:rPr>
          <w:spacing w:val="-2"/>
          <w:lang w:val="en-GB"/>
        </w:rPr>
        <w:t xml:space="preserve"> ratio than did their immediate peers. Value-oriented investors believed that valuations for such stocks were temporarily depressed and </w:t>
      </w:r>
      <w:r w:rsidR="00C65BF1" w:rsidRPr="001E38D5">
        <w:rPr>
          <w:spacing w:val="-2"/>
          <w:lang w:val="en-GB"/>
        </w:rPr>
        <w:t xml:space="preserve">would </w:t>
      </w:r>
      <w:r w:rsidRPr="001E38D5">
        <w:rPr>
          <w:spacing w:val="-2"/>
          <w:lang w:val="en-GB"/>
        </w:rPr>
        <w:t>increase when markets eventually realize</w:t>
      </w:r>
      <w:r w:rsidR="00C65BF1" w:rsidRPr="001E38D5">
        <w:rPr>
          <w:spacing w:val="-2"/>
          <w:lang w:val="en-GB"/>
        </w:rPr>
        <w:t>d</w:t>
      </w:r>
      <w:r w:rsidRPr="001E38D5">
        <w:rPr>
          <w:spacing w:val="-2"/>
          <w:lang w:val="en-GB"/>
        </w:rPr>
        <w:t xml:space="preserve"> their true potential. </w:t>
      </w:r>
      <w:r w:rsidR="009E0D98" w:rsidRPr="001E38D5">
        <w:rPr>
          <w:spacing w:val="-2"/>
          <w:lang w:val="en-GB"/>
        </w:rPr>
        <w:t xml:space="preserve">The </w:t>
      </w:r>
      <w:r w:rsidRPr="001E38D5">
        <w:rPr>
          <w:spacing w:val="-2"/>
          <w:lang w:val="en-GB"/>
        </w:rPr>
        <w:t xml:space="preserve">TEPF was an open-ended fund that aimed to invest in stocks whose rolling </w:t>
      </w:r>
      <w:r w:rsidR="00DC7447" w:rsidRPr="001E38D5">
        <w:rPr>
          <w:spacing w:val="-2"/>
          <w:lang w:val="en-GB"/>
        </w:rPr>
        <w:t>P/</w:t>
      </w:r>
      <w:r w:rsidR="00EF7D80" w:rsidRPr="001E38D5">
        <w:rPr>
          <w:spacing w:val="-2"/>
          <w:lang w:val="en-GB"/>
        </w:rPr>
        <w:t xml:space="preserve">E </w:t>
      </w:r>
      <w:r w:rsidRPr="001E38D5">
        <w:rPr>
          <w:spacing w:val="-2"/>
          <w:lang w:val="en-GB"/>
        </w:rPr>
        <w:t xml:space="preserve">ratio was lower than </w:t>
      </w:r>
      <w:r w:rsidR="00C65BF1" w:rsidRPr="001E38D5">
        <w:rPr>
          <w:spacing w:val="-2"/>
          <w:lang w:val="en-GB"/>
        </w:rPr>
        <w:t>that</w:t>
      </w:r>
      <w:r w:rsidRPr="001E38D5">
        <w:rPr>
          <w:spacing w:val="-2"/>
          <w:lang w:val="en-GB"/>
        </w:rPr>
        <w:t xml:space="preserve"> of its benchmark, the Bombay Stock Exchange </w:t>
      </w:r>
      <w:r w:rsidR="008575BB" w:rsidRPr="001E38D5">
        <w:rPr>
          <w:spacing w:val="-2"/>
          <w:lang w:val="en-GB"/>
        </w:rPr>
        <w:t>(BSE) Sensitive Index (</w:t>
      </w:r>
      <w:r w:rsidRPr="001E38D5">
        <w:rPr>
          <w:spacing w:val="-2"/>
          <w:lang w:val="en-GB"/>
        </w:rPr>
        <w:t>SENSEX</w:t>
      </w:r>
      <w:r w:rsidR="008575BB" w:rsidRPr="001E38D5">
        <w:rPr>
          <w:spacing w:val="-2"/>
          <w:lang w:val="en-GB"/>
        </w:rPr>
        <w:t>)</w:t>
      </w:r>
      <w:r w:rsidRPr="001E38D5">
        <w:rPr>
          <w:spacing w:val="-2"/>
          <w:lang w:val="en-GB"/>
        </w:rPr>
        <w:t>.</w:t>
      </w:r>
      <w:r w:rsidRPr="001E38D5">
        <w:rPr>
          <w:rStyle w:val="FootnoteReference"/>
          <w:spacing w:val="-2"/>
          <w:lang w:val="en-GB"/>
        </w:rPr>
        <w:footnoteReference w:id="2"/>
      </w:r>
      <w:r w:rsidRPr="001E38D5">
        <w:rPr>
          <w:spacing w:val="-2"/>
          <w:lang w:val="en-GB"/>
        </w:rPr>
        <w:t xml:space="preserve"> As per the key information memorandum floated by the fund, the fund was suitable for investors seeking long-term capital appreciation and reasonable regular income through dividends paid by the constituent stocks. Since April 2016, </w:t>
      </w:r>
      <w:r w:rsidR="00EF7D80" w:rsidRPr="001E38D5">
        <w:rPr>
          <w:spacing w:val="-2"/>
          <w:lang w:val="en-GB"/>
        </w:rPr>
        <w:t xml:space="preserve">the </w:t>
      </w:r>
      <w:r w:rsidRPr="001E38D5">
        <w:rPr>
          <w:spacing w:val="-2"/>
          <w:lang w:val="en-GB"/>
        </w:rPr>
        <w:t xml:space="preserve">TEPF had been managed by Sonam Udasi, who also managed 10 other funds </w:t>
      </w:r>
      <w:r w:rsidR="00952C8E" w:rsidRPr="001E38D5">
        <w:rPr>
          <w:spacing w:val="-2"/>
          <w:lang w:val="en-GB"/>
        </w:rPr>
        <w:t xml:space="preserve">within </w:t>
      </w:r>
      <w:r w:rsidRPr="001E38D5">
        <w:rPr>
          <w:spacing w:val="-2"/>
          <w:lang w:val="en-GB"/>
        </w:rPr>
        <w:t>the Tata</w:t>
      </w:r>
      <w:r w:rsidR="0082072E" w:rsidRPr="001E38D5">
        <w:rPr>
          <w:spacing w:val="-2"/>
          <w:lang w:val="en-GB"/>
        </w:rPr>
        <w:t xml:space="preserve"> Mutual</w:t>
      </w:r>
      <w:r w:rsidRPr="001E38D5">
        <w:rPr>
          <w:spacing w:val="-2"/>
          <w:lang w:val="en-GB"/>
        </w:rPr>
        <w:t xml:space="preserve"> Fund.</w:t>
      </w:r>
      <w:r w:rsidRPr="001E38D5">
        <w:rPr>
          <w:rStyle w:val="FootnoteReference"/>
          <w:spacing w:val="-2"/>
          <w:lang w:val="en-GB"/>
        </w:rPr>
        <w:footnoteReference w:id="3"/>
      </w:r>
    </w:p>
    <w:p w14:paraId="79BBC6CA" w14:textId="77777777" w:rsidR="00684280" w:rsidRPr="00CD72ED" w:rsidRDefault="00684280" w:rsidP="00684280">
      <w:pPr>
        <w:pStyle w:val="BodyTextMain"/>
        <w:rPr>
          <w:lang w:val="en-GB"/>
        </w:rPr>
      </w:pPr>
    </w:p>
    <w:p w14:paraId="7A0053C3" w14:textId="1B0E5852" w:rsidR="00684280" w:rsidRPr="00CD72ED" w:rsidRDefault="00684280" w:rsidP="00684280">
      <w:pPr>
        <w:pStyle w:val="BodyTextMain"/>
        <w:rPr>
          <w:lang w:val="en-GB"/>
        </w:rPr>
      </w:pPr>
      <w:r w:rsidRPr="00CD72ED">
        <w:rPr>
          <w:lang w:val="en-GB"/>
        </w:rPr>
        <w:t xml:space="preserve">Exhibit 2 shows data pertaining to </w:t>
      </w:r>
      <w:r w:rsidR="00EF7D80">
        <w:rPr>
          <w:lang w:val="en-GB"/>
        </w:rPr>
        <w:t xml:space="preserve">the </w:t>
      </w:r>
      <w:r w:rsidRPr="00CD72ED">
        <w:rPr>
          <w:lang w:val="en-GB"/>
        </w:rPr>
        <w:t xml:space="preserve">TEPF and its benchmark for the </w:t>
      </w:r>
      <w:r w:rsidR="00DC7447">
        <w:rPr>
          <w:lang w:val="en-GB"/>
        </w:rPr>
        <w:t>past</w:t>
      </w:r>
      <w:r w:rsidR="00DC7447" w:rsidRPr="00CD72ED">
        <w:rPr>
          <w:lang w:val="en-GB"/>
        </w:rPr>
        <w:t xml:space="preserve"> </w:t>
      </w:r>
      <w:r w:rsidRPr="00CD72ED">
        <w:rPr>
          <w:lang w:val="en-GB"/>
        </w:rPr>
        <w:t xml:space="preserve">five years. As of September 2017, </w:t>
      </w:r>
      <w:r w:rsidR="00EF7D80">
        <w:rPr>
          <w:lang w:val="en-GB"/>
        </w:rPr>
        <w:t xml:space="preserve">the </w:t>
      </w:r>
      <w:r w:rsidRPr="00CD72ED">
        <w:rPr>
          <w:lang w:val="en-GB"/>
        </w:rPr>
        <w:t xml:space="preserve">TEPF had a total AUM of </w:t>
      </w:r>
      <w:r w:rsidR="00AB6AFC" w:rsidRPr="008C2652">
        <w:rPr>
          <w:rFonts w:ascii="Arial" w:hAnsi="Arial" w:cs="Arial"/>
          <w:sz w:val="20"/>
          <w:szCs w:val="20"/>
          <w:lang w:val="en-GB"/>
        </w:rPr>
        <w:t>₹</w:t>
      </w:r>
      <w:r w:rsidRPr="00CD72ED">
        <w:rPr>
          <w:lang w:val="en-GB"/>
        </w:rPr>
        <w:t>18.15 billion, which was growing at a CAGR of 48</w:t>
      </w:r>
      <w:r w:rsidR="00EF7D80">
        <w:rPr>
          <w:lang w:val="en-GB"/>
        </w:rPr>
        <w:t xml:space="preserve"> per cent</w:t>
      </w:r>
      <w:r w:rsidRPr="00CD72ED">
        <w:rPr>
          <w:lang w:val="en-GB"/>
        </w:rPr>
        <w:t xml:space="preserve"> per </w:t>
      </w:r>
      <w:r w:rsidR="00AB6AFC">
        <w:rPr>
          <w:lang w:val="en-GB"/>
        </w:rPr>
        <w:t>year</w:t>
      </w:r>
      <w:r w:rsidRPr="00CD72ED">
        <w:rPr>
          <w:lang w:val="en-GB"/>
        </w:rPr>
        <w:t xml:space="preserve">. The fund had beaten its benchmark by a wide margin in four of the preceding five years ending September 2017. This was reflected in the fund’s ranking among its peers, where it </w:t>
      </w:r>
      <w:r w:rsidR="00AB6AFC">
        <w:rPr>
          <w:lang w:val="en-GB"/>
        </w:rPr>
        <w:t xml:space="preserve">had </w:t>
      </w:r>
      <w:r w:rsidRPr="00CD72ED">
        <w:rPr>
          <w:lang w:val="en-GB"/>
        </w:rPr>
        <w:t>stood in the top five funds for three out of the last five years.</w:t>
      </w:r>
    </w:p>
    <w:p w14:paraId="33C61AEF" w14:textId="77777777" w:rsidR="00684280" w:rsidRPr="00CD72ED" w:rsidRDefault="00684280" w:rsidP="00684280">
      <w:pPr>
        <w:pStyle w:val="BodyTextMain"/>
        <w:rPr>
          <w:lang w:val="en-GB"/>
        </w:rPr>
      </w:pPr>
    </w:p>
    <w:p w14:paraId="799A6164" w14:textId="0AFBF458" w:rsidR="00684280" w:rsidRDefault="00684280" w:rsidP="00684280">
      <w:pPr>
        <w:pStyle w:val="BodyTextMain"/>
        <w:rPr>
          <w:lang w:val="en-GB"/>
        </w:rPr>
      </w:pPr>
      <w:r w:rsidRPr="00CD72ED">
        <w:rPr>
          <w:lang w:val="en-GB"/>
        </w:rPr>
        <w:t>Exhibit 3 shows the constitution of typical portfolio holdings in the fund, along with the benchmark. While the benchmark was a pure large-cap portfolio, the fund</w:t>
      </w:r>
      <w:r w:rsidR="00B0520D" w:rsidRPr="00CD72ED">
        <w:rPr>
          <w:lang w:val="en-GB"/>
        </w:rPr>
        <w:t xml:space="preserve"> also</w:t>
      </w:r>
      <w:r w:rsidRPr="00CD72ED">
        <w:rPr>
          <w:lang w:val="en-GB"/>
        </w:rPr>
        <w:t xml:space="preserve"> invested significantly in </w:t>
      </w:r>
      <w:r w:rsidR="00B12414">
        <w:rPr>
          <w:lang w:val="en-GB"/>
        </w:rPr>
        <w:t>mid-</w:t>
      </w:r>
      <w:r w:rsidRPr="00CD72ED">
        <w:rPr>
          <w:lang w:val="en-GB"/>
        </w:rPr>
        <w:t xml:space="preserve"> and small-cap securities.</w:t>
      </w:r>
      <w:r w:rsidRPr="001E38D5">
        <w:rPr>
          <w:rStyle w:val="FootnoteReference"/>
          <w:lang w:val="en-GB"/>
        </w:rPr>
        <w:footnoteReference w:id="4"/>
      </w:r>
      <w:r w:rsidRPr="00CD72ED">
        <w:rPr>
          <w:lang w:val="en-GB"/>
        </w:rPr>
        <w:t xml:space="preserve"> Exhibit 4 shows additional information on TEPF attributes relevant to its invest</w:t>
      </w:r>
      <w:r w:rsidR="0075655C">
        <w:rPr>
          <w:lang w:val="en-GB"/>
        </w:rPr>
        <w:t>ors.</w:t>
      </w:r>
    </w:p>
    <w:p w14:paraId="3273A55D" w14:textId="77777777" w:rsidR="001E38D5" w:rsidRDefault="001E38D5" w:rsidP="00684280">
      <w:pPr>
        <w:pStyle w:val="BodyTextMain"/>
        <w:rPr>
          <w:lang w:val="en-GB"/>
        </w:rPr>
      </w:pPr>
    </w:p>
    <w:p w14:paraId="4BD833F6" w14:textId="77777777" w:rsidR="001001A1" w:rsidRDefault="001001A1" w:rsidP="00684280">
      <w:pPr>
        <w:pStyle w:val="BodyTextMain"/>
        <w:rPr>
          <w:lang w:val="en-GB"/>
        </w:rPr>
      </w:pPr>
    </w:p>
    <w:p w14:paraId="329720F5" w14:textId="77777777" w:rsidR="00684280" w:rsidRPr="00CD72ED" w:rsidRDefault="00684280" w:rsidP="00684280">
      <w:pPr>
        <w:pStyle w:val="Casehead1"/>
        <w:rPr>
          <w:lang w:val="en-GB"/>
        </w:rPr>
      </w:pPr>
      <w:r w:rsidRPr="00CD72ED">
        <w:rPr>
          <w:lang w:val="en-GB"/>
        </w:rPr>
        <w:lastRenderedPageBreak/>
        <w:t>The Decision to Invest</w:t>
      </w:r>
    </w:p>
    <w:p w14:paraId="08EE2AE1" w14:textId="77777777" w:rsidR="00684280" w:rsidRPr="00CD72ED" w:rsidRDefault="00684280" w:rsidP="0015734F">
      <w:pPr>
        <w:pStyle w:val="BodyTextMain"/>
        <w:rPr>
          <w:lang w:val="en-GB"/>
        </w:rPr>
      </w:pPr>
    </w:p>
    <w:p w14:paraId="6AD81292" w14:textId="2804EB95" w:rsidR="00684280" w:rsidRPr="00CD72ED" w:rsidRDefault="00684280" w:rsidP="00684280">
      <w:pPr>
        <w:pStyle w:val="BodyTextMain"/>
        <w:rPr>
          <w:lang w:val="en-GB"/>
        </w:rPr>
      </w:pPr>
      <w:r w:rsidRPr="00CD72ED">
        <w:rPr>
          <w:lang w:val="en-GB"/>
        </w:rPr>
        <w:t xml:space="preserve">Although you were quite impressed by the seemingly stellar performance of the </w:t>
      </w:r>
      <w:r w:rsidR="00B12414">
        <w:rPr>
          <w:lang w:val="en-GB"/>
        </w:rPr>
        <w:t>TEPF</w:t>
      </w:r>
      <w:r w:rsidRPr="00CD72ED">
        <w:rPr>
          <w:lang w:val="en-GB"/>
        </w:rPr>
        <w:t xml:space="preserve">, </w:t>
      </w:r>
      <w:r w:rsidR="00E8515D">
        <w:rPr>
          <w:lang w:val="en-GB"/>
        </w:rPr>
        <w:t>there were</w:t>
      </w:r>
      <w:r w:rsidRPr="00CD72ED">
        <w:rPr>
          <w:lang w:val="en-GB"/>
        </w:rPr>
        <w:t xml:space="preserve"> several </w:t>
      </w:r>
      <w:r w:rsidR="00D574E8" w:rsidRPr="00CD72ED">
        <w:rPr>
          <w:lang w:val="en-GB"/>
        </w:rPr>
        <w:t xml:space="preserve">matters </w:t>
      </w:r>
      <w:r w:rsidRPr="00CD72ED">
        <w:rPr>
          <w:lang w:val="en-GB"/>
        </w:rPr>
        <w:t xml:space="preserve">that you </w:t>
      </w:r>
      <w:r w:rsidR="00BA73CB" w:rsidRPr="00CD72ED">
        <w:rPr>
          <w:lang w:val="en-GB"/>
        </w:rPr>
        <w:t>wanted</w:t>
      </w:r>
      <w:r w:rsidRPr="00CD72ED">
        <w:rPr>
          <w:lang w:val="en-GB"/>
        </w:rPr>
        <w:t xml:space="preserve"> to clarify before deciding </w:t>
      </w:r>
      <w:r w:rsidR="00D574E8" w:rsidRPr="00CD72ED">
        <w:rPr>
          <w:lang w:val="en-GB"/>
        </w:rPr>
        <w:t xml:space="preserve">whether </w:t>
      </w:r>
      <w:r w:rsidRPr="00CD72ED">
        <w:rPr>
          <w:lang w:val="en-GB"/>
        </w:rPr>
        <w:t xml:space="preserve">to invest in the fund. Specifically, you were perplexed by </w:t>
      </w:r>
      <w:r w:rsidR="00B12414">
        <w:rPr>
          <w:lang w:val="en-GB"/>
        </w:rPr>
        <w:t xml:space="preserve">the </w:t>
      </w:r>
      <w:r w:rsidRPr="00CD72ED">
        <w:rPr>
          <w:lang w:val="en-GB"/>
        </w:rPr>
        <w:t xml:space="preserve">portfolio constitution </w:t>
      </w:r>
      <w:r w:rsidR="00E8515D">
        <w:rPr>
          <w:lang w:val="en-GB"/>
        </w:rPr>
        <w:t xml:space="preserve">of the TEPF </w:t>
      </w:r>
      <w:r w:rsidRPr="00CD72ED">
        <w:rPr>
          <w:lang w:val="en-GB"/>
        </w:rPr>
        <w:t>versus that of its benchmark. Exhibit 3 suggests a possible benchmark mis-specification</w:t>
      </w:r>
      <w:r w:rsidR="00BA4691" w:rsidRPr="00CD72ED">
        <w:rPr>
          <w:lang w:val="en-GB"/>
        </w:rPr>
        <w:t>,</w:t>
      </w:r>
      <w:r w:rsidRPr="00CD72ED">
        <w:rPr>
          <w:lang w:val="en-GB"/>
        </w:rPr>
        <w:t xml:space="preserve"> as </w:t>
      </w:r>
      <w:r w:rsidR="0091175A">
        <w:rPr>
          <w:lang w:val="en-GB"/>
        </w:rPr>
        <w:t xml:space="preserve">the </w:t>
      </w:r>
      <w:r w:rsidR="00381D80" w:rsidRPr="00CD72ED">
        <w:rPr>
          <w:lang w:val="en-GB"/>
        </w:rPr>
        <w:t xml:space="preserve">TEPF’s </w:t>
      </w:r>
      <w:r w:rsidRPr="00CD72ED">
        <w:rPr>
          <w:lang w:val="en-GB"/>
        </w:rPr>
        <w:t xml:space="preserve">investment style </w:t>
      </w:r>
      <w:r w:rsidR="00BA4691" w:rsidRPr="00CD72ED">
        <w:rPr>
          <w:lang w:val="en-GB"/>
        </w:rPr>
        <w:t xml:space="preserve">differed </w:t>
      </w:r>
      <w:r w:rsidRPr="00CD72ED">
        <w:rPr>
          <w:lang w:val="en-GB"/>
        </w:rPr>
        <w:t xml:space="preserve">significantly. Thus, although the fund’s returns </w:t>
      </w:r>
      <w:r w:rsidR="00797CA3" w:rsidRPr="00CD72ED">
        <w:rPr>
          <w:lang w:val="en-GB"/>
        </w:rPr>
        <w:t xml:space="preserve">nominally </w:t>
      </w:r>
      <w:r w:rsidRPr="00CD72ED">
        <w:rPr>
          <w:lang w:val="en-GB"/>
        </w:rPr>
        <w:t xml:space="preserve">exceeded those of the benchmark, you </w:t>
      </w:r>
      <w:r w:rsidR="00381D80" w:rsidRPr="00CD72ED">
        <w:rPr>
          <w:lang w:val="en-GB"/>
        </w:rPr>
        <w:t xml:space="preserve">wanted </w:t>
      </w:r>
      <w:r w:rsidRPr="00CD72ED">
        <w:rPr>
          <w:lang w:val="en-GB"/>
        </w:rPr>
        <w:t>to assess the risk-adjusted performance of the fund versus the benchmark.</w:t>
      </w:r>
    </w:p>
    <w:p w14:paraId="33EFA978" w14:textId="77777777" w:rsidR="00684280" w:rsidRPr="00CD72ED" w:rsidRDefault="00684280" w:rsidP="00684280">
      <w:pPr>
        <w:pStyle w:val="BodyTextMain"/>
        <w:rPr>
          <w:lang w:val="en-GB"/>
        </w:rPr>
      </w:pPr>
    </w:p>
    <w:p w14:paraId="7E4D5463" w14:textId="77777777" w:rsidR="00684280" w:rsidRPr="00CD72ED" w:rsidRDefault="00684280" w:rsidP="00684280">
      <w:pPr>
        <w:pStyle w:val="BodyTextMain"/>
        <w:rPr>
          <w:lang w:val="en-GB"/>
        </w:rPr>
      </w:pPr>
      <w:r w:rsidRPr="00CD72ED">
        <w:rPr>
          <w:lang w:val="en-GB"/>
        </w:rPr>
        <w:t>You recalled from your basic knowledge of financial concepts that the risk could be measured as the volatility in returns in absolute terms or as compared to the benchmark. That is, either the standard deviation of a fund’s returns or its beta might be useful in assessing the risk-adjusted performance. However, in a case where the benchmark itself was incorrectly specified, you wondered if such a measure would be useful for studying the fund’s outperformance, even on a risk-adjusted basis. You were of the view that in such situations, the fund’s performance should rather be evaluated with respect to a benchmark that reflected the true style of the fund’s operation.</w:t>
      </w:r>
    </w:p>
    <w:p w14:paraId="0C452F1F" w14:textId="77777777" w:rsidR="00684280" w:rsidRPr="00CD72ED" w:rsidRDefault="00684280" w:rsidP="00684280">
      <w:pPr>
        <w:pStyle w:val="BodyTextMain"/>
        <w:rPr>
          <w:lang w:val="en-GB"/>
        </w:rPr>
      </w:pPr>
    </w:p>
    <w:p w14:paraId="77AB42C9" w14:textId="0D8ACB3E" w:rsidR="00684280" w:rsidRPr="00CD72ED" w:rsidRDefault="00684280" w:rsidP="00684280">
      <w:pPr>
        <w:pStyle w:val="BodyTextMain"/>
        <w:rPr>
          <w:lang w:val="en-GB"/>
        </w:rPr>
      </w:pPr>
      <w:r w:rsidRPr="00CD72ED">
        <w:rPr>
          <w:lang w:val="en-GB"/>
        </w:rPr>
        <w:t xml:space="preserve">While collecting the inputs required to create a style-adjusted benchmark, you </w:t>
      </w:r>
      <w:r w:rsidR="00577B23">
        <w:rPr>
          <w:lang w:val="en-GB"/>
        </w:rPr>
        <w:t>considered</w:t>
      </w:r>
      <w:r w:rsidRPr="00CD72ED">
        <w:rPr>
          <w:lang w:val="en-GB"/>
        </w:rPr>
        <w:t xml:space="preserve"> the required properties of such a benchmark. Although a modified benchmark should reflect the fund’s typical style of operation, it should be devoid of any active management</w:t>
      </w:r>
      <w:r w:rsidR="00DC5FB3">
        <w:rPr>
          <w:lang w:val="en-GB"/>
        </w:rPr>
        <w:t>—that</w:t>
      </w:r>
      <w:r w:rsidRPr="00CD72ED">
        <w:rPr>
          <w:lang w:val="en-GB"/>
        </w:rPr>
        <w:t xml:space="preserve"> is, first the modified benchmark and the fund should have similar exposure to factors that could influence stock prices in general. According to the </w:t>
      </w:r>
      <w:r w:rsidR="0091175A">
        <w:rPr>
          <w:lang w:val="en-GB"/>
        </w:rPr>
        <w:t>asset-pricing</w:t>
      </w:r>
      <w:r w:rsidRPr="00CD72ED">
        <w:rPr>
          <w:lang w:val="en-GB"/>
        </w:rPr>
        <w:t xml:space="preserve"> literature,</w:t>
      </w:r>
      <w:r w:rsidRPr="001E38D5">
        <w:rPr>
          <w:rStyle w:val="FootnoteReference"/>
          <w:lang w:val="en-GB"/>
        </w:rPr>
        <w:footnoteReference w:id="5"/>
      </w:r>
      <w:r w:rsidRPr="00CD72ED">
        <w:rPr>
          <w:lang w:val="en-GB"/>
        </w:rPr>
        <w:t xml:space="preserve"> these factors </w:t>
      </w:r>
      <w:r w:rsidR="0069309B">
        <w:rPr>
          <w:lang w:val="en-GB"/>
        </w:rPr>
        <w:t>were</w:t>
      </w:r>
      <w:r w:rsidR="0069309B" w:rsidRPr="00CD72ED">
        <w:rPr>
          <w:lang w:val="en-GB"/>
        </w:rPr>
        <w:t xml:space="preserve"> </w:t>
      </w:r>
      <w:r w:rsidRPr="00CD72ED">
        <w:rPr>
          <w:lang w:val="en-GB"/>
        </w:rPr>
        <w:t>usually the size, growth orientation</w:t>
      </w:r>
      <w:r w:rsidR="0069309B">
        <w:rPr>
          <w:lang w:val="en-GB"/>
        </w:rPr>
        <w:t>,</w:t>
      </w:r>
      <w:r w:rsidRPr="00CD72ED">
        <w:rPr>
          <w:lang w:val="en-GB"/>
        </w:rPr>
        <w:t xml:space="preserve"> and momentum in stock returns. Second, the style-adjusted benchmark should not bet on any specific security. That is, the benchmark should be a truly passive portfolio.</w:t>
      </w:r>
    </w:p>
    <w:p w14:paraId="552D7986" w14:textId="77777777" w:rsidR="00684280" w:rsidRPr="00CD72ED" w:rsidRDefault="00684280" w:rsidP="00684280">
      <w:pPr>
        <w:pStyle w:val="BodyTextMain"/>
        <w:rPr>
          <w:lang w:val="en-GB"/>
        </w:rPr>
      </w:pPr>
    </w:p>
    <w:p w14:paraId="1CB138E3" w14:textId="782D11DA" w:rsidR="00763FA1" w:rsidRDefault="00684280" w:rsidP="00684280">
      <w:pPr>
        <w:pStyle w:val="BodyTextMain"/>
        <w:rPr>
          <w:lang w:val="en-GB"/>
        </w:rPr>
      </w:pPr>
      <w:r w:rsidRPr="00CD72ED">
        <w:rPr>
          <w:lang w:val="en-GB"/>
        </w:rPr>
        <w:t>After going through some studies on performance attribution,</w:t>
      </w:r>
      <w:r w:rsidRPr="001E38D5">
        <w:rPr>
          <w:rStyle w:val="FootnoteReference"/>
          <w:lang w:val="en-GB"/>
        </w:rPr>
        <w:footnoteReference w:id="6"/>
      </w:r>
      <w:r w:rsidRPr="00CD72ED">
        <w:rPr>
          <w:lang w:val="en-GB"/>
        </w:rPr>
        <w:t xml:space="preserve"> you envisioned that a style-adjusted benchmark could </w:t>
      </w:r>
      <w:r w:rsidR="0069309B">
        <w:rPr>
          <w:lang w:val="en-GB"/>
        </w:rPr>
        <w:t xml:space="preserve">first </w:t>
      </w:r>
      <w:r w:rsidRPr="00CD72ED">
        <w:rPr>
          <w:lang w:val="en-GB"/>
        </w:rPr>
        <w:t>be created</w:t>
      </w:r>
      <w:r w:rsidR="0069309B">
        <w:rPr>
          <w:lang w:val="en-GB"/>
        </w:rPr>
        <w:t xml:space="preserve"> </w:t>
      </w:r>
      <w:r w:rsidRPr="00CD72ED">
        <w:rPr>
          <w:lang w:val="en-GB"/>
        </w:rPr>
        <w:t xml:space="preserve">by mapping each constituent </w:t>
      </w:r>
      <w:r w:rsidR="00D717D7" w:rsidRPr="00CD72ED">
        <w:rPr>
          <w:lang w:val="en-GB"/>
        </w:rPr>
        <w:t xml:space="preserve">TEPF </w:t>
      </w:r>
      <w:r w:rsidRPr="00CD72ED">
        <w:rPr>
          <w:lang w:val="en-GB"/>
        </w:rPr>
        <w:t xml:space="preserve">stock to a representative portfolio reflecting the stock’s concurrence with the three asset-pricing factors. </w:t>
      </w:r>
      <w:r w:rsidR="00763FA1" w:rsidRPr="00CD72ED">
        <w:rPr>
          <w:lang w:val="en-GB"/>
        </w:rPr>
        <w:t>Portfolios representing the interaction of these three factors could be created by sorting the universe of all available stocks in the broader market into quintiles based on these factors. Accordingly, a total of 125 (</w:t>
      </w:r>
      <w:r w:rsidR="0069309B">
        <w:rPr>
          <w:lang w:val="en-GB"/>
        </w:rPr>
        <w:t>5 × 5 × 5</w:t>
      </w:r>
      <w:r w:rsidR="00763FA1" w:rsidRPr="00CD72ED">
        <w:rPr>
          <w:lang w:val="en-GB"/>
        </w:rPr>
        <w:t xml:space="preserve">) portfolios would serve as representative portfolios for each month. Each constituent TEPF stock could then be mapped exclusively to one of these 125 portfolios for each month. </w:t>
      </w:r>
      <w:r w:rsidRPr="00CD72ED">
        <w:rPr>
          <w:lang w:val="en-GB"/>
        </w:rPr>
        <w:t xml:space="preserve">For example, </w:t>
      </w:r>
      <w:r w:rsidR="000E7786" w:rsidRPr="00CD72ED">
        <w:rPr>
          <w:lang w:val="en-GB"/>
        </w:rPr>
        <w:t xml:space="preserve">assuming </w:t>
      </w:r>
      <w:r w:rsidRPr="00CD72ED">
        <w:rPr>
          <w:lang w:val="en-GB"/>
        </w:rPr>
        <w:t xml:space="preserve">a </w:t>
      </w:r>
      <w:r w:rsidR="000E7786" w:rsidRPr="00CD72ED">
        <w:rPr>
          <w:lang w:val="en-GB"/>
        </w:rPr>
        <w:t xml:space="preserve">TEPF </w:t>
      </w:r>
      <w:r w:rsidRPr="00CD72ED">
        <w:rPr>
          <w:lang w:val="en-GB"/>
        </w:rPr>
        <w:t xml:space="preserve">stock XYZ </w:t>
      </w:r>
      <w:r w:rsidR="004B0300" w:rsidRPr="00CD72ED">
        <w:rPr>
          <w:lang w:val="en-GB"/>
        </w:rPr>
        <w:t xml:space="preserve">at the end of a month </w:t>
      </w:r>
      <w:r w:rsidRPr="00CD72ED">
        <w:rPr>
          <w:lang w:val="en-GB"/>
        </w:rPr>
        <w:t>was among the top quintile</w:t>
      </w:r>
      <w:r w:rsidR="006C5C51" w:rsidRPr="00CD72ED">
        <w:rPr>
          <w:lang w:val="en-GB"/>
        </w:rPr>
        <w:t xml:space="preserve"> of</w:t>
      </w:r>
      <w:r w:rsidRPr="00CD72ED">
        <w:rPr>
          <w:lang w:val="en-GB"/>
        </w:rPr>
        <w:t xml:space="preserve"> stocks of all the available stocks trading in the broader market in terms of its size,</w:t>
      </w:r>
      <w:r w:rsidR="00DC68BA" w:rsidRPr="00CD72ED">
        <w:rPr>
          <w:lang w:val="en-GB"/>
        </w:rPr>
        <w:t xml:space="preserve"> the</w:t>
      </w:r>
      <w:r w:rsidRPr="00CD72ED">
        <w:rPr>
          <w:lang w:val="en-GB"/>
        </w:rPr>
        <w:t xml:space="preserve"> bottom quintile</w:t>
      </w:r>
      <w:r w:rsidR="000E7786" w:rsidRPr="00CD72ED">
        <w:rPr>
          <w:lang w:val="en-GB"/>
        </w:rPr>
        <w:t xml:space="preserve"> of</w:t>
      </w:r>
      <w:r w:rsidRPr="00CD72ED">
        <w:rPr>
          <w:lang w:val="en-GB"/>
        </w:rPr>
        <w:t xml:space="preserve"> stocks in terms of its growth orientation</w:t>
      </w:r>
      <w:r w:rsidR="0069309B">
        <w:rPr>
          <w:lang w:val="en-GB"/>
        </w:rPr>
        <w:t>,</w:t>
      </w:r>
      <w:r w:rsidRPr="00CD72ED">
        <w:rPr>
          <w:lang w:val="en-GB"/>
        </w:rPr>
        <w:t xml:space="preserve"> and the third quintile </w:t>
      </w:r>
      <w:r w:rsidR="000E7786" w:rsidRPr="00CD72ED">
        <w:rPr>
          <w:lang w:val="en-GB"/>
        </w:rPr>
        <w:t xml:space="preserve">of </w:t>
      </w:r>
      <w:r w:rsidRPr="00CD72ED">
        <w:rPr>
          <w:lang w:val="en-GB"/>
        </w:rPr>
        <w:t>stocks in terms of its momentum</w:t>
      </w:r>
      <w:r w:rsidR="00F46535">
        <w:rPr>
          <w:lang w:val="en-GB"/>
        </w:rPr>
        <w:t>,</w:t>
      </w:r>
      <w:r w:rsidRPr="00CD72ED">
        <w:rPr>
          <w:lang w:val="en-GB"/>
        </w:rPr>
        <w:t xml:space="preserve"> then XYZ could be classified as the constituent of a portfolio of stocks representing these three quintiles </w:t>
      </w:r>
      <w:r w:rsidR="003450ED" w:rsidRPr="00CD72ED">
        <w:rPr>
          <w:lang w:val="en-GB"/>
        </w:rPr>
        <w:t>for the</w:t>
      </w:r>
      <w:r w:rsidRPr="00CD72ED">
        <w:rPr>
          <w:lang w:val="en-GB"/>
        </w:rPr>
        <w:t xml:space="preserve"> given </w:t>
      </w:r>
      <w:r w:rsidR="003450ED" w:rsidRPr="00CD72ED">
        <w:rPr>
          <w:lang w:val="en-GB"/>
        </w:rPr>
        <w:t>month</w:t>
      </w:r>
      <w:r w:rsidRPr="00CD72ED">
        <w:rPr>
          <w:lang w:val="en-GB"/>
        </w:rPr>
        <w:t xml:space="preserve">. </w:t>
      </w:r>
      <w:r w:rsidR="00763FA1" w:rsidRPr="00CD72ED">
        <w:rPr>
          <w:lang w:val="en-GB"/>
        </w:rPr>
        <w:t>Second, the monthly returns of these 125 representative portfolios would be recorded</w:t>
      </w:r>
      <w:r w:rsidR="00CD72ED">
        <w:rPr>
          <w:lang w:val="en-GB"/>
        </w:rPr>
        <w:t xml:space="preserve"> </w:t>
      </w:r>
      <w:r w:rsidR="00763FA1" w:rsidRPr="00CD72ED">
        <w:rPr>
          <w:lang w:val="en-GB"/>
        </w:rPr>
        <w:t>and assigned to the respective stocks for each month. Third, the average weights of</w:t>
      </w:r>
      <w:r w:rsidR="003450ED" w:rsidRPr="00CD72ED">
        <w:rPr>
          <w:lang w:val="en-GB"/>
        </w:rPr>
        <w:t xml:space="preserve"> </w:t>
      </w:r>
      <w:r w:rsidR="00763FA1" w:rsidRPr="00CD72ED">
        <w:rPr>
          <w:lang w:val="en-GB"/>
        </w:rPr>
        <w:t>each constituent stock</w:t>
      </w:r>
      <w:r w:rsidR="00CD72ED">
        <w:rPr>
          <w:lang w:val="en-GB"/>
        </w:rPr>
        <w:t xml:space="preserve"> </w:t>
      </w:r>
      <w:r w:rsidR="00763FA1" w:rsidRPr="00CD72ED">
        <w:rPr>
          <w:lang w:val="en-GB"/>
        </w:rPr>
        <w:t xml:space="preserve">over the period of analysis would provide </w:t>
      </w:r>
      <w:r w:rsidR="00F46535">
        <w:rPr>
          <w:lang w:val="en-GB"/>
        </w:rPr>
        <w:t xml:space="preserve">the </w:t>
      </w:r>
      <w:r w:rsidR="00763FA1" w:rsidRPr="00CD72ED">
        <w:rPr>
          <w:lang w:val="en-GB"/>
        </w:rPr>
        <w:t xml:space="preserve">TEPF’s specific style tilt during this period. Finally, the product of these average weights and the assigned monthly returns of the representative portfolios would provide the style-adjusted benchmark returns for the given month. </w:t>
      </w:r>
      <w:r w:rsidRPr="00CD72ED">
        <w:rPr>
          <w:lang w:val="en-GB"/>
        </w:rPr>
        <w:t>Importantly, if the stated benchmark truly reflected</w:t>
      </w:r>
      <w:r w:rsidR="00F46535">
        <w:rPr>
          <w:lang w:val="en-GB"/>
        </w:rPr>
        <w:t xml:space="preserve"> the</w:t>
      </w:r>
      <w:r w:rsidRPr="00CD72ED">
        <w:rPr>
          <w:lang w:val="en-GB"/>
        </w:rPr>
        <w:t xml:space="preserve"> TEPF’s typical style, there would not be any significant difference between the returns on stated and modified benchmarks. </w:t>
      </w:r>
    </w:p>
    <w:p w14:paraId="398CC873" w14:textId="77777777" w:rsidR="0075655C" w:rsidRPr="00CD72ED" w:rsidRDefault="0075655C" w:rsidP="00684280">
      <w:pPr>
        <w:pStyle w:val="BodyTextMain"/>
        <w:rPr>
          <w:lang w:val="en-GB"/>
        </w:rPr>
      </w:pPr>
    </w:p>
    <w:p w14:paraId="002E1DB9" w14:textId="381012A9" w:rsidR="00684280" w:rsidRPr="0015734F" w:rsidRDefault="00684280" w:rsidP="00684280">
      <w:pPr>
        <w:pStyle w:val="BodyTextMain"/>
        <w:rPr>
          <w:lang w:val="en-GB"/>
        </w:rPr>
      </w:pPr>
      <w:r w:rsidRPr="0015734F">
        <w:rPr>
          <w:lang w:val="en-GB"/>
        </w:rPr>
        <w:t>Panels A</w:t>
      </w:r>
      <w:r w:rsidR="00A90D88" w:rsidRPr="0015734F">
        <w:rPr>
          <w:lang w:val="en-GB"/>
        </w:rPr>
        <w:t>, B</w:t>
      </w:r>
      <w:r w:rsidR="00F46535" w:rsidRPr="0015734F">
        <w:rPr>
          <w:lang w:val="en-GB"/>
        </w:rPr>
        <w:t>,</w:t>
      </w:r>
      <w:r w:rsidR="00A90D88" w:rsidRPr="0015734F">
        <w:rPr>
          <w:lang w:val="en-GB"/>
        </w:rPr>
        <w:t xml:space="preserve"> and</w:t>
      </w:r>
      <w:r w:rsidRPr="0015734F">
        <w:rPr>
          <w:lang w:val="en-GB"/>
        </w:rPr>
        <w:t xml:space="preserve"> C of Exhibit 5 (provided as </w:t>
      </w:r>
      <w:r w:rsidR="00F46535" w:rsidRPr="0015734F">
        <w:rPr>
          <w:lang w:val="en-GB"/>
        </w:rPr>
        <w:t xml:space="preserve">an </w:t>
      </w:r>
      <w:r w:rsidR="00AB5E1A" w:rsidRPr="0015734F">
        <w:rPr>
          <w:lang w:val="en-GB"/>
        </w:rPr>
        <w:t>E</w:t>
      </w:r>
      <w:r w:rsidRPr="0015734F">
        <w:rPr>
          <w:lang w:val="en-GB"/>
        </w:rPr>
        <w:t>xcel supplement to the case</w:t>
      </w:r>
      <w:r w:rsidR="00F46535" w:rsidRPr="0015734F">
        <w:rPr>
          <w:lang w:val="en-GB"/>
        </w:rPr>
        <w:t xml:space="preserve">, Ivey product no. </w:t>
      </w:r>
      <w:r w:rsidR="0015734F" w:rsidRPr="0015734F">
        <w:rPr>
          <w:lang w:val="en-GB"/>
        </w:rPr>
        <w:t>7B18N025</w:t>
      </w:r>
      <w:r w:rsidRPr="0015734F">
        <w:rPr>
          <w:lang w:val="en-GB"/>
        </w:rPr>
        <w:t xml:space="preserve">) provide relevant information on TEPF holding percentages at the end of a month, </w:t>
      </w:r>
      <w:r w:rsidR="00883AE2" w:rsidRPr="0015734F">
        <w:rPr>
          <w:lang w:val="en-GB"/>
        </w:rPr>
        <w:t xml:space="preserve">monthly </w:t>
      </w:r>
      <w:r w:rsidRPr="0015734F">
        <w:rPr>
          <w:lang w:val="en-GB"/>
        </w:rPr>
        <w:t xml:space="preserve">returns </w:t>
      </w:r>
      <w:r w:rsidR="00883AE2" w:rsidRPr="0015734F">
        <w:rPr>
          <w:lang w:val="en-GB"/>
        </w:rPr>
        <w:t>for these constituent stocks</w:t>
      </w:r>
      <w:r w:rsidR="0086431E" w:rsidRPr="0015734F">
        <w:rPr>
          <w:lang w:val="en-GB"/>
        </w:rPr>
        <w:t>,</w:t>
      </w:r>
      <w:r w:rsidRPr="0015734F">
        <w:rPr>
          <w:lang w:val="en-GB"/>
        </w:rPr>
        <w:t xml:space="preserve"> and </w:t>
      </w:r>
      <w:r w:rsidR="00883AE2" w:rsidRPr="0015734F">
        <w:rPr>
          <w:lang w:val="en-GB"/>
        </w:rPr>
        <w:t>the monthly returns of</w:t>
      </w:r>
      <w:r w:rsidRPr="0015734F">
        <w:rPr>
          <w:lang w:val="en-GB"/>
        </w:rPr>
        <w:t xml:space="preserve"> </w:t>
      </w:r>
      <w:r w:rsidR="00763FA1" w:rsidRPr="0015734F">
        <w:rPr>
          <w:lang w:val="en-GB"/>
        </w:rPr>
        <w:t xml:space="preserve">assigned </w:t>
      </w:r>
      <w:r w:rsidRPr="0015734F">
        <w:rPr>
          <w:lang w:val="en-GB"/>
        </w:rPr>
        <w:t>representative portfolios</w:t>
      </w:r>
      <w:r w:rsidR="0086431E" w:rsidRPr="0015734F">
        <w:rPr>
          <w:lang w:val="en-GB"/>
        </w:rPr>
        <w:t>, respectively,</w:t>
      </w:r>
      <w:r w:rsidRPr="0015734F">
        <w:rPr>
          <w:lang w:val="en-GB"/>
        </w:rPr>
        <w:t xml:space="preserve"> </w:t>
      </w:r>
      <w:r w:rsidR="009858F6" w:rsidRPr="0015734F">
        <w:rPr>
          <w:lang w:val="en-GB"/>
        </w:rPr>
        <w:t>over the last 12 months</w:t>
      </w:r>
      <w:r w:rsidRPr="0015734F">
        <w:rPr>
          <w:lang w:val="en-GB"/>
        </w:rPr>
        <w:t xml:space="preserve">. </w:t>
      </w:r>
      <w:r w:rsidR="00E308F5" w:rsidRPr="0015734F">
        <w:rPr>
          <w:lang w:val="en-GB"/>
        </w:rPr>
        <w:t xml:space="preserve">Note that Exhibit 5C </w:t>
      </w:r>
      <w:r w:rsidR="007E5C18" w:rsidRPr="0015734F">
        <w:rPr>
          <w:lang w:val="en-GB"/>
        </w:rPr>
        <w:t>was</w:t>
      </w:r>
      <w:r w:rsidR="00E308F5" w:rsidRPr="0015734F">
        <w:rPr>
          <w:lang w:val="en-GB"/>
        </w:rPr>
        <w:t xml:space="preserve"> created using data from Exhibit</w:t>
      </w:r>
      <w:r w:rsidR="009D12A9" w:rsidRPr="0015734F">
        <w:rPr>
          <w:lang w:val="en-GB"/>
        </w:rPr>
        <w:t>s</w:t>
      </w:r>
      <w:r w:rsidR="00E308F5" w:rsidRPr="0015734F">
        <w:rPr>
          <w:lang w:val="en-GB"/>
        </w:rPr>
        <w:t xml:space="preserve"> 5D and 5E. Exhibit 5D shows the </w:t>
      </w:r>
      <w:r w:rsidR="00E308F5" w:rsidRPr="0015734F">
        <w:rPr>
          <w:lang w:val="en-GB"/>
        </w:rPr>
        <w:lastRenderedPageBreak/>
        <w:t xml:space="preserve">assigned number of the 125 representative portfolios to each stock. Exhibit 5E shows monthly returns for these 125 portfolios for the last 12 months. </w:t>
      </w:r>
      <w:r w:rsidRPr="0015734F">
        <w:rPr>
          <w:lang w:val="en-GB"/>
        </w:rPr>
        <w:t>Exhibit 6 shows additional relevant information about the fund and its benchmark.</w:t>
      </w:r>
    </w:p>
    <w:p w14:paraId="71F12AA6" w14:textId="700C79D4" w:rsidR="006D4EBB" w:rsidRPr="00CD72ED" w:rsidRDefault="006D4EBB" w:rsidP="00684280">
      <w:pPr>
        <w:pStyle w:val="BodyTextMain"/>
        <w:rPr>
          <w:lang w:val="en-GB"/>
        </w:rPr>
      </w:pPr>
    </w:p>
    <w:p w14:paraId="0436E9B3" w14:textId="498A89EB" w:rsidR="00684280" w:rsidRPr="00CD72ED" w:rsidRDefault="00684280" w:rsidP="00684280">
      <w:pPr>
        <w:pStyle w:val="BodyTextMain"/>
        <w:rPr>
          <w:lang w:val="en-GB"/>
        </w:rPr>
      </w:pPr>
      <w:r w:rsidRPr="00CD72ED">
        <w:rPr>
          <w:lang w:val="en-GB"/>
        </w:rPr>
        <w:t xml:space="preserve">Apart from knowing </w:t>
      </w:r>
      <w:r w:rsidR="009074FB">
        <w:rPr>
          <w:lang w:val="en-GB"/>
        </w:rPr>
        <w:t xml:space="preserve">the </w:t>
      </w:r>
      <w:r w:rsidRPr="00CD72ED">
        <w:rPr>
          <w:lang w:val="en-GB"/>
        </w:rPr>
        <w:t xml:space="preserve">TEPF’s true outperformance, you were also interested in knowing specific sources of value addition. For example, managers could change their portfolio constitution in the short run so as to gain from the new information that they continuously </w:t>
      </w:r>
      <w:r w:rsidR="009074FB">
        <w:rPr>
          <w:lang w:val="en-GB"/>
        </w:rPr>
        <w:t>gathered</w:t>
      </w:r>
      <w:r w:rsidR="009074FB" w:rsidRPr="00CD72ED">
        <w:rPr>
          <w:lang w:val="en-GB"/>
        </w:rPr>
        <w:t xml:space="preserve"> </w:t>
      </w:r>
      <w:r w:rsidRPr="00CD72ED">
        <w:rPr>
          <w:lang w:val="en-GB"/>
        </w:rPr>
        <w:t xml:space="preserve">about stocks. Similarly, fund managers often </w:t>
      </w:r>
      <w:r w:rsidR="009074FB">
        <w:rPr>
          <w:lang w:val="en-GB"/>
        </w:rPr>
        <w:t>claimed</w:t>
      </w:r>
      <w:r w:rsidR="009074FB" w:rsidRPr="00CD72ED">
        <w:rPr>
          <w:lang w:val="en-GB"/>
        </w:rPr>
        <w:t xml:space="preserve"> </w:t>
      </w:r>
      <w:r w:rsidRPr="00CD72ED">
        <w:rPr>
          <w:lang w:val="en-GB"/>
        </w:rPr>
        <w:t xml:space="preserve">to exhibit superior </w:t>
      </w:r>
      <w:r w:rsidR="00C51407">
        <w:rPr>
          <w:lang w:val="en-GB"/>
        </w:rPr>
        <w:t>stock-selection</w:t>
      </w:r>
      <w:r w:rsidRPr="00CD72ED">
        <w:rPr>
          <w:lang w:val="en-GB"/>
        </w:rPr>
        <w:t xml:space="preserve"> and </w:t>
      </w:r>
      <w:r w:rsidR="00C51407">
        <w:rPr>
          <w:lang w:val="en-GB"/>
        </w:rPr>
        <w:t>market-timing</w:t>
      </w:r>
      <w:r w:rsidRPr="00CD72ED">
        <w:rPr>
          <w:lang w:val="en-GB"/>
        </w:rPr>
        <w:t xml:space="preserve"> abilities. An exploration into the sources of outperformance would yield helpful information about the value added by the fund manager through her trading activities, management of cash, security selection</w:t>
      </w:r>
      <w:r w:rsidR="009074FB">
        <w:rPr>
          <w:lang w:val="en-GB"/>
        </w:rPr>
        <w:t>,</w:t>
      </w:r>
      <w:r w:rsidRPr="00CD72ED">
        <w:rPr>
          <w:lang w:val="en-GB"/>
        </w:rPr>
        <w:t xml:space="preserve"> and market timing.</w:t>
      </w:r>
    </w:p>
    <w:p w14:paraId="427D1AE5" w14:textId="577F823B" w:rsidR="00684280" w:rsidRPr="00CD72ED" w:rsidRDefault="00684280" w:rsidP="00684280">
      <w:pPr>
        <w:rPr>
          <w:sz w:val="22"/>
          <w:szCs w:val="22"/>
          <w:lang w:val="en-GB"/>
        </w:rPr>
      </w:pPr>
    </w:p>
    <w:p w14:paraId="7CFA050B" w14:textId="431B0BBE" w:rsidR="00763FA1" w:rsidRPr="00CD72ED" w:rsidRDefault="00763FA1" w:rsidP="00763FA1">
      <w:pPr>
        <w:pStyle w:val="BodyTextMain"/>
        <w:rPr>
          <w:lang w:val="en-GB"/>
        </w:rPr>
      </w:pPr>
      <w:r w:rsidRPr="00CD72ED">
        <w:rPr>
          <w:lang w:val="en-GB"/>
        </w:rPr>
        <w:t xml:space="preserve">You further recalled that, although the above-mentioned approach would decompose the portfolio returns at a granular level, there </w:t>
      </w:r>
      <w:r w:rsidR="007E5C18">
        <w:rPr>
          <w:lang w:val="en-GB"/>
        </w:rPr>
        <w:t>were</w:t>
      </w:r>
      <w:r w:rsidRPr="00CD72ED">
        <w:rPr>
          <w:lang w:val="en-GB"/>
        </w:rPr>
        <w:t xml:space="preserve"> other ways to study the extent of managerial skill. For example, one could use </w:t>
      </w:r>
      <w:r w:rsidR="00616F08">
        <w:rPr>
          <w:lang w:val="en-GB"/>
        </w:rPr>
        <w:t>multiple-factor</w:t>
      </w:r>
      <w:r w:rsidRPr="00CD72ED">
        <w:rPr>
          <w:lang w:val="en-GB"/>
        </w:rPr>
        <w:t xml:space="preserve"> models with the three </w:t>
      </w:r>
      <w:r w:rsidR="00616F08">
        <w:rPr>
          <w:lang w:val="en-GB"/>
        </w:rPr>
        <w:t>asset-pricing</w:t>
      </w:r>
      <w:r w:rsidRPr="00CD72ED">
        <w:rPr>
          <w:lang w:val="en-GB"/>
        </w:rPr>
        <w:t xml:space="preserve"> factors as explanatory variables to study the portfolio’s average outperformance after controlling for these factors. Further, one could track the changes in the portfolio’s style configuration over time using a style analysis. You wondered what the specific advantages and disadvantages of these alternate approaches to conducting an attribution analysis might be.</w:t>
      </w:r>
    </w:p>
    <w:p w14:paraId="02968342" w14:textId="77777777" w:rsidR="00D670F8" w:rsidRPr="00CD72ED" w:rsidRDefault="00D670F8" w:rsidP="00684280">
      <w:pPr>
        <w:rPr>
          <w:sz w:val="22"/>
          <w:szCs w:val="22"/>
          <w:lang w:val="en-GB"/>
        </w:rPr>
        <w:sectPr w:rsidR="00D670F8" w:rsidRPr="00CD72ED" w:rsidSect="00F000FD">
          <w:headerReference w:type="default" r:id="rId9"/>
          <w:pgSz w:w="12240" w:h="15840"/>
          <w:pgMar w:top="1440" w:right="1440" w:bottom="1260" w:left="1440" w:header="720" w:footer="720" w:gutter="0"/>
          <w:cols w:space="720"/>
          <w:titlePg/>
          <w:docGrid w:linePitch="360"/>
        </w:sectPr>
      </w:pPr>
    </w:p>
    <w:p w14:paraId="1B533869" w14:textId="0DBABCC0" w:rsidR="00D670F8" w:rsidRPr="00CD72ED" w:rsidRDefault="00D670F8" w:rsidP="00D670F8">
      <w:pPr>
        <w:pStyle w:val="ExhibitHeading"/>
        <w:rPr>
          <w:lang w:val="en-GB"/>
        </w:rPr>
      </w:pPr>
      <w:r w:rsidRPr="00CD72ED">
        <w:rPr>
          <w:lang w:val="en-GB"/>
        </w:rPr>
        <w:lastRenderedPageBreak/>
        <w:t>Exhibit 1: Asset</w:t>
      </w:r>
      <w:r w:rsidR="0075655C">
        <w:rPr>
          <w:lang w:val="en-GB"/>
        </w:rPr>
        <w:t>s</w:t>
      </w:r>
      <w:r w:rsidRPr="00CD72ED">
        <w:rPr>
          <w:lang w:val="en-GB"/>
        </w:rPr>
        <w:t xml:space="preserve"> under management for </w:t>
      </w:r>
      <w:r w:rsidR="00CD7C54">
        <w:rPr>
          <w:lang w:val="en-GB"/>
        </w:rPr>
        <w:t xml:space="preserve">the </w:t>
      </w:r>
      <w:r w:rsidRPr="00CD72ED">
        <w:rPr>
          <w:lang w:val="en-GB"/>
        </w:rPr>
        <w:t>Tata Mutual Fund (</w:t>
      </w:r>
      <w:r w:rsidR="00C51407">
        <w:rPr>
          <w:lang w:val="en-GB"/>
        </w:rPr>
        <w:t>₹</w:t>
      </w:r>
      <w:r w:rsidRPr="00CD72ED">
        <w:rPr>
          <w:lang w:val="en-GB"/>
        </w:rPr>
        <w:t xml:space="preserve"> Billion)</w:t>
      </w:r>
    </w:p>
    <w:p w14:paraId="62A7C898" w14:textId="77777777" w:rsidR="00D670F8" w:rsidRPr="00CD72ED" w:rsidRDefault="00D670F8" w:rsidP="00D670F8">
      <w:pPr>
        <w:rPr>
          <w:b/>
          <w:lang w:val="en-GB"/>
        </w:rPr>
      </w:pPr>
    </w:p>
    <w:tbl>
      <w:tblPr>
        <w:tblW w:w="8010" w:type="dxa"/>
        <w:jc w:val="center"/>
        <w:tblLook w:val="04A0" w:firstRow="1" w:lastRow="0" w:firstColumn="1" w:lastColumn="0" w:noHBand="0" w:noVBand="1"/>
      </w:tblPr>
      <w:tblGrid>
        <w:gridCol w:w="2092"/>
        <w:gridCol w:w="1148"/>
        <w:gridCol w:w="1170"/>
        <w:gridCol w:w="1170"/>
        <w:gridCol w:w="1170"/>
        <w:gridCol w:w="1260"/>
      </w:tblGrid>
      <w:tr w:rsidR="00D670F8" w:rsidRPr="00CD72ED" w14:paraId="4E996673"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59C74EC0" w14:textId="77777777" w:rsidR="00D670F8" w:rsidRPr="00CD72ED" w:rsidRDefault="00D670F8" w:rsidP="00EF7D80">
            <w:pPr>
              <w:rPr>
                <w:rFonts w:ascii="Arial" w:hAnsi="Arial" w:cs="Arial"/>
                <w:i/>
                <w:iCs/>
                <w:color w:val="000000"/>
                <w:lang w:val="en-GB"/>
              </w:rPr>
            </w:pPr>
          </w:p>
        </w:tc>
        <w:tc>
          <w:tcPr>
            <w:tcW w:w="1148" w:type="dxa"/>
            <w:tcBorders>
              <w:top w:val="nil"/>
              <w:left w:val="nil"/>
              <w:bottom w:val="single" w:sz="4" w:space="0" w:color="auto"/>
              <w:right w:val="nil"/>
            </w:tcBorders>
            <w:shd w:val="clear" w:color="auto" w:fill="auto"/>
            <w:noWrap/>
            <w:vAlign w:val="bottom"/>
            <w:hideMark/>
          </w:tcPr>
          <w:p w14:paraId="4E250C4B"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Sep-2017</w:t>
            </w:r>
          </w:p>
        </w:tc>
        <w:tc>
          <w:tcPr>
            <w:tcW w:w="1170" w:type="dxa"/>
            <w:tcBorders>
              <w:top w:val="nil"/>
              <w:left w:val="nil"/>
              <w:bottom w:val="single" w:sz="4" w:space="0" w:color="auto"/>
              <w:right w:val="nil"/>
            </w:tcBorders>
            <w:shd w:val="clear" w:color="auto" w:fill="auto"/>
            <w:noWrap/>
            <w:vAlign w:val="bottom"/>
            <w:hideMark/>
          </w:tcPr>
          <w:p w14:paraId="7E556C57"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Sep-2016</w:t>
            </w:r>
          </w:p>
        </w:tc>
        <w:tc>
          <w:tcPr>
            <w:tcW w:w="1170" w:type="dxa"/>
            <w:tcBorders>
              <w:top w:val="nil"/>
              <w:left w:val="nil"/>
              <w:bottom w:val="single" w:sz="4" w:space="0" w:color="auto"/>
              <w:right w:val="nil"/>
            </w:tcBorders>
            <w:shd w:val="clear" w:color="auto" w:fill="auto"/>
            <w:noWrap/>
            <w:vAlign w:val="bottom"/>
            <w:hideMark/>
          </w:tcPr>
          <w:p w14:paraId="2E2A304E"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Sep-2015</w:t>
            </w:r>
          </w:p>
        </w:tc>
        <w:tc>
          <w:tcPr>
            <w:tcW w:w="1170" w:type="dxa"/>
            <w:tcBorders>
              <w:top w:val="nil"/>
              <w:left w:val="nil"/>
              <w:bottom w:val="single" w:sz="4" w:space="0" w:color="auto"/>
              <w:right w:val="nil"/>
            </w:tcBorders>
            <w:shd w:val="clear" w:color="auto" w:fill="auto"/>
            <w:noWrap/>
            <w:vAlign w:val="bottom"/>
            <w:hideMark/>
          </w:tcPr>
          <w:p w14:paraId="238BECFD"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Sep-2014</w:t>
            </w:r>
          </w:p>
        </w:tc>
        <w:tc>
          <w:tcPr>
            <w:tcW w:w="1260" w:type="dxa"/>
            <w:tcBorders>
              <w:top w:val="nil"/>
              <w:left w:val="nil"/>
              <w:bottom w:val="single" w:sz="4" w:space="0" w:color="auto"/>
              <w:right w:val="nil"/>
            </w:tcBorders>
            <w:shd w:val="clear" w:color="auto" w:fill="auto"/>
            <w:noWrap/>
            <w:vAlign w:val="bottom"/>
            <w:hideMark/>
          </w:tcPr>
          <w:p w14:paraId="4A0F78C8"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Sep-2013</w:t>
            </w:r>
          </w:p>
        </w:tc>
      </w:tr>
      <w:tr w:rsidR="00D670F8" w:rsidRPr="00CD72ED" w14:paraId="6F81C88C"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6DFC22CA"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Debt</w:t>
            </w:r>
          </w:p>
        </w:tc>
        <w:tc>
          <w:tcPr>
            <w:tcW w:w="1148" w:type="dxa"/>
            <w:tcBorders>
              <w:top w:val="nil"/>
              <w:left w:val="nil"/>
              <w:bottom w:val="single" w:sz="4" w:space="0" w:color="auto"/>
              <w:right w:val="nil"/>
            </w:tcBorders>
            <w:shd w:val="clear" w:color="auto" w:fill="auto"/>
            <w:noWrap/>
            <w:vAlign w:val="bottom"/>
            <w:hideMark/>
          </w:tcPr>
          <w:p w14:paraId="7CCF977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312.75</w:t>
            </w:r>
          </w:p>
        </w:tc>
        <w:tc>
          <w:tcPr>
            <w:tcW w:w="1170" w:type="dxa"/>
            <w:tcBorders>
              <w:top w:val="nil"/>
              <w:left w:val="nil"/>
              <w:bottom w:val="single" w:sz="4" w:space="0" w:color="auto"/>
              <w:right w:val="nil"/>
            </w:tcBorders>
            <w:shd w:val="clear" w:color="auto" w:fill="auto"/>
            <w:noWrap/>
            <w:vAlign w:val="bottom"/>
            <w:hideMark/>
          </w:tcPr>
          <w:p w14:paraId="42F39D3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237.95</w:t>
            </w:r>
          </w:p>
        </w:tc>
        <w:tc>
          <w:tcPr>
            <w:tcW w:w="1170" w:type="dxa"/>
            <w:tcBorders>
              <w:top w:val="nil"/>
              <w:left w:val="nil"/>
              <w:bottom w:val="single" w:sz="4" w:space="0" w:color="auto"/>
              <w:right w:val="nil"/>
            </w:tcBorders>
            <w:shd w:val="clear" w:color="auto" w:fill="auto"/>
            <w:noWrap/>
            <w:vAlign w:val="bottom"/>
            <w:hideMark/>
          </w:tcPr>
          <w:p w14:paraId="16E2CB67"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177.48</w:t>
            </w:r>
          </w:p>
        </w:tc>
        <w:tc>
          <w:tcPr>
            <w:tcW w:w="1170" w:type="dxa"/>
            <w:tcBorders>
              <w:top w:val="nil"/>
              <w:left w:val="nil"/>
              <w:bottom w:val="single" w:sz="4" w:space="0" w:color="auto"/>
              <w:right w:val="nil"/>
            </w:tcBorders>
            <w:shd w:val="clear" w:color="auto" w:fill="auto"/>
            <w:noWrap/>
            <w:vAlign w:val="bottom"/>
            <w:hideMark/>
          </w:tcPr>
          <w:p w14:paraId="15A1FD6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126.82</w:t>
            </w:r>
          </w:p>
        </w:tc>
        <w:tc>
          <w:tcPr>
            <w:tcW w:w="1260" w:type="dxa"/>
            <w:tcBorders>
              <w:top w:val="nil"/>
              <w:left w:val="nil"/>
              <w:bottom w:val="single" w:sz="4" w:space="0" w:color="auto"/>
              <w:right w:val="nil"/>
            </w:tcBorders>
            <w:shd w:val="clear" w:color="auto" w:fill="auto"/>
            <w:noWrap/>
            <w:vAlign w:val="bottom"/>
            <w:hideMark/>
          </w:tcPr>
          <w:p w14:paraId="0282D06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92.56</w:t>
            </w:r>
          </w:p>
        </w:tc>
      </w:tr>
      <w:tr w:rsidR="00D670F8" w:rsidRPr="00CD72ED" w14:paraId="349CF83F"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60F7877D" w14:textId="0B4BF310"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FMPs</w:t>
            </w:r>
          </w:p>
        </w:tc>
        <w:tc>
          <w:tcPr>
            <w:tcW w:w="1148" w:type="dxa"/>
            <w:tcBorders>
              <w:top w:val="nil"/>
              <w:left w:val="nil"/>
              <w:bottom w:val="nil"/>
              <w:right w:val="nil"/>
            </w:tcBorders>
            <w:shd w:val="clear" w:color="auto" w:fill="auto"/>
            <w:noWrap/>
            <w:vAlign w:val="bottom"/>
            <w:hideMark/>
          </w:tcPr>
          <w:p w14:paraId="1315B51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7.56</w:t>
            </w:r>
          </w:p>
        </w:tc>
        <w:tc>
          <w:tcPr>
            <w:tcW w:w="1170" w:type="dxa"/>
            <w:tcBorders>
              <w:top w:val="nil"/>
              <w:left w:val="nil"/>
              <w:bottom w:val="nil"/>
              <w:right w:val="nil"/>
            </w:tcBorders>
            <w:shd w:val="clear" w:color="auto" w:fill="auto"/>
            <w:noWrap/>
            <w:vAlign w:val="bottom"/>
            <w:hideMark/>
          </w:tcPr>
          <w:p w14:paraId="42D0A4F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7.01</w:t>
            </w:r>
          </w:p>
        </w:tc>
        <w:tc>
          <w:tcPr>
            <w:tcW w:w="1170" w:type="dxa"/>
            <w:tcBorders>
              <w:top w:val="nil"/>
              <w:left w:val="nil"/>
              <w:bottom w:val="nil"/>
              <w:right w:val="nil"/>
            </w:tcBorders>
            <w:shd w:val="clear" w:color="auto" w:fill="auto"/>
            <w:noWrap/>
            <w:vAlign w:val="bottom"/>
            <w:hideMark/>
          </w:tcPr>
          <w:p w14:paraId="59559CB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6.41</w:t>
            </w:r>
          </w:p>
        </w:tc>
        <w:tc>
          <w:tcPr>
            <w:tcW w:w="1170" w:type="dxa"/>
            <w:tcBorders>
              <w:top w:val="nil"/>
              <w:left w:val="nil"/>
              <w:bottom w:val="nil"/>
              <w:right w:val="nil"/>
            </w:tcBorders>
            <w:shd w:val="clear" w:color="auto" w:fill="auto"/>
            <w:noWrap/>
            <w:vAlign w:val="bottom"/>
            <w:hideMark/>
          </w:tcPr>
          <w:p w14:paraId="446A753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16.61</w:t>
            </w:r>
          </w:p>
        </w:tc>
        <w:tc>
          <w:tcPr>
            <w:tcW w:w="1260" w:type="dxa"/>
            <w:tcBorders>
              <w:top w:val="nil"/>
              <w:left w:val="nil"/>
              <w:bottom w:val="nil"/>
              <w:right w:val="nil"/>
            </w:tcBorders>
            <w:shd w:val="clear" w:color="auto" w:fill="auto"/>
            <w:noWrap/>
            <w:vAlign w:val="bottom"/>
            <w:hideMark/>
          </w:tcPr>
          <w:p w14:paraId="431FC387"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0.00</w:t>
            </w:r>
          </w:p>
        </w:tc>
      </w:tr>
      <w:tr w:rsidR="00D670F8" w:rsidRPr="00CD72ED" w14:paraId="1F010976"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04EC5970" w14:textId="7BB868AD"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Gilts</w:t>
            </w:r>
          </w:p>
        </w:tc>
        <w:tc>
          <w:tcPr>
            <w:tcW w:w="1148" w:type="dxa"/>
            <w:tcBorders>
              <w:top w:val="nil"/>
              <w:left w:val="nil"/>
              <w:bottom w:val="nil"/>
              <w:right w:val="nil"/>
            </w:tcBorders>
            <w:shd w:val="clear" w:color="auto" w:fill="auto"/>
            <w:noWrap/>
            <w:vAlign w:val="bottom"/>
            <w:hideMark/>
          </w:tcPr>
          <w:p w14:paraId="7A2FDB46"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3.49</w:t>
            </w:r>
          </w:p>
        </w:tc>
        <w:tc>
          <w:tcPr>
            <w:tcW w:w="1170" w:type="dxa"/>
            <w:tcBorders>
              <w:top w:val="nil"/>
              <w:left w:val="nil"/>
              <w:bottom w:val="nil"/>
              <w:right w:val="nil"/>
            </w:tcBorders>
            <w:shd w:val="clear" w:color="auto" w:fill="auto"/>
            <w:noWrap/>
            <w:vAlign w:val="bottom"/>
            <w:hideMark/>
          </w:tcPr>
          <w:p w14:paraId="18FC187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3.40</w:t>
            </w:r>
          </w:p>
        </w:tc>
        <w:tc>
          <w:tcPr>
            <w:tcW w:w="1170" w:type="dxa"/>
            <w:tcBorders>
              <w:top w:val="nil"/>
              <w:left w:val="nil"/>
              <w:bottom w:val="nil"/>
              <w:right w:val="nil"/>
            </w:tcBorders>
            <w:shd w:val="clear" w:color="auto" w:fill="auto"/>
            <w:noWrap/>
            <w:vAlign w:val="bottom"/>
            <w:hideMark/>
          </w:tcPr>
          <w:p w14:paraId="1A43A02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3.15</w:t>
            </w:r>
          </w:p>
        </w:tc>
        <w:tc>
          <w:tcPr>
            <w:tcW w:w="1170" w:type="dxa"/>
            <w:tcBorders>
              <w:top w:val="nil"/>
              <w:left w:val="nil"/>
              <w:bottom w:val="nil"/>
              <w:right w:val="nil"/>
            </w:tcBorders>
            <w:shd w:val="clear" w:color="auto" w:fill="auto"/>
            <w:noWrap/>
            <w:vAlign w:val="bottom"/>
            <w:hideMark/>
          </w:tcPr>
          <w:p w14:paraId="2F644CA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1.65</w:t>
            </w:r>
          </w:p>
        </w:tc>
        <w:tc>
          <w:tcPr>
            <w:tcW w:w="1260" w:type="dxa"/>
            <w:tcBorders>
              <w:top w:val="nil"/>
              <w:left w:val="nil"/>
              <w:bottom w:val="nil"/>
              <w:right w:val="nil"/>
            </w:tcBorders>
            <w:shd w:val="clear" w:color="auto" w:fill="auto"/>
            <w:noWrap/>
            <w:vAlign w:val="bottom"/>
            <w:hideMark/>
          </w:tcPr>
          <w:p w14:paraId="35DDF4B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1.85</w:t>
            </w:r>
          </w:p>
        </w:tc>
      </w:tr>
      <w:tr w:rsidR="00D670F8" w:rsidRPr="00CD72ED" w14:paraId="5CA595E6"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05D4C192" w14:textId="6C94BA11"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Income</w:t>
            </w:r>
          </w:p>
        </w:tc>
        <w:tc>
          <w:tcPr>
            <w:tcW w:w="1148" w:type="dxa"/>
            <w:tcBorders>
              <w:top w:val="nil"/>
              <w:left w:val="nil"/>
              <w:bottom w:val="nil"/>
              <w:right w:val="nil"/>
            </w:tcBorders>
            <w:shd w:val="clear" w:color="auto" w:fill="auto"/>
            <w:noWrap/>
            <w:vAlign w:val="bottom"/>
            <w:hideMark/>
          </w:tcPr>
          <w:p w14:paraId="4E12BF6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79.20</w:t>
            </w:r>
          </w:p>
        </w:tc>
        <w:tc>
          <w:tcPr>
            <w:tcW w:w="1170" w:type="dxa"/>
            <w:tcBorders>
              <w:top w:val="nil"/>
              <w:left w:val="nil"/>
              <w:bottom w:val="nil"/>
              <w:right w:val="nil"/>
            </w:tcBorders>
            <w:shd w:val="clear" w:color="auto" w:fill="auto"/>
            <w:noWrap/>
            <w:vAlign w:val="bottom"/>
            <w:hideMark/>
          </w:tcPr>
          <w:p w14:paraId="4044AEB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72.27</w:t>
            </w:r>
          </w:p>
        </w:tc>
        <w:tc>
          <w:tcPr>
            <w:tcW w:w="1170" w:type="dxa"/>
            <w:tcBorders>
              <w:top w:val="nil"/>
              <w:left w:val="nil"/>
              <w:bottom w:val="nil"/>
              <w:right w:val="nil"/>
            </w:tcBorders>
            <w:shd w:val="clear" w:color="auto" w:fill="auto"/>
            <w:noWrap/>
            <w:vAlign w:val="bottom"/>
            <w:hideMark/>
          </w:tcPr>
          <w:p w14:paraId="25EEE74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54.12</w:t>
            </w:r>
          </w:p>
        </w:tc>
        <w:tc>
          <w:tcPr>
            <w:tcW w:w="1170" w:type="dxa"/>
            <w:tcBorders>
              <w:top w:val="nil"/>
              <w:left w:val="nil"/>
              <w:bottom w:val="nil"/>
              <w:right w:val="nil"/>
            </w:tcBorders>
            <w:shd w:val="clear" w:color="auto" w:fill="auto"/>
            <w:noWrap/>
            <w:vAlign w:val="bottom"/>
            <w:hideMark/>
          </w:tcPr>
          <w:p w14:paraId="592BC8B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21.25</w:t>
            </w:r>
          </w:p>
        </w:tc>
        <w:tc>
          <w:tcPr>
            <w:tcW w:w="1260" w:type="dxa"/>
            <w:tcBorders>
              <w:top w:val="nil"/>
              <w:left w:val="nil"/>
              <w:bottom w:val="nil"/>
              <w:right w:val="nil"/>
            </w:tcBorders>
            <w:shd w:val="clear" w:color="auto" w:fill="auto"/>
            <w:noWrap/>
            <w:vAlign w:val="bottom"/>
            <w:hideMark/>
          </w:tcPr>
          <w:p w14:paraId="7FBEFAB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19.71</w:t>
            </w:r>
          </w:p>
        </w:tc>
      </w:tr>
      <w:tr w:rsidR="00D670F8" w:rsidRPr="00CD72ED" w14:paraId="16B43548"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57747AC9" w14:textId="20B31CE2"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Liquid</w:t>
            </w:r>
          </w:p>
        </w:tc>
        <w:tc>
          <w:tcPr>
            <w:tcW w:w="1148" w:type="dxa"/>
            <w:tcBorders>
              <w:top w:val="nil"/>
              <w:left w:val="nil"/>
              <w:bottom w:val="single" w:sz="4" w:space="0" w:color="auto"/>
              <w:right w:val="nil"/>
            </w:tcBorders>
            <w:shd w:val="clear" w:color="auto" w:fill="auto"/>
            <w:noWrap/>
            <w:vAlign w:val="bottom"/>
            <w:hideMark/>
          </w:tcPr>
          <w:p w14:paraId="2A974FE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222.50</w:t>
            </w:r>
          </w:p>
        </w:tc>
        <w:tc>
          <w:tcPr>
            <w:tcW w:w="1170" w:type="dxa"/>
            <w:tcBorders>
              <w:top w:val="nil"/>
              <w:left w:val="nil"/>
              <w:bottom w:val="single" w:sz="4" w:space="0" w:color="auto"/>
              <w:right w:val="nil"/>
            </w:tcBorders>
            <w:shd w:val="clear" w:color="auto" w:fill="auto"/>
            <w:noWrap/>
            <w:vAlign w:val="bottom"/>
            <w:hideMark/>
          </w:tcPr>
          <w:p w14:paraId="09E042E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155.27</w:t>
            </w:r>
          </w:p>
        </w:tc>
        <w:tc>
          <w:tcPr>
            <w:tcW w:w="1170" w:type="dxa"/>
            <w:tcBorders>
              <w:top w:val="nil"/>
              <w:left w:val="nil"/>
              <w:bottom w:val="single" w:sz="4" w:space="0" w:color="auto"/>
              <w:right w:val="nil"/>
            </w:tcBorders>
            <w:shd w:val="clear" w:color="auto" w:fill="auto"/>
            <w:noWrap/>
            <w:vAlign w:val="bottom"/>
            <w:hideMark/>
          </w:tcPr>
          <w:p w14:paraId="7B74764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113.80</w:t>
            </w:r>
          </w:p>
        </w:tc>
        <w:tc>
          <w:tcPr>
            <w:tcW w:w="1170" w:type="dxa"/>
            <w:tcBorders>
              <w:top w:val="nil"/>
              <w:left w:val="nil"/>
              <w:bottom w:val="single" w:sz="4" w:space="0" w:color="auto"/>
              <w:right w:val="nil"/>
            </w:tcBorders>
            <w:shd w:val="clear" w:color="auto" w:fill="auto"/>
            <w:noWrap/>
            <w:vAlign w:val="bottom"/>
            <w:hideMark/>
          </w:tcPr>
          <w:p w14:paraId="3DEA8F7C"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87.31</w:t>
            </w:r>
          </w:p>
        </w:tc>
        <w:tc>
          <w:tcPr>
            <w:tcW w:w="1260" w:type="dxa"/>
            <w:tcBorders>
              <w:top w:val="nil"/>
              <w:left w:val="nil"/>
              <w:bottom w:val="single" w:sz="4" w:space="0" w:color="auto"/>
              <w:right w:val="nil"/>
            </w:tcBorders>
            <w:shd w:val="clear" w:color="auto" w:fill="auto"/>
            <w:noWrap/>
            <w:vAlign w:val="bottom"/>
            <w:hideMark/>
          </w:tcPr>
          <w:p w14:paraId="6A8F4E1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70.99</w:t>
            </w:r>
          </w:p>
        </w:tc>
      </w:tr>
      <w:tr w:rsidR="00D670F8" w:rsidRPr="00CD72ED" w14:paraId="2E79B558"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1A6CCBF9"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Equity</w:t>
            </w:r>
          </w:p>
        </w:tc>
        <w:tc>
          <w:tcPr>
            <w:tcW w:w="1148" w:type="dxa"/>
            <w:tcBorders>
              <w:top w:val="nil"/>
              <w:left w:val="nil"/>
              <w:bottom w:val="single" w:sz="4" w:space="0" w:color="auto"/>
              <w:right w:val="nil"/>
            </w:tcBorders>
            <w:shd w:val="clear" w:color="auto" w:fill="auto"/>
            <w:noWrap/>
            <w:vAlign w:val="bottom"/>
            <w:hideMark/>
          </w:tcPr>
          <w:p w14:paraId="5AD9C78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77.60</w:t>
            </w:r>
          </w:p>
        </w:tc>
        <w:tc>
          <w:tcPr>
            <w:tcW w:w="1170" w:type="dxa"/>
            <w:tcBorders>
              <w:top w:val="nil"/>
              <w:left w:val="nil"/>
              <w:bottom w:val="single" w:sz="4" w:space="0" w:color="auto"/>
              <w:right w:val="nil"/>
            </w:tcBorders>
            <w:shd w:val="clear" w:color="auto" w:fill="auto"/>
            <w:noWrap/>
            <w:vAlign w:val="bottom"/>
            <w:hideMark/>
          </w:tcPr>
          <w:p w14:paraId="6FC7749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57.68</w:t>
            </w:r>
          </w:p>
        </w:tc>
        <w:tc>
          <w:tcPr>
            <w:tcW w:w="1170" w:type="dxa"/>
            <w:tcBorders>
              <w:top w:val="nil"/>
              <w:left w:val="nil"/>
              <w:bottom w:val="single" w:sz="4" w:space="0" w:color="auto"/>
              <w:right w:val="nil"/>
            </w:tcBorders>
            <w:shd w:val="clear" w:color="auto" w:fill="auto"/>
            <w:noWrap/>
            <w:vAlign w:val="bottom"/>
            <w:hideMark/>
          </w:tcPr>
          <w:p w14:paraId="51D148D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47.52</w:t>
            </w:r>
          </w:p>
        </w:tc>
        <w:tc>
          <w:tcPr>
            <w:tcW w:w="1170" w:type="dxa"/>
            <w:tcBorders>
              <w:top w:val="nil"/>
              <w:left w:val="nil"/>
              <w:bottom w:val="single" w:sz="4" w:space="0" w:color="auto"/>
              <w:right w:val="nil"/>
            </w:tcBorders>
            <w:shd w:val="clear" w:color="auto" w:fill="auto"/>
            <w:noWrap/>
            <w:vAlign w:val="bottom"/>
            <w:hideMark/>
          </w:tcPr>
          <w:p w14:paraId="64E4DEC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41.49</w:t>
            </w:r>
          </w:p>
        </w:tc>
        <w:tc>
          <w:tcPr>
            <w:tcW w:w="1260" w:type="dxa"/>
            <w:tcBorders>
              <w:top w:val="nil"/>
              <w:left w:val="nil"/>
              <w:bottom w:val="single" w:sz="4" w:space="0" w:color="auto"/>
              <w:right w:val="nil"/>
            </w:tcBorders>
            <w:shd w:val="clear" w:color="auto" w:fill="auto"/>
            <w:noWrap/>
            <w:vAlign w:val="bottom"/>
            <w:hideMark/>
          </w:tcPr>
          <w:p w14:paraId="3B43AE12"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32.92</w:t>
            </w:r>
          </w:p>
        </w:tc>
      </w:tr>
      <w:tr w:rsidR="00D670F8" w:rsidRPr="00CD72ED" w14:paraId="71C185BD"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0E2EAB6B" w14:textId="1267C393"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Diversified</w:t>
            </w:r>
          </w:p>
        </w:tc>
        <w:tc>
          <w:tcPr>
            <w:tcW w:w="1148" w:type="dxa"/>
            <w:tcBorders>
              <w:top w:val="nil"/>
              <w:left w:val="nil"/>
              <w:bottom w:val="nil"/>
              <w:right w:val="nil"/>
            </w:tcBorders>
            <w:shd w:val="clear" w:color="auto" w:fill="auto"/>
            <w:noWrap/>
            <w:vAlign w:val="bottom"/>
            <w:hideMark/>
          </w:tcPr>
          <w:p w14:paraId="2F72CF0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54.99</w:t>
            </w:r>
          </w:p>
        </w:tc>
        <w:tc>
          <w:tcPr>
            <w:tcW w:w="1170" w:type="dxa"/>
            <w:tcBorders>
              <w:top w:val="nil"/>
              <w:left w:val="nil"/>
              <w:bottom w:val="nil"/>
              <w:right w:val="nil"/>
            </w:tcBorders>
            <w:shd w:val="clear" w:color="auto" w:fill="auto"/>
            <w:noWrap/>
            <w:vAlign w:val="bottom"/>
            <w:hideMark/>
          </w:tcPr>
          <w:p w14:paraId="627E4C36"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41.07</w:t>
            </w:r>
          </w:p>
        </w:tc>
        <w:tc>
          <w:tcPr>
            <w:tcW w:w="1170" w:type="dxa"/>
            <w:tcBorders>
              <w:top w:val="nil"/>
              <w:left w:val="nil"/>
              <w:bottom w:val="nil"/>
              <w:right w:val="nil"/>
            </w:tcBorders>
            <w:shd w:val="clear" w:color="auto" w:fill="auto"/>
            <w:noWrap/>
            <w:vAlign w:val="bottom"/>
            <w:hideMark/>
          </w:tcPr>
          <w:p w14:paraId="223EA4B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35.27</w:t>
            </w:r>
          </w:p>
        </w:tc>
        <w:tc>
          <w:tcPr>
            <w:tcW w:w="1170" w:type="dxa"/>
            <w:tcBorders>
              <w:top w:val="nil"/>
              <w:left w:val="nil"/>
              <w:bottom w:val="nil"/>
              <w:right w:val="nil"/>
            </w:tcBorders>
            <w:shd w:val="clear" w:color="auto" w:fill="auto"/>
            <w:noWrap/>
            <w:vAlign w:val="bottom"/>
            <w:hideMark/>
          </w:tcPr>
          <w:p w14:paraId="5840AB1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23.66</w:t>
            </w:r>
          </w:p>
        </w:tc>
        <w:tc>
          <w:tcPr>
            <w:tcW w:w="1260" w:type="dxa"/>
            <w:tcBorders>
              <w:top w:val="nil"/>
              <w:left w:val="nil"/>
              <w:bottom w:val="nil"/>
              <w:right w:val="nil"/>
            </w:tcBorders>
            <w:shd w:val="clear" w:color="auto" w:fill="auto"/>
            <w:noWrap/>
            <w:vAlign w:val="bottom"/>
            <w:hideMark/>
          </w:tcPr>
          <w:p w14:paraId="43F038D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17.49</w:t>
            </w:r>
          </w:p>
        </w:tc>
      </w:tr>
      <w:tr w:rsidR="00D670F8" w:rsidRPr="00CD72ED" w14:paraId="299D69A3"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2834AA9C" w14:textId="7F9E584E" w:rsidR="00D670F8" w:rsidRPr="00CD72ED" w:rsidRDefault="00D670F8" w:rsidP="00824029">
            <w:pPr>
              <w:ind w:firstLineChars="300" w:firstLine="600"/>
              <w:rPr>
                <w:rFonts w:ascii="Arial" w:hAnsi="Arial" w:cs="Arial"/>
                <w:color w:val="000000"/>
                <w:lang w:val="en-GB"/>
              </w:rPr>
            </w:pPr>
            <w:r w:rsidRPr="00CD72ED">
              <w:rPr>
                <w:rFonts w:ascii="Arial" w:hAnsi="Arial" w:cs="Arial"/>
                <w:color w:val="000000"/>
                <w:lang w:val="en-GB"/>
              </w:rPr>
              <w:t>Large</w:t>
            </w:r>
            <w:r w:rsidR="00824029">
              <w:rPr>
                <w:rFonts w:ascii="Arial" w:hAnsi="Arial" w:cs="Arial"/>
                <w:color w:val="000000"/>
                <w:lang w:val="en-GB"/>
              </w:rPr>
              <w:t>-</w:t>
            </w:r>
            <w:r w:rsidRPr="00CD72ED">
              <w:rPr>
                <w:rFonts w:ascii="Arial" w:hAnsi="Arial" w:cs="Arial"/>
                <w:color w:val="000000"/>
                <w:lang w:val="en-GB"/>
              </w:rPr>
              <w:t>cap</w:t>
            </w:r>
          </w:p>
        </w:tc>
        <w:tc>
          <w:tcPr>
            <w:tcW w:w="1148" w:type="dxa"/>
            <w:tcBorders>
              <w:top w:val="nil"/>
              <w:left w:val="nil"/>
              <w:bottom w:val="nil"/>
              <w:right w:val="nil"/>
            </w:tcBorders>
            <w:shd w:val="clear" w:color="auto" w:fill="auto"/>
            <w:noWrap/>
            <w:vAlign w:val="bottom"/>
            <w:hideMark/>
          </w:tcPr>
          <w:p w14:paraId="0781DB6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28.86</w:t>
            </w:r>
          </w:p>
        </w:tc>
        <w:tc>
          <w:tcPr>
            <w:tcW w:w="1170" w:type="dxa"/>
            <w:tcBorders>
              <w:top w:val="nil"/>
              <w:left w:val="nil"/>
              <w:bottom w:val="nil"/>
              <w:right w:val="nil"/>
            </w:tcBorders>
            <w:shd w:val="clear" w:color="auto" w:fill="auto"/>
            <w:noWrap/>
            <w:vAlign w:val="bottom"/>
            <w:hideMark/>
          </w:tcPr>
          <w:p w14:paraId="1BCA786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16.56</w:t>
            </w:r>
          </w:p>
        </w:tc>
        <w:tc>
          <w:tcPr>
            <w:tcW w:w="1170" w:type="dxa"/>
            <w:tcBorders>
              <w:top w:val="nil"/>
              <w:left w:val="nil"/>
              <w:bottom w:val="nil"/>
              <w:right w:val="nil"/>
            </w:tcBorders>
            <w:shd w:val="clear" w:color="auto" w:fill="auto"/>
            <w:noWrap/>
            <w:vAlign w:val="bottom"/>
            <w:hideMark/>
          </w:tcPr>
          <w:p w14:paraId="417AB30E"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15.40</w:t>
            </w:r>
          </w:p>
        </w:tc>
        <w:tc>
          <w:tcPr>
            <w:tcW w:w="1170" w:type="dxa"/>
            <w:tcBorders>
              <w:top w:val="nil"/>
              <w:left w:val="nil"/>
              <w:bottom w:val="nil"/>
              <w:right w:val="nil"/>
            </w:tcBorders>
            <w:shd w:val="clear" w:color="auto" w:fill="auto"/>
            <w:noWrap/>
            <w:vAlign w:val="bottom"/>
            <w:hideMark/>
          </w:tcPr>
          <w:p w14:paraId="1B34088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13.20</w:t>
            </w:r>
          </w:p>
        </w:tc>
        <w:tc>
          <w:tcPr>
            <w:tcW w:w="1260" w:type="dxa"/>
            <w:tcBorders>
              <w:top w:val="nil"/>
              <w:left w:val="nil"/>
              <w:bottom w:val="nil"/>
              <w:right w:val="nil"/>
            </w:tcBorders>
            <w:shd w:val="clear" w:color="auto" w:fill="auto"/>
            <w:noWrap/>
            <w:vAlign w:val="bottom"/>
            <w:hideMark/>
          </w:tcPr>
          <w:p w14:paraId="3638518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10.32</w:t>
            </w:r>
          </w:p>
        </w:tc>
      </w:tr>
      <w:tr w:rsidR="00D670F8" w:rsidRPr="00CD72ED" w14:paraId="173FD61B"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16EA5CC5" w14:textId="77249FB6" w:rsidR="00D670F8" w:rsidRPr="00CD72ED" w:rsidRDefault="00E17544" w:rsidP="00EF7D80">
            <w:pPr>
              <w:ind w:firstLineChars="300" w:firstLine="600"/>
              <w:rPr>
                <w:rFonts w:ascii="Arial" w:hAnsi="Arial" w:cs="Arial"/>
                <w:color w:val="000000"/>
                <w:lang w:val="en-GB"/>
              </w:rPr>
            </w:pPr>
            <w:r>
              <w:rPr>
                <w:rFonts w:ascii="Arial" w:hAnsi="Arial" w:cs="Arial"/>
                <w:color w:val="000000"/>
                <w:lang w:val="en-GB"/>
              </w:rPr>
              <w:t>Mid-cap</w:t>
            </w:r>
          </w:p>
        </w:tc>
        <w:tc>
          <w:tcPr>
            <w:tcW w:w="1148" w:type="dxa"/>
            <w:tcBorders>
              <w:top w:val="nil"/>
              <w:left w:val="nil"/>
              <w:bottom w:val="nil"/>
              <w:right w:val="nil"/>
            </w:tcBorders>
            <w:shd w:val="clear" w:color="auto" w:fill="auto"/>
            <w:noWrap/>
            <w:vAlign w:val="bottom"/>
            <w:hideMark/>
          </w:tcPr>
          <w:p w14:paraId="37F5C124"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6.41</w:t>
            </w:r>
          </w:p>
        </w:tc>
        <w:tc>
          <w:tcPr>
            <w:tcW w:w="1170" w:type="dxa"/>
            <w:tcBorders>
              <w:top w:val="nil"/>
              <w:left w:val="nil"/>
              <w:bottom w:val="nil"/>
              <w:right w:val="nil"/>
            </w:tcBorders>
            <w:shd w:val="clear" w:color="auto" w:fill="auto"/>
            <w:noWrap/>
            <w:vAlign w:val="bottom"/>
            <w:hideMark/>
          </w:tcPr>
          <w:p w14:paraId="69FF582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5.79</w:t>
            </w:r>
          </w:p>
        </w:tc>
        <w:tc>
          <w:tcPr>
            <w:tcW w:w="1170" w:type="dxa"/>
            <w:tcBorders>
              <w:top w:val="nil"/>
              <w:left w:val="nil"/>
              <w:bottom w:val="nil"/>
              <w:right w:val="nil"/>
            </w:tcBorders>
            <w:shd w:val="clear" w:color="auto" w:fill="auto"/>
            <w:noWrap/>
            <w:vAlign w:val="bottom"/>
            <w:hideMark/>
          </w:tcPr>
          <w:p w14:paraId="03E65E8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5.46</w:t>
            </w:r>
          </w:p>
        </w:tc>
        <w:tc>
          <w:tcPr>
            <w:tcW w:w="1170" w:type="dxa"/>
            <w:tcBorders>
              <w:top w:val="nil"/>
              <w:left w:val="nil"/>
              <w:bottom w:val="nil"/>
              <w:right w:val="nil"/>
            </w:tcBorders>
            <w:shd w:val="clear" w:color="auto" w:fill="auto"/>
            <w:noWrap/>
            <w:vAlign w:val="bottom"/>
            <w:hideMark/>
          </w:tcPr>
          <w:p w14:paraId="37C488D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3.10</w:t>
            </w:r>
          </w:p>
        </w:tc>
        <w:tc>
          <w:tcPr>
            <w:tcW w:w="1260" w:type="dxa"/>
            <w:tcBorders>
              <w:top w:val="nil"/>
              <w:left w:val="nil"/>
              <w:bottom w:val="nil"/>
              <w:right w:val="nil"/>
            </w:tcBorders>
            <w:shd w:val="clear" w:color="auto" w:fill="auto"/>
            <w:noWrap/>
            <w:vAlign w:val="bottom"/>
            <w:hideMark/>
          </w:tcPr>
          <w:p w14:paraId="09C2F50E"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1.75</w:t>
            </w:r>
          </w:p>
        </w:tc>
      </w:tr>
      <w:tr w:rsidR="00D670F8" w:rsidRPr="00CD72ED" w14:paraId="3E2F1BDC"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0705903F" w14:textId="265FB7EE" w:rsidR="00D670F8" w:rsidRPr="00CD72ED" w:rsidRDefault="00E17544" w:rsidP="00EF7D80">
            <w:pPr>
              <w:ind w:firstLineChars="300" w:firstLine="600"/>
              <w:rPr>
                <w:rFonts w:ascii="Arial" w:hAnsi="Arial" w:cs="Arial"/>
                <w:color w:val="000000"/>
                <w:lang w:val="en-GB"/>
              </w:rPr>
            </w:pPr>
            <w:r>
              <w:rPr>
                <w:rFonts w:ascii="Arial" w:hAnsi="Arial" w:cs="Arial"/>
                <w:color w:val="000000"/>
                <w:lang w:val="en-GB"/>
              </w:rPr>
              <w:t>Multi-cap</w:t>
            </w:r>
          </w:p>
        </w:tc>
        <w:tc>
          <w:tcPr>
            <w:tcW w:w="1148" w:type="dxa"/>
            <w:tcBorders>
              <w:top w:val="nil"/>
              <w:left w:val="nil"/>
              <w:bottom w:val="nil"/>
              <w:right w:val="nil"/>
            </w:tcBorders>
            <w:shd w:val="clear" w:color="auto" w:fill="auto"/>
            <w:noWrap/>
            <w:vAlign w:val="bottom"/>
            <w:hideMark/>
          </w:tcPr>
          <w:p w14:paraId="7B7B6A7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19.71</w:t>
            </w:r>
          </w:p>
        </w:tc>
        <w:tc>
          <w:tcPr>
            <w:tcW w:w="1170" w:type="dxa"/>
            <w:tcBorders>
              <w:top w:val="nil"/>
              <w:left w:val="nil"/>
              <w:bottom w:val="nil"/>
              <w:right w:val="nil"/>
            </w:tcBorders>
            <w:shd w:val="clear" w:color="auto" w:fill="auto"/>
            <w:noWrap/>
            <w:vAlign w:val="bottom"/>
            <w:hideMark/>
          </w:tcPr>
          <w:p w14:paraId="48B07687"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18.73</w:t>
            </w:r>
          </w:p>
        </w:tc>
        <w:tc>
          <w:tcPr>
            <w:tcW w:w="1170" w:type="dxa"/>
            <w:tcBorders>
              <w:top w:val="nil"/>
              <w:left w:val="nil"/>
              <w:bottom w:val="nil"/>
              <w:right w:val="nil"/>
            </w:tcBorders>
            <w:shd w:val="clear" w:color="auto" w:fill="auto"/>
            <w:noWrap/>
            <w:vAlign w:val="bottom"/>
            <w:hideMark/>
          </w:tcPr>
          <w:p w14:paraId="34BFF97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14.41</w:t>
            </w:r>
          </w:p>
        </w:tc>
        <w:tc>
          <w:tcPr>
            <w:tcW w:w="1170" w:type="dxa"/>
            <w:tcBorders>
              <w:top w:val="nil"/>
              <w:left w:val="nil"/>
              <w:bottom w:val="nil"/>
              <w:right w:val="nil"/>
            </w:tcBorders>
            <w:shd w:val="clear" w:color="auto" w:fill="auto"/>
            <w:noWrap/>
            <w:vAlign w:val="bottom"/>
            <w:hideMark/>
          </w:tcPr>
          <w:p w14:paraId="43D28E6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7.36</w:t>
            </w:r>
          </w:p>
        </w:tc>
        <w:tc>
          <w:tcPr>
            <w:tcW w:w="1260" w:type="dxa"/>
            <w:tcBorders>
              <w:top w:val="nil"/>
              <w:left w:val="nil"/>
              <w:bottom w:val="nil"/>
              <w:right w:val="nil"/>
            </w:tcBorders>
            <w:shd w:val="clear" w:color="auto" w:fill="auto"/>
            <w:noWrap/>
            <w:vAlign w:val="bottom"/>
            <w:hideMark/>
          </w:tcPr>
          <w:p w14:paraId="7FAD80B2"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5.42</w:t>
            </w:r>
          </w:p>
        </w:tc>
      </w:tr>
      <w:tr w:rsidR="00D670F8" w:rsidRPr="00CD72ED" w14:paraId="70C10812"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304C8FAE" w14:textId="411FDA49"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Others (active)</w:t>
            </w:r>
          </w:p>
        </w:tc>
        <w:tc>
          <w:tcPr>
            <w:tcW w:w="1148" w:type="dxa"/>
            <w:tcBorders>
              <w:top w:val="nil"/>
              <w:left w:val="nil"/>
              <w:bottom w:val="nil"/>
              <w:right w:val="nil"/>
            </w:tcBorders>
            <w:shd w:val="clear" w:color="auto" w:fill="auto"/>
            <w:noWrap/>
            <w:vAlign w:val="bottom"/>
            <w:hideMark/>
          </w:tcPr>
          <w:p w14:paraId="0430C80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22.46</w:t>
            </w:r>
          </w:p>
        </w:tc>
        <w:tc>
          <w:tcPr>
            <w:tcW w:w="1170" w:type="dxa"/>
            <w:tcBorders>
              <w:top w:val="nil"/>
              <w:left w:val="nil"/>
              <w:bottom w:val="nil"/>
              <w:right w:val="nil"/>
            </w:tcBorders>
            <w:shd w:val="clear" w:color="auto" w:fill="auto"/>
            <w:noWrap/>
            <w:vAlign w:val="bottom"/>
            <w:hideMark/>
          </w:tcPr>
          <w:p w14:paraId="5E756DE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16.46</w:t>
            </w:r>
          </w:p>
        </w:tc>
        <w:tc>
          <w:tcPr>
            <w:tcW w:w="1170" w:type="dxa"/>
            <w:tcBorders>
              <w:top w:val="nil"/>
              <w:left w:val="nil"/>
              <w:bottom w:val="nil"/>
              <w:right w:val="nil"/>
            </w:tcBorders>
            <w:shd w:val="clear" w:color="auto" w:fill="auto"/>
            <w:noWrap/>
            <w:vAlign w:val="bottom"/>
            <w:hideMark/>
          </w:tcPr>
          <w:p w14:paraId="5A06492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12.08</w:t>
            </w:r>
          </w:p>
        </w:tc>
        <w:tc>
          <w:tcPr>
            <w:tcW w:w="1170" w:type="dxa"/>
            <w:tcBorders>
              <w:top w:val="nil"/>
              <w:left w:val="nil"/>
              <w:bottom w:val="nil"/>
              <w:right w:val="nil"/>
            </w:tcBorders>
            <w:shd w:val="clear" w:color="auto" w:fill="auto"/>
            <w:noWrap/>
            <w:vAlign w:val="bottom"/>
            <w:hideMark/>
          </w:tcPr>
          <w:p w14:paraId="3E3232C4"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17.71</w:t>
            </w:r>
          </w:p>
        </w:tc>
        <w:tc>
          <w:tcPr>
            <w:tcW w:w="1260" w:type="dxa"/>
            <w:tcBorders>
              <w:top w:val="nil"/>
              <w:left w:val="nil"/>
              <w:bottom w:val="nil"/>
              <w:right w:val="nil"/>
            </w:tcBorders>
            <w:shd w:val="clear" w:color="auto" w:fill="auto"/>
            <w:noWrap/>
            <w:vAlign w:val="bottom"/>
            <w:hideMark/>
          </w:tcPr>
          <w:p w14:paraId="26D266DE"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15.32</w:t>
            </w:r>
          </w:p>
        </w:tc>
      </w:tr>
      <w:tr w:rsidR="00D670F8" w:rsidRPr="00CD72ED" w14:paraId="7A411E07"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385F87EF" w14:textId="7E05FE87" w:rsidR="00D670F8" w:rsidRPr="00CD72ED" w:rsidRDefault="00D670F8" w:rsidP="00EF7D80">
            <w:pPr>
              <w:ind w:firstLineChars="100" w:firstLine="200"/>
              <w:rPr>
                <w:rFonts w:ascii="Arial" w:hAnsi="Arial" w:cs="Arial"/>
                <w:color w:val="000000"/>
                <w:lang w:val="en-GB"/>
              </w:rPr>
            </w:pPr>
            <w:r w:rsidRPr="00CD72ED">
              <w:rPr>
                <w:rFonts w:ascii="Arial" w:hAnsi="Arial" w:cs="Arial"/>
                <w:color w:val="000000"/>
                <w:lang w:val="en-GB"/>
              </w:rPr>
              <w:t>Index</w:t>
            </w:r>
          </w:p>
        </w:tc>
        <w:tc>
          <w:tcPr>
            <w:tcW w:w="1148" w:type="dxa"/>
            <w:tcBorders>
              <w:top w:val="nil"/>
              <w:left w:val="nil"/>
              <w:bottom w:val="single" w:sz="4" w:space="0" w:color="auto"/>
              <w:right w:val="nil"/>
            </w:tcBorders>
            <w:shd w:val="clear" w:color="auto" w:fill="auto"/>
            <w:noWrap/>
            <w:vAlign w:val="bottom"/>
            <w:hideMark/>
          </w:tcPr>
          <w:p w14:paraId="43EEBD2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0.16</w:t>
            </w:r>
          </w:p>
        </w:tc>
        <w:tc>
          <w:tcPr>
            <w:tcW w:w="1170" w:type="dxa"/>
            <w:tcBorders>
              <w:top w:val="nil"/>
              <w:left w:val="nil"/>
              <w:bottom w:val="single" w:sz="4" w:space="0" w:color="auto"/>
              <w:right w:val="nil"/>
            </w:tcBorders>
            <w:shd w:val="clear" w:color="auto" w:fill="auto"/>
            <w:noWrap/>
            <w:vAlign w:val="bottom"/>
            <w:hideMark/>
          </w:tcPr>
          <w:p w14:paraId="38DB7F7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0.14</w:t>
            </w:r>
          </w:p>
        </w:tc>
        <w:tc>
          <w:tcPr>
            <w:tcW w:w="1170" w:type="dxa"/>
            <w:tcBorders>
              <w:top w:val="nil"/>
              <w:left w:val="nil"/>
              <w:bottom w:val="single" w:sz="4" w:space="0" w:color="auto"/>
              <w:right w:val="nil"/>
            </w:tcBorders>
            <w:shd w:val="clear" w:color="auto" w:fill="auto"/>
            <w:noWrap/>
            <w:vAlign w:val="bottom"/>
            <w:hideMark/>
          </w:tcPr>
          <w:p w14:paraId="57B70E6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0.17</w:t>
            </w:r>
          </w:p>
        </w:tc>
        <w:tc>
          <w:tcPr>
            <w:tcW w:w="1170" w:type="dxa"/>
            <w:tcBorders>
              <w:top w:val="nil"/>
              <w:left w:val="nil"/>
              <w:bottom w:val="single" w:sz="4" w:space="0" w:color="auto"/>
              <w:right w:val="nil"/>
            </w:tcBorders>
            <w:shd w:val="clear" w:color="auto" w:fill="auto"/>
            <w:noWrap/>
            <w:vAlign w:val="bottom"/>
            <w:hideMark/>
          </w:tcPr>
          <w:p w14:paraId="24B0EC3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0.12</w:t>
            </w:r>
          </w:p>
        </w:tc>
        <w:tc>
          <w:tcPr>
            <w:tcW w:w="1260" w:type="dxa"/>
            <w:tcBorders>
              <w:top w:val="nil"/>
              <w:left w:val="nil"/>
              <w:bottom w:val="single" w:sz="4" w:space="0" w:color="auto"/>
              <w:right w:val="nil"/>
            </w:tcBorders>
            <w:shd w:val="clear" w:color="auto" w:fill="auto"/>
            <w:noWrap/>
            <w:vAlign w:val="bottom"/>
            <w:hideMark/>
          </w:tcPr>
          <w:p w14:paraId="3262256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0.10</w:t>
            </w:r>
          </w:p>
        </w:tc>
      </w:tr>
      <w:tr w:rsidR="00D670F8" w:rsidRPr="00CD72ED" w14:paraId="4E8F74CC"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2F29F54B"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Hybrid</w:t>
            </w:r>
          </w:p>
        </w:tc>
        <w:tc>
          <w:tcPr>
            <w:tcW w:w="1148" w:type="dxa"/>
            <w:tcBorders>
              <w:top w:val="nil"/>
              <w:left w:val="nil"/>
              <w:bottom w:val="single" w:sz="4" w:space="0" w:color="auto"/>
              <w:right w:val="nil"/>
            </w:tcBorders>
            <w:shd w:val="clear" w:color="auto" w:fill="auto"/>
            <w:noWrap/>
            <w:vAlign w:val="bottom"/>
            <w:hideMark/>
          </w:tcPr>
          <w:p w14:paraId="77B416BC"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68.92</w:t>
            </w:r>
          </w:p>
        </w:tc>
        <w:tc>
          <w:tcPr>
            <w:tcW w:w="1170" w:type="dxa"/>
            <w:tcBorders>
              <w:top w:val="nil"/>
              <w:left w:val="nil"/>
              <w:bottom w:val="single" w:sz="4" w:space="0" w:color="auto"/>
              <w:right w:val="nil"/>
            </w:tcBorders>
            <w:shd w:val="clear" w:color="auto" w:fill="auto"/>
            <w:noWrap/>
            <w:vAlign w:val="bottom"/>
            <w:hideMark/>
          </w:tcPr>
          <w:p w14:paraId="52D917FE"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72.04</w:t>
            </w:r>
          </w:p>
        </w:tc>
        <w:tc>
          <w:tcPr>
            <w:tcW w:w="1170" w:type="dxa"/>
            <w:tcBorders>
              <w:top w:val="nil"/>
              <w:left w:val="nil"/>
              <w:bottom w:val="single" w:sz="4" w:space="0" w:color="auto"/>
              <w:right w:val="nil"/>
            </w:tcBorders>
            <w:shd w:val="clear" w:color="auto" w:fill="auto"/>
            <w:noWrap/>
            <w:vAlign w:val="bottom"/>
            <w:hideMark/>
          </w:tcPr>
          <w:p w14:paraId="6D7A421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51.11</w:t>
            </w:r>
          </w:p>
        </w:tc>
        <w:tc>
          <w:tcPr>
            <w:tcW w:w="1170" w:type="dxa"/>
            <w:tcBorders>
              <w:top w:val="nil"/>
              <w:left w:val="nil"/>
              <w:bottom w:val="single" w:sz="4" w:space="0" w:color="auto"/>
              <w:right w:val="nil"/>
            </w:tcBorders>
            <w:shd w:val="clear" w:color="auto" w:fill="auto"/>
            <w:noWrap/>
            <w:vAlign w:val="bottom"/>
            <w:hideMark/>
          </w:tcPr>
          <w:p w14:paraId="06474062"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14.76</w:t>
            </w:r>
          </w:p>
        </w:tc>
        <w:tc>
          <w:tcPr>
            <w:tcW w:w="1260" w:type="dxa"/>
            <w:tcBorders>
              <w:top w:val="nil"/>
              <w:left w:val="nil"/>
              <w:bottom w:val="single" w:sz="4" w:space="0" w:color="auto"/>
              <w:right w:val="nil"/>
            </w:tcBorders>
            <w:shd w:val="clear" w:color="auto" w:fill="auto"/>
            <w:noWrap/>
            <w:vAlign w:val="bottom"/>
            <w:hideMark/>
          </w:tcPr>
          <w:p w14:paraId="767DAE2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9.22</w:t>
            </w:r>
          </w:p>
        </w:tc>
      </w:tr>
      <w:tr w:rsidR="00D670F8" w:rsidRPr="00CD72ED" w14:paraId="2BBB3D21"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7080938B" w14:textId="46759C03" w:rsidR="00D670F8" w:rsidRPr="00CD72ED" w:rsidRDefault="00E17544" w:rsidP="00EF7D80">
            <w:pPr>
              <w:ind w:firstLineChars="100" w:firstLine="200"/>
              <w:rPr>
                <w:rFonts w:ascii="Arial" w:hAnsi="Arial" w:cs="Arial"/>
                <w:color w:val="000000"/>
                <w:lang w:val="en-GB"/>
              </w:rPr>
            </w:pPr>
            <w:r>
              <w:rPr>
                <w:rFonts w:ascii="Arial" w:hAnsi="Arial" w:cs="Arial"/>
                <w:color w:val="000000"/>
                <w:lang w:val="en-GB"/>
              </w:rPr>
              <w:t>Equity-oriented</w:t>
            </w:r>
          </w:p>
        </w:tc>
        <w:tc>
          <w:tcPr>
            <w:tcW w:w="1148" w:type="dxa"/>
            <w:tcBorders>
              <w:top w:val="nil"/>
              <w:left w:val="nil"/>
              <w:bottom w:val="nil"/>
              <w:right w:val="nil"/>
            </w:tcBorders>
            <w:shd w:val="clear" w:color="auto" w:fill="auto"/>
            <w:noWrap/>
            <w:vAlign w:val="bottom"/>
            <w:hideMark/>
          </w:tcPr>
          <w:p w14:paraId="0FA928B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65.01</w:t>
            </w:r>
          </w:p>
        </w:tc>
        <w:tc>
          <w:tcPr>
            <w:tcW w:w="1170" w:type="dxa"/>
            <w:tcBorders>
              <w:top w:val="nil"/>
              <w:left w:val="nil"/>
              <w:bottom w:val="nil"/>
              <w:right w:val="nil"/>
            </w:tcBorders>
            <w:shd w:val="clear" w:color="auto" w:fill="auto"/>
            <w:noWrap/>
            <w:vAlign w:val="bottom"/>
            <w:hideMark/>
          </w:tcPr>
          <w:p w14:paraId="678CD49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68.60</w:t>
            </w:r>
          </w:p>
        </w:tc>
        <w:tc>
          <w:tcPr>
            <w:tcW w:w="1170" w:type="dxa"/>
            <w:tcBorders>
              <w:top w:val="nil"/>
              <w:left w:val="nil"/>
              <w:bottom w:val="nil"/>
              <w:right w:val="nil"/>
            </w:tcBorders>
            <w:shd w:val="clear" w:color="auto" w:fill="auto"/>
            <w:noWrap/>
            <w:vAlign w:val="bottom"/>
            <w:hideMark/>
          </w:tcPr>
          <w:p w14:paraId="20C3ACD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47.68</w:t>
            </w:r>
          </w:p>
        </w:tc>
        <w:tc>
          <w:tcPr>
            <w:tcW w:w="1170" w:type="dxa"/>
            <w:tcBorders>
              <w:top w:val="nil"/>
              <w:left w:val="nil"/>
              <w:bottom w:val="nil"/>
              <w:right w:val="nil"/>
            </w:tcBorders>
            <w:shd w:val="clear" w:color="auto" w:fill="auto"/>
            <w:noWrap/>
            <w:vAlign w:val="bottom"/>
            <w:hideMark/>
          </w:tcPr>
          <w:p w14:paraId="0DC9CE9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11.85</w:t>
            </w:r>
          </w:p>
        </w:tc>
        <w:tc>
          <w:tcPr>
            <w:tcW w:w="1260" w:type="dxa"/>
            <w:tcBorders>
              <w:top w:val="nil"/>
              <w:left w:val="nil"/>
              <w:bottom w:val="nil"/>
              <w:right w:val="nil"/>
            </w:tcBorders>
            <w:shd w:val="clear" w:color="auto" w:fill="auto"/>
            <w:noWrap/>
            <w:vAlign w:val="bottom"/>
            <w:hideMark/>
          </w:tcPr>
          <w:p w14:paraId="1206D8E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6.23</w:t>
            </w:r>
          </w:p>
        </w:tc>
      </w:tr>
      <w:tr w:rsidR="00D670F8" w:rsidRPr="00CD72ED" w14:paraId="63CFD5F0"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4924EB76" w14:textId="73BF2965" w:rsidR="00D670F8" w:rsidRPr="00CD72ED" w:rsidRDefault="00E17544" w:rsidP="00EF7D80">
            <w:pPr>
              <w:ind w:firstLineChars="100" w:firstLine="200"/>
              <w:rPr>
                <w:rFonts w:ascii="Arial" w:hAnsi="Arial" w:cs="Arial"/>
                <w:color w:val="000000"/>
                <w:lang w:val="en-GB"/>
              </w:rPr>
            </w:pPr>
            <w:r>
              <w:rPr>
                <w:rFonts w:ascii="Arial" w:hAnsi="Arial" w:cs="Arial"/>
                <w:color w:val="000000"/>
                <w:lang w:val="en-GB"/>
              </w:rPr>
              <w:t>Debt-oriented</w:t>
            </w:r>
          </w:p>
        </w:tc>
        <w:tc>
          <w:tcPr>
            <w:tcW w:w="1148" w:type="dxa"/>
            <w:tcBorders>
              <w:top w:val="nil"/>
              <w:left w:val="nil"/>
              <w:bottom w:val="single" w:sz="4" w:space="0" w:color="auto"/>
              <w:right w:val="nil"/>
            </w:tcBorders>
            <w:shd w:val="clear" w:color="auto" w:fill="auto"/>
            <w:noWrap/>
            <w:vAlign w:val="bottom"/>
            <w:hideMark/>
          </w:tcPr>
          <w:p w14:paraId="2869EAD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3.91</w:t>
            </w:r>
          </w:p>
        </w:tc>
        <w:tc>
          <w:tcPr>
            <w:tcW w:w="1170" w:type="dxa"/>
            <w:tcBorders>
              <w:top w:val="nil"/>
              <w:left w:val="nil"/>
              <w:bottom w:val="single" w:sz="4" w:space="0" w:color="auto"/>
              <w:right w:val="nil"/>
            </w:tcBorders>
            <w:shd w:val="clear" w:color="auto" w:fill="auto"/>
            <w:noWrap/>
            <w:vAlign w:val="bottom"/>
            <w:hideMark/>
          </w:tcPr>
          <w:p w14:paraId="0263970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3.44</w:t>
            </w:r>
          </w:p>
        </w:tc>
        <w:tc>
          <w:tcPr>
            <w:tcW w:w="1170" w:type="dxa"/>
            <w:tcBorders>
              <w:top w:val="nil"/>
              <w:left w:val="nil"/>
              <w:bottom w:val="single" w:sz="4" w:space="0" w:color="auto"/>
              <w:right w:val="nil"/>
            </w:tcBorders>
            <w:shd w:val="clear" w:color="auto" w:fill="auto"/>
            <w:noWrap/>
            <w:vAlign w:val="bottom"/>
            <w:hideMark/>
          </w:tcPr>
          <w:p w14:paraId="41A47A6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3.43</w:t>
            </w:r>
          </w:p>
        </w:tc>
        <w:tc>
          <w:tcPr>
            <w:tcW w:w="1170" w:type="dxa"/>
            <w:tcBorders>
              <w:top w:val="nil"/>
              <w:left w:val="nil"/>
              <w:bottom w:val="single" w:sz="4" w:space="0" w:color="auto"/>
              <w:right w:val="nil"/>
            </w:tcBorders>
            <w:shd w:val="clear" w:color="auto" w:fill="auto"/>
            <w:noWrap/>
            <w:vAlign w:val="bottom"/>
            <w:hideMark/>
          </w:tcPr>
          <w:p w14:paraId="5DF852A7"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2.91</w:t>
            </w:r>
          </w:p>
        </w:tc>
        <w:tc>
          <w:tcPr>
            <w:tcW w:w="1260" w:type="dxa"/>
            <w:tcBorders>
              <w:top w:val="nil"/>
              <w:left w:val="nil"/>
              <w:bottom w:val="single" w:sz="4" w:space="0" w:color="auto"/>
              <w:right w:val="nil"/>
            </w:tcBorders>
            <w:shd w:val="clear" w:color="auto" w:fill="auto"/>
            <w:noWrap/>
            <w:vAlign w:val="bottom"/>
            <w:hideMark/>
          </w:tcPr>
          <w:p w14:paraId="1A87B8F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2.99</w:t>
            </w:r>
          </w:p>
        </w:tc>
      </w:tr>
      <w:tr w:rsidR="00D670F8" w:rsidRPr="00CD72ED" w14:paraId="7875EF3C"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374F3BD8"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Others</w:t>
            </w:r>
          </w:p>
        </w:tc>
        <w:tc>
          <w:tcPr>
            <w:tcW w:w="1148" w:type="dxa"/>
            <w:tcBorders>
              <w:top w:val="nil"/>
              <w:left w:val="nil"/>
              <w:bottom w:val="single" w:sz="4" w:space="0" w:color="auto"/>
              <w:right w:val="nil"/>
            </w:tcBorders>
            <w:shd w:val="clear" w:color="auto" w:fill="auto"/>
            <w:noWrap/>
            <w:vAlign w:val="bottom"/>
            <w:hideMark/>
          </w:tcPr>
          <w:p w14:paraId="75B7974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2.02</w:t>
            </w:r>
          </w:p>
        </w:tc>
        <w:tc>
          <w:tcPr>
            <w:tcW w:w="1170" w:type="dxa"/>
            <w:tcBorders>
              <w:top w:val="nil"/>
              <w:left w:val="nil"/>
              <w:bottom w:val="single" w:sz="4" w:space="0" w:color="auto"/>
              <w:right w:val="nil"/>
            </w:tcBorders>
            <w:shd w:val="clear" w:color="auto" w:fill="auto"/>
            <w:noWrap/>
            <w:vAlign w:val="bottom"/>
            <w:hideMark/>
          </w:tcPr>
          <w:p w14:paraId="1F332F0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1.61</w:t>
            </w:r>
          </w:p>
        </w:tc>
        <w:tc>
          <w:tcPr>
            <w:tcW w:w="1170" w:type="dxa"/>
            <w:tcBorders>
              <w:top w:val="nil"/>
              <w:left w:val="nil"/>
              <w:bottom w:val="single" w:sz="4" w:space="0" w:color="auto"/>
              <w:right w:val="nil"/>
            </w:tcBorders>
            <w:shd w:val="clear" w:color="auto" w:fill="auto"/>
            <w:noWrap/>
            <w:vAlign w:val="bottom"/>
            <w:hideMark/>
          </w:tcPr>
          <w:p w14:paraId="09A0B84E"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1.21</w:t>
            </w:r>
          </w:p>
        </w:tc>
        <w:tc>
          <w:tcPr>
            <w:tcW w:w="1170" w:type="dxa"/>
            <w:tcBorders>
              <w:top w:val="nil"/>
              <w:left w:val="nil"/>
              <w:bottom w:val="single" w:sz="4" w:space="0" w:color="auto"/>
              <w:right w:val="nil"/>
            </w:tcBorders>
            <w:shd w:val="clear" w:color="auto" w:fill="auto"/>
            <w:noWrap/>
            <w:vAlign w:val="bottom"/>
            <w:hideMark/>
          </w:tcPr>
          <w:p w14:paraId="75CB2CC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0.80</w:t>
            </w:r>
          </w:p>
        </w:tc>
        <w:tc>
          <w:tcPr>
            <w:tcW w:w="1260" w:type="dxa"/>
            <w:tcBorders>
              <w:top w:val="nil"/>
              <w:left w:val="nil"/>
              <w:bottom w:val="single" w:sz="4" w:space="0" w:color="auto"/>
              <w:right w:val="nil"/>
            </w:tcBorders>
            <w:shd w:val="clear" w:color="auto" w:fill="auto"/>
            <w:noWrap/>
            <w:vAlign w:val="bottom"/>
            <w:hideMark/>
          </w:tcPr>
          <w:p w14:paraId="0E80A63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0.59</w:t>
            </w:r>
          </w:p>
        </w:tc>
      </w:tr>
      <w:tr w:rsidR="00D670F8" w:rsidRPr="00CD72ED" w14:paraId="3F4A2A9B" w14:textId="77777777" w:rsidTr="00EF7D80">
        <w:trPr>
          <w:trHeight w:val="20"/>
          <w:jc w:val="center"/>
        </w:trPr>
        <w:tc>
          <w:tcPr>
            <w:tcW w:w="2092" w:type="dxa"/>
            <w:tcBorders>
              <w:top w:val="nil"/>
              <w:left w:val="nil"/>
              <w:bottom w:val="nil"/>
              <w:right w:val="nil"/>
            </w:tcBorders>
            <w:shd w:val="clear" w:color="auto" w:fill="auto"/>
            <w:noWrap/>
            <w:vAlign w:val="bottom"/>
            <w:hideMark/>
          </w:tcPr>
          <w:p w14:paraId="5F67CDC7" w14:textId="77777777" w:rsidR="00D670F8" w:rsidRPr="00CD72ED" w:rsidRDefault="00D670F8" w:rsidP="00EF7D80">
            <w:pPr>
              <w:jc w:val="right"/>
              <w:rPr>
                <w:rFonts w:ascii="Arial" w:hAnsi="Arial" w:cs="Arial"/>
                <w:color w:val="000000"/>
                <w:lang w:val="en-GB"/>
              </w:rPr>
            </w:pPr>
          </w:p>
        </w:tc>
        <w:tc>
          <w:tcPr>
            <w:tcW w:w="1148" w:type="dxa"/>
            <w:tcBorders>
              <w:top w:val="nil"/>
              <w:left w:val="nil"/>
              <w:bottom w:val="nil"/>
              <w:right w:val="nil"/>
            </w:tcBorders>
            <w:shd w:val="clear" w:color="auto" w:fill="auto"/>
            <w:noWrap/>
            <w:vAlign w:val="bottom"/>
            <w:hideMark/>
          </w:tcPr>
          <w:p w14:paraId="2C4E243C" w14:textId="77777777" w:rsidR="00D670F8" w:rsidRPr="00CD72ED" w:rsidRDefault="00D670F8" w:rsidP="00EF7D80">
            <w:pPr>
              <w:rPr>
                <w:rFonts w:ascii="Arial" w:hAnsi="Arial" w:cs="Arial"/>
                <w:lang w:val="en-GB"/>
              </w:rPr>
            </w:pPr>
          </w:p>
        </w:tc>
        <w:tc>
          <w:tcPr>
            <w:tcW w:w="1170" w:type="dxa"/>
            <w:tcBorders>
              <w:top w:val="nil"/>
              <w:left w:val="nil"/>
              <w:bottom w:val="nil"/>
              <w:right w:val="nil"/>
            </w:tcBorders>
            <w:shd w:val="clear" w:color="auto" w:fill="auto"/>
            <w:noWrap/>
            <w:vAlign w:val="bottom"/>
            <w:hideMark/>
          </w:tcPr>
          <w:p w14:paraId="4CD0DC93" w14:textId="77777777" w:rsidR="00D670F8" w:rsidRPr="00CD72ED" w:rsidRDefault="00D670F8" w:rsidP="00EF7D80">
            <w:pPr>
              <w:rPr>
                <w:rFonts w:ascii="Arial" w:hAnsi="Arial" w:cs="Arial"/>
                <w:lang w:val="en-GB"/>
              </w:rPr>
            </w:pPr>
          </w:p>
        </w:tc>
        <w:tc>
          <w:tcPr>
            <w:tcW w:w="1170" w:type="dxa"/>
            <w:tcBorders>
              <w:top w:val="nil"/>
              <w:left w:val="nil"/>
              <w:bottom w:val="nil"/>
              <w:right w:val="nil"/>
            </w:tcBorders>
            <w:shd w:val="clear" w:color="auto" w:fill="auto"/>
            <w:noWrap/>
            <w:vAlign w:val="bottom"/>
            <w:hideMark/>
          </w:tcPr>
          <w:p w14:paraId="03AAD7E3" w14:textId="77777777" w:rsidR="00D670F8" w:rsidRPr="00CD72ED" w:rsidRDefault="00D670F8" w:rsidP="00EF7D80">
            <w:pPr>
              <w:rPr>
                <w:rFonts w:ascii="Arial" w:hAnsi="Arial" w:cs="Arial"/>
                <w:lang w:val="en-GB"/>
              </w:rPr>
            </w:pPr>
          </w:p>
        </w:tc>
        <w:tc>
          <w:tcPr>
            <w:tcW w:w="1170" w:type="dxa"/>
            <w:tcBorders>
              <w:top w:val="nil"/>
              <w:left w:val="nil"/>
              <w:bottom w:val="nil"/>
              <w:right w:val="nil"/>
            </w:tcBorders>
            <w:shd w:val="clear" w:color="auto" w:fill="auto"/>
            <w:noWrap/>
            <w:vAlign w:val="bottom"/>
            <w:hideMark/>
          </w:tcPr>
          <w:p w14:paraId="4C28C2D5" w14:textId="77777777" w:rsidR="00D670F8" w:rsidRPr="00CD72ED" w:rsidRDefault="00D670F8" w:rsidP="00EF7D80">
            <w:pPr>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52C73507" w14:textId="77777777" w:rsidR="00D670F8" w:rsidRPr="00CD72ED" w:rsidRDefault="00D670F8" w:rsidP="00EF7D80">
            <w:pPr>
              <w:rPr>
                <w:rFonts w:ascii="Arial" w:hAnsi="Arial" w:cs="Arial"/>
                <w:lang w:val="en-GB"/>
              </w:rPr>
            </w:pPr>
          </w:p>
        </w:tc>
      </w:tr>
      <w:tr w:rsidR="00D670F8" w:rsidRPr="00CD72ED" w14:paraId="6BCEB223" w14:textId="77777777" w:rsidTr="00EF7D80">
        <w:trPr>
          <w:trHeight w:val="20"/>
          <w:jc w:val="center"/>
        </w:trPr>
        <w:tc>
          <w:tcPr>
            <w:tcW w:w="2092" w:type="dxa"/>
            <w:tcBorders>
              <w:top w:val="nil"/>
              <w:left w:val="nil"/>
              <w:bottom w:val="single" w:sz="4" w:space="0" w:color="auto"/>
              <w:right w:val="nil"/>
            </w:tcBorders>
            <w:shd w:val="clear" w:color="auto" w:fill="auto"/>
            <w:noWrap/>
            <w:vAlign w:val="bottom"/>
            <w:hideMark/>
          </w:tcPr>
          <w:p w14:paraId="1B5146B7"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Total</w:t>
            </w:r>
          </w:p>
        </w:tc>
        <w:tc>
          <w:tcPr>
            <w:tcW w:w="1148" w:type="dxa"/>
            <w:tcBorders>
              <w:top w:val="nil"/>
              <w:left w:val="nil"/>
              <w:bottom w:val="single" w:sz="4" w:space="0" w:color="auto"/>
              <w:right w:val="nil"/>
            </w:tcBorders>
            <w:shd w:val="clear" w:color="auto" w:fill="auto"/>
            <w:noWrap/>
            <w:vAlign w:val="bottom"/>
            <w:hideMark/>
          </w:tcPr>
          <w:p w14:paraId="18129C1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461.30</w:t>
            </w:r>
          </w:p>
        </w:tc>
        <w:tc>
          <w:tcPr>
            <w:tcW w:w="1170" w:type="dxa"/>
            <w:tcBorders>
              <w:top w:val="nil"/>
              <w:left w:val="nil"/>
              <w:bottom w:val="single" w:sz="4" w:space="0" w:color="auto"/>
              <w:right w:val="nil"/>
            </w:tcBorders>
            <w:shd w:val="clear" w:color="auto" w:fill="auto"/>
            <w:noWrap/>
            <w:vAlign w:val="bottom"/>
            <w:hideMark/>
          </w:tcPr>
          <w:p w14:paraId="1CFC093C"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369.29</w:t>
            </w:r>
          </w:p>
        </w:tc>
        <w:tc>
          <w:tcPr>
            <w:tcW w:w="1170" w:type="dxa"/>
            <w:tcBorders>
              <w:top w:val="nil"/>
              <w:left w:val="nil"/>
              <w:bottom w:val="single" w:sz="4" w:space="0" w:color="auto"/>
              <w:right w:val="nil"/>
            </w:tcBorders>
            <w:shd w:val="clear" w:color="auto" w:fill="auto"/>
            <w:noWrap/>
            <w:vAlign w:val="bottom"/>
            <w:hideMark/>
          </w:tcPr>
          <w:p w14:paraId="0BFB109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277.32</w:t>
            </w:r>
          </w:p>
        </w:tc>
        <w:tc>
          <w:tcPr>
            <w:tcW w:w="1170" w:type="dxa"/>
            <w:tcBorders>
              <w:top w:val="nil"/>
              <w:left w:val="nil"/>
              <w:bottom w:val="single" w:sz="4" w:space="0" w:color="auto"/>
              <w:right w:val="nil"/>
            </w:tcBorders>
            <w:shd w:val="clear" w:color="auto" w:fill="auto"/>
            <w:noWrap/>
            <w:vAlign w:val="bottom"/>
            <w:hideMark/>
          </w:tcPr>
          <w:p w14:paraId="39B79FB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183.88</w:t>
            </w:r>
          </w:p>
        </w:tc>
        <w:tc>
          <w:tcPr>
            <w:tcW w:w="1260" w:type="dxa"/>
            <w:tcBorders>
              <w:top w:val="nil"/>
              <w:left w:val="nil"/>
              <w:bottom w:val="single" w:sz="4" w:space="0" w:color="auto"/>
              <w:right w:val="nil"/>
            </w:tcBorders>
            <w:shd w:val="clear" w:color="auto" w:fill="auto"/>
            <w:noWrap/>
            <w:vAlign w:val="bottom"/>
            <w:hideMark/>
          </w:tcPr>
          <w:p w14:paraId="5476C77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135.29</w:t>
            </w:r>
          </w:p>
        </w:tc>
      </w:tr>
    </w:tbl>
    <w:p w14:paraId="7394D25C" w14:textId="77777777" w:rsidR="00D670F8" w:rsidRPr="00CD72ED" w:rsidRDefault="00D670F8" w:rsidP="00D670F8">
      <w:pPr>
        <w:pStyle w:val="Footnote"/>
        <w:rPr>
          <w:lang w:val="en-GB"/>
        </w:rPr>
      </w:pPr>
    </w:p>
    <w:p w14:paraId="1B77463B" w14:textId="5C1D8EFD" w:rsidR="00A70FB1" w:rsidRDefault="00A70FB1" w:rsidP="00D670F8">
      <w:pPr>
        <w:pStyle w:val="Footnote"/>
        <w:rPr>
          <w:lang w:val="en-GB"/>
        </w:rPr>
      </w:pPr>
      <w:r>
        <w:rPr>
          <w:lang w:val="en-GB"/>
        </w:rPr>
        <w:t>Note: FMPs = fixed maturity plans</w:t>
      </w:r>
    </w:p>
    <w:p w14:paraId="2F57181F" w14:textId="5A52E293" w:rsidR="00D670F8" w:rsidRPr="00CD72ED" w:rsidRDefault="00D670F8" w:rsidP="00D670F8">
      <w:pPr>
        <w:pStyle w:val="Footnote"/>
        <w:rPr>
          <w:lang w:val="en-GB"/>
        </w:rPr>
      </w:pPr>
      <w:r w:rsidRPr="00CD72ED">
        <w:rPr>
          <w:lang w:val="en-GB"/>
        </w:rPr>
        <w:t xml:space="preserve">Source: </w:t>
      </w:r>
      <w:r w:rsidR="00B63221">
        <w:rPr>
          <w:lang w:val="en-GB"/>
        </w:rPr>
        <w:t xml:space="preserve">Compiled by the author </w:t>
      </w:r>
      <w:r w:rsidRPr="00CD72ED">
        <w:rPr>
          <w:lang w:val="en-GB"/>
        </w:rPr>
        <w:t xml:space="preserve">using data from </w:t>
      </w:r>
      <w:r w:rsidR="00C93F8D" w:rsidRPr="00EF76EA">
        <w:rPr>
          <w:i/>
          <w:lang w:val="en-GB"/>
        </w:rPr>
        <w:t>ACE MF</w:t>
      </w:r>
      <w:r w:rsidR="00C93F8D">
        <w:rPr>
          <w:lang w:val="en-GB"/>
        </w:rPr>
        <w:t xml:space="preserve"> (Accord Fintech, 2018).</w:t>
      </w:r>
    </w:p>
    <w:p w14:paraId="3B452B1D" w14:textId="77777777" w:rsidR="00D670F8" w:rsidRPr="00CD72ED" w:rsidRDefault="00D670F8" w:rsidP="00D670F8">
      <w:pPr>
        <w:rPr>
          <w:b/>
          <w:lang w:val="en-GB"/>
        </w:rPr>
      </w:pPr>
    </w:p>
    <w:p w14:paraId="6793C6CF" w14:textId="77777777" w:rsidR="00D670F8" w:rsidRPr="00CD72ED" w:rsidRDefault="00D670F8" w:rsidP="00D670F8">
      <w:pPr>
        <w:rPr>
          <w:b/>
          <w:lang w:val="en-GB"/>
        </w:rPr>
      </w:pPr>
    </w:p>
    <w:p w14:paraId="2B3ED3C9" w14:textId="5F711B8C" w:rsidR="00D670F8" w:rsidRPr="00CD72ED" w:rsidRDefault="00D670F8" w:rsidP="00D670F8">
      <w:pPr>
        <w:pStyle w:val="ExhibitHeading"/>
        <w:rPr>
          <w:lang w:val="en-GB"/>
        </w:rPr>
      </w:pPr>
      <w:r w:rsidRPr="00CD72ED">
        <w:rPr>
          <w:lang w:val="en-GB"/>
        </w:rPr>
        <w:t xml:space="preserve">Exhibit 2: Tata Equity </w:t>
      </w:r>
      <w:r w:rsidR="00311165">
        <w:rPr>
          <w:lang w:val="en-GB"/>
        </w:rPr>
        <w:t>P/</w:t>
      </w:r>
      <w:r w:rsidR="00B63221">
        <w:rPr>
          <w:lang w:val="en-GB"/>
        </w:rPr>
        <w:t>E</w:t>
      </w:r>
      <w:r w:rsidR="00B63221" w:rsidRPr="00CD72ED">
        <w:rPr>
          <w:lang w:val="en-GB"/>
        </w:rPr>
        <w:t xml:space="preserve"> </w:t>
      </w:r>
      <w:r w:rsidRPr="00CD72ED">
        <w:rPr>
          <w:lang w:val="en-GB"/>
        </w:rPr>
        <w:t>Fund versus its benchmarks and peers in the category</w:t>
      </w:r>
    </w:p>
    <w:p w14:paraId="244F7EAB" w14:textId="77777777" w:rsidR="00D670F8" w:rsidRPr="00CD72ED" w:rsidRDefault="00D670F8" w:rsidP="00D670F8">
      <w:pPr>
        <w:pStyle w:val="ExhibitHeading"/>
        <w:rPr>
          <w:lang w:val="en-GB"/>
        </w:rPr>
      </w:pPr>
    </w:p>
    <w:tbl>
      <w:tblPr>
        <w:tblW w:w="9556" w:type="dxa"/>
        <w:tblLook w:val="04A0" w:firstRow="1" w:lastRow="0" w:firstColumn="1" w:lastColumn="0" w:noHBand="0" w:noVBand="1"/>
      </w:tblPr>
      <w:tblGrid>
        <w:gridCol w:w="3556"/>
        <w:gridCol w:w="1216"/>
        <w:gridCol w:w="1256"/>
        <w:gridCol w:w="1216"/>
        <w:gridCol w:w="1216"/>
        <w:gridCol w:w="1096"/>
      </w:tblGrid>
      <w:tr w:rsidR="00D670F8" w:rsidRPr="00CD72ED" w14:paraId="2CACF185" w14:textId="77777777" w:rsidTr="00EF7D80">
        <w:trPr>
          <w:trHeight w:val="20"/>
        </w:trPr>
        <w:tc>
          <w:tcPr>
            <w:tcW w:w="3556" w:type="dxa"/>
            <w:tcBorders>
              <w:top w:val="nil"/>
              <w:left w:val="nil"/>
              <w:bottom w:val="single" w:sz="4" w:space="0" w:color="auto"/>
              <w:right w:val="nil"/>
            </w:tcBorders>
            <w:shd w:val="clear" w:color="auto" w:fill="auto"/>
            <w:noWrap/>
            <w:vAlign w:val="bottom"/>
            <w:hideMark/>
          </w:tcPr>
          <w:p w14:paraId="18BB25E3"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 </w:t>
            </w:r>
          </w:p>
        </w:tc>
        <w:tc>
          <w:tcPr>
            <w:tcW w:w="1216" w:type="dxa"/>
            <w:tcBorders>
              <w:top w:val="nil"/>
              <w:left w:val="nil"/>
              <w:bottom w:val="single" w:sz="4" w:space="0" w:color="auto"/>
              <w:right w:val="nil"/>
            </w:tcBorders>
            <w:shd w:val="clear" w:color="auto" w:fill="auto"/>
            <w:noWrap/>
            <w:vAlign w:val="bottom"/>
            <w:hideMark/>
          </w:tcPr>
          <w:p w14:paraId="5EA93F0B"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Sep-2017</w:t>
            </w:r>
          </w:p>
        </w:tc>
        <w:tc>
          <w:tcPr>
            <w:tcW w:w="1256" w:type="dxa"/>
            <w:tcBorders>
              <w:top w:val="nil"/>
              <w:left w:val="nil"/>
              <w:bottom w:val="single" w:sz="4" w:space="0" w:color="auto"/>
              <w:right w:val="nil"/>
            </w:tcBorders>
            <w:shd w:val="clear" w:color="auto" w:fill="auto"/>
            <w:noWrap/>
            <w:vAlign w:val="bottom"/>
            <w:hideMark/>
          </w:tcPr>
          <w:p w14:paraId="1DE47113"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Sep-2016</w:t>
            </w:r>
          </w:p>
        </w:tc>
        <w:tc>
          <w:tcPr>
            <w:tcW w:w="1216" w:type="dxa"/>
            <w:tcBorders>
              <w:top w:val="nil"/>
              <w:left w:val="nil"/>
              <w:bottom w:val="single" w:sz="4" w:space="0" w:color="auto"/>
              <w:right w:val="nil"/>
            </w:tcBorders>
            <w:shd w:val="clear" w:color="auto" w:fill="auto"/>
            <w:noWrap/>
            <w:vAlign w:val="bottom"/>
            <w:hideMark/>
          </w:tcPr>
          <w:p w14:paraId="5FD2A4D7"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Sep-2015</w:t>
            </w:r>
          </w:p>
        </w:tc>
        <w:tc>
          <w:tcPr>
            <w:tcW w:w="1216" w:type="dxa"/>
            <w:tcBorders>
              <w:top w:val="nil"/>
              <w:left w:val="nil"/>
              <w:bottom w:val="single" w:sz="4" w:space="0" w:color="auto"/>
              <w:right w:val="nil"/>
            </w:tcBorders>
            <w:shd w:val="clear" w:color="auto" w:fill="auto"/>
            <w:noWrap/>
            <w:vAlign w:val="bottom"/>
            <w:hideMark/>
          </w:tcPr>
          <w:p w14:paraId="2F0ABC20"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Sep-2014</w:t>
            </w:r>
          </w:p>
        </w:tc>
        <w:tc>
          <w:tcPr>
            <w:tcW w:w="1096" w:type="dxa"/>
            <w:tcBorders>
              <w:top w:val="nil"/>
              <w:left w:val="nil"/>
              <w:bottom w:val="single" w:sz="4" w:space="0" w:color="auto"/>
              <w:right w:val="nil"/>
            </w:tcBorders>
            <w:shd w:val="clear" w:color="auto" w:fill="auto"/>
            <w:noWrap/>
            <w:vAlign w:val="bottom"/>
            <w:hideMark/>
          </w:tcPr>
          <w:p w14:paraId="49DFE04E"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Sep-2013</w:t>
            </w:r>
          </w:p>
        </w:tc>
      </w:tr>
      <w:tr w:rsidR="00D670F8" w:rsidRPr="00CD72ED" w14:paraId="5C67A6CF" w14:textId="77777777" w:rsidTr="00EF7D80">
        <w:trPr>
          <w:trHeight w:val="20"/>
        </w:trPr>
        <w:tc>
          <w:tcPr>
            <w:tcW w:w="3556" w:type="dxa"/>
            <w:tcBorders>
              <w:top w:val="nil"/>
              <w:left w:val="nil"/>
              <w:bottom w:val="nil"/>
              <w:right w:val="nil"/>
            </w:tcBorders>
            <w:shd w:val="clear" w:color="auto" w:fill="auto"/>
            <w:noWrap/>
            <w:vAlign w:val="bottom"/>
            <w:hideMark/>
          </w:tcPr>
          <w:p w14:paraId="01BA455A" w14:textId="113AA354" w:rsidR="00D670F8" w:rsidRPr="00CD72ED" w:rsidRDefault="00D670F8" w:rsidP="00EF7D80">
            <w:pPr>
              <w:rPr>
                <w:rFonts w:ascii="Arial" w:hAnsi="Arial" w:cs="Arial"/>
                <w:color w:val="000000"/>
                <w:lang w:val="en-GB"/>
              </w:rPr>
            </w:pPr>
            <w:r w:rsidRPr="00CD72ED">
              <w:rPr>
                <w:rFonts w:ascii="Arial" w:hAnsi="Arial" w:cs="Arial"/>
                <w:color w:val="000000"/>
                <w:lang w:val="en-GB"/>
              </w:rPr>
              <w:t>AUM (</w:t>
            </w:r>
            <w:r w:rsidR="00567625">
              <w:rPr>
                <w:rFonts w:ascii="Arial" w:hAnsi="Arial" w:cs="Arial"/>
                <w:color w:val="000000"/>
                <w:lang w:val="en-GB"/>
              </w:rPr>
              <w:t>₹</w:t>
            </w:r>
            <w:r w:rsidRPr="00CD72ED">
              <w:rPr>
                <w:rFonts w:ascii="Arial" w:hAnsi="Arial" w:cs="Arial"/>
                <w:color w:val="000000"/>
                <w:lang w:val="en-GB"/>
              </w:rPr>
              <w:t xml:space="preserve"> billion)</w:t>
            </w:r>
          </w:p>
        </w:tc>
        <w:tc>
          <w:tcPr>
            <w:tcW w:w="1216" w:type="dxa"/>
            <w:tcBorders>
              <w:top w:val="nil"/>
              <w:left w:val="nil"/>
              <w:bottom w:val="nil"/>
              <w:right w:val="nil"/>
            </w:tcBorders>
            <w:shd w:val="clear" w:color="auto" w:fill="auto"/>
            <w:noWrap/>
            <w:vAlign w:val="bottom"/>
            <w:hideMark/>
          </w:tcPr>
          <w:p w14:paraId="62032C7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18.15</w:t>
            </w:r>
          </w:p>
        </w:tc>
        <w:tc>
          <w:tcPr>
            <w:tcW w:w="1256" w:type="dxa"/>
            <w:tcBorders>
              <w:top w:val="nil"/>
              <w:left w:val="nil"/>
              <w:bottom w:val="nil"/>
              <w:right w:val="nil"/>
            </w:tcBorders>
            <w:shd w:val="clear" w:color="auto" w:fill="auto"/>
            <w:noWrap/>
            <w:vAlign w:val="bottom"/>
            <w:hideMark/>
          </w:tcPr>
          <w:p w14:paraId="2ECEAA5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6.58</w:t>
            </w:r>
          </w:p>
        </w:tc>
        <w:tc>
          <w:tcPr>
            <w:tcW w:w="1216" w:type="dxa"/>
            <w:tcBorders>
              <w:top w:val="nil"/>
              <w:left w:val="nil"/>
              <w:bottom w:val="nil"/>
              <w:right w:val="nil"/>
            </w:tcBorders>
            <w:shd w:val="clear" w:color="auto" w:fill="auto"/>
            <w:noWrap/>
            <w:vAlign w:val="bottom"/>
            <w:hideMark/>
          </w:tcPr>
          <w:p w14:paraId="496A219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6.02</w:t>
            </w:r>
          </w:p>
        </w:tc>
        <w:tc>
          <w:tcPr>
            <w:tcW w:w="1216" w:type="dxa"/>
            <w:tcBorders>
              <w:top w:val="nil"/>
              <w:left w:val="nil"/>
              <w:bottom w:val="nil"/>
              <w:right w:val="nil"/>
            </w:tcBorders>
            <w:shd w:val="clear" w:color="auto" w:fill="auto"/>
            <w:noWrap/>
            <w:vAlign w:val="bottom"/>
            <w:hideMark/>
          </w:tcPr>
          <w:p w14:paraId="0797E1CC"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5.14</w:t>
            </w:r>
          </w:p>
        </w:tc>
        <w:tc>
          <w:tcPr>
            <w:tcW w:w="1096" w:type="dxa"/>
            <w:tcBorders>
              <w:top w:val="nil"/>
              <w:left w:val="nil"/>
              <w:bottom w:val="nil"/>
              <w:right w:val="nil"/>
            </w:tcBorders>
            <w:shd w:val="clear" w:color="auto" w:fill="auto"/>
            <w:noWrap/>
            <w:vAlign w:val="bottom"/>
            <w:hideMark/>
          </w:tcPr>
          <w:p w14:paraId="68BE023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3.79</w:t>
            </w:r>
          </w:p>
        </w:tc>
      </w:tr>
      <w:tr w:rsidR="00D670F8" w:rsidRPr="00CD72ED" w14:paraId="3CA7182D" w14:textId="77777777" w:rsidTr="00EF7D80">
        <w:trPr>
          <w:trHeight w:val="20"/>
        </w:trPr>
        <w:tc>
          <w:tcPr>
            <w:tcW w:w="3556" w:type="dxa"/>
            <w:tcBorders>
              <w:top w:val="nil"/>
              <w:left w:val="nil"/>
              <w:bottom w:val="nil"/>
              <w:right w:val="nil"/>
            </w:tcBorders>
            <w:shd w:val="clear" w:color="auto" w:fill="auto"/>
            <w:noWrap/>
            <w:vAlign w:val="bottom"/>
            <w:hideMark/>
          </w:tcPr>
          <w:p w14:paraId="0F774132" w14:textId="11987C59" w:rsidR="00D670F8" w:rsidRPr="00CD72ED" w:rsidRDefault="00D670F8" w:rsidP="00EF7D80">
            <w:pPr>
              <w:rPr>
                <w:rFonts w:ascii="Arial" w:hAnsi="Arial" w:cs="Arial"/>
                <w:color w:val="000000"/>
                <w:lang w:val="en-GB"/>
              </w:rPr>
            </w:pPr>
            <w:r w:rsidRPr="00CD72ED">
              <w:rPr>
                <w:rFonts w:ascii="Arial" w:hAnsi="Arial" w:cs="Arial"/>
                <w:color w:val="000000"/>
                <w:lang w:val="en-GB"/>
              </w:rPr>
              <w:t>NAV (</w:t>
            </w:r>
            <w:r w:rsidR="00567625">
              <w:rPr>
                <w:rFonts w:ascii="Arial" w:hAnsi="Arial" w:cs="Arial"/>
                <w:color w:val="000000"/>
                <w:lang w:val="en-GB"/>
              </w:rPr>
              <w:t>₹ billion</w:t>
            </w:r>
            <w:r w:rsidRPr="00CD72ED">
              <w:rPr>
                <w:rFonts w:ascii="Arial" w:hAnsi="Arial" w:cs="Arial"/>
                <w:color w:val="000000"/>
                <w:lang w:val="en-GB"/>
              </w:rPr>
              <w:t>)</w:t>
            </w:r>
          </w:p>
        </w:tc>
        <w:tc>
          <w:tcPr>
            <w:tcW w:w="1216" w:type="dxa"/>
            <w:tcBorders>
              <w:top w:val="nil"/>
              <w:left w:val="nil"/>
              <w:bottom w:val="nil"/>
              <w:right w:val="nil"/>
            </w:tcBorders>
            <w:shd w:val="clear" w:color="auto" w:fill="auto"/>
            <w:noWrap/>
            <w:vAlign w:val="bottom"/>
            <w:hideMark/>
          </w:tcPr>
          <w:p w14:paraId="6D0CE783"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131.80</w:t>
            </w:r>
          </w:p>
        </w:tc>
        <w:tc>
          <w:tcPr>
            <w:tcW w:w="1256" w:type="dxa"/>
            <w:tcBorders>
              <w:top w:val="nil"/>
              <w:left w:val="nil"/>
              <w:bottom w:val="nil"/>
              <w:right w:val="nil"/>
            </w:tcBorders>
            <w:shd w:val="clear" w:color="auto" w:fill="auto"/>
            <w:noWrap/>
            <w:vAlign w:val="bottom"/>
            <w:hideMark/>
          </w:tcPr>
          <w:p w14:paraId="231A905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103.37</w:t>
            </w:r>
          </w:p>
        </w:tc>
        <w:tc>
          <w:tcPr>
            <w:tcW w:w="1216" w:type="dxa"/>
            <w:tcBorders>
              <w:top w:val="nil"/>
              <w:left w:val="nil"/>
              <w:bottom w:val="nil"/>
              <w:right w:val="nil"/>
            </w:tcBorders>
            <w:shd w:val="clear" w:color="auto" w:fill="auto"/>
            <w:noWrap/>
            <w:vAlign w:val="bottom"/>
            <w:hideMark/>
          </w:tcPr>
          <w:p w14:paraId="4D1F337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83.90</w:t>
            </w:r>
          </w:p>
        </w:tc>
        <w:tc>
          <w:tcPr>
            <w:tcW w:w="1216" w:type="dxa"/>
            <w:tcBorders>
              <w:top w:val="nil"/>
              <w:left w:val="nil"/>
              <w:bottom w:val="nil"/>
              <w:right w:val="nil"/>
            </w:tcBorders>
            <w:shd w:val="clear" w:color="auto" w:fill="auto"/>
            <w:noWrap/>
            <w:vAlign w:val="bottom"/>
            <w:hideMark/>
          </w:tcPr>
          <w:p w14:paraId="410727DD"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77.14</w:t>
            </w:r>
          </w:p>
        </w:tc>
        <w:tc>
          <w:tcPr>
            <w:tcW w:w="1096" w:type="dxa"/>
            <w:tcBorders>
              <w:top w:val="nil"/>
              <w:left w:val="nil"/>
              <w:bottom w:val="nil"/>
              <w:right w:val="nil"/>
            </w:tcBorders>
            <w:shd w:val="clear" w:color="auto" w:fill="auto"/>
            <w:noWrap/>
            <w:vAlign w:val="bottom"/>
            <w:hideMark/>
          </w:tcPr>
          <w:p w14:paraId="4A9120E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44.13</w:t>
            </w:r>
          </w:p>
        </w:tc>
      </w:tr>
      <w:tr w:rsidR="00D670F8" w:rsidRPr="00CD72ED" w14:paraId="11767C3A" w14:textId="77777777" w:rsidTr="00EF7D80">
        <w:trPr>
          <w:trHeight w:val="20"/>
        </w:trPr>
        <w:tc>
          <w:tcPr>
            <w:tcW w:w="3556" w:type="dxa"/>
            <w:tcBorders>
              <w:top w:val="nil"/>
              <w:left w:val="nil"/>
              <w:bottom w:val="nil"/>
              <w:right w:val="nil"/>
            </w:tcBorders>
            <w:shd w:val="clear" w:color="auto" w:fill="auto"/>
            <w:noWrap/>
            <w:vAlign w:val="bottom"/>
            <w:hideMark/>
          </w:tcPr>
          <w:p w14:paraId="71575847" w14:textId="513A46D1" w:rsidR="00D670F8" w:rsidRPr="00CD72ED" w:rsidRDefault="00D670F8" w:rsidP="00EF7D80">
            <w:pPr>
              <w:rPr>
                <w:rFonts w:ascii="Arial" w:hAnsi="Arial" w:cs="Arial"/>
                <w:color w:val="000000"/>
                <w:lang w:val="en-GB"/>
              </w:rPr>
            </w:pPr>
            <w:r w:rsidRPr="00CD72ED">
              <w:rPr>
                <w:rFonts w:ascii="Arial" w:hAnsi="Arial" w:cs="Arial"/>
                <w:color w:val="000000"/>
                <w:lang w:val="en-GB"/>
              </w:rPr>
              <w:t>Fund (growth option) returns</w:t>
            </w:r>
            <w:r w:rsidR="00DA3398">
              <w:rPr>
                <w:rFonts w:ascii="Arial" w:hAnsi="Arial" w:cs="Arial"/>
                <w:color w:val="000000"/>
                <w:lang w:val="en-GB"/>
              </w:rPr>
              <w:t xml:space="preserve"> (%)</w:t>
            </w:r>
          </w:p>
        </w:tc>
        <w:tc>
          <w:tcPr>
            <w:tcW w:w="1216" w:type="dxa"/>
            <w:tcBorders>
              <w:top w:val="nil"/>
              <w:left w:val="nil"/>
              <w:bottom w:val="nil"/>
              <w:right w:val="nil"/>
            </w:tcBorders>
            <w:shd w:val="clear" w:color="auto" w:fill="auto"/>
            <w:noWrap/>
            <w:vAlign w:val="bottom"/>
            <w:hideMark/>
          </w:tcPr>
          <w:p w14:paraId="3EE28524" w14:textId="21E729F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27.51</w:t>
            </w:r>
          </w:p>
        </w:tc>
        <w:tc>
          <w:tcPr>
            <w:tcW w:w="1256" w:type="dxa"/>
            <w:tcBorders>
              <w:top w:val="nil"/>
              <w:left w:val="nil"/>
              <w:bottom w:val="nil"/>
              <w:right w:val="nil"/>
            </w:tcBorders>
            <w:shd w:val="clear" w:color="auto" w:fill="auto"/>
            <w:noWrap/>
            <w:vAlign w:val="bottom"/>
            <w:hideMark/>
          </w:tcPr>
          <w:p w14:paraId="131A9EE8" w14:textId="3C41B515"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23.21</w:t>
            </w:r>
          </w:p>
        </w:tc>
        <w:tc>
          <w:tcPr>
            <w:tcW w:w="1216" w:type="dxa"/>
            <w:tcBorders>
              <w:top w:val="nil"/>
              <w:left w:val="nil"/>
              <w:bottom w:val="nil"/>
              <w:right w:val="nil"/>
            </w:tcBorders>
            <w:shd w:val="clear" w:color="auto" w:fill="auto"/>
            <w:noWrap/>
            <w:vAlign w:val="bottom"/>
            <w:hideMark/>
          </w:tcPr>
          <w:p w14:paraId="7F4EE22D" w14:textId="3FCCC3FD"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8.77</w:t>
            </w:r>
          </w:p>
        </w:tc>
        <w:tc>
          <w:tcPr>
            <w:tcW w:w="1216" w:type="dxa"/>
            <w:tcBorders>
              <w:top w:val="nil"/>
              <w:left w:val="nil"/>
              <w:bottom w:val="nil"/>
              <w:right w:val="nil"/>
            </w:tcBorders>
            <w:shd w:val="clear" w:color="auto" w:fill="auto"/>
            <w:noWrap/>
            <w:vAlign w:val="bottom"/>
            <w:hideMark/>
          </w:tcPr>
          <w:p w14:paraId="1047C585" w14:textId="2D87A730"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74.77</w:t>
            </w:r>
          </w:p>
        </w:tc>
        <w:tc>
          <w:tcPr>
            <w:tcW w:w="1096" w:type="dxa"/>
            <w:tcBorders>
              <w:top w:val="nil"/>
              <w:left w:val="nil"/>
              <w:bottom w:val="nil"/>
              <w:right w:val="nil"/>
            </w:tcBorders>
            <w:shd w:val="clear" w:color="auto" w:fill="auto"/>
            <w:noWrap/>
            <w:vAlign w:val="bottom"/>
            <w:hideMark/>
          </w:tcPr>
          <w:p w14:paraId="2C714BD2" w14:textId="69757779" w:rsidR="00D670F8" w:rsidRPr="00CD72ED" w:rsidRDefault="00DA3398" w:rsidP="00EF7D80">
            <w:pPr>
              <w:jc w:val="right"/>
              <w:rPr>
                <w:rFonts w:ascii="Arial" w:hAnsi="Arial" w:cs="Arial"/>
                <w:color w:val="000000"/>
                <w:lang w:val="en-GB"/>
              </w:rPr>
            </w:pPr>
            <w:r>
              <w:rPr>
                <w:rFonts w:ascii="Arial" w:hAnsi="Arial" w:cs="Arial"/>
                <w:color w:val="000000"/>
                <w:lang w:val="en-GB"/>
              </w:rPr>
              <w:t>−</w:t>
            </w:r>
            <w:r w:rsidR="00D670F8" w:rsidRPr="00CD72ED">
              <w:rPr>
                <w:rFonts w:ascii="Arial" w:hAnsi="Arial" w:cs="Arial"/>
                <w:color w:val="000000"/>
                <w:lang w:val="en-GB"/>
              </w:rPr>
              <w:t>8.15</w:t>
            </w:r>
          </w:p>
        </w:tc>
      </w:tr>
      <w:tr w:rsidR="00D670F8" w:rsidRPr="00CD72ED" w14:paraId="6ADDCE91" w14:textId="77777777" w:rsidTr="00EF7D80">
        <w:trPr>
          <w:trHeight w:val="20"/>
        </w:trPr>
        <w:tc>
          <w:tcPr>
            <w:tcW w:w="3556" w:type="dxa"/>
            <w:tcBorders>
              <w:top w:val="nil"/>
              <w:left w:val="nil"/>
              <w:bottom w:val="nil"/>
              <w:right w:val="nil"/>
            </w:tcBorders>
            <w:shd w:val="clear" w:color="auto" w:fill="auto"/>
            <w:noWrap/>
            <w:vAlign w:val="bottom"/>
            <w:hideMark/>
          </w:tcPr>
          <w:p w14:paraId="098874BF" w14:textId="2CD3F8C3" w:rsidR="00D670F8" w:rsidRPr="00CD72ED" w:rsidRDefault="00D670F8" w:rsidP="00EF7D80">
            <w:pPr>
              <w:rPr>
                <w:rFonts w:ascii="Arial" w:hAnsi="Arial" w:cs="Arial"/>
                <w:color w:val="000000"/>
                <w:lang w:val="en-GB"/>
              </w:rPr>
            </w:pPr>
            <w:r w:rsidRPr="00CD72ED">
              <w:rPr>
                <w:rFonts w:ascii="Arial" w:hAnsi="Arial" w:cs="Arial"/>
                <w:color w:val="000000"/>
                <w:lang w:val="en-GB"/>
              </w:rPr>
              <w:t>Benchmark (total return index) returns</w:t>
            </w:r>
            <w:r w:rsidR="00DA3398">
              <w:rPr>
                <w:rFonts w:ascii="Arial" w:hAnsi="Arial" w:cs="Arial"/>
                <w:color w:val="000000"/>
                <w:lang w:val="en-GB"/>
              </w:rPr>
              <w:t xml:space="preserve"> (%)</w:t>
            </w:r>
          </w:p>
        </w:tc>
        <w:tc>
          <w:tcPr>
            <w:tcW w:w="1216" w:type="dxa"/>
            <w:tcBorders>
              <w:top w:val="nil"/>
              <w:left w:val="nil"/>
              <w:bottom w:val="nil"/>
              <w:right w:val="nil"/>
            </w:tcBorders>
            <w:shd w:val="clear" w:color="auto" w:fill="auto"/>
            <w:noWrap/>
            <w:vAlign w:val="bottom"/>
            <w:hideMark/>
          </w:tcPr>
          <w:p w14:paraId="52F3754A" w14:textId="5A754302"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15.11</w:t>
            </w:r>
          </w:p>
        </w:tc>
        <w:tc>
          <w:tcPr>
            <w:tcW w:w="1256" w:type="dxa"/>
            <w:tcBorders>
              <w:top w:val="nil"/>
              <w:left w:val="nil"/>
              <w:bottom w:val="nil"/>
              <w:right w:val="nil"/>
            </w:tcBorders>
            <w:shd w:val="clear" w:color="auto" w:fill="auto"/>
            <w:noWrap/>
            <w:vAlign w:val="bottom"/>
            <w:hideMark/>
          </w:tcPr>
          <w:p w14:paraId="60E770AC" w14:textId="5F988CB3"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9.77</w:t>
            </w:r>
          </w:p>
        </w:tc>
        <w:tc>
          <w:tcPr>
            <w:tcW w:w="1216" w:type="dxa"/>
            <w:tcBorders>
              <w:top w:val="nil"/>
              <w:left w:val="nil"/>
              <w:bottom w:val="nil"/>
              <w:right w:val="nil"/>
            </w:tcBorders>
            <w:shd w:val="clear" w:color="auto" w:fill="auto"/>
            <w:noWrap/>
            <w:vAlign w:val="bottom"/>
            <w:hideMark/>
          </w:tcPr>
          <w:p w14:paraId="29DA59B1" w14:textId="7A5A9B38"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0.87</w:t>
            </w:r>
          </w:p>
        </w:tc>
        <w:tc>
          <w:tcPr>
            <w:tcW w:w="1216" w:type="dxa"/>
            <w:tcBorders>
              <w:top w:val="nil"/>
              <w:left w:val="nil"/>
              <w:bottom w:val="nil"/>
              <w:right w:val="nil"/>
            </w:tcBorders>
            <w:shd w:val="clear" w:color="auto" w:fill="auto"/>
            <w:noWrap/>
            <w:vAlign w:val="bottom"/>
            <w:hideMark/>
          </w:tcPr>
          <w:p w14:paraId="38AFA1A9" w14:textId="0101BEA4"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51</w:t>
            </w:r>
            <w:r w:rsidR="00DA3398">
              <w:rPr>
                <w:rFonts w:ascii="Arial" w:hAnsi="Arial" w:cs="Arial"/>
                <w:color w:val="000000"/>
                <w:lang w:val="en-GB"/>
              </w:rPr>
              <w:t>.00</w:t>
            </w:r>
          </w:p>
        </w:tc>
        <w:tc>
          <w:tcPr>
            <w:tcW w:w="1096" w:type="dxa"/>
            <w:tcBorders>
              <w:top w:val="nil"/>
              <w:left w:val="nil"/>
              <w:bottom w:val="nil"/>
              <w:right w:val="nil"/>
            </w:tcBorders>
            <w:shd w:val="clear" w:color="auto" w:fill="auto"/>
            <w:noWrap/>
            <w:vAlign w:val="bottom"/>
            <w:hideMark/>
          </w:tcPr>
          <w:p w14:paraId="44D99960" w14:textId="3AFB40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1.82</w:t>
            </w:r>
          </w:p>
        </w:tc>
      </w:tr>
      <w:tr w:rsidR="00D670F8" w:rsidRPr="00CD72ED" w14:paraId="72601C0D" w14:textId="77777777" w:rsidTr="00EF7D80">
        <w:trPr>
          <w:trHeight w:val="20"/>
        </w:trPr>
        <w:tc>
          <w:tcPr>
            <w:tcW w:w="3556" w:type="dxa"/>
            <w:tcBorders>
              <w:top w:val="nil"/>
              <w:left w:val="nil"/>
              <w:bottom w:val="nil"/>
              <w:right w:val="nil"/>
            </w:tcBorders>
            <w:shd w:val="clear" w:color="auto" w:fill="auto"/>
            <w:noWrap/>
            <w:vAlign w:val="bottom"/>
            <w:hideMark/>
          </w:tcPr>
          <w:p w14:paraId="5A4A7095"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Rank within large-cap funds</w:t>
            </w:r>
          </w:p>
        </w:tc>
        <w:tc>
          <w:tcPr>
            <w:tcW w:w="1216" w:type="dxa"/>
            <w:tcBorders>
              <w:top w:val="nil"/>
              <w:left w:val="nil"/>
              <w:bottom w:val="nil"/>
              <w:right w:val="nil"/>
            </w:tcBorders>
            <w:shd w:val="clear" w:color="auto" w:fill="auto"/>
            <w:noWrap/>
            <w:vAlign w:val="bottom"/>
            <w:hideMark/>
          </w:tcPr>
          <w:p w14:paraId="74CDF126"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3</w:t>
            </w:r>
          </w:p>
        </w:tc>
        <w:tc>
          <w:tcPr>
            <w:tcW w:w="1256" w:type="dxa"/>
            <w:tcBorders>
              <w:top w:val="nil"/>
              <w:left w:val="nil"/>
              <w:bottom w:val="nil"/>
              <w:right w:val="nil"/>
            </w:tcBorders>
            <w:shd w:val="clear" w:color="auto" w:fill="auto"/>
            <w:noWrap/>
            <w:vAlign w:val="bottom"/>
            <w:hideMark/>
          </w:tcPr>
          <w:p w14:paraId="1BA923A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w:t>
            </w:r>
          </w:p>
        </w:tc>
        <w:tc>
          <w:tcPr>
            <w:tcW w:w="1216" w:type="dxa"/>
            <w:tcBorders>
              <w:top w:val="nil"/>
              <w:left w:val="nil"/>
              <w:bottom w:val="nil"/>
              <w:right w:val="nil"/>
            </w:tcBorders>
            <w:shd w:val="clear" w:color="auto" w:fill="auto"/>
            <w:noWrap/>
            <w:vAlign w:val="bottom"/>
            <w:hideMark/>
          </w:tcPr>
          <w:p w14:paraId="42C9D0C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29</w:t>
            </w:r>
          </w:p>
        </w:tc>
        <w:tc>
          <w:tcPr>
            <w:tcW w:w="1216" w:type="dxa"/>
            <w:tcBorders>
              <w:top w:val="nil"/>
              <w:left w:val="nil"/>
              <w:bottom w:val="nil"/>
              <w:right w:val="nil"/>
            </w:tcBorders>
            <w:shd w:val="clear" w:color="auto" w:fill="auto"/>
            <w:noWrap/>
            <w:vAlign w:val="bottom"/>
            <w:hideMark/>
          </w:tcPr>
          <w:p w14:paraId="535A4518"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w:t>
            </w:r>
          </w:p>
        </w:tc>
        <w:tc>
          <w:tcPr>
            <w:tcW w:w="1096" w:type="dxa"/>
            <w:tcBorders>
              <w:top w:val="nil"/>
              <w:left w:val="nil"/>
              <w:bottom w:val="nil"/>
              <w:right w:val="nil"/>
            </w:tcBorders>
            <w:shd w:val="clear" w:color="auto" w:fill="auto"/>
            <w:noWrap/>
            <w:vAlign w:val="bottom"/>
            <w:hideMark/>
          </w:tcPr>
          <w:p w14:paraId="4919806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51</w:t>
            </w:r>
          </w:p>
        </w:tc>
      </w:tr>
      <w:tr w:rsidR="00D670F8" w:rsidRPr="00CD72ED" w14:paraId="4B979020" w14:textId="77777777" w:rsidTr="00EF7D80">
        <w:trPr>
          <w:trHeight w:val="20"/>
        </w:trPr>
        <w:tc>
          <w:tcPr>
            <w:tcW w:w="3556" w:type="dxa"/>
            <w:tcBorders>
              <w:top w:val="nil"/>
              <w:left w:val="nil"/>
              <w:bottom w:val="single" w:sz="4" w:space="0" w:color="auto"/>
              <w:right w:val="nil"/>
            </w:tcBorders>
            <w:shd w:val="clear" w:color="auto" w:fill="auto"/>
            <w:noWrap/>
            <w:vAlign w:val="bottom"/>
            <w:hideMark/>
          </w:tcPr>
          <w:p w14:paraId="6C210BBE" w14:textId="53E4F97C" w:rsidR="00D670F8" w:rsidRPr="00CD72ED" w:rsidRDefault="00D670F8" w:rsidP="00EF7D80">
            <w:pPr>
              <w:rPr>
                <w:rFonts w:ascii="Arial" w:hAnsi="Arial" w:cs="Arial"/>
                <w:color w:val="000000"/>
                <w:lang w:val="en-GB"/>
              </w:rPr>
            </w:pPr>
            <w:r w:rsidRPr="00CD72ED">
              <w:rPr>
                <w:rFonts w:ascii="Arial" w:hAnsi="Arial" w:cs="Arial"/>
                <w:color w:val="000000"/>
                <w:lang w:val="en-GB"/>
              </w:rPr>
              <w:t xml:space="preserve">Total </w:t>
            </w:r>
            <w:r w:rsidR="00DA3398">
              <w:rPr>
                <w:rFonts w:ascii="Arial" w:hAnsi="Arial" w:cs="Arial"/>
                <w:color w:val="000000"/>
                <w:lang w:val="en-GB"/>
              </w:rPr>
              <w:t>number</w:t>
            </w:r>
            <w:r w:rsidRPr="00CD72ED">
              <w:rPr>
                <w:rFonts w:ascii="Arial" w:hAnsi="Arial" w:cs="Arial"/>
                <w:color w:val="000000"/>
                <w:lang w:val="en-GB"/>
              </w:rPr>
              <w:t xml:space="preserve"> of funds in category</w:t>
            </w:r>
          </w:p>
        </w:tc>
        <w:tc>
          <w:tcPr>
            <w:tcW w:w="1216" w:type="dxa"/>
            <w:tcBorders>
              <w:top w:val="nil"/>
              <w:left w:val="nil"/>
              <w:bottom w:val="single" w:sz="4" w:space="0" w:color="auto"/>
              <w:right w:val="nil"/>
            </w:tcBorders>
            <w:shd w:val="clear" w:color="auto" w:fill="auto"/>
            <w:noWrap/>
            <w:vAlign w:val="bottom"/>
            <w:hideMark/>
          </w:tcPr>
          <w:p w14:paraId="4ACC5CF4"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62</w:t>
            </w:r>
          </w:p>
        </w:tc>
        <w:tc>
          <w:tcPr>
            <w:tcW w:w="1256" w:type="dxa"/>
            <w:tcBorders>
              <w:top w:val="nil"/>
              <w:left w:val="nil"/>
              <w:bottom w:val="single" w:sz="4" w:space="0" w:color="auto"/>
              <w:right w:val="nil"/>
            </w:tcBorders>
            <w:shd w:val="clear" w:color="auto" w:fill="auto"/>
            <w:noWrap/>
            <w:vAlign w:val="bottom"/>
            <w:hideMark/>
          </w:tcPr>
          <w:p w14:paraId="1D16C9E5"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65</w:t>
            </w:r>
          </w:p>
        </w:tc>
        <w:tc>
          <w:tcPr>
            <w:tcW w:w="1216" w:type="dxa"/>
            <w:tcBorders>
              <w:top w:val="nil"/>
              <w:left w:val="nil"/>
              <w:bottom w:val="single" w:sz="4" w:space="0" w:color="auto"/>
              <w:right w:val="nil"/>
            </w:tcBorders>
            <w:shd w:val="clear" w:color="auto" w:fill="auto"/>
            <w:noWrap/>
            <w:vAlign w:val="bottom"/>
            <w:hideMark/>
          </w:tcPr>
          <w:p w14:paraId="0E4C1416"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63</w:t>
            </w:r>
          </w:p>
        </w:tc>
        <w:tc>
          <w:tcPr>
            <w:tcW w:w="1216" w:type="dxa"/>
            <w:tcBorders>
              <w:top w:val="nil"/>
              <w:left w:val="nil"/>
              <w:bottom w:val="single" w:sz="4" w:space="0" w:color="auto"/>
              <w:right w:val="nil"/>
            </w:tcBorders>
            <w:shd w:val="clear" w:color="auto" w:fill="auto"/>
            <w:noWrap/>
            <w:vAlign w:val="bottom"/>
            <w:hideMark/>
          </w:tcPr>
          <w:p w14:paraId="17AB44D2"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61</w:t>
            </w:r>
          </w:p>
        </w:tc>
        <w:tc>
          <w:tcPr>
            <w:tcW w:w="1096" w:type="dxa"/>
            <w:tcBorders>
              <w:top w:val="nil"/>
              <w:left w:val="nil"/>
              <w:bottom w:val="single" w:sz="4" w:space="0" w:color="auto"/>
              <w:right w:val="nil"/>
            </w:tcBorders>
            <w:shd w:val="clear" w:color="auto" w:fill="auto"/>
            <w:noWrap/>
            <w:vAlign w:val="bottom"/>
            <w:hideMark/>
          </w:tcPr>
          <w:p w14:paraId="207BE1F1"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62</w:t>
            </w:r>
          </w:p>
        </w:tc>
      </w:tr>
      <w:tr w:rsidR="00D670F8" w:rsidRPr="00CD72ED" w14:paraId="772BA1BE" w14:textId="77777777" w:rsidTr="00EF7D80">
        <w:trPr>
          <w:trHeight w:val="20"/>
        </w:trPr>
        <w:tc>
          <w:tcPr>
            <w:tcW w:w="8460" w:type="dxa"/>
            <w:gridSpan w:val="5"/>
            <w:tcBorders>
              <w:top w:val="nil"/>
              <w:left w:val="nil"/>
              <w:bottom w:val="nil"/>
              <w:right w:val="nil"/>
            </w:tcBorders>
            <w:shd w:val="clear" w:color="auto" w:fill="auto"/>
            <w:noWrap/>
            <w:vAlign w:val="bottom"/>
            <w:hideMark/>
          </w:tcPr>
          <w:p w14:paraId="1080F099" w14:textId="173DE44C" w:rsidR="00D670F8" w:rsidRDefault="00D670F8" w:rsidP="00EF7D80">
            <w:pPr>
              <w:pStyle w:val="Footnote"/>
              <w:rPr>
                <w:lang w:val="en-GB"/>
              </w:rPr>
            </w:pPr>
          </w:p>
          <w:p w14:paraId="3C6BEF95" w14:textId="1FB048BB" w:rsidR="00DA3398" w:rsidRPr="00CD72ED" w:rsidRDefault="00DA3398" w:rsidP="00EF7D80">
            <w:pPr>
              <w:pStyle w:val="Footnote"/>
              <w:rPr>
                <w:lang w:val="en-GB"/>
              </w:rPr>
            </w:pPr>
            <w:r>
              <w:rPr>
                <w:lang w:val="en-GB"/>
              </w:rPr>
              <w:t>Note: AUM = assets under management; NAV = net asset value</w:t>
            </w:r>
          </w:p>
          <w:p w14:paraId="3D9AD04F" w14:textId="1243F0B4" w:rsidR="00D670F8" w:rsidRPr="00CD72ED" w:rsidRDefault="00D670F8" w:rsidP="00EF7D80">
            <w:pPr>
              <w:pStyle w:val="Footnote"/>
              <w:rPr>
                <w:lang w:val="en-GB"/>
              </w:rPr>
            </w:pPr>
            <w:r w:rsidRPr="00CD72ED">
              <w:rPr>
                <w:lang w:val="en-GB"/>
              </w:rPr>
              <w:t xml:space="preserve">Source: </w:t>
            </w:r>
            <w:r w:rsidR="00DA3398">
              <w:rPr>
                <w:lang w:val="en-GB"/>
              </w:rPr>
              <w:t xml:space="preserve">Compiled by the author </w:t>
            </w:r>
            <w:r w:rsidR="00DA3398" w:rsidRPr="00CD72ED">
              <w:rPr>
                <w:lang w:val="en-GB"/>
              </w:rPr>
              <w:t xml:space="preserve">using data from </w:t>
            </w:r>
            <w:r w:rsidR="00DA3398" w:rsidRPr="00F061B4">
              <w:rPr>
                <w:i/>
                <w:lang w:val="en-GB"/>
              </w:rPr>
              <w:t>ACE MF</w:t>
            </w:r>
            <w:r w:rsidR="00DA3398">
              <w:rPr>
                <w:lang w:val="en-GB"/>
              </w:rPr>
              <w:t xml:space="preserve"> (Accord Fintech, 2018).</w:t>
            </w:r>
          </w:p>
        </w:tc>
        <w:tc>
          <w:tcPr>
            <w:tcW w:w="1096" w:type="dxa"/>
            <w:tcBorders>
              <w:top w:val="nil"/>
              <w:left w:val="nil"/>
              <w:bottom w:val="nil"/>
              <w:right w:val="nil"/>
            </w:tcBorders>
            <w:shd w:val="clear" w:color="auto" w:fill="auto"/>
            <w:noWrap/>
            <w:vAlign w:val="bottom"/>
            <w:hideMark/>
          </w:tcPr>
          <w:p w14:paraId="77363F69" w14:textId="77777777" w:rsidR="00D670F8" w:rsidRPr="00CD72ED" w:rsidRDefault="00D670F8" w:rsidP="00EF7D80">
            <w:pPr>
              <w:rPr>
                <w:rFonts w:ascii="Arial" w:hAnsi="Arial" w:cs="Arial"/>
                <w:color w:val="000000"/>
                <w:lang w:val="en-GB"/>
              </w:rPr>
            </w:pPr>
          </w:p>
        </w:tc>
      </w:tr>
    </w:tbl>
    <w:p w14:paraId="5FE8E6F0" w14:textId="77777777" w:rsidR="00D670F8" w:rsidRPr="00CD72ED" w:rsidRDefault="00D670F8" w:rsidP="00D670F8">
      <w:pPr>
        <w:rPr>
          <w:b/>
          <w:lang w:val="en-GB"/>
        </w:rPr>
      </w:pPr>
    </w:p>
    <w:p w14:paraId="04F07B34" w14:textId="77777777" w:rsidR="00D670F8" w:rsidRPr="00CD72ED" w:rsidRDefault="00D670F8" w:rsidP="00D670F8">
      <w:pPr>
        <w:rPr>
          <w:b/>
          <w:lang w:val="en-GB"/>
        </w:rPr>
      </w:pPr>
    </w:p>
    <w:p w14:paraId="18B33097" w14:textId="48E2EE99" w:rsidR="00D670F8" w:rsidRPr="00CD72ED" w:rsidRDefault="00D670F8" w:rsidP="00D670F8">
      <w:pPr>
        <w:pStyle w:val="ExhibitHeading"/>
        <w:rPr>
          <w:lang w:val="en-GB"/>
        </w:rPr>
      </w:pPr>
      <w:r w:rsidRPr="00CD72ED">
        <w:rPr>
          <w:lang w:val="en-GB"/>
        </w:rPr>
        <w:t xml:space="preserve">Exhibit 3: Constitution of </w:t>
      </w:r>
      <w:r w:rsidR="00EC3171">
        <w:rPr>
          <w:lang w:val="en-GB"/>
        </w:rPr>
        <w:t xml:space="preserve">the </w:t>
      </w:r>
      <w:r w:rsidR="00EC3171" w:rsidRPr="00CD72ED">
        <w:rPr>
          <w:lang w:val="en-GB"/>
        </w:rPr>
        <w:t xml:space="preserve">Tata Equity </w:t>
      </w:r>
      <w:r w:rsidR="002B0CC0">
        <w:rPr>
          <w:lang w:val="en-GB"/>
        </w:rPr>
        <w:t>P/</w:t>
      </w:r>
      <w:r w:rsidR="00EC3171">
        <w:rPr>
          <w:lang w:val="en-GB"/>
        </w:rPr>
        <w:t>E</w:t>
      </w:r>
      <w:r w:rsidR="00EC3171" w:rsidRPr="00CD72ED">
        <w:rPr>
          <w:lang w:val="en-GB"/>
        </w:rPr>
        <w:t xml:space="preserve"> Fund</w:t>
      </w:r>
      <w:r w:rsidR="00EC3171">
        <w:rPr>
          <w:lang w:val="en-GB"/>
        </w:rPr>
        <w:t>’s</w:t>
      </w:r>
      <w:r w:rsidR="00EC3171" w:rsidRPr="00CD72ED" w:rsidDel="00EC3171">
        <w:rPr>
          <w:lang w:val="en-GB"/>
        </w:rPr>
        <w:t xml:space="preserve"> </w:t>
      </w:r>
      <w:r w:rsidRPr="00CD72ED">
        <w:rPr>
          <w:lang w:val="en-GB"/>
        </w:rPr>
        <w:t>portfolio versus its benchmark</w:t>
      </w:r>
    </w:p>
    <w:p w14:paraId="2D5BDB43" w14:textId="77777777" w:rsidR="00D670F8" w:rsidRPr="00CD72ED" w:rsidRDefault="00D670F8" w:rsidP="00D670F8">
      <w:pPr>
        <w:pStyle w:val="ExhibitHeading"/>
        <w:rPr>
          <w:lang w:val="en-GB"/>
        </w:rPr>
      </w:pPr>
    </w:p>
    <w:tbl>
      <w:tblPr>
        <w:tblW w:w="4240" w:type="dxa"/>
        <w:jc w:val="center"/>
        <w:tblLook w:val="04A0" w:firstRow="1" w:lastRow="0" w:firstColumn="1" w:lastColumn="0" w:noHBand="0" w:noVBand="1"/>
      </w:tblPr>
      <w:tblGrid>
        <w:gridCol w:w="1964"/>
        <w:gridCol w:w="960"/>
        <w:gridCol w:w="1316"/>
      </w:tblGrid>
      <w:tr w:rsidR="00D670F8" w:rsidRPr="00CD72ED" w14:paraId="2D9F3A02" w14:textId="77777777" w:rsidTr="00EF7D80">
        <w:trPr>
          <w:trHeight w:val="20"/>
          <w:jc w:val="center"/>
        </w:trPr>
        <w:tc>
          <w:tcPr>
            <w:tcW w:w="1964" w:type="dxa"/>
            <w:tcBorders>
              <w:left w:val="nil"/>
              <w:bottom w:val="nil"/>
              <w:right w:val="nil"/>
            </w:tcBorders>
            <w:shd w:val="clear" w:color="000000" w:fill="FFFFFF"/>
            <w:hideMark/>
          </w:tcPr>
          <w:p w14:paraId="37F75AFA" w14:textId="77777777" w:rsidR="00D670F8" w:rsidRPr="00CD72ED" w:rsidRDefault="00D670F8" w:rsidP="00EF7D80">
            <w:pPr>
              <w:rPr>
                <w:rFonts w:ascii="Arial" w:hAnsi="Arial" w:cs="Arial"/>
                <w:b/>
                <w:bCs/>
                <w:color w:val="000000"/>
                <w:lang w:val="en-GB"/>
              </w:rPr>
            </w:pPr>
            <w:r w:rsidRPr="00CD72ED">
              <w:rPr>
                <w:rFonts w:ascii="Arial" w:hAnsi="Arial" w:cs="Arial"/>
                <w:b/>
                <w:bCs/>
                <w:color w:val="000000"/>
                <w:lang w:val="en-GB"/>
              </w:rPr>
              <w:t> </w:t>
            </w:r>
          </w:p>
        </w:tc>
        <w:tc>
          <w:tcPr>
            <w:tcW w:w="960" w:type="dxa"/>
            <w:tcBorders>
              <w:left w:val="nil"/>
              <w:bottom w:val="nil"/>
              <w:right w:val="nil"/>
            </w:tcBorders>
            <w:shd w:val="clear" w:color="000000" w:fill="FFFFFF"/>
            <w:hideMark/>
          </w:tcPr>
          <w:p w14:paraId="276A0728" w14:textId="77777777" w:rsidR="00D670F8" w:rsidRPr="00CD72ED" w:rsidRDefault="00D670F8" w:rsidP="00EF76EA">
            <w:pPr>
              <w:jc w:val="center"/>
              <w:rPr>
                <w:rFonts w:ascii="Arial" w:hAnsi="Arial" w:cs="Arial"/>
                <w:b/>
                <w:bCs/>
                <w:color w:val="000000"/>
                <w:lang w:val="en-GB"/>
              </w:rPr>
            </w:pPr>
            <w:r w:rsidRPr="00CD72ED">
              <w:rPr>
                <w:rFonts w:ascii="Arial" w:hAnsi="Arial" w:cs="Arial"/>
                <w:b/>
                <w:bCs/>
                <w:color w:val="000000"/>
                <w:lang w:val="en-GB"/>
              </w:rPr>
              <w:t>Fund</w:t>
            </w:r>
          </w:p>
        </w:tc>
        <w:tc>
          <w:tcPr>
            <w:tcW w:w="1316" w:type="dxa"/>
            <w:tcBorders>
              <w:left w:val="nil"/>
              <w:bottom w:val="nil"/>
              <w:right w:val="nil"/>
            </w:tcBorders>
            <w:shd w:val="clear" w:color="000000" w:fill="FFFFFF"/>
            <w:hideMark/>
          </w:tcPr>
          <w:p w14:paraId="29A1574F" w14:textId="77777777" w:rsidR="00D670F8" w:rsidRPr="00CD72ED" w:rsidRDefault="00D670F8" w:rsidP="00EF76EA">
            <w:pPr>
              <w:jc w:val="center"/>
              <w:rPr>
                <w:rFonts w:ascii="Arial" w:hAnsi="Arial" w:cs="Arial"/>
                <w:b/>
                <w:bCs/>
                <w:color w:val="000000"/>
                <w:lang w:val="en-GB"/>
              </w:rPr>
            </w:pPr>
            <w:r w:rsidRPr="00CD72ED">
              <w:rPr>
                <w:rFonts w:ascii="Arial" w:hAnsi="Arial" w:cs="Arial"/>
                <w:b/>
                <w:bCs/>
                <w:color w:val="000000"/>
                <w:lang w:val="en-GB"/>
              </w:rPr>
              <w:t>Benchmark</w:t>
            </w:r>
          </w:p>
        </w:tc>
      </w:tr>
      <w:tr w:rsidR="00D670F8" w:rsidRPr="00CD72ED" w14:paraId="0E00A405" w14:textId="77777777" w:rsidTr="00EF7D80">
        <w:trPr>
          <w:trHeight w:val="20"/>
          <w:jc w:val="center"/>
        </w:trPr>
        <w:tc>
          <w:tcPr>
            <w:tcW w:w="1964" w:type="dxa"/>
            <w:tcBorders>
              <w:top w:val="single" w:sz="4" w:space="0" w:color="auto"/>
              <w:left w:val="single" w:sz="4" w:space="0" w:color="auto"/>
              <w:bottom w:val="single" w:sz="4" w:space="0" w:color="auto"/>
              <w:right w:val="single" w:sz="4" w:space="0" w:color="auto"/>
            </w:tcBorders>
            <w:shd w:val="clear" w:color="000000" w:fill="FFFFFF"/>
            <w:hideMark/>
          </w:tcPr>
          <w:p w14:paraId="50811D11" w14:textId="0AD46F5B" w:rsidR="00D670F8" w:rsidRPr="00CD72ED" w:rsidRDefault="00D670F8" w:rsidP="00EF7D80">
            <w:pPr>
              <w:rPr>
                <w:rFonts w:ascii="Arial" w:hAnsi="Arial" w:cs="Arial"/>
                <w:color w:val="000000"/>
                <w:lang w:val="en-GB"/>
              </w:rPr>
            </w:pPr>
            <w:r w:rsidRPr="00CD72ED">
              <w:rPr>
                <w:rFonts w:ascii="Arial" w:hAnsi="Arial" w:cs="Arial"/>
                <w:color w:val="000000"/>
                <w:lang w:val="en-GB"/>
              </w:rPr>
              <w:t xml:space="preserve">Average </w:t>
            </w:r>
            <w:r w:rsidR="00EC3171">
              <w:rPr>
                <w:rFonts w:ascii="Arial" w:hAnsi="Arial" w:cs="Arial"/>
                <w:color w:val="000000"/>
                <w:lang w:val="en-GB"/>
              </w:rPr>
              <w:t xml:space="preserve">market </w:t>
            </w:r>
            <w:r w:rsidRPr="00CD72ED">
              <w:rPr>
                <w:rFonts w:ascii="Arial" w:hAnsi="Arial" w:cs="Arial"/>
                <w:color w:val="000000"/>
                <w:lang w:val="en-GB"/>
              </w:rPr>
              <w:t>cap of constituents (</w:t>
            </w:r>
            <w:r w:rsidR="002B0CC0">
              <w:rPr>
                <w:rFonts w:ascii="Arial" w:hAnsi="Arial" w:cs="Arial"/>
                <w:color w:val="000000"/>
                <w:lang w:val="en-GB"/>
              </w:rPr>
              <w:t>₹</w:t>
            </w:r>
            <w:r w:rsidRPr="00CD72ED">
              <w:rPr>
                <w:rFonts w:ascii="Arial" w:hAnsi="Arial" w:cs="Arial"/>
                <w:color w:val="000000"/>
                <w:lang w:val="en-GB"/>
              </w:rPr>
              <w:t xml:space="preserve"> </w:t>
            </w:r>
            <w:r w:rsidR="00EC3171">
              <w:rPr>
                <w:rFonts w:ascii="Arial" w:hAnsi="Arial" w:cs="Arial"/>
                <w:color w:val="000000"/>
                <w:lang w:val="en-GB"/>
              </w:rPr>
              <w:t>billion</w:t>
            </w:r>
            <w:r w:rsidRPr="00CD72ED">
              <w:rPr>
                <w:rFonts w:ascii="Arial" w:hAnsi="Arial" w:cs="Arial"/>
                <w:color w:val="000000"/>
                <w:lang w:val="en-GB"/>
              </w:rPr>
              <w:t>)</w:t>
            </w:r>
          </w:p>
        </w:tc>
        <w:tc>
          <w:tcPr>
            <w:tcW w:w="960" w:type="dxa"/>
            <w:tcBorders>
              <w:top w:val="single" w:sz="4" w:space="0" w:color="auto"/>
              <w:left w:val="nil"/>
              <w:bottom w:val="single" w:sz="4" w:space="0" w:color="auto"/>
              <w:right w:val="single" w:sz="4" w:space="0" w:color="auto"/>
            </w:tcBorders>
            <w:shd w:val="clear" w:color="auto" w:fill="auto"/>
            <w:noWrap/>
            <w:hideMark/>
          </w:tcPr>
          <w:p w14:paraId="0444F3D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644.83</w:t>
            </w:r>
          </w:p>
        </w:tc>
        <w:tc>
          <w:tcPr>
            <w:tcW w:w="1316" w:type="dxa"/>
            <w:tcBorders>
              <w:top w:val="single" w:sz="4" w:space="0" w:color="auto"/>
              <w:left w:val="nil"/>
              <w:bottom w:val="single" w:sz="4" w:space="0" w:color="auto"/>
              <w:right w:val="single" w:sz="4" w:space="0" w:color="auto"/>
            </w:tcBorders>
            <w:shd w:val="clear" w:color="auto" w:fill="auto"/>
            <w:noWrap/>
            <w:hideMark/>
          </w:tcPr>
          <w:p w14:paraId="644A35D9" w14:textId="1F4DA5E6"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w:t>
            </w:r>
            <w:r w:rsidR="000670F1">
              <w:rPr>
                <w:rFonts w:ascii="Arial" w:hAnsi="Arial" w:cs="Arial"/>
                <w:color w:val="000000"/>
                <w:lang w:val="en-GB"/>
              </w:rPr>
              <w:t>,</w:t>
            </w:r>
            <w:r w:rsidRPr="00CD72ED">
              <w:rPr>
                <w:rFonts w:ascii="Arial" w:hAnsi="Arial" w:cs="Arial"/>
                <w:color w:val="000000"/>
                <w:lang w:val="en-GB"/>
              </w:rPr>
              <w:t>731.71</w:t>
            </w:r>
          </w:p>
        </w:tc>
      </w:tr>
      <w:tr w:rsidR="00D670F8" w:rsidRPr="00CD72ED" w14:paraId="3B05A986" w14:textId="77777777" w:rsidTr="00EF7D80">
        <w:trPr>
          <w:trHeight w:val="20"/>
          <w:jc w:val="center"/>
        </w:trPr>
        <w:tc>
          <w:tcPr>
            <w:tcW w:w="1964" w:type="dxa"/>
            <w:tcBorders>
              <w:top w:val="nil"/>
              <w:left w:val="single" w:sz="4" w:space="0" w:color="auto"/>
              <w:bottom w:val="single" w:sz="4" w:space="0" w:color="auto"/>
              <w:right w:val="single" w:sz="4" w:space="0" w:color="auto"/>
            </w:tcBorders>
            <w:shd w:val="clear" w:color="000000" w:fill="FFFFFF"/>
            <w:hideMark/>
          </w:tcPr>
          <w:p w14:paraId="49A113A8"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Giant (%)</w:t>
            </w:r>
          </w:p>
        </w:tc>
        <w:tc>
          <w:tcPr>
            <w:tcW w:w="960" w:type="dxa"/>
            <w:tcBorders>
              <w:top w:val="nil"/>
              <w:left w:val="nil"/>
              <w:bottom w:val="single" w:sz="4" w:space="0" w:color="auto"/>
              <w:right w:val="single" w:sz="4" w:space="0" w:color="auto"/>
            </w:tcBorders>
            <w:shd w:val="clear" w:color="auto" w:fill="auto"/>
            <w:noWrap/>
            <w:hideMark/>
          </w:tcPr>
          <w:p w14:paraId="437BE494"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46.26</w:t>
            </w:r>
          </w:p>
        </w:tc>
        <w:tc>
          <w:tcPr>
            <w:tcW w:w="1316" w:type="dxa"/>
            <w:tcBorders>
              <w:top w:val="nil"/>
              <w:left w:val="nil"/>
              <w:bottom w:val="single" w:sz="4" w:space="0" w:color="auto"/>
              <w:right w:val="single" w:sz="4" w:space="0" w:color="auto"/>
            </w:tcBorders>
            <w:shd w:val="clear" w:color="auto" w:fill="auto"/>
            <w:noWrap/>
            <w:hideMark/>
          </w:tcPr>
          <w:p w14:paraId="02FCE5B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88.34</w:t>
            </w:r>
          </w:p>
        </w:tc>
      </w:tr>
      <w:tr w:rsidR="00D670F8" w:rsidRPr="00CD72ED" w14:paraId="5D715C61" w14:textId="77777777" w:rsidTr="00EF7D80">
        <w:trPr>
          <w:trHeight w:val="20"/>
          <w:jc w:val="center"/>
        </w:trPr>
        <w:tc>
          <w:tcPr>
            <w:tcW w:w="1964" w:type="dxa"/>
            <w:tcBorders>
              <w:top w:val="nil"/>
              <w:left w:val="single" w:sz="4" w:space="0" w:color="auto"/>
              <w:bottom w:val="single" w:sz="4" w:space="0" w:color="auto"/>
              <w:right w:val="single" w:sz="4" w:space="0" w:color="auto"/>
            </w:tcBorders>
            <w:shd w:val="clear" w:color="000000" w:fill="FFFFFF"/>
            <w:hideMark/>
          </w:tcPr>
          <w:p w14:paraId="63453FD0"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Large (%)</w:t>
            </w:r>
          </w:p>
        </w:tc>
        <w:tc>
          <w:tcPr>
            <w:tcW w:w="960" w:type="dxa"/>
            <w:tcBorders>
              <w:top w:val="nil"/>
              <w:left w:val="nil"/>
              <w:bottom w:val="single" w:sz="4" w:space="0" w:color="auto"/>
              <w:right w:val="single" w:sz="4" w:space="0" w:color="auto"/>
            </w:tcBorders>
            <w:shd w:val="clear" w:color="auto" w:fill="auto"/>
            <w:noWrap/>
            <w:hideMark/>
          </w:tcPr>
          <w:p w14:paraId="72AE0000"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29.24</w:t>
            </w:r>
          </w:p>
        </w:tc>
        <w:tc>
          <w:tcPr>
            <w:tcW w:w="1316" w:type="dxa"/>
            <w:tcBorders>
              <w:top w:val="nil"/>
              <w:left w:val="nil"/>
              <w:bottom w:val="single" w:sz="4" w:space="0" w:color="auto"/>
              <w:right w:val="single" w:sz="4" w:space="0" w:color="auto"/>
            </w:tcBorders>
            <w:shd w:val="clear" w:color="auto" w:fill="auto"/>
            <w:noWrap/>
            <w:hideMark/>
          </w:tcPr>
          <w:p w14:paraId="1843005B"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11.66</w:t>
            </w:r>
          </w:p>
        </w:tc>
      </w:tr>
      <w:tr w:rsidR="00D670F8" w:rsidRPr="00CD72ED" w14:paraId="764EB253" w14:textId="77777777" w:rsidTr="00EF7D80">
        <w:trPr>
          <w:trHeight w:val="20"/>
          <w:jc w:val="center"/>
        </w:trPr>
        <w:tc>
          <w:tcPr>
            <w:tcW w:w="1964" w:type="dxa"/>
            <w:tcBorders>
              <w:top w:val="nil"/>
              <w:left w:val="single" w:sz="4" w:space="0" w:color="auto"/>
              <w:bottom w:val="single" w:sz="4" w:space="0" w:color="auto"/>
              <w:right w:val="single" w:sz="4" w:space="0" w:color="auto"/>
            </w:tcBorders>
            <w:shd w:val="clear" w:color="000000" w:fill="FFFFFF"/>
            <w:hideMark/>
          </w:tcPr>
          <w:p w14:paraId="60F1CD5A"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Mid (%)</w:t>
            </w:r>
          </w:p>
        </w:tc>
        <w:tc>
          <w:tcPr>
            <w:tcW w:w="960" w:type="dxa"/>
            <w:tcBorders>
              <w:top w:val="nil"/>
              <w:left w:val="nil"/>
              <w:bottom w:val="single" w:sz="4" w:space="0" w:color="auto"/>
              <w:right w:val="single" w:sz="4" w:space="0" w:color="auto"/>
            </w:tcBorders>
            <w:shd w:val="clear" w:color="auto" w:fill="auto"/>
            <w:noWrap/>
            <w:hideMark/>
          </w:tcPr>
          <w:p w14:paraId="375FE6EA"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22.64</w:t>
            </w:r>
          </w:p>
        </w:tc>
        <w:tc>
          <w:tcPr>
            <w:tcW w:w="1316" w:type="dxa"/>
            <w:tcBorders>
              <w:top w:val="nil"/>
              <w:left w:val="nil"/>
              <w:bottom w:val="single" w:sz="4" w:space="0" w:color="auto"/>
              <w:right w:val="single" w:sz="4" w:space="0" w:color="auto"/>
            </w:tcBorders>
            <w:shd w:val="clear" w:color="auto" w:fill="auto"/>
            <w:noWrap/>
            <w:hideMark/>
          </w:tcPr>
          <w:p w14:paraId="752A6417"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w:t>
            </w:r>
          </w:p>
        </w:tc>
      </w:tr>
      <w:tr w:rsidR="00D670F8" w:rsidRPr="00CD72ED" w14:paraId="5DD786E8" w14:textId="77777777" w:rsidTr="00EF7D80">
        <w:trPr>
          <w:trHeight w:val="20"/>
          <w:jc w:val="center"/>
        </w:trPr>
        <w:tc>
          <w:tcPr>
            <w:tcW w:w="1964" w:type="dxa"/>
            <w:tcBorders>
              <w:top w:val="nil"/>
              <w:left w:val="single" w:sz="4" w:space="0" w:color="auto"/>
              <w:bottom w:val="single" w:sz="4" w:space="0" w:color="auto"/>
              <w:right w:val="single" w:sz="4" w:space="0" w:color="auto"/>
            </w:tcBorders>
            <w:shd w:val="clear" w:color="000000" w:fill="FFFFFF"/>
            <w:hideMark/>
          </w:tcPr>
          <w:p w14:paraId="441C109D"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Small (%)</w:t>
            </w:r>
          </w:p>
        </w:tc>
        <w:tc>
          <w:tcPr>
            <w:tcW w:w="960" w:type="dxa"/>
            <w:tcBorders>
              <w:top w:val="nil"/>
              <w:left w:val="nil"/>
              <w:bottom w:val="single" w:sz="4" w:space="0" w:color="auto"/>
              <w:right w:val="single" w:sz="4" w:space="0" w:color="auto"/>
            </w:tcBorders>
            <w:shd w:val="clear" w:color="auto" w:fill="auto"/>
            <w:noWrap/>
            <w:hideMark/>
          </w:tcPr>
          <w:p w14:paraId="03B6379F"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1.87</w:t>
            </w:r>
          </w:p>
        </w:tc>
        <w:tc>
          <w:tcPr>
            <w:tcW w:w="1316" w:type="dxa"/>
            <w:tcBorders>
              <w:top w:val="nil"/>
              <w:left w:val="nil"/>
              <w:bottom w:val="single" w:sz="4" w:space="0" w:color="auto"/>
              <w:right w:val="single" w:sz="4" w:space="0" w:color="auto"/>
            </w:tcBorders>
            <w:shd w:val="clear" w:color="auto" w:fill="auto"/>
            <w:noWrap/>
            <w:hideMark/>
          </w:tcPr>
          <w:p w14:paraId="00808769" w14:textId="77777777" w:rsidR="00D670F8" w:rsidRPr="00CD72ED" w:rsidRDefault="00D670F8" w:rsidP="00EF7D80">
            <w:pPr>
              <w:jc w:val="right"/>
              <w:rPr>
                <w:rFonts w:ascii="Arial" w:hAnsi="Arial" w:cs="Arial"/>
                <w:color w:val="000000"/>
                <w:lang w:val="en-GB"/>
              </w:rPr>
            </w:pPr>
            <w:r w:rsidRPr="00CD72ED">
              <w:rPr>
                <w:rFonts w:ascii="Arial" w:hAnsi="Arial" w:cs="Arial"/>
                <w:color w:val="000000"/>
                <w:lang w:val="en-GB"/>
              </w:rPr>
              <w:t>-</w:t>
            </w:r>
          </w:p>
        </w:tc>
      </w:tr>
    </w:tbl>
    <w:p w14:paraId="305F623A" w14:textId="77777777" w:rsidR="00D670F8" w:rsidRPr="00CD72ED" w:rsidRDefault="00D670F8" w:rsidP="00D670F8">
      <w:pPr>
        <w:pStyle w:val="Footnote"/>
        <w:rPr>
          <w:lang w:val="en-GB"/>
        </w:rPr>
      </w:pPr>
    </w:p>
    <w:p w14:paraId="5648183F" w14:textId="12C0AB30" w:rsidR="00D670F8" w:rsidRPr="00CD72ED" w:rsidRDefault="00D670F8" w:rsidP="00D670F8">
      <w:pPr>
        <w:pStyle w:val="Footnote"/>
        <w:rPr>
          <w:lang w:val="en-GB"/>
        </w:rPr>
      </w:pPr>
      <w:r w:rsidRPr="00CD72ED">
        <w:rPr>
          <w:lang w:val="en-GB"/>
        </w:rPr>
        <w:t xml:space="preserve">Source: </w:t>
      </w:r>
      <w:r w:rsidR="000670F1">
        <w:rPr>
          <w:lang w:val="en-GB"/>
        </w:rPr>
        <w:t xml:space="preserve">Compiled by the author </w:t>
      </w:r>
      <w:r w:rsidR="000670F1" w:rsidRPr="00CD72ED">
        <w:rPr>
          <w:lang w:val="en-GB"/>
        </w:rPr>
        <w:t xml:space="preserve">using data from </w:t>
      </w:r>
      <w:r w:rsidR="000670F1" w:rsidRPr="00F061B4">
        <w:rPr>
          <w:i/>
          <w:lang w:val="en-GB"/>
        </w:rPr>
        <w:t>ACE MF</w:t>
      </w:r>
      <w:r w:rsidR="000670F1">
        <w:rPr>
          <w:lang w:val="en-GB"/>
        </w:rPr>
        <w:t xml:space="preserve"> (Accord Fintech, 2018).</w:t>
      </w:r>
    </w:p>
    <w:p w14:paraId="2214A54C" w14:textId="77777777" w:rsidR="00D670F8" w:rsidRPr="00CD72ED" w:rsidRDefault="00D670F8" w:rsidP="0075655C">
      <w:pPr>
        <w:pStyle w:val="ExhibitHeading"/>
        <w:jc w:val="left"/>
        <w:rPr>
          <w:lang w:val="en-GB"/>
        </w:rPr>
      </w:pPr>
    </w:p>
    <w:p w14:paraId="0D1609E3" w14:textId="0473FB9A" w:rsidR="00D670F8" w:rsidRPr="00CD72ED" w:rsidRDefault="00D670F8" w:rsidP="00D670F8">
      <w:pPr>
        <w:pStyle w:val="ExhibitHeading"/>
        <w:rPr>
          <w:lang w:val="en-GB"/>
        </w:rPr>
      </w:pPr>
      <w:r w:rsidRPr="00CD72ED">
        <w:rPr>
          <w:lang w:val="en-GB"/>
        </w:rPr>
        <w:lastRenderedPageBreak/>
        <w:t xml:space="preserve">Exhibit 4: Fund-specific details pertaining to </w:t>
      </w:r>
      <w:r w:rsidR="00693E1E">
        <w:rPr>
          <w:lang w:val="en-GB"/>
        </w:rPr>
        <w:t xml:space="preserve">the </w:t>
      </w:r>
      <w:r w:rsidR="00693E1E" w:rsidRPr="00CD72ED">
        <w:rPr>
          <w:lang w:val="en-GB"/>
        </w:rPr>
        <w:t xml:space="preserve">Tata Equity </w:t>
      </w:r>
      <w:r w:rsidR="002B0CC0">
        <w:rPr>
          <w:lang w:val="en-GB"/>
        </w:rPr>
        <w:t>P/</w:t>
      </w:r>
      <w:r w:rsidR="00693E1E">
        <w:rPr>
          <w:lang w:val="en-GB"/>
        </w:rPr>
        <w:t>E</w:t>
      </w:r>
      <w:r w:rsidR="00693E1E" w:rsidRPr="00CD72ED">
        <w:rPr>
          <w:lang w:val="en-GB"/>
        </w:rPr>
        <w:t xml:space="preserve"> Fund</w:t>
      </w:r>
      <w:r w:rsidRPr="00CD72ED">
        <w:rPr>
          <w:lang w:val="en-GB"/>
        </w:rPr>
        <w:t xml:space="preserve"> as on September 30, 2017</w:t>
      </w:r>
    </w:p>
    <w:p w14:paraId="21860290" w14:textId="77777777" w:rsidR="00D670F8" w:rsidRPr="00CD72ED" w:rsidRDefault="00D670F8" w:rsidP="00D670F8">
      <w:pPr>
        <w:pStyle w:val="ExhibitHeading"/>
        <w:rPr>
          <w:lang w:val="en-GB"/>
        </w:rPr>
      </w:pPr>
    </w:p>
    <w:tbl>
      <w:tblPr>
        <w:tblW w:w="6491" w:type="dxa"/>
        <w:jc w:val="center"/>
        <w:tblLook w:val="04A0" w:firstRow="1" w:lastRow="0" w:firstColumn="1" w:lastColumn="0" w:noHBand="0" w:noVBand="1"/>
      </w:tblPr>
      <w:tblGrid>
        <w:gridCol w:w="2127"/>
        <w:gridCol w:w="2244"/>
        <w:gridCol w:w="2120"/>
      </w:tblGrid>
      <w:tr w:rsidR="00D670F8" w:rsidRPr="00CD72ED" w14:paraId="073BDF21" w14:textId="77777777" w:rsidTr="00EF76EA">
        <w:trPr>
          <w:trHeight w:val="20"/>
          <w:jc w:val="center"/>
        </w:trPr>
        <w:tc>
          <w:tcPr>
            <w:tcW w:w="2127" w:type="dxa"/>
            <w:tcBorders>
              <w:top w:val="nil"/>
              <w:left w:val="nil"/>
              <w:bottom w:val="single" w:sz="4" w:space="0" w:color="auto"/>
              <w:right w:val="nil"/>
            </w:tcBorders>
            <w:shd w:val="clear" w:color="auto" w:fill="auto"/>
            <w:noWrap/>
            <w:vAlign w:val="bottom"/>
            <w:hideMark/>
          </w:tcPr>
          <w:p w14:paraId="2D1D1186" w14:textId="77777777" w:rsidR="00D670F8" w:rsidRPr="00CD72ED" w:rsidRDefault="00D670F8" w:rsidP="00EF7D80">
            <w:pPr>
              <w:rPr>
                <w:rFonts w:ascii="Arial" w:hAnsi="Arial" w:cs="Arial"/>
                <w:color w:val="000000"/>
                <w:lang w:val="en-GB"/>
              </w:rPr>
            </w:pPr>
            <w:r w:rsidRPr="00CD72ED">
              <w:rPr>
                <w:rFonts w:ascii="Arial" w:hAnsi="Arial" w:cs="Arial"/>
                <w:color w:val="000000"/>
                <w:lang w:val="en-GB"/>
              </w:rPr>
              <w:t> </w:t>
            </w:r>
          </w:p>
        </w:tc>
        <w:tc>
          <w:tcPr>
            <w:tcW w:w="2244" w:type="dxa"/>
            <w:tcBorders>
              <w:top w:val="nil"/>
              <w:left w:val="nil"/>
              <w:bottom w:val="single" w:sz="4" w:space="0" w:color="auto"/>
              <w:right w:val="nil"/>
            </w:tcBorders>
            <w:shd w:val="clear" w:color="auto" w:fill="auto"/>
            <w:noWrap/>
            <w:vAlign w:val="center"/>
            <w:hideMark/>
          </w:tcPr>
          <w:p w14:paraId="4F3618E5" w14:textId="77777777" w:rsidR="00D670F8" w:rsidRPr="00CD72ED" w:rsidRDefault="00D670F8" w:rsidP="00EF76EA">
            <w:pPr>
              <w:jc w:val="center"/>
              <w:rPr>
                <w:rFonts w:ascii="Arial" w:hAnsi="Arial" w:cs="Arial"/>
                <w:b/>
                <w:color w:val="000000"/>
                <w:lang w:val="en-GB"/>
              </w:rPr>
            </w:pPr>
            <w:r w:rsidRPr="00CD72ED">
              <w:rPr>
                <w:rFonts w:ascii="Arial" w:hAnsi="Arial" w:cs="Arial"/>
                <w:b/>
                <w:color w:val="000000"/>
                <w:lang w:val="en-GB"/>
              </w:rPr>
              <w:t>Regular Plan</w:t>
            </w:r>
          </w:p>
        </w:tc>
        <w:tc>
          <w:tcPr>
            <w:tcW w:w="2120" w:type="dxa"/>
            <w:tcBorders>
              <w:top w:val="nil"/>
              <w:left w:val="nil"/>
              <w:bottom w:val="single" w:sz="4" w:space="0" w:color="auto"/>
              <w:right w:val="nil"/>
            </w:tcBorders>
            <w:shd w:val="clear" w:color="auto" w:fill="auto"/>
            <w:noWrap/>
            <w:vAlign w:val="center"/>
            <w:hideMark/>
          </w:tcPr>
          <w:p w14:paraId="6965F383" w14:textId="77777777" w:rsidR="00D670F8" w:rsidRPr="00CD72ED" w:rsidRDefault="00D670F8" w:rsidP="00EF76EA">
            <w:pPr>
              <w:jc w:val="center"/>
              <w:rPr>
                <w:rFonts w:ascii="Arial" w:hAnsi="Arial" w:cs="Arial"/>
                <w:b/>
                <w:color w:val="000000"/>
                <w:lang w:val="en-GB"/>
              </w:rPr>
            </w:pPr>
            <w:r w:rsidRPr="00CD72ED">
              <w:rPr>
                <w:rFonts w:ascii="Arial" w:hAnsi="Arial" w:cs="Arial"/>
                <w:b/>
                <w:color w:val="000000"/>
                <w:lang w:val="en-GB"/>
              </w:rPr>
              <w:t>Direct Plan</w:t>
            </w:r>
          </w:p>
        </w:tc>
      </w:tr>
      <w:tr w:rsidR="00D670F8" w:rsidRPr="00CD72ED" w14:paraId="52BA82D4"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EEBB61A" w14:textId="1D61D43C" w:rsidR="00D670F8" w:rsidRPr="00CD72ED" w:rsidRDefault="00D670F8">
            <w:pPr>
              <w:rPr>
                <w:rFonts w:ascii="Arial" w:hAnsi="Arial" w:cs="Arial"/>
                <w:color w:val="000000"/>
                <w:lang w:val="en-GB"/>
              </w:rPr>
            </w:pPr>
            <w:r w:rsidRPr="00CD72ED">
              <w:rPr>
                <w:rFonts w:ascii="Arial" w:hAnsi="Arial" w:cs="Arial"/>
                <w:color w:val="000000"/>
                <w:lang w:val="en-GB"/>
              </w:rPr>
              <w:t>NAV, growth option</w:t>
            </w:r>
            <w:r w:rsidR="002B0CC0">
              <w:rPr>
                <w:rFonts w:ascii="Arial" w:hAnsi="Arial" w:cs="Arial"/>
                <w:color w:val="000000"/>
                <w:lang w:val="en-GB"/>
              </w:rPr>
              <w:t xml:space="preserve"> (₹ billion)</w:t>
            </w:r>
          </w:p>
        </w:tc>
        <w:tc>
          <w:tcPr>
            <w:tcW w:w="2244" w:type="dxa"/>
            <w:tcBorders>
              <w:top w:val="nil"/>
              <w:left w:val="nil"/>
              <w:bottom w:val="single" w:sz="4" w:space="0" w:color="auto"/>
              <w:right w:val="single" w:sz="4" w:space="0" w:color="auto"/>
            </w:tcBorders>
            <w:shd w:val="clear" w:color="auto" w:fill="auto"/>
            <w:noWrap/>
            <w:vAlign w:val="center"/>
            <w:hideMark/>
          </w:tcPr>
          <w:p w14:paraId="53B5D75D" w14:textId="77777777"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131.7969</w:t>
            </w:r>
          </w:p>
        </w:tc>
        <w:tc>
          <w:tcPr>
            <w:tcW w:w="2120" w:type="dxa"/>
            <w:tcBorders>
              <w:top w:val="nil"/>
              <w:left w:val="nil"/>
              <w:bottom w:val="single" w:sz="4" w:space="0" w:color="auto"/>
              <w:right w:val="single" w:sz="4" w:space="0" w:color="auto"/>
            </w:tcBorders>
            <w:shd w:val="clear" w:color="auto" w:fill="auto"/>
            <w:noWrap/>
            <w:vAlign w:val="center"/>
            <w:hideMark/>
          </w:tcPr>
          <w:p w14:paraId="0213F56A" w14:textId="77777777"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135.8717</w:t>
            </w:r>
          </w:p>
        </w:tc>
      </w:tr>
      <w:tr w:rsidR="00D670F8" w:rsidRPr="00CD72ED" w14:paraId="0257A49C"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839D602" w14:textId="234F9C0F" w:rsidR="00D670F8" w:rsidRPr="00CD72ED" w:rsidRDefault="00D670F8">
            <w:pPr>
              <w:rPr>
                <w:rFonts w:ascii="Arial" w:hAnsi="Arial" w:cs="Arial"/>
                <w:color w:val="000000"/>
                <w:lang w:val="en-GB"/>
              </w:rPr>
            </w:pPr>
            <w:r w:rsidRPr="00CD72ED">
              <w:rPr>
                <w:rFonts w:ascii="Arial" w:hAnsi="Arial" w:cs="Arial"/>
                <w:color w:val="000000"/>
                <w:lang w:val="en-GB"/>
              </w:rPr>
              <w:t>NAV, dividend option</w:t>
            </w:r>
            <w:r w:rsidR="002B0CC0">
              <w:rPr>
                <w:rFonts w:ascii="Arial" w:hAnsi="Arial" w:cs="Arial"/>
                <w:color w:val="000000"/>
                <w:lang w:val="en-GB"/>
              </w:rPr>
              <w:t xml:space="preserve"> (₹ billion)</w:t>
            </w:r>
          </w:p>
        </w:tc>
        <w:tc>
          <w:tcPr>
            <w:tcW w:w="2244" w:type="dxa"/>
            <w:tcBorders>
              <w:top w:val="nil"/>
              <w:left w:val="nil"/>
              <w:bottom w:val="single" w:sz="4" w:space="0" w:color="auto"/>
              <w:right w:val="single" w:sz="4" w:space="0" w:color="auto"/>
            </w:tcBorders>
            <w:shd w:val="clear" w:color="auto" w:fill="auto"/>
            <w:noWrap/>
            <w:vAlign w:val="center"/>
            <w:hideMark/>
          </w:tcPr>
          <w:p w14:paraId="3DD3F726" w14:textId="77777777"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60.2378</w:t>
            </w:r>
          </w:p>
        </w:tc>
        <w:tc>
          <w:tcPr>
            <w:tcW w:w="2120" w:type="dxa"/>
            <w:tcBorders>
              <w:top w:val="nil"/>
              <w:left w:val="nil"/>
              <w:bottom w:val="single" w:sz="4" w:space="0" w:color="auto"/>
              <w:right w:val="single" w:sz="4" w:space="0" w:color="auto"/>
            </w:tcBorders>
            <w:shd w:val="clear" w:color="auto" w:fill="auto"/>
            <w:noWrap/>
            <w:vAlign w:val="center"/>
            <w:hideMark/>
          </w:tcPr>
          <w:p w14:paraId="07BD4047" w14:textId="77777777"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61.0523</w:t>
            </w:r>
          </w:p>
        </w:tc>
      </w:tr>
      <w:tr w:rsidR="00D670F8" w:rsidRPr="00CD72ED" w14:paraId="6A1BC901"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752ACB7" w14:textId="230C43E2" w:rsidR="00D670F8" w:rsidRPr="00CD72ED" w:rsidRDefault="00D670F8">
            <w:pPr>
              <w:rPr>
                <w:rFonts w:ascii="Arial" w:hAnsi="Arial" w:cs="Arial"/>
                <w:color w:val="000000"/>
                <w:lang w:val="en-GB"/>
              </w:rPr>
            </w:pPr>
            <w:r w:rsidRPr="00CD72ED">
              <w:rPr>
                <w:rFonts w:ascii="Arial" w:hAnsi="Arial" w:cs="Arial"/>
                <w:color w:val="000000"/>
                <w:lang w:val="en-GB"/>
              </w:rPr>
              <w:t>Expense ratio</w:t>
            </w:r>
            <w:r w:rsidR="00693E1E">
              <w:rPr>
                <w:rFonts w:ascii="Arial" w:hAnsi="Arial" w:cs="Arial"/>
                <w:color w:val="000000"/>
                <w:lang w:val="en-GB"/>
              </w:rPr>
              <w:t xml:space="preserve"> (%)</w:t>
            </w:r>
          </w:p>
        </w:tc>
        <w:tc>
          <w:tcPr>
            <w:tcW w:w="2244" w:type="dxa"/>
            <w:tcBorders>
              <w:top w:val="nil"/>
              <w:left w:val="nil"/>
              <w:bottom w:val="single" w:sz="4" w:space="0" w:color="auto"/>
              <w:right w:val="single" w:sz="4" w:space="0" w:color="auto"/>
            </w:tcBorders>
            <w:shd w:val="clear" w:color="auto" w:fill="auto"/>
            <w:noWrap/>
            <w:vAlign w:val="center"/>
            <w:hideMark/>
          </w:tcPr>
          <w:p w14:paraId="39B8E397" w14:textId="7087E808"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2.53</w:t>
            </w:r>
          </w:p>
        </w:tc>
        <w:tc>
          <w:tcPr>
            <w:tcW w:w="2120" w:type="dxa"/>
            <w:tcBorders>
              <w:top w:val="nil"/>
              <w:left w:val="nil"/>
              <w:bottom w:val="single" w:sz="4" w:space="0" w:color="auto"/>
              <w:right w:val="single" w:sz="4" w:space="0" w:color="auto"/>
            </w:tcBorders>
            <w:shd w:val="clear" w:color="auto" w:fill="auto"/>
            <w:noWrap/>
            <w:vAlign w:val="center"/>
            <w:hideMark/>
          </w:tcPr>
          <w:p w14:paraId="04FFF30C" w14:textId="28DD77BD" w:rsidR="00D670F8" w:rsidRPr="00CD72ED" w:rsidRDefault="00D670F8" w:rsidP="00EF76EA">
            <w:pPr>
              <w:jc w:val="right"/>
              <w:rPr>
                <w:rFonts w:ascii="Arial" w:hAnsi="Arial" w:cs="Arial"/>
                <w:color w:val="000000"/>
                <w:lang w:val="en-GB"/>
              </w:rPr>
            </w:pPr>
            <w:r w:rsidRPr="00CD72ED">
              <w:rPr>
                <w:rFonts w:ascii="Arial" w:hAnsi="Arial" w:cs="Arial"/>
                <w:color w:val="000000"/>
                <w:lang w:val="en-GB"/>
              </w:rPr>
              <w:t>1.55</w:t>
            </w:r>
          </w:p>
        </w:tc>
      </w:tr>
      <w:tr w:rsidR="00D670F8" w:rsidRPr="00CD72ED" w14:paraId="661663A8"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6FB2DAA" w14:textId="77777777" w:rsidR="00D670F8" w:rsidRPr="00CD72ED" w:rsidRDefault="00D670F8">
            <w:pPr>
              <w:rPr>
                <w:rFonts w:ascii="Arial" w:hAnsi="Arial" w:cs="Arial"/>
                <w:color w:val="000000"/>
                <w:lang w:val="en-GB"/>
              </w:rPr>
            </w:pPr>
            <w:r w:rsidRPr="00CD72ED">
              <w:rPr>
                <w:rFonts w:ascii="Arial" w:hAnsi="Arial" w:cs="Arial"/>
                <w:color w:val="000000"/>
                <w:lang w:val="en-GB"/>
              </w:rPr>
              <w:t>Launch date</w:t>
            </w:r>
          </w:p>
        </w:tc>
        <w:tc>
          <w:tcPr>
            <w:tcW w:w="4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13A7BA" w14:textId="77777777" w:rsidR="00D670F8" w:rsidRPr="00CD72ED" w:rsidRDefault="00D670F8" w:rsidP="00EF7D80">
            <w:pPr>
              <w:jc w:val="center"/>
              <w:rPr>
                <w:rFonts w:ascii="Arial" w:hAnsi="Arial" w:cs="Arial"/>
                <w:color w:val="000000"/>
                <w:lang w:val="en-GB"/>
              </w:rPr>
            </w:pPr>
            <w:r w:rsidRPr="00CD72ED">
              <w:rPr>
                <w:rFonts w:ascii="Arial" w:hAnsi="Arial" w:cs="Arial"/>
                <w:color w:val="000000"/>
                <w:lang w:val="en-GB"/>
              </w:rPr>
              <w:t>Jun 29, 2004</w:t>
            </w:r>
          </w:p>
        </w:tc>
      </w:tr>
      <w:tr w:rsidR="00D670F8" w:rsidRPr="00CD72ED" w14:paraId="609F179F"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3FA231D" w14:textId="77777777" w:rsidR="00D670F8" w:rsidRPr="00CD72ED" w:rsidRDefault="00D670F8">
            <w:pPr>
              <w:rPr>
                <w:rFonts w:ascii="Arial" w:hAnsi="Arial" w:cs="Arial"/>
                <w:color w:val="000000"/>
                <w:lang w:val="en-GB"/>
              </w:rPr>
            </w:pPr>
            <w:r w:rsidRPr="00CD72ED">
              <w:rPr>
                <w:rFonts w:ascii="Arial" w:hAnsi="Arial" w:cs="Arial"/>
                <w:color w:val="000000"/>
                <w:lang w:val="en-GB"/>
              </w:rPr>
              <w:t>Benchmark</w:t>
            </w:r>
          </w:p>
        </w:tc>
        <w:tc>
          <w:tcPr>
            <w:tcW w:w="4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21C569" w14:textId="77777777" w:rsidR="00D670F8" w:rsidRPr="00CD72ED" w:rsidRDefault="00D670F8" w:rsidP="00EF7D80">
            <w:pPr>
              <w:jc w:val="center"/>
              <w:rPr>
                <w:rFonts w:ascii="Arial" w:hAnsi="Arial" w:cs="Arial"/>
                <w:color w:val="000000"/>
                <w:lang w:val="en-GB"/>
              </w:rPr>
            </w:pPr>
            <w:r w:rsidRPr="00CD72ED">
              <w:rPr>
                <w:rFonts w:ascii="Arial" w:hAnsi="Arial" w:cs="Arial"/>
                <w:color w:val="000000"/>
                <w:lang w:val="en-GB"/>
              </w:rPr>
              <w:t>S&amp;P BSE SENSEX</w:t>
            </w:r>
          </w:p>
        </w:tc>
      </w:tr>
      <w:tr w:rsidR="00D670F8" w:rsidRPr="00CD72ED" w14:paraId="5D55A4F4"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25A1DBB" w14:textId="77777777" w:rsidR="00D670F8" w:rsidRPr="00CD72ED" w:rsidRDefault="00D670F8">
            <w:pPr>
              <w:rPr>
                <w:rFonts w:ascii="Arial" w:hAnsi="Arial" w:cs="Arial"/>
                <w:color w:val="000000"/>
                <w:lang w:val="en-GB"/>
              </w:rPr>
            </w:pPr>
            <w:r w:rsidRPr="00CD72ED">
              <w:rPr>
                <w:rFonts w:ascii="Arial" w:hAnsi="Arial" w:cs="Arial"/>
                <w:color w:val="000000"/>
                <w:lang w:val="en-GB"/>
              </w:rPr>
              <w:t>Type</w:t>
            </w:r>
          </w:p>
        </w:tc>
        <w:tc>
          <w:tcPr>
            <w:tcW w:w="4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336925" w14:textId="534758D0" w:rsidR="00D670F8" w:rsidRPr="00CD72ED" w:rsidRDefault="00693E1E" w:rsidP="00EF7D80">
            <w:pPr>
              <w:jc w:val="center"/>
              <w:rPr>
                <w:rFonts w:ascii="Arial" w:hAnsi="Arial" w:cs="Arial"/>
                <w:color w:val="000000"/>
                <w:lang w:val="en-GB"/>
              </w:rPr>
            </w:pPr>
            <w:r>
              <w:rPr>
                <w:rFonts w:ascii="Arial" w:hAnsi="Arial" w:cs="Arial"/>
                <w:color w:val="000000"/>
                <w:lang w:val="en-GB"/>
              </w:rPr>
              <w:t>Open ended</w:t>
            </w:r>
          </w:p>
        </w:tc>
      </w:tr>
      <w:tr w:rsidR="00D670F8" w:rsidRPr="00CD72ED" w14:paraId="6C58B730"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9A60FCA" w14:textId="6789B3BA" w:rsidR="00D670F8" w:rsidRPr="00CD72ED" w:rsidRDefault="00D670F8">
            <w:pPr>
              <w:rPr>
                <w:rFonts w:ascii="Arial" w:hAnsi="Arial" w:cs="Arial"/>
                <w:color w:val="000000"/>
                <w:lang w:val="en-GB"/>
              </w:rPr>
            </w:pPr>
            <w:r w:rsidRPr="00CD72ED">
              <w:rPr>
                <w:rFonts w:ascii="Arial" w:hAnsi="Arial" w:cs="Arial"/>
                <w:color w:val="000000"/>
                <w:lang w:val="en-GB"/>
              </w:rPr>
              <w:t>Turnover ratio</w:t>
            </w:r>
            <w:r w:rsidR="005B176D">
              <w:rPr>
                <w:rFonts w:ascii="Arial" w:hAnsi="Arial" w:cs="Arial"/>
                <w:color w:val="000000"/>
                <w:lang w:val="en-GB"/>
              </w:rPr>
              <w:t xml:space="preserve"> (%)</w:t>
            </w:r>
          </w:p>
        </w:tc>
        <w:tc>
          <w:tcPr>
            <w:tcW w:w="4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B8887B" w14:textId="73270484" w:rsidR="00D670F8" w:rsidRPr="00CD72ED" w:rsidRDefault="00D670F8" w:rsidP="00EF7D80">
            <w:pPr>
              <w:jc w:val="center"/>
              <w:rPr>
                <w:rFonts w:ascii="Arial" w:hAnsi="Arial" w:cs="Arial"/>
                <w:color w:val="000000"/>
                <w:lang w:val="en-GB"/>
              </w:rPr>
            </w:pPr>
            <w:r w:rsidRPr="00CD72ED">
              <w:rPr>
                <w:rFonts w:ascii="Arial" w:hAnsi="Arial" w:cs="Arial"/>
                <w:color w:val="000000"/>
                <w:lang w:val="en-GB"/>
              </w:rPr>
              <w:t>36</w:t>
            </w:r>
          </w:p>
        </w:tc>
      </w:tr>
      <w:tr w:rsidR="00D670F8" w:rsidRPr="00CD72ED" w14:paraId="29CE2023" w14:textId="77777777" w:rsidTr="00EF76EA">
        <w:trPr>
          <w:trHeight w:val="20"/>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278AAD8" w14:textId="77777777" w:rsidR="00D670F8" w:rsidRPr="00CD72ED" w:rsidRDefault="00D670F8">
            <w:pPr>
              <w:rPr>
                <w:rFonts w:ascii="Arial" w:hAnsi="Arial" w:cs="Arial"/>
                <w:color w:val="000000"/>
                <w:lang w:val="en-GB"/>
              </w:rPr>
            </w:pPr>
            <w:r w:rsidRPr="00CD72ED">
              <w:rPr>
                <w:rFonts w:ascii="Arial" w:hAnsi="Arial" w:cs="Arial"/>
                <w:color w:val="000000"/>
                <w:lang w:val="en-GB"/>
              </w:rPr>
              <w:t>Exit loads</w:t>
            </w:r>
          </w:p>
        </w:tc>
        <w:tc>
          <w:tcPr>
            <w:tcW w:w="4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EE46F" w14:textId="77777777" w:rsidR="00D670F8" w:rsidRPr="00CD72ED" w:rsidRDefault="00D670F8" w:rsidP="00EF7D80">
            <w:pPr>
              <w:jc w:val="center"/>
              <w:rPr>
                <w:rFonts w:ascii="Arial" w:hAnsi="Arial" w:cs="Arial"/>
                <w:color w:val="000000"/>
                <w:lang w:val="en-GB"/>
              </w:rPr>
            </w:pPr>
            <w:r w:rsidRPr="00CD72ED">
              <w:rPr>
                <w:rFonts w:ascii="Arial" w:hAnsi="Arial" w:cs="Arial"/>
                <w:color w:val="000000"/>
                <w:lang w:val="en-GB"/>
              </w:rPr>
              <w:t>1% for redemption within 540 days of investment</w:t>
            </w:r>
          </w:p>
        </w:tc>
      </w:tr>
    </w:tbl>
    <w:p w14:paraId="63B39FD3" w14:textId="77777777" w:rsidR="00D670F8" w:rsidRPr="00CD72ED" w:rsidRDefault="00D670F8" w:rsidP="00D670F8">
      <w:pPr>
        <w:pStyle w:val="Footnote"/>
        <w:rPr>
          <w:sz w:val="20"/>
          <w:lang w:val="en-GB"/>
        </w:rPr>
      </w:pPr>
    </w:p>
    <w:p w14:paraId="76C7839C" w14:textId="38A9BCE2" w:rsidR="00693E1E" w:rsidRDefault="00693E1E" w:rsidP="00D670F8">
      <w:pPr>
        <w:pStyle w:val="Footnote"/>
        <w:rPr>
          <w:lang w:val="en-GB"/>
        </w:rPr>
      </w:pPr>
      <w:r>
        <w:rPr>
          <w:lang w:val="en-GB"/>
        </w:rPr>
        <w:t xml:space="preserve">Notes: NAV = net asset value; S&amp;P BSE SENSEX = </w:t>
      </w:r>
      <w:r w:rsidR="009A44BD" w:rsidRPr="009A44BD">
        <w:t>S&amp;P Bombay Stock Exchange Sensitive Index</w:t>
      </w:r>
    </w:p>
    <w:p w14:paraId="79CD11B3" w14:textId="3F276014" w:rsidR="00BC6806" w:rsidRPr="00CD72ED" w:rsidRDefault="00D670F8" w:rsidP="00BC6806">
      <w:pPr>
        <w:pStyle w:val="Footnote"/>
        <w:rPr>
          <w:lang w:val="en-GB"/>
        </w:rPr>
      </w:pPr>
      <w:r w:rsidRPr="00CD72ED">
        <w:rPr>
          <w:lang w:val="en-GB"/>
        </w:rPr>
        <w:t xml:space="preserve">Source: </w:t>
      </w:r>
      <w:r w:rsidR="00BC6806">
        <w:rPr>
          <w:lang w:val="en-GB"/>
        </w:rPr>
        <w:t xml:space="preserve">Compiled by the author </w:t>
      </w:r>
      <w:r w:rsidR="00BC6806" w:rsidRPr="00CD72ED">
        <w:rPr>
          <w:lang w:val="en-GB"/>
        </w:rPr>
        <w:t xml:space="preserve">using data from </w:t>
      </w:r>
      <w:r w:rsidR="00BC6806" w:rsidRPr="00F061B4">
        <w:rPr>
          <w:i/>
          <w:lang w:val="en-GB"/>
        </w:rPr>
        <w:t>ACE MF</w:t>
      </w:r>
      <w:r w:rsidR="00BC6806">
        <w:rPr>
          <w:lang w:val="en-GB"/>
        </w:rPr>
        <w:t xml:space="preserve"> (Accord Fintech, 2018).</w:t>
      </w:r>
    </w:p>
    <w:p w14:paraId="1E5ECA73" w14:textId="77777777" w:rsidR="00D670F8" w:rsidRPr="00CD72ED" w:rsidRDefault="00D670F8" w:rsidP="00D670F8">
      <w:pPr>
        <w:pStyle w:val="Footnote"/>
        <w:rPr>
          <w:sz w:val="20"/>
          <w:lang w:val="en-GB"/>
        </w:rPr>
      </w:pPr>
    </w:p>
    <w:p w14:paraId="35896389" w14:textId="77777777" w:rsidR="00D670F8" w:rsidRPr="00CD72ED" w:rsidRDefault="00D670F8" w:rsidP="00D670F8">
      <w:pPr>
        <w:pStyle w:val="Footnote"/>
        <w:rPr>
          <w:sz w:val="20"/>
          <w:lang w:val="en-GB"/>
        </w:rPr>
      </w:pPr>
    </w:p>
    <w:p w14:paraId="3F3E433B" w14:textId="0780D970" w:rsidR="00D670F8" w:rsidRPr="00CD72ED" w:rsidRDefault="00D670F8" w:rsidP="00D670F8">
      <w:pPr>
        <w:pStyle w:val="ExhibitHeading"/>
        <w:rPr>
          <w:lang w:val="en-GB"/>
        </w:rPr>
      </w:pPr>
      <w:r w:rsidRPr="00CD72ED">
        <w:rPr>
          <w:lang w:val="en-GB"/>
        </w:rPr>
        <w:t>Exhibit 5: information on TEPF holding percentages</w:t>
      </w:r>
      <w:r w:rsidR="00163B94">
        <w:rPr>
          <w:lang w:val="en-GB"/>
        </w:rPr>
        <w:t xml:space="preserve"> and returns</w:t>
      </w:r>
    </w:p>
    <w:p w14:paraId="52A60B6B" w14:textId="77777777" w:rsidR="00D670F8" w:rsidRPr="00CD72ED" w:rsidRDefault="00D670F8" w:rsidP="00D670F8">
      <w:pPr>
        <w:pStyle w:val="Casehead1"/>
        <w:rPr>
          <w:lang w:val="en-GB"/>
        </w:rPr>
      </w:pPr>
    </w:p>
    <w:p w14:paraId="7E6F7FCD" w14:textId="2BE42A7C" w:rsidR="00654AA1" w:rsidRDefault="00D670F8" w:rsidP="00654AA1">
      <w:pPr>
        <w:pStyle w:val="ExhibitText"/>
        <w:rPr>
          <w:lang w:val="en-GB"/>
        </w:rPr>
      </w:pPr>
      <w:r w:rsidRPr="00CD72ED">
        <w:rPr>
          <w:lang w:val="en-GB"/>
        </w:rPr>
        <w:t xml:space="preserve">Please see the </w:t>
      </w:r>
      <w:r w:rsidR="00163B94">
        <w:rPr>
          <w:lang w:val="en-GB"/>
        </w:rPr>
        <w:t>Excel</w:t>
      </w:r>
      <w:r w:rsidR="00163B94" w:rsidRPr="00CD72ED">
        <w:rPr>
          <w:lang w:val="en-GB"/>
        </w:rPr>
        <w:t xml:space="preserve"> </w:t>
      </w:r>
      <w:r w:rsidRPr="00CD72ED">
        <w:rPr>
          <w:lang w:val="en-GB"/>
        </w:rPr>
        <w:t xml:space="preserve">supplement to the </w:t>
      </w:r>
      <w:r w:rsidR="0015734F">
        <w:rPr>
          <w:lang w:val="en-GB"/>
        </w:rPr>
        <w:t>exercise</w:t>
      </w:r>
      <w:r w:rsidRPr="00CD72ED">
        <w:rPr>
          <w:lang w:val="en-GB"/>
        </w:rPr>
        <w:t xml:space="preserve"> </w:t>
      </w:r>
      <w:r w:rsidR="0015734F">
        <w:rPr>
          <w:lang w:val="en-GB"/>
        </w:rPr>
        <w:t>(</w:t>
      </w:r>
      <w:r w:rsidR="0015734F" w:rsidRPr="0015734F">
        <w:rPr>
          <w:lang w:val="en-GB"/>
        </w:rPr>
        <w:t xml:space="preserve">see </w:t>
      </w:r>
      <w:r w:rsidR="00163B94" w:rsidRPr="0015734F">
        <w:rPr>
          <w:lang w:val="en-GB"/>
        </w:rPr>
        <w:t xml:space="preserve">Ivey product no. </w:t>
      </w:r>
      <w:r w:rsidR="0015734F" w:rsidRPr="0015734F">
        <w:rPr>
          <w:lang w:val="en-GB"/>
        </w:rPr>
        <w:t>7B18N025)</w:t>
      </w:r>
      <w:r w:rsidR="00163B94" w:rsidRPr="0015734F">
        <w:rPr>
          <w:lang w:val="en-GB"/>
        </w:rPr>
        <w:t xml:space="preserve"> </w:t>
      </w:r>
      <w:r w:rsidRPr="0015734F">
        <w:rPr>
          <w:lang w:val="en-GB"/>
        </w:rPr>
        <w:t>for</w:t>
      </w:r>
      <w:r w:rsidRPr="00CD72ED">
        <w:rPr>
          <w:lang w:val="en-GB"/>
        </w:rPr>
        <w:t xml:space="preserve"> Exhibit 5. </w:t>
      </w:r>
      <w:r w:rsidR="00E000B7">
        <w:rPr>
          <w:lang w:val="en-GB"/>
        </w:rPr>
        <w:t xml:space="preserve">This Exhibit contains information on TEPF holding percentages at the end of a month, </w:t>
      </w:r>
      <w:r w:rsidR="00824029">
        <w:rPr>
          <w:lang w:val="en-GB"/>
        </w:rPr>
        <w:t xml:space="preserve">the </w:t>
      </w:r>
      <w:r w:rsidR="00654AA1">
        <w:rPr>
          <w:lang w:val="en-GB"/>
        </w:rPr>
        <w:t xml:space="preserve">monthly </w:t>
      </w:r>
      <w:r w:rsidR="00E000B7">
        <w:rPr>
          <w:lang w:val="en-GB"/>
        </w:rPr>
        <w:t xml:space="preserve">returns of these holdings, and </w:t>
      </w:r>
      <w:r w:rsidR="00654AA1">
        <w:rPr>
          <w:lang w:val="en-GB"/>
        </w:rPr>
        <w:t>the monthly returns of</w:t>
      </w:r>
      <w:r w:rsidR="00654AA1" w:rsidRPr="00CD72ED">
        <w:rPr>
          <w:lang w:val="en-GB"/>
        </w:rPr>
        <w:t xml:space="preserve"> assigned representative portfolios</w:t>
      </w:r>
      <w:r w:rsidR="00654AA1">
        <w:rPr>
          <w:lang w:val="en-GB"/>
        </w:rPr>
        <w:t xml:space="preserve"> over</w:t>
      </w:r>
      <w:r w:rsidR="00654AA1" w:rsidRPr="00CD72ED">
        <w:rPr>
          <w:lang w:val="en-GB"/>
        </w:rPr>
        <w:t xml:space="preserve"> the last 12 months</w:t>
      </w:r>
    </w:p>
    <w:p w14:paraId="7014193D" w14:textId="77777777" w:rsidR="00D670F8" w:rsidRPr="00CD72ED" w:rsidRDefault="00D670F8" w:rsidP="00D670F8">
      <w:pPr>
        <w:rPr>
          <w:i/>
          <w:lang w:val="en-GB"/>
        </w:rPr>
      </w:pPr>
    </w:p>
    <w:p w14:paraId="1E81DC56" w14:textId="44E8340E" w:rsidR="00163B94" w:rsidRDefault="00163B94" w:rsidP="00D670F8">
      <w:pPr>
        <w:pStyle w:val="Footnote"/>
        <w:rPr>
          <w:lang w:val="en-GB"/>
        </w:rPr>
      </w:pPr>
      <w:r>
        <w:rPr>
          <w:lang w:val="en-GB"/>
        </w:rPr>
        <w:t xml:space="preserve">Note: TEPF = </w:t>
      </w:r>
      <w:r w:rsidR="00654AA1">
        <w:rPr>
          <w:lang w:val="en-GB"/>
        </w:rPr>
        <w:t>Tata Equity P/</w:t>
      </w:r>
      <w:r w:rsidRPr="00163B94">
        <w:rPr>
          <w:lang w:val="en-GB"/>
        </w:rPr>
        <w:t>E Fund</w:t>
      </w:r>
    </w:p>
    <w:p w14:paraId="4E193D7C" w14:textId="5ECD55C0" w:rsidR="00D670F8" w:rsidRPr="00CD72ED" w:rsidRDefault="00D670F8" w:rsidP="00D670F8">
      <w:pPr>
        <w:pStyle w:val="Footnote"/>
        <w:rPr>
          <w:lang w:val="en-GB"/>
        </w:rPr>
      </w:pPr>
      <w:r w:rsidRPr="00CD72ED">
        <w:rPr>
          <w:lang w:val="en-GB"/>
        </w:rPr>
        <w:t xml:space="preserve">Source: </w:t>
      </w:r>
      <w:r w:rsidR="00163B94">
        <w:rPr>
          <w:lang w:val="en-GB"/>
        </w:rPr>
        <w:t xml:space="preserve">Compiled by the author </w:t>
      </w:r>
      <w:r w:rsidR="00163B94" w:rsidRPr="00CD72ED">
        <w:rPr>
          <w:lang w:val="en-GB"/>
        </w:rPr>
        <w:t xml:space="preserve">using data from </w:t>
      </w:r>
      <w:r w:rsidR="00163B94" w:rsidRPr="00F061B4">
        <w:rPr>
          <w:i/>
          <w:lang w:val="en-GB"/>
        </w:rPr>
        <w:t>ACE MF</w:t>
      </w:r>
      <w:r w:rsidR="00163B94">
        <w:rPr>
          <w:lang w:val="en-GB"/>
        </w:rPr>
        <w:t xml:space="preserve"> (Accord Fintech, 2018).</w:t>
      </w:r>
      <w:r w:rsidRPr="00CD72ED">
        <w:rPr>
          <w:lang w:val="en-GB"/>
        </w:rPr>
        <w:br w:type="page"/>
      </w:r>
    </w:p>
    <w:p w14:paraId="39588F7F" w14:textId="77777777" w:rsidR="00D670F8" w:rsidRPr="00CD72ED" w:rsidRDefault="00D670F8" w:rsidP="00D670F8">
      <w:pPr>
        <w:rPr>
          <w:lang w:val="en-GB"/>
        </w:rPr>
        <w:sectPr w:rsidR="00D670F8" w:rsidRPr="00CD72ED" w:rsidSect="00FD295A">
          <w:headerReference w:type="default" r:id="rId10"/>
          <w:footerReference w:type="default" r:id="rId11"/>
          <w:headerReference w:type="first" r:id="rId12"/>
          <w:pgSz w:w="12240" w:h="15840"/>
          <w:pgMar w:top="1440" w:right="1440" w:bottom="1260" w:left="1440" w:header="1080" w:footer="720" w:gutter="0"/>
          <w:cols w:space="720"/>
          <w:titlePg/>
          <w:docGrid w:linePitch="360"/>
        </w:sectPr>
      </w:pPr>
    </w:p>
    <w:tbl>
      <w:tblPr>
        <w:tblpPr w:leftFromText="180" w:rightFromText="180" w:vertAnchor="text" w:horzAnchor="margin" w:tblpXSpec="center" w:tblpY="615"/>
        <w:tblW w:w="11520" w:type="dxa"/>
        <w:tblLayout w:type="fixed"/>
        <w:tblLook w:val="04A0" w:firstRow="1" w:lastRow="0" w:firstColumn="1" w:lastColumn="0" w:noHBand="0" w:noVBand="1"/>
      </w:tblPr>
      <w:tblGrid>
        <w:gridCol w:w="1440"/>
        <w:gridCol w:w="810"/>
        <w:gridCol w:w="990"/>
        <w:gridCol w:w="810"/>
        <w:gridCol w:w="810"/>
        <w:gridCol w:w="900"/>
        <w:gridCol w:w="810"/>
        <w:gridCol w:w="810"/>
        <w:gridCol w:w="810"/>
        <w:gridCol w:w="810"/>
        <w:gridCol w:w="810"/>
        <w:gridCol w:w="900"/>
        <w:gridCol w:w="810"/>
      </w:tblGrid>
      <w:tr w:rsidR="00D670F8" w:rsidRPr="00CD72ED" w14:paraId="4DEB35E5" w14:textId="77777777" w:rsidTr="0075655C">
        <w:trPr>
          <w:trHeight w:val="20"/>
        </w:trPr>
        <w:tc>
          <w:tcPr>
            <w:tcW w:w="1440" w:type="dxa"/>
            <w:tcBorders>
              <w:top w:val="nil"/>
              <w:left w:val="nil"/>
              <w:bottom w:val="single" w:sz="4" w:space="0" w:color="auto"/>
              <w:right w:val="nil"/>
            </w:tcBorders>
            <w:shd w:val="clear" w:color="auto" w:fill="auto"/>
            <w:noWrap/>
            <w:vAlign w:val="bottom"/>
            <w:hideMark/>
          </w:tcPr>
          <w:p w14:paraId="1585BFA0" w14:textId="77777777" w:rsidR="00D670F8" w:rsidRPr="00CD72ED" w:rsidRDefault="00D670F8" w:rsidP="00EF7D80">
            <w:pPr>
              <w:rPr>
                <w:rFonts w:ascii="Arial" w:hAnsi="Arial" w:cs="Arial"/>
                <w:b/>
                <w:bCs/>
                <w:sz w:val="18"/>
                <w:lang w:val="en-GB"/>
              </w:rPr>
            </w:pPr>
            <w:r w:rsidRPr="00CD72ED">
              <w:rPr>
                <w:rFonts w:ascii="Arial" w:hAnsi="Arial" w:cs="Arial"/>
                <w:b/>
                <w:bCs/>
                <w:sz w:val="18"/>
                <w:lang w:val="en-GB"/>
              </w:rPr>
              <w:lastRenderedPageBreak/>
              <w:t> </w:t>
            </w:r>
          </w:p>
        </w:tc>
        <w:tc>
          <w:tcPr>
            <w:tcW w:w="810" w:type="dxa"/>
            <w:tcBorders>
              <w:top w:val="nil"/>
              <w:left w:val="nil"/>
              <w:bottom w:val="single" w:sz="4" w:space="0" w:color="auto"/>
              <w:right w:val="nil"/>
            </w:tcBorders>
            <w:shd w:val="clear" w:color="auto" w:fill="auto"/>
            <w:noWrap/>
            <w:vAlign w:val="bottom"/>
            <w:hideMark/>
          </w:tcPr>
          <w:p w14:paraId="4715115A"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Sep-17</w:t>
            </w:r>
          </w:p>
        </w:tc>
        <w:tc>
          <w:tcPr>
            <w:tcW w:w="990" w:type="dxa"/>
            <w:tcBorders>
              <w:top w:val="nil"/>
              <w:left w:val="nil"/>
              <w:bottom w:val="single" w:sz="4" w:space="0" w:color="auto"/>
              <w:right w:val="nil"/>
            </w:tcBorders>
            <w:shd w:val="clear" w:color="auto" w:fill="auto"/>
            <w:noWrap/>
            <w:vAlign w:val="bottom"/>
            <w:hideMark/>
          </w:tcPr>
          <w:p w14:paraId="0E477454"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Aug-17</w:t>
            </w:r>
          </w:p>
        </w:tc>
        <w:tc>
          <w:tcPr>
            <w:tcW w:w="810" w:type="dxa"/>
            <w:tcBorders>
              <w:top w:val="nil"/>
              <w:left w:val="nil"/>
              <w:bottom w:val="single" w:sz="4" w:space="0" w:color="auto"/>
              <w:right w:val="nil"/>
            </w:tcBorders>
            <w:shd w:val="clear" w:color="auto" w:fill="auto"/>
            <w:noWrap/>
            <w:vAlign w:val="bottom"/>
            <w:hideMark/>
          </w:tcPr>
          <w:p w14:paraId="66466AB1"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Jul-17</w:t>
            </w:r>
          </w:p>
        </w:tc>
        <w:tc>
          <w:tcPr>
            <w:tcW w:w="810" w:type="dxa"/>
            <w:tcBorders>
              <w:top w:val="nil"/>
              <w:left w:val="nil"/>
              <w:bottom w:val="single" w:sz="4" w:space="0" w:color="auto"/>
              <w:right w:val="nil"/>
            </w:tcBorders>
            <w:shd w:val="clear" w:color="auto" w:fill="auto"/>
            <w:noWrap/>
            <w:vAlign w:val="bottom"/>
            <w:hideMark/>
          </w:tcPr>
          <w:p w14:paraId="367800A3"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Jun-17</w:t>
            </w:r>
          </w:p>
        </w:tc>
        <w:tc>
          <w:tcPr>
            <w:tcW w:w="900" w:type="dxa"/>
            <w:tcBorders>
              <w:top w:val="nil"/>
              <w:left w:val="nil"/>
              <w:bottom w:val="single" w:sz="4" w:space="0" w:color="auto"/>
              <w:right w:val="nil"/>
            </w:tcBorders>
            <w:shd w:val="clear" w:color="auto" w:fill="auto"/>
            <w:noWrap/>
            <w:vAlign w:val="bottom"/>
            <w:hideMark/>
          </w:tcPr>
          <w:p w14:paraId="34BD3C1E"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May-17</w:t>
            </w:r>
          </w:p>
        </w:tc>
        <w:tc>
          <w:tcPr>
            <w:tcW w:w="810" w:type="dxa"/>
            <w:tcBorders>
              <w:top w:val="nil"/>
              <w:left w:val="nil"/>
              <w:bottom w:val="single" w:sz="4" w:space="0" w:color="auto"/>
              <w:right w:val="nil"/>
            </w:tcBorders>
            <w:shd w:val="clear" w:color="auto" w:fill="auto"/>
            <w:noWrap/>
            <w:vAlign w:val="bottom"/>
            <w:hideMark/>
          </w:tcPr>
          <w:p w14:paraId="5AB808A3"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Apr-17</w:t>
            </w:r>
          </w:p>
        </w:tc>
        <w:tc>
          <w:tcPr>
            <w:tcW w:w="810" w:type="dxa"/>
            <w:tcBorders>
              <w:top w:val="nil"/>
              <w:left w:val="nil"/>
              <w:bottom w:val="single" w:sz="4" w:space="0" w:color="auto"/>
              <w:right w:val="nil"/>
            </w:tcBorders>
            <w:shd w:val="clear" w:color="auto" w:fill="auto"/>
            <w:noWrap/>
            <w:vAlign w:val="bottom"/>
            <w:hideMark/>
          </w:tcPr>
          <w:p w14:paraId="613048D4"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Mar-17</w:t>
            </w:r>
          </w:p>
        </w:tc>
        <w:tc>
          <w:tcPr>
            <w:tcW w:w="810" w:type="dxa"/>
            <w:tcBorders>
              <w:top w:val="nil"/>
              <w:left w:val="nil"/>
              <w:bottom w:val="single" w:sz="4" w:space="0" w:color="auto"/>
              <w:right w:val="nil"/>
            </w:tcBorders>
            <w:shd w:val="clear" w:color="auto" w:fill="auto"/>
            <w:noWrap/>
            <w:vAlign w:val="bottom"/>
            <w:hideMark/>
          </w:tcPr>
          <w:p w14:paraId="1466D146"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Feb-17</w:t>
            </w:r>
          </w:p>
        </w:tc>
        <w:tc>
          <w:tcPr>
            <w:tcW w:w="810" w:type="dxa"/>
            <w:tcBorders>
              <w:top w:val="nil"/>
              <w:left w:val="nil"/>
              <w:bottom w:val="single" w:sz="4" w:space="0" w:color="auto"/>
              <w:right w:val="nil"/>
            </w:tcBorders>
            <w:shd w:val="clear" w:color="auto" w:fill="auto"/>
            <w:noWrap/>
            <w:vAlign w:val="bottom"/>
            <w:hideMark/>
          </w:tcPr>
          <w:p w14:paraId="47771F41"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Jan-17</w:t>
            </w:r>
          </w:p>
        </w:tc>
        <w:tc>
          <w:tcPr>
            <w:tcW w:w="810" w:type="dxa"/>
            <w:tcBorders>
              <w:top w:val="nil"/>
              <w:left w:val="nil"/>
              <w:bottom w:val="single" w:sz="4" w:space="0" w:color="auto"/>
              <w:right w:val="nil"/>
            </w:tcBorders>
            <w:shd w:val="clear" w:color="auto" w:fill="auto"/>
            <w:noWrap/>
            <w:vAlign w:val="bottom"/>
            <w:hideMark/>
          </w:tcPr>
          <w:p w14:paraId="3FF6DCA0"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Dec-16</w:t>
            </w:r>
          </w:p>
        </w:tc>
        <w:tc>
          <w:tcPr>
            <w:tcW w:w="900" w:type="dxa"/>
            <w:tcBorders>
              <w:top w:val="nil"/>
              <w:left w:val="nil"/>
              <w:bottom w:val="single" w:sz="4" w:space="0" w:color="auto"/>
              <w:right w:val="nil"/>
            </w:tcBorders>
            <w:shd w:val="clear" w:color="auto" w:fill="auto"/>
            <w:noWrap/>
            <w:vAlign w:val="bottom"/>
            <w:hideMark/>
          </w:tcPr>
          <w:p w14:paraId="7C7AC20F"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Nov-16</w:t>
            </w:r>
          </w:p>
        </w:tc>
        <w:tc>
          <w:tcPr>
            <w:tcW w:w="810" w:type="dxa"/>
            <w:tcBorders>
              <w:top w:val="nil"/>
              <w:left w:val="nil"/>
              <w:bottom w:val="single" w:sz="4" w:space="0" w:color="auto"/>
              <w:right w:val="nil"/>
            </w:tcBorders>
            <w:shd w:val="clear" w:color="auto" w:fill="auto"/>
            <w:noWrap/>
            <w:vAlign w:val="bottom"/>
            <w:hideMark/>
          </w:tcPr>
          <w:p w14:paraId="0C73B4C9" w14:textId="77777777" w:rsidR="00D670F8" w:rsidRPr="00CD72ED" w:rsidRDefault="00D670F8" w:rsidP="00EF7D80">
            <w:pPr>
              <w:jc w:val="right"/>
              <w:rPr>
                <w:rFonts w:ascii="Arial" w:hAnsi="Arial" w:cs="Arial"/>
                <w:b/>
                <w:bCs/>
                <w:sz w:val="18"/>
                <w:lang w:val="en-GB"/>
              </w:rPr>
            </w:pPr>
            <w:r w:rsidRPr="00CD72ED">
              <w:rPr>
                <w:rFonts w:ascii="Arial" w:hAnsi="Arial" w:cs="Arial"/>
                <w:b/>
                <w:bCs/>
                <w:sz w:val="18"/>
                <w:lang w:val="en-GB"/>
              </w:rPr>
              <w:t>Oct-16</w:t>
            </w:r>
          </w:p>
        </w:tc>
      </w:tr>
      <w:tr w:rsidR="00D670F8" w:rsidRPr="00CD72ED" w14:paraId="06F8BAF0" w14:textId="77777777" w:rsidTr="0075655C">
        <w:trPr>
          <w:trHeight w:val="20"/>
        </w:trPr>
        <w:tc>
          <w:tcPr>
            <w:tcW w:w="1440" w:type="dxa"/>
            <w:tcBorders>
              <w:top w:val="nil"/>
              <w:left w:val="nil"/>
              <w:bottom w:val="nil"/>
              <w:right w:val="nil"/>
            </w:tcBorders>
            <w:shd w:val="clear" w:color="auto" w:fill="auto"/>
            <w:noWrap/>
            <w:vAlign w:val="bottom"/>
            <w:hideMark/>
          </w:tcPr>
          <w:p w14:paraId="537F78D8" w14:textId="77777777" w:rsidR="00D670F8" w:rsidRPr="00CD72ED" w:rsidRDefault="00D670F8" w:rsidP="00EF7D80">
            <w:pPr>
              <w:rPr>
                <w:rFonts w:ascii="Arial" w:hAnsi="Arial" w:cs="Arial"/>
                <w:sz w:val="18"/>
                <w:lang w:val="en-GB"/>
              </w:rPr>
            </w:pPr>
            <w:r w:rsidRPr="00CD72ED">
              <w:rPr>
                <w:rFonts w:ascii="Arial" w:hAnsi="Arial" w:cs="Arial"/>
                <w:sz w:val="18"/>
                <w:lang w:val="en-GB"/>
              </w:rPr>
              <w:t>Fund returns</w:t>
            </w:r>
          </w:p>
        </w:tc>
        <w:tc>
          <w:tcPr>
            <w:tcW w:w="810" w:type="dxa"/>
            <w:tcBorders>
              <w:top w:val="nil"/>
              <w:left w:val="nil"/>
              <w:bottom w:val="nil"/>
              <w:right w:val="nil"/>
            </w:tcBorders>
            <w:shd w:val="clear" w:color="auto" w:fill="auto"/>
            <w:noWrap/>
            <w:vAlign w:val="bottom"/>
            <w:hideMark/>
          </w:tcPr>
          <w:p w14:paraId="5C4BCA76"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0.011</w:t>
            </w:r>
          </w:p>
        </w:tc>
        <w:tc>
          <w:tcPr>
            <w:tcW w:w="990" w:type="dxa"/>
            <w:tcBorders>
              <w:top w:val="nil"/>
              <w:left w:val="nil"/>
              <w:bottom w:val="nil"/>
              <w:right w:val="nil"/>
            </w:tcBorders>
            <w:shd w:val="clear" w:color="auto" w:fill="auto"/>
            <w:noWrap/>
            <w:vAlign w:val="bottom"/>
            <w:hideMark/>
          </w:tcPr>
          <w:p w14:paraId="62A30275"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0.008</w:t>
            </w:r>
          </w:p>
        </w:tc>
        <w:tc>
          <w:tcPr>
            <w:tcW w:w="810" w:type="dxa"/>
            <w:tcBorders>
              <w:top w:val="nil"/>
              <w:left w:val="nil"/>
              <w:bottom w:val="nil"/>
              <w:right w:val="nil"/>
            </w:tcBorders>
            <w:shd w:val="clear" w:color="auto" w:fill="auto"/>
            <w:noWrap/>
            <w:vAlign w:val="bottom"/>
            <w:hideMark/>
          </w:tcPr>
          <w:p w14:paraId="22A22A6E"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0.054</w:t>
            </w:r>
          </w:p>
        </w:tc>
        <w:tc>
          <w:tcPr>
            <w:tcW w:w="810" w:type="dxa"/>
            <w:tcBorders>
              <w:top w:val="nil"/>
              <w:left w:val="nil"/>
              <w:bottom w:val="nil"/>
              <w:right w:val="nil"/>
            </w:tcBorders>
            <w:shd w:val="clear" w:color="auto" w:fill="auto"/>
            <w:noWrap/>
            <w:vAlign w:val="bottom"/>
            <w:hideMark/>
          </w:tcPr>
          <w:p w14:paraId="42429554"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0.002</w:t>
            </w:r>
          </w:p>
        </w:tc>
        <w:tc>
          <w:tcPr>
            <w:tcW w:w="900" w:type="dxa"/>
            <w:tcBorders>
              <w:top w:val="nil"/>
              <w:left w:val="nil"/>
              <w:bottom w:val="nil"/>
              <w:right w:val="nil"/>
            </w:tcBorders>
            <w:shd w:val="clear" w:color="auto" w:fill="auto"/>
            <w:noWrap/>
            <w:vAlign w:val="bottom"/>
            <w:hideMark/>
          </w:tcPr>
          <w:p w14:paraId="0F67896A" w14:textId="065F7D39"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0.015</w:t>
            </w:r>
          </w:p>
        </w:tc>
        <w:tc>
          <w:tcPr>
            <w:tcW w:w="810" w:type="dxa"/>
            <w:tcBorders>
              <w:top w:val="nil"/>
              <w:left w:val="nil"/>
              <w:bottom w:val="nil"/>
              <w:right w:val="nil"/>
            </w:tcBorders>
            <w:shd w:val="clear" w:color="auto" w:fill="auto"/>
            <w:noWrap/>
            <w:vAlign w:val="bottom"/>
            <w:hideMark/>
          </w:tcPr>
          <w:p w14:paraId="120F6F71"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0.060</w:t>
            </w:r>
          </w:p>
        </w:tc>
        <w:tc>
          <w:tcPr>
            <w:tcW w:w="810" w:type="dxa"/>
            <w:tcBorders>
              <w:top w:val="nil"/>
              <w:left w:val="nil"/>
              <w:bottom w:val="nil"/>
              <w:right w:val="nil"/>
            </w:tcBorders>
            <w:shd w:val="clear" w:color="auto" w:fill="auto"/>
            <w:noWrap/>
            <w:vAlign w:val="bottom"/>
            <w:hideMark/>
          </w:tcPr>
          <w:p w14:paraId="753303E9"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0.046</w:t>
            </w:r>
          </w:p>
        </w:tc>
        <w:tc>
          <w:tcPr>
            <w:tcW w:w="810" w:type="dxa"/>
            <w:tcBorders>
              <w:top w:val="nil"/>
              <w:left w:val="nil"/>
              <w:bottom w:val="nil"/>
              <w:right w:val="nil"/>
            </w:tcBorders>
            <w:shd w:val="clear" w:color="auto" w:fill="auto"/>
            <w:noWrap/>
            <w:vAlign w:val="bottom"/>
            <w:hideMark/>
          </w:tcPr>
          <w:p w14:paraId="4129F4E2"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0.048</w:t>
            </w:r>
          </w:p>
        </w:tc>
        <w:tc>
          <w:tcPr>
            <w:tcW w:w="810" w:type="dxa"/>
            <w:tcBorders>
              <w:top w:val="nil"/>
              <w:left w:val="nil"/>
              <w:bottom w:val="nil"/>
              <w:right w:val="nil"/>
            </w:tcBorders>
            <w:shd w:val="clear" w:color="auto" w:fill="auto"/>
            <w:noWrap/>
            <w:vAlign w:val="bottom"/>
            <w:hideMark/>
          </w:tcPr>
          <w:p w14:paraId="01A46A08"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0.058</w:t>
            </w:r>
          </w:p>
        </w:tc>
        <w:tc>
          <w:tcPr>
            <w:tcW w:w="810" w:type="dxa"/>
            <w:tcBorders>
              <w:top w:val="nil"/>
              <w:left w:val="nil"/>
              <w:bottom w:val="nil"/>
              <w:right w:val="nil"/>
            </w:tcBorders>
            <w:shd w:val="clear" w:color="auto" w:fill="auto"/>
            <w:noWrap/>
            <w:vAlign w:val="bottom"/>
            <w:hideMark/>
          </w:tcPr>
          <w:p w14:paraId="1B8465E9" w14:textId="1853985A"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0.008</w:t>
            </w:r>
          </w:p>
        </w:tc>
        <w:tc>
          <w:tcPr>
            <w:tcW w:w="900" w:type="dxa"/>
            <w:tcBorders>
              <w:top w:val="nil"/>
              <w:left w:val="nil"/>
              <w:bottom w:val="nil"/>
              <w:right w:val="nil"/>
            </w:tcBorders>
            <w:shd w:val="clear" w:color="auto" w:fill="auto"/>
            <w:noWrap/>
            <w:vAlign w:val="bottom"/>
            <w:hideMark/>
          </w:tcPr>
          <w:p w14:paraId="41466D8B" w14:textId="5A08615A"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0.042</w:t>
            </w:r>
          </w:p>
        </w:tc>
        <w:tc>
          <w:tcPr>
            <w:tcW w:w="810" w:type="dxa"/>
            <w:tcBorders>
              <w:top w:val="nil"/>
              <w:left w:val="nil"/>
              <w:bottom w:val="nil"/>
              <w:right w:val="nil"/>
            </w:tcBorders>
            <w:shd w:val="clear" w:color="auto" w:fill="auto"/>
            <w:noWrap/>
            <w:vAlign w:val="bottom"/>
            <w:hideMark/>
          </w:tcPr>
          <w:p w14:paraId="45E540EE"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0.030</w:t>
            </w:r>
          </w:p>
        </w:tc>
      </w:tr>
      <w:tr w:rsidR="00D670F8" w:rsidRPr="00CD72ED" w14:paraId="6F926565" w14:textId="77777777" w:rsidTr="0075655C">
        <w:trPr>
          <w:trHeight w:val="20"/>
        </w:trPr>
        <w:tc>
          <w:tcPr>
            <w:tcW w:w="1440" w:type="dxa"/>
            <w:tcBorders>
              <w:top w:val="nil"/>
              <w:left w:val="nil"/>
              <w:bottom w:val="single" w:sz="4" w:space="0" w:color="auto"/>
              <w:right w:val="nil"/>
            </w:tcBorders>
            <w:shd w:val="clear" w:color="auto" w:fill="auto"/>
            <w:noWrap/>
            <w:vAlign w:val="bottom"/>
            <w:hideMark/>
          </w:tcPr>
          <w:p w14:paraId="0F283FD0" w14:textId="77777777" w:rsidR="00D670F8" w:rsidRPr="00CD72ED" w:rsidRDefault="00D670F8" w:rsidP="00EF7D80">
            <w:pPr>
              <w:rPr>
                <w:rFonts w:ascii="Arial" w:hAnsi="Arial" w:cs="Arial"/>
                <w:sz w:val="18"/>
                <w:lang w:val="en-GB"/>
              </w:rPr>
            </w:pPr>
            <w:r w:rsidRPr="00CD72ED">
              <w:rPr>
                <w:rFonts w:ascii="Arial" w:hAnsi="Arial" w:cs="Arial"/>
                <w:sz w:val="18"/>
                <w:lang w:val="en-GB"/>
              </w:rPr>
              <w:t>BSE SENSEX TRI returns</w:t>
            </w:r>
          </w:p>
        </w:tc>
        <w:tc>
          <w:tcPr>
            <w:tcW w:w="810" w:type="dxa"/>
            <w:tcBorders>
              <w:top w:val="nil"/>
              <w:left w:val="nil"/>
              <w:bottom w:val="single" w:sz="4" w:space="0" w:color="auto"/>
              <w:right w:val="nil"/>
            </w:tcBorders>
            <w:shd w:val="clear" w:color="auto" w:fill="auto"/>
            <w:noWrap/>
            <w:vAlign w:val="bottom"/>
            <w:hideMark/>
          </w:tcPr>
          <w:p w14:paraId="1624D200" w14:textId="0E8B9D6E"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0.013</w:t>
            </w:r>
          </w:p>
        </w:tc>
        <w:tc>
          <w:tcPr>
            <w:tcW w:w="990" w:type="dxa"/>
            <w:tcBorders>
              <w:top w:val="nil"/>
              <w:left w:val="nil"/>
              <w:bottom w:val="single" w:sz="4" w:space="0" w:color="auto"/>
              <w:right w:val="nil"/>
            </w:tcBorders>
            <w:shd w:val="clear" w:color="auto" w:fill="auto"/>
            <w:noWrap/>
            <w:vAlign w:val="bottom"/>
            <w:hideMark/>
          </w:tcPr>
          <w:p w14:paraId="1D990FC3" w14:textId="1D232F5F"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0.015</w:t>
            </w:r>
          </w:p>
        </w:tc>
        <w:tc>
          <w:tcPr>
            <w:tcW w:w="810" w:type="dxa"/>
            <w:tcBorders>
              <w:top w:val="nil"/>
              <w:left w:val="nil"/>
              <w:bottom w:val="single" w:sz="4" w:space="0" w:color="auto"/>
              <w:right w:val="nil"/>
            </w:tcBorders>
            <w:shd w:val="clear" w:color="auto" w:fill="auto"/>
            <w:noWrap/>
            <w:vAlign w:val="bottom"/>
            <w:hideMark/>
          </w:tcPr>
          <w:p w14:paraId="13FE6371"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0.061</w:t>
            </w:r>
          </w:p>
        </w:tc>
        <w:tc>
          <w:tcPr>
            <w:tcW w:w="810" w:type="dxa"/>
            <w:tcBorders>
              <w:top w:val="nil"/>
              <w:left w:val="nil"/>
              <w:bottom w:val="single" w:sz="4" w:space="0" w:color="auto"/>
              <w:right w:val="nil"/>
            </w:tcBorders>
            <w:shd w:val="clear" w:color="auto" w:fill="auto"/>
            <w:noWrap/>
            <w:vAlign w:val="bottom"/>
            <w:hideMark/>
          </w:tcPr>
          <w:p w14:paraId="213990FD" w14:textId="69DD2201"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0.007</w:t>
            </w:r>
          </w:p>
        </w:tc>
        <w:tc>
          <w:tcPr>
            <w:tcW w:w="900" w:type="dxa"/>
            <w:tcBorders>
              <w:top w:val="nil"/>
              <w:left w:val="nil"/>
              <w:bottom w:val="single" w:sz="4" w:space="0" w:color="auto"/>
              <w:right w:val="nil"/>
            </w:tcBorders>
            <w:shd w:val="clear" w:color="auto" w:fill="auto"/>
            <w:noWrap/>
            <w:vAlign w:val="bottom"/>
            <w:hideMark/>
          </w:tcPr>
          <w:p w14:paraId="387BF075"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0.035</w:t>
            </w:r>
          </w:p>
        </w:tc>
        <w:tc>
          <w:tcPr>
            <w:tcW w:w="810" w:type="dxa"/>
            <w:tcBorders>
              <w:top w:val="nil"/>
              <w:left w:val="nil"/>
              <w:bottom w:val="single" w:sz="4" w:space="0" w:color="auto"/>
              <w:right w:val="nil"/>
            </w:tcBorders>
            <w:shd w:val="clear" w:color="auto" w:fill="auto"/>
            <w:noWrap/>
            <w:vAlign w:val="bottom"/>
            <w:hideMark/>
          </w:tcPr>
          <w:p w14:paraId="05C49B57"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0.014</w:t>
            </w:r>
          </w:p>
        </w:tc>
        <w:tc>
          <w:tcPr>
            <w:tcW w:w="810" w:type="dxa"/>
            <w:tcBorders>
              <w:top w:val="nil"/>
              <w:left w:val="nil"/>
              <w:bottom w:val="single" w:sz="4" w:space="0" w:color="auto"/>
              <w:right w:val="nil"/>
            </w:tcBorders>
            <w:shd w:val="clear" w:color="auto" w:fill="auto"/>
            <w:noWrap/>
            <w:vAlign w:val="bottom"/>
            <w:hideMark/>
          </w:tcPr>
          <w:p w14:paraId="6287FC1F"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0.035</w:t>
            </w:r>
          </w:p>
        </w:tc>
        <w:tc>
          <w:tcPr>
            <w:tcW w:w="810" w:type="dxa"/>
            <w:tcBorders>
              <w:top w:val="nil"/>
              <w:left w:val="nil"/>
              <w:bottom w:val="single" w:sz="4" w:space="0" w:color="auto"/>
              <w:right w:val="nil"/>
            </w:tcBorders>
            <w:shd w:val="clear" w:color="auto" w:fill="auto"/>
            <w:noWrap/>
            <w:vAlign w:val="bottom"/>
            <w:hideMark/>
          </w:tcPr>
          <w:p w14:paraId="15E00EDA"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0.038</w:t>
            </w:r>
          </w:p>
        </w:tc>
        <w:tc>
          <w:tcPr>
            <w:tcW w:w="810" w:type="dxa"/>
            <w:tcBorders>
              <w:top w:val="nil"/>
              <w:left w:val="nil"/>
              <w:bottom w:val="single" w:sz="4" w:space="0" w:color="auto"/>
              <w:right w:val="nil"/>
            </w:tcBorders>
            <w:shd w:val="clear" w:color="auto" w:fill="auto"/>
            <w:noWrap/>
            <w:vAlign w:val="bottom"/>
            <w:hideMark/>
          </w:tcPr>
          <w:p w14:paraId="4FA66FA6"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0.046</w:t>
            </w:r>
          </w:p>
        </w:tc>
        <w:tc>
          <w:tcPr>
            <w:tcW w:w="810" w:type="dxa"/>
            <w:tcBorders>
              <w:top w:val="nil"/>
              <w:left w:val="nil"/>
              <w:bottom w:val="single" w:sz="4" w:space="0" w:color="auto"/>
              <w:right w:val="nil"/>
            </w:tcBorders>
            <w:shd w:val="clear" w:color="auto" w:fill="auto"/>
            <w:noWrap/>
            <w:vAlign w:val="bottom"/>
            <w:hideMark/>
          </w:tcPr>
          <w:p w14:paraId="3F1624D2" w14:textId="636E800A"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0.005</w:t>
            </w:r>
          </w:p>
        </w:tc>
        <w:tc>
          <w:tcPr>
            <w:tcW w:w="900" w:type="dxa"/>
            <w:tcBorders>
              <w:top w:val="nil"/>
              <w:left w:val="nil"/>
              <w:bottom w:val="single" w:sz="4" w:space="0" w:color="auto"/>
              <w:right w:val="nil"/>
            </w:tcBorders>
            <w:shd w:val="clear" w:color="auto" w:fill="auto"/>
            <w:noWrap/>
            <w:vAlign w:val="bottom"/>
            <w:hideMark/>
          </w:tcPr>
          <w:p w14:paraId="4F8F6D3F" w14:textId="2132ED41" w:rsidR="00D670F8" w:rsidRPr="00CD72ED" w:rsidRDefault="007E7D7D" w:rsidP="00EF7D80">
            <w:pPr>
              <w:jc w:val="right"/>
              <w:rPr>
                <w:rFonts w:ascii="Arial" w:hAnsi="Arial" w:cs="Arial"/>
                <w:sz w:val="18"/>
                <w:lang w:val="en-GB"/>
              </w:rPr>
            </w:pPr>
            <w:r>
              <w:rPr>
                <w:rFonts w:ascii="Arial" w:hAnsi="Arial" w:cs="Arial"/>
                <w:sz w:val="18"/>
                <w:lang w:val="en-GB"/>
              </w:rPr>
              <w:t>−</w:t>
            </w:r>
            <w:r w:rsidR="00D670F8" w:rsidRPr="00CD72ED">
              <w:rPr>
                <w:rFonts w:ascii="Arial" w:hAnsi="Arial" w:cs="Arial"/>
                <w:sz w:val="18"/>
                <w:lang w:val="en-GB"/>
              </w:rPr>
              <w:t>0.046</w:t>
            </w:r>
          </w:p>
        </w:tc>
        <w:tc>
          <w:tcPr>
            <w:tcW w:w="810" w:type="dxa"/>
            <w:tcBorders>
              <w:top w:val="nil"/>
              <w:left w:val="nil"/>
              <w:bottom w:val="single" w:sz="4" w:space="0" w:color="auto"/>
              <w:right w:val="nil"/>
            </w:tcBorders>
            <w:shd w:val="clear" w:color="auto" w:fill="auto"/>
            <w:noWrap/>
            <w:vAlign w:val="bottom"/>
            <w:hideMark/>
          </w:tcPr>
          <w:p w14:paraId="4C5EE560"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0.003</w:t>
            </w:r>
          </w:p>
        </w:tc>
      </w:tr>
      <w:tr w:rsidR="00D670F8" w:rsidRPr="00CD72ED" w14:paraId="7D2F336E" w14:textId="77777777" w:rsidTr="0075655C">
        <w:trPr>
          <w:trHeight w:val="20"/>
        </w:trPr>
        <w:tc>
          <w:tcPr>
            <w:tcW w:w="1440" w:type="dxa"/>
            <w:tcBorders>
              <w:top w:val="nil"/>
              <w:left w:val="nil"/>
              <w:bottom w:val="nil"/>
              <w:right w:val="nil"/>
            </w:tcBorders>
            <w:shd w:val="clear" w:color="auto" w:fill="auto"/>
            <w:noWrap/>
            <w:vAlign w:val="bottom"/>
            <w:hideMark/>
          </w:tcPr>
          <w:p w14:paraId="5E48C582" w14:textId="77777777" w:rsidR="00D670F8" w:rsidRPr="00CD72ED" w:rsidRDefault="00D670F8" w:rsidP="00EF7D80">
            <w:pPr>
              <w:jc w:val="right"/>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28CDE2C5" w14:textId="77777777" w:rsidR="00D670F8" w:rsidRPr="00CD72ED" w:rsidRDefault="00D670F8" w:rsidP="00EF7D80">
            <w:pPr>
              <w:rPr>
                <w:rFonts w:ascii="Arial" w:hAnsi="Arial" w:cs="Arial"/>
                <w:sz w:val="18"/>
                <w:lang w:val="en-GB"/>
              </w:rPr>
            </w:pPr>
          </w:p>
        </w:tc>
        <w:tc>
          <w:tcPr>
            <w:tcW w:w="990" w:type="dxa"/>
            <w:tcBorders>
              <w:top w:val="nil"/>
              <w:left w:val="nil"/>
              <w:bottom w:val="nil"/>
              <w:right w:val="nil"/>
            </w:tcBorders>
            <w:shd w:val="clear" w:color="auto" w:fill="auto"/>
            <w:noWrap/>
            <w:vAlign w:val="bottom"/>
            <w:hideMark/>
          </w:tcPr>
          <w:p w14:paraId="7D817189"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69ED8A08"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58D53916"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06FBD537"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062F58C1"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616C9950"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1E426A8E"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74FE90EA"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650A5E36"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59CD2B89"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2F0C1285" w14:textId="77777777" w:rsidR="00D670F8" w:rsidRPr="00CD72ED" w:rsidRDefault="00D670F8" w:rsidP="00EF7D80">
            <w:pPr>
              <w:rPr>
                <w:rFonts w:ascii="Arial" w:hAnsi="Arial" w:cs="Arial"/>
                <w:sz w:val="18"/>
                <w:lang w:val="en-GB"/>
              </w:rPr>
            </w:pPr>
          </w:p>
        </w:tc>
      </w:tr>
      <w:tr w:rsidR="00D670F8" w:rsidRPr="00CD72ED" w14:paraId="03042341" w14:textId="77777777" w:rsidTr="0075655C">
        <w:trPr>
          <w:trHeight w:val="20"/>
        </w:trPr>
        <w:tc>
          <w:tcPr>
            <w:tcW w:w="1440" w:type="dxa"/>
            <w:tcBorders>
              <w:top w:val="nil"/>
              <w:left w:val="nil"/>
              <w:bottom w:val="nil"/>
              <w:right w:val="nil"/>
            </w:tcBorders>
            <w:shd w:val="clear" w:color="auto" w:fill="auto"/>
            <w:noWrap/>
            <w:vAlign w:val="bottom"/>
            <w:hideMark/>
          </w:tcPr>
          <w:p w14:paraId="16D50F3B" w14:textId="77777777" w:rsidR="00D670F8" w:rsidRPr="00CD72ED" w:rsidRDefault="00D670F8" w:rsidP="00EF7D80">
            <w:pPr>
              <w:rPr>
                <w:rFonts w:ascii="Arial" w:hAnsi="Arial" w:cs="Arial"/>
                <w:sz w:val="18"/>
                <w:lang w:val="en-GB"/>
              </w:rPr>
            </w:pPr>
            <w:r w:rsidRPr="00CD72ED">
              <w:rPr>
                <w:rFonts w:ascii="Arial" w:hAnsi="Arial" w:cs="Arial"/>
                <w:sz w:val="18"/>
                <w:lang w:val="en-GB"/>
              </w:rPr>
              <w:t>Expense ratio</w:t>
            </w:r>
          </w:p>
        </w:tc>
        <w:tc>
          <w:tcPr>
            <w:tcW w:w="810" w:type="dxa"/>
            <w:tcBorders>
              <w:top w:val="nil"/>
              <w:left w:val="nil"/>
              <w:bottom w:val="nil"/>
              <w:right w:val="nil"/>
            </w:tcBorders>
            <w:shd w:val="clear" w:color="auto" w:fill="auto"/>
            <w:noWrap/>
            <w:vAlign w:val="bottom"/>
            <w:hideMark/>
          </w:tcPr>
          <w:p w14:paraId="06B5FF1D"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2.508</w:t>
            </w:r>
          </w:p>
        </w:tc>
        <w:tc>
          <w:tcPr>
            <w:tcW w:w="990" w:type="dxa"/>
            <w:tcBorders>
              <w:top w:val="nil"/>
              <w:left w:val="nil"/>
              <w:bottom w:val="nil"/>
              <w:right w:val="nil"/>
            </w:tcBorders>
            <w:shd w:val="clear" w:color="auto" w:fill="auto"/>
            <w:noWrap/>
            <w:vAlign w:val="bottom"/>
            <w:hideMark/>
          </w:tcPr>
          <w:p w14:paraId="0F08A340" w14:textId="77777777" w:rsidR="00D670F8" w:rsidRPr="00CD72ED" w:rsidRDefault="00D670F8" w:rsidP="00EF7D80">
            <w:pPr>
              <w:jc w:val="right"/>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596B8C11"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0DE93C66"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47BECED3"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7E115036"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793F2678"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06B3B75E"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378E48AC"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6886B8D0"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136CE499"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538A7DAC" w14:textId="77777777" w:rsidR="00D670F8" w:rsidRPr="00CD72ED" w:rsidRDefault="00D670F8" w:rsidP="00EF7D80">
            <w:pPr>
              <w:rPr>
                <w:rFonts w:ascii="Arial" w:hAnsi="Arial" w:cs="Arial"/>
                <w:sz w:val="18"/>
                <w:lang w:val="en-GB"/>
              </w:rPr>
            </w:pPr>
          </w:p>
        </w:tc>
      </w:tr>
      <w:tr w:rsidR="00D670F8" w:rsidRPr="00CD72ED" w14:paraId="063F2472" w14:textId="77777777" w:rsidTr="0075655C">
        <w:trPr>
          <w:trHeight w:val="20"/>
        </w:trPr>
        <w:tc>
          <w:tcPr>
            <w:tcW w:w="1440" w:type="dxa"/>
            <w:tcBorders>
              <w:top w:val="nil"/>
              <w:left w:val="nil"/>
              <w:bottom w:val="nil"/>
              <w:right w:val="nil"/>
            </w:tcBorders>
            <w:shd w:val="clear" w:color="auto" w:fill="auto"/>
            <w:noWrap/>
            <w:vAlign w:val="bottom"/>
            <w:hideMark/>
          </w:tcPr>
          <w:p w14:paraId="50C91A14" w14:textId="39C4A67D" w:rsidR="00D670F8" w:rsidRPr="00CD72ED" w:rsidRDefault="00D670F8" w:rsidP="00EF7D80">
            <w:pPr>
              <w:rPr>
                <w:rFonts w:ascii="Arial" w:hAnsi="Arial" w:cs="Arial"/>
                <w:sz w:val="18"/>
                <w:lang w:val="en-GB"/>
              </w:rPr>
            </w:pPr>
            <w:r w:rsidRPr="00CD72ED">
              <w:rPr>
                <w:rFonts w:ascii="Arial" w:hAnsi="Arial" w:cs="Arial"/>
                <w:sz w:val="18"/>
                <w:lang w:val="en-GB"/>
              </w:rPr>
              <w:t>Risk-free rate Rf*</w:t>
            </w:r>
          </w:p>
        </w:tc>
        <w:tc>
          <w:tcPr>
            <w:tcW w:w="810" w:type="dxa"/>
            <w:tcBorders>
              <w:top w:val="nil"/>
              <w:left w:val="nil"/>
              <w:bottom w:val="nil"/>
              <w:right w:val="nil"/>
            </w:tcBorders>
            <w:shd w:val="clear" w:color="auto" w:fill="auto"/>
            <w:noWrap/>
            <w:vAlign w:val="bottom"/>
            <w:hideMark/>
          </w:tcPr>
          <w:p w14:paraId="4DFA4437"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0.066</w:t>
            </w:r>
          </w:p>
        </w:tc>
        <w:tc>
          <w:tcPr>
            <w:tcW w:w="990" w:type="dxa"/>
            <w:tcBorders>
              <w:top w:val="nil"/>
              <w:left w:val="nil"/>
              <w:bottom w:val="nil"/>
              <w:right w:val="nil"/>
            </w:tcBorders>
            <w:shd w:val="clear" w:color="auto" w:fill="auto"/>
            <w:noWrap/>
            <w:vAlign w:val="bottom"/>
            <w:hideMark/>
          </w:tcPr>
          <w:p w14:paraId="1517BF62" w14:textId="77777777" w:rsidR="00D670F8" w:rsidRPr="00CD72ED" w:rsidRDefault="00D670F8" w:rsidP="00EF7D80">
            <w:pPr>
              <w:jc w:val="right"/>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4B15DE6E"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2102F4E9"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097A450C"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32B78BE4"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467E7BF3"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7D65F61C"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4B9F9266"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43C02134" w14:textId="77777777" w:rsidR="00D670F8" w:rsidRPr="00CD72ED" w:rsidRDefault="00D670F8" w:rsidP="00EF7D80">
            <w:pPr>
              <w:rPr>
                <w:rFonts w:ascii="Arial" w:hAnsi="Arial" w:cs="Arial"/>
                <w:sz w:val="18"/>
                <w:lang w:val="en-GB"/>
              </w:rPr>
            </w:pPr>
          </w:p>
        </w:tc>
        <w:tc>
          <w:tcPr>
            <w:tcW w:w="900" w:type="dxa"/>
            <w:tcBorders>
              <w:top w:val="nil"/>
              <w:left w:val="nil"/>
              <w:bottom w:val="nil"/>
              <w:right w:val="nil"/>
            </w:tcBorders>
            <w:shd w:val="clear" w:color="auto" w:fill="auto"/>
            <w:noWrap/>
            <w:vAlign w:val="bottom"/>
            <w:hideMark/>
          </w:tcPr>
          <w:p w14:paraId="3CC6B30A" w14:textId="77777777" w:rsidR="00D670F8" w:rsidRPr="00CD72ED" w:rsidRDefault="00D670F8" w:rsidP="00EF7D80">
            <w:pPr>
              <w:rPr>
                <w:rFonts w:ascii="Arial" w:hAnsi="Arial" w:cs="Arial"/>
                <w:sz w:val="18"/>
                <w:lang w:val="en-GB"/>
              </w:rPr>
            </w:pPr>
          </w:p>
        </w:tc>
        <w:tc>
          <w:tcPr>
            <w:tcW w:w="810" w:type="dxa"/>
            <w:tcBorders>
              <w:top w:val="nil"/>
              <w:left w:val="nil"/>
              <w:bottom w:val="nil"/>
              <w:right w:val="nil"/>
            </w:tcBorders>
            <w:shd w:val="clear" w:color="auto" w:fill="auto"/>
            <w:noWrap/>
            <w:vAlign w:val="bottom"/>
            <w:hideMark/>
          </w:tcPr>
          <w:p w14:paraId="2DCF56BC" w14:textId="77777777" w:rsidR="00D670F8" w:rsidRPr="00CD72ED" w:rsidRDefault="00D670F8" w:rsidP="00EF7D80">
            <w:pPr>
              <w:rPr>
                <w:rFonts w:ascii="Arial" w:hAnsi="Arial" w:cs="Arial"/>
                <w:sz w:val="18"/>
                <w:lang w:val="en-GB"/>
              </w:rPr>
            </w:pPr>
          </w:p>
        </w:tc>
      </w:tr>
      <w:tr w:rsidR="00D670F8" w:rsidRPr="00CD72ED" w14:paraId="16C5E56A" w14:textId="77777777" w:rsidTr="0075655C">
        <w:trPr>
          <w:trHeight w:val="20"/>
        </w:trPr>
        <w:tc>
          <w:tcPr>
            <w:tcW w:w="1440" w:type="dxa"/>
            <w:tcBorders>
              <w:top w:val="nil"/>
              <w:left w:val="nil"/>
              <w:bottom w:val="single" w:sz="4" w:space="0" w:color="auto"/>
              <w:right w:val="nil"/>
            </w:tcBorders>
            <w:shd w:val="clear" w:color="auto" w:fill="auto"/>
            <w:noWrap/>
            <w:vAlign w:val="bottom"/>
            <w:hideMark/>
          </w:tcPr>
          <w:p w14:paraId="3F65DB18" w14:textId="77777777" w:rsidR="00D670F8" w:rsidRPr="00CD72ED" w:rsidRDefault="00D670F8" w:rsidP="00EF7D80">
            <w:pPr>
              <w:rPr>
                <w:rFonts w:ascii="Arial" w:hAnsi="Arial" w:cs="Arial"/>
                <w:sz w:val="18"/>
                <w:lang w:val="en-GB"/>
              </w:rPr>
            </w:pPr>
            <w:r w:rsidRPr="00CD72ED">
              <w:rPr>
                <w:rFonts w:ascii="Arial" w:hAnsi="Arial" w:cs="Arial"/>
                <w:sz w:val="18"/>
                <w:lang w:val="en-GB"/>
              </w:rPr>
              <w:t>Beta**</w:t>
            </w:r>
          </w:p>
        </w:tc>
        <w:tc>
          <w:tcPr>
            <w:tcW w:w="810" w:type="dxa"/>
            <w:tcBorders>
              <w:top w:val="nil"/>
              <w:left w:val="nil"/>
              <w:bottom w:val="single" w:sz="4" w:space="0" w:color="auto"/>
              <w:right w:val="nil"/>
            </w:tcBorders>
            <w:shd w:val="clear" w:color="auto" w:fill="auto"/>
            <w:noWrap/>
            <w:vAlign w:val="bottom"/>
            <w:hideMark/>
          </w:tcPr>
          <w:p w14:paraId="4192EB9B" w14:textId="77777777" w:rsidR="00D670F8" w:rsidRPr="00CD72ED" w:rsidRDefault="00D670F8" w:rsidP="00EF7D80">
            <w:pPr>
              <w:jc w:val="right"/>
              <w:rPr>
                <w:rFonts w:ascii="Arial" w:hAnsi="Arial" w:cs="Arial"/>
                <w:sz w:val="18"/>
                <w:lang w:val="en-GB"/>
              </w:rPr>
            </w:pPr>
            <w:r w:rsidRPr="00CD72ED">
              <w:rPr>
                <w:rFonts w:ascii="Arial" w:hAnsi="Arial" w:cs="Arial"/>
                <w:sz w:val="18"/>
                <w:lang w:val="en-GB"/>
              </w:rPr>
              <w:t>1.010</w:t>
            </w:r>
          </w:p>
        </w:tc>
        <w:tc>
          <w:tcPr>
            <w:tcW w:w="990" w:type="dxa"/>
            <w:tcBorders>
              <w:top w:val="nil"/>
              <w:left w:val="nil"/>
              <w:bottom w:val="single" w:sz="4" w:space="0" w:color="auto"/>
              <w:right w:val="nil"/>
            </w:tcBorders>
            <w:shd w:val="clear" w:color="auto" w:fill="auto"/>
            <w:noWrap/>
            <w:vAlign w:val="bottom"/>
            <w:hideMark/>
          </w:tcPr>
          <w:p w14:paraId="3C656284"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18812731"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2DC92FFC"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900" w:type="dxa"/>
            <w:tcBorders>
              <w:top w:val="nil"/>
              <w:left w:val="nil"/>
              <w:bottom w:val="single" w:sz="4" w:space="0" w:color="auto"/>
              <w:right w:val="nil"/>
            </w:tcBorders>
            <w:shd w:val="clear" w:color="auto" w:fill="auto"/>
            <w:noWrap/>
            <w:vAlign w:val="bottom"/>
            <w:hideMark/>
          </w:tcPr>
          <w:p w14:paraId="1A429E55"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08C0D6CF"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68FD71F4"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5E0984AA"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2E336498"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04A6F835"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900" w:type="dxa"/>
            <w:tcBorders>
              <w:top w:val="nil"/>
              <w:left w:val="nil"/>
              <w:bottom w:val="single" w:sz="4" w:space="0" w:color="auto"/>
              <w:right w:val="nil"/>
            </w:tcBorders>
            <w:shd w:val="clear" w:color="auto" w:fill="auto"/>
            <w:noWrap/>
            <w:vAlign w:val="bottom"/>
            <w:hideMark/>
          </w:tcPr>
          <w:p w14:paraId="148CCCB1"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c>
          <w:tcPr>
            <w:tcW w:w="810" w:type="dxa"/>
            <w:tcBorders>
              <w:top w:val="nil"/>
              <w:left w:val="nil"/>
              <w:bottom w:val="single" w:sz="4" w:space="0" w:color="auto"/>
              <w:right w:val="nil"/>
            </w:tcBorders>
            <w:shd w:val="clear" w:color="auto" w:fill="auto"/>
            <w:noWrap/>
            <w:vAlign w:val="bottom"/>
            <w:hideMark/>
          </w:tcPr>
          <w:p w14:paraId="7895680E" w14:textId="77777777" w:rsidR="00D670F8" w:rsidRPr="00CD72ED" w:rsidRDefault="00D670F8" w:rsidP="00EF7D80">
            <w:pPr>
              <w:rPr>
                <w:rFonts w:ascii="Arial" w:hAnsi="Arial" w:cs="Arial"/>
                <w:sz w:val="18"/>
                <w:lang w:val="en-GB"/>
              </w:rPr>
            </w:pPr>
            <w:r w:rsidRPr="00CD72ED">
              <w:rPr>
                <w:rFonts w:ascii="Arial" w:hAnsi="Arial" w:cs="Arial"/>
                <w:sz w:val="18"/>
                <w:lang w:val="en-GB"/>
              </w:rPr>
              <w:t> </w:t>
            </w:r>
          </w:p>
        </w:tc>
      </w:tr>
    </w:tbl>
    <w:p w14:paraId="40FEBE98" w14:textId="654C3A51" w:rsidR="00D670F8" w:rsidRPr="00CD72ED" w:rsidRDefault="00D670F8" w:rsidP="00D670F8">
      <w:pPr>
        <w:pStyle w:val="ExhibitHeading"/>
        <w:rPr>
          <w:lang w:val="en-GB"/>
        </w:rPr>
      </w:pPr>
      <w:r w:rsidRPr="00CD72ED">
        <w:rPr>
          <w:lang w:val="en-GB"/>
        </w:rPr>
        <w:t xml:space="preserve">Exhibit 6: Additional information pertaining to </w:t>
      </w:r>
      <w:r w:rsidR="005A709D">
        <w:rPr>
          <w:lang w:val="en-GB"/>
        </w:rPr>
        <w:t xml:space="preserve">the </w:t>
      </w:r>
      <w:r w:rsidRPr="00CD72ED">
        <w:rPr>
          <w:lang w:val="en-GB"/>
        </w:rPr>
        <w:t>TEPF and its benchmark</w:t>
      </w:r>
    </w:p>
    <w:p w14:paraId="07E291B5" w14:textId="77777777" w:rsidR="00D670F8" w:rsidRPr="00CD72ED" w:rsidRDefault="00D670F8" w:rsidP="00D670F8">
      <w:pPr>
        <w:pStyle w:val="ExhibitHeading"/>
        <w:rPr>
          <w:lang w:val="en-GB"/>
        </w:rPr>
      </w:pPr>
    </w:p>
    <w:p w14:paraId="19FC80FB" w14:textId="77777777" w:rsidR="00D670F8" w:rsidRPr="00CD72ED" w:rsidRDefault="00D670F8" w:rsidP="00D670F8">
      <w:pPr>
        <w:pStyle w:val="ExhibitHeading"/>
        <w:rPr>
          <w:lang w:val="en-GB"/>
        </w:rPr>
      </w:pPr>
    </w:p>
    <w:p w14:paraId="06ECE7D1" w14:textId="77777777" w:rsidR="00D670F8" w:rsidRPr="00CD72ED" w:rsidRDefault="00D670F8" w:rsidP="00D670F8">
      <w:pPr>
        <w:pStyle w:val="ExhibitHeading"/>
        <w:rPr>
          <w:lang w:val="en-GB"/>
        </w:rPr>
      </w:pPr>
    </w:p>
    <w:p w14:paraId="4985ED1B" w14:textId="77777777" w:rsidR="00D670F8" w:rsidRPr="00CD72ED" w:rsidRDefault="00D670F8" w:rsidP="00D670F8">
      <w:pPr>
        <w:pStyle w:val="ExhibitHeading"/>
        <w:rPr>
          <w:lang w:val="en-GB"/>
        </w:rPr>
      </w:pPr>
    </w:p>
    <w:p w14:paraId="31E5F6C8" w14:textId="77777777" w:rsidR="00D670F8" w:rsidRPr="00CD72ED" w:rsidRDefault="00D670F8" w:rsidP="00D670F8">
      <w:pPr>
        <w:pStyle w:val="ExhibitHeading"/>
        <w:rPr>
          <w:lang w:val="en-GB"/>
        </w:rPr>
      </w:pPr>
    </w:p>
    <w:p w14:paraId="5E39258E" w14:textId="77777777" w:rsidR="00D670F8" w:rsidRPr="00CD72ED" w:rsidRDefault="00D670F8" w:rsidP="00D670F8">
      <w:pPr>
        <w:pStyle w:val="ExhibitHeading"/>
        <w:rPr>
          <w:lang w:val="en-GB"/>
        </w:rPr>
      </w:pPr>
    </w:p>
    <w:p w14:paraId="51629CB0" w14:textId="77777777" w:rsidR="00D670F8" w:rsidRPr="00CD72ED" w:rsidRDefault="00D670F8" w:rsidP="00D670F8">
      <w:pPr>
        <w:pStyle w:val="ExhibitHeading"/>
        <w:rPr>
          <w:lang w:val="en-GB"/>
        </w:rPr>
      </w:pPr>
    </w:p>
    <w:p w14:paraId="4F21FF8D" w14:textId="77777777" w:rsidR="00D670F8" w:rsidRPr="00CD72ED" w:rsidRDefault="00D670F8" w:rsidP="00D670F8">
      <w:pPr>
        <w:pStyle w:val="ExhibitHeading"/>
        <w:rPr>
          <w:lang w:val="en-GB"/>
        </w:rPr>
      </w:pPr>
    </w:p>
    <w:p w14:paraId="6655A87A" w14:textId="77777777" w:rsidR="00D670F8" w:rsidRPr="00CD72ED" w:rsidRDefault="00D670F8" w:rsidP="00D670F8">
      <w:pPr>
        <w:pStyle w:val="ExhibitHeading"/>
        <w:jc w:val="left"/>
        <w:rPr>
          <w:lang w:val="en-GB"/>
        </w:rPr>
      </w:pPr>
    </w:p>
    <w:p w14:paraId="7F2D2B81" w14:textId="77777777" w:rsidR="00D670F8" w:rsidRPr="00CD72ED" w:rsidRDefault="00D670F8" w:rsidP="00D670F8">
      <w:pPr>
        <w:pStyle w:val="Footnote"/>
        <w:rPr>
          <w:lang w:val="en-GB"/>
        </w:rPr>
      </w:pPr>
    </w:p>
    <w:p w14:paraId="7DB58908" w14:textId="77777777" w:rsidR="005A709D" w:rsidRPr="0075655C" w:rsidRDefault="005A709D" w:rsidP="005A709D">
      <w:pPr>
        <w:pStyle w:val="Footnote"/>
        <w:rPr>
          <w:sz w:val="20"/>
          <w:lang w:val="en-GB"/>
        </w:rPr>
      </w:pPr>
    </w:p>
    <w:p w14:paraId="02EAF63E" w14:textId="7CB7CE56" w:rsidR="00D670F8" w:rsidRPr="00CD72ED" w:rsidRDefault="005A709D" w:rsidP="00D670F8">
      <w:pPr>
        <w:pStyle w:val="Footnote"/>
        <w:rPr>
          <w:lang w:val="en-GB"/>
        </w:rPr>
      </w:pPr>
      <w:r>
        <w:rPr>
          <w:lang w:val="en-GB"/>
        </w:rPr>
        <w:t xml:space="preserve">Note: TEPF = </w:t>
      </w:r>
      <w:r w:rsidRPr="00163B94">
        <w:rPr>
          <w:lang w:val="en-GB"/>
        </w:rPr>
        <w:t>Ta</w:t>
      </w:r>
      <w:r w:rsidR="00EF42AD">
        <w:rPr>
          <w:lang w:val="en-GB"/>
        </w:rPr>
        <w:t>ta Equity P/</w:t>
      </w:r>
      <w:r w:rsidRPr="00163B94">
        <w:rPr>
          <w:lang w:val="en-GB"/>
        </w:rPr>
        <w:t>E Fund</w:t>
      </w:r>
      <w:r w:rsidR="00CB17A7">
        <w:rPr>
          <w:lang w:val="en-GB"/>
        </w:rPr>
        <w:t xml:space="preserve">; </w:t>
      </w:r>
      <w:r w:rsidR="00CB17A7" w:rsidRPr="00CD72ED">
        <w:rPr>
          <w:sz w:val="18"/>
          <w:lang w:val="en-GB"/>
        </w:rPr>
        <w:t xml:space="preserve">BSE SENSEX </w:t>
      </w:r>
      <w:r w:rsidR="00CB17A7">
        <w:rPr>
          <w:sz w:val="18"/>
          <w:lang w:val="en-GB"/>
        </w:rPr>
        <w:t xml:space="preserve">= </w:t>
      </w:r>
      <w:r w:rsidR="00CB17A7" w:rsidRPr="009A44BD">
        <w:t>Bombay Stock Exchange Sensitive Index</w:t>
      </w:r>
      <w:r w:rsidR="00CB17A7">
        <w:t xml:space="preserve">; TRI = </w:t>
      </w:r>
      <w:r w:rsidR="00EF42AD">
        <w:t>t</w:t>
      </w:r>
      <w:r w:rsidR="007E7D7D">
        <w:t>otal returns index</w:t>
      </w:r>
    </w:p>
    <w:p w14:paraId="4CB04C2C" w14:textId="77777777" w:rsidR="0075655C" w:rsidRPr="00CD72ED" w:rsidRDefault="0075655C" w:rsidP="0075655C">
      <w:pPr>
        <w:pStyle w:val="Footnote"/>
        <w:rPr>
          <w:lang w:val="en-GB"/>
        </w:rPr>
      </w:pPr>
      <w:r>
        <w:rPr>
          <w:lang w:val="en-GB"/>
        </w:rPr>
        <w:t>* R</w:t>
      </w:r>
      <w:r w:rsidRPr="00CD72ED">
        <w:rPr>
          <w:lang w:val="en-GB"/>
        </w:rPr>
        <w:t xml:space="preserve">isk-free rate estimated by annualizing the monthly returns on a portfolio of all available </w:t>
      </w:r>
      <w:r>
        <w:rPr>
          <w:lang w:val="en-GB"/>
        </w:rPr>
        <w:t>liquid</w:t>
      </w:r>
      <w:r w:rsidRPr="00CD72ED">
        <w:rPr>
          <w:lang w:val="en-GB"/>
        </w:rPr>
        <w:t xml:space="preserve"> funds during </w:t>
      </w:r>
      <w:r>
        <w:rPr>
          <w:lang w:val="en-GB"/>
        </w:rPr>
        <w:t xml:space="preserve">October </w:t>
      </w:r>
      <w:r w:rsidRPr="00CD72ED">
        <w:rPr>
          <w:lang w:val="en-GB"/>
        </w:rPr>
        <w:t xml:space="preserve">2016 and September 2017. Importantly, </w:t>
      </w:r>
      <w:r>
        <w:rPr>
          <w:lang w:val="en-GB"/>
        </w:rPr>
        <w:t>because</w:t>
      </w:r>
      <w:r w:rsidRPr="00CD72ED">
        <w:rPr>
          <w:lang w:val="en-GB"/>
        </w:rPr>
        <w:t xml:space="preserve"> </w:t>
      </w:r>
      <w:r>
        <w:rPr>
          <w:lang w:val="en-GB"/>
        </w:rPr>
        <w:t>liquid</w:t>
      </w:r>
      <w:r w:rsidRPr="00CD72ED">
        <w:rPr>
          <w:lang w:val="en-GB"/>
        </w:rPr>
        <w:t xml:space="preserve"> funds invest in treasury securities with a maximum maturity of 91 days, the annualized return so obtained is a good proxy for the current risk-free rate. </w:t>
      </w:r>
    </w:p>
    <w:p w14:paraId="22671099" w14:textId="77777777" w:rsidR="0075655C" w:rsidRDefault="0075655C" w:rsidP="0075655C">
      <w:pPr>
        <w:pStyle w:val="Footnote"/>
        <w:rPr>
          <w:lang w:val="en-GB"/>
        </w:rPr>
      </w:pPr>
      <w:r w:rsidRPr="00CD72ED">
        <w:rPr>
          <w:lang w:val="en-GB"/>
        </w:rPr>
        <w:t>**</w:t>
      </w:r>
      <w:r>
        <w:rPr>
          <w:lang w:val="en-GB"/>
        </w:rPr>
        <w:t xml:space="preserve"> E</w:t>
      </w:r>
      <w:r w:rsidRPr="00CD72ED">
        <w:rPr>
          <w:lang w:val="en-GB"/>
        </w:rPr>
        <w:t>stimated as the slope</w:t>
      </w:r>
      <w:r>
        <w:rPr>
          <w:lang w:val="en-GB"/>
        </w:rPr>
        <w:t>.</w:t>
      </w:r>
    </w:p>
    <w:p w14:paraId="491974CE" w14:textId="73B03A43" w:rsidR="00D670F8" w:rsidRPr="00CD72ED" w:rsidRDefault="00D670F8">
      <w:pPr>
        <w:pStyle w:val="Footnote"/>
        <w:rPr>
          <w:lang w:val="en-GB"/>
        </w:rPr>
      </w:pPr>
      <w:r w:rsidRPr="00CD72ED">
        <w:rPr>
          <w:lang w:val="en-GB"/>
        </w:rPr>
        <w:t xml:space="preserve">Source: </w:t>
      </w:r>
      <w:r w:rsidR="005A709D">
        <w:rPr>
          <w:lang w:val="en-GB"/>
        </w:rPr>
        <w:t xml:space="preserve">Compiled by the author </w:t>
      </w:r>
      <w:r w:rsidR="005A709D" w:rsidRPr="00CD72ED">
        <w:rPr>
          <w:lang w:val="en-GB"/>
        </w:rPr>
        <w:t xml:space="preserve">using data from </w:t>
      </w:r>
      <w:r w:rsidR="005A709D" w:rsidRPr="00F061B4">
        <w:rPr>
          <w:i/>
          <w:lang w:val="en-GB"/>
        </w:rPr>
        <w:t>ACE MF</w:t>
      </w:r>
      <w:r w:rsidR="005A709D">
        <w:rPr>
          <w:lang w:val="en-GB"/>
        </w:rPr>
        <w:t xml:space="preserve"> (Accord Fintech, 2018).</w:t>
      </w:r>
    </w:p>
    <w:p w14:paraId="34E83F3E" w14:textId="77777777" w:rsidR="00D670F8" w:rsidRPr="00CD72ED" w:rsidRDefault="00D670F8" w:rsidP="00D670F8">
      <w:pPr>
        <w:pStyle w:val="BodyTextMain"/>
        <w:rPr>
          <w:lang w:val="en-GB"/>
        </w:rPr>
      </w:pPr>
    </w:p>
    <w:p w14:paraId="4CCEEAE4" w14:textId="77777777" w:rsidR="00D670F8" w:rsidRPr="00CD72ED" w:rsidRDefault="00D670F8" w:rsidP="00D670F8">
      <w:pPr>
        <w:rPr>
          <w:sz w:val="22"/>
          <w:szCs w:val="22"/>
          <w:lang w:val="en-GB"/>
        </w:rPr>
      </w:pPr>
    </w:p>
    <w:p w14:paraId="51B3FC81" w14:textId="5820EFA5" w:rsidR="00763FA1" w:rsidRPr="00CD72ED" w:rsidRDefault="00763FA1" w:rsidP="00684280">
      <w:pPr>
        <w:rPr>
          <w:sz w:val="22"/>
          <w:szCs w:val="22"/>
          <w:lang w:val="en-GB"/>
        </w:rPr>
      </w:pPr>
      <w:bookmarkStart w:id="2" w:name="_GoBack"/>
      <w:bookmarkEnd w:id="2"/>
    </w:p>
    <w:sectPr w:rsidR="00763FA1" w:rsidRPr="00CD72ED" w:rsidSect="00EF7D80">
      <w:pgSz w:w="15840" w:h="12240" w:orient="landscape"/>
      <w:pgMar w:top="1440" w:right="1440" w:bottom="1440" w:left="126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924AB" w16cid:durableId="1F8BF192"/>
  <w16cid:commentId w16cid:paraId="7F82CADE" w16cid:durableId="1F86A320"/>
  <w16cid:commentId w16cid:paraId="3B9F296E" w16cid:durableId="1F86B9B5"/>
  <w16cid:commentId w16cid:paraId="0043F8F5" w16cid:durableId="1F86BB3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E8DA5" w14:textId="77777777" w:rsidR="00D00A94" w:rsidRDefault="00D00A94" w:rsidP="00D75295">
      <w:r>
        <w:separator/>
      </w:r>
    </w:p>
  </w:endnote>
  <w:endnote w:type="continuationSeparator" w:id="0">
    <w:p w14:paraId="0AAD5832" w14:textId="77777777" w:rsidR="00D00A94" w:rsidRDefault="00D00A9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8C1A8" w14:textId="2D4134A1" w:rsidR="00BD3EAC" w:rsidRDefault="00BD3EAC" w:rsidP="0075655C">
    <w:pPr>
      <w:pStyle w:val="Footer"/>
      <w:jc w:val="center"/>
    </w:pPr>
  </w:p>
  <w:p w14:paraId="1E8A15A3" w14:textId="77777777" w:rsidR="00BD3EAC" w:rsidRDefault="00BD3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9C657" w14:textId="77777777" w:rsidR="00D00A94" w:rsidRDefault="00D00A94" w:rsidP="00D75295">
      <w:r>
        <w:separator/>
      </w:r>
    </w:p>
  </w:footnote>
  <w:footnote w:type="continuationSeparator" w:id="0">
    <w:p w14:paraId="12DFD659" w14:textId="77777777" w:rsidR="00D00A94" w:rsidRDefault="00D00A94" w:rsidP="00D75295">
      <w:r>
        <w:continuationSeparator/>
      </w:r>
    </w:p>
  </w:footnote>
  <w:footnote w:id="1">
    <w:p w14:paraId="6C842A9E" w14:textId="1F94F1AC" w:rsidR="00BD3EAC" w:rsidRPr="00EF76EA" w:rsidRDefault="00BD3EAC">
      <w:pPr>
        <w:pStyle w:val="FootnoteText"/>
        <w:rPr>
          <w:rFonts w:ascii="Arial" w:hAnsi="Arial" w:cs="Arial"/>
          <w:sz w:val="17"/>
          <w:szCs w:val="17"/>
          <w:lang w:val="en-CA"/>
        </w:rPr>
      </w:pPr>
      <w:r w:rsidRPr="00EF76EA">
        <w:rPr>
          <w:rStyle w:val="FootnoteReference"/>
          <w:rFonts w:ascii="Arial" w:hAnsi="Arial" w:cs="Arial"/>
          <w:sz w:val="17"/>
          <w:szCs w:val="17"/>
        </w:rPr>
        <w:footnoteRef/>
      </w:r>
      <w:r w:rsidRPr="00EF76EA">
        <w:rPr>
          <w:rFonts w:ascii="Arial" w:hAnsi="Arial" w:cs="Arial"/>
          <w:sz w:val="17"/>
          <w:szCs w:val="17"/>
        </w:rPr>
        <w:t xml:space="preserve"> </w:t>
      </w:r>
      <w:r w:rsidRPr="00376142">
        <w:rPr>
          <w:rFonts w:ascii="Arial" w:hAnsi="Arial" w:cs="Arial"/>
          <w:sz w:val="17"/>
          <w:szCs w:val="17"/>
          <w:lang w:val="en-CA"/>
        </w:rPr>
        <w:t>₹ = INR =</w:t>
      </w:r>
      <w:r w:rsidRPr="00EF76EA">
        <w:rPr>
          <w:rFonts w:ascii="Arial" w:hAnsi="Arial" w:cs="Arial"/>
          <w:sz w:val="17"/>
          <w:szCs w:val="17"/>
          <w:lang w:val="en-CA"/>
        </w:rPr>
        <w:t xml:space="preserve"> Indian rupee; US$1 = ₹</w:t>
      </w:r>
      <w:r>
        <w:rPr>
          <w:rFonts w:ascii="Arial" w:hAnsi="Arial" w:cs="Arial"/>
          <w:sz w:val="17"/>
          <w:szCs w:val="17"/>
          <w:lang w:val="en-CA"/>
        </w:rPr>
        <w:t>63.85</w:t>
      </w:r>
      <w:r w:rsidRPr="00EF76EA">
        <w:rPr>
          <w:rFonts w:ascii="Arial" w:hAnsi="Arial" w:cs="Arial"/>
          <w:sz w:val="17"/>
          <w:szCs w:val="17"/>
          <w:lang w:val="en-CA"/>
        </w:rPr>
        <w:t xml:space="preserve"> on September 1, 2017.</w:t>
      </w:r>
    </w:p>
  </w:footnote>
  <w:footnote w:id="2">
    <w:p w14:paraId="721CE173" w14:textId="375D0C72" w:rsidR="00BD3EAC" w:rsidRPr="00376142" w:rsidRDefault="00BD3EAC" w:rsidP="00684280">
      <w:pPr>
        <w:pStyle w:val="Footnote"/>
        <w:rPr>
          <w:color w:val="000000" w:themeColor="text1"/>
          <w:lang w:val="en-GB"/>
        </w:rPr>
      </w:pPr>
      <w:r w:rsidRPr="00DE3BDB">
        <w:rPr>
          <w:rStyle w:val="FootnoteReference"/>
          <w:color w:val="000000" w:themeColor="text1"/>
          <w:lang w:val="en-GB"/>
        </w:rPr>
        <w:footnoteRef/>
      </w:r>
      <w:r w:rsidRPr="00DE3BDB">
        <w:rPr>
          <w:color w:val="000000" w:themeColor="text1"/>
          <w:lang w:val="en-GB"/>
        </w:rPr>
        <w:t xml:space="preserve"> </w:t>
      </w:r>
      <w:r w:rsidR="00DC7447">
        <w:rPr>
          <w:color w:val="000000" w:themeColor="text1"/>
          <w:lang w:val="en-GB"/>
        </w:rPr>
        <w:t xml:space="preserve">The </w:t>
      </w:r>
      <w:r w:rsidRPr="00DE3BDB">
        <w:rPr>
          <w:color w:val="000000" w:themeColor="text1"/>
          <w:lang w:val="en-GB"/>
        </w:rPr>
        <w:t>SENSEX is</w:t>
      </w:r>
      <w:r w:rsidRPr="00376142">
        <w:rPr>
          <w:color w:val="000000" w:themeColor="text1"/>
          <w:lang w:val="en-GB"/>
        </w:rPr>
        <w:t xml:space="preserve"> a widely known index of 30 blue-chip</w:t>
      </w:r>
      <w:r w:rsidR="00AB6AFC">
        <w:rPr>
          <w:color w:val="000000" w:themeColor="text1"/>
          <w:lang w:val="en-GB"/>
        </w:rPr>
        <w:t>,</w:t>
      </w:r>
      <w:r w:rsidRPr="00376142">
        <w:rPr>
          <w:color w:val="000000" w:themeColor="text1"/>
          <w:lang w:val="en-GB"/>
        </w:rPr>
        <w:t xml:space="preserve"> large-cap stocks trading on the </w:t>
      </w:r>
      <w:r>
        <w:rPr>
          <w:color w:val="000000" w:themeColor="text1"/>
          <w:lang w:val="en-GB"/>
        </w:rPr>
        <w:t>BSE</w:t>
      </w:r>
      <w:r w:rsidRPr="00DE3BDB">
        <w:rPr>
          <w:color w:val="000000" w:themeColor="text1"/>
          <w:lang w:val="en-GB"/>
        </w:rPr>
        <w:t>. It is</w:t>
      </w:r>
      <w:r w:rsidRPr="00376142">
        <w:rPr>
          <w:color w:val="000000" w:themeColor="text1"/>
          <w:lang w:val="en-GB"/>
        </w:rPr>
        <w:t xml:space="preserve"> a value-weighted portfolio such that the weight of each constituent stock </w:t>
      </w:r>
      <w:r w:rsidRPr="00DE3BDB">
        <w:rPr>
          <w:color w:val="000000" w:themeColor="text1"/>
          <w:lang w:val="en-GB"/>
        </w:rPr>
        <w:t>is</w:t>
      </w:r>
      <w:r w:rsidRPr="00376142">
        <w:rPr>
          <w:color w:val="000000" w:themeColor="text1"/>
          <w:lang w:val="en-GB"/>
        </w:rPr>
        <w:t xml:space="preserve"> proportional to its own market capitalization at any time.</w:t>
      </w:r>
    </w:p>
  </w:footnote>
  <w:footnote w:id="3">
    <w:p w14:paraId="5901E20D" w14:textId="2E8B06E1" w:rsidR="00BD3EAC" w:rsidRPr="00376142" w:rsidRDefault="00BD3EAC" w:rsidP="00684280">
      <w:pPr>
        <w:pStyle w:val="Footnote"/>
        <w:rPr>
          <w:color w:val="000000" w:themeColor="text1"/>
          <w:lang w:val="en-GB"/>
        </w:rPr>
      </w:pPr>
      <w:r w:rsidRPr="001E38D5">
        <w:rPr>
          <w:rStyle w:val="FootnoteReference"/>
          <w:color w:val="000000" w:themeColor="text1"/>
          <w:lang w:val="en-GB"/>
        </w:rPr>
        <w:footnoteRef/>
      </w:r>
      <w:r w:rsidRPr="001E38D5">
        <w:rPr>
          <w:color w:val="000000" w:themeColor="text1"/>
          <w:lang w:val="en-GB"/>
        </w:rPr>
        <w:t xml:space="preserve"> Key information on the TEPF is available in </w:t>
      </w:r>
      <w:r w:rsidR="00AB6AFC" w:rsidRPr="001E38D5">
        <w:rPr>
          <w:color w:val="000000" w:themeColor="text1"/>
          <w:lang w:val="en-GB"/>
        </w:rPr>
        <w:t xml:space="preserve">“Scheme Information Document (SID): Tata Equity P/E Fund,” Tata Mutual Fund, accessed </w:t>
      </w:r>
      <w:r w:rsidR="001E38D5" w:rsidRPr="001E38D5">
        <w:rPr>
          <w:color w:val="000000" w:themeColor="text1"/>
          <w:lang w:val="en-GB"/>
        </w:rPr>
        <w:t>December 6, 2018</w:t>
      </w:r>
      <w:r w:rsidR="00AB6AFC" w:rsidRPr="001E38D5">
        <w:rPr>
          <w:color w:val="000000" w:themeColor="text1"/>
          <w:lang w:val="en-GB"/>
        </w:rPr>
        <w:t xml:space="preserve">, </w:t>
      </w:r>
      <w:r w:rsidR="001E38D5" w:rsidRPr="001E38D5">
        <w:rPr>
          <w:lang w:val="en-GB"/>
        </w:rPr>
        <w:t>www.tatamutualfund.com/docs/default-source/scheme-documents/tata-equity-pe-fund1cc3e4d5d15e4e0f8d84369151b4159c.pdf?sfvrsn=36c7fba_2</w:t>
      </w:r>
      <w:r w:rsidRPr="001E38D5">
        <w:rPr>
          <w:color w:val="000000" w:themeColor="text1"/>
          <w:lang w:val="en-GB"/>
        </w:rPr>
        <w:t>.</w:t>
      </w:r>
    </w:p>
  </w:footnote>
  <w:footnote w:id="4">
    <w:p w14:paraId="3849EE81" w14:textId="55EAEAD1" w:rsidR="00BD3EAC" w:rsidRPr="00376142" w:rsidRDefault="00BD3EAC" w:rsidP="00684280">
      <w:pPr>
        <w:pStyle w:val="Footnote"/>
        <w:rPr>
          <w:lang w:val="en-GB"/>
        </w:rPr>
      </w:pPr>
      <w:r w:rsidRPr="00DE3BDB">
        <w:rPr>
          <w:rStyle w:val="FootnoteReference"/>
          <w:color w:val="000000" w:themeColor="text1"/>
          <w:lang w:val="en-GB"/>
        </w:rPr>
        <w:footnoteRef/>
      </w:r>
      <w:r w:rsidRPr="00DE3BDB">
        <w:rPr>
          <w:color w:val="000000" w:themeColor="text1"/>
          <w:lang w:val="en-GB"/>
        </w:rPr>
        <w:t xml:space="preserve"> </w:t>
      </w:r>
      <w:r>
        <w:rPr>
          <w:color w:val="000000" w:themeColor="text1"/>
          <w:lang w:val="en-GB"/>
        </w:rPr>
        <w:t>According to the</w:t>
      </w:r>
      <w:r w:rsidRPr="00DE3BDB">
        <w:rPr>
          <w:color w:val="000000" w:themeColor="text1"/>
          <w:lang w:val="en-GB"/>
        </w:rPr>
        <w:t xml:space="preserve"> </w:t>
      </w:r>
      <w:r>
        <w:rPr>
          <w:color w:val="000000" w:themeColor="text1"/>
          <w:lang w:val="en-GB"/>
        </w:rPr>
        <w:t>Securities and</w:t>
      </w:r>
      <w:r w:rsidRPr="00376142">
        <w:rPr>
          <w:color w:val="000000" w:themeColor="text1"/>
          <w:lang w:val="en-GB"/>
        </w:rPr>
        <w:t xml:space="preserve"> Exchange Board of India</w:t>
      </w:r>
      <w:r w:rsidRPr="00543E07">
        <w:rPr>
          <w:color w:val="000000" w:themeColor="text1"/>
          <w:lang w:val="en-GB"/>
        </w:rPr>
        <w:t>, large-cap stocks were the top 100 stocks in terms of their market capitalization, mid-cap stocks were the next 150 stocks, and small-cap</w:t>
      </w:r>
      <w:r>
        <w:rPr>
          <w:color w:val="000000" w:themeColor="text1"/>
          <w:lang w:val="en-GB"/>
        </w:rPr>
        <w:t xml:space="preserve"> stocks</w:t>
      </w:r>
      <w:r w:rsidRPr="00DE3BDB">
        <w:rPr>
          <w:color w:val="000000" w:themeColor="text1"/>
          <w:lang w:val="en-GB"/>
        </w:rPr>
        <w:t xml:space="preserve"> were the remaining stocks. See</w:t>
      </w:r>
      <w:r w:rsidRPr="00376142">
        <w:rPr>
          <w:color w:val="000000" w:themeColor="text1"/>
          <w:lang w:val="en-GB"/>
        </w:rPr>
        <w:t xml:space="preserve"> </w:t>
      </w:r>
      <w:r>
        <w:rPr>
          <w:color w:val="000000" w:themeColor="text1"/>
          <w:lang w:val="en-GB"/>
        </w:rPr>
        <w:t xml:space="preserve">Securities and Exchange Board of India, </w:t>
      </w:r>
      <w:r w:rsidRPr="00EF76EA">
        <w:rPr>
          <w:i/>
          <w:color w:val="000000" w:themeColor="text1"/>
        </w:rPr>
        <w:t>Categorization and Rationalization of Mutual Fund Schemes</w:t>
      </w:r>
      <w:r>
        <w:rPr>
          <w:color w:val="000000" w:themeColor="text1"/>
        </w:rPr>
        <w:t>,</w:t>
      </w:r>
      <w:r w:rsidRPr="00C31CF2">
        <w:rPr>
          <w:color w:val="000000" w:themeColor="text1"/>
        </w:rPr>
        <w:t xml:space="preserve"> </w:t>
      </w:r>
      <w:r>
        <w:rPr>
          <w:color w:val="000000" w:themeColor="text1"/>
        </w:rPr>
        <w:t xml:space="preserve">October 6, 2017, </w:t>
      </w:r>
      <w:r>
        <w:rPr>
          <w:color w:val="000000" w:themeColor="text1"/>
          <w:lang w:val="en-GB"/>
        </w:rPr>
        <w:t xml:space="preserve">accessed November 11, 2017, </w:t>
      </w:r>
      <w:r w:rsidR="005A471D" w:rsidRPr="005A471D">
        <w:rPr>
          <w:lang w:val="en-GB"/>
        </w:rPr>
        <w:t>www.amfiindia.com/Themes/Theme1/downloads/1507291273374.pdf</w:t>
      </w:r>
      <w:r w:rsidRPr="00376142">
        <w:rPr>
          <w:color w:val="000000" w:themeColor="text1"/>
          <w:lang w:val="en-GB"/>
        </w:rPr>
        <w:t>.</w:t>
      </w:r>
    </w:p>
  </w:footnote>
  <w:footnote w:id="5">
    <w:p w14:paraId="074FA648" w14:textId="41EEF869" w:rsidR="00BD3EAC" w:rsidRPr="00376142" w:rsidRDefault="00BD3EAC" w:rsidP="00684280">
      <w:pPr>
        <w:pStyle w:val="Footnote"/>
        <w:rPr>
          <w:lang w:val="en-GB"/>
        </w:rPr>
      </w:pPr>
      <w:r w:rsidRPr="00DE3BDB">
        <w:rPr>
          <w:rStyle w:val="FootnoteReference"/>
          <w:lang w:val="en-GB"/>
        </w:rPr>
        <w:footnoteRef/>
      </w:r>
      <w:r w:rsidRPr="00DE3BDB">
        <w:rPr>
          <w:lang w:val="en-GB"/>
        </w:rPr>
        <w:t xml:space="preserve"> Eugene F. Fama and Kenneth R. French, “</w:t>
      </w:r>
      <w:r w:rsidRPr="00C31CF2">
        <w:rPr>
          <w:lang w:val="en-GB"/>
        </w:rPr>
        <w:t>Common Risk Factors in the Returns on Stocks and Bonds</w:t>
      </w:r>
      <w:r w:rsidRPr="00DE3BDB">
        <w:rPr>
          <w:lang w:val="en-GB"/>
        </w:rPr>
        <w:t xml:space="preserve">,” </w:t>
      </w:r>
      <w:r w:rsidRPr="00376142">
        <w:rPr>
          <w:i/>
          <w:lang w:val="en-GB"/>
        </w:rPr>
        <w:t>Journal of Financial Economics</w:t>
      </w:r>
      <w:r w:rsidRPr="00376142">
        <w:rPr>
          <w:lang w:val="en-GB"/>
        </w:rPr>
        <w:t xml:space="preserve">, 33, </w:t>
      </w:r>
      <w:r>
        <w:rPr>
          <w:lang w:val="en-GB"/>
        </w:rPr>
        <w:t>no.</w:t>
      </w:r>
      <w:r w:rsidRPr="00376142">
        <w:rPr>
          <w:lang w:val="en-GB"/>
        </w:rPr>
        <w:t xml:space="preserve"> 1 (1993), 3</w:t>
      </w:r>
      <w:r>
        <w:rPr>
          <w:lang w:val="en-GB"/>
        </w:rPr>
        <w:t>–</w:t>
      </w:r>
      <w:r w:rsidRPr="00376142">
        <w:rPr>
          <w:lang w:val="en-GB"/>
        </w:rPr>
        <w:t>56.</w:t>
      </w:r>
    </w:p>
  </w:footnote>
  <w:footnote w:id="6">
    <w:p w14:paraId="15AABC59" w14:textId="66C72F89" w:rsidR="00BD3EAC" w:rsidRPr="00DE3BDB" w:rsidRDefault="00BD3EAC" w:rsidP="00684280">
      <w:pPr>
        <w:pStyle w:val="Footnote"/>
        <w:rPr>
          <w:lang w:val="en-GB"/>
        </w:rPr>
      </w:pPr>
      <w:r w:rsidRPr="00DE3BDB">
        <w:rPr>
          <w:rStyle w:val="FootnoteReference"/>
          <w:lang w:val="en-GB"/>
        </w:rPr>
        <w:footnoteRef/>
      </w:r>
      <w:r w:rsidRPr="00DE3BDB">
        <w:rPr>
          <w:lang w:val="en-GB"/>
        </w:rPr>
        <w:t xml:space="preserve"> </w:t>
      </w:r>
      <w:r w:rsidRPr="005935C5">
        <w:rPr>
          <w:lang w:val="en-GB"/>
        </w:rPr>
        <w:t>Russ Wermers, “Mutual Fund Performance: An Empirical Decomposition into Stock</w:t>
      </w:r>
      <w:r w:rsidRPr="005935C5">
        <w:rPr>
          <w:rFonts w:ascii="Cambria Math" w:hAnsi="Cambria Math" w:cs="Cambria Math"/>
          <w:lang w:val="en-GB"/>
        </w:rPr>
        <w:t>‐</w:t>
      </w:r>
      <w:r w:rsidRPr="005935C5">
        <w:rPr>
          <w:lang w:val="en-GB"/>
        </w:rPr>
        <w:t xml:space="preserve">Picking Talent, Style, Transactions Costs, and Expenses,” </w:t>
      </w:r>
      <w:r w:rsidRPr="005935C5">
        <w:rPr>
          <w:i/>
          <w:lang w:val="en-GB"/>
        </w:rPr>
        <w:t>The Journal of Finance</w:t>
      </w:r>
      <w:r w:rsidRPr="005935C5">
        <w:rPr>
          <w:lang w:val="en-GB"/>
        </w:rPr>
        <w:t>, 55, no. 4 (2000): 1655–1695.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F3240" w14:textId="661C36D6" w:rsidR="005A471D" w:rsidRPr="00C92CC4" w:rsidRDefault="005A471D" w:rsidP="005A471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95514">
      <w:rPr>
        <w:rFonts w:ascii="Arial" w:hAnsi="Arial"/>
        <w:b/>
        <w:noProof/>
      </w:rPr>
      <w:t>4</w:t>
    </w:r>
    <w:r>
      <w:rPr>
        <w:rFonts w:ascii="Arial" w:hAnsi="Arial"/>
        <w:b/>
      </w:rPr>
      <w:fldChar w:fldCharType="end"/>
    </w:r>
    <w:r>
      <w:rPr>
        <w:rFonts w:ascii="Arial" w:hAnsi="Arial"/>
        <w:b/>
      </w:rPr>
      <w:tab/>
    </w:r>
    <w:r w:rsidR="00F95514">
      <w:rPr>
        <w:rFonts w:ascii="Arial" w:hAnsi="Arial"/>
        <w:b/>
      </w:rPr>
      <w:t>9B18N025</w:t>
    </w:r>
  </w:p>
  <w:p w14:paraId="35B77E9E" w14:textId="77777777" w:rsidR="005A471D" w:rsidRDefault="005A471D" w:rsidP="005A471D">
    <w:pPr>
      <w:pStyle w:val="Header"/>
      <w:tabs>
        <w:tab w:val="clear" w:pos="4680"/>
      </w:tabs>
      <w:rPr>
        <w:sz w:val="18"/>
        <w:szCs w:val="18"/>
      </w:rPr>
    </w:pPr>
  </w:p>
  <w:p w14:paraId="47119730" w14:textId="77777777" w:rsidR="00BD3EAC" w:rsidRPr="005A471D" w:rsidRDefault="00BD3EAC" w:rsidP="005A47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5FD9A" w14:textId="73F922DB" w:rsidR="00BD3EAC" w:rsidRPr="00872CF4" w:rsidRDefault="00BD3EAC" w:rsidP="00872CF4">
    <w:pPr>
      <w:pBdr>
        <w:bottom w:val="single" w:sz="18" w:space="1" w:color="auto"/>
      </w:pBdr>
      <w:tabs>
        <w:tab w:val="left" w:pos="-1440"/>
        <w:tab w:val="left" w:pos="-720"/>
        <w:tab w:val="right" w:pos="9360"/>
      </w:tabs>
      <w:rPr>
        <w:sz w:val="18"/>
        <w:szCs w:val="18"/>
      </w:rPr>
    </w:pPr>
    <w:r w:rsidRPr="00872CF4">
      <w:rPr>
        <w:rFonts w:ascii="Arial" w:hAnsi="Arial"/>
        <w:b/>
      </w:rPr>
      <w:t xml:space="preserve">Page </w:t>
    </w:r>
    <w:r w:rsidRPr="00872CF4">
      <w:rPr>
        <w:rFonts w:ascii="Arial" w:hAnsi="Arial"/>
        <w:b/>
      </w:rPr>
      <w:fldChar w:fldCharType="begin"/>
    </w:r>
    <w:r w:rsidRPr="00872CF4">
      <w:rPr>
        <w:rFonts w:ascii="Arial" w:hAnsi="Arial"/>
        <w:b/>
      </w:rPr>
      <w:instrText>PAGE</w:instrText>
    </w:r>
    <w:r w:rsidRPr="00872CF4">
      <w:rPr>
        <w:rFonts w:ascii="Arial" w:hAnsi="Arial"/>
        <w:b/>
      </w:rPr>
      <w:fldChar w:fldCharType="separate"/>
    </w:r>
    <w:r w:rsidR="00F95514">
      <w:rPr>
        <w:rFonts w:ascii="Arial" w:hAnsi="Arial"/>
        <w:b/>
        <w:noProof/>
      </w:rPr>
      <w:t>6</w:t>
    </w:r>
    <w:r w:rsidRPr="00872CF4">
      <w:rPr>
        <w:rFonts w:ascii="Arial" w:hAnsi="Arial"/>
        <w:b/>
      </w:rPr>
      <w:fldChar w:fldCharType="end"/>
    </w:r>
    <w:r w:rsidRPr="00872CF4">
      <w:rPr>
        <w:rFonts w:ascii="Arial" w:hAnsi="Arial"/>
        <w:b/>
      </w:rPr>
      <w:tab/>
    </w:r>
    <w:r w:rsidR="0015734F">
      <w:rPr>
        <w:rFonts w:ascii="Arial" w:hAnsi="Arial"/>
        <w:b/>
      </w:rPr>
      <w:t>9B18N025</w:t>
    </w:r>
  </w:p>
  <w:p w14:paraId="1BAECF72" w14:textId="77777777" w:rsidR="00BD3EAC" w:rsidRPr="00872CF4" w:rsidRDefault="00BD3EAC" w:rsidP="00872CF4">
    <w:pPr>
      <w:tabs>
        <w:tab w:val="right" w:pos="9360"/>
      </w:tabs>
      <w:rPr>
        <w:sz w:val="18"/>
        <w:szCs w:val="18"/>
      </w:rPr>
    </w:pPr>
  </w:p>
  <w:p w14:paraId="1C58FB5E" w14:textId="77777777" w:rsidR="00BD3EAC" w:rsidRDefault="00BD3E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9D41" w14:textId="6D9C3F50" w:rsidR="00BD3EAC" w:rsidRPr="00872CF4" w:rsidRDefault="00BD3EAC" w:rsidP="0015734F">
    <w:pPr>
      <w:pBdr>
        <w:bottom w:val="single" w:sz="18" w:space="1" w:color="auto"/>
      </w:pBdr>
      <w:tabs>
        <w:tab w:val="left" w:pos="-1440"/>
        <w:tab w:val="left" w:pos="-720"/>
        <w:tab w:val="right" w:pos="13140"/>
      </w:tabs>
      <w:rPr>
        <w:sz w:val="18"/>
        <w:szCs w:val="18"/>
      </w:rPr>
    </w:pPr>
    <w:r w:rsidRPr="00872CF4">
      <w:rPr>
        <w:rFonts w:ascii="Arial" w:hAnsi="Arial"/>
        <w:b/>
      </w:rPr>
      <w:t xml:space="preserve">Page </w:t>
    </w:r>
    <w:r w:rsidRPr="00872CF4">
      <w:rPr>
        <w:rFonts w:ascii="Arial" w:hAnsi="Arial"/>
        <w:b/>
      </w:rPr>
      <w:fldChar w:fldCharType="begin"/>
    </w:r>
    <w:r w:rsidRPr="00872CF4">
      <w:rPr>
        <w:rFonts w:ascii="Arial" w:hAnsi="Arial"/>
        <w:b/>
      </w:rPr>
      <w:instrText>PAGE</w:instrText>
    </w:r>
    <w:r w:rsidRPr="00872CF4">
      <w:rPr>
        <w:rFonts w:ascii="Arial" w:hAnsi="Arial"/>
        <w:b/>
      </w:rPr>
      <w:fldChar w:fldCharType="separate"/>
    </w:r>
    <w:r w:rsidR="00F95514">
      <w:rPr>
        <w:rFonts w:ascii="Arial" w:hAnsi="Arial"/>
        <w:b/>
        <w:noProof/>
      </w:rPr>
      <w:t>7</w:t>
    </w:r>
    <w:r w:rsidRPr="00872CF4">
      <w:rPr>
        <w:rFonts w:ascii="Arial" w:hAnsi="Arial"/>
        <w:b/>
      </w:rPr>
      <w:fldChar w:fldCharType="end"/>
    </w:r>
    <w:r w:rsidRPr="00872CF4">
      <w:rPr>
        <w:rFonts w:ascii="Arial" w:hAnsi="Arial"/>
        <w:b/>
      </w:rPr>
      <w:tab/>
    </w:r>
    <w:r w:rsidR="0015734F">
      <w:rPr>
        <w:rFonts w:ascii="Arial" w:hAnsi="Arial"/>
        <w:b/>
      </w:rPr>
      <w:t>9B18N025</w:t>
    </w:r>
  </w:p>
  <w:p w14:paraId="407D9716" w14:textId="77777777" w:rsidR="00BD3EAC" w:rsidRPr="00872CF4" w:rsidRDefault="00BD3EAC" w:rsidP="00FD295A">
    <w:pPr>
      <w:tabs>
        <w:tab w:val="right" w:pos="9360"/>
      </w:tabs>
      <w:rPr>
        <w:sz w:val="18"/>
        <w:szCs w:val="18"/>
      </w:rPr>
    </w:pPr>
  </w:p>
  <w:p w14:paraId="2D1A03FB" w14:textId="77777777" w:rsidR="00BD3EAC" w:rsidRDefault="00BD3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EB69D6"/>
    <w:multiLevelType w:val="hybridMultilevel"/>
    <w:tmpl w:val="E4D8D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2"/>
  </w:num>
  <w:num w:numId="6">
    <w:abstractNumId w:val="5"/>
  </w:num>
  <w:num w:numId="7">
    <w:abstractNumId w:val="0"/>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1D4"/>
    <w:rsid w:val="000216CE"/>
    <w:rsid w:val="00024ED4"/>
    <w:rsid w:val="00025DC7"/>
    <w:rsid w:val="00035F09"/>
    <w:rsid w:val="0004415D"/>
    <w:rsid w:val="00044ECC"/>
    <w:rsid w:val="00051A7B"/>
    <w:rsid w:val="000531D3"/>
    <w:rsid w:val="0005646B"/>
    <w:rsid w:val="000670F1"/>
    <w:rsid w:val="00067A38"/>
    <w:rsid w:val="0008102D"/>
    <w:rsid w:val="00086B26"/>
    <w:rsid w:val="00094C0E"/>
    <w:rsid w:val="000965B3"/>
    <w:rsid w:val="000A146D"/>
    <w:rsid w:val="000A405B"/>
    <w:rsid w:val="000D2A2F"/>
    <w:rsid w:val="000D3DFC"/>
    <w:rsid w:val="000D7091"/>
    <w:rsid w:val="000D7EEE"/>
    <w:rsid w:val="000E5C2F"/>
    <w:rsid w:val="000E7786"/>
    <w:rsid w:val="000F0C22"/>
    <w:rsid w:val="000F6B09"/>
    <w:rsid w:val="000F6FDC"/>
    <w:rsid w:val="001001A1"/>
    <w:rsid w:val="00102794"/>
    <w:rsid w:val="00104567"/>
    <w:rsid w:val="00104916"/>
    <w:rsid w:val="00104AA7"/>
    <w:rsid w:val="00114003"/>
    <w:rsid w:val="00125629"/>
    <w:rsid w:val="0012732D"/>
    <w:rsid w:val="001364C7"/>
    <w:rsid w:val="00143F25"/>
    <w:rsid w:val="00147688"/>
    <w:rsid w:val="00152682"/>
    <w:rsid w:val="00154FC9"/>
    <w:rsid w:val="0015734F"/>
    <w:rsid w:val="00163B94"/>
    <w:rsid w:val="00167470"/>
    <w:rsid w:val="0019241A"/>
    <w:rsid w:val="00192A18"/>
    <w:rsid w:val="00196DD0"/>
    <w:rsid w:val="001A22D1"/>
    <w:rsid w:val="001A752D"/>
    <w:rsid w:val="001A757E"/>
    <w:rsid w:val="001B0A3E"/>
    <w:rsid w:val="001B5032"/>
    <w:rsid w:val="001C1E14"/>
    <w:rsid w:val="001C3CF6"/>
    <w:rsid w:val="001C503A"/>
    <w:rsid w:val="001C7777"/>
    <w:rsid w:val="001D344B"/>
    <w:rsid w:val="001E364F"/>
    <w:rsid w:val="001E38D5"/>
    <w:rsid w:val="001E5576"/>
    <w:rsid w:val="001E6AF2"/>
    <w:rsid w:val="001F1A4B"/>
    <w:rsid w:val="001F4222"/>
    <w:rsid w:val="00203AA1"/>
    <w:rsid w:val="00213E98"/>
    <w:rsid w:val="00230150"/>
    <w:rsid w:val="0023081A"/>
    <w:rsid w:val="00232DCA"/>
    <w:rsid w:val="00233111"/>
    <w:rsid w:val="00245A60"/>
    <w:rsid w:val="00265FA8"/>
    <w:rsid w:val="002847C3"/>
    <w:rsid w:val="002B0CC0"/>
    <w:rsid w:val="002C4E29"/>
    <w:rsid w:val="002F460C"/>
    <w:rsid w:val="002F48D6"/>
    <w:rsid w:val="00311165"/>
    <w:rsid w:val="00311DA7"/>
    <w:rsid w:val="00317391"/>
    <w:rsid w:val="00326216"/>
    <w:rsid w:val="00336580"/>
    <w:rsid w:val="003450ED"/>
    <w:rsid w:val="00354899"/>
    <w:rsid w:val="00355FD6"/>
    <w:rsid w:val="00364A5C"/>
    <w:rsid w:val="00373FB1"/>
    <w:rsid w:val="00376142"/>
    <w:rsid w:val="00381D80"/>
    <w:rsid w:val="00396C76"/>
    <w:rsid w:val="003A034D"/>
    <w:rsid w:val="003B30D8"/>
    <w:rsid w:val="003B7EF2"/>
    <w:rsid w:val="003C3FA4"/>
    <w:rsid w:val="003D0BA1"/>
    <w:rsid w:val="003F2B0C"/>
    <w:rsid w:val="004037AE"/>
    <w:rsid w:val="00404329"/>
    <w:rsid w:val="004105B2"/>
    <w:rsid w:val="0041145A"/>
    <w:rsid w:val="00412900"/>
    <w:rsid w:val="004221E4"/>
    <w:rsid w:val="004273F8"/>
    <w:rsid w:val="004355A3"/>
    <w:rsid w:val="00444A77"/>
    <w:rsid w:val="00445E06"/>
    <w:rsid w:val="00446546"/>
    <w:rsid w:val="00450138"/>
    <w:rsid w:val="00452769"/>
    <w:rsid w:val="00454FA7"/>
    <w:rsid w:val="00465348"/>
    <w:rsid w:val="004979A5"/>
    <w:rsid w:val="004A25E0"/>
    <w:rsid w:val="004A2B5E"/>
    <w:rsid w:val="004B0300"/>
    <w:rsid w:val="004B173C"/>
    <w:rsid w:val="004B1CCB"/>
    <w:rsid w:val="004B414F"/>
    <w:rsid w:val="004B45F2"/>
    <w:rsid w:val="004B632F"/>
    <w:rsid w:val="004D3FB1"/>
    <w:rsid w:val="004D6F21"/>
    <w:rsid w:val="004D73A5"/>
    <w:rsid w:val="004F3868"/>
    <w:rsid w:val="005160F1"/>
    <w:rsid w:val="00524F2F"/>
    <w:rsid w:val="00527E5C"/>
    <w:rsid w:val="00532CF5"/>
    <w:rsid w:val="00543E07"/>
    <w:rsid w:val="0054512B"/>
    <w:rsid w:val="00545C90"/>
    <w:rsid w:val="005528CB"/>
    <w:rsid w:val="00555CEE"/>
    <w:rsid w:val="00566771"/>
    <w:rsid w:val="00567625"/>
    <w:rsid w:val="00577B23"/>
    <w:rsid w:val="00581E2E"/>
    <w:rsid w:val="00584F15"/>
    <w:rsid w:val="005935C5"/>
    <w:rsid w:val="0059514B"/>
    <w:rsid w:val="005A1B0F"/>
    <w:rsid w:val="005A471D"/>
    <w:rsid w:val="005A6A6D"/>
    <w:rsid w:val="005A709D"/>
    <w:rsid w:val="005B176D"/>
    <w:rsid w:val="005B5EFE"/>
    <w:rsid w:val="005B75AE"/>
    <w:rsid w:val="005C6908"/>
    <w:rsid w:val="00607F63"/>
    <w:rsid w:val="006163F7"/>
    <w:rsid w:val="00616F08"/>
    <w:rsid w:val="00627C63"/>
    <w:rsid w:val="0063350B"/>
    <w:rsid w:val="00652606"/>
    <w:rsid w:val="00654AA1"/>
    <w:rsid w:val="00684280"/>
    <w:rsid w:val="006859FF"/>
    <w:rsid w:val="0069309B"/>
    <w:rsid w:val="00693E1E"/>
    <w:rsid w:val="006946EE"/>
    <w:rsid w:val="006A58A9"/>
    <w:rsid w:val="006A606D"/>
    <w:rsid w:val="006B63B8"/>
    <w:rsid w:val="006C0371"/>
    <w:rsid w:val="006C08B6"/>
    <w:rsid w:val="006C0B1A"/>
    <w:rsid w:val="006C5C51"/>
    <w:rsid w:val="006C6065"/>
    <w:rsid w:val="006C7F9F"/>
    <w:rsid w:val="006D4EBB"/>
    <w:rsid w:val="006E2F6D"/>
    <w:rsid w:val="006E58F6"/>
    <w:rsid w:val="006E77E1"/>
    <w:rsid w:val="006F131D"/>
    <w:rsid w:val="00711642"/>
    <w:rsid w:val="007507C6"/>
    <w:rsid w:val="00751E0B"/>
    <w:rsid w:val="00752BCD"/>
    <w:rsid w:val="0075655C"/>
    <w:rsid w:val="00763FA1"/>
    <w:rsid w:val="00766DA1"/>
    <w:rsid w:val="00780D94"/>
    <w:rsid w:val="007866A6"/>
    <w:rsid w:val="00797CA3"/>
    <w:rsid w:val="007A130D"/>
    <w:rsid w:val="007B3B63"/>
    <w:rsid w:val="007B4621"/>
    <w:rsid w:val="007B5B00"/>
    <w:rsid w:val="007D1A2D"/>
    <w:rsid w:val="007D2BFA"/>
    <w:rsid w:val="007D4102"/>
    <w:rsid w:val="007E1B2D"/>
    <w:rsid w:val="007E54A7"/>
    <w:rsid w:val="007E5C18"/>
    <w:rsid w:val="007E7D7D"/>
    <w:rsid w:val="007F43B7"/>
    <w:rsid w:val="0082072E"/>
    <w:rsid w:val="00821FFC"/>
    <w:rsid w:val="00824029"/>
    <w:rsid w:val="008271CA"/>
    <w:rsid w:val="00834387"/>
    <w:rsid w:val="008467D5"/>
    <w:rsid w:val="008549F2"/>
    <w:rsid w:val="008575BB"/>
    <w:rsid w:val="00861109"/>
    <w:rsid w:val="0086431E"/>
    <w:rsid w:val="00872CF4"/>
    <w:rsid w:val="00875A83"/>
    <w:rsid w:val="00883AE2"/>
    <w:rsid w:val="00884626"/>
    <w:rsid w:val="00887D82"/>
    <w:rsid w:val="008A4DC4"/>
    <w:rsid w:val="008B438C"/>
    <w:rsid w:val="008D06CA"/>
    <w:rsid w:val="008D3A46"/>
    <w:rsid w:val="008E4BCD"/>
    <w:rsid w:val="008E615C"/>
    <w:rsid w:val="008F2385"/>
    <w:rsid w:val="008F31AB"/>
    <w:rsid w:val="009067A4"/>
    <w:rsid w:val="009074FB"/>
    <w:rsid w:val="0091175A"/>
    <w:rsid w:val="00930885"/>
    <w:rsid w:val="00933D68"/>
    <w:rsid w:val="009340DB"/>
    <w:rsid w:val="0094618C"/>
    <w:rsid w:val="00952C8E"/>
    <w:rsid w:val="0095684B"/>
    <w:rsid w:val="00972498"/>
    <w:rsid w:val="0097481F"/>
    <w:rsid w:val="00974CC6"/>
    <w:rsid w:val="00976AD4"/>
    <w:rsid w:val="009858F6"/>
    <w:rsid w:val="00995469"/>
    <w:rsid w:val="00995547"/>
    <w:rsid w:val="009A312F"/>
    <w:rsid w:val="009A44BD"/>
    <w:rsid w:val="009A5348"/>
    <w:rsid w:val="009A7AC1"/>
    <w:rsid w:val="009B0AB7"/>
    <w:rsid w:val="009C072B"/>
    <w:rsid w:val="009C76D5"/>
    <w:rsid w:val="009D12A9"/>
    <w:rsid w:val="009D3F16"/>
    <w:rsid w:val="009E0D98"/>
    <w:rsid w:val="009E7D1E"/>
    <w:rsid w:val="009F7AA4"/>
    <w:rsid w:val="00A10AD7"/>
    <w:rsid w:val="00A559DB"/>
    <w:rsid w:val="00A569EA"/>
    <w:rsid w:val="00A57A45"/>
    <w:rsid w:val="00A60EA5"/>
    <w:rsid w:val="00A676A0"/>
    <w:rsid w:val="00A70FB1"/>
    <w:rsid w:val="00A832DD"/>
    <w:rsid w:val="00A90D88"/>
    <w:rsid w:val="00AB5E1A"/>
    <w:rsid w:val="00AB6AFC"/>
    <w:rsid w:val="00AC7289"/>
    <w:rsid w:val="00AD3ADC"/>
    <w:rsid w:val="00AF35FC"/>
    <w:rsid w:val="00AF5556"/>
    <w:rsid w:val="00B03639"/>
    <w:rsid w:val="00B04543"/>
    <w:rsid w:val="00B0520D"/>
    <w:rsid w:val="00B0652A"/>
    <w:rsid w:val="00B12414"/>
    <w:rsid w:val="00B25AB0"/>
    <w:rsid w:val="00B27F5E"/>
    <w:rsid w:val="00B40937"/>
    <w:rsid w:val="00B40BA0"/>
    <w:rsid w:val="00B423EF"/>
    <w:rsid w:val="00B453DE"/>
    <w:rsid w:val="00B62497"/>
    <w:rsid w:val="00B63221"/>
    <w:rsid w:val="00B6749A"/>
    <w:rsid w:val="00B72597"/>
    <w:rsid w:val="00B81106"/>
    <w:rsid w:val="00B84315"/>
    <w:rsid w:val="00B87DC0"/>
    <w:rsid w:val="00B901F9"/>
    <w:rsid w:val="00BA4691"/>
    <w:rsid w:val="00BA73CB"/>
    <w:rsid w:val="00BC4D98"/>
    <w:rsid w:val="00BC6806"/>
    <w:rsid w:val="00BD3EAC"/>
    <w:rsid w:val="00BD6EFB"/>
    <w:rsid w:val="00BE31CD"/>
    <w:rsid w:val="00BE3DF5"/>
    <w:rsid w:val="00BE6099"/>
    <w:rsid w:val="00BF166B"/>
    <w:rsid w:val="00BF490F"/>
    <w:rsid w:val="00BF5EAB"/>
    <w:rsid w:val="00C02410"/>
    <w:rsid w:val="00C1584D"/>
    <w:rsid w:val="00C15BE2"/>
    <w:rsid w:val="00C266A3"/>
    <w:rsid w:val="00C31CF2"/>
    <w:rsid w:val="00C3447F"/>
    <w:rsid w:val="00C44714"/>
    <w:rsid w:val="00C51407"/>
    <w:rsid w:val="00C601C4"/>
    <w:rsid w:val="00C63C5D"/>
    <w:rsid w:val="00C65BF1"/>
    <w:rsid w:val="00C67102"/>
    <w:rsid w:val="00C70285"/>
    <w:rsid w:val="00C81491"/>
    <w:rsid w:val="00C81676"/>
    <w:rsid w:val="00C8269E"/>
    <w:rsid w:val="00C85C5D"/>
    <w:rsid w:val="00C92CC4"/>
    <w:rsid w:val="00C93F8D"/>
    <w:rsid w:val="00CA0AFB"/>
    <w:rsid w:val="00CA2CE1"/>
    <w:rsid w:val="00CA3976"/>
    <w:rsid w:val="00CA50E3"/>
    <w:rsid w:val="00CA757B"/>
    <w:rsid w:val="00CB17A7"/>
    <w:rsid w:val="00CC1787"/>
    <w:rsid w:val="00CC182C"/>
    <w:rsid w:val="00CD0824"/>
    <w:rsid w:val="00CD2908"/>
    <w:rsid w:val="00CD72ED"/>
    <w:rsid w:val="00CD7C54"/>
    <w:rsid w:val="00CF488A"/>
    <w:rsid w:val="00CF5866"/>
    <w:rsid w:val="00D00A94"/>
    <w:rsid w:val="00D03A82"/>
    <w:rsid w:val="00D13667"/>
    <w:rsid w:val="00D15344"/>
    <w:rsid w:val="00D23F57"/>
    <w:rsid w:val="00D31BEC"/>
    <w:rsid w:val="00D355F4"/>
    <w:rsid w:val="00D43E7C"/>
    <w:rsid w:val="00D51440"/>
    <w:rsid w:val="00D574E8"/>
    <w:rsid w:val="00D62976"/>
    <w:rsid w:val="00D63150"/>
    <w:rsid w:val="00D636BA"/>
    <w:rsid w:val="00D64A32"/>
    <w:rsid w:val="00D64E1C"/>
    <w:rsid w:val="00D64EFC"/>
    <w:rsid w:val="00D66C42"/>
    <w:rsid w:val="00D670F8"/>
    <w:rsid w:val="00D717D7"/>
    <w:rsid w:val="00D75295"/>
    <w:rsid w:val="00D76CE9"/>
    <w:rsid w:val="00D97F12"/>
    <w:rsid w:val="00DA3398"/>
    <w:rsid w:val="00DA6095"/>
    <w:rsid w:val="00DB42E7"/>
    <w:rsid w:val="00DC09D8"/>
    <w:rsid w:val="00DC5FB3"/>
    <w:rsid w:val="00DC68BA"/>
    <w:rsid w:val="00DC7447"/>
    <w:rsid w:val="00DD3BC6"/>
    <w:rsid w:val="00DE01A6"/>
    <w:rsid w:val="00DE3BDB"/>
    <w:rsid w:val="00DE7A98"/>
    <w:rsid w:val="00DF32C2"/>
    <w:rsid w:val="00E000B7"/>
    <w:rsid w:val="00E037A4"/>
    <w:rsid w:val="00E14031"/>
    <w:rsid w:val="00E17544"/>
    <w:rsid w:val="00E308F5"/>
    <w:rsid w:val="00E471A7"/>
    <w:rsid w:val="00E635CF"/>
    <w:rsid w:val="00E8515D"/>
    <w:rsid w:val="00EA1B44"/>
    <w:rsid w:val="00EB1E3B"/>
    <w:rsid w:val="00EC3171"/>
    <w:rsid w:val="00EC6E0A"/>
    <w:rsid w:val="00ED348B"/>
    <w:rsid w:val="00ED4E18"/>
    <w:rsid w:val="00ED7922"/>
    <w:rsid w:val="00EE02C4"/>
    <w:rsid w:val="00EE1F37"/>
    <w:rsid w:val="00EE38C9"/>
    <w:rsid w:val="00EF0F15"/>
    <w:rsid w:val="00EF42AD"/>
    <w:rsid w:val="00EF76EA"/>
    <w:rsid w:val="00EF7D80"/>
    <w:rsid w:val="00F000FD"/>
    <w:rsid w:val="00F0159C"/>
    <w:rsid w:val="00F105B7"/>
    <w:rsid w:val="00F13220"/>
    <w:rsid w:val="00F17A21"/>
    <w:rsid w:val="00F2405C"/>
    <w:rsid w:val="00F333B1"/>
    <w:rsid w:val="00F37B27"/>
    <w:rsid w:val="00F46535"/>
    <w:rsid w:val="00F46556"/>
    <w:rsid w:val="00F50E91"/>
    <w:rsid w:val="00F57D29"/>
    <w:rsid w:val="00F60786"/>
    <w:rsid w:val="00F67B18"/>
    <w:rsid w:val="00F91BC7"/>
    <w:rsid w:val="00F95514"/>
    <w:rsid w:val="00F96201"/>
    <w:rsid w:val="00F97B92"/>
    <w:rsid w:val="00FA1BBC"/>
    <w:rsid w:val="00FB51AD"/>
    <w:rsid w:val="00FC6F62"/>
    <w:rsid w:val="00FD0B18"/>
    <w:rsid w:val="00FD295A"/>
    <w:rsid w:val="00FD2FAD"/>
    <w:rsid w:val="00FD618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24082-E3D5-4175-92DD-A60FBF88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2018-12-17T20:22:00Z</cp:lastPrinted>
  <dcterms:created xsi:type="dcterms:W3CDTF">2018-12-06T18:40:00Z</dcterms:created>
  <dcterms:modified xsi:type="dcterms:W3CDTF">2018-12-17T20:25:00Z</dcterms:modified>
</cp:coreProperties>
</file>