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5"/>
        <w:gridCol w:w="4605"/>
      </w:tblGrid>
      <w:tr w:rsidR="00D7610B" w14:paraId="22C6E27C" w14:textId="77777777" w:rsidTr="00D7610B">
        <w:tc>
          <w:tcPr>
            <w:tcW w:w="4788" w:type="dxa"/>
          </w:tcPr>
          <w:p w14:paraId="002538F3" w14:textId="77777777" w:rsidR="00D7610B" w:rsidRDefault="00D7610B" w:rsidP="00D7610B">
            <w:pPr>
              <w:tabs>
                <w:tab w:val="left" w:pos="-1440"/>
                <w:tab w:val="left" w:pos="-720"/>
                <w:tab w:val="left" w:pos="1"/>
              </w:tabs>
              <w:jc w:val="both"/>
              <w:rPr>
                <w:rFonts w:ascii="Arial" w:hAnsi="Arial"/>
                <w:b/>
                <w:sz w:val="24"/>
              </w:rPr>
            </w:pPr>
            <w:r w:rsidRPr="00521B55">
              <w:rPr>
                <w:rFonts w:ascii="Arial" w:hAnsi="Arial"/>
                <w:b/>
                <w:noProof/>
                <w:sz w:val="24"/>
              </w:rPr>
              <w:drawing>
                <wp:inline distT="0" distB="0" distL="0" distR="0" wp14:anchorId="5E02516D" wp14:editId="19FAB970">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2F066113" w14:textId="77777777" w:rsidR="00D7610B" w:rsidRDefault="00D7610B" w:rsidP="00D7610B">
            <w:pPr>
              <w:tabs>
                <w:tab w:val="left" w:pos="-1440"/>
                <w:tab w:val="left" w:pos="-720"/>
                <w:tab w:val="left" w:pos="1"/>
              </w:tabs>
              <w:jc w:val="both"/>
              <w:rPr>
                <w:rFonts w:ascii="Arial" w:hAnsi="Arial"/>
                <w:b/>
                <w:sz w:val="24"/>
              </w:rPr>
            </w:pPr>
            <w:r>
              <w:rPr>
                <w:rFonts w:ascii="Arial" w:hAnsi="Arial"/>
                <w:b/>
                <w:noProof/>
                <w:sz w:val="24"/>
              </w:rPr>
              <w:drawing>
                <wp:anchor distT="0" distB="0" distL="114300" distR="114300" simplePos="0" relativeHeight="251659264" behindDoc="1" locked="0" layoutInCell="1" allowOverlap="1" wp14:anchorId="42A8B44F" wp14:editId="5D1A247F">
                  <wp:simplePos x="0" y="0"/>
                  <wp:positionH relativeFrom="column">
                    <wp:posOffset>1651635</wp:posOffset>
                  </wp:positionH>
                  <wp:positionV relativeFrom="paragraph">
                    <wp:posOffset>20320</wp:posOffset>
                  </wp:positionV>
                  <wp:extent cx="1304290" cy="548640"/>
                  <wp:effectExtent l="0" t="0" r="0" b="3810"/>
                  <wp:wrapTight wrapText="bothSides">
                    <wp:wrapPolygon edited="0">
                      <wp:start x="0" y="0"/>
                      <wp:lineTo x="0" y="21000"/>
                      <wp:lineTo x="21137" y="21000"/>
                      <wp:lineTo x="21137" y="0"/>
                      <wp:lineTo x="0" y="0"/>
                    </wp:wrapPolygon>
                  </wp:wrapTight>
                  <wp:docPr id="3" name="Picture 3" descr="logo_grey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greyscale"/>
                          <pic:cNvPicPr>
                            <a:picLocks noChangeAspect="1" noChangeArrowheads="1"/>
                          </pic:cNvPicPr>
                        </pic:nvPicPr>
                        <pic:blipFill>
                          <a:blip r:embed="rId9" cstate="print">
                            <a:extLst>
                              <a:ext uri="{28A0092B-C50C-407E-A947-70E740481C1C}">
                                <a14:useLocalDpi xmlns:a14="http://schemas.microsoft.com/office/drawing/2010/main" val="0"/>
                              </a:ext>
                            </a:extLst>
                          </a:blip>
                          <a:srcRect t="13083" b="16718"/>
                          <a:stretch>
                            <a:fillRect/>
                          </a:stretch>
                        </pic:blipFill>
                        <pic:spPr bwMode="auto">
                          <a:xfrm>
                            <a:off x="0" y="0"/>
                            <a:ext cx="1304290" cy="5486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42EB62F9" w14:textId="77777777" w:rsidR="00D7610B" w:rsidRPr="00441F90" w:rsidRDefault="00D7610B" w:rsidP="00D7610B">
      <w:pPr>
        <w:pBdr>
          <w:bottom w:val="single" w:sz="18" w:space="1" w:color="auto"/>
        </w:pBdr>
        <w:tabs>
          <w:tab w:val="left" w:pos="-1440"/>
          <w:tab w:val="left" w:pos="-720"/>
          <w:tab w:val="left" w:pos="1"/>
        </w:tabs>
        <w:jc w:val="both"/>
        <w:rPr>
          <w:rFonts w:ascii="Arial" w:hAnsi="Arial"/>
          <w:b/>
          <w:sz w:val="2"/>
          <w:szCs w:val="2"/>
          <w:lang w:val="en-CA"/>
        </w:rPr>
      </w:pPr>
    </w:p>
    <w:p w14:paraId="3E5EB025" w14:textId="085B458C" w:rsidR="00D75295" w:rsidRPr="00D7610B" w:rsidRDefault="00D7610B" w:rsidP="00D7610B">
      <w:pPr>
        <w:jc w:val="right"/>
        <w:rPr>
          <w:rFonts w:ascii="Arial" w:hAnsi="Arial" w:cs="Arial"/>
          <w:b/>
          <w:color w:val="000000" w:themeColor="text1"/>
          <w:sz w:val="24"/>
          <w:szCs w:val="24"/>
          <w:lang w:val="en-GB"/>
        </w:rPr>
      </w:pPr>
      <w:r>
        <w:rPr>
          <w:rFonts w:ascii="Arial" w:hAnsi="Arial" w:cs="Arial"/>
          <w:b/>
          <w:sz w:val="24"/>
          <w:szCs w:val="24"/>
          <w:lang w:val="en-CA"/>
        </w:rPr>
        <w:t>9B18N026</w:t>
      </w:r>
    </w:p>
    <w:p w14:paraId="51984000" w14:textId="77777777" w:rsidR="00866F6D" w:rsidRDefault="00866F6D" w:rsidP="00D75295">
      <w:pPr>
        <w:jc w:val="right"/>
        <w:rPr>
          <w:rFonts w:ascii="Arial" w:hAnsi="Arial"/>
          <w:b/>
          <w:color w:val="000000" w:themeColor="text1"/>
          <w:sz w:val="28"/>
          <w:szCs w:val="28"/>
          <w:lang w:val="en-GB"/>
        </w:rPr>
      </w:pPr>
    </w:p>
    <w:p w14:paraId="305288C8" w14:textId="77777777" w:rsidR="00E06292" w:rsidRPr="006A6F1F" w:rsidRDefault="00E06292" w:rsidP="00D75295">
      <w:pPr>
        <w:jc w:val="right"/>
        <w:rPr>
          <w:rFonts w:ascii="Arial" w:hAnsi="Arial"/>
          <w:b/>
          <w:color w:val="000000" w:themeColor="text1"/>
          <w:sz w:val="28"/>
          <w:szCs w:val="28"/>
          <w:lang w:val="en-GB"/>
        </w:rPr>
      </w:pPr>
    </w:p>
    <w:p w14:paraId="58DC218E" w14:textId="2799D54E" w:rsidR="001B2957" w:rsidRPr="006A6F1F" w:rsidRDefault="00BA1856" w:rsidP="00903B34">
      <w:pPr>
        <w:pStyle w:val="CaseTitle"/>
        <w:spacing w:after="0" w:line="240" w:lineRule="auto"/>
        <w:jc w:val="center"/>
        <w:rPr>
          <w:color w:val="000000" w:themeColor="text1"/>
          <w:lang w:val="en-GB"/>
        </w:rPr>
      </w:pPr>
      <w:r w:rsidRPr="006A6F1F">
        <w:rPr>
          <w:color w:val="000000" w:themeColor="text1"/>
          <w:lang w:val="en-GB"/>
        </w:rPr>
        <w:t>kimly limited</w:t>
      </w:r>
      <w:r w:rsidR="0085053B" w:rsidRPr="006A6F1F">
        <w:rPr>
          <w:color w:val="000000" w:themeColor="text1"/>
          <w:lang w:val="en-GB"/>
        </w:rPr>
        <w:t>: initial public offering</w:t>
      </w:r>
      <w:r w:rsidR="001B2957" w:rsidRPr="006A6F1F">
        <w:rPr>
          <w:rStyle w:val="EndnoteReference"/>
          <w:color w:val="000000" w:themeColor="text1"/>
          <w:lang w:val="en-GB"/>
        </w:rPr>
        <w:endnoteReference w:id="1"/>
      </w:r>
    </w:p>
    <w:p w14:paraId="72762C6B" w14:textId="77777777" w:rsidR="001B2957" w:rsidRPr="00AC4A7C" w:rsidRDefault="001B2957" w:rsidP="00013360">
      <w:pPr>
        <w:pStyle w:val="CaseTitle"/>
        <w:spacing w:after="0" w:line="240" w:lineRule="auto"/>
        <w:rPr>
          <w:color w:val="000000" w:themeColor="text1"/>
          <w:sz w:val="20"/>
          <w:szCs w:val="20"/>
          <w:lang w:val="en-GB"/>
        </w:rPr>
      </w:pPr>
    </w:p>
    <w:p w14:paraId="3A92F9AF" w14:textId="77777777" w:rsidR="001B2957" w:rsidRPr="00AC4A7C" w:rsidRDefault="001B2957" w:rsidP="00013360">
      <w:pPr>
        <w:pStyle w:val="CaseTitle"/>
        <w:spacing w:after="0" w:line="240" w:lineRule="auto"/>
        <w:rPr>
          <w:color w:val="000000" w:themeColor="text1"/>
          <w:sz w:val="20"/>
          <w:szCs w:val="20"/>
          <w:lang w:val="en-GB"/>
        </w:rPr>
      </w:pPr>
    </w:p>
    <w:p w14:paraId="0C639049" w14:textId="3A4D7CB6" w:rsidR="001B2957" w:rsidRPr="006A6F1F" w:rsidRDefault="001B2957" w:rsidP="00104567">
      <w:pPr>
        <w:pStyle w:val="StyleCopyrightStatementAfter0ptBottomSinglesolidline1"/>
        <w:rPr>
          <w:color w:val="000000" w:themeColor="text1"/>
          <w:lang w:val="en-GB"/>
        </w:rPr>
      </w:pPr>
      <w:r w:rsidRPr="006A6F1F">
        <w:rPr>
          <w:color w:val="000000" w:themeColor="text1"/>
          <w:lang w:val="en-GB"/>
        </w:rPr>
        <w:t xml:space="preserve">Ruth S.K. Tan, </w:t>
      </w:r>
      <w:proofErr w:type="spellStart"/>
      <w:r w:rsidRPr="006A6F1F">
        <w:rPr>
          <w:color w:val="000000" w:themeColor="text1"/>
          <w:lang w:val="en-GB"/>
        </w:rPr>
        <w:t>Zsuzsa</w:t>
      </w:r>
      <w:proofErr w:type="spellEnd"/>
      <w:r w:rsidRPr="006A6F1F">
        <w:rPr>
          <w:color w:val="000000" w:themeColor="text1"/>
          <w:lang w:val="en-GB"/>
        </w:rPr>
        <w:t xml:space="preserve"> R. </w:t>
      </w:r>
      <w:proofErr w:type="spellStart"/>
      <w:r w:rsidRPr="006A6F1F">
        <w:rPr>
          <w:rFonts w:cs="Arial"/>
          <w:color w:val="000000" w:themeColor="text1"/>
          <w:lang w:val="en-GB"/>
        </w:rPr>
        <w:t>Huszár</w:t>
      </w:r>
      <w:proofErr w:type="spellEnd"/>
      <w:r w:rsidRPr="006A6F1F">
        <w:rPr>
          <w:rFonts w:cs="Arial"/>
          <w:color w:val="000000" w:themeColor="text1"/>
          <w:lang w:val="en-GB"/>
        </w:rPr>
        <w:t xml:space="preserve">, </w:t>
      </w:r>
      <w:proofErr w:type="spellStart"/>
      <w:r w:rsidRPr="006A6F1F">
        <w:rPr>
          <w:rFonts w:cs="Arial"/>
          <w:color w:val="000000" w:themeColor="text1"/>
          <w:lang w:val="en-GB"/>
        </w:rPr>
        <w:t>Weina</w:t>
      </w:r>
      <w:proofErr w:type="spellEnd"/>
      <w:r w:rsidRPr="006A6F1F">
        <w:rPr>
          <w:rFonts w:cs="Arial"/>
          <w:color w:val="000000" w:themeColor="text1"/>
          <w:lang w:val="en-GB"/>
        </w:rPr>
        <w:t xml:space="preserve"> Zhang</w:t>
      </w:r>
      <w:r w:rsidR="0099531B">
        <w:rPr>
          <w:rFonts w:cs="Arial"/>
          <w:color w:val="000000" w:themeColor="text1"/>
          <w:lang w:val="en-GB"/>
        </w:rPr>
        <w:t>,</w:t>
      </w:r>
      <w:r w:rsidRPr="006A6F1F">
        <w:rPr>
          <w:color w:val="000000" w:themeColor="text1"/>
          <w:lang w:val="en-GB"/>
        </w:rPr>
        <w:t xml:space="preserve"> and </w:t>
      </w:r>
      <w:r w:rsidR="008A3792">
        <w:rPr>
          <w:color w:val="000000" w:themeColor="text1"/>
          <w:lang w:val="en-GB"/>
        </w:rPr>
        <w:t xml:space="preserve">Ling </w:t>
      </w:r>
      <w:r w:rsidRPr="006A6F1F">
        <w:rPr>
          <w:color w:val="000000" w:themeColor="text1"/>
          <w:lang w:val="en-GB"/>
        </w:rPr>
        <w:t xml:space="preserve">Yue wrote this </w:t>
      </w:r>
      <w:r w:rsidR="0099531B">
        <w:rPr>
          <w:color w:val="000000" w:themeColor="text1"/>
          <w:lang w:val="en-GB"/>
        </w:rPr>
        <w:t>exercise</w:t>
      </w:r>
      <w:r w:rsidR="0099531B" w:rsidRPr="006A6F1F">
        <w:rPr>
          <w:color w:val="000000" w:themeColor="text1"/>
          <w:lang w:val="en-GB"/>
        </w:rPr>
        <w:t xml:space="preserve"> </w:t>
      </w:r>
      <w:r w:rsidRPr="006A6F1F">
        <w:rPr>
          <w:color w:val="000000" w:themeColor="text1"/>
          <w:lang w:val="en-GB"/>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62A2F80A" w14:textId="77777777" w:rsidR="001B2957" w:rsidRPr="006A6F1F" w:rsidRDefault="001B2957" w:rsidP="006C73F2">
      <w:pPr>
        <w:jc w:val="both"/>
        <w:rPr>
          <w:rFonts w:ascii="Arial" w:hAnsi="Arial" w:cs="Arial"/>
          <w:i/>
          <w:iCs/>
          <w:color w:val="000000" w:themeColor="text1"/>
          <w:sz w:val="16"/>
          <w:szCs w:val="16"/>
          <w:lang w:val="en-GB"/>
        </w:rPr>
      </w:pPr>
    </w:p>
    <w:p w14:paraId="46E54D1E" w14:textId="2BCD7ECA" w:rsidR="00AA57F1" w:rsidRPr="00AA57F1" w:rsidRDefault="00AA57F1" w:rsidP="00AA57F1">
      <w:pPr>
        <w:jc w:val="both"/>
        <w:rPr>
          <w:rFonts w:ascii="Arial" w:hAnsi="Arial" w:cs="Arial"/>
          <w:i/>
          <w:iCs/>
          <w:color w:val="000000" w:themeColor="text1"/>
          <w:sz w:val="16"/>
          <w:szCs w:val="16"/>
          <w:lang w:val="en-GB"/>
        </w:rPr>
      </w:pPr>
      <w:r w:rsidRPr="00AA57F1">
        <w:rPr>
          <w:rFonts w:ascii="Arial" w:hAnsi="Arial" w:cs="Arial"/>
          <w:i/>
          <w:iCs/>
          <w:color w:val="000000" w:themeColor="text1"/>
          <w:sz w:val="16"/>
          <w:szCs w:val="16"/>
          <w:lang w:val="en-GB"/>
        </w:rPr>
        <w:t>This publication may not be transmitted, photocopied, digitized</w:t>
      </w:r>
      <w:r w:rsidR="005755C2">
        <w:rPr>
          <w:rFonts w:ascii="Arial" w:hAnsi="Arial" w:cs="Arial"/>
          <w:i/>
          <w:iCs/>
          <w:color w:val="000000" w:themeColor="text1"/>
          <w:sz w:val="16"/>
          <w:szCs w:val="16"/>
          <w:lang w:val="en-GB"/>
        </w:rPr>
        <w:t>,</w:t>
      </w:r>
      <w:r w:rsidRPr="00AA57F1">
        <w:rPr>
          <w:rFonts w:ascii="Arial" w:hAnsi="Arial" w:cs="Arial"/>
          <w:i/>
          <w:iCs/>
          <w:color w:val="000000" w:themeColor="text1"/>
          <w:sz w:val="16"/>
          <w:szCs w:val="16"/>
          <w:lang w:val="en-GB"/>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65CC5F86" w14:textId="77777777" w:rsidR="00AA57F1" w:rsidRPr="00AA57F1" w:rsidRDefault="00AA57F1" w:rsidP="00AA57F1">
      <w:pPr>
        <w:jc w:val="right"/>
        <w:rPr>
          <w:rFonts w:ascii="Arial" w:hAnsi="Arial" w:cs="Arial"/>
          <w:i/>
          <w:iCs/>
          <w:color w:val="000000" w:themeColor="text1"/>
          <w:sz w:val="16"/>
          <w:szCs w:val="16"/>
          <w:lang w:val="en-GB"/>
        </w:rPr>
      </w:pPr>
    </w:p>
    <w:p w14:paraId="53412287" w14:textId="36937876" w:rsidR="001B2957" w:rsidRPr="006A6F1F" w:rsidRDefault="005074D3" w:rsidP="00AC4A7C">
      <w:pPr>
        <w:rPr>
          <w:rFonts w:ascii="Arial" w:hAnsi="Arial" w:cs="Arial"/>
          <w:i/>
          <w:iCs/>
          <w:color w:val="000000" w:themeColor="text1"/>
          <w:sz w:val="16"/>
          <w:szCs w:val="16"/>
          <w:lang w:val="en-GB"/>
        </w:rPr>
      </w:pPr>
      <w:r>
        <w:rPr>
          <w:rFonts w:ascii="Arial" w:hAnsi="Arial" w:cs="Arial"/>
          <w:i/>
          <w:iCs/>
          <w:color w:val="000000" w:themeColor="text1"/>
          <w:sz w:val="16"/>
          <w:szCs w:val="16"/>
          <w:lang w:val="en-GB"/>
        </w:rPr>
        <w:t>Copyright © 2018</w:t>
      </w:r>
      <w:r w:rsidR="00AA57F1" w:rsidRPr="00AA57F1">
        <w:rPr>
          <w:rFonts w:ascii="Arial" w:hAnsi="Arial" w:cs="Arial"/>
          <w:i/>
          <w:iCs/>
          <w:color w:val="000000" w:themeColor="text1"/>
          <w:sz w:val="16"/>
          <w:szCs w:val="16"/>
          <w:lang w:val="en-GB"/>
        </w:rPr>
        <w:t>, National University of Singapore and Ivey School of Business Foundation</w:t>
      </w:r>
      <w:r w:rsidR="00AC4A7C">
        <w:rPr>
          <w:rFonts w:ascii="Arial" w:hAnsi="Arial" w:cs="Arial"/>
          <w:i/>
          <w:iCs/>
          <w:color w:val="000000" w:themeColor="text1"/>
          <w:sz w:val="16"/>
          <w:szCs w:val="16"/>
          <w:lang w:val="en-GB"/>
        </w:rPr>
        <w:tab/>
        <w:t xml:space="preserve">               </w:t>
      </w:r>
      <w:r w:rsidR="00AE0796">
        <w:rPr>
          <w:rFonts w:ascii="Arial" w:hAnsi="Arial" w:cs="Arial"/>
          <w:i/>
          <w:iCs/>
          <w:color w:val="000000" w:themeColor="text1"/>
          <w:sz w:val="16"/>
          <w:szCs w:val="16"/>
          <w:lang w:val="en-GB"/>
        </w:rPr>
        <w:t>Version: 2018-</w:t>
      </w:r>
      <w:r w:rsidR="00976783">
        <w:rPr>
          <w:rFonts w:ascii="Arial" w:hAnsi="Arial" w:cs="Arial"/>
          <w:i/>
          <w:iCs/>
          <w:color w:val="000000" w:themeColor="text1"/>
          <w:sz w:val="16"/>
          <w:szCs w:val="16"/>
          <w:lang w:val="en-GB"/>
        </w:rPr>
        <w:t>12-</w:t>
      </w:r>
      <w:r w:rsidR="00E06292">
        <w:rPr>
          <w:rFonts w:ascii="Arial" w:hAnsi="Arial" w:cs="Arial"/>
          <w:i/>
          <w:iCs/>
          <w:color w:val="000000" w:themeColor="text1"/>
          <w:sz w:val="16"/>
          <w:szCs w:val="16"/>
          <w:lang w:val="en-GB"/>
        </w:rPr>
        <w:t>20</w:t>
      </w:r>
    </w:p>
    <w:p w14:paraId="04D688D0" w14:textId="77777777" w:rsidR="001B2957" w:rsidRPr="006A6F1F" w:rsidRDefault="001B2957" w:rsidP="00104567">
      <w:pPr>
        <w:pStyle w:val="StyleCopyrightStatementAfter0ptBottomSinglesolidline1"/>
        <w:rPr>
          <w:rFonts w:ascii="Times New Roman" w:hAnsi="Times New Roman"/>
          <w:color w:val="000000" w:themeColor="text1"/>
          <w:sz w:val="20"/>
          <w:lang w:val="en-GB"/>
        </w:rPr>
      </w:pPr>
    </w:p>
    <w:p w14:paraId="354B3907" w14:textId="77777777" w:rsidR="001B2957" w:rsidRPr="006A6F1F" w:rsidRDefault="001B2957" w:rsidP="00104567">
      <w:pPr>
        <w:pStyle w:val="StyleCopyrightStatementAfter0ptBottomSinglesolidline1"/>
        <w:rPr>
          <w:rFonts w:ascii="Times New Roman" w:hAnsi="Times New Roman"/>
          <w:color w:val="000000" w:themeColor="text1"/>
          <w:sz w:val="20"/>
          <w:lang w:val="en-GB"/>
        </w:rPr>
      </w:pPr>
    </w:p>
    <w:p w14:paraId="21D7947E" w14:textId="21F968B2" w:rsidR="001B2957" w:rsidRPr="006A6F1F" w:rsidRDefault="001B2957" w:rsidP="0085053B">
      <w:pPr>
        <w:pStyle w:val="BodyTextMain"/>
        <w:rPr>
          <w:color w:val="000000" w:themeColor="text1"/>
          <w:lang w:val="en-GB" w:eastAsia="en-SG"/>
        </w:rPr>
      </w:pPr>
      <w:r w:rsidRPr="006A6F1F">
        <w:rPr>
          <w:color w:val="000000" w:themeColor="text1"/>
          <w:lang w:val="en-GB"/>
        </w:rPr>
        <w:t xml:space="preserve">On March 8, 2017, food outlet operator </w:t>
      </w:r>
      <w:proofErr w:type="spellStart"/>
      <w:r w:rsidRPr="006A6F1F">
        <w:rPr>
          <w:color w:val="000000" w:themeColor="text1"/>
          <w:lang w:val="en-GB"/>
        </w:rPr>
        <w:t>Kimly</w:t>
      </w:r>
      <w:proofErr w:type="spellEnd"/>
      <w:r w:rsidRPr="006A6F1F">
        <w:rPr>
          <w:color w:val="000000" w:themeColor="text1"/>
          <w:lang w:val="en-GB"/>
        </w:rPr>
        <w:t xml:space="preserve"> Limited (</w:t>
      </w:r>
      <w:proofErr w:type="spellStart"/>
      <w:r w:rsidRPr="006A6F1F">
        <w:rPr>
          <w:color w:val="000000" w:themeColor="text1"/>
          <w:lang w:val="en-GB"/>
        </w:rPr>
        <w:t>Kimly</w:t>
      </w:r>
      <w:proofErr w:type="spellEnd"/>
      <w:r w:rsidRPr="006A6F1F">
        <w:rPr>
          <w:color w:val="000000" w:themeColor="text1"/>
          <w:lang w:val="en-GB"/>
        </w:rPr>
        <w:t xml:space="preserve">) announced </w:t>
      </w:r>
      <w:r w:rsidRPr="006A6F1F">
        <w:rPr>
          <w:color w:val="000000" w:themeColor="text1"/>
          <w:lang w:val="en-GB" w:eastAsia="en-SG"/>
        </w:rPr>
        <w:t>a SG$43.5 million</w:t>
      </w:r>
      <w:r w:rsidRPr="006A6F1F">
        <w:rPr>
          <w:rStyle w:val="EndnoteReference"/>
          <w:color w:val="000000" w:themeColor="text1"/>
          <w:lang w:val="en-GB" w:eastAsia="en-SG"/>
        </w:rPr>
        <w:endnoteReference w:id="2"/>
      </w:r>
      <w:r w:rsidRPr="006A6F1F">
        <w:rPr>
          <w:color w:val="000000" w:themeColor="text1"/>
          <w:lang w:val="en-GB" w:eastAsia="en-SG"/>
        </w:rPr>
        <w:t xml:space="preserve"> initial public offering (IPO) of 173.8 million new shares made up of an insignificant retail tranche of 3.8 million shares and a placement tranche of 170 million shares at SG$0.25 each.</w:t>
      </w:r>
      <w:r w:rsidRPr="006A6F1F">
        <w:rPr>
          <w:rStyle w:val="EndnoteReference"/>
          <w:color w:val="000000" w:themeColor="text1"/>
          <w:lang w:val="en-GB" w:eastAsia="en-SG"/>
        </w:rPr>
        <w:endnoteReference w:id="3"/>
      </w:r>
      <w:r w:rsidRPr="006A6F1F">
        <w:rPr>
          <w:color w:val="000000" w:themeColor="text1"/>
          <w:lang w:val="en-GB" w:eastAsia="en-SG"/>
        </w:rPr>
        <w:t xml:space="preserve"> The IPO would close on March 16, 2017, and </w:t>
      </w:r>
      <w:proofErr w:type="spellStart"/>
      <w:r w:rsidRPr="006A6F1F">
        <w:rPr>
          <w:color w:val="000000" w:themeColor="text1"/>
          <w:lang w:val="en-GB" w:eastAsia="en-SG"/>
        </w:rPr>
        <w:t>Kimly</w:t>
      </w:r>
      <w:proofErr w:type="spellEnd"/>
      <w:r w:rsidRPr="006A6F1F">
        <w:rPr>
          <w:color w:val="000000" w:themeColor="text1"/>
          <w:lang w:val="en-GB" w:eastAsia="en-SG"/>
        </w:rPr>
        <w:t xml:space="preserve"> shares would start trading on March 20, 2017. </w:t>
      </w:r>
    </w:p>
    <w:p w14:paraId="66685C2B" w14:textId="77777777" w:rsidR="001B2957" w:rsidRPr="006A6F1F" w:rsidRDefault="001B2957" w:rsidP="0085053B">
      <w:pPr>
        <w:pStyle w:val="BodyTextMain"/>
        <w:rPr>
          <w:color w:val="000000" w:themeColor="text1"/>
          <w:lang w:val="en-GB" w:eastAsia="en-SG"/>
        </w:rPr>
      </w:pPr>
    </w:p>
    <w:p w14:paraId="4CA4D8E1" w14:textId="78322BBC" w:rsidR="001B2957" w:rsidRPr="006A6F1F" w:rsidRDefault="001B2957" w:rsidP="001A0458">
      <w:pPr>
        <w:pStyle w:val="BodyTextMain"/>
        <w:rPr>
          <w:color w:val="000000" w:themeColor="text1"/>
          <w:lang w:val="en-GB" w:eastAsia="en-SG"/>
        </w:rPr>
      </w:pPr>
      <w:r w:rsidRPr="006A6F1F">
        <w:rPr>
          <w:color w:val="000000" w:themeColor="text1"/>
          <w:lang w:val="en-GB" w:eastAsia="en-SG"/>
        </w:rPr>
        <w:t xml:space="preserve">Before the IPO, </w:t>
      </w:r>
      <w:proofErr w:type="spellStart"/>
      <w:r w:rsidRPr="006A6F1F">
        <w:rPr>
          <w:color w:val="000000" w:themeColor="text1"/>
          <w:lang w:val="en-GB" w:eastAsia="en-SG"/>
        </w:rPr>
        <w:t>Kimly</w:t>
      </w:r>
      <w:proofErr w:type="spellEnd"/>
      <w:r w:rsidRPr="006A6F1F">
        <w:rPr>
          <w:color w:val="000000" w:themeColor="text1"/>
          <w:lang w:val="en-GB" w:eastAsia="en-SG"/>
        </w:rPr>
        <w:t xml:space="preserve"> had two investors, namely, </w:t>
      </w:r>
      <w:proofErr w:type="spellStart"/>
      <w:r w:rsidRPr="006A6F1F">
        <w:rPr>
          <w:color w:val="000000" w:themeColor="text1"/>
          <w:lang w:val="en-GB" w:eastAsia="en-SG"/>
        </w:rPr>
        <w:t>Heliconia</w:t>
      </w:r>
      <w:proofErr w:type="spellEnd"/>
      <w:r w:rsidRPr="006A6F1F">
        <w:rPr>
          <w:color w:val="000000" w:themeColor="text1"/>
          <w:lang w:val="en-GB" w:eastAsia="en-SG"/>
        </w:rPr>
        <w:t xml:space="preserve"> Capital Management </w:t>
      </w:r>
      <w:proofErr w:type="spellStart"/>
      <w:r w:rsidRPr="006A6F1F">
        <w:rPr>
          <w:color w:val="000000" w:themeColor="text1"/>
          <w:lang w:val="en-GB" w:eastAsia="en-SG"/>
        </w:rPr>
        <w:t>Pte.</w:t>
      </w:r>
      <w:proofErr w:type="spellEnd"/>
      <w:r w:rsidRPr="006A6F1F">
        <w:rPr>
          <w:color w:val="000000" w:themeColor="text1"/>
          <w:lang w:val="en-GB" w:eastAsia="en-SG"/>
        </w:rPr>
        <w:t xml:space="preserve"> Ltd. (</w:t>
      </w:r>
      <w:proofErr w:type="spellStart"/>
      <w:r w:rsidRPr="006A6F1F">
        <w:rPr>
          <w:color w:val="000000" w:themeColor="text1"/>
          <w:lang w:val="en-GB" w:eastAsia="en-SG"/>
        </w:rPr>
        <w:t>Heliconia</w:t>
      </w:r>
      <w:proofErr w:type="spellEnd"/>
      <w:r w:rsidRPr="006A6F1F">
        <w:rPr>
          <w:color w:val="000000" w:themeColor="text1"/>
          <w:lang w:val="en-GB" w:eastAsia="en-SG"/>
        </w:rPr>
        <w:t xml:space="preserve">) and ICH Gemini Asia Growth Fund </w:t>
      </w:r>
      <w:proofErr w:type="spellStart"/>
      <w:r w:rsidRPr="006A6F1F">
        <w:rPr>
          <w:color w:val="000000" w:themeColor="text1"/>
          <w:lang w:val="en-GB" w:eastAsia="en-SG"/>
        </w:rPr>
        <w:t>Pte.</w:t>
      </w:r>
      <w:proofErr w:type="spellEnd"/>
      <w:r w:rsidRPr="006A6F1F">
        <w:rPr>
          <w:color w:val="000000" w:themeColor="text1"/>
          <w:lang w:val="en-GB" w:eastAsia="en-SG"/>
        </w:rPr>
        <w:t xml:space="preserve"> Ltd. (ICH Gemini).</w:t>
      </w:r>
      <w:r w:rsidRPr="006A6F1F">
        <w:rPr>
          <w:rStyle w:val="EndnoteReference"/>
          <w:color w:val="000000" w:themeColor="text1"/>
          <w:lang w:val="en-GB" w:eastAsia="en-SG"/>
        </w:rPr>
        <w:endnoteReference w:id="4"/>
      </w:r>
      <w:r w:rsidRPr="006A6F1F">
        <w:rPr>
          <w:color w:val="000000" w:themeColor="text1"/>
          <w:lang w:val="en-GB" w:eastAsia="en-SG"/>
        </w:rPr>
        <w:t xml:space="preserve"> As part of the IPO agreement, </w:t>
      </w:r>
      <w:proofErr w:type="spellStart"/>
      <w:r w:rsidRPr="006A6F1F">
        <w:rPr>
          <w:color w:val="000000" w:themeColor="text1"/>
          <w:lang w:val="en-GB" w:eastAsia="en-SG"/>
        </w:rPr>
        <w:t>Heliconia</w:t>
      </w:r>
      <w:proofErr w:type="spellEnd"/>
      <w:r w:rsidRPr="006A6F1F">
        <w:rPr>
          <w:color w:val="000000" w:themeColor="text1"/>
          <w:lang w:val="en-GB" w:eastAsia="en-SG"/>
        </w:rPr>
        <w:t xml:space="preserve"> and ICH Gemini would hold the shares for at least six months from the time of listing.</w:t>
      </w:r>
      <w:r w:rsidRPr="006A6F1F">
        <w:rPr>
          <w:rStyle w:val="EndnoteReference"/>
          <w:color w:val="000000" w:themeColor="text1"/>
          <w:lang w:val="en-GB" w:eastAsia="en-SG"/>
        </w:rPr>
        <w:endnoteReference w:id="5"/>
      </w:r>
    </w:p>
    <w:p w14:paraId="6B2101DB" w14:textId="77777777" w:rsidR="001B2957" w:rsidRPr="006A6F1F" w:rsidRDefault="001B2957" w:rsidP="0085053B">
      <w:pPr>
        <w:pStyle w:val="BodyTextMain"/>
        <w:rPr>
          <w:color w:val="000000" w:themeColor="text1"/>
          <w:lang w:val="en-GB" w:eastAsia="en-SG"/>
        </w:rPr>
      </w:pPr>
    </w:p>
    <w:p w14:paraId="0CCA518D" w14:textId="12DBABFC" w:rsidR="001B2957" w:rsidRPr="006A6F1F" w:rsidRDefault="001B2957" w:rsidP="0085053B">
      <w:pPr>
        <w:pStyle w:val="BodyTextMain"/>
        <w:rPr>
          <w:color w:val="000000" w:themeColor="text1"/>
          <w:lang w:val="en-GB" w:eastAsia="en-SG"/>
        </w:rPr>
      </w:pPr>
      <w:proofErr w:type="spellStart"/>
      <w:r w:rsidRPr="006A6F1F">
        <w:rPr>
          <w:color w:val="000000" w:themeColor="text1"/>
          <w:lang w:val="en-GB" w:eastAsia="en-SG"/>
        </w:rPr>
        <w:t>Heliconia</w:t>
      </w:r>
      <w:proofErr w:type="spellEnd"/>
      <w:r w:rsidRPr="006A6F1F">
        <w:rPr>
          <w:color w:val="000000" w:themeColor="text1"/>
          <w:lang w:val="en-GB" w:eastAsia="en-SG"/>
        </w:rPr>
        <w:t xml:space="preserve">, a wholly owned subsidiary of </w:t>
      </w:r>
      <w:proofErr w:type="spellStart"/>
      <w:r w:rsidRPr="006A6F1F">
        <w:rPr>
          <w:color w:val="000000" w:themeColor="text1"/>
          <w:lang w:val="en-GB" w:eastAsia="en-SG"/>
        </w:rPr>
        <w:t>Temasek</w:t>
      </w:r>
      <w:proofErr w:type="spellEnd"/>
      <w:r w:rsidRPr="006A6F1F">
        <w:rPr>
          <w:color w:val="000000" w:themeColor="text1"/>
          <w:lang w:val="en-GB" w:eastAsia="en-SG"/>
        </w:rPr>
        <w:t xml:space="preserve"> Holdings Private Limited (an investment company owned by the government of Singapore), made a SG$3</w:t>
      </w:r>
      <w:r w:rsidR="00D70CF5">
        <w:rPr>
          <w:color w:val="000000" w:themeColor="text1"/>
          <w:lang w:val="en-GB" w:eastAsia="en-SG"/>
        </w:rPr>
        <w:t>-</w:t>
      </w:r>
      <w:r w:rsidRPr="006A6F1F">
        <w:rPr>
          <w:color w:val="000000" w:themeColor="text1"/>
          <w:lang w:val="en-GB" w:eastAsia="en-SG"/>
        </w:rPr>
        <w:t>million investment for a 1.3</w:t>
      </w:r>
      <w:r w:rsidR="00D70CF5">
        <w:rPr>
          <w:color w:val="000000" w:themeColor="text1"/>
          <w:lang w:val="en-GB" w:eastAsia="en-SG"/>
        </w:rPr>
        <w:t>-</w:t>
      </w:r>
      <w:r w:rsidRPr="006A6F1F">
        <w:rPr>
          <w:color w:val="000000" w:themeColor="text1"/>
          <w:lang w:val="en-GB" w:eastAsia="en-SG"/>
        </w:rPr>
        <w:t>per</w:t>
      </w:r>
      <w:r w:rsidR="00D70CF5">
        <w:rPr>
          <w:color w:val="000000" w:themeColor="text1"/>
          <w:lang w:val="en-GB" w:eastAsia="en-SG"/>
        </w:rPr>
        <w:t>-</w:t>
      </w:r>
      <w:r w:rsidRPr="006A6F1F">
        <w:rPr>
          <w:color w:val="000000" w:themeColor="text1"/>
          <w:lang w:val="en-GB" w:eastAsia="en-SG"/>
        </w:rPr>
        <w:t xml:space="preserve">cent stake in </w:t>
      </w:r>
      <w:proofErr w:type="spellStart"/>
      <w:r w:rsidRPr="006A6F1F">
        <w:rPr>
          <w:color w:val="000000" w:themeColor="text1"/>
          <w:lang w:val="en-GB" w:eastAsia="en-SG"/>
        </w:rPr>
        <w:t>Kimly</w:t>
      </w:r>
      <w:proofErr w:type="spellEnd"/>
      <w:r w:rsidRPr="006A6F1F">
        <w:rPr>
          <w:color w:val="000000" w:themeColor="text1"/>
          <w:lang w:val="en-GB" w:eastAsia="en-SG"/>
        </w:rPr>
        <w:t xml:space="preserve"> through Vanda 1 Investments </w:t>
      </w:r>
      <w:proofErr w:type="spellStart"/>
      <w:r w:rsidRPr="006A6F1F">
        <w:rPr>
          <w:color w:val="000000" w:themeColor="text1"/>
          <w:lang w:val="en-GB" w:eastAsia="en-SG"/>
        </w:rPr>
        <w:t>Pte.</w:t>
      </w:r>
      <w:proofErr w:type="spellEnd"/>
      <w:r w:rsidRPr="006A6F1F">
        <w:rPr>
          <w:color w:val="000000" w:themeColor="text1"/>
          <w:lang w:val="en-GB" w:eastAsia="en-SG"/>
        </w:rPr>
        <w:t xml:space="preserve"> Ltd., which was managed and controlled by </w:t>
      </w:r>
      <w:proofErr w:type="spellStart"/>
      <w:r w:rsidRPr="006A6F1F">
        <w:rPr>
          <w:color w:val="000000" w:themeColor="text1"/>
          <w:lang w:val="en-GB" w:eastAsia="en-SG"/>
        </w:rPr>
        <w:t>Heliconia</w:t>
      </w:r>
      <w:proofErr w:type="spellEnd"/>
      <w:r w:rsidRPr="006A6F1F">
        <w:rPr>
          <w:color w:val="000000" w:themeColor="text1"/>
          <w:lang w:val="en-GB" w:eastAsia="en-SG"/>
        </w:rPr>
        <w:t>. This investment was converted from a SG$3</w:t>
      </w:r>
      <w:r w:rsidR="00D70CF5">
        <w:rPr>
          <w:color w:val="000000" w:themeColor="text1"/>
          <w:lang w:val="en-GB" w:eastAsia="en-SG"/>
        </w:rPr>
        <w:t>-</w:t>
      </w:r>
      <w:r w:rsidRPr="006A6F1F">
        <w:rPr>
          <w:color w:val="000000" w:themeColor="text1"/>
          <w:lang w:val="en-GB" w:eastAsia="en-SG"/>
        </w:rPr>
        <w:t xml:space="preserve">million loan into 15 million </w:t>
      </w:r>
      <w:proofErr w:type="spellStart"/>
      <w:r w:rsidRPr="006A6F1F">
        <w:rPr>
          <w:color w:val="000000" w:themeColor="text1"/>
          <w:lang w:val="en-GB" w:eastAsia="en-SG"/>
        </w:rPr>
        <w:t>Kimly</w:t>
      </w:r>
      <w:proofErr w:type="spellEnd"/>
      <w:r w:rsidRPr="006A6F1F">
        <w:rPr>
          <w:color w:val="000000" w:themeColor="text1"/>
          <w:lang w:val="en-GB" w:eastAsia="en-SG"/>
        </w:rPr>
        <w:t xml:space="preserve"> shares at SG$0.20 each—a discount of 20 per cent from the IPO offering price of SG$0.25.</w:t>
      </w:r>
      <w:r w:rsidRPr="006A6F1F">
        <w:rPr>
          <w:rStyle w:val="EndnoteReference"/>
          <w:color w:val="000000" w:themeColor="text1"/>
          <w:lang w:val="en-GB" w:eastAsia="en-SG"/>
        </w:rPr>
        <w:endnoteReference w:id="6"/>
      </w:r>
      <w:r w:rsidRPr="006A6F1F">
        <w:rPr>
          <w:color w:val="000000" w:themeColor="text1"/>
          <w:lang w:val="en-GB" w:eastAsia="en-SG"/>
        </w:rPr>
        <w:t xml:space="preserve"> </w:t>
      </w:r>
      <w:proofErr w:type="spellStart"/>
      <w:r w:rsidRPr="006A6F1F">
        <w:rPr>
          <w:color w:val="000000" w:themeColor="text1"/>
          <w:lang w:val="en-GB" w:eastAsia="en-SG"/>
        </w:rPr>
        <w:t>Heliconia’s</w:t>
      </w:r>
      <w:proofErr w:type="spellEnd"/>
      <w:r w:rsidRPr="006A6F1F">
        <w:rPr>
          <w:color w:val="000000" w:themeColor="text1"/>
          <w:lang w:val="en-GB" w:eastAsia="en-SG"/>
        </w:rPr>
        <w:t xml:space="preserve"> head of value creation, Soo Ming </w:t>
      </w:r>
      <w:proofErr w:type="spellStart"/>
      <w:r w:rsidRPr="006A6F1F">
        <w:rPr>
          <w:color w:val="000000" w:themeColor="text1"/>
          <w:lang w:val="en-GB" w:eastAsia="en-SG"/>
        </w:rPr>
        <w:t>Jern</w:t>
      </w:r>
      <w:proofErr w:type="spellEnd"/>
      <w:r w:rsidRPr="006A6F1F">
        <w:rPr>
          <w:color w:val="000000" w:themeColor="text1"/>
          <w:lang w:val="en-GB" w:eastAsia="en-SG"/>
        </w:rPr>
        <w:t xml:space="preserve">, explained the rationale for investing in </w:t>
      </w:r>
      <w:proofErr w:type="spellStart"/>
      <w:r w:rsidRPr="006A6F1F">
        <w:rPr>
          <w:color w:val="000000" w:themeColor="text1"/>
          <w:lang w:val="en-GB" w:eastAsia="en-SG"/>
        </w:rPr>
        <w:t>Kimly</w:t>
      </w:r>
      <w:proofErr w:type="spellEnd"/>
      <w:r w:rsidRPr="006A6F1F">
        <w:rPr>
          <w:color w:val="000000" w:themeColor="text1"/>
          <w:lang w:val="en-GB" w:eastAsia="en-SG"/>
        </w:rPr>
        <w:t xml:space="preserve">: </w:t>
      </w:r>
    </w:p>
    <w:p w14:paraId="54AFB4C4" w14:textId="77777777" w:rsidR="001B2957" w:rsidRPr="006A6F1F" w:rsidRDefault="001B2957" w:rsidP="0085053B">
      <w:pPr>
        <w:pStyle w:val="BodyTextMain"/>
        <w:rPr>
          <w:color w:val="000000" w:themeColor="text1"/>
          <w:lang w:val="en-GB" w:eastAsia="en-SG"/>
        </w:rPr>
      </w:pPr>
    </w:p>
    <w:p w14:paraId="6C5131C1" w14:textId="13E4FD0A" w:rsidR="001B2957" w:rsidRPr="006A6F1F" w:rsidRDefault="001B2957" w:rsidP="00DA682C">
      <w:pPr>
        <w:pStyle w:val="BodyTextMain"/>
        <w:ind w:left="720"/>
        <w:rPr>
          <w:color w:val="000000" w:themeColor="text1"/>
          <w:lang w:val="en-GB" w:eastAsia="en-SG"/>
        </w:rPr>
      </w:pPr>
      <w:r w:rsidRPr="006A6F1F">
        <w:rPr>
          <w:color w:val="000000" w:themeColor="text1"/>
          <w:lang w:val="en-GB" w:eastAsia="en-SG"/>
        </w:rPr>
        <w:t>We believe coffee shops as a grassroots business will continue to be part of our daily lives in Singapore. The business model itself is relatively resilient</w:t>
      </w:r>
      <w:r w:rsidR="0044173C">
        <w:rPr>
          <w:color w:val="000000" w:themeColor="text1"/>
          <w:lang w:val="en-GB" w:eastAsia="en-SG"/>
        </w:rPr>
        <w:t>;</w:t>
      </w:r>
      <w:r w:rsidRPr="006A6F1F">
        <w:rPr>
          <w:color w:val="000000" w:themeColor="text1"/>
          <w:lang w:val="en-GB" w:eastAsia="en-SG"/>
        </w:rPr>
        <w:t xml:space="preserve"> but more important for </w:t>
      </w:r>
      <w:proofErr w:type="spellStart"/>
      <w:r w:rsidRPr="006A6F1F">
        <w:rPr>
          <w:color w:val="000000" w:themeColor="text1"/>
          <w:lang w:val="en-GB" w:eastAsia="en-SG"/>
        </w:rPr>
        <w:t>Heliconia</w:t>
      </w:r>
      <w:proofErr w:type="spellEnd"/>
      <w:r w:rsidRPr="006A6F1F">
        <w:rPr>
          <w:color w:val="000000" w:themeColor="text1"/>
          <w:lang w:val="en-GB" w:eastAsia="en-SG"/>
        </w:rPr>
        <w:t xml:space="preserve">, we really like the management of </w:t>
      </w:r>
      <w:proofErr w:type="spellStart"/>
      <w:r w:rsidRPr="006A6F1F">
        <w:rPr>
          <w:color w:val="000000" w:themeColor="text1"/>
          <w:lang w:val="en-GB" w:eastAsia="en-SG"/>
        </w:rPr>
        <w:t>Kimly</w:t>
      </w:r>
      <w:proofErr w:type="spellEnd"/>
      <w:r w:rsidRPr="006A6F1F">
        <w:rPr>
          <w:color w:val="000000" w:themeColor="text1"/>
          <w:lang w:val="en-GB" w:eastAsia="en-SG"/>
        </w:rPr>
        <w:t xml:space="preserve"> for its initiatives to drive improvement in service quality and growth through technology.</w:t>
      </w:r>
      <w:r w:rsidRPr="006A6F1F">
        <w:rPr>
          <w:rStyle w:val="EndnoteReference"/>
          <w:color w:val="000000" w:themeColor="text1"/>
          <w:lang w:val="en-GB" w:eastAsia="en-SG"/>
        </w:rPr>
        <w:endnoteReference w:id="7"/>
      </w:r>
    </w:p>
    <w:p w14:paraId="01EEBB6B" w14:textId="77777777" w:rsidR="001B2957" w:rsidRPr="006A6F1F" w:rsidRDefault="001B2957" w:rsidP="0085053B">
      <w:pPr>
        <w:pStyle w:val="BodyTextMain"/>
        <w:rPr>
          <w:color w:val="000000" w:themeColor="text1"/>
          <w:lang w:val="en-GB" w:eastAsia="en-SG"/>
        </w:rPr>
      </w:pPr>
    </w:p>
    <w:p w14:paraId="3E98A68D" w14:textId="43BE48B4" w:rsidR="001B2957" w:rsidRPr="006A6F1F" w:rsidRDefault="001B2957" w:rsidP="0085053B">
      <w:pPr>
        <w:pStyle w:val="BodyTextMain"/>
        <w:rPr>
          <w:color w:val="000000" w:themeColor="text1"/>
          <w:lang w:val="en-GB" w:eastAsia="en-SG"/>
        </w:rPr>
      </w:pPr>
      <w:r w:rsidRPr="006A6F1F">
        <w:rPr>
          <w:color w:val="000000" w:themeColor="text1"/>
          <w:lang w:val="en-GB" w:eastAsia="en-SG"/>
        </w:rPr>
        <w:t>ICH Gemini (a boutique fund) had similarly converted a SG$2</w:t>
      </w:r>
      <w:r w:rsidR="0044173C">
        <w:rPr>
          <w:color w:val="000000" w:themeColor="text1"/>
          <w:lang w:val="en-GB" w:eastAsia="en-SG"/>
        </w:rPr>
        <w:t>-</w:t>
      </w:r>
      <w:r w:rsidRPr="006A6F1F">
        <w:rPr>
          <w:color w:val="000000" w:themeColor="text1"/>
          <w:lang w:val="en-GB" w:eastAsia="en-SG"/>
        </w:rPr>
        <w:t xml:space="preserve">million loan into </w:t>
      </w:r>
      <w:proofErr w:type="spellStart"/>
      <w:r w:rsidRPr="006A6F1F">
        <w:rPr>
          <w:color w:val="000000" w:themeColor="text1"/>
          <w:lang w:val="en-GB" w:eastAsia="en-SG"/>
        </w:rPr>
        <w:t>Kimly</w:t>
      </w:r>
      <w:proofErr w:type="spellEnd"/>
      <w:r w:rsidRPr="006A6F1F">
        <w:rPr>
          <w:color w:val="000000" w:themeColor="text1"/>
          <w:lang w:val="en-GB" w:eastAsia="en-SG"/>
        </w:rPr>
        <w:t xml:space="preserve"> shares at </w:t>
      </w:r>
      <w:r w:rsidR="0044173C">
        <w:rPr>
          <w:color w:val="000000" w:themeColor="text1"/>
          <w:lang w:val="en-GB" w:eastAsia="en-SG"/>
        </w:rPr>
        <w:t>SG</w:t>
      </w:r>
      <w:r w:rsidRPr="006A6F1F">
        <w:rPr>
          <w:color w:val="000000" w:themeColor="text1"/>
          <w:lang w:val="en-GB" w:eastAsia="en-SG"/>
        </w:rPr>
        <w:t>$0.20 each for 10 million shares or a 0.87</w:t>
      </w:r>
      <w:r w:rsidR="0044173C">
        <w:rPr>
          <w:color w:val="000000" w:themeColor="text1"/>
          <w:lang w:val="en-GB" w:eastAsia="en-SG"/>
        </w:rPr>
        <w:t>-</w:t>
      </w:r>
      <w:r w:rsidRPr="006A6F1F">
        <w:rPr>
          <w:color w:val="000000" w:themeColor="text1"/>
          <w:lang w:val="en-GB" w:eastAsia="en-SG"/>
        </w:rPr>
        <w:t>per</w:t>
      </w:r>
      <w:r w:rsidR="0044173C">
        <w:rPr>
          <w:color w:val="000000" w:themeColor="text1"/>
          <w:lang w:val="en-GB" w:eastAsia="en-SG"/>
        </w:rPr>
        <w:t>-</w:t>
      </w:r>
      <w:r w:rsidRPr="006A6F1F">
        <w:rPr>
          <w:color w:val="000000" w:themeColor="text1"/>
          <w:lang w:val="en-GB" w:eastAsia="en-SG"/>
        </w:rPr>
        <w:t xml:space="preserve">cent stake in </w:t>
      </w:r>
      <w:proofErr w:type="spellStart"/>
      <w:r w:rsidRPr="006A6F1F">
        <w:rPr>
          <w:color w:val="000000" w:themeColor="text1"/>
          <w:lang w:val="en-GB" w:eastAsia="en-SG"/>
        </w:rPr>
        <w:t>Kimly’s</w:t>
      </w:r>
      <w:proofErr w:type="spellEnd"/>
      <w:r w:rsidRPr="006A6F1F">
        <w:rPr>
          <w:color w:val="000000" w:themeColor="text1"/>
          <w:lang w:val="en-GB" w:eastAsia="en-SG"/>
        </w:rPr>
        <w:t xml:space="preserve"> post-IPO capital. ICH Gemini’s anchor sponsor and director was Ren </w:t>
      </w:r>
      <w:proofErr w:type="spellStart"/>
      <w:r w:rsidRPr="006A6F1F">
        <w:rPr>
          <w:color w:val="000000" w:themeColor="text1"/>
          <w:lang w:val="en-GB" w:eastAsia="en-SG"/>
        </w:rPr>
        <w:t>Yuanlin</w:t>
      </w:r>
      <w:proofErr w:type="spellEnd"/>
      <w:r w:rsidRPr="006A6F1F">
        <w:rPr>
          <w:color w:val="000000" w:themeColor="text1"/>
          <w:lang w:val="en-GB" w:eastAsia="en-SG"/>
        </w:rPr>
        <w:t xml:space="preserve">, the chairman of mainboard-listed </w:t>
      </w:r>
      <w:proofErr w:type="spellStart"/>
      <w:r w:rsidRPr="006A6F1F">
        <w:rPr>
          <w:color w:val="000000" w:themeColor="text1"/>
          <w:lang w:val="en-GB" w:eastAsia="en-SG"/>
        </w:rPr>
        <w:t>Yangzijiang</w:t>
      </w:r>
      <w:proofErr w:type="spellEnd"/>
      <w:r w:rsidRPr="006A6F1F">
        <w:rPr>
          <w:color w:val="000000" w:themeColor="text1"/>
          <w:lang w:val="en-GB" w:eastAsia="en-SG"/>
        </w:rPr>
        <w:t xml:space="preserve"> Shipbuilding Holdings Ltd.</w:t>
      </w:r>
      <w:r w:rsidRPr="006A6F1F">
        <w:rPr>
          <w:rStyle w:val="EndnoteReference"/>
          <w:color w:val="000000" w:themeColor="text1"/>
          <w:lang w:val="en-GB" w:eastAsia="en-SG"/>
        </w:rPr>
        <w:endnoteReference w:id="8"/>
      </w:r>
    </w:p>
    <w:p w14:paraId="013A4F4A" w14:textId="77777777" w:rsidR="001B2957" w:rsidRPr="006A6F1F" w:rsidRDefault="001B2957" w:rsidP="0085053B">
      <w:pPr>
        <w:pStyle w:val="BodyTextMain"/>
        <w:rPr>
          <w:color w:val="000000" w:themeColor="text1"/>
          <w:lang w:val="en-GB" w:eastAsia="en-SG"/>
        </w:rPr>
      </w:pPr>
    </w:p>
    <w:p w14:paraId="350068C1" w14:textId="2E258502" w:rsidR="001B2957" w:rsidRPr="00486FFE" w:rsidRDefault="001B2957" w:rsidP="001A0458">
      <w:pPr>
        <w:pStyle w:val="BodyTextMain"/>
        <w:rPr>
          <w:color w:val="000000" w:themeColor="text1"/>
          <w:lang w:val="en-GB" w:eastAsia="en-SG"/>
        </w:rPr>
      </w:pPr>
      <w:r w:rsidRPr="00486FFE">
        <w:rPr>
          <w:color w:val="000000" w:themeColor="text1"/>
          <w:kern w:val="22"/>
          <w:lang w:val="en-GB" w:eastAsia="en-SG"/>
        </w:rPr>
        <w:t>As a retail investor, you knew that the chances of getting your hands on the IPO shares were slim, since only a small number were available. N</w:t>
      </w:r>
      <w:r w:rsidR="0044173C" w:rsidRPr="00486FFE">
        <w:rPr>
          <w:color w:val="000000" w:themeColor="text1"/>
          <w:kern w:val="22"/>
          <w:lang w:val="en-GB" w:eastAsia="en-SG"/>
        </w:rPr>
        <w:t>ever</w:t>
      </w:r>
      <w:r w:rsidRPr="00486FFE">
        <w:rPr>
          <w:color w:val="000000" w:themeColor="text1"/>
          <w:kern w:val="22"/>
          <w:lang w:val="en-GB" w:eastAsia="en-SG"/>
        </w:rPr>
        <w:t xml:space="preserve">theless, you were drawn to the issue because </w:t>
      </w:r>
      <w:proofErr w:type="spellStart"/>
      <w:r w:rsidRPr="00486FFE">
        <w:rPr>
          <w:color w:val="000000" w:themeColor="text1"/>
          <w:kern w:val="22"/>
          <w:lang w:val="en-GB" w:eastAsia="en-SG"/>
        </w:rPr>
        <w:t>Kimly</w:t>
      </w:r>
      <w:proofErr w:type="spellEnd"/>
      <w:r w:rsidRPr="00486FFE">
        <w:rPr>
          <w:color w:val="000000" w:themeColor="text1"/>
          <w:kern w:val="22"/>
          <w:lang w:val="en-GB" w:eastAsia="en-SG"/>
        </w:rPr>
        <w:t xml:space="preserve"> was essentially a family firm and would continue to be driven by the founder after the IPO. In addition, 77.23 per cent of the shares could not be traded in the first six months after the IPO, and only half of that percentage could be traded in the </w:t>
      </w:r>
      <w:r w:rsidR="0044173C" w:rsidRPr="00486FFE">
        <w:rPr>
          <w:color w:val="000000" w:themeColor="text1"/>
          <w:kern w:val="22"/>
          <w:lang w:val="en-GB" w:eastAsia="en-SG"/>
        </w:rPr>
        <w:t xml:space="preserve">subsequent </w:t>
      </w:r>
      <w:r w:rsidRPr="00486FFE">
        <w:rPr>
          <w:color w:val="000000" w:themeColor="text1"/>
          <w:kern w:val="22"/>
          <w:lang w:val="en-GB" w:eastAsia="en-SG"/>
        </w:rPr>
        <w:t>six months.</w:t>
      </w:r>
      <w:r w:rsidRPr="00486FFE">
        <w:rPr>
          <w:rStyle w:val="EndnoteReference"/>
          <w:color w:val="000000" w:themeColor="text1"/>
          <w:kern w:val="22"/>
          <w:lang w:val="en-GB" w:eastAsia="en-SG"/>
        </w:rPr>
        <w:endnoteReference w:id="9"/>
      </w:r>
      <w:r w:rsidRPr="00486FFE">
        <w:rPr>
          <w:color w:val="000000" w:themeColor="text1"/>
          <w:kern w:val="22"/>
          <w:lang w:val="en-GB" w:eastAsia="en-SG"/>
        </w:rPr>
        <w:t xml:space="preserve"> Although there were pre-IPO placements at a </w:t>
      </w:r>
      <w:r w:rsidRPr="00486FFE">
        <w:rPr>
          <w:color w:val="000000" w:themeColor="text1"/>
          <w:kern w:val="22"/>
          <w:lang w:val="en-GB" w:eastAsia="en-SG"/>
        </w:rPr>
        <w:lastRenderedPageBreak/>
        <w:t xml:space="preserve">discount, the quantity was small, accounting for only 2.17 per cent. Well aware of the </w:t>
      </w:r>
      <w:proofErr w:type="spellStart"/>
      <w:r w:rsidRPr="00486FFE">
        <w:rPr>
          <w:color w:val="000000" w:themeColor="text1"/>
          <w:kern w:val="22"/>
          <w:lang w:val="en-GB" w:eastAsia="en-SG"/>
        </w:rPr>
        <w:t>underpricing</w:t>
      </w:r>
      <w:proofErr w:type="spellEnd"/>
      <w:r w:rsidRPr="00486FFE">
        <w:rPr>
          <w:color w:val="000000" w:themeColor="text1"/>
          <w:kern w:val="22"/>
          <w:lang w:val="en-GB" w:eastAsia="en-SG"/>
        </w:rPr>
        <w:t xml:space="preserve"> </w:t>
      </w:r>
      <w:r w:rsidR="00EA0B91" w:rsidRPr="00486FFE">
        <w:rPr>
          <w:color w:val="000000" w:themeColor="text1"/>
          <w:kern w:val="22"/>
          <w:lang w:val="en-GB" w:eastAsia="en-SG"/>
        </w:rPr>
        <w:t>phenomenon</w:t>
      </w:r>
      <w:r w:rsidRPr="00486FFE">
        <w:rPr>
          <w:color w:val="000000" w:themeColor="text1"/>
          <w:kern w:val="22"/>
          <w:lang w:val="en-GB" w:eastAsia="en-SG"/>
        </w:rPr>
        <w:t>, you saw little risk in applying for the IPO</w:t>
      </w:r>
      <w:r w:rsidR="008A3792">
        <w:rPr>
          <w:color w:val="000000" w:themeColor="text1"/>
          <w:kern w:val="22"/>
          <w:lang w:val="en-GB" w:eastAsia="en-SG"/>
        </w:rPr>
        <w:t xml:space="preserve"> shares</w:t>
      </w:r>
      <w:r w:rsidRPr="00486FFE">
        <w:rPr>
          <w:color w:val="000000" w:themeColor="text1"/>
          <w:kern w:val="22"/>
          <w:lang w:val="en-GB" w:eastAsia="en-SG"/>
        </w:rPr>
        <w:t xml:space="preserve">, which would close the following day (March 16, 2017). However, you were also contemplating buying </w:t>
      </w:r>
      <w:proofErr w:type="spellStart"/>
      <w:r w:rsidRPr="00486FFE">
        <w:rPr>
          <w:color w:val="000000" w:themeColor="text1"/>
          <w:kern w:val="22"/>
          <w:lang w:val="en-GB" w:eastAsia="en-SG"/>
        </w:rPr>
        <w:t>Kimly</w:t>
      </w:r>
      <w:proofErr w:type="spellEnd"/>
      <w:r w:rsidRPr="00486FFE">
        <w:rPr>
          <w:color w:val="000000" w:themeColor="text1"/>
          <w:kern w:val="22"/>
          <w:lang w:val="en-GB" w:eastAsia="en-SG"/>
        </w:rPr>
        <w:t xml:space="preserve"> shares in the aftermarket, when the shares started trading on March 20, 2017. With that in mind, you reached out for </w:t>
      </w:r>
      <w:proofErr w:type="spellStart"/>
      <w:r w:rsidRPr="00486FFE">
        <w:rPr>
          <w:color w:val="000000" w:themeColor="text1"/>
          <w:kern w:val="22"/>
          <w:lang w:val="en-GB" w:eastAsia="en-SG"/>
        </w:rPr>
        <w:t>Kimly’s</w:t>
      </w:r>
      <w:proofErr w:type="spellEnd"/>
      <w:r w:rsidRPr="00486FFE">
        <w:rPr>
          <w:color w:val="000000" w:themeColor="text1"/>
          <w:kern w:val="22"/>
          <w:lang w:val="en-GB" w:eastAsia="en-SG"/>
        </w:rPr>
        <w:t xml:space="preserve"> IPO prospectus and powered up your computer, preparing to spend the next hour poring over the figures and getting some information on potential peers</w:t>
      </w:r>
      <w:r w:rsidRPr="00486FFE">
        <w:rPr>
          <w:color w:val="000000" w:themeColor="text1"/>
          <w:lang w:val="en-GB" w:eastAsia="en-SG"/>
        </w:rPr>
        <w:t>. Specifically, you wanted to decide whether to invest; and if you decided to invest, you wanted to determine your maximum price. You also had a pertinent question involving the investment horizon: should you plan to sell immediately or hold for the long term?</w:t>
      </w:r>
    </w:p>
    <w:p w14:paraId="6BBF87A8" w14:textId="77777777" w:rsidR="001B2957" w:rsidRPr="00486FFE" w:rsidRDefault="001B2957" w:rsidP="00486FFE">
      <w:pPr>
        <w:pStyle w:val="BodyTextMain"/>
        <w:rPr>
          <w:lang w:val="en-GB"/>
        </w:rPr>
      </w:pPr>
    </w:p>
    <w:p w14:paraId="2DC431AE" w14:textId="77777777" w:rsidR="001B2957" w:rsidRPr="006A6F1F" w:rsidRDefault="001B2957" w:rsidP="00486FFE">
      <w:pPr>
        <w:pStyle w:val="BodyTextMain"/>
        <w:rPr>
          <w:lang w:val="en-GB"/>
        </w:rPr>
      </w:pPr>
    </w:p>
    <w:p w14:paraId="5AB2A2D2" w14:textId="77777777" w:rsidR="001B2957" w:rsidRPr="006A6F1F" w:rsidRDefault="001B2957" w:rsidP="0085053B">
      <w:pPr>
        <w:pStyle w:val="Casehead1"/>
        <w:rPr>
          <w:color w:val="000000" w:themeColor="text1"/>
          <w:lang w:val="en-GB"/>
        </w:rPr>
      </w:pPr>
      <w:r w:rsidRPr="006A6F1F">
        <w:rPr>
          <w:color w:val="000000" w:themeColor="text1"/>
          <w:lang w:val="en-GB"/>
        </w:rPr>
        <w:t>Kimly limited</w:t>
      </w:r>
    </w:p>
    <w:p w14:paraId="121D3E7D" w14:textId="77777777" w:rsidR="001B2957" w:rsidRPr="006A6F1F" w:rsidRDefault="001B2957" w:rsidP="0085053B">
      <w:pPr>
        <w:pStyle w:val="BodyTextMain"/>
        <w:rPr>
          <w:color w:val="000000" w:themeColor="text1"/>
          <w:lang w:val="en-GB"/>
        </w:rPr>
      </w:pPr>
    </w:p>
    <w:p w14:paraId="06F2FFFB" w14:textId="29AB1622" w:rsidR="001B2957" w:rsidRPr="006A6F1F" w:rsidRDefault="001B2957" w:rsidP="0085053B">
      <w:pPr>
        <w:pStyle w:val="BodyTextMain"/>
        <w:rPr>
          <w:color w:val="000000" w:themeColor="text1"/>
          <w:lang w:val="en-GB" w:eastAsia="en-SG"/>
        </w:rPr>
      </w:pPr>
      <w:proofErr w:type="spellStart"/>
      <w:r w:rsidRPr="006A6F1F">
        <w:rPr>
          <w:color w:val="000000" w:themeColor="text1"/>
          <w:lang w:val="en-GB"/>
        </w:rPr>
        <w:t>Kimly</w:t>
      </w:r>
      <w:proofErr w:type="spellEnd"/>
      <w:r w:rsidRPr="006A6F1F">
        <w:rPr>
          <w:color w:val="000000" w:themeColor="text1"/>
          <w:lang w:val="en-GB"/>
        </w:rPr>
        <w:t xml:space="preserve"> was founded in 1990 by executive chair Lim </w:t>
      </w:r>
      <w:proofErr w:type="spellStart"/>
      <w:r w:rsidRPr="006A6F1F">
        <w:rPr>
          <w:color w:val="000000" w:themeColor="text1"/>
          <w:lang w:val="en-GB"/>
        </w:rPr>
        <w:t>Hee</w:t>
      </w:r>
      <w:proofErr w:type="spellEnd"/>
      <w:r w:rsidRPr="006A6F1F">
        <w:rPr>
          <w:color w:val="000000" w:themeColor="text1"/>
          <w:lang w:val="en-GB"/>
        </w:rPr>
        <w:t xml:space="preserve"> </w:t>
      </w:r>
      <w:proofErr w:type="spellStart"/>
      <w:r w:rsidRPr="006A6F1F">
        <w:rPr>
          <w:color w:val="000000" w:themeColor="text1"/>
          <w:lang w:val="en-GB"/>
        </w:rPr>
        <w:t>Liat</w:t>
      </w:r>
      <w:proofErr w:type="spellEnd"/>
      <w:r w:rsidRPr="006A6F1F">
        <w:rPr>
          <w:color w:val="000000" w:themeColor="text1"/>
          <w:lang w:val="en-GB"/>
        </w:rPr>
        <w:t>, together with several friends. The business had started as a single coffee shop but had since grown to become one of the leading traditional coffee shop operators in Singapore.</w:t>
      </w:r>
      <w:r w:rsidRPr="006A6F1F">
        <w:rPr>
          <w:rStyle w:val="EndnoteReference"/>
          <w:color w:val="000000" w:themeColor="text1"/>
          <w:lang w:val="en-GB"/>
        </w:rPr>
        <w:endnoteReference w:id="10"/>
      </w:r>
      <w:r w:rsidRPr="006A6F1F">
        <w:rPr>
          <w:color w:val="000000" w:themeColor="text1"/>
          <w:lang w:val="en-GB"/>
        </w:rPr>
        <w:t xml:space="preserve"> Prior to the IPO, Lim </w:t>
      </w:r>
      <w:proofErr w:type="spellStart"/>
      <w:r w:rsidRPr="006A6F1F">
        <w:rPr>
          <w:color w:val="000000" w:themeColor="text1"/>
          <w:lang w:val="en-GB"/>
        </w:rPr>
        <w:t>Hee</w:t>
      </w:r>
      <w:proofErr w:type="spellEnd"/>
      <w:r w:rsidRPr="006A6F1F">
        <w:rPr>
          <w:color w:val="000000" w:themeColor="text1"/>
          <w:lang w:val="en-GB"/>
        </w:rPr>
        <w:t xml:space="preserve"> </w:t>
      </w:r>
      <w:proofErr w:type="spellStart"/>
      <w:r w:rsidRPr="006A6F1F">
        <w:rPr>
          <w:color w:val="000000" w:themeColor="text1"/>
          <w:lang w:val="en-GB"/>
        </w:rPr>
        <w:t>Liat</w:t>
      </w:r>
      <w:proofErr w:type="spellEnd"/>
      <w:r w:rsidRPr="006A6F1F">
        <w:rPr>
          <w:color w:val="000000" w:themeColor="text1"/>
          <w:lang w:val="en-GB"/>
        </w:rPr>
        <w:t xml:space="preserve"> held 49.94 per cent of the total issued share capital. After the IPO, he would remain the largest shareholder, with a 42.42</w:t>
      </w:r>
      <w:r w:rsidR="0044173C">
        <w:rPr>
          <w:color w:val="000000" w:themeColor="text1"/>
          <w:lang w:val="en-GB"/>
        </w:rPr>
        <w:t>-</w:t>
      </w:r>
      <w:r w:rsidRPr="006A6F1F">
        <w:rPr>
          <w:color w:val="000000" w:themeColor="text1"/>
          <w:lang w:val="en-GB"/>
        </w:rPr>
        <w:t>per</w:t>
      </w:r>
      <w:r w:rsidR="0044173C">
        <w:rPr>
          <w:color w:val="000000" w:themeColor="text1"/>
          <w:lang w:val="en-GB"/>
        </w:rPr>
        <w:t>-</w:t>
      </w:r>
      <w:r w:rsidRPr="006A6F1F">
        <w:rPr>
          <w:color w:val="000000" w:themeColor="text1"/>
          <w:lang w:val="en-GB"/>
        </w:rPr>
        <w:t>cent stake (see Exhibit 1).</w:t>
      </w:r>
    </w:p>
    <w:p w14:paraId="3352E6FF" w14:textId="77777777" w:rsidR="001B2957" w:rsidRPr="006A6F1F" w:rsidRDefault="001B2957" w:rsidP="0085053B">
      <w:pPr>
        <w:pStyle w:val="BodyTextMain"/>
        <w:rPr>
          <w:color w:val="000000" w:themeColor="text1"/>
          <w:lang w:val="en-GB" w:eastAsia="en-SG"/>
        </w:rPr>
      </w:pPr>
    </w:p>
    <w:p w14:paraId="381213A2" w14:textId="2C065AE3" w:rsidR="001B2957" w:rsidRPr="006A6F1F" w:rsidRDefault="001B2957" w:rsidP="0085053B">
      <w:pPr>
        <w:pStyle w:val="BodyTextMain"/>
        <w:rPr>
          <w:color w:val="000000" w:themeColor="text1"/>
          <w:lang w:val="en-GB" w:eastAsia="en-SG"/>
        </w:rPr>
      </w:pPr>
      <w:proofErr w:type="spellStart"/>
      <w:r w:rsidRPr="006A6F1F">
        <w:rPr>
          <w:color w:val="000000" w:themeColor="text1"/>
          <w:lang w:val="en-GB" w:eastAsia="en-SG"/>
        </w:rPr>
        <w:t>Kimly’s</w:t>
      </w:r>
      <w:proofErr w:type="spellEnd"/>
      <w:r w:rsidRPr="006A6F1F">
        <w:rPr>
          <w:color w:val="000000" w:themeColor="text1"/>
          <w:lang w:val="en-GB" w:eastAsia="en-SG"/>
        </w:rPr>
        <w:t xml:space="preserve"> business was categorized into two divisions</w:t>
      </w:r>
      <w:r w:rsidR="0044173C">
        <w:rPr>
          <w:color w:val="000000" w:themeColor="text1"/>
          <w:lang w:val="en-GB" w:eastAsia="en-SG"/>
        </w:rPr>
        <w:t>:</w:t>
      </w:r>
      <w:r w:rsidRPr="006A6F1F">
        <w:rPr>
          <w:color w:val="000000" w:themeColor="text1"/>
          <w:lang w:val="en-GB" w:eastAsia="en-SG"/>
        </w:rPr>
        <w:t xml:space="preserve"> the outlet management division and the food retail division (see Exhibit 2).</w:t>
      </w:r>
      <w:r w:rsidRPr="006A6F1F">
        <w:rPr>
          <w:rStyle w:val="EndnoteReference"/>
          <w:color w:val="000000" w:themeColor="text1"/>
          <w:lang w:val="en-GB" w:eastAsia="en-SG"/>
        </w:rPr>
        <w:endnoteReference w:id="11"/>
      </w:r>
      <w:r w:rsidRPr="006A6F1F">
        <w:rPr>
          <w:color w:val="000000" w:themeColor="text1"/>
          <w:lang w:val="en-GB" w:eastAsia="en-SG"/>
        </w:rPr>
        <w:t xml:space="preserve"> The outlet management division comprised coffee shop management and food court management. At the time of listing, </w:t>
      </w:r>
      <w:proofErr w:type="spellStart"/>
      <w:r w:rsidRPr="006A6F1F">
        <w:rPr>
          <w:color w:val="000000" w:themeColor="text1"/>
          <w:lang w:val="en-GB" w:eastAsia="en-SG"/>
        </w:rPr>
        <w:t>Kimly</w:t>
      </w:r>
      <w:proofErr w:type="spellEnd"/>
      <w:r w:rsidRPr="006A6F1F">
        <w:rPr>
          <w:color w:val="000000" w:themeColor="text1"/>
          <w:lang w:val="en-GB" w:eastAsia="en-SG"/>
        </w:rPr>
        <w:t xml:space="preserve"> had a network of food outlets made up of 56 coffee shops, three industrial canteens, and five </w:t>
      </w:r>
      <w:r w:rsidR="0099531B">
        <w:rPr>
          <w:color w:val="000000" w:themeColor="text1"/>
          <w:lang w:val="en-GB" w:eastAsia="en-SG"/>
        </w:rPr>
        <w:t>f</w:t>
      </w:r>
      <w:r w:rsidRPr="006A6F1F">
        <w:rPr>
          <w:color w:val="000000" w:themeColor="text1"/>
          <w:lang w:val="en-GB" w:eastAsia="en-SG"/>
        </w:rPr>
        <w:t xml:space="preserve">ood courts. The five food courts operated under the </w:t>
      </w:r>
      <w:proofErr w:type="spellStart"/>
      <w:r w:rsidRPr="006A6F1F">
        <w:rPr>
          <w:color w:val="000000" w:themeColor="text1"/>
          <w:lang w:val="en-GB" w:eastAsia="en-SG"/>
        </w:rPr>
        <w:t>Foodclique</w:t>
      </w:r>
      <w:proofErr w:type="spellEnd"/>
      <w:r w:rsidRPr="006A6F1F">
        <w:rPr>
          <w:color w:val="000000" w:themeColor="text1"/>
          <w:lang w:val="en-GB" w:eastAsia="en-SG"/>
        </w:rPr>
        <w:t xml:space="preserve"> brand; four of these were located at the tertiary institutions Ngee Ann Polytechnic, Singapore Institute of Management, National University of Singapore (NUS) Prince George’s Park, and NUS University Town.</w:t>
      </w:r>
      <w:r w:rsidRPr="006A6F1F">
        <w:rPr>
          <w:rStyle w:val="EndnoteReference"/>
          <w:color w:val="000000" w:themeColor="text1"/>
          <w:lang w:val="en-GB" w:eastAsia="en-SG"/>
        </w:rPr>
        <w:endnoteReference w:id="12"/>
      </w:r>
      <w:r w:rsidRPr="006A6F1F">
        <w:rPr>
          <w:color w:val="000000" w:themeColor="text1"/>
          <w:lang w:val="en-GB" w:eastAsia="en-SG"/>
        </w:rPr>
        <w:t xml:space="preserve"> The fifth food court was located at Hotel Boss, on </w:t>
      </w:r>
      <w:proofErr w:type="spellStart"/>
      <w:r w:rsidRPr="006A6F1F">
        <w:rPr>
          <w:color w:val="000000" w:themeColor="text1"/>
          <w:lang w:val="en-GB" w:eastAsia="en-SG"/>
        </w:rPr>
        <w:t>Jalan</w:t>
      </w:r>
      <w:proofErr w:type="spellEnd"/>
      <w:r w:rsidRPr="006A6F1F">
        <w:rPr>
          <w:color w:val="000000" w:themeColor="text1"/>
          <w:lang w:val="en-GB" w:eastAsia="en-SG"/>
        </w:rPr>
        <w:t xml:space="preserve"> Sultan Road.</w:t>
      </w:r>
      <w:r w:rsidRPr="006A6F1F">
        <w:rPr>
          <w:rStyle w:val="EndnoteReference"/>
          <w:color w:val="000000" w:themeColor="text1"/>
          <w:lang w:val="en-GB" w:eastAsia="en-SG"/>
        </w:rPr>
        <w:endnoteReference w:id="13"/>
      </w:r>
      <w:r w:rsidRPr="006A6F1F">
        <w:rPr>
          <w:color w:val="000000" w:themeColor="text1"/>
          <w:lang w:val="en-GB" w:eastAsia="en-SG"/>
        </w:rPr>
        <w:t xml:space="preserve"> The food outlets had eight to 12 food stalls each.</w:t>
      </w:r>
      <w:r w:rsidRPr="006A6F1F">
        <w:rPr>
          <w:rStyle w:val="EndnoteReference"/>
          <w:color w:val="000000" w:themeColor="text1"/>
          <w:lang w:val="en-GB" w:eastAsia="en-SG"/>
        </w:rPr>
        <w:endnoteReference w:id="14"/>
      </w:r>
      <w:r w:rsidRPr="006A6F1F">
        <w:rPr>
          <w:color w:val="000000" w:themeColor="text1"/>
          <w:lang w:val="en-GB" w:eastAsia="en-SG"/>
        </w:rPr>
        <w:t xml:space="preserve"> The 500 stalls in </w:t>
      </w:r>
      <w:proofErr w:type="spellStart"/>
      <w:r w:rsidRPr="006A6F1F">
        <w:rPr>
          <w:color w:val="000000" w:themeColor="text1"/>
          <w:lang w:val="en-GB" w:eastAsia="en-SG"/>
        </w:rPr>
        <w:t>Kimly’s</w:t>
      </w:r>
      <w:proofErr w:type="spellEnd"/>
      <w:r w:rsidRPr="006A6F1F">
        <w:rPr>
          <w:color w:val="000000" w:themeColor="text1"/>
          <w:lang w:val="en-GB" w:eastAsia="en-SG"/>
        </w:rPr>
        <w:t xml:space="preserve"> food outlets enjoyed a 98</w:t>
      </w:r>
      <w:r w:rsidR="0044173C">
        <w:rPr>
          <w:color w:val="000000" w:themeColor="text1"/>
          <w:lang w:val="en-GB" w:eastAsia="en-SG"/>
        </w:rPr>
        <w:t>-</w:t>
      </w:r>
      <w:r w:rsidRPr="006A6F1F">
        <w:rPr>
          <w:color w:val="000000" w:themeColor="text1"/>
          <w:lang w:val="en-GB" w:eastAsia="en-SG"/>
        </w:rPr>
        <w:t>per</w:t>
      </w:r>
      <w:r w:rsidR="0044173C">
        <w:rPr>
          <w:color w:val="000000" w:themeColor="text1"/>
          <w:lang w:val="en-GB" w:eastAsia="en-SG"/>
        </w:rPr>
        <w:t>-</w:t>
      </w:r>
      <w:r w:rsidRPr="006A6F1F">
        <w:rPr>
          <w:color w:val="000000" w:themeColor="text1"/>
          <w:lang w:val="en-GB" w:eastAsia="en-SG"/>
        </w:rPr>
        <w:t>cent occupancy rate.</w:t>
      </w:r>
      <w:r w:rsidRPr="006A6F1F">
        <w:rPr>
          <w:rStyle w:val="EndnoteReference"/>
          <w:color w:val="000000" w:themeColor="text1"/>
          <w:lang w:val="en-GB" w:eastAsia="en-SG"/>
        </w:rPr>
        <w:endnoteReference w:id="15"/>
      </w:r>
      <w:r w:rsidRPr="006A6F1F">
        <w:rPr>
          <w:color w:val="000000" w:themeColor="text1"/>
          <w:lang w:val="en-GB" w:eastAsia="en-SG"/>
        </w:rPr>
        <w:t xml:space="preserve"> These stalls were leased to tenants who paid rent and management fees.</w:t>
      </w:r>
      <w:r w:rsidRPr="006A6F1F">
        <w:rPr>
          <w:rStyle w:val="EndnoteReference"/>
          <w:color w:val="000000" w:themeColor="text1"/>
          <w:lang w:val="en-GB" w:eastAsia="en-SG"/>
        </w:rPr>
        <w:endnoteReference w:id="16"/>
      </w:r>
      <w:r w:rsidRPr="006A6F1F">
        <w:rPr>
          <w:color w:val="000000" w:themeColor="text1"/>
          <w:lang w:val="en-GB" w:eastAsia="en-SG"/>
        </w:rPr>
        <w:t xml:space="preserve"> The outlet management division accounted for 56.6 per cent of </w:t>
      </w:r>
      <w:proofErr w:type="spellStart"/>
      <w:r w:rsidRPr="006A6F1F">
        <w:rPr>
          <w:color w:val="000000" w:themeColor="text1"/>
          <w:lang w:val="en-GB" w:eastAsia="en-SG"/>
        </w:rPr>
        <w:t>Kimly’s</w:t>
      </w:r>
      <w:proofErr w:type="spellEnd"/>
      <w:r w:rsidRPr="006A6F1F">
        <w:rPr>
          <w:color w:val="000000" w:themeColor="text1"/>
          <w:lang w:val="en-GB" w:eastAsia="en-SG"/>
        </w:rPr>
        <w:t xml:space="preserve"> total revenue in 2016.</w:t>
      </w:r>
      <w:r w:rsidRPr="006A6F1F">
        <w:rPr>
          <w:rStyle w:val="EndnoteReference"/>
          <w:color w:val="000000" w:themeColor="text1"/>
          <w:lang w:val="en-GB" w:eastAsia="en-SG"/>
        </w:rPr>
        <w:endnoteReference w:id="17"/>
      </w:r>
      <w:r w:rsidRPr="006A6F1F">
        <w:rPr>
          <w:color w:val="000000" w:themeColor="text1"/>
          <w:lang w:val="en-GB" w:eastAsia="en-SG"/>
        </w:rPr>
        <w:t xml:space="preserve"> </w:t>
      </w:r>
    </w:p>
    <w:p w14:paraId="28880D50" w14:textId="77777777" w:rsidR="001B2957" w:rsidRPr="006A6F1F" w:rsidRDefault="001B2957" w:rsidP="0085053B">
      <w:pPr>
        <w:pStyle w:val="BodyTextMain"/>
        <w:rPr>
          <w:color w:val="000000" w:themeColor="text1"/>
          <w:lang w:val="en-GB" w:eastAsia="en-SG"/>
        </w:rPr>
      </w:pPr>
    </w:p>
    <w:p w14:paraId="06737947" w14:textId="2634234E" w:rsidR="001B2957" w:rsidRPr="006A6F1F" w:rsidRDefault="001B2957" w:rsidP="0085053B">
      <w:pPr>
        <w:pStyle w:val="BodyTextMain"/>
        <w:rPr>
          <w:color w:val="000000" w:themeColor="text1"/>
          <w:shd w:val="clear" w:color="auto" w:fill="FFFFFF"/>
          <w:lang w:val="en-GB"/>
        </w:rPr>
      </w:pPr>
      <w:r w:rsidRPr="006A6F1F">
        <w:rPr>
          <w:color w:val="000000" w:themeColor="text1"/>
          <w:lang w:val="en-GB" w:eastAsia="en-SG"/>
        </w:rPr>
        <w:t>The food retail division comprised 36 mixed vegetable rice stalls, 10 Rice Garden Programme</w:t>
      </w:r>
      <w:r w:rsidRPr="006A6F1F">
        <w:rPr>
          <w:rStyle w:val="EndnoteReference"/>
          <w:color w:val="000000" w:themeColor="text1"/>
          <w:lang w:val="en-GB" w:eastAsia="en-SG"/>
        </w:rPr>
        <w:endnoteReference w:id="18"/>
      </w:r>
      <w:r w:rsidRPr="006A6F1F">
        <w:rPr>
          <w:color w:val="000000" w:themeColor="text1"/>
          <w:lang w:val="en-GB" w:eastAsia="en-SG"/>
        </w:rPr>
        <w:t xml:space="preserve"> stalls, two Teochew porridge stalls, 29 seafood </w:t>
      </w:r>
      <w:proofErr w:type="spellStart"/>
      <w:r w:rsidRPr="006A6F1F">
        <w:rPr>
          <w:color w:val="000000" w:themeColor="text1"/>
          <w:lang w:val="en-GB" w:eastAsia="en-SG"/>
        </w:rPr>
        <w:t>zi</w:t>
      </w:r>
      <w:proofErr w:type="spellEnd"/>
      <w:r w:rsidRPr="006A6F1F">
        <w:rPr>
          <w:color w:val="000000" w:themeColor="text1"/>
          <w:lang w:val="en-GB" w:eastAsia="en-SG"/>
        </w:rPr>
        <w:t xml:space="preserve"> char stalls,</w:t>
      </w:r>
      <w:r w:rsidR="008A3792">
        <w:rPr>
          <w:rStyle w:val="EndnoteReference"/>
          <w:color w:val="000000" w:themeColor="text1"/>
          <w:lang w:val="en-GB" w:eastAsia="en-SG"/>
        </w:rPr>
        <w:endnoteReference w:id="19"/>
      </w:r>
      <w:r w:rsidRPr="006A6F1F">
        <w:rPr>
          <w:color w:val="000000" w:themeColor="text1"/>
          <w:lang w:val="en-GB" w:eastAsia="en-SG"/>
        </w:rPr>
        <w:t xml:space="preserve"> one live seafood restaurant, and 43 dim sum stalls.</w:t>
      </w:r>
      <w:r w:rsidRPr="006A6F1F">
        <w:rPr>
          <w:rStyle w:val="EndnoteReference"/>
          <w:color w:val="000000" w:themeColor="text1"/>
          <w:lang w:val="en-GB" w:eastAsia="en-SG"/>
        </w:rPr>
        <w:endnoteReference w:id="20"/>
      </w:r>
      <w:r w:rsidRPr="006A6F1F">
        <w:rPr>
          <w:color w:val="000000" w:themeColor="text1"/>
          <w:lang w:val="en-GB" w:eastAsia="en-SG"/>
        </w:rPr>
        <w:t xml:space="preserve"> This network of 121 stalls carried the company brand.</w:t>
      </w:r>
      <w:r w:rsidRPr="006A6F1F">
        <w:rPr>
          <w:rStyle w:val="EndnoteReference"/>
          <w:color w:val="000000" w:themeColor="text1"/>
          <w:lang w:val="en-GB" w:eastAsia="en-SG"/>
        </w:rPr>
        <w:endnoteReference w:id="21"/>
      </w:r>
      <w:r w:rsidRPr="006A6F1F">
        <w:rPr>
          <w:color w:val="000000" w:themeColor="text1"/>
          <w:lang w:val="en-GB" w:eastAsia="en-SG"/>
        </w:rPr>
        <w:t xml:space="preserve"> Of these, 11 mixed vegetable rice stalls, two Rice Garden stalls, two Teochew porridge stalls</w:t>
      </w:r>
      <w:r w:rsidR="00E934B8">
        <w:rPr>
          <w:color w:val="000000" w:themeColor="text1"/>
          <w:lang w:val="en-GB" w:eastAsia="en-SG"/>
        </w:rPr>
        <w:t>,</w:t>
      </w:r>
      <w:r w:rsidRPr="006A6F1F">
        <w:rPr>
          <w:color w:val="000000" w:themeColor="text1"/>
          <w:lang w:val="en-GB" w:eastAsia="en-SG"/>
        </w:rPr>
        <w:t xml:space="preserve"> and 34 dim sum stalls operated 24 hours a day.</w:t>
      </w:r>
      <w:r w:rsidRPr="006A6F1F">
        <w:rPr>
          <w:rStyle w:val="EndnoteReference"/>
          <w:color w:val="000000" w:themeColor="text1"/>
          <w:lang w:val="en-GB" w:eastAsia="en-SG"/>
        </w:rPr>
        <w:endnoteReference w:id="22"/>
      </w:r>
      <w:r w:rsidRPr="006A6F1F">
        <w:rPr>
          <w:color w:val="000000" w:themeColor="text1"/>
          <w:lang w:val="en-GB" w:eastAsia="en-SG"/>
        </w:rPr>
        <w:t xml:space="preserve"> </w:t>
      </w:r>
      <w:proofErr w:type="spellStart"/>
      <w:r w:rsidRPr="006A6F1F">
        <w:rPr>
          <w:color w:val="000000" w:themeColor="text1"/>
          <w:lang w:val="en-GB" w:eastAsia="en-SG"/>
        </w:rPr>
        <w:t>Kimly’s</w:t>
      </w:r>
      <w:proofErr w:type="spellEnd"/>
      <w:r w:rsidRPr="006A6F1F">
        <w:rPr>
          <w:color w:val="000000" w:themeColor="text1"/>
          <w:lang w:val="en-GB" w:eastAsia="en-SG"/>
        </w:rPr>
        <w:t xml:space="preserve"> central kitchen, situated in Woodlands, </w:t>
      </w:r>
      <w:r w:rsidR="00486FFE">
        <w:rPr>
          <w:color w:val="000000" w:themeColor="text1"/>
          <w:lang w:val="en-GB" w:eastAsia="en-SG"/>
        </w:rPr>
        <w:t xml:space="preserve">a town situated in the north region of Singapore, </w:t>
      </w:r>
      <w:r w:rsidRPr="006A6F1F">
        <w:rPr>
          <w:color w:val="000000" w:themeColor="text1"/>
          <w:lang w:val="en-GB" w:eastAsia="en-SG"/>
        </w:rPr>
        <w:t>supplied sauces and semi-finished food products to its food stalls to ensure better control over business processes and costs</w:t>
      </w:r>
      <w:r w:rsidRPr="006A6F1F">
        <w:rPr>
          <w:color w:val="000000" w:themeColor="text1"/>
          <w:shd w:val="clear" w:color="auto" w:fill="FFFFFF"/>
          <w:lang w:val="en-GB"/>
        </w:rPr>
        <w:t>.</w:t>
      </w:r>
      <w:r w:rsidRPr="006A6F1F">
        <w:rPr>
          <w:rStyle w:val="EndnoteReference"/>
          <w:color w:val="000000" w:themeColor="text1"/>
          <w:shd w:val="clear" w:color="auto" w:fill="FFFFFF"/>
          <w:lang w:val="en-GB"/>
        </w:rPr>
        <w:endnoteReference w:id="23"/>
      </w:r>
    </w:p>
    <w:p w14:paraId="170049A6" w14:textId="77777777" w:rsidR="001B2957" w:rsidRPr="006A6F1F" w:rsidRDefault="001B2957" w:rsidP="0085053B">
      <w:pPr>
        <w:pStyle w:val="BodyTextMain"/>
        <w:rPr>
          <w:color w:val="000000" w:themeColor="text1"/>
          <w:shd w:val="clear" w:color="auto" w:fill="FFFFFF"/>
          <w:lang w:val="en-GB"/>
        </w:rPr>
      </w:pPr>
    </w:p>
    <w:p w14:paraId="01162945" w14:textId="77777777" w:rsidR="001B2957" w:rsidRPr="006A6F1F" w:rsidRDefault="001B2957" w:rsidP="0085053B">
      <w:pPr>
        <w:pStyle w:val="BodyTextMain"/>
        <w:rPr>
          <w:color w:val="000000" w:themeColor="text1"/>
          <w:lang w:val="en-GB" w:eastAsia="en-SG"/>
        </w:rPr>
      </w:pPr>
    </w:p>
    <w:p w14:paraId="4A39E5E0" w14:textId="77777777" w:rsidR="001B2957" w:rsidRPr="006A6F1F" w:rsidRDefault="001B2957" w:rsidP="0085053B">
      <w:pPr>
        <w:pStyle w:val="Casehead1"/>
        <w:rPr>
          <w:color w:val="000000" w:themeColor="text1"/>
          <w:lang w:val="en-GB"/>
        </w:rPr>
      </w:pPr>
      <w:r w:rsidRPr="006A6F1F">
        <w:rPr>
          <w:color w:val="000000" w:themeColor="text1"/>
          <w:lang w:val="en-GB"/>
        </w:rPr>
        <w:t>Motivation FOR GOING PUBLIC</w:t>
      </w:r>
    </w:p>
    <w:p w14:paraId="2A34A9DB" w14:textId="77777777" w:rsidR="001B2957" w:rsidRPr="006A6F1F" w:rsidRDefault="001B2957" w:rsidP="0085053B">
      <w:pPr>
        <w:pStyle w:val="BodyTextMain"/>
        <w:rPr>
          <w:color w:val="000000" w:themeColor="text1"/>
          <w:lang w:val="en-GB" w:eastAsia="en-SG"/>
        </w:rPr>
      </w:pPr>
    </w:p>
    <w:p w14:paraId="4164EF94" w14:textId="76397CB4" w:rsidR="001B2957" w:rsidRPr="006A6F1F" w:rsidRDefault="001B2957" w:rsidP="0085053B">
      <w:pPr>
        <w:pStyle w:val="BodyTextMain"/>
        <w:rPr>
          <w:color w:val="000000" w:themeColor="text1"/>
          <w:lang w:val="en-GB" w:eastAsia="en-SG"/>
        </w:rPr>
      </w:pPr>
      <w:r w:rsidRPr="006A6F1F">
        <w:rPr>
          <w:color w:val="000000" w:themeColor="text1"/>
          <w:lang w:val="en-GB" w:eastAsia="en-SG"/>
        </w:rPr>
        <w:t xml:space="preserve">The IPO aimed to raise SG$40.363 million, SG$30.363 million of which would be used for general business expansion, acquisitions, and joint ventures, while the rest would be set aside for refurbishing </w:t>
      </w:r>
      <w:proofErr w:type="spellStart"/>
      <w:r w:rsidRPr="006A6F1F">
        <w:rPr>
          <w:color w:val="000000" w:themeColor="text1"/>
          <w:lang w:val="en-GB" w:eastAsia="en-SG"/>
        </w:rPr>
        <w:t>Kimly’s</w:t>
      </w:r>
      <w:proofErr w:type="spellEnd"/>
      <w:r w:rsidRPr="006A6F1F">
        <w:rPr>
          <w:color w:val="000000" w:themeColor="text1"/>
          <w:lang w:val="en-GB" w:eastAsia="en-SG"/>
        </w:rPr>
        <w:t xml:space="preserve"> exiting food outlets, upgrading its central kitchen, and enhancing productivity and information technology (see Exhibit 3). </w:t>
      </w:r>
    </w:p>
    <w:p w14:paraId="5847E35F" w14:textId="77777777" w:rsidR="001B2957" w:rsidRPr="006A6F1F" w:rsidRDefault="001B2957" w:rsidP="0085053B">
      <w:pPr>
        <w:pStyle w:val="BodyTextMain"/>
        <w:rPr>
          <w:color w:val="000000" w:themeColor="text1"/>
          <w:lang w:val="en-GB" w:eastAsia="en-SG"/>
        </w:rPr>
      </w:pPr>
    </w:p>
    <w:p w14:paraId="25FF405A" w14:textId="529C8A65" w:rsidR="001B2957" w:rsidRPr="006A6F1F" w:rsidRDefault="001B2957" w:rsidP="0085053B">
      <w:pPr>
        <w:pStyle w:val="BodyTextMain"/>
        <w:rPr>
          <w:color w:val="000000" w:themeColor="text1"/>
          <w:lang w:val="en-GB" w:eastAsia="en-SG"/>
        </w:rPr>
      </w:pPr>
      <w:r w:rsidRPr="006A6F1F">
        <w:rPr>
          <w:color w:val="000000" w:themeColor="text1"/>
          <w:lang w:val="en-GB" w:eastAsia="en-SG"/>
        </w:rPr>
        <w:t xml:space="preserve">Vincent Chia, executive director of </w:t>
      </w:r>
      <w:proofErr w:type="spellStart"/>
      <w:r w:rsidRPr="006A6F1F">
        <w:rPr>
          <w:color w:val="000000" w:themeColor="text1"/>
          <w:lang w:val="en-GB" w:eastAsia="en-SG"/>
        </w:rPr>
        <w:t>Kimly</w:t>
      </w:r>
      <w:proofErr w:type="spellEnd"/>
      <w:r w:rsidRPr="006A6F1F">
        <w:rPr>
          <w:color w:val="000000" w:themeColor="text1"/>
          <w:lang w:val="en-GB" w:eastAsia="en-SG"/>
        </w:rPr>
        <w:t>, said, “Consumer trends are changing. It’s a challenge to keep up. We’re traditional coffee boys but we are adopting technology to help us do things better.”</w:t>
      </w:r>
      <w:r w:rsidRPr="006A6F1F">
        <w:rPr>
          <w:rStyle w:val="EndnoteReference"/>
          <w:color w:val="000000" w:themeColor="text1"/>
          <w:lang w:val="en-GB" w:eastAsia="en-SG"/>
        </w:rPr>
        <w:endnoteReference w:id="24"/>
      </w:r>
      <w:r w:rsidRPr="006A6F1F">
        <w:rPr>
          <w:color w:val="000000" w:themeColor="text1"/>
          <w:lang w:val="en-GB" w:eastAsia="en-SG"/>
        </w:rPr>
        <w:t xml:space="preserve"> Real-time information enabled operation managers to monitor the performance of each stall.</w:t>
      </w:r>
      <w:r w:rsidRPr="006A6F1F">
        <w:rPr>
          <w:rStyle w:val="EndnoteReference"/>
          <w:color w:val="000000" w:themeColor="text1"/>
          <w:lang w:val="en-GB" w:eastAsia="en-SG"/>
        </w:rPr>
        <w:endnoteReference w:id="25"/>
      </w:r>
      <w:r w:rsidRPr="006A6F1F">
        <w:rPr>
          <w:color w:val="000000" w:themeColor="text1"/>
          <w:lang w:val="en-GB" w:eastAsia="en-SG"/>
        </w:rPr>
        <w:t xml:space="preserve"> Since November 2016, </w:t>
      </w:r>
      <w:proofErr w:type="spellStart"/>
      <w:r w:rsidRPr="006A6F1F">
        <w:rPr>
          <w:color w:val="000000" w:themeColor="text1"/>
          <w:lang w:val="en-GB" w:eastAsia="en-SG"/>
        </w:rPr>
        <w:t>Kimly</w:t>
      </w:r>
      <w:proofErr w:type="spellEnd"/>
      <w:r w:rsidRPr="006A6F1F">
        <w:rPr>
          <w:color w:val="000000" w:themeColor="text1"/>
          <w:lang w:val="en-GB" w:eastAsia="en-SG"/>
        </w:rPr>
        <w:t xml:space="preserve"> had partnered with </w:t>
      </w:r>
      <w:proofErr w:type="spellStart"/>
      <w:r w:rsidRPr="006A6F1F">
        <w:rPr>
          <w:color w:val="000000" w:themeColor="text1"/>
          <w:lang w:val="en-GB" w:eastAsia="en-SG"/>
        </w:rPr>
        <w:t>Deliveroo</w:t>
      </w:r>
      <w:proofErr w:type="spellEnd"/>
      <w:r w:rsidRPr="006A6F1F">
        <w:rPr>
          <w:color w:val="000000" w:themeColor="text1"/>
          <w:lang w:val="en-GB" w:eastAsia="en-SG"/>
        </w:rPr>
        <w:t xml:space="preserve"> to make its dim sum available to customers through online ordering and delivery.</w:t>
      </w:r>
      <w:r w:rsidRPr="006A6F1F">
        <w:rPr>
          <w:rStyle w:val="EndnoteReference"/>
          <w:color w:val="000000" w:themeColor="text1"/>
          <w:lang w:val="en-GB" w:eastAsia="en-SG"/>
        </w:rPr>
        <w:endnoteReference w:id="26"/>
      </w:r>
      <w:r w:rsidRPr="006A6F1F">
        <w:rPr>
          <w:color w:val="000000" w:themeColor="text1"/>
          <w:lang w:val="en-GB" w:eastAsia="en-SG"/>
        </w:rPr>
        <w:t xml:space="preserve"> It had a mobile app to track inventory at its dim sum stalls.</w:t>
      </w:r>
      <w:r w:rsidRPr="006A6F1F">
        <w:rPr>
          <w:rStyle w:val="EndnoteReference"/>
          <w:color w:val="000000" w:themeColor="text1"/>
          <w:lang w:val="en-GB" w:eastAsia="en-SG"/>
        </w:rPr>
        <w:endnoteReference w:id="27"/>
      </w:r>
      <w:r w:rsidRPr="006A6F1F">
        <w:rPr>
          <w:color w:val="000000" w:themeColor="text1"/>
          <w:lang w:val="en-GB" w:eastAsia="en-SG"/>
        </w:rPr>
        <w:t xml:space="preserve"> </w:t>
      </w:r>
      <w:proofErr w:type="spellStart"/>
      <w:r w:rsidRPr="006A6F1F">
        <w:rPr>
          <w:color w:val="000000" w:themeColor="text1"/>
          <w:lang w:val="en-GB" w:eastAsia="en-SG"/>
        </w:rPr>
        <w:t>Kimly</w:t>
      </w:r>
      <w:proofErr w:type="spellEnd"/>
      <w:r w:rsidRPr="006A6F1F">
        <w:rPr>
          <w:color w:val="000000" w:themeColor="text1"/>
          <w:lang w:val="en-GB" w:eastAsia="en-SG"/>
        </w:rPr>
        <w:t xml:space="preserve"> planned to expand online ordering to other food items such as seafood </w:t>
      </w:r>
      <w:proofErr w:type="spellStart"/>
      <w:r w:rsidRPr="006A6F1F">
        <w:rPr>
          <w:color w:val="000000" w:themeColor="text1"/>
          <w:lang w:val="en-GB" w:eastAsia="en-SG"/>
        </w:rPr>
        <w:t>zi</w:t>
      </w:r>
      <w:proofErr w:type="spellEnd"/>
      <w:r w:rsidRPr="006A6F1F">
        <w:rPr>
          <w:color w:val="000000" w:themeColor="text1"/>
          <w:lang w:val="en-GB" w:eastAsia="en-SG"/>
        </w:rPr>
        <w:t xml:space="preserve"> char.</w:t>
      </w:r>
      <w:r w:rsidRPr="006A6F1F">
        <w:rPr>
          <w:rStyle w:val="EndnoteReference"/>
          <w:color w:val="000000" w:themeColor="text1"/>
          <w:lang w:val="en-GB" w:eastAsia="en-SG"/>
        </w:rPr>
        <w:endnoteReference w:id="28"/>
      </w:r>
      <w:r w:rsidRPr="006A6F1F">
        <w:rPr>
          <w:color w:val="000000" w:themeColor="text1"/>
          <w:lang w:val="en-GB" w:eastAsia="en-SG"/>
        </w:rPr>
        <w:t xml:space="preserve"> Chia said, “Last November, we launched online delivery service for our dim sum, something that we’re looking to extend to more products. We may be </w:t>
      </w:r>
      <w:r w:rsidRPr="006A6F1F">
        <w:rPr>
          <w:color w:val="000000" w:themeColor="text1"/>
          <w:lang w:val="en-GB" w:eastAsia="en-SG"/>
        </w:rPr>
        <w:lastRenderedPageBreak/>
        <w:t xml:space="preserve">kopi </w:t>
      </w:r>
      <w:r w:rsidR="00B224EF">
        <w:rPr>
          <w:color w:val="000000" w:themeColor="text1"/>
          <w:lang w:val="en-GB" w:eastAsia="en-SG"/>
        </w:rPr>
        <w:t xml:space="preserve">[coffee] </w:t>
      </w:r>
      <w:r w:rsidRPr="006A6F1F">
        <w:rPr>
          <w:color w:val="000000" w:themeColor="text1"/>
          <w:lang w:val="en-GB" w:eastAsia="en-SG"/>
        </w:rPr>
        <w:t>boys, but we are forward-thinking kopi boys.”</w:t>
      </w:r>
      <w:r w:rsidRPr="006A6F1F">
        <w:rPr>
          <w:rStyle w:val="EndnoteReference"/>
          <w:color w:val="000000" w:themeColor="text1"/>
          <w:lang w:val="en-GB" w:eastAsia="en-SG"/>
        </w:rPr>
        <w:endnoteReference w:id="29"/>
      </w:r>
      <w:r w:rsidRPr="006A6F1F">
        <w:rPr>
          <w:color w:val="000000" w:themeColor="text1"/>
          <w:lang w:val="en-GB" w:eastAsia="en-SG"/>
        </w:rPr>
        <w:t xml:space="preserve"> </w:t>
      </w:r>
      <w:proofErr w:type="spellStart"/>
      <w:r w:rsidRPr="006A6F1F">
        <w:rPr>
          <w:color w:val="000000" w:themeColor="text1"/>
          <w:lang w:val="en-GB" w:eastAsia="en-SG"/>
        </w:rPr>
        <w:t>Kimly</w:t>
      </w:r>
      <w:proofErr w:type="spellEnd"/>
      <w:r w:rsidRPr="006A6F1F">
        <w:rPr>
          <w:color w:val="000000" w:themeColor="text1"/>
          <w:lang w:val="en-GB" w:eastAsia="en-SG"/>
        </w:rPr>
        <w:t xml:space="preserve"> had also implemented e-payments in tertiary institutions like NUS, and to cater to technology and machinery adoption it was building a four-storey annex factory to expand the capacity of its headquarters and central kitchen.</w:t>
      </w:r>
      <w:r w:rsidRPr="006A6F1F">
        <w:rPr>
          <w:rStyle w:val="EndnoteReference"/>
          <w:color w:val="000000" w:themeColor="text1"/>
          <w:lang w:val="en-GB" w:eastAsia="en-SG"/>
        </w:rPr>
        <w:endnoteReference w:id="30"/>
      </w:r>
    </w:p>
    <w:p w14:paraId="4C54926A" w14:textId="77777777" w:rsidR="001B2957" w:rsidRPr="006A6F1F" w:rsidRDefault="001B2957" w:rsidP="0085053B">
      <w:pPr>
        <w:pStyle w:val="BodyTextMain"/>
        <w:rPr>
          <w:color w:val="000000" w:themeColor="text1"/>
          <w:lang w:val="en-GB" w:eastAsia="en-SG"/>
        </w:rPr>
      </w:pPr>
    </w:p>
    <w:p w14:paraId="6381BE8D" w14:textId="5A7617C9" w:rsidR="001B2957" w:rsidRPr="006A6F1F" w:rsidRDefault="001B2957" w:rsidP="0085053B">
      <w:pPr>
        <w:pStyle w:val="BodyTextMain"/>
        <w:rPr>
          <w:color w:val="000000" w:themeColor="text1"/>
          <w:lang w:val="en-GB" w:eastAsia="en-SG"/>
        </w:rPr>
      </w:pPr>
      <w:r w:rsidRPr="006A6F1F">
        <w:rPr>
          <w:color w:val="000000" w:themeColor="text1"/>
          <w:lang w:val="en-GB" w:eastAsia="en-SG"/>
        </w:rPr>
        <w:t xml:space="preserve">As of September 2016, </w:t>
      </w:r>
      <w:proofErr w:type="spellStart"/>
      <w:r w:rsidRPr="006A6F1F">
        <w:rPr>
          <w:color w:val="000000" w:themeColor="text1"/>
          <w:lang w:val="en-GB" w:eastAsia="en-SG"/>
        </w:rPr>
        <w:t>Kimly</w:t>
      </w:r>
      <w:proofErr w:type="spellEnd"/>
      <w:r w:rsidRPr="006A6F1F">
        <w:rPr>
          <w:color w:val="000000" w:themeColor="text1"/>
          <w:lang w:val="en-GB" w:eastAsia="en-SG"/>
        </w:rPr>
        <w:t xml:space="preserve"> had a market share of 5.8 per cent, with “considerable potential to expand and acquire a larger market share in the coffee shop and food court industry.”</w:t>
      </w:r>
      <w:r w:rsidRPr="006A6F1F">
        <w:rPr>
          <w:rStyle w:val="EndnoteReference"/>
          <w:color w:val="000000" w:themeColor="text1"/>
          <w:lang w:val="en-GB" w:eastAsia="en-SG"/>
        </w:rPr>
        <w:endnoteReference w:id="31"/>
      </w:r>
      <w:r w:rsidRPr="006A6F1F">
        <w:rPr>
          <w:color w:val="000000" w:themeColor="text1"/>
          <w:lang w:val="en-GB" w:eastAsia="en-SG"/>
        </w:rPr>
        <w:t xml:space="preserve"> According to Chia, </w:t>
      </w:r>
      <w:proofErr w:type="spellStart"/>
      <w:r w:rsidRPr="006A6F1F">
        <w:rPr>
          <w:color w:val="000000" w:themeColor="text1"/>
          <w:lang w:val="en-GB" w:eastAsia="en-SG"/>
        </w:rPr>
        <w:t>Kimly’s</w:t>
      </w:r>
      <w:proofErr w:type="spellEnd"/>
      <w:r w:rsidRPr="006A6F1F">
        <w:rPr>
          <w:color w:val="000000" w:themeColor="text1"/>
          <w:lang w:val="en-GB" w:eastAsia="en-SG"/>
        </w:rPr>
        <w:t xml:space="preserve"> relationships with its stall owners set it apart; Chia noted that such relationships </w:t>
      </w:r>
      <w:r w:rsidR="00B224EF">
        <w:rPr>
          <w:color w:val="000000" w:themeColor="text1"/>
          <w:lang w:val="en-GB" w:eastAsia="en-SG"/>
        </w:rPr>
        <w:t>were</w:t>
      </w:r>
      <w:r w:rsidRPr="006A6F1F">
        <w:rPr>
          <w:color w:val="000000" w:themeColor="text1"/>
          <w:lang w:val="en-GB" w:eastAsia="en-SG"/>
        </w:rPr>
        <w:t xml:space="preserve"> “easier to build when you don’t always talk about money.”</w:t>
      </w:r>
      <w:r w:rsidRPr="006A6F1F">
        <w:rPr>
          <w:rStyle w:val="EndnoteReference"/>
          <w:color w:val="000000" w:themeColor="text1"/>
          <w:lang w:val="en-GB" w:eastAsia="en-SG"/>
        </w:rPr>
        <w:endnoteReference w:id="32"/>
      </w:r>
    </w:p>
    <w:p w14:paraId="03782375" w14:textId="77777777" w:rsidR="001B2957" w:rsidRPr="006A6F1F" w:rsidRDefault="001B2957" w:rsidP="0085053B">
      <w:pPr>
        <w:pStyle w:val="Casehead1"/>
        <w:rPr>
          <w:color w:val="000000" w:themeColor="text1"/>
          <w:lang w:val="en-GB"/>
        </w:rPr>
      </w:pPr>
    </w:p>
    <w:p w14:paraId="32F4F920" w14:textId="77777777" w:rsidR="001B2957" w:rsidRPr="006A6F1F" w:rsidRDefault="001B2957" w:rsidP="0085053B">
      <w:pPr>
        <w:pStyle w:val="BodyTextMain"/>
        <w:rPr>
          <w:color w:val="000000" w:themeColor="text1"/>
          <w:lang w:val="en-GB" w:eastAsia="en-SG"/>
        </w:rPr>
      </w:pPr>
    </w:p>
    <w:p w14:paraId="7B060E3F" w14:textId="77777777" w:rsidR="001B2957" w:rsidRPr="006A6F1F" w:rsidRDefault="001B2957" w:rsidP="0085053B">
      <w:pPr>
        <w:pStyle w:val="Casehead1"/>
        <w:rPr>
          <w:color w:val="000000" w:themeColor="text1"/>
          <w:lang w:val="en-GB"/>
        </w:rPr>
      </w:pPr>
      <w:r w:rsidRPr="006A6F1F">
        <w:rPr>
          <w:color w:val="000000" w:themeColor="text1"/>
          <w:lang w:val="en-GB"/>
        </w:rPr>
        <w:t xml:space="preserve">resilient industry </w:t>
      </w:r>
    </w:p>
    <w:p w14:paraId="325D8DFC" w14:textId="77777777" w:rsidR="001B2957" w:rsidRPr="006A6F1F" w:rsidRDefault="001B2957" w:rsidP="0085053B">
      <w:pPr>
        <w:pStyle w:val="BodyTextMain"/>
        <w:rPr>
          <w:color w:val="000000" w:themeColor="text1"/>
          <w:lang w:val="en-GB"/>
        </w:rPr>
      </w:pPr>
    </w:p>
    <w:p w14:paraId="4A1CC334" w14:textId="05A4CA8B" w:rsidR="001B2957" w:rsidRPr="00486FFE" w:rsidRDefault="001B2957" w:rsidP="009C3D5D">
      <w:pPr>
        <w:pStyle w:val="BodyTextMain"/>
        <w:rPr>
          <w:color w:val="000000" w:themeColor="text1"/>
          <w:spacing w:val="-2"/>
          <w:lang w:val="en-GB"/>
        </w:rPr>
      </w:pPr>
      <w:r w:rsidRPr="00486FFE">
        <w:rPr>
          <w:color w:val="000000" w:themeColor="text1"/>
          <w:spacing w:val="-2"/>
          <w:lang w:val="en-GB"/>
        </w:rPr>
        <w:t xml:space="preserve">According to Chia, </w:t>
      </w:r>
      <w:proofErr w:type="spellStart"/>
      <w:r w:rsidRPr="00486FFE">
        <w:rPr>
          <w:color w:val="000000" w:themeColor="text1"/>
          <w:spacing w:val="-2"/>
          <w:lang w:val="en-GB"/>
        </w:rPr>
        <w:t>Kimly’s</w:t>
      </w:r>
      <w:proofErr w:type="spellEnd"/>
      <w:r w:rsidRPr="00486FFE">
        <w:rPr>
          <w:color w:val="000000" w:themeColor="text1"/>
          <w:spacing w:val="-2"/>
          <w:lang w:val="en-GB"/>
        </w:rPr>
        <w:t xml:space="preserve"> business was highly resilient</w:t>
      </w:r>
      <w:r w:rsidR="00B224EF" w:rsidRPr="00486FFE">
        <w:rPr>
          <w:color w:val="000000" w:themeColor="text1"/>
          <w:spacing w:val="-2"/>
          <w:lang w:val="en-GB"/>
        </w:rPr>
        <w:t>,</w:t>
      </w:r>
      <w:r w:rsidRPr="00486FFE">
        <w:rPr>
          <w:color w:val="000000" w:themeColor="text1"/>
          <w:spacing w:val="-2"/>
          <w:lang w:val="en-GB"/>
        </w:rPr>
        <w:t xml:space="preserve"> with strong cash flows and healthy growth: “We are in a defensive industry that serves a very fundamental market need. This is really a grassroots business—everyone can walk in and have a nice meal at a very affordable price. We don’t talk about income brackets.”</w:t>
      </w:r>
      <w:r w:rsidRPr="00486FFE">
        <w:rPr>
          <w:rStyle w:val="EndnoteReference"/>
          <w:color w:val="000000" w:themeColor="text1"/>
          <w:spacing w:val="-2"/>
          <w:lang w:val="en-GB"/>
        </w:rPr>
        <w:endnoteReference w:id="33"/>
      </w:r>
      <w:r w:rsidRPr="00486FFE">
        <w:rPr>
          <w:color w:val="000000" w:themeColor="text1"/>
          <w:spacing w:val="-2"/>
          <w:lang w:val="en-GB"/>
        </w:rPr>
        <w:t xml:space="preserve"> </w:t>
      </w:r>
    </w:p>
    <w:p w14:paraId="4C7986BE" w14:textId="77777777" w:rsidR="001B2957" w:rsidRPr="00486FFE" w:rsidRDefault="001B2957" w:rsidP="009C3D5D">
      <w:pPr>
        <w:pStyle w:val="BodyTextMain"/>
        <w:rPr>
          <w:color w:val="000000" w:themeColor="text1"/>
          <w:spacing w:val="-2"/>
          <w:lang w:val="en-GB"/>
        </w:rPr>
      </w:pPr>
    </w:p>
    <w:p w14:paraId="6D331398" w14:textId="2CD8A716" w:rsidR="001B2957" w:rsidRPr="00D7610B" w:rsidRDefault="001B2957" w:rsidP="009C3D5D">
      <w:pPr>
        <w:jc w:val="both"/>
        <w:rPr>
          <w:color w:val="000000" w:themeColor="text1"/>
          <w:sz w:val="22"/>
          <w:szCs w:val="22"/>
          <w:lang w:val="en-GB"/>
        </w:rPr>
      </w:pPr>
      <w:r w:rsidRPr="00D7610B">
        <w:rPr>
          <w:color w:val="000000" w:themeColor="text1"/>
          <w:sz w:val="22"/>
          <w:szCs w:val="22"/>
          <w:lang w:val="en-GB"/>
        </w:rPr>
        <w:t xml:space="preserve">Singapore’s gross domestic product (GDP) and population were growing steadily, as were the number of food establishments (see Exhibit </w:t>
      </w:r>
      <w:r w:rsidR="00B9262B" w:rsidRPr="00D7610B">
        <w:rPr>
          <w:color w:val="000000" w:themeColor="text1"/>
          <w:sz w:val="22"/>
          <w:szCs w:val="22"/>
          <w:lang w:val="en-GB"/>
        </w:rPr>
        <w:t>4</w:t>
      </w:r>
      <w:r w:rsidRPr="00D7610B">
        <w:rPr>
          <w:color w:val="000000" w:themeColor="text1"/>
          <w:sz w:val="22"/>
          <w:szCs w:val="22"/>
          <w:lang w:val="en-GB"/>
        </w:rPr>
        <w:t>). The food industry looked set to enjoy a stable macroeconomic outlook going forward.  </w:t>
      </w:r>
    </w:p>
    <w:p w14:paraId="5B838FA0" w14:textId="77777777" w:rsidR="001B2957" w:rsidRPr="00486FFE" w:rsidRDefault="001B2957" w:rsidP="009C3D5D">
      <w:pPr>
        <w:jc w:val="both"/>
        <w:rPr>
          <w:color w:val="000000" w:themeColor="text1"/>
          <w:spacing w:val="-2"/>
          <w:sz w:val="22"/>
          <w:szCs w:val="22"/>
          <w:lang w:val="en-GB"/>
        </w:rPr>
      </w:pPr>
    </w:p>
    <w:p w14:paraId="6129CC0F" w14:textId="6585C3FE" w:rsidR="001B2957" w:rsidRPr="00486FFE" w:rsidRDefault="001B2957" w:rsidP="00BA3B05">
      <w:pPr>
        <w:pStyle w:val="BodyTextMain"/>
        <w:rPr>
          <w:color w:val="000000" w:themeColor="text1"/>
          <w:spacing w:val="-2"/>
          <w:lang w:val="en-GB"/>
        </w:rPr>
      </w:pPr>
      <w:r w:rsidRPr="00486FFE">
        <w:rPr>
          <w:color w:val="000000" w:themeColor="text1"/>
          <w:spacing w:val="-2"/>
          <w:lang w:val="en-GB"/>
        </w:rPr>
        <w:t xml:space="preserve">Mark </w:t>
      </w:r>
      <w:proofErr w:type="spellStart"/>
      <w:r w:rsidRPr="00486FFE">
        <w:rPr>
          <w:color w:val="000000" w:themeColor="text1"/>
          <w:spacing w:val="-2"/>
          <w:lang w:val="en-GB"/>
        </w:rPr>
        <w:t>Liew</w:t>
      </w:r>
      <w:proofErr w:type="spellEnd"/>
      <w:r w:rsidRPr="00486FFE">
        <w:rPr>
          <w:color w:val="000000" w:themeColor="text1"/>
          <w:spacing w:val="-2"/>
          <w:lang w:val="en-GB"/>
        </w:rPr>
        <w:t xml:space="preserve">, the chief operating officer of </w:t>
      </w:r>
      <w:proofErr w:type="spellStart"/>
      <w:r w:rsidRPr="00486FFE">
        <w:rPr>
          <w:color w:val="000000" w:themeColor="text1"/>
          <w:spacing w:val="-2"/>
          <w:lang w:val="en-GB"/>
        </w:rPr>
        <w:t>PrimePartners</w:t>
      </w:r>
      <w:proofErr w:type="spellEnd"/>
      <w:r w:rsidRPr="00486FFE">
        <w:rPr>
          <w:color w:val="000000" w:themeColor="text1"/>
          <w:spacing w:val="-2"/>
          <w:lang w:val="en-GB"/>
        </w:rPr>
        <w:t xml:space="preserve"> Corporate Finance, which was the issue sponsor and manager, pointed out that </w:t>
      </w:r>
      <w:proofErr w:type="spellStart"/>
      <w:r w:rsidRPr="00486FFE">
        <w:rPr>
          <w:color w:val="000000" w:themeColor="text1"/>
          <w:spacing w:val="-2"/>
          <w:lang w:val="en-GB"/>
        </w:rPr>
        <w:t>Kimly</w:t>
      </w:r>
      <w:proofErr w:type="spellEnd"/>
      <w:r w:rsidRPr="00486FFE">
        <w:rPr>
          <w:color w:val="000000" w:themeColor="text1"/>
          <w:spacing w:val="-2"/>
          <w:lang w:val="en-GB"/>
        </w:rPr>
        <w:t xml:space="preserve"> had reported steadily growing revenue and profits for the last three financial years and generated strong cash flows from operations. He expected that the IPO would be “well received.”</w:t>
      </w:r>
      <w:r w:rsidRPr="00486FFE">
        <w:rPr>
          <w:rStyle w:val="EndnoteReference"/>
          <w:color w:val="000000" w:themeColor="text1"/>
          <w:spacing w:val="-2"/>
          <w:lang w:val="en-GB"/>
        </w:rPr>
        <w:endnoteReference w:id="34"/>
      </w:r>
    </w:p>
    <w:p w14:paraId="1B863A9C" w14:textId="77777777" w:rsidR="001B2957" w:rsidRPr="00486FFE" w:rsidRDefault="001B2957" w:rsidP="00BA3B05">
      <w:pPr>
        <w:pStyle w:val="BodyTextMain"/>
        <w:rPr>
          <w:color w:val="000000" w:themeColor="text1"/>
          <w:spacing w:val="-2"/>
          <w:lang w:val="en-GB"/>
        </w:rPr>
      </w:pPr>
      <w:r w:rsidRPr="00486FFE">
        <w:rPr>
          <w:color w:val="000000" w:themeColor="text1"/>
          <w:spacing w:val="-2"/>
          <w:lang w:val="en-GB"/>
        </w:rPr>
        <w:t xml:space="preserve"> </w:t>
      </w:r>
    </w:p>
    <w:p w14:paraId="07834060" w14:textId="15BAFDCA" w:rsidR="001B2957" w:rsidRPr="00486FFE" w:rsidRDefault="001B2957" w:rsidP="00BA3B05">
      <w:pPr>
        <w:pStyle w:val="BodyTextMain"/>
        <w:rPr>
          <w:color w:val="000000" w:themeColor="text1"/>
          <w:spacing w:val="-2"/>
          <w:lang w:val="en-GB"/>
        </w:rPr>
      </w:pPr>
      <w:r w:rsidRPr="00486FFE">
        <w:rPr>
          <w:color w:val="000000" w:themeColor="text1"/>
          <w:spacing w:val="-2"/>
          <w:lang w:val="en-GB"/>
        </w:rPr>
        <w:t xml:space="preserve">Revenue had increased from SG$148.9 million in 2014 to reach SG$172.2 million by September 2016, with </w:t>
      </w:r>
      <w:r w:rsidR="00EA0B91" w:rsidRPr="00486FFE">
        <w:rPr>
          <w:color w:val="000000" w:themeColor="text1"/>
          <w:spacing w:val="-2"/>
          <w:lang w:val="en-GB"/>
        </w:rPr>
        <w:t>net income</w:t>
      </w:r>
      <w:r w:rsidRPr="00486FFE">
        <w:rPr>
          <w:color w:val="000000" w:themeColor="text1"/>
          <w:spacing w:val="-2"/>
          <w:lang w:val="en-GB"/>
        </w:rPr>
        <w:t xml:space="preserve"> of SG$24.2 million (see Exhibits </w:t>
      </w:r>
      <w:r w:rsidR="00B9262B" w:rsidRPr="00486FFE">
        <w:rPr>
          <w:color w:val="000000" w:themeColor="text1"/>
          <w:spacing w:val="-2"/>
          <w:lang w:val="en-GB"/>
        </w:rPr>
        <w:t xml:space="preserve">5 </w:t>
      </w:r>
      <w:r w:rsidRPr="00486FFE">
        <w:rPr>
          <w:color w:val="000000" w:themeColor="text1"/>
          <w:spacing w:val="-2"/>
          <w:lang w:val="en-GB"/>
        </w:rPr>
        <w:t xml:space="preserve">and </w:t>
      </w:r>
      <w:r w:rsidR="00B9262B" w:rsidRPr="00486FFE">
        <w:rPr>
          <w:color w:val="000000" w:themeColor="text1"/>
          <w:spacing w:val="-2"/>
          <w:lang w:val="en-GB"/>
        </w:rPr>
        <w:t>6</w:t>
      </w:r>
      <w:r w:rsidRPr="00486FFE">
        <w:rPr>
          <w:color w:val="000000" w:themeColor="text1"/>
          <w:spacing w:val="-2"/>
          <w:lang w:val="en-GB"/>
        </w:rPr>
        <w:t xml:space="preserve">). Cash and bank balances amounted to SG$29.4 million in 2016, and </w:t>
      </w:r>
      <w:proofErr w:type="spellStart"/>
      <w:r w:rsidRPr="00486FFE">
        <w:rPr>
          <w:color w:val="000000" w:themeColor="text1"/>
          <w:spacing w:val="-2"/>
          <w:lang w:val="en-GB"/>
        </w:rPr>
        <w:t>Kimly</w:t>
      </w:r>
      <w:proofErr w:type="spellEnd"/>
      <w:r w:rsidRPr="00486FFE">
        <w:rPr>
          <w:color w:val="000000" w:themeColor="text1"/>
          <w:spacing w:val="-2"/>
          <w:lang w:val="en-GB"/>
        </w:rPr>
        <w:t xml:space="preserve"> had no outstanding debt (see Exhibit </w:t>
      </w:r>
      <w:r w:rsidR="00B9262B" w:rsidRPr="00486FFE">
        <w:rPr>
          <w:color w:val="000000" w:themeColor="text1"/>
          <w:spacing w:val="-2"/>
          <w:lang w:val="en-GB"/>
        </w:rPr>
        <w:t>7</w:t>
      </w:r>
      <w:r w:rsidRPr="00486FFE">
        <w:rPr>
          <w:color w:val="000000" w:themeColor="text1"/>
          <w:spacing w:val="-2"/>
          <w:lang w:val="en-GB"/>
        </w:rPr>
        <w:t>).</w:t>
      </w:r>
    </w:p>
    <w:p w14:paraId="51496436" w14:textId="77777777" w:rsidR="001B2957" w:rsidRPr="00486FFE" w:rsidRDefault="001B2957" w:rsidP="009C3D5D">
      <w:pPr>
        <w:jc w:val="both"/>
        <w:rPr>
          <w:color w:val="000000" w:themeColor="text1"/>
          <w:spacing w:val="-2"/>
          <w:sz w:val="22"/>
          <w:szCs w:val="22"/>
          <w:lang w:val="en-GB"/>
        </w:rPr>
      </w:pPr>
    </w:p>
    <w:p w14:paraId="07965472" w14:textId="77777777" w:rsidR="001B2957" w:rsidRPr="006A6F1F" w:rsidRDefault="001B2957" w:rsidP="009C3D5D">
      <w:pPr>
        <w:jc w:val="both"/>
        <w:rPr>
          <w:color w:val="000000" w:themeColor="text1"/>
          <w:sz w:val="22"/>
          <w:szCs w:val="22"/>
          <w:lang w:val="en-GB"/>
        </w:rPr>
      </w:pPr>
    </w:p>
    <w:p w14:paraId="2D325150" w14:textId="1DFAEE3F" w:rsidR="001B2957" w:rsidRPr="006A6F1F" w:rsidRDefault="001B2957" w:rsidP="00BA3B05">
      <w:pPr>
        <w:pStyle w:val="Casehead1"/>
        <w:rPr>
          <w:color w:val="000000" w:themeColor="text1"/>
          <w:lang w:val="en-GB"/>
        </w:rPr>
      </w:pPr>
      <w:r w:rsidRPr="006A6F1F">
        <w:rPr>
          <w:color w:val="000000" w:themeColor="text1"/>
          <w:lang w:val="en-GB"/>
        </w:rPr>
        <w:t>neighbo</w:t>
      </w:r>
      <w:r w:rsidR="00B224EF">
        <w:rPr>
          <w:color w:val="000000" w:themeColor="text1"/>
          <w:lang w:val="en-GB"/>
        </w:rPr>
        <w:t>U</w:t>
      </w:r>
      <w:r w:rsidRPr="006A6F1F">
        <w:rPr>
          <w:color w:val="000000" w:themeColor="text1"/>
          <w:lang w:val="en-GB"/>
        </w:rPr>
        <w:t xml:space="preserve">rhood coffee shops </w:t>
      </w:r>
    </w:p>
    <w:p w14:paraId="7E6630DE" w14:textId="77777777" w:rsidR="001B2957" w:rsidRPr="006A6F1F" w:rsidRDefault="001B2957" w:rsidP="00D7610B">
      <w:pPr>
        <w:pStyle w:val="BodyTextMain"/>
        <w:rPr>
          <w:lang w:val="en-GB"/>
        </w:rPr>
      </w:pPr>
    </w:p>
    <w:p w14:paraId="38E6739C" w14:textId="6FCA5DC5" w:rsidR="001B2957" w:rsidRPr="006A6F1F" w:rsidRDefault="001B2957" w:rsidP="00D7610B">
      <w:pPr>
        <w:pStyle w:val="BodyTextMain"/>
        <w:rPr>
          <w:lang w:val="en-GB" w:eastAsia="en-SG"/>
        </w:rPr>
      </w:pPr>
      <w:r w:rsidRPr="006A6F1F">
        <w:rPr>
          <w:shd w:val="clear" w:color="auto" w:fill="FFFFFF"/>
          <w:lang w:val="en-GB"/>
        </w:rPr>
        <w:t>In the heartlands of Singapore, coffee shops were a common sight.</w:t>
      </w:r>
      <w:r w:rsidRPr="006A6F1F">
        <w:rPr>
          <w:rStyle w:val="EndnoteReference"/>
          <w:color w:val="000000" w:themeColor="text1"/>
          <w:shd w:val="clear" w:color="auto" w:fill="FFFFFF"/>
          <w:lang w:val="en-GB"/>
        </w:rPr>
        <w:endnoteReference w:id="35"/>
      </w:r>
      <w:r w:rsidRPr="006A6F1F">
        <w:rPr>
          <w:shd w:val="clear" w:color="auto" w:fill="FFFFFF"/>
          <w:lang w:val="en-GB"/>
        </w:rPr>
        <w:t xml:space="preserve"> They usually comprised a handful of food stalls in a non-</w:t>
      </w:r>
      <w:r w:rsidR="00B15279" w:rsidRPr="006A6F1F">
        <w:rPr>
          <w:shd w:val="clear" w:color="auto" w:fill="FFFFFF"/>
          <w:lang w:val="en-GB"/>
        </w:rPr>
        <w:t>air</w:t>
      </w:r>
      <w:r w:rsidR="00B15279">
        <w:rPr>
          <w:shd w:val="clear" w:color="auto" w:fill="FFFFFF"/>
          <w:lang w:val="en-GB"/>
        </w:rPr>
        <w:t>-</w:t>
      </w:r>
      <w:r w:rsidRPr="006A6F1F">
        <w:rPr>
          <w:shd w:val="clear" w:color="auto" w:fill="FFFFFF"/>
          <w:lang w:val="en-GB"/>
        </w:rPr>
        <w:t>conditioned setting, located on the ground floor of Housing &amp; Development Board (HDB) flats—public housing that provided homes to 80 per cent of Singapore’s population.</w:t>
      </w:r>
      <w:r w:rsidRPr="006A6F1F">
        <w:rPr>
          <w:rStyle w:val="EndnoteReference"/>
          <w:color w:val="000000" w:themeColor="text1"/>
          <w:shd w:val="clear" w:color="auto" w:fill="FFFFFF"/>
          <w:lang w:val="en-GB"/>
        </w:rPr>
        <w:endnoteReference w:id="36"/>
      </w:r>
      <w:r w:rsidRPr="006A6F1F">
        <w:rPr>
          <w:shd w:val="clear" w:color="auto" w:fill="FFFFFF"/>
          <w:lang w:val="en-GB"/>
        </w:rPr>
        <w:t xml:space="preserve"> These coffee shops served cheap breakfasts of coffee, soft-boiled eggs, and toast, and other simple meals like chicken curry with roti </w:t>
      </w:r>
      <w:proofErr w:type="spellStart"/>
      <w:r w:rsidRPr="006A6F1F">
        <w:rPr>
          <w:shd w:val="clear" w:color="auto" w:fill="FFFFFF"/>
          <w:lang w:val="en-GB"/>
        </w:rPr>
        <w:t>prata</w:t>
      </w:r>
      <w:proofErr w:type="spellEnd"/>
      <w:r w:rsidRPr="006A6F1F">
        <w:rPr>
          <w:shd w:val="clear" w:color="auto" w:fill="FFFFFF"/>
          <w:lang w:val="en-GB"/>
        </w:rPr>
        <w:t xml:space="preserve"> (Indian bread), w</w:t>
      </w:r>
      <w:r w:rsidR="00D7610B">
        <w:rPr>
          <w:shd w:val="clear" w:color="auto" w:fill="FFFFFF"/>
          <w:lang w:val="en-GB"/>
        </w:rPr>
        <w:t>o</w:t>
      </w:r>
      <w:r w:rsidRPr="006A6F1F">
        <w:rPr>
          <w:shd w:val="clear" w:color="auto" w:fill="FFFFFF"/>
          <w:lang w:val="en-GB"/>
        </w:rPr>
        <w:t xml:space="preserve">nton noodles, and fish-ball noodles. Later in the day, the menu would change to cater to the lunch and dinner crowds. </w:t>
      </w:r>
      <w:proofErr w:type="spellStart"/>
      <w:r w:rsidRPr="006A6F1F">
        <w:rPr>
          <w:lang w:val="en-GB" w:eastAsia="en-SG"/>
        </w:rPr>
        <w:t>Kimly</w:t>
      </w:r>
      <w:proofErr w:type="spellEnd"/>
      <w:r w:rsidRPr="006A6F1F">
        <w:rPr>
          <w:lang w:val="en-GB" w:eastAsia="en-SG"/>
        </w:rPr>
        <w:t xml:space="preserve"> believed that the growing Singapore population and corresponding increase in the number of heartland residents, who were the company’s main target customers, would have a positive impact on its business.</w:t>
      </w:r>
      <w:r w:rsidRPr="006A6F1F">
        <w:rPr>
          <w:rStyle w:val="EndnoteReference"/>
          <w:color w:val="000000" w:themeColor="text1"/>
          <w:lang w:val="en-GB" w:eastAsia="en-SG"/>
        </w:rPr>
        <w:endnoteReference w:id="37"/>
      </w:r>
    </w:p>
    <w:p w14:paraId="7BEDFF8F" w14:textId="77777777" w:rsidR="001B2957" w:rsidRPr="006A6F1F" w:rsidRDefault="001B2957" w:rsidP="00D7610B">
      <w:pPr>
        <w:pStyle w:val="BodyTextMain"/>
        <w:rPr>
          <w:shd w:val="clear" w:color="auto" w:fill="FFFFFF"/>
          <w:lang w:val="en-GB"/>
        </w:rPr>
      </w:pPr>
    </w:p>
    <w:p w14:paraId="7472139F" w14:textId="77777777" w:rsidR="001B2957" w:rsidRPr="006A6F1F" w:rsidRDefault="001B2957" w:rsidP="0085053B">
      <w:pPr>
        <w:pStyle w:val="BodyTextMain"/>
        <w:rPr>
          <w:color w:val="000000" w:themeColor="text1"/>
          <w:lang w:val="en-GB"/>
        </w:rPr>
      </w:pPr>
    </w:p>
    <w:p w14:paraId="5767B292" w14:textId="77777777" w:rsidR="001B2957" w:rsidRPr="006A6F1F" w:rsidRDefault="001B2957" w:rsidP="00BA3B05">
      <w:pPr>
        <w:pStyle w:val="Casehead1"/>
        <w:rPr>
          <w:color w:val="000000" w:themeColor="text1"/>
          <w:lang w:val="en-GB"/>
        </w:rPr>
      </w:pPr>
      <w:r w:rsidRPr="006A6F1F">
        <w:rPr>
          <w:color w:val="000000" w:themeColor="text1"/>
          <w:lang w:val="en-GB"/>
        </w:rPr>
        <w:t xml:space="preserve">air-conditioned food courts </w:t>
      </w:r>
    </w:p>
    <w:p w14:paraId="403A75F6" w14:textId="77777777" w:rsidR="001B2957" w:rsidRPr="006A6F1F" w:rsidRDefault="001B2957" w:rsidP="00BA3B05">
      <w:pPr>
        <w:jc w:val="both"/>
        <w:rPr>
          <w:color w:val="000000" w:themeColor="text1"/>
          <w:sz w:val="22"/>
          <w:szCs w:val="22"/>
          <w:lang w:val="en-GB"/>
        </w:rPr>
      </w:pPr>
    </w:p>
    <w:p w14:paraId="1DCC3FED" w14:textId="53A8C8C5" w:rsidR="001B2957" w:rsidRPr="006A6F1F" w:rsidRDefault="001B2957" w:rsidP="004863FD">
      <w:pPr>
        <w:pStyle w:val="BodyTextMain"/>
        <w:rPr>
          <w:color w:val="000000" w:themeColor="text1"/>
          <w:shd w:val="clear" w:color="auto" w:fill="FFFFFF"/>
          <w:lang w:val="en-GB"/>
        </w:rPr>
      </w:pPr>
      <w:r w:rsidRPr="006A6F1F">
        <w:rPr>
          <w:color w:val="000000" w:themeColor="text1"/>
          <w:shd w:val="clear" w:color="auto" w:fill="FFFFFF"/>
          <w:lang w:val="en-GB"/>
        </w:rPr>
        <w:t>Away from the HDB flats, air-conditioned food courts were more common.</w:t>
      </w:r>
      <w:r w:rsidRPr="006A6F1F">
        <w:rPr>
          <w:rStyle w:val="EndnoteReference"/>
          <w:color w:val="000000" w:themeColor="text1"/>
          <w:shd w:val="clear" w:color="auto" w:fill="FFFFFF"/>
          <w:lang w:val="en-GB"/>
        </w:rPr>
        <w:endnoteReference w:id="38"/>
      </w:r>
      <w:r w:rsidRPr="006A6F1F">
        <w:rPr>
          <w:color w:val="000000" w:themeColor="text1"/>
          <w:shd w:val="clear" w:color="auto" w:fill="FFFFFF"/>
          <w:lang w:val="en-GB"/>
        </w:rPr>
        <w:t xml:space="preserve"> These were normally located in shopping malls and the city centre. The range of dishes here was not much different from those found in coffee shops, but the prices reflected the higher rents borne by the stall holders.</w:t>
      </w:r>
    </w:p>
    <w:p w14:paraId="3FBD2D9B" w14:textId="77777777" w:rsidR="001B2957" w:rsidRPr="006A6F1F" w:rsidRDefault="001B2957" w:rsidP="004863FD">
      <w:pPr>
        <w:pStyle w:val="BodyTextMain"/>
        <w:rPr>
          <w:color w:val="000000" w:themeColor="text1"/>
          <w:shd w:val="clear" w:color="auto" w:fill="FFFFFF"/>
          <w:lang w:val="en-GB"/>
        </w:rPr>
      </w:pPr>
    </w:p>
    <w:p w14:paraId="578B6A39" w14:textId="36D2F2B4" w:rsidR="001B2957" w:rsidRPr="006A6F1F" w:rsidRDefault="001B2957" w:rsidP="004863FD">
      <w:pPr>
        <w:pStyle w:val="BodyTextMain"/>
        <w:rPr>
          <w:color w:val="000000" w:themeColor="text1"/>
          <w:shd w:val="clear" w:color="auto" w:fill="FFFFFF"/>
          <w:lang w:val="en-GB"/>
        </w:rPr>
      </w:pPr>
      <w:r w:rsidRPr="006A6F1F">
        <w:rPr>
          <w:color w:val="000000" w:themeColor="text1"/>
          <w:lang w:val="en-GB" w:eastAsia="en-SG"/>
        </w:rPr>
        <w:t xml:space="preserve">The announcement of the Singapore government’s proposed plans to develop a second central business district in the </w:t>
      </w:r>
      <w:proofErr w:type="spellStart"/>
      <w:r w:rsidRPr="006A6F1F">
        <w:rPr>
          <w:color w:val="000000" w:themeColor="text1"/>
          <w:lang w:val="en-GB" w:eastAsia="en-SG"/>
        </w:rPr>
        <w:t>Jurong</w:t>
      </w:r>
      <w:proofErr w:type="spellEnd"/>
      <w:r w:rsidRPr="006A6F1F">
        <w:rPr>
          <w:color w:val="000000" w:themeColor="text1"/>
          <w:lang w:val="en-GB" w:eastAsia="en-SG"/>
        </w:rPr>
        <w:t xml:space="preserve"> Lake district was a big source of optimism for </w:t>
      </w:r>
      <w:proofErr w:type="spellStart"/>
      <w:r w:rsidRPr="006A6F1F">
        <w:rPr>
          <w:color w:val="000000" w:themeColor="text1"/>
          <w:lang w:val="en-GB" w:eastAsia="en-SG"/>
        </w:rPr>
        <w:t>Kimly</w:t>
      </w:r>
      <w:proofErr w:type="spellEnd"/>
      <w:r w:rsidRPr="006A6F1F">
        <w:rPr>
          <w:color w:val="000000" w:themeColor="text1"/>
          <w:lang w:val="en-GB" w:eastAsia="en-SG"/>
        </w:rPr>
        <w:t>, which had operated in the area since 1997 and already had nine coffee shops, two industrial canteens</w:t>
      </w:r>
      <w:r w:rsidR="00B224EF">
        <w:rPr>
          <w:color w:val="000000" w:themeColor="text1"/>
          <w:lang w:val="en-GB" w:eastAsia="en-SG"/>
        </w:rPr>
        <w:t>,</w:t>
      </w:r>
      <w:r w:rsidRPr="006A6F1F">
        <w:rPr>
          <w:color w:val="000000" w:themeColor="text1"/>
          <w:lang w:val="en-GB" w:eastAsia="en-SG"/>
        </w:rPr>
        <w:t xml:space="preserve"> and 24 food stalls there.</w:t>
      </w:r>
      <w:r w:rsidRPr="006A6F1F">
        <w:rPr>
          <w:rStyle w:val="EndnoteReference"/>
          <w:color w:val="000000" w:themeColor="text1"/>
          <w:shd w:val="clear" w:color="auto" w:fill="FFFFFF"/>
          <w:lang w:val="en-GB"/>
        </w:rPr>
        <w:endnoteReference w:id="39"/>
      </w:r>
    </w:p>
    <w:p w14:paraId="1A770186" w14:textId="77777777" w:rsidR="001B2957" w:rsidRPr="006A6F1F" w:rsidRDefault="001B2957" w:rsidP="00BA3B05">
      <w:pPr>
        <w:pStyle w:val="BodyTextMain"/>
        <w:rPr>
          <w:rFonts w:ascii="Arial" w:hAnsi="Arial" w:cs="Arial"/>
          <w:color w:val="000000" w:themeColor="text1"/>
          <w:sz w:val="26"/>
          <w:szCs w:val="26"/>
          <w:shd w:val="clear" w:color="auto" w:fill="F6F6F6"/>
          <w:lang w:val="en-GB"/>
        </w:rPr>
      </w:pPr>
    </w:p>
    <w:p w14:paraId="36DDD56F" w14:textId="77777777" w:rsidR="001B2957" w:rsidRPr="006A6F1F" w:rsidRDefault="001B2957" w:rsidP="00F40BA8">
      <w:pPr>
        <w:pStyle w:val="Casehead1"/>
        <w:rPr>
          <w:color w:val="000000" w:themeColor="text1"/>
          <w:lang w:val="en-GB"/>
        </w:rPr>
      </w:pPr>
      <w:r w:rsidRPr="006A6F1F">
        <w:rPr>
          <w:color w:val="000000" w:themeColor="text1"/>
          <w:lang w:val="en-GB"/>
        </w:rPr>
        <w:t>Risk Factors</w:t>
      </w:r>
    </w:p>
    <w:p w14:paraId="7751E554" w14:textId="77777777" w:rsidR="001B2957" w:rsidRPr="006A6F1F" w:rsidRDefault="001B2957" w:rsidP="00F40BA8">
      <w:pPr>
        <w:pStyle w:val="BodyTextMain"/>
        <w:rPr>
          <w:color w:val="000000" w:themeColor="text1"/>
          <w:lang w:val="en-GB" w:eastAsia="en-SG"/>
        </w:rPr>
      </w:pPr>
    </w:p>
    <w:p w14:paraId="1BD7B7D6" w14:textId="4C329F94" w:rsidR="001B2957" w:rsidRPr="006A6F1F" w:rsidRDefault="001B2957" w:rsidP="00F40BA8">
      <w:pPr>
        <w:pStyle w:val="BodyTextMain"/>
        <w:rPr>
          <w:color w:val="000000" w:themeColor="text1"/>
          <w:lang w:val="en-GB" w:eastAsia="en-SG"/>
        </w:rPr>
      </w:pPr>
      <w:proofErr w:type="spellStart"/>
      <w:r w:rsidRPr="006A6F1F">
        <w:rPr>
          <w:color w:val="000000" w:themeColor="text1"/>
          <w:lang w:val="en-GB" w:eastAsia="en-SG"/>
        </w:rPr>
        <w:t>Kimly</w:t>
      </w:r>
      <w:proofErr w:type="spellEnd"/>
      <w:r w:rsidRPr="006A6F1F">
        <w:rPr>
          <w:color w:val="000000" w:themeColor="text1"/>
          <w:lang w:val="en-GB" w:eastAsia="en-SG"/>
        </w:rPr>
        <w:t xml:space="preserve"> faced competition not just from established players but also from newcomers in an industry with low barriers to entry. While it might possess branding and reputation, there were many establishments with similar dining concepts, experiences, pricing, and design. </w:t>
      </w:r>
    </w:p>
    <w:p w14:paraId="3DB44B02" w14:textId="77777777" w:rsidR="001B2957" w:rsidRPr="006A6F1F" w:rsidRDefault="001B2957" w:rsidP="00F40BA8">
      <w:pPr>
        <w:pStyle w:val="BodyTextMain"/>
        <w:rPr>
          <w:color w:val="000000" w:themeColor="text1"/>
          <w:lang w:val="en-GB" w:eastAsia="en-SG"/>
        </w:rPr>
      </w:pPr>
    </w:p>
    <w:p w14:paraId="48AE6364" w14:textId="3BD3B37F" w:rsidR="001B2957" w:rsidRPr="006A6F1F" w:rsidRDefault="001B2957" w:rsidP="00F40BA8">
      <w:pPr>
        <w:pStyle w:val="BodyTextMain"/>
        <w:rPr>
          <w:color w:val="000000" w:themeColor="text1"/>
          <w:lang w:val="en-GB" w:eastAsia="en-SG"/>
        </w:rPr>
      </w:pPr>
      <w:r w:rsidRPr="006A6F1F">
        <w:rPr>
          <w:color w:val="000000" w:themeColor="text1"/>
          <w:lang w:val="en-GB" w:eastAsia="en-SG"/>
        </w:rPr>
        <w:t>One of the key risk factors in the food and beverage industry was the potential for outbreaks of food related diseases, the spread of contagious virulent diseases, or food contamination and food tampering—all of which might lead to a reduction in consumption of the affected type of meat or food. Such outbreaks might lead to a loss of consumer confidence and affect the patronage at the affected food outlets.</w:t>
      </w:r>
      <w:r w:rsidRPr="006A6F1F">
        <w:rPr>
          <w:rStyle w:val="EndnoteReference"/>
          <w:color w:val="000000" w:themeColor="text1"/>
          <w:lang w:val="en-GB" w:eastAsia="en-SG"/>
        </w:rPr>
        <w:endnoteReference w:id="40"/>
      </w:r>
    </w:p>
    <w:p w14:paraId="6527E119" w14:textId="77777777" w:rsidR="001B2957" w:rsidRPr="006A6F1F" w:rsidRDefault="001B2957" w:rsidP="00F40BA8">
      <w:pPr>
        <w:pStyle w:val="BodyTextMain"/>
        <w:rPr>
          <w:color w:val="000000" w:themeColor="text1"/>
          <w:lang w:val="en-GB" w:eastAsia="en-SG"/>
        </w:rPr>
      </w:pPr>
    </w:p>
    <w:p w14:paraId="45F359E4" w14:textId="3135EE60" w:rsidR="001B2957" w:rsidRPr="006A6F1F" w:rsidRDefault="001B2957" w:rsidP="00F40BA8">
      <w:pPr>
        <w:pStyle w:val="BodyTextMain"/>
        <w:rPr>
          <w:color w:val="000000" w:themeColor="text1"/>
          <w:lang w:val="en-GB" w:eastAsia="en-SG"/>
        </w:rPr>
      </w:pPr>
      <w:r w:rsidRPr="006A6F1F">
        <w:rPr>
          <w:color w:val="000000" w:themeColor="text1"/>
          <w:lang w:val="en-GB" w:eastAsia="en-SG"/>
        </w:rPr>
        <w:t xml:space="preserve">As with any business expansion, </w:t>
      </w:r>
      <w:proofErr w:type="spellStart"/>
      <w:r w:rsidRPr="006A6F1F">
        <w:rPr>
          <w:color w:val="000000" w:themeColor="text1"/>
          <w:lang w:val="en-GB" w:eastAsia="en-SG"/>
        </w:rPr>
        <w:t>Kimly</w:t>
      </w:r>
      <w:proofErr w:type="spellEnd"/>
      <w:r w:rsidRPr="006A6F1F">
        <w:rPr>
          <w:color w:val="000000" w:themeColor="text1"/>
          <w:lang w:val="en-GB" w:eastAsia="en-SG"/>
        </w:rPr>
        <w:t xml:space="preserve"> had to be mindful of market-wide risks such as changes in global and local economic conditions, market sentiment, and funding costs</w:t>
      </w:r>
      <w:r w:rsidR="00B224EF">
        <w:rPr>
          <w:color w:val="000000" w:themeColor="text1"/>
          <w:lang w:val="en-GB" w:eastAsia="en-SG"/>
        </w:rPr>
        <w:t>,</w:t>
      </w:r>
      <w:r w:rsidRPr="006A6F1F">
        <w:rPr>
          <w:color w:val="000000" w:themeColor="text1"/>
          <w:lang w:val="en-GB" w:eastAsia="en-SG"/>
        </w:rPr>
        <w:t xml:space="preserve"> and of non-systemic risks such as the ability to retain key management personnel.</w:t>
      </w:r>
      <w:r w:rsidRPr="006A6F1F">
        <w:rPr>
          <w:rStyle w:val="EndnoteReference"/>
          <w:color w:val="000000" w:themeColor="text1"/>
          <w:lang w:val="en-GB" w:eastAsia="en-SG"/>
        </w:rPr>
        <w:endnoteReference w:id="41"/>
      </w:r>
      <w:r w:rsidRPr="006A6F1F">
        <w:rPr>
          <w:color w:val="000000" w:themeColor="text1"/>
          <w:lang w:val="en-GB" w:eastAsia="en-SG"/>
        </w:rPr>
        <w:t xml:space="preserve">   </w:t>
      </w:r>
    </w:p>
    <w:p w14:paraId="23CC698E" w14:textId="77777777" w:rsidR="001B2957" w:rsidRPr="006A6F1F" w:rsidRDefault="001B2957" w:rsidP="00F40BA8">
      <w:pPr>
        <w:pStyle w:val="BodyTextMain"/>
        <w:rPr>
          <w:color w:val="000000" w:themeColor="text1"/>
          <w:lang w:val="en-GB" w:eastAsia="en-SG"/>
        </w:rPr>
      </w:pPr>
    </w:p>
    <w:p w14:paraId="73FA2B5F" w14:textId="7070524E" w:rsidR="001B2957" w:rsidRPr="006A6F1F" w:rsidRDefault="001B2957" w:rsidP="00F40BA8">
      <w:pPr>
        <w:pStyle w:val="BodyTextMain"/>
        <w:rPr>
          <w:color w:val="000000" w:themeColor="text1"/>
          <w:lang w:val="en-GB" w:eastAsia="en-SG"/>
        </w:rPr>
      </w:pPr>
      <w:r w:rsidRPr="006A6F1F">
        <w:rPr>
          <w:color w:val="000000" w:themeColor="text1"/>
          <w:lang w:val="en-GB" w:eastAsia="en-SG"/>
        </w:rPr>
        <w:t xml:space="preserve">Although there were attempts to automate through information technology, </w:t>
      </w:r>
      <w:proofErr w:type="spellStart"/>
      <w:r w:rsidRPr="006A6F1F">
        <w:rPr>
          <w:color w:val="000000" w:themeColor="text1"/>
          <w:lang w:val="en-GB" w:eastAsia="en-SG"/>
        </w:rPr>
        <w:t>Kimly’s</w:t>
      </w:r>
      <w:proofErr w:type="spellEnd"/>
      <w:r w:rsidRPr="006A6F1F">
        <w:rPr>
          <w:color w:val="000000" w:themeColor="text1"/>
          <w:lang w:val="en-GB" w:eastAsia="en-SG"/>
        </w:rPr>
        <w:t xml:space="preserve"> business remained essentially labour-intensive. This, together with the fact that it employed a significant number of foreigners, meant that it was especially sensitive to labour and immigration policies in Singapore.</w:t>
      </w:r>
      <w:r w:rsidRPr="006A6F1F">
        <w:rPr>
          <w:rStyle w:val="EndnoteReference"/>
          <w:color w:val="000000" w:themeColor="text1"/>
          <w:lang w:val="en-GB" w:eastAsia="en-SG"/>
        </w:rPr>
        <w:endnoteReference w:id="42"/>
      </w:r>
      <w:r w:rsidRPr="006A6F1F">
        <w:rPr>
          <w:color w:val="000000" w:themeColor="text1"/>
          <w:lang w:val="en-GB" w:eastAsia="en-SG"/>
        </w:rPr>
        <w:t xml:space="preserve"> This was ameliorated in part by its central kitchen, which prepared sauces, marinades, and semi-finished food products. However, incidents such as fire and power failures might disrupt operations at the central kitchen and damage its stored supplies. </w:t>
      </w:r>
    </w:p>
    <w:p w14:paraId="5F5EE3F4" w14:textId="77777777" w:rsidR="001B2957" w:rsidRPr="006A6F1F" w:rsidRDefault="001B2957" w:rsidP="00F40BA8">
      <w:pPr>
        <w:pStyle w:val="BodyTextMain"/>
        <w:rPr>
          <w:color w:val="000000" w:themeColor="text1"/>
          <w:lang w:val="en-GB" w:eastAsia="en-SG"/>
        </w:rPr>
      </w:pPr>
    </w:p>
    <w:p w14:paraId="565BFF00" w14:textId="7AB99D89" w:rsidR="001B2957" w:rsidRPr="006A6F1F" w:rsidRDefault="001B2957" w:rsidP="00F40BA8">
      <w:pPr>
        <w:pStyle w:val="BodyTextMain"/>
        <w:rPr>
          <w:color w:val="000000" w:themeColor="text1"/>
          <w:lang w:val="en-GB" w:eastAsia="en-SG"/>
        </w:rPr>
      </w:pPr>
      <w:r w:rsidRPr="006A6F1F">
        <w:rPr>
          <w:color w:val="000000" w:themeColor="text1"/>
          <w:lang w:val="en-GB" w:eastAsia="en-SG"/>
        </w:rPr>
        <w:t xml:space="preserve">In addition, as </w:t>
      </w:r>
      <w:proofErr w:type="spellStart"/>
      <w:r w:rsidRPr="006A6F1F">
        <w:rPr>
          <w:color w:val="000000" w:themeColor="text1"/>
          <w:lang w:val="en-GB" w:eastAsia="en-SG"/>
        </w:rPr>
        <w:t>Kimly</w:t>
      </w:r>
      <w:proofErr w:type="spellEnd"/>
      <w:r w:rsidRPr="006A6F1F">
        <w:rPr>
          <w:color w:val="000000" w:themeColor="text1"/>
          <w:lang w:val="en-GB" w:eastAsia="en-SG"/>
        </w:rPr>
        <w:t xml:space="preserve"> leased all the premises for its outlets, it would be susceptible to uncertainty about its ability to renew the leases on acceptable terms.</w:t>
      </w:r>
      <w:r w:rsidRPr="006A6F1F">
        <w:rPr>
          <w:rStyle w:val="EndnoteReference"/>
          <w:color w:val="000000" w:themeColor="text1"/>
          <w:lang w:val="en-GB" w:eastAsia="en-SG"/>
        </w:rPr>
        <w:endnoteReference w:id="43"/>
      </w:r>
    </w:p>
    <w:p w14:paraId="22528A67" w14:textId="77777777" w:rsidR="001B2957" w:rsidRPr="006A6F1F" w:rsidRDefault="001B2957" w:rsidP="00F40BA8">
      <w:pPr>
        <w:pStyle w:val="BodyTextMain"/>
        <w:rPr>
          <w:color w:val="000000" w:themeColor="text1"/>
          <w:lang w:val="en-GB" w:eastAsia="en-SG"/>
        </w:rPr>
      </w:pPr>
    </w:p>
    <w:p w14:paraId="53945E5E" w14:textId="77777777" w:rsidR="001B2957" w:rsidRPr="006A6F1F" w:rsidRDefault="001B2957" w:rsidP="00F40BA8">
      <w:pPr>
        <w:pStyle w:val="BodyTextMain"/>
        <w:rPr>
          <w:color w:val="000000" w:themeColor="text1"/>
          <w:lang w:val="en-GB" w:eastAsia="en-SG"/>
        </w:rPr>
      </w:pPr>
      <w:r w:rsidRPr="006A6F1F">
        <w:rPr>
          <w:color w:val="000000" w:themeColor="text1"/>
          <w:lang w:val="en-GB" w:eastAsia="en-SG"/>
        </w:rPr>
        <w:t xml:space="preserve">Upon the completion of the IPO, </w:t>
      </w:r>
      <w:proofErr w:type="spellStart"/>
      <w:r w:rsidRPr="006A6F1F">
        <w:rPr>
          <w:color w:val="000000" w:themeColor="text1"/>
          <w:lang w:val="en-GB" w:eastAsia="en-SG"/>
        </w:rPr>
        <w:t>Kimly</w:t>
      </w:r>
      <w:proofErr w:type="spellEnd"/>
      <w:r w:rsidRPr="006A6F1F">
        <w:rPr>
          <w:color w:val="000000" w:themeColor="text1"/>
          <w:lang w:val="en-GB" w:eastAsia="en-SG"/>
        </w:rPr>
        <w:t xml:space="preserve"> would be under the control of its major shareholders (see Exhibit 1). These major shareholders would have significant influence over matters that required shareholders’ approval, such as the appointment of directors and other significant corporate transactions.</w:t>
      </w:r>
    </w:p>
    <w:p w14:paraId="7DF52AE4" w14:textId="77777777" w:rsidR="001B2957" w:rsidRPr="006A6F1F" w:rsidRDefault="001B2957" w:rsidP="00F40BA8">
      <w:pPr>
        <w:pStyle w:val="BodyTextMain"/>
        <w:rPr>
          <w:color w:val="000000" w:themeColor="text1"/>
          <w:lang w:val="en-GB" w:eastAsia="en-SG"/>
        </w:rPr>
      </w:pPr>
    </w:p>
    <w:p w14:paraId="417B5880" w14:textId="77777777" w:rsidR="001B2957" w:rsidRPr="006A6F1F" w:rsidRDefault="001B2957" w:rsidP="0085053B">
      <w:pPr>
        <w:pStyle w:val="Casehead1"/>
        <w:rPr>
          <w:color w:val="000000" w:themeColor="text1"/>
          <w:lang w:val="en-GB"/>
        </w:rPr>
      </w:pPr>
    </w:p>
    <w:p w14:paraId="33FF0117" w14:textId="77777777" w:rsidR="001B2957" w:rsidRPr="006A6F1F" w:rsidRDefault="001B2957" w:rsidP="0085053B">
      <w:pPr>
        <w:pStyle w:val="Casehead1"/>
        <w:rPr>
          <w:color w:val="000000" w:themeColor="text1"/>
          <w:sz w:val="22"/>
          <w:szCs w:val="22"/>
          <w:lang w:val="en-GB"/>
        </w:rPr>
      </w:pPr>
      <w:r w:rsidRPr="006A6F1F">
        <w:rPr>
          <w:color w:val="000000" w:themeColor="text1"/>
          <w:lang w:val="en-GB"/>
        </w:rPr>
        <w:t>Valuation</w:t>
      </w:r>
      <w:r w:rsidRPr="006A6F1F">
        <w:rPr>
          <w:color w:val="000000" w:themeColor="text1"/>
          <w:sz w:val="22"/>
          <w:szCs w:val="22"/>
          <w:lang w:val="en-GB"/>
        </w:rPr>
        <w:t xml:space="preserve"> </w:t>
      </w:r>
    </w:p>
    <w:p w14:paraId="58D999FC" w14:textId="77777777" w:rsidR="001B2957" w:rsidRPr="006A6F1F" w:rsidRDefault="001B2957" w:rsidP="0085053B">
      <w:pPr>
        <w:pStyle w:val="BodyTextMain"/>
        <w:rPr>
          <w:color w:val="000000" w:themeColor="text1"/>
          <w:lang w:val="en-GB"/>
        </w:rPr>
      </w:pPr>
    </w:p>
    <w:p w14:paraId="2EF52F17" w14:textId="3DDD9BB0" w:rsidR="001B2957" w:rsidRPr="006A6F1F" w:rsidRDefault="001B2957" w:rsidP="0085053B">
      <w:pPr>
        <w:pStyle w:val="BodyTextMain"/>
        <w:rPr>
          <w:color w:val="000000" w:themeColor="text1"/>
          <w:lang w:val="en-GB"/>
        </w:rPr>
      </w:pPr>
      <w:r w:rsidRPr="006A6F1F">
        <w:rPr>
          <w:color w:val="000000" w:themeColor="text1"/>
          <w:lang w:val="en-GB"/>
        </w:rPr>
        <w:t xml:space="preserve">Based on </w:t>
      </w:r>
      <w:proofErr w:type="spellStart"/>
      <w:r w:rsidRPr="006A6F1F">
        <w:rPr>
          <w:color w:val="000000" w:themeColor="text1"/>
          <w:lang w:val="en-GB"/>
        </w:rPr>
        <w:t>Kimly’s</w:t>
      </w:r>
      <w:proofErr w:type="spellEnd"/>
      <w:r w:rsidRPr="006A6F1F">
        <w:rPr>
          <w:color w:val="000000" w:themeColor="text1"/>
          <w:lang w:val="en-GB"/>
        </w:rPr>
        <w:t xml:space="preserve"> past financial performance, what would be a reasonable valuation for each of its shares, based on the discounted cash flow (DCF), discounted dividend model (DDM), and relative valuation (RV) methods? </w:t>
      </w:r>
    </w:p>
    <w:p w14:paraId="0F1C5755" w14:textId="77777777" w:rsidR="001B2957" w:rsidRPr="006A6F1F" w:rsidRDefault="001B2957" w:rsidP="0085053B">
      <w:pPr>
        <w:pStyle w:val="BodyTextMain"/>
        <w:rPr>
          <w:color w:val="000000" w:themeColor="text1"/>
          <w:lang w:val="en-GB"/>
        </w:rPr>
      </w:pPr>
    </w:p>
    <w:p w14:paraId="4D4F006A" w14:textId="37A884AB" w:rsidR="001B2957" w:rsidRPr="006A6F1F" w:rsidRDefault="001B2957" w:rsidP="007565DA">
      <w:pPr>
        <w:pStyle w:val="BodyTextMain"/>
        <w:rPr>
          <w:color w:val="000000" w:themeColor="text1"/>
          <w:lang w:val="en-GB"/>
        </w:rPr>
      </w:pPr>
      <w:r w:rsidRPr="006A6F1F">
        <w:rPr>
          <w:color w:val="000000" w:themeColor="text1"/>
          <w:lang w:val="en-GB"/>
        </w:rPr>
        <w:t>The concept of DCF</w:t>
      </w:r>
      <w:r w:rsidRPr="006A6F1F">
        <w:rPr>
          <w:rStyle w:val="EndnoteReference"/>
          <w:color w:val="000000" w:themeColor="text1"/>
          <w:lang w:val="en-GB"/>
        </w:rPr>
        <w:endnoteReference w:id="44"/>
      </w:r>
      <w:r w:rsidRPr="006A6F1F">
        <w:rPr>
          <w:color w:val="000000" w:themeColor="text1"/>
          <w:lang w:val="en-GB"/>
        </w:rPr>
        <w:t xml:space="preserve"> valuation </w:t>
      </w:r>
      <w:r w:rsidR="001F5114">
        <w:rPr>
          <w:color w:val="000000" w:themeColor="text1"/>
          <w:lang w:val="en-GB"/>
        </w:rPr>
        <w:t>was</w:t>
      </w:r>
      <w:r w:rsidRPr="006A6F1F">
        <w:rPr>
          <w:color w:val="000000" w:themeColor="text1"/>
          <w:lang w:val="en-GB"/>
        </w:rPr>
        <w:t xml:space="preserve"> based on the principle that the value of a business </w:t>
      </w:r>
      <w:r w:rsidR="006C4236">
        <w:rPr>
          <w:color w:val="000000" w:themeColor="text1"/>
          <w:lang w:val="en-GB"/>
        </w:rPr>
        <w:t>was</w:t>
      </w:r>
      <w:r w:rsidRPr="006A6F1F">
        <w:rPr>
          <w:color w:val="000000" w:themeColor="text1"/>
          <w:lang w:val="en-GB"/>
        </w:rPr>
        <w:t xml:space="preserve"> determined by its ability to generate cash flows. Historical financial statements (see Exhibits </w:t>
      </w:r>
      <w:r w:rsidR="00FE5C6D">
        <w:rPr>
          <w:color w:val="000000" w:themeColor="text1"/>
          <w:lang w:val="en-GB"/>
        </w:rPr>
        <w:t>5</w:t>
      </w:r>
      <w:r w:rsidRPr="006A6F1F">
        <w:rPr>
          <w:color w:val="000000" w:themeColor="text1"/>
          <w:lang w:val="en-GB"/>
        </w:rPr>
        <w:t xml:space="preserve">, </w:t>
      </w:r>
      <w:r w:rsidR="00FE5C6D">
        <w:rPr>
          <w:color w:val="000000" w:themeColor="text1"/>
          <w:lang w:val="en-GB"/>
        </w:rPr>
        <w:t>6</w:t>
      </w:r>
      <w:r w:rsidRPr="006A6F1F">
        <w:rPr>
          <w:color w:val="000000" w:themeColor="text1"/>
          <w:lang w:val="en-GB"/>
        </w:rPr>
        <w:t xml:space="preserve">, and </w:t>
      </w:r>
      <w:r w:rsidR="00FE5C6D">
        <w:rPr>
          <w:color w:val="000000" w:themeColor="text1"/>
          <w:lang w:val="en-GB"/>
        </w:rPr>
        <w:t>7</w:t>
      </w:r>
      <w:r w:rsidRPr="006A6F1F">
        <w:rPr>
          <w:color w:val="000000" w:themeColor="text1"/>
          <w:lang w:val="en-GB"/>
        </w:rPr>
        <w:t>) help</w:t>
      </w:r>
      <w:r w:rsidR="006C4236">
        <w:rPr>
          <w:color w:val="000000" w:themeColor="text1"/>
          <w:lang w:val="en-GB"/>
        </w:rPr>
        <w:t>ed</w:t>
      </w:r>
      <w:r w:rsidRPr="006A6F1F">
        <w:rPr>
          <w:color w:val="000000" w:themeColor="text1"/>
          <w:lang w:val="en-GB"/>
        </w:rPr>
        <w:t xml:space="preserve"> in understanding the relationships behind the revenue and cost drivers of a business. Ultimately, assumptions regarding these drivers </w:t>
      </w:r>
      <w:r w:rsidR="006C4236">
        <w:rPr>
          <w:color w:val="000000" w:themeColor="text1"/>
          <w:lang w:val="en-GB"/>
        </w:rPr>
        <w:t>were</w:t>
      </w:r>
      <w:r w:rsidRPr="006A6F1F">
        <w:rPr>
          <w:color w:val="000000" w:themeColor="text1"/>
          <w:lang w:val="en-GB"/>
        </w:rPr>
        <w:t xml:space="preserve"> necessary to project the cash flows for the initial few years, after which a reasonable terminal growth rate c</w:t>
      </w:r>
      <w:r w:rsidR="006C4236">
        <w:rPr>
          <w:color w:val="000000" w:themeColor="text1"/>
          <w:lang w:val="en-GB"/>
        </w:rPr>
        <w:t>ould</w:t>
      </w:r>
      <w:r w:rsidRPr="006A6F1F">
        <w:rPr>
          <w:color w:val="000000" w:themeColor="text1"/>
          <w:lang w:val="en-GB"/>
        </w:rPr>
        <w:t xml:space="preserve"> be applied in perpetuity (see Exhibits </w:t>
      </w:r>
      <w:r w:rsidR="00D7610B">
        <w:rPr>
          <w:color w:val="000000" w:themeColor="text1"/>
          <w:lang w:val="en-GB"/>
        </w:rPr>
        <w:t xml:space="preserve">4 and </w:t>
      </w:r>
      <w:r w:rsidR="00FE5C6D">
        <w:rPr>
          <w:color w:val="000000" w:themeColor="text1"/>
          <w:lang w:val="en-GB"/>
        </w:rPr>
        <w:t>8</w:t>
      </w:r>
      <w:r w:rsidRPr="006A6F1F">
        <w:rPr>
          <w:color w:val="000000" w:themeColor="text1"/>
          <w:lang w:val="en-GB"/>
        </w:rPr>
        <w:t>). All projected cash flows w</w:t>
      </w:r>
      <w:r w:rsidR="006C4236">
        <w:rPr>
          <w:color w:val="000000" w:themeColor="text1"/>
          <w:lang w:val="en-GB"/>
        </w:rPr>
        <w:t>ould</w:t>
      </w:r>
      <w:r w:rsidRPr="006A6F1F">
        <w:rPr>
          <w:color w:val="000000" w:themeColor="text1"/>
          <w:lang w:val="en-GB"/>
        </w:rPr>
        <w:t xml:space="preserve"> be discounted by using the weighted average cost of capital (WACC), which t</w:t>
      </w:r>
      <w:r w:rsidR="006C4236">
        <w:rPr>
          <w:color w:val="000000" w:themeColor="text1"/>
          <w:lang w:val="en-GB"/>
        </w:rPr>
        <w:t>ook</w:t>
      </w:r>
      <w:r w:rsidRPr="006A6F1F">
        <w:rPr>
          <w:color w:val="000000" w:themeColor="text1"/>
          <w:lang w:val="en-GB"/>
        </w:rPr>
        <w:t xml:space="preserve"> into consideration the required return of equity (also known as the cost of equity) and the required return of debt (also known as the cost of debt). To obtain the WACC, the cost of equity w</w:t>
      </w:r>
      <w:r w:rsidR="006C4236">
        <w:rPr>
          <w:color w:val="000000" w:themeColor="text1"/>
          <w:lang w:val="en-GB"/>
        </w:rPr>
        <w:t>ould</w:t>
      </w:r>
      <w:r w:rsidRPr="006A6F1F">
        <w:rPr>
          <w:color w:val="000000" w:themeColor="text1"/>
          <w:lang w:val="en-GB"/>
        </w:rPr>
        <w:t xml:space="preserve"> have to be estimated based on the </w:t>
      </w:r>
      <w:proofErr w:type="spellStart"/>
      <w:r w:rsidRPr="006A6F1F">
        <w:rPr>
          <w:color w:val="000000" w:themeColor="text1"/>
          <w:lang w:val="en-GB"/>
        </w:rPr>
        <w:t>unlevering</w:t>
      </w:r>
      <w:proofErr w:type="spellEnd"/>
      <w:r w:rsidRPr="006A6F1F">
        <w:rPr>
          <w:color w:val="000000" w:themeColor="text1"/>
          <w:lang w:val="en-GB"/>
        </w:rPr>
        <w:t xml:space="preserve"> of the equity betas of selected peers (see Exhibit 9). The </w:t>
      </w:r>
      <w:proofErr w:type="spellStart"/>
      <w:r w:rsidRPr="006A6F1F">
        <w:rPr>
          <w:color w:val="000000" w:themeColor="text1"/>
          <w:lang w:val="en-GB"/>
        </w:rPr>
        <w:t>unlevering</w:t>
      </w:r>
      <w:proofErr w:type="spellEnd"/>
      <w:r w:rsidRPr="006A6F1F">
        <w:rPr>
          <w:color w:val="000000" w:themeColor="text1"/>
          <w:lang w:val="en-GB"/>
        </w:rPr>
        <w:t xml:space="preserve"> process remove</w:t>
      </w:r>
      <w:r w:rsidR="006C4236">
        <w:rPr>
          <w:color w:val="000000" w:themeColor="text1"/>
          <w:lang w:val="en-GB"/>
        </w:rPr>
        <w:t>d</w:t>
      </w:r>
      <w:r w:rsidRPr="006A6F1F">
        <w:rPr>
          <w:color w:val="000000" w:themeColor="text1"/>
          <w:lang w:val="en-GB"/>
        </w:rPr>
        <w:t xml:space="preserve"> financial risk to give unlevered betas, which reflect</w:t>
      </w:r>
      <w:r w:rsidR="006C4236">
        <w:rPr>
          <w:color w:val="000000" w:themeColor="text1"/>
          <w:lang w:val="en-GB"/>
        </w:rPr>
        <w:t>ed</w:t>
      </w:r>
      <w:r w:rsidRPr="006A6F1F">
        <w:rPr>
          <w:color w:val="000000" w:themeColor="text1"/>
          <w:lang w:val="en-GB"/>
        </w:rPr>
        <w:t xml:space="preserve"> only business risk. The next step involve</w:t>
      </w:r>
      <w:r w:rsidR="006C4236">
        <w:rPr>
          <w:color w:val="000000" w:themeColor="text1"/>
          <w:lang w:val="en-GB"/>
        </w:rPr>
        <w:t>d</w:t>
      </w:r>
      <w:r w:rsidRPr="006A6F1F">
        <w:rPr>
          <w:color w:val="000000" w:themeColor="text1"/>
          <w:lang w:val="en-GB"/>
        </w:rPr>
        <w:t xml:space="preserve"> </w:t>
      </w:r>
      <w:proofErr w:type="spellStart"/>
      <w:r w:rsidRPr="006A6F1F">
        <w:rPr>
          <w:color w:val="000000" w:themeColor="text1"/>
          <w:lang w:val="en-GB"/>
        </w:rPr>
        <w:t>relevering</w:t>
      </w:r>
      <w:proofErr w:type="spellEnd"/>
      <w:r w:rsidRPr="006A6F1F">
        <w:rPr>
          <w:color w:val="000000" w:themeColor="text1"/>
          <w:lang w:val="en-GB"/>
        </w:rPr>
        <w:t xml:space="preserve"> the mean unlevered beta using </w:t>
      </w:r>
      <w:proofErr w:type="spellStart"/>
      <w:r w:rsidRPr="006A6F1F">
        <w:rPr>
          <w:color w:val="000000" w:themeColor="text1"/>
          <w:lang w:val="en-GB"/>
        </w:rPr>
        <w:t>Kimly’s</w:t>
      </w:r>
      <w:proofErr w:type="spellEnd"/>
      <w:r w:rsidRPr="006A6F1F">
        <w:rPr>
          <w:color w:val="000000" w:themeColor="text1"/>
          <w:lang w:val="en-GB"/>
        </w:rPr>
        <w:t xml:space="preserve"> own leverage ratio to give its equity beta and thereafter </w:t>
      </w:r>
      <w:proofErr w:type="gramStart"/>
      <w:r w:rsidRPr="006A6F1F">
        <w:rPr>
          <w:color w:val="000000" w:themeColor="text1"/>
          <w:lang w:val="en-GB"/>
        </w:rPr>
        <w:t>its</w:t>
      </w:r>
      <w:proofErr w:type="gramEnd"/>
      <w:r w:rsidRPr="006A6F1F">
        <w:rPr>
          <w:color w:val="000000" w:themeColor="text1"/>
          <w:lang w:val="en-GB"/>
        </w:rPr>
        <w:t xml:space="preserve"> cost of </w:t>
      </w:r>
      <w:r w:rsidRPr="006A6F1F">
        <w:rPr>
          <w:color w:val="000000" w:themeColor="text1"/>
          <w:lang w:val="en-GB"/>
        </w:rPr>
        <w:lastRenderedPageBreak/>
        <w:t>equity. The DCF model provide</w:t>
      </w:r>
      <w:r w:rsidR="006C4236">
        <w:rPr>
          <w:color w:val="000000" w:themeColor="text1"/>
          <w:lang w:val="en-GB"/>
        </w:rPr>
        <w:t>d</w:t>
      </w:r>
      <w:r w:rsidRPr="006A6F1F">
        <w:rPr>
          <w:color w:val="000000" w:themeColor="text1"/>
          <w:lang w:val="en-GB"/>
        </w:rPr>
        <w:t xml:space="preserve"> insights into the drivers of the share value, but it d</w:t>
      </w:r>
      <w:r w:rsidR="006C4236">
        <w:rPr>
          <w:color w:val="000000" w:themeColor="text1"/>
          <w:lang w:val="en-GB"/>
        </w:rPr>
        <w:t>id</w:t>
      </w:r>
      <w:r w:rsidRPr="006A6F1F">
        <w:rPr>
          <w:color w:val="000000" w:themeColor="text1"/>
          <w:lang w:val="en-GB"/>
        </w:rPr>
        <w:t xml:space="preserve"> have shortcomings. Small changes in inputs c</w:t>
      </w:r>
      <w:r w:rsidR="006C4236">
        <w:rPr>
          <w:color w:val="000000" w:themeColor="text1"/>
          <w:lang w:val="en-GB"/>
        </w:rPr>
        <w:t>ould</w:t>
      </w:r>
      <w:r w:rsidRPr="006A6F1F">
        <w:rPr>
          <w:color w:val="000000" w:themeColor="text1"/>
          <w:lang w:val="en-GB"/>
        </w:rPr>
        <w:t xml:space="preserve"> result in large changes in the intrinsic value.</w:t>
      </w:r>
    </w:p>
    <w:p w14:paraId="6ACFC69C" w14:textId="77777777" w:rsidR="001B2957" w:rsidRPr="006A6F1F" w:rsidRDefault="001B2957" w:rsidP="0085053B">
      <w:pPr>
        <w:pStyle w:val="BodyTextMain"/>
        <w:rPr>
          <w:color w:val="000000" w:themeColor="text1"/>
          <w:lang w:val="en-GB"/>
        </w:rPr>
      </w:pPr>
    </w:p>
    <w:p w14:paraId="40034249" w14:textId="6E339A25" w:rsidR="001B2957" w:rsidRPr="006A6F1F" w:rsidRDefault="001B2957" w:rsidP="00EF57E4">
      <w:pPr>
        <w:pStyle w:val="BodyTextMain"/>
        <w:rPr>
          <w:color w:val="000000" w:themeColor="text1"/>
          <w:lang w:val="en-GB" w:eastAsia="en-IN"/>
        </w:rPr>
      </w:pPr>
      <w:r w:rsidRPr="006A6F1F">
        <w:rPr>
          <w:color w:val="000000" w:themeColor="text1"/>
          <w:lang w:val="en-GB"/>
        </w:rPr>
        <w:t>The DDM method</w:t>
      </w:r>
      <w:r w:rsidRPr="006A6F1F">
        <w:rPr>
          <w:rStyle w:val="EndnoteReference"/>
          <w:color w:val="000000" w:themeColor="text1"/>
          <w:lang w:val="en-GB"/>
        </w:rPr>
        <w:endnoteReference w:id="45"/>
      </w:r>
      <w:r w:rsidRPr="006A6F1F">
        <w:rPr>
          <w:color w:val="000000" w:themeColor="text1"/>
          <w:lang w:val="en-GB"/>
        </w:rPr>
        <w:t xml:space="preserve"> </w:t>
      </w:r>
      <w:r w:rsidR="006C4236">
        <w:rPr>
          <w:color w:val="000000" w:themeColor="text1"/>
          <w:lang w:val="en-GB"/>
        </w:rPr>
        <w:t>was</w:t>
      </w:r>
      <w:r w:rsidRPr="006A6F1F">
        <w:rPr>
          <w:color w:val="000000" w:themeColor="text1"/>
          <w:lang w:val="en-GB"/>
        </w:rPr>
        <w:t xml:space="preserve"> based on the theory that a stock </w:t>
      </w:r>
      <w:r w:rsidR="006C4236">
        <w:rPr>
          <w:color w:val="000000" w:themeColor="text1"/>
          <w:lang w:val="en-GB"/>
        </w:rPr>
        <w:t>was</w:t>
      </w:r>
      <w:r w:rsidRPr="006A6F1F">
        <w:rPr>
          <w:color w:val="000000" w:themeColor="text1"/>
          <w:lang w:val="en-GB"/>
        </w:rPr>
        <w:t xml:space="preserve"> worth the sum of all </w:t>
      </w:r>
      <w:r w:rsidR="006C4236">
        <w:rPr>
          <w:color w:val="000000" w:themeColor="text1"/>
          <w:lang w:val="en-GB"/>
        </w:rPr>
        <w:t xml:space="preserve">of </w:t>
      </w:r>
      <w:r w:rsidRPr="006A6F1F">
        <w:rPr>
          <w:color w:val="000000" w:themeColor="text1"/>
          <w:lang w:val="en-GB"/>
        </w:rPr>
        <w:t xml:space="preserve">its discounted future dividends. The discount rate used </w:t>
      </w:r>
      <w:r w:rsidR="006C4236">
        <w:rPr>
          <w:color w:val="000000" w:themeColor="text1"/>
          <w:lang w:val="en-GB"/>
        </w:rPr>
        <w:t>was</w:t>
      </w:r>
      <w:r w:rsidRPr="006A6F1F">
        <w:rPr>
          <w:color w:val="000000" w:themeColor="text1"/>
          <w:lang w:val="en-GB"/>
        </w:rPr>
        <w:t xml:space="preserve"> the cost of equity capital. The future dividends </w:t>
      </w:r>
      <w:r w:rsidR="006C4236">
        <w:rPr>
          <w:color w:val="000000" w:themeColor="text1"/>
          <w:lang w:val="en-GB"/>
        </w:rPr>
        <w:t>were</w:t>
      </w:r>
      <w:r w:rsidRPr="006A6F1F">
        <w:rPr>
          <w:color w:val="000000" w:themeColor="text1"/>
          <w:lang w:val="en-GB"/>
        </w:rPr>
        <w:t xml:space="preserve"> discounted at the cost of equity to give their current worth. Although </w:t>
      </w:r>
      <w:proofErr w:type="spellStart"/>
      <w:r w:rsidRPr="006A6F1F">
        <w:rPr>
          <w:color w:val="000000" w:themeColor="text1"/>
          <w:lang w:val="en-GB" w:eastAsia="en-IN"/>
        </w:rPr>
        <w:t>Kimly</w:t>
      </w:r>
      <w:proofErr w:type="spellEnd"/>
      <w:r w:rsidRPr="006A6F1F">
        <w:rPr>
          <w:color w:val="000000" w:themeColor="text1"/>
          <w:lang w:val="en-GB" w:eastAsia="en-IN"/>
        </w:rPr>
        <w:t xml:space="preserve"> had not paid any dividends in the past, its intention was to pay no less than 50 per cent of its net profits going forward.</w:t>
      </w:r>
      <w:r w:rsidRPr="006A6F1F">
        <w:rPr>
          <w:rStyle w:val="EndnoteReference"/>
          <w:color w:val="000000" w:themeColor="text1"/>
          <w:lang w:val="en-GB" w:eastAsia="en-IN"/>
        </w:rPr>
        <w:endnoteReference w:id="46"/>
      </w:r>
      <w:r w:rsidRPr="006A6F1F">
        <w:rPr>
          <w:color w:val="000000" w:themeColor="text1"/>
          <w:lang w:val="en-GB" w:eastAsia="en-IN"/>
        </w:rPr>
        <w:t xml:space="preserve"> It would be reasonable to assume that the dividends would continue to grow for some years before a terminal growth rate—a constant growth rate, applied indefinitely—could be applied (see Exhibits </w:t>
      </w:r>
      <w:r w:rsidR="00D7610B">
        <w:rPr>
          <w:color w:val="000000" w:themeColor="text1"/>
          <w:lang w:val="en-GB" w:eastAsia="en-IN"/>
        </w:rPr>
        <w:t xml:space="preserve">4 and </w:t>
      </w:r>
      <w:r w:rsidR="00FE5C6D">
        <w:rPr>
          <w:color w:val="000000" w:themeColor="text1"/>
          <w:lang w:val="en-GB" w:eastAsia="en-IN"/>
        </w:rPr>
        <w:t>10</w:t>
      </w:r>
      <w:r w:rsidRPr="006A6F1F">
        <w:rPr>
          <w:color w:val="000000" w:themeColor="text1"/>
          <w:lang w:val="en-GB" w:eastAsia="en-IN"/>
        </w:rPr>
        <w:t>).</w:t>
      </w:r>
    </w:p>
    <w:p w14:paraId="5812CED9" w14:textId="77777777" w:rsidR="001B2957" w:rsidRPr="006A6F1F" w:rsidRDefault="001B2957" w:rsidP="0085053B">
      <w:pPr>
        <w:pStyle w:val="BodyTextMain"/>
        <w:rPr>
          <w:color w:val="000000" w:themeColor="text1"/>
          <w:lang w:val="en-GB"/>
        </w:rPr>
      </w:pPr>
    </w:p>
    <w:p w14:paraId="39406027" w14:textId="572EA47D" w:rsidR="001B2957" w:rsidRPr="006A6F1F" w:rsidRDefault="001B2957" w:rsidP="00EF57E4">
      <w:pPr>
        <w:pStyle w:val="BodyTextMain"/>
        <w:rPr>
          <w:color w:val="000000" w:themeColor="text1"/>
          <w:lang w:val="en-GB"/>
        </w:rPr>
      </w:pPr>
      <w:r w:rsidRPr="006A6F1F">
        <w:rPr>
          <w:color w:val="000000" w:themeColor="text1"/>
          <w:lang w:val="en-GB"/>
        </w:rPr>
        <w:t>The RV method</w:t>
      </w:r>
      <w:r w:rsidRPr="006A6F1F">
        <w:rPr>
          <w:rStyle w:val="EndnoteReference"/>
          <w:color w:val="000000" w:themeColor="text1"/>
          <w:lang w:val="en-GB"/>
        </w:rPr>
        <w:endnoteReference w:id="47"/>
      </w:r>
      <w:r w:rsidRPr="006A6F1F">
        <w:rPr>
          <w:color w:val="000000" w:themeColor="text1"/>
          <w:lang w:val="en-GB"/>
        </w:rPr>
        <w:t xml:space="preserve"> compare</w:t>
      </w:r>
      <w:r w:rsidR="006C4236">
        <w:rPr>
          <w:color w:val="000000" w:themeColor="text1"/>
          <w:lang w:val="en-GB"/>
        </w:rPr>
        <w:t>d</w:t>
      </w:r>
      <w:r w:rsidRPr="006A6F1F">
        <w:rPr>
          <w:color w:val="000000" w:themeColor="text1"/>
          <w:lang w:val="en-GB"/>
        </w:rPr>
        <w:t xml:space="preserve"> the value of a business to its competitors. Some common multiples or benchmarks </w:t>
      </w:r>
      <w:r w:rsidR="006C4236">
        <w:rPr>
          <w:color w:val="000000" w:themeColor="text1"/>
          <w:lang w:val="en-GB"/>
        </w:rPr>
        <w:t>were</w:t>
      </w:r>
      <w:r w:rsidRPr="006A6F1F">
        <w:rPr>
          <w:color w:val="000000" w:themeColor="text1"/>
          <w:lang w:val="en-GB"/>
        </w:rPr>
        <w:t xml:space="preserve"> the price-to-earnings (P/E)</w:t>
      </w:r>
      <w:r w:rsidR="006C4236">
        <w:rPr>
          <w:color w:val="000000" w:themeColor="text1"/>
          <w:lang w:val="en-GB"/>
        </w:rPr>
        <w:t>;</w:t>
      </w:r>
      <w:r w:rsidRPr="006A6F1F">
        <w:rPr>
          <w:color w:val="000000" w:themeColor="text1"/>
          <w:lang w:val="en-GB"/>
        </w:rPr>
        <w:t xml:space="preserve"> enterprise </w:t>
      </w:r>
      <w:r w:rsidR="008A6194" w:rsidRPr="006A6F1F">
        <w:rPr>
          <w:color w:val="000000" w:themeColor="text1"/>
          <w:lang w:val="en-GB"/>
        </w:rPr>
        <w:t>value</w:t>
      </w:r>
      <w:r w:rsidR="006C4236">
        <w:rPr>
          <w:color w:val="000000" w:themeColor="text1"/>
          <w:lang w:val="en-GB"/>
        </w:rPr>
        <w:t>-</w:t>
      </w:r>
      <w:r w:rsidR="008A6194" w:rsidRPr="006A6F1F">
        <w:rPr>
          <w:color w:val="000000" w:themeColor="text1"/>
          <w:lang w:val="en-GB"/>
        </w:rPr>
        <w:t>to-</w:t>
      </w:r>
      <w:r w:rsidRPr="006A6F1F">
        <w:rPr>
          <w:color w:val="000000" w:themeColor="text1"/>
          <w:lang w:val="en-GB"/>
        </w:rPr>
        <w:t>revenue (EV/Revenue)</w:t>
      </w:r>
      <w:r w:rsidR="006C4236">
        <w:rPr>
          <w:color w:val="000000" w:themeColor="text1"/>
          <w:lang w:val="en-GB"/>
        </w:rPr>
        <w:t>;</w:t>
      </w:r>
      <w:r w:rsidRPr="006A6F1F">
        <w:rPr>
          <w:color w:val="000000" w:themeColor="text1"/>
          <w:lang w:val="en-GB"/>
        </w:rPr>
        <w:t xml:space="preserve"> and enterprise </w:t>
      </w:r>
      <w:r w:rsidR="008A6194" w:rsidRPr="006A6F1F">
        <w:rPr>
          <w:color w:val="000000" w:themeColor="text1"/>
          <w:lang w:val="en-GB"/>
        </w:rPr>
        <w:t>value</w:t>
      </w:r>
      <w:r w:rsidR="006C4236">
        <w:rPr>
          <w:color w:val="000000" w:themeColor="text1"/>
          <w:lang w:val="en-GB"/>
        </w:rPr>
        <w:t>-</w:t>
      </w:r>
      <w:r w:rsidR="008A6194" w:rsidRPr="006A6F1F">
        <w:rPr>
          <w:color w:val="000000" w:themeColor="text1"/>
          <w:lang w:val="en-GB"/>
        </w:rPr>
        <w:t>to</w:t>
      </w:r>
      <w:r w:rsidR="006C4236">
        <w:rPr>
          <w:color w:val="000000" w:themeColor="text1"/>
          <w:lang w:val="en-GB"/>
        </w:rPr>
        <w:t>-</w:t>
      </w:r>
      <w:r w:rsidRPr="006A6F1F">
        <w:rPr>
          <w:color w:val="000000" w:themeColor="text1"/>
          <w:lang w:val="en-GB"/>
        </w:rPr>
        <w:t>earnings before interest, tax, depreciation, and amorti</w:t>
      </w:r>
      <w:r w:rsidR="00B15279">
        <w:rPr>
          <w:color w:val="000000" w:themeColor="text1"/>
          <w:lang w:val="en-GB"/>
        </w:rPr>
        <w:t>z</w:t>
      </w:r>
      <w:r w:rsidRPr="006A6F1F">
        <w:rPr>
          <w:color w:val="000000" w:themeColor="text1"/>
          <w:lang w:val="en-GB"/>
        </w:rPr>
        <w:t>ation (EV/EBITDA) ratios. These c</w:t>
      </w:r>
      <w:r w:rsidR="006C4236">
        <w:rPr>
          <w:color w:val="000000" w:themeColor="text1"/>
          <w:lang w:val="en-GB"/>
        </w:rPr>
        <w:t>ould</w:t>
      </w:r>
      <w:r w:rsidRPr="006A6F1F">
        <w:rPr>
          <w:color w:val="000000" w:themeColor="text1"/>
          <w:lang w:val="en-GB"/>
        </w:rPr>
        <w:t xml:space="preserve"> be trailing multiples or forward multiples. Trailing multiples </w:t>
      </w:r>
      <w:r w:rsidR="006C4236">
        <w:rPr>
          <w:color w:val="000000" w:themeColor="text1"/>
          <w:lang w:val="en-GB"/>
        </w:rPr>
        <w:t>were</w:t>
      </w:r>
      <w:r w:rsidRPr="006A6F1F">
        <w:rPr>
          <w:color w:val="000000" w:themeColor="text1"/>
          <w:lang w:val="en-GB"/>
        </w:rPr>
        <w:t xml:space="preserve"> calculated using actual performances, i.e., actual earnings, revenue, or EBITDA. Forward multiples, however, </w:t>
      </w:r>
      <w:r w:rsidR="006C4236">
        <w:rPr>
          <w:color w:val="000000" w:themeColor="text1"/>
          <w:lang w:val="en-GB"/>
        </w:rPr>
        <w:t>were</w:t>
      </w:r>
      <w:r w:rsidRPr="006A6F1F">
        <w:rPr>
          <w:color w:val="000000" w:themeColor="text1"/>
          <w:lang w:val="en-GB"/>
        </w:rPr>
        <w:t xml:space="preserve"> calculated using projected earnings, revenue, or EBITDA.</w:t>
      </w:r>
    </w:p>
    <w:p w14:paraId="5141ED50" w14:textId="77777777" w:rsidR="001B2957" w:rsidRPr="006A6F1F" w:rsidRDefault="001B2957" w:rsidP="00EF57E4">
      <w:pPr>
        <w:pStyle w:val="BodyTextMain"/>
        <w:rPr>
          <w:color w:val="000000" w:themeColor="text1"/>
          <w:lang w:val="en-GB"/>
        </w:rPr>
      </w:pPr>
    </w:p>
    <w:p w14:paraId="64963CFC" w14:textId="4A241DB1" w:rsidR="001B2957" w:rsidRPr="006A6F1F" w:rsidRDefault="001B2957" w:rsidP="00EF57E4">
      <w:pPr>
        <w:pStyle w:val="BodyTextMain"/>
        <w:rPr>
          <w:color w:val="000000" w:themeColor="text1"/>
          <w:lang w:val="en-GB"/>
        </w:rPr>
      </w:pPr>
      <w:r w:rsidRPr="006A6F1F">
        <w:rPr>
          <w:color w:val="000000" w:themeColor="text1"/>
          <w:lang w:val="en-GB"/>
        </w:rPr>
        <w:t>The P/E ratio show</w:t>
      </w:r>
      <w:r w:rsidR="006C4236">
        <w:rPr>
          <w:color w:val="000000" w:themeColor="text1"/>
          <w:lang w:val="en-GB"/>
        </w:rPr>
        <w:t>ed</w:t>
      </w:r>
      <w:r w:rsidRPr="006A6F1F">
        <w:rPr>
          <w:color w:val="000000" w:themeColor="text1"/>
          <w:lang w:val="en-GB"/>
        </w:rPr>
        <w:t xml:space="preserve"> how much investors </w:t>
      </w:r>
      <w:r w:rsidR="006C4236">
        <w:rPr>
          <w:color w:val="000000" w:themeColor="text1"/>
          <w:lang w:val="en-GB"/>
        </w:rPr>
        <w:t>were</w:t>
      </w:r>
      <w:r w:rsidRPr="006A6F1F">
        <w:rPr>
          <w:color w:val="000000" w:themeColor="text1"/>
          <w:lang w:val="en-GB"/>
        </w:rPr>
        <w:t xml:space="preserve"> willing to pay per dollar of earnings. It </w:t>
      </w:r>
      <w:r w:rsidR="006C4236">
        <w:rPr>
          <w:color w:val="000000" w:themeColor="text1"/>
          <w:lang w:val="en-GB"/>
        </w:rPr>
        <w:t>was</w:t>
      </w:r>
      <w:r w:rsidRPr="006A6F1F">
        <w:rPr>
          <w:color w:val="000000" w:themeColor="text1"/>
          <w:lang w:val="en-GB"/>
        </w:rPr>
        <w:t xml:space="preserve"> a popular metric, but as the denominator </w:t>
      </w:r>
      <w:r w:rsidR="006C4236">
        <w:rPr>
          <w:color w:val="000000" w:themeColor="text1"/>
          <w:lang w:val="en-GB"/>
        </w:rPr>
        <w:t>was</w:t>
      </w:r>
      <w:r w:rsidRPr="006A6F1F">
        <w:rPr>
          <w:color w:val="000000" w:themeColor="text1"/>
          <w:lang w:val="en-GB"/>
        </w:rPr>
        <w:t xml:space="preserve"> earnings, care ha</w:t>
      </w:r>
      <w:r w:rsidR="006C4236">
        <w:rPr>
          <w:color w:val="000000" w:themeColor="text1"/>
          <w:lang w:val="en-GB"/>
        </w:rPr>
        <w:t>d</w:t>
      </w:r>
      <w:r w:rsidRPr="006A6F1F">
        <w:rPr>
          <w:color w:val="000000" w:themeColor="text1"/>
          <w:lang w:val="en-GB"/>
        </w:rPr>
        <w:t xml:space="preserve"> to be taken when comparing peers from countries that </w:t>
      </w:r>
      <w:r w:rsidR="006C4236">
        <w:rPr>
          <w:color w:val="000000" w:themeColor="text1"/>
          <w:lang w:val="en-GB"/>
        </w:rPr>
        <w:t>were</w:t>
      </w:r>
      <w:r w:rsidRPr="006A6F1F">
        <w:rPr>
          <w:color w:val="000000" w:themeColor="text1"/>
          <w:lang w:val="en-GB"/>
        </w:rPr>
        <w:t xml:space="preserve"> subjected to different accounting regulations. Further, it c</w:t>
      </w:r>
      <w:r w:rsidR="006C4236">
        <w:rPr>
          <w:color w:val="000000" w:themeColor="text1"/>
          <w:lang w:val="en-GB"/>
        </w:rPr>
        <w:t xml:space="preserve">ould </w:t>
      </w:r>
      <w:r w:rsidRPr="006A6F1F">
        <w:rPr>
          <w:color w:val="000000" w:themeColor="text1"/>
          <w:lang w:val="en-GB"/>
        </w:rPr>
        <w:t xml:space="preserve">not be used if earnings </w:t>
      </w:r>
      <w:r w:rsidR="006C4236">
        <w:rPr>
          <w:color w:val="000000" w:themeColor="text1"/>
          <w:lang w:val="en-GB"/>
        </w:rPr>
        <w:t>were</w:t>
      </w:r>
      <w:r w:rsidRPr="006A6F1F">
        <w:rPr>
          <w:color w:val="000000" w:themeColor="text1"/>
          <w:lang w:val="en-GB"/>
        </w:rPr>
        <w:t xml:space="preserve"> negative. An alternative </w:t>
      </w:r>
      <w:r w:rsidR="005C3763">
        <w:rPr>
          <w:color w:val="000000" w:themeColor="text1"/>
          <w:lang w:val="en-GB"/>
        </w:rPr>
        <w:t>was</w:t>
      </w:r>
      <w:r w:rsidRPr="006A6F1F">
        <w:rPr>
          <w:color w:val="000000" w:themeColor="text1"/>
          <w:lang w:val="en-GB"/>
        </w:rPr>
        <w:t xml:space="preserve"> the EV/Revenue ratio, which compare</w:t>
      </w:r>
      <w:r w:rsidR="005C3763">
        <w:rPr>
          <w:color w:val="000000" w:themeColor="text1"/>
          <w:lang w:val="en-GB"/>
        </w:rPr>
        <w:t>d</w:t>
      </w:r>
      <w:r w:rsidRPr="006A6F1F">
        <w:rPr>
          <w:color w:val="000000" w:themeColor="text1"/>
          <w:lang w:val="en-GB"/>
        </w:rPr>
        <w:t xml:space="preserve"> the value of a company to the revenue generated. It </w:t>
      </w:r>
      <w:r w:rsidR="005C3763">
        <w:rPr>
          <w:color w:val="000000" w:themeColor="text1"/>
          <w:lang w:val="en-GB"/>
        </w:rPr>
        <w:t>was</w:t>
      </w:r>
      <w:r w:rsidRPr="006A6F1F">
        <w:rPr>
          <w:color w:val="000000" w:themeColor="text1"/>
          <w:lang w:val="en-GB"/>
        </w:rPr>
        <w:t xml:space="preserve"> a useful multiple for businesses that ha</w:t>
      </w:r>
      <w:r w:rsidR="005C3763">
        <w:rPr>
          <w:color w:val="000000" w:themeColor="text1"/>
          <w:lang w:val="en-GB"/>
        </w:rPr>
        <w:t>d</w:t>
      </w:r>
      <w:r w:rsidRPr="006A6F1F">
        <w:rPr>
          <w:color w:val="000000" w:themeColor="text1"/>
          <w:lang w:val="en-GB"/>
        </w:rPr>
        <w:t xml:space="preserve"> yet to generate positive earnings and for comparing businesses that </w:t>
      </w:r>
      <w:r w:rsidR="005C3763">
        <w:rPr>
          <w:color w:val="000000" w:themeColor="text1"/>
          <w:lang w:val="en-GB"/>
        </w:rPr>
        <w:t>were</w:t>
      </w:r>
      <w:r w:rsidRPr="006A6F1F">
        <w:rPr>
          <w:color w:val="000000" w:themeColor="text1"/>
          <w:lang w:val="en-GB"/>
        </w:rPr>
        <w:t xml:space="preserve"> subjected to different accounting regimes, as revenue </w:t>
      </w:r>
      <w:r w:rsidR="005C3763">
        <w:rPr>
          <w:color w:val="000000" w:themeColor="text1"/>
          <w:lang w:val="en-GB"/>
        </w:rPr>
        <w:t>was</w:t>
      </w:r>
      <w:r w:rsidRPr="006A6F1F">
        <w:rPr>
          <w:color w:val="000000" w:themeColor="text1"/>
          <w:lang w:val="en-GB"/>
        </w:rPr>
        <w:t xml:space="preserve"> a top-line figure and therefore less affected by accounting policies. However, as revenue </w:t>
      </w:r>
      <w:r w:rsidR="005C3763">
        <w:rPr>
          <w:color w:val="000000" w:themeColor="text1"/>
          <w:lang w:val="en-GB"/>
        </w:rPr>
        <w:t>was</w:t>
      </w:r>
      <w:r w:rsidRPr="006A6F1F">
        <w:rPr>
          <w:color w:val="000000" w:themeColor="text1"/>
          <w:lang w:val="en-GB"/>
        </w:rPr>
        <w:t xml:space="preserve"> income from product sales before any costs </w:t>
      </w:r>
      <w:r w:rsidR="005C3763">
        <w:rPr>
          <w:color w:val="000000" w:themeColor="text1"/>
          <w:lang w:val="en-GB"/>
        </w:rPr>
        <w:t>were</w:t>
      </w:r>
      <w:r w:rsidRPr="006A6F1F">
        <w:rPr>
          <w:color w:val="000000" w:themeColor="text1"/>
          <w:lang w:val="en-GB"/>
        </w:rPr>
        <w:t xml:space="preserve"> taken into account, many dismiss</w:t>
      </w:r>
      <w:r w:rsidR="005C3763">
        <w:rPr>
          <w:color w:val="000000" w:themeColor="text1"/>
          <w:lang w:val="en-GB"/>
        </w:rPr>
        <w:t>ed</w:t>
      </w:r>
      <w:r w:rsidRPr="006A6F1F">
        <w:rPr>
          <w:color w:val="000000" w:themeColor="text1"/>
          <w:lang w:val="en-GB"/>
        </w:rPr>
        <w:t xml:space="preserve"> it in favour of EV/EBITDA, which look</w:t>
      </w:r>
      <w:r w:rsidR="005C3763">
        <w:rPr>
          <w:color w:val="000000" w:themeColor="text1"/>
          <w:lang w:val="en-GB"/>
        </w:rPr>
        <w:t>ed</w:t>
      </w:r>
      <w:r w:rsidRPr="006A6F1F">
        <w:rPr>
          <w:color w:val="000000" w:themeColor="text1"/>
          <w:lang w:val="en-GB"/>
        </w:rPr>
        <w:t xml:space="preserve"> at profit-making ability. The EV/EBITDA multiple </w:t>
      </w:r>
      <w:r w:rsidR="005C3763">
        <w:rPr>
          <w:color w:val="000000" w:themeColor="text1"/>
          <w:lang w:val="en-GB"/>
        </w:rPr>
        <w:t>was</w:t>
      </w:r>
      <w:r w:rsidRPr="006A6F1F">
        <w:rPr>
          <w:color w:val="000000" w:themeColor="text1"/>
          <w:lang w:val="en-GB"/>
        </w:rPr>
        <w:t xml:space="preserve"> one of the most commonly used metrics. It compare</w:t>
      </w:r>
      <w:r w:rsidR="005C3763">
        <w:rPr>
          <w:color w:val="000000" w:themeColor="text1"/>
          <w:lang w:val="en-GB"/>
        </w:rPr>
        <w:t>d</w:t>
      </w:r>
      <w:r w:rsidRPr="006A6F1F">
        <w:rPr>
          <w:color w:val="000000" w:themeColor="text1"/>
          <w:lang w:val="en-GB"/>
        </w:rPr>
        <w:t xml:space="preserve"> the value of a company, inclusive of debt and other liabilities, to the earnings, exclusive of non-cash expenses. It </w:t>
      </w:r>
      <w:r w:rsidR="005C3763">
        <w:rPr>
          <w:color w:val="000000" w:themeColor="text1"/>
          <w:lang w:val="en-GB"/>
        </w:rPr>
        <w:t>was</w:t>
      </w:r>
      <w:r w:rsidRPr="006A6F1F">
        <w:rPr>
          <w:color w:val="000000" w:themeColor="text1"/>
          <w:lang w:val="en-GB"/>
        </w:rPr>
        <w:t xml:space="preserve"> capital</w:t>
      </w:r>
      <w:r w:rsidR="005C3763">
        <w:rPr>
          <w:color w:val="000000" w:themeColor="text1"/>
          <w:lang w:val="en-GB"/>
        </w:rPr>
        <w:t xml:space="preserve"> </w:t>
      </w:r>
      <w:r w:rsidRPr="006A6F1F">
        <w:rPr>
          <w:color w:val="000000" w:themeColor="text1"/>
          <w:lang w:val="en-GB"/>
        </w:rPr>
        <w:t>structure</w:t>
      </w:r>
      <w:r w:rsidR="005C3763">
        <w:rPr>
          <w:color w:val="000000" w:themeColor="text1"/>
          <w:lang w:val="en-GB"/>
        </w:rPr>
        <w:t>-</w:t>
      </w:r>
      <w:r w:rsidRPr="006A6F1F">
        <w:rPr>
          <w:color w:val="000000" w:themeColor="text1"/>
          <w:lang w:val="en-GB"/>
        </w:rPr>
        <w:t xml:space="preserve">neutral because EBITDA </w:t>
      </w:r>
      <w:r w:rsidR="005C3763">
        <w:rPr>
          <w:color w:val="000000" w:themeColor="text1"/>
          <w:lang w:val="en-GB"/>
        </w:rPr>
        <w:t>was</w:t>
      </w:r>
      <w:r w:rsidRPr="006A6F1F">
        <w:rPr>
          <w:color w:val="000000" w:themeColor="text1"/>
          <w:lang w:val="en-GB"/>
        </w:rPr>
        <w:t xml:space="preserve"> before interest, tax, depreciation, and amortization and EV </w:t>
      </w:r>
      <w:r w:rsidR="005C3763">
        <w:rPr>
          <w:color w:val="000000" w:themeColor="text1"/>
          <w:lang w:val="en-GB"/>
        </w:rPr>
        <w:t>was</w:t>
      </w:r>
      <w:r w:rsidRPr="006A6F1F">
        <w:rPr>
          <w:color w:val="000000" w:themeColor="text1"/>
          <w:lang w:val="en-GB"/>
        </w:rPr>
        <w:t xml:space="preserve"> money available to all owners of the company. Thus, it </w:t>
      </w:r>
      <w:r w:rsidR="005C3763">
        <w:rPr>
          <w:color w:val="000000" w:themeColor="text1"/>
          <w:lang w:val="en-GB"/>
        </w:rPr>
        <w:t>was</w:t>
      </w:r>
      <w:r w:rsidRPr="006A6F1F">
        <w:rPr>
          <w:color w:val="000000" w:themeColor="text1"/>
          <w:lang w:val="en-GB"/>
        </w:rPr>
        <w:t xml:space="preserve"> especially useful for comparing companies with different capital structures. Regardless of which multiple </w:t>
      </w:r>
      <w:r w:rsidR="005C3763">
        <w:rPr>
          <w:color w:val="000000" w:themeColor="text1"/>
          <w:lang w:val="en-GB"/>
        </w:rPr>
        <w:t>was</w:t>
      </w:r>
      <w:r w:rsidRPr="006A6F1F">
        <w:rPr>
          <w:color w:val="000000" w:themeColor="text1"/>
          <w:lang w:val="en-GB"/>
        </w:rPr>
        <w:t xml:space="preserve"> used, it </w:t>
      </w:r>
      <w:r w:rsidR="005C3763">
        <w:rPr>
          <w:color w:val="000000" w:themeColor="text1"/>
          <w:lang w:val="en-GB"/>
        </w:rPr>
        <w:t>was</w:t>
      </w:r>
      <w:r w:rsidRPr="006A6F1F">
        <w:rPr>
          <w:color w:val="000000" w:themeColor="text1"/>
          <w:lang w:val="en-GB"/>
        </w:rPr>
        <w:t xml:space="preserve"> important to develop accurate benchmarks. It </w:t>
      </w:r>
      <w:r w:rsidR="005C3763">
        <w:rPr>
          <w:color w:val="000000" w:themeColor="text1"/>
          <w:lang w:val="en-GB"/>
        </w:rPr>
        <w:t>was</w:t>
      </w:r>
      <w:r w:rsidRPr="006A6F1F">
        <w:rPr>
          <w:color w:val="000000" w:themeColor="text1"/>
          <w:lang w:val="en-GB"/>
        </w:rPr>
        <w:t xml:space="preserve"> crucial to compare only businesses from within the same industry with similar market capitalization. Although information on a number of potential regional and global peers had been gathered (see Exhibit 9), further deliberation would be required to identify a suitable group for comparison. </w:t>
      </w:r>
    </w:p>
    <w:p w14:paraId="72AE8DCC" w14:textId="77777777" w:rsidR="001B2957" w:rsidRPr="006A6F1F" w:rsidRDefault="001B2957" w:rsidP="0085053B">
      <w:pPr>
        <w:pStyle w:val="BodyTextMain"/>
        <w:rPr>
          <w:color w:val="000000" w:themeColor="text1"/>
          <w:lang w:val="en-GB"/>
        </w:rPr>
      </w:pPr>
    </w:p>
    <w:p w14:paraId="2D82CDC9" w14:textId="77777777" w:rsidR="001B2957" w:rsidRPr="006A6F1F" w:rsidRDefault="001B2957" w:rsidP="0062193B">
      <w:pPr>
        <w:pStyle w:val="BodyTextMain"/>
        <w:rPr>
          <w:lang w:val="en-GB"/>
        </w:rPr>
      </w:pPr>
    </w:p>
    <w:p w14:paraId="0E1D6978" w14:textId="77777777" w:rsidR="001B2957" w:rsidRPr="006A6F1F" w:rsidRDefault="001B2957" w:rsidP="00720774">
      <w:pPr>
        <w:pStyle w:val="Casehead1"/>
        <w:rPr>
          <w:color w:val="000000" w:themeColor="text1"/>
          <w:sz w:val="22"/>
          <w:szCs w:val="22"/>
          <w:lang w:val="en-GB"/>
        </w:rPr>
      </w:pPr>
      <w:r w:rsidRPr="006A6F1F">
        <w:rPr>
          <w:color w:val="000000" w:themeColor="text1"/>
          <w:lang w:val="en-GB"/>
        </w:rPr>
        <w:t>apply for IPO shares and/or trade in the aftermarket</w:t>
      </w:r>
      <w:r w:rsidRPr="006A6F1F">
        <w:rPr>
          <w:color w:val="000000" w:themeColor="text1"/>
          <w:sz w:val="22"/>
          <w:szCs w:val="22"/>
          <w:lang w:val="en-GB"/>
        </w:rPr>
        <w:t xml:space="preserve"> </w:t>
      </w:r>
    </w:p>
    <w:p w14:paraId="1963E515" w14:textId="77777777" w:rsidR="001B2957" w:rsidRPr="006A6F1F" w:rsidRDefault="001B2957" w:rsidP="00720774">
      <w:pPr>
        <w:pStyle w:val="BodyTextMain"/>
        <w:rPr>
          <w:color w:val="000000" w:themeColor="text1"/>
          <w:lang w:val="en-GB"/>
        </w:rPr>
      </w:pPr>
    </w:p>
    <w:p w14:paraId="28580ADB" w14:textId="5469390E" w:rsidR="001B2957" w:rsidRPr="006A6F1F" w:rsidRDefault="001B2957" w:rsidP="00720774">
      <w:pPr>
        <w:pStyle w:val="BodyTextMain"/>
        <w:rPr>
          <w:color w:val="000000" w:themeColor="text1"/>
          <w:lang w:val="en-GB" w:eastAsia="en-SG"/>
        </w:rPr>
      </w:pPr>
      <w:r w:rsidRPr="006A6F1F">
        <w:rPr>
          <w:color w:val="000000" w:themeColor="text1"/>
          <w:lang w:val="en-GB" w:eastAsia="en-SG"/>
        </w:rPr>
        <w:t xml:space="preserve">The chances of successfully getting </w:t>
      </w:r>
      <w:proofErr w:type="spellStart"/>
      <w:r w:rsidRPr="006A6F1F">
        <w:rPr>
          <w:color w:val="000000" w:themeColor="text1"/>
          <w:lang w:val="en-GB" w:eastAsia="en-SG"/>
        </w:rPr>
        <w:t>Kimly’s</w:t>
      </w:r>
      <w:proofErr w:type="spellEnd"/>
      <w:r w:rsidRPr="006A6F1F">
        <w:rPr>
          <w:color w:val="000000" w:themeColor="text1"/>
          <w:lang w:val="en-GB" w:eastAsia="en-SG"/>
        </w:rPr>
        <w:t xml:space="preserve"> IPO shares were slim, given the small retail tranche. In addition, the controlling shareholder and other key shareholders were subject to lock-up periods before they could dispose of their shares on the open market, and this would prevent a short-term overhang of the shares. These factors implied that the supply of </w:t>
      </w:r>
      <w:proofErr w:type="spellStart"/>
      <w:r w:rsidRPr="006A6F1F">
        <w:rPr>
          <w:color w:val="000000" w:themeColor="text1"/>
          <w:lang w:val="en-GB" w:eastAsia="en-SG"/>
        </w:rPr>
        <w:t>Kimly’s</w:t>
      </w:r>
      <w:proofErr w:type="spellEnd"/>
      <w:r w:rsidRPr="006A6F1F">
        <w:rPr>
          <w:color w:val="000000" w:themeColor="text1"/>
          <w:lang w:val="en-GB" w:eastAsia="en-SG"/>
        </w:rPr>
        <w:t xml:space="preserve"> shares would be scarce in the initial six months after the IPO, which could have a positive effect on the share price. </w:t>
      </w:r>
    </w:p>
    <w:p w14:paraId="54A53E30" w14:textId="77777777" w:rsidR="001B2957" w:rsidRPr="006A6F1F" w:rsidRDefault="001B2957" w:rsidP="00720774">
      <w:pPr>
        <w:pStyle w:val="BodyTextMain"/>
        <w:rPr>
          <w:color w:val="000000" w:themeColor="text1"/>
          <w:lang w:val="en-GB" w:eastAsia="en-SG"/>
        </w:rPr>
      </w:pPr>
    </w:p>
    <w:p w14:paraId="2106A828" w14:textId="26BE03EF" w:rsidR="001B2957" w:rsidRPr="006A6F1F" w:rsidRDefault="001B2957" w:rsidP="0062193B">
      <w:pPr>
        <w:pStyle w:val="BodyTextMain"/>
        <w:rPr>
          <w:color w:val="000000" w:themeColor="text1"/>
          <w:lang w:val="en-GB"/>
        </w:rPr>
      </w:pPr>
      <w:r w:rsidRPr="006A6F1F">
        <w:rPr>
          <w:color w:val="000000" w:themeColor="text1"/>
          <w:lang w:val="en-GB" w:eastAsia="en-SG"/>
        </w:rPr>
        <w:t xml:space="preserve">Apart from these considerations, the question of whether to participate in the aftermarket would also depend on the intrinsic value of the shares. </w:t>
      </w:r>
      <w:r w:rsidRPr="006A6F1F">
        <w:rPr>
          <w:color w:val="000000" w:themeColor="text1"/>
          <w:lang w:val="en-GB"/>
        </w:rPr>
        <w:br w:type="page"/>
      </w:r>
    </w:p>
    <w:p w14:paraId="176DD56F" w14:textId="77777777" w:rsidR="001B2957" w:rsidRPr="006A6F1F" w:rsidRDefault="001B2957" w:rsidP="0085053B">
      <w:pPr>
        <w:pStyle w:val="ExhibitHeading"/>
        <w:rPr>
          <w:color w:val="000000" w:themeColor="text1"/>
          <w:lang w:val="en-GB"/>
        </w:rPr>
        <w:sectPr w:rsidR="001B2957" w:rsidRPr="006A6F1F" w:rsidSect="00EB5410">
          <w:headerReference w:type="even" r:id="rId10"/>
          <w:headerReference w:type="default" r:id="rId11"/>
          <w:footerReference w:type="even" r:id="rId12"/>
          <w:footerReference w:type="default" r:id="rId13"/>
          <w:headerReference w:type="first" r:id="rId14"/>
          <w:footerReference w:type="first" r:id="rId15"/>
          <w:endnotePr>
            <w:numFmt w:val="decimal"/>
          </w:endnotePr>
          <w:pgSz w:w="12240" w:h="15840"/>
          <w:pgMar w:top="1080" w:right="1440" w:bottom="1440" w:left="1440" w:header="1080" w:footer="720" w:gutter="0"/>
          <w:cols w:space="720"/>
          <w:titlePg/>
          <w:docGrid w:linePitch="360"/>
        </w:sectPr>
      </w:pPr>
    </w:p>
    <w:p w14:paraId="6BA1C110" w14:textId="3B0C2584" w:rsidR="001B2957" w:rsidRDefault="001B2957" w:rsidP="00976783">
      <w:pPr>
        <w:pStyle w:val="ExhibitHeading"/>
        <w:rPr>
          <w:lang w:val="en-GB"/>
        </w:rPr>
      </w:pPr>
      <w:r w:rsidRPr="006A6F1F">
        <w:rPr>
          <w:lang w:val="en-GB"/>
        </w:rPr>
        <w:lastRenderedPageBreak/>
        <w:t>EXHIBIT 1: LIST OF kimly SHAREHOLDERS before AND after INitial public offering</w:t>
      </w:r>
    </w:p>
    <w:p w14:paraId="7FED53BF" w14:textId="77777777" w:rsidR="003F2FE5" w:rsidRPr="006A6F1F" w:rsidRDefault="003F2FE5" w:rsidP="0062193B">
      <w:pPr>
        <w:pStyle w:val="ExhibitHeading"/>
        <w:keepNext/>
        <w:keepLines/>
        <w:rPr>
          <w:lang w:val="en-GB"/>
        </w:rPr>
      </w:pPr>
    </w:p>
    <w:tbl>
      <w:tblPr>
        <w:tblStyle w:val="TableGrid11"/>
        <w:tblW w:w="9190" w:type="dxa"/>
        <w:jc w:val="center"/>
        <w:tblLook w:val="04A0" w:firstRow="1" w:lastRow="0" w:firstColumn="1" w:lastColumn="0" w:noHBand="0" w:noVBand="1"/>
      </w:tblPr>
      <w:tblGrid>
        <w:gridCol w:w="2876"/>
        <w:gridCol w:w="1217"/>
        <w:gridCol w:w="767"/>
        <w:gridCol w:w="1260"/>
        <w:gridCol w:w="792"/>
        <w:gridCol w:w="1368"/>
        <w:gridCol w:w="910"/>
      </w:tblGrid>
      <w:tr w:rsidR="001B2957" w:rsidRPr="006A6F1F" w14:paraId="52ACDB2D" w14:textId="77777777" w:rsidTr="003F2FE5">
        <w:trPr>
          <w:trHeight w:val="413"/>
          <w:jc w:val="center"/>
        </w:trPr>
        <w:tc>
          <w:tcPr>
            <w:tcW w:w="2876" w:type="dxa"/>
            <w:hideMark/>
          </w:tcPr>
          <w:p w14:paraId="3778766D" w14:textId="4EB2C3BE" w:rsidR="001B2957" w:rsidRPr="006A6F1F" w:rsidRDefault="001B2957" w:rsidP="0062193B">
            <w:pPr>
              <w:pStyle w:val="Footnote"/>
              <w:keepNext/>
              <w:keepLines/>
              <w:jc w:val="center"/>
              <w:rPr>
                <w:sz w:val="18"/>
                <w:szCs w:val="18"/>
                <w:lang w:val="en-GB" w:eastAsia="en-SG"/>
              </w:rPr>
            </w:pPr>
            <w:r w:rsidRPr="006A6F1F">
              <w:rPr>
                <w:sz w:val="8"/>
                <w:szCs w:val="8"/>
                <w:lang w:val="en-GB"/>
              </w:rPr>
              <w:tab/>
            </w:r>
          </w:p>
        </w:tc>
        <w:tc>
          <w:tcPr>
            <w:tcW w:w="1984" w:type="dxa"/>
            <w:gridSpan w:val="2"/>
            <w:hideMark/>
          </w:tcPr>
          <w:p w14:paraId="236417EE" w14:textId="6693F653" w:rsidR="001B2957" w:rsidRPr="006A6F1F" w:rsidRDefault="001B2957" w:rsidP="00BF56EC">
            <w:pPr>
              <w:pStyle w:val="Footnote"/>
              <w:keepNext/>
              <w:keepLines/>
              <w:jc w:val="center"/>
              <w:rPr>
                <w:b/>
                <w:bCs/>
                <w:sz w:val="18"/>
                <w:szCs w:val="18"/>
                <w:lang w:val="en-GB" w:eastAsia="en-SG"/>
              </w:rPr>
            </w:pPr>
            <w:r w:rsidRPr="006A6F1F">
              <w:rPr>
                <w:b/>
                <w:bCs/>
                <w:sz w:val="18"/>
                <w:szCs w:val="18"/>
                <w:lang w:val="en-GB" w:eastAsia="en-SG"/>
              </w:rPr>
              <w:t>As at the Latest Practicable Date (</w:t>
            </w:r>
            <w:r w:rsidR="00434042">
              <w:rPr>
                <w:b/>
                <w:bCs/>
                <w:sz w:val="18"/>
                <w:szCs w:val="18"/>
                <w:lang w:val="en-GB" w:eastAsia="en-SG"/>
              </w:rPr>
              <w:t>A</w:t>
            </w:r>
            <w:r w:rsidRPr="006A6F1F">
              <w:rPr>
                <w:b/>
                <w:bCs/>
                <w:sz w:val="18"/>
                <w:szCs w:val="18"/>
                <w:lang w:val="en-GB" w:eastAsia="en-SG"/>
              </w:rPr>
              <w:t>djusted for Share Split)</w:t>
            </w:r>
          </w:p>
        </w:tc>
        <w:tc>
          <w:tcPr>
            <w:tcW w:w="2052" w:type="dxa"/>
            <w:gridSpan w:val="2"/>
            <w:hideMark/>
          </w:tcPr>
          <w:p w14:paraId="51F6C141" w14:textId="231660D6" w:rsidR="001B2957" w:rsidRPr="006A6F1F" w:rsidRDefault="001B2957" w:rsidP="0062193B">
            <w:pPr>
              <w:pStyle w:val="Footnote"/>
              <w:keepNext/>
              <w:keepLines/>
              <w:jc w:val="center"/>
              <w:rPr>
                <w:b/>
                <w:bCs/>
                <w:sz w:val="18"/>
                <w:szCs w:val="18"/>
                <w:lang w:val="en-GB" w:eastAsia="en-SG"/>
              </w:rPr>
            </w:pPr>
            <w:r w:rsidRPr="006A6F1F">
              <w:rPr>
                <w:b/>
                <w:bCs/>
                <w:sz w:val="18"/>
                <w:szCs w:val="18"/>
                <w:lang w:val="en-GB" w:eastAsia="en-SG"/>
              </w:rPr>
              <w:t>Immediately Before the Invitation</w:t>
            </w:r>
          </w:p>
        </w:tc>
        <w:tc>
          <w:tcPr>
            <w:tcW w:w="2278" w:type="dxa"/>
            <w:gridSpan w:val="2"/>
            <w:hideMark/>
          </w:tcPr>
          <w:p w14:paraId="0260B282" w14:textId="53F38564" w:rsidR="001B2957" w:rsidRPr="006A6F1F" w:rsidRDefault="001B2957" w:rsidP="0062193B">
            <w:pPr>
              <w:pStyle w:val="Footnote"/>
              <w:keepNext/>
              <w:keepLines/>
              <w:jc w:val="center"/>
              <w:rPr>
                <w:b/>
                <w:bCs/>
                <w:sz w:val="18"/>
                <w:szCs w:val="18"/>
                <w:lang w:val="en-GB" w:eastAsia="en-SG"/>
              </w:rPr>
            </w:pPr>
            <w:r w:rsidRPr="006A6F1F">
              <w:rPr>
                <w:b/>
                <w:bCs/>
                <w:sz w:val="18"/>
                <w:szCs w:val="18"/>
                <w:lang w:val="en-GB" w:eastAsia="en-SG"/>
              </w:rPr>
              <w:t>Immediately After the Invitation</w:t>
            </w:r>
          </w:p>
        </w:tc>
      </w:tr>
      <w:tr w:rsidR="001B2957" w:rsidRPr="006A6F1F" w14:paraId="1E8F91E2" w14:textId="77777777" w:rsidTr="003F2FE5">
        <w:trPr>
          <w:trHeight w:val="60"/>
          <w:jc w:val="center"/>
        </w:trPr>
        <w:tc>
          <w:tcPr>
            <w:tcW w:w="2876" w:type="dxa"/>
            <w:hideMark/>
          </w:tcPr>
          <w:p w14:paraId="4C611ECC" w14:textId="77777777" w:rsidR="001B2957" w:rsidRPr="006A6F1F" w:rsidRDefault="001B2957" w:rsidP="0062193B">
            <w:pPr>
              <w:pStyle w:val="Footnote"/>
              <w:keepNext/>
              <w:keepLines/>
              <w:rPr>
                <w:sz w:val="18"/>
                <w:szCs w:val="18"/>
                <w:lang w:val="en-GB" w:eastAsia="en-SG"/>
              </w:rPr>
            </w:pPr>
            <w:r w:rsidRPr="006A6F1F">
              <w:rPr>
                <w:sz w:val="18"/>
                <w:szCs w:val="18"/>
                <w:lang w:val="en-GB" w:eastAsia="en-SG"/>
              </w:rPr>
              <w:t> </w:t>
            </w:r>
          </w:p>
        </w:tc>
        <w:tc>
          <w:tcPr>
            <w:tcW w:w="1984" w:type="dxa"/>
            <w:gridSpan w:val="2"/>
            <w:noWrap/>
            <w:hideMark/>
          </w:tcPr>
          <w:p w14:paraId="44E75399" w14:textId="77777777" w:rsidR="001B2957" w:rsidRPr="006A6F1F" w:rsidRDefault="001B2957" w:rsidP="0062193B">
            <w:pPr>
              <w:pStyle w:val="Footnote"/>
              <w:keepNext/>
              <w:keepLines/>
              <w:jc w:val="center"/>
              <w:rPr>
                <w:b/>
                <w:bCs/>
                <w:sz w:val="18"/>
                <w:szCs w:val="18"/>
                <w:lang w:val="en-GB" w:eastAsia="en-SG"/>
              </w:rPr>
            </w:pPr>
            <w:r w:rsidRPr="006A6F1F">
              <w:rPr>
                <w:b/>
                <w:bCs/>
                <w:sz w:val="18"/>
                <w:szCs w:val="18"/>
                <w:lang w:val="en-GB" w:eastAsia="en-SG"/>
              </w:rPr>
              <w:t>Direct Interest</w:t>
            </w:r>
          </w:p>
        </w:tc>
        <w:tc>
          <w:tcPr>
            <w:tcW w:w="2052" w:type="dxa"/>
            <w:gridSpan w:val="2"/>
            <w:noWrap/>
            <w:hideMark/>
          </w:tcPr>
          <w:p w14:paraId="797EE61A" w14:textId="77777777" w:rsidR="001B2957" w:rsidRPr="006A6F1F" w:rsidRDefault="001B2957" w:rsidP="0062193B">
            <w:pPr>
              <w:pStyle w:val="Footnote"/>
              <w:keepNext/>
              <w:keepLines/>
              <w:jc w:val="center"/>
              <w:rPr>
                <w:b/>
                <w:bCs/>
                <w:sz w:val="18"/>
                <w:szCs w:val="18"/>
                <w:lang w:val="en-GB" w:eastAsia="en-SG"/>
              </w:rPr>
            </w:pPr>
            <w:r w:rsidRPr="006A6F1F">
              <w:rPr>
                <w:b/>
                <w:bCs/>
                <w:sz w:val="18"/>
                <w:szCs w:val="18"/>
                <w:lang w:val="en-GB" w:eastAsia="en-SG"/>
              </w:rPr>
              <w:t>Direct Interest</w:t>
            </w:r>
          </w:p>
        </w:tc>
        <w:tc>
          <w:tcPr>
            <w:tcW w:w="2278" w:type="dxa"/>
            <w:gridSpan w:val="2"/>
            <w:noWrap/>
            <w:hideMark/>
          </w:tcPr>
          <w:p w14:paraId="144E6544" w14:textId="77777777" w:rsidR="001B2957" w:rsidRPr="006A6F1F" w:rsidRDefault="001B2957" w:rsidP="0062193B">
            <w:pPr>
              <w:pStyle w:val="Footnote"/>
              <w:keepNext/>
              <w:keepLines/>
              <w:jc w:val="center"/>
              <w:rPr>
                <w:b/>
                <w:bCs/>
                <w:sz w:val="18"/>
                <w:szCs w:val="18"/>
                <w:lang w:val="en-GB" w:eastAsia="en-SG"/>
              </w:rPr>
            </w:pPr>
            <w:r w:rsidRPr="006A6F1F">
              <w:rPr>
                <w:b/>
                <w:bCs/>
                <w:sz w:val="18"/>
                <w:szCs w:val="18"/>
                <w:lang w:val="en-GB" w:eastAsia="en-SG"/>
              </w:rPr>
              <w:t>Direct Interest</w:t>
            </w:r>
          </w:p>
        </w:tc>
      </w:tr>
      <w:tr w:rsidR="003F2FE5" w:rsidRPr="006A6F1F" w14:paraId="0B3CE741" w14:textId="77777777" w:rsidTr="003F2FE5">
        <w:trPr>
          <w:trHeight w:val="60"/>
          <w:jc w:val="center"/>
        </w:trPr>
        <w:tc>
          <w:tcPr>
            <w:tcW w:w="2876" w:type="dxa"/>
            <w:hideMark/>
          </w:tcPr>
          <w:p w14:paraId="04DC5D14" w14:textId="77777777" w:rsidR="001B2957" w:rsidRPr="006A6F1F" w:rsidRDefault="001B2957" w:rsidP="0062193B">
            <w:pPr>
              <w:pStyle w:val="Footnote"/>
              <w:keepNext/>
              <w:keepLines/>
              <w:rPr>
                <w:sz w:val="18"/>
                <w:szCs w:val="18"/>
                <w:lang w:val="en-GB" w:eastAsia="en-SG"/>
              </w:rPr>
            </w:pPr>
            <w:r w:rsidRPr="006A6F1F">
              <w:rPr>
                <w:sz w:val="18"/>
                <w:szCs w:val="18"/>
                <w:lang w:val="en-GB" w:eastAsia="en-SG"/>
              </w:rPr>
              <w:t> </w:t>
            </w:r>
          </w:p>
        </w:tc>
        <w:tc>
          <w:tcPr>
            <w:tcW w:w="1217" w:type="dxa"/>
            <w:noWrap/>
            <w:hideMark/>
          </w:tcPr>
          <w:p w14:paraId="14EB70CE" w14:textId="5A6ECCF3" w:rsidR="001B2957" w:rsidRPr="006A6F1F" w:rsidRDefault="001B2957" w:rsidP="0062193B">
            <w:pPr>
              <w:pStyle w:val="Footnote"/>
              <w:keepNext/>
              <w:keepLines/>
              <w:jc w:val="center"/>
              <w:rPr>
                <w:b/>
                <w:bCs/>
                <w:sz w:val="18"/>
                <w:szCs w:val="18"/>
                <w:lang w:val="en-GB" w:eastAsia="en-SG"/>
              </w:rPr>
            </w:pPr>
            <w:r w:rsidRPr="006A6F1F">
              <w:rPr>
                <w:b/>
                <w:bCs/>
                <w:sz w:val="18"/>
                <w:szCs w:val="18"/>
                <w:lang w:val="en-GB" w:eastAsia="en-SG"/>
              </w:rPr>
              <w:t>No. of Shares</w:t>
            </w:r>
          </w:p>
        </w:tc>
        <w:tc>
          <w:tcPr>
            <w:tcW w:w="767" w:type="dxa"/>
            <w:noWrap/>
            <w:hideMark/>
          </w:tcPr>
          <w:p w14:paraId="27534C94" w14:textId="77777777" w:rsidR="001B2957" w:rsidRPr="006A6F1F" w:rsidRDefault="001B2957" w:rsidP="0062193B">
            <w:pPr>
              <w:pStyle w:val="Footnote"/>
              <w:keepNext/>
              <w:keepLines/>
              <w:jc w:val="center"/>
              <w:rPr>
                <w:b/>
                <w:bCs/>
                <w:sz w:val="18"/>
                <w:szCs w:val="18"/>
                <w:lang w:val="en-GB" w:eastAsia="en-SG"/>
              </w:rPr>
            </w:pPr>
            <w:r w:rsidRPr="006A6F1F">
              <w:rPr>
                <w:b/>
                <w:bCs/>
                <w:sz w:val="18"/>
                <w:szCs w:val="18"/>
                <w:lang w:val="en-GB" w:eastAsia="en-SG"/>
              </w:rPr>
              <w:t>%</w:t>
            </w:r>
          </w:p>
        </w:tc>
        <w:tc>
          <w:tcPr>
            <w:tcW w:w="1260" w:type="dxa"/>
            <w:noWrap/>
            <w:hideMark/>
          </w:tcPr>
          <w:p w14:paraId="41AD9704" w14:textId="67B976D1" w:rsidR="001B2957" w:rsidRPr="006A6F1F" w:rsidRDefault="001B2957" w:rsidP="0062193B">
            <w:pPr>
              <w:pStyle w:val="Footnote"/>
              <w:keepNext/>
              <w:keepLines/>
              <w:jc w:val="center"/>
              <w:rPr>
                <w:b/>
                <w:bCs/>
                <w:sz w:val="18"/>
                <w:szCs w:val="18"/>
                <w:lang w:val="en-GB" w:eastAsia="en-SG"/>
              </w:rPr>
            </w:pPr>
            <w:r w:rsidRPr="006A6F1F">
              <w:rPr>
                <w:b/>
                <w:bCs/>
                <w:sz w:val="18"/>
                <w:szCs w:val="18"/>
                <w:lang w:val="en-GB" w:eastAsia="en-SG"/>
              </w:rPr>
              <w:t>No. of Shares</w:t>
            </w:r>
          </w:p>
        </w:tc>
        <w:tc>
          <w:tcPr>
            <w:tcW w:w="792" w:type="dxa"/>
            <w:noWrap/>
            <w:hideMark/>
          </w:tcPr>
          <w:p w14:paraId="3B8758B5" w14:textId="77777777" w:rsidR="001B2957" w:rsidRPr="006A6F1F" w:rsidRDefault="001B2957" w:rsidP="0062193B">
            <w:pPr>
              <w:pStyle w:val="Footnote"/>
              <w:keepNext/>
              <w:keepLines/>
              <w:jc w:val="center"/>
              <w:rPr>
                <w:b/>
                <w:bCs/>
                <w:sz w:val="18"/>
                <w:szCs w:val="18"/>
                <w:lang w:val="en-GB" w:eastAsia="en-SG"/>
              </w:rPr>
            </w:pPr>
            <w:r w:rsidRPr="006A6F1F">
              <w:rPr>
                <w:b/>
                <w:bCs/>
                <w:sz w:val="18"/>
                <w:szCs w:val="18"/>
                <w:lang w:val="en-GB" w:eastAsia="en-SG"/>
              </w:rPr>
              <w:t>%</w:t>
            </w:r>
          </w:p>
        </w:tc>
        <w:tc>
          <w:tcPr>
            <w:tcW w:w="1368" w:type="dxa"/>
            <w:noWrap/>
            <w:hideMark/>
          </w:tcPr>
          <w:p w14:paraId="5262F2F1" w14:textId="51102962" w:rsidR="001B2957" w:rsidRPr="006A6F1F" w:rsidRDefault="001B2957" w:rsidP="0062193B">
            <w:pPr>
              <w:pStyle w:val="Footnote"/>
              <w:keepNext/>
              <w:keepLines/>
              <w:jc w:val="center"/>
              <w:rPr>
                <w:b/>
                <w:bCs/>
                <w:sz w:val="18"/>
                <w:szCs w:val="18"/>
                <w:lang w:val="en-GB" w:eastAsia="en-SG"/>
              </w:rPr>
            </w:pPr>
            <w:r w:rsidRPr="006A6F1F">
              <w:rPr>
                <w:b/>
                <w:bCs/>
                <w:sz w:val="18"/>
                <w:szCs w:val="18"/>
                <w:lang w:val="en-GB" w:eastAsia="en-SG"/>
              </w:rPr>
              <w:t>No. of Shares</w:t>
            </w:r>
          </w:p>
        </w:tc>
        <w:tc>
          <w:tcPr>
            <w:tcW w:w="910" w:type="dxa"/>
            <w:noWrap/>
            <w:hideMark/>
          </w:tcPr>
          <w:p w14:paraId="390EE390" w14:textId="77777777" w:rsidR="001B2957" w:rsidRPr="006A6F1F" w:rsidRDefault="001B2957" w:rsidP="00486FFE">
            <w:pPr>
              <w:pStyle w:val="Footnote"/>
              <w:keepNext/>
              <w:keepLines/>
              <w:jc w:val="center"/>
              <w:rPr>
                <w:b/>
                <w:bCs/>
                <w:sz w:val="18"/>
                <w:szCs w:val="18"/>
                <w:lang w:val="en-GB" w:eastAsia="en-SG"/>
              </w:rPr>
            </w:pPr>
            <w:r w:rsidRPr="006A6F1F">
              <w:rPr>
                <w:b/>
                <w:bCs/>
                <w:sz w:val="18"/>
                <w:szCs w:val="18"/>
                <w:lang w:val="en-GB" w:eastAsia="en-SG"/>
              </w:rPr>
              <w:t>%</w:t>
            </w:r>
          </w:p>
        </w:tc>
      </w:tr>
      <w:tr w:rsidR="003F2FE5" w:rsidRPr="006A6F1F" w14:paraId="6E67EC4A" w14:textId="77777777" w:rsidTr="003F2FE5">
        <w:trPr>
          <w:trHeight w:val="60"/>
          <w:jc w:val="center"/>
        </w:trPr>
        <w:tc>
          <w:tcPr>
            <w:tcW w:w="2876" w:type="dxa"/>
            <w:hideMark/>
          </w:tcPr>
          <w:p w14:paraId="3A805738" w14:textId="2EDD34C8" w:rsidR="001B2957" w:rsidRPr="006A6F1F" w:rsidRDefault="008A3792" w:rsidP="008A3792">
            <w:pPr>
              <w:pStyle w:val="Footnote"/>
              <w:keepNext/>
              <w:keepLines/>
              <w:jc w:val="left"/>
              <w:rPr>
                <w:b/>
                <w:bCs/>
                <w:sz w:val="18"/>
                <w:szCs w:val="18"/>
                <w:lang w:val="en-GB" w:eastAsia="en-SG"/>
              </w:rPr>
            </w:pPr>
            <w:r>
              <w:rPr>
                <w:b/>
                <w:bCs/>
                <w:sz w:val="18"/>
                <w:szCs w:val="18"/>
                <w:lang w:val="en-GB" w:eastAsia="en-SG"/>
              </w:rPr>
              <w:t>Directors</w:t>
            </w:r>
          </w:p>
        </w:tc>
        <w:tc>
          <w:tcPr>
            <w:tcW w:w="1217" w:type="dxa"/>
            <w:noWrap/>
            <w:hideMark/>
          </w:tcPr>
          <w:p w14:paraId="689ED86E" w14:textId="77777777" w:rsidR="001B2957" w:rsidRPr="006A6F1F" w:rsidRDefault="001B2957" w:rsidP="0062193B">
            <w:pPr>
              <w:pStyle w:val="Footnote"/>
              <w:keepNext/>
              <w:keepLines/>
              <w:rPr>
                <w:sz w:val="18"/>
                <w:szCs w:val="18"/>
                <w:lang w:val="en-GB" w:eastAsia="en-SG"/>
              </w:rPr>
            </w:pPr>
            <w:r w:rsidRPr="006A6F1F">
              <w:rPr>
                <w:sz w:val="18"/>
                <w:szCs w:val="18"/>
                <w:lang w:val="en-GB" w:eastAsia="en-SG"/>
              </w:rPr>
              <w:t> </w:t>
            </w:r>
          </w:p>
        </w:tc>
        <w:tc>
          <w:tcPr>
            <w:tcW w:w="767" w:type="dxa"/>
            <w:noWrap/>
            <w:hideMark/>
          </w:tcPr>
          <w:p w14:paraId="30E1F30A" w14:textId="77777777" w:rsidR="001B2957" w:rsidRPr="006A6F1F" w:rsidRDefault="001B2957" w:rsidP="0062193B">
            <w:pPr>
              <w:pStyle w:val="Footnote"/>
              <w:keepNext/>
              <w:keepLines/>
              <w:rPr>
                <w:sz w:val="18"/>
                <w:szCs w:val="18"/>
                <w:lang w:val="en-GB" w:eastAsia="en-SG"/>
              </w:rPr>
            </w:pPr>
          </w:p>
        </w:tc>
        <w:tc>
          <w:tcPr>
            <w:tcW w:w="1260" w:type="dxa"/>
            <w:noWrap/>
            <w:hideMark/>
          </w:tcPr>
          <w:p w14:paraId="6735A2DE" w14:textId="77777777" w:rsidR="001B2957" w:rsidRPr="006A6F1F" w:rsidRDefault="001B2957" w:rsidP="0062193B">
            <w:pPr>
              <w:pStyle w:val="Footnote"/>
              <w:keepNext/>
              <w:keepLines/>
              <w:rPr>
                <w:sz w:val="18"/>
                <w:szCs w:val="18"/>
                <w:lang w:val="en-GB" w:eastAsia="en-SG"/>
              </w:rPr>
            </w:pPr>
            <w:r w:rsidRPr="006A6F1F">
              <w:rPr>
                <w:sz w:val="18"/>
                <w:szCs w:val="18"/>
                <w:lang w:val="en-GB" w:eastAsia="en-SG"/>
              </w:rPr>
              <w:t> </w:t>
            </w:r>
          </w:p>
        </w:tc>
        <w:tc>
          <w:tcPr>
            <w:tcW w:w="792" w:type="dxa"/>
            <w:noWrap/>
            <w:hideMark/>
          </w:tcPr>
          <w:p w14:paraId="0FB60F7E" w14:textId="77777777" w:rsidR="001B2957" w:rsidRPr="006A6F1F" w:rsidRDefault="001B2957" w:rsidP="0062193B">
            <w:pPr>
              <w:pStyle w:val="Footnote"/>
              <w:keepNext/>
              <w:keepLines/>
              <w:rPr>
                <w:sz w:val="18"/>
                <w:szCs w:val="18"/>
                <w:lang w:val="en-GB" w:eastAsia="en-SG"/>
              </w:rPr>
            </w:pPr>
          </w:p>
        </w:tc>
        <w:tc>
          <w:tcPr>
            <w:tcW w:w="1368" w:type="dxa"/>
            <w:noWrap/>
            <w:hideMark/>
          </w:tcPr>
          <w:p w14:paraId="567D1D61" w14:textId="77777777" w:rsidR="001B2957" w:rsidRPr="006A6F1F" w:rsidRDefault="001B2957" w:rsidP="0062193B">
            <w:pPr>
              <w:pStyle w:val="Footnote"/>
              <w:keepNext/>
              <w:keepLines/>
              <w:rPr>
                <w:sz w:val="18"/>
                <w:szCs w:val="18"/>
                <w:lang w:val="en-GB" w:eastAsia="en-SG"/>
              </w:rPr>
            </w:pPr>
            <w:r w:rsidRPr="006A6F1F">
              <w:rPr>
                <w:sz w:val="18"/>
                <w:szCs w:val="18"/>
                <w:lang w:val="en-GB" w:eastAsia="en-SG"/>
              </w:rPr>
              <w:t> </w:t>
            </w:r>
          </w:p>
        </w:tc>
        <w:tc>
          <w:tcPr>
            <w:tcW w:w="910" w:type="dxa"/>
            <w:noWrap/>
            <w:hideMark/>
          </w:tcPr>
          <w:p w14:paraId="18DCEC74" w14:textId="77777777" w:rsidR="001B2957" w:rsidRPr="006A6F1F" w:rsidRDefault="001B2957" w:rsidP="0062193B">
            <w:pPr>
              <w:pStyle w:val="Footnote"/>
              <w:keepNext/>
              <w:keepLines/>
              <w:rPr>
                <w:sz w:val="18"/>
                <w:szCs w:val="18"/>
                <w:lang w:val="en-GB" w:eastAsia="en-SG"/>
              </w:rPr>
            </w:pPr>
          </w:p>
        </w:tc>
      </w:tr>
      <w:tr w:rsidR="003F2FE5" w:rsidRPr="006A6F1F" w14:paraId="39487BA6" w14:textId="77777777" w:rsidTr="003F2FE5">
        <w:trPr>
          <w:trHeight w:val="60"/>
          <w:jc w:val="center"/>
        </w:trPr>
        <w:tc>
          <w:tcPr>
            <w:tcW w:w="2876" w:type="dxa"/>
            <w:hideMark/>
          </w:tcPr>
          <w:p w14:paraId="23E0BE08" w14:textId="77777777" w:rsidR="001B2957" w:rsidRPr="006A6F1F" w:rsidRDefault="001B2957" w:rsidP="003F2FE5">
            <w:pPr>
              <w:pStyle w:val="Footnote"/>
              <w:keepNext/>
              <w:keepLines/>
              <w:jc w:val="left"/>
              <w:rPr>
                <w:sz w:val="18"/>
                <w:szCs w:val="18"/>
                <w:lang w:val="en-GB" w:eastAsia="en-SG"/>
              </w:rPr>
            </w:pPr>
            <w:r w:rsidRPr="006A6F1F">
              <w:rPr>
                <w:sz w:val="18"/>
                <w:szCs w:val="18"/>
                <w:lang w:val="en-GB" w:eastAsia="en-SG"/>
              </w:rPr>
              <w:t xml:space="preserve">Lim </w:t>
            </w:r>
            <w:proofErr w:type="spellStart"/>
            <w:r w:rsidRPr="006A6F1F">
              <w:rPr>
                <w:sz w:val="18"/>
                <w:szCs w:val="18"/>
                <w:lang w:val="en-GB" w:eastAsia="en-SG"/>
              </w:rPr>
              <w:t>Hee</w:t>
            </w:r>
            <w:proofErr w:type="spellEnd"/>
            <w:r w:rsidRPr="006A6F1F">
              <w:rPr>
                <w:sz w:val="18"/>
                <w:szCs w:val="18"/>
                <w:lang w:val="en-GB" w:eastAsia="en-SG"/>
              </w:rPr>
              <w:t xml:space="preserve"> </w:t>
            </w:r>
            <w:proofErr w:type="spellStart"/>
            <w:r w:rsidRPr="006A6F1F">
              <w:rPr>
                <w:sz w:val="18"/>
                <w:szCs w:val="18"/>
                <w:lang w:val="en-GB" w:eastAsia="en-SG"/>
              </w:rPr>
              <w:t>Liat</w:t>
            </w:r>
            <w:proofErr w:type="spellEnd"/>
          </w:p>
        </w:tc>
        <w:tc>
          <w:tcPr>
            <w:tcW w:w="1217" w:type="dxa"/>
            <w:noWrap/>
            <w:hideMark/>
          </w:tcPr>
          <w:p w14:paraId="7FE70927"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489,912,165</w:t>
            </w:r>
          </w:p>
        </w:tc>
        <w:tc>
          <w:tcPr>
            <w:tcW w:w="767" w:type="dxa"/>
            <w:noWrap/>
            <w:hideMark/>
          </w:tcPr>
          <w:p w14:paraId="5D570B9C"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51.25</w:t>
            </w:r>
          </w:p>
        </w:tc>
        <w:tc>
          <w:tcPr>
            <w:tcW w:w="1260" w:type="dxa"/>
            <w:noWrap/>
            <w:hideMark/>
          </w:tcPr>
          <w:p w14:paraId="6F6555FB"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489,912,165</w:t>
            </w:r>
          </w:p>
        </w:tc>
        <w:tc>
          <w:tcPr>
            <w:tcW w:w="792" w:type="dxa"/>
            <w:noWrap/>
            <w:hideMark/>
          </w:tcPr>
          <w:p w14:paraId="1DA0771F"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49.94</w:t>
            </w:r>
          </w:p>
        </w:tc>
        <w:tc>
          <w:tcPr>
            <w:tcW w:w="1368" w:type="dxa"/>
            <w:noWrap/>
            <w:hideMark/>
          </w:tcPr>
          <w:p w14:paraId="30069A55"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489,912,165</w:t>
            </w:r>
          </w:p>
        </w:tc>
        <w:tc>
          <w:tcPr>
            <w:tcW w:w="910" w:type="dxa"/>
            <w:noWrap/>
            <w:hideMark/>
          </w:tcPr>
          <w:p w14:paraId="085B7FF4"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42.42</w:t>
            </w:r>
          </w:p>
        </w:tc>
      </w:tr>
      <w:tr w:rsidR="003F2FE5" w:rsidRPr="006A6F1F" w14:paraId="1DBD331A" w14:textId="77777777" w:rsidTr="003F2FE5">
        <w:trPr>
          <w:trHeight w:val="60"/>
          <w:jc w:val="center"/>
        </w:trPr>
        <w:tc>
          <w:tcPr>
            <w:tcW w:w="2876" w:type="dxa"/>
            <w:hideMark/>
          </w:tcPr>
          <w:p w14:paraId="2CBC5823" w14:textId="77777777" w:rsidR="001B2957" w:rsidRPr="006A6F1F" w:rsidRDefault="001B2957" w:rsidP="003F2FE5">
            <w:pPr>
              <w:pStyle w:val="Footnote"/>
              <w:keepNext/>
              <w:keepLines/>
              <w:jc w:val="left"/>
              <w:rPr>
                <w:sz w:val="18"/>
                <w:szCs w:val="18"/>
                <w:lang w:val="en-GB" w:eastAsia="en-SG"/>
              </w:rPr>
            </w:pPr>
            <w:r w:rsidRPr="006A6F1F">
              <w:rPr>
                <w:sz w:val="18"/>
                <w:szCs w:val="18"/>
                <w:lang w:val="en-GB" w:eastAsia="en-SG"/>
              </w:rPr>
              <w:t>Vincent Chia</w:t>
            </w:r>
          </w:p>
        </w:tc>
        <w:tc>
          <w:tcPr>
            <w:tcW w:w="1217" w:type="dxa"/>
            <w:noWrap/>
            <w:hideMark/>
          </w:tcPr>
          <w:p w14:paraId="508DFF78"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14,513,391</w:t>
            </w:r>
          </w:p>
        </w:tc>
        <w:tc>
          <w:tcPr>
            <w:tcW w:w="767" w:type="dxa"/>
            <w:noWrap/>
            <w:hideMark/>
          </w:tcPr>
          <w:p w14:paraId="728E86BE"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1.52</w:t>
            </w:r>
          </w:p>
        </w:tc>
        <w:tc>
          <w:tcPr>
            <w:tcW w:w="1260" w:type="dxa"/>
            <w:noWrap/>
            <w:hideMark/>
          </w:tcPr>
          <w:p w14:paraId="60D4134B"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14,513,391</w:t>
            </w:r>
          </w:p>
        </w:tc>
        <w:tc>
          <w:tcPr>
            <w:tcW w:w="792" w:type="dxa"/>
            <w:noWrap/>
            <w:hideMark/>
          </w:tcPr>
          <w:p w14:paraId="42F51038"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1.48</w:t>
            </w:r>
          </w:p>
        </w:tc>
        <w:tc>
          <w:tcPr>
            <w:tcW w:w="1368" w:type="dxa"/>
            <w:noWrap/>
            <w:hideMark/>
          </w:tcPr>
          <w:p w14:paraId="4E7C045E"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14,513,391</w:t>
            </w:r>
          </w:p>
        </w:tc>
        <w:tc>
          <w:tcPr>
            <w:tcW w:w="910" w:type="dxa"/>
            <w:noWrap/>
            <w:hideMark/>
          </w:tcPr>
          <w:p w14:paraId="06C063B1"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1.26</w:t>
            </w:r>
          </w:p>
        </w:tc>
      </w:tr>
      <w:tr w:rsidR="003F2FE5" w:rsidRPr="006A6F1F" w14:paraId="27CAD876" w14:textId="77777777" w:rsidTr="003F2FE5">
        <w:trPr>
          <w:trHeight w:val="60"/>
          <w:jc w:val="center"/>
        </w:trPr>
        <w:tc>
          <w:tcPr>
            <w:tcW w:w="2876" w:type="dxa"/>
            <w:hideMark/>
          </w:tcPr>
          <w:p w14:paraId="7E5E2FF4" w14:textId="77777777" w:rsidR="001B2957" w:rsidRPr="006A6F1F" w:rsidRDefault="001B2957" w:rsidP="003F2FE5">
            <w:pPr>
              <w:pStyle w:val="Footnote"/>
              <w:keepNext/>
              <w:keepLines/>
              <w:jc w:val="left"/>
              <w:rPr>
                <w:sz w:val="18"/>
                <w:szCs w:val="18"/>
                <w:lang w:val="en-GB" w:eastAsia="en-SG"/>
              </w:rPr>
            </w:pPr>
            <w:proofErr w:type="spellStart"/>
            <w:r w:rsidRPr="006A6F1F">
              <w:rPr>
                <w:sz w:val="18"/>
                <w:szCs w:val="18"/>
                <w:lang w:val="en-GB" w:eastAsia="en-SG"/>
              </w:rPr>
              <w:t>Ter</w:t>
            </w:r>
            <w:proofErr w:type="spellEnd"/>
            <w:r w:rsidRPr="006A6F1F">
              <w:rPr>
                <w:sz w:val="18"/>
                <w:szCs w:val="18"/>
                <w:lang w:val="en-GB" w:eastAsia="en-SG"/>
              </w:rPr>
              <w:t xml:space="preserve"> Kim </w:t>
            </w:r>
            <w:proofErr w:type="spellStart"/>
            <w:r w:rsidRPr="006A6F1F">
              <w:rPr>
                <w:sz w:val="18"/>
                <w:szCs w:val="18"/>
                <w:lang w:val="en-GB" w:eastAsia="en-SG"/>
              </w:rPr>
              <w:t>Cheu</w:t>
            </w:r>
            <w:proofErr w:type="spellEnd"/>
          </w:p>
        </w:tc>
        <w:tc>
          <w:tcPr>
            <w:tcW w:w="1217" w:type="dxa"/>
            <w:noWrap/>
            <w:hideMark/>
          </w:tcPr>
          <w:p w14:paraId="7E6296BA"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 </w:t>
            </w:r>
          </w:p>
        </w:tc>
        <w:tc>
          <w:tcPr>
            <w:tcW w:w="767" w:type="dxa"/>
            <w:noWrap/>
            <w:hideMark/>
          </w:tcPr>
          <w:p w14:paraId="273D5DC6" w14:textId="77777777" w:rsidR="001B2957" w:rsidRPr="006A6F1F" w:rsidRDefault="001B2957" w:rsidP="0062193B">
            <w:pPr>
              <w:pStyle w:val="Footnote"/>
              <w:keepNext/>
              <w:keepLines/>
              <w:jc w:val="right"/>
              <w:rPr>
                <w:sz w:val="18"/>
                <w:szCs w:val="18"/>
                <w:lang w:val="en-GB" w:eastAsia="en-SG"/>
              </w:rPr>
            </w:pPr>
          </w:p>
        </w:tc>
        <w:tc>
          <w:tcPr>
            <w:tcW w:w="1260" w:type="dxa"/>
            <w:noWrap/>
            <w:hideMark/>
          </w:tcPr>
          <w:p w14:paraId="784346AC"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 </w:t>
            </w:r>
          </w:p>
        </w:tc>
        <w:tc>
          <w:tcPr>
            <w:tcW w:w="792" w:type="dxa"/>
            <w:noWrap/>
            <w:hideMark/>
          </w:tcPr>
          <w:p w14:paraId="47FB3B35" w14:textId="77777777" w:rsidR="001B2957" w:rsidRPr="006A6F1F" w:rsidRDefault="001B2957" w:rsidP="0062193B">
            <w:pPr>
              <w:pStyle w:val="Footnote"/>
              <w:keepNext/>
              <w:keepLines/>
              <w:jc w:val="right"/>
              <w:rPr>
                <w:sz w:val="18"/>
                <w:szCs w:val="18"/>
                <w:lang w:val="en-GB" w:eastAsia="en-SG"/>
              </w:rPr>
            </w:pPr>
          </w:p>
        </w:tc>
        <w:tc>
          <w:tcPr>
            <w:tcW w:w="1368" w:type="dxa"/>
            <w:noWrap/>
            <w:hideMark/>
          </w:tcPr>
          <w:p w14:paraId="0C1B2A83"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 </w:t>
            </w:r>
          </w:p>
        </w:tc>
        <w:tc>
          <w:tcPr>
            <w:tcW w:w="910" w:type="dxa"/>
            <w:noWrap/>
            <w:hideMark/>
          </w:tcPr>
          <w:p w14:paraId="093A974B" w14:textId="77777777" w:rsidR="001B2957" w:rsidRPr="006A6F1F" w:rsidRDefault="001B2957" w:rsidP="0062193B">
            <w:pPr>
              <w:pStyle w:val="Footnote"/>
              <w:keepNext/>
              <w:keepLines/>
              <w:jc w:val="right"/>
              <w:rPr>
                <w:sz w:val="18"/>
                <w:szCs w:val="18"/>
                <w:lang w:val="en-GB" w:eastAsia="en-SG"/>
              </w:rPr>
            </w:pPr>
          </w:p>
        </w:tc>
      </w:tr>
      <w:tr w:rsidR="003F2FE5" w:rsidRPr="006A6F1F" w14:paraId="787A9566" w14:textId="77777777" w:rsidTr="003F2FE5">
        <w:trPr>
          <w:trHeight w:val="89"/>
          <w:jc w:val="center"/>
        </w:trPr>
        <w:tc>
          <w:tcPr>
            <w:tcW w:w="2876" w:type="dxa"/>
            <w:hideMark/>
          </w:tcPr>
          <w:p w14:paraId="2BDEF3E5" w14:textId="3CC36199" w:rsidR="001B2957" w:rsidRPr="006A6F1F" w:rsidRDefault="001B2957" w:rsidP="003F2FE5">
            <w:pPr>
              <w:pStyle w:val="Footnote"/>
              <w:keepNext/>
              <w:keepLines/>
              <w:jc w:val="left"/>
              <w:rPr>
                <w:sz w:val="18"/>
                <w:szCs w:val="18"/>
                <w:lang w:val="en-GB" w:eastAsia="en-SG"/>
              </w:rPr>
            </w:pPr>
            <w:r w:rsidRPr="006A6F1F">
              <w:rPr>
                <w:sz w:val="18"/>
                <w:szCs w:val="18"/>
                <w:lang w:val="en-GB" w:eastAsia="en-SG"/>
              </w:rPr>
              <w:t xml:space="preserve">Wee Tian </w:t>
            </w:r>
            <w:proofErr w:type="spellStart"/>
            <w:r w:rsidRPr="006A6F1F">
              <w:rPr>
                <w:sz w:val="18"/>
                <w:szCs w:val="18"/>
                <w:lang w:val="en-GB" w:eastAsia="en-SG"/>
              </w:rPr>
              <w:t>Chwee</w:t>
            </w:r>
            <w:proofErr w:type="spellEnd"/>
            <w:r w:rsidRPr="006A6F1F">
              <w:rPr>
                <w:sz w:val="18"/>
                <w:szCs w:val="18"/>
                <w:lang w:val="en-GB" w:eastAsia="en-SG"/>
              </w:rPr>
              <w:t>, Jeffrey</w:t>
            </w:r>
          </w:p>
        </w:tc>
        <w:tc>
          <w:tcPr>
            <w:tcW w:w="1217" w:type="dxa"/>
            <w:noWrap/>
            <w:hideMark/>
          </w:tcPr>
          <w:p w14:paraId="233F678B"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 </w:t>
            </w:r>
          </w:p>
        </w:tc>
        <w:tc>
          <w:tcPr>
            <w:tcW w:w="767" w:type="dxa"/>
            <w:noWrap/>
            <w:hideMark/>
          </w:tcPr>
          <w:p w14:paraId="527400AF" w14:textId="77777777" w:rsidR="001B2957" w:rsidRPr="006A6F1F" w:rsidRDefault="001B2957" w:rsidP="0062193B">
            <w:pPr>
              <w:pStyle w:val="Footnote"/>
              <w:keepNext/>
              <w:keepLines/>
              <w:jc w:val="right"/>
              <w:rPr>
                <w:sz w:val="18"/>
                <w:szCs w:val="18"/>
                <w:lang w:val="en-GB" w:eastAsia="en-SG"/>
              </w:rPr>
            </w:pPr>
          </w:p>
        </w:tc>
        <w:tc>
          <w:tcPr>
            <w:tcW w:w="1260" w:type="dxa"/>
            <w:noWrap/>
            <w:hideMark/>
          </w:tcPr>
          <w:p w14:paraId="474B1476"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 </w:t>
            </w:r>
          </w:p>
        </w:tc>
        <w:tc>
          <w:tcPr>
            <w:tcW w:w="792" w:type="dxa"/>
            <w:noWrap/>
            <w:hideMark/>
          </w:tcPr>
          <w:p w14:paraId="265CD95F" w14:textId="77777777" w:rsidR="001B2957" w:rsidRPr="006A6F1F" w:rsidRDefault="001B2957" w:rsidP="0062193B">
            <w:pPr>
              <w:pStyle w:val="Footnote"/>
              <w:keepNext/>
              <w:keepLines/>
              <w:jc w:val="right"/>
              <w:rPr>
                <w:sz w:val="18"/>
                <w:szCs w:val="18"/>
                <w:lang w:val="en-GB" w:eastAsia="en-SG"/>
              </w:rPr>
            </w:pPr>
          </w:p>
        </w:tc>
        <w:tc>
          <w:tcPr>
            <w:tcW w:w="1368" w:type="dxa"/>
            <w:noWrap/>
            <w:hideMark/>
          </w:tcPr>
          <w:p w14:paraId="530BD792"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 </w:t>
            </w:r>
          </w:p>
        </w:tc>
        <w:tc>
          <w:tcPr>
            <w:tcW w:w="910" w:type="dxa"/>
            <w:noWrap/>
            <w:hideMark/>
          </w:tcPr>
          <w:p w14:paraId="0859CF83" w14:textId="77777777" w:rsidR="001B2957" w:rsidRPr="006A6F1F" w:rsidRDefault="001B2957" w:rsidP="0062193B">
            <w:pPr>
              <w:pStyle w:val="Footnote"/>
              <w:keepNext/>
              <w:keepLines/>
              <w:jc w:val="right"/>
              <w:rPr>
                <w:sz w:val="18"/>
                <w:szCs w:val="18"/>
                <w:lang w:val="en-GB" w:eastAsia="en-SG"/>
              </w:rPr>
            </w:pPr>
          </w:p>
        </w:tc>
      </w:tr>
      <w:tr w:rsidR="003F2FE5" w:rsidRPr="006A6F1F" w14:paraId="70AB25DD" w14:textId="77777777" w:rsidTr="003F2FE5">
        <w:trPr>
          <w:trHeight w:val="60"/>
          <w:jc w:val="center"/>
        </w:trPr>
        <w:tc>
          <w:tcPr>
            <w:tcW w:w="2876" w:type="dxa"/>
            <w:hideMark/>
          </w:tcPr>
          <w:p w14:paraId="11C26ED5" w14:textId="77777777" w:rsidR="001B2957" w:rsidRPr="006A6F1F" w:rsidRDefault="001B2957" w:rsidP="003F2FE5">
            <w:pPr>
              <w:pStyle w:val="Footnote"/>
              <w:keepNext/>
              <w:keepLines/>
              <w:jc w:val="left"/>
              <w:rPr>
                <w:sz w:val="18"/>
                <w:szCs w:val="18"/>
                <w:lang w:val="en-GB" w:eastAsia="en-SG"/>
              </w:rPr>
            </w:pPr>
            <w:r w:rsidRPr="006A6F1F">
              <w:rPr>
                <w:sz w:val="18"/>
                <w:szCs w:val="18"/>
                <w:lang w:val="en-GB" w:eastAsia="en-SG"/>
              </w:rPr>
              <w:t>Lim Teck Chai, Danny</w:t>
            </w:r>
          </w:p>
        </w:tc>
        <w:tc>
          <w:tcPr>
            <w:tcW w:w="1217" w:type="dxa"/>
            <w:noWrap/>
            <w:hideMark/>
          </w:tcPr>
          <w:p w14:paraId="6B228FC2"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 </w:t>
            </w:r>
          </w:p>
        </w:tc>
        <w:tc>
          <w:tcPr>
            <w:tcW w:w="767" w:type="dxa"/>
            <w:noWrap/>
            <w:hideMark/>
          </w:tcPr>
          <w:p w14:paraId="27F1F007" w14:textId="77777777" w:rsidR="001B2957" w:rsidRPr="006A6F1F" w:rsidRDefault="001B2957" w:rsidP="0062193B">
            <w:pPr>
              <w:pStyle w:val="Footnote"/>
              <w:keepNext/>
              <w:keepLines/>
              <w:jc w:val="right"/>
              <w:rPr>
                <w:sz w:val="18"/>
                <w:szCs w:val="18"/>
                <w:lang w:val="en-GB" w:eastAsia="en-SG"/>
              </w:rPr>
            </w:pPr>
          </w:p>
        </w:tc>
        <w:tc>
          <w:tcPr>
            <w:tcW w:w="1260" w:type="dxa"/>
            <w:noWrap/>
            <w:hideMark/>
          </w:tcPr>
          <w:p w14:paraId="0791FB69"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 </w:t>
            </w:r>
          </w:p>
        </w:tc>
        <w:tc>
          <w:tcPr>
            <w:tcW w:w="792" w:type="dxa"/>
            <w:noWrap/>
            <w:hideMark/>
          </w:tcPr>
          <w:p w14:paraId="0666ADD6" w14:textId="77777777" w:rsidR="001B2957" w:rsidRPr="006A6F1F" w:rsidRDefault="001B2957" w:rsidP="0062193B">
            <w:pPr>
              <w:pStyle w:val="Footnote"/>
              <w:keepNext/>
              <w:keepLines/>
              <w:jc w:val="right"/>
              <w:rPr>
                <w:sz w:val="18"/>
                <w:szCs w:val="18"/>
                <w:lang w:val="en-GB" w:eastAsia="en-SG"/>
              </w:rPr>
            </w:pPr>
          </w:p>
        </w:tc>
        <w:tc>
          <w:tcPr>
            <w:tcW w:w="1368" w:type="dxa"/>
            <w:noWrap/>
            <w:hideMark/>
          </w:tcPr>
          <w:p w14:paraId="2C27912F"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 </w:t>
            </w:r>
          </w:p>
        </w:tc>
        <w:tc>
          <w:tcPr>
            <w:tcW w:w="910" w:type="dxa"/>
            <w:noWrap/>
            <w:hideMark/>
          </w:tcPr>
          <w:p w14:paraId="04F97286" w14:textId="77777777" w:rsidR="001B2957" w:rsidRPr="006A6F1F" w:rsidRDefault="001B2957" w:rsidP="0062193B">
            <w:pPr>
              <w:pStyle w:val="Footnote"/>
              <w:keepNext/>
              <w:keepLines/>
              <w:jc w:val="right"/>
              <w:rPr>
                <w:sz w:val="18"/>
                <w:szCs w:val="18"/>
                <w:lang w:val="en-GB" w:eastAsia="en-SG"/>
              </w:rPr>
            </w:pPr>
          </w:p>
        </w:tc>
      </w:tr>
      <w:tr w:rsidR="003F2FE5" w:rsidRPr="006A6F1F" w14:paraId="26FB9C07" w14:textId="77777777" w:rsidTr="003F2FE5">
        <w:trPr>
          <w:trHeight w:val="60"/>
          <w:jc w:val="center"/>
        </w:trPr>
        <w:tc>
          <w:tcPr>
            <w:tcW w:w="2876" w:type="dxa"/>
            <w:hideMark/>
          </w:tcPr>
          <w:p w14:paraId="70D88F69" w14:textId="77777777" w:rsidR="001B2957" w:rsidRPr="006A6F1F" w:rsidRDefault="001B2957" w:rsidP="003F2FE5">
            <w:pPr>
              <w:pStyle w:val="Footnote"/>
              <w:keepNext/>
              <w:keepLines/>
              <w:jc w:val="left"/>
              <w:rPr>
                <w:sz w:val="18"/>
                <w:szCs w:val="18"/>
                <w:lang w:val="en-GB" w:eastAsia="en-SG"/>
              </w:rPr>
            </w:pPr>
            <w:r w:rsidRPr="006A6F1F">
              <w:rPr>
                <w:sz w:val="18"/>
                <w:szCs w:val="18"/>
                <w:lang w:val="en-GB" w:eastAsia="en-SG"/>
              </w:rPr>
              <w:t xml:space="preserve">Ong </w:t>
            </w:r>
            <w:proofErr w:type="spellStart"/>
            <w:r w:rsidRPr="006A6F1F">
              <w:rPr>
                <w:sz w:val="18"/>
                <w:szCs w:val="18"/>
                <w:lang w:val="en-GB" w:eastAsia="en-SG"/>
              </w:rPr>
              <w:t>Eng</w:t>
            </w:r>
            <w:proofErr w:type="spellEnd"/>
            <w:r w:rsidRPr="006A6F1F">
              <w:rPr>
                <w:sz w:val="18"/>
                <w:szCs w:val="18"/>
                <w:lang w:val="en-GB" w:eastAsia="en-SG"/>
              </w:rPr>
              <w:t xml:space="preserve"> Sing</w:t>
            </w:r>
          </w:p>
        </w:tc>
        <w:tc>
          <w:tcPr>
            <w:tcW w:w="1217" w:type="dxa"/>
            <w:noWrap/>
            <w:hideMark/>
          </w:tcPr>
          <w:p w14:paraId="3F02A05D"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 </w:t>
            </w:r>
          </w:p>
        </w:tc>
        <w:tc>
          <w:tcPr>
            <w:tcW w:w="767" w:type="dxa"/>
            <w:noWrap/>
            <w:hideMark/>
          </w:tcPr>
          <w:p w14:paraId="62CED4F1" w14:textId="77777777" w:rsidR="001B2957" w:rsidRPr="006A6F1F" w:rsidRDefault="001B2957" w:rsidP="0062193B">
            <w:pPr>
              <w:pStyle w:val="Footnote"/>
              <w:keepNext/>
              <w:keepLines/>
              <w:jc w:val="right"/>
              <w:rPr>
                <w:sz w:val="18"/>
                <w:szCs w:val="18"/>
                <w:lang w:val="en-GB" w:eastAsia="en-SG"/>
              </w:rPr>
            </w:pPr>
          </w:p>
        </w:tc>
        <w:tc>
          <w:tcPr>
            <w:tcW w:w="1260" w:type="dxa"/>
            <w:noWrap/>
            <w:hideMark/>
          </w:tcPr>
          <w:p w14:paraId="33CC147E"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 </w:t>
            </w:r>
          </w:p>
        </w:tc>
        <w:tc>
          <w:tcPr>
            <w:tcW w:w="792" w:type="dxa"/>
            <w:noWrap/>
            <w:hideMark/>
          </w:tcPr>
          <w:p w14:paraId="373AF1AD" w14:textId="77777777" w:rsidR="001B2957" w:rsidRPr="006A6F1F" w:rsidRDefault="001B2957" w:rsidP="0062193B">
            <w:pPr>
              <w:pStyle w:val="Footnote"/>
              <w:keepNext/>
              <w:keepLines/>
              <w:jc w:val="right"/>
              <w:rPr>
                <w:sz w:val="18"/>
                <w:szCs w:val="18"/>
                <w:lang w:val="en-GB" w:eastAsia="en-SG"/>
              </w:rPr>
            </w:pPr>
          </w:p>
        </w:tc>
        <w:tc>
          <w:tcPr>
            <w:tcW w:w="1368" w:type="dxa"/>
            <w:noWrap/>
            <w:hideMark/>
          </w:tcPr>
          <w:p w14:paraId="6B5653C2"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 </w:t>
            </w:r>
          </w:p>
        </w:tc>
        <w:tc>
          <w:tcPr>
            <w:tcW w:w="910" w:type="dxa"/>
            <w:noWrap/>
            <w:hideMark/>
          </w:tcPr>
          <w:p w14:paraId="69D8387A" w14:textId="77777777" w:rsidR="001B2957" w:rsidRPr="006A6F1F" w:rsidRDefault="001B2957" w:rsidP="0062193B">
            <w:pPr>
              <w:pStyle w:val="Footnote"/>
              <w:keepNext/>
              <w:keepLines/>
              <w:jc w:val="right"/>
              <w:rPr>
                <w:sz w:val="18"/>
                <w:szCs w:val="18"/>
                <w:lang w:val="en-GB" w:eastAsia="en-SG"/>
              </w:rPr>
            </w:pPr>
          </w:p>
        </w:tc>
      </w:tr>
      <w:tr w:rsidR="003F2FE5" w:rsidRPr="006A6F1F" w14:paraId="17D83D09" w14:textId="77777777" w:rsidTr="003F2FE5">
        <w:trPr>
          <w:trHeight w:val="60"/>
          <w:jc w:val="center"/>
        </w:trPr>
        <w:tc>
          <w:tcPr>
            <w:tcW w:w="2876" w:type="dxa"/>
            <w:hideMark/>
          </w:tcPr>
          <w:p w14:paraId="1D9D8E1D" w14:textId="77777777" w:rsidR="001B2957" w:rsidRPr="006A6F1F" w:rsidRDefault="001B2957" w:rsidP="003F2FE5">
            <w:pPr>
              <w:pStyle w:val="Footnote"/>
              <w:keepNext/>
              <w:keepLines/>
              <w:jc w:val="left"/>
              <w:rPr>
                <w:b/>
                <w:bCs/>
                <w:sz w:val="18"/>
                <w:szCs w:val="18"/>
                <w:lang w:val="en-GB" w:eastAsia="en-SG"/>
              </w:rPr>
            </w:pPr>
            <w:r w:rsidRPr="006A6F1F">
              <w:rPr>
                <w:b/>
                <w:bCs/>
                <w:sz w:val="18"/>
                <w:szCs w:val="18"/>
                <w:lang w:val="en-GB" w:eastAsia="en-SG"/>
              </w:rPr>
              <w:t>Substantial Shareholders</w:t>
            </w:r>
          </w:p>
        </w:tc>
        <w:tc>
          <w:tcPr>
            <w:tcW w:w="1217" w:type="dxa"/>
            <w:noWrap/>
            <w:hideMark/>
          </w:tcPr>
          <w:p w14:paraId="4061B2A5"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 </w:t>
            </w:r>
          </w:p>
        </w:tc>
        <w:tc>
          <w:tcPr>
            <w:tcW w:w="767" w:type="dxa"/>
            <w:noWrap/>
            <w:hideMark/>
          </w:tcPr>
          <w:p w14:paraId="7F0F420C" w14:textId="77777777" w:rsidR="001B2957" w:rsidRPr="006A6F1F" w:rsidRDefault="001B2957" w:rsidP="0062193B">
            <w:pPr>
              <w:pStyle w:val="Footnote"/>
              <w:keepNext/>
              <w:keepLines/>
              <w:jc w:val="right"/>
              <w:rPr>
                <w:sz w:val="18"/>
                <w:szCs w:val="18"/>
                <w:lang w:val="en-GB" w:eastAsia="en-SG"/>
              </w:rPr>
            </w:pPr>
          </w:p>
        </w:tc>
        <w:tc>
          <w:tcPr>
            <w:tcW w:w="1260" w:type="dxa"/>
            <w:noWrap/>
            <w:hideMark/>
          </w:tcPr>
          <w:p w14:paraId="0765CBF6"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 </w:t>
            </w:r>
          </w:p>
        </w:tc>
        <w:tc>
          <w:tcPr>
            <w:tcW w:w="792" w:type="dxa"/>
            <w:noWrap/>
            <w:hideMark/>
          </w:tcPr>
          <w:p w14:paraId="674E4ABF" w14:textId="77777777" w:rsidR="001B2957" w:rsidRPr="006A6F1F" w:rsidRDefault="001B2957" w:rsidP="0062193B">
            <w:pPr>
              <w:pStyle w:val="Footnote"/>
              <w:keepNext/>
              <w:keepLines/>
              <w:jc w:val="right"/>
              <w:rPr>
                <w:sz w:val="18"/>
                <w:szCs w:val="18"/>
                <w:lang w:val="en-GB" w:eastAsia="en-SG"/>
              </w:rPr>
            </w:pPr>
          </w:p>
        </w:tc>
        <w:tc>
          <w:tcPr>
            <w:tcW w:w="1368" w:type="dxa"/>
            <w:noWrap/>
            <w:hideMark/>
          </w:tcPr>
          <w:p w14:paraId="41966BEF"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 </w:t>
            </w:r>
          </w:p>
        </w:tc>
        <w:tc>
          <w:tcPr>
            <w:tcW w:w="910" w:type="dxa"/>
            <w:noWrap/>
            <w:hideMark/>
          </w:tcPr>
          <w:p w14:paraId="42B794E7" w14:textId="77777777" w:rsidR="001B2957" w:rsidRPr="006A6F1F" w:rsidRDefault="001B2957" w:rsidP="0062193B">
            <w:pPr>
              <w:pStyle w:val="Footnote"/>
              <w:keepNext/>
              <w:keepLines/>
              <w:jc w:val="right"/>
              <w:rPr>
                <w:sz w:val="18"/>
                <w:szCs w:val="18"/>
                <w:lang w:val="en-GB" w:eastAsia="en-SG"/>
              </w:rPr>
            </w:pPr>
          </w:p>
        </w:tc>
      </w:tr>
      <w:tr w:rsidR="003F2FE5" w:rsidRPr="006A6F1F" w14:paraId="42170BBD" w14:textId="77777777" w:rsidTr="003F2FE5">
        <w:trPr>
          <w:trHeight w:val="60"/>
          <w:jc w:val="center"/>
        </w:trPr>
        <w:tc>
          <w:tcPr>
            <w:tcW w:w="2876" w:type="dxa"/>
            <w:hideMark/>
          </w:tcPr>
          <w:p w14:paraId="5DAA30F3" w14:textId="77777777" w:rsidR="001B2957" w:rsidRPr="006A6F1F" w:rsidRDefault="001B2957" w:rsidP="003F2FE5">
            <w:pPr>
              <w:pStyle w:val="Footnote"/>
              <w:keepNext/>
              <w:keepLines/>
              <w:jc w:val="left"/>
              <w:rPr>
                <w:sz w:val="18"/>
                <w:szCs w:val="18"/>
                <w:lang w:val="en-GB" w:eastAsia="en-SG"/>
              </w:rPr>
            </w:pPr>
            <w:proofErr w:type="spellStart"/>
            <w:r w:rsidRPr="006A6F1F">
              <w:rPr>
                <w:sz w:val="18"/>
                <w:szCs w:val="18"/>
                <w:lang w:val="en-GB" w:eastAsia="en-SG"/>
              </w:rPr>
              <w:t>Peh</w:t>
            </w:r>
            <w:proofErr w:type="spellEnd"/>
            <w:r w:rsidRPr="006A6F1F">
              <w:rPr>
                <w:sz w:val="18"/>
                <w:szCs w:val="18"/>
                <w:lang w:val="en-GB" w:eastAsia="en-SG"/>
              </w:rPr>
              <w:t xml:space="preserve"> </w:t>
            </w:r>
            <w:proofErr w:type="spellStart"/>
            <w:r w:rsidRPr="006A6F1F">
              <w:rPr>
                <w:sz w:val="18"/>
                <w:szCs w:val="18"/>
                <w:lang w:val="en-GB" w:eastAsia="en-SG"/>
              </w:rPr>
              <w:t>Oon</w:t>
            </w:r>
            <w:proofErr w:type="spellEnd"/>
            <w:r w:rsidRPr="006A6F1F">
              <w:rPr>
                <w:sz w:val="18"/>
                <w:szCs w:val="18"/>
                <w:lang w:val="en-GB" w:eastAsia="en-SG"/>
              </w:rPr>
              <w:t xml:space="preserve"> </w:t>
            </w:r>
            <w:proofErr w:type="spellStart"/>
            <w:r w:rsidRPr="006A6F1F">
              <w:rPr>
                <w:sz w:val="18"/>
                <w:szCs w:val="18"/>
                <w:lang w:val="en-GB" w:eastAsia="en-SG"/>
              </w:rPr>
              <w:t>Kee</w:t>
            </w:r>
            <w:proofErr w:type="spellEnd"/>
          </w:p>
        </w:tc>
        <w:tc>
          <w:tcPr>
            <w:tcW w:w="1217" w:type="dxa"/>
            <w:noWrap/>
            <w:hideMark/>
          </w:tcPr>
          <w:p w14:paraId="6524BA55"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99,309,105</w:t>
            </w:r>
          </w:p>
        </w:tc>
        <w:tc>
          <w:tcPr>
            <w:tcW w:w="767" w:type="dxa"/>
            <w:noWrap/>
            <w:hideMark/>
          </w:tcPr>
          <w:p w14:paraId="4D0D49D6"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10.39</w:t>
            </w:r>
          </w:p>
        </w:tc>
        <w:tc>
          <w:tcPr>
            <w:tcW w:w="1260" w:type="dxa"/>
            <w:noWrap/>
            <w:hideMark/>
          </w:tcPr>
          <w:p w14:paraId="11D6735B"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99,309,105</w:t>
            </w:r>
          </w:p>
        </w:tc>
        <w:tc>
          <w:tcPr>
            <w:tcW w:w="792" w:type="dxa"/>
            <w:noWrap/>
            <w:hideMark/>
          </w:tcPr>
          <w:p w14:paraId="6B143103"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10.12</w:t>
            </w:r>
          </w:p>
        </w:tc>
        <w:tc>
          <w:tcPr>
            <w:tcW w:w="1368" w:type="dxa"/>
            <w:noWrap/>
            <w:hideMark/>
          </w:tcPr>
          <w:p w14:paraId="00A940D2"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99,309,105</w:t>
            </w:r>
          </w:p>
        </w:tc>
        <w:tc>
          <w:tcPr>
            <w:tcW w:w="910" w:type="dxa"/>
            <w:noWrap/>
            <w:hideMark/>
          </w:tcPr>
          <w:p w14:paraId="78286E29"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8.60</w:t>
            </w:r>
          </w:p>
        </w:tc>
      </w:tr>
      <w:tr w:rsidR="003F2FE5" w:rsidRPr="006A6F1F" w14:paraId="152AE8C1" w14:textId="77777777" w:rsidTr="003F2FE5">
        <w:trPr>
          <w:trHeight w:val="60"/>
          <w:jc w:val="center"/>
        </w:trPr>
        <w:tc>
          <w:tcPr>
            <w:tcW w:w="2876" w:type="dxa"/>
            <w:hideMark/>
          </w:tcPr>
          <w:p w14:paraId="092A25CF" w14:textId="77777777" w:rsidR="001B2957" w:rsidRPr="006A6F1F" w:rsidRDefault="001B2957" w:rsidP="003F2FE5">
            <w:pPr>
              <w:pStyle w:val="Footnote"/>
              <w:keepNext/>
              <w:keepLines/>
              <w:jc w:val="left"/>
              <w:rPr>
                <w:sz w:val="18"/>
                <w:szCs w:val="18"/>
                <w:lang w:val="en-GB" w:eastAsia="en-SG"/>
              </w:rPr>
            </w:pPr>
            <w:r w:rsidRPr="006A6F1F">
              <w:rPr>
                <w:sz w:val="18"/>
                <w:szCs w:val="18"/>
                <w:lang w:val="en-GB" w:eastAsia="en-SG"/>
              </w:rPr>
              <w:t xml:space="preserve">Ng Lay </w:t>
            </w:r>
            <w:proofErr w:type="spellStart"/>
            <w:r w:rsidRPr="006A6F1F">
              <w:rPr>
                <w:sz w:val="18"/>
                <w:szCs w:val="18"/>
                <w:lang w:val="en-GB" w:eastAsia="en-SG"/>
              </w:rPr>
              <w:t>Beng</w:t>
            </w:r>
            <w:proofErr w:type="spellEnd"/>
          </w:p>
        </w:tc>
        <w:tc>
          <w:tcPr>
            <w:tcW w:w="1217" w:type="dxa"/>
            <w:noWrap/>
            <w:hideMark/>
          </w:tcPr>
          <w:p w14:paraId="30F92900"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77,172,966</w:t>
            </w:r>
          </w:p>
        </w:tc>
        <w:tc>
          <w:tcPr>
            <w:tcW w:w="767" w:type="dxa"/>
            <w:noWrap/>
            <w:hideMark/>
          </w:tcPr>
          <w:p w14:paraId="61A6C4AF"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8.07</w:t>
            </w:r>
          </w:p>
        </w:tc>
        <w:tc>
          <w:tcPr>
            <w:tcW w:w="1260" w:type="dxa"/>
            <w:noWrap/>
            <w:hideMark/>
          </w:tcPr>
          <w:p w14:paraId="55D445B0"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77,172,966</w:t>
            </w:r>
          </w:p>
        </w:tc>
        <w:tc>
          <w:tcPr>
            <w:tcW w:w="792" w:type="dxa"/>
            <w:noWrap/>
            <w:hideMark/>
          </w:tcPr>
          <w:p w14:paraId="4B826227"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7.87</w:t>
            </w:r>
          </w:p>
        </w:tc>
        <w:tc>
          <w:tcPr>
            <w:tcW w:w="1368" w:type="dxa"/>
            <w:noWrap/>
            <w:hideMark/>
          </w:tcPr>
          <w:p w14:paraId="63FC5D9D"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77,172,966</w:t>
            </w:r>
          </w:p>
        </w:tc>
        <w:tc>
          <w:tcPr>
            <w:tcW w:w="910" w:type="dxa"/>
            <w:noWrap/>
            <w:hideMark/>
          </w:tcPr>
          <w:p w14:paraId="63A03C01"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6.68</w:t>
            </w:r>
          </w:p>
        </w:tc>
      </w:tr>
      <w:tr w:rsidR="003F2FE5" w:rsidRPr="006A6F1F" w14:paraId="54DD7BFD" w14:textId="77777777" w:rsidTr="003F2FE5">
        <w:trPr>
          <w:trHeight w:val="60"/>
          <w:jc w:val="center"/>
        </w:trPr>
        <w:tc>
          <w:tcPr>
            <w:tcW w:w="2876" w:type="dxa"/>
            <w:hideMark/>
          </w:tcPr>
          <w:p w14:paraId="2A2FE74A" w14:textId="77777777" w:rsidR="001B2957" w:rsidRPr="006A6F1F" w:rsidRDefault="001B2957" w:rsidP="003F2FE5">
            <w:pPr>
              <w:pStyle w:val="Footnote"/>
              <w:keepNext/>
              <w:keepLines/>
              <w:jc w:val="left"/>
              <w:rPr>
                <w:b/>
                <w:bCs/>
                <w:sz w:val="18"/>
                <w:szCs w:val="18"/>
                <w:lang w:val="en-GB" w:eastAsia="en-SG"/>
              </w:rPr>
            </w:pPr>
            <w:r w:rsidRPr="006A6F1F">
              <w:rPr>
                <w:b/>
                <w:bCs/>
                <w:sz w:val="18"/>
                <w:szCs w:val="18"/>
                <w:lang w:val="en-GB" w:eastAsia="en-SG"/>
              </w:rPr>
              <w:t>Pre-Invitation Investors</w:t>
            </w:r>
          </w:p>
        </w:tc>
        <w:tc>
          <w:tcPr>
            <w:tcW w:w="1217" w:type="dxa"/>
            <w:noWrap/>
            <w:hideMark/>
          </w:tcPr>
          <w:p w14:paraId="0AC8DE0C"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 </w:t>
            </w:r>
          </w:p>
        </w:tc>
        <w:tc>
          <w:tcPr>
            <w:tcW w:w="767" w:type="dxa"/>
            <w:noWrap/>
            <w:hideMark/>
          </w:tcPr>
          <w:p w14:paraId="56FB35DE" w14:textId="77777777" w:rsidR="001B2957" w:rsidRPr="006A6F1F" w:rsidRDefault="001B2957" w:rsidP="0062193B">
            <w:pPr>
              <w:pStyle w:val="Footnote"/>
              <w:keepNext/>
              <w:keepLines/>
              <w:jc w:val="right"/>
              <w:rPr>
                <w:sz w:val="18"/>
                <w:szCs w:val="18"/>
                <w:lang w:val="en-GB" w:eastAsia="en-SG"/>
              </w:rPr>
            </w:pPr>
          </w:p>
        </w:tc>
        <w:tc>
          <w:tcPr>
            <w:tcW w:w="1260" w:type="dxa"/>
            <w:noWrap/>
            <w:hideMark/>
          </w:tcPr>
          <w:p w14:paraId="7E4E78BC"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 </w:t>
            </w:r>
          </w:p>
        </w:tc>
        <w:tc>
          <w:tcPr>
            <w:tcW w:w="792" w:type="dxa"/>
            <w:noWrap/>
            <w:hideMark/>
          </w:tcPr>
          <w:p w14:paraId="237AC480" w14:textId="77777777" w:rsidR="001B2957" w:rsidRPr="006A6F1F" w:rsidRDefault="001B2957" w:rsidP="0062193B">
            <w:pPr>
              <w:pStyle w:val="Footnote"/>
              <w:keepNext/>
              <w:keepLines/>
              <w:jc w:val="right"/>
              <w:rPr>
                <w:sz w:val="18"/>
                <w:szCs w:val="18"/>
                <w:lang w:val="en-GB" w:eastAsia="en-SG"/>
              </w:rPr>
            </w:pPr>
          </w:p>
        </w:tc>
        <w:tc>
          <w:tcPr>
            <w:tcW w:w="1368" w:type="dxa"/>
            <w:noWrap/>
            <w:hideMark/>
          </w:tcPr>
          <w:p w14:paraId="37D1343F"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 </w:t>
            </w:r>
          </w:p>
        </w:tc>
        <w:tc>
          <w:tcPr>
            <w:tcW w:w="910" w:type="dxa"/>
            <w:noWrap/>
            <w:hideMark/>
          </w:tcPr>
          <w:p w14:paraId="6FCE353E" w14:textId="77777777" w:rsidR="001B2957" w:rsidRPr="006A6F1F" w:rsidRDefault="001B2957" w:rsidP="0062193B">
            <w:pPr>
              <w:pStyle w:val="Footnote"/>
              <w:keepNext/>
              <w:keepLines/>
              <w:jc w:val="right"/>
              <w:rPr>
                <w:sz w:val="18"/>
                <w:szCs w:val="18"/>
                <w:lang w:val="en-GB" w:eastAsia="en-SG"/>
              </w:rPr>
            </w:pPr>
          </w:p>
        </w:tc>
      </w:tr>
      <w:tr w:rsidR="003F2FE5" w:rsidRPr="006A6F1F" w14:paraId="2A6D7705" w14:textId="77777777" w:rsidTr="003F2FE5">
        <w:trPr>
          <w:trHeight w:val="60"/>
          <w:jc w:val="center"/>
        </w:trPr>
        <w:tc>
          <w:tcPr>
            <w:tcW w:w="2876" w:type="dxa"/>
            <w:hideMark/>
          </w:tcPr>
          <w:p w14:paraId="4FEA8B7A" w14:textId="77777777" w:rsidR="001B2957" w:rsidRPr="006A6F1F" w:rsidRDefault="001B2957" w:rsidP="003F2FE5">
            <w:pPr>
              <w:pStyle w:val="Footnote"/>
              <w:keepNext/>
              <w:keepLines/>
              <w:jc w:val="left"/>
              <w:rPr>
                <w:sz w:val="18"/>
                <w:szCs w:val="18"/>
                <w:lang w:val="en-GB" w:eastAsia="en-SG"/>
              </w:rPr>
            </w:pPr>
            <w:r w:rsidRPr="006A6F1F">
              <w:rPr>
                <w:sz w:val="18"/>
                <w:szCs w:val="18"/>
                <w:lang w:val="en-GB" w:eastAsia="en-SG"/>
              </w:rPr>
              <w:t>Vanda 1 Investments Pte Ltd</w:t>
            </w:r>
          </w:p>
        </w:tc>
        <w:tc>
          <w:tcPr>
            <w:tcW w:w="1217" w:type="dxa"/>
            <w:noWrap/>
            <w:hideMark/>
          </w:tcPr>
          <w:p w14:paraId="73F596BE"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 xml:space="preserve"> </w:t>
            </w:r>
          </w:p>
        </w:tc>
        <w:tc>
          <w:tcPr>
            <w:tcW w:w="767" w:type="dxa"/>
            <w:noWrap/>
            <w:hideMark/>
          </w:tcPr>
          <w:p w14:paraId="2FA4E58B"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 xml:space="preserve"> </w:t>
            </w:r>
          </w:p>
        </w:tc>
        <w:tc>
          <w:tcPr>
            <w:tcW w:w="1260" w:type="dxa"/>
            <w:noWrap/>
            <w:hideMark/>
          </w:tcPr>
          <w:p w14:paraId="6406DC56"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15,000,000</w:t>
            </w:r>
          </w:p>
        </w:tc>
        <w:tc>
          <w:tcPr>
            <w:tcW w:w="792" w:type="dxa"/>
            <w:noWrap/>
            <w:hideMark/>
          </w:tcPr>
          <w:p w14:paraId="763FBD16"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1.53</w:t>
            </w:r>
          </w:p>
        </w:tc>
        <w:tc>
          <w:tcPr>
            <w:tcW w:w="1368" w:type="dxa"/>
            <w:noWrap/>
            <w:hideMark/>
          </w:tcPr>
          <w:p w14:paraId="0645D9C6"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15,000,000</w:t>
            </w:r>
          </w:p>
        </w:tc>
        <w:tc>
          <w:tcPr>
            <w:tcW w:w="910" w:type="dxa"/>
            <w:noWrap/>
            <w:hideMark/>
          </w:tcPr>
          <w:p w14:paraId="40C0403F"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1.30</w:t>
            </w:r>
          </w:p>
        </w:tc>
      </w:tr>
      <w:tr w:rsidR="003F2FE5" w:rsidRPr="006A6F1F" w14:paraId="4335DE92" w14:textId="77777777" w:rsidTr="003F2FE5">
        <w:trPr>
          <w:trHeight w:val="60"/>
          <w:jc w:val="center"/>
        </w:trPr>
        <w:tc>
          <w:tcPr>
            <w:tcW w:w="2876" w:type="dxa"/>
            <w:hideMark/>
          </w:tcPr>
          <w:p w14:paraId="447BD541" w14:textId="77777777" w:rsidR="001B2957" w:rsidRPr="006A6F1F" w:rsidRDefault="001B2957" w:rsidP="003F2FE5">
            <w:pPr>
              <w:pStyle w:val="Footnote"/>
              <w:keepNext/>
              <w:keepLines/>
              <w:jc w:val="left"/>
              <w:rPr>
                <w:sz w:val="18"/>
                <w:szCs w:val="18"/>
                <w:lang w:val="en-GB" w:eastAsia="en-SG"/>
              </w:rPr>
            </w:pPr>
            <w:r w:rsidRPr="006A6F1F">
              <w:rPr>
                <w:sz w:val="18"/>
                <w:szCs w:val="18"/>
                <w:lang w:val="en-GB" w:eastAsia="en-SG"/>
              </w:rPr>
              <w:t>ICH Gemini Asia Growth Fund Pte Ltd</w:t>
            </w:r>
          </w:p>
        </w:tc>
        <w:tc>
          <w:tcPr>
            <w:tcW w:w="1217" w:type="dxa"/>
            <w:noWrap/>
            <w:hideMark/>
          </w:tcPr>
          <w:p w14:paraId="5DB101AB"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 xml:space="preserve"> </w:t>
            </w:r>
          </w:p>
        </w:tc>
        <w:tc>
          <w:tcPr>
            <w:tcW w:w="767" w:type="dxa"/>
            <w:noWrap/>
            <w:hideMark/>
          </w:tcPr>
          <w:p w14:paraId="6A99DBE7"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 xml:space="preserve"> </w:t>
            </w:r>
          </w:p>
        </w:tc>
        <w:tc>
          <w:tcPr>
            <w:tcW w:w="1260" w:type="dxa"/>
            <w:noWrap/>
            <w:hideMark/>
          </w:tcPr>
          <w:p w14:paraId="2B962481"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10,000,000</w:t>
            </w:r>
          </w:p>
        </w:tc>
        <w:tc>
          <w:tcPr>
            <w:tcW w:w="792" w:type="dxa"/>
            <w:noWrap/>
            <w:hideMark/>
          </w:tcPr>
          <w:p w14:paraId="3A033ECF"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1.02</w:t>
            </w:r>
          </w:p>
        </w:tc>
        <w:tc>
          <w:tcPr>
            <w:tcW w:w="1368" w:type="dxa"/>
            <w:noWrap/>
            <w:hideMark/>
          </w:tcPr>
          <w:p w14:paraId="298D4BCA"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10,000,000</w:t>
            </w:r>
          </w:p>
        </w:tc>
        <w:tc>
          <w:tcPr>
            <w:tcW w:w="910" w:type="dxa"/>
            <w:noWrap/>
            <w:hideMark/>
          </w:tcPr>
          <w:p w14:paraId="2CA14DE4"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0.87</w:t>
            </w:r>
          </w:p>
        </w:tc>
      </w:tr>
      <w:tr w:rsidR="003F2FE5" w:rsidRPr="006A6F1F" w14:paraId="27E20EDF" w14:textId="77777777" w:rsidTr="003F2FE5">
        <w:trPr>
          <w:trHeight w:val="60"/>
          <w:jc w:val="center"/>
        </w:trPr>
        <w:tc>
          <w:tcPr>
            <w:tcW w:w="2876" w:type="dxa"/>
            <w:hideMark/>
          </w:tcPr>
          <w:p w14:paraId="04A87078" w14:textId="77777777" w:rsidR="001B2957" w:rsidRPr="006A6F1F" w:rsidRDefault="001B2957" w:rsidP="003F2FE5">
            <w:pPr>
              <w:pStyle w:val="Footnote"/>
              <w:keepNext/>
              <w:keepLines/>
              <w:jc w:val="left"/>
              <w:rPr>
                <w:b/>
                <w:bCs/>
                <w:sz w:val="18"/>
                <w:szCs w:val="18"/>
                <w:lang w:val="en-GB" w:eastAsia="en-SG"/>
              </w:rPr>
            </w:pPr>
            <w:r w:rsidRPr="006A6F1F">
              <w:rPr>
                <w:b/>
                <w:bCs/>
                <w:sz w:val="18"/>
                <w:szCs w:val="18"/>
                <w:lang w:val="en-GB" w:eastAsia="en-SG"/>
              </w:rPr>
              <w:t>Other Shareholders</w:t>
            </w:r>
          </w:p>
        </w:tc>
        <w:tc>
          <w:tcPr>
            <w:tcW w:w="1217" w:type="dxa"/>
            <w:noWrap/>
            <w:hideMark/>
          </w:tcPr>
          <w:p w14:paraId="4CEF4E83"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 xml:space="preserve"> </w:t>
            </w:r>
          </w:p>
        </w:tc>
        <w:tc>
          <w:tcPr>
            <w:tcW w:w="767" w:type="dxa"/>
            <w:noWrap/>
            <w:hideMark/>
          </w:tcPr>
          <w:p w14:paraId="13A3C3CC"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 xml:space="preserve"> </w:t>
            </w:r>
          </w:p>
        </w:tc>
        <w:tc>
          <w:tcPr>
            <w:tcW w:w="1260" w:type="dxa"/>
            <w:noWrap/>
            <w:hideMark/>
          </w:tcPr>
          <w:p w14:paraId="0C9B122C"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 xml:space="preserve"> </w:t>
            </w:r>
          </w:p>
        </w:tc>
        <w:tc>
          <w:tcPr>
            <w:tcW w:w="792" w:type="dxa"/>
            <w:noWrap/>
            <w:hideMark/>
          </w:tcPr>
          <w:p w14:paraId="3414EA24"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 xml:space="preserve"> </w:t>
            </w:r>
          </w:p>
        </w:tc>
        <w:tc>
          <w:tcPr>
            <w:tcW w:w="1368" w:type="dxa"/>
            <w:noWrap/>
            <w:hideMark/>
          </w:tcPr>
          <w:p w14:paraId="21673DD9"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 xml:space="preserve"> </w:t>
            </w:r>
          </w:p>
        </w:tc>
        <w:tc>
          <w:tcPr>
            <w:tcW w:w="910" w:type="dxa"/>
            <w:noWrap/>
            <w:hideMark/>
          </w:tcPr>
          <w:p w14:paraId="10BC6E59" w14:textId="77777777" w:rsidR="001B2957" w:rsidRPr="006A6F1F" w:rsidRDefault="001B2957" w:rsidP="0062193B">
            <w:pPr>
              <w:pStyle w:val="Footnote"/>
              <w:keepNext/>
              <w:keepLines/>
              <w:jc w:val="right"/>
              <w:rPr>
                <w:sz w:val="18"/>
                <w:szCs w:val="18"/>
                <w:lang w:val="en-GB" w:eastAsia="en-SG"/>
              </w:rPr>
            </w:pPr>
          </w:p>
        </w:tc>
      </w:tr>
      <w:tr w:rsidR="003F2FE5" w:rsidRPr="006A6F1F" w14:paraId="5A8B9257" w14:textId="77777777" w:rsidTr="003F2FE5">
        <w:trPr>
          <w:trHeight w:val="60"/>
          <w:jc w:val="center"/>
        </w:trPr>
        <w:tc>
          <w:tcPr>
            <w:tcW w:w="2876" w:type="dxa"/>
            <w:hideMark/>
          </w:tcPr>
          <w:p w14:paraId="26613FE1" w14:textId="77777777" w:rsidR="001B2957" w:rsidRPr="006A6F1F" w:rsidRDefault="001B2957" w:rsidP="003F2FE5">
            <w:pPr>
              <w:pStyle w:val="Footnote"/>
              <w:keepNext/>
              <w:keepLines/>
              <w:jc w:val="left"/>
              <w:rPr>
                <w:sz w:val="18"/>
                <w:szCs w:val="18"/>
                <w:lang w:val="en-GB" w:eastAsia="en-SG"/>
              </w:rPr>
            </w:pPr>
            <w:r w:rsidRPr="006A6F1F">
              <w:rPr>
                <w:sz w:val="18"/>
                <w:szCs w:val="18"/>
                <w:lang w:val="en-GB" w:eastAsia="en-SG"/>
              </w:rPr>
              <w:t xml:space="preserve">Peter Lim </w:t>
            </w:r>
            <w:proofErr w:type="spellStart"/>
            <w:r w:rsidRPr="006A6F1F">
              <w:rPr>
                <w:sz w:val="18"/>
                <w:szCs w:val="18"/>
                <w:lang w:val="en-GB" w:eastAsia="en-SG"/>
              </w:rPr>
              <w:t>Hee</w:t>
            </w:r>
            <w:proofErr w:type="spellEnd"/>
            <w:r w:rsidRPr="006A6F1F">
              <w:rPr>
                <w:sz w:val="18"/>
                <w:szCs w:val="18"/>
                <w:lang w:val="en-GB" w:eastAsia="en-SG"/>
              </w:rPr>
              <w:t xml:space="preserve"> Thong</w:t>
            </w:r>
          </w:p>
        </w:tc>
        <w:tc>
          <w:tcPr>
            <w:tcW w:w="1217" w:type="dxa"/>
            <w:noWrap/>
            <w:hideMark/>
          </w:tcPr>
          <w:p w14:paraId="7BDC5D6C"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606,393</w:t>
            </w:r>
          </w:p>
        </w:tc>
        <w:tc>
          <w:tcPr>
            <w:tcW w:w="767" w:type="dxa"/>
            <w:noWrap/>
            <w:hideMark/>
          </w:tcPr>
          <w:p w14:paraId="4FF8EB66"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0.06</w:t>
            </w:r>
          </w:p>
        </w:tc>
        <w:tc>
          <w:tcPr>
            <w:tcW w:w="1260" w:type="dxa"/>
            <w:noWrap/>
            <w:hideMark/>
          </w:tcPr>
          <w:p w14:paraId="1B6B88F1"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606,393</w:t>
            </w:r>
          </w:p>
        </w:tc>
        <w:tc>
          <w:tcPr>
            <w:tcW w:w="792" w:type="dxa"/>
            <w:noWrap/>
            <w:hideMark/>
          </w:tcPr>
          <w:p w14:paraId="077133B6"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0.06</w:t>
            </w:r>
          </w:p>
        </w:tc>
        <w:tc>
          <w:tcPr>
            <w:tcW w:w="1368" w:type="dxa"/>
            <w:noWrap/>
            <w:hideMark/>
          </w:tcPr>
          <w:p w14:paraId="1CD97C66"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606,393</w:t>
            </w:r>
          </w:p>
        </w:tc>
        <w:tc>
          <w:tcPr>
            <w:tcW w:w="910" w:type="dxa"/>
            <w:noWrap/>
            <w:hideMark/>
          </w:tcPr>
          <w:p w14:paraId="5E862022"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0.05</w:t>
            </w:r>
          </w:p>
        </w:tc>
      </w:tr>
      <w:tr w:rsidR="003F2FE5" w:rsidRPr="006A6F1F" w14:paraId="193A290B" w14:textId="77777777" w:rsidTr="003F2FE5">
        <w:trPr>
          <w:trHeight w:val="60"/>
          <w:jc w:val="center"/>
        </w:trPr>
        <w:tc>
          <w:tcPr>
            <w:tcW w:w="2876" w:type="dxa"/>
            <w:hideMark/>
          </w:tcPr>
          <w:p w14:paraId="3779F337" w14:textId="77777777" w:rsidR="001B2957" w:rsidRPr="006A6F1F" w:rsidRDefault="001B2957" w:rsidP="003F2FE5">
            <w:pPr>
              <w:pStyle w:val="Footnote"/>
              <w:keepNext/>
              <w:keepLines/>
              <w:jc w:val="left"/>
              <w:rPr>
                <w:sz w:val="18"/>
                <w:szCs w:val="18"/>
                <w:lang w:val="en-GB" w:eastAsia="en-SG"/>
              </w:rPr>
            </w:pPr>
            <w:r w:rsidRPr="006A6F1F">
              <w:rPr>
                <w:sz w:val="18"/>
                <w:szCs w:val="18"/>
                <w:lang w:val="en-GB" w:eastAsia="en-SG"/>
              </w:rPr>
              <w:t xml:space="preserve">Ng Han </w:t>
            </w:r>
            <w:proofErr w:type="spellStart"/>
            <w:r w:rsidRPr="006A6F1F">
              <w:rPr>
                <w:sz w:val="18"/>
                <w:szCs w:val="18"/>
                <w:lang w:val="en-GB" w:eastAsia="en-SG"/>
              </w:rPr>
              <w:t>Keow</w:t>
            </w:r>
            <w:proofErr w:type="spellEnd"/>
          </w:p>
        </w:tc>
        <w:tc>
          <w:tcPr>
            <w:tcW w:w="1217" w:type="dxa"/>
            <w:noWrap/>
            <w:hideMark/>
          </w:tcPr>
          <w:p w14:paraId="5C745620"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47,306,862</w:t>
            </w:r>
          </w:p>
        </w:tc>
        <w:tc>
          <w:tcPr>
            <w:tcW w:w="767" w:type="dxa"/>
            <w:noWrap/>
            <w:hideMark/>
          </w:tcPr>
          <w:p w14:paraId="7618FEF6"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4.95</w:t>
            </w:r>
          </w:p>
        </w:tc>
        <w:tc>
          <w:tcPr>
            <w:tcW w:w="1260" w:type="dxa"/>
            <w:noWrap/>
            <w:hideMark/>
          </w:tcPr>
          <w:p w14:paraId="37FA0E71"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47,306,862</w:t>
            </w:r>
          </w:p>
        </w:tc>
        <w:tc>
          <w:tcPr>
            <w:tcW w:w="792" w:type="dxa"/>
            <w:noWrap/>
            <w:hideMark/>
          </w:tcPr>
          <w:p w14:paraId="0F08CE42"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4.82</w:t>
            </w:r>
          </w:p>
        </w:tc>
        <w:tc>
          <w:tcPr>
            <w:tcW w:w="1368" w:type="dxa"/>
            <w:noWrap/>
            <w:hideMark/>
          </w:tcPr>
          <w:p w14:paraId="5FDD7F35"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47,306,862</w:t>
            </w:r>
          </w:p>
        </w:tc>
        <w:tc>
          <w:tcPr>
            <w:tcW w:w="910" w:type="dxa"/>
            <w:noWrap/>
            <w:hideMark/>
          </w:tcPr>
          <w:p w14:paraId="4F660E29"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4.10</w:t>
            </w:r>
          </w:p>
        </w:tc>
      </w:tr>
      <w:tr w:rsidR="003F2FE5" w:rsidRPr="006A6F1F" w14:paraId="10C3B1E0" w14:textId="77777777" w:rsidTr="003F2FE5">
        <w:trPr>
          <w:trHeight w:val="60"/>
          <w:jc w:val="center"/>
        </w:trPr>
        <w:tc>
          <w:tcPr>
            <w:tcW w:w="2876" w:type="dxa"/>
            <w:hideMark/>
          </w:tcPr>
          <w:p w14:paraId="67453EEB" w14:textId="77777777" w:rsidR="001B2957" w:rsidRPr="006A6F1F" w:rsidRDefault="001B2957" w:rsidP="003F2FE5">
            <w:pPr>
              <w:pStyle w:val="Footnote"/>
              <w:keepNext/>
              <w:keepLines/>
              <w:jc w:val="left"/>
              <w:rPr>
                <w:sz w:val="18"/>
                <w:szCs w:val="18"/>
                <w:lang w:val="en-GB" w:eastAsia="en-SG"/>
              </w:rPr>
            </w:pPr>
            <w:r w:rsidRPr="006A6F1F">
              <w:rPr>
                <w:sz w:val="18"/>
                <w:szCs w:val="18"/>
                <w:lang w:val="en-GB" w:eastAsia="en-SG"/>
              </w:rPr>
              <w:t>Other Employees</w:t>
            </w:r>
          </w:p>
        </w:tc>
        <w:tc>
          <w:tcPr>
            <w:tcW w:w="1217" w:type="dxa"/>
            <w:noWrap/>
            <w:hideMark/>
          </w:tcPr>
          <w:p w14:paraId="668BB8DA"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163,108,512</w:t>
            </w:r>
          </w:p>
        </w:tc>
        <w:tc>
          <w:tcPr>
            <w:tcW w:w="767" w:type="dxa"/>
            <w:noWrap/>
            <w:hideMark/>
          </w:tcPr>
          <w:p w14:paraId="193F6A39"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17.06</w:t>
            </w:r>
          </w:p>
        </w:tc>
        <w:tc>
          <w:tcPr>
            <w:tcW w:w="1260" w:type="dxa"/>
            <w:noWrap/>
            <w:hideMark/>
          </w:tcPr>
          <w:p w14:paraId="30DADD2E"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163,108,512</w:t>
            </w:r>
          </w:p>
        </w:tc>
        <w:tc>
          <w:tcPr>
            <w:tcW w:w="792" w:type="dxa"/>
            <w:noWrap/>
            <w:hideMark/>
          </w:tcPr>
          <w:p w14:paraId="57640AB2"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16.63</w:t>
            </w:r>
          </w:p>
        </w:tc>
        <w:tc>
          <w:tcPr>
            <w:tcW w:w="1368" w:type="dxa"/>
            <w:noWrap/>
            <w:hideMark/>
          </w:tcPr>
          <w:p w14:paraId="33FB3877"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163,108,512</w:t>
            </w:r>
          </w:p>
        </w:tc>
        <w:tc>
          <w:tcPr>
            <w:tcW w:w="910" w:type="dxa"/>
            <w:noWrap/>
            <w:hideMark/>
          </w:tcPr>
          <w:p w14:paraId="47B1F2FD"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14.12</w:t>
            </w:r>
          </w:p>
        </w:tc>
      </w:tr>
      <w:tr w:rsidR="003F2FE5" w:rsidRPr="006A6F1F" w14:paraId="7E08C933" w14:textId="77777777" w:rsidTr="003F2FE5">
        <w:trPr>
          <w:trHeight w:val="60"/>
          <w:jc w:val="center"/>
        </w:trPr>
        <w:tc>
          <w:tcPr>
            <w:tcW w:w="2876" w:type="dxa"/>
            <w:hideMark/>
          </w:tcPr>
          <w:p w14:paraId="3E8B894F" w14:textId="77777777" w:rsidR="001B2957" w:rsidRPr="006A6F1F" w:rsidRDefault="001B2957" w:rsidP="003F2FE5">
            <w:pPr>
              <w:pStyle w:val="Footnote"/>
              <w:keepNext/>
              <w:keepLines/>
              <w:jc w:val="left"/>
              <w:rPr>
                <w:sz w:val="18"/>
                <w:szCs w:val="18"/>
                <w:lang w:val="en-GB" w:eastAsia="en-SG"/>
              </w:rPr>
            </w:pPr>
            <w:r w:rsidRPr="006A6F1F">
              <w:rPr>
                <w:sz w:val="18"/>
                <w:szCs w:val="18"/>
                <w:lang w:val="en-GB" w:eastAsia="en-SG"/>
              </w:rPr>
              <w:t>Other Existing Public Shareholders</w:t>
            </w:r>
          </w:p>
        </w:tc>
        <w:tc>
          <w:tcPr>
            <w:tcW w:w="1217" w:type="dxa"/>
            <w:noWrap/>
            <w:hideMark/>
          </w:tcPr>
          <w:p w14:paraId="0A1F789D"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64,057,338</w:t>
            </w:r>
          </w:p>
        </w:tc>
        <w:tc>
          <w:tcPr>
            <w:tcW w:w="767" w:type="dxa"/>
            <w:noWrap/>
            <w:hideMark/>
          </w:tcPr>
          <w:p w14:paraId="7462DB80"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6.70</w:t>
            </w:r>
          </w:p>
        </w:tc>
        <w:tc>
          <w:tcPr>
            <w:tcW w:w="1260" w:type="dxa"/>
            <w:noWrap/>
            <w:hideMark/>
          </w:tcPr>
          <w:p w14:paraId="0F8BADBF"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64,057,338</w:t>
            </w:r>
          </w:p>
        </w:tc>
        <w:tc>
          <w:tcPr>
            <w:tcW w:w="792" w:type="dxa"/>
            <w:noWrap/>
            <w:hideMark/>
          </w:tcPr>
          <w:p w14:paraId="7C952FC1"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6.53</w:t>
            </w:r>
          </w:p>
        </w:tc>
        <w:tc>
          <w:tcPr>
            <w:tcW w:w="1368" w:type="dxa"/>
            <w:noWrap/>
            <w:hideMark/>
          </w:tcPr>
          <w:p w14:paraId="0256083C"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64,057,338</w:t>
            </w:r>
          </w:p>
        </w:tc>
        <w:tc>
          <w:tcPr>
            <w:tcW w:w="910" w:type="dxa"/>
            <w:noWrap/>
            <w:hideMark/>
          </w:tcPr>
          <w:p w14:paraId="3986A8DC"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5.55</w:t>
            </w:r>
          </w:p>
        </w:tc>
      </w:tr>
      <w:tr w:rsidR="003F2FE5" w:rsidRPr="006A6F1F" w14:paraId="03FEECE0" w14:textId="77777777" w:rsidTr="003F2FE5">
        <w:trPr>
          <w:trHeight w:val="60"/>
          <w:jc w:val="center"/>
        </w:trPr>
        <w:tc>
          <w:tcPr>
            <w:tcW w:w="2876" w:type="dxa"/>
            <w:hideMark/>
          </w:tcPr>
          <w:p w14:paraId="321BB319" w14:textId="77777777" w:rsidR="001B2957" w:rsidRPr="006A6F1F" w:rsidRDefault="001B2957" w:rsidP="003F2FE5">
            <w:pPr>
              <w:pStyle w:val="Footnote"/>
              <w:keepNext/>
              <w:keepLines/>
              <w:jc w:val="left"/>
              <w:rPr>
                <w:sz w:val="18"/>
                <w:szCs w:val="18"/>
                <w:lang w:val="en-GB" w:eastAsia="en-SG"/>
              </w:rPr>
            </w:pPr>
            <w:r w:rsidRPr="006A6F1F">
              <w:rPr>
                <w:sz w:val="18"/>
                <w:szCs w:val="18"/>
                <w:lang w:val="en-GB" w:eastAsia="en-SG"/>
              </w:rPr>
              <w:t xml:space="preserve"> </w:t>
            </w:r>
          </w:p>
        </w:tc>
        <w:tc>
          <w:tcPr>
            <w:tcW w:w="1217" w:type="dxa"/>
            <w:noWrap/>
            <w:hideMark/>
          </w:tcPr>
          <w:p w14:paraId="6BB28C70"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 </w:t>
            </w:r>
          </w:p>
        </w:tc>
        <w:tc>
          <w:tcPr>
            <w:tcW w:w="767" w:type="dxa"/>
            <w:noWrap/>
            <w:hideMark/>
          </w:tcPr>
          <w:p w14:paraId="3BC29408" w14:textId="77777777" w:rsidR="001B2957" w:rsidRPr="006A6F1F" w:rsidRDefault="001B2957" w:rsidP="0062193B">
            <w:pPr>
              <w:pStyle w:val="Footnote"/>
              <w:keepNext/>
              <w:keepLines/>
              <w:jc w:val="right"/>
              <w:rPr>
                <w:sz w:val="18"/>
                <w:szCs w:val="18"/>
                <w:lang w:val="en-GB" w:eastAsia="en-SG"/>
              </w:rPr>
            </w:pPr>
          </w:p>
        </w:tc>
        <w:tc>
          <w:tcPr>
            <w:tcW w:w="1260" w:type="dxa"/>
            <w:noWrap/>
            <w:hideMark/>
          </w:tcPr>
          <w:p w14:paraId="32B5CDC0"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 </w:t>
            </w:r>
          </w:p>
        </w:tc>
        <w:tc>
          <w:tcPr>
            <w:tcW w:w="792" w:type="dxa"/>
            <w:noWrap/>
            <w:hideMark/>
          </w:tcPr>
          <w:p w14:paraId="03A3063C" w14:textId="77777777" w:rsidR="001B2957" w:rsidRPr="006A6F1F" w:rsidRDefault="001B2957" w:rsidP="0062193B">
            <w:pPr>
              <w:pStyle w:val="Footnote"/>
              <w:keepNext/>
              <w:keepLines/>
              <w:jc w:val="right"/>
              <w:rPr>
                <w:sz w:val="18"/>
                <w:szCs w:val="18"/>
                <w:lang w:val="en-GB" w:eastAsia="en-SG"/>
              </w:rPr>
            </w:pPr>
          </w:p>
        </w:tc>
        <w:tc>
          <w:tcPr>
            <w:tcW w:w="1368" w:type="dxa"/>
            <w:noWrap/>
            <w:hideMark/>
          </w:tcPr>
          <w:p w14:paraId="2032EA37"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 xml:space="preserve"> </w:t>
            </w:r>
          </w:p>
        </w:tc>
        <w:tc>
          <w:tcPr>
            <w:tcW w:w="910" w:type="dxa"/>
            <w:noWrap/>
            <w:hideMark/>
          </w:tcPr>
          <w:p w14:paraId="5C4FFF38" w14:textId="77777777" w:rsidR="001B2957" w:rsidRPr="006A6F1F" w:rsidRDefault="001B2957" w:rsidP="0062193B">
            <w:pPr>
              <w:pStyle w:val="Footnote"/>
              <w:keepNext/>
              <w:keepLines/>
              <w:jc w:val="right"/>
              <w:rPr>
                <w:sz w:val="18"/>
                <w:szCs w:val="18"/>
                <w:lang w:val="en-GB" w:eastAsia="en-SG"/>
              </w:rPr>
            </w:pPr>
          </w:p>
        </w:tc>
      </w:tr>
      <w:tr w:rsidR="003F2FE5" w:rsidRPr="006A6F1F" w14:paraId="52491372" w14:textId="77777777" w:rsidTr="003F2FE5">
        <w:trPr>
          <w:trHeight w:val="60"/>
          <w:jc w:val="center"/>
        </w:trPr>
        <w:tc>
          <w:tcPr>
            <w:tcW w:w="2876" w:type="dxa"/>
            <w:hideMark/>
          </w:tcPr>
          <w:p w14:paraId="65D20592" w14:textId="77777777" w:rsidR="001B2957" w:rsidRPr="006A6F1F" w:rsidRDefault="001B2957" w:rsidP="003F2FE5">
            <w:pPr>
              <w:pStyle w:val="Footnote"/>
              <w:keepNext/>
              <w:keepLines/>
              <w:jc w:val="left"/>
              <w:rPr>
                <w:b/>
                <w:bCs/>
                <w:sz w:val="18"/>
                <w:szCs w:val="18"/>
                <w:lang w:val="en-GB" w:eastAsia="en-SG"/>
              </w:rPr>
            </w:pPr>
            <w:r w:rsidRPr="006A6F1F">
              <w:rPr>
                <w:b/>
                <w:bCs/>
                <w:sz w:val="18"/>
                <w:szCs w:val="18"/>
                <w:lang w:val="en-GB" w:eastAsia="en-SG"/>
              </w:rPr>
              <w:t>New Public Shareholders</w:t>
            </w:r>
          </w:p>
        </w:tc>
        <w:tc>
          <w:tcPr>
            <w:tcW w:w="1217" w:type="dxa"/>
            <w:noWrap/>
            <w:hideMark/>
          </w:tcPr>
          <w:p w14:paraId="452C94B8"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 </w:t>
            </w:r>
          </w:p>
        </w:tc>
        <w:tc>
          <w:tcPr>
            <w:tcW w:w="767" w:type="dxa"/>
            <w:noWrap/>
            <w:hideMark/>
          </w:tcPr>
          <w:p w14:paraId="5A523926" w14:textId="77777777" w:rsidR="001B2957" w:rsidRPr="006A6F1F" w:rsidRDefault="001B2957" w:rsidP="0062193B">
            <w:pPr>
              <w:pStyle w:val="Footnote"/>
              <w:keepNext/>
              <w:keepLines/>
              <w:jc w:val="right"/>
              <w:rPr>
                <w:sz w:val="18"/>
                <w:szCs w:val="18"/>
                <w:lang w:val="en-GB" w:eastAsia="en-SG"/>
              </w:rPr>
            </w:pPr>
          </w:p>
        </w:tc>
        <w:tc>
          <w:tcPr>
            <w:tcW w:w="1260" w:type="dxa"/>
            <w:noWrap/>
            <w:hideMark/>
          </w:tcPr>
          <w:p w14:paraId="1F674CA2"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 </w:t>
            </w:r>
          </w:p>
        </w:tc>
        <w:tc>
          <w:tcPr>
            <w:tcW w:w="792" w:type="dxa"/>
            <w:noWrap/>
            <w:hideMark/>
          </w:tcPr>
          <w:p w14:paraId="58F3B6EB" w14:textId="77777777" w:rsidR="001B2957" w:rsidRPr="006A6F1F" w:rsidRDefault="001B2957" w:rsidP="0062193B">
            <w:pPr>
              <w:pStyle w:val="Footnote"/>
              <w:keepNext/>
              <w:keepLines/>
              <w:jc w:val="right"/>
              <w:rPr>
                <w:sz w:val="18"/>
                <w:szCs w:val="18"/>
                <w:lang w:val="en-GB" w:eastAsia="en-SG"/>
              </w:rPr>
            </w:pPr>
          </w:p>
        </w:tc>
        <w:tc>
          <w:tcPr>
            <w:tcW w:w="1368" w:type="dxa"/>
            <w:noWrap/>
            <w:hideMark/>
          </w:tcPr>
          <w:p w14:paraId="18BD4DEF"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173,800,000</w:t>
            </w:r>
          </w:p>
        </w:tc>
        <w:tc>
          <w:tcPr>
            <w:tcW w:w="910" w:type="dxa"/>
            <w:noWrap/>
            <w:hideMark/>
          </w:tcPr>
          <w:p w14:paraId="31638744"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15.05</w:t>
            </w:r>
          </w:p>
        </w:tc>
      </w:tr>
      <w:tr w:rsidR="003F2FE5" w:rsidRPr="006A6F1F" w14:paraId="71EB3098" w14:textId="77777777" w:rsidTr="003F2FE5">
        <w:trPr>
          <w:trHeight w:val="60"/>
          <w:jc w:val="center"/>
        </w:trPr>
        <w:tc>
          <w:tcPr>
            <w:tcW w:w="2876" w:type="dxa"/>
            <w:hideMark/>
          </w:tcPr>
          <w:p w14:paraId="587BCACA" w14:textId="77777777" w:rsidR="001B2957" w:rsidRPr="006A6F1F" w:rsidRDefault="001B2957" w:rsidP="003F2FE5">
            <w:pPr>
              <w:pStyle w:val="Footnote"/>
              <w:keepNext/>
              <w:keepLines/>
              <w:jc w:val="left"/>
              <w:rPr>
                <w:sz w:val="18"/>
                <w:szCs w:val="18"/>
                <w:lang w:val="en-GB" w:eastAsia="en-SG"/>
              </w:rPr>
            </w:pPr>
            <w:r w:rsidRPr="006A6F1F">
              <w:rPr>
                <w:sz w:val="18"/>
                <w:szCs w:val="18"/>
                <w:lang w:val="en-GB" w:eastAsia="en-SG"/>
              </w:rPr>
              <w:t>Total</w:t>
            </w:r>
          </w:p>
        </w:tc>
        <w:tc>
          <w:tcPr>
            <w:tcW w:w="1217" w:type="dxa"/>
            <w:noWrap/>
            <w:hideMark/>
          </w:tcPr>
          <w:p w14:paraId="201F8113"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955,986,732</w:t>
            </w:r>
          </w:p>
        </w:tc>
        <w:tc>
          <w:tcPr>
            <w:tcW w:w="767" w:type="dxa"/>
            <w:noWrap/>
            <w:hideMark/>
          </w:tcPr>
          <w:p w14:paraId="73A779A2" w14:textId="4902E283"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100.00</w:t>
            </w:r>
          </w:p>
        </w:tc>
        <w:tc>
          <w:tcPr>
            <w:tcW w:w="1260" w:type="dxa"/>
            <w:noWrap/>
            <w:hideMark/>
          </w:tcPr>
          <w:p w14:paraId="7AF243D8"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980,986,732</w:t>
            </w:r>
          </w:p>
        </w:tc>
        <w:tc>
          <w:tcPr>
            <w:tcW w:w="792" w:type="dxa"/>
            <w:noWrap/>
            <w:hideMark/>
          </w:tcPr>
          <w:p w14:paraId="3B21A962" w14:textId="0EB89668"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100.00</w:t>
            </w:r>
          </w:p>
        </w:tc>
        <w:tc>
          <w:tcPr>
            <w:tcW w:w="1368" w:type="dxa"/>
            <w:noWrap/>
            <w:hideMark/>
          </w:tcPr>
          <w:p w14:paraId="156BEE72" w14:textId="77777777"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1,154,786,732</w:t>
            </w:r>
          </w:p>
        </w:tc>
        <w:tc>
          <w:tcPr>
            <w:tcW w:w="910" w:type="dxa"/>
            <w:noWrap/>
            <w:hideMark/>
          </w:tcPr>
          <w:p w14:paraId="68A736B8" w14:textId="74107F4C" w:rsidR="001B2957" w:rsidRPr="006A6F1F" w:rsidRDefault="001B2957" w:rsidP="0062193B">
            <w:pPr>
              <w:pStyle w:val="Footnote"/>
              <w:keepNext/>
              <w:keepLines/>
              <w:jc w:val="right"/>
              <w:rPr>
                <w:sz w:val="18"/>
                <w:szCs w:val="18"/>
                <w:lang w:val="en-GB" w:eastAsia="en-SG"/>
              </w:rPr>
            </w:pPr>
            <w:r w:rsidRPr="006A6F1F">
              <w:rPr>
                <w:sz w:val="18"/>
                <w:szCs w:val="18"/>
                <w:lang w:val="en-GB" w:eastAsia="en-SG"/>
              </w:rPr>
              <w:t>100.00</w:t>
            </w:r>
          </w:p>
        </w:tc>
      </w:tr>
    </w:tbl>
    <w:p w14:paraId="66B42BCE" w14:textId="77777777" w:rsidR="001B2957" w:rsidRPr="0062193B" w:rsidRDefault="001B2957" w:rsidP="0062193B">
      <w:pPr>
        <w:pStyle w:val="Footnote"/>
        <w:keepNext/>
        <w:keepLines/>
        <w:rPr>
          <w:sz w:val="8"/>
          <w:szCs w:val="8"/>
          <w:lang w:val="en-GB"/>
        </w:rPr>
      </w:pPr>
    </w:p>
    <w:p w14:paraId="2E40EF6B" w14:textId="07F69C8E" w:rsidR="001B2957" w:rsidRPr="006A6F1F" w:rsidRDefault="001B2957" w:rsidP="0062193B">
      <w:pPr>
        <w:pStyle w:val="Footnote"/>
        <w:keepNext/>
        <w:keepLines/>
        <w:rPr>
          <w:lang w:val="en-GB"/>
        </w:rPr>
      </w:pPr>
      <w:r w:rsidRPr="006A6F1F">
        <w:rPr>
          <w:lang w:val="en-GB"/>
        </w:rPr>
        <w:t xml:space="preserve">Note: Lim </w:t>
      </w:r>
      <w:proofErr w:type="spellStart"/>
      <w:r w:rsidRPr="006A6F1F">
        <w:rPr>
          <w:lang w:val="en-GB"/>
        </w:rPr>
        <w:t>Hee</w:t>
      </w:r>
      <w:proofErr w:type="spellEnd"/>
      <w:r w:rsidRPr="006A6F1F">
        <w:rPr>
          <w:lang w:val="en-GB"/>
        </w:rPr>
        <w:t xml:space="preserve"> </w:t>
      </w:r>
      <w:proofErr w:type="spellStart"/>
      <w:r w:rsidRPr="006A6F1F">
        <w:rPr>
          <w:lang w:val="en-GB"/>
        </w:rPr>
        <w:t>Liat</w:t>
      </w:r>
      <w:proofErr w:type="spellEnd"/>
      <w:r w:rsidRPr="006A6F1F">
        <w:rPr>
          <w:lang w:val="en-GB"/>
        </w:rPr>
        <w:t xml:space="preserve"> and Peter Lim </w:t>
      </w:r>
      <w:proofErr w:type="spellStart"/>
      <w:r w:rsidRPr="006A6F1F">
        <w:rPr>
          <w:lang w:val="en-GB"/>
        </w:rPr>
        <w:t>Hee</w:t>
      </w:r>
      <w:proofErr w:type="spellEnd"/>
      <w:r w:rsidRPr="006A6F1F">
        <w:rPr>
          <w:lang w:val="en-GB"/>
        </w:rPr>
        <w:t xml:space="preserve"> Thong were siblings. Ng Lay </w:t>
      </w:r>
      <w:proofErr w:type="spellStart"/>
      <w:r w:rsidRPr="006A6F1F">
        <w:rPr>
          <w:lang w:val="en-GB"/>
        </w:rPr>
        <w:t>Beng</w:t>
      </w:r>
      <w:proofErr w:type="spellEnd"/>
      <w:r w:rsidRPr="006A6F1F">
        <w:rPr>
          <w:lang w:val="en-GB"/>
        </w:rPr>
        <w:t xml:space="preserve"> and Ng Han </w:t>
      </w:r>
      <w:proofErr w:type="spellStart"/>
      <w:r w:rsidRPr="006A6F1F">
        <w:rPr>
          <w:lang w:val="en-GB"/>
        </w:rPr>
        <w:t>Keow</w:t>
      </w:r>
      <w:proofErr w:type="spellEnd"/>
      <w:r w:rsidRPr="006A6F1F">
        <w:rPr>
          <w:lang w:val="en-GB"/>
        </w:rPr>
        <w:t xml:space="preserve"> were siblings. Other </w:t>
      </w:r>
      <w:r w:rsidR="00E934B8">
        <w:rPr>
          <w:lang w:val="en-GB"/>
        </w:rPr>
        <w:t>e</w:t>
      </w:r>
      <w:r w:rsidR="00E934B8" w:rsidRPr="006A6F1F">
        <w:rPr>
          <w:lang w:val="en-GB"/>
        </w:rPr>
        <w:t>mployees</w:t>
      </w:r>
      <w:r w:rsidRPr="006A6F1F">
        <w:rPr>
          <w:lang w:val="en-GB"/>
        </w:rPr>
        <w:t xml:space="preserve"> were 10 employees and their immediate families. The shares did not carry different voting rights. There was only one class of shares.  </w:t>
      </w:r>
    </w:p>
    <w:p w14:paraId="3730AF9E" w14:textId="555DC4FD" w:rsidR="001B2957" w:rsidRPr="006A6F1F" w:rsidRDefault="001B2957" w:rsidP="0062193B">
      <w:pPr>
        <w:pStyle w:val="Footnote"/>
        <w:keepNext/>
        <w:keepLines/>
        <w:rPr>
          <w:lang w:val="en-GB"/>
        </w:rPr>
      </w:pPr>
      <w:r w:rsidRPr="006A6F1F">
        <w:rPr>
          <w:lang w:val="en-GB"/>
        </w:rPr>
        <w:t xml:space="preserve">Source: Created by </w:t>
      </w:r>
      <w:r w:rsidR="00434042">
        <w:rPr>
          <w:lang w:val="en-GB"/>
        </w:rPr>
        <w:t xml:space="preserve">the </w:t>
      </w:r>
      <w:r w:rsidRPr="006A6F1F">
        <w:rPr>
          <w:lang w:val="en-GB"/>
        </w:rPr>
        <w:t>author</w:t>
      </w:r>
      <w:r w:rsidR="00434042">
        <w:rPr>
          <w:lang w:val="en-GB"/>
        </w:rPr>
        <w:t>s</w:t>
      </w:r>
      <w:r w:rsidRPr="006A6F1F">
        <w:rPr>
          <w:lang w:val="en-GB"/>
        </w:rPr>
        <w:t xml:space="preserve"> based on </w:t>
      </w:r>
      <w:proofErr w:type="spellStart"/>
      <w:r w:rsidRPr="006A6F1F">
        <w:rPr>
          <w:lang w:val="en-GB"/>
        </w:rPr>
        <w:t>Kimly</w:t>
      </w:r>
      <w:proofErr w:type="spellEnd"/>
      <w:r w:rsidRPr="006A6F1F">
        <w:rPr>
          <w:lang w:val="en-GB"/>
        </w:rPr>
        <w:t xml:space="preserve"> Limited, </w:t>
      </w:r>
      <w:r w:rsidRPr="0062193B">
        <w:rPr>
          <w:i/>
          <w:lang w:val="en-GB"/>
        </w:rPr>
        <w:t xml:space="preserve">Invitation In Respect </w:t>
      </w:r>
      <w:r w:rsidR="00434042">
        <w:rPr>
          <w:i/>
          <w:lang w:val="en-GB"/>
        </w:rPr>
        <w:t>o</w:t>
      </w:r>
      <w:r w:rsidRPr="0062193B">
        <w:rPr>
          <w:i/>
          <w:lang w:val="en-GB"/>
        </w:rPr>
        <w:t>f 173,800,000 New Shares</w:t>
      </w:r>
      <w:r w:rsidRPr="006A6F1F">
        <w:rPr>
          <w:lang w:val="en-GB"/>
        </w:rPr>
        <w:t>, 60, March 8, 2017, accessed May 29, 2017, http://infopub.sgx.com/FileOpen/Kimly_Limited_-_Offer_Document.ashx?App=IPO&amp;FileID=5360.</w:t>
      </w:r>
    </w:p>
    <w:p w14:paraId="511DBA0D" w14:textId="77777777" w:rsidR="003F2FE5" w:rsidRDefault="003F2FE5" w:rsidP="00EE54FA">
      <w:pPr>
        <w:pStyle w:val="ExhibitHeading"/>
        <w:rPr>
          <w:color w:val="000000" w:themeColor="text1"/>
          <w:lang w:val="en-GB"/>
        </w:rPr>
        <w:sectPr w:rsidR="003F2FE5" w:rsidSect="003F2FE5">
          <w:headerReference w:type="default" r:id="rId16"/>
          <w:endnotePr>
            <w:numFmt w:val="decimal"/>
          </w:endnotePr>
          <w:pgSz w:w="12240" w:h="15840"/>
          <w:pgMar w:top="1080" w:right="1440" w:bottom="1440" w:left="1440" w:header="1080" w:footer="720" w:gutter="0"/>
          <w:cols w:space="720"/>
          <w:docGrid w:linePitch="360"/>
        </w:sectPr>
      </w:pPr>
    </w:p>
    <w:p w14:paraId="75FFD9D9" w14:textId="779603D3" w:rsidR="001B2957" w:rsidRPr="003F2FE5" w:rsidRDefault="001B2957" w:rsidP="003F2FE5">
      <w:pPr>
        <w:pStyle w:val="ExhibitHeading"/>
      </w:pPr>
      <w:r w:rsidRPr="003F2FE5">
        <w:lastRenderedPageBreak/>
        <w:t>Exhibit 2: KIMLY’s two divisions</w:t>
      </w:r>
    </w:p>
    <w:p w14:paraId="73555A2E" w14:textId="77777777" w:rsidR="001B2957" w:rsidRPr="006A6F1F" w:rsidRDefault="001B2957" w:rsidP="005A59E5">
      <w:pPr>
        <w:pStyle w:val="ExhibitHeading"/>
        <w:ind w:left="720"/>
        <w:rPr>
          <w:color w:val="000000" w:themeColor="text1"/>
          <w:lang w:val="en-GB"/>
        </w:rPr>
      </w:pPr>
    </w:p>
    <w:tbl>
      <w:tblPr>
        <w:tblStyle w:val="TableGrid2"/>
        <w:tblW w:w="6700" w:type="dxa"/>
        <w:jc w:val="center"/>
        <w:tblLook w:val="04A0" w:firstRow="1" w:lastRow="0" w:firstColumn="1" w:lastColumn="0" w:noHBand="0" w:noVBand="1"/>
      </w:tblPr>
      <w:tblGrid>
        <w:gridCol w:w="1520"/>
        <w:gridCol w:w="1700"/>
        <w:gridCol w:w="3480"/>
      </w:tblGrid>
      <w:tr w:rsidR="003F2FE5" w:rsidRPr="00AE0796" w14:paraId="33B98CCA" w14:textId="77777777" w:rsidTr="003F2FE5">
        <w:trPr>
          <w:trHeight w:val="512"/>
          <w:jc w:val="center"/>
        </w:trPr>
        <w:tc>
          <w:tcPr>
            <w:tcW w:w="1520" w:type="dxa"/>
            <w:vMerge w:val="restart"/>
            <w:hideMark/>
          </w:tcPr>
          <w:p w14:paraId="675EC9B7" w14:textId="2F8C2A7F" w:rsidR="003F2FE5" w:rsidRPr="00AE0796" w:rsidRDefault="003F2FE5" w:rsidP="00365207">
            <w:pPr>
              <w:contextualSpacing/>
              <w:jc w:val="center"/>
              <w:rPr>
                <w:rFonts w:ascii="Arial" w:hAnsi="Arial" w:cs="Arial"/>
                <w:color w:val="000000"/>
                <w:szCs w:val="22"/>
                <w:lang w:val="en-SG"/>
              </w:rPr>
            </w:pPr>
            <w:proofErr w:type="spellStart"/>
            <w:r w:rsidRPr="00AE0796">
              <w:rPr>
                <w:rFonts w:ascii="Arial" w:hAnsi="Arial" w:cs="Arial"/>
                <w:color w:val="000000"/>
                <w:szCs w:val="22"/>
                <w:lang w:val="en-SG"/>
              </w:rPr>
              <w:t>Kimly</w:t>
            </w:r>
            <w:proofErr w:type="spellEnd"/>
            <w:r w:rsidRPr="00AE0796">
              <w:rPr>
                <w:rFonts w:ascii="Arial" w:hAnsi="Arial" w:cs="Arial"/>
                <w:color w:val="000000"/>
                <w:szCs w:val="22"/>
                <w:lang w:val="en-SG"/>
              </w:rPr>
              <w:t xml:space="preserve"> Limited</w:t>
            </w:r>
          </w:p>
        </w:tc>
        <w:tc>
          <w:tcPr>
            <w:tcW w:w="1700" w:type="dxa"/>
            <w:vMerge w:val="restart"/>
            <w:hideMark/>
          </w:tcPr>
          <w:p w14:paraId="3A6D665F" w14:textId="77777777" w:rsidR="003F2FE5" w:rsidRPr="00AE0796" w:rsidRDefault="003F2FE5" w:rsidP="00365207">
            <w:pPr>
              <w:contextualSpacing/>
              <w:jc w:val="center"/>
              <w:rPr>
                <w:rFonts w:ascii="Arial" w:hAnsi="Arial" w:cs="Arial"/>
                <w:color w:val="000000"/>
                <w:szCs w:val="22"/>
                <w:lang w:val="en-SG"/>
              </w:rPr>
            </w:pPr>
            <w:r w:rsidRPr="00AE0796">
              <w:rPr>
                <w:rFonts w:ascii="Arial" w:hAnsi="Arial" w:cs="Arial"/>
                <w:color w:val="000000"/>
                <w:szCs w:val="22"/>
                <w:lang w:val="en-SG"/>
              </w:rPr>
              <w:t>Outlet Management Division</w:t>
            </w:r>
          </w:p>
        </w:tc>
        <w:tc>
          <w:tcPr>
            <w:tcW w:w="3480" w:type="dxa"/>
            <w:hideMark/>
          </w:tcPr>
          <w:p w14:paraId="11FD0BC7" w14:textId="02580CFF" w:rsidR="003F2FE5" w:rsidRPr="00AE0796" w:rsidRDefault="003F2FE5" w:rsidP="003F2FE5">
            <w:pPr>
              <w:contextualSpacing/>
              <w:jc w:val="center"/>
              <w:rPr>
                <w:rFonts w:ascii="Arial" w:hAnsi="Arial" w:cs="Arial"/>
                <w:color w:val="000000"/>
                <w:szCs w:val="22"/>
                <w:lang w:val="en-SG"/>
              </w:rPr>
            </w:pPr>
            <w:r w:rsidRPr="00AE0796">
              <w:rPr>
                <w:rFonts w:ascii="Arial" w:hAnsi="Arial" w:cs="Arial"/>
                <w:color w:val="000000"/>
                <w:szCs w:val="22"/>
                <w:lang w:val="en-SG"/>
              </w:rPr>
              <w:t xml:space="preserve">Coffee shop management division (54 outlets under </w:t>
            </w:r>
            <w:r>
              <w:rPr>
                <w:rFonts w:ascii="Arial" w:hAnsi="Arial" w:cs="Arial"/>
                <w:color w:val="000000"/>
                <w:szCs w:val="22"/>
                <w:lang w:val="en-SG"/>
              </w:rPr>
              <w:t xml:space="preserve">the </w:t>
            </w:r>
            <w:proofErr w:type="spellStart"/>
            <w:r w:rsidRPr="00AE0796">
              <w:rPr>
                <w:rFonts w:ascii="Arial" w:hAnsi="Arial" w:cs="Arial"/>
                <w:color w:val="000000"/>
                <w:szCs w:val="22"/>
                <w:lang w:val="en-SG"/>
              </w:rPr>
              <w:t>Kimly</w:t>
            </w:r>
            <w:proofErr w:type="spellEnd"/>
            <w:r w:rsidRPr="00AE0796">
              <w:rPr>
                <w:rFonts w:ascii="Arial" w:hAnsi="Arial" w:cs="Arial"/>
                <w:color w:val="000000"/>
                <w:szCs w:val="22"/>
                <w:lang w:val="en-SG"/>
              </w:rPr>
              <w:t xml:space="preserve"> brand and </w:t>
            </w:r>
            <w:r>
              <w:rPr>
                <w:rFonts w:ascii="Arial" w:hAnsi="Arial" w:cs="Arial"/>
                <w:color w:val="000000"/>
                <w:szCs w:val="22"/>
                <w:lang w:val="en-SG"/>
              </w:rPr>
              <w:t>five</w:t>
            </w:r>
            <w:r w:rsidRPr="00AE0796">
              <w:rPr>
                <w:rFonts w:ascii="Arial" w:hAnsi="Arial" w:cs="Arial"/>
                <w:color w:val="000000"/>
                <w:szCs w:val="22"/>
                <w:lang w:val="en-SG"/>
              </w:rPr>
              <w:t xml:space="preserve"> outlets under a </w:t>
            </w:r>
            <w:r>
              <w:rPr>
                <w:rFonts w:ascii="Arial" w:hAnsi="Arial" w:cs="Arial"/>
                <w:color w:val="000000"/>
                <w:szCs w:val="22"/>
                <w:lang w:val="en-SG"/>
              </w:rPr>
              <w:t xml:space="preserve">third </w:t>
            </w:r>
            <w:r w:rsidRPr="00AE0796">
              <w:rPr>
                <w:rFonts w:ascii="Arial" w:hAnsi="Arial" w:cs="Arial"/>
                <w:color w:val="000000"/>
                <w:szCs w:val="22"/>
                <w:lang w:val="en-SG"/>
              </w:rPr>
              <w:t>party brand)</w:t>
            </w:r>
          </w:p>
        </w:tc>
      </w:tr>
      <w:tr w:rsidR="00365207" w:rsidRPr="00AE0796" w14:paraId="300E9FB1" w14:textId="77777777" w:rsidTr="003F2FE5">
        <w:trPr>
          <w:trHeight w:val="60"/>
          <w:jc w:val="center"/>
        </w:trPr>
        <w:tc>
          <w:tcPr>
            <w:tcW w:w="1520" w:type="dxa"/>
            <w:vMerge/>
            <w:hideMark/>
          </w:tcPr>
          <w:p w14:paraId="03408260" w14:textId="77777777" w:rsidR="00365207" w:rsidRPr="00AE0796" w:rsidRDefault="00365207" w:rsidP="00365207">
            <w:pPr>
              <w:contextualSpacing/>
              <w:rPr>
                <w:rFonts w:ascii="Arial" w:hAnsi="Arial" w:cs="Arial"/>
                <w:color w:val="000000"/>
                <w:szCs w:val="22"/>
                <w:lang w:val="en-SG"/>
              </w:rPr>
            </w:pPr>
          </w:p>
        </w:tc>
        <w:tc>
          <w:tcPr>
            <w:tcW w:w="1700" w:type="dxa"/>
            <w:vMerge/>
            <w:hideMark/>
          </w:tcPr>
          <w:p w14:paraId="5CD66002" w14:textId="77777777" w:rsidR="00365207" w:rsidRPr="00AE0796" w:rsidRDefault="00365207" w:rsidP="00365207">
            <w:pPr>
              <w:contextualSpacing/>
              <w:rPr>
                <w:rFonts w:ascii="Arial" w:hAnsi="Arial" w:cs="Arial"/>
                <w:color w:val="000000"/>
                <w:szCs w:val="22"/>
                <w:lang w:val="en-SG"/>
              </w:rPr>
            </w:pPr>
          </w:p>
        </w:tc>
        <w:tc>
          <w:tcPr>
            <w:tcW w:w="3480" w:type="dxa"/>
            <w:hideMark/>
          </w:tcPr>
          <w:p w14:paraId="272E2358" w14:textId="06F73209" w:rsidR="00365207" w:rsidRPr="00AE0796" w:rsidRDefault="00365207" w:rsidP="003F2FE5">
            <w:pPr>
              <w:contextualSpacing/>
              <w:jc w:val="center"/>
              <w:rPr>
                <w:rFonts w:ascii="Arial" w:hAnsi="Arial" w:cs="Arial"/>
                <w:color w:val="000000"/>
                <w:szCs w:val="22"/>
                <w:lang w:val="en-SG"/>
              </w:rPr>
            </w:pPr>
            <w:r w:rsidRPr="00AE0796">
              <w:rPr>
                <w:rFonts w:ascii="Arial" w:hAnsi="Arial" w:cs="Arial"/>
                <w:color w:val="000000"/>
                <w:szCs w:val="22"/>
                <w:lang w:val="en-SG"/>
              </w:rPr>
              <w:t>Food court management division         (</w:t>
            </w:r>
            <w:r w:rsidR="00434042">
              <w:rPr>
                <w:rFonts w:ascii="Arial" w:hAnsi="Arial" w:cs="Arial"/>
                <w:color w:val="000000"/>
                <w:szCs w:val="22"/>
                <w:lang w:val="en-SG"/>
              </w:rPr>
              <w:t>five</w:t>
            </w:r>
            <w:r w:rsidRPr="00AE0796">
              <w:rPr>
                <w:rFonts w:ascii="Arial" w:hAnsi="Arial" w:cs="Arial"/>
                <w:color w:val="000000"/>
                <w:szCs w:val="22"/>
                <w:lang w:val="en-SG"/>
              </w:rPr>
              <w:t xml:space="preserve"> outlets)</w:t>
            </w:r>
          </w:p>
        </w:tc>
      </w:tr>
      <w:tr w:rsidR="00365207" w:rsidRPr="00AE0796" w14:paraId="439F27BF" w14:textId="77777777" w:rsidTr="003F2FE5">
        <w:trPr>
          <w:trHeight w:val="60"/>
          <w:jc w:val="center"/>
        </w:trPr>
        <w:tc>
          <w:tcPr>
            <w:tcW w:w="1520" w:type="dxa"/>
            <w:vMerge/>
            <w:hideMark/>
          </w:tcPr>
          <w:p w14:paraId="3C111009" w14:textId="77777777" w:rsidR="00365207" w:rsidRPr="00AE0796" w:rsidRDefault="00365207" w:rsidP="00365207">
            <w:pPr>
              <w:contextualSpacing/>
              <w:rPr>
                <w:rFonts w:ascii="Arial" w:hAnsi="Arial" w:cs="Arial"/>
                <w:color w:val="000000"/>
                <w:szCs w:val="22"/>
                <w:lang w:val="en-SG"/>
              </w:rPr>
            </w:pPr>
          </w:p>
        </w:tc>
        <w:tc>
          <w:tcPr>
            <w:tcW w:w="1700" w:type="dxa"/>
            <w:vMerge w:val="restart"/>
            <w:hideMark/>
          </w:tcPr>
          <w:p w14:paraId="75A0EEBA" w14:textId="77777777" w:rsidR="00365207" w:rsidRPr="00AE0796" w:rsidRDefault="00365207" w:rsidP="00365207">
            <w:pPr>
              <w:contextualSpacing/>
              <w:jc w:val="center"/>
              <w:rPr>
                <w:rFonts w:ascii="Arial" w:hAnsi="Arial" w:cs="Arial"/>
                <w:color w:val="000000"/>
                <w:szCs w:val="22"/>
                <w:lang w:val="en-SG"/>
              </w:rPr>
            </w:pPr>
            <w:r w:rsidRPr="00AE0796">
              <w:rPr>
                <w:rFonts w:ascii="Arial" w:hAnsi="Arial" w:cs="Arial"/>
                <w:color w:val="000000"/>
                <w:szCs w:val="22"/>
                <w:lang w:val="en-SG"/>
              </w:rPr>
              <w:t>Food Retail Division</w:t>
            </w:r>
          </w:p>
        </w:tc>
        <w:tc>
          <w:tcPr>
            <w:tcW w:w="3480" w:type="dxa"/>
            <w:hideMark/>
          </w:tcPr>
          <w:p w14:paraId="39F33E05" w14:textId="77777777" w:rsidR="00365207" w:rsidRPr="00AE0796" w:rsidRDefault="00365207" w:rsidP="003F2FE5">
            <w:pPr>
              <w:contextualSpacing/>
              <w:jc w:val="center"/>
              <w:rPr>
                <w:rFonts w:ascii="Arial" w:hAnsi="Arial" w:cs="Arial"/>
                <w:color w:val="000000"/>
                <w:szCs w:val="22"/>
                <w:lang w:val="en-SG"/>
              </w:rPr>
            </w:pPr>
            <w:r w:rsidRPr="00AE0796">
              <w:rPr>
                <w:rFonts w:ascii="Arial" w:hAnsi="Arial" w:cs="Arial"/>
                <w:color w:val="000000"/>
                <w:szCs w:val="22"/>
                <w:lang w:val="en-SG"/>
              </w:rPr>
              <w:t>Mixed Vegetables Rice (36 stalls)</w:t>
            </w:r>
          </w:p>
        </w:tc>
      </w:tr>
      <w:tr w:rsidR="00365207" w:rsidRPr="00AE0796" w14:paraId="2FD49AB5" w14:textId="77777777" w:rsidTr="003F2FE5">
        <w:trPr>
          <w:trHeight w:val="60"/>
          <w:jc w:val="center"/>
        </w:trPr>
        <w:tc>
          <w:tcPr>
            <w:tcW w:w="1520" w:type="dxa"/>
            <w:vMerge/>
            <w:hideMark/>
          </w:tcPr>
          <w:p w14:paraId="4BC4B3BC" w14:textId="77777777" w:rsidR="00365207" w:rsidRPr="00AE0796" w:rsidRDefault="00365207" w:rsidP="00365207">
            <w:pPr>
              <w:contextualSpacing/>
              <w:rPr>
                <w:rFonts w:ascii="Arial" w:hAnsi="Arial" w:cs="Arial"/>
                <w:color w:val="000000"/>
                <w:szCs w:val="22"/>
                <w:lang w:val="en-SG"/>
              </w:rPr>
            </w:pPr>
          </w:p>
        </w:tc>
        <w:tc>
          <w:tcPr>
            <w:tcW w:w="1700" w:type="dxa"/>
            <w:vMerge/>
            <w:hideMark/>
          </w:tcPr>
          <w:p w14:paraId="54301BF9" w14:textId="77777777" w:rsidR="00365207" w:rsidRPr="00AE0796" w:rsidRDefault="00365207" w:rsidP="00365207">
            <w:pPr>
              <w:contextualSpacing/>
              <w:rPr>
                <w:rFonts w:ascii="Arial" w:hAnsi="Arial" w:cs="Arial"/>
                <w:color w:val="000000"/>
                <w:szCs w:val="22"/>
                <w:lang w:val="en-SG"/>
              </w:rPr>
            </w:pPr>
          </w:p>
        </w:tc>
        <w:tc>
          <w:tcPr>
            <w:tcW w:w="3480" w:type="dxa"/>
            <w:hideMark/>
          </w:tcPr>
          <w:p w14:paraId="54ADEFC7" w14:textId="77777777" w:rsidR="00365207" w:rsidRPr="00AE0796" w:rsidRDefault="00365207" w:rsidP="00365207">
            <w:pPr>
              <w:contextualSpacing/>
              <w:jc w:val="center"/>
              <w:rPr>
                <w:rFonts w:ascii="Arial" w:hAnsi="Arial" w:cs="Arial"/>
                <w:color w:val="000000"/>
                <w:szCs w:val="22"/>
                <w:lang w:val="en-SG"/>
              </w:rPr>
            </w:pPr>
            <w:r w:rsidRPr="00AE0796">
              <w:rPr>
                <w:rFonts w:ascii="Arial" w:hAnsi="Arial" w:cs="Arial"/>
                <w:color w:val="000000"/>
                <w:szCs w:val="22"/>
                <w:lang w:val="en-SG"/>
              </w:rPr>
              <w:t>Rice Garden (10 stalls)</w:t>
            </w:r>
          </w:p>
        </w:tc>
      </w:tr>
      <w:tr w:rsidR="00365207" w:rsidRPr="00AE0796" w14:paraId="586C5F3F" w14:textId="77777777" w:rsidTr="003F2FE5">
        <w:trPr>
          <w:trHeight w:val="60"/>
          <w:jc w:val="center"/>
        </w:trPr>
        <w:tc>
          <w:tcPr>
            <w:tcW w:w="1520" w:type="dxa"/>
            <w:vMerge/>
            <w:hideMark/>
          </w:tcPr>
          <w:p w14:paraId="0A3FDD6F" w14:textId="77777777" w:rsidR="00365207" w:rsidRPr="00AE0796" w:rsidRDefault="00365207" w:rsidP="00365207">
            <w:pPr>
              <w:contextualSpacing/>
              <w:rPr>
                <w:rFonts w:ascii="Arial" w:hAnsi="Arial" w:cs="Arial"/>
                <w:color w:val="000000"/>
                <w:szCs w:val="22"/>
                <w:lang w:val="en-SG"/>
              </w:rPr>
            </w:pPr>
          </w:p>
        </w:tc>
        <w:tc>
          <w:tcPr>
            <w:tcW w:w="1700" w:type="dxa"/>
            <w:vMerge/>
            <w:hideMark/>
          </w:tcPr>
          <w:p w14:paraId="4F1EB055" w14:textId="77777777" w:rsidR="00365207" w:rsidRPr="00AE0796" w:rsidRDefault="00365207" w:rsidP="00365207">
            <w:pPr>
              <w:contextualSpacing/>
              <w:rPr>
                <w:rFonts w:ascii="Arial" w:hAnsi="Arial" w:cs="Arial"/>
                <w:color w:val="000000"/>
                <w:szCs w:val="22"/>
                <w:lang w:val="en-SG"/>
              </w:rPr>
            </w:pPr>
          </w:p>
        </w:tc>
        <w:tc>
          <w:tcPr>
            <w:tcW w:w="3480" w:type="dxa"/>
            <w:hideMark/>
          </w:tcPr>
          <w:p w14:paraId="675F91E1" w14:textId="54473ADE" w:rsidR="00365207" w:rsidRPr="00AE0796" w:rsidRDefault="00365207" w:rsidP="00BF56EC">
            <w:pPr>
              <w:contextualSpacing/>
              <w:jc w:val="center"/>
              <w:rPr>
                <w:rFonts w:ascii="Arial" w:hAnsi="Arial" w:cs="Arial"/>
                <w:color w:val="000000"/>
                <w:szCs w:val="22"/>
                <w:lang w:val="en-SG"/>
              </w:rPr>
            </w:pPr>
            <w:r w:rsidRPr="00AE0796">
              <w:rPr>
                <w:rFonts w:ascii="Arial" w:hAnsi="Arial" w:cs="Arial"/>
                <w:color w:val="000000"/>
                <w:szCs w:val="22"/>
                <w:lang w:val="en-SG"/>
              </w:rPr>
              <w:t>Teochew Porridge (</w:t>
            </w:r>
            <w:r w:rsidR="00434042">
              <w:rPr>
                <w:rFonts w:ascii="Arial" w:hAnsi="Arial" w:cs="Arial"/>
                <w:color w:val="000000"/>
                <w:szCs w:val="22"/>
                <w:lang w:val="en-SG"/>
              </w:rPr>
              <w:t>two</w:t>
            </w:r>
            <w:r w:rsidRPr="00AE0796">
              <w:rPr>
                <w:rFonts w:ascii="Arial" w:hAnsi="Arial" w:cs="Arial"/>
                <w:color w:val="000000"/>
                <w:szCs w:val="22"/>
                <w:lang w:val="en-SG"/>
              </w:rPr>
              <w:t xml:space="preserve"> stalls)</w:t>
            </w:r>
          </w:p>
        </w:tc>
      </w:tr>
      <w:tr w:rsidR="00365207" w:rsidRPr="00AE0796" w14:paraId="244FBE69" w14:textId="77777777" w:rsidTr="003F2FE5">
        <w:trPr>
          <w:trHeight w:val="60"/>
          <w:jc w:val="center"/>
        </w:trPr>
        <w:tc>
          <w:tcPr>
            <w:tcW w:w="1520" w:type="dxa"/>
            <w:vMerge/>
            <w:hideMark/>
          </w:tcPr>
          <w:p w14:paraId="508ECD0D" w14:textId="77777777" w:rsidR="00365207" w:rsidRPr="00AE0796" w:rsidRDefault="00365207" w:rsidP="00365207">
            <w:pPr>
              <w:contextualSpacing/>
              <w:rPr>
                <w:rFonts w:ascii="Arial" w:hAnsi="Arial" w:cs="Arial"/>
                <w:color w:val="000000"/>
                <w:szCs w:val="22"/>
                <w:lang w:val="en-SG"/>
              </w:rPr>
            </w:pPr>
          </w:p>
        </w:tc>
        <w:tc>
          <w:tcPr>
            <w:tcW w:w="1700" w:type="dxa"/>
            <w:vMerge/>
            <w:hideMark/>
          </w:tcPr>
          <w:p w14:paraId="115D4B69" w14:textId="77777777" w:rsidR="00365207" w:rsidRPr="00AE0796" w:rsidRDefault="00365207" w:rsidP="00365207">
            <w:pPr>
              <w:contextualSpacing/>
              <w:rPr>
                <w:rFonts w:ascii="Arial" w:hAnsi="Arial" w:cs="Arial"/>
                <w:color w:val="000000"/>
                <w:szCs w:val="22"/>
                <w:lang w:val="en-SG"/>
              </w:rPr>
            </w:pPr>
          </w:p>
        </w:tc>
        <w:tc>
          <w:tcPr>
            <w:tcW w:w="3480" w:type="dxa"/>
            <w:hideMark/>
          </w:tcPr>
          <w:p w14:paraId="4322ACE6" w14:textId="77777777" w:rsidR="00365207" w:rsidRPr="00AE0796" w:rsidRDefault="00365207" w:rsidP="00365207">
            <w:pPr>
              <w:contextualSpacing/>
              <w:jc w:val="center"/>
              <w:rPr>
                <w:rFonts w:ascii="Arial" w:hAnsi="Arial" w:cs="Arial"/>
                <w:color w:val="000000"/>
                <w:szCs w:val="22"/>
                <w:lang w:val="en-SG"/>
              </w:rPr>
            </w:pPr>
            <w:r w:rsidRPr="00AE0796">
              <w:rPr>
                <w:rFonts w:ascii="Arial" w:hAnsi="Arial" w:cs="Arial"/>
                <w:color w:val="000000"/>
                <w:szCs w:val="22"/>
                <w:lang w:val="en-SG"/>
              </w:rPr>
              <w:t xml:space="preserve">Seafood </w:t>
            </w:r>
            <w:proofErr w:type="spellStart"/>
            <w:r w:rsidRPr="00AE0796">
              <w:rPr>
                <w:rFonts w:ascii="Arial" w:hAnsi="Arial" w:cs="Arial"/>
                <w:color w:val="000000"/>
                <w:szCs w:val="22"/>
                <w:lang w:val="en-SG"/>
              </w:rPr>
              <w:t>Zi</w:t>
            </w:r>
            <w:proofErr w:type="spellEnd"/>
            <w:r w:rsidRPr="00AE0796">
              <w:rPr>
                <w:rFonts w:ascii="Arial" w:hAnsi="Arial" w:cs="Arial"/>
                <w:color w:val="000000"/>
                <w:szCs w:val="22"/>
                <w:lang w:val="en-SG"/>
              </w:rPr>
              <w:t xml:space="preserve"> Char (29 stalls)</w:t>
            </w:r>
          </w:p>
        </w:tc>
      </w:tr>
      <w:tr w:rsidR="00365207" w:rsidRPr="00AE0796" w14:paraId="0A965F5C" w14:textId="77777777" w:rsidTr="003F2FE5">
        <w:trPr>
          <w:trHeight w:val="60"/>
          <w:jc w:val="center"/>
        </w:trPr>
        <w:tc>
          <w:tcPr>
            <w:tcW w:w="1520" w:type="dxa"/>
            <w:vMerge/>
            <w:hideMark/>
          </w:tcPr>
          <w:p w14:paraId="2248873B" w14:textId="77777777" w:rsidR="00365207" w:rsidRPr="00AE0796" w:rsidRDefault="00365207" w:rsidP="00365207">
            <w:pPr>
              <w:contextualSpacing/>
              <w:rPr>
                <w:rFonts w:ascii="Arial" w:hAnsi="Arial" w:cs="Arial"/>
                <w:color w:val="000000"/>
                <w:szCs w:val="22"/>
                <w:lang w:val="en-SG"/>
              </w:rPr>
            </w:pPr>
          </w:p>
        </w:tc>
        <w:tc>
          <w:tcPr>
            <w:tcW w:w="1700" w:type="dxa"/>
            <w:vMerge/>
            <w:hideMark/>
          </w:tcPr>
          <w:p w14:paraId="5378A80B" w14:textId="77777777" w:rsidR="00365207" w:rsidRPr="00AE0796" w:rsidRDefault="00365207" w:rsidP="00365207">
            <w:pPr>
              <w:contextualSpacing/>
              <w:rPr>
                <w:rFonts w:ascii="Arial" w:hAnsi="Arial" w:cs="Arial"/>
                <w:color w:val="000000"/>
                <w:szCs w:val="22"/>
                <w:lang w:val="en-SG"/>
              </w:rPr>
            </w:pPr>
          </w:p>
        </w:tc>
        <w:tc>
          <w:tcPr>
            <w:tcW w:w="3480" w:type="dxa"/>
            <w:hideMark/>
          </w:tcPr>
          <w:p w14:paraId="56D37E05" w14:textId="4BAA3EF0" w:rsidR="00365207" w:rsidRPr="00AE0796" w:rsidRDefault="00365207" w:rsidP="00BF56EC">
            <w:pPr>
              <w:contextualSpacing/>
              <w:jc w:val="center"/>
              <w:rPr>
                <w:rFonts w:ascii="Arial" w:hAnsi="Arial" w:cs="Arial"/>
                <w:color w:val="000000"/>
                <w:szCs w:val="22"/>
                <w:lang w:val="en-SG"/>
              </w:rPr>
            </w:pPr>
            <w:r w:rsidRPr="00AE0796">
              <w:rPr>
                <w:rFonts w:ascii="Arial" w:hAnsi="Arial" w:cs="Arial"/>
                <w:color w:val="000000"/>
                <w:szCs w:val="22"/>
                <w:lang w:val="en-SG"/>
              </w:rPr>
              <w:t>Live Seafood (</w:t>
            </w:r>
            <w:r w:rsidR="00434042">
              <w:rPr>
                <w:rFonts w:ascii="Arial" w:hAnsi="Arial" w:cs="Arial"/>
                <w:color w:val="000000"/>
                <w:szCs w:val="22"/>
                <w:lang w:val="en-SG"/>
              </w:rPr>
              <w:t>one</w:t>
            </w:r>
            <w:r w:rsidRPr="00AE0796">
              <w:rPr>
                <w:rFonts w:ascii="Arial" w:hAnsi="Arial" w:cs="Arial"/>
                <w:color w:val="000000"/>
                <w:szCs w:val="22"/>
                <w:lang w:val="en-SG"/>
              </w:rPr>
              <w:t xml:space="preserve"> restaurant)</w:t>
            </w:r>
          </w:p>
        </w:tc>
      </w:tr>
      <w:tr w:rsidR="00365207" w:rsidRPr="00AE0796" w14:paraId="3411A161" w14:textId="77777777" w:rsidTr="003F2FE5">
        <w:trPr>
          <w:trHeight w:val="60"/>
          <w:jc w:val="center"/>
        </w:trPr>
        <w:tc>
          <w:tcPr>
            <w:tcW w:w="1520" w:type="dxa"/>
            <w:vMerge/>
            <w:hideMark/>
          </w:tcPr>
          <w:p w14:paraId="45D50238" w14:textId="77777777" w:rsidR="00365207" w:rsidRPr="00AE0796" w:rsidRDefault="00365207" w:rsidP="00365207">
            <w:pPr>
              <w:contextualSpacing/>
              <w:rPr>
                <w:rFonts w:ascii="Arial" w:hAnsi="Arial" w:cs="Arial"/>
                <w:color w:val="000000"/>
                <w:szCs w:val="22"/>
                <w:lang w:val="en-SG"/>
              </w:rPr>
            </w:pPr>
          </w:p>
        </w:tc>
        <w:tc>
          <w:tcPr>
            <w:tcW w:w="1700" w:type="dxa"/>
            <w:vMerge/>
            <w:hideMark/>
          </w:tcPr>
          <w:p w14:paraId="17C30838" w14:textId="77777777" w:rsidR="00365207" w:rsidRPr="00AE0796" w:rsidRDefault="00365207" w:rsidP="00365207">
            <w:pPr>
              <w:contextualSpacing/>
              <w:rPr>
                <w:rFonts w:ascii="Arial" w:hAnsi="Arial" w:cs="Arial"/>
                <w:color w:val="000000"/>
                <w:szCs w:val="22"/>
                <w:lang w:val="en-SG"/>
              </w:rPr>
            </w:pPr>
          </w:p>
        </w:tc>
        <w:tc>
          <w:tcPr>
            <w:tcW w:w="3480" w:type="dxa"/>
            <w:hideMark/>
          </w:tcPr>
          <w:p w14:paraId="301F1912" w14:textId="77777777" w:rsidR="00365207" w:rsidRPr="00AE0796" w:rsidRDefault="00365207" w:rsidP="00365207">
            <w:pPr>
              <w:contextualSpacing/>
              <w:jc w:val="center"/>
              <w:rPr>
                <w:rFonts w:ascii="Arial" w:hAnsi="Arial" w:cs="Arial"/>
                <w:color w:val="000000"/>
                <w:szCs w:val="22"/>
                <w:lang w:val="en-SG"/>
              </w:rPr>
            </w:pPr>
            <w:r w:rsidRPr="00AE0796">
              <w:rPr>
                <w:rFonts w:ascii="Arial" w:hAnsi="Arial" w:cs="Arial"/>
                <w:color w:val="000000"/>
                <w:szCs w:val="22"/>
                <w:lang w:val="en-SG"/>
              </w:rPr>
              <w:t>Dim Sum (43 stalls)</w:t>
            </w:r>
          </w:p>
        </w:tc>
      </w:tr>
    </w:tbl>
    <w:p w14:paraId="1D9796AB" w14:textId="77777777" w:rsidR="001B2957" w:rsidRPr="006A6F1F" w:rsidRDefault="001B2957" w:rsidP="005A59E5">
      <w:pPr>
        <w:pStyle w:val="ExhibitHeading"/>
        <w:ind w:left="720"/>
        <w:rPr>
          <w:color w:val="000000" w:themeColor="text1"/>
          <w:lang w:val="en-GB"/>
        </w:rPr>
      </w:pPr>
    </w:p>
    <w:p w14:paraId="3CB0D7E1" w14:textId="5D3D681C" w:rsidR="001B2957" w:rsidRPr="006A6F1F" w:rsidRDefault="001B2957" w:rsidP="000E22C0">
      <w:pPr>
        <w:pStyle w:val="Footnote"/>
        <w:rPr>
          <w:color w:val="000000" w:themeColor="text1"/>
          <w:lang w:val="en-GB"/>
        </w:rPr>
      </w:pPr>
      <w:r w:rsidRPr="006A6F1F">
        <w:rPr>
          <w:color w:val="000000" w:themeColor="text1"/>
          <w:lang w:val="en-GB"/>
        </w:rPr>
        <w:t xml:space="preserve">Source: Created by </w:t>
      </w:r>
      <w:r w:rsidR="00434042">
        <w:rPr>
          <w:color w:val="000000" w:themeColor="text1"/>
          <w:lang w:val="en-GB"/>
        </w:rPr>
        <w:t xml:space="preserve">the </w:t>
      </w:r>
      <w:r w:rsidRPr="006A6F1F">
        <w:rPr>
          <w:color w:val="000000" w:themeColor="text1"/>
          <w:lang w:val="en-GB"/>
        </w:rPr>
        <w:t xml:space="preserve">authors based on </w:t>
      </w:r>
      <w:proofErr w:type="spellStart"/>
      <w:r w:rsidRPr="006A6F1F">
        <w:rPr>
          <w:color w:val="000000" w:themeColor="text1"/>
          <w:lang w:val="en-GB"/>
        </w:rPr>
        <w:t>Kimly</w:t>
      </w:r>
      <w:proofErr w:type="spellEnd"/>
      <w:r w:rsidRPr="006A6F1F">
        <w:rPr>
          <w:color w:val="000000" w:themeColor="text1"/>
          <w:lang w:val="en-GB"/>
        </w:rPr>
        <w:t xml:space="preserve"> Limited, </w:t>
      </w:r>
      <w:r w:rsidRPr="006A6F1F">
        <w:rPr>
          <w:i/>
          <w:lang w:val="en-GB"/>
        </w:rPr>
        <w:t xml:space="preserve">Invitation In Respect </w:t>
      </w:r>
      <w:r w:rsidR="00434042">
        <w:rPr>
          <w:i/>
          <w:lang w:val="en-GB"/>
        </w:rPr>
        <w:t>o</w:t>
      </w:r>
      <w:r w:rsidRPr="006A6F1F">
        <w:rPr>
          <w:i/>
          <w:lang w:val="en-GB"/>
        </w:rPr>
        <w:t>f 173,800,000 New Shares</w:t>
      </w:r>
      <w:r w:rsidRPr="006A6F1F">
        <w:rPr>
          <w:lang w:val="en-GB"/>
        </w:rPr>
        <w:t xml:space="preserve">, 99, March 8, 2017, </w:t>
      </w:r>
      <w:r w:rsidRPr="006A6F1F">
        <w:rPr>
          <w:color w:val="000000" w:themeColor="text1"/>
          <w:lang w:val="en-GB"/>
        </w:rPr>
        <w:t>accessed May 29, 2017, http://infopub.sgx.com/FileOpen/Kimly_Limited_-_Offer_Document.ashx?App=IPO&amp;FileID=5360.</w:t>
      </w:r>
    </w:p>
    <w:p w14:paraId="675698B8" w14:textId="77777777" w:rsidR="001B2957" w:rsidRDefault="001B2957" w:rsidP="00D0703F">
      <w:pPr>
        <w:pStyle w:val="Footnote"/>
        <w:rPr>
          <w:color w:val="000000" w:themeColor="text1"/>
          <w:lang w:val="en-GB"/>
        </w:rPr>
      </w:pPr>
    </w:p>
    <w:p w14:paraId="4C07B289" w14:textId="77777777" w:rsidR="003F2FE5" w:rsidRDefault="003F2FE5" w:rsidP="00D0703F">
      <w:pPr>
        <w:pStyle w:val="Footnote"/>
        <w:rPr>
          <w:color w:val="000000" w:themeColor="text1"/>
          <w:lang w:val="en-GB"/>
        </w:rPr>
      </w:pPr>
    </w:p>
    <w:p w14:paraId="03010EAB" w14:textId="4953444B" w:rsidR="001B2957" w:rsidRPr="006A6F1F" w:rsidRDefault="001B2957" w:rsidP="00EE54FA">
      <w:pPr>
        <w:pStyle w:val="ExhibitHeading"/>
        <w:rPr>
          <w:color w:val="000000" w:themeColor="text1"/>
          <w:lang w:val="en-GB"/>
        </w:rPr>
      </w:pPr>
      <w:r w:rsidRPr="006A6F1F">
        <w:rPr>
          <w:color w:val="000000" w:themeColor="text1"/>
          <w:lang w:val="en-GB"/>
        </w:rPr>
        <w:t>Exhibit 3: Use of I</w:t>
      </w:r>
      <w:r w:rsidR="00434042">
        <w:rPr>
          <w:color w:val="000000" w:themeColor="text1"/>
          <w:lang w:val="en-GB"/>
        </w:rPr>
        <w:t xml:space="preserve">nitial </w:t>
      </w:r>
      <w:r w:rsidRPr="006A6F1F">
        <w:rPr>
          <w:color w:val="000000" w:themeColor="text1"/>
          <w:lang w:val="en-GB"/>
        </w:rPr>
        <w:t>P</w:t>
      </w:r>
      <w:r w:rsidR="00434042">
        <w:rPr>
          <w:color w:val="000000" w:themeColor="text1"/>
          <w:lang w:val="en-GB"/>
        </w:rPr>
        <w:t xml:space="preserve">ublic </w:t>
      </w:r>
      <w:r w:rsidRPr="006A6F1F">
        <w:rPr>
          <w:color w:val="000000" w:themeColor="text1"/>
          <w:lang w:val="en-GB"/>
        </w:rPr>
        <w:t>O</w:t>
      </w:r>
      <w:r w:rsidR="00434042">
        <w:rPr>
          <w:color w:val="000000" w:themeColor="text1"/>
          <w:lang w:val="en-GB"/>
        </w:rPr>
        <w:t>ffering</w:t>
      </w:r>
      <w:r w:rsidRPr="006A6F1F">
        <w:rPr>
          <w:color w:val="000000" w:themeColor="text1"/>
          <w:lang w:val="en-GB"/>
        </w:rPr>
        <w:t xml:space="preserve"> Proceeds</w:t>
      </w:r>
    </w:p>
    <w:p w14:paraId="5A9C780F" w14:textId="77777777" w:rsidR="001B2957" w:rsidRPr="006A6F1F" w:rsidRDefault="001B2957" w:rsidP="00314034">
      <w:pPr>
        <w:pStyle w:val="ExhibitHeading"/>
        <w:rPr>
          <w:color w:val="000000" w:themeColor="text1"/>
          <w:lang w:val="en-GB"/>
        </w:rPr>
      </w:pPr>
    </w:p>
    <w:tbl>
      <w:tblPr>
        <w:tblStyle w:val="TableGrid11"/>
        <w:tblW w:w="9355" w:type="dxa"/>
        <w:tblLook w:val="04A0" w:firstRow="1" w:lastRow="0" w:firstColumn="1" w:lastColumn="0" w:noHBand="0" w:noVBand="1"/>
      </w:tblPr>
      <w:tblGrid>
        <w:gridCol w:w="5935"/>
        <w:gridCol w:w="1170"/>
        <w:gridCol w:w="2250"/>
      </w:tblGrid>
      <w:tr w:rsidR="001B2957" w:rsidRPr="006A6F1F" w14:paraId="198971C8" w14:textId="77777777" w:rsidTr="003F2FE5">
        <w:trPr>
          <w:trHeight w:val="975"/>
        </w:trPr>
        <w:tc>
          <w:tcPr>
            <w:tcW w:w="5935" w:type="dxa"/>
            <w:noWrap/>
            <w:vAlign w:val="center"/>
            <w:hideMark/>
          </w:tcPr>
          <w:p w14:paraId="1DD66E43" w14:textId="73670F61" w:rsidR="001B2957" w:rsidRPr="006A6F1F" w:rsidRDefault="001B2957" w:rsidP="00486FFE">
            <w:pPr>
              <w:jc w:val="center"/>
              <w:rPr>
                <w:rFonts w:ascii="Arial" w:hAnsi="Arial" w:cs="Arial"/>
                <w:b/>
                <w:bCs/>
                <w:color w:val="000000" w:themeColor="text1"/>
                <w:sz w:val="19"/>
                <w:szCs w:val="19"/>
                <w:lang w:val="en-GB" w:eastAsia="en-SG"/>
              </w:rPr>
            </w:pPr>
            <w:r w:rsidRPr="006A6F1F">
              <w:rPr>
                <w:rFonts w:ascii="Arial" w:hAnsi="Arial" w:cs="Arial"/>
                <w:b/>
                <w:bCs/>
                <w:color w:val="000000" w:themeColor="text1"/>
                <w:sz w:val="19"/>
                <w:szCs w:val="19"/>
                <w:lang w:val="en-GB" w:eastAsia="en-SG"/>
              </w:rPr>
              <w:t>Use of Proceeds</w:t>
            </w:r>
          </w:p>
        </w:tc>
        <w:tc>
          <w:tcPr>
            <w:tcW w:w="1170" w:type="dxa"/>
            <w:vAlign w:val="center"/>
            <w:hideMark/>
          </w:tcPr>
          <w:p w14:paraId="47C120B1" w14:textId="53C5DE8B" w:rsidR="001B2957" w:rsidRPr="006A6F1F" w:rsidRDefault="001B2957" w:rsidP="0062193B">
            <w:pPr>
              <w:jc w:val="center"/>
              <w:rPr>
                <w:rFonts w:ascii="Arial" w:hAnsi="Arial" w:cs="Arial"/>
                <w:b/>
                <w:bCs/>
                <w:color w:val="000000" w:themeColor="text1"/>
                <w:sz w:val="19"/>
                <w:szCs w:val="19"/>
                <w:lang w:val="en-GB" w:eastAsia="en-SG"/>
              </w:rPr>
            </w:pPr>
            <w:r w:rsidRPr="006A6F1F">
              <w:rPr>
                <w:rFonts w:ascii="Arial" w:hAnsi="Arial" w:cs="Arial"/>
                <w:b/>
                <w:bCs/>
                <w:color w:val="000000" w:themeColor="text1"/>
                <w:sz w:val="19"/>
                <w:szCs w:val="19"/>
                <w:lang w:val="en-GB" w:eastAsia="en-SG"/>
              </w:rPr>
              <w:t>Amount in Aggregate (SG$'000)</w:t>
            </w:r>
          </w:p>
        </w:tc>
        <w:tc>
          <w:tcPr>
            <w:tcW w:w="2250" w:type="dxa"/>
            <w:hideMark/>
          </w:tcPr>
          <w:p w14:paraId="570FF07B" w14:textId="1C2D5B72" w:rsidR="001B2957" w:rsidRPr="006A6F1F" w:rsidRDefault="001B2957" w:rsidP="00BF56EC">
            <w:pPr>
              <w:jc w:val="center"/>
              <w:rPr>
                <w:rFonts w:ascii="Arial" w:hAnsi="Arial" w:cs="Arial"/>
                <w:b/>
                <w:bCs/>
                <w:color w:val="000000" w:themeColor="text1"/>
                <w:sz w:val="19"/>
                <w:szCs w:val="19"/>
                <w:lang w:val="en-GB" w:eastAsia="en-SG"/>
              </w:rPr>
            </w:pPr>
            <w:r w:rsidRPr="006A6F1F">
              <w:rPr>
                <w:rFonts w:ascii="Arial" w:hAnsi="Arial" w:cs="Arial"/>
                <w:b/>
                <w:bCs/>
                <w:color w:val="000000" w:themeColor="text1"/>
                <w:sz w:val="19"/>
                <w:szCs w:val="19"/>
                <w:lang w:val="en-GB" w:eastAsia="en-SG"/>
              </w:rPr>
              <w:t xml:space="preserve">Estimated Amount Allocated for </w:t>
            </w:r>
            <w:r w:rsidR="00434042">
              <w:rPr>
                <w:rFonts w:ascii="Arial" w:hAnsi="Arial" w:cs="Arial"/>
                <w:b/>
                <w:bCs/>
                <w:color w:val="000000" w:themeColor="text1"/>
                <w:sz w:val="19"/>
                <w:szCs w:val="19"/>
                <w:lang w:val="en-GB" w:eastAsia="en-SG"/>
              </w:rPr>
              <w:t>E</w:t>
            </w:r>
            <w:r w:rsidRPr="006A6F1F">
              <w:rPr>
                <w:rFonts w:ascii="Arial" w:hAnsi="Arial" w:cs="Arial"/>
                <w:b/>
                <w:bCs/>
                <w:color w:val="000000" w:themeColor="text1"/>
                <w:sz w:val="19"/>
                <w:szCs w:val="19"/>
                <w:lang w:val="en-GB" w:eastAsia="en-SG"/>
              </w:rPr>
              <w:t>ach Dollar of the Gross Proceeds Raised from the Invitation (</w:t>
            </w:r>
            <w:r w:rsidR="00434042">
              <w:rPr>
                <w:rFonts w:ascii="Arial" w:hAnsi="Arial" w:cs="Arial"/>
                <w:b/>
                <w:bCs/>
                <w:color w:val="000000" w:themeColor="text1"/>
                <w:sz w:val="19"/>
                <w:szCs w:val="19"/>
                <w:lang w:val="en-GB" w:eastAsia="en-SG"/>
              </w:rPr>
              <w:t>%</w:t>
            </w:r>
            <w:r w:rsidRPr="006A6F1F">
              <w:rPr>
                <w:rFonts w:ascii="Arial" w:hAnsi="Arial" w:cs="Arial"/>
                <w:b/>
                <w:bCs/>
                <w:color w:val="000000" w:themeColor="text1"/>
                <w:sz w:val="19"/>
                <w:szCs w:val="19"/>
                <w:lang w:val="en-GB" w:eastAsia="en-SG"/>
              </w:rPr>
              <w:t>)</w:t>
            </w:r>
          </w:p>
        </w:tc>
      </w:tr>
      <w:tr w:rsidR="001B2957" w:rsidRPr="006A6F1F" w14:paraId="5841E6E3" w14:textId="77777777" w:rsidTr="003F2FE5">
        <w:trPr>
          <w:trHeight w:val="116"/>
        </w:trPr>
        <w:tc>
          <w:tcPr>
            <w:tcW w:w="5935" w:type="dxa"/>
            <w:hideMark/>
          </w:tcPr>
          <w:p w14:paraId="48DEC9FE" w14:textId="2324B6D9" w:rsidR="001B2957" w:rsidRPr="006A6F1F" w:rsidRDefault="001B2957" w:rsidP="00265F5E">
            <w:pPr>
              <w:rPr>
                <w:rFonts w:ascii="Arial" w:hAnsi="Arial" w:cs="Arial"/>
                <w:color w:val="000000" w:themeColor="text1"/>
                <w:sz w:val="19"/>
                <w:szCs w:val="19"/>
                <w:lang w:val="en-GB" w:eastAsia="en-SG"/>
              </w:rPr>
            </w:pPr>
            <w:r w:rsidRPr="006A6F1F">
              <w:rPr>
                <w:rFonts w:ascii="Arial" w:hAnsi="Arial" w:cs="Arial"/>
                <w:color w:val="000000" w:themeColor="text1"/>
                <w:sz w:val="19"/>
                <w:szCs w:val="19"/>
                <w:lang w:val="en-GB" w:eastAsia="en-SG"/>
              </w:rPr>
              <w:t>Acquisitions and Joint Ventures and General Business Expansion (Including Establishment of New Food Outlets)</w:t>
            </w:r>
          </w:p>
        </w:tc>
        <w:tc>
          <w:tcPr>
            <w:tcW w:w="1170" w:type="dxa"/>
            <w:noWrap/>
            <w:hideMark/>
          </w:tcPr>
          <w:p w14:paraId="25F7E1ED" w14:textId="77777777" w:rsidR="001B2957" w:rsidRPr="006A6F1F" w:rsidRDefault="001B2957" w:rsidP="0062193B">
            <w:pPr>
              <w:ind w:right="162"/>
              <w:jc w:val="right"/>
              <w:rPr>
                <w:rFonts w:ascii="Arial" w:hAnsi="Arial" w:cs="Arial"/>
                <w:color w:val="000000" w:themeColor="text1"/>
                <w:sz w:val="19"/>
                <w:szCs w:val="19"/>
                <w:lang w:val="en-GB" w:eastAsia="en-SG"/>
              </w:rPr>
            </w:pPr>
            <w:r w:rsidRPr="006A6F1F">
              <w:rPr>
                <w:rFonts w:ascii="Arial" w:hAnsi="Arial" w:cs="Arial"/>
                <w:color w:val="000000" w:themeColor="text1"/>
                <w:sz w:val="19"/>
                <w:szCs w:val="19"/>
                <w:lang w:val="en-GB" w:eastAsia="en-SG"/>
              </w:rPr>
              <w:t>30,363</w:t>
            </w:r>
          </w:p>
        </w:tc>
        <w:tc>
          <w:tcPr>
            <w:tcW w:w="2250" w:type="dxa"/>
            <w:noWrap/>
            <w:hideMark/>
          </w:tcPr>
          <w:p w14:paraId="31A313F8" w14:textId="77777777" w:rsidR="001B2957" w:rsidRPr="006A6F1F" w:rsidRDefault="001B2957" w:rsidP="0062193B">
            <w:pPr>
              <w:ind w:right="162"/>
              <w:jc w:val="right"/>
              <w:rPr>
                <w:rFonts w:ascii="Arial" w:hAnsi="Arial" w:cs="Arial"/>
                <w:color w:val="000000" w:themeColor="text1"/>
                <w:sz w:val="19"/>
                <w:szCs w:val="19"/>
                <w:lang w:val="en-GB" w:eastAsia="en-SG"/>
              </w:rPr>
            </w:pPr>
            <w:r w:rsidRPr="006A6F1F">
              <w:rPr>
                <w:rFonts w:ascii="Arial" w:hAnsi="Arial" w:cs="Arial"/>
                <w:color w:val="000000" w:themeColor="text1"/>
                <w:sz w:val="19"/>
                <w:szCs w:val="19"/>
                <w:lang w:val="en-GB" w:eastAsia="en-SG"/>
              </w:rPr>
              <w:t>69.9</w:t>
            </w:r>
          </w:p>
        </w:tc>
      </w:tr>
      <w:tr w:rsidR="001B2957" w:rsidRPr="006A6F1F" w14:paraId="0B20B6D8" w14:textId="77777777" w:rsidTr="003F2FE5">
        <w:trPr>
          <w:trHeight w:val="60"/>
        </w:trPr>
        <w:tc>
          <w:tcPr>
            <w:tcW w:w="5935" w:type="dxa"/>
            <w:noWrap/>
            <w:hideMark/>
          </w:tcPr>
          <w:p w14:paraId="73436B7A" w14:textId="75372438" w:rsidR="001B2957" w:rsidRPr="006A6F1F" w:rsidRDefault="001B2957" w:rsidP="00772AA6">
            <w:pPr>
              <w:rPr>
                <w:rFonts w:ascii="Arial" w:hAnsi="Arial" w:cs="Arial"/>
                <w:color w:val="000000" w:themeColor="text1"/>
                <w:sz w:val="19"/>
                <w:szCs w:val="19"/>
                <w:lang w:val="en-GB" w:eastAsia="en-SG"/>
              </w:rPr>
            </w:pPr>
            <w:r w:rsidRPr="006A6F1F">
              <w:rPr>
                <w:rFonts w:ascii="Arial" w:hAnsi="Arial" w:cs="Arial"/>
                <w:color w:val="000000" w:themeColor="text1"/>
                <w:sz w:val="19"/>
                <w:szCs w:val="19"/>
                <w:lang w:val="en-GB" w:eastAsia="en-SG"/>
              </w:rPr>
              <w:t>Refurbishment and Renovation of Existing Food Outlets</w:t>
            </w:r>
          </w:p>
        </w:tc>
        <w:tc>
          <w:tcPr>
            <w:tcW w:w="1170" w:type="dxa"/>
            <w:noWrap/>
            <w:hideMark/>
          </w:tcPr>
          <w:p w14:paraId="7C7F1F6D" w14:textId="77777777" w:rsidR="001B2957" w:rsidRPr="006A6F1F" w:rsidRDefault="001B2957" w:rsidP="0062193B">
            <w:pPr>
              <w:ind w:right="162"/>
              <w:jc w:val="right"/>
              <w:rPr>
                <w:rFonts w:ascii="Arial" w:hAnsi="Arial" w:cs="Arial"/>
                <w:color w:val="000000" w:themeColor="text1"/>
                <w:sz w:val="19"/>
                <w:szCs w:val="19"/>
                <w:lang w:val="en-GB" w:eastAsia="en-SG"/>
              </w:rPr>
            </w:pPr>
            <w:r w:rsidRPr="006A6F1F">
              <w:rPr>
                <w:rFonts w:ascii="Arial" w:hAnsi="Arial" w:cs="Arial"/>
                <w:color w:val="000000" w:themeColor="text1"/>
                <w:sz w:val="19"/>
                <w:szCs w:val="19"/>
                <w:lang w:val="en-GB" w:eastAsia="en-SG"/>
              </w:rPr>
              <w:t>3,000</w:t>
            </w:r>
          </w:p>
        </w:tc>
        <w:tc>
          <w:tcPr>
            <w:tcW w:w="2250" w:type="dxa"/>
            <w:noWrap/>
            <w:hideMark/>
          </w:tcPr>
          <w:p w14:paraId="33E59F65" w14:textId="77777777" w:rsidR="001B2957" w:rsidRPr="006A6F1F" w:rsidRDefault="001B2957" w:rsidP="0062193B">
            <w:pPr>
              <w:ind w:right="162"/>
              <w:jc w:val="right"/>
              <w:rPr>
                <w:rFonts w:ascii="Arial" w:hAnsi="Arial" w:cs="Arial"/>
                <w:color w:val="000000" w:themeColor="text1"/>
                <w:sz w:val="19"/>
                <w:szCs w:val="19"/>
                <w:lang w:val="en-GB" w:eastAsia="en-SG"/>
              </w:rPr>
            </w:pPr>
            <w:r w:rsidRPr="006A6F1F">
              <w:rPr>
                <w:rFonts w:ascii="Arial" w:hAnsi="Arial" w:cs="Arial"/>
                <w:color w:val="000000" w:themeColor="text1"/>
                <w:sz w:val="19"/>
                <w:szCs w:val="19"/>
                <w:lang w:val="en-GB" w:eastAsia="en-SG"/>
              </w:rPr>
              <w:t>6.9</w:t>
            </w:r>
          </w:p>
        </w:tc>
      </w:tr>
      <w:tr w:rsidR="001B2957" w:rsidRPr="006A6F1F" w14:paraId="573ED963" w14:textId="77777777" w:rsidTr="003F2FE5">
        <w:trPr>
          <w:trHeight w:val="60"/>
        </w:trPr>
        <w:tc>
          <w:tcPr>
            <w:tcW w:w="5935" w:type="dxa"/>
            <w:noWrap/>
            <w:hideMark/>
          </w:tcPr>
          <w:p w14:paraId="01132516" w14:textId="4D87697C" w:rsidR="001B2957" w:rsidRPr="006A6F1F" w:rsidRDefault="001B2957" w:rsidP="00265F5E">
            <w:pPr>
              <w:rPr>
                <w:rFonts w:ascii="Arial" w:hAnsi="Arial" w:cs="Arial"/>
                <w:color w:val="000000" w:themeColor="text1"/>
                <w:sz w:val="19"/>
                <w:szCs w:val="19"/>
                <w:lang w:val="en-GB" w:eastAsia="en-SG"/>
              </w:rPr>
            </w:pPr>
            <w:r w:rsidRPr="006A6F1F">
              <w:rPr>
                <w:rFonts w:ascii="Arial" w:hAnsi="Arial" w:cs="Arial"/>
                <w:color w:val="000000" w:themeColor="text1"/>
                <w:sz w:val="19"/>
                <w:szCs w:val="19"/>
                <w:lang w:val="en-GB" w:eastAsia="en-SG"/>
              </w:rPr>
              <w:t>Headquarters/Central Kitchen Upgrading</w:t>
            </w:r>
          </w:p>
        </w:tc>
        <w:tc>
          <w:tcPr>
            <w:tcW w:w="1170" w:type="dxa"/>
            <w:noWrap/>
            <w:hideMark/>
          </w:tcPr>
          <w:p w14:paraId="56825B56" w14:textId="77777777" w:rsidR="001B2957" w:rsidRPr="006A6F1F" w:rsidRDefault="001B2957" w:rsidP="0062193B">
            <w:pPr>
              <w:ind w:right="162"/>
              <w:jc w:val="right"/>
              <w:rPr>
                <w:rFonts w:ascii="Arial" w:hAnsi="Arial" w:cs="Arial"/>
                <w:color w:val="000000" w:themeColor="text1"/>
                <w:sz w:val="19"/>
                <w:szCs w:val="19"/>
                <w:lang w:val="en-GB" w:eastAsia="en-SG"/>
              </w:rPr>
            </w:pPr>
            <w:r w:rsidRPr="006A6F1F">
              <w:rPr>
                <w:rFonts w:ascii="Arial" w:hAnsi="Arial" w:cs="Arial"/>
                <w:color w:val="000000" w:themeColor="text1"/>
                <w:sz w:val="19"/>
                <w:szCs w:val="19"/>
                <w:lang w:val="en-GB" w:eastAsia="en-SG"/>
              </w:rPr>
              <w:t>5,000</w:t>
            </w:r>
          </w:p>
        </w:tc>
        <w:tc>
          <w:tcPr>
            <w:tcW w:w="2250" w:type="dxa"/>
            <w:noWrap/>
            <w:hideMark/>
          </w:tcPr>
          <w:p w14:paraId="61F6E1BC" w14:textId="77777777" w:rsidR="001B2957" w:rsidRPr="006A6F1F" w:rsidRDefault="001B2957" w:rsidP="0062193B">
            <w:pPr>
              <w:ind w:right="162"/>
              <w:jc w:val="right"/>
              <w:rPr>
                <w:rFonts w:ascii="Arial" w:hAnsi="Arial" w:cs="Arial"/>
                <w:color w:val="000000" w:themeColor="text1"/>
                <w:sz w:val="19"/>
                <w:szCs w:val="19"/>
                <w:lang w:val="en-GB" w:eastAsia="en-SG"/>
              </w:rPr>
            </w:pPr>
            <w:r w:rsidRPr="006A6F1F">
              <w:rPr>
                <w:rFonts w:ascii="Arial" w:hAnsi="Arial" w:cs="Arial"/>
                <w:color w:val="000000" w:themeColor="text1"/>
                <w:sz w:val="19"/>
                <w:szCs w:val="19"/>
                <w:lang w:val="en-GB" w:eastAsia="en-SG"/>
              </w:rPr>
              <w:t>11.5</w:t>
            </w:r>
          </w:p>
        </w:tc>
      </w:tr>
      <w:tr w:rsidR="001B2957" w:rsidRPr="006A6F1F" w14:paraId="098E8FDE" w14:textId="77777777" w:rsidTr="003F2FE5">
        <w:trPr>
          <w:trHeight w:val="60"/>
        </w:trPr>
        <w:tc>
          <w:tcPr>
            <w:tcW w:w="5935" w:type="dxa"/>
            <w:noWrap/>
            <w:hideMark/>
          </w:tcPr>
          <w:p w14:paraId="2126A0FB" w14:textId="610BFC8B" w:rsidR="001B2957" w:rsidRPr="006A6F1F" w:rsidRDefault="001B2957" w:rsidP="00BF56EC">
            <w:pPr>
              <w:rPr>
                <w:rFonts w:ascii="Arial" w:hAnsi="Arial" w:cs="Arial"/>
                <w:color w:val="000000" w:themeColor="text1"/>
                <w:sz w:val="19"/>
                <w:szCs w:val="19"/>
                <w:lang w:val="en-GB" w:eastAsia="en-SG"/>
              </w:rPr>
            </w:pPr>
            <w:r w:rsidRPr="006A6F1F">
              <w:rPr>
                <w:rFonts w:ascii="Arial" w:hAnsi="Arial" w:cs="Arial"/>
                <w:color w:val="000000" w:themeColor="text1"/>
                <w:sz w:val="19"/>
                <w:szCs w:val="19"/>
                <w:lang w:val="en-GB" w:eastAsia="en-SG"/>
              </w:rPr>
              <w:t xml:space="preserve">Productivity </w:t>
            </w:r>
            <w:r w:rsidR="00A64BED" w:rsidRPr="006A6F1F">
              <w:rPr>
                <w:rFonts w:ascii="Arial" w:hAnsi="Arial" w:cs="Arial"/>
                <w:color w:val="000000" w:themeColor="text1"/>
                <w:sz w:val="19"/>
                <w:szCs w:val="19"/>
                <w:lang w:val="en-GB" w:eastAsia="en-SG"/>
              </w:rPr>
              <w:t>Initiatives</w:t>
            </w:r>
            <w:r w:rsidRPr="006A6F1F">
              <w:rPr>
                <w:rFonts w:ascii="Arial" w:hAnsi="Arial" w:cs="Arial"/>
                <w:color w:val="000000" w:themeColor="text1"/>
                <w:sz w:val="19"/>
                <w:szCs w:val="19"/>
                <w:lang w:val="en-GB" w:eastAsia="en-SG"/>
              </w:rPr>
              <w:t>/Information Technology</w:t>
            </w:r>
          </w:p>
        </w:tc>
        <w:tc>
          <w:tcPr>
            <w:tcW w:w="1170" w:type="dxa"/>
            <w:noWrap/>
            <w:hideMark/>
          </w:tcPr>
          <w:p w14:paraId="61FA73E1" w14:textId="152B64B6" w:rsidR="001B2957" w:rsidRPr="006A6F1F" w:rsidRDefault="001B2957" w:rsidP="0062193B">
            <w:pPr>
              <w:ind w:right="162"/>
              <w:jc w:val="right"/>
              <w:rPr>
                <w:rFonts w:ascii="Arial" w:hAnsi="Arial" w:cs="Arial"/>
                <w:color w:val="000000" w:themeColor="text1"/>
                <w:sz w:val="19"/>
                <w:szCs w:val="19"/>
                <w:lang w:val="en-GB" w:eastAsia="en-SG"/>
              </w:rPr>
            </w:pPr>
            <w:r w:rsidRPr="006A6F1F">
              <w:rPr>
                <w:rFonts w:ascii="Arial" w:hAnsi="Arial" w:cs="Arial"/>
                <w:color w:val="000000" w:themeColor="text1"/>
                <w:sz w:val="19"/>
                <w:szCs w:val="19"/>
                <w:lang w:val="en-GB" w:eastAsia="en-SG"/>
              </w:rPr>
              <w:t>2,000</w:t>
            </w:r>
          </w:p>
        </w:tc>
        <w:tc>
          <w:tcPr>
            <w:tcW w:w="2250" w:type="dxa"/>
            <w:noWrap/>
            <w:hideMark/>
          </w:tcPr>
          <w:p w14:paraId="603C6F81" w14:textId="77777777" w:rsidR="001B2957" w:rsidRPr="006A6F1F" w:rsidRDefault="001B2957" w:rsidP="0062193B">
            <w:pPr>
              <w:ind w:right="162"/>
              <w:jc w:val="right"/>
              <w:rPr>
                <w:rFonts w:ascii="Arial" w:hAnsi="Arial" w:cs="Arial"/>
                <w:color w:val="000000" w:themeColor="text1"/>
                <w:sz w:val="19"/>
                <w:szCs w:val="19"/>
                <w:lang w:val="en-GB" w:eastAsia="en-SG"/>
              </w:rPr>
            </w:pPr>
            <w:r w:rsidRPr="006A6F1F">
              <w:rPr>
                <w:rFonts w:ascii="Arial" w:hAnsi="Arial" w:cs="Arial"/>
                <w:color w:val="000000" w:themeColor="text1"/>
                <w:sz w:val="19"/>
                <w:szCs w:val="19"/>
                <w:lang w:val="en-GB" w:eastAsia="en-SG"/>
              </w:rPr>
              <w:t>4.6</w:t>
            </w:r>
          </w:p>
        </w:tc>
      </w:tr>
      <w:tr w:rsidR="001B2957" w:rsidRPr="006A6F1F" w14:paraId="191A9F65" w14:textId="77777777" w:rsidTr="003F2FE5">
        <w:trPr>
          <w:trHeight w:val="60"/>
        </w:trPr>
        <w:tc>
          <w:tcPr>
            <w:tcW w:w="5935" w:type="dxa"/>
            <w:noWrap/>
            <w:hideMark/>
          </w:tcPr>
          <w:p w14:paraId="3D31EF9F" w14:textId="377931CC" w:rsidR="001B2957" w:rsidRPr="006A6F1F" w:rsidRDefault="001B2957" w:rsidP="00772AA6">
            <w:pPr>
              <w:rPr>
                <w:rFonts w:ascii="Arial" w:hAnsi="Arial" w:cs="Arial"/>
                <w:color w:val="000000" w:themeColor="text1"/>
                <w:sz w:val="19"/>
                <w:szCs w:val="19"/>
                <w:lang w:val="en-GB" w:eastAsia="en-SG"/>
              </w:rPr>
            </w:pPr>
            <w:r w:rsidRPr="006A6F1F">
              <w:rPr>
                <w:rFonts w:ascii="Arial" w:hAnsi="Arial" w:cs="Arial"/>
                <w:color w:val="000000" w:themeColor="text1"/>
                <w:sz w:val="19"/>
                <w:szCs w:val="19"/>
                <w:lang w:val="en-GB" w:eastAsia="en-SG"/>
              </w:rPr>
              <w:t>Listing Expenses</w:t>
            </w:r>
          </w:p>
        </w:tc>
        <w:tc>
          <w:tcPr>
            <w:tcW w:w="1170" w:type="dxa"/>
            <w:noWrap/>
            <w:hideMark/>
          </w:tcPr>
          <w:p w14:paraId="3FC2748A" w14:textId="77777777" w:rsidR="001B2957" w:rsidRPr="006A6F1F" w:rsidRDefault="001B2957" w:rsidP="0062193B">
            <w:pPr>
              <w:ind w:right="162"/>
              <w:jc w:val="right"/>
              <w:rPr>
                <w:rFonts w:ascii="Arial" w:hAnsi="Arial" w:cs="Arial"/>
                <w:color w:val="000000" w:themeColor="text1"/>
                <w:sz w:val="19"/>
                <w:szCs w:val="19"/>
                <w:lang w:val="en-GB" w:eastAsia="en-SG"/>
              </w:rPr>
            </w:pPr>
            <w:r w:rsidRPr="006A6F1F">
              <w:rPr>
                <w:rFonts w:ascii="Arial" w:hAnsi="Arial" w:cs="Arial"/>
                <w:color w:val="000000" w:themeColor="text1"/>
                <w:sz w:val="19"/>
                <w:szCs w:val="19"/>
                <w:lang w:val="en-GB" w:eastAsia="en-SG"/>
              </w:rPr>
              <w:t>3,087</w:t>
            </w:r>
          </w:p>
        </w:tc>
        <w:tc>
          <w:tcPr>
            <w:tcW w:w="2250" w:type="dxa"/>
            <w:noWrap/>
            <w:hideMark/>
          </w:tcPr>
          <w:p w14:paraId="21FD9A71" w14:textId="77777777" w:rsidR="001B2957" w:rsidRPr="006A6F1F" w:rsidRDefault="001B2957" w:rsidP="0062193B">
            <w:pPr>
              <w:ind w:right="162"/>
              <w:jc w:val="right"/>
              <w:rPr>
                <w:rFonts w:ascii="Arial" w:hAnsi="Arial" w:cs="Arial"/>
                <w:color w:val="000000" w:themeColor="text1"/>
                <w:sz w:val="19"/>
                <w:szCs w:val="19"/>
                <w:lang w:val="en-GB" w:eastAsia="en-SG"/>
              </w:rPr>
            </w:pPr>
            <w:r w:rsidRPr="006A6F1F">
              <w:rPr>
                <w:rFonts w:ascii="Arial" w:hAnsi="Arial" w:cs="Arial"/>
                <w:color w:val="000000" w:themeColor="text1"/>
                <w:sz w:val="19"/>
                <w:szCs w:val="19"/>
                <w:lang w:val="en-GB" w:eastAsia="en-SG"/>
              </w:rPr>
              <w:t>7.1</w:t>
            </w:r>
          </w:p>
        </w:tc>
      </w:tr>
      <w:tr w:rsidR="001B2957" w:rsidRPr="006A6F1F" w14:paraId="0E43DE6C" w14:textId="77777777" w:rsidTr="003F2FE5">
        <w:trPr>
          <w:trHeight w:val="60"/>
        </w:trPr>
        <w:tc>
          <w:tcPr>
            <w:tcW w:w="5935" w:type="dxa"/>
            <w:noWrap/>
            <w:hideMark/>
          </w:tcPr>
          <w:p w14:paraId="2D619DF7" w14:textId="77777777" w:rsidR="001B2957" w:rsidRPr="006A6F1F" w:rsidRDefault="001B2957" w:rsidP="00265F5E">
            <w:pPr>
              <w:rPr>
                <w:rFonts w:ascii="Arial" w:hAnsi="Arial" w:cs="Arial"/>
                <w:b/>
                <w:bCs/>
                <w:color w:val="000000" w:themeColor="text1"/>
                <w:sz w:val="19"/>
                <w:szCs w:val="19"/>
                <w:lang w:val="en-GB" w:eastAsia="en-SG"/>
              </w:rPr>
            </w:pPr>
            <w:r w:rsidRPr="006A6F1F">
              <w:rPr>
                <w:rFonts w:ascii="Arial" w:hAnsi="Arial" w:cs="Arial"/>
                <w:b/>
                <w:bCs/>
                <w:color w:val="000000" w:themeColor="text1"/>
                <w:sz w:val="19"/>
                <w:szCs w:val="19"/>
                <w:lang w:val="en-GB" w:eastAsia="en-SG"/>
              </w:rPr>
              <w:t>Total</w:t>
            </w:r>
          </w:p>
        </w:tc>
        <w:tc>
          <w:tcPr>
            <w:tcW w:w="1170" w:type="dxa"/>
            <w:noWrap/>
            <w:hideMark/>
          </w:tcPr>
          <w:p w14:paraId="14F5D005" w14:textId="77777777" w:rsidR="001B2957" w:rsidRPr="006A6F1F" w:rsidRDefault="001B2957" w:rsidP="0062193B">
            <w:pPr>
              <w:ind w:right="162"/>
              <w:jc w:val="right"/>
              <w:rPr>
                <w:rFonts w:ascii="Arial" w:hAnsi="Arial" w:cs="Arial"/>
                <w:b/>
                <w:bCs/>
                <w:color w:val="000000" w:themeColor="text1"/>
                <w:sz w:val="19"/>
                <w:szCs w:val="19"/>
                <w:lang w:val="en-GB" w:eastAsia="en-SG"/>
              </w:rPr>
            </w:pPr>
            <w:r w:rsidRPr="006A6F1F">
              <w:rPr>
                <w:rFonts w:ascii="Arial" w:hAnsi="Arial" w:cs="Arial"/>
                <w:b/>
                <w:bCs/>
                <w:color w:val="000000" w:themeColor="text1"/>
                <w:sz w:val="19"/>
                <w:szCs w:val="19"/>
                <w:lang w:val="en-GB" w:eastAsia="en-SG"/>
              </w:rPr>
              <w:t>43,450</w:t>
            </w:r>
          </w:p>
        </w:tc>
        <w:tc>
          <w:tcPr>
            <w:tcW w:w="2250" w:type="dxa"/>
            <w:noWrap/>
            <w:hideMark/>
          </w:tcPr>
          <w:p w14:paraId="353A07A4" w14:textId="77777777" w:rsidR="001B2957" w:rsidRPr="006A6F1F" w:rsidRDefault="001B2957" w:rsidP="0062193B">
            <w:pPr>
              <w:ind w:right="162"/>
              <w:jc w:val="right"/>
              <w:rPr>
                <w:rFonts w:ascii="Arial" w:hAnsi="Arial" w:cs="Arial"/>
                <w:b/>
                <w:bCs/>
                <w:color w:val="000000" w:themeColor="text1"/>
                <w:sz w:val="19"/>
                <w:szCs w:val="19"/>
                <w:lang w:val="en-GB" w:eastAsia="en-SG"/>
              </w:rPr>
            </w:pPr>
            <w:r w:rsidRPr="006A6F1F">
              <w:rPr>
                <w:rFonts w:ascii="Arial" w:hAnsi="Arial" w:cs="Arial"/>
                <w:b/>
                <w:bCs/>
                <w:color w:val="000000" w:themeColor="text1"/>
                <w:sz w:val="19"/>
                <w:szCs w:val="19"/>
                <w:lang w:val="en-GB" w:eastAsia="en-SG"/>
              </w:rPr>
              <w:t>100.0</w:t>
            </w:r>
          </w:p>
        </w:tc>
      </w:tr>
    </w:tbl>
    <w:p w14:paraId="5CB87F6B" w14:textId="77777777" w:rsidR="001B2957" w:rsidRPr="006A6F1F" w:rsidRDefault="001B2957" w:rsidP="00306915">
      <w:pPr>
        <w:rPr>
          <w:color w:val="000000" w:themeColor="text1"/>
          <w:lang w:val="en-GB"/>
        </w:rPr>
      </w:pPr>
    </w:p>
    <w:p w14:paraId="59FCD0D2" w14:textId="0BDF983B" w:rsidR="00434042" w:rsidRDefault="00434042" w:rsidP="00486FFE">
      <w:pPr>
        <w:jc w:val="both"/>
        <w:rPr>
          <w:rFonts w:ascii="Arial" w:hAnsi="Arial" w:cs="Arial"/>
          <w:color w:val="000000" w:themeColor="text1"/>
          <w:sz w:val="17"/>
          <w:szCs w:val="17"/>
          <w:lang w:val="en-GB"/>
        </w:rPr>
      </w:pPr>
      <w:r>
        <w:rPr>
          <w:rFonts w:ascii="Arial" w:hAnsi="Arial" w:cs="Arial"/>
          <w:color w:val="000000" w:themeColor="text1"/>
          <w:sz w:val="17"/>
          <w:szCs w:val="17"/>
          <w:lang w:val="en-GB"/>
        </w:rPr>
        <w:t xml:space="preserve">Note: </w:t>
      </w:r>
      <w:r w:rsidRPr="00FE0572">
        <w:rPr>
          <w:rStyle w:val="FootnoteChar"/>
        </w:rPr>
        <w:t>SG$ = Singapore dollar</w:t>
      </w:r>
      <w:r>
        <w:rPr>
          <w:rStyle w:val="FootnoteChar"/>
        </w:rPr>
        <w:t>;</w:t>
      </w:r>
      <w:r w:rsidRPr="00FE0572">
        <w:rPr>
          <w:rStyle w:val="FootnoteChar"/>
        </w:rPr>
        <w:t xml:space="preserve"> </w:t>
      </w:r>
      <w:r>
        <w:rPr>
          <w:rStyle w:val="FootnoteChar"/>
        </w:rPr>
        <w:t xml:space="preserve">SG$1 = </w:t>
      </w:r>
      <w:r w:rsidRPr="00FE0572">
        <w:rPr>
          <w:rStyle w:val="FootnoteChar"/>
        </w:rPr>
        <w:t>US$</w:t>
      </w:r>
      <w:r>
        <w:rPr>
          <w:rStyle w:val="FootnoteChar"/>
        </w:rPr>
        <w:t>0.70540</w:t>
      </w:r>
      <w:r w:rsidRPr="00FE0572">
        <w:rPr>
          <w:rStyle w:val="FootnoteChar"/>
        </w:rPr>
        <w:t xml:space="preserve"> on March 8, 2017</w:t>
      </w:r>
    </w:p>
    <w:p w14:paraId="2CFD0FD4" w14:textId="23E44128" w:rsidR="001B2957" w:rsidRPr="006A6F1F" w:rsidRDefault="001B2957" w:rsidP="00486FFE">
      <w:pPr>
        <w:jc w:val="both"/>
        <w:rPr>
          <w:rFonts w:ascii="Arial" w:hAnsi="Arial" w:cs="Arial"/>
          <w:color w:val="000000" w:themeColor="text1"/>
          <w:sz w:val="17"/>
          <w:szCs w:val="17"/>
          <w:lang w:val="en-GB"/>
        </w:rPr>
      </w:pPr>
      <w:r w:rsidRPr="006A6F1F">
        <w:rPr>
          <w:rFonts w:ascii="Arial" w:hAnsi="Arial" w:cs="Arial"/>
          <w:color w:val="000000" w:themeColor="text1"/>
          <w:sz w:val="17"/>
          <w:szCs w:val="17"/>
          <w:lang w:val="en-GB"/>
        </w:rPr>
        <w:t xml:space="preserve">Source: </w:t>
      </w:r>
      <w:proofErr w:type="spellStart"/>
      <w:r w:rsidRPr="006A6F1F">
        <w:rPr>
          <w:rFonts w:ascii="Arial" w:hAnsi="Arial" w:cs="Arial"/>
          <w:color w:val="000000" w:themeColor="text1"/>
          <w:sz w:val="17"/>
          <w:szCs w:val="17"/>
          <w:lang w:val="en-GB"/>
        </w:rPr>
        <w:t>Kimly</w:t>
      </w:r>
      <w:proofErr w:type="spellEnd"/>
      <w:r w:rsidRPr="006A6F1F">
        <w:rPr>
          <w:rFonts w:ascii="Arial" w:hAnsi="Arial" w:cs="Arial"/>
          <w:color w:val="000000" w:themeColor="text1"/>
          <w:sz w:val="17"/>
          <w:szCs w:val="17"/>
          <w:lang w:val="en-GB"/>
        </w:rPr>
        <w:t xml:space="preserve"> Limited, </w:t>
      </w:r>
      <w:r w:rsidRPr="0062193B">
        <w:rPr>
          <w:rFonts w:ascii="Arial" w:hAnsi="Arial" w:cs="Arial"/>
          <w:i/>
          <w:color w:val="000000" w:themeColor="text1"/>
          <w:sz w:val="17"/>
          <w:szCs w:val="17"/>
          <w:lang w:val="en-GB"/>
        </w:rPr>
        <w:t xml:space="preserve">Invitation In Respect </w:t>
      </w:r>
      <w:r w:rsidR="00434042">
        <w:rPr>
          <w:rFonts w:ascii="Arial" w:hAnsi="Arial" w:cs="Arial"/>
          <w:i/>
          <w:color w:val="000000" w:themeColor="text1"/>
          <w:sz w:val="17"/>
          <w:szCs w:val="17"/>
          <w:lang w:val="en-GB"/>
        </w:rPr>
        <w:t>o</w:t>
      </w:r>
      <w:r w:rsidRPr="0062193B">
        <w:rPr>
          <w:rFonts w:ascii="Arial" w:hAnsi="Arial" w:cs="Arial"/>
          <w:i/>
          <w:color w:val="000000" w:themeColor="text1"/>
          <w:sz w:val="17"/>
          <w:szCs w:val="17"/>
          <w:lang w:val="en-GB"/>
        </w:rPr>
        <w:t>f 173,800,000 New Shares</w:t>
      </w:r>
      <w:r w:rsidRPr="006A6F1F">
        <w:rPr>
          <w:rFonts w:ascii="Arial" w:hAnsi="Arial" w:cs="Arial"/>
          <w:color w:val="000000" w:themeColor="text1"/>
          <w:sz w:val="17"/>
          <w:szCs w:val="17"/>
          <w:lang w:val="en-GB"/>
        </w:rPr>
        <w:t>, 54, March 8, 2017, accessed May 29, 2017, http://infopub.sgx.com/FileOpen/Kimly_Limited_-_Offer_Document.ashx?App=IPO&amp;FileID=5360.</w:t>
      </w:r>
    </w:p>
    <w:p w14:paraId="364E56C1" w14:textId="77777777" w:rsidR="00B9262B" w:rsidRDefault="00B9262B">
      <w:pPr>
        <w:spacing w:after="200" w:line="276" w:lineRule="auto"/>
        <w:rPr>
          <w:rFonts w:ascii="Arial" w:hAnsi="Arial" w:cs="Arial"/>
          <w:b/>
          <w:caps/>
          <w:color w:val="000000" w:themeColor="text1"/>
          <w:lang w:val="en-GB"/>
        </w:rPr>
        <w:sectPr w:rsidR="00B9262B" w:rsidSect="00F766B6">
          <w:headerReference w:type="first" r:id="rId17"/>
          <w:endnotePr>
            <w:numFmt w:val="decimal"/>
          </w:endnotePr>
          <w:pgSz w:w="12240" w:h="15840"/>
          <w:pgMar w:top="1080" w:right="1440" w:bottom="1440" w:left="1440" w:header="1080" w:footer="720" w:gutter="0"/>
          <w:cols w:space="720"/>
          <w:titlePg/>
          <w:docGrid w:linePitch="360"/>
        </w:sectPr>
      </w:pPr>
    </w:p>
    <w:p w14:paraId="7663067F" w14:textId="1B751672" w:rsidR="00B9262B" w:rsidRPr="006A6F1F" w:rsidRDefault="00B9262B" w:rsidP="003F2FE5">
      <w:pPr>
        <w:pStyle w:val="ExhibitHeading"/>
        <w:rPr>
          <w:lang w:val="en-GB"/>
        </w:rPr>
      </w:pPr>
      <w:r w:rsidRPr="006A6F1F">
        <w:rPr>
          <w:lang w:val="en-GB"/>
        </w:rPr>
        <w:lastRenderedPageBreak/>
        <w:t xml:space="preserve">Exhibit </w:t>
      </w:r>
      <w:r>
        <w:rPr>
          <w:lang w:val="en-GB"/>
        </w:rPr>
        <w:t>4</w:t>
      </w:r>
      <w:r w:rsidRPr="006A6F1F">
        <w:rPr>
          <w:lang w:val="en-GB"/>
        </w:rPr>
        <w:t>: SINGAPORE ECONOMIC AND FOOD INDUSTRY PERFORMANCE</w:t>
      </w:r>
    </w:p>
    <w:p w14:paraId="4FFD34EA" w14:textId="77777777" w:rsidR="00B9262B" w:rsidRPr="006A6F1F" w:rsidRDefault="00B9262B" w:rsidP="00B9262B">
      <w:pPr>
        <w:tabs>
          <w:tab w:val="center" w:pos="4680"/>
          <w:tab w:val="left" w:pos="8627"/>
        </w:tabs>
        <w:jc w:val="center"/>
        <w:rPr>
          <w:rFonts w:ascii="Arial" w:hAnsi="Arial" w:cs="Arial"/>
          <w:b/>
          <w:caps/>
          <w:color w:val="000000" w:themeColor="text1"/>
          <w:lang w:val="en-GB"/>
        </w:rPr>
      </w:pPr>
    </w:p>
    <w:tbl>
      <w:tblPr>
        <w:tblW w:w="8249" w:type="dxa"/>
        <w:jc w:val="center"/>
        <w:tblLook w:val="04A0" w:firstRow="1" w:lastRow="0" w:firstColumn="1" w:lastColumn="0" w:noHBand="0" w:noVBand="1"/>
      </w:tblPr>
      <w:tblGrid>
        <w:gridCol w:w="2553"/>
        <w:gridCol w:w="1166"/>
        <w:gridCol w:w="755"/>
        <w:gridCol w:w="216"/>
        <w:gridCol w:w="539"/>
        <w:gridCol w:w="216"/>
        <w:gridCol w:w="539"/>
        <w:gridCol w:w="213"/>
        <w:gridCol w:w="211"/>
        <w:gridCol w:w="331"/>
        <w:gridCol w:w="214"/>
        <w:gridCol w:w="541"/>
        <w:gridCol w:w="20"/>
        <w:gridCol w:w="192"/>
        <w:gridCol w:w="411"/>
        <w:gridCol w:w="132"/>
      </w:tblGrid>
      <w:tr w:rsidR="00365207" w:rsidRPr="006A6F1F" w14:paraId="6F5AB0B6" w14:textId="77777777" w:rsidTr="00365207">
        <w:trPr>
          <w:trHeight w:val="225"/>
          <w:jc w:val="center"/>
        </w:trPr>
        <w:tc>
          <w:tcPr>
            <w:tcW w:w="8249" w:type="dxa"/>
            <w:gridSpan w:val="16"/>
            <w:tcBorders>
              <w:top w:val="single" w:sz="8" w:space="0" w:color="auto"/>
              <w:left w:val="nil"/>
              <w:bottom w:val="nil"/>
              <w:right w:val="nil"/>
            </w:tcBorders>
            <w:shd w:val="clear" w:color="auto" w:fill="auto"/>
            <w:vAlign w:val="center"/>
            <w:hideMark/>
          </w:tcPr>
          <w:p w14:paraId="3FE3DBBC" w14:textId="77777777" w:rsidR="00365207" w:rsidRPr="006A6F1F" w:rsidRDefault="00365207" w:rsidP="00E66870">
            <w:pPr>
              <w:rPr>
                <w:rFonts w:ascii="Arial" w:hAnsi="Arial" w:cs="Arial"/>
                <w:b/>
                <w:bCs/>
                <w:color w:val="000000" w:themeColor="text1"/>
                <w:sz w:val="19"/>
                <w:szCs w:val="19"/>
                <w:lang w:val="en-GB" w:eastAsia="zh-CN"/>
              </w:rPr>
            </w:pPr>
            <w:r w:rsidRPr="006A6F1F">
              <w:rPr>
                <w:rFonts w:ascii="Arial" w:hAnsi="Arial" w:cs="Arial"/>
                <w:b/>
                <w:bCs/>
                <w:color w:val="000000" w:themeColor="text1"/>
                <w:sz w:val="19"/>
                <w:szCs w:val="19"/>
                <w:lang w:val="en-GB" w:eastAsia="zh-CN"/>
              </w:rPr>
              <w:t xml:space="preserve">(a) Singapore Economic Growth Rates </w:t>
            </w:r>
          </w:p>
        </w:tc>
      </w:tr>
      <w:tr w:rsidR="00365207" w:rsidRPr="006A6F1F" w14:paraId="028192D5" w14:textId="77777777" w:rsidTr="00365207">
        <w:trPr>
          <w:trHeight w:val="240"/>
          <w:jc w:val="center"/>
        </w:trPr>
        <w:tc>
          <w:tcPr>
            <w:tcW w:w="2553" w:type="dxa"/>
            <w:tcBorders>
              <w:top w:val="nil"/>
              <w:left w:val="nil"/>
              <w:bottom w:val="nil"/>
              <w:right w:val="nil"/>
            </w:tcBorders>
            <w:shd w:val="clear" w:color="auto" w:fill="auto"/>
            <w:noWrap/>
            <w:vAlign w:val="center"/>
            <w:hideMark/>
          </w:tcPr>
          <w:p w14:paraId="053A3054" w14:textId="77777777" w:rsidR="00365207" w:rsidRPr="006A6F1F" w:rsidRDefault="00365207" w:rsidP="00E66870">
            <w:pPr>
              <w:jc w:val="right"/>
              <w:rPr>
                <w:rFonts w:ascii="Arial" w:hAnsi="Arial" w:cs="Arial"/>
                <w:b/>
                <w:bCs/>
                <w:color w:val="000000" w:themeColor="text1"/>
                <w:sz w:val="19"/>
                <w:szCs w:val="19"/>
                <w:lang w:val="en-GB" w:eastAsia="zh-CN"/>
              </w:rPr>
            </w:pPr>
          </w:p>
        </w:tc>
        <w:tc>
          <w:tcPr>
            <w:tcW w:w="1166" w:type="dxa"/>
            <w:tcBorders>
              <w:top w:val="nil"/>
              <w:left w:val="nil"/>
              <w:bottom w:val="single" w:sz="8" w:space="0" w:color="auto"/>
              <w:right w:val="nil"/>
            </w:tcBorders>
            <w:shd w:val="clear" w:color="auto" w:fill="auto"/>
            <w:vAlign w:val="center"/>
            <w:hideMark/>
          </w:tcPr>
          <w:p w14:paraId="245CC3E2" w14:textId="423C7E9C" w:rsidR="00365207" w:rsidRPr="006A6F1F" w:rsidRDefault="00365207" w:rsidP="004D4A76">
            <w:pPr>
              <w:jc w:val="center"/>
              <w:rPr>
                <w:rFonts w:ascii="Arial" w:hAnsi="Arial" w:cs="Arial"/>
                <w:b/>
                <w:bCs/>
                <w:color w:val="000000" w:themeColor="text1"/>
                <w:sz w:val="19"/>
                <w:szCs w:val="19"/>
                <w:lang w:val="en-GB" w:eastAsia="zh-CN"/>
              </w:rPr>
            </w:pPr>
            <w:r w:rsidRPr="006A6F1F">
              <w:rPr>
                <w:rFonts w:ascii="Arial" w:hAnsi="Arial" w:cs="Arial"/>
                <w:b/>
                <w:bCs/>
                <w:color w:val="000000" w:themeColor="text1"/>
                <w:sz w:val="19"/>
                <w:szCs w:val="19"/>
                <w:lang w:val="en-GB" w:eastAsia="zh-CN"/>
              </w:rPr>
              <w:t>2011</w:t>
            </w:r>
          </w:p>
        </w:tc>
        <w:tc>
          <w:tcPr>
            <w:tcW w:w="755" w:type="dxa"/>
            <w:tcBorders>
              <w:top w:val="nil"/>
              <w:left w:val="nil"/>
              <w:bottom w:val="single" w:sz="8" w:space="0" w:color="auto"/>
              <w:right w:val="nil"/>
            </w:tcBorders>
            <w:shd w:val="clear" w:color="auto" w:fill="auto"/>
            <w:vAlign w:val="center"/>
            <w:hideMark/>
          </w:tcPr>
          <w:p w14:paraId="15D385E1" w14:textId="25D1ECBB" w:rsidR="00365207" w:rsidRPr="006A6F1F" w:rsidRDefault="00365207" w:rsidP="004D4A76">
            <w:pPr>
              <w:jc w:val="center"/>
              <w:rPr>
                <w:rFonts w:ascii="Arial" w:hAnsi="Arial" w:cs="Arial"/>
                <w:b/>
                <w:bCs/>
                <w:color w:val="000000" w:themeColor="text1"/>
                <w:sz w:val="19"/>
                <w:szCs w:val="19"/>
                <w:lang w:val="en-GB" w:eastAsia="zh-CN"/>
              </w:rPr>
            </w:pPr>
            <w:r w:rsidRPr="006A6F1F">
              <w:rPr>
                <w:rFonts w:ascii="Arial" w:hAnsi="Arial" w:cs="Arial"/>
                <w:b/>
                <w:bCs/>
                <w:color w:val="000000" w:themeColor="text1"/>
                <w:sz w:val="19"/>
                <w:szCs w:val="19"/>
                <w:lang w:val="en-GB" w:eastAsia="zh-CN"/>
              </w:rPr>
              <w:t>2012</w:t>
            </w:r>
          </w:p>
        </w:tc>
        <w:tc>
          <w:tcPr>
            <w:tcW w:w="755" w:type="dxa"/>
            <w:gridSpan w:val="2"/>
            <w:tcBorders>
              <w:top w:val="nil"/>
              <w:left w:val="nil"/>
              <w:bottom w:val="single" w:sz="8" w:space="0" w:color="auto"/>
              <w:right w:val="nil"/>
            </w:tcBorders>
            <w:shd w:val="clear" w:color="auto" w:fill="auto"/>
            <w:vAlign w:val="center"/>
            <w:hideMark/>
          </w:tcPr>
          <w:p w14:paraId="6EC3B4DE" w14:textId="01739568" w:rsidR="00365207" w:rsidRPr="006A6F1F" w:rsidRDefault="00365207" w:rsidP="004D4A76">
            <w:pPr>
              <w:jc w:val="center"/>
              <w:rPr>
                <w:rFonts w:ascii="Arial" w:hAnsi="Arial" w:cs="Arial"/>
                <w:b/>
                <w:bCs/>
                <w:color w:val="000000" w:themeColor="text1"/>
                <w:sz w:val="19"/>
                <w:szCs w:val="19"/>
                <w:lang w:val="en-GB" w:eastAsia="zh-CN"/>
              </w:rPr>
            </w:pPr>
            <w:r w:rsidRPr="006A6F1F">
              <w:rPr>
                <w:rFonts w:ascii="Arial" w:hAnsi="Arial" w:cs="Arial"/>
                <w:b/>
                <w:bCs/>
                <w:color w:val="000000" w:themeColor="text1"/>
                <w:sz w:val="19"/>
                <w:szCs w:val="19"/>
                <w:lang w:val="en-GB" w:eastAsia="zh-CN"/>
              </w:rPr>
              <w:t>2013</w:t>
            </w:r>
          </w:p>
        </w:tc>
        <w:tc>
          <w:tcPr>
            <w:tcW w:w="755" w:type="dxa"/>
            <w:gridSpan w:val="2"/>
            <w:tcBorders>
              <w:top w:val="nil"/>
              <w:left w:val="nil"/>
              <w:bottom w:val="single" w:sz="8" w:space="0" w:color="auto"/>
              <w:right w:val="nil"/>
            </w:tcBorders>
            <w:shd w:val="clear" w:color="auto" w:fill="auto"/>
            <w:vAlign w:val="center"/>
            <w:hideMark/>
          </w:tcPr>
          <w:p w14:paraId="64FEA853" w14:textId="4A377798" w:rsidR="00365207" w:rsidRPr="006A6F1F" w:rsidRDefault="00365207" w:rsidP="004D4A76">
            <w:pPr>
              <w:jc w:val="center"/>
              <w:rPr>
                <w:rFonts w:ascii="Arial" w:hAnsi="Arial" w:cs="Arial"/>
                <w:b/>
                <w:bCs/>
                <w:color w:val="000000" w:themeColor="text1"/>
                <w:sz w:val="19"/>
                <w:szCs w:val="19"/>
                <w:lang w:val="en-GB" w:eastAsia="zh-CN"/>
              </w:rPr>
            </w:pPr>
            <w:r w:rsidRPr="006A6F1F">
              <w:rPr>
                <w:rFonts w:ascii="Arial" w:hAnsi="Arial" w:cs="Arial"/>
                <w:b/>
                <w:bCs/>
                <w:color w:val="000000" w:themeColor="text1"/>
                <w:sz w:val="19"/>
                <w:szCs w:val="19"/>
                <w:lang w:val="en-GB" w:eastAsia="zh-CN"/>
              </w:rPr>
              <w:t>2014</w:t>
            </w:r>
          </w:p>
        </w:tc>
        <w:tc>
          <w:tcPr>
            <w:tcW w:w="755" w:type="dxa"/>
            <w:gridSpan w:val="3"/>
            <w:tcBorders>
              <w:top w:val="nil"/>
              <w:left w:val="nil"/>
              <w:bottom w:val="single" w:sz="8" w:space="0" w:color="auto"/>
              <w:right w:val="nil"/>
            </w:tcBorders>
            <w:shd w:val="clear" w:color="auto" w:fill="auto"/>
            <w:vAlign w:val="center"/>
            <w:hideMark/>
          </w:tcPr>
          <w:p w14:paraId="188C65C6" w14:textId="4CF3E0A1" w:rsidR="00365207" w:rsidRPr="006A6F1F" w:rsidRDefault="00365207" w:rsidP="004D4A76">
            <w:pPr>
              <w:jc w:val="center"/>
              <w:rPr>
                <w:rFonts w:ascii="Arial" w:hAnsi="Arial" w:cs="Arial"/>
                <w:b/>
                <w:bCs/>
                <w:color w:val="000000" w:themeColor="text1"/>
                <w:sz w:val="19"/>
                <w:szCs w:val="19"/>
                <w:lang w:val="en-GB" w:eastAsia="zh-CN"/>
              </w:rPr>
            </w:pPr>
            <w:r w:rsidRPr="006A6F1F">
              <w:rPr>
                <w:rFonts w:ascii="Arial" w:hAnsi="Arial" w:cs="Arial"/>
                <w:b/>
                <w:bCs/>
                <w:color w:val="000000" w:themeColor="text1"/>
                <w:sz w:val="19"/>
                <w:szCs w:val="19"/>
                <w:lang w:val="en-GB" w:eastAsia="zh-CN"/>
              </w:rPr>
              <w:t>2015</w:t>
            </w:r>
          </w:p>
        </w:tc>
        <w:tc>
          <w:tcPr>
            <w:tcW w:w="755" w:type="dxa"/>
            <w:gridSpan w:val="2"/>
            <w:tcBorders>
              <w:top w:val="nil"/>
              <w:left w:val="nil"/>
              <w:bottom w:val="single" w:sz="8" w:space="0" w:color="auto"/>
              <w:right w:val="nil"/>
            </w:tcBorders>
            <w:shd w:val="clear" w:color="auto" w:fill="auto"/>
            <w:vAlign w:val="center"/>
            <w:hideMark/>
          </w:tcPr>
          <w:p w14:paraId="5D292CCD" w14:textId="42FD60B2" w:rsidR="00365207" w:rsidRPr="006A6F1F" w:rsidRDefault="00365207" w:rsidP="004D4A76">
            <w:pPr>
              <w:jc w:val="center"/>
              <w:rPr>
                <w:rFonts w:ascii="Arial" w:hAnsi="Arial" w:cs="Arial"/>
                <w:b/>
                <w:bCs/>
                <w:color w:val="000000" w:themeColor="text1"/>
                <w:sz w:val="19"/>
                <w:szCs w:val="19"/>
                <w:lang w:val="en-GB" w:eastAsia="zh-CN"/>
              </w:rPr>
            </w:pPr>
            <w:r w:rsidRPr="006A6F1F">
              <w:rPr>
                <w:rFonts w:ascii="Arial" w:hAnsi="Arial" w:cs="Arial"/>
                <w:b/>
                <w:bCs/>
                <w:color w:val="000000" w:themeColor="text1"/>
                <w:sz w:val="19"/>
                <w:szCs w:val="19"/>
                <w:lang w:val="en-GB" w:eastAsia="zh-CN"/>
              </w:rPr>
              <w:t>2016</w:t>
            </w:r>
          </w:p>
        </w:tc>
        <w:tc>
          <w:tcPr>
            <w:tcW w:w="755" w:type="dxa"/>
            <w:gridSpan w:val="4"/>
            <w:tcBorders>
              <w:top w:val="nil"/>
              <w:left w:val="nil"/>
              <w:bottom w:val="single" w:sz="8" w:space="0" w:color="auto"/>
              <w:right w:val="nil"/>
            </w:tcBorders>
            <w:shd w:val="clear" w:color="auto" w:fill="auto"/>
            <w:vAlign w:val="center"/>
            <w:hideMark/>
          </w:tcPr>
          <w:p w14:paraId="0FA8A671" w14:textId="0D736F33" w:rsidR="00365207" w:rsidRPr="006A6F1F" w:rsidRDefault="00365207" w:rsidP="004D4A76">
            <w:pPr>
              <w:jc w:val="center"/>
              <w:rPr>
                <w:rFonts w:ascii="Arial" w:hAnsi="Arial" w:cs="Arial"/>
                <w:b/>
                <w:bCs/>
                <w:color w:val="000000" w:themeColor="text1"/>
                <w:sz w:val="19"/>
                <w:szCs w:val="19"/>
                <w:lang w:val="en-GB" w:eastAsia="zh-CN"/>
              </w:rPr>
            </w:pPr>
            <w:r w:rsidRPr="006A6F1F">
              <w:rPr>
                <w:rFonts w:ascii="Arial" w:hAnsi="Arial" w:cs="Arial"/>
                <w:b/>
                <w:bCs/>
                <w:color w:val="000000" w:themeColor="text1"/>
                <w:sz w:val="19"/>
                <w:szCs w:val="19"/>
                <w:lang w:val="en-GB" w:eastAsia="zh-CN"/>
              </w:rPr>
              <w:t>2017</w:t>
            </w:r>
          </w:p>
        </w:tc>
      </w:tr>
      <w:tr w:rsidR="00365207" w:rsidRPr="006A6F1F" w14:paraId="7FB5B99D" w14:textId="77777777" w:rsidTr="00365207">
        <w:trPr>
          <w:gridAfter w:val="2"/>
          <w:wAfter w:w="543" w:type="dxa"/>
          <w:trHeight w:val="225"/>
          <w:jc w:val="center"/>
        </w:trPr>
        <w:tc>
          <w:tcPr>
            <w:tcW w:w="4690" w:type="dxa"/>
            <w:gridSpan w:val="4"/>
            <w:tcBorders>
              <w:top w:val="nil"/>
              <w:left w:val="nil"/>
              <w:bottom w:val="nil"/>
              <w:right w:val="nil"/>
            </w:tcBorders>
            <w:shd w:val="clear" w:color="auto" w:fill="auto"/>
            <w:vAlign w:val="center"/>
            <w:hideMark/>
          </w:tcPr>
          <w:p w14:paraId="3FEA9CF1" w14:textId="77777777" w:rsidR="00365207" w:rsidRPr="006A6F1F" w:rsidRDefault="00365207" w:rsidP="00E66870">
            <w:pPr>
              <w:rPr>
                <w:rFonts w:ascii="Arial" w:hAnsi="Arial" w:cs="Arial"/>
                <w:b/>
                <w:bCs/>
                <w:color w:val="000000" w:themeColor="text1"/>
                <w:sz w:val="19"/>
                <w:szCs w:val="19"/>
                <w:lang w:val="en-GB" w:eastAsia="zh-CN"/>
              </w:rPr>
            </w:pPr>
            <w:r w:rsidRPr="006A6F1F">
              <w:rPr>
                <w:rFonts w:ascii="Arial" w:hAnsi="Arial" w:cs="Arial"/>
                <w:b/>
                <w:bCs/>
                <w:color w:val="000000" w:themeColor="text1"/>
                <w:sz w:val="19"/>
                <w:szCs w:val="19"/>
                <w:lang w:val="en-GB" w:eastAsia="zh-CN"/>
              </w:rPr>
              <w:t>Gross Domestic Product at Current Price</w:t>
            </w:r>
            <w:r w:rsidRPr="006A6F1F">
              <w:rPr>
                <w:rFonts w:ascii="Arial" w:hAnsi="Arial" w:cs="Arial"/>
                <w:color w:val="000000" w:themeColor="text1"/>
                <w:sz w:val="19"/>
                <w:szCs w:val="19"/>
                <w:vertAlign w:val="superscript"/>
                <w:lang w:val="en-GB" w:eastAsia="zh-CN"/>
              </w:rPr>
              <w:t>1</w:t>
            </w:r>
          </w:p>
        </w:tc>
        <w:tc>
          <w:tcPr>
            <w:tcW w:w="755" w:type="dxa"/>
            <w:gridSpan w:val="2"/>
            <w:tcBorders>
              <w:top w:val="nil"/>
              <w:left w:val="nil"/>
              <w:bottom w:val="nil"/>
              <w:right w:val="nil"/>
            </w:tcBorders>
            <w:shd w:val="clear" w:color="auto" w:fill="auto"/>
            <w:vAlign w:val="center"/>
            <w:hideMark/>
          </w:tcPr>
          <w:p w14:paraId="26939FCC" w14:textId="77777777" w:rsidR="00365207" w:rsidRPr="006A6F1F" w:rsidRDefault="00365207" w:rsidP="00E66870">
            <w:pPr>
              <w:jc w:val="center"/>
              <w:rPr>
                <w:rFonts w:ascii="Arial" w:hAnsi="Arial" w:cs="Arial"/>
                <w:b/>
                <w:bCs/>
                <w:color w:val="000000" w:themeColor="text1"/>
                <w:sz w:val="19"/>
                <w:szCs w:val="19"/>
                <w:lang w:val="en-GB" w:eastAsia="zh-CN"/>
              </w:rPr>
            </w:pPr>
          </w:p>
        </w:tc>
        <w:tc>
          <w:tcPr>
            <w:tcW w:w="752" w:type="dxa"/>
            <w:gridSpan w:val="2"/>
            <w:tcBorders>
              <w:top w:val="nil"/>
              <w:left w:val="nil"/>
              <w:bottom w:val="nil"/>
              <w:right w:val="nil"/>
            </w:tcBorders>
            <w:shd w:val="clear" w:color="auto" w:fill="auto"/>
            <w:vAlign w:val="center"/>
            <w:hideMark/>
          </w:tcPr>
          <w:p w14:paraId="08662237" w14:textId="77777777" w:rsidR="00365207" w:rsidRPr="006A6F1F" w:rsidRDefault="00365207" w:rsidP="00E66870">
            <w:pPr>
              <w:jc w:val="center"/>
              <w:rPr>
                <w:color w:val="000000" w:themeColor="text1"/>
                <w:sz w:val="19"/>
                <w:szCs w:val="19"/>
                <w:lang w:val="en-GB" w:eastAsia="zh-CN"/>
              </w:rPr>
            </w:pPr>
          </w:p>
        </w:tc>
        <w:tc>
          <w:tcPr>
            <w:tcW w:w="756" w:type="dxa"/>
            <w:gridSpan w:val="3"/>
            <w:tcBorders>
              <w:top w:val="nil"/>
              <w:left w:val="nil"/>
              <w:bottom w:val="nil"/>
              <w:right w:val="nil"/>
            </w:tcBorders>
            <w:shd w:val="clear" w:color="auto" w:fill="auto"/>
            <w:vAlign w:val="center"/>
            <w:hideMark/>
          </w:tcPr>
          <w:p w14:paraId="513B47EF" w14:textId="77777777" w:rsidR="00365207" w:rsidRPr="006A6F1F" w:rsidRDefault="00365207" w:rsidP="00E66870">
            <w:pPr>
              <w:jc w:val="center"/>
              <w:rPr>
                <w:color w:val="000000" w:themeColor="text1"/>
                <w:sz w:val="19"/>
                <w:szCs w:val="19"/>
                <w:lang w:val="en-GB" w:eastAsia="zh-CN"/>
              </w:rPr>
            </w:pPr>
          </w:p>
        </w:tc>
        <w:tc>
          <w:tcPr>
            <w:tcW w:w="753" w:type="dxa"/>
            <w:gridSpan w:val="3"/>
            <w:tcBorders>
              <w:top w:val="nil"/>
              <w:left w:val="nil"/>
              <w:bottom w:val="nil"/>
              <w:right w:val="nil"/>
            </w:tcBorders>
            <w:shd w:val="clear" w:color="auto" w:fill="auto"/>
            <w:vAlign w:val="center"/>
            <w:hideMark/>
          </w:tcPr>
          <w:p w14:paraId="6A437F40" w14:textId="77777777" w:rsidR="00365207" w:rsidRPr="006A6F1F" w:rsidRDefault="00365207" w:rsidP="00E66870">
            <w:pPr>
              <w:jc w:val="center"/>
              <w:rPr>
                <w:color w:val="000000" w:themeColor="text1"/>
                <w:sz w:val="19"/>
                <w:szCs w:val="19"/>
                <w:lang w:val="en-GB" w:eastAsia="zh-CN"/>
              </w:rPr>
            </w:pPr>
          </w:p>
        </w:tc>
      </w:tr>
      <w:tr w:rsidR="00365207" w:rsidRPr="006A6F1F" w14:paraId="6C50A6E1" w14:textId="77777777" w:rsidTr="00365207">
        <w:trPr>
          <w:trHeight w:val="225"/>
          <w:jc w:val="center"/>
        </w:trPr>
        <w:tc>
          <w:tcPr>
            <w:tcW w:w="2553" w:type="dxa"/>
            <w:tcBorders>
              <w:top w:val="nil"/>
              <w:left w:val="nil"/>
              <w:bottom w:val="nil"/>
              <w:right w:val="nil"/>
            </w:tcBorders>
            <w:shd w:val="clear" w:color="auto" w:fill="auto"/>
            <w:noWrap/>
            <w:vAlign w:val="center"/>
            <w:hideMark/>
          </w:tcPr>
          <w:p w14:paraId="799EC081" w14:textId="77777777" w:rsidR="00365207" w:rsidRPr="006A6F1F" w:rsidRDefault="00365207" w:rsidP="00365207">
            <w:pPr>
              <w:jc w:val="both"/>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SG$ Billions</w:t>
            </w:r>
          </w:p>
        </w:tc>
        <w:tc>
          <w:tcPr>
            <w:tcW w:w="1166" w:type="dxa"/>
            <w:tcBorders>
              <w:top w:val="nil"/>
              <w:left w:val="nil"/>
              <w:bottom w:val="nil"/>
              <w:right w:val="nil"/>
            </w:tcBorders>
            <w:shd w:val="clear" w:color="auto" w:fill="auto"/>
            <w:vAlign w:val="center"/>
            <w:hideMark/>
          </w:tcPr>
          <w:p w14:paraId="5A4C1A76" w14:textId="5E7C1C21" w:rsidR="00365207" w:rsidRPr="006A6F1F" w:rsidRDefault="00365207" w:rsidP="00365207">
            <w:pPr>
              <w:jc w:val="right"/>
              <w:rPr>
                <w:rFonts w:ascii="Arial" w:hAnsi="Arial" w:cs="Arial"/>
                <w:color w:val="000000" w:themeColor="text1"/>
                <w:sz w:val="19"/>
                <w:szCs w:val="19"/>
                <w:lang w:val="en-GB"/>
              </w:rPr>
            </w:pPr>
            <w:r>
              <w:rPr>
                <w:rFonts w:ascii="Arial" w:hAnsi="Arial" w:cs="Arial"/>
                <w:color w:val="000000"/>
                <w:sz w:val="18"/>
                <w:szCs w:val="18"/>
              </w:rPr>
              <w:t>347.1</w:t>
            </w:r>
          </w:p>
        </w:tc>
        <w:tc>
          <w:tcPr>
            <w:tcW w:w="755" w:type="dxa"/>
            <w:tcBorders>
              <w:top w:val="nil"/>
              <w:left w:val="nil"/>
              <w:bottom w:val="nil"/>
              <w:right w:val="nil"/>
            </w:tcBorders>
            <w:shd w:val="clear" w:color="auto" w:fill="auto"/>
            <w:vAlign w:val="center"/>
            <w:hideMark/>
          </w:tcPr>
          <w:p w14:paraId="349FF59D" w14:textId="49C94757" w:rsidR="00365207" w:rsidRPr="006A6F1F" w:rsidRDefault="00365207" w:rsidP="00365207">
            <w:pPr>
              <w:jc w:val="right"/>
              <w:rPr>
                <w:rFonts w:ascii="Arial" w:hAnsi="Arial" w:cs="Arial"/>
                <w:color w:val="000000" w:themeColor="text1"/>
                <w:sz w:val="19"/>
                <w:szCs w:val="19"/>
                <w:lang w:val="en-GB"/>
              </w:rPr>
            </w:pPr>
            <w:r>
              <w:rPr>
                <w:rFonts w:ascii="Arial" w:hAnsi="Arial" w:cs="Arial"/>
                <w:color w:val="000000"/>
                <w:sz w:val="18"/>
                <w:szCs w:val="18"/>
              </w:rPr>
              <w:t>363.3</w:t>
            </w:r>
          </w:p>
        </w:tc>
        <w:tc>
          <w:tcPr>
            <w:tcW w:w="755" w:type="dxa"/>
            <w:gridSpan w:val="2"/>
            <w:tcBorders>
              <w:top w:val="nil"/>
              <w:left w:val="nil"/>
              <w:bottom w:val="nil"/>
              <w:right w:val="nil"/>
            </w:tcBorders>
            <w:shd w:val="clear" w:color="auto" w:fill="auto"/>
            <w:vAlign w:val="center"/>
            <w:hideMark/>
          </w:tcPr>
          <w:p w14:paraId="779E4C38" w14:textId="4EEFC2F6" w:rsidR="00365207" w:rsidRPr="006A6F1F" w:rsidRDefault="00365207" w:rsidP="00365207">
            <w:pPr>
              <w:jc w:val="right"/>
              <w:rPr>
                <w:rFonts w:ascii="Arial" w:hAnsi="Arial" w:cs="Arial"/>
                <w:color w:val="000000" w:themeColor="text1"/>
                <w:sz w:val="19"/>
                <w:szCs w:val="19"/>
                <w:lang w:val="en-GB"/>
              </w:rPr>
            </w:pPr>
            <w:r>
              <w:rPr>
                <w:rFonts w:ascii="Arial" w:hAnsi="Arial" w:cs="Arial"/>
                <w:color w:val="000000"/>
                <w:sz w:val="18"/>
                <w:szCs w:val="18"/>
              </w:rPr>
              <w:t>381</w:t>
            </w:r>
          </w:p>
        </w:tc>
        <w:tc>
          <w:tcPr>
            <w:tcW w:w="755" w:type="dxa"/>
            <w:gridSpan w:val="2"/>
            <w:tcBorders>
              <w:top w:val="nil"/>
              <w:left w:val="nil"/>
              <w:bottom w:val="nil"/>
              <w:right w:val="nil"/>
            </w:tcBorders>
            <w:shd w:val="clear" w:color="auto" w:fill="auto"/>
            <w:vAlign w:val="center"/>
            <w:hideMark/>
          </w:tcPr>
          <w:p w14:paraId="0EDEE56D" w14:textId="1970FCCA" w:rsidR="00365207" w:rsidRPr="006A6F1F" w:rsidRDefault="00365207" w:rsidP="00365207">
            <w:pPr>
              <w:jc w:val="right"/>
              <w:rPr>
                <w:rFonts w:ascii="Arial" w:hAnsi="Arial" w:cs="Arial"/>
                <w:color w:val="000000" w:themeColor="text1"/>
                <w:sz w:val="19"/>
                <w:szCs w:val="19"/>
                <w:lang w:val="en-GB"/>
              </w:rPr>
            </w:pPr>
            <w:r>
              <w:rPr>
                <w:rFonts w:ascii="Arial" w:hAnsi="Arial" w:cs="Arial"/>
                <w:color w:val="000000"/>
                <w:sz w:val="18"/>
                <w:szCs w:val="18"/>
              </w:rPr>
              <w:t>394.8</w:t>
            </w:r>
          </w:p>
        </w:tc>
        <w:tc>
          <w:tcPr>
            <w:tcW w:w="755" w:type="dxa"/>
            <w:gridSpan w:val="3"/>
            <w:tcBorders>
              <w:top w:val="nil"/>
              <w:left w:val="nil"/>
              <w:bottom w:val="nil"/>
              <w:right w:val="nil"/>
            </w:tcBorders>
            <w:shd w:val="clear" w:color="auto" w:fill="auto"/>
            <w:vAlign w:val="center"/>
            <w:hideMark/>
          </w:tcPr>
          <w:p w14:paraId="18143B6D" w14:textId="42DFF7A5" w:rsidR="00365207" w:rsidRPr="006A6F1F" w:rsidRDefault="00365207" w:rsidP="00365207">
            <w:pPr>
              <w:jc w:val="right"/>
              <w:rPr>
                <w:rFonts w:ascii="Arial" w:hAnsi="Arial" w:cs="Arial"/>
                <w:color w:val="000000" w:themeColor="text1"/>
                <w:sz w:val="19"/>
                <w:szCs w:val="19"/>
                <w:lang w:val="en-GB"/>
              </w:rPr>
            </w:pPr>
            <w:r>
              <w:rPr>
                <w:rFonts w:ascii="Arial" w:hAnsi="Arial" w:cs="Arial"/>
                <w:color w:val="000000"/>
                <w:sz w:val="18"/>
                <w:szCs w:val="18"/>
              </w:rPr>
              <w:t>418.1</w:t>
            </w:r>
          </w:p>
        </w:tc>
        <w:tc>
          <w:tcPr>
            <w:tcW w:w="755" w:type="dxa"/>
            <w:gridSpan w:val="2"/>
            <w:tcBorders>
              <w:top w:val="nil"/>
              <w:left w:val="nil"/>
              <w:bottom w:val="nil"/>
              <w:right w:val="nil"/>
            </w:tcBorders>
            <w:shd w:val="clear" w:color="auto" w:fill="auto"/>
            <w:vAlign w:val="center"/>
            <w:hideMark/>
          </w:tcPr>
          <w:p w14:paraId="5B387A3F" w14:textId="301C1D3A" w:rsidR="00365207" w:rsidRPr="006A6F1F" w:rsidRDefault="00365207" w:rsidP="00365207">
            <w:pPr>
              <w:jc w:val="right"/>
              <w:rPr>
                <w:rFonts w:ascii="Arial" w:hAnsi="Arial" w:cs="Arial"/>
                <w:color w:val="000000" w:themeColor="text1"/>
                <w:sz w:val="19"/>
                <w:szCs w:val="19"/>
                <w:lang w:val="en-GB"/>
              </w:rPr>
            </w:pPr>
            <w:r>
              <w:rPr>
                <w:rFonts w:ascii="Arial" w:hAnsi="Arial" w:cs="Arial"/>
                <w:color w:val="000000"/>
                <w:sz w:val="18"/>
                <w:szCs w:val="18"/>
              </w:rPr>
              <w:t>427.9</w:t>
            </w:r>
          </w:p>
        </w:tc>
        <w:tc>
          <w:tcPr>
            <w:tcW w:w="755" w:type="dxa"/>
            <w:gridSpan w:val="4"/>
            <w:tcBorders>
              <w:top w:val="nil"/>
              <w:left w:val="nil"/>
              <w:bottom w:val="nil"/>
              <w:right w:val="nil"/>
            </w:tcBorders>
            <w:shd w:val="clear" w:color="auto" w:fill="auto"/>
            <w:vAlign w:val="center"/>
            <w:hideMark/>
          </w:tcPr>
          <w:p w14:paraId="20B69ED3" w14:textId="4B968A5F" w:rsidR="00365207" w:rsidRPr="006A6F1F" w:rsidRDefault="00365207" w:rsidP="00365207">
            <w:pPr>
              <w:jc w:val="right"/>
              <w:rPr>
                <w:rFonts w:ascii="Arial" w:hAnsi="Arial" w:cs="Arial"/>
                <w:color w:val="000000" w:themeColor="text1"/>
                <w:sz w:val="19"/>
                <w:szCs w:val="19"/>
                <w:lang w:val="en-GB"/>
              </w:rPr>
            </w:pPr>
            <w:r>
              <w:rPr>
                <w:rFonts w:ascii="Arial" w:hAnsi="Arial" w:cs="Arial"/>
                <w:color w:val="000000"/>
                <w:sz w:val="18"/>
                <w:szCs w:val="18"/>
              </w:rPr>
              <w:t>447.3</w:t>
            </w:r>
          </w:p>
        </w:tc>
      </w:tr>
      <w:tr w:rsidR="00365207" w:rsidRPr="006A6F1F" w14:paraId="651079FF" w14:textId="77777777" w:rsidTr="00365207">
        <w:trPr>
          <w:trHeight w:val="225"/>
          <w:jc w:val="center"/>
        </w:trPr>
        <w:tc>
          <w:tcPr>
            <w:tcW w:w="2553" w:type="dxa"/>
            <w:tcBorders>
              <w:top w:val="nil"/>
              <w:left w:val="nil"/>
              <w:bottom w:val="nil"/>
              <w:right w:val="nil"/>
            </w:tcBorders>
            <w:shd w:val="clear" w:color="auto" w:fill="auto"/>
            <w:noWrap/>
            <w:vAlign w:val="center"/>
            <w:hideMark/>
          </w:tcPr>
          <w:p w14:paraId="6D1EF694" w14:textId="0DFF7C3C" w:rsidR="00365207" w:rsidRPr="006A6F1F" w:rsidRDefault="00365207" w:rsidP="00365207">
            <w:pPr>
              <w:jc w:val="both"/>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Growth Rate</w:t>
            </w:r>
          </w:p>
        </w:tc>
        <w:tc>
          <w:tcPr>
            <w:tcW w:w="1166" w:type="dxa"/>
            <w:tcBorders>
              <w:top w:val="nil"/>
              <w:left w:val="nil"/>
              <w:bottom w:val="nil"/>
              <w:right w:val="nil"/>
            </w:tcBorders>
            <w:shd w:val="clear" w:color="auto" w:fill="auto"/>
            <w:vAlign w:val="center"/>
            <w:hideMark/>
          </w:tcPr>
          <w:p w14:paraId="57E67AE2" w14:textId="16450565" w:rsidR="00365207" w:rsidRPr="006A6F1F" w:rsidRDefault="00365207" w:rsidP="00365207">
            <w:pPr>
              <w:jc w:val="right"/>
              <w:rPr>
                <w:rFonts w:ascii="Arial" w:hAnsi="Arial" w:cs="Arial"/>
                <w:color w:val="000000" w:themeColor="text1"/>
                <w:sz w:val="19"/>
                <w:szCs w:val="19"/>
                <w:lang w:val="en-GB"/>
              </w:rPr>
            </w:pPr>
            <w:r>
              <w:rPr>
                <w:rFonts w:ascii="Arial" w:hAnsi="Arial" w:cs="Arial"/>
                <w:color w:val="000000"/>
                <w:sz w:val="18"/>
                <w:szCs w:val="18"/>
              </w:rPr>
              <w:t>7.7</w:t>
            </w:r>
          </w:p>
        </w:tc>
        <w:tc>
          <w:tcPr>
            <w:tcW w:w="755" w:type="dxa"/>
            <w:tcBorders>
              <w:top w:val="nil"/>
              <w:left w:val="nil"/>
              <w:bottom w:val="nil"/>
              <w:right w:val="nil"/>
            </w:tcBorders>
            <w:shd w:val="clear" w:color="auto" w:fill="auto"/>
            <w:vAlign w:val="center"/>
            <w:hideMark/>
          </w:tcPr>
          <w:p w14:paraId="40051854" w14:textId="413D9526" w:rsidR="00365207" w:rsidRPr="006A6F1F" w:rsidRDefault="00365207" w:rsidP="00365207">
            <w:pPr>
              <w:jc w:val="right"/>
              <w:rPr>
                <w:rFonts w:ascii="Arial" w:hAnsi="Arial" w:cs="Arial"/>
                <w:color w:val="000000" w:themeColor="text1"/>
                <w:sz w:val="19"/>
                <w:szCs w:val="19"/>
                <w:lang w:val="en-GB"/>
              </w:rPr>
            </w:pPr>
            <w:r>
              <w:rPr>
                <w:rFonts w:ascii="Arial" w:hAnsi="Arial" w:cs="Arial"/>
                <w:color w:val="000000"/>
                <w:sz w:val="18"/>
                <w:szCs w:val="18"/>
              </w:rPr>
              <w:t>4.7</w:t>
            </w:r>
          </w:p>
        </w:tc>
        <w:tc>
          <w:tcPr>
            <w:tcW w:w="755" w:type="dxa"/>
            <w:gridSpan w:val="2"/>
            <w:tcBorders>
              <w:top w:val="nil"/>
              <w:left w:val="nil"/>
              <w:bottom w:val="nil"/>
              <w:right w:val="nil"/>
            </w:tcBorders>
            <w:shd w:val="clear" w:color="auto" w:fill="auto"/>
            <w:vAlign w:val="center"/>
            <w:hideMark/>
          </w:tcPr>
          <w:p w14:paraId="1E831B65" w14:textId="0B0D5C91" w:rsidR="00365207" w:rsidRPr="006A6F1F" w:rsidRDefault="00365207" w:rsidP="00365207">
            <w:pPr>
              <w:jc w:val="right"/>
              <w:rPr>
                <w:rFonts w:ascii="Arial" w:hAnsi="Arial" w:cs="Arial"/>
                <w:color w:val="000000" w:themeColor="text1"/>
                <w:sz w:val="19"/>
                <w:szCs w:val="19"/>
                <w:lang w:val="en-GB"/>
              </w:rPr>
            </w:pPr>
            <w:r>
              <w:rPr>
                <w:rFonts w:ascii="Arial" w:hAnsi="Arial" w:cs="Arial"/>
                <w:color w:val="000000"/>
                <w:sz w:val="18"/>
                <w:szCs w:val="18"/>
              </w:rPr>
              <w:t>4.9</w:t>
            </w:r>
          </w:p>
        </w:tc>
        <w:tc>
          <w:tcPr>
            <w:tcW w:w="755" w:type="dxa"/>
            <w:gridSpan w:val="2"/>
            <w:tcBorders>
              <w:top w:val="nil"/>
              <w:left w:val="nil"/>
              <w:bottom w:val="nil"/>
              <w:right w:val="nil"/>
            </w:tcBorders>
            <w:shd w:val="clear" w:color="auto" w:fill="auto"/>
            <w:vAlign w:val="center"/>
            <w:hideMark/>
          </w:tcPr>
          <w:p w14:paraId="26BEB31B" w14:textId="4390C1FA" w:rsidR="00365207" w:rsidRPr="006A6F1F" w:rsidRDefault="00365207" w:rsidP="00365207">
            <w:pPr>
              <w:ind w:left="-117"/>
              <w:jc w:val="right"/>
              <w:rPr>
                <w:rFonts w:ascii="Arial" w:hAnsi="Arial" w:cs="Arial"/>
                <w:color w:val="000000" w:themeColor="text1"/>
                <w:sz w:val="19"/>
                <w:szCs w:val="19"/>
                <w:lang w:val="en-GB"/>
              </w:rPr>
            </w:pPr>
            <w:r>
              <w:rPr>
                <w:rFonts w:ascii="Arial" w:hAnsi="Arial" w:cs="Arial"/>
                <w:color w:val="000000"/>
                <w:sz w:val="18"/>
                <w:szCs w:val="18"/>
              </w:rPr>
              <w:t>3.6</w:t>
            </w:r>
          </w:p>
        </w:tc>
        <w:tc>
          <w:tcPr>
            <w:tcW w:w="755" w:type="dxa"/>
            <w:gridSpan w:val="3"/>
            <w:tcBorders>
              <w:top w:val="nil"/>
              <w:left w:val="nil"/>
              <w:bottom w:val="nil"/>
              <w:right w:val="nil"/>
            </w:tcBorders>
            <w:shd w:val="clear" w:color="auto" w:fill="auto"/>
            <w:vAlign w:val="center"/>
            <w:hideMark/>
          </w:tcPr>
          <w:p w14:paraId="7CE9DC3C" w14:textId="5B979EEA" w:rsidR="00365207" w:rsidRPr="006A6F1F" w:rsidRDefault="00365207" w:rsidP="00365207">
            <w:pPr>
              <w:ind w:left="-62"/>
              <w:jc w:val="right"/>
              <w:rPr>
                <w:rFonts w:ascii="Arial" w:hAnsi="Arial" w:cs="Arial"/>
                <w:color w:val="000000" w:themeColor="text1"/>
                <w:sz w:val="19"/>
                <w:szCs w:val="19"/>
                <w:lang w:val="en-GB"/>
              </w:rPr>
            </w:pPr>
            <w:r>
              <w:rPr>
                <w:rFonts w:ascii="Arial" w:hAnsi="Arial" w:cs="Arial"/>
                <w:color w:val="000000"/>
                <w:sz w:val="18"/>
                <w:szCs w:val="18"/>
              </w:rPr>
              <w:t>5.9</w:t>
            </w:r>
          </w:p>
        </w:tc>
        <w:tc>
          <w:tcPr>
            <w:tcW w:w="755" w:type="dxa"/>
            <w:gridSpan w:val="2"/>
            <w:tcBorders>
              <w:top w:val="nil"/>
              <w:left w:val="nil"/>
              <w:bottom w:val="nil"/>
              <w:right w:val="nil"/>
            </w:tcBorders>
            <w:shd w:val="clear" w:color="auto" w:fill="auto"/>
            <w:vAlign w:val="center"/>
            <w:hideMark/>
          </w:tcPr>
          <w:p w14:paraId="32B2EA4D" w14:textId="5594D466" w:rsidR="00365207" w:rsidRPr="006A6F1F" w:rsidRDefault="00365207" w:rsidP="00365207">
            <w:pPr>
              <w:jc w:val="right"/>
              <w:rPr>
                <w:rFonts w:ascii="Arial" w:hAnsi="Arial" w:cs="Arial"/>
                <w:color w:val="000000" w:themeColor="text1"/>
                <w:sz w:val="19"/>
                <w:szCs w:val="19"/>
                <w:lang w:val="en-GB"/>
              </w:rPr>
            </w:pPr>
            <w:r>
              <w:rPr>
                <w:rFonts w:ascii="Arial" w:hAnsi="Arial" w:cs="Arial"/>
                <w:color w:val="000000"/>
                <w:sz w:val="18"/>
                <w:szCs w:val="18"/>
              </w:rPr>
              <w:t>2.3</w:t>
            </w:r>
          </w:p>
        </w:tc>
        <w:tc>
          <w:tcPr>
            <w:tcW w:w="755" w:type="dxa"/>
            <w:gridSpan w:val="4"/>
            <w:tcBorders>
              <w:top w:val="nil"/>
              <w:left w:val="nil"/>
              <w:bottom w:val="nil"/>
              <w:right w:val="nil"/>
            </w:tcBorders>
            <w:shd w:val="clear" w:color="auto" w:fill="auto"/>
            <w:vAlign w:val="center"/>
            <w:hideMark/>
          </w:tcPr>
          <w:p w14:paraId="14D3533C" w14:textId="5F873439" w:rsidR="00365207" w:rsidRPr="006A6F1F" w:rsidRDefault="00365207" w:rsidP="00365207">
            <w:pPr>
              <w:jc w:val="right"/>
              <w:rPr>
                <w:rFonts w:ascii="Arial" w:hAnsi="Arial" w:cs="Arial"/>
                <w:color w:val="000000" w:themeColor="text1"/>
                <w:sz w:val="19"/>
                <w:szCs w:val="19"/>
                <w:lang w:val="en-GB"/>
              </w:rPr>
            </w:pPr>
            <w:r>
              <w:rPr>
                <w:rFonts w:ascii="Arial" w:hAnsi="Arial" w:cs="Arial"/>
                <w:color w:val="000000"/>
                <w:sz w:val="18"/>
                <w:szCs w:val="18"/>
              </w:rPr>
              <w:t>4.5</w:t>
            </w:r>
          </w:p>
        </w:tc>
      </w:tr>
      <w:tr w:rsidR="00365207" w:rsidRPr="006A6F1F" w14:paraId="0BC0B3BB" w14:textId="77777777" w:rsidTr="00976783">
        <w:trPr>
          <w:trHeight w:val="70"/>
          <w:jc w:val="center"/>
        </w:trPr>
        <w:tc>
          <w:tcPr>
            <w:tcW w:w="2553" w:type="dxa"/>
            <w:tcBorders>
              <w:top w:val="nil"/>
              <w:left w:val="nil"/>
              <w:bottom w:val="nil"/>
              <w:right w:val="nil"/>
            </w:tcBorders>
            <w:shd w:val="clear" w:color="auto" w:fill="auto"/>
            <w:noWrap/>
            <w:vAlign w:val="center"/>
            <w:hideMark/>
          </w:tcPr>
          <w:p w14:paraId="442525C5" w14:textId="77777777" w:rsidR="00365207" w:rsidRPr="006A6F1F" w:rsidRDefault="00365207" w:rsidP="00365207">
            <w:pPr>
              <w:rPr>
                <w:rFonts w:ascii="Arial" w:hAnsi="Arial" w:cs="Arial"/>
                <w:b/>
                <w:color w:val="000000" w:themeColor="text1"/>
                <w:sz w:val="19"/>
                <w:szCs w:val="19"/>
                <w:lang w:val="en-GB" w:eastAsia="zh-CN"/>
              </w:rPr>
            </w:pPr>
            <w:r w:rsidRPr="006A6F1F">
              <w:rPr>
                <w:rFonts w:ascii="Arial" w:hAnsi="Arial" w:cs="Arial"/>
                <w:b/>
                <w:color w:val="000000" w:themeColor="text1"/>
                <w:sz w:val="19"/>
                <w:szCs w:val="19"/>
                <w:lang w:val="en-GB" w:eastAsia="zh-CN"/>
              </w:rPr>
              <w:t>Accommodation and Food Industry</w:t>
            </w:r>
            <w:r w:rsidRPr="006A6F1F">
              <w:rPr>
                <w:rFonts w:ascii="Arial" w:hAnsi="Arial" w:cs="Arial"/>
                <w:color w:val="000000" w:themeColor="text1"/>
                <w:sz w:val="19"/>
                <w:szCs w:val="19"/>
                <w:vertAlign w:val="superscript"/>
                <w:lang w:val="en-GB" w:eastAsia="zh-CN"/>
              </w:rPr>
              <w:t>1</w:t>
            </w:r>
          </w:p>
        </w:tc>
        <w:tc>
          <w:tcPr>
            <w:tcW w:w="1166" w:type="dxa"/>
            <w:tcBorders>
              <w:top w:val="nil"/>
              <w:left w:val="nil"/>
              <w:bottom w:val="nil"/>
              <w:right w:val="nil"/>
            </w:tcBorders>
            <w:shd w:val="clear" w:color="auto" w:fill="auto"/>
            <w:vAlign w:val="center"/>
          </w:tcPr>
          <w:p w14:paraId="6026D340" w14:textId="35BAEF31" w:rsidR="00365207" w:rsidRPr="006A6F1F" w:rsidRDefault="00365207" w:rsidP="00365207">
            <w:pPr>
              <w:jc w:val="right"/>
              <w:rPr>
                <w:rFonts w:ascii="Arial" w:hAnsi="Arial" w:cs="Arial"/>
                <w:b/>
                <w:color w:val="000000" w:themeColor="text1"/>
                <w:sz w:val="19"/>
                <w:szCs w:val="19"/>
                <w:lang w:val="en-GB" w:eastAsia="zh-CN"/>
              </w:rPr>
            </w:pPr>
          </w:p>
        </w:tc>
        <w:tc>
          <w:tcPr>
            <w:tcW w:w="755" w:type="dxa"/>
            <w:tcBorders>
              <w:top w:val="nil"/>
              <w:left w:val="nil"/>
              <w:bottom w:val="nil"/>
              <w:right w:val="nil"/>
            </w:tcBorders>
            <w:shd w:val="clear" w:color="auto" w:fill="auto"/>
            <w:vAlign w:val="center"/>
          </w:tcPr>
          <w:p w14:paraId="4C83328A" w14:textId="054EA920" w:rsidR="00365207" w:rsidRPr="006A6F1F" w:rsidRDefault="00365207" w:rsidP="00365207">
            <w:pPr>
              <w:jc w:val="right"/>
              <w:rPr>
                <w:rFonts w:ascii="Arial" w:hAnsi="Arial" w:cs="Arial"/>
                <w:b/>
                <w:color w:val="000000" w:themeColor="text1"/>
                <w:sz w:val="19"/>
                <w:szCs w:val="19"/>
                <w:lang w:val="en-GB" w:eastAsia="zh-CN"/>
              </w:rPr>
            </w:pPr>
          </w:p>
        </w:tc>
        <w:tc>
          <w:tcPr>
            <w:tcW w:w="755" w:type="dxa"/>
            <w:gridSpan w:val="2"/>
            <w:tcBorders>
              <w:top w:val="nil"/>
              <w:left w:val="nil"/>
              <w:bottom w:val="nil"/>
              <w:right w:val="nil"/>
            </w:tcBorders>
            <w:shd w:val="clear" w:color="auto" w:fill="auto"/>
            <w:vAlign w:val="center"/>
          </w:tcPr>
          <w:p w14:paraId="6036AE60" w14:textId="544F67D1" w:rsidR="00365207" w:rsidRPr="006A6F1F" w:rsidRDefault="00365207" w:rsidP="00365207">
            <w:pPr>
              <w:jc w:val="right"/>
              <w:rPr>
                <w:rFonts w:ascii="Arial" w:hAnsi="Arial" w:cs="Arial"/>
                <w:b/>
                <w:color w:val="000000" w:themeColor="text1"/>
                <w:sz w:val="19"/>
                <w:szCs w:val="19"/>
                <w:lang w:val="en-GB" w:eastAsia="zh-CN"/>
              </w:rPr>
            </w:pPr>
          </w:p>
        </w:tc>
        <w:tc>
          <w:tcPr>
            <w:tcW w:w="755" w:type="dxa"/>
            <w:gridSpan w:val="2"/>
            <w:tcBorders>
              <w:top w:val="nil"/>
              <w:left w:val="nil"/>
              <w:bottom w:val="nil"/>
              <w:right w:val="nil"/>
            </w:tcBorders>
            <w:shd w:val="clear" w:color="auto" w:fill="auto"/>
            <w:vAlign w:val="center"/>
          </w:tcPr>
          <w:p w14:paraId="2CCC7557" w14:textId="37FBDCB9" w:rsidR="00365207" w:rsidRPr="006A6F1F" w:rsidRDefault="00365207" w:rsidP="00365207">
            <w:pPr>
              <w:jc w:val="right"/>
              <w:rPr>
                <w:rFonts w:ascii="Arial" w:hAnsi="Arial" w:cs="Arial"/>
                <w:b/>
                <w:color w:val="000000" w:themeColor="text1"/>
                <w:sz w:val="19"/>
                <w:szCs w:val="19"/>
                <w:lang w:val="en-GB" w:eastAsia="zh-CN"/>
              </w:rPr>
            </w:pPr>
          </w:p>
        </w:tc>
        <w:tc>
          <w:tcPr>
            <w:tcW w:w="755" w:type="dxa"/>
            <w:gridSpan w:val="3"/>
            <w:tcBorders>
              <w:top w:val="nil"/>
              <w:left w:val="nil"/>
              <w:bottom w:val="nil"/>
              <w:right w:val="nil"/>
            </w:tcBorders>
            <w:shd w:val="clear" w:color="auto" w:fill="auto"/>
            <w:vAlign w:val="center"/>
          </w:tcPr>
          <w:p w14:paraId="3ABE43A0" w14:textId="38EEB0A8" w:rsidR="00365207" w:rsidRPr="006A6F1F" w:rsidRDefault="00365207" w:rsidP="00365207">
            <w:pPr>
              <w:jc w:val="right"/>
              <w:rPr>
                <w:rFonts w:ascii="Arial" w:hAnsi="Arial" w:cs="Arial"/>
                <w:b/>
                <w:color w:val="000000" w:themeColor="text1"/>
                <w:sz w:val="19"/>
                <w:szCs w:val="19"/>
                <w:lang w:val="en-GB" w:eastAsia="zh-CN"/>
              </w:rPr>
            </w:pPr>
          </w:p>
        </w:tc>
        <w:tc>
          <w:tcPr>
            <w:tcW w:w="755" w:type="dxa"/>
            <w:gridSpan w:val="2"/>
            <w:tcBorders>
              <w:top w:val="nil"/>
              <w:left w:val="nil"/>
              <w:bottom w:val="nil"/>
              <w:right w:val="nil"/>
            </w:tcBorders>
            <w:shd w:val="clear" w:color="auto" w:fill="auto"/>
            <w:vAlign w:val="center"/>
          </w:tcPr>
          <w:p w14:paraId="303533BB" w14:textId="28F422FB" w:rsidR="00365207" w:rsidRPr="006A6F1F" w:rsidRDefault="00365207" w:rsidP="00365207">
            <w:pPr>
              <w:jc w:val="right"/>
              <w:rPr>
                <w:rFonts w:ascii="Arial" w:hAnsi="Arial" w:cs="Arial"/>
                <w:b/>
                <w:color w:val="000000" w:themeColor="text1"/>
                <w:sz w:val="19"/>
                <w:szCs w:val="19"/>
                <w:lang w:val="en-GB" w:eastAsia="zh-CN"/>
              </w:rPr>
            </w:pPr>
          </w:p>
        </w:tc>
        <w:tc>
          <w:tcPr>
            <w:tcW w:w="755" w:type="dxa"/>
            <w:gridSpan w:val="4"/>
            <w:tcBorders>
              <w:top w:val="nil"/>
              <w:left w:val="nil"/>
              <w:bottom w:val="nil"/>
              <w:right w:val="nil"/>
            </w:tcBorders>
            <w:shd w:val="clear" w:color="auto" w:fill="auto"/>
            <w:vAlign w:val="center"/>
          </w:tcPr>
          <w:p w14:paraId="040E6846" w14:textId="0F3615EF" w:rsidR="00365207" w:rsidRPr="006A6F1F" w:rsidRDefault="00365207" w:rsidP="00365207">
            <w:pPr>
              <w:jc w:val="right"/>
              <w:rPr>
                <w:rFonts w:ascii="Arial" w:hAnsi="Arial" w:cs="Arial"/>
                <w:b/>
                <w:color w:val="000000" w:themeColor="text1"/>
                <w:sz w:val="19"/>
                <w:szCs w:val="19"/>
                <w:lang w:val="en-GB" w:eastAsia="zh-CN"/>
              </w:rPr>
            </w:pPr>
          </w:p>
        </w:tc>
      </w:tr>
      <w:tr w:rsidR="00365207" w:rsidRPr="006A6F1F" w14:paraId="78DD942F" w14:textId="77777777" w:rsidTr="00365207">
        <w:trPr>
          <w:trHeight w:val="225"/>
          <w:jc w:val="center"/>
        </w:trPr>
        <w:tc>
          <w:tcPr>
            <w:tcW w:w="2553" w:type="dxa"/>
            <w:tcBorders>
              <w:top w:val="nil"/>
              <w:left w:val="nil"/>
              <w:bottom w:val="nil"/>
              <w:right w:val="nil"/>
            </w:tcBorders>
            <w:shd w:val="clear" w:color="auto" w:fill="auto"/>
            <w:noWrap/>
            <w:vAlign w:val="center"/>
            <w:hideMark/>
          </w:tcPr>
          <w:p w14:paraId="7ABBBC6F" w14:textId="77777777" w:rsidR="00365207" w:rsidRPr="006A6F1F" w:rsidRDefault="00365207" w:rsidP="00E66870">
            <w:pPr>
              <w:jc w:val="both"/>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SG$ Billions</w:t>
            </w:r>
          </w:p>
        </w:tc>
        <w:tc>
          <w:tcPr>
            <w:tcW w:w="1166" w:type="dxa"/>
            <w:tcBorders>
              <w:top w:val="nil"/>
              <w:left w:val="nil"/>
              <w:bottom w:val="nil"/>
              <w:right w:val="nil"/>
            </w:tcBorders>
            <w:shd w:val="clear" w:color="auto" w:fill="auto"/>
            <w:vAlign w:val="center"/>
            <w:hideMark/>
          </w:tcPr>
          <w:p w14:paraId="0F38F4AD" w14:textId="77777777" w:rsidR="00365207" w:rsidRPr="006A6F1F" w:rsidRDefault="00365207" w:rsidP="00E66870">
            <w:pPr>
              <w:jc w:val="right"/>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6.98</w:t>
            </w:r>
          </w:p>
        </w:tc>
        <w:tc>
          <w:tcPr>
            <w:tcW w:w="755" w:type="dxa"/>
            <w:tcBorders>
              <w:top w:val="nil"/>
              <w:left w:val="nil"/>
              <w:bottom w:val="nil"/>
              <w:right w:val="nil"/>
            </w:tcBorders>
            <w:shd w:val="clear" w:color="auto" w:fill="auto"/>
            <w:vAlign w:val="center"/>
            <w:hideMark/>
          </w:tcPr>
          <w:p w14:paraId="170F3830" w14:textId="77777777" w:rsidR="00365207" w:rsidRPr="006A6F1F" w:rsidRDefault="00365207" w:rsidP="00E66870">
            <w:pPr>
              <w:jc w:val="right"/>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7.48</w:t>
            </w:r>
          </w:p>
        </w:tc>
        <w:tc>
          <w:tcPr>
            <w:tcW w:w="755" w:type="dxa"/>
            <w:gridSpan w:val="2"/>
            <w:tcBorders>
              <w:top w:val="nil"/>
              <w:left w:val="nil"/>
              <w:bottom w:val="nil"/>
              <w:right w:val="nil"/>
            </w:tcBorders>
            <w:shd w:val="clear" w:color="auto" w:fill="auto"/>
            <w:vAlign w:val="center"/>
            <w:hideMark/>
          </w:tcPr>
          <w:p w14:paraId="3DEB4AC7" w14:textId="77777777" w:rsidR="00365207" w:rsidRPr="006A6F1F" w:rsidRDefault="00365207" w:rsidP="00E66870">
            <w:pPr>
              <w:jc w:val="right"/>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7.80</w:t>
            </w:r>
          </w:p>
        </w:tc>
        <w:tc>
          <w:tcPr>
            <w:tcW w:w="755" w:type="dxa"/>
            <w:gridSpan w:val="2"/>
            <w:tcBorders>
              <w:top w:val="nil"/>
              <w:left w:val="nil"/>
              <w:bottom w:val="nil"/>
              <w:right w:val="nil"/>
            </w:tcBorders>
            <w:shd w:val="clear" w:color="auto" w:fill="auto"/>
            <w:vAlign w:val="center"/>
            <w:hideMark/>
          </w:tcPr>
          <w:p w14:paraId="06A076C2" w14:textId="77777777" w:rsidR="00365207" w:rsidRPr="006A6F1F" w:rsidRDefault="00365207" w:rsidP="00E66870">
            <w:pPr>
              <w:jc w:val="right"/>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8.23</w:t>
            </w:r>
          </w:p>
        </w:tc>
        <w:tc>
          <w:tcPr>
            <w:tcW w:w="755" w:type="dxa"/>
            <w:gridSpan w:val="3"/>
            <w:tcBorders>
              <w:top w:val="nil"/>
              <w:left w:val="nil"/>
              <w:bottom w:val="nil"/>
              <w:right w:val="nil"/>
            </w:tcBorders>
            <w:shd w:val="clear" w:color="auto" w:fill="auto"/>
            <w:vAlign w:val="center"/>
            <w:hideMark/>
          </w:tcPr>
          <w:p w14:paraId="54F8A85F" w14:textId="77777777" w:rsidR="00365207" w:rsidRPr="006A6F1F" w:rsidRDefault="00365207" w:rsidP="00E66870">
            <w:pPr>
              <w:jc w:val="right"/>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8.34</w:t>
            </w:r>
          </w:p>
        </w:tc>
        <w:tc>
          <w:tcPr>
            <w:tcW w:w="755" w:type="dxa"/>
            <w:gridSpan w:val="2"/>
            <w:tcBorders>
              <w:top w:val="nil"/>
              <w:left w:val="nil"/>
              <w:bottom w:val="nil"/>
              <w:right w:val="nil"/>
            </w:tcBorders>
            <w:shd w:val="clear" w:color="auto" w:fill="auto"/>
            <w:vAlign w:val="center"/>
            <w:hideMark/>
          </w:tcPr>
          <w:p w14:paraId="626031AE" w14:textId="77777777" w:rsidR="00365207" w:rsidRPr="006A6F1F" w:rsidRDefault="00365207" w:rsidP="00E66870">
            <w:pPr>
              <w:jc w:val="right"/>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8.72</w:t>
            </w:r>
          </w:p>
        </w:tc>
        <w:tc>
          <w:tcPr>
            <w:tcW w:w="755" w:type="dxa"/>
            <w:gridSpan w:val="4"/>
            <w:tcBorders>
              <w:top w:val="nil"/>
              <w:left w:val="nil"/>
              <w:bottom w:val="nil"/>
              <w:right w:val="nil"/>
            </w:tcBorders>
            <w:shd w:val="clear" w:color="auto" w:fill="auto"/>
            <w:vAlign w:val="center"/>
            <w:hideMark/>
          </w:tcPr>
          <w:p w14:paraId="1F5ED301" w14:textId="77777777" w:rsidR="00365207" w:rsidRPr="006A6F1F" w:rsidRDefault="00365207" w:rsidP="00E66870">
            <w:pPr>
              <w:jc w:val="right"/>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8.86</w:t>
            </w:r>
          </w:p>
        </w:tc>
      </w:tr>
      <w:tr w:rsidR="00365207" w:rsidRPr="006A6F1F" w14:paraId="13DEF1B2" w14:textId="77777777" w:rsidTr="00365207">
        <w:trPr>
          <w:trHeight w:val="225"/>
          <w:jc w:val="center"/>
        </w:trPr>
        <w:tc>
          <w:tcPr>
            <w:tcW w:w="2553" w:type="dxa"/>
            <w:tcBorders>
              <w:top w:val="nil"/>
              <w:left w:val="nil"/>
              <w:bottom w:val="nil"/>
              <w:right w:val="nil"/>
            </w:tcBorders>
            <w:shd w:val="clear" w:color="auto" w:fill="auto"/>
            <w:noWrap/>
            <w:vAlign w:val="center"/>
            <w:hideMark/>
          </w:tcPr>
          <w:p w14:paraId="678AC6E2" w14:textId="77777777" w:rsidR="00365207" w:rsidRPr="006A6F1F" w:rsidRDefault="00365207" w:rsidP="00E66870">
            <w:pPr>
              <w:jc w:val="both"/>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Growth Rate</w:t>
            </w:r>
          </w:p>
        </w:tc>
        <w:tc>
          <w:tcPr>
            <w:tcW w:w="1166" w:type="dxa"/>
            <w:tcBorders>
              <w:top w:val="nil"/>
              <w:left w:val="nil"/>
              <w:bottom w:val="nil"/>
              <w:right w:val="nil"/>
            </w:tcBorders>
            <w:shd w:val="clear" w:color="auto" w:fill="auto"/>
            <w:vAlign w:val="center"/>
            <w:hideMark/>
          </w:tcPr>
          <w:p w14:paraId="51FCB706" w14:textId="77777777" w:rsidR="00365207" w:rsidRPr="006A6F1F" w:rsidRDefault="00365207" w:rsidP="00E66870">
            <w:pPr>
              <w:jc w:val="right"/>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17.95%</w:t>
            </w:r>
          </w:p>
        </w:tc>
        <w:tc>
          <w:tcPr>
            <w:tcW w:w="755" w:type="dxa"/>
            <w:tcBorders>
              <w:top w:val="nil"/>
              <w:left w:val="nil"/>
              <w:bottom w:val="nil"/>
              <w:right w:val="nil"/>
            </w:tcBorders>
            <w:shd w:val="clear" w:color="auto" w:fill="auto"/>
            <w:vAlign w:val="center"/>
            <w:hideMark/>
          </w:tcPr>
          <w:p w14:paraId="670642BC" w14:textId="77777777" w:rsidR="00365207" w:rsidRPr="006A6F1F" w:rsidRDefault="00365207" w:rsidP="00E66870">
            <w:pPr>
              <w:jc w:val="right"/>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7.13%</w:t>
            </w:r>
          </w:p>
        </w:tc>
        <w:tc>
          <w:tcPr>
            <w:tcW w:w="755" w:type="dxa"/>
            <w:gridSpan w:val="2"/>
            <w:tcBorders>
              <w:top w:val="nil"/>
              <w:left w:val="nil"/>
              <w:bottom w:val="nil"/>
              <w:right w:val="nil"/>
            </w:tcBorders>
            <w:shd w:val="clear" w:color="auto" w:fill="auto"/>
            <w:vAlign w:val="center"/>
            <w:hideMark/>
          </w:tcPr>
          <w:p w14:paraId="763B132A" w14:textId="77777777" w:rsidR="00365207" w:rsidRPr="006A6F1F" w:rsidRDefault="00365207" w:rsidP="00E66870">
            <w:pPr>
              <w:jc w:val="right"/>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4.21%</w:t>
            </w:r>
          </w:p>
        </w:tc>
        <w:tc>
          <w:tcPr>
            <w:tcW w:w="755" w:type="dxa"/>
            <w:gridSpan w:val="2"/>
            <w:tcBorders>
              <w:top w:val="nil"/>
              <w:left w:val="nil"/>
              <w:bottom w:val="nil"/>
              <w:right w:val="nil"/>
            </w:tcBorders>
            <w:shd w:val="clear" w:color="auto" w:fill="auto"/>
            <w:vAlign w:val="center"/>
            <w:hideMark/>
          </w:tcPr>
          <w:p w14:paraId="535B2F89" w14:textId="77777777" w:rsidR="00365207" w:rsidRPr="006A6F1F" w:rsidRDefault="00365207" w:rsidP="00E66870">
            <w:pPr>
              <w:jc w:val="right"/>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5.49%</w:t>
            </w:r>
          </w:p>
        </w:tc>
        <w:tc>
          <w:tcPr>
            <w:tcW w:w="755" w:type="dxa"/>
            <w:gridSpan w:val="3"/>
            <w:tcBorders>
              <w:top w:val="nil"/>
              <w:left w:val="nil"/>
              <w:bottom w:val="nil"/>
              <w:right w:val="nil"/>
            </w:tcBorders>
            <w:shd w:val="clear" w:color="auto" w:fill="auto"/>
            <w:vAlign w:val="center"/>
            <w:hideMark/>
          </w:tcPr>
          <w:p w14:paraId="6C3B8F95" w14:textId="77777777" w:rsidR="00365207" w:rsidRPr="006A6F1F" w:rsidRDefault="00365207" w:rsidP="00E66870">
            <w:pPr>
              <w:jc w:val="right"/>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1.40%</w:t>
            </w:r>
          </w:p>
        </w:tc>
        <w:tc>
          <w:tcPr>
            <w:tcW w:w="755" w:type="dxa"/>
            <w:gridSpan w:val="2"/>
            <w:tcBorders>
              <w:top w:val="nil"/>
              <w:left w:val="nil"/>
              <w:bottom w:val="nil"/>
              <w:right w:val="nil"/>
            </w:tcBorders>
            <w:shd w:val="clear" w:color="auto" w:fill="auto"/>
            <w:vAlign w:val="center"/>
            <w:hideMark/>
          </w:tcPr>
          <w:p w14:paraId="440027C9" w14:textId="77777777" w:rsidR="00365207" w:rsidRPr="006A6F1F" w:rsidRDefault="00365207" w:rsidP="00E66870">
            <w:pPr>
              <w:jc w:val="right"/>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4.54%</w:t>
            </w:r>
          </w:p>
        </w:tc>
        <w:tc>
          <w:tcPr>
            <w:tcW w:w="755" w:type="dxa"/>
            <w:gridSpan w:val="4"/>
            <w:tcBorders>
              <w:top w:val="nil"/>
              <w:left w:val="nil"/>
              <w:bottom w:val="nil"/>
              <w:right w:val="nil"/>
            </w:tcBorders>
            <w:shd w:val="clear" w:color="auto" w:fill="auto"/>
            <w:vAlign w:val="center"/>
            <w:hideMark/>
          </w:tcPr>
          <w:p w14:paraId="55033025" w14:textId="77777777" w:rsidR="00365207" w:rsidRPr="006A6F1F" w:rsidRDefault="00365207" w:rsidP="00E66870">
            <w:pPr>
              <w:jc w:val="right"/>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1.57%</w:t>
            </w:r>
          </w:p>
        </w:tc>
      </w:tr>
      <w:tr w:rsidR="00365207" w:rsidRPr="006A6F1F" w14:paraId="6C4B8AEA" w14:textId="77777777" w:rsidTr="00365207">
        <w:trPr>
          <w:trHeight w:val="225"/>
          <w:jc w:val="center"/>
        </w:trPr>
        <w:tc>
          <w:tcPr>
            <w:tcW w:w="2553" w:type="dxa"/>
            <w:tcBorders>
              <w:top w:val="nil"/>
              <w:left w:val="nil"/>
              <w:bottom w:val="nil"/>
              <w:right w:val="nil"/>
            </w:tcBorders>
            <w:shd w:val="clear" w:color="auto" w:fill="auto"/>
            <w:noWrap/>
            <w:vAlign w:val="center"/>
            <w:hideMark/>
          </w:tcPr>
          <w:p w14:paraId="6AEAFE39" w14:textId="77777777" w:rsidR="00365207" w:rsidRPr="006A6F1F" w:rsidRDefault="00365207" w:rsidP="00E66870">
            <w:pPr>
              <w:rPr>
                <w:rFonts w:ascii="Arial" w:hAnsi="Arial" w:cs="Arial"/>
                <w:color w:val="000000" w:themeColor="text1"/>
                <w:sz w:val="19"/>
                <w:szCs w:val="19"/>
                <w:lang w:val="en-GB" w:eastAsia="zh-CN"/>
              </w:rPr>
            </w:pPr>
          </w:p>
        </w:tc>
        <w:tc>
          <w:tcPr>
            <w:tcW w:w="1166" w:type="dxa"/>
            <w:tcBorders>
              <w:top w:val="nil"/>
              <w:left w:val="nil"/>
              <w:bottom w:val="nil"/>
              <w:right w:val="nil"/>
            </w:tcBorders>
            <w:shd w:val="clear" w:color="auto" w:fill="auto"/>
            <w:vAlign w:val="center"/>
            <w:hideMark/>
          </w:tcPr>
          <w:p w14:paraId="5427B243" w14:textId="77777777" w:rsidR="00365207" w:rsidRPr="006A6F1F" w:rsidRDefault="00365207" w:rsidP="00E66870">
            <w:pPr>
              <w:jc w:val="right"/>
              <w:rPr>
                <w:rFonts w:ascii="Arial" w:hAnsi="Arial" w:cs="Arial"/>
                <w:color w:val="000000" w:themeColor="text1"/>
                <w:sz w:val="19"/>
                <w:szCs w:val="19"/>
                <w:lang w:val="en-GB" w:eastAsia="zh-CN"/>
              </w:rPr>
            </w:pPr>
          </w:p>
        </w:tc>
        <w:tc>
          <w:tcPr>
            <w:tcW w:w="755" w:type="dxa"/>
            <w:tcBorders>
              <w:top w:val="nil"/>
              <w:left w:val="nil"/>
              <w:bottom w:val="nil"/>
              <w:right w:val="nil"/>
            </w:tcBorders>
            <w:shd w:val="clear" w:color="auto" w:fill="auto"/>
            <w:vAlign w:val="center"/>
            <w:hideMark/>
          </w:tcPr>
          <w:p w14:paraId="11EEA15D" w14:textId="77777777" w:rsidR="00365207" w:rsidRPr="006A6F1F" w:rsidRDefault="00365207" w:rsidP="00E66870">
            <w:pPr>
              <w:jc w:val="right"/>
              <w:rPr>
                <w:rFonts w:ascii="Arial" w:hAnsi="Arial" w:cs="Arial"/>
                <w:color w:val="000000" w:themeColor="text1"/>
                <w:sz w:val="19"/>
                <w:szCs w:val="19"/>
                <w:lang w:val="en-GB" w:eastAsia="zh-CN"/>
              </w:rPr>
            </w:pPr>
          </w:p>
        </w:tc>
        <w:tc>
          <w:tcPr>
            <w:tcW w:w="755" w:type="dxa"/>
            <w:gridSpan w:val="2"/>
            <w:tcBorders>
              <w:top w:val="nil"/>
              <w:left w:val="nil"/>
              <w:bottom w:val="nil"/>
              <w:right w:val="nil"/>
            </w:tcBorders>
            <w:shd w:val="clear" w:color="auto" w:fill="auto"/>
            <w:vAlign w:val="center"/>
            <w:hideMark/>
          </w:tcPr>
          <w:p w14:paraId="0AB12B47" w14:textId="77777777" w:rsidR="00365207" w:rsidRPr="006A6F1F" w:rsidRDefault="00365207" w:rsidP="00E66870">
            <w:pPr>
              <w:jc w:val="right"/>
              <w:rPr>
                <w:rFonts w:ascii="Arial" w:hAnsi="Arial" w:cs="Arial"/>
                <w:color w:val="000000" w:themeColor="text1"/>
                <w:sz w:val="19"/>
                <w:szCs w:val="19"/>
                <w:lang w:val="en-GB" w:eastAsia="zh-CN"/>
              </w:rPr>
            </w:pPr>
          </w:p>
        </w:tc>
        <w:tc>
          <w:tcPr>
            <w:tcW w:w="755" w:type="dxa"/>
            <w:gridSpan w:val="2"/>
            <w:tcBorders>
              <w:top w:val="nil"/>
              <w:left w:val="nil"/>
              <w:bottom w:val="nil"/>
              <w:right w:val="nil"/>
            </w:tcBorders>
            <w:shd w:val="clear" w:color="auto" w:fill="auto"/>
            <w:vAlign w:val="center"/>
            <w:hideMark/>
          </w:tcPr>
          <w:p w14:paraId="49D60900" w14:textId="77777777" w:rsidR="00365207" w:rsidRPr="006A6F1F" w:rsidRDefault="00365207" w:rsidP="00E66870">
            <w:pPr>
              <w:jc w:val="right"/>
              <w:rPr>
                <w:rFonts w:ascii="Arial" w:hAnsi="Arial" w:cs="Arial"/>
                <w:color w:val="000000" w:themeColor="text1"/>
                <w:sz w:val="19"/>
                <w:szCs w:val="19"/>
                <w:lang w:val="en-GB" w:eastAsia="zh-CN"/>
              </w:rPr>
            </w:pPr>
          </w:p>
        </w:tc>
        <w:tc>
          <w:tcPr>
            <w:tcW w:w="755" w:type="dxa"/>
            <w:gridSpan w:val="3"/>
            <w:tcBorders>
              <w:top w:val="nil"/>
              <w:left w:val="nil"/>
              <w:bottom w:val="nil"/>
              <w:right w:val="nil"/>
            </w:tcBorders>
            <w:shd w:val="clear" w:color="auto" w:fill="auto"/>
            <w:vAlign w:val="center"/>
            <w:hideMark/>
          </w:tcPr>
          <w:p w14:paraId="33242668" w14:textId="77777777" w:rsidR="00365207" w:rsidRPr="006A6F1F" w:rsidRDefault="00365207" w:rsidP="00E66870">
            <w:pPr>
              <w:jc w:val="right"/>
              <w:rPr>
                <w:rFonts w:ascii="Arial" w:hAnsi="Arial" w:cs="Arial"/>
                <w:color w:val="000000" w:themeColor="text1"/>
                <w:sz w:val="19"/>
                <w:szCs w:val="19"/>
                <w:lang w:val="en-GB" w:eastAsia="zh-CN"/>
              </w:rPr>
            </w:pPr>
          </w:p>
        </w:tc>
        <w:tc>
          <w:tcPr>
            <w:tcW w:w="755" w:type="dxa"/>
            <w:gridSpan w:val="2"/>
            <w:tcBorders>
              <w:top w:val="nil"/>
              <w:left w:val="nil"/>
              <w:bottom w:val="nil"/>
              <w:right w:val="nil"/>
            </w:tcBorders>
            <w:shd w:val="clear" w:color="auto" w:fill="auto"/>
            <w:vAlign w:val="center"/>
            <w:hideMark/>
          </w:tcPr>
          <w:p w14:paraId="0CE242B8" w14:textId="77777777" w:rsidR="00365207" w:rsidRPr="006A6F1F" w:rsidRDefault="00365207" w:rsidP="00E66870">
            <w:pPr>
              <w:jc w:val="right"/>
              <w:rPr>
                <w:rFonts w:ascii="Arial" w:hAnsi="Arial" w:cs="Arial"/>
                <w:color w:val="000000" w:themeColor="text1"/>
                <w:sz w:val="19"/>
                <w:szCs w:val="19"/>
                <w:lang w:val="en-GB" w:eastAsia="zh-CN"/>
              </w:rPr>
            </w:pPr>
          </w:p>
        </w:tc>
        <w:tc>
          <w:tcPr>
            <w:tcW w:w="755" w:type="dxa"/>
            <w:gridSpan w:val="4"/>
            <w:tcBorders>
              <w:top w:val="nil"/>
              <w:left w:val="nil"/>
              <w:bottom w:val="nil"/>
              <w:right w:val="nil"/>
            </w:tcBorders>
            <w:shd w:val="clear" w:color="auto" w:fill="auto"/>
            <w:vAlign w:val="center"/>
            <w:hideMark/>
          </w:tcPr>
          <w:p w14:paraId="5F2645A3" w14:textId="77777777" w:rsidR="00365207" w:rsidRPr="006A6F1F" w:rsidRDefault="00365207" w:rsidP="00E66870">
            <w:pPr>
              <w:jc w:val="right"/>
              <w:rPr>
                <w:rFonts w:ascii="Arial" w:hAnsi="Arial" w:cs="Arial"/>
                <w:color w:val="000000" w:themeColor="text1"/>
                <w:sz w:val="19"/>
                <w:szCs w:val="19"/>
                <w:lang w:val="en-GB" w:eastAsia="zh-CN"/>
              </w:rPr>
            </w:pPr>
          </w:p>
        </w:tc>
      </w:tr>
      <w:tr w:rsidR="00365207" w:rsidRPr="006A6F1F" w14:paraId="4EE72A16" w14:textId="77777777" w:rsidTr="00365207">
        <w:trPr>
          <w:trHeight w:val="225"/>
          <w:jc w:val="center"/>
        </w:trPr>
        <w:tc>
          <w:tcPr>
            <w:tcW w:w="2553" w:type="dxa"/>
            <w:tcBorders>
              <w:top w:val="nil"/>
              <w:left w:val="nil"/>
              <w:bottom w:val="nil"/>
              <w:right w:val="nil"/>
            </w:tcBorders>
            <w:shd w:val="clear" w:color="auto" w:fill="auto"/>
            <w:noWrap/>
            <w:vAlign w:val="center"/>
            <w:hideMark/>
          </w:tcPr>
          <w:p w14:paraId="291D2726" w14:textId="77777777" w:rsidR="00365207" w:rsidRPr="006A6F1F" w:rsidRDefault="00365207" w:rsidP="00E66870">
            <w:pPr>
              <w:jc w:val="both"/>
              <w:rPr>
                <w:rFonts w:ascii="Arial" w:hAnsi="Arial" w:cs="Arial"/>
                <w:b/>
                <w:color w:val="000000" w:themeColor="text1"/>
                <w:sz w:val="19"/>
                <w:szCs w:val="19"/>
                <w:lang w:val="en-GB" w:eastAsia="zh-CN"/>
              </w:rPr>
            </w:pPr>
            <w:r w:rsidRPr="006A6F1F">
              <w:rPr>
                <w:rFonts w:ascii="Arial" w:hAnsi="Arial" w:cs="Arial"/>
                <w:b/>
                <w:color w:val="000000" w:themeColor="text1"/>
                <w:sz w:val="19"/>
                <w:szCs w:val="19"/>
                <w:lang w:val="en-GB" w:eastAsia="zh-CN"/>
              </w:rPr>
              <w:t>Population</w:t>
            </w:r>
            <w:r w:rsidRPr="006A6F1F">
              <w:rPr>
                <w:rFonts w:ascii="Arial" w:hAnsi="Arial" w:cs="Arial"/>
                <w:color w:val="000000" w:themeColor="text1"/>
                <w:sz w:val="19"/>
                <w:szCs w:val="19"/>
                <w:vertAlign w:val="superscript"/>
                <w:lang w:val="en-GB" w:eastAsia="zh-CN"/>
              </w:rPr>
              <w:t>1</w:t>
            </w:r>
          </w:p>
        </w:tc>
        <w:tc>
          <w:tcPr>
            <w:tcW w:w="1166" w:type="dxa"/>
            <w:tcBorders>
              <w:top w:val="nil"/>
              <w:left w:val="nil"/>
              <w:bottom w:val="nil"/>
              <w:right w:val="nil"/>
            </w:tcBorders>
            <w:shd w:val="clear" w:color="auto" w:fill="auto"/>
            <w:vAlign w:val="center"/>
            <w:hideMark/>
          </w:tcPr>
          <w:p w14:paraId="5E73A542" w14:textId="77777777" w:rsidR="00365207" w:rsidRPr="006A6F1F" w:rsidRDefault="00365207" w:rsidP="00E66870">
            <w:pPr>
              <w:jc w:val="right"/>
              <w:rPr>
                <w:rFonts w:ascii="Arial" w:hAnsi="Arial" w:cs="Arial"/>
                <w:b/>
                <w:color w:val="000000" w:themeColor="text1"/>
                <w:sz w:val="19"/>
                <w:szCs w:val="19"/>
                <w:lang w:val="en-GB" w:eastAsia="zh-CN"/>
              </w:rPr>
            </w:pPr>
          </w:p>
        </w:tc>
        <w:tc>
          <w:tcPr>
            <w:tcW w:w="755" w:type="dxa"/>
            <w:tcBorders>
              <w:top w:val="nil"/>
              <w:left w:val="nil"/>
              <w:bottom w:val="nil"/>
              <w:right w:val="nil"/>
            </w:tcBorders>
            <w:shd w:val="clear" w:color="auto" w:fill="auto"/>
            <w:vAlign w:val="center"/>
            <w:hideMark/>
          </w:tcPr>
          <w:p w14:paraId="1597C79F" w14:textId="77777777" w:rsidR="00365207" w:rsidRPr="006A6F1F" w:rsidRDefault="00365207" w:rsidP="00E66870">
            <w:pPr>
              <w:jc w:val="right"/>
              <w:rPr>
                <w:rFonts w:ascii="Arial" w:hAnsi="Arial" w:cs="Arial"/>
                <w:b/>
                <w:color w:val="000000" w:themeColor="text1"/>
                <w:sz w:val="19"/>
                <w:szCs w:val="19"/>
                <w:lang w:val="en-GB" w:eastAsia="zh-CN"/>
              </w:rPr>
            </w:pPr>
          </w:p>
        </w:tc>
        <w:tc>
          <w:tcPr>
            <w:tcW w:w="755" w:type="dxa"/>
            <w:gridSpan w:val="2"/>
            <w:tcBorders>
              <w:top w:val="nil"/>
              <w:left w:val="nil"/>
              <w:bottom w:val="nil"/>
              <w:right w:val="nil"/>
            </w:tcBorders>
            <w:shd w:val="clear" w:color="auto" w:fill="auto"/>
            <w:vAlign w:val="center"/>
            <w:hideMark/>
          </w:tcPr>
          <w:p w14:paraId="7AD1CECA" w14:textId="77777777" w:rsidR="00365207" w:rsidRPr="006A6F1F" w:rsidRDefault="00365207" w:rsidP="00E66870">
            <w:pPr>
              <w:jc w:val="right"/>
              <w:rPr>
                <w:rFonts w:ascii="Arial" w:hAnsi="Arial" w:cs="Arial"/>
                <w:b/>
                <w:color w:val="000000" w:themeColor="text1"/>
                <w:sz w:val="19"/>
                <w:szCs w:val="19"/>
                <w:lang w:val="en-GB" w:eastAsia="zh-CN"/>
              </w:rPr>
            </w:pPr>
          </w:p>
        </w:tc>
        <w:tc>
          <w:tcPr>
            <w:tcW w:w="755" w:type="dxa"/>
            <w:gridSpan w:val="2"/>
            <w:tcBorders>
              <w:top w:val="nil"/>
              <w:left w:val="nil"/>
              <w:bottom w:val="nil"/>
              <w:right w:val="nil"/>
            </w:tcBorders>
            <w:shd w:val="clear" w:color="auto" w:fill="auto"/>
            <w:vAlign w:val="center"/>
            <w:hideMark/>
          </w:tcPr>
          <w:p w14:paraId="5DF705C8" w14:textId="77777777" w:rsidR="00365207" w:rsidRPr="006A6F1F" w:rsidRDefault="00365207" w:rsidP="00E66870">
            <w:pPr>
              <w:jc w:val="right"/>
              <w:rPr>
                <w:rFonts w:ascii="Arial" w:hAnsi="Arial" w:cs="Arial"/>
                <w:b/>
                <w:color w:val="000000" w:themeColor="text1"/>
                <w:sz w:val="19"/>
                <w:szCs w:val="19"/>
                <w:lang w:val="en-GB" w:eastAsia="zh-CN"/>
              </w:rPr>
            </w:pPr>
          </w:p>
        </w:tc>
        <w:tc>
          <w:tcPr>
            <w:tcW w:w="755" w:type="dxa"/>
            <w:gridSpan w:val="3"/>
            <w:tcBorders>
              <w:top w:val="nil"/>
              <w:left w:val="nil"/>
              <w:bottom w:val="nil"/>
              <w:right w:val="nil"/>
            </w:tcBorders>
            <w:shd w:val="clear" w:color="auto" w:fill="auto"/>
            <w:vAlign w:val="center"/>
            <w:hideMark/>
          </w:tcPr>
          <w:p w14:paraId="68A5A0CC" w14:textId="77777777" w:rsidR="00365207" w:rsidRPr="006A6F1F" w:rsidRDefault="00365207" w:rsidP="00E66870">
            <w:pPr>
              <w:jc w:val="right"/>
              <w:rPr>
                <w:rFonts w:ascii="Arial" w:hAnsi="Arial" w:cs="Arial"/>
                <w:b/>
                <w:color w:val="000000" w:themeColor="text1"/>
                <w:sz w:val="19"/>
                <w:szCs w:val="19"/>
                <w:lang w:val="en-GB" w:eastAsia="zh-CN"/>
              </w:rPr>
            </w:pPr>
          </w:p>
        </w:tc>
        <w:tc>
          <w:tcPr>
            <w:tcW w:w="755" w:type="dxa"/>
            <w:gridSpan w:val="2"/>
            <w:tcBorders>
              <w:top w:val="nil"/>
              <w:left w:val="nil"/>
              <w:bottom w:val="nil"/>
              <w:right w:val="nil"/>
            </w:tcBorders>
            <w:shd w:val="clear" w:color="auto" w:fill="auto"/>
            <w:vAlign w:val="center"/>
            <w:hideMark/>
          </w:tcPr>
          <w:p w14:paraId="35169577" w14:textId="77777777" w:rsidR="00365207" w:rsidRPr="006A6F1F" w:rsidRDefault="00365207" w:rsidP="00E66870">
            <w:pPr>
              <w:jc w:val="right"/>
              <w:rPr>
                <w:rFonts w:ascii="Arial" w:hAnsi="Arial" w:cs="Arial"/>
                <w:b/>
                <w:color w:val="000000" w:themeColor="text1"/>
                <w:sz w:val="19"/>
                <w:szCs w:val="19"/>
                <w:lang w:val="en-GB" w:eastAsia="zh-CN"/>
              </w:rPr>
            </w:pPr>
          </w:p>
        </w:tc>
        <w:tc>
          <w:tcPr>
            <w:tcW w:w="755" w:type="dxa"/>
            <w:gridSpan w:val="4"/>
            <w:tcBorders>
              <w:top w:val="nil"/>
              <w:left w:val="nil"/>
              <w:bottom w:val="nil"/>
              <w:right w:val="nil"/>
            </w:tcBorders>
            <w:shd w:val="clear" w:color="auto" w:fill="auto"/>
            <w:vAlign w:val="center"/>
            <w:hideMark/>
          </w:tcPr>
          <w:p w14:paraId="3E70CA86" w14:textId="77777777" w:rsidR="00365207" w:rsidRPr="006A6F1F" w:rsidRDefault="00365207" w:rsidP="00E66870">
            <w:pPr>
              <w:jc w:val="right"/>
              <w:rPr>
                <w:rFonts w:ascii="Arial" w:hAnsi="Arial" w:cs="Arial"/>
                <w:b/>
                <w:color w:val="000000" w:themeColor="text1"/>
                <w:sz w:val="19"/>
                <w:szCs w:val="19"/>
                <w:lang w:val="en-GB" w:eastAsia="zh-CN"/>
              </w:rPr>
            </w:pPr>
          </w:p>
        </w:tc>
      </w:tr>
      <w:tr w:rsidR="00365207" w:rsidRPr="006A6F1F" w14:paraId="065C970F" w14:textId="77777777" w:rsidTr="00365207">
        <w:trPr>
          <w:trHeight w:val="225"/>
          <w:jc w:val="center"/>
        </w:trPr>
        <w:tc>
          <w:tcPr>
            <w:tcW w:w="2553" w:type="dxa"/>
            <w:tcBorders>
              <w:top w:val="nil"/>
              <w:left w:val="nil"/>
              <w:bottom w:val="nil"/>
              <w:right w:val="nil"/>
            </w:tcBorders>
            <w:shd w:val="clear" w:color="auto" w:fill="auto"/>
            <w:noWrap/>
            <w:vAlign w:val="center"/>
            <w:hideMark/>
          </w:tcPr>
          <w:p w14:paraId="15467698" w14:textId="77777777" w:rsidR="00365207" w:rsidRPr="006A6F1F" w:rsidRDefault="00365207" w:rsidP="00E66870">
            <w:pPr>
              <w:jc w:val="both"/>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Millions</w:t>
            </w:r>
          </w:p>
        </w:tc>
        <w:tc>
          <w:tcPr>
            <w:tcW w:w="1166" w:type="dxa"/>
            <w:tcBorders>
              <w:top w:val="nil"/>
              <w:left w:val="nil"/>
              <w:bottom w:val="nil"/>
              <w:right w:val="nil"/>
            </w:tcBorders>
            <w:shd w:val="clear" w:color="auto" w:fill="auto"/>
            <w:vAlign w:val="center"/>
            <w:hideMark/>
          </w:tcPr>
          <w:p w14:paraId="4B406E93" w14:textId="77777777" w:rsidR="00365207" w:rsidRPr="006A6F1F" w:rsidRDefault="00365207" w:rsidP="00E66870">
            <w:pPr>
              <w:jc w:val="right"/>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5.18</w:t>
            </w:r>
          </w:p>
        </w:tc>
        <w:tc>
          <w:tcPr>
            <w:tcW w:w="755" w:type="dxa"/>
            <w:tcBorders>
              <w:top w:val="nil"/>
              <w:left w:val="nil"/>
              <w:bottom w:val="nil"/>
              <w:right w:val="nil"/>
            </w:tcBorders>
            <w:shd w:val="clear" w:color="auto" w:fill="auto"/>
            <w:vAlign w:val="center"/>
            <w:hideMark/>
          </w:tcPr>
          <w:p w14:paraId="01DED094" w14:textId="77777777" w:rsidR="00365207" w:rsidRPr="006A6F1F" w:rsidRDefault="00365207" w:rsidP="00E66870">
            <w:pPr>
              <w:jc w:val="right"/>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5.31</w:t>
            </w:r>
          </w:p>
        </w:tc>
        <w:tc>
          <w:tcPr>
            <w:tcW w:w="755" w:type="dxa"/>
            <w:gridSpan w:val="2"/>
            <w:tcBorders>
              <w:top w:val="nil"/>
              <w:left w:val="nil"/>
              <w:bottom w:val="nil"/>
              <w:right w:val="nil"/>
            </w:tcBorders>
            <w:shd w:val="clear" w:color="auto" w:fill="auto"/>
            <w:vAlign w:val="center"/>
            <w:hideMark/>
          </w:tcPr>
          <w:p w14:paraId="5BF462B4" w14:textId="77777777" w:rsidR="00365207" w:rsidRPr="006A6F1F" w:rsidRDefault="00365207" w:rsidP="00E66870">
            <w:pPr>
              <w:jc w:val="right"/>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5.40</w:t>
            </w:r>
          </w:p>
        </w:tc>
        <w:tc>
          <w:tcPr>
            <w:tcW w:w="755" w:type="dxa"/>
            <w:gridSpan w:val="2"/>
            <w:tcBorders>
              <w:top w:val="nil"/>
              <w:left w:val="nil"/>
              <w:bottom w:val="nil"/>
              <w:right w:val="nil"/>
            </w:tcBorders>
            <w:shd w:val="clear" w:color="auto" w:fill="auto"/>
            <w:vAlign w:val="center"/>
            <w:hideMark/>
          </w:tcPr>
          <w:p w14:paraId="497B8249" w14:textId="77777777" w:rsidR="00365207" w:rsidRPr="006A6F1F" w:rsidRDefault="00365207" w:rsidP="00E66870">
            <w:pPr>
              <w:jc w:val="right"/>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5.47</w:t>
            </w:r>
          </w:p>
        </w:tc>
        <w:tc>
          <w:tcPr>
            <w:tcW w:w="755" w:type="dxa"/>
            <w:gridSpan w:val="3"/>
            <w:tcBorders>
              <w:top w:val="nil"/>
              <w:left w:val="nil"/>
              <w:bottom w:val="nil"/>
              <w:right w:val="nil"/>
            </w:tcBorders>
            <w:shd w:val="clear" w:color="auto" w:fill="auto"/>
            <w:vAlign w:val="center"/>
            <w:hideMark/>
          </w:tcPr>
          <w:p w14:paraId="224214C5" w14:textId="77777777" w:rsidR="00365207" w:rsidRPr="006A6F1F" w:rsidRDefault="00365207" w:rsidP="00E66870">
            <w:pPr>
              <w:jc w:val="right"/>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5.54</w:t>
            </w:r>
          </w:p>
        </w:tc>
        <w:tc>
          <w:tcPr>
            <w:tcW w:w="755" w:type="dxa"/>
            <w:gridSpan w:val="2"/>
            <w:tcBorders>
              <w:top w:val="nil"/>
              <w:left w:val="nil"/>
              <w:bottom w:val="nil"/>
              <w:right w:val="nil"/>
            </w:tcBorders>
            <w:shd w:val="clear" w:color="auto" w:fill="auto"/>
            <w:vAlign w:val="center"/>
            <w:hideMark/>
          </w:tcPr>
          <w:p w14:paraId="5C2392C5" w14:textId="77777777" w:rsidR="00365207" w:rsidRPr="006A6F1F" w:rsidRDefault="00365207" w:rsidP="00E66870">
            <w:pPr>
              <w:jc w:val="right"/>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5.60</w:t>
            </w:r>
          </w:p>
        </w:tc>
        <w:tc>
          <w:tcPr>
            <w:tcW w:w="755" w:type="dxa"/>
            <w:gridSpan w:val="4"/>
            <w:tcBorders>
              <w:top w:val="nil"/>
              <w:left w:val="nil"/>
              <w:bottom w:val="nil"/>
              <w:right w:val="nil"/>
            </w:tcBorders>
            <w:shd w:val="clear" w:color="auto" w:fill="auto"/>
            <w:vAlign w:val="center"/>
            <w:hideMark/>
          </w:tcPr>
          <w:p w14:paraId="5BC27B29" w14:textId="77777777" w:rsidR="00365207" w:rsidRPr="006A6F1F" w:rsidRDefault="00365207" w:rsidP="00E66870">
            <w:pPr>
              <w:jc w:val="right"/>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5.61</w:t>
            </w:r>
          </w:p>
        </w:tc>
      </w:tr>
      <w:tr w:rsidR="00365207" w:rsidRPr="006A6F1F" w14:paraId="341C059A" w14:textId="77777777" w:rsidTr="00365207">
        <w:trPr>
          <w:trHeight w:val="225"/>
          <w:jc w:val="center"/>
        </w:trPr>
        <w:tc>
          <w:tcPr>
            <w:tcW w:w="2553" w:type="dxa"/>
            <w:tcBorders>
              <w:top w:val="nil"/>
              <w:left w:val="nil"/>
              <w:bottom w:val="nil"/>
              <w:right w:val="nil"/>
            </w:tcBorders>
            <w:shd w:val="clear" w:color="auto" w:fill="auto"/>
            <w:noWrap/>
            <w:vAlign w:val="center"/>
            <w:hideMark/>
          </w:tcPr>
          <w:p w14:paraId="291BDB1D" w14:textId="207DA589" w:rsidR="00365207" w:rsidRPr="006A6F1F" w:rsidRDefault="00365207" w:rsidP="004D4A76">
            <w:pPr>
              <w:jc w:val="both"/>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Growth Rate</w:t>
            </w:r>
          </w:p>
        </w:tc>
        <w:tc>
          <w:tcPr>
            <w:tcW w:w="1166" w:type="dxa"/>
            <w:tcBorders>
              <w:top w:val="nil"/>
              <w:left w:val="nil"/>
              <w:bottom w:val="nil"/>
              <w:right w:val="nil"/>
            </w:tcBorders>
            <w:shd w:val="clear" w:color="auto" w:fill="auto"/>
            <w:vAlign w:val="center"/>
            <w:hideMark/>
          </w:tcPr>
          <w:p w14:paraId="2CB1B802" w14:textId="77777777" w:rsidR="00365207" w:rsidRPr="006A6F1F" w:rsidRDefault="00365207" w:rsidP="00E66870">
            <w:pPr>
              <w:jc w:val="right"/>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1.97%</w:t>
            </w:r>
          </w:p>
        </w:tc>
        <w:tc>
          <w:tcPr>
            <w:tcW w:w="755" w:type="dxa"/>
            <w:tcBorders>
              <w:top w:val="nil"/>
              <w:left w:val="nil"/>
              <w:bottom w:val="nil"/>
              <w:right w:val="nil"/>
            </w:tcBorders>
            <w:shd w:val="clear" w:color="auto" w:fill="auto"/>
            <w:vAlign w:val="center"/>
            <w:hideMark/>
          </w:tcPr>
          <w:p w14:paraId="38ED01B7" w14:textId="77777777" w:rsidR="00365207" w:rsidRPr="006A6F1F" w:rsidRDefault="00365207" w:rsidP="00E66870">
            <w:pPr>
              <w:jc w:val="right"/>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2.51%</w:t>
            </w:r>
          </w:p>
        </w:tc>
        <w:tc>
          <w:tcPr>
            <w:tcW w:w="755" w:type="dxa"/>
            <w:gridSpan w:val="2"/>
            <w:tcBorders>
              <w:top w:val="nil"/>
              <w:left w:val="nil"/>
              <w:bottom w:val="nil"/>
              <w:right w:val="nil"/>
            </w:tcBorders>
            <w:shd w:val="clear" w:color="auto" w:fill="auto"/>
            <w:vAlign w:val="center"/>
            <w:hideMark/>
          </w:tcPr>
          <w:p w14:paraId="77678CEA" w14:textId="77777777" w:rsidR="00365207" w:rsidRPr="006A6F1F" w:rsidRDefault="00365207" w:rsidP="00E66870">
            <w:pPr>
              <w:jc w:val="right"/>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1.69%</w:t>
            </w:r>
          </w:p>
        </w:tc>
        <w:tc>
          <w:tcPr>
            <w:tcW w:w="755" w:type="dxa"/>
            <w:gridSpan w:val="2"/>
            <w:tcBorders>
              <w:top w:val="nil"/>
              <w:left w:val="nil"/>
              <w:bottom w:val="nil"/>
              <w:right w:val="nil"/>
            </w:tcBorders>
            <w:shd w:val="clear" w:color="auto" w:fill="auto"/>
            <w:vAlign w:val="center"/>
            <w:hideMark/>
          </w:tcPr>
          <w:p w14:paraId="5A95D921" w14:textId="77777777" w:rsidR="00365207" w:rsidRPr="006A6F1F" w:rsidRDefault="00365207" w:rsidP="00E66870">
            <w:pPr>
              <w:jc w:val="right"/>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1.30%</w:t>
            </w:r>
          </w:p>
        </w:tc>
        <w:tc>
          <w:tcPr>
            <w:tcW w:w="755" w:type="dxa"/>
            <w:gridSpan w:val="3"/>
            <w:tcBorders>
              <w:top w:val="nil"/>
              <w:left w:val="nil"/>
              <w:bottom w:val="nil"/>
              <w:right w:val="nil"/>
            </w:tcBorders>
            <w:shd w:val="clear" w:color="auto" w:fill="auto"/>
            <w:vAlign w:val="center"/>
            <w:hideMark/>
          </w:tcPr>
          <w:p w14:paraId="41B7A506" w14:textId="77777777" w:rsidR="00365207" w:rsidRPr="006A6F1F" w:rsidRDefault="00365207" w:rsidP="00E66870">
            <w:pPr>
              <w:jc w:val="right"/>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1.28%</w:t>
            </w:r>
          </w:p>
        </w:tc>
        <w:tc>
          <w:tcPr>
            <w:tcW w:w="755" w:type="dxa"/>
            <w:gridSpan w:val="2"/>
            <w:tcBorders>
              <w:top w:val="nil"/>
              <w:left w:val="nil"/>
              <w:bottom w:val="nil"/>
              <w:right w:val="nil"/>
            </w:tcBorders>
            <w:shd w:val="clear" w:color="auto" w:fill="auto"/>
            <w:vAlign w:val="center"/>
            <w:hideMark/>
          </w:tcPr>
          <w:p w14:paraId="3D42AF72" w14:textId="77777777" w:rsidR="00365207" w:rsidRPr="006A6F1F" w:rsidRDefault="00365207" w:rsidP="00E66870">
            <w:pPr>
              <w:jc w:val="right"/>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1.08%</w:t>
            </w:r>
          </w:p>
        </w:tc>
        <w:tc>
          <w:tcPr>
            <w:tcW w:w="755" w:type="dxa"/>
            <w:gridSpan w:val="4"/>
            <w:tcBorders>
              <w:top w:val="nil"/>
              <w:left w:val="nil"/>
              <w:bottom w:val="nil"/>
              <w:right w:val="nil"/>
            </w:tcBorders>
            <w:shd w:val="clear" w:color="auto" w:fill="auto"/>
            <w:vAlign w:val="center"/>
            <w:hideMark/>
          </w:tcPr>
          <w:p w14:paraId="42518134" w14:textId="77777777" w:rsidR="00365207" w:rsidRPr="006A6F1F" w:rsidRDefault="00365207" w:rsidP="00E66870">
            <w:pPr>
              <w:jc w:val="right"/>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0.18%</w:t>
            </w:r>
          </w:p>
        </w:tc>
      </w:tr>
      <w:tr w:rsidR="00365207" w:rsidRPr="006A6F1F" w14:paraId="0AB8476D" w14:textId="77777777" w:rsidTr="00365207">
        <w:trPr>
          <w:trHeight w:val="493"/>
          <w:jc w:val="center"/>
        </w:trPr>
        <w:tc>
          <w:tcPr>
            <w:tcW w:w="2553" w:type="dxa"/>
            <w:tcBorders>
              <w:top w:val="nil"/>
              <w:left w:val="nil"/>
              <w:bottom w:val="nil"/>
              <w:right w:val="nil"/>
            </w:tcBorders>
            <w:shd w:val="clear" w:color="auto" w:fill="auto"/>
            <w:noWrap/>
            <w:vAlign w:val="center"/>
            <w:hideMark/>
          </w:tcPr>
          <w:p w14:paraId="320FA9FE" w14:textId="77777777" w:rsidR="00365207" w:rsidRPr="006A6F1F" w:rsidRDefault="00365207" w:rsidP="00E66870">
            <w:pPr>
              <w:jc w:val="both"/>
              <w:rPr>
                <w:rFonts w:ascii="Arial" w:hAnsi="Arial" w:cs="Arial"/>
                <w:b/>
                <w:color w:val="000000" w:themeColor="text1"/>
                <w:sz w:val="19"/>
                <w:szCs w:val="19"/>
                <w:lang w:val="en-GB" w:eastAsia="zh-CN"/>
              </w:rPr>
            </w:pPr>
            <w:r w:rsidRPr="006A6F1F">
              <w:rPr>
                <w:rFonts w:ascii="Arial" w:hAnsi="Arial" w:cs="Arial"/>
                <w:b/>
                <w:color w:val="000000" w:themeColor="text1"/>
                <w:sz w:val="19"/>
                <w:szCs w:val="19"/>
                <w:lang w:val="en-GB" w:eastAsia="zh-CN"/>
              </w:rPr>
              <w:t>Number of Food</w:t>
            </w:r>
          </w:p>
          <w:p w14:paraId="1DF94A95" w14:textId="77777777" w:rsidR="00365207" w:rsidRPr="006A6F1F" w:rsidRDefault="00365207" w:rsidP="00E66870">
            <w:pPr>
              <w:jc w:val="both"/>
              <w:rPr>
                <w:rFonts w:ascii="Arial" w:hAnsi="Arial" w:cs="Arial"/>
                <w:b/>
                <w:color w:val="000000" w:themeColor="text1"/>
                <w:sz w:val="19"/>
                <w:szCs w:val="19"/>
                <w:lang w:val="en-GB" w:eastAsia="zh-CN"/>
              </w:rPr>
            </w:pPr>
            <w:r w:rsidRPr="006A6F1F">
              <w:rPr>
                <w:rFonts w:ascii="Arial" w:hAnsi="Arial" w:cs="Arial"/>
                <w:b/>
                <w:color w:val="000000" w:themeColor="text1"/>
                <w:sz w:val="19"/>
                <w:szCs w:val="19"/>
                <w:lang w:val="en-GB" w:eastAsia="zh-CN"/>
              </w:rPr>
              <w:t>Establishments ('000)</w:t>
            </w:r>
            <w:r w:rsidRPr="006A6F1F">
              <w:rPr>
                <w:rFonts w:ascii="Arial" w:hAnsi="Arial" w:cs="Arial"/>
                <w:color w:val="000000" w:themeColor="text1"/>
                <w:sz w:val="19"/>
                <w:szCs w:val="19"/>
                <w:vertAlign w:val="superscript"/>
                <w:lang w:val="en-GB" w:eastAsia="zh-CN"/>
              </w:rPr>
              <w:t xml:space="preserve"> 1</w:t>
            </w:r>
          </w:p>
        </w:tc>
        <w:tc>
          <w:tcPr>
            <w:tcW w:w="1166" w:type="dxa"/>
            <w:tcBorders>
              <w:top w:val="nil"/>
              <w:left w:val="nil"/>
              <w:bottom w:val="nil"/>
              <w:right w:val="nil"/>
            </w:tcBorders>
            <w:shd w:val="clear" w:color="auto" w:fill="auto"/>
            <w:vAlign w:val="center"/>
            <w:hideMark/>
          </w:tcPr>
          <w:p w14:paraId="7FAEF507" w14:textId="77777777" w:rsidR="00365207" w:rsidRPr="006A6F1F" w:rsidRDefault="00365207" w:rsidP="00E66870">
            <w:pPr>
              <w:jc w:val="right"/>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30.3</w:t>
            </w:r>
          </w:p>
        </w:tc>
        <w:tc>
          <w:tcPr>
            <w:tcW w:w="755" w:type="dxa"/>
            <w:tcBorders>
              <w:top w:val="nil"/>
              <w:left w:val="nil"/>
              <w:bottom w:val="nil"/>
              <w:right w:val="nil"/>
            </w:tcBorders>
            <w:shd w:val="clear" w:color="auto" w:fill="auto"/>
            <w:vAlign w:val="center"/>
            <w:hideMark/>
          </w:tcPr>
          <w:p w14:paraId="75FB0D41" w14:textId="77777777" w:rsidR="00365207" w:rsidRPr="006A6F1F" w:rsidRDefault="00365207" w:rsidP="00E66870">
            <w:pPr>
              <w:jc w:val="right"/>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30.7</w:t>
            </w:r>
          </w:p>
        </w:tc>
        <w:tc>
          <w:tcPr>
            <w:tcW w:w="755" w:type="dxa"/>
            <w:gridSpan w:val="2"/>
            <w:tcBorders>
              <w:top w:val="nil"/>
              <w:left w:val="nil"/>
              <w:bottom w:val="nil"/>
              <w:right w:val="nil"/>
            </w:tcBorders>
            <w:shd w:val="clear" w:color="auto" w:fill="auto"/>
            <w:vAlign w:val="center"/>
            <w:hideMark/>
          </w:tcPr>
          <w:p w14:paraId="3B387B03" w14:textId="77777777" w:rsidR="00365207" w:rsidRPr="006A6F1F" w:rsidRDefault="00365207" w:rsidP="00E66870">
            <w:pPr>
              <w:jc w:val="right"/>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31.3</w:t>
            </w:r>
          </w:p>
        </w:tc>
        <w:tc>
          <w:tcPr>
            <w:tcW w:w="755" w:type="dxa"/>
            <w:gridSpan w:val="2"/>
            <w:tcBorders>
              <w:top w:val="nil"/>
              <w:left w:val="nil"/>
              <w:bottom w:val="nil"/>
              <w:right w:val="nil"/>
            </w:tcBorders>
            <w:shd w:val="clear" w:color="auto" w:fill="auto"/>
            <w:vAlign w:val="center"/>
            <w:hideMark/>
          </w:tcPr>
          <w:p w14:paraId="00D3FA6F" w14:textId="77777777" w:rsidR="00365207" w:rsidRPr="006A6F1F" w:rsidRDefault="00365207" w:rsidP="00E66870">
            <w:pPr>
              <w:jc w:val="right"/>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32.2</w:t>
            </w:r>
          </w:p>
        </w:tc>
        <w:tc>
          <w:tcPr>
            <w:tcW w:w="755" w:type="dxa"/>
            <w:gridSpan w:val="3"/>
            <w:tcBorders>
              <w:top w:val="nil"/>
              <w:left w:val="nil"/>
              <w:bottom w:val="nil"/>
              <w:right w:val="nil"/>
            </w:tcBorders>
            <w:shd w:val="clear" w:color="auto" w:fill="auto"/>
            <w:vAlign w:val="center"/>
            <w:hideMark/>
          </w:tcPr>
          <w:p w14:paraId="5F3B2DB8" w14:textId="77777777" w:rsidR="00365207" w:rsidRPr="006A6F1F" w:rsidRDefault="00365207" w:rsidP="00E66870">
            <w:pPr>
              <w:jc w:val="right"/>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33.1</w:t>
            </w:r>
          </w:p>
        </w:tc>
        <w:tc>
          <w:tcPr>
            <w:tcW w:w="755" w:type="dxa"/>
            <w:gridSpan w:val="2"/>
            <w:tcBorders>
              <w:top w:val="nil"/>
              <w:left w:val="nil"/>
              <w:bottom w:val="nil"/>
              <w:right w:val="nil"/>
            </w:tcBorders>
            <w:shd w:val="clear" w:color="auto" w:fill="auto"/>
            <w:vAlign w:val="center"/>
            <w:hideMark/>
          </w:tcPr>
          <w:p w14:paraId="7C55CAED" w14:textId="77777777" w:rsidR="00365207" w:rsidRPr="006A6F1F" w:rsidRDefault="00365207" w:rsidP="00E66870">
            <w:pPr>
              <w:jc w:val="right"/>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34.0</w:t>
            </w:r>
          </w:p>
        </w:tc>
        <w:tc>
          <w:tcPr>
            <w:tcW w:w="755" w:type="dxa"/>
            <w:gridSpan w:val="4"/>
            <w:tcBorders>
              <w:top w:val="nil"/>
              <w:left w:val="nil"/>
              <w:bottom w:val="nil"/>
              <w:right w:val="nil"/>
            </w:tcBorders>
            <w:shd w:val="clear" w:color="auto" w:fill="auto"/>
            <w:vAlign w:val="center"/>
            <w:hideMark/>
          </w:tcPr>
          <w:p w14:paraId="0256DEA9" w14:textId="77777777" w:rsidR="00365207" w:rsidRPr="006A6F1F" w:rsidRDefault="00365207" w:rsidP="00E66870">
            <w:pPr>
              <w:jc w:val="right"/>
              <w:rPr>
                <w:rFonts w:ascii="Arial" w:hAnsi="Arial" w:cs="Arial"/>
                <w:color w:val="000000" w:themeColor="text1"/>
                <w:sz w:val="19"/>
                <w:szCs w:val="19"/>
                <w:lang w:val="en-GB" w:eastAsia="zh-CN"/>
              </w:rPr>
            </w:pPr>
          </w:p>
        </w:tc>
      </w:tr>
      <w:tr w:rsidR="00365207" w:rsidRPr="006A6F1F" w14:paraId="11EB7187" w14:textId="77777777" w:rsidTr="00365207">
        <w:trPr>
          <w:trHeight w:val="225"/>
          <w:jc w:val="center"/>
        </w:trPr>
        <w:tc>
          <w:tcPr>
            <w:tcW w:w="2553" w:type="dxa"/>
            <w:tcBorders>
              <w:top w:val="nil"/>
              <w:left w:val="nil"/>
              <w:bottom w:val="nil"/>
              <w:right w:val="nil"/>
            </w:tcBorders>
            <w:shd w:val="clear" w:color="auto" w:fill="auto"/>
            <w:noWrap/>
            <w:vAlign w:val="center"/>
            <w:hideMark/>
          </w:tcPr>
          <w:p w14:paraId="5A98E1A2" w14:textId="77777777" w:rsidR="00365207" w:rsidRPr="006A6F1F" w:rsidRDefault="00365207" w:rsidP="00E66870">
            <w:pPr>
              <w:jc w:val="both"/>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Growth Rate</w:t>
            </w:r>
          </w:p>
        </w:tc>
        <w:tc>
          <w:tcPr>
            <w:tcW w:w="1166" w:type="dxa"/>
            <w:tcBorders>
              <w:top w:val="nil"/>
              <w:left w:val="nil"/>
              <w:bottom w:val="nil"/>
              <w:right w:val="nil"/>
            </w:tcBorders>
            <w:shd w:val="clear" w:color="auto" w:fill="auto"/>
            <w:noWrap/>
            <w:vAlign w:val="bottom"/>
            <w:hideMark/>
          </w:tcPr>
          <w:p w14:paraId="3614F72B" w14:textId="77777777" w:rsidR="00365207" w:rsidRPr="006A6F1F" w:rsidRDefault="00365207" w:rsidP="00E66870">
            <w:pPr>
              <w:jc w:val="right"/>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2.7%</w:t>
            </w:r>
          </w:p>
        </w:tc>
        <w:tc>
          <w:tcPr>
            <w:tcW w:w="755" w:type="dxa"/>
            <w:tcBorders>
              <w:top w:val="nil"/>
              <w:left w:val="nil"/>
              <w:bottom w:val="nil"/>
              <w:right w:val="nil"/>
            </w:tcBorders>
            <w:shd w:val="clear" w:color="auto" w:fill="auto"/>
            <w:noWrap/>
            <w:vAlign w:val="bottom"/>
            <w:hideMark/>
          </w:tcPr>
          <w:p w14:paraId="5D5AF500" w14:textId="77777777" w:rsidR="00365207" w:rsidRPr="006A6F1F" w:rsidRDefault="00365207" w:rsidP="00E66870">
            <w:pPr>
              <w:jc w:val="right"/>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1.3%</w:t>
            </w:r>
          </w:p>
        </w:tc>
        <w:tc>
          <w:tcPr>
            <w:tcW w:w="755" w:type="dxa"/>
            <w:gridSpan w:val="2"/>
            <w:tcBorders>
              <w:top w:val="nil"/>
              <w:left w:val="nil"/>
              <w:bottom w:val="nil"/>
              <w:right w:val="nil"/>
            </w:tcBorders>
            <w:shd w:val="clear" w:color="auto" w:fill="auto"/>
            <w:noWrap/>
            <w:vAlign w:val="bottom"/>
            <w:hideMark/>
          </w:tcPr>
          <w:p w14:paraId="0575ECAD" w14:textId="77777777" w:rsidR="00365207" w:rsidRPr="006A6F1F" w:rsidRDefault="00365207" w:rsidP="00E66870">
            <w:pPr>
              <w:jc w:val="right"/>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1.9%</w:t>
            </w:r>
          </w:p>
        </w:tc>
        <w:tc>
          <w:tcPr>
            <w:tcW w:w="755" w:type="dxa"/>
            <w:gridSpan w:val="2"/>
            <w:tcBorders>
              <w:top w:val="nil"/>
              <w:left w:val="nil"/>
              <w:bottom w:val="nil"/>
              <w:right w:val="nil"/>
            </w:tcBorders>
            <w:shd w:val="clear" w:color="auto" w:fill="auto"/>
            <w:noWrap/>
            <w:vAlign w:val="bottom"/>
            <w:hideMark/>
          </w:tcPr>
          <w:p w14:paraId="18055D00" w14:textId="77777777" w:rsidR="00365207" w:rsidRPr="006A6F1F" w:rsidRDefault="00365207" w:rsidP="00E66870">
            <w:pPr>
              <w:jc w:val="right"/>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2.9%</w:t>
            </w:r>
          </w:p>
        </w:tc>
        <w:tc>
          <w:tcPr>
            <w:tcW w:w="755" w:type="dxa"/>
            <w:gridSpan w:val="3"/>
            <w:tcBorders>
              <w:top w:val="nil"/>
              <w:left w:val="nil"/>
              <w:bottom w:val="nil"/>
              <w:right w:val="nil"/>
            </w:tcBorders>
            <w:shd w:val="clear" w:color="auto" w:fill="auto"/>
            <w:noWrap/>
            <w:vAlign w:val="bottom"/>
            <w:hideMark/>
          </w:tcPr>
          <w:p w14:paraId="20CD8CAA" w14:textId="77777777" w:rsidR="00365207" w:rsidRPr="006A6F1F" w:rsidRDefault="00365207" w:rsidP="00E66870">
            <w:pPr>
              <w:jc w:val="right"/>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2.8%</w:t>
            </w:r>
          </w:p>
        </w:tc>
        <w:tc>
          <w:tcPr>
            <w:tcW w:w="755" w:type="dxa"/>
            <w:gridSpan w:val="2"/>
            <w:tcBorders>
              <w:top w:val="nil"/>
              <w:left w:val="nil"/>
              <w:bottom w:val="nil"/>
              <w:right w:val="nil"/>
            </w:tcBorders>
            <w:shd w:val="clear" w:color="auto" w:fill="auto"/>
            <w:noWrap/>
            <w:vAlign w:val="bottom"/>
            <w:hideMark/>
          </w:tcPr>
          <w:p w14:paraId="089A0A10" w14:textId="77777777" w:rsidR="00365207" w:rsidRPr="006A6F1F" w:rsidRDefault="00365207" w:rsidP="00E66870">
            <w:pPr>
              <w:jc w:val="right"/>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2.9%</w:t>
            </w:r>
          </w:p>
        </w:tc>
        <w:tc>
          <w:tcPr>
            <w:tcW w:w="755" w:type="dxa"/>
            <w:gridSpan w:val="4"/>
            <w:tcBorders>
              <w:top w:val="nil"/>
              <w:left w:val="nil"/>
              <w:bottom w:val="nil"/>
              <w:right w:val="nil"/>
            </w:tcBorders>
            <w:shd w:val="clear" w:color="auto" w:fill="auto"/>
            <w:vAlign w:val="center"/>
            <w:hideMark/>
          </w:tcPr>
          <w:p w14:paraId="1880B30D" w14:textId="77777777" w:rsidR="00365207" w:rsidRPr="006A6F1F" w:rsidRDefault="00365207" w:rsidP="00E66870">
            <w:pPr>
              <w:jc w:val="right"/>
              <w:rPr>
                <w:rFonts w:ascii="Arial" w:hAnsi="Arial" w:cs="Arial"/>
                <w:color w:val="000000" w:themeColor="text1"/>
                <w:sz w:val="19"/>
                <w:szCs w:val="19"/>
                <w:lang w:val="en-GB" w:eastAsia="zh-CN"/>
              </w:rPr>
            </w:pPr>
          </w:p>
        </w:tc>
      </w:tr>
      <w:tr w:rsidR="00365207" w:rsidRPr="006A6F1F" w14:paraId="4801FCF9" w14:textId="77777777" w:rsidTr="00976783">
        <w:trPr>
          <w:trHeight w:val="70"/>
          <w:jc w:val="center"/>
        </w:trPr>
        <w:tc>
          <w:tcPr>
            <w:tcW w:w="2553" w:type="dxa"/>
            <w:tcBorders>
              <w:top w:val="nil"/>
              <w:left w:val="nil"/>
              <w:bottom w:val="nil"/>
              <w:right w:val="nil"/>
            </w:tcBorders>
            <w:shd w:val="clear" w:color="auto" w:fill="auto"/>
            <w:noWrap/>
            <w:vAlign w:val="center"/>
            <w:hideMark/>
          </w:tcPr>
          <w:p w14:paraId="106EF0CF" w14:textId="77777777" w:rsidR="00365207" w:rsidRPr="006A6F1F" w:rsidRDefault="00365207" w:rsidP="00E66870">
            <w:pPr>
              <w:rPr>
                <w:rFonts w:ascii="Arial" w:hAnsi="Arial" w:cs="Arial"/>
                <w:b/>
                <w:color w:val="000000" w:themeColor="text1"/>
                <w:sz w:val="19"/>
                <w:szCs w:val="19"/>
                <w:lang w:val="en-GB" w:eastAsia="zh-CN"/>
              </w:rPr>
            </w:pPr>
            <w:r w:rsidRPr="006A6F1F">
              <w:rPr>
                <w:rFonts w:ascii="Arial" w:hAnsi="Arial" w:cs="Arial"/>
                <w:b/>
                <w:color w:val="000000" w:themeColor="text1"/>
                <w:sz w:val="19"/>
                <w:szCs w:val="19"/>
                <w:lang w:val="en-GB" w:eastAsia="zh-CN"/>
              </w:rPr>
              <w:t xml:space="preserve">Number of Licensed Hawkers </w:t>
            </w:r>
          </w:p>
          <w:p w14:paraId="0B18E17C" w14:textId="77777777" w:rsidR="00365207" w:rsidRPr="006A6F1F" w:rsidRDefault="00365207" w:rsidP="00E66870">
            <w:pPr>
              <w:jc w:val="both"/>
              <w:rPr>
                <w:rFonts w:ascii="Arial" w:hAnsi="Arial" w:cs="Arial"/>
                <w:b/>
                <w:color w:val="000000" w:themeColor="text1"/>
                <w:sz w:val="19"/>
                <w:szCs w:val="19"/>
                <w:lang w:val="en-GB" w:eastAsia="zh-CN"/>
              </w:rPr>
            </w:pPr>
            <w:r w:rsidRPr="006A6F1F">
              <w:rPr>
                <w:rFonts w:ascii="Arial" w:hAnsi="Arial" w:cs="Arial"/>
                <w:b/>
                <w:color w:val="000000" w:themeColor="text1"/>
                <w:sz w:val="19"/>
                <w:szCs w:val="19"/>
                <w:lang w:val="en-GB" w:eastAsia="zh-CN"/>
              </w:rPr>
              <w:t>('000)</w:t>
            </w:r>
            <w:r w:rsidRPr="006A6F1F">
              <w:rPr>
                <w:rFonts w:ascii="Arial" w:hAnsi="Arial" w:cs="Arial"/>
                <w:color w:val="000000" w:themeColor="text1"/>
                <w:sz w:val="19"/>
                <w:szCs w:val="19"/>
                <w:vertAlign w:val="superscript"/>
                <w:lang w:val="en-GB" w:eastAsia="zh-CN"/>
              </w:rPr>
              <w:t xml:space="preserve"> 1</w:t>
            </w:r>
          </w:p>
        </w:tc>
        <w:tc>
          <w:tcPr>
            <w:tcW w:w="1166" w:type="dxa"/>
            <w:tcBorders>
              <w:top w:val="nil"/>
              <w:left w:val="nil"/>
              <w:bottom w:val="nil"/>
              <w:right w:val="nil"/>
            </w:tcBorders>
            <w:shd w:val="clear" w:color="auto" w:fill="auto"/>
            <w:vAlign w:val="center"/>
            <w:hideMark/>
          </w:tcPr>
          <w:p w14:paraId="548F12EF" w14:textId="77777777" w:rsidR="00365207" w:rsidRPr="006A6F1F" w:rsidRDefault="00365207" w:rsidP="00E66870">
            <w:pPr>
              <w:jc w:val="right"/>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14.3</w:t>
            </w:r>
          </w:p>
        </w:tc>
        <w:tc>
          <w:tcPr>
            <w:tcW w:w="755" w:type="dxa"/>
            <w:tcBorders>
              <w:top w:val="nil"/>
              <w:left w:val="nil"/>
              <w:bottom w:val="nil"/>
              <w:right w:val="nil"/>
            </w:tcBorders>
            <w:shd w:val="clear" w:color="auto" w:fill="auto"/>
            <w:vAlign w:val="center"/>
            <w:hideMark/>
          </w:tcPr>
          <w:p w14:paraId="0FD64035" w14:textId="77777777" w:rsidR="00365207" w:rsidRPr="006A6F1F" w:rsidRDefault="00365207" w:rsidP="00E66870">
            <w:pPr>
              <w:jc w:val="right"/>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14.2</w:t>
            </w:r>
          </w:p>
        </w:tc>
        <w:tc>
          <w:tcPr>
            <w:tcW w:w="755" w:type="dxa"/>
            <w:gridSpan w:val="2"/>
            <w:tcBorders>
              <w:top w:val="nil"/>
              <w:left w:val="nil"/>
              <w:bottom w:val="nil"/>
              <w:right w:val="nil"/>
            </w:tcBorders>
            <w:shd w:val="clear" w:color="auto" w:fill="auto"/>
            <w:vAlign w:val="center"/>
            <w:hideMark/>
          </w:tcPr>
          <w:p w14:paraId="2969DB84" w14:textId="77777777" w:rsidR="00365207" w:rsidRPr="006A6F1F" w:rsidRDefault="00365207" w:rsidP="00E66870">
            <w:pPr>
              <w:jc w:val="right"/>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14.2</w:t>
            </w:r>
          </w:p>
        </w:tc>
        <w:tc>
          <w:tcPr>
            <w:tcW w:w="755" w:type="dxa"/>
            <w:gridSpan w:val="2"/>
            <w:tcBorders>
              <w:top w:val="nil"/>
              <w:left w:val="nil"/>
              <w:bottom w:val="nil"/>
              <w:right w:val="nil"/>
            </w:tcBorders>
            <w:shd w:val="clear" w:color="auto" w:fill="auto"/>
            <w:vAlign w:val="center"/>
            <w:hideMark/>
          </w:tcPr>
          <w:p w14:paraId="5D171B83" w14:textId="77777777" w:rsidR="00365207" w:rsidRPr="006A6F1F" w:rsidRDefault="00365207" w:rsidP="00E66870">
            <w:pPr>
              <w:jc w:val="right"/>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14.5</w:t>
            </w:r>
          </w:p>
        </w:tc>
        <w:tc>
          <w:tcPr>
            <w:tcW w:w="755" w:type="dxa"/>
            <w:gridSpan w:val="3"/>
            <w:tcBorders>
              <w:top w:val="nil"/>
              <w:left w:val="nil"/>
              <w:bottom w:val="nil"/>
              <w:right w:val="nil"/>
            </w:tcBorders>
            <w:shd w:val="clear" w:color="auto" w:fill="auto"/>
            <w:vAlign w:val="center"/>
            <w:hideMark/>
          </w:tcPr>
          <w:p w14:paraId="5A875225" w14:textId="77777777" w:rsidR="00365207" w:rsidRPr="006A6F1F" w:rsidRDefault="00365207" w:rsidP="00E66870">
            <w:pPr>
              <w:jc w:val="right"/>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14.1</w:t>
            </w:r>
          </w:p>
        </w:tc>
        <w:tc>
          <w:tcPr>
            <w:tcW w:w="755" w:type="dxa"/>
            <w:gridSpan w:val="2"/>
            <w:tcBorders>
              <w:top w:val="nil"/>
              <w:left w:val="nil"/>
              <w:bottom w:val="nil"/>
              <w:right w:val="nil"/>
            </w:tcBorders>
            <w:shd w:val="clear" w:color="auto" w:fill="auto"/>
            <w:vAlign w:val="center"/>
            <w:hideMark/>
          </w:tcPr>
          <w:p w14:paraId="14674251" w14:textId="77777777" w:rsidR="00365207" w:rsidRPr="006A6F1F" w:rsidRDefault="00365207" w:rsidP="00E66870">
            <w:pPr>
              <w:jc w:val="right"/>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13.9</w:t>
            </w:r>
          </w:p>
        </w:tc>
        <w:tc>
          <w:tcPr>
            <w:tcW w:w="755" w:type="dxa"/>
            <w:gridSpan w:val="4"/>
            <w:tcBorders>
              <w:top w:val="nil"/>
              <w:left w:val="nil"/>
              <w:bottom w:val="nil"/>
              <w:right w:val="nil"/>
            </w:tcBorders>
            <w:shd w:val="clear" w:color="auto" w:fill="auto"/>
            <w:vAlign w:val="center"/>
            <w:hideMark/>
          </w:tcPr>
          <w:p w14:paraId="5867CDFA" w14:textId="77777777" w:rsidR="00365207" w:rsidRPr="006A6F1F" w:rsidRDefault="00365207" w:rsidP="00E66870">
            <w:pPr>
              <w:jc w:val="right"/>
              <w:rPr>
                <w:rFonts w:ascii="Arial" w:hAnsi="Arial" w:cs="Arial"/>
                <w:color w:val="000000" w:themeColor="text1"/>
                <w:sz w:val="19"/>
                <w:szCs w:val="19"/>
                <w:lang w:val="en-GB" w:eastAsia="zh-CN"/>
              </w:rPr>
            </w:pPr>
          </w:p>
        </w:tc>
      </w:tr>
      <w:tr w:rsidR="00365207" w:rsidRPr="006A6F1F" w14:paraId="40719F61" w14:textId="77777777" w:rsidTr="00365207">
        <w:trPr>
          <w:trHeight w:val="225"/>
          <w:jc w:val="center"/>
        </w:trPr>
        <w:tc>
          <w:tcPr>
            <w:tcW w:w="2553" w:type="dxa"/>
            <w:tcBorders>
              <w:top w:val="nil"/>
              <w:left w:val="nil"/>
              <w:right w:val="nil"/>
            </w:tcBorders>
            <w:shd w:val="clear" w:color="auto" w:fill="auto"/>
            <w:noWrap/>
            <w:vAlign w:val="center"/>
            <w:hideMark/>
          </w:tcPr>
          <w:p w14:paraId="0F52AD62" w14:textId="77777777" w:rsidR="00365207" w:rsidRPr="006A6F1F" w:rsidRDefault="00365207" w:rsidP="00E66870">
            <w:pPr>
              <w:jc w:val="both"/>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Growth Rate</w:t>
            </w:r>
          </w:p>
        </w:tc>
        <w:tc>
          <w:tcPr>
            <w:tcW w:w="1166" w:type="dxa"/>
            <w:tcBorders>
              <w:top w:val="nil"/>
              <w:left w:val="nil"/>
              <w:right w:val="nil"/>
            </w:tcBorders>
            <w:shd w:val="clear" w:color="auto" w:fill="auto"/>
            <w:vAlign w:val="center"/>
            <w:hideMark/>
          </w:tcPr>
          <w:p w14:paraId="71D242AB" w14:textId="77777777" w:rsidR="00365207" w:rsidRPr="006A6F1F" w:rsidRDefault="00365207" w:rsidP="00E66870">
            <w:pPr>
              <w:jc w:val="right"/>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−1.1%</w:t>
            </w:r>
          </w:p>
        </w:tc>
        <w:tc>
          <w:tcPr>
            <w:tcW w:w="755" w:type="dxa"/>
            <w:tcBorders>
              <w:top w:val="nil"/>
              <w:left w:val="nil"/>
              <w:right w:val="nil"/>
            </w:tcBorders>
            <w:shd w:val="clear" w:color="auto" w:fill="auto"/>
            <w:vAlign w:val="center"/>
            <w:hideMark/>
          </w:tcPr>
          <w:p w14:paraId="2A54918F" w14:textId="77777777" w:rsidR="00365207" w:rsidRPr="006A6F1F" w:rsidRDefault="00365207" w:rsidP="00E66870">
            <w:pPr>
              <w:ind w:left="-47"/>
              <w:jc w:val="right"/>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−1.0%</w:t>
            </w:r>
          </w:p>
        </w:tc>
        <w:tc>
          <w:tcPr>
            <w:tcW w:w="755" w:type="dxa"/>
            <w:gridSpan w:val="2"/>
            <w:tcBorders>
              <w:top w:val="nil"/>
              <w:left w:val="nil"/>
              <w:right w:val="nil"/>
            </w:tcBorders>
            <w:shd w:val="clear" w:color="auto" w:fill="auto"/>
            <w:vAlign w:val="center"/>
            <w:hideMark/>
          </w:tcPr>
          <w:p w14:paraId="0960E31C" w14:textId="77777777" w:rsidR="00365207" w:rsidRPr="006A6F1F" w:rsidRDefault="00365207" w:rsidP="00E66870">
            <w:pPr>
              <w:jc w:val="right"/>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0.4%</w:t>
            </w:r>
          </w:p>
        </w:tc>
        <w:tc>
          <w:tcPr>
            <w:tcW w:w="755" w:type="dxa"/>
            <w:gridSpan w:val="2"/>
            <w:tcBorders>
              <w:top w:val="nil"/>
              <w:left w:val="nil"/>
              <w:right w:val="nil"/>
            </w:tcBorders>
            <w:shd w:val="clear" w:color="auto" w:fill="auto"/>
            <w:vAlign w:val="center"/>
            <w:hideMark/>
          </w:tcPr>
          <w:p w14:paraId="64F55993" w14:textId="77777777" w:rsidR="00365207" w:rsidRPr="006A6F1F" w:rsidRDefault="00365207" w:rsidP="00E66870">
            <w:pPr>
              <w:jc w:val="right"/>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1.7%</w:t>
            </w:r>
          </w:p>
        </w:tc>
        <w:tc>
          <w:tcPr>
            <w:tcW w:w="755" w:type="dxa"/>
            <w:gridSpan w:val="3"/>
            <w:tcBorders>
              <w:top w:val="nil"/>
              <w:left w:val="nil"/>
              <w:right w:val="nil"/>
            </w:tcBorders>
            <w:shd w:val="clear" w:color="auto" w:fill="auto"/>
            <w:vAlign w:val="center"/>
            <w:hideMark/>
          </w:tcPr>
          <w:p w14:paraId="337A4348" w14:textId="77777777" w:rsidR="00365207" w:rsidRPr="006A6F1F" w:rsidRDefault="00365207" w:rsidP="00E66870">
            <w:pPr>
              <w:ind w:left="-62"/>
              <w:jc w:val="right"/>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−2.8%</w:t>
            </w:r>
          </w:p>
        </w:tc>
        <w:tc>
          <w:tcPr>
            <w:tcW w:w="755" w:type="dxa"/>
            <w:gridSpan w:val="2"/>
            <w:tcBorders>
              <w:top w:val="nil"/>
              <w:left w:val="nil"/>
              <w:right w:val="nil"/>
            </w:tcBorders>
            <w:shd w:val="clear" w:color="auto" w:fill="auto"/>
            <w:vAlign w:val="center"/>
            <w:hideMark/>
          </w:tcPr>
          <w:p w14:paraId="7473E3B1" w14:textId="77777777" w:rsidR="00365207" w:rsidRPr="006A6F1F" w:rsidRDefault="00365207" w:rsidP="00E66870">
            <w:pPr>
              <w:ind w:left="-97"/>
              <w:jc w:val="right"/>
              <w:rPr>
                <w:rFonts w:ascii="Arial" w:hAnsi="Arial" w:cs="Arial"/>
                <w:color w:val="000000" w:themeColor="text1"/>
                <w:sz w:val="19"/>
                <w:szCs w:val="19"/>
                <w:lang w:val="en-GB" w:eastAsia="zh-CN"/>
              </w:rPr>
            </w:pPr>
            <w:r w:rsidRPr="006A6F1F">
              <w:rPr>
                <w:rFonts w:ascii="Arial" w:hAnsi="Arial" w:cs="Arial"/>
                <w:color w:val="000000" w:themeColor="text1"/>
                <w:sz w:val="19"/>
                <w:szCs w:val="19"/>
                <w:lang w:val="en-GB" w:eastAsia="zh-CN"/>
              </w:rPr>
              <w:t>−1.3%</w:t>
            </w:r>
          </w:p>
        </w:tc>
        <w:tc>
          <w:tcPr>
            <w:tcW w:w="755" w:type="dxa"/>
            <w:gridSpan w:val="4"/>
            <w:tcBorders>
              <w:top w:val="nil"/>
              <w:left w:val="nil"/>
              <w:right w:val="nil"/>
            </w:tcBorders>
            <w:shd w:val="clear" w:color="auto" w:fill="auto"/>
            <w:vAlign w:val="center"/>
            <w:hideMark/>
          </w:tcPr>
          <w:p w14:paraId="1CF2E288" w14:textId="77777777" w:rsidR="00365207" w:rsidRPr="006A6F1F" w:rsidRDefault="00365207" w:rsidP="00E66870">
            <w:pPr>
              <w:jc w:val="right"/>
              <w:rPr>
                <w:rFonts w:ascii="Arial" w:hAnsi="Arial" w:cs="Arial"/>
                <w:color w:val="000000" w:themeColor="text1"/>
                <w:sz w:val="19"/>
                <w:szCs w:val="19"/>
                <w:lang w:val="en-GB" w:eastAsia="zh-CN"/>
              </w:rPr>
            </w:pPr>
          </w:p>
        </w:tc>
      </w:tr>
      <w:tr w:rsidR="00365207" w:rsidRPr="006A6F1F" w14:paraId="5BE75C68" w14:textId="77777777" w:rsidTr="00365207">
        <w:trPr>
          <w:trHeight w:val="240"/>
          <w:jc w:val="center"/>
        </w:trPr>
        <w:tc>
          <w:tcPr>
            <w:tcW w:w="2553" w:type="dxa"/>
            <w:tcBorders>
              <w:top w:val="nil"/>
              <w:left w:val="nil"/>
              <w:bottom w:val="single" w:sz="4" w:space="0" w:color="auto"/>
              <w:right w:val="nil"/>
            </w:tcBorders>
            <w:shd w:val="clear" w:color="auto" w:fill="auto"/>
            <w:noWrap/>
            <w:vAlign w:val="center"/>
            <w:hideMark/>
          </w:tcPr>
          <w:p w14:paraId="61FC227B" w14:textId="77777777" w:rsidR="00365207" w:rsidRPr="006A6F1F" w:rsidRDefault="00365207" w:rsidP="00E66870">
            <w:pPr>
              <w:jc w:val="both"/>
              <w:rPr>
                <w:color w:val="000000" w:themeColor="text1"/>
                <w:sz w:val="19"/>
                <w:szCs w:val="19"/>
                <w:lang w:val="en-GB" w:eastAsia="zh-CN"/>
              </w:rPr>
            </w:pPr>
          </w:p>
        </w:tc>
        <w:tc>
          <w:tcPr>
            <w:tcW w:w="1166" w:type="dxa"/>
            <w:tcBorders>
              <w:top w:val="nil"/>
              <w:left w:val="nil"/>
              <w:bottom w:val="single" w:sz="4" w:space="0" w:color="auto"/>
              <w:right w:val="nil"/>
            </w:tcBorders>
            <w:shd w:val="clear" w:color="auto" w:fill="auto"/>
            <w:vAlign w:val="center"/>
            <w:hideMark/>
          </w:tcPr>
          <w:p w14:paraId="20C3A526" w14:textId="77777777" w:rsidR="00365207" w:rsidRPr="006A6F1F" w:rsidRDefault="00365207" w:rsidP="00E66870">
            <w:pPr>
              <w:jc w:val="center"/>
              <w:rPr>
                <w:color w:val="000000" w:themeColor="text1"/>
                <w:sz w:val="19"/>
                <w:szCs w:val="19"/>
                <w:lang w:val="en-GB" w:eastAsia="zh-CN"/>
              </w:rPr>
            </w:pPr>
          </w:p>
        </w:tc>
        <w:tc>
          <w:tcPr>
            <w:tcW w:w="755" w:type="dxa"/>
            <w:tcBorders>
              <w:top w:val="nil"/>
              <w:left w:val="nil"/>
              <w:bottom w:val="single" w:sz="4" w:space="0" w:color="auto"/>
              <w:right w:val="nil"/>
            </w:tcBorders>
            <w:shd w:val="clear" w:color="auto" w:fill="auto"/>
            <w:vAlign w:val="center"/>
            <w:hideMark/>
          </w:tcPr>
          <w:p w14:paraId="0CA35BD4" w14:textId="77777777" w:rsidR="00365207" w:rsidRPr="006A6F1F" w:rsidRDefault="00365207" w:rsidP="00E66870">
            <w:pPr>
              <w:jc w:val="center"/>
              <w:rPr>
                <w:color w:val="000000" w:themeColor="text1"/>
                <w:sz w:val="19"/>
                <w:szCs w:val="19"/>
                <w:lang w:val="en-GB" w:eastAsia="zh-CN"/>
              </w:rPr>
            </w:pPr>
          </w:p>
        </w:tc>
        <w:tc>
          <w:tcPr>
            <w:tcW w:w="755" w:type="dxa"/>
            <w:gridSpan w:val="2"/>
            <w:tcBorders>
              <w:top w:val="nil"/>
              <w:left w:val="nil"/>
              <w:bottom w:val="single" w:sz="4" w:space="0" w:color="auto"/>
              <w:right w:val="nil"/>
            </w:tcBorders>
            <w:shd w:val="clear" w:color="auto" w:fill="auto"/>
            <w:vAlign w:val="center"/>
            <w:hideMark/>
          </w:tcPr>
          <w:p w14:paraId="72069041" w14:textId="77777777" w:rsidR="00365207" w:rsidRPr="006A6F1F" w:rsidRDefault="00365207" w:rsidP="00E66870">
            <w:pPr>
              <w:jc w:val="center"/>
              <w:rPr>
                <w:color w:val="000000" w:themeColor="text1"/>
                <w:sz w:val="19"/>
                <w:szCs w:val="19"/>
                <w:lang w:val="en-GB" w:eastAsia="zh-CN"/>
              </w:rPr>
            </w:pPr>
          </w:p>
        </w:tc>
        <w:tc>
          <w:tcPr>
            <w:tcW w:w="755" w:type="dxa"/>
            <w:gridSpan w:val="2"/>
            <w:tcBorders>
              <w:top w:val="nil"/>
              <w:left w:val="nil"/>
              <w:bottom w:val="single" w:sz="4" w:space="0" w:color="auto"/>
              <w:right w:val="nil"/>
            </w:tcBorders>
            <w:shd w:val="clear" w:color="auto" w:fill="auto"/>
            <w:vAlign w:val="center"/>
            <w:hideMark/>
          </w:tcPr>
          <w:p w14:paraId="00D90F51" w14:textId="77777777" w:rsidR="00365207" w:rsidRPr="006A6F1F" w:rsidRDefault="00365207" w:rsidP="00E66870">
            <w:pPr>
              <w:jc w:val="center"/>
              <w:rPr>
                <w:color w:val="000000" w:themeColor="text1"/>
                <w:sz w:val="19"/>
                <w:szCs w:val="19"/>
                <w:lang w:val="en-GB" w:eastAsia="zh-CN"/>
              </w:rPr>
            </w:pPr>
          </w:p>
        </w:tc>
        <w:tc>
          <w:tcPr>
            <w:tcW w:w="755" w:type="dxa"/>
            <w:gridSpan w:val="3"/>
            <w:tcBorders>
              <w:top w:val="nil"/>
              <w:left w:val="nil"/>
              <w:bottom w:val="single" w:sz="4" w:space="0" w:color="auto"/>
              <w:right w:val="nil"/>
            </w:tcBorders>
            <w:shd w:val="clear" w:color="auto" w:fill="auto"/>
            <w:vAlign w:val="center"/>
            <w:hideMark/>
          </w:tcPr>
          <w:p w14:paraId="222D5A17" w14:textId="77777777" w:rsidR="00365207" w:rsidRPr="006A6F1F" w:rsidRDefault="00365207" w:rsidP="00E66870">
            <w:pPr>
              <w:jc w:val="center"/>
              <w:rPr>
                <w:color w:val="000000" w:themeColor="text1"/>
                <w:sz w:val="19"/>
                <w:szCs w:val="19"/>
                <w:lang w:val="en-GB" w:eastAsia="zh-CN"/>
              </w:rPr>
            </w:pPr>
          </w:p>
        </w:tc>
        <w:tc>
          <w:tcPr>
            <w:tcW w:w="755" w:type="dxa"/>
            <w:gridSpan w:val="2"/>
            <w:tcBorders>
              <w:top w:val="nil"/>
              <w:left w:val="nil"/>
              <w:bottom w:val="single" w:sz="4" w:space="0" w:color="auto"/>
              <w:right w:val="nil"/>
            </w:tcBorders>
            <w:shd w:val="clear" w:color="auto" w:fill="auto"/>
            <w:vAlign w:val="center"/>
            <w:hideMark/>
          </w:tcPr>
          <w:p w14:paraId="40E5D8A8" w14:textId="77777777" w:rsidR="00365207" w:rsidRPr="006A6F1F" w:rsidRDefault="00365207" w:rsidP="00E66870">
            <w:pPr>
              <w:jc w:val="center"/>
              <w:rPr>
                <w:color w:val="000000" w:themeColor="text1"/>
                <w:sz w:val="19"/>
                <w:szCs w:val="19"/>
                <w:lang w:val="en-GB" w:eastAsia="zh-CN"/>
              </w:rPr>
            </w:pPr>
          </w:p>
        </w:tc>
        <w:tc>
          <w:tcPr>
            <w:tcW w:w="755" w:type="dxa"/>
            <w:gridSpan w:val="4"/>
            <w:tcBorders>
              <w:top w:val="nil"/>
              <w:left w:val="nil"/>
              <w:bottom w:val="single" w:sz="4" w:space="0" w:color="auto"/>
              <w:right w:val="nil"/>
            </w:tcBorders>
            <w:shd w:val="clear" w:color="auto" w:fill="auto"/>
            <w:vAlign w:val="center"/>
            <w:hideMark/>
          </w:tcPr>
          <w:p w14:paraId="4CB58221" w14:textId="77777777" w:rsidR="00365207" w:rsidRPr="006A6F1F" w:rsidRDefault="00365207" w:rsidP="00E66870">
            <w:pPr>
              <w:jc w:val="center"/>
              <w:rPr>
                <w:color w:val="000000" w:themeColor="text1"/>
                <w:sz w:val="19"/>
                <w:szCs w:val="19"/>
                <w:lang w:val="en-GB" w:eastAsia="zh-CN"/>
              </w:rPr>
            </w:pPr>
          </w:p>
        </w:tc>
      </w:tr>
      <w:tr w:rsidR="00365207" w:rsidRPr="006A6F1F" w14:paraId="75139956" w14:textId="77777777" w:rsidTr="00365207">
        <w:trPr>
          <w:gridAfter w:val="3"/>
          <w:wAfter w:w="735" w:type="dxa"/>
          <w:trHeight w:val="225"/>
          <w:jc w:val="center"/>
        </w:trPr>
        <w:tc>
          <w:tcPr>
            <w:tcW w:w="7514" w:type="dxa"/>
            <w:gridSpan w:val="13"/>
            <w:tcBorders>
              <w:top w:val="single" w:sz="8" w:space="0" w:color="auto"/>
              <w:left w:val="nil"/>
              <w:bottom w:val="nil"/>
              <w:right w:val="nil"/>
            </w:tcBorders>
            <w:shd w:val="clear" w:color="auto" w:fill="auto"/>
            <w:vAlign w:val="center"/>
            <w:hideMark/>
          </w:tcPr>
          <w:p w14:paraId="4EAF7AD0" w14:textId="7F65A20C" w:rsidR="00365207" w:rsidRPr="006A6F1F" w:rsidRDefault="00365207" w:rsidP="00365207">
            <w:pPr>
              <w:rPr>
                <w:rFonts w:ascii="Arial" w:hAnsi="Arial" w:cs="Arial"/>
                <w:b/>
                <w:bCs/>
                <w:color w:val="000000" w:themeColor="text1"/>
                <w:sz w:val="19"/>
                <w:szCs w:val="19"/>
                <w:lang w:val="en-GB" w:eastAsia="zh-CN"/>
              </w:rPr>
            </w:pPr>
            <w:r w:rsidRPr="006A6F1F">
              <w:rPr>
                <w:rFonts w:ascii="Arial" w:hAnsi="Arial" w:cs="Arial"/>
                <w:b/>
                <w:bCs/>
                <w:color w:val="000000" w:themeColor="text1"/>
                <w:sz w:val="19"/>
                <w:szCs w:val="19"/>
                <w:lang w:val="en-GB" w:eastAsia="zh-CN"/>
              </w:rPr>
              <w:t>(b) Other Information </w:t>
            </w:r>
          </w:p>
        </w:tc>
      </w:tr>
      <w:tr w:rsidR="00365207" w:rsidRPr="006A6F1F" w14:paraId="36A029AC" w14:textId="77777777" w:rsidTr="00365207">
        <w:trPr>
          <w:gridAfter w:val="1"/>
          <w:wAfter w:w="132" w:type="dxa"/>
          <w:trHeight w:val="465"/>
          <w:jc w:val="center"/>
        </w:trPr>
        <w:tc>
          <w:tcPr>
            <w:tcW w:w="2553" w:type="dxa"/>
            <w:tcBorders>
              <w:top w:val="nil"/>
              <w:left w:val="nil"/>
              <w:bottom w:val="single" w:sz="8" w:space="0" w:color="auto"/>
              <w:right w:val="nil"/>
            </w:tcBorders>
            <w:shd w:val="clear" w:color="auto" w:fill="auto"/>
            <w:vAlign w:val="center"/>
            <w:hideMark/>
          </w:tcPr>
          <w:p w14:paraId="0BEE6125" w14:textId="77777777" w:rsidR="00365207" w:rsidRPr="006A6F1F" w:rsidRDefault="00365207" w:rsidP="00E66870">
            <w:pPr>
              <w:rPr>
                <w:rFonts w:ascii="Arial" w:hAnsi="Arial" w:cs="Arial"/>
                <w:b/>
                <w:bCs/>
                <w:color w:val="000000" w:themeColor="text1"/>
                <w:sz w:val="19"/>
                <w:szCs w:val="19"/>
                <w:lang w:val="en-GB" w:eastAsia="zh-CN"/>
              </w:rPr>
            </w:pPr>
            <w:r w:rsidRPr="006A6F1F">
              <w:rPr>
                <w:rFonts w:ascii="Arial" w:hAnsi="Arial" w:cs="Arial"/>
                <w:b/>
                <w:bCs/>
                <w:color w:val="000000" w:themeColor="text1"/>
                <w:sz w:val="19"/>
                <w:szCs w:val="19"/>
                <w:lang w:val="en-GB" w:eastAsia="zh-CN"/>
              </w:rPr>
              <w:t> </w:t>
            </w:r>
          </w:p>
        </w:tc>
        <w:tc>
          <w:tcPr>
            <w:tcW w:w="2137" w:type="dxa"/>
            <w:gridSpan w:val="3"/>
            <w:tcBorders>
              <w:top w:val="nil"/>
              <w:left w:val="nil"/>
              <w:bottom w:val="single" w:sz="8" w:space="0" w:color="auto"/>
              <w:right w:val="nil"/>
            </w:tcBorders>
            <w:shd w:val="clear" w:color="auto" w:fill="auto"/>
            <w:vAlign w:val="center"/>
            <w:hideMark/>
          </w:tcPr>
          <w:p w14:paraId="5311874E" w14:textId="77777777" w:rsidR="00365207" w:rsidRPr="006A6F1F" w:rsidRDefault="00365207" w:rsidP="00E66870">
            <w:pPr>
              <w:jc w:val="center"/>
              <w:rPr>
                <w:rFonts w:ascii="Arial" w:hAnsi="Arial" w:cs="Arial"/>
                <w:b/>
                <w:bCs/>
                <w:color w:val="000000" w:themeColor="text1"/>
                <w:sz w:val="19"/>
                <w:szCs w:val="19"/>
                <w:lang w:val="en-GB" w:eastAsia="zh-CN"/>
              </w:rPr>
            </w:pPr>
            <w:r w:rsidRPr="006A6F1F">
              <w:rPr>
                <w:rFonts w:ascii="Arial" w:hAnsi="Arial" w:cs="Arial"/>
                <w:b/>
                <w:bCs/>
                <w:color w:val="000000" w:themeColor="text1"/>
                <w:sz w:val="19"/>
                <w:szCs w:val="19"/>
                <w:lang w:val="en-GB" w:eastAsia="zh-CN"/>
              </w:rPr>
              <w:t>Risk-Free Rate</w:t>
            </w:r>
          </w:p>
        </w:tc>
        <w:tc>
          <w:tcPr>
            <w:tcW w:w="1718" w:type="dxa"/>
            <w:gridSpan w:val="5"/>
            <w:tcBorders>
              <w:top w:val="nil"/>
              <w:left w:val="nil"/>
              <w:bottom w:val="single" w:sz="8" w:space="0" w:color="auto"/>
              <w:right w:val="nil"/>
            </w:tcBorders>
            <w:shd w:val="clear" w:color="auto" w:fill="auto"/>
            <w:vAlign w:val="center"/>
            <w:hideMark/>
          </w:tcPr>
          <w:p w14:paraId="6280A462" w14:textId="77777777" w:rsidR="00365207" w:rsidRPr="006A6F1F" w:rsidRDefault="00365207" w:rsidP="00E66870">
            <w:pPr>
              <w:jc w:val="center"/>
              <w:rPr>
                <w:rFonts w:ascii="Arial" w:hAnsi="Arial" w:cs="Arial"/>
                <w:b/>
                <w:bCs/>
                <w:color w:val="000000" w:themeColor="text1"/>
                <w:sz w:val="19"/>
                <w:szCs w:val="19"/>
                <w:lang w:val="en-GB" w:eastAsia="zh-CN"/>
              </w:rPr>
            </w:pPr>
            <w:r w:rsidRPr="006A6F1F">
              <w:rPr>
                <w:rFonts w:ascii="Arial" w:hAnsi="Arial" w:cs="Arial"/>
                <w:b/>
                <w:bCs/>
                <w:color w:val="000000" w:themeColor="text1"/>
                <w:sz w:val="19"/>
                <w:szCs w:val="19"/>
                <w:lang w:val="en-GB" w:eastAsia="zh-CN"/>
              </w:rPr>
              <w:t xml:space="preserve">Market Risk Premium </w:t>
            </w:r>
          </w:p>
        </w:tc>
        <w:tc>
          <w:tcPr>
            <w:tcW w:w="1709" w:type="dxa"/>
            <w:gridSpan w:val="6"/>
            <w:tcBorders>
              <w:top w:val="nil"/>
              <w:left w:val="nil"/>
              <w:bottom w:val="single" w:sz="8" w:space="0" w:color="auto"/>
              <w:right w:val="nil"/>
            </w:tcBorders>
            <w:shd w:val="clear" w:color="auto" w:fill="auto"/>
            <w:vAlign w:val="center"/>
            <w:hideMark/>
          </w:tcPr>
          <w:p w14:paraId="7C2F36C3" w14:textId="77777777" w:rsidR="00365207" w:rsidRPr="006A6F1F" w:rsidRDefault="00365207" w:rsidP="00E66870">
            <w:pPr>
              <w:jc w:val="center"/>
              <w:rPr>
                <w:rFonts w:ascii="Arial" w:hAnsi="Arial" w:cs="Arial"/>
                <w:b/>
                <w:bCs/>
                <w:color w:val="000000" w:themeColor="text1"/>
                <w:sz w:val="19"/>
                <w:szCs w:val="19"/>
                <w:lang w:val="en-GB" w:eastAsia="zh-CN"/>
              </w:rPr>
            </w:pPr>
          </w:p>
        </w:tc>
      </w:tr>
      <w:tr w:rsidR="00365207" w:rsidRPr="006A6F1F" w14:paraId="6563A7F0" w14:textId="77777777" w:rsidTr="00365207">
        <w:trPr>
          <w:gridAfter w:val="1"/>
          <w:wAfter w:w="132" w:type="dxa"/>
          <w:trHeight w:val="240"/>
          <w:jc w:val="center"/>
        </w:trPr>
        <w:tc>
          <w:tcPr>
            <w:tcW w:w="2553" w:type="dxa"/>
            <w:tcBorders>
              <w:top w:val="nil"/>
              <w:left w:val="nil"/>
              <w:bottom w:val="single" w:sz="8" w:space="0" w:color="auto"/>
              <w:right w:val="nil"/>
            </w:tcBorders>
            <w:shd w:val="clear" w:color="auto" w:fill="auto"/>
            <w:vAlign w:val="center"/>
            <w:hideMark/>
          </w:tcPr>
          <w:p w14:paraId="396B8912" w14:textId="77777777" w:rsidR="00365207" w:rsidRPr="006A6F1F" w:rsidRDefault="00365207" w:rsidP="00E66870">
            <w:pPr>
              <w:rPr>
                <w:rFonts w:ascii="Arial" w:hAnsi="Arial" w:cs="Arial"/>
                <w:b/>
                <w:bCs/>
                <w:color w:val="000000" w:themeColor="text1"/>
                <w:sz w:val="19"/>
                <w:szCs w:val="19"/>
                <w:lang w:val="en-GB" w:eastAsia="zh-CN"/>
              </w:rPr>
            </w:pPr>
            <w:r w:rsidRPr="006A6F1F">
              <w:rPr>
                <w:rFonts w:ascii="Arial" w:hAnsi="Arial" w:cs="Arial"/>
                <w:b/>
                <w:bCs/>
                <w:color w:val="000000" w:themeColor="text1"/>
                <w:sz w:val="19"/>
                <w:szCs w:val="19"/>
                <w:lang w:val="en-GB" w:eastAsia="zh-CN"/>
              </w:rPr>
              <w:t>Singapore</w:t>
            </w:r>
          </w:p>
        </w:tc>
        <w:tc>
          <w:tcPr>
            <w:tcW w:w="2137" w:type="dxa"/>
            <w:gridSpan w:val="3"/>
            <w:tcBorders>
              <w:top w:val="nil"/>
              <w:left w:val="nil"/>
              <w:bottom w:val="single" w:sz="8" w:space="0" w:color="auto"/>
              <w:right w:val="nil"/>
            </w:tcBorders>
            <w:shd w:val="clear" w:color="auto" w:fill="auto"/>
            <w:vAlign w:val="center"/>
            <w:hideMark/>
          </w:tcPr>
          <w:p w14:paraId="6D764C5B" w14:textId="0458CF64" w:rsidR="00365207" w:rsidRPr="006A6F1F" w:rsidRDefault="00365207" w:rsidP="00E66870">
            <w:pPr>
              <w:jc w:val="center"/>
              <w:rPr>
                <w:rFonts w:ascii="Arial" w:hAnsi="Arial" w:cs="Arial"/>
                <w:b/>
                <w:bCs/>
                <w:color w:val="000000" w:themeColor="text1"/>
                <w:sz w:val="19"/>
                <w:szCs w:val="19"/>
                <w:lang w:val="en-GB" w:eastAsia="zh-CN"/>
              </w:rPr>
            </w:pPr>
            <w:r w:rsidRPr="006A6F1F">
              <w:rPr>
                <w:rFonts w:ascii="Arial" w:hAnsi="Arial" w:cs="Arial"/>
                <w:b/>
                <w:bCs/>
                <w:color w:val="000000" w:themeColor="text1"/>
                <w:sz w:val="19"/>
                <w:szCs w:val="19"/>
                <w:lang w:val="en-GB" w:eastAsia="zh-CN"/>
              </w:rPr>
              <w:t>2.25%</w:t>
            </w:r>
            <w:r w:rsidR="004D4A76">
              <w:rPr>
                <w:rFonts w:ascii="Arial" w:hAnsi="Arial" w:cs="Arial"/>
                <w:b/>
                <w:bCs/>
                <w:color w:val="000000" w:themeColor="text1"/>
                <w:sz w:val="19"/>
                <w:szCs w:val="19"/>
                <w:vertAlign w:val="superscript"/>
                <w:lang w:val="en-GB" w:eastAsia="zh-CN"/>
              </w:rPr>
              <w:t>2</w:t>
            </w:r>
          </w:p>
        </w:tc>
        <w:tc>
          <w:tcPr>
            <w:tcW w:w="1718" w:type="dxa"/>
            <w:gridSpan w:val="5"/>
            <w:tcBorders>
              <w:top w:val="nil"/>
              <w:left w:val="nil"/>
              <w:bottom w:val="single" w:sz="8" w:space="0" w:color="auto"/>
              <w:right w:val="nil"/>
            </w:tcBorders>
            <w:shd w:val="clear" w:color="auto" w:fill="auto"/>
            <w:vAlign w:val="center"/>
            <w:hideMark/>
          </w:tcPr>
          <w:p w14:paraId="6E5C3093" w14:textId="7BB36B27" w:rsidR="00365207" w:rsidRPr="006A6F1F" w:rsidRDefault="00365207" w:rsidP="00E66870">
            <w:pPr>
              <w:jc w:val="center"/>
              <w:rPr>
                <w:rFonts w:ascii="Arial" w:hAnsi="Arial" w:cs="Arial"/>
                <w:b/>
                <w:bCs/>
                <w:color w:val="000000" w:themeColor="text1"/>
                <w:sz w:val="19"/>
                <w:szCs w:val="19"/>
                <w:lang w:val="en-GB" w:eastAsia="zh-CN"/>
              </w:rPr>
            </w:pPr>
            <w:r w:rsidRPr="006A6F1F">
              <w:rPr>
                <w:rFonts w:ascii="Arial" w:hAnsi="Arial" w:cs="Arial"/>
                <w:b/>
                <w:bCs/>
                <w:color w:val="000000" w:themeColor="text1"/>
                <w:sz w:val="19"/>
                <w:szCs w:val="19"/>
                <w:lang w:val="en-GB" w:eastAsia="zh-CN"/>
              </w:rPr>
              <w:t>4.89%</w:t>
            </w:r>
            <w:r w:rsidR="004D4A76">
              <w:rPr>
                <w:rFonts w:ascii="Arial" w:hAnsi="Arial" w:cs="Arial"/>
                <w:b/>
                <w:bCs/>
                <w:color w:val="000000" w:themeColor="text1"/>
                <w:sz w:val="19"/>
                <w:szCs w:val="19"/>
                <w:vertAlign w:val="superscript"/>
                <w:lang w:val="en-GB" w:eastAsia="zh-CN"/>
              </w:rPr>
              <w:t>3</w:t>
            </w:r>
          </w:p>
        </w:tc>
        <w:tc>
          <w:tcPr>
            <w:tcW w:w="1709" w:type="dxa"/>
            <w:gridSpan w:val="6"/>
            <w:tcBorders>
              <w:top w:val="nil"/>
              <w:left w:val="nil"/>
              <w:bottom w:val="single" w:sz="8" w:space="0" w:color="auto"/>
              <w:right w:val="nil"/>
            </w:tcBorders>
            <w:shd w:val="clear" w:color="auto" w:fill="auto"/>
            <w:vAlign w:val="center"/>
            <w:hideMark/>
          </w:tcPr>
          <w:p w14:paraId="61C0586F" w14:textId="77777777" w:rsidR="00365207" w:rsidRPr="006A6F1F" w:rsidRDefault="00365207" w:rsidP="00E66870">
            <w:pPr>
              <w:jc w:val="center"/>
              <w:rPr>
                <w:rFonts w:ascii="Arial" w:hAnsi="Arial" w:cs="Arial"/>
                <w:b/>
                <w:bCs/>
                <w:color w:val="000000" w:themeColor="text1"/>
                <w:sz w:val="19"/>
                <w:szCs w:val="19"/>
                <w:lang w:val="en-GB" w:eastAsia="zh-CN"/>
              </w:rPr>
            </w:pPr>
          </w:p>
        </w:tc>
      </w:tr>
    </w:tbl>
    <w:p w14:paraId="3B2EA1CA" w14:textId="77777777" w:rsidR="00B9262B" w:rsidRPr="006A6F1F" w:rsidRDefault="00B9262B" w:rsidP="00B9262B">
      <w:pPr>
        <w:pStyle w:val="BodyTextMain"/>
        <w:jc w:val="left"/>
        <w:rPr>
          <w:rFonts w:ascii="Arial" w:hAnsi="Arial" w:cs="Arial"/>
          <w:color w:val="000000" w:themeColor="text1"/>
          <w:sz w:val="17"/>
          <w:szCs w:val="17"/>
          <w:lang w:val="en-GB"/>
        </w:rPr>
      </w:pPr>
    </w:p>
    <w:p w14:paraId="0701A90A" w14:textId="750296C2" w:rsidR="00B9262B" w:rsidRPr="006A6F1F" w:rsidRDefault="00B9262B" w:rsidP="00B9262B">
      <w:pPr>
        <w:pStyle w:val="BodyTextMain"/>
        <w:jc w:val="left"/>
        <w:rPr>
          <w:rFonts w:ascii="Arial" w:hAnsi="Arial" w:cs="Arial"/>
          <w:color w:val="000000" w:themeColor="text1"/>
          <w:sz w:val="17"/>
          <w:szCs w:val="17"/>
          <w:lang w:val="en-GB"/>
        </w:rPr>
      </w:pPr>
      <w:r w:rsidRPr="006A6F1F">
        <w:rPr>
          <w:rFonts w:ascii="Arial" w:hAnsi="Arial" w:cs="Arial"/>
          <w:color w:val="000000" w:themeColor="text1"/>
          <w:sz w:val="17"/>
          <w:szCs w:val="17"/>
          <w:lang w:val="en-GB"/>
        </w:rPr>
        <w:t xml:space="preserve">Note: </w:t>
      </w:r>
      <w:r>
        <w:rPr>
          <w:rFonts w:ascii="Arial" w:hAnsi="Arial" w:cs="Arial"/>
          <w:color w:val="000000" w:themeColor="text1"/>
          <w:sz w:val="17"/>
          <w:szCs w:val="17"/>
          <w:lang w:val="en-GB"/>
        </w:rPr>
        <w:t xml:space="preserve">The market risk </w:t>
      </w:r>
      <w:r w:rsidRPr="006A6F1F">
        <w:rPr>
          <w:rFonts w:ascii="Arial" w:hAnsi="Arial" w:cs="Arial"/>
          <w:color w:val="000000" w:themeColor="text1"/>
          <w:sz w:val="17"/>
          <w:szCs w:val="17"/>
          <w:lang w:val="en-GB"/>
        </w:rPr>
        <w:t>premium was the market return above the risk</w:t>
      </w:r>
      <w:r>
        <w:rPr>
          <w:rFonts w:ascii="Arial" w:hAnsi="Arial" w:cs="Arial"/>
          <w:color w:val="000000" w:themeColor="text1"/>
          <w:sz w:val="17"/>
          <w:szCs w:val="17"/>
          <w:lang w:val="en-GB"/>
        </w:rPr>
        <w:t>-</w:t>
      </w:r>
      <w:r w:rsidRPr="006A6F1F">
        <w:rPr>
          <w:rFonts w:ascii="Arial" w:hAnsi="Arial" w:cs="Arial"/>
          <w:color w:val="000000" w:themeColor="text1"/>
          <w:sz w:val="17"/>
          <w:szCs w:val="17"/>
          <w:lang w:val="en-GB"/>
        </w:rPr>
        <w:t>free rate as at March 2017.</w:t>
      </w:r>
      <w:r w:rsidR="00434042" w:rsidRPr="00434042">
        <w:rPr>
          <w:rStyle w:val="FootnoteChar"/>
        </w:rPr>
        <w:t xml:space="preserve"> </w:t>
      </w:r>
      <w:r w:rsidR="00434042" w:rsidRPr="00FE0572">
        <w:rPr>
          <w:rStyle w:val="FootnoteChar"/>
        </w:rPr>
        <w:t>SG$ = Singapore dollar</w:t>
      </w:r>
      <w:r w:rsidR="00434042">
        <w:rPr>
          <w:rStyle w:val="FootnoteChar"/>
        </w:rPr>
        <w:t>;</w:t>
      </w:r>
      <w:r w:rsidR="00434042" w:rsidRPr="00FE0572">
        <w:rPr>
          <w:rStyle w:val="FootnoteChar"/>
        </w:rPr>
        <w:t xml:space="preserve"> </w:t>
      </w:r>
      <w:r w:rsidR="00434042">
        <w:rPr>
          <w:rStyle w:val="FootnoteChar"/>
        </w:rPr>
        <w:t xml:space="preserve">SG$1 = </w:t>
      </w:r>
      <w:r w:rsidR="00434042" w:rsidRPr="00FE0572">
        <w:rPr>
          <w:rStyle w:val="FootnoteChar"/>
        </w:rPr>
        <w:t>US$</w:t>
      </w:r>
      <w:r w:rsidR="00434042">
        <w:rPr>
          <w:rStyle w:val="FootnoteChar"/>
        </w:rPr>
        <w:t>0.70540</w:t>
      </w:r>
      <w:r w:rsidR="00434042" w:rsidRPr="00FE0572">
        <w:rPr>
          <w:rStyle w:val="FootnoteChar"/>
        </w:rPr>
        <w:t xml:space="preserve"> on March 8, 2017</w:t>
      </w:r>
    </w:p>
    <w:p w14:paraId="65BE9243" w14:textId="1DEF7AF1" w:rsidR="00B9262B" w:rsidRDefault="00B9262B" w:rsidP="00B9262B">
      <w:pPr>
        <w:pStyle w:val="Footnote"/>
        <w:rPr>
          <w:lang w:val="en-GB"/>
        </w:rPr>
      </w:pPr>
      <w:r w:rsidRPr="006A6F1F">
        <w:rPr>
          <w:lang w:val="en-GB"/>
        </w:rPr>
        <w:t xml:space="preserve">Sources: </w:t>
      </w:r>
      <w:r w:rsidRPr="006A6F1F">
        <w:rPr>
          <w:vertAlign w:val="superscript"/>
          <w:lang w:val="en-GB"/>
        </w:rPr>
        <w:t>1</w:t>
      </w:r>
      <w:r w:rsidRPr="006A6F1F">
        <w:rPr>
          <w:lang w:val="en-GB"/>
        </w:rPr>
        <w:t xml:space="preserve"> Department of Statistics of Singapore, accessed May 15, 2018, </w:t>
      </w:r>
      <w:r w:rsidR="00D7610B" w:rsidRPr="00D7610B">
        <w:rPr>
          <w:lang w:val="en-GB"/>
        </w:rPr>
        <w:t>www.singstat.gov.sg/</w:t>
      </w:r>
      <w:r w:rsidRPr="006A6F1F">
        <w:rPr>
          <w:lang w:val="en-GB"/>
        </w:rPr>
        <w:t>;</w:t>
      </w:r>
      <w:r w:rsidRPr="006A6F1F">
        <w:rPr>
          <w:vertAlign w:val="superscript"/>
          <w:lang w:val="en-GB"/>
        </w:rPr>
        <w:t xml:space="preserve"> 2</w:t>
      </w:r>
      <w:r w:rsidRPr="006A6F1F">
        <w:rPr>
          <w:lang w:val="en-GB"/>
        </w:rPr>
        <w:t xml:space="preserve"> </w:t>
      </w:r>
      <w:r>
        <w:rPr>
          <w:vertAlign w:val="superscript"/>
          <w:lang w:val="en-GB"/>
        </w:rPr>
        <w:t>“</w:t>
      </w:r>
      <w:r w:rsidRPr="006A6F1F">
        <w:rPr>
          <w:lang w:val="en-GB"/>
        </w:rPr>
        <w:t>Singapore 10-Year Bond Yield for March 2017,</w:t>
      </w:r>
      <w:r>
        <w:rPr>
          <w:lang w:val="en-GB"/>
        </w:rPr>
        <w:t>”</w:t>
      </w:r>
      <w:r w:rsidRPr="006A6F1F">
        <w:rPr>
          <w:lang w:val="en-GB"/>
        </w:rPr>
        <w:t xml:space="preserve"> </w:t>
      </w:r>
      <w:r w:rsidR="00434042">
        <w:rPr>
          <w:lang w:val="en-GB"/>
        </w:rPr>
        <w:t xml:space="preserve">Bloomberg, </w:t>
      </w:r>
      <w:r w:rsidRPr="006A6F1F">
        <w:rPr>
          <w:lang w:val="en-GB"/>
        </w:rPr>
        <w:t xml:space="preserve">accessed May 15, 2018, </w:t>
      </w:r>
      <w:r w:rsidR="00D7610B" w:rsidRPr="00D7610B">
        <w:rPr>
          <w:lang w:val="en-GB"/>
        </w:rPr>
        <w:t>www.bloomberg.com/quote/MASB10Y:IND</w:t>
      </w:r>
      <w:r w:rsidRPr="006A6F1F">
        <w:rPr>
          <w:rStyle w:val="Hyperlink"/>
          <w:color w:val="000000" w:themeColor="text1"/>
          <w:u w:val="none"/>
          <w:lang w:val="en-GB"/>
        </w:rPr>
        <w:t xml:space="preserve">; </w:t>
      </w:r>
      <w:r w:rsidR="004D4A76">
        <w:rPr>
          <w:vertAlign w:val="superscript"/>
          <w:lang w:val="en-GB"/>
        </w:rPr>
        <w:t>3</w:t>
      </w:r>
      <w:r w:rsidR="00D7610B">
        <w:rPr>
          <w:vertAlign w:val="superscript"/>
          <w:lang w:val="en-GB"/>
        </w:rPr>
        <w:t xml:space="preserve"> </w:t>
      </w:r>
      <w:r>
        <w:rPr>
          <w:lang w:val="en-GB"/>
        </w:rPr>
        <w:t>“</w:t>
      </w:r>
      <w:r w:rsidRPr="00EE7FD7">
        <w:rPr>
          <w:lang w:val="en-GB"/>
        </w:rPr>
        <w:t>Implied Market-Risk</w:t>
      </w:r>
      <w:r w:rsidRPr="006A6F1F">
        <w:rPr>
          <w:lang w:val="en-GB"/>
        </w:rPr>
        <w:t>-</w:t>
      </w:r>
      <w:proofErr w:type="spellStart"/>
      <w:r w:rsidRPr="00EE7FD7">
        <w:rPr>
          <w:lang w:val="en-GB"/>
        </w:rPr>
        <w:t>Premia</w:t>
      </w:r>
      <w:proofErr w:type="spellEnd"/>
      <w:r w:rsidRPr="00EE7FD7">
        <w:rPr>
          <w:lang w:val="en-GB"/>
        </w:rPr>
        <w:t xml:space="preserve"> </w:t>
      </w:r>
      <w:r w:rsidRPr="006A6F1F">
        <w:rPr>
          <w:lang w:val="en-GB"/>
        </w:rPr>
        <w:t xml:space="preserve">(IMRP): Singapore,” Market-Risk-Premia.com, accessed May 15, 2018, </w:t>
      </w:r>
      <w:r w:rsidR="003F2FE5" w:rsidRPr="003F2FE5">
        <w:rPr>
          <w:lang w:val="en-GB"/>
        </w:rPr>
        <w:t>www.market-risk-premia.com/sg.html</w:t>
      </w:r>
      <w:r w:rsidRPr="006A6F1F">
        <w:rPr>
          <w:lang w:val="en-GB"/>
        </w:rPr>
        <w:t>.</w:t>
      </w:r>
    </w:p>
    <w:p w14:paraId="4AD25FE8" w14:textId="77777777" w:rsidR="003F2FE5" w:rsidRDefault="003F2FE5" w:rsidP="00B9262B">
      <w:pPr>
        <w:pStyle w:val="Footnote"/>
        <w:rPr>
          <w:lang w:val="en-GB"/>
        </w:rPr>
      </w:pPr>
    </w:p>
    <w:p w14:paraId="3183D86D" w14:textId="77777777" w:rsidR="003F2FE5" w:rsidRDefault="003F2FE5">
      <w:pPr>
        <w:spacing w:after="200" w:line="276" w:lineRule="auto"/>
        <w:rPr>
          <w:rFonts w:ascii="Arial" w:hAnsi="Arial" w:cs="Arial"/>
          <w:b/>
          <w:caps/>
          <w:color w:val="000000" w:themeColor="text1"/>
          <w:lang w:val="en-GB"/>
        </w:rPr>
      </w:pPr>
      <w:r>
        <w:rPr>
          <w:color w:val="000000" w:themeColor="text1"/>
          <w:lang w:val="en-GB"/>
        </w:rPr>
        <w:br w:type="page"/>
      </w:r>
    </w:p>
    <w:p w14:paraId="6DA13E02" w14:textId="707AC927" w:rsidR="001B2957" w:rsidRPr="003F2FE5" w:rsidRDefault="001B2957" w:rsidP="003F2FE5">
      <w:pPr>
        <w:pStyle w:val="ExhibitHeading"/>
      </w:pPr>
      <w:r w:rsidRPr="003F2FE5">
        <w:lastRenderedPageBreak/>
        <w:t xml:space="preserve">Exhibit </w:t>
      </w:r>
      <w:r w:rsidR="00B9262B" w:rsidRPr="003F2FE5">
        <w:t>5</w:t>
      </w:r>
      <w:r w:rsidRPr="003F2FE5">
        <w:t>: KIMLY’s income statements for the year ending september 30</w:t>
      </w:r>
    </w:p>
    <w:p w14:paraId="5DD4D387" w14:textId="77777777" w:rsidR="001B2957" w:rsidRPr="006A6F1F" w:rsidRDefault="001B2957" w:rsidP="00BB5030">
      <w:pPr>
        <w:pStyle w:val="ExhibitHeading"/>
        <w:rPr>
          <w:color w:val="000000" w:themeColor="text1"/>
          <w:lang w:val="en-GB"/>
        </w:rPr>
      </w:pPr>
    </w:p>
    <w:tbl>
      <w:tblPr>
        <w:tblStyle w:val="TableGrid11"/>
        <w:tblW w:w="6000" w:type="dxa"/>
        <w:jc w:val="center"/>
        <w:tblLook w:val="04A0" w:firstRow="1" w:lastRow="0" w:firstColumn="1" w:lastColumn="0" w:noHBand="0" w:noVBand="1"/>
      </w:tblPr>
      <w:tblGrid>
        <w:gridCol w:w="4007"/>
        <w:gridCol w:w="1100"/>
        <w:gridCol w:w="1100"/>
        <w:gridCol w:w="1120"/>
      </w:tblGrid>
      <w:tr w:rsidR="001B2957" w:rsidRPr="006A6F1F" w14:paraId="082260E1" w14:textId="77777777" w:rsidTr="00976783">
        <w:trPr>
          <w:trHeight w:val="60"/>
          <w:jc w:val="center"/>
        </w:trPr>
        <w:tc>
          <w:tcPr>
            <w:tcW w:w="2680" w:type="dxa"/>
            <w:noWrap/>
            <w:hideMark/>
          </w:tcPr>
          <w:p w14:paraId="48C3DC1A" w14:textId="130A20ED" w:rsidR="001B2957" w:rsidRPr="006A6F1F" w:rsidRDefault="001B2957" w:rsidP="00B93C88">
            <w:pPr>
              <w:rPr>
                <w:rFonts w:ascii="Arial" w:hAnsi="Arial" w:cs="Arial"/>
                <w:b/>
                <w:bCs/>
                <w:color w:val="000000" w:themeColor="text1"/>
                <w:sz w:val="19"/>
                <w:szCs w:val="19"/>
                <w:lang w:val="en-GB"/>
              </w:rPr>
            </w:pPr>
            <w:r w:rsidRPr="006A6F1F">
              <w:rPr>
                <w:rFonts w:ascii="Arial" w:hAnsi="Arial" w:cs="Arial"/>
                <w:b/>
                <w:bCs/>
                <w:color w:val="000000" w:themeColor="text1"/>
                <w:sz w:val="19"/>
                <w:szCs w:val="19"/>
                <w:lang w:val="en-GB"/>
              </w:rPr>
              <w:t>(In SG$ thousands)</w:t>
            </w:r>
          </w:p>
        </w:tc>
        <w:tc>
          <w:tcPr>
            <w:tcW w:w="1100" w:type="dxa"/>
            <w:noWrap/>
            <w:hideMark/>
          </w:tcPr>
          <w:p w14:paraId="1CDFA72A" w14:textId="77777777" w:rsidR="001B2957" w:rsidRPr="006A6F1F" w:rsidRDefault="001B2957" w:rsidP="0062193B">
            <w:pPr>
              <w:jc w:val="center"/>
              <w:rPr>
                <w:rFonts w:ascii="Arial" w:hAnsi="Arial" w:cs="Arial"/>
                <w:b/>
                <w:bCs/>
                <w:color w:val="000000" w:themeColor="text1"/>
                <w:sz w:val="19"/>
                <w:szCs w:val="19"/>
                <w:lang w:val="en-GB"/>
              </w:rPr>
            </w:pPr>
            <w:r w:rsidRPr="006A6F1F">
              <w:rPr>
                <w:rFonts w:ascii="Arial" w:hAnsi="Arial" w:cs="Arial"/>
                <w:b/>
                <w:bCs/>
                <w:color w:val="000000" w:themeColor="text1"/>
                <w:sz w:val="19"/>
                <w:szCs w:val="19"/>
                <w:lang w:val="en-GB"/>
              </w:rPr>
              <w:t>2014</w:t>
            </w:r>
          </w:p>
        </w:tc>
        <w:tc>
          <w:tcPr>
            <w:tcW w:w="1100" w:type="dxa"/>
            <w:noWrap/>
            <w:hideMark/>
          </w:tcPr>
          <w:p w14:paraId="4B1CC84E" w14:textId="77777777" w:rsidR="001B2957" w:rsidRPr="006A6F1F" w:rsidRDefault="001B2957" w:rsidP="0062193B">
            <w:pPr>
              <w:jc w:val="center"/>
              <w:rPr>
                <w:rFonts w:ascii="Arial" w:hAnsi="Arial" w:cs="Arial"/>
                <w:b/>
                <w:bCs/>
                <w:color w:val="000000" w:themeColor="text1"/>
                <w:sz w:val="19"/>
                <w:szCs w:val="19"/>
                <w:lang w:val="en-GB"/>
              </w:rPr>
            </w:pPr>
            <w:r w:rsidRPr="006A6F1F">
              <w:rPr>
                <w:rFonts w:ascii="Arial" w:hAnsi="Arial" w:cs="Arial"/>
                <w:b/>
                <w:bCs/>
                <w:color w:val="000000" w:themeColor="text1"/>
                <w:sz w:val="19"/>
                <w:szCs w:val="19"/>
                <w:lang w:val="en-GB"/>
              </w:rPr>
              <w:t>2015</w:t>
            </w:r>
          </w:p>
        </w:tc>
        <w:tc>
          <w:tcPr>
            <w:tcW w:w="1120" w:type="dxa"/>
            <w:noWrap/>
            <w:hideMark/>
          </w:tcPr>
          <w:p w14:paraId="2A3D2E35" w14:textId="77777777" w:rsidR="001B2957" w:rsidRPr="006A6F1F" w:rsidRDefault="001B2957" w:rsidP="0062193B">
            <w:pPr>
              <w:jc w:val="center"/>
              <w:rPr>
                <w:rFonts w:ascii="Arial" w:hAnsi="Arial" w:cs="Arial"/>
                <w:b/>
                <w:bCs/>
                <w:color w:val="000000" w:themeColor="text1"/>
                <w:sz w:val="19"/>
                <w:szCs w:val="19"/>
                <w:lang w:val="en-GB"/>
              </w:rPr>
            </w:pPr>
            <w:r w:rsidRPr="006A6F1F">
              <w:rPr>
                <w:rFonts w:ascii="Arial" w:hAnsi="Arial" w:cs="Arial"/>
                <w:b/>
                <w:bCs/>
                <w:color w:val="000000" w:themeColor="text1"/>
                <w:sz w:val="19"/>
                <w:szCs w:val="19"/>
                <w:lang w:val="en-GB"/>
              </w:rPr>
              <w:t>2016</w:t>
            </w:r>
          </w:p>
        </w:tc>
      </w:tr>
      <w:tr w:rsidR="001B2957" w:rsidRPr="006A6F1F" w14:paraId="76A6B687" w14:textId="77777777" w:rsidTr="00976783">
        <w:trPr>
          <w:trHeight w:val="60"/>
          <w:jc w:val="center"/>
        </w:trPr>
        <w:tc>
          <w:tcPr>
            <w:tcW w:w="0" w:type="auto"/>
            <w:noWrap/>
            <w:hideMark/>
          </w:tcPr>
          <w:p w14:paraId="29EB3F01" w14:textId="77777777" w:rsidR="001B2957" w:rsidRPr="006A6F1F" w:rsidRDefault="001B2957" w:rsidP="00B93C88">
            <w:pPr>
              <w:rPr>
                <w:rFonts w:ascii="Arial" w:hAnsi="Arial" w:cs="Arial"/>
                <w:color w:val="000000" w:themeColor="text1"/>
                <w:sz w:val="19"/>
                <w:szCs w:val="19"/>
                <w:lang w:val="en-GB"/>
              </w:rPr>
            </w:pPr>
            <w:r w:rsidRPr="006A6F1F">
              <w:rPr>
                <w:rFonts w:ascii="Arial" w:hAnsi="Arial" w:cs="Arial"/>
                <w:color w:val="000000" w:themeColor="text1"/>
                <w:sz w:val="19"/>
                <w:szCs w:val="19"/>
                <w:lang w:val="en-GB"/>
              </w:rPr>
              <w:t>Sales</w:t>
            </w:r>
          </w:p>
        </w:tc>
        <w:tc>
          <w:tcPr>
            <w:tcW w:w="0" w:type="auto"/>
            <w:noWrap/>
            <w:hideMark/>
          </w:tcPr>
          <w:p w14:paraId="40DCC3BC" w14:textId="77777777" w:rsidR="001B2957" w:rsidRPr="006A6F1F" w:rsidRDefault="001B2957" w:rsidP="00207772">
            <w:pPr>
              <w:jc w:val="right"/>
              <w:rPr>
                <w:rFonts w:ascii="Arial" w:hAnsi="Arial" w:cs="Arial"/>
                <w:color w:val="000000" w:themeColor="text1"/>
                <w:sz w:val="19"/>
                <w:szCs w:val="19"/>
                <w:lang w:val="en-GB"/>
              </w:rPr>
            </w:pPr>
            <w:r w:rsidRPr="006A6F1F">
              <w:rPr>
                <w:rFonts w:ascii="Arial" w:hAnsi="Arial" w:cs="Arial"/>
                <w:color w:val="000000" w:themeColor="text1"/>
                <w:sz w:val="19"/>
                <w:szCs w:val="19"/>
                <w:lang w:val="en-GB"/>
              </w:rPr>
              <w:t>148,872</w:t>
            </w:r>
          </w:p>
        </w:tc>
        <w:tc>
          <w:tcPr>
            <w:tcW w:w="0" w:type="auto"/>
            <w:noWrap/>
            <w:hideMark/>
          </w:tcPr>
          <w:p w14:paraId="704DC9E0" w14:textId="77777777" w:rsidR="001B2957" w:rsidRPr="006A6F1F" w:rsidRDefault="001B2957" w:rsidP="00207772">
            <w:pPr>
              <w:jc w:val="right"/>
              <w:rPr>
                <w:rFonts w:ascii="Arial" w:hAnsi="Arial" w:cs="Arial"/>
                <w:color w:val="000000" w:themeColor="text1"/>
                <w:sz w:val="19"/>
                <w:szCs w:val="19"/>
                <w:lang w:val="en-GB"/>
              </w:rPr>
            </w:pPr>
            <w:r w:rsidRPr="006A6F1F">
              <w:rPr>
                <w:rFonts w:ascii="Arial" w:hAnsi="Arial" w:cs="Arial"/>
                <w:color w:val="000000" w:themeColor="text1"/>
                <w:sz w:val="19"/>
                <w:szCs w:val="19"/>
                <w:lang w:val="en-GB"/>
              </w:rPr>
              <w:t>155,972</w:t>
            </w:r>
          </w:p>
        </w:tc>
        <w:tc>
          <w:tcPr>
            <w:tcW w:w="0" w:type="auto"/>
            <w:noWrap/>
            <w:hideMark/>
          </w:tcPr>
          <w:p w14:paraId="73469A9F" w14:textId="3F61243A" w:rsidR="001B2957" w:rsidRPr="006A6F1F" w:rsidRDefault="001B2957" w:rsidP="00207772">
            <w:pPr>
              <w:jc w:val="right"/>
              <w:rPr>
                <w:rFonts w:ascii="Arial" w:hAnsi="Arial" w:cs="Arial"/>
                <w:color w:val="000000" w:themeColor="text1"/>
                <w:sz w:val="19"/>
                <w:szCs w:val="19"/>
                <w:lang w:val="en-GB"/>
              </w:rPr>
            </w:pPr>
            <w:r w:rsidRPr="006A6F1F">
              <w:rPr>
                <w:rFonts w:ascii="Arial" w:hAnsi="Arial" w:cs="Arial"/>
                <w:color w:val="000000" w:themeColor="text1"/>
                <w:sz w:val="19"/>
                <w:szCs w:val="19"/>
                <w:lang w:val="en-GB"/>
              </w:rPr>
              <w:t xml:space="preserve">172,226 </w:t>
            </w:r>
          </w:p>
        </w:tc>
      </w:tr>
      <w:tr w:rsidR="001B2957" w:rsidRPr="006A6F1F" w14:paraId="29EE5969" w14:textId="77777777" w:rsidTr="00976783">
        <w:trPr>
          <w:trHeight w:val="60"/>
          <w:jc w:val="center"/>
        </w:trPr>
        <w:tc>
          <w:tcPr>
            <w:tcW w:w="0" w:type="auto"/>
            <w:noWrap/>
            <w:hideMark/>
          </w:tcPr>
          <w:p w14:paraId="74B5411E" w14:textId="05FF16C3" w:rsidR="001B2957" w:rsidRPr="006A6F1F" w:rsidRDefault="001B2957" w:rsidP="008F165E">
            <w:pPr>
              <w:rPr>
                <w:rFonts w:ascii="Arial" w:hAnsi="Arial" w:cs="Arial"/>
                <w:color w:val="000000" w:themeColor="text1"/>
                <w:sz w:val="19"/>
                <w:szCs w:val="19"/>
                <w:lang w:val="en-GB"/>
              </w:rPr>
            </w:pPr>
            <w:r w:rsidRPr="006A6F1F">
              <w:rPr>
                <w:rFonts w:ascii="Arial" w:hAnsi="Arial" w:cs="Arial"/>
                <w:color w:val="000000" w:themeColor="text1"/>
                <w:sz w:val="19"/>
                <w:szCs w:val="19"/>
                <w:lang w:val="en-GB"/>
              </w:rPr>
              <w:t>Cost of Goods Sold</w:t>
            </w:r>
          </w:p>
        </w:tc>
        <w:tc>
          <w:tcPr>
            <w:tcW w:w="0" w:type="auto"/>
            <w:noWrap/>
            <w:hideMark/>
          </w:tcPr>
          <w:p w14:paraId="68900146" w14:textId="28ECC0C3" w:rsidR="001B2957" w:rsidRPr="006A6F1F" w:rsidRDefault="001B2957" w:rsidP="00772AA6">
            <w:pPr>
              <w:jc w:val="right"/>
              <w:rPr>
                <w:rFonts w:ascii="Arial" w:hAnsi="Arial" w:cs="Arial"/>
                <w:color w:val="000000" w:themeColor="text1"/>
                <w:sz w:val="19"/>
                <w:szCs w:val="19"/>
                <w:lang w:val="en-GB"/>
              </w:rPr>
            </w:pPr>
            <w:r w:rsidRPr="006A6F1F">
              <w:rPr>
                <w:rFonts w:ascii="Arial" w:hAnsi="Arial" w:cs="Arial"/>
                <w:color w:val="000000" w:themeColor="text1"/>
                <w:sz w:val="19"/>
                <w:szCs w:val="19"/>
                <w:lang w:val="en-GB"/>
              </w:rPr>
              <w:t>−117,428</w:t>
            </w:r>
          </w:p>
        </w:tc>
        <w:tc>
          <w:tcPr>
            <w:tcW w:w="0" w:type="auto"/>
            <w:noWrap/>
            <w:hideMark/>
          </w:tcPr>
          <w:p w14:paraId="778DD17D" w14:textId="147CC5FC" w:rsidR="001B2957" w:rsidRPr="006A6F1F" w:rsidRDefault="001B2957" w:rsidP="00772AA6">
            <w:pPr>
              <w:jc w:val="right"/>
              <w:rPr>
                <w:rFonts w:ascii="Arial" w:hAnsi="Arial" w:cs="Arial"/>
                <w:color w:val="000000" w:themeColor="text1"/>
                <w:sz w:val="19"/>
                <w:szCs w:val="19"/>
                <w:lang w:val="en-GB"/>
              </w:rPr>
            </w:pPr>
            <w:r w:rsidRPr="006A6F1F">
              <w:rPr>
                <w:rFonts w:ascii="Arial" w:hAnsi="Arial" w:cs="Arial"/>
                <w:color w:val="000000" w:themeColor="text1"/>
                <w:sz w:val="19"/>
                <w:szCs w:val="19"/>
                <w:lang w:val="en-GB"/>
              </w:rPr>
              <w:t>−122,522</w:t>
            </w:r>
          </w:p>
        </w:tc>
        <w:tc>
          <w:tcPr>
            <w:tcW w:w="0" w:type="auto"/>
            <w:noWrap/>
            <w:hideMark/>
          </w:tcPr>
          <w:p w14:paraId="16AA9A4E" w14:textId="0AEF3D0D" w:rsidR="001B2957" w:rsidRPr="006A6F1F" w:rsidRDefault="001B2957" w:rsidP="00772AA6">
            <w:pPr>
              <w:jc w:val="right"/>
              <w:rPr>
                <w:rFonts w:ascii="Arial" w:hAnsi="Arial" w:cs="Arial"/>
                <w:color w:val="000000" w:themeColor="text1"/>
                <w:sz w:val="19"/>
                <w:szCs w:val="19"/>
                <w:lang w:val="en-GB"/>
              </w:rPr>
            </w:pPr>
            <w:r w:rsidRPr="006A6F1F">
              <w:rPr>
                <w:rFonts w:ascii="Arial" w:hAnsi="Arial" w:cs="Arial"/>
                <w:color w:val="000000" w:themeColor="text1"/>
                <w:sz w:val="19"/>
                <w:szCs w:val="19"/>
                <w:lang w:val="en-GB"/>
              </w:rPr>
              <w:t>−135,021</w:t>
            </w:r>
          </w:p>
        </w:tc>
      </w:tr>
      <w:tr w:rsidR="001B2957" w:rsidRPr="006A6F1F" w14:paraId="6C92B226" w14:textId="77777777" w:rsidTr="00976783">
        <w:trPr>
          <w:trHeight w:val="60"/>
          <w:jc w:val="center"/>
        </w:trPr>
        <w:tc>
          <w:tcPr>
            <w:tcW w:w="0" w:type="auto"/>
            <w:noWrap/>
            <w:hideMark/>
          </w:tcPr>
          <w:p w14:paraId="37E8D807" w14:textId="5B3D39DD" w:rsidR="001B2957" w:rsidRPr="006A6F1F" w:rsidRDefault="001B2957" w:rsidP="00B93C88">
            <w:pPr>
              <w:rPr>
                <w:rFonts w:ascii="Arial" w:hAnsi="Arial" w:cs="Arial"/>
                <w:color w:val="000000" w:themeColor="text1"/>
                <w:sz w:val="19"/>
                <w:szCs w:val="19"/>
                <w:lang w:val="en-GB"/>
              </w:rPr>
            </w:pPr>
            <w:r w:rsidRPr="006A6F1F">
              <w:rPr>
                <w:rFonts w:ascii="Arial" w:hAnsi="Arial" w:cs="Arial"/>
                <w:color w:val="000000" w:themeColor="text1"/>
                <w:sz w:val="19"/>
                <w:szCs w:val="19"/>
                <w:lang w:val="en-GB"/>
              </w:rPr>
              <w:t>Gross Profit</w:t>
            </w:r>
          </w:p>
        </w:tc>
        <w:tc>
          <w:tcPr>
            <w:tcW w:w="0" w:type="auto"/>
            <w:noWrap/>
            <w:hideMark/>
          </w:tcPr>
          <w:p w14:paraId="7AB457EF" w14:textId="77777777" w:rsidR="001B2957" w:rsidRPr="006A6F1F" w:rsidRDefault="001B2957" w:rsidP="00207772">
            <w:pPr>
              <w:jc w:val="right"/>
              <w:rPr>
                <w:rFonts w:ascii="Arial" w:hAnsi="Arial" w:cs="Arial"/>
                <w:color w:val="000000" w:themeColor="text1"/>
                <w:sz w:val="19"/>
                <w:szCs w:val="19"/>
                <w:lang w:val="en-GB"/>
              </w:rPr>
            </w:pPr>
            <w:r w:rsidRPr="006A6F1F">
              <w:rPr>
                <w:rFonts w:ascii="Arial" w:hAnsi="Arial" w:cs="Arial"/>
                <w:color w:val="000000" w:themeColor="text1"/>
                <w:sz w:val="19"/>
                <w:szCs w:val="19"/>
                <w:lang w:val="en-GB"/>
              </w:rPr>
              <w:t>31,444</w:t>
            </w:r>
          </w:p>
        </w:tc>
        <w:tc>
          <w:tcPr>
            <w:tcW w:w="0" w:type="auto"/>
            <w:noWrap/>
            <w:hideMark/>
          </w:tcPr>
          <w:p w14:paraId="739E7265" w14:textId="77777777" w:rsidR="001B2957" w:rsidRPr="006A6F1F" w:rsidRDefault="001B2957" w:rsidP="00207772">
            <w:pPr>
              <w:jc w:val="right"/>
              <w:rPr>
                <w:rFonts w:ascii="Arial" w:hAnsi="Arial" w:cs="Arial"/>
                <w:color w:val="000000" w:themeColor="text1"/>
                <w:sz w:val="19"/>
                <w:szCs w:val="19"/>
                <w:lang w:val="en-GB"/>
              </w:rPr>
            </w:pPr>
            <w:r w:rsidRPr="006A6F1F">
              <w:rPr>
                <w:rFonts w:ascii="Arial" w:hAnsi="Arial" w:cs="Arial"/>
                <w:color w:val="000000" w:themeColor="text1"/>
                <w:sz w:val="19"/>
                <w:szCs w:val="19"/>
                <w:lang w:val="en-GB"/>
              </w:rPr>
              <w:t>33,450</w:t>
            </w:r>
          </w:p>
        </w:tc>
        <w:tc>
          <w:tcPr>
            <w:tcW w:w="0" w:type="auto"/>
            <w:noWrap/>
            <w:hideMark/>
          </w:tcPr>
          <w:p w14:paraId="20976F39" w14:textId="1705D8A4" w:rsidR="001B2957" w:rsidRPr="006A6F1F" w:rsidRDefault="001B2957" w:rsidP="00207772">
            <w:pPr>
              <w:jc w:val="right"/>
              <w:rPr>
                <w:rFonts w:ascii="Arial" w:hAnsi="Arial" w:cs="Arial"/>
                <w:color w:val="000000" w:themeColor="text1"/>
                <w:sz w:val="19"/>
                <w:szCs w:val="19"/>
                <w:lang w:val="en-GB"/>
              </w:rPr>
            </w:pPr>
            <w:r w:rsidRPr="006A6F1F">
              <w:rPr>
                <w:rFonts w:ascii="Arial" w:hAnsi="Arial" w:cs="Arial"/>
                <w:color w:val="000000" w:themeColor="text1"/>
                <w:sz w:val="19"/>
                <w:szCs w:val="19"/>
                <w:lang w:val="en-GB"/>
              </w:rPr>
              <w:t xml:space="preserve">37,205 </w:t>
            </w:r>
          </w:p>
        </w:tc>
      </w:tr>
      <w:tr w:rsidR="001B2957" w:rsidRPr="006A6F1F" w14:paraId="16F880D5" w14:textId="77777777" w:rsidTr="00976783">
        <w:trPr>
          <w:trHeight w:val="60"/>
          <w:jc w:val="center"/>
        </w:trPr>
        <w:tc>
          <w:tcPr>
            <w:tcW w:w="0" w:type="auto"/>
            <w:noWrap/>
            <w:hideMark/>
          </w:tcPr>
          <w:p w14:paraId="52C950D8" w14:textId="2BA44BD3" w:rsidR="001B2957" w:rsidRPr="006A6F1F" w:rsidRDefault="001B2957" w:rsidP="00B93C88">
            <w:pPr>
              <w:rPr>
                <w:rFonts w:ascii="Arial" w:hAnsi="Arial" w:cs="Arial"/>
                <w:color w:val="000000" w:themeColor="text1"/>
                <w:sz w:val="19"/>
                <w:szCs w:val="19"/>
                <w:lang w:val="en-GB"/>
              </w:rPr>
            </w:pPr>
            <w:r w:rsidRPr="006A6F1F">
              <w:rPr>
                <w:rFonts w:ascii="Arial" w:hAnsi="Arial" w:cs="Arial"/>
                <w:color w:val="000000" w:themeColor="text1"/>
                <w:sz w:val="19"/>
                <w:szCs w:val="19"/>
                <w:lang w:val="en-GB"/>
              </w:rPr>
              <w:t>Other Income</w:t>
            </w:r>
          </w:p>
        </w:tc>
        <w:tc>
          <w:tcPr>
            <w:tcW w:w="0" w:type="auto"/>
            <w:noWrap/>
            <w:hideMark/>
          </w:tcPr>
          <w:p w14:paraId="102F3DD2" w14:textId="77777777" w:rsidR="001B2957" w:rsidRPr="006A6F1F" w:rsidRDefault="001B2957" w:rsidP="00207772">
            <w:pPr>
              <w:jc w:val="right"/>
              <w:rPr>
                <w:rFonts w:ascii="Arial" w:hAnsi="Arial" w:cs="Arial"/>
                <w:color w:val="000000" w:themeColor="text1"/>
                <w:sz w:val="19"/>
                <w:szCs w:val="19"/>
                <w:lang w:val="en-GB"/>
              </w:rPr>
            </w:pPr>
            <w:r w:rsidRPr="006A6F1F">
              <w:rPr>
                <w:rFonts w:ascii="Arial" w:hAnsi="Arial" w:cs="Arial"/>
                <w:color w:val="000000" w:themeColor="text1"/>
                <w:sz w:val="19"/>
                <w:szCs w:val="19"/>
                <w:lang w:val="en-GB"/>
              </w:rPr>
              <w:t>2,093</w:t>
            </w:r>
          </w:p>
        </w:tc>
        <w:tc>
          <w:tcPr>
            <w:tcW w:w="0" w:type="auto"/>
            <w:noWrap/>
            <w:hideMark/>
          </w:tcPr>
          <w:p w14:paraId="7F636279" w14:textId="77777777" w:rsidR="001B2957" w:rsidRPr="006A6F1F" w:rsidRDefault="001B2957" w:rsidP="00207772">
            <w:pPr>
              <w:jc w:val="right"/>
              <w:rPr>
                <w:rFonts w:ascii="Arial" w:hAnsi="Arial" w:cs="Arial"/>
                <w:color w:val="000000" w:themeColor="text1"/>
                <w:sz w:val="19"/>
                <w:szCs w:val="19"/>
                <w:lang w:val="en-GB"/>
              </w:rPr>
            </w:pPr>
            <w:r w:rsidRPr="006A6F1F">
              <w:rPr>
                <w:rFonts w:ascii="Arial" w:hAnsi="Arial" w:cs="Arial"/>
                <w:color w:val="000000" w:themeColor="text1"/>
                <w:sz w:val="19"/>
                <w:szCs w:val="19"/>
                <w:lang w:val="en-GB"/>
              </w:rPr>
              <w:t>2,482</w:t>
            </w:r>
          </w:p>
        </w:tc>
        <w:tc>
          <w:tcPr>
            <w:tcW w:w="0" w:type="auto"/>
            <w:noWrap/>
            <w:hideMark/>
          </w:tcPr>
          <w:p w14:paraId="22C5BD36" w14:textId="5654D8E7" w:rsidR="001B2957" w:rsidRPr="006A6F1F" w:rsidRDefault="001B2957" w:rsidP="00207772">
            <w:pPr>
              <w:jc w:val="right"/>
              <w:rPr>
                <w:rFonts w:ascii="Arial" w:hAnsi="Arial" w:cs="Arial"/>
                <w:color w:val="000000" w:themeColor="text1"/>
                <w:sz w:val="19"/>
                <w:szCs w:val="19"/>
                <w:lang w:val="en-GB"/>
              </w:rPr>
            </w:pPr>
            <w:r w:rsidRPr="006A6F1F">
              <w:rPr>
                <w:rFonts w:ascii="Arial" w:hAnsi="Arial" w:cs="Arial"/>
                <w:color w:val="000000" w:themeColor="text1"/>
                <w:sz w:val="19"/>
                <w:szCs w:val="19"/>
                <w:lang w:val="en-GB"/>
              </w:rPr>
              <w:t xml:space="preserve">3,566 </w:t>
            </w:r>
          </w:p>
        </w:tc>
      </w:tr>
      <w:tr w:rsidR="001B2957" w:rsidRPr="006A6F1F" w14:paraId="2AD97D52" w14:textId="77777777" w:rsidTr="00976783">
        <w:trPr>
          <w:trHeight w:val="60"/>
          <w:jc w:val="center"/>
        </w:trPr>
        <w:tc>
          <w:tcPr>
            <w:tcW w:w="0" w:type="auto"/>
            <w:noWrap/>
            <w:hideMark/>
          </w:tcPr>
          <w:p w14:paraId="56733867" w14:textId="25B0EDCA" w:rsidR="001B2957" w:rsidRPr="006A6F1F" w:rsidRDefault="001B2957" w:rsidP="00B87295">
            <w:pPr>
              <w:rPr>
                <w:rFonts w:ascii="Arial" w:hAnsi="Arial" w:cs="Arial"/>
                <w:color w:val="000000" w:themeColor="text1"/>
                <w:sz w:val="19"/>
                <w:szCs w:val="19"/>
                <w:lang w:val="en-GB"/>
              </w:rPr>
            </w:pPr>
            <w:r w:rsidRPr="006A6F1F">
              <w:rPr>
                <w:rFonts w:ascii="Arial" w:hAnsi="Arial" w:cs="Arial"/>
                <w:color w:val="000000" w:themeColor="text1"/>
                <w:sz w:val="19"/>
                <w:szCs w:val="19"/>
                <w:lang w:val="en-GB"/>
              </w:rPr>
              <w:t>Depreciation and Amortization</w:t>
            </w:r>
          </w:p>
        </w:tc>
        <w:tc>
          <w:tcPr>
            <w:tcW w:w="0" w:type="auto"/>
            <w:noWrap/>
            <w:hideMark/>
          </w:tcPr>
          <w:p w14:paraId="1D47BD22" w14:textId="1DC29926" w:rsidR="001B2957" w:rsidRPr="006A6F1F" w:rsidRDefault="001B2957" w:rsidP="00772AA6">
            <w:pPr>
              <w:jc w:val="right"/>
              <w:rPr>
                <w:rFonts w:ascii="Arial" w:hAnsi="Arial" w:cs="Arial"/>
                <w:color w:val="000000" w:themeColor="text1"/>
                <w:sz w:val="19"/>
                <w:szCs w:val="19"/>
                <w:lang w:val="en-GB"/>
              </w:rPr>
            </w:pPr>
            <w:r w:rsidRPr="006A6F1F">
              <w:rPr>
                <w:rFonts w:ascii="Arial" w:hAnsi="Arial" w:cs="Arial"/>
                <w:color w:val="000000" w:themeColor="text1"/>
                <w:sz w:val="19"/>
                <w:szCs w:val="19"/>
                <w:lang w:val="en-GB"/>
              </w:rPr>
              <w:t>−2,694</w:t>
            </w:r>
          </w:p>
        </w:tc>
        <w:tc>
          <w:tcPr>
            <w:tcW w:w="0" w:type="auto"/>
            <w:noWrap/>
            <w:hideMark/>
          </w:tcPr>
          <w:p w14:paraId="642F828A" w14:textId="5BE5296E" w:rsidR="001B2957" w:rsidRPr="006A6F1F" w:rsidRDefault="001B2957" w:rsidP="00772AA6">
            <w:pPr>
              <w:jc w:val="right"/>
              <w:rPr>
                <w:rFonts w:ascii="Arial" w:hAnsi="Arial" w:cs="Arial"/>
                <w:color w:val="000000" w:themeColor="text1"/>
                <w:sz w:val="19"/>
                <w:szCs w:val="19"/>
                <w:lang w:val="en-GB"/>
              </w:rPr>
            </w:pPr>
            <w:r w:rsidRPr="006A6F1F">
              <w:rPr>
                <w:rFonts w:ascii="Arial" w:hAnsi="Arial" w:cs="Arial"/>
                <w:color w:val="000000" w:themeColor="text1"/>
                <w:sz w:val="19"/>
                <w:szCs w:val="19"/>
                <w:lang w:val="en-GB"/>
              </w:rPr>
              <w:t>−2,725</w:t>
            </w:r>
          </w:p>
        </w:tc>
        <w:tc>
          <w:tcPr>
            <w:tcW w:w="0" w:type="auto"/>
            <w:noWrap/>
            <w:hideMark/>
          </w:tcPr>
          <w:p w14:paraId="0DAFC306" w14:textId="02F93608" w:rsidR="001B2957" w:rsidRPr="006A6F1F" w:rsidRDefault="001B2957" w:rsidP="00772AA6">
            <w:pPr>
              <w:jc w:val="right"/>
              <w:rPr>
                <w:rFonts w:ascii="Arial" w:hAnsi="Arial" w:cs="Arial"/>
                <w:color w:val="000000" w:themeColor="text1"/>
                <w:sz w:val="19"/>
                <w:szCs w:val="19"/>
                <w:lang w:val="en-GB"/>
              </w:rPr>
            </w:pPr>
            <w:r w:rsidRPr="006A6F1F">
              <w:rPr>
                <w:rFonts w:ascii="Arial" w:hAnsi="Arial" w:cs="Arial"/>
                <w:color w:val="000000" w:themeColor="text1"/>
                <w:sz w:val="19"/>
                <w:szCs w:val="19"/>
                <w:lang w:val="en-GB"/>
              </w:rPr>
              <w:t>−1,941</w:t>
            </w:r>
          </w:p>
        </w:tc>
      </w:tr>
      <w:tr w:rsidR="001B2957" w:rsidRPr="006A6F1F" w14:paraId="19A39FA9" w14:textId="77777777" w:rsidTr="00976783">
        <w:trPr>
          <w:trHeight w:val="60"/>
          <w:jc w:val="center"/>
        </w:trPr>
        <w:tc>
          <w:tcPr>
            <w:tcW w:w="0" w:type="auto"/>
            <w:noWrap/>
            <w:hideMark/>
          </w:tcPr>
          <w:p w14:paraId="74A978D8" w14:textId="0ED5F7CE" w:rsidR="001B2957" w:rsidRPr="006A6F1F" w:rsidRDefault="001B2957" w:rsidP="00B93C88">
            <w:pPr>
              <w:rPr>
                <w:rFonts w:ascii="Arial" w:hAnsi="Arial" w:cs="Arial"/>
                <w:color w:val="000000" w:themeColor="text1"/>
                <w:sz w:val="19"/>
                <w:szCs w:val="19"/>
                <w:lang w:val="en-GB"/>
              </w:rPr>
            </w:pPr>
            <w:r w:rsidRPr="006A6F1F">
              <w:rPr>
                <w:rFonts w:ascii="Arial" w:hAnsi="Arial" w:cs="Arial"/>
                <w:color w:val="000000" w:themeColor="text1"/>
                <w:sz w:val="19"/>
                <w:szCs w:val="19"/>
                <w:lang w:val="en-GB"/>
              </w:rPr>
              <w:t>Other Expenses</w:t>
            </w:r>
          </w:p>
        </w:tc>
        <w:tc>
          <w:tcPr>
            <w:tcW w:w="0" w:type="auto"/>
            <w:noWrap/>
            <w:hideMark/>
          </w:tcPr>
          <w:p w14:paraId="248DF04E" w14:textId="19F84ABF" w:rsidR="001B2957" w:rsidRPr="006A6F1F" w:rsidRDefault="001B2957" w:rsidP="00772AA6">
            <w:pPr>
              <w:jc w:val="right"/>
              <w:rPr>
                <w:rFonts w:ascii="Arial" w:hAnsi="Arial" w:cs="Arial"/>
                <w:color w:val="000000" w:themeColor="text1"/>
                <w:sz w:val="19"/>
                <w:szCs w:val="19"/>
                <w:lang w:val="en-GB"/>
              </w:rPr>
            </w:pPr>
            <w:r w:rsidRPr="006A6F1F">
              <w:rPr>
                <w:rFonts w:ascii="Arial" w:hAnsi="Arial" w:cs="Arial"/>
                <w:color w:val="000000" w:themeColor="text1"/>
                <w:sz w:val="19"/>
                <w:szCs w:val="19"/>
                <w:lang w:val="en-GB"/>
              </w:rPr>
              <w:t>−9,625</w:t>
            </w:r>
          </w:p>
        </w:tc>
        <w:tc>
          <w:tcPr>
            <w:tcW w:w="0" w:type="auto"/>
            <w:noWrap/>
            <w:hideMark/>
          </w:tcPr>
          <w:p w14:paraId="7448A14C" w14:textId="065AD828" w:rsidR="001B2957" w:rsidRPr="006A6F1F" w:rsidRDefault="001B2957" w:rsidP="00772AA6">
            <w:pPr>
              <w:jc w:val="right"/>
              <w:rPr>
                <w:rFonts w:ascii="Arial" w:hAnsi="Arial" w:cs="Arial"/>
                <w:color w:val="000000" w:themeColor="text1"/>
                <w:sz w:val="19"/>
                <w:szCs w:val="19"/>
                <w:lang w:val="en-GB"/>
              </w:rPr>
            </w:pPr>
            <w:r w:rsidRPr="006A6F1F">
              <w:rPr>
                <w:rFonts w:ascii="Arial" w:hAnsi="Arial" w:cs="Arial"/>
                <w:color w:val="000000" w:themeColor="text1"/>
                <w:sz w:val="19"/>
                <w:szCs w:val="19"/>
                <w:lang w:val="en-GB"/>
              </w:rPr>
              <w:t>−9,645</w:t>
            </w:r>
          </w:p>
        </w:tc>
        <w:tc>
          <w:tcPr>
            <w:tcW w:w="0" w:type="auto"/>
            <w:noWrap/>
            <w:hideMark/>
          </w:tcPr>
          <w:p w14:paraId="2160CCF5" w14:textId="2DD14276" w:rsidR="001B2957" w:rsidRPr="006A6F1F" w:rsidRDefault="001B2957" w:rsidP="00772AA6">
            <w:pPr>
              <w:jc w:val="right"/>
              <w:rPr>
                <w:rFonts w:ascii="Arial" w:hAnsi="Arial" w:cs="Arial"/>
                <w:color w:val="000000" w:themeColor="text1"/>
                <w:sz w:val="19"/>
                <w:szCs w:val="19"/>
                <w:lang w:val="en-GB"/>
              </w:rPr>
            </w:pPr>
            <w:r w:rsidRPr="006A6F1F">
              <w:rPr>
                <w:rFonts w:ascii="Arial" w:hAnsi="Arial" w:cs="Arial"/>
                <w:color w:val="000000" w:themeColor="text1"/>
                <w:sz w:val="19"/>
                <w:szCs w:val="19"/>
                <w:lang w:val="en-GB"/>
              </w:rPr>
              <w:t>−13,246</w:t>
            </w:r>
          </w:p>
        </w:tc>
      </w:tr>
      <w:tr w:rsidR="001B2957" w:rsidRPr="006A6F1F" w14:paraId="59539970" w14:textId="77777777" w:rsidTr="00976783">
        <w:trPr>
          <w:trHeight w:val="60"/>
          <w:jc w:val="center"/>
        </w:trPr>
        <w:tc>
          <w:tcPr>
            <w:tcW w:w="0" w:type="auto"/>
            <w:noWrap/>
            <w:hideMark/>
          </w:tcPr>
          <w:p w14:paraId="3530C2E7" w14:textId="65F2A5C8" w:rsidR="001B2957" w:rsidRPr="006A6F1F" w:rsidRDefault="001B2957" w:rsidP="00B87295">
            <w:pPr>
              <w:rPr>
                <w:rFonts w:ascii="Arial" w:hAnsi="Arial" w:cs="Arial"/>
                <w:color w:val="000000" w:themeColor="text1"/>
                <w:sz w:val="19"/>
                <w:szCs w:val="19"/>
                <w:lang w:val="en-GB"/>
              </w:rPr>
            </w:pPr>
            <w:r w:rsidRPr="006A6F1F">
              <w:rPr>
                <w:rFonts w:ascii="Arial" w:hAnsi="Arial" w:cs="Arial"/>
                <w:color w:val="000000" w:themeColor="text1"/>
                <w:sz w:val="19"/>
                <w:szCs w:val="19"/>
                <w:lang w:val="en-GB"/>
              </w:rPr>
              <w:t>Earnings Before Interest and Tax</w:t>
            </w:r>
          </w:p>
        </w:tc>
        <w:tc>
          <w:tcPr>
            <w:tcW w:w="0" w:type="auto"/>
            <w:noWrap/>
            <w:hideMark/>
          </w:tcPr>
          <w:p w14:paraId="2AB1EDB6" w14:textId="77777777" w:rsidR="001B2957" w:rsidRPr="006A6F1F" w:rsidRDefault="001B2957" w:rsidP="00207772">
            <w:pPr>
              <w:jc w:val="right"/>
              <w:rPr>
                <w:rFonts w:ascii="Arial" w:hAnsi="Arial" w:cs="Arial"/>
                <w:color w:val="000000" w:themeColor="text1"/>
                <w:sz w:val="19"/>
                <w:szCs w:val="19"/>
                <w:lang w:val="en-GB"/>
              </w:rPr>
            </w:pPr>
            <w:r w:rsidRPr="006A6F1F">
              <w:rPr>
                <w:rFonts w:ascii="Arial" w:hAnsi="Arial" w:cs="Arial"/>
                <w:color w:val="000000" w:themeColor="text1"/>
                <w:sz w:val="19"/>
                <w:szCs w:val="19"/>
                <w:lang w:val="en-GB"/>
              </w:rPr>
              <w:t>21,218</w:t>
            </w:r>
          </w:p>
        </w:tc>
        <w:tc>
          <w:tcPr>
            <w:tcW w:w="0" w:type="auto"/>
            <w:noWrap/>
            <w:hideMark/>
          </w:tcPr>
          <w:p w14:paraId="06F93823" w14:textId="77777777" w:rsidR="001B2957" w:rsidRPr="006A6F1F" w:rsidRDefault="001B2957" w:rsidP="00207772">
            <w:pPr>
              <w:jc w:val="right"/>
              <w:rPr>
                <w:rFonts w:ascii="Arial" w:hAnsi="Arial" w:cs="Arial"/>
                <w:color w:val="000000" w:themeColor="text1"/>
                <w:sz w:val="19"/>
                <w:szCs w:val="19"/>
                <w:lang w:val="en-GB"/>
              </w:rPr>
            </w:pPr>
            <w:r w:rsidRPr="006A6F1F">
              <w:rPr>
                <w:rFonts w:ascii="Arial" w:hAnsi="Arial" w:cs="Arial"/>
                <w:color w:val="000000" w:themeColor="text1"/>
                <w:sz w:val="19"/>
                <w:szCs w:val="19"/>
                <w:lang w:val="en-GB"/>
              </w:rPr>
              <w:t>23,562</w:t>
            </w:r>
          </w:p>
        </w:tc>
        <w:tc>
          <w:tcPr>
            <w:tcW w:w="0" w:type="auto"/>
            <w:noWrap/>
            <w:hideMark/>
          </w:tcPr>
          <w:p w14:paraId="21EB421A" w14:textId="4FEF62A3" w:rsidR="001B2957" w:rsidRPr="006A6F1F" w:rsidRDefault="001B2957" w:rsidP="00207772">
            <w:pPr>
              <w:jc w:val="right"/>
              <w:rPr>
                <w:rFonts w:ascii="Arial" w:hAnsi="Arial" w:cs="Arial"/>
                <w:color w:val="000000" w:themeColor="text1"/>
                <w:sz w:val="19"/>
                <w:szCs w:val="19"/>
                <w:lang w:val="en-GB"/>
              </w:rPr>
            </w:pPr>
            <w:r w:rsidRPr="006A6F1F">
              <w:rPr>
                <w:rFonts w:ascii="Arial" w:hAnsi="Arial" w:cs="Arial"/>
                <w:color w:val="000000" w:themeColor="text1"/>
                <w:sz w:val="19"/>
                <w:szCs w:val="19"/>
                <w:lang w:val="en-GB"/>
              </w:rPr>
              <w:t xml:space="preserve">25,584 </w:t>
            </w:r>
          </w:p>
        </w:tc>
      </w:tr>
      <w:tr w:rsidR="001B2957" w:rsidRPr="006A6F1F" w14:paraId="52C90659" w14:textId="77777777" w:rsidTr="00976783">
        <w:trPr>
          <w:trHeight w:val="60"/>
          <w:jc w:val="center"/>
        </w:trPr>
        <w:tc>
          <w:tcPr>
            <w:tcW w:w="0" w:type="auto"/>
            <w:noWrap/>
            <w:hideMark/>
          </w:tcPr>
          <w:p w14:paraId="77324E27" w14:textId="77777777" w:rsidR="001B2957" w:rsidRPr="006A6F1F" w:rsidRDefault="001B2957" w:rsidP="00B93C88">
            <w:pPr>
              <w:rPr>
                <w:rFonts w:ascii="Arial" w:hAnsi="Arial" w:cs="Arial"/>
                <w:color w:val="000000" w:themeColor="text1"/>
                <w:sz w:val="19"/>
                <w:szCs w:val="19"/>
                <w:lang w:val="en-GB"/>
              </w:rPr>
            </w:pPr>
            <w:r w:rsidRPr="006A6F1F">
              <w:rPr>
                <w:rFonts w:ascii="Arial" w:hAnsi="Arial" w:cs="Arial"/>
                <w:color w:val="000000" w:themeColor="text1"/>
                <w:sz w:val="19"/>
                <w:szCs w:val="19"/>
                <w:lang w:val="en-GB"/>
              </w:rPr>
              <w:t>Interest</w:t>
            </w:r>
          </w:p>
        </w:tc>
        <w:tc>
          <w:tcPr>
            <w:tcW w:w="0" w:type="auto"/>
            <w:noWrap/>
            <w:hideMark/>
          </w:tcPr>
          <w:p w14:paraId="5FED20A8" w14:textId="1CB3C4C9" w:rsidR="001B2957" w:rsidRPr="006A6F1F" w:rsidRDefault="001B2957" w:rsidP="00772AA6">
            <w:pPr>
              <w:jc w:val="right"/>
              <w:rPr>
                <w:rFonts w:ascii="Arial" w:hAnsi="Arial" w:cs="Arial"/>
                <w:color w:val="000000" w:themeColor="text1"/>
                <w:sz w:val="19"/>
                <w:szCs w:val="19"/>
                <w:lang w:val="en-GB"/>
              </w:rPr>
            </w:pPr>
            <w:r w:rsidRPr="006A6F1F">
              <w:rPr>
                <w:rFonts w:ascii="Arial" w:hAnsi="Arial" w:cs="Arial"/>
                <w:color w:val="000000" w:themeColor="text1"/>
                <w:sz w:val="19"/>
                <w:szCs w:val="19"/>
                <w:lang w:val="en-GB"/>
              </w:rPr>
              <w:t>−3</w:t>
            </w:r>
          </w:p>
        </w:tc>
        <w:tc>
          <w:tcPr>
            <w:tcW w:w="0" w:type="auto"/>
            <w:noWrap/>
            <w:hideMark/>
          </w:tcPr>
          <w:p w14:paraId="270ABBDA" w14:textId="54ACC589" w:rsidR="001B2957" w:rsidRPr="006A6F1F" w:rsidRDefault="001B2957" w:rsidP="00772AA6">
            <w:pPr>
              <w:jc w:val="right"/>
              <w:rPr>
                <w:rFonts w:ascii="Arial" w:hAnsi="Arial" w:cs="Arial"/>
                <w:color w:val="000000" w:themeColor="text1"/>
                <w:sz w:val="19"/>
                <w:szCs w:val="19"/>
                <w:lang w:val="en-GB"/>
              </w:rPr>
            </w:pPr>
            <w:r w:rsidRPr="006A6F1F">
              <w:rPr>
                <w:rFonts w:ascii="Arial" w:hAnsi="Arial" w:cs="Arial"/>
                <w:color w:val="000000" w:themeColor="text1"/>
                <w:sz w:val="19"/>
                <w:szCs w:val="19"/>
                <w:lang w:val="en-GB"/>
              </w:rPr>
              <w:t>−2</w:t>
            </w:r>
          </w:p>
        </w:tc>
        <w:tc>
          <w:tcPr>
            <w:tcW w:w="0" w:type="auto"/>
            <w:noWrap/>
            <w:hideMark/>
          </w:tcPr>
          <w:p w14:paraId="61D56678" w14:textId="2B36A62B" w:rsidR="001B2957" w:rsidRPr="006A6F1F" w:rsidRDefault="001B2957" w:rsidP="00772AA6">
            <w:pPr>
              <w:jc w:val="right"/>
              <w:rPr>
                <w:rFonts w:ascii="Arial" w:hAnsi="Arial" w:cs="Arial"/>
                <w:color w:val="000000" w:themeColor="text1"/>
                <w:sz w:val="19"/>
                <w:szCs w:val="19"/>
                <w:lang w:val="en-GB"/>
              </w:rPr>
            </w:pPr>
            <w:r w:rsidRPr="006A6F1F">
              <w:rPr>
                <w:rFonts w:ascii="Arial" w:hAnsi="Arial" w:cs="Arial"/>
                <w:color w:val="000000" w:themeColor="text1"/>
                <w:sz w:val="19"/>
                <w:szCs w:val="19"/>
                <w:lang w:val="en-GB"/>
              </w:rPr>
              <w:t>−2</w:t>
            </w:r>
          </w:p>
        </w:tc>
      </w:tr>
      <w:tr w:rsidR="001B2957" w:rsidRPr="006A6F1F" w14:paraId="16F3D12C" w14:textId="77777777" w:rsidTr="00976783">
        <w:trPr>
          <w:trHeight w:val="60"/>
          <w:jc w:val="center"/>
        </w:trPr>
        <w:tc>
          <w:tcPr>
            <w:tcW w:w="0" w:type="auto"/>
            <w:noWrap/>
            <w:hideMark/>
          </w:tcPr>
          <w:p w14:paraId="05056EBC" w14:textId="49D6CA84" w:rsidR="001B2957" w:rsidRPr="006A6F1F" w:rsidRDefault="001B2957" w:rsidP="00B93C88">
            <w:pPr>
              <w:rPr>
                <w:rFonts w:ascii="Arial" w:hAnsi="Arial" w:cs="Arial"/>
                <w:color w:val="000000" w:themeColor="text1"/>
                <w:sz w:val="19"/>
                <w:szCs w:val="19"/>
                <w:lang w:val="en-GB"/>
              </w:rPr>
            </w:pPr>
            <w:r w:rsidRPr="006A6F1F">
              <w:rPr>
                <w:rFonts w:ascii="Arial" w:hAnsi="Arial" w:cs="Arial"/>
                <w:color w:val="000000" w:themeColor="text1"/>
                <w:sz w:val="19"/>
                <w:szCs w:val="19"/>
                <w:lang w:val="en-GB"/>
              </w:rPr>
              <w:t>Profit Before Tax</w:t>
            </w:r>
          </w:p>
        </w:tc>
        <w:tc>
          <w:tcPr>
            <w:tcW w:w="0" w:type="auto"/>
            <w:noWrap/>
            <w:hideMark/>
          </w:tcPr>
          <w:p w14:paraId="3C75D313" w14:textId="6A9195DC" w:rsidR="001B2957" w:rsidRPr="006A6F1F" w:rsidRDefault="001B2957" w:rsidP="00207772">
            <w:pPr>
              <w:jc w:val="right"/>
              <w:rPr>
                <w:rFonts w:ascii="Arial" w:hAnsi="Arial" w:cs="Arial"/>
                <w:color w:val="000000" w:themeColor="text1"/>
                <w:sz w:val="19"/>
                <w:szCs w:val="19"/>
                <w:lang w:val="en-GB"/>
              </w:rPr>
            </w:pPr>
            <w:r w:rsidRPr="006A6F1F">
              <w:rPr>
                <w:rFonts w:ascii="Arial" w:hAnsi="Arial" w:cs="Arial"/>
                <w:color w:val="000000" w:themeColor="text1"/>
                <w:sz w:val="19"/>
                <w:szCs w:val="19"/>
                <w:lang w:val="en-GB"/>
              </w:rPr>
              <w:t xml:space="preserve">21,215 </w:t>
            </w:r>
          </w:p>
        </w:tc>
        <w:tc>
          <w:tcPr>
            <w:tcW w:w="0" w:type="auto"/>
            <w:noWrap/>
            <w:hideMark/>
          </w:tcPr>
          <w:p w14:paraId="0F2F6343" w14:textId="6E2F1BBF" w:rsidR="001B2957" w:rsidRPr="006A6F1F" w:rsidRDefault="001B2957" w:rsidP="00207772">
            <w:pPr>
              <w:jc w:val="right"/>
              <w:rPr>
                <w:rFonts w:ascii="Arial" w:hAnsi="Arial" w:cs="Arial"/>
                <w:color w:val="000000" w:themeColor="text1"/>
                <w:sz w:val="19"/>
                <w:szCs w:val="19"/>
                <w:lang w:val="en-GB"/>
              </w:rPr>
            </w:pPr>
            <w:r w:rsidRPr="006A6F1F">
              <w:rPr>
                <w:rFonts w:ascii="Arial" w:hAnsi="Arial" w:cs="Arial"/>
                <w:color w:val="000000" w:themeColor="text1"/>
                <w:sz w:val="19"/>
                <w:szCs w:val="19"/>
                <w:lang w:val="en-GB"/>
              </w:rPr>
              <w:t xml:space="preserve">23,560 </w:t>
            </w:r>
          </w:p>
        </w:tc>
        <w:tc>
          <w:tcPr>
            <w:tcW w:w="0" w:type="auto"/>
            <w:noWrap/>
            <w:hideMark/>
          </w:tcPr>
          <w:p w14:paraId="27FFAF46" w14:textId="20484DC6" w:rsidR="001B2957" w:rsidRPr="006A6F1F" w:rsidRDefault="001B2957" w:rsidP="00207772">
            <w:pPr>
              <w:jc w:val="right"/>
              <w:rPr>
                <w:rFonts w:ascii="Arial" w:hAnsi="Arial" w:cs="Arial"/>
                <w:color w:val="000000" w:themeColor="text1"/>
                <w:sz w:val="19"/>
                <w:szCs w:val="19"/>
                <w:lang w:val="en-GB"/>
              </w:rPr>
            </w:pPr>
            <w:r w:rsidRPr="006A6F1F">
              <w:rPr>
                <w:rFonts w:ascii="Arial" w:hAnsi="Arial" w:cs="Arial"/>
                <w:color w:val="000000" w:themeColor="text1"/>
                <w:sz w:val="19"/>
                <w:szCs w:val="19"/>
                <w:lang w:val="en-GB"/>
              </w:rPr>
              <w:t xml:space="preserve">25,582 </w:t>
            </w:r>
          </w:p>
        </w:tc>
      </w:tr>
      <w:tr w:rsidR="001B2957" w:rsidRPr="006A6F1F" w14:paraId="3F4AF53A" w14:textId="77777777" w:rsidTr="00976783">
        <w:trPr>
          <w:trHeight w:val="60"/>
          <w:jc w:val="center"/>
        </w:trPr>
        <w:tc>
          <w:tcPr>
            <w:tcW w:w="0" w:type="auto"/>
            <w:noWrap/>
            <w:hideMark/>
          </w:tcPr>
          <w:p w14:paraId="22AC3611" w14:textId="53DC0146" w:rsidR="001B2957" w:rsidRPr="006A6F1F" w:rsidRDefault="001B2957" w:rsidP="00B93C88">
            <w:pPr>
              <w:rPr>
                <w:rFonts w:ascii="Arial" w:hAnsi="Arial" w:cs="Arial"/>
                <w:color w:val="000000" w:themeColor="text1"/>
                <w:sz w:val="19"/>
                <w:szCs w:val="19"/>
                <w:lang w:val="en-GB"/>
              </w:rPr>
            </w:pPr>
            <w:r w:rsidRPr="006A6F1F">
              <w:rPr>
                <w:rFonts w:ascii="Arial" w:hAnsi="Arial" w:cs="Arial"/>
                <w:color w:val="000000" w:themeColor="text1"/>
                <w:sz w:val="19"/>
                <w:szCs w:val="19"/>
                <w:lang w:val="en-GB"/>
              </w:rPr>
              <w:t>Income Tax Expense</w:t>
            </w:r>
          </w:p>
        </w:tc>
        <w:tc>
          <w:tcPr>
            <w:tcW w:w="0" w:type="auto"/>
            <w:noWrap/>
            <w:hideMark/>
          </w:tcPr>
          <w:p w14:paraId="43A2DCAD" w14:textId="718B9031" w:rsidR="001B2957" w:rsidRPr="006A6F1F" w:rsidRDefault="001B2957" w:rsidP="00772AA6">
            <w:pPr>
              <w:jc w:val="right"/>
              <w:rPr>
                <w:rFonts w:ascii="Arial" w:hAnsi="Arial" w:cs="Arial"/>
                <w:color w:val="000000" w:themeColor="text1"/>
                <w:sz w:val="19"/>
                <w:szCs w:val="19"/>
                <w:lang w:val="en-GB"/>
              </w:rPr>
            </w:pPr>
            <w:r w:rsidRPr="006A6F1F">
              <w:rPr>
                <w:rFonts w:ascii="Arial" w:hAnsi="Arial" w:cs="Arial"/>
                <w:color w:val="000000" w:themeColor="text1"/>
                <w:sz w:val="19"/>
                <w:szCs w:val="19"/>
                <w:lang w:val="en-GB"/>
              </w:rPr>
              <w:t>−1,160</w:t>
            </w:r>
          </w:p>
        </w:tc>
        <w:tc>
          <w:tcPr>
            <w:tcW w:w="0" w:type="auto"/>
            <w:noWrap/>
            <w:hideMark/>
          </w:tcPr>
          <w:p w14:paraId="59F8C305" w14:textId="12712DA3" w:rsidR="001B2957" w:rsidRPr="006A6F1F" w:rsidRDefault="001B2957" w:rsidP="00772AA6">
            <w:pPr>
              <w:jc w:val="right"/>
              <w:rPr>
                <w:rFonts w:ascii="Arial" w:hAnsi="Arial" w:cs="Arial"/>
                <w:color w:val="000000" w:themeColor="text1"/>
                <w:sz w:val="19"/>
                <w:szCs w:val="19"/>
                <w:lang w:val="en-GB"/>
              </w:rPr>
            </w:pPr>
            <w:r w:rsidRPr="006A6F1F">
              <w:rPr>
                <w:rFonts w:ascii="Arial" w:hAnsi="Arial" w:cs="Arial"/>
                <w:color w:val="000000" w:themeColor="text1"/>
                <w:sz w:val="19"/>
                <w:szCs w:val="19"/>
                <w:lang w:val="en-GB"/>
              </w:rPr>
              <w:t>−1,067</w:t>
            </w:r>
          </w:p>
        </w:tc>
        <w:tc>
          <w:tcPr>
            <w:tcW w:w="0" w:type="auto"/>
            <w:noWrap/>
            <w:hideMark/>
          </w:tcPr>
          <w:p w14:paraId="375E7F6B" w14:textId="165F6E24" w:rsidR="001B2957" w:rsidRPr="006A6F1F" w:rsidRDefault="001B2957" w:rsidP="00772AA6">
            <w:pPr>
              <w:jc w:val="right"/>
              <w:rPr>
                <w:rFonts w:ascii="Arial" w:hAnsi="Arial" w:cs="Arial"/>
                <w:color w:val="000000" w:themeColor="text1"/>
                <w:sz w:val="19"/>
                <w:szCs w:val="19"/>
                <w:lang w:val="en-GB"/>
              </w:rPr>
            </w:pPr>
            <w:r w:rsidRPr="006A6F1F">
              <w:rPr>
                <w:rFonts w:ascii="Arial" w:hAnsi="Arial" w:cs="Arial"/>
                <w:color w:val="000000" w:themeColor="text1"/>
                <w:sz w:val="19"/>
                <w:szCs w:val="19"/>
                <w:lang w:val="en-GB"/>
              </w:rPr>
              <w:t>−1,365</w:t>
            </w:r>
          </w:p>
        </w:tc>
      </w:tr>
      <w:tr w:rsidR="001B2957" w:rsidRPr="006A6F1F" w14:paraId="6DD46714" w14:textId="77777777" w:rsidTr="00976783">
        <w:trPr>
          <w:trHeight w:val="60"/>
          <w:jc w:val="center"/>
        </w:trPr>
        <w:tc>
          <w:tcPr>
            <w:tcW w:w="0" w:type="auto"/>
            <w:noWrap/>
            <w:hideMark/>
          </w:tcPr>
          <w:p w14:paraId="39AE853E" w14:textId="6E851AC2" w:rsidR="001B2957" w:rsidRPr="006A6F1F" w:rsidRDefault="001B2957" w:rsidP="00B93C88">
            <w:pPr>
              <w:rPr>
                <w:rFonts w:ascii="Arial" w:hAnsi="Arial" w:cs="Arial"/>
                <w:color w:val="000000" w:themeColor="text1"/>
                <w:sz w:val="19"/>
                <w:szCs w:val="19"/>
                <w:lang w:val="en-GB"/>
              </w:rPr>
            </w:pPr>
            <w:r w:rsidRPr="006A6F1F">
              <w:rPr>
                <w:rFonts w:ascii="Arial" w:hAnsi="Arial" w:cs="Arial"/>
                <w:color w:val="000000" w:themeColor="text1"/>
                <w:sz w:val="19"/>
                <w:szCs w:val="19"/>
                <w:lang w:val="en-GB"/>
              </w:rPr>
              <w:t>Net Income</w:t>
            </w:r>
          </w:p>
        </w:tc>
        <w:tc>
          <w:tcPr>
            <w:tcW w:w="0" w:type="auto"/>
            <w:noWrap/>
            <w:hideMark/>
          </w:tcPr>
          <w:p w14:paraId="773A66D3" w14:textId="66110CD4" w:rsidR="001B2957" w:rsidRPr="006A6F1F" w:rsidRDefault="001B2957" w:rsidP="00207772">
            <w:pPr>
              <w:jc w:val="right"/>
              <w:rPr>
                <w:rFonts w:ascii="Arial" w:hAnsi="Arial" w:cs="Arial"/>
                <w:color w:val="000000" w:themeColor="text1"/>
                <w:sz w:val="19"/>
                <w:szCs w:val="19"/>
                <w:lang w:val="en-GB"/>
              </w:rPr>
            </w:pPr>
            <w:r w:rsidRPr="006A6F1F">
              <w:rPr>
                <w:rFonts w:ascii="Arial" w:hAnsi="Arial" w:cs="Arial"/>
                <w:color w:val="000000" w:themeColor="text1"/>
                <w:sz w:val="19"/>
                <w:szCs w:val="19"/>
                <w:lang w:val="en-GB"/>
              </w:rPr>
              <w:t xml:space="preserve">20,055 </w:t>
            </w:r>
          </w:p>
        </w:tc>
        <w:tc>
          <w:tcPr>
            <w:tcW w:w="0" w:type="auto"/>
            <w:noWrap/>
            <w:hideMark/>
          </w:tcPr>
          <w:p w14:paraId="16879B8D" w14:textId="3726123C" w:rsidR="001B2957" w:rsidRPr="006A6F1F" w:rsidRDefault="001B2957" w:rsidP="00207772">
            <w:pPr>
              <w:jc w:val="right"/>
              <w:rPr>
                <w:rFonts w:ascii="Arial" w:hAnsi="Arial" w:cs="Arial"/>
                <w:color w:val="000000" w:themeColor="text1"/>
                <w:sz w:val="19"/>
                <w:szCs w:val="19"/>
                <w:lang w:val="en-GB"/>
              </w:rPr>
            </w:pPr>
            <w:r w:rsidRPr="006A6F1F">
              <w:rPr>
                <w:rFonts w:ascii="Arial" w:hAnsi="Arial" w:cs="Arial"/>
                <w:color w:val="000000" w:themeColor="text1"/>
                <w:sz w:val="19"/>
                <w:szCs w:val="19"/>
                <w:lang w:val="en-GB"/>
              </w:rPr>
              <w:t xml:space="preserve">22,493 </w:t>
            </w:r>
          </w:p>
        </w:tc>
        <w:tc>
          <w:tcPr>
            <w:tcW w:w="0" w:type="auto"/>
            <w:noWrap/>
            <w:hideMark/>
          </w:tcPr>
          <w:p w14:paraId="6B671D1A" w14:textId="4A964CE1" w:rsidR="001B2957" w:rsidRPr="006A6F1F" w:rsidRDefault="001B2957" w:rsidP="00207772">
            <w:pPr>
              <w:jc w:val="right"/>
              <w:rPr>
                <w:rFonts w:ascii="Arial" w:hAnsi="Arial" w:cs="Arial"/>
                <w:color w:val="000000" w:themeColor="text1"/>
                <w:sz w:val="19"/>
                <w:szCs w:val="19"/>
                <w:lang w:val="en-GB"/>
              </w:rPr>
            </w:pPr>
            <w:r w:rsidRPr="006A6F1F">
              <w:rPr>
                <w:rFonts w:ascii="Arial" w:hAnsi="Arial" w:cs="Arial"/>
                <w:color w:val="000000" w:themeColor="text1"/>
                <w:sz w:val="19"/>
                <w:szCs w:val="19"/>
                <w:lang w:val="en-GB"/>
              </w:rPr>
              <w:t xml:space="preserve">24,217 </w:t>
            </w:r>
          </w:p>
        </w:tc>
      </w:tr>
      <w:tr w:rsidR="001B2957" w:rsidRPr="006A6F1F" w14:paraId="6751E626" w14:textId="77777777" w:rsidTr="00976783">
        <w:trPr>
          <w:trHeight w:val="60"/>
          <w:jc w:val="center"/>
        </w:trPr>
        <w:tc>
          <w:tcPr>
            <w:tcW w:w="0" w:type="auto"/>
            <w:noWrap/>
            <w:hideMark/>
          </w:tcPr>
          <w:p w14:paraId="08835531" w14:textId="1F512F42" w:rsidR="001B2957" w:rsidRPr="006A6F1F" w:rsidRDefault="001B2957" w:rsidP="00B93C88">
            <w:pPr>
              <w:rPr>
                <w:rFonts w:ascii="Arial" w:hAnsi="Arial" w:cs="Arial"/>
                <w:b/>
                <w:bCs/>
                <w:color w:val="000000" w:themeColor="text1"/>
                <w:sz w:val="19"/>
                <w:szCs w:val="19"/>
                <w:lang w:val="en-GB"/>
              </w:rPr>
            </w:pPr>
            <w:r w:rsidRPr="006A6F1F">
              <w:rPr>
                <w:rFonts w:ascii="Arial" w:hAnsi="Arial" w:cs="Arial"/>
                <w:b/>
                <w:bCs/>
                <w:color w:val="000000" w:themeColor="text1"/>
                <w:sz w:val="19"/>
                <w:szCs w:val="19"/>
                <w:lang w:val="en-GB"/>
              </w:rPr>
              <w:t>Attributable to:</w:t>
            </w:r>
          </w:p>
        </w:tc>
        <w:tc>
          <w:tcPr>
            <w:tcW w:w="0" w:type="auto"/>
            <w:noWrap/>
            <w:hideMark/>
          </w:tcPr>
          <w:p w14:paraId="3167F412" w14:textId="77777777" w:rsidR="001B2957" w:rsidRPr="006A6F1F" w:rsidRDefault="001B2957" w:rsidP="00207772">
            <w:pPr>
              <w:jc w:val="right"/>
              <w:rPr>
                <w:rFonts w:ascii="Arial" w:hAnsi="Arial" w:cs="Arial"/>
                <w:b/>
                <w:bCs/>
                <w:color w:val="000000" w:themeColor="text1"/>
                <w:sz w:val="19"/>
                <w:szCs w:val="19"/>
                <w:lang w:val="en-GB"/>
              </w:rPr>
            </w:pPr>
          </w:p>
        </w:tc>
        <w:tc>
          <w:tcPr>
            <w:tcW w:w="0" w:type="auto"/>
            <w:noWrap/>
            <w:hideMark/>
          </w:tcPr>
          <w:p w14:paraId="7C0B2403" w14:textId="77777777" w:rsidR="001B2957" w:rsidRPr="006A6F1F" w:rsidRDefault="001B2957" w:rsidP="00207772">
            <w:pPr>
              <w:jc w:val="right"/>
              <w:rPr>
                <w:color w:val="000000" w:themeColor="text1"/>
                <w:sz w:val="19"/>
                <w:szCs w:val="19"/>
                <w:lang w:val="en-GB"/>
              </w:rPr>
            </w:pPr>
          </w:p>
        </w:tc>
        <w:tc>
          <w:tcPr>
            <w:tcW w:w="0" w:type="auto"/>
            <w:noWrap/>
            <w:hideMark/>
          </w:tcPr>
          <w:p w14:paraId="52718040" w14:textId="77777777" w:rsidR="001B2957" w:rsidRPr="006A6F1F" w:rsidRDefault="001B2957" w:rsidP="00207772">
            <w:pPr>
              <w:jc w:val="right"/>
              <w:rPr>
                <w:color w:val="000000" w:themeColor="text1"/>
                <w:sz w:val="19"/>
                <w:szCs w:val="19"/>
                <w:lang w:val="en-GB"/>
              </w:rPr>
            </w:pPr>
          </w:p>
        </w:tc>
      </w:tr>
      <w:tr w:rsidR="001B2957" w:rsidRPr="006A6F1F" w14:paraId="1B94E2F6" w14:textId="77777777" w:rsidTr="00976783">
        <w:trPr>
          <w:trHeight w:val="60"/>
          <w:jc w:val="center"/>
        </w:trPr>
        <w:tc>
          <w:tcPr>
            <w:tcW w:w="0" w:type="auto"/>
            <w:noWrap/>
            <w:hideMark/>
          </w:tcPr>
          <w:p w14:paraId="4BF723E9" w14:textId="68330783" w:rsidR="001B2957" w:rsidRPr="006A6F1F" w:rsidRDefault="001B2957" w:rsidP="00B93C88">
            <w:pPr>
              <w:rPr>
                <w:rFonts w:ascii="Arial" w:hAnsi="Arial" w:cs="Arial"/>
                <w:color w:val="000000" w:themeColor="text1"/>
                <w:sz w:val="19"/>
                <w:szCs w:val="19"/>
                <w:lang w:val="en-GB"/>
              </w:rPr>
            </w:pPr>
            <w:r w:rsidRPr="006A6F1F">
              <w:rPr>
                <w:rFonts w:ascii="Arial" w:hAnsi="Arial" w:cs="Arial"/>
                <w:color w:val="000000" w:themeColor="text1"/>
                <w:sz w:val="19"/>
                <w:szCs w:val="19"/>
                <w:lang w:val="en-GB"/>
              </w:rPr>
              <w:t>Owners of the Company</w:t>
            </w:r>
          </w:p>
        </w:tc>
        <w:tc>
          <w:tcPr>
            <w:tcW w:w="0" w:type="auto"/>
            <w:noWrap/>
            <w:hideMark/>
          </w:tcPr>
          <w:p w14:paraId="63296EE5" w14:textId="03103FB7" w:rsidR="001B2957" w:rsidRPr="006A6F1F" w:rsidRDefault="001B2957" w:rsidP="00207772">
            <w:pPr>
              <w:jc w:val="right"/>
              <w:rPr>
                <w:rFonts w:ascii="Arial" w:hAnsi="Arial" w:cs="Arial"/>
                <w:color w:val="000000" w:themeColor="text1"/>
                <w:sz w:val="19"/>
                <w:szCs w:val="19"/>
                <w:lang w:val="en-GB"/>
              </w:rPr>
            </w:pPr>
            <w:r w:rsidRPr="006A6F1F">
              <w:rPr>
                <w:rFonts w:ascii="Arial" w:hAnsi="Arial" w:cs="Arial"/>
                <w:color w:val="000000" w:themeColor="text1"/>
                <w:sz w:val="19"/>
                <w:szCs w:val="19"/>
                <w:lang w:val="en-GB"/>
              </w:rPr>
              <w:t xml:space="preserve">10,408 </w:t>
            </w:r>
          </w:p>
        </w:tc>
        <w:tc>
          <w:tcPr>
            <w:tcW w:w="0" w:type="auto"/>
            <w:noWrap/>
            <w:hideMark/>
          </w:tcPr>
          <w:p w14:paraId="47902B72" w14:textId="2168F925" w:rsidR="001B2957" w:rsidRPr="006A6F1F" w:rsidRDefault="001B2957" w:rsidP="00207772">
            <w:pPr>
              <w:jc w:val="right"/>
              <w:rPr>
                <w:rFonts w:ascii="Arial" w:hAnsi="Arial" w:cs="Arial"/>
                <w:color w:val="000000" w:themeColor="text1"/>
                <w:sz w:val="19"/>
                <w:szCs w:val="19"/>
                <w:lang w:val="en-GB"/>
              </w:rPr>
            </w:pPr>
            <w:r w:rsidRPr="006A6F1F">
              <w:rPr>
                <w:rFonts w:ascii="Arial" w:hAnsi="Arial" w:cs="Arial"/>
                <w:color w:val="000000" w:themeColor="text1"/>
                <w:sz w:val="19"/>
                <w:szCs w:val="19"/>
                <w:lang w:val="en-GB"/>
              </w:rPr>
              <w:t xml:space="preserve">11,560 </w:t>
            </w:r>
          </w:p>
        </w:tc>
        <w:tc>
          <w:tcPr>
            <w:tcW w:w="0" w:type="auto"/>
            <w:noWrap/>
            <w:hideMark/>
          </w:tcPr>
          <w:p w14:paraId="00DF8F9B" w14:textId="532AB39E" w:rsidR="001B2957" w:rsidRPr="006A6F1F" w:rsidRDefault="001B2957" w:rsidP="00207772">
            <w:pPr>
              <w:jc w:val="right"/>
              <w:rPr>
                <w:rFonts w:ascii="Arial" w:hAnsi="Arial" w:cs="Arial"/>
                <w:color w:val="000000" w:themeColor="text1"/>
                <w:sz w:val="19"/>
                <w:szCs w:val="19"/>
                <w:lang w:val="en-GB"/>
              </w:rPr>
            </w:pPr>
            <w:r w:rsidRPr="006A6F1F">
              <w:rPr>
                <w:rFonts w:ascii="Arial" w:hAnsi="Arial" w:cs="Arial"/>
                <w:color w:val="000000" w:themeColor="text1"/>
                <w:sz w:val="19"/>
                <w:szCs w:val="19"/>
                <w:lang w:val="en-GB"/>
              </w:rPr>
              <w:t xml:space="preserve">12,174 </w:t>
            </w:r>
          </w:p>
        </w:tc>
      </w:tr>
      <w:tr w:rsidR="001B2957" w:rsidRPr="006A6F1F" w14:paraId="4396218E" w14:textId="77777777" w:rsidTr="00976783">
        <w:trPr>
          <w:trHeight w:val="60"/>
          <w:jc w:val="center"/>
        </w:trPr>
        <w:tc>
          <w:tcPr>
            <w:tcW w:w="0" w:type="auto"/>
            <w:noWrap/>
            <w:hideMark/>
          </w:tcPr>
          <w:p w14:paraId="39D3ACF1" w14:textId="138B0A2D" w:rsidR="001B2957" w:rsidRPr="006A6F1F" w:rsidRDefault="001B2957" w:rsidP="00B93C88">
            <w:pPr>
              <w:rPr>
                <w:rFonts w:ascii="Arial" w:hAnsi="Arial" w:cs="Arial"/>
                <w:color w:val="000000" w:themeColor="text1"/>
                <w:sz w:val="19"/>
                <w:szCs w:val="19"/>
                <w:lang w:val="en-GB"/>
              </w:rPr>
            </w:pPr>
            <w:r w:rsidRPr="006A6F1F">
              <w:rPr>
                <w:rFonts w:ascii="Arial" w:hAnsi="Arial" w:cs="Arial"/>
                <w:color w:val="000000" w:themeColor="text1"/>
                <w:sz w:val="19"/>
                <w:szCs w:val="19"/>
                <w:lang w:val="en-GB"/>
              </w:rPr>
              <w:t>Non-Controlling Interests</w:t>
            </w:r>
          </w:p>
        </w:tc>
        <w:tc>
          <w:tcPr>
            <w:tcW w:w="0" w:type="auto"/>
            <w:noWrap/>
            <w:hideMark/>
          </w:tcPr>
          <w:p w14:paraId="089E7A06" w14:textId="2839A791" w:rsidR="001B2957" w:rsidRPr="006A6F1F" w:rsidRDefault="001B2957" w:rsidP="00207772">
            <w:pPr>
              <w:jc w:val="right"/>
              <w:rPr>
                <w:rFonts w:ascii="Arial" w:hAnsi="Arial" w:cs="Arial"/>
                <w:color w:val="000000" w:themeColor="text1"/>
                <w:sz w:val="19"/>
                <w:szCs w:val="19"/>
                <w:lang w:val="en-GB"/>
              </w:rPr>
            </w:pPr>
            <w:r w:rsidRPr="006A6F1F">
              <w:rPr>
                <w:rFonts w:ascii="Arial" w:hAnsi="Arial" w:cs="Arial"/>
                <w:color w:val="000000" w:themeColor="text1"/>
                <w:sz w:val="19"/>
                <w:szCs w:val="19"/>
                <w:lang w:val="en-GB"/>
              </w:rPr>
              <w:t xml:space="preserve">9,647 </w:t>
            </w:r>
          </w:p>
        </w:tc>
        <w:tc>
          <w:tcPr>
            <w:tcW w:w="0" w:type="auto"/>
            <w:noWrap/>
            <w:hideMark/>
          </w:tcPr>
          <w:p w14:paraId="42BBF984" w14:textId="46DE201F" w:rsidR="001B2957" w:rsidRPr="006A6F1F" w:rsidRDefault="001B2957" w:rsidP="00207772">
            <w:pPr>
              <w:jc w:val="right"/>
              <w:rPr>
                <w:rFonts w:ascii="Arial" w:hAnsi="Arial" w:cs="Arial"/>
                <w:color w:val="000000" w:themeColor="text1"/>
                <w:sz w:val="19"/>
                <w:szCs w:val="19"/>
                <w:lang w:val="en-GB"/>
              </w:rPr>
            </w:pPr>
            <w:r w:rsidRPr="006A6F1F">
              <w:rPr>
                <w:rFonts w:ascii="Arial" w:hAnsi="Arial" w:cs="Arial"/>
                <w:color w:val="000000" w:themeColor="text1"/>
                <w:sz w:val="19"/>
                <w:szCs w:val="19"/>
                <w:lang w:val="en-GB"/>
              </w:rPr>
              <w:t xml:space="preserve">10,933 </w:t>
            </w:r>
          </w:p>
        </w:tc>
        <w:tc>
          <w:tcPr>
            <w:tcW w:w="0" w:type="auto"/>
            <w:noWrap/>
            <w:hideMark/>
          </w:tcPr>
          <w:p w14:paraId="406025C7" w14:textId="528312D0" w:rsidR="001B2957" w:rsidRPr="006A6F1F" w:rsidRDefault="001B2957" w:rsidP="00207772">
            <w:pPr>
              <w:jc w:val="right"/>
              <w:rPr>
                <w:rFonts w:ascii="Arial" w:hAnsi="Arial" w:cs="Arial"/>
                <w:color w:val="000000" w:themeColor="text1"/>
                <w:sz w:val="19"/>
                <w:szCs w:val="19"/>
                <w:lang w:val="en-GB"/>
              </w:rPr>
            </w:pPr>
            <w:r w:rsidRPr="006A6F1F">
              <w:rPr>
                <w:rFonts w:ascii="Arial" w:hAnsi="Arial" w:cs="Arial"/>
                <w:color w:val="000000" w:themeColor="text1"/>
                <w:sz w:val="19"/>
                <w:szCs w:val="19"/>
                <w:lang w:val="en-GB"/>
              </w:rPr>
              <w:t xml:space="preserve">12,043 </w:t>
            </w:r>
          </w:p>
        </w:tc>
      </w:tr>
      <w:tr w:rsidR="001B2957" w:rsidRPr="006A6F1F" w14:paraId="4B6750F6" w14:textId="77777777" w:rsidTr="00976783">
        <w:trPr>
          <w:trHeight w:val="60"/>
          <w:jc w:val="center"/>
        </w:trPr>
        <w:tc>
          <w:tcPr>
            <w:tcW w:w="0" w:type="auto"/>
            <w:noWrap/>
            <w:hideMark/>
          </w:tcPr>
          <w:p w14:paraId="71920B64" w14:textId="77777777" w:rsidR="001B2957" w:rsidRPr="006A6F1F" w:rsidRDefault="001B2957" w:rsidP="00B93C88">
            <w:pPr>
              <w:rPr>
                <w:rFonts w:ascii="Arial" w:hAnsi="Arial" w:cs="Arial"/>
                <w:color w:val="000000" w:themeColor="text1"/>
                <w:sz w:val="19"/>
                <w:szCs w:val="19"/>
                <w:lang w:val="en-GB"/>
              </w:rPr>
            </w:pPr>
          </w:p>
        </w:tc>
        <w:tc>
          <w:tcPr>
            <w:tcW w:w="0" w:type="auto"/>
            <w:noWrap/>
            <w:hideMark/>
          </w:tcPr>
          <w:p w14:paraId="0ACBEE1F" w14:textId="77777777" w:rsidR="001B2957" w:rsidRPr="006A6F1F" w:rsidRDefault="001B2957" w:rsidP="00207772">
            <w:pPr>
              <w:jc w:val="right"/>
              <w:rPr>
                <w:color w:val="000000" w:themeColor="text1"/>
                <w:sz w:val="19"/>
                <w:szCs w:val="19"/>
                <w:lang w:val="en-GB"/>
              </w:rPr>
            </w:pPr>
          </w:p>
        </w:tc>
        <w:tc>
          <w:tcPr>
            <w:tcW w:w="0" w:type="auto"/>
            <w:noWrap/>
            <w:hideMark/>
          </w:tcPr>
          <w:p w14:paraId="4C7AD93A" w14:textId="77777777" w:rsidR="001B2957" w:rsidRPr="006A6F1F" w:rsidRDefault="001B2957" w:rsidP="00207772">
            <w:pPr>
              <w:jc w:val="right"/>
              <w:rPr>
                <w:color w:val="000000" w:themeColor="text1"/>
                <w:sz w:val="19"/>
                <w:szCs w:val="19"/>
                <w:lang w:val="en-GB"/>
              </w:rPr>
            </w:pPr>
          </w:p>
        </w:tc>
        <w:tc>
          <w:tcPr>
            <w:tcW w:w="0" w:type="auto"/>
            <w:noWrap/>
            <w:hideMark/>
          </w:tcPr>
          <w:p w14:paraId="1FEC683B" w14:textId="77777777" w:rsidR="001B2957" w:rsidRPr="006A6F1F" w:rsidRDefault="001B2957" w:rsidP="00207772">
            <w:pPr>
              <w:jc w:val="right"/>
              <w:rPr>
                <w:color w:val="000000" w:themeColor="text1"/>
                <w:sz w:val="19"/>
                <w:szCs w:val="19"/>
                <w:lang w:val="en-GB"/>
              </w:rPr>
            </w:pPr>
          </w:p>
        </w:tc>
      </w:tr>
      <w:tr w:rsidR="001B2957" w:rsidRPr="006A6F1F" w14:paraId="35E20738" w14:textId="77777777" w:rsidTr="00976783">
        <w:trPr>
          <w:trHeight w:val="60"/>
          <w:jc w:val="center"/>
        </w:trPr>
        <w:tc>
          <w:tcPr>
            <w:tcW w:w="0" w:type="auto"/>
            <w:noWrap/>
            <w:hideMark/>
          </w:tcPr>
          <w:p w14:paraId="5599C9AE" w14:textId="230E5CDC" w:rsidR="001B2957" w:rsidRPr="006A6F1F" w:rsidRDefault="001B2957" w:rsidP="00B93C88">
            <w:pPr>
              <w:rPr>
                <w:rFonts w:ascii="Arial" w:hAnsi="Arial" w:cs="Arial"/>
                <w:b/>
                <w:bCs/>
                <w:color w:val="000000" w:themeColor="text1"/>
                <w:sz w:val="19"/>
                <w:szCs w:val="19"/>
                <w:lang w:val="en-GB"/>
              </w:rPr>
            </w:pPr>
            <w:r w:rsidRPr="006A6F1F">
              <w:rPr>
                <w:rFonts w:ascii="Arial" w:hAnsi="Arial" w:cs="Arial"/>
                <w:b/>
                <w:bCs/>
                <w:color w:val="000000" w:themeColor="text1"/>
                <w:sz w:val="19"/>
                <w:szCs w:val="19"/>
                <w:lang w:val="en-GB"/>
              </w:rPr>
              <w:t>Pre-Invitation Earnings per Share (cents)</w:t>
            </w:r>
          </w:p>
        </w:tc>
        <w:tc>
          <w:tcPr>
            <w:tcW w:w="0" w:type="auto"/>
            <w:noWrap/>
            <w:hideMark/>
          </w:tcPr>
          <w:p w14:paraId="07DAE9A9" w14:textId="09758F55" w:rsidR="001B2957" w:rsidRPr="006A6F1F" w:rsidRDefault="001B2957" w:rsidP="00207772">
            <w:pPr>
              <w:jc w:val="right"/>
              <w:rPr>
                <w:rFonts w:ascii="Arial" w:hAnsi="Arial" w:cs="Arial"/>
                <w:b/>
                <w:bCs/>
                <w:color w:val="000000" w:themeColor="text1"/>
                <w:sz w:val="19"/>
                <w:szCs w:val="19"/>
                <w:lang w:val="en-GB"/>
              </w:rPr>
            </w:pPr>
            <w:r w:rsidRPr="006A6F1F">
              <w:rPr>
                <w:rFonts w:ascii="Arial" w:hAnsi="Arial" w:cs="Arial"/>
                <w:b/>
                <w:bCs/>
                <w:color w:val="000000" w:themeColor="text1"/>
                <w:sz w:val="19"/>
                <w:szCs w:val="19"/>
                <w:lang w:val="en-GB"/>
              </w:rPr>
              <w:t xml:space="preserve">1.06 </w:t>
            </w:r>
          </w:p>
        </w:tc>
        <w:tc>
          <w:tcPr>
            <w:tcW w:w="0" w:type="auto"/>
            <w:noWrap/>
            <w:hideMark/>
          </w:tcPr>
          <w:p w14:paraId="7442BCE0" w14:textId="7E085437" w:rsidR="001B2957" w:rsidRPr="006A6F1F" w:rsidRDefault="001B2957" w:rsidP="00207772">
            <w:pPr>
              <w:jc w:val="right"/>
              <w:rPr>
                <w:rFonts w:ascii="Arial" w:hAnsi="Arial" w:cs="Arial"/>
                <w:b/>
                <w:bCs/>
                <w:color w:val="000000" w:themeColor="text1"/>
                <w:sz w:val="19"/>
                <w:szCs w:val="19"/>
                <w:lang w:val="en-GB"/>
              </w:rPr>
            </w:pPr>
            <w:r w:rsidRPr="006A6F1F">
              <w:rPr>
                <w:rFonts w:ascii="Arial" w:hAnsi="Arial" w:cs="Arial"/>
                <w:b/>
                <w:bCs/>
                <w:color w:val="000000" w:themeColor="text1"/>
                <w:sz w:val="19"/>
                <w:szCs w:val="19"/>
                <w:lang w:val="en-GB"/>
              </w:rPr>
              <w:t xml:space="preserve">1.18 </w:t>
            </w:r>
          </w:p>
        </w:tc>
        <w:tc>
          <w:tcPr>
            <w:tcW w:w="0" w:type="auto"/>
            <w:noWrap/>
            <w:hideMark/>
          </w:tcPr>
          <w:p w14:paraId="3F54DE54" w14:textId="2093C5DB" w:rsidR="001B2957" w:rsidRPr="006A6F1F" w:rsidRDefault="001B2957" w:rsidP="00207772">
            <w:pPr>
              <w:jc w:val="right"/>
              <w:rPr>
                <w:rFonts w:ascii="Arial" w:hAnsi="Arial" w:cs="Arial"/>
                <w:b/>
                <w:bCs/>
                <w:color w:val="000000" w:themeColor="text1"/>
                <w:sz w:val="19"/>
                <w:szCs w:val="19"/>
                <w:lang w:val="en-GB"/>
              </w:rPr>
            </w:pPr>
            <w:r w:rsidRPr="006A6F1F">
              <w:rPr>
                <w:rFonts w:ascii="Arial" w:hAnsi="Arial" w:cs="Arial"/>
                <w:b/>
                <w:bCs/>
                <w:color w:val="000000" w:themeColor="text1"/>
                <w:sz w:val="19"/>
                <w:szCs w:val="19"/>
                <w:lang w:val="en-GB"/>
              </w:rPr>
              <w:t xml:space="preserve">1.24 </w:t>
            </w:r>
          </w:p>
        </w:tc>
      </w:tr>
      <w:tr w:rsidR="001B2957" w:rsidRPr="006A6F1F" w14:paraId="743EBE88" w14:textId="77777777" w:rsidTr="00976783">
        <w:trPr>
          <w:trHeight w:val="60"/>
          <w:jc w:val="center"/>
        </w:trPr>
        <w:tc>
          <w:tcPr>
            <w:tcW w:w="0" w:type="auto"/>
            <w:noWrap/>
            <w:hideMark/>
          </w:tcPr>
          <w:p w14:paraId="3B3BCCDB" w14:textId="08F676D2" w:rsidR="001B2957" w:rsidRPr="006A6F1F" w:rsidRDefault="001B2957" w:rsidP="00B93C88">
            <w:pPr>
              <w:rPr>
                <w:rFonts w:ascii="Arial" w:hAnsi="Arial" w:cs="Arial"/>
                <w:b/>
                <w:bCs/>
                <w:color w:val="000000" w:themeColor="text1"/>
                <w:sz w:val="19"/>
                <w:szCs w:val="19"/>
                <w:lang w:val="en-GB"/>
              </w:rPr>
            </w:pPr>
            <w:r w:rsidRPr="006A6F1F">
              <w:rPr>
                <w:rFonts w:ascii="Arial" w:hAnsi="Arial" w:cs="Arial"/>
                <w:b/>
                <w:bCs/>
                <w:color w:val="000000" w:themeColor="text1"/>
                <w:sz w:val="19"/>
                <w:szCs w:val="19"/>
                <w:lang w:val="en-GB"/>
              </w:rPr>
              <w:t>Post-Invitation Earnings per Share (cents)</w:t>
            </w:r>
          </w:p>
        </w:tc>
        <w:tc>
          <w:tcPr>
            <w:tcW w:w="0" w:type="auto"/>
            <w:noWrap/>
            <w:hideMark/>
          </w:tcPr>
          <w:p w14:paraId="002EBB6A" w14:textId="601A3068" w:rsidR="001B2957" w:rsidRPr="006A6F1F" w:rsidRDefault="001B2957" w:rsidP="00207772">
            <w:pPr>
              <w:jc w:val="right"/>
              <w:rPr>
                <w:rFonts w:ascii="Arial" w:hAnsi="Arial" w:cs="Arial"/>
                <w:b/>
                <w:bCs/>
                <w:color w:val="000000" w:themeColor="text1"/>
                <w:sz w:val="19"/>
                <w:szCs w:val="19"/>
                <w:lang w:val="en-GB"/>
              </w:rPr>
            </w:pPr>
            <w:r w:rsidRPr="006A6F1F">
              <w:rPr>
                <w:rFonts w:ascii="Arial" w:hAnsi="Arial" w:cs="Arial"/>
                <w:b/>
                <w:bCs/>
                <w:color w:val="000000" w:themeColor="text1"/>
                <w:sz w:val="19"/>
                <w:szCs w:val="19"/>
                <w:lang w:val="en-GB"/>
              </w:rPr>
              <w:t xml:space="preserve">0.90 </w:t>
            </w:r>
          </w:p>
        </w:tc>
        <w:tc>
          <w:tcPr>
            <w:tcW w:w="0" w:type="auto"/>
            <w:noWrap/>
            <w:hideMark/>
          </w:tcPr>
          <w:p w14:paraId="1BD87A6C" w14:textId="67BFFB6B" w:rsidR="001B2957" w:rsidRPr="006A6F1F" w:rsidRDefault="001B2957" w:rsidP="00207772">
            <w:pPr>
              <w:jc w:val="right"/>
              <w:rPr>
                <w:rFonts w:ascii="Arial" w:hAnsi="Arial" w:cs="Arial"/>
                <w:b/>
                <w:bCs/>
                <w:color w:val="000000" w:themeColor="text1"/>
                <w:sz w:val="19"/>
                <w:szCs w:val="19"/>
                <w:lang w:val="en-GB"/>
              </w:rPr>
            </w:pPr>
            <w:r w:rsidRPr="006A6F1F">
              <w:rPr>
                <w:rFonts w:ascii="Arial" w:hAnsi="Arial" w:cs="Arial"/>
                <w:b/>
                <w:bCs/>
                <w:color w:val="000000" w:themeColor="text1"/>
                <w:sz w:val="19"/>
                <w:szCs w:val="19"/>
                <w:lang w:val="en-GB"/>
              </w:rPr>
              <w:t xml:space="preserve">1.00 </w:t>
            </w:r>
          </w:p>
        </w:tc>
        <w:tc>
          <w:tcPr>
            <w:tcW w:w="0" w:type="auto"/>
            <w:noWrap/>
            <w:hideMark/>
          </w:tcPr>
          <w:p w14:paraId="5ADD3B74" w14:textId="4B1D1874" w:rsidR="001B2957" w:rsidRPr="006A6F1F" w:rsidRDefault="001B2957" w:rsidP="00207772">
            <w:pPr>
              <w:jc w:val="right"/>
              <w:rPr>
                <w:rFonts w:ascii="Arial" w:hAnsi="Arial" w:cs="Arial"/>
                <w:b/>
                <w:bCs/>
                <w:color w:val="000000" w:themeColor="text1"/>
                <w:sz w:val="19"/>
                <w:szCs w:val="19"/>
                <w:lang w:val="en-GB"/>
              </w:rPr>
            </w:pPr>
            <w:r w:rsidRPr="006A6F1F">
              <w:rPr>
                <w:rFonts w:ascii="Arial" w:hAnsi="Arial" w:cs="Arial"/>
                <w:b/>
                <w:bCs/>
                <w:color w:val="000000" w:themeColor="text1"/>
                <w:sz w:val="19"/>
                <w:szCs w:val="19"/>
                <w:lang w:val="en-GB"/>
              </w:rPr>
              <w:t xml:space="preserve">1.05 </w:t>
            </w:r>
          </w:p>
        </w:tc>
      </w:tr>
    </w:tbl>
    <w:p w14:paraId="4553107C" w14:textId="77777777" w:rsidR="001B2957" w:rsidRPr="006A6F1F" w:rsidRDefault="001B2957" w:rsidP="00D0703F">
      <w:pPr>
        <w:pStyle w:val="Footnote"/>
        <w:rPr>
          <w:i/>
          <w:color w:val="000000" w:themeColor="text1"/>
          <w:lang w:val="en-GB"/>
        </w:rPr>
      </w:pPr>
    </w:p>
    <w:p w14:paraId="689983B3" w14:textId="11C591A6" w:rsidR="00434042" w:rsidRDefault="00434042" w:rsidP="00D0703F">
      <w:pPr>
        <w:pStyle w:val="Footnote"/>
        <w:rPr>
          <w:color w:val="000000" w:themeColor="text1"/>
          <w:lang w:val="en-GB"/>
        </w:rPr>
      </w:pPr>
      <w:r>
        <w:rPr>
          <w:color w:val="000000" w:themeColor="text1"/>
          <w:lang w:val="en-GB"/>
        </w:rPr>
        <w:t xml:space="preserve">Note: </w:t>
      </w:r>
      <w:r w:rsidRPr="00FE0572">
        <w:rPr>
          <w:rStyle w:val="FootnoteChar"/>
        </w:rPr>
        <w:t>SG$ = Singapore dollar</w:t>
      </w:r>
      <w:r>
        <w:rPr>
          <w:rStyle w:val="FootnoteChar"/>
        </w:rPr>
        <w:t>;</w:t>
      </w:r>
      <w:r w:rsidRPr="00FE0572">
        <w:rPr>
          <w:rStyle w:val="FootnoteChar"/>
        </w:rPr>
        <w:t xml:space="preserve"> </w:t>
      </w:r>
      <w:r>
        <w:rPr>
          <w:rStyle w:val="FootnoteChar"/>
        </w:rPr>
        <w:t xml:space="preserve">SG$1 = </w:t>
      </w:r>
      <w:r w:rsidRPr="00FE0572">
        <w:rPr>
          <w:rStyle w:val="FootnoteChar"/>
        </w:rPr>
        <w:t>US$</w:t>
      </w:r>
      <w:r>
        <w:rPr>
          <w:rStyle w:val="FootnoteChar"/>
        </w:rPr>
        <w:t>0.70540</w:t>
      </w:r>
      <w:r w:rsidRPr="00FE0572">
        <w:rPr>
          <w:rStyle w:val="FootnoteChar"/>
        </w:rPr>
        <w:t xml:space="preserve"> on March 8, 2017</w:t>
      </w:r>
    </w:p>
    <w:p w14:paraId="1EAC4F4C" w14:textId="363FF927" w:rsidR="001B2957" w:rsidRPr="006A6F1F" w:rsidRDefault="001B2957" w:rsidP="00D0703F">
      <w:pPr>
        <w:pStyle w:val="Footnote"/>
        <w:rPr>
          <w:color w:val="000000" w:themeColor="text1"/>
          <w:lang w:val="en-GB"/>
        </w:rPr>
      </w:pPr>
      <w:r w:rsidRPr="006A6F1F">
        <w:rPr>
          <w:color w:val="000000" w:themeColor="text1"/>
          <w:lang w:val="en-GB"/>
        </w:rPr>
        <w:t xml:space="preserve">Source: </w:t>
      </w:r>
      <w:proofErr w:type="spellStart"/>
      <w:r w:rsidRPr="006A6F1F">
        <w:rPr>
          <w:color w:val="000000" w:themeColor="text1"/>
          <w:lang w:val="en-GB"/>
        </w:rPr>
        <w:t>Kimly</w:t>
      </w:r>
      <w:proofErr w:type="spellEnd"/>
      <w:r w:rsidRPr="006A6F1F">
        <w:rPr>
          <w:color w:val="000000" w:themeColor="text1"/>
          <w:lang w:val="en-GB"/>
        </w:rPr>
        <w:t xml:space="preserve"> Limited, </w:t>
      </w:r>
      <w:r w:rsidRPr="006A6F1F">
        <w:rPr>
          <w:i/>
          <w:color w:val="000000" w:themeColor="text1"/>
          <w:lang w:val="en-GB"/>
        </w:rPr>
        <w:t>Invitation In Respect Of 173,800,000 New Shares</w:t>
      </w:r>
      <w:r w:rsidRPr="006A6F1F">
        <w:rPr>
          <w:color w:val="000000" w:themeColor="text1"/>
          <w:lang w:val="en-GB"/>
        </w:rPr>
        <w:t>, 76, March 8, 2017, accessed May 29, 2017, http://infopub.sgx.com/FileOpen/Kimly_Limited_-_Offer_Document.ashx?App=IPO&amp;FileID=5360.</w:t>
      </w:r>
    </w:p>
    <w:p w14:paraId="46191A29" w14:textId="68F88F3C" w:rsidR="001B2957" w:rsidRPr="006A6F1F" w:rsidRDefault="001B2957" w:rsidP="003F2FE5">
      <w:pPr>
        <w:pStyle w:val="BodyTextMain"/>
        <w:rPr>
          <w:lang w:val="en-GB"/>
        </w:rPr>
      </w:pPr>
    </w:p>
    <w:p w14:paraId="229BD26E" w14:textId="77777777" w:rsidR="003F2FE5" w:rsidRDefault="003F2FE5" w:rsidP="003F2FE5">
      <w:pPr>
        <w:pStyle w:val="BodyTextMain"/>
        <w:rPr>
          <w:color w:val="000000" w:themeColor="text1"/>
          <w:lang w:val="en-GB"/>
        </w:rPr>
      </w:pPr>
    </w:p>
    <w:p w14:paraId="4C0D6A70" w14:textId="4F460CEE" w:rsidR="001B2957" w:rsidRPr="006A6F1F" w:rsidRDefault="001B2957" w:rsidP="00B6388E">
      <w:pPr>
        <w:pStyle w:val="ExhibitHeading"/>
        <w:rPr>
          <w:rFonts w:ascii="Helvetica" w:eastAsiaTheme="minorHAnsi" w:hAnsi="Helvetica" w:cs="Helvetica"/>
          <w:color w:val="000000" w:themeColor="text1"/>
          <w:lang w:val="en-GB"/>
        </w:rPr>
      </w:pPr>
      <w:r w:rsidRPr="006A6F1F">
        <w:rPr>
          <w:color w:val="000000" w:themeColor="text1"/>
          <w:lang w:val="en-GB"/>
        </w:rPr>
        <w:t xml:space="preserve">Exhibit </w:t>
      </w:r>
      <w:r w:rsidR="00B9262B">
        <w:rPr>
          <w:color w:val="000000" w:themeColor="text1"/>
          <w:lang w:val="en-GB"/>
        </w:rPr>
        <w:t>6</w:t>
      </w:r>
      <w:r w:rsidRPr="006A6F1F">
        <w:rPr>
          <w:color w:val="000000" w:themeColor="text1"/>
          <w:lang w:val="en-GB"/>
        </w:rPr>
        <w:t>: breakdown of revenue by business segments</w:t>
      </w:r>
    </w:p>
    <w:p w14:paraId="39B938D5" w14:textId="77777777" w:rsidR="001B2957" w:rsidRPr="006A6F1F" w:rsidRDefault="001B2957" w:rsidP="003A6C45">
      <w:pPr>
        <w:pStyle w:val="ExhibitHeading"/>
        <w:rPr>
          <w:color w:val="000000" w:themeColor="text1"/>
          <w:lang w:val="en-GB"/>
        </w:rPr>
      </w:pPr>
    </w:p>
    <w:tbl>
      <w:tblPr>
        <w:tblStyle w:val="TableGrid11"/>
        <w:tblW w:w="8700" w:type="dxa"/>
        <w:jc w:val="center"/>
        <w:tblLook w:val="04A0" w:firstRow="1" w:lastRow="0" w:firstColumn="1" w:lastColumn="0" w:noHBand="0" w:noVBand="1"/>
      </w:tblPr>
      <w:tblGrid>
        <w:gridCol w:w="3520"/>
        <w:gridCol w:w="1020"/>
        <w:gridCol w:w="720"/>
        <w:gridCol w:w="996"/>
        <w:gridCol w:w="704"/>
        <w:gridCol w:w="1020"/>
        <w:gridCol w:w="720"/>
      </w:tblGrid>
      <w:tr w:rsidR="001B2957" w:rsidRPr="006A6F1F" w14:paraId="039B9D81" w14:textId="77777777" w:rsidTr="003F2FE5">
        <w:trPr>
          <w:trHeight w:val="89"/>
          <w:jc w:val="center"/>
        </w:trPr>
        <w:tc>
          <w:tcPr>
            <w:tcW w:w="3520" w:type="dxa"/>
            <w:hideMark/>
          </w:tcPr>
          <w:p w14:paraId="11C61DAC" w14:textId="77777777" w:rsidR="001B2957" w:rsidRPr="006A6F1F" w:rsidRDefault="001B2957" w:rsidP="00265F5E">
            <w:pPr>
              <w:rPr>
                <w:rFonts w:ascii="Arial" w:hAnsi="Arial" w:cs="Arial"/>
                <w:b/>
                <w:bCs/>
                <w:color w:val="000000" w:themeColor="text1"/>
                <w:sz w:val="19"/>
                <w:szCs w:val="19"/>
                <w:lang w:val="en-GB" w:eastAsia="en-SG"/>
              </w:rPr>
            </w:pPr>
            <w:r w:rsidRPr="006A6F1F">
              <w:rPr>
                <w:rFonts w:ascii="Arial" w:hAnsi="Arial" w:cs="Arial"/>
                <w:b/>
                <w:bCs/>
                <w:color w:val="000000" w:themeColor="text1"/>
                <w:sz w:val="19"/>
                <w:szCs w:val="19"/>
                <w:lang w:val="en-GB" w:eastAsia="en-SG"/>
              </w:rPr>
              <w:t>Revenue</w:t>
            </w:r>
          </w:p>
        </w:tc>
        <w:tc>
          <w:tcPr>
            <w:tcW w:w="1740" w:type="dxa"/>
            <w:gridSpan w:val="2"/>
            <w:hideMark/>
          </w:tcPr>
          <w:p w14:paraId="786CFE3D" w14:textId="77777777" w:rsidR="001B2957" w:rsidRPr="006A6F1F" w:rsidRDefault="001B2957" w:rsidP="00265F5E">
            <w:pPr>
              <w:jc w:val="center"/>
              <w:rPr>
                <w:rFonts w:ascii="Arial" w:hAnsi="Arial" w:cs="Arial"/>
                <w:b/>
                <w:bCs/>
                <w:color w:val="000000" w:themeColor="text1"/>
                <w:sz w:val="19"/>
                <w:szCs w:val="19"/>
                <w:lang w:val="en-GB" w:eastAsia="en-SG"/>
              </w:rPr>
            </w:pPr>
            <w:r w:rsidRPr="006A6F1F">
              <w:rPr>
                <w:rFonts w:ascii="Arial" w:hAnsi="Arial" w:cs="Arial"/>
                <w:b/>
                <w:bCs/>
                <w:color w:val="000000" w:themeColor="text1"/>
                <w:sz w:val="19"/>
                <w:szCs w:val="19"/>
                <w:lang w:val="en-GB" w:eastAsia="en-SG"/>
              </w:rPr>
              <w:t>FY2014</w:t>
            </w:r>
          </w:p>
        </w:tc>
        <w:tc>
          <w:tcPr>
            <w:tcW w:w="1700" w:type="dxa"/>
            <w:gridSpan w:val="2"/>
            <w:hideMark/>
          </w:tcPr>
          <w:p w14:paraId="08625131" w14:textId="77777777" w:rsidR="001B2957" w:rsidRPr="006A6F1F" w:rsidRDefault="001B2957" w:rsidP="00265F5E">
            <w:pPr>
              <w:jc w:val="center"/>
              <w:rPr>
                <w:rFonts w:ascii="Arial" w:hAnsi="Arial" w:cs="Arial"/>
                <w:b/>
                <w:bCs/>
                <w:color w:val="000000" w:themeColor="text1"/>
                <w:sz w:val="19"/>
                <w:szCs w:val="19"/>
                <w:lang w:val="en-GB" w:eastAsia="en-SG"/>
              </w:rPr>
            </w:pPr>
            <w:r w:rsidRPr="006A6F1F">
              <w:rPr>
                <w:rFonts w:ascii="Arial" w:hAnsi="Arial" w:cs="Arial"/>
                <w:b/>
                <w:bCs/>
                <w:color w:val="000000" w:themeColor="text1"/>
                <w:sz w:val="19"/>
                <w:szCs w:val="19"/>
                <w:lang w:val="en-GB" w:eastAsia="en-SG"/>
              </w:rPr>
              <w:t>FY2015</w:t>
            </w:r>
          </w:p>
        </w:tc>
        <w:tc>
          <w:tcPr>
            <w:tcW w:w="1740" w:type="dxa"/>
            <w:gridSpan w:val="2"/>
            <w:hideMark/>
          </w:tcPr>
          <w:p w14:paraId="3ED16EFC" w14:textId="77777777" w:rsidR="001B2957" w:rsidRPr="006A6F1F" w:rsidRDefault="001B2957" w:rsidP="00265F5E">
            <w:pPr>
              <w:jc w:val="center"/>
              <w:rPr>
                <w:rFonts w:ascii="Arial" w:hAnsi="Arial" w:cs="Arial"/>
                <w:b/>
                <w:bCs/>
                <w:color w:val="000000" w:themeColor="text1"/>
                <w:sz w:val="19"/>
                <w:szCs w:val="19"/>
                <w:lang w:val="en-GB" w:eastAsia="en-SG"/>
              </w:rPr>
            </w:pPr>
            <w:r w:rsidRPr="006A6F1F">
              <w:rPr>
                <w:rFonts w:ascii="Arial" w:hAnsi="Arial" w:cs="Arial"/>
                <w:b/>
                <w:bCs/>
                <w:color w:val="000000" w:themeColor="text1"/>
                <w:sz w:val="19"/>
                <w:szCs w:val="19"/>
                <w:lang w:val="en-GB" w:eastAsia="en-SG"/>
              </w:rPr>
              <w:t>FY2016</w:t>
            </w:r>
          </w:p>
        </w:tc>
      </w:tr>
      <w:tr w:rsidR="001B2957" w:rsidRPr="006A6F1F" w14:paraId="0AA62C65" w14:textId="77777777" w:rsidTr="003F2FE5">
        <w:trPr>
          <w:trHeight w:val="134"/>
          <w:jc w:val="center"/>
        </w:trPr>
        <w:tc>
          <w:tcPr>
            <w:tcW w:w="3520" w:type="dxa"/>
            <w:hideMark/>
          </w:tcPr>
          <w:p w14:paraId="03F61D2F" w14:textId="77777777" w:rsidR="001B2957" w:rsidRPr="006A6F1F" w:rsidRDefault="001B2957" w:rsidP="00265F5E">
            <w:pPr>
              <w:jc w:val="center"/>
              <w:rPr>
                <w:rFonts w:ascii="Arial" w:hAnsi="Arial" w:cs="Arial"/>
                <w:b/>
                <w:bCs/>
                <w:color w:val="000000" w:themeColor="text1"/>
                <w:sz w:val="19"/>
                <w:szCs w:val="19"/>
                <w:lang w:val="en-GB" w:eastAsia="en-SG"/>
              </w:rPr>
            </w:pPr>
          </w:p>
        </w:tc>
        <w:tc>
          <w:tcPr>
            <w:tcW w:w="1020" w:type="dxa"/>
            <w:noWrap/>
            <w:hideMark/>
          </w:tcPr>
          <w:p w14:paraId="13CA33D9" w14:textId="78A02D4E" w:rsidR="001B2957" w:rsidRPr="006A6F1F" w:rsidRDefault="001B2957" w:rsidP="00265F5E">
            <w:pPr>
              <w:jc w:val="center"/>
              <w:rPr>
                <w:rFonts w:ascii="Arial" w:hAnsi="Arial" w:cs="Arial"/>
                <w:b/>
                <w:bCs/>
                <w:color w:val="000000" w:themeColor="text1"/>
                <w:sz w:val="19"/>
                <w:szCs w:val="19"/>
                <w:lang w:val="en-GB" w:eastAsia="en-SG"/>
              </w:rPr>
            </w:pPr>
            <w:r w:rsidRPr="006A6F1F">
              <w:rPr>
                <w:rFonts w:ascii="Arial" w:hAnsi="Arial" w:cs="Arial"/>
                <w:b/>
                <w:bCs/>
                <w:color w:val="000000" w:themeColor="text1"/>
                <w:sz w:val="19"/>
                <w:szCs w:val="19"/>
                <w:lang w:val="en-GB" w:eastAsia="en-SG"/>
              </w:rPr>
              <w:t>SG$'000</w:t>
            </w:r>
          </w:p>
        </w:tc>
        <w:tc>
          <w:tcPr>
            <w:tcW w:w="720" w:type="dxa"/>
            <w:noWrap/>
            <w:hideMark/>
          </w:tcPr>
          <w:p w14:paraId="4F33BFE8" w14:textId="77777777" w:rsidR="001B2957" w:rsidRPr="006A6F1F" w:rsidRDefault="001B2957" w:rsidP="00265F5E">
            <w:pPr>
              <w:jc w:val="center"/>
              <w:rPr>
                <w:rFonts w:ascii="Arial" w:hAnsi="Arial" w:cs="Arial"/>
                <w:b/>
                <w:bCs/>
                <w:color w:val="000000" w:themeColor="text1"/>
                <w:sz w:val="19"/>
                <w:szCs w:val="19"/>
                <w:lang w:val="en-GB" w:eastAsia="en-SG"/>
              </w:rPr>
            </w:pPr>
            <w:r w:rsidRPr="006A6F1F">
              <w:rPr>
                <w:rFonts w:ascii="Arial" w:hAnsi="Arial" w:cs="Arial"/>
                <w:b/>
                <w:bCs/>
                <w:color w:val="000000" w:themeColor="text1"/>
                <w:sz w:val="19"/>
                <w:szCs w:val="19"/>
                <w:lang w:val="en-GB" w:eastAsia="en-SG"/>
              </w:rPr>
              <w:t>%</w:t>
            </w:r>
          </w:p>
        </w:tc>
        <w:tc>
          <w:tcPr>
            <w:tcW w:w="996" w:type="dxa"/>
            <w:noWrap/>
            <w:hideMark/>
          </w:tcPr>
          <w:p w14:paraId="0F560A57" w14:textId="33F6F9E1" w:rsidR="001B2957" w:rsidRPr="006A6F1F" w:rsidRDefault="001B2957" w:rsidP="00265F5E">
            <w:pPr>
              <w:jc w:val="center"/>
              <w:rPr>
                <w:rFonts w:ascii="Arial" w:hAnsi="Arial" w:cs="Arial"/>
                <w:b/>
                <w:bCs/>
                <w:color w:val="000000" w:themeColor="text1"/>
                <w:sz w:val="19"/>
                <w:szCs w:val="19"/>
                <w:lang w:val="en-GB" w:eastAsia="en-SG"/>
              </w:rPr>
            </w:pPr>
            <w:r w:rsidRPr="006A6F1F">
              <w:rPr>
                <w:rFonts w:ascii="Arial" w:hAnsi="Arial" w:cs="Arial"/>
                <w:b/>
                <w:bCs/>
                <w:color w:val="000000" w:themeColor="text1"/>
                <w:sz w:val="19"/>
                <w:szCs w:val="19"/>
                <w:lang w:val="en-GB" w:eastAsia="en-SG"/>
              </w:rPr>
              <w:t>SG$'000</w:t>
            </w:r>
          </w:p>
        </w:tc>
        <w:tc>
          <w:tcPr>
            <w:tcW w:w="704" w:type="dxa"/>
            <w:noWrap/>
            <w:hideMark/>
          </w:tcPr>
          <w:p w14:paraId="72D76406" w14:textId="77777777" w:rsidR="001B2957" w:rsidRPr="006A6F1F" w:rsidRDefault="001B2957" w:rsidP="00265F5E">
            <w:pPr>
              <w:jc w:val="center"/>
              <w:rPr>
                <w:rFonts w:ascii="Arial" w:hAnsi="Arial" w:cs="Arial"/>
                <w:b/>
                <w:bCs/>
                <w:color w:val="000000" w:themeColor="text1"/>
                <w:sz w:val="19"/>
                <w:szCs w:val="19"/>
                <w:lang w:val="en-GB" w:eastAsia="en-SG"/>
              </w:rPr>
            </w:pPr>
            <w:r w:rsidRPr="006A6F1F">
              <w:rPr>
                <w:rFonts w:ascii="Arial" w:hAnsi="Arial" w:cs="Arial"/>
                <w:b/>
                <w:bCs/>
                <w:color w:val="000000" w:themeColor="text1"/>
                <w:sz w:val="19"/>
                <w:szCs w:val="19"/>
                <w:lang w:val="en-GB" w:eastAsia="en-SG"/>
              </w:rPr>
              <w:t>%</w:t>
            </w:r>
          </w:p>
        </w:tc>
        <w:tc>
          <w:tcPr>
            <w:tcW w:w="1020" w:type="dxa"/>
            <w:noWrap/>
            <w:hideMark/>
          </w:tcPr>
          <w:p w14:paraId="4C2531C4" w14:textId="24DCFFFC" w:rsidR="001B2957" w:rsidRPr="006A6F1F" w:rsidRDefault="001B2957" w:rsidP="00265F5E">
            <w:pPr>
              <w:jc w:val="center"/>
              <w:rPr>
                <w:rFonts w:ascii="Arial" w:hAnsi="Arial" w:cs="Arial"/>
                <w:b/>
                <w:bCs/>
                <w:color w:val="000000" w:themeColor="text1"/>
                <w:sz w:val="19"/>
                <w:szCs w:val="19"/>
                <w:lang w:val="en-GB" w:eastAsia="en-SG"/>
              </w:rPr>
            </w:pPr>
            <w:r w:rsidRPr="006A6F1F">
              <w:rPr>
                <w:rFonts w:ascii="Arial" w:hAnsi="Arial" w:cs="Arial"/>
                <w:b/>
                <w:bCs/>
                <w:color w:val="000000" w:themeColor="text1"/>
                <w:sz w:val="19"/>
                <w:szCs w:val="19"/>
                <w:lang w:val="en-GB" w:eastAsia="en-SG"/>
              </w:rPr>
              <w:t>SG$'000</w:t>
            </w:r>
          </w:p>
        </w:tc>
        <w:tc>
          <w:tcPr>
            <w:tcW w:w="720" w:type="dxa"/>
            <w:noWrap/>
            <w:hideMark/>
          </w:tcPr>
          <w:p w14:paraId="49F30225" w14:textId="77777777" w:rsidR="001B2957" w:rsidRPr="006A6F1F" w:rsidRDefault="001B2957" w:rsidP="00265F5E">
            <w:pPr>
              <w:jc w:val="center"/>
              <w:rPr>
                <w:rFonts w:ascii="Arial" w:hAnsi="Arial" w:cs="Arial"/>
                <w:b/>
                <w:bCs/>
                <w:color w:val="000000" w:themeColor="text1"/>
                <w:sz w:val="19"/>
                <w:szCs w:val="19"/>
                <w:lang w:val="en-GB" w:eastAsia="en-SG"/>
              </w:rPr>
            </w:pPr>
            <w:r w:rsidRPr="006A6F1F">
              <w:rPr>
                <w:rFonts w:ascii="Arial" w:hAnsi="Arial" w:cs="Arial"/>
                <w:b/>
                <w:bCs/>
                <w:color w:val="000000" w:themeColor="text1"/>
                <w:sz w:val="19"/>
                <w:szCs w:val="19"/>
                <w:lang w:val="en-GB" w:eastAsia="en-SG"/>
              </w:rPr>
              <w:t>%</w:t>
            </w:r>
          </w:p>
        </w:tc>
      </w:tr>
      <w:tr w:rsidR="001B2957" w:rsidRPr="006A6F1F" w14:paraId="6D9FF279" w14:textId="77777777" w:rsidTr="003F2FE5">
        <w:trPr>
          <w:trHeight w:val="60"/>
          <w:jc w:val="center"/>
        </w:trPr>
        <w:tc>
          <w:tcPr>
            <w:tcW w:w="3520" w:type="dxa"/>
            <w:hideMark/>
          </w:tcPr>
          <w:p w14:paraId="2401E833" w14:textId="77777777" w:rsidR="001B2957" w:rsidRPr="006A6F1F" w:rsidRDefault="001B2957" w:rsidP="00265F5E">
            <w:pPr>
              <w:rPr>
                <w:rFonts w:ascii="Arial" w:hAnsi="Arial" w:cs="Arial"/>
                <w:color w:val="000000" w:themeColor="text1"/>
                <w:sz w:val="19"/>
                <w:szCs w:val="19"/>
                <w:lang w:val="en-GB" w:eastAsia="en-SG"/>
              </w:rPr>
            </w:pPr>
            <w:r w:rsidRPr="006A6F1F">
              <w:rPr>
                <w:rFonts w:ascii="Arial" w:hAnsi="Arial" w:cs="Arial"/>
                <w:color w:val="000000" w:themeColor="text1"/>
                <w:sz w:val="19"/>
                <w:szCs w:val="19"/>
                <w:lang w:val="en-GB" w:eastAsia="en-SG"/>
              </w:rPr>
              <w:t>Outlet Management Division</w:t>
            </w:r>
          </w:p>
        </w:tc>
        <w:tc>
          <w:tcPr>
            <w:tcW w:w="1020" w:type="dxa"/>
            <w:noWrap/>
            <w:hideMark/>
          </w:tcPr>
          <w:p w14:paraId="7835A745" w14:textId="77777777" w:rsidR="001B2957" w:rsidRPr="006A6F1F" w:rsidRDefault="001B2957" w:rsidP="0062193B">
            <w:pPr>
              <w:jc w:val="right"/>
              <w:rPr>
                <w:rFonts w:ascii="Arial" w:hAnsi="Arial" w:cs="Arial"/>
                <w:color w:val="000000" w:themeColor="text1"/>
                <w:sz w:val="19"/>
                <w:szCs w:val="19"/>
                <w:lang w:val="en-GB" w:eastAsia="en-SG"/>
              </w:rPr>
            </w:pPr>
            <w:r w:rsidRPr="006A6F1F">
              <w:rPr>
                <w:rFonts w:ascii="Arial" w:hAnsi="Arial" w:cs="Arial"/>
                <w:color w:val="000000" w:themeColor="text1"/>
                <w:sz w:val="19"/>
                <w:szCs w:val="19"/>
                <w:lang w:val="en-GB" w:eastAsia="en-SG"/>
              </w:rPr>
              <w:t>84,086</w:t>
            </w:r>
          </w:p>
        </w:tc>
        <w:tc>
          <w:tcPr>
            <w:tcW w:w="720" w:type="dxa"/>
            <w:noWrap/>
            <w:hideMark/>
          </w:tcPr>
          <w:p w14:paraId="3D5EEB7E" w14:textId="77777777" w:rsidR="001B2957" w:rsidRPr="006A6F1F" w:rsidRDefault="001B2957" w:rsidP="0062193B">
            <w:pPr>
              <w:jc w:val="right"/>
              <w:rPr>
                <w:rFonts w:ascii="Arial" w:hAnsi="Arial" w:cs="Arial"/>
                <w:color w:val="000000" w:themeColor="text1"/>
                <w:sz w:val="19"/>
                <w:szCs w:val="19"/>
                <w:lang w:val="en-GB" w:eastAsia="en-SG"/>
              </w:rPr>
            </w:pPr>
            <w:r w:rsidRPr="006A6F1F">
              <w:rPr>
                <w:rFonts w:ascii="Arial" w:hAnsi="Arial" w:cs="Arial"/>
                <w:color w:val="000000" w:themeColor="text1"/>
                <w:sz w:val="19"/>
                <w:szCs w:val="19"/>
                <w:lang w:val="en-GB" w:eastAsia="en-SG"/>
              </w:rPr>
              <w:t>56.5</w:t>
            </w:r>
          </w:p>
        </w:tc>
        <w:tc>
          <w:tcPr>
            <w:tcW w:w="996" w:type="dxa"/>
            <w:noWrap/>
            <w:hideMark/>
          </w:tcPr>
          <w:p w14:paraId="7D7D0A20" w14:textId="77777777" w:rsidR="001B2957" w:rsidRPr="006A6F1F" w:rsidRDefault="001B2957" w:rsidP="0062193B">
            <w:pPr>
              <w:jc w:val="right"/>
              <w:rPr>
                <w:rFonts w:ascii="Arial" w:hAnsi="Arial" w:cs="Arial"/>
                <w:color w:val="000000" w:themeColor="text1"/>
                <w:sz w:val="19"/>
                <w:szCs w:val="19"/>
                <w:lang w:val="en-GB" w:eastAsia="en-SG"/>
              </w:rPr>
            </w:pPr>
            <w:r w:rsidRPr="006A6F1F">
              <w:rPr>
                <w:rFonts w:ascii="Arial" w:hAnsi="Arial" w:cs="Arial"/>
                <w:color w:val="000000" w:themeColor="text1"/>
                <w:sz w:val="19"/>
                <w:szCs w:val="19"/>
                <w:lang w:val="en-GB" w:eastAsia="en-SG"/>
              </w:rPr>
              <w:t>88,137</w:t>
            </w:r>
          </w:p>
        </w:tc>
        <w:tc>
          <w:tcPr>
            <w:tcW w:w="704" w:type="dxa"/>
            <w:noWrap/>
            <w:hideMark/>
          </w:tcPr>
          <w:p w14:paraId="40FA6729" w14:textId="77777777" w:rsidR="001B2957" w:rsidRPr="006A6F1F" w:rsidRDefault="001B2957" w:rsidP="0062193B">
            <w:pPr>
              <w:jc w:val="right"/>
              <w:rPr>
                <w:rFonts w:ascii="Arial" w:hAnsi="Arial" w:cs="Arial"/>
                <w:color w:val="000000" w:themeColor="text1"/>
                <w:sz w:val="19"/>
                <w:szCs w:val="19"/>
                <w:lang w:val="en-GB" w:eastAsia="en-SG"/>
              </w:rPr>
            </w:pPr>
            <w:r w:rsidRPr="006A6F1F">
              <w:rPr>
                <w:rFonts w:ascii="Arial" w:hAnsi="Arial" w:cs="Arial"/>
                <w:color w:val="000000" w:themeColor="text1"/>
                <w:sz w:val="19"/>
                <w:szCs w:val="19"/>
                <w:lang w:val="en-GB" w:eastAsia="en-SG"/>
              </w:rPr>
              <w:t>56.5</w:t>
            </w:r>
          </w:p>
        </w:tc>
        <w:tc>
          <w:tcPr>
            <w:tcW w:w="1020" w:type="dxa"/>
            <w:noWrap/>
            <w:hideMark/>
          </w:tcPr>
          <w:p w14:paraId="61545B58" w14:textId="77777777" w:rsidR="001B2957" w:rsidRPr="006A6F1F" w:rsidRDefault="001B2957" w:rsidP="0062193B">
            <w:pPr>
              <w:jc w:val="right"/>
              <w:rPr>
                <w:rFonts w:ascii="Arial" w:hAnsi="Arial" w:cs="Arial"/>
                <w:color w:val="000000" w:themeColor="text1"/>
                <w:sz w:val="19"/>
                <w:szCs w:val="19"/>
                <w:lang w:val="en-GB" w:eastAsia="en-SG"/>
              </w:rPr>
            </w:pPr>
            <w:r w:rsidRPr="006A6F1F">
              <w:rPr>
                <w:rFonts w:ascii="Arial" w:hAnsi="Arial" w:cs="Arial"/>
                <w:color w:val="000000" w:themeColor="text1"/>
                <w:sz w:val="19"/>
                <w:szCs w:val="19"/>
                <w:lang w:val="en-GB" w:eastAsia="en-SG"/>
              </w:rPr>
              <w:t>97,550</w:t>
            </w:r>
          </w:p>
        </w:tc>
        <w:tc>
          <w:tcPr>
            <w:tcW w:w="720" w:type="dxa"/>
            <w:noWrap/>
            <w:hideMark/>
          </w:tcPr>
          <w:p w14:paraId="7C413BCC" w14:textId="77777777" w:rsidR="001B2957" w:rsidRPr="006A6F1F" w:rsidRDefault="001B2957" w:rsidP="0062193B">
            <w:pPr>
              <w:jc w:val="right"/>
              <w:rPr>
                <w:rFonts w:ascii="Arial" w:hAnsi="Arial" w:cs="Arial"/>
                <w:color w:val="000000" w:themeColor="text1"/>
                <w:sz w:val="19"/>
                <w:szCs w:val="19"/>
                <w:lang w:val="en-GB" w:eastAsia="en-SG"/>
              </w:rPr>
            </w:pPr>
            <w:r w:rsidRPr="006A6F1F">
              <w:rPr>
                <w:rFonts w:ascii="Arial" w:hAnsi="Arial" w:cs="Arial"/>
                <w:color w:val="000000" w:themeColor="text1"/>
                <w:sz w:val="19"/>
                <w:szCs w:val="19"/>
                <w:lang w:val="en-GB" w:eastAsia="en-SG"/>
              </w:rPr>
              <w:t>56.6</w:t>
            </w:r>
          </w:p>
        </w:tc>
      </w:tr>
      <w:tr w:rsidR="001B2957" w:rsidRPr="006A6F1F" w14:paraId="73E1C8D7" w14:textId="77777777" w:rsidTr="003F2FE5">
        <w:trPr>
          <w:trHeight w:val="60"/>
          <w:jc w:val="center"/>
        </w:trPr>
        <w:tc>
          <w:tcPr>
            <w:tcW w:w="3520" w:type="dxa"/>
            <w:hideMark/>
          </w:tcPr>
          <w:p w14:paraId="2C26056B" w14:textId="77777777" w:rsidR="001B2957" w:rsidRPr="006A6F1F" w:rsidRDefault="001B2957" w:rsidP="00265F5E">
            <w:pPr>
              <w:rPr>
                <w:rFonts w:ascii="Arial" w:hAnsi="Arial" w:cs="Arial"/>
                <w:color w:val="000000" w:themeColor="text1"/>
                <w:sz w:val="19"/>
                <w:szCs w:val="19"/>
                <w:lang w:val="en-GB" w:eastAsia="en-SG"/>
              </w:rPr>
            </w:pPr>
            <w:r w:rsidRPr="006A6F1F">
              <w:rPr>
                <w:rFonts w:ascii="Arial" w:hAnsi="Arial" w:cs="Arial"/>
                <w:color w:val="000000" w:themeColor="text1"/>
                <w:sz w:val="19"/>
                <w:szCs w:val="19"/>
                <w:lang w:val="en-GB" w:eastAsia="en-SG"/>
              </w:rPr>
              <w:t>Food Retail Division</w:t>
            </w:r>
          </w:p>
        </w:tc>
        <w:tc>
          <w:tcPr>
            <w:tcW w:w="1020" w:type="dxa"/>
            <w:noWrap/>
            <w:hideMark/>
          </w:tcPr>
          <w:p w14:paraId="49AA9E48" w14:textId="77777777" w:rsidR="001B2957" w:rsidRPr="006A6F1F" w:rsidRDefault="001B2957" w:rsidP="0062193B">
            <w:pPr>
              <w:jc w:val="right"/>
              <w:rPr>
                <w:rFonts w:ascii="Arial" w:hAnsi="Arial" w:cs="Arial"/>
                <w:color w:val="000000" w:themeColor="text1"/>
                <w:sz w:val="19"/>
                <w:szCs w:val="19"/>
                <w:lang w:val="en-GB" w:eastAsia="en-SG"/>
              </w:rPr>
            </w:pPr>
            <w:r w:rsidRPr="006A6F1F">
              <w:rPr>
                <w:rFonts w:ascii="Arial" w:hAnsi="Arial" w:cs="Arial"/>
                <w:color w:val="000000" w:themeColor="text1"/>
                <w:sz w:val="19"/>
                <w:szCs w:val="19"/>
                <w:lang w:val="en-GB" w:eastAsia="en-SG"/>
              </w:rPr>
              <w:t>64,786</w:t>
            </w:r>
          </w:p>
        </w:tc>
        <w:tc>
          <w:tcPr>
            <w:tcW w:w="720" w:type="dxa"/>
            <w:noWrap/>
            <w:hideMark/>
          </w:tcPr>
          <w:p w14:paraId="318703C7" w14:textId="77777777" w:rsidR="001B2957" w:rsidRPr="006A6F1F" w:rsidRDefault="001B2957" w:rsidP="0062193B">
            <w:pPr>
              <w:jc w:val="right"/>
              <w:rPr>
                <w:rFonts w:ascii="Arial" w:hAnsi="Arial" w:cs="Arial"/>
                <w:color w:val="000000" w:themeColor="text1"/>
                <w:sz w:val="19"/>
                <w:szCs w:val="19"/>
                <w:lang w:val="en-GB" w:eastAsia="en-SG"/>
              </w:rPr>
            </w:pPr>
            <w:r w:rsidRPr="006A6F1F">
              <w:rPr>
                <w:rFonts w:ascii="Arial" w:hAnsi="Arial" w:cs="Arial"/>
                <w:color w:val="000000" w:themeColor="text1"/>
                <w:sz w:val="19"/>
                <w:szCs w:val="19"/>
                <w:lang w:val="en-GB" w:eastAsia="en-SG"/>
              </w:rPr>
              <w:t>43.5</w:t>
            </w:r>
          </w:p>
        </w:tc>
        <w:tc>
          <w:tcPr>
            <w:tcW w:w="996" w:type="dxa"/>
            <w:noWrap/>
            <w:hideMark/>
          </w:tcPr>
          <w:p w14:paraId="23A8B80B" w14:textId="77777777" w:rsidR="001B2957" w:rsidRPr="006A6F1F" w:rsidRDefault="001B2957" w:rsidP="0062193B">
            <w:pPr>
              <w:jc w:val="right"/>
              <w:rPr>
                <w:rFonts w:ascii="Arial" w:hAnsi="Arial" w:cs="Arial"/>
                <w:color w:val="000000" w:themeColor="text1"/>
                <w:sz w:val="19"/>
                <w:szCs w:val="19"/>
                <w:lang w:val="en-GB" w:eastAsia="en-SG"/>
              </w:rPr>
            </w:pPr>
            <w:r w:rsidRPr="006A6F1F">
              <w:rPr>
                <w:rFonts w:ascii="Arial" w:hAnsi="Arial" w:cs="Arial"/>
                <w:color w:val="000000" w:themeColor="text1"/>
                <w:sz w:val="19"/>
                <w:szCs w:val="19"/>
                <w:lang w:val="en-GB" w:eastAsia="en-SG"/>
              </w:rPr>
              <w:t>67,835</w:t>
            </w:r>
          </w:p>
        </w:tc>
        <w:tc>
          <w:tcPr>
            <w:tcW w:w="704" w:type="dxa"/>
            <w:noWrap/>
            <w:hideMark/>
          </w:tcPr>
          <w:p w14:paraId="1AA9542B" w14:textId="77777777" w:rsidR="001B2957" w:rsidRPr="006A6F1F" w:rsidRDefault="001B2957" w:rsidP="0062193B">
            <w:pPr>
              <w:jc w:val="right"/>
              <w:rPr>
                <w:rFonts w:ascii="Arial" w:hAnsi="Arial" w:cs="Arial"/>
                <w:color w:val="000000" w:themeColor="text1"/>
                <w:sz w:val="19"/>
                <w:szCs w:val="19"/>
                <w:lang w:val="en-GB" w:eastAsia="en-SG"/>
              </w:rPr>
            </w:pPr>
            <w:r w:rsidRPr="006A6F1F">
              <w:rPr>
                <w:rFonts w:ascii="Arial" w:hAnsi="Arial" w:cs="Arial"/>
                <w:color w:val="000000" w:themeColor="text1"/>
                <w:sz w:val="19"/>
                <w:szCs w:val="19"/>
                <w:lang w:val="en-GB" w:eastAsia="en-SG"/>
              </w:rPr>
              <w:t>43.5</w:t>
            </w:r>
          </w:p>
        </w:tc>
        <w:tc>
          <w:tcPr>
            <w:tcW w:w="1020" w:type="dxa"/>
            <w:noWrap/>
            <w:hideMark/>
          </w:tcPr>
          <w:p w14:paraId="6D0EA4C0" w14:textId="77777777" w:rsidR="001B2957" w:rsidRPr="006A6F1F" w:rsidRDefault="001B2957" w:rsidP="0062193B">
            <w:pPr>
              <w:jc w:val="right"/>
              <w:rPr>
                <w:rFonts w:ascii="Arial" w:hAnsi="Arial" w:cs="Arial"/>
                <w:color w:val="000000" w:themeColor="text1"/>
                <w:sz w:val="19"/>
                <w:szCs w:val="19"/>
                <w:lang w:val="en-GB" w:eastAsia="en-SG"/>
              </w:rPr>
            </w:pPr>
            <w:r w:rsidRPr="006A6F1F">
              <w:rPr>
                <w:rFonts w:ascii="Arial" w:hAnsi="Arial" w:cs="Arial"/>
                <w:color w:val="000000" w:themeColor="text1"/>
                <w:sz w:val="19"/>
                <w:szCs w:val="19"/>
                <w:lang w:val="en-GB" w:eastAsia="en-SG"/>
              </w:rPr>
              <w:t>74,676</w:t>
            </w:r>
          </w:p>
        </w:tc>
        <w:tc>
          <w:tcPr>
            <w:tcW w:w="720" w:type="dxa"/>
            <w:noWrap/>
            <w:hideMark/>
          </w:tcPr>
          <w:p w14:paraId="65D33D41" w14:textId="77777777" w:rsidR="001B2957" w:rsidRPr="006A6F1F" w:rsidRDefault="001B2957" w:rsidP="0062193B">
            <w:pPr>
              <w:jc w:val="right"/>
              <w:rPr>
                <w:rFonts w:ascii="Arial" w:hAnsi="Arial" w:cs="Arial"/>
                <w:color w:val="000000" w:themeColor="text1"/>
                <w:sz w:val="19"/>
                <w:szCs w:val="19"/>
                <w:lang w:val="en-GB" w:eastAsia="en-SG"/>
              </w:rPr>
            </w:pPr>
            <w:r w:rsidRPr="006A6F1F">
              <w:rPr>
                <w:rFonts w:ascii="Arial" w:hAnsi="Arial" w:cs="Arial"/>
                <w:color w:val="000000" w:themeColor="text1"/>
                <w:sz w:val="19"/>
                <w:szCs w:val="19"/>
                <w:lang w:val="en-GB" w:eastAsia="en-SG"/>
              </w:rPr>
              <w:t>43.4</w:t>
            </w:r>
          </w:p>
        </w:tc>
      </w:tr>
      <w:tr w:rsidR="001B2957" w:rsidRPr="006A6F1F" w14:paraId="4E1B7123" w14:textId="77777777" w:rsidTr="003F2FE5">
        <w:trPr>
          <w:trHeight w:val="60"/>
          <w:jc w:val="center"/>
        </w:trPr>
        <w:tc>
          <w:tcPr>
            <w:tcW w:w="3520" w:type="dxa"/>
            <w:hideMark/>
          </w:tcPr>
          <w:p w14:paraId="37E2E554" w14:textId="77777777" w:rsidR="001B2957" w:rsidRPr="006A6F1F" w:rsidRDefault="001B2957" w:rsidP="00265F5E">
            <w:pPr>
              <w:rPr>
                <w:rFonts w:ascii="Arial" w:hAnsi="Arial" w:cs="Arial"/>
                <w:b/>
                <w:bCs/>
                <w:color w:val="000000" w:themeColor="text1"/>
                <w:sz w:val="19"/>
                <w:szCs w:val="19"/>
                <w:lang w:val="en-GB" w:eastAsia="en-SG"/>
              </w:rPr>
            </w:pPr>
            <w:r w:rsidRPr="006A6F1F">
              <w:rPr>
                <w:rFonts w:ascii="Arial" w:hAnsi="Arial" w:cs="Arial"/>
                <w:b/>
                <w:bCs/>
                <w:color w:val="000000" w:themeColor="text1"/>
                <w:sz w:val="19"/>
                <w:szCs w:val="19"/>
                <w:lang w:val="en-GB" w:eastAsia="en-SG"/>
              </w:rPr>
              <w:t>Total</w:t>
            </w:r>
          </w:p>
        </w:tc>
        <w:tc>
          <w:tcPr>
            <w:tcW w:w="1020" w:type="dxa"/>
            <w:noWrap/>
            <w:hideMark/>
          </w:tcPr>
          <w:p w14:paraId="16849FDC" w14:textId="77777777" w:rsidR="001B2957" w:rsidRPr="006A6F1F" w:rsidRDefault="001B2957" w:rsidP="0062193B">
            <w:pPr>
              <w:jc w:val="right"/>
              <w:rPr>
                <w:rFonts w:ascii="Arial" w:hAnsi="Arial" w:cs="Arial"/>
                <w:b/>
                <w:bCs/>
                <w:color w:val="000000" w:themeColor="text1"/>
                <w:sz w:val="19"/>
                <w:szCs w:val="19"/>
                <w:lang w:val="en-GB" w:eastAsia="en-SG"/>
              </w:rPr>
            </w:pPr>
            <w:r w:rsidRPr="006A6F1F">
              <w:rPr>
                <w:rFonts w:ascii="Arial" w:hAnsi="Arial" w:cs="Arial"/>
                <w:b/>
                <w:bCs/>
                <w:color w:val="000000" w:themeColor="text1"/>
                <w:sz w:val="19"/>
                <w:szCs w:val="19"/>
                <w:lang w:val="en-GB" w:eastAsia="en-SG"/>
              </w:rPr>
              <w:t>148,872</w:t>
            </w:r>
          </w:p>
        </w:tc>
        <w:tc>
          <w:tcPr>
            <w:tcW w:w="720" w:type="dxa"/>
            <w:noWrap/>
            <w:hideMark/>
          </w:tcPr>
          <w:p w14:paraId="78F57450" w14:textId="77777777" w:rsidR="001B2957" w:rsidRPr="006A6F1F" w:rsidRDefault="001B2957" w:rsidP="0062193B">
            <w:pPr>
              <w:jc w:val="right"/>
              <w:rPr>
                <w:rFonts w:ascii="Arial" w:hAnsi="Arial" w:cs="Arial"/>
                <w:b/>
                <w:bCs/>
                <w:color w:val="000000" w:themeColor="text1"/>
                <w:sz w:val="19"/>
                <w:szCs w:val="19"/>
                <w:lang w:val="en-GB" w:eastAsia="en-SG"/>
              </w:rPr>
            </w:pPr>
            <w:r w:rsidRPr="006A6F1F">
              <w:rPr>
                <w:rFonts w:ascii="Arial" w:hAnsi="Arial" w:cs="Arial"/>
                <w:b/>
                <w:bCs/>
                <w:color w:val="000000" w:themeColor="text1"/>
                <w:sz w:val="19"/>
                <w:szCs w:val="19"/>
                <w:lang w:val="en-GB" w:eastAsia="en-SG"/>
              </w:rPr>
              <w:t>100.0</w:t>
            </w:r>
          </w:p>
        </w:tc>
        <w:tc>
          <w:tcPr>
            <w:tcW w:w="996" w:type="dxa"/>
            <w:noWrap/>
            <w:hideMark/>
          </w:tcPr>
          <w:p w14:paraId="7B7C2682" w14:textId="77777777" w:rsidR="001B2957" w:rsidRPr="006A6F1F" w:rsidRDefault="001B2957" w:rsidP="0062193B">
            <w:pPr>
              <w:jc w:val="right"/>
              <w:rPr>
                <w:rFonts w:ascii="Arial" w:hAnsi="Arial" w:cs="Arial"/>
                <w:b/>
                <w:bCs/>
                <w:color w:val="000000" w:themeColor="text1"/>
                <w:sz w:val="19"/>
                <w:szCs w:val="19"/>
                <w:lang w:val="en-GB" w:eastAsia="en-SG"/>
              </w:rPr>
            </w:pPr>
            <w:r w:rsidRPr="006A6F1F">
              <w:rPr>
                <w:rFonts w:ascii="Arial" w:hAnsi="Arial" w:cs="Arial"/>
                <w:b/>
                <w:bCs/>
                <w:color w:val="000000" w:themeColor="text1"/>
                <w:sz w:val="19"/>
                <w:szCs w:val="19"/>
                <w:lang w:val="en-GB" w:eastAsia="en-SG"/>
              </w:rPr>
              <w:t>155,972</w:t>
            </w:r>
          </w:p>
        </w:tc>
        <w:tc>
          <w:tcPr>
            <w:tcW w:w="704" w:type="dxa"/>
            <w:noWrap/>
            <w:hideMark/>
          </w:tcPr>
          <w:p w14:paraId="64DE3665" w14:textId="77777777" w:rsidR="001B2957" w:rsidRPr="006A6F1F" w:rsidRDefault="001B2957" w:rsidP="0062193B">
            <w:pPr>
              <w:jc w:val="right"/>
              <w:rPr>
                <w:rFonts w:ascii="Arial" w:hAnsi="Arial" w:cs="Arial"/>
                <w:b/>
                <w:bCs/>
                <w:color w:val="000000" w:themeColor="text1"/>
                <w:sz w:val="19"/>
                <w:szCs w:val="19"/>
                <w:lang w:val="en-GB" w:eastAsia="en-SG"/>
              </w:rPr>
            </w:pPr>
            <w:r w:rsidRPr="006A6F1F">
              <w:rPr>
                <w:rFonts w:ascii="Arial" w:hAnsi="Arial" w:cs="Arial"/>
                <w:b/>
                <w:bCs/>
                <w:color w:val="000000" w:themeColor="text1"/>
                <w:sz w:val="19"/>
                <w:szCs w:val="19"/>
                <w:lang w:val="en-GB" w:eastAsia="en-SG"/>
              </w:rPr>
              <w:t>100.0</w:t>
            </w:r>
          </w:p>
        </w:tc>
        <w:tc>
          <w:tcPr>
            <w:tcW w:w="1020" w:type="dxa"/>
            <w:noWrap/>
            <w:hideMark/>
          </w:tcPr>
          <w:p w14:paraId="3BD9B38F" w14:textId="77777777" w:rsidR="001B2957" w:rsidRPr="006A6F1F" w:rsidRDefault="001B2957" w:rsidP="0062193B">
            <w:pPr>
              <w:jc w:val="right"/>
              <w:rPr>
                <w:rFonts w:ascii="Arial" w:hAnsi="Arial" w:cs="Arial"/>
                <w:b/>
                <w:bCs/>
                <w:color w:val="000000" w:themeColor="text1"/>
                <w:sz w:val="19"/>
                <w:szCs w:val="19"/>
                <w:lang w:val="en-GB" w:eastAsia="en-SG"/>
              </w:rPr>
            </w:pPr>
            <w:r w:rsidRPr="006A6F1F">
              <w:rPr>
                <w:rFonts w:ascii="Arial" w:hAnsi="Arial" w:cs="Arial"/>
                <w:b/>
                <w:bCs/>
                <w:color w:val="000000" w:themeColor="text1"/>
                <w:sz w:val="19"/>
                <w:szCs w:val="19"/>
                <w:lang w:val="en-GB" w:eastAsia="en-SG"/>
              </w:rPr>
              <w:t>172,226</w:t>
            </w:r>
          </w:p>
        </w:tc>
        <w:tc>
          <w:tcPr>
            <w:tcW w:w="720" w:type="dxa"/>
            <w:noWrap/>
            <w:hideMark/>
          </w:tcPr>
          <w:p w14:paraId="29CA39E3" w14:textId="77777777" w:rsidR="001B2957" w:rsidRPr="006A6F1F" w:rsidRDefault="001B2957" w:rsidP="0062193B">
            <w:pPr>
              <w:jc w:val="right"/>
              <w:rPr>
                <w:rFonts w:ascii="Arial" w:hAnsi="Arial" w:cs="Arial"/>
                <w:b/>
                <w:bCs/>
                <w:color w:val="000000" w:themeColor="text1"/>
                <w:sz w:val="19"/>
                <w:szCs w:val="19"/>
                <w:lang w:val="en-GB" w:eastAsia="en-SG"/>
              </w:rPr>
            </w:pPr>
            <w:r w:rsidRPr="006A6F1F">
              <w:rPr>
                <w:rFonts w:ascii="Arial" w:hAnsi="Arial" w:cs="Arial"/>
                <w:b/>
                <w:bCs/>
                <w:color w:val="000000" w:themeColor="text1"/>
                <w:sz w:val="19"/>
                <w:szCs w:val="19"/>
                <w:lang w:val="en-GB" w:eastAsia="en-SG"/>
              </w:rPr>
              <w:t>100.0</w:t>
            </w:r>
          </w:p>
        </w:tc>
      </w:tr>
      <w:tr w:rsidR="001B2957" w:rsidRPr="006A6F1F" w14:paraId="1450E4AC" w14:textId="77777777" w:rsidTr="003F2FE5">
        <w:trPr>
          <w:trHeight w:val="60"/>
          <w:jc w:val="center"/>
        </w:trPr>
        <w:tc>
          <w:tcPr>
            <w:tcW w:w="3520" w:type="dxa"/>
            <w:hideMark/>
          </w:tcPr>
          <w:p w14:paraId="0DD023FC" w14:textId="77777777" w:rsidR="001B2957" w:rsidRPr="006A6F1F" w:rsidRDefault="001B2957" w:rsidP="00265F5E">
            <w:pPr>
              <w:jc w:val="center"/>
              <w:rPr>
                <w:rFonts w:ascii="Arial" w:hAnsi="Arial" w:cs="Arial"/>
                <w:b/>
                <w:bCs/>
                <w:color w:val="000000" w:themeColor="text1"/>
                <w:sz w:val="19"/>
                <w:szCs w:val="19"/>
                <w:lang w:val="en-GB" w:eastAsia="en-SG"/>
              </w:rPr>
            </w:pPr>
          </w:p>
        </w:tc>
        <w:tc>
          <w:tcPr>
            <w:tcW w:w="1020" w:type="dxa"/>
            <w:noWrap/>
            <w:hideMark/>
          </w:tcPr>
          <w:p w14:paraId="05012CFA" w14:textId="77777777" w:rsidR="001B2957" w:rsidRPr="006A6F1F" w:rsidRDefault="001B2957" w:rsidP="00265F5E">
            <w:pPr>
              <w:rPr>
                <w:color w:val="000000" w:themeColor="text1"/>
                <w:sz w:val="19"/>
                <w:szCs w:val="19"/>
                <w:lang w:val="en-GB" w:eastAsia="en-SG"/>
              </w:rPr>
            </w:pPr>
          </w:p>
        </w:tc>
        <w:tc>
          <w:tcPr>
            <w:tcW w:w="720" w:type="dxa"/>
            <w:noWrap/>
            <w:hideMark/>
          </w:tcPr>
          <w:p w14:paraId="19272FAA" w14:textId="77777777" w:rsidR="001B2957" w:rsidRPr="006A6F1F" w:rsidRDefault="001B2957" w:rsidP="00265F5E">
            <w:pPr>
              <w:jc w:val="center"/>
              <w:rPr>
                <w:color w:val="000000" w:themeColor="text1"/>
                <w:sz w:val="19"/>
                <w:szCs w:val="19"/>
                <w:lang w:val="en-GB" w:eastAsia="en-SG"/>
              </w:rPr>
            </w:pPr>
          </w:p>
        </w:tc>
        <w:tc>
          <w:tcPr>
            <w:tcW w:w="996" w:type="dxa"/>
            <w:noWrap/>
            <w:hideMark/>
          </w:tcPr>
          <w:p w14:paraId="0F5C531E" w14:textId="77777777" w:rsidR="001B2957" w:rsidRPr="006A6F1F" w:rsidRDefault="001B2957" w:rsidP="00265F5E">
            <w:pPr>
              <w:jc w:val="center"/>
              <w:rPr>
                <w:color w:val="000000" w:themeColor="text1"/>
                <w:sz w:val="19"/>
                <w:szCs w:val="19"/>
                <w:lang w:val="en-GB" w:eastAsia="en-SG"/>
              </w:rPr>
            </w:pPr>
          </w:p>
        </w:tc>
        <w:tc>
          <w:tcPr>
            <w:tcW w:w="704" w:type="dxa"/>
            <w:noWrap/>
            <w:hideMark/>
          </w:tcPr>
          <w:p w14:paraId="63ED6EE0" w14:textId="77777777" w:rsidR="001B2957" w:rsidRPr="006A6F1F" w:rsidRDefault="001B2957" w:rsidP="00265F5E">
            <w:pPr>
              <w:jc w:val="center"/>
              <w:rPr>
                <w:color w:val="000000" w:themeColor="text1"/>
                <w:sz w:val="19"/>
                <w:szCs w:val="19"/>
                <w:lang w:val="en-GB" w:eastAsia="en-SG"/>
              </w:rPr>
            </w:pPr>
          </w:p>
        </w:tc>
        <w:tc>
          <w:tcPr>
            <w:tcW w:w="1020" w:type="dxa"/>
            <w:noWrap/>
            <w:hideMark/>
          </w:tcPr>
          <w:p w14:paraId="26C3846F" w14:textId="77777777" w:rsidR="001B2957" w:rsidRPr="006A6F1F" w:rsidRDefault="001B2957" w:rsidP="00265F5E">
            <w:pPr>
              <w:jc w:val="center"/>
              <w:rPr>
                <w:color w:val="000000" w:themeColor="text1"/>
                <w:sz w:val="19"/>
                <w:szCs w:val="19"/>
                <w:lang w:val="en-GB" w:eastAsia="en-SG"/>
              </w:rPr>
            </w:pPr>
          </w:p>
        </w:tc>
        <w:tc>
          <w:tcPr>
            <w:tcW w:w="720" w:type="dxa"/>
            <w:noWrap/>
            <w:hideMark/>
          </w:tcPr>
          <w:p w14:paraId="35BC4FDF" w14:textId="77777777" w:rsidR="001B2957" w:rsidRPr="006A6F1F" w:rsidRDefault="001B2957" w:rsidP="00265F5E">
            <w:pPr>
              <w:jc w:val="center"/>
              <w:rPr>
                <w:color w:val="000000" w:themeColor="text1"/>
                <w:sz w:val="19"/>
                <w:szCs w:val="19"/>
                <w:lang w:val="en-GB" w:eastAsia="en-SG"/>
              </w:rPr>
            </w:pPr>
          </w:p>
        </w:tc>
      </w:tr>
      <w:tr w:rsidR="001B2957" w:rsidRPr="006A6F1F" w14:paraId="7A87E389" w14:textId="77777777" w:rsidTr="003F2FE5">
        <w:trPr>
          <w:trHeight w:val="60"/>
          <w:jc w:val="center"/>
        </w:trPr>
        <w:tc>
          <w:tcPr>
            <w:tcW w:w="3520" w:type="dxa"/>
            <w:hideMark/>
          </w:tcPr>
          <w:p w14:paraId="7E6158F9" w14:textId="06A45B26" w:rsidR="001B2957" w:rsidRPr="006A6F1F" w:rsidRDefault="001B2957" w:rsidP="00BF56EC">
            <w:pPr>
              <w:rPr>
                <w:rFonts w:ascii="Arial" w:hAnsi="Arial" w:cs="Arial"/>
                <w:b/>
                <w:bCs/>
                <w:color w:val="000000" w:themeColor="text1"/>
                <w:sz w:val="19"/>
                <w:szCs w:val="19"/>
                <w:lang w:val="en-GB" w:eastAsia="en-SG"/>
              </w:rPr>
            </w:pPr>
            <w:r w:rsidRPr="006A6F1F">
              <w:rPr>
                <w:rFonts w:ascii="Arial" w:hAnsi="Arial" w:cs="Arial"/>
                <w:b/>
                <w:bCs/>
                <w:color w:val="000000" w:themeColor="text1"/>
                <w:sz w:val="19"/>
                <w:szCs w:val="19"/>
                <w:lang w:val="en-GB" w:eastAsia="en-SG"/>
              </w:rPr>
              <w:t xml:space="preserve">Profit/(Loss) </w:t>
            </w:r>
            <w:r w:rsidR="00434042">
              <w:rPr>
                <w:rFonts w:ascii="Arial" w:hAnsi="Arial" w:cs="Arial"/>
                <w:b/>
                <w:bCs/>
                <w:color w:val="000000" w:themeColor="text1"/>
                <w:sz w:val="19"/>
                <w:szCs w:val="19"/>
                <w:lang w:val="en-GB" w:eastAsia="en-SG"/>
              </w:rPr>
              <w:t>b</w:t>
            </w:r>
            <w:r w:rsidR="00164900" w:rsidRPr="006A6F1F">
              <w:rPr>
                <w:rFonts w:ascii="Arial" w:hAnsi="Arial" w:cs="Arial"/>
                <w:b/>
                <w:bCs/>
                <w:color w:val="000000" w:themeColor="text1"/>
                <w:sz w:val="19"/>
                <w:szCs w:val="19"/>
                <w:lang w:val="en-GB" w:eastAsia="en-SG"/>
              </w:rPr>
              <w:t xml:space="preserve">efore </w:t>
            </w:r>
            <w:r w:rsidRPr="006A6F1F">
              <w:rPr>
                <w:rFonts w:ascii="Arial" w:hAnsi="Arial" w:cs="Arial"/>
                <w:b/>
                <w:bCs/>
                <w:color w:val="000000" w:themeColor="text1"/>
                <w:sz w:val="19"/>
                <w:szCs w:val="19"/>
                <w:lang w:val="en-GB" w:eastAsia="en-SG"/>
              </w:rPr>
              <w:t>Income Tax</w:t>
            </w:r>
          </w:p>
        </w:tc>
        <w:tc>
          <w:tcPr>
            <w:tcW w:w="1740" w:type="dxa"/>
            <w:gridSpan w:val="2"/>
            <w:hideMark/>
          </w:tcPr>
          <w:p w14:paraId="779F3506" w14:textId="77777777" w:rsidR="001B2957" w:rsidRPr="006A6F1F" w:rsidRDefault="001B2957" w:rsidP="00265F5E">
            <w:pPr>
              <w:jc w:val="center"/>
              <w:rPr>
                <w:rFonts w:ascii="Arial" w:hAnsi="Arial" w:cs="Arial"/>
                <w:b/>
                <w:bCs/>
                <w:color w:val="000000" w:themeColor="text1"/>
                <w:sz w:val="19"/>
                <w:szCs w:val="19"/>
                <w:lang w:val="en-GB" w:eastAsia="en-SG"/>
              </w:rPr>
            </w:pPr>
            <w:r w:rsidRPr="006A6F1F">
              <w:rPr>
                <w:rFonts w:ascii="Arial" w:hAnsi="Arial" w:cs="Arial"/>
                <w:b/>
                <w:bCs/>
                <w:color w:val="000000" w:themeColor="text1"/>
                <w:sz w:val="19"/>
                <w:szCs w:val="19"/>
                <w:lang w:val="en-GB" w:eastAsia="en-SG"/>
              </w:rPr>
              <w:t>FY2014</w:t>
            </w:r>
          </w:p>
        </w:tc>
        <w:tc>
          <w:tcPr>
            <w:tcW w:w="1700" w:type="dxa"/>
            <w:gridSpan w:val="2"/>
            <w:hideMark/>
          </w:tcPr>
          <w:p w14:paraId="31C22F07" w14:textId="77777777" w:rsidR="001B2957" w:rsidRPr="006A6F1F" w:rsidRDefault="001B2957" w:rsidP="00265F5E">
            <w:pPr>
              <w:jc w:val="center"/>
              <w:rPr>
                <w:rFonts w:ascii="Arial" w:hAnsi="Arial" w:cs="Arial"/>
                <w:b/>
                <w:bCs/>
                <w:color w:val="000000" w:themeColor="text1"/>
                <w:sz w:val="19"/>
                <w:szCs w:val="19"/>
                <w:lang w:val="en-GB" w:eastAsia="en-SG"/>
              </w:rPr>
            </w:pPr>
            <w:r w:rsidRPr="006A6F1F">
              <w:rPr>
                <w:rFonts w:ascii="Arial" w:hAnsi="Arial" w:cs="Arial"/>
                <w:b/>
                <w:bCs/>
                <w:color w:val="000000" w:themeColor="text1"/>
                <w:sz w:val="19"/>
                <w:szCs w:val="19"/>
                <w:lang w:val="en-GB" w:eastAsia="en-SG"/>
              </w:rPr>
              <w:t>FY2015</w:t>
            </w:r>
          </w:p>
        </w:tc>
        <w:tc>
          <w:tcPr>
            <w:tcW w:w="1740" w:type="dxa"/>
            <w:gridSpan w:val="2"/>
            <w:hideMark/>
          </w:tcPr>
          <w:p w14:paraId="0192DF29" w14:textId="77777777" w:rsidR="001B2957" w:rsidRPr="006A6F1F" w:rsidRDefault="001B2957" w:rsidP="00265F5E">
            <w:pPr>
              <w:jc w:val="center"/>
              <w:rPr>
                <w:rFonts w:ascii="Arial" w:hAnsi="Arial" w:cs="Arial"/>
                <w:b/>
                <w:bCs/>
                <w:color w:val="000000" w:themeColor="text1"/>
                <w:sz w:val="19"/>
                <w:szCs w:val="19"/>
                <w:lang w:val="en-GB" w:eastAsia="en-SG"/>
              </w:rPr>
            </w:pPr>
            <w:r w:rsidRPr="006A6F1F">
              <w:rPr>
                <w:rFonts w:ascii="Arial" w:hAnsi="Arial" w:cs="Arial"/>
                <w:b/>
                <w:bCs/>
                <w:color w:val="000000" w:themeColor="text1"/>
                <w:sz w:val="19"/>
                <w:szCs w:val="19"/>
                <w:lang w:val="en-GB" w:eastAsia="en-SG"/>
              </w:rPr>
              <w:t>FY2016</w:t>
            </w:r>
          </w:p>
        </w:tc>
      </w:tr>
      <w:tr w:rsidR="001B2957" w:rsidRPr="006A6F1F" w14:paraId="2545E6DC" w14:textId="77777777" w:rsidTr="003F2FE5">
        <w:trPr>
          <w:trHeight w:val="60"/>
          <w:jc w:val="center"/>
        </w:trPr>
        <w:tc>
          <w:tcPr>
            <w:tcW w:w="3520" w:type="dxa"/>
            <w:hideMark/>
          </w:tcPr>
          <w:p w14:paraId="4A30EF17" w14:textId="77777777" w:rsidR="001B2957" w:rsidRPr="006A6F1F" w:rsidRDefault="001B2957" w:rsidP="00265F5E">
            <w:pPr>
              <w:rPr>
                <w:rFonts w:ascii="Arial" w:hAnsi="Arial" w:cs="Arial"/>
                <w:b/>
                <w:bCs/>
                <w:color w:val="000000" w:themeColor="text1"/>
                <w:sz w:val="19"/>
                <w:szCs w:val="19"/>
                <w:lang w:val="en-GB" w:eastAsia="en-SG"/>
              </w:rPr>
            </w:pPr>
            <w:r w:rsidRPr="006A6F1F">
              <w:rPr>
                <w:rFonts w:ascii="Arial" w:hAnsi="Arial" w:cs="Arial"/>
                <w:b/>
                <w:bCs/>
                <w:color w:val="000000" w:themeColor="text1"/>
                <w:sz w:val="19"/>
                <w:szCs w:val="19"/>
                <w:lang w:val="en-GB" w:eastAsia="en-SG"/>
              </w:rPr>
              <w:t> </w:t>
            </w:r>
          </w:p>
        </w:tc>
        <w:tc>
          <w:tcPr>
            <w:tcW w:w="1020" w:type="dxa"/>
            <w:noWrap/>
            <w:hideMark/>
          </w:tcPr>
          <w:p w14:paraId="52510F29" w14:textId="4D5538D1" w:rsidR="001B2957" w:rsidRPr="006A6F1F" w:rsidRDefault="001B2957" w:rsidP="00265F5E">
            <w:pPr>
              <w:jc w:val="center"/>
              <w:rPr>
                <w:rFonts w:ascii="Arial" w:hAnsi="Arial" w:cs="Arial"/>
                <w:b/>
                <w:bCs/>
                <w:color w:val="000000" w:themeColor="text1"/>
                <w:sz w:val="19"/>
                <w:szCs w:val="19"/>
                <w:lang w:val="en-GB" w:eastAsia="en-SG"/>
              </w:rPr>
            </w:pPr>
            <w:r w:rsidRPr="006A6F1F">
              <w:rPr>
                <w:rFonts w:ascii="Arial" w:hAnsi="Arial" w:cs="Arial"/>
                <w:b/>
                <w:bCs/>
                <w:color w:val="000000" w:themeColor="text1"/>
                <w:sz w:val="19"/>
                <w:szCs w:val="19"/>
                <w:lang w:val="en-GB" w:eastAsia="en-SG"/>
              </w:rPr>
              <w:t>SG$'000</w:t>
            </w:r>
          </w:p>
        </w:tc>
        <w:tc>
          <w:tcPr>
            <w:tcW w:w="720" w:type="dxa"/>
            <w:noWrap/>
            <w:hideMark/>
          </w:tcPr>
          <w:p w14:paraId="0ABF6E84" w14:textId="77777777" w:rsidR="001B2957" w:rsidRPr="006A6F1F" w:rsidRDefault="001B2957" w:rsidP="00265F5E">
            <w:pPr>
              <w:jc w:val="center"/>
              <w:rPr>
                <w:rFonts w:ascii="Arial" w:hAnsi="Arial" w:cs="Arial"/>
                <w:b/>
                <w:bCs/>
                <w:color w:val="000000" w:themeColor="text1"/>
                <w:sz w:val="19"/>
                <w:szCs w:val="19"/>
                <w:lang w:val="en-GB" w:eastAsia="en-SG"/>
              </w:rPr>
            </w:pPr>
            <w:r w:rsidRPr="006A6F1F">
              <w:rPr>
                <w:rFonts w:ascii="Arial" w:hAnsi="Arial" w:cs="Arial"/>
                <w:b/>
                <w:bCs/>
                <w:color w:val="000000" w:themeColor="text1"/>
                <w:sz w:val="19"/>
                <w:szCs w:val="19"/>
                <w:lang w:val="en-GB" w:eastAsia="en-SG"/>
              </w:rPr>
              <w:t>%</w:t>
            </w:r>
          </w:p>
        </w:tc>
        <w:tc>
          <w:tcPr>
            <w:tcW w:w="996" w:type="dxa"/>
            <w:noWrap/>
            <w:hideMark/>
          </w:tcPr>
          <w:p w14:paraId="6CFF7087" w14:textId="597194B3" w:rsidR="001B2957" w:rsidRPr="006A6F1F" w:rsidRDefault="001B2957" w:rsidP="00265F5E">
            <w:pPr>
              <w:jc w:val="center"/>
              <w:rPr>
                <w:rFonts w:ascii="Arial" w:hAnsi="Arial" w:cs="Arial"/>
                <w:b/>
                <w:bCs/>
                <w:color w:val="000000" w:themeColor="text1"/>
                <w:sz w:val="19"/>
                <w:szCs w:val="19"/>
                <w:lang w:val="en-GB" w:eastAsia="en-SG"/>
              </w:rPr>
            </w:pPr>
            <w:r w:rsidRPr="006A6F1F">
              <w:rPr>
                <w:rFonts w:ascii="Arial" w:hAnsi="Arial" w:cs="Arial"/>
                <w:b/>
                <w:bCs/>
                <w:color w:val="000000" w:themeColor="text1"/>
                <w:sz w:val="19"/>
                <w:szCs w:val="19"/>
                <w:lang w:val="en-GB" w:eastAsia="en-SG"/>
              </w:rPr>
              <w:t>SG$'000</w:t>
            </w:r>
          </w:p>
        </w:tc>
        <w:tc>
          <w:tcPr>
            <w:tcW w:w="704" w:type="dxa"/>
            <w:noWrap/>
            <w:hideMark/>
          </w:tcPr>
          <w:p w14:paraId="1E8CDC30" w14:textId="77777777" w:rsidR="001B2957" w:rsidRPr="006A6F1F" w:rsidRDefault="001B2957" w:rsidP="00265F5E">
            <w:pPr>
              <w:jc w:val="center"/>
              <w:rPr>
                <w:rFonts w:ascii="Arial" w:hAnsi="Arial" w:cs="Arial"/>
                <w:b/>
                <w:bCs/>
                <w:color w:val="000000" w:themeColor="text1"/>
                <w:sz w:val="19"/>
                <w:szCs w:val="19"/>
                <w:lang w:val="en-GB" w:eastAsia="en-SG"/>
              </w:rPr>
            </w:pPr>
            <w:r w:rsidRPr="006A6F1F">
              <w:rPr>
                <w:rFonts w:ascii="Arial" w:hAnsi="Arial" w:cs="Arial"/>
                <w:b/>
                <w:bCs/>
                <w:color w:val="000000" w:themeColor="text1"/>
                <w:sz w:val="19"/>
                <w:szCs w:val="19"/>
                <w:lang w:val="en-GB" w:eastAsia="en-SG"/>
              </w:rPr>
              <w:t>%</w:t>
            </w:r>
          </w:p>
        </w:tc>
        <w:tc>
          <w:tcPr>
            <w:tcW w:w="1020" w:type="dxa"/>
            <w:noWrap/>
            <w:hideMark/>
          </w:tcPr>
          <w:p w14:paraId="1CE7DBB5" w14:textId="75626AA5" w:rsidR="001B2957" w:rsidRPr="006A6F1F" w:rsidRDefault="001B2957" w:rsidP="00265F5E">
            <w:pPr>
              <w:jc w:val="center"/>
              <w:rPr>
                <w:rFonts w:ascii="Arial" w:hAnsi="Arial" w:cs="Arial"/>
                <w:b/>
                <w:bCs/>
                <w:color w:val="000000" w:themeColor="text1"/>
                <w:sz w:val="19"/>
                <w:szCs w:val="19"/>
                <w:lang w:val="en-GB" w:eastAsia="en-SG"/>
              </w:rPr>
            </w:pPr>
            <w:r w:rsidRPr="006A6F1F">
              <w:rPr>
                <w:rFonts w:ascii="Arial" w:hAnsi="Arial" w:cs="Arial"/>
                <w:b/>
                <w:bCs/>
                <w:color w:val="000000" w:themeColor="text1"/>
                <w:sz w:val="19"/>
                <w:szCs w:val="19"/>
                <w:lang w:val="en-GB" w:eastAsia="en-SG"/>
              </w:rPr>
              <w:t>SG$'000</w:t>
            </w:r>
          </w:p>
        </w:tc>
        <w:tc>
          <w:tcPr>
            <w:tcW w:w="720" w:type="dxa"/>
            <w:noWrap/>
            <w:hideMark/>
          </w:tcPr>
          <w:p w14:paraId="05E46010" w14:textId="77777777" w:rsidR="001B2957" w:rsidRPr="006A6F1F" w:rsidRDefault="001B2957" w:rsidP="00265F5E">
            <w:pPr>
              <w:jc w:val="center"/>
              <w:rPr>
                <w:rFonts w:ascii="Arial" w:hAnsi="Arial" w:cs="Arial"/>
                <w:b/>
                <w:bCs/>
                <w:color w:val="000000" w:themeColor="text1"/>
                <w:sz w:val="19"/>
                <w:szCs w:val="19"/>
                <w:lang w:val="en-GB" w:eastAsia="en-SG"/>
              </w:rPr>
            </w:pPr>
            <w:r w:rsidRPr="006A6F1F">
              <w:rPr>
                <w:rFonts w:ascii="Arial" w:hAnsi="Arial" w:cs="Arial"/>
                <w:b/>
                <w:bCs/>
                <w:color w:val="000000" w:themeColor="text1"/>
                <w:sz w:val="19"/>
                <w:szCs w:val="19"/>
                <w:lang w:val="en-GB" w:eastAsia="en-SG"/>
              </w:rPr>
              <w:t>%</w:t>
            </w:r>
          </w:p>
        </w:tc>
      </w:tr>
      <w:tr w:rsidR="001B2957" w:rsidRPr="006A6F1F" w14:paraId="242479E7" w14:textId="77777777" w:rsidTr="003F2FE5">
        <w:trPr>
          <w:trHeight w:val="60"/>
          <w:jc w:val="center"/>
        </w:trPr>
        <w:tc>
          <w:tcPr>
            <w:tcW w:w="3520" w:type="dxa"/>
            <w:hideMark/>
          </w:tcPr>
          <w:p w14:paraId="05B63D5F" w14:textId="77777777" w:rsidR="001B2957" w:rsidRPr="006A6F1F" w:rsidRDefault="001B2957" w:rsidP="00265F5E">
            <w:pPr>
              <w:rPr>
                <w:rFonts w:ascii="Arial" w:hAnsi="Arial" w:cs="Arial"/>
                <w:color w:val="000000" w:themeColor="text1"/>
                <w:sz w:val="19"/>
                <w:szCs w:val="19"/>
                <w:lang w:val="en-GB" w:eastAsia="en-SG"/>
              </w:rPr>
            </w:pPr>
            <w:r w:rsidRPr="006A6F1F">
              <w:rPr>
                <w:rFonts w:ascii="Arial" w:hAnsi="Arial" w:cs="Arial"/>
                <w:color w:val="000000" w:themeColor="text1"/>
                <w:sz w:val="19"/>
                <w:szCs w:val="19"/>
                <w:lang w:val="en-GB" w:eastAsia="en-SG"/>
              </w:rPr>
              <w:t>Outlet Management Division</w:t>
            </w:r>
          </w:p>
        </w:tc>
        <w:tc>
          <w:tcPr>
            <w:tcW w:w="1020" w:type="dxa"/>
            <w:noWrap/>
            <w:hideMark/>
          </w:tcPr>
          <w:p w14:paraId="3B5D28DF" w14:textId="77777777" w:rsidR="001B2957" w:rsidRPr="006A6F1F" w:rsidRDefault="001B2957" w:rsidP="0062193B">
            <w:pPr>
              <w:jc w:val="right"/>
              <w:rPr>
                <w:rFonts w:ascii="Arial" w:hAnsi="Arial" w:cs="Arial"/>
                <w:color w:val="000000" w:themeColor="text1"/>
                <w:sz w:val="19"/>
                <w:szCs w:val="19"/>
                <w:lang w:val="en-GB" w:eastAsia="en-SG"/>
              </w:rPr>
            </w:pPr>
            <w:r w:rsidRPr="006A6F1F">
              <w:rPr>
                <w:rFonts w:ascii="Arial" w:hAnsi="Arial" w:cs="Arial"/>
                <w:color w:val="000000" w:themeColor="text1"/>
                <w:sz w:val="19"/>
                <w:szCs w:val="19"/>
                <w:lang w:val="en-GB" w:eastAsia="en-SG"/>
              </w:rPr>
              <w:t>6,847</w:t>
            </w:r>
          </w:p>
        </w:tc>
        <w:tc>
          <w:tcPr>
            <w:tcW w:w="720" w:type="dxa"/>
            <w:noWrap/>
            <w:hideMark/>
          </w:tcPr>
          <w:p w14:paraId="7FF5D829" w14:textId="77777777" w:rsidR="001B2957" w:rsidRPr="006A6F1F" w:rsidRDefault="001B2957" w:rsidP="0062193B">
            <w:pPr>
              <w:jc w:val="right"/>
              <w:rPr>
                <w:rFonts w:ascii="Arial" w:hAnsi="Arial" w:cs="Arial"/>
                <w:color w:val="000000" w:themeColor="text1"/>
                <w:sz w:val="19"/>
                <w:szCs w:val="19"/>
                <w:lang w:val="en-GB" w:eastAsia="en-SG"/>
              </w:rPr>
            </w:pPr>
            <w:r w:rsidRPr="006A6F1F">
              <w:rPr>
                <w:rFonts w:ascii="Arial" w:hAnsi="Arial" w:cs="Arial"/>
                <w:color w:val="000000" w:themeColor="text1"/>
                <w:sz w:val="19"/>
                <w:szCs w:val="19"/>
                <w:lang w:val="en-GB" w:eastAsia="en-SG"/>
              </w:rPr>
              <w:t>32.3</w:t>
            </w:r>
          </w:p>
        </w:tc>
        <w:tc>
          <w:tcPr>
            <w:tcW w:w="996" w:type="dxa"/>
            <w:noWrap/>
            <w:hideMark/>
          </w:tcPr>
          <w:p w14:paraId="1572A558" w14:textId="77777777" w:rsidR="001B2957" w:rsidRPr="006A6F1F" w:rsidRDefault="001B2957" w:rsidP="0062193B">
            <w:pPr>
              <w:jc w:val="right"/>
              <w:rPr>
                <w:rFonts w:ascii="Arial" w:hAnsi="Arial" w:cs="Arial"/>
                <w:color w:val="000000" w:themeColor="text1"/>
                <w:sz w:val="19"/>
                <w:szCs w:val="19"/>
                <w:lang w:val="en-GB" w:eastAsia="en-SG"/>
              </w:rPr>
            </w:pPr>
            <w:r w:rsidRPr="006A6F1F">
              <w:rPr>
                <w:rFonts w:ascii="Arial" w:hAnsi="Arial" w:cs="Arial"/>
                <w:color w:val="000000" w:themeColor="text1"/>
                <w:sz w:val="19"/>
                <w:szCs w:val="19"/>
                <w:lang w:val="en-GB" w:eastAsia="en-SG"/>
              </w:rPr>
              <w:t>7,875</w:t>
            </w:r>
          </w:p>
        </w:tc>
        <w:tc>
          <w:tcPr>
            <w:tcW w:w="704" w:type="dxa"/>
            <w:noWrap/>
            <w:hideMark/>
          </w:tcPr>
          <w:p w14:paraId="6A3DCB9A" w14:textId="77777777" w:rsidR="001B2957" w:rsidRPr="006A6F1F" w:rsidRDefault="001B2957" w:rsidP="0062193B">
            <w:pPr>
              <w:jc w:val="right"/>
              <w:rPr>
                <w:rFonts w:ascii="Arial" w:hAnsi="Arial" w:cs="Arial"/>
                <w:color w:val="000000" w:themeColor="text1"/>
                <w:sz w:val="19"/>
                <w:szCs w:val="19"/>
                <w:lang w:val="en-GB" w:eastAsia="en-SG"/>
              </w:rPr>
            </w:pPr>
            <w:r w:rsidRPr="006A6F1F">
              <w:rPr>
                <w:rFonts w:ascii="Arial" w:hAnsi="Arial" w:cs="Arial"/>
                <w:color w:val="000000" w:themeColor="text1"/>
                <w:sz w:val="19"/>
                <w:szCs w:val="19"/>
                <w:lang w:val="en-GB" w:eastAsia="en-SG"/>
              </w:rPr>
              <w:t>33.4</w:t>
            </w:r>
          </w:p>
        </w:tc>
        <w:tc>
          <w:tcPr>
            <w:tcW w:w="1020" w:type="dxa"/>
            <w:noWrap/>
            <w:hideMark/>
          </w:tcPr>
          <w:p w14:paraId="5FB8BA58" w14:textId="77777777" w:rsidR="001B2957" w:rsidRPr="006A6F1F" w:rsidRDefault="001B2957" w:rsidP="0062193B">
            <w:pPr>
              <w:jc w:val="right"/>
              <w:rPr>
                <w:rFonts w:ascii="Arial" w:hAnsi="Arial" w:cs="Arial"/>
                <w:color w:val="000000" w:themeColor="text1"/>
                <w:sz w:val="19"/>
                <w:szCs w:val="19"/>
                <w:lang w:val="en-GB" w:eastAsia="en-SG"/>
              </w:rPr>
            </w:pPr>
            <w:r w:rsidRPr="006A6F1F">
              <w:rPr>
                <w:rFonts w:ascii="Arial" w:hAnsi="Arial" w:cs="Arial"/>
                <w:color w:val="000000" w:themeColor="text1"/>
                <w:sz w:val="19"/>
                <w:szCs w:val="19"/>
                <w:lang w:val="en-GB" w:eastAsia="en-SG"/>
              </w:rPr>
              <w:t>10,928</w:t>
            </w:r>
          </w:p>
        </w:tc>
        <w:tc>
          <w:tcPr>
            <w:tcW w:w="720" w:type="dxa"/>
            <w:noWrap/>
            <w:hideMark/>
          </w:tcPr>
          <w:p w14:paraId="4CD1B548" w14:textId="77777777" w:rsidR="001B2957" w:rsidRPr="006A6F1F" w:rsidRDefault="001B2957" w:rsidP="0062193B">
            <w:pPr>
              <w:jc w:val="right"/>
              <w:rPr>
                <w:rFonts w:ascii="Arial" w:hAnsi="Arial" w:cs="Arial"/>
                <w:color w:val="000000" w:themeColor="text1"/>
                <w:sz w:val="19"/>
                <w:szCs w:val="19"/>
                <w:lang w:val="en-GB" w:eastAsia="en-SG"/>
              </w:rPr>
            </w:pPr>
            <w:r w:rsidRPr="006A6F1F">
              <w:rPr>
                <w:rFonts w:ascii="Arial" w:hAnsi="Arial" w:cs="Arial"/>
                <w:color w:val="000000" w:themeColor="text1"/>
                <w:sz w:val="19"/>
                <w:szCs w:val="19"/>
                <w:lang w:val="en-GB" w:eastAsia="en-SG"/>
              </w:rPr>
              <w:t>42.7</w:t>
            </w:r>
          </w:p>
        </w:tc>
      </w:tr>
      <w:tr w:rsidR="001B2957" w:rsidRPr="006A6F1F" w14:paraId="690AE263" w14:textId="77777777" w:rsidTr="003F2FE5">
        <w:trPr>
          <w:trHeight w:val="60"/>
          <w:jc w:val="center"/>
        </w:trPr>
        <w:tc>
          <w:tcPr>
            <w:tcW w:w="3520" w:type="dxa"/>
            <w:hideMark/>
          </w:tcPr>
          <w:p w14:paraId="2665583B" w14:textId="77777777" w:rsidR="001B2957" w:rsidRPr="006A6F1F" w:rsidRDefault="001B2957" w:rsidP="00265F5E">
            <w:pPr>
              <w:rPr>
                <w:rFonts w:ascii="Arial" w:hAnsi="Arial" w:cs="Arial"/>
                <w:color w:val="000000" w:themeColor="text1"/>
                <w:sz w:val="19"/>
                <w:szCs w:val="19"/>
                <w:lang w:val="en-GB" w:eastAsia="en-SG"/>
              </w:rPr>
            </w:pPr>
            <w:r w:rsidRPr="006A6F1F">
              <w:rPr>
                <w:rFonts w:ascii="Arial" w:hAnsi="Arial" w:cs="Arial"/>
                <w:color w:val="000000" w:themeColor="text1"/>
                <w:sz w:val="19"/>
                <w:szCs w:val="19"/>
                <w:lang w:val="en-GB" w:eastAsia="en-SG"/>
              </w:rPr>
              <w:t>Food Retail Division</w:t>
            </w:r>
          </w:p>
        </w:tc>
        <w:tc>
          <w:tcPr>
            <w:tcW w:w="1020" w:type="dxa"/>
            <w:noWrap/>
            <w:hideMark/>
          </w:tcPr>
          <w:p w14:paraId="18F68396" w14:textId="77777777" w:rsidR="001B2957" w:rsidRPr="006A6F1F" w:rsidRDefault="001B2957" w:rsidP="0062193B">
            <w:pPr>
              <w:jc w:val="right"/>
              <w:rPr>
                <w:rFonts w:ascii="Arial" w:hAnsi="Arial" w:cs="Arial"/>
                <w:color w:val="000000" w:themeColor="text1"/>
                <w:sz w:val="19"/>
                <w:szCs w:val="19"/>
                <w:lang w:val="en-GB" w:eastAsia="en-SG"/>
              </w:rPr>
            </w:pPr>
            <w:r w:rsidRPr="006A6F1F">
              <w:rPr>
                <w:rFonts w:ascii="Arial" w:hAnsi="Arial" w:cs="Arial"/>
                <w:color w:val="000000" w:themeColor="text1"/>
                <w:sz w:val="19"/>
                <w:szCs w:val="19"/>
                <w:lang w:val="en-GB" w:eastAsia="en-SG"/>
              </w:rPr>
              <w:t>14,690</w:t>
            </w:r>
          </w:p>
        </w:tc>
        <w:tc>
          <w:tcPr>
            <w:tcW w:w="720" w:type="dxa"/>
            <w:noWrap/>
            <w:hideMark/>
          </w:tcPr>
          <w:p w14:paraId="4422D527" w14:textId="77777777" w:rsidR="001B2957" w:rsidRPr="006A6F1F" w:rsidRDefault="001B2957" w:rsidP="0062193B">
            <w:pPr>
              <w:jc w:val="right"/>
              <w:rPr>
                <w:rFonts w:ascii="Arial" w:hAnsi="Arial" w:cs="Arial"/>
                <w:color w:val="000000" w:themeColor="text1"/>
                <w:sz w:val="19"/>
                <w:szCs w:val="19"/>
                <w:lang w:val="en-GB" w:eastAsia="en-SG"/>
              </w:rPr>
            </w:pPr>
            <w:r w:rsidRPr="006A6F1F">
              <w:rPr>
                <w:rFonts w:ascii="Arial" w:hAnsi="Arial" w:cs="Arial"/>
                <w:color w:val="000000" w:themeColor="text1"/>
                <w:sz w:val="19"/>
                <w:szCs w:val="19"/>
                <w:lang w:val="en-GB" w:eastAsia="en-SG"/>
              </w:rPr>
              <w:t>69.2</w:t>
            </w:r>
          </w:p>
        </w:tc>
        <w:tc>
          <w:tcPr>
            <w:tcW w:w="996" w:type="dxa"/>
            <w:noWrap/>
            <w:hideMark/>
          </w:tcPr>
          <w:p w14:paraId="075813D6" w14:textId="77777777" w:rsidR="001B2957" w:rsidRPr="006A6F1F" w:rsidRDefault="001B2957" w:rsidP="0062193B">
            <w:pPr>
              <w:jc w:val="right"/>
              <w:rPr>
                <w:rFonts w:ascii="Arial" w:hAnsi="Arial" w:cs="Arial"/>
                <w:color w:val="000000" w:themeColor="text1"/>
                <w:sz w:val="19"/>
                <w:szCs w:val="19"/>
                <w:lang w:val="en-GB" w:eastAsia="en-SG"/>
              </w:rPr>
            </w:pPr>
            <w:r w:rsidRPr="006A6F1F">
              <w:rPr>
                <w:rFonts w:ascii="Arial" w:hAnsi="Arial" w:cs="Arial"/>
                <w:color w:val="000000" w:themeColor="text1"/>
                <w:sz w:val="19"/>
                <w:szCs w:val="19"/>
                <w:lang w:val="en-GB" w:eastAsia="en-SG"/>
              </w:rPr>
              <w:t>15,575</w:t>
            </w:r>
          </w:p>
        </w:tc>
        <w:tc>
          <w:tcPr>
            <w:tcW w:w="704" w:type="dxa"/>
            <w:noWrap/>
            <w:hideMark/>
          </w:tcPr>
          <w:p w14:paraId="58FDA3FA" w14:textId="77777777" w:rsidR="001B2957" w:rsidRPr="006A6F1F" w:rsidRDefault="001B2957" w:rsidP="0062193B">
            <w:pPr>
              <w:jc w:val="right"/>
              <w:rPr>
                <w:rFonts w:ascii="Arial" w:hAnsi="Arial" w:cs="Arial"/>
                <w:color w:val="000000" w:themeColor="text1"/>
                <w:sz w:val="19"/>
                <w:szCs w:val="19"/>
                <w:lang w:val="en-GB" w:eastAsia="en-SG"/>
              </w:rPr>
            </w:pPr>
            <w:r w:rsidRPr="006A6F1F">
              <w:rPr>
                <w:rFonts w:ascii="Arial" w:hAnsi="Arial" w:cs="Arial"/>
                <w:color w:val="000000" w:themeColor="text1"/>
                <w:sz w:val="19"/>
                <w:szCs w:val="19"/>
                <w:lang w:val="en-GB" w:eastAsia="en-SG"/>
              </w:rPr>
              <w:t>66.1</w:t>
            </w:r>
          </w:p>
        </w:tc>
        <w:tc>
          <w:tcPr>
            <w:tcW w:w="1020" w:type="dxa"/>
            <w:noWrap/>
            <w:hideMark/>
          </w:tcPr>
          <w:p w14:paraId="1588803F" w14:textId="77777777" w:rsidR="001B2957" w:rsidRPr="006A6F1F" w:rsidRDefault="001B2957" w:rsidP="0062193B">
            <w:pPr>
              <w:jc w:val="right"/>
              <w:rPr>
                <w:rFonts w:ascii="Arial" w:hAnsi="Arial" w:cs="Arial"/>
                <w:color w:val="000000" w:themeColor="text1"/>
                <w:sz w:val="19"/>
                <w:szCs w:val="19"/>
                <w:lang w:val="en-GB" w:eastAsia="en-SG"/>
              </w:rPr>
            </w:pPr>
            <w:r w:rsidRPr="006A6F1F">
              <w:rPr>
                <w:rFonts w:ascii="Arial" w:hAnsi="Arial" w:cs="Arial"/>
                <w:color w:val="000000" w:themeColor="text1"/>
                <w:sz w:val="19"/>
                <w:szCs w:val="19"/>
                <w:lang w:val="en-GB" w:eastAsia="en-SG"/>
              </w:rPr>
              <w:t>15,450</w:t>
            </w:r>
          </w:p>
        </w:tc>
        <w:tc>
          <w:tcPr>
            <w:tcW w:w="720" w:type="dxa"/>
            <w:noWrap/>
            <w:hideMark/>
          </w:tcPr>
          <w:p w14:paraId="30AC9CDF" w14:textId="77777777" w:rsidR="001B2957" w:rsidRPr="006A6F1F" w:rsidRDefault="001B2957" w:rsidP="0062193B">
            <w:pPr>
              <w:jc w:val="right"/>
              <w:rPr>
                <w:rFonts w:ascii="Arial" w:hAnsi="Arial" w:cs="Arial"/>
                <w:color w:val="000000" w:themeColor="text1"/>
                <w:sz w:val="19"/>
                <w:szCs w:val="19"/>
                <w:lang w:val="en-GB" w:eastAsia="en-SG"/>
              </w:rPr>
            </w:pPr>
            <w:r w:rsidRPr="006A6F1F">
              <w:rPr>
                <w:rFonts w:ascii="Arial" w:hAnsi="Arial" w:cs="Arial"/>
                <w:color w:val="000000" w:themeColor="text1"/>
                <w:sz w:val="19"/>
                <w:szCs w:val="19"/>
                <w:lang w:val="en-GB" w:eastAsia="en-SG"/>
              </w:rPr>
              <w:t>60.4</w:t>
            </w:r>
          </w:p>
        </w:tc>
      </w:tr>
      <w:tr w:rsidR="001B2957" w:rsidRPr="006A6F1F" w14:paraId="7CE4EE8B" w14:textId="77777777" w:rsidTr="003F2FE5">
        <w:trPr>
          <w:trHeight w:val="60"/>
          <w:jc w:val="center"/>
        </w:trPr>
        <w:tc>
          <w:tcPr>
            <w:tcW w:w="3520" w:type="dxa"/>
            <w:hideMark/>
          </w:tcPr>
          <w:p w14:paraId="619BE5D3" w14:textId="1260CD42" w:rsidR="001B2957" w:rsidRPr="006A6F1F" w:rsidRDefault="001B2957" w:rsidP="00D7610B">
            <w:pPr>
              <w:rPr>
                <w:rFonts w:ascii="Arial" w:hAnsi="Arial" w:cs="Arial"/>
                <w:color w:val="000000" w:themeColor="text1"/>
                <w:sz w:val="19"/>
                <w:szCs w:val="19"/>
                <w:lang w:val="en-GB" w:eastAsia="en-SG"/>
              </w:rPr>
            </w:pPr>
            <w:r w:rsidRPr="006A6F1F">
              <w:rPr>
                <w:rFonts w:ascii="Arial" w:hAnsi="Arial" w:cs="Arial"/>
                <w:color w:val="000000" w:themeColor="text1"/>
                <w:sz w:val="19"/>
                <w:szCs w:val="19"/>
                <w:lang w:val="en-GB" w:eastAsia="en-SG"/>
              </w:rPr>
              <w:t>Others</w:t>
            </w:r>
            <w:r w:rsidRPr="006A6F1F">
              <w:rPr>
                <w:rFonts w:ascii="Arial" w:hAnsi="Arial" w:cs="Arial"/>
                <w:color w:val="000000" w:themeColor="text1"/>
                <w:sz w:val="19"/>
                <w:szCs w:val="19"/>
                <w:vertAlign w:val="superscript"/>
                <w:lang w:val="en-GB" w:eastAsia="en-SG"/>
              </w:rPr>
              <w:t>1</w:t>
            </w:r>
          </w:p>
        </w:tc>
        <w:tc>
          <w:tcPr>
            <w:tcW w:w="1020" w:type="dxa"/>
            <w:noWrap/>
            <w:hideMark/>
          </w:tcPr>
          <w:p w14:paraId="34CCC524" w14:textId="73EE8813" w:rsidR="001B2957" w:rsidRPr="006A6F1F" w:rsidRDefault="001B2957" w:rsidP="0062193B">
            <w:pPr>
              <w:jc w:val="right"/>
              <w:rPr>
                <w:rFonts w:ascii="Arial" w:hAnsi="Arial" w:cs="Arial"/>
                <w:color w:val="000000" w:themeColor="text1"/>
                <w:sz w:val="19"/>
                <w:szCs w:val="19"/>
                <w:lang w:val="en-GB" w:eastAsia="en-SG"/>
              </w:rPr>
            </w:pPr>
            <w:r w:rsidRPr="006A6F1F">
              <w:rPr>
                <w:rFonts w:ascii="Arial" w:hAnsi="Arial" w:cs="Arial"/>
                <w:color w:val="000000" w:themeColor="text1"/>
                <w:sz w:val="19"/>
                <w:szCs w:val="19"/>
                <w:lang w:val="en-GB" w:eastAsia="en-SG"/>
              </w:rPr>
              <w:t>−322</w:t>
            </w:r>
          </w:p>
        </w:tc>
        <w:tc>
          <w:tcPr>
            <w:tcW w:w="720" w:type="dxa"/>
            <w:noWrap/>
            <w:hideMark/>
          </w:tcPr>
          <w:p w14:paraId="2EB3C8BA" w14:textId="20E730EC" w:rsidR="001B2957" w:rsidRPr="006A6F1F" w:rsidRDefault="001B2957" w:rsidP="0062193B">
            <w:pPr>
              <w:jc w:val="right"/>
              <w:rPr>
                <w:rFonts w:ascii="Arial" w:hAnsi="Arial" w:cs="Arial"/>
                <w:color w:val="000000" w:themeColor="text1"/>
                <w:sz w:val="19"/>
                <w:szCs w:val="19"/>
                <w:lang w:val="en-GB" w:eastAsia="en-SG"/>
              </w:rPr>
            </w:pPr>
            <w:r w:rsidRPr="006A6F1F">
              <w:rPr>
                <w:rFonts w:ascii="Arial" w:hAnsi="Arial" w:cs="Arial"/>
                <w:color w:val="000000" w:themeColor="text1"/>
                <w:sz w:val="19"/>
                <w:szCs w:val="19"/>
                <w:lang w:val="en-GB" w:eastAsia="en-SG"/>
              </w:rPr>
              <w:t>−1.5</w:t>
            </w:r>
          </w:p>
        </w:tc>
        <w:tc>
          <w:tcPr>
            <w:tcW w:w="996" w:type="dxa"/>
            <w:noWrap/>
            <w:hideMark/>
          </w:tcPr>
          <w:p w14:paraId="42284875" w14:textId="77777777" w:rsidR="001B2957" w:rsidRPr="006A6F1F" w:rsidRDefault="001B2957" w:rsidP="0062193B">
            <w:pPr>
              <w:jc w:val="right"/>
              <w:rPr>
                <w:rFonts w:ascii="Arial" w:hAnsi="Arial" w:cs="Arial"/>
                <w:color w:val="000000" w:themeColor="text1"/>
                <w:sz w:val="19"/>
                <w:szCs w:val="19"/>
                <w:lang w:val="en-GB" w:eastAsia="en-SG"/>
              </w:rPr>
            </w:pPr>
            <w:r w:rsidRPr="006A6F1F">
              <w:rPr>
                <w:rFonts w:ascii="Arial" w:hAnsi="Arial" w:cs="Arial"/>
                <w:color w:val="000000" w:themeColor="text1"/>
                <w:sz w:val="19"/>
                <w:szCs w:val="19"/>
                <w:lang w:val="en-GB" w:eastAsia="en-SG"/>
              </w:rPr>
              <w:t>110</w:t>
            </w:r>
          </w:p>
        </w:tc>
        <w:tc>
          <w:tcPr>
            <w:tcW w:w="704" w:type="dxa"/>
            <w:noWrap/>
            <w:hideMark/>
          </w:tcPr>
          <w:p w14:paraId="1E7095E2" w14:textId="77777777" w:rsidR="001B2957" w:rsidRPr="006A6F1F" w:rsidRDefault="001B2957" w:rsidP="0062193B">
            <w:pPr>
              <w:jc w:val="right"/>
              <w:rPr>
                <w:rFonts w:ascii="Arial" w:hAnsi="Arial" w:cs="Arial"/>
                <w:color w:val="000000" w:themeColor="text1"/>
                <w:sz w:val="19"/>
                <w:szCs w:val="19"/>
                <w:lang w:val="en-GB" w:eastAsia="en-SG"/>
              </w:rPr>
            </w:pPr>
            <w:r w:rsidRPr="006A6F1F">
              <w:rPr>
                <w:rFonts w:ascii="Arial" w:hAnsi="Arial" w:cs="Arial"/>
                <w:color w:val="000000" w:themeColor="text1"/>
                <w:sz w:val="19"/>
                <w:szCs w:val="19"/>
                <w:lang w:val="en-GB" w:eastAsia="en-SG"/>
              </w:rPr>
              <w:t>0.5</w:t>
            </w:r>
          </w:p>
        </w:tc>
        <w:tc>
          <w:tcPr>
            <w:tcW w:w="1020" w:type="dxa"/>
            <w:noWrap/>
            <w:hideMark/>
          </w:tcPr>
          <w:p w14:paraId="6032CFB9" w14:textId="604C967D" w:rsidR="001B2957" w:rsidRPr="006A6F1F" w:rsidRDefault="001B2957" w:rsidP="0062193B">
            <w:pPr>
              <w:jc w:val="right"/>
              <w:rPr>
                <w:rFonts w:ascii="Arial" w:hAnsi="Arial" w:cs="Arial"/>
                <w:color w:val="000000" w:themeColor="text1"/>
                <w:sz w:val="19"/>
                <w:szCs w:val="19"/>
                <w:lang w:val="en-GB" w:eastAsia="en-SG"/>
              </w:rPr>
            </w:pPr>
            <w:r w:rsidRPr="006A6F1F">
              <w:rPr>
                <w:rFonts w:ascii="Arial" w:hAnsi="Arial" w:cs="Arial"/>
                <w:color w:val="000000" w:themeColor="text1"/>
                <w:sz w:val="19"/>
                <w:szCs w:val="19"/>
                <w:lang w:val="en-GB" w:eastAsia="en-SG"/>
              </w:rPr>
              <w:t>−796</w:t>
            </w:r>
          </w:p>
        </w:tc>
        <w:tc>
          <w:tcPr>
            <w:tcW w:w="720" w:type="dxa"/>
            <w:noWrap/>
            <w:hideMark/>
          </w:tcPr>
          <w:p w14:paraId="1857D722" w14:textId="7536218F" w:rsidR="001B2957" w:rsidRPr="006A6F1F" w:rsidRDefault="001B2957" w:rsidP="0062193B">
            <w:pPr>
              <w:jc w:val="right"/>
              <w:rPr>
                <w:rFonts w:ascii="Arial" w:hAnsi="Arial" w:cs="Arial"/>
                <w:color w:val="000000" w:themeColor="text1"/>
                <w:sz w:val="19"/>
                <w:szCs w:val="19"/>
                <w:lang w:val="en-GB" w:eastAsia="en-SG"/>
              </w:rPr>
            </w:pPr>
            <w:r w:rsidRPr="006A6F1F">
              <w:rPr>
                <w:rFonts w:ascii="Arial" w:hAnsi="Arial" w:cs="Arial"/>
                <w:color w:val="000000" w:themeColor="text1"/>
                <w:sz w:val="19"/>
                <w:szCs w:val="19"/>
                <w:lang w:val="en-GB" w:eastAsia="en-SG"/>
              </w:rPr>
              <w:t>−3.1</w:t>
            </w:r>
          </w:p>
        </w:tc>
      </w:tr>
      <w:tr w:rsidR="001B2957" w:rsidRPr="006A6F1F" w14:paraId="0798B1E2" w14:textId="77777777" w:rsidTr="003F2FE5">
        <w:trPr>
          <w:trHeight w:val="60"/>
          <w:jc w:val="center"/>
        </w:trPr>
        <w:tc>
          <w:tcPr>
            <w:tcW w:w="3520" w:type="dxa"/>
            <w:hideMark/>
          </w:tcPr>
          <w:p w14:paraId="75A0375D" w14:textId="77777777" w:rsidR="001B2957" w:rsidRPr="006A6F1F" w:rsidRDefault="001B2957" w:rsidP="00265F5E">
            <w:pPr>
              <w:rPr>
                <w:rFonts w:ascii="Arial" w:hAnsi="Arial" w:cs="Arial"/>
                <w:b/>
                <w:bCs/>
                <w:color w:val="000000" w:themeColor="text1"/>
                <w:sz w:val="19"/>
                <w:szCs w:val="19"/>
                <w:lang w:val="en-GB" w:eastAsia="en-SG"/>
              </w:rPr>
            </w:pPr>
            <w:r w:rsidRPr="006A6F1F">
              <w:rPr>
                <w:rFonts w:ascii="Arial" w:hAnsi="Arial" w:cs="Arial"/>
                <w:b/>
                <w:bCs/>
                <w:color w:val="000000" w:themeColor="text1"/>
                <w:sz w:val="19"/>
                <w:szCs w:val="19"/>
                <w:lang w:val="en-GB" w:eastAsia="en-SG"/>
              </w:rPr>
              <w:t>Total</w:t>
            </w:r>
          </w:p>
        </w:tc>
        <w:tc>
          <w:tcPr>
            <w:tcW w:w="1020" w:type="dxa"/>
            <w:noWrap/>
            <w:hideMark/>
          </w:tcPr>
          <w:p w14:paraId="1E78E824" w14:textId="77777777" w:rsidR="001B2957" w:rsidRPr="006A6F1F" w:rsidRDefault="001B2957" w:rsidP="0062193B">
            <w:pPr>
              <w:jc w:val="right"/>
              <w:rPr>
                <w:rFonts w:ascii="Arial" w:hAnsi="Arial" w:cs="Arial"/>
                <w:b/>
                <w:bCs/>
                <w:color w:val="000000" w:themeColor="text1"/>
                <w:sz w:val="19"/>
                <w:szCs w:val="19"/>
                <w:lang w:val="en-GB" w:eastAsia="en-SG"/>
              </w:rPr>
            </w:pPr>
            <w:r w:rsidRPr="006A6F1F">
              <w:rPr>
                <w:rFonts w:ascii="Arial" w:hAnsi="Arial" w:cs="Arial"/>
                <w:b/>
                <w:bCs/>
                <w:color w:val="000000" w:themeColor="text1"/>
                <w:sz w:val="19"/>
                <w:szCs w:val="19"/>
                <w:lang w:val="en-GB" w:eastAsia="en-SG"/>
              </w:rPr>
              <w:t>21,215</w:t>
            </w:r>
          </w:p>
        </w:tc>
        <w:tc>
          <w:tcPr>
            <w:tcW w:w="720" w:type="dxa"/>
            <w:noWrap/>
            <w:hideMark/>
          </w:tcPr>
          <w:p w14:paraId="1F6E8293" w14:textId="77777777" w:rsidR="001B2957" w:rsidRPr="006A6F1F" w:rsidRDefault="001B2957" w:rsidP="0062193B">
            <w:pPr>
              <w:jc w:val="right"/>
              <w:rPr>
                <w:rFonts w:ascii="Arial" w:hAnsi="Arial" w:cs="Arial"/>
                <w:b/>
                <w:bCs/>
                <w:color w:val="000000" w:themeColor="text1"/>
                <w:sz w:val="19"/>
                <w:szCs w:val="19"/>
                <w:lang w:val="en-GB" w:eastAsia="en-SG"/>
              </w:rPr>
            </w:pPr>
            <w:r w:rsidRPr="006A6F1F">
              <w:rPr>
                <w:rFonts w:ascii="Arial" w:hAnsi="Arial" w:cs="Arial"/>
                <w:b/>
                <w:bCs/>
                <w:color w:val="000000" w:themeColor="text1"/>
                <w:sz w:val="19"/>
                <w:szCs w:val="19"/>
                <w:lang w:val="en-GB" w:eastAsia="en-SG"/>
              </w:rPr>
              <w:t>100.0</w:t>
            </w:r>
          </w:p>
        </w:tc>
        <w:tc>
          <w:tcPr>
            <w:tcW w:w="996" w:type="dxa"/>
            <w:noWrap/>
            <w:hideMark/>
          </w:tcPr>
          <w:p w14:paraId="6D93FE8B" w14:textId="77777777" w:rsidR="001B2957" w:rsidRPr="006A6F1F" w:rsidRDefault="001B2957" w:rsidP="0062193B">
            <w:pPr>
              <w:jc w:val="right"/>
              <w:rPr>
                <w:rFonts w:ascii="Arial" w:hAnsi="Arial" w:cs="Arial"/>
                <w:b/>
                <w:bCs/>
                <w:color w:val="000000" w:themeColor="text1"/>
                <w:sz w:val="19"/>
                <w:szCs w:val="19"/>
                <w:lang w:val="en-GB" w:eastAsia="en-SG"/>
              </w:rPr>
            </w:pPr>
            <w:r w:rsidRPr="006A6F1F">
              <w:rPr>
                <w:rFonts w:ascii="Arial" w:hAnsi="Arial" w:cs="Arial"/>
                <w:b/>
                <w:bCs/>
                <w:color w:val="000000" w:themeColor="text1"/>
                <w:sz w:val="19"/>
                <w:szCs w:val="19"/>
                <w:lang w:val="en-GB" w:eastAsia="en-SG"/>
              </w:rPr>
              <w:t>23,560</w:t>
            </w:r>
          </w:p>
        </w:tc>
        <w:tc>
          <w:tcPr>
            <w:tcW w:w="704" w:type="dxa"/>
            <w:noWrap/>
            <w:hideMark/>
          </w:tcPr>
          <w:p w14:paraId="6198FCBA" w14:textId="77777777" w:rsidR="001B2957" w:rsidRPr="006A6F1F" w:rsidRDefault="001B2957" w:rsidP="0062193B">
            <w:pPr>
              <w:jc w:val="right"/>
              <w:rPr>
                <w:rFonts w:ascii="Arial" w:hAnsi="Arial" w:cs="Arial"/>
                <w:b/>
                <w:bCs/>
                <w:color w:val="000000" w:themeColor="text1"/>
                <w:sz w:val="19"/>
                <w:szCs w:val="19"/>
                <w:lang w:val="en-GB" w:eastAsia="en-SG"/>
              </w:rPr>
            </w:pPr>
            <w:r w:rsidRPr="006A6F1F">
              <w:rPr>
                <w:rFonts w:ascii="Arial" w:hAnsi="Arial" w:cs="Arial"/>
                <w:b/>
                <w:bCs/>
                <w:color w:val="000000" w:themeColor="text1"/>
                <w:sz w:val="19"/>
                <w:szCs w:val="19"/>
                <w:lang w:val="en-GB" w:eastAsia="en-SG"/>
              </w:rPr>
              <w:t>100.0</w:t>
            </w:r>
          </w:p>
        </w:tc>
        <w:tc>
          <w:tcPr>
            <w:tcW w:w="1020" w:type="dxa"/>
            <w:noWrap/>
            <w:hideMark/>
          </w:tcPr>
          <w:p w14:paraId="45244A81" w14:textId="77777777" w:rsidR="001B2957" w:rsidRPr="006A6F1F" w:rsidRDefault="001B2957" w:rsidP="0062193B">
            <w:pPr>
              <w:jc w:val="right"/>
              <w:rPr>
                <w:rFonts w:ascii="Arial" w:hAnsi="Arial" w:cs="Arial"/>
                <w:b/>
                <w:bCs/>
                <w:color w:val="000000" w:themeColor="text1"/>
                <w:sz w:val="19"/>
                <w:szCs w:val="19"/>
                <w:lang w:val="en-GB" w:eastAsia="en-SG"/>
              </w:rPr>
            </w:pPr>
            <w:r w:rsidRPr="006A6F1F">
              <w:rPr>
                <w:rFonts w:ascii="Arial" w:hAnsi="Arial" w:cs="Arial"/>
                <w:b/>
                <w:bCs/>
                <w:color w:val="000000" w:themeColor="text1"/>
                <w:sz w:val="19"/>
                <w:szCs w:val="19"/>
                <w:lang w:val="en-GB" w:eastAsia="en-SG"/>
              </w:rPr>
              <w:t>25,582</w:t>
            </w:r>
          </w:p>
        </w:tc>
        <w:tc>
          <w:tcPr>
            <w:tcW w:w="720" w:type="dxa"/>
            <w:noWrap/>
            <w:hideMark/>
          </w:tcPr>
          <w:p w14:paraId="1C4B1606" w14:textId="77777777" w:rsidR="001B2957" w:rsidRPr="006A6F1F" w:rsidRDefault="001B2957" w:rsidP="0062193B">
            <w:pPr>
              <w:jc w:val="right"/>
              <w:rPr>
                <w:rFonts w:ascii="Arial" w:hAnsi="Arial" w:cs="Arial"/>
                <w:b/>
                <w:bCs/>
                <w:color w:val="000000" w:themeColor="text1"/>
                <w:sz w:val="19"/>
                <w:szCs w:val="19"/>
                <w:lang w:val="en-GB" w:eastAsia="en-SG"/>
              </w:rPr>
            </w:pPr>
            <w:r w:rsidRPr="006A6F1F">
              <w:rPr>
                <w:rFonts w:ascii="Arial" w:hAnsi="Arial" w:cs="Arial"/>
                <w:b/>
                <w:bCs/>
                <w:color w:val="000000" w:themeColor="text1"/>
                <w:sz w:val="19"/>
                <w:szCs w:val="19"/>
                <w:lang w:val="en-GB" w:eastAsia="en-SG"/>
              </w:rPr>
              <w:t>100.0</w:t>
            </w:r>
          </w:p>
        </w:tc>
      </w:tr>
    </w:tbl>
    <w:p w14:paraId="27376D84" w14:textId="77777777" w:rsidR="001B2957" w:rsidRPr="006A6F1F" w:rsidRDefault="001B2957" w:rsidP="003C3E64">
      <w:pPr>
        <w:pStyle w:val="Footnote"/>
        <w:rPr>
          <w:color w:val="000000" w:themeColor="text1"/>
          <w:lang w:val="en-GB"/>
        </w:rPr>
      </w:pPr>
    </w:p>
    <w:p w14:paraId="3BF67CCD" w14:textId="23E93165" w:rsidR="001B2957" w:rsidRPr="003F2FE5" w:rsidRDefault="001B2957" w:rsidP="003C3E64">
      <w:pPr>
        <w:pStyle w:val="Footnote"/>
        <w:rPr>
          <w:color w:val="000000" w:themeColor="text1"/>
          <w:spacing w:val="-2"/>
          <w:lang w:val="en-GB"/>
        </w:rPr>
      </w:pPr>
      <w:r w:rsidRPr="003F2FE5">
        <w:rPr>
          <w:color w:val="000000" w:themeColor="text1"/>
          <w:spacing w:val="-2"/>
          <w:lang w:val="en-GB"/>
        </w:rPr>
        <w:t>Note</w:t>
      </w:r>
      <w:r w:rsidR="00434042" w:rsidRPr="003F2FE5">
        <w:rPr>
          <w:color w:val="000000" w:themeColor="text1"/>
          <w:spacing w:val="-2"/>
          <w:lang w:val="en-GB"/>
        </w:rPr>
        <w:t xml:space="preserve">: FY = fiscal year; </w:t>
      </w:r>
      <w:r w:rsidR="00434042" w:rsidRPr="003F2FE5">
        <w:rPr>
          <w:rStyle w:val="FootnoteChar"/>
          <w:spacing w:val="-2"/>
        </w:rPr>
        <w:t xml:space="preserve">SG$ = Singapore dollar; SG$1 = US$0.70540 on March 8, 2017. </w:t>
      </w:r>
      <w:r w:rsidRPr="003F2FE5">
        <w:rPr>
          <w:color w:val="000000" w:themeColor="text1"/>
          <w:spacing w:val="-2"/>
          <w:vertAlign w:val="superscript"/>
          <w:lang w:val="en-GB"/>
        </w:rPr>
        <w:t>1</w:t>
      </w:r>
      <w:r w:rsidRPr="003F2FE5">
        <w:rPr>
          <w:color w:val="000000" w:themeColor="text1"/>
          <w:spacing w:val="-2"/>
          <w:lang w:val="en-GB"/>
        </w:rPr>
        <w:t xml:space="preserve"> Others included the group’s expenses incurred for management and human resources activities and other income that was not allocated to reportable segments.</w:t>
      </w:r>
    </w:p>
    <w:p w14:paraId="147118DA" w14:textId="203811BC" w:rsidR="001B2957" w:rsidRPr="006A6F1F" w:rsidRDefault="001B2957" w:rsidP="003C3E64">
      <w:pPr>
        <w:pStyle w:val="Footnote"/>
        <w:rPr>
          <w:color w:val="000000" w:themeColor="text1"/>
          <w:lang w:val="en-GB"/>
        </w:rPr>
      </w:pPr>
      <w:r w:rsidRPr="006A6F1F">
        <w:rPr>
          <w:color w:val="000000" w:themeColor="text1"/>
          <w:lang w:val="en-GB"/>
        </w:rPr>
        <w:t xml:space="preserve">Source: </w:t>
      </w:r>
      <w:proofErr w:type="spellStart"/>
      <w:r w:rsidRPr="006A6F1F">
        <w:rPr>
          <w:color w:val="000000" w:themeColor="text1"/>
          <w:lang w:val="en-GB"/>
        </w:rPr>
        <w:t>Kimly</w:t>
      </w:r>
      <w:proofErr w:type="spellEnd"/>
      <w:r w:rsidRPr="006A6F1F">
        <w:rPr>
          <w:color w:val="000000" w:themeColor="text1"/>
          <w:lang w:val="en-GB"/>
        </w:rPr>
        <w:t xml:space="preserve"> Limited, </w:t>
      </w:r>
      <w:r w:rsidRPr="006A6F1F">
        <w:rPr>
          <w:i/>
          <w:color w:val="000000" w:themeColor="text1"/>
          <w:lang w:val="en-GB"/>
        </w:rPr>
        <w:t xml:space="preserve">Invitation In Respect </w:t>
      </w:r>
      <w:r w:rsidR="00434042">
        <w:rPr>
          <w:i/>
          <w:color w:val="000000" w:themeColor="text1"/>
          <w:lang w:val="en-GB"/>
        </w:rPr>
        <w:t>o</w:t>
      </w:r>
      <w:r w:rsidRPr="006A6F1F">
        <w:rPr>
          <w:i/>
          <w:color w:val="000000" w:themeColor="text1"/>
          <w:lang w:val="en-GB"/>
        </w:rPr>
        <w:t>f 173,800,000 New Shares</w:t>
      </w:r>
      <w:r w:rsidRPr="006A6F1F">
        <w:rPr>
          <w:color w:val="000000" w:themeColor="text1"/>
          <w:lang w:val="en-GB"/>
        </w:rPr>
        <w:t>, 85, March 8, 2017, accessed May 29, 2017, http://infopub.sgx.com/FileOpen/Kimly_Limited_-_Offer_Document.ashx?App=IPO&amp;FileID=5360.</w:t>
      </w:r>
    </w:p>
    <w:p w14:paraId="51D32A00" w14:textId="77777777" w:rsidR="001B2957" w:rsidRPr="006A6F1F" w:rsidRDefault="001B2957">
      <w:pPr>
        <w:spacing w:after="200" w:line="276" w:lineRule="auto"/>
        <w:rPr>
          <w:rFonts w:ascii="Arial" w:hAnsi="Arial" w:cs="Arial"/>
          <w:b/>
          <w:caps/>
          <w:color w:val="000000" w:themeColor="text1"/>
          <w:lang w:val="en-GB"/>
        </w:rPr>
      </w:pPr>
      <w:r w:rsidRPr="006A6F1F">
        <w:rPr>
          <w:color w:val="000000" w:themeColor="text1"/>
          <w:lang w:val="en-GB"/>
        </w:rPr>
        <w:br w:type="page"/>
      </w:r>
    </w:p>
    <w:p w14:paraId="2CFF34CB" w14:textId="2CC8EB51" w:rsidR="001B2957" w:rsidRPr="006A6F1F" w:rsidRDefault="001B2957" w:rsidP="003A6C45">
      <w:pPr>
        <w:pStyle w:val="ExhibitHeading"/>
        <w:rPr>
          <w:color w:val="000000" w:themeColor="text1"/>
          <w:lang w:val="en-GB"/>
        </w:rPr>
      </w:pPr>
      <w:r w:rsidRPr="006A6F1F">
        <w:rPr>
          <w:color w:val="000000" w:themeColor="text1"/>
          <w:lang w:val="en-GB"/>
        </w:rPr>
        <w:lastRenderedPageBreak/>
        <w:t xml:space="preserve">Exhibit </w:t>
      </w:r>
      <w:r w:rsidR="00B9262B">
        <w:rPr>
          <w:color w:val="000000" w:themeColor="text1"/>
          <w:lang w:val="en-GB"/>
        </w:rPr>
        <w:t>7</w:t>
      </w:r>
      <w:r w:rsidRPr="006A6F1F">
        <w:rPr>
          <w:color w:val="000000" w:themeColor="text1"/>
          <w:lang w:val="en-GB"/>
        </w:rPr>
        <w:t>: kimly’s Balance Sheet as at September 30</w:t>
      </w:r>
    </w:p>
    <w:p w14:paraId="1F16E581" w14:textId="77777777" w:rsidR="001B2957" w:rsidRDefault="001B2957" w:rsidP="003A6C45">
      <w:pPr>
        <w:pStyle w:val="ExhibitHeading"/>
        <w:rPr>
          <w:color w:val="000000" w:themeColor="text1"/>
          <w:sz w:val="18"/>
          <w:lang w:val="en-GB"/>
        </w:rPr>
      </w:pPr>
    </w:p>
    <w:tbl>
      <w:tblPr>
        <w:tblStyle w:val="TableGrid"/>
        <w:tblW w:w="0" w:type="auto"/>
        <w:jc w:val="center"/>
        <w:tblLook w:val="04A0" w:firstRow="1" w:lastRow="0" w:firstColumn="1" w:lastColumn="0" w:noHBand="0" w:noVBand="1"/>
      </w:tblPr>
      <w:tblGrid>
        <w:gridCol w:w="3330"/>
        <w:gridCol w:w="1080"/>
        <w:gridCol w:w="1080"/>
        <w:gridCol w:w="1080"/>
      </w:tblGrid>
      <w:tr w:rsidR="00D7610B" w14:paraId="03BDC0BF" w14:textId="77777777" w:rsidTr="008C1EA7">
        <w:trPr>
          <w:jc w:val="center"/>
        </w:trPr>
        <w:tc>
          <w:tcPr>
            <w:tcW w:w="3330" w:type="dxa"/>
          </w:tcPr>
          <w:p w14:paraId="7A04421D" w14:textId="74FD5171" w:rsidR="00D7610B" w:rsidRPr="00E43188" w:rsidRDefault="00D7610B" w:rsidP="00E43188">
            <w:pPr>
              <w:pStyle w:val="ExhibitText"/>
              <w:jc w:val="left"/>
              <w:rPr>
                <w:lang w:val="en-GB"/>
              </w:rPr>
            </w:pPr>
            <w:r w:rsidRPr="00E43188">
              <w:rPr>
                <w:lang w:val="en-GB" w:eastAsia="en-SG"/>
              </w:rPr>
              <w:t>(In SG$ thousands)</w:t>
            </w:r>
          </w:p>
        </w:tc>
        <w:tc>
          <w:tcPr>
            <w:tcW w:w="1080" w:type="dxa"/>
          </w:tcPr>
          <w:p w14:paraId="1069397D" w14:textId="088EF38B" w:rsidR="00D7610B" w:rsidRPr="00E43188" w:rsidRDefault="00D7610B" w:rsidP="00E43188">
            <w:pPr>
              <w:pStyle w:val="ExhibitText"/>
              <w:jc w:val="center"/>
            </w:pPr>
            <w:r w:rsidRPr="00E43188">
              <w:t>2014</w:t>
            </w:r>
          </w:p>
        </w:tc>
        <w:tc>
          <w:tcPr>
            <w:tcW w:w="1080" w:type="dxa"/>
          </w:tcPr>
          <w:p w14:paraId="2FCF3A11" w14:textId="6F21DBA2" w:rsidR="00D7610B" w:rsidRPr="00E43188" w:rsidRDefault="00D7610B" w:rsidP="00E43188">
            <w:pPr>
              <w:pStyle w:val="ExhibitText"/>
              <w:jc w:val="center"/>
            </w:pPr>
            <w:r w:rsidRPr="00E43188">
              <w:t>2015</w:t>
            </w:r>
          </w:p>
        </w:tc>
        <w:tc>
          <w:tcPr>
            <w:tcW w:w="1080" w:type="dxa"/>
          </w:tcPr>
          <w:p w14:paraId="3BF366DB" w14:textId="00F3C247" w:rsidR="00D7610B" w:rsidRPr="00E43188" w:rsidRDefault="00D7610B" w:rsidP="00E43188">
            <w:pPr>
              <w:pStyle w:val="ExhibitText"/>
              <w:jc w:val="center"/>
            </w:pPr>
            <w:r w:rsidRPr="00E43188">
              <w:t>2016</w:t>
            </w:r>
          </w:p>
        </w:tc>
      </w:tr>
      <w:tr w:rsidR="00267748" w14:paraId="48A11D57" w14:textId="77777777" w:rsidTr="008C1EA7">
        <w:trPr>
          <w:jc w:val="center"/>
        </w:trPr>
        <w:tc>
          <w:tcPr>
            <w:tcW w:w="3330" w:type="dxa"/>
          </w:tcPr>
          <w:p w14:paraId="2198030E" w14:textId="708EC225" w:rsidR="00267748" w:rsidRPr="00E43188" w:rsidRDefault="00267748" w:rsidP="00E43188">
            <w:pPr>
              <w:pStyle w:val="ExhibitText"/>
              <w:jc w:val="left"/>
              <w:rPr>
                <w:lang w:val="en-GB"/>
              </w:rPr>
            </w:pPr>
            <w:r w:rsidRPr="00E43188">
              <w:rPr>
                <w:b/>
                <w:lang w:val="en-GB" w:eastAsia="en-SG"/>
              </w:rPr>
              <w:t>Non-Current Assets</w:t>
            </w:r>
          </w:p>
        </w:tc>
        <w:tc>
          <w:tcPr>
            <w:tcW w:w="1080" w:type="dxa"/>
          </w:tcPr>
          <w:p w14:paraId="5FB9F53E" w14:textId="77777777" w:rsidR="00267748" w:rsidRPr="00E43188" w:rsidRDefault="00267748" w:rsidP="00E43188">
            <w:pPr>
              <w:pStyle w:val="ExhibitText"/>
              <w:jc w:val="right"/>
            </w:pPr>
          </w:p>
        </w:tc>
        <w:tc>
          <w:tcPr>
            <w:tcW w:w="1080" w:type="dxa"/>
          </w:tcPr>
          <w:p w14:paraId="7C023E76" w14:textId="77777777" w:rsidR="00267748" w:rsidRPr="00E43188" w:rsidRDefault="00267748" w:rsidP="00E43188">
            <w:pPr>
              <w:pStyle w:val="ExhibitText"/>
              <w:jc w:val="right"/>
            </w:pPr>
          </w:p>
        </w:tc>
        <w:tc>
          <w:tcPr>
            <w:tcW w:w="1080" w:type="dxa"/>
          </w:tcPr>
          <w:p w14:paraId="7D232721" w14:textId="77777777" w:rsidR="00267748" w:rsidRPr="00E43188" w:rsidRDefault="00267748" w:rsidP="00E43188">
            <w:pPr>
              <w:pStyle w:val="ExhibitText"/>
              <w:jc w:val="right"/>
            </w:pPr>
          </w:p>
        </w:tc>
      </w:tr>
      <w:tr w:rsidR="00267748" w14:paraId="4BAF54B3" w14:textId="77777777" w:rsidTr="008C1EA7">
        <w:trPr>
          <w:jc w:val="center"/>
        </w:trPr>
        <w:tc>
          <w:tcPr>
            <w:tcW w:w="3330" w:type="dxa"/>
          </w:tcPr>
          <w:p w14:paraId="67EF7249" w14:textId="2FBAE8F3" w:rsidR="00267748" w:rsidRPr="00E43188" w:rsidRDefault="00267748" w:rsidP="00E43188">
            <w:pPr>
              <w:pStyle w:val="ExhibitText"/>
              <w:jc w:val="left"/>
              <w:rPr>
                <w:lang w:val="en-GB"/>
              </w:rPr>
            </w:pPr>
            <w:r w:rsidRPr="00E43188">
              <w:rPr>
                <w:lang w:val="en-GB" w:eastAsia="en-SG"/>
              </w:rPr>
              <w:t>Property, Plant, and Equipment</w:t>
            </w:r>
          </w:p>
        </w:tc>
        <w:tc>
          <w:tcPr>
            <w:tcW w:w="1080" w:type="dxa"/>
          </w:tcPr>
          <w:p w14:paraId="680058FF" w14:textId="470DDCC2" w:rsidR="00267748" w:rsidRPr="00E43188" w:rsidRDefault="00267748" w:rsidP="00E43188">
            <w:pPr>
              <w:pStyle w:val="ExhibitText"/>
              <w:jc w:val="right"/>
            </w:pPr>
            <w:r w:rsidRPr="00E43188">
              <w:t>3,913</w:t>
            </w:r>
          </w:p>
        </w:tc>
        <w:tc>
          <w:tcPr>
            <w:tcW w:w="1080" w:type="dxa"/>
          </w:tcPr>
          <w:p w14:paraId="70631FDA" w14:textId="5BA96D19" w:rsidR="00267748" w:rsidRPr="00E43188" w:rsidRDefault="00267748" w:rsidP="00E43188">
            <w:pPr>
              <w:pStyle w:val="ExhibitText"/>
              <w:jc w:val="right"/>
            </w:pPr>
            <w:r w:rsidRPr="00E43188">
              <w:t>3,782</w:t>
            </w:r>
          </w:p>
        </w:tc>
        <w:tc>
          <w:tcPr>
            <w:tcW w:w="1080" w:type="dxa"/>
          </w:tcPr>
          <w:p w14:paraId="25C9D9A5" w14:textId="0B0F7257" w:rsidR="00267748" w:rsidRPr="00E43188" w:rsidRDefault="00267748" w:rsidP="00E43188">
            <w:pPr>
              <w:pStyle w:val="ExhibitText"/>
              <w:jc w:val="right"/>
            </w:pPr>
            <w:r w:rsidRPr="00E43188">
              <w:t>4,087</w:t>
            </w:r>
          </w:p>
        </w:tc>
      </w:tr>
      <w:tr w:rsidR="00267748" w14:paraId="7494CB3B" w14:textId="77777777" w:rsidTr="008C1EA7">
        <w:trPr>
          <w:trHeight w:val="60"/>
          <w:jc w:val="center"/>
        </w:trPr>
        <w:tc>
          <w:tcPr>
            <w:tcW w:w="3330" w:type="dxa"/>
          </w:tcPr>
          <w:p w14:paraId="205134FD" w14:textId="6BC71714" w:rsidR="00267748" w:rsidRPr="00E43188" w:rsidRDefault="00267748" w:rsidP="00E43188">
            <w:pPr>
              <w:pStyle w:val="ExhibitText"/>
              <w:jc w:val="left"/>
              <w:rPr>
                <w:lang w:val="en-GB"/>
              </w:rPr>
            </w:pPr>
            <w:r w:rsidRPr="00E43188">
              <w:rPr>
                <w:lang w:val="en-GB" w:eastAsia="en-SG"/>
              </w:rPr>
              <w:t>Intangible Assets</w:t>
            </w:r>
          </w:p>
        </w:tc>
        <w:tc>
          <w:tcPr>
            <w:tcW w:w="1080" w:type="dxa"/>
          </w:tcPr>
          <w:p w14:paraId="666A9F35" w14:textId="7518D22B" w:rsidR="00267748" w:rsidRPr="00E43188" w:rsidRDefault="00267748" w:rsidP="00E43188">
            <w:pPr>
              <w:pStyle w:val="ExhibitText"/>
              <w:jc w:val="right"/>
            </w:pPr>
            <w:r w:rsidRPr="00E43188">
              <w:t>2,065</w:t>
            </w:r>
          </w:p>
        </w:tc>
        <w:tc>
          <w:tcPr>
            <w:tcW w:w="1080" w:type="dxa"/>
          </w:tcPr>
          <w:p w14:paraId="236A912B" w14:textId="02785467" w:rsidR="00267748" w:rsidRPr="00E43188" w:rsidRDefault="00267748" w:rsidP="00E43188">
            <w:pPr>
              <w:pStyle w:val="ExhibitText"/>
              <w:jc w:val="right"/>
            </w:pPr>
            <w:r w:rsidRPr="00E43188">
              <w:t>810</w:t>
            </w:r>
          </w:p>
        </w:tc>
        <w:tc>
          <w:tcPr>
            <w:tcW w:w="1080" w:type="dxa"/>
          </w:tcPr>
          <w:p w14:paraId="4A4FDB17" w14:textId="237F7A96" w:rsidR="00267748" w:rsidRPr="00E43188" w:rsidRDefault="00267748" w:rsidP="00E43188">
            <w:pPr>
              <w:pStyle w:val="ExhibitText"/>
              <w:jc w:val="right"/>
            </w:pPr>
            <w:r w:rsidRPr="00E43188">
              <w:t>311</w:t>
            </w:r>
          </w:p>
        </w:tc>
      </w:tr>
      <w:tr w:rsidR="00267748" w14:paraId="10563F6E" w14:textId="77777777" w:rsidTr="008C1EA7">
        <w:trPr>
          <w:jc w:val="center"/>
        </w:trPr>
        <w:tc>
          <w:tcPr>
            <w:tcW w:w="3330" w:type="dxa"/>
          </w:tcPr>
          <w:p w14:paraId="0B459A63" w14:textId="2C142685" w:rsidR="00267748" w:rsidRPr="00E43188" w:rsidRDefault="00267748" w:rsidP="00E43188">
            <w:pPr>
              <w:pStyle w:val="ExhibitText"/>
              <w:jc w:val="left"/>
              <w:rPr>
                <w:lang w:val="en-GB"/>
              </w:rPr>
            </w:pPr>
            <w:r w:rsidRPr="00E43188">
              <w:rPr>
                <w:lang w:val="en-GB" w:eastAsia="en-SG"/>
              </w:rPr>
              <w:t>Other Receivables</w:t>
            </w:r>
          </w:p>
        </w:tc>
        <w:tc>
          <w:tcPr>
            <w:tcW w:w="1080" w:type="dxa"/>
          </w:tcPr>
          <w:p w14:paraId="08407680" w14:textId="7EFEB5ED" w:rsidR="00267748" w:rsidRPr="00E43188" w:rsidRDefault="00267748" w:rsidP="00E43188">
            <w:pPr>
              <w:pStyle w:val="ExhibitText"/>
              <w:jc w:val="right"/>
            </w:pPr>
            <w:r w:rsidRPr="00E43188">
              <w:t>3,232</w:t>
            </w:r>
          </w:p>
        </w:tc>
        <w:tc>
          <w:tcPr>
            <w:tcW w:w="1080" w:type="dxa"/>
          </w:tcPr>
          <w:p w14:paraId="2C0EB842" w14:textId="5D4AA6E4" w:rsidR="00267748" w:rsidRPr="00E43188" w:rsidRDefault="00267748" w:rsidP="00E43188">
            <w:pPr>
              <w:pStyle w:val="ExhibitText"/>
              <w:jc w:val="right"/>
            </w:pPr>
            <w:r w:rsidRPr="00E43188">
              <w:t>3,385</w:t>
            </w:r>
          </w:p>
        </w:tc>
        <w:tc>
          <w:tcPr>
            <w:tcW w:w="1080" w:type="dxa"/>
          </w:tcPr>
          <w:p w14:paraId="4BBF98D0" w14:textId="6C8E868F" w:rsidR="00267748" w:rsidRPr="00E43188" w:rsidRDefault="00267748" w:rsidP="00E43188">
            <w:pPr>
              <w:pStyle w:val="ExhibitText"/>
              <w:jc w:val="right"/>
            </w:pPr>
            <w:r w:rsidRPr="00E43188">
              <w:t>4,062</w:t>
            </w:r>
          </w:p>
        </w:tc>
      </w:tr>
      <w:tr w:rsidR="00267748" w14:paraId="58157FD5" w14:textId="77777777" w:rsidTr="008C1EA7">
        <w:trPr>
          <w:jc w:val="center"/>
        </w:trPr>
        <w:tc>
          <w:tcPr>
            <w:tcW w:w="3330" w:type="dxa"/>
          </w:tcPr>
          <w:p w14:paraId="57CC0699" w14:textId="0C9B4857" w:rsidR="00267748" w:rsidRPr="00E43188" w:rsidRDefault="00267748" w:rsidP="00E43188">
            <w:pPr>
              <w:pStyle w:val="ExhibitText"/>
              <w:jc w:val="left"/>
              <w:rPr>
                <w:lang w:val="en-GB"/>
              </w:rPr>
            </w:pPr>
            <w:r w:rsidRPr="00E43188">
              <w:rPr>
                <w:color w:val="000000" w:themeColor="text1"/>
                <w:lang w:val="en-GB" w:eastAsia="en-SG"/>
              </w:rPr>
              <w:t>Cash and Bank Balances</w:t>
            </w:r>
          </w:p>
        </w:tc>
        <w:tc>
          <w:tcPr>
            <w:tcW w:w="1080" w:type="dxa"/>
          </w:tcPr>
          <w:p w14:paraId="4925F8CB" w14:textId="3C32FB43" w:rsidR="00267748" w:rsidRPr="00E43188" w:rsidRDefault="00267748" w:rsidP="00E43188">
            <w:pPr>
              <w:pStyle w:val="ExhibitText"/>
              <w:jc w:val="right"/>
            </w:pPr>
            <w:r w:rsidRPr="00E43188">
              <w:t>30</w:t>
            </w:r>
          </w:p>
        </w:tc>
        <w:tc>
          <w:tcPr>
            <w:tcW w:w="1080" w:type="dxa"/>
          </w:tcPr>
          <w:p w14:paraId="50C65C16" w14:textId="13F170DE" w:rsidR="00267748" w:rsidRPr="00E43188" w:rsidRDefault="00267748" w:rsidP="00E43188">
            <w:pPr>
              <w:pStyle w:val="ExhibitText"/>
              <w:jc w:val="right"/>
            </w:pPr>
            <w:r w:rsidRPr="00E43188">
              <w:t>-</w:t>
            </w:r>
          </w:p>
        </w:tc>
        <w:tc>
          <w:tcPr>
            <w:tcW w:w="1080" w:type="dxa"/>
          </w:tcPr>
          <w:p w14:paraId="64C797C0" w14:textId="20CF669D" w:rsidR="00267748" w:rsidRPr="00E43188" w:rsidRDefault="00267748" w:rsidP="00E43188">
            <w:pPr>
              <w:pStyle w:val="ExhibitText"/>
              <w:jc w:val="right"/>
            </w:pPr>
            <w:r w:rsidRPr="00E43188">
              <w:t>-</w:t>
            </w:r>
          </w:p>
        </w:tc>
      </w:tr>
      <w:tr w:rsidR="00267748" w14:paraId="24E361FE" w14:textId="77777777" w:rsidTr="008C1EA7">
        <w:trPr>
          <w:jc w:val="center"/>
        </w:trPr>
        <w:tc>
          <w:tcPr>
            <w:tcW w:w="3330" w:type="dxa"/>
          </w:tcPr>
          <w:p w14:paraId="4BD5FB79" w14:textId="77777777" w:rsidR="00267748" w:rsidRPr="00E43188" w:rsidRDefault="00267748" w:rsidP="00E43188">
            <w:pPr>
              <w:pStyle w:val="ExhibitText"/>
              <w:jc w:val="left"/>
              <w:rPr>
                <w:lang w:val="en-GB"/>
              </w:rPr>
            </w:pPr>
          </w:p>
        </w:tc>
        <w:tc>
          <w:tcPr>
            <w:tcW w:w="1080" w:type="dxa"/>
          </w:tcPr>
          <w:p w14:paraId="6B1D3CC7" w14:textId="550B539E" w:rsidR="00267748" w:rsidRPr="00E43188" w:rsidRDefault="00267748" w:rsidP="00E43188">
            <w:pPr>
              <w:pStyle w:val="ExhibitText"/>
              <w:jc w:val="right"/>
            </w:pPr>
            <w:r w:rsidRPr="00E43188">
              <w:t>9,240</w:t>
            </w:r>
          </w:p>
        </w:tc>
        <w:tc>
          <w:tcPr>
            <w:tcW w:w="1080" w:type="dxa"/>
          </w:tcPr>
          <w:p w14:paraId="5BB186BE" w14:textId="531C68BB" w:rsidR="00267748" w:rsidRPr="00E43188" w:rsidRDefault="00267748" w:rsidP="00E43188">
            <w:pPr>
              <w:pStyle w:val="ExhibitText"/>
              <w:jc w:val="right"/>
            </w:pPr>
            <w:r w:rsidRPr="00E43188">
              <w:t>7,977</w:t>
            </w:r>
          </w:p>
        </w:tc>
        <w:tc>
          <w:tcPr>
            <w:tcW w:w="1080" w:type="dxa"/>
          </w:tcPr>
          <w:p w14:paraId="448B08F4" w14:textId="625F4367" w:rsidR="00267748" w:rsidRPr="00E43188" w:rsidRDefault="00267748" w:rsidP="00E43188">
            <w:pPr>
              <w:pStyle w:val="ExhibitText"/>
              <w:jc w:val="right"/>
            </w:pPr>
            <w:r w:rsidRPr="00E43188">
              <w:t>8,460</w:t>
            </w:r>
          </w:p>
        </w:tc>
      </w:tr>
      <w:tr w:rsidR="00E43188" w14:paraId="2E09AFB6" w14:textId="77777777" w:rsidTr="008C1EA7">
        <w:trPr>
          <w:jc w:val="center"/>
        </w:trPr>
        <w:tc>
          <w:tcPr>
            <w:tcW w:w="3330" w:type="dxa"/>
          </w:tcPr>
          <w:p w14:paraId="0165563D" w14:textId="5D62B3A7" w:rsidR="00E43188" w:rsidRPr="00E43188" w:rsidRDefault="00E43188" w:rsidP="00E43188">
            <w:pPr>
              <w:pStyle w:val="ExhibitText"/>
              <w:jc w:val="left"/>
              <w:rPr>
                <w:lang w:val="en-GB"/>
              </w:rPr>
            </w:pPr>
            <w:r w:rsidRPr="00E43188">
              <w:rPr>
                <w:b/>
                <w:bCs/>
                <w:color w:val="000000" w:themeColor="text1"/>
                <w:lang w:val="en-GB" w:eastAsia="en-SG"/>
              </w:rPr>
              <w:t>Current Assets</w:t>
            </w:r>
          </w:p>
        </w:tc>
        <w:tc>
          <w:tcPr>
            <w:tcW w:w="1080" w:type="dxa"/>
          </w:tcPr>
          <w:p w14:paraId="27AA0B39" w14:textId="77777777" w:rsidR="00E43188" w:rsidRPr="00E43188" w:rsidRDefault="00E43188" w:rsidP="00E43188">
            <w:pPr>
              <w:pStyle w:val="ExhibitText"/>
              <w:jc w:val="right"/>
            </w:pPr>
          </w:p>
        </w:tc>
        <w:tc>
          <w:tcPr>
            <w:tcW w:w="1080" w:type="dxa"/>
          </w:tcPr>
          <w:p w14:paraId="417D51DD" w14:textId="77777777" w:rsidR="00E43188" w:rsidRPr="00E43188" w:rsidRDefault="00E43188" w:rsidP="00E43188">
            <w:pPr>
              <w:pStyle w:val="ExhibitText"/>
              <w:jc w:val="right"/>
            </w:pPr>
          </w:p>
        </w:tc>
        <w:tc>
          <w:tcPr>
            <w:tcW w:w="1080" w:type="dxa"/>
          </w:tcPr>
          <w:p w14:paraId="7FBA6D8D" w14:textId="77777777" w:rsidR="00E43188" w:rsidRPr="00E43188" w:rsidRDefault="00E43188" w:rsidP="00E43188">
            <w:pPr>
              <w:pStyle w:val="ExhibitText"/>
              <w:jc w:val="right"/>
            </w:pPr>
          </w:p>
        </w:tc>
      </w:tr>
      <w:tr w:rsidR="00E43188" w14:paraId="0136DBEB" w14:textId="77777777" w:rsidTr="008C1EA7">
        <w:trPr>
          <w:jc w:val="center"/>
        </w:trPr>
        <w:tc>
          <w:tcPr>
            <w:tcW w:w="3330" w:type="dxa"/>
          </w:tcPr>
          <w:p w14:paraId="133C384C" w14:textId="2E92E9C2" w:rsidR="00E43188" w:rsidRPr="00E43188" w:rsidRDefault="00E43188" w:rsidP="00E43188">
            <w:pPr>
              <w:pStyle w:val="ExhibitText"/>
              <w:jc w:val="left"/>
              <w:rPr>
                <w:lang w:val="en-GB"/>
              </w:rPr>
            </w:pPr>
            <w:r w:rsidRPr="00E43188">
              <w:rPr>
                <w:color w:val="000000" w:themeColor="text1"/>
                <w:lang w:val="en-GB" w:eastAsia="en-SG"/>
              </w:rPr>
              <w:t>Trade and Other Receivables</w:t>
            </w:r>
          </w:p>
        </w:tc>
        <w:tc>
          <w:tcPr>
            <w:tcW w:w="1080" w:type="dxa"/>
          </w:tcPr>
          <w:p w14:paraId="084876CE" w14:textId="4925B44D" w:rsidR="00E43188" w:rsidRPr="00E43188" w:rsidRDefault="00E43188" w:rsidP="00E43188">
            <w:pPr>
              <w:pStyle w:val="ExhibitText"/>
              <w:jc w:val="right"/>
            </w:pPr>
            <w:r w:rsidRPr="00E43188">
              <w:t>2,563</w:t>
            </w:r>
          </w:p>
        </w:tc>
        <w:tc>
          <w:tcPr>
            <w:tcW w:w="1080" w:type="dxa"/>
          </w:tcPr>
          <w:p w14:paraId="5F028358" w14:textId="05C225FE" w:rsidR="00E43188" w:rsidRPr="00E43188" w:rsidRDefault="00E43188" w:rsidP="00E43188">
            <w:pPr>
              <w:pStyle w:val="ExhibitText"/>
              <w:jc w:val="right"/>
            </w:pPr>
            <w:r w:rsidRPr="00E43188">
              <w:t>3,257</w:t>
            </w:r>
          </w:p>
        </w:tc>
        <w:tc>
          <w:tcPr>
            <w:tcW w:w="1080" w:type="dxa"/>
          </w:tcPr>
          <w:p w14:paraId="7E759DE2" w14:textId="18AA5E05" w:rsidR="00E43188" w:rsidRPr="00E43188" w:rsidRDefault="00E43188" w:rsidP="00E43188">
            <w:pPr>
              <w:pStyle w:val="ExhibitText"/>
              <w:jc w:val="right"/>
            </w:pPr>
            <w:r w:rsidRPr="00E43188">
              <w:t>2,926</w:t>
            </w:r>
          </w:p>
        </w:tc>
      </w:tr>
      <w:tr w:rsidR="00E43188" w14:paraId="2282D402" w14:textId="77777777" w:rsidTr="008C1EA7">
        <w:trPr>
          <w:jc w:val="center"/>
        </w:trPr>
        <w:tc>
          <w:tcPr>
            <w:tcW w:w="3330" w:type="dxa"/>
          </w:tcPr>
          <w:p w14:paraId="40D8FB1E" w14:textId="100C1690" w:rsidR="00E43188" w:rsidRPr="00E43188" w:rsidRDefault="00E43188" w:rsidP="00E43188">
            <w:pPr>
              <w:pStyle w:val="ExhibitText"/>
              <w:jc w:val="left"/>
              <w:rPr>
                <w:color w:val="000000" w:themeColor="text1"/>
                <w:lang w:val="en-GB" w:eastAsia="en-SG"/>
              </w:rPr>
            </w:pPr>
            <w:r w:rsidRPr="00E43188">
              <w:rPr>
                <w:color w:val="000000" w:themeColor="text1"/>
                <w:lang w:val="en-GB" w:eastAsia="en-SG"/>
              </w:rPr>
              <w:t>Inventories</w:t>
            </w:r>
          </w:p>
        </w:tc>
        <w:tc>
          <w:tcPr>
            <w:tcW w:w="1080" w:type="dxa"/>
          </w:tcPr>
          <w:p w14:paraId="5F26856A" w14:textId="45686EDF" w:rsidR="00E43188" w:rsidRPr="00E43188" w:rsidRDefault="00E43188" w:rsidP="00E43188">
            <w:pPr>
              <w:pStyle w:val="ExhibitText"/>
              <w:jc w:val="right"/>
            </w:pPr>
            <w:r w:rsidRPr="00E43188">
              <w:t>1,059</w:t>
            </w:r>
          </w:p>
        </w:tc>
        <w:tc>
          <w:tcPr>
            <w:tcW w:w="1080" w:type="dxa"/>
          </w:tcPr>
          <w:p w14:paraId="63D91357" w14:textId="33A326A6" w:rsidR="00E43188" w:rsidRPr="00E43188" w:rsidRDefault="00E43188" w:rsidP="00E43188">
            <w:pPr>
              <w:pStyle w:val="ExhibitText"/>
              <w:jc w:val="right"/>
            </w:pPr>
            <w:r w:rsidRPr="00E43188">
              <w:t>1,086</w:t>
            </w:r>
          </w:p>
        </w:tc>
        <w:tc>
          <w:tcPr>
            <w:tcW w:w="1080" w:type="dxa"/>
          </w:tcPr>
          <w:p w14:paraId="19C7D6A9" w14:textId="5AB895BF" w:rsidR="00E43188" w:rsidRPr="00E43188" w:rsidRDefault="00E43188" w:rsidP="00E43188">
            <w:pPr>
              <w:pStyle w:val="ExhibitText"/>
              <w:jc w:val="right"/>
            </w:pPr>
            <w:r w:rsidRPr="00E43188">
              <w:t>1,239</w:t>
            </w:r>
          </w:p>
        </w:tc>
      </w:tr>
      <w:tr w:rsidR="00E43188" w14:paraId="2871304D" w14:textId="77777777" w:rsidTr="008C1EA7">
        <w:trPr>
          <w:jc w:val="center"/>
        </w:trPr>
        <w:tc>
          <w:tcPr>
            <w:tcW w:w="3330" w:type="dxa"/>
          </w:tcPr>
          <w:p w14:paraId="42C20CF7" w14:textId="1956C79A" w:rsidR="00E43188" w:rsidRPr="00E43188" w:rsidRDefault="00E43188" w:rsidP="00E43188">
            <w:pPr>
              <w:pStyle w:val="ExhibitText"/>
              <w:jc w:val="left"/>
              <w:rPr>
                <w:color w:val="000000" w:themeColor="text1"/>
                <w:lang w:val="en-GB" w:eastAsia="en-SG"/>
              </w:rPr>
            </w:pPr>
            <w:r w:rsidRPr="00E43188">
              <w:rPr>
                <w:color w:val="000000" w:themeColor="text1"/>
                <w:lang w:val="en-GB" w:eastAsia="en-SG"/>
              </w:rPr>
              <w:t>Prepayments</w:t>
            </w:r>
          </w:p>
        </w:tc>
        <w:tc>
          <w:tcPr>
            <w:tcW w:w="1080" w:type="dxa"/>
          </w:tcPr>
          <w:p w14:paraId="29783573" w14:textId="1FD0B1E5" w:rsidR="00E43188" w:rsidRPr="00E43188" w:rsidRDefault="00E43188" w:rsidP="00E43188">
            <w:pPr>
              <w:pStyle w:val="ExhibitText"/>
              <w:jc w:val="right"/>
            </w:pPr>
            <w:r w:rsidRPr="00E43188">
              <w:t>185</w:t>
            </w:r>
          </w:p>
        </w:tc>
        <w:tc>
          <w:tcPr>
            <w:tcW w:w="1080" w:type="dxa"/>
          </w:tcPr>
          <w:p w14:paraId="03A74ED4" w14:textId="29D351EA" w:rsidR="00E43188" w:rsidRPr="00E43188" w:rsidRDefault="00E43188" w:rsidP="00E43188">
            <w:pPr>
              <w:pStyle w:val="ExhibitText"/>
              <w:jc w:val="right"/>
            </w:pPr>
            <w:r w:rsidRPr="00E43188">
              <w:t>202</w:t>
            </w:r>
          </w:p>
        </w:tc>
        <w:tc>
          <w:tcPr>
            <w:tcW w:w="1080" w:type="dxa"/>
          </w:tcPr>
          <w:p w14:paraId="4487CA85" w14:textId="2EC398F3" w:rsidR="00E43188" w:rsidRPr="00E43188" w:rsidRDefault="00E43188" w:rsidP="00E43188">
            <w:pPr>
              <w:pStyle w:val="ExhibitText"/>
              <w:jc w:val="right"/>
            </w:pPr>
            <w:r w:rsidRPr="00E43188">
              <w:t>1,317</w:t>
            </w:r>
          </w:p>
        </w:tc>
      </w:tr>
      <w:tr w:rsidR="00E43188" w14:paraId="5D37640A" w14:textId="77777777" w:rsidTr="008C1EA7">
        <w:trPr>
          <w:jc w:val="center"/>
        </w:trPr>
        <w:tc>
          <w:tcPr>
            <w:tcW w:w="3330" w:type="dxa"/>
          </w:tcPr>
          <w:p w14:paraId="70872930" w14:textId="3105B0D8" w:rsidR="00E43188" w:rsidRPr="00E43188" w:rsidRDefault="00E43188" w:rsidP="00E43188">
            <w:pPr>
              <w:pStyle w:val="ExhibitText"/>
              <w:jc w:val="left"/>
              <w:rPr>
                <w:color w:val="000000" w:themeColor="text1"/>
                <w:lang w:val="en-GB" w:eastAsia="en-SG"/>
              </w:rPr>
            </w:pPr>
            <w:r w:rsidRPr="00E43188">
              <w:rPr>
                <w:color w:val="000000" w:themeColor="text1"/>
                <w:lang w:val="en-GB" w:eastAsia="en-SG"/>
              </w:rPr>
              <w:t>Cash and Bank Balances</w:t>
            </w:r>
          </w:p>
        </w:tc>
        <w:tc>
          <w:tcPr>
            <w:tcW w:w="1080" w:type="dxa"/>
          </w:tcPr>
          <w:p w14:paraId="0C440FC0" w14:textId="4711DF86" w:rsidR="00E43188" w:rsidRPr="00E43188" w:rsidRDefault="00E43188" w:rsidP="00E43188">
            <w:pPr>
              <w:pStyle w:val="ExhibitText"/>
              <w:jc w:val="right"/>
            </w:pPr>
            <w:r w:rsidRPr="00E43188">
              <w:t>26,540</w:t>
            </w:r>
          </w:p>
        </w:tc>
        <w:tc>
          <w:tcPr>
            <w:tcW w:w="1080" w:type="dxa"/>
          </w:tcPr>
          <w:p w14:paraId="2A1CEF39" w14:textId="4DAD81BA" w:rsidR="00E43188" w:rsidRPr="00E43188" w:rsidRDefault="00E43188" w:rsidP="00E43188">
            <w:pPr>
              <w:pStyle w:val="ExhibitText"/>
              <w:jc w:val="right"/>
            </w:pPr>
            <w:r w:rsidRPr="00E43188">
              <w:t>29,328</w:t>
            </w:r>
          </w:p>
        </w:tc>
        <w:tc>
          <w:tcPr>
            <w:tcW w:w="1080" w:type="dxa"/>
          </w:tcPr>
          <w:p w14:paraId="33123992" w14:textId="7C6584C8" w:rsidR="00E43188" w:rsidRPr="00E43188" w:rsidRDefault="00E43188" w:rsidP="00E43188">
            <w:pPr>
              <w:pStyle w:val="ExhibitText"/>
              <w:jc w:val="right"/>
            </w:pPr>
            <w:r w:rsidRPr="00E43188">
              <w:t>29,446</w:t>
            </w:r>
          </w:p>
        </w:tc>
      </w:tr>
      <w:tr w:rsidR="00E43188" w14:paraId="712E396C" w14:textId="77777777" w:rsidTr="008C1EA7">
        <w:trPr>
          <w:jc w:val="center"/>
        </w:trPr>
        <w:tc>
          <w:tcPr>
            <w:tcW w:w="3330" w:type="dxa"/>
          </w:tcPr>
          <w:p w14:paraId="4B605A6D" w14:textId="77777777" w:rsidR="00E43188" w:rsidRPr="00E43188" w:rsidRDefault="00E43188" w:rsidP="00E43188">
            <w:pPr>
              <w:pStyle w:val="ExhibitText"/>
              <w:jc w:val="left"/>
              <w:rPr>
                <w:color w:val="000000" w:themeColor="text1"/>
                <w:lang w:val="en-GB" w:eastAsia="en-SG"/>
              </w:rPr>
            </w:pPr>
          </w:p>
        </w:tc>
        <w:tc>
          <w:tcPr>
            <w:tcW w:w="1080" w:type="dxa"/>
          </w:tcPr>
          <w:p w14:paraId="4A79D227" w14:textId="514C011E" w:rsidR="00E43188" w:rsidRPr="00E43188" w:rsidRDefault="00E43188" w:rsidP="00E43188">
            <w:pPr>
              <w:pStyle w:val="ExhibitText"/>
              <w:jc w:val="right"/>
            </w:pPr>
            <w:r w:rsidRPr="00E43188">
              <w:t>30,347</w:t>
            </w:r>
          </w:p>
        </w:tc>
        <w:tc>
          <w:tcPr>
            <w:tcW w:w="1080" w:type="dxa"/>
          </w:tcPr>
          <w:p w14:paraId="3E7FF1BE" w14:textId="14568FBE" w:rsidR="00E43188" w:rsidRPr="00E43188" w:rsidRDefault="00E43188" w:rsidP="00E43188">
            <w:pPr>
              <w:pStyle w:val="ExhibitText"/>
              <w:jc w:val="right"/>
            </w:pPr>
            <w:r w:rsidRPr="00E43188">
              <w:t>33,873</w:t>
            </w:r>
          </w:p>
        </w:tc>
        <w:tc>
          <w:tcPr>
            <w:tcW w:w="1080" w:type="dxa"/>
          </w:tcPr>
          <w:p w14:paraId="4D69DC1E" w14:textId="7C922FA5" w:rsidR="00E43188" w:rsidRPr="00E43188" w:rsidRDefault="00E43188" w:rsidP="00E43188">
            <w:pPr>
              <w:pStyle w:val="ExhibitText"/>
              <w:jc w:val="right"/>
            </w:pPr>
            <w:r w:rsidRPr="00E43188">
              <w:t>34,928</w:t>
            </w:r>
          </w:p>
        </w:tc>
      </w:tr>
      <w:tr w:rsidR="00E43188" w14:paraId="50EB507B" w14:textId="77777777" w:rsidTr="008C1EA7">
        <w:trPr>
          <w:jc w:val="center"/>
        </w:trPr>
        <w:tc>
          <w:tcPr>
            <w:tcW w:w="3330" w:type="dxa"/>
          </w:tcPr>
          <w:p w14:paraId="0B21ABF9" w14:textId="6E7B56CC" w:rsidR="00E43188" w:rsidRPr="00E43188" w:rsidRDefault="00E43188" w:rsidP="00E43188">
            <w:pPr>
              <w:pStyle w:val="ExhibitText"/>
              <w:jc w:val="left"/>
              <w:rPr>
                <w:color w:val="000000" w:themeColor="text1"/>
                <w:lang w:val="en-GB" w:eastAsia="en-SG"/>
              </w:rPr>
            </w:pPr>
            <w:r w:rsidRPr="00E43188">
              <w:rPr>
                <w:b/>
                <w:bCs/>
                <w:color w:val="000000" w:themeColor="text1"/>
                <w:lang w:val="en-GB" w:eastAsia="en-SG"/>
              </w:rPr>
              <w:t>Total Assets</w:t>
            </w:r>
          </w:p>
        </w:tc>
        <w:tc>
          <w:tcPr>
            <w:tcW w:w="1080" w:type="dxa"/>
          </w:tcPr>
          <w:p w14:paraId="25CF2E19" w14:textId="69A93CB8" w:rsidR="00E43188" w:rsidRPr="00E43188" w:rsidRDefault="00E43188" w:rsidP="00E43188">
            <w:pPr>
              <w:pStyle w:val="ExhibitText"/>
              <w:jc w:val="right"/>
            </w:pPr>
            <w:r w:rsidRPr="00E43188">
              <w:t>39,587</w:t>
            </w:r>
          </w:p>
        </w:tc>
        <w:tc>
          <w:tcPr>
            <w:tcW w:w="1080" w:type="dxa"/>
          </w:tcPr>
          <w:p w14:paraId="1828493B" w14:textId="57D53753" w:rsidR="00E43188" w:rsidRPr="00E43188" w:rsidRDefault="00E43188" w:rsidP="00E43188">
            <w:pPr>
              <w:pStyle w:val="ExhibitText"/>
              <w:jc w:val="right"/>
            </w:pPr>
            <w:r w:rsidRPr="00E43188">
              <w:t>41,850</w:t>
            </w:r>
          </w:p>
        </w:tc>
        <w:tc>
          <w:tcPr>
            <w:tcW w:w="1080" w:type="dxa"/>
          </w:tcPr>
          <w:p w14:paraId="5C8E0F3C" w14:textId="68F2F9F1" w:rsidR="00E43188" w:rsidRPr="00E43188" w:rsidRDefault="00E43188" w:rsidP="00E43188">
            <w:pPr>
              <w:pStyle w:val="ExhibitText"/>
              <w:jc w:val="right"/>
            </w:pPr>
            <w:r w:rsidRPr="00E43188">
              <w:t>43,388</w:t>
            </w:r>
          </w:p>
        </w:tc>
      </w:tr>
      <w:tr w:rsidR="00E43188" w14:paraId="311BCABE" w14:textId="77777777" w:rsidTr="008C1EA7">
        <w:trPr>
          <w:jc w:val="center"/>
        </w:trPr>
        <w:tc>
          <w:tcPr>
            <w:tcW w:w="3330" w:type="dxa"/>
          </w:tcPr>
          <w:p w14:paraId="47A37B73" w14:textId="123DAA00" w:rsidR="00E43188" w:rsidRPr="00E43188" w:rsidRDefault="00E43188" w:rsidP="00E43188">
            <w:pPr>
              <w:pStyle w:val="ExhibitText"/>
              <w:jc w:val="left"/>
              <w:rPr>
                <w:b/>
                <w:bCs/>
                <w:color w:val="000000" w:themeColor="text1"/>
                <w:lang w:val="en-GB" w:eastAsia="en-SG"/>
              </w:rPr>
            </w:pPr>
            <w:r w:rsidRPr="00E43188">
              <w:rPr>
                <w:b/>
                <w:bCs/>
                <w:color w:val="000000" w:themeColor="text1"/>
                <w:lang w:val="en-GB" w:eastAsia="en-SG"/>
              </w:rPr>
              <w:t>Current Liabilities</w:t>
            </w:r>
          </w:p>
        </w:tc>
        <w:tc>
          <w:tcPr>
            <w:tcW w:w="1080" w:type="dxa"/>
          </w:tcPr>
          <w:p w14:paraId="65C3B5DA" w14:textId="77777777" w:rsidR="00E43188" w:rsidRPr="00E43188" w:rsidRDefault="00E43188" w:rsidP="00E43188">
            <w:pPr>
              <w:pStyle w:val="ExhibitText"/>
              <w:jc w:val="right"/>
            </w:pPr>
          </w:p>
        </w:tc>
        <w:tc>
          <w:tcPr>
            <w:tcW w:w="1080" w:type="dxa"/>
          </w:tcPr>
          <w:p w14:paraId="20246C8D" w14:textId="77777777" w:rsidR="00E43188" w:rsidRPr="00E43188" w:rsidRDefault="00E43188" w:rsidP="00E43188">
            <w:pPr>
              <w:pStyle w:val="ExhibitText"/>
              <w:jc w:val="right"/>
            </w:pPr>
          </w:p>
        </w:tc>
        <w:tc>
          <w:tcPr>
            <w:tcW w:w="1080" w:type="dxa"/>
          </w:tcPr>
          <w:p w14:paraId="30651678" w14:textId="77777777" w:rsidR="00E43188" w:rsidRPr="00E43188" w:rsidRDefault="00E43188" w:rsidP="00E43188">
            <w:pPr>
              <w:pStyle w:val="ExhibitText"/>
              <w:jc w:val="right"/>
            </w:pPr>
          </w:p>
        </w:tc>
      </w:tr>
      <w:tr w:rsidR="00E43188" w14:paraId="03E9092D" w14:textId="77777777" w:rsidTr="008C1EA7">
        <w:trPr>
          <w:jc w:val="center"/>
        </w:trPr>
        <w:tc>
          <w:tcPr>
            <w:tcW w:w="3330" w:type="dxa"/>
          </w:tcPr>
          <w:p w14:paraId="1A98E340" w14:textId="1E11BFAB" w:rsidR="00E43188" w:rsidRPr="00E43188" w:rsidRDefault="00E43188" w:rsidP="00E43188">
            <w:pPr>
              <w:pStyle w:val="ExhibitText"/>
              <w:jc w:val="left"/>
              <w:rPr>
                <w:b/>
                <w:bCs/>
                <w:color w:val="000000" w:themeColor="text1"/>
                <w:lang w:val="en-GB" w:eastAsia="en-SG"/>
              </w:rPr>
            </w:pPr>
            <w:r w:rsidRPr="00E43188">
              <w:rPr>
                <w:color w:val="000000" w:themeColor="text1"/>
                <w:lang w:val="en-GB" w:eastAsia="en-SG"/>
              </w:rPr>
              <w:t>Trade and Other Payables</w:t>
            </w:r>
          </w:p>
        </w:tc>
        <w:tc>
          <w:tcPr>
            <w:tcW w:w="1080" w:type="dxa"/>
          </w:tcPr>
          <w:p w14:paraId="7652C399" w14:textId="297B17D2" w:rsidR="00E43188" w:rsidRPr="00E43188" w:rsidRDefault="00E43188" w:rsidP="00E43188">
            <w:pPr>
              <w:pStyle w:val="ExhibitText"/>
              <w:jc w:val="right"/>
            </w:pPr>
            <w:r w:rsidRPr="00E43188">
              <w:t>12,914</w:t>
            </w:r>
          </w:p>
        </w:tc>
        <w:tc>
          <w:tcPr>
            <w:tcW w:w="1080" w:type="dxa"/>
          </w:tcPr>
          <w:p w14:paraId="6026AB02" w14:textId="29B85A0C" w:rsidR="00E43188" w:rsidRPr="00E43188" w:rsidRDefault="00E43188" w:rsidP="00E43188">
            <w:pPr>
              <w:pStyle w:val="ExhibitText"/>
              <w:jc w:val="right"/>
            </w:pPr>
            <w:r w:rsidRPr="00E43188">
              <w:t>12,565</w:t>
            </w:r>
          </w:p>
        </w:tc>
        <w:tc>
          <w:tcPr>
            <w:tcW w:w="1080" w:type="dxa"/>
          </w:tcPr>
          <w:p w14:paraId="467B5141" w14:textId="5C2081CA" w:rsidR="00E43188" w:rsidRPr="00E43188" w:rsidRDefault="00E43188" w:rsidP="00E43188">
            <w:pPr>
              <w:pStyle w:val="ExhibitText"/>
              <w:jc w:val="right"/>
            </w:pPr>
            <w:r w:rsidRPr="00E43188">
              <w:t>16,185</w:t>
            </w:r>
          </w:p>
        </w:tc>
      </w:tr>
      <w:tr w:rsidR="00E43188" w14:paraId="1A486A4D" w14:textId="77777777" w:rsidTr="008C1EA7">
        <w:trPr>
          <w:jc w:val="center"/>
        </w:trPr>
        <w:tc>
          <w:tcPr>
            <w:tcW w:w="3330" w:type="dxa"/>
          </w:tcPr>
          <w:p w14:paraId="20A09324" w14:textId="6722BD46" w:rsidR="00E43188" w:rsidRPr="00E43188" w:rsidRDefault="00E43188" w:rsidP="00E43188">
            <w:pPr>
              <w:pStyle w:val="ExhibitText"/>
              <w:jc w:val="left"/>
              <w:rPr>
                <w:color w:val="000000" w:themeColor="text1"/>
                <w:lang w:val="en-GB" w:eastAsia="en-SG"/>
              </w:rPr>
            </w:pPr>
            <w:r w:rsidRPr="00E43188">
              <w:rPr>
                <w:color w:val="000000" w:themeColor="text1"/>
                <w:lang w:val="en-GB" w:eastAsia="en-SG"/>
              </w:rPr>
              <w:t>Other Liabilities</w:t>
            </w:r>
          </w:p>
        </w:tc>
        <w:tc>
          <w:tcPr>
            <w:tcW w:w="1080" w:type="dxa"/>
          </w:tcPr>
          <w:p w14:paraId="4B398BB1" w14:textId="79300C0B" w:rsidR="00E43188" w:rsidRPr="00E43188" w:rsidRDefault="00E43188" w:rsidP="00E43188">
            <w:pPr>
              <w:pStyle w:val="ExhibitText"/>
              <w:jc w:val="right"/>
            </w:pPr>
            <w:r w:rsidRPr="00E43188">
              <w:t>4,580</w:t>
            </w:r>
          </w:p>
        </w:tc>
        <w:tc>
          <w:tcPr>
            <w:tcW w:w="1080" w:type="dxa"/>
          </w:tcPr>
          <w:p w14:paraId="79B0E74E" w14:textId="2063519B" w:rsidR="00E43188" w:rsidRPr="00E43188" w:rsidRDefault="00E43188" w:rsidP="00E43188">
            <w:pPr>
              <w:pStyle w:val="ExhibitText"/>
              <w:jc w:val="right"/>
            </w:pPr>
            <w:r w:rsidRPr="00E43188">
              <w:t>4,534</w:t>
            </w:r>
          </w:p>
        </w:tc>
        <w:tc>
          <w:tcPr>
            <w:tcW w:w="1080" w:type="dxa"/>
          </w:tcPr>
          <w:p w14:paraId="12A68BA8" w14:textId="063DC793" w:rsidR="00E43188" w:rsidRPr="00E43188" w:rsidRDefault="00E43188" w:rsidP="00E43188">
            <w:pPr>
              <w:pStyle w:val="ExhibitText"/>
              <w:jc w:val="right"/>
            </w:pPr>
            <w:r w:rsidRPr="00E43188">
              <w:t>6,318</w:t>
            </w:r>
          </w:p>
        </w:tc>
      </w:tr>
      <w:tr w:rsidR="00E43188" w14:paraId="39836D85" w14:textId="77777777" w:rsidTr="008C1EA7">
        <w:trPr>
          <w:jc w:val="center"/>
        </w:trPr>
        <w:tc>
          <w:tcPr>
            <w:tcW w:w="3330" w:type="dxa"/>
          </w:tcPr>
          <w:p w14:paraId="442C755F" w14:textId="020D5B9D" w:rsidR="00E43188" w:rsidRPr="00E43188" w:rsidRDefault="00E43188" w:rsidP="00E43188">
            <w:pPr>
              <w:pStyle w:val="ExhibitText"/>
              <w:jc w:val="left"/>
              <w:rPr>
                <w:color w:val="000000" w:themeColor="text1"/>
                <w:lang w:val="en-GB" w:eastAsia="en-SG"/>
              </w:rPr>
            </w:pPr>
            <w:r w:rsidRPr="00E43188">
              <w:rPr>
                <w:color w:val="000000" w:themeColor="text1"/>
                <w:lang w:val="en-GB" w:eastAsia="en-SG"/>
              </w:rPr>
              <w:t>Obligations under Finance Leases</w:t>
            </w:r>
          </w:p>
        </w:tc>
        <w:tc>
          <w:tcPr>
            <w:tcW w:w="1080" w:type="dxa"/>
          </w:tcPr>
          <w:p w14:paraId="789FA822" w14:textId="67C24156" w:rsidR="00E43188" w:rsidRPr="00E43188" w:rsidRDefault="00E43188" w:rsidP="00E43188">
            <w:pPr>
              <w:pStyle w:val="ExhibitText"/>
              <w:jc w:val="right"/>
            </w:pPr>
            <w:r w:rsidRPr="00E43188">
              <w:t>42</w:t>
            </w:r>
          </w:p>
        </w:tc>
        <w:tc>
          <w:tcPr>
            <w:tcW w:w="1080" w:type="dxa"/>
          </w:tcPr>
          <w:p w14:paraId="20020C67" w14:textId="1D3E7995" w:rsidR="00E43188" w:rsidRPr="00E43188" w:rsidRDefault="00E43188" w:rsidP="00E43188">
            <w:pPr>
              <w:pStyle w:val="ExhibitText"/>
              <w:jc w:val="right"/>
            </w:pPr>
            <w:r w:rsidRPr="00E43188">
              <w:t>47</w:t>
            </w:r>
          </w:p>
        </w:tc>
        <w:tc>
          <w:tcPr>
            <w:tcW w:w="1080" w:type="dxa"/>
          </w:tcPr>
          <w:p w14:paraId="09A27C33" w14:textId="2ABA9A6F" w:rsidR="00E43188" w:rsidRPr="00E43188" w:rsidRDefault="00E43188" w:rsidP="00E43188">
            <w:pPr>
              <w:pStyle w:val="ExhibitText"/>
              <w:jc w:val="right"/>
            </w:pPr>
            <w:r w:rsidRPr="00E43188">
              <w:t>25</w:t>
            </w:r>
          </w:p>
        </w:tc>
      </w:tr>
      <w:tr w:rsidR="00E43188" w14:paraId="676082C2" w14:textId="77777777" w:rsidTr="008C1EA7">
        <w:trPr>
          <w:jc w:val="center"/>
        </w:trPr>
        <w:tc>
          <w:tcPr>
            <w:tcW w:w="3330" w:type="dxa"/>
          </w:tcPr>
          <w:p w14:paraId="691E6DE4" w14:textId="7C854376" w:rsidR="00E43188" w:rsidRPr="00E43188" w:rsidRDefault="00E43188" w:rsidP="00E43188">
            <w:pPr>
              <w:pStyle w:val="ExhibitText"/>
              <w:jc w:val="left"/>
              <w:rPr>
                <w:color w:val="000000" w:themeColor="text1"/>
                <w:lang w:val="en-GB" w:eastAsia="en-SG"/>
              </w:rPr>
            </w:pPr>
            <w:r w:rsidRPr="00E43188">
              <w:rPr>
                <w:color w:val="000000" w:themeColor="text1"/>
                <w:lang w:val="en-GB" w:eastAsia="en-SG"/>
              </w:rPr>
              <w:t>Provision for Taxation</w:t>
            </w:r>
          </w:p>
        </w:tc>
        <w:tc>
          <w:tcPr>
            <w:tcW w:w="1080" w:type="dxa"/>
          </w:tcPr>
          <w:p w14:paraId="4F6AB951" w14:textId="0B456969" w:rsidR="00E43188" w:rsidRPr="00E43188" w:rsidRDefault="00E43188" w:rsidP="00E43188">
            <w:pPr>
              <w:pStyle w:val="ExhibitText"/>
              <w:jc w:val="right"/>
            </w:pPr>
            <w:r w:rsidRPr="00E43188">
              <w:t>1,087</w:t>
            </w:r>
          </w:p>
        </w:tc>
        <w:tc>
          <w:tcPr>
            <w:tcW w:w="1080" w:type="dxa"/>
          </w:tcPr>
          <w:p w14:paraId="4C542B12" w14:textId="00CB0D8B" w:rsidR="00E43188" w:rsidRPr="00E43188" w:rsidRDefault="00E43188" w:rsidP="00E43188">
            <w:pPr>
              <w:pStyle w:val="ExhibitText"/>
              <w:jc w:val="right"/>
            </w:pPr>
            <w:r w:rsidRPr="00E43188">
              <w:t>1,048</w:t>
            </w:r>
          </w:p>
        </w:tc>
        <w:tc>
          <w:tcPr>
            <w:tcW w:w="1080" w:type="dxa"/>
          </w:tcPr>
          <w:p w14:paraId="540538CA" w14:textId="5B797A87" w:rsidR="00E43188" w:rsidRPr="00E43188" w:rsidRDefault="00E43188" w:rsidP="00E43188">
            <w:pPr>
              <w:pStyle w:val="ExhibitText"/>
              <w:jc w:val="right"/>
            </w:pPr>
            <w:r w:rsidRPr="00E43188">
              <w:t>1,174</w:t>
            </w:r>
          </w:p>
        </w:tc>
      </w:tr>
      <w:tr w:rsidR="00E43188" w14:paraId="001A0CDC" w14:textId="77777777" w:rsidTr="008C1EA7">
        <w:trPr>
          <w:jc w:val="center"/>
        </w:trPr>
        <w:tc>
          <w:tcPr>
            <w:tcW w:w="3330" w:type="dxa"/>
          </w:tcPr>
          <w:p w14:paraId="378324E0" w14:textId="026BFA97" w:rsidR="00E43188" w:rsidRPr="00E43188" w:rsidRDefault="00E43188" w:rsidP="00E43188">
            <w:pPr>
              <w:pStyle w:val="ExhibitText"/>
              <w:jc w:val="left"/>
              <w:rPr>
                <w:color w:val="000000" w:themeColor="text1"/>
                <w:lang w:val="en-GB" w:eastAsia="en-SG"/>
              </w:rPr>
            </w:pPr>
            <w:r w:rsidRPr="00E43188">
              <w:rPr>
                <w:color w:val="000000" w:themeColor="text1"/>
                <w:lang w:val="en-GB" w:eastAsia="en-SG"/>
              </w:rPr>
              <w:t>Provision for Restoration Costs</w:t>
            </w:r>
          </w:p>
        </w:tc>
        <w:tc>
          <w:tcPr>
            <w:tcW w:w="1080" w:type="dxa"/>
          </w:tcPr>
          <w:p w14:paraId="3D2A8416" w14:textId="6E85E12A" w:rsidR="00E43188" w:rsidRPr="00E43188" w:rsidRDefault="00E43188" w:rsidP="00E43188">
            <w:pPr>
              <w:pStyle w:val="ExhibitText"/>
              <w:jc w:val="right"/>
            </w:pPr>
            <w:r w:rsidRPr="00E43188">
              <w:t>150</w:t>
            </w:r>
          </w:p>
        </w:tc>
        <w:tc>
          <w:tcPr>
            <w:tcW w:w="1080" w:type="dxa"/>
          </w:tcPr>
          <w:p w14:paraId="231A0A40" w14:textId="08D33AC2" w:rsidR="00E43188" w:rsidRPr="00E43188" w:rsidRDefault="00E43188" w:rsidP="00E43188">
            <w:pPr>
              <w:pStyle w:val="ExhibitText"/>
              <w:jc w:val="right"/>
            </w:pPr>
            <w:r w:rsidRPr="00E43188">
              <w:t>150</w:t>
            </w:r>
          </w:p>
        </w:tc>
        <w:tc>
          <w:tcPr>
            <w:tcW w:w="1080" w:type="dxa"/>
          </w:tcPr>
          <w:p w14:paraId="3907ECF4" w14:textId="40DA7512" w:rsidR="00E43188" w:rsidRPr="00E43188" w:rsidRDefault="00E43188" w:rsidP="00E43188">
            <w:pPr>
              <w:pStyle w:val="ExhibitText"/>
              <w:jc w:val="right"/>
            </w:pPr>
            <w:r w:rsidRPr="00E43188">
              <w:t>160</w:t>
            </w:r>
          </w:p>
        </w:tc>
      </w:tr>
      <w:tr w:rsidR="00E43188" w14:paraId="2C89F3D7" w14:textId="77777777" w:rsidTr="008C1EA7">
        <w:trPr>
          <w:jc w:val="center"/>
        </w:trPr>
        <w:tc>
          <w:tcPr>
            <w:tcW w:w="3330" w:type="dxa"/>
          </w:tcPr>
          <w:p w14:paraId="08D3C351" w14:textId="77777777" w:rsidR="00E43188" w:rsidRPr="00E43188" w:rsidRDefault="00E43188" w:rsidP="00E43188">
            <w:pPr>
              <w:pStyle w:val="ExhibitText"/>
              <w:jc w:val="left"/>
              <w:rPr>
                <w:color w:val="000000" w:themeColor="text1"/>
                <w:lang w:val="en-GB" w:eastAsia="en-SG"/>
              </w:rPr>
            </w:pPr>
          </w:p>
        </w:tc>
        <w:tc>
          <w:tcPr>
            <w:tcW w:w="1080" w:type="dxa"/>
          </w:tcPr>
          <w:p w14:paraId="3EF8ABF4" w14:textId="3C33C9D9" w:rsidR="00E43188" w:rsidRPr="00E43188" w:rsidRDefault="00E43188" w:rsidP="00E43188">
            <w:pPr>
              <w:pStyle w:val="ExhibitText"/>
              <w:jc w:val="right"/>
            </w:pPr>
            <w:r w:rsidRPr="00E43188">
              <w:t>18,773</w:t>
            </w:r>
          </w:p>
        </w:tc>
        <w:tc>
          <w:tcPr>
            <w:tcW w:w="1080" w:type="dxa"/>
          </w:tcPr>
          <w:p w14:paraId="64E98BF3" w14:textId="2A81CCDE" w:rsidR="00E43188" w:rsidRPr="00E43188" w:rsidRDefault="00E43188" w:rsidP="00E43188">
            <w:pPr>
              <w:pStyle w:val="ExhibitText"/>
              <w:jc w:val="right"/>
            </w:pPr>
            <w:r w:rsidRPr="00E43188">
              <w:t>18,344</w:t>
            </w:r>
          </w:p>
        </w:tc>
        <w:tc>
          <w:tcPr>
            <w:tcW w:w="1080" w:type="dxa"/>
          </w:tcPr>
          <w:p w14:paraId="6EAAE116" w14:textId="5061CAFB" w:rsidR="00E43188" w:rsidRPr="00E43188" w:rsidRDefault="00E43188" w:rsidP="00E43188">
            <w:pPr>
              <w:pStyle w:val="ExhibitText"/>
              <w:jc w:val="right"/>
            </w:pPr>
            <w:r w:rsidRPr="00E43188">
              <w:t>23,862</w:t>
            </w:r>
          </w:p>
        </w:tc>
      </w:tr>
      <w:tr w:rsidR="00E43188" w14:paraId="09477E51" w14:textId="77777777" w:rsidTr="008C1EA7">
        <w:trPr>
          <w:jc w:val="center"/>
        </w:trPr>
        <w:tc>
          <w:tcPr>
            <w:tcW w:w="3330" w:type="dxa"/>
          </w:tcPr>
          <w:p w14:paraId="68FC663E" w14:textId="68B24A0B" w:rsidR="00E43188" w:rsidRPr="00E43188" w:rsidRDefault="00E43188" w:rsidP="00E43188">
            <w:pPr>
              <w:pStyle w:val="ExhibitText"/>
              <w:jc w:val="left"/>
              <w:rPr>
                <w:color w:val="000000" w:themeColor="text1"/>
                <w:lang w:val="en-GB" w:eastAsia="en-SG"/>
              </w:rPr>
            </w:pPr>
            <w:r w:rsidRPr="00E43188">
              <w:rPr>
                <w:b/>
                <w:bCs/>
                <w:color w:val="000000" w:themeColor="text1"/>
                <w:lang w:val="en-GB" w:eastAsia="en-SG"/>
              </w:rPr>
              <w:t>Non-Current Liabilities</w:t>
            </w:r>
          </w:p>
        </w:tc>
        <w:tc>
          <w:tcPr>
            <w:tcW w:w="1080" w:type="dxa"/>
          </w:tcPr>
          <w:p w14:paraId="35EB556E" w14:textId="77777777" w:rsidR="00E43188" w:rsidRPr="00E43188" w:rsidRDefault="00E43188" w:rsidP="00E43188">
            <w:pPr>
              <w:pStyle w:val="ExhibitText"/>
              <w:jc w:val="right"/>
            </w:pPr>
          </w:p>
        </w:tc>
        <w:tc>
          <w:tcPr>
            <w:tcW w:w="1080" w:type="dxa"/>
          </w:tcPr>
          <w:p w14:paraId="20392EEF" w14:textId="77777777" w:rsidR="00E43188" w:rsidRPr="00E43188" w:rsidRDefault="00E43188" w:rsidP="00E43188">
            <w:pPr>
              <w:pStyle w:val="ExhibitText"/>
              <w:jc w:val="right"/>
            </w:pPr>
          </w:p>
        </w:tc>
        <w:tc>
          <w:tcPr>
            <w:tcW w:w="1080" w:type="dxa"/>
          </w:tcPr>
          <w:p w14:paraId="4CCA55B9" w14:textId="77777777" w:rsidR="00E43188" w:rsidRPr="00E43188" w:rsidRDefault="00E43188" w:rsidP="00E43188">
            <w:pPr>
              <w:pStyle w:val="ExhibitText"/>
              <w:jc w:val="right"/>
            </w:pPr>
          </w:p>
        </w:tc>
      </w:tr>
      <w:tr w:rsidR="00E43188" w14:paraId="050D8BAC" w14:textId="77777777" w:rsidTr="008C1EA7">
        <w:trPr>
          <w:jc w:val="center"/>
        </w:trPr>
        <w:tc>
          <w:tcPr>
            <w:tcW w:w="3330" w:type="dxa"/>
          </w:tcPr>
          <w:p w14:paraId="189D024D" w14:textId="352A612A" w:rsidR="00E43188" w:rsidRPr="00E43188" w:rsidRDefault="00E43188" w:rsidP="00E43188">
            <w:pPr>
              <w:pStyle w:val="ExhibitText"/>
              <w:jc w:val="left"/>
              <w:rPr>
                <w:color w:val="000000" w:themeColor="text1"/>
                <w:lang w:val="en-GB" w:eastAsia="en-SG"/>
              </w:rPr>
            </w:pPr>
            <w:r w:rsidRPr="00E43188">
              <w:rPr>
                <w:color w:val="000000" w:themeColor="text1"/>
                <w:lang w:val="en-GB" w:eastAsia="en-SG"/>
              </w:rPr>
              <w:t>Other Payables</w:t>
            </w:r>
          </w:p>
        </w:tc>
        <w:tc>
          <w:tcPr>
            <w:tcW w:w="1080" w:type="dxa"/>
          </w:tcPr>
          <w:p w14:paraId="5A6DF294" w14:textId="25BD28CE" w:rsidR="00E43188" w:rsidRPr="00E43188" w:rsidRDefault="00E43188" w:rsidP="00E43188">
            <w:pPr>
              <w:pStyle w:val="ExhibitText"/>
              <w:jc w:val="right"/>
            </w:pPr>
            <w:r w:rsidRPr="00E43188">
              <w:t>794</w:t>
            </w:r>
          </w:p>
        </w:tc>
        <w:tc>
          <w:tcPr>
            <w:tcW w:w="1080" w:type="dxa"/>
          </w:tcPr>
          <w:p w14:paraId="46FFF0DB" w14:textId="64D338E1" w:rsidR="00E43188" w:rsidRPr="00E43188" w:rsidRDefault="00E43188" w:rsidP="00E43188">
            <w:pPr>
              <w:pStyle w:val="ExhibitText"/>
              <w:jc w:val="right"/>
            </w:pPr>
            <w:r w:rsidRPr="00E43188">
              <w:t>594</w:t>
            </w:r>
          </w:p>
        </w:tc>
        <w:tc>
          <w:tcPr>
            <w:tcW w:w="1080" w:type="dxa"/>
          </w:tcPr>
          <w:p w14:paraId="63C7DA46" w14:textId="6F6F4A24" w:rsidR="00E43188" w:rsidRPr="00E43188" w:rsidRDefault="00E43188" w:rsidP="00E43188">
            <w:pPr>
              <w:pStyle w:val="ExhibitText"/>
              <w:jc w:val="right"/>
            </w:pPr>
            <w:r w:rsidRPr="00E43188">
              <w:t>915</w:t>
            </w:r>
          </w:p>
        </w:tc>
      </w:tr>
      <w:tr w:rsidR="00E43188" w14:paraId="2AEF2310" w14:textId="77777777" w:rsidTr="008C1EA7">
        <w:trPr>
          <w:jc w:val="center"/>
        </w:trPr>
        <w:tc>
          <w:tcPr>
            <w:tcW w:w="3330" w:type="dxa"/>
          </w:tcPr>
          <w:p w14:paraId="1E76B8F3" w14:textId="3320EA84" w:rsidR="00E43188" w:rsidRPr="00E43188" w:rsidRDefault="00E43188" w:rsidP="00E43188">
            <w:pPr>
              <w:pStyle w:val="ExhibitText"/>
              <w:jc w:val="left"/>
              <w:rPr>
                <w:color w:val="000000" w:themeColor="text1"/>
                <w:lang w:val="en-GB" w:eastAsia="en-SG"/>
              </w:rPr>
            </w:pPr>
            <w:r w:rsidRPr="00E43188">
              <w:rPr>
                <w:color w:val="000000" w:themeColor="text1"/>
                <w:lang w:val="en-GB" w:eastAsia="en-SG"/>
              </w:rPr>
              <w:t>Obligations under Finance Leases</w:t>
            </w:r>
          </w:p>
        </w:tc>
        <w:tc>
          <w:tcPr>
            <w:tcW w:w="1080" w:type="dxa"/>
          </w:tcPr>
          <w:p w14:paraId="4BA2087C" w14:textId="10D18B4B" w:rsidR="00E43188" w:rsidRPr="00E43188" w:rsidRDefault="00E43188" w:rsidP="00E43188">
            <w:pPr>
              <w:pStyle w:val="ExhibitText"/>
              <w:jc w:val="right"/>
            </w:pPr>
            <w:r w:rsidRPr="00E43188">
              <w:t>17</w:t>
            </w:r>
          </w:p>
        </w:tc>
        <w:tc>
          <w:tcPr>
            <w:tcW w:w="1080" w:type="dxa"/>
          </w:tcPr>
          <w:p w14:paraId="222C5E75" w14:textId="51D97EB5" w:rsidR="00E43188" w:rsidRPr="00E43188" w:rsidRDefault="00E43188" w:rsidP="00E43188">
            <w:pPr>
              <w:pStyle w:val="ExhibitText"/>
              <w:jc w:val="right"/>
            </w:pPr>
            <w:r w:rsidRPr="00E43188">
              <w:t>25</w:t>
            </w:r>
          </w:p>
        </w:tc>
        <w:tc>
          <w:tcPr>
            <w:tcW w:w="1080" w:type="dxa"/>
          </w:tcPr>
          <w:p w14:paraId="1B306714" w14:textId="6CB8B21D" w:rsidR="00E43188" w:rsidRPr="00E43188" w:rsidRDefault="00E43188" w:rsidP="00E43188">
            <w:pPr>
              <w:pStyle w:val="ExhibitText"/>
              <w:jc w:val="right"/>
            </w:pPr>
            <w:r w:rsidRPr="00E43188">
              <w:t>-</w:t>
            </w:r>
          </w:p>
        </w:tc>
      </w:tr>
      <w:tr w:rsidR="00E43188" w14:paraId="08D441F3" w14:textId="77777777" w:rsidTr="008C1EA7">
        <w:trPr>
          <w:jc w:val="center"/>
        </w:trPr>
        <w:tc>
          <w:tcPr>
            <w:tcW w:w="3330" w:type="dxa"/>
          </w:tcPr>
          <w:p w14:paraId="74286033" w14:textId="51F2AB8B" w:rsidR="00E43188" w:rsidRPr="00E43188" w:rsidRDefault="00E43188" w:rsidP="00E43188">
            <w:pPr>
              <w:pStyle w:val="ExhibitText"/>
              <w:jc w:val="left"/>
              <w:rPr>
                <w:color w:val="000000" w:themeColor="text1"/>
                <w:lang w:val="en-GB" w:eastAsia="en-SG"/>
              </w:rPr>
            </w:pPr>
            <w:r w:rsidRPr="00E43188">
              <w:rPr>
                <w:color w:val="000000" w:themeColor="text1"/>
                <w:lang w:val="en-GB" w:eastAsia="en-SG"/>
              </w:rPr>
              <w:t>Provision for Restoration Costs</w:t>
            </w:r>
          </w:p>
        </w:tc>
        <w:tc>
          <w:tcPr>
            <w:tcW w:w="1080" w:type="dxa"/>
          </w:tcPr>
          <w:p w14:paraId="4BFF8734" w14:textId="65ABCA09" w:rsidR="00E43188" w:rsidRPr="00E43188" w:rsidRDefault="00E43188" w:rsidP="00E43188">
            <w:pPr>
              <w:pStyle w:val="ExhibitText"/>
              <w:jc w:val="right"/>
            </w:pPr>
            <w:r w:rsidRPr="00E43188">
              <w:t>240</w:t>
            </w:r>
          </w:p>
        </w:tc>
        <w:tc>
          <w:tcPr>
            <w:tcW w:w="1080" w:type="dxa"/>
          </w:tcPr>
          <w:p w14:paraId="24F2A757" w14:textId="0A72B39C" w:rsidR="00E43188" w:rsidRPr="00E43188" w:rsidRDefault="00E43188" w:rsidP="00E43188">
            <w:pPr>
              <w:pStyle w:val="ExhibitText"/>
              <w:jc w:val="right"/>
            </w:pPr>
            <w:r w:rsidRPr="00E43188">
              <w:t>250</w:t>
            </w:r>
          </w:p>
        </w:tc>
        <w:tc>
          <w:tcPr>
            <w:tcW w:w="1080" w:type="dxa"/>
          </w:tcPr>
          <w:p w14:paraId="0C0A7918" w14:textId="0E0292AA" w:rsidR="00E43188" w:rsidRPr="00E43188" w:rsidRDefault="00E43188" w:rsidP="00E43188">
            <w:pPr>
              <w:pStyle w:val="ExhibitText"/>
              <w:jc w:val="right"/>
            </w:pPr>
            <w:r w:rsidRPr="00E43188">
              <w:t>290</w:t>
            </w:r>
          </w:p>
        </w:tc>
      </w:tr>
      <w:tr w:rsidR="00E43188" w14:paraId="3B53AEF9" w14:textId="77777777" w:rsidTr="008C1EA7">
        <w:trPr>
          <w:jc w:val="center"/>
        </w:trPr>
        <w:tc>
          <w:tcPr>
            <w:tcW w:w="3330" w:type="dxa"/>
          </w:tcPr>
          <w:p w14:paraId="3FB3EDD9" w14:textId="77777777" w:rsidR="00E43188" w:rsidRPr="00E43188" w:rsidRDefault="00E43188" w:rsidP="00E43188">
            <w:pPr>
              <w:pStyle w:val="ExhibitText"/>
              <w:jc w:val="left"/>
              <w:rPr>
                <w:color w:val="000000" w:themeColor="text1"/>
                <w:lang w:val="en-GB" w:eastAsia="en-SG"/>
              </w:rPr>
            </w:pPr>
          </w:p>
        </w:tc>
        <w:tc>
          <w:tcPr>
            <w:tcW w:w="1080" w:type="dxa"/>
          </w:tcPr>
          <w:p w14:paraId="74B870B3" w14:textId="3B45CF4C" w:rsidR="00E43188" w:rsidRPr="00E43188" w:rsidRDefault="00E43188" w:rsidP="00E43188">
            <w:pPr>
              <w:pStyle w:val="ExhibitText"/>
              <w:jc w:val="right"/>
            </w:pPr>
            <w:r w:rsidRPr="00E43188">
              <w:t>1,051</w:t>
            </w:r>
          </w:p>
        </w:tc>
        <w:tc>
          <w:tcPr>
            <w:tcW w:w="1080" w:type="dxa"/>
          </w:tcPr>
          <w:p w14:paraId="62C87F2F" w14:textId="509D1BF4" w:rsidR="00E43188" w:rsidRPr="00E43188" w:rsidRDefault="00E43188" w:rsidP="00E43188">
            <w:pPr>
              <w:pStyle w:val="ExhibitText"/>
              <w:jc w:val="right"/>
            </w:pPr>
            <w:r w:rsidRPr="00E43188">
              <w:t>869</w:t>
            </w:r>
          </w:p>
        </w:tc>
        <w:tc>
          <w:tcPr>
            <w:tcW w:w="1080" w:type="dxa"/>
          </w:tcPr>
          <w:p w14:paraId="40C4072A" w14:textId="294120E9" w:rsidR="00E43188" w:rsidRPr="00E43188" w:rsidRDefault="00E43188" w:rsidP="00E43188">
            <w:pPr>
              <w:pStyle w:val="ExhibitText"/>
              <w:jc w:val="right"/>
            </w:pPr>
            <w:r w:rsidRPr="00E43188">
              <w:t>1,205</w:t>
            </w:r>
          </w:p>
        </w:tc>
      </w:tr>
      <w:tr w:rsidR="00E43188" w14:paraId="10D58C3B" w14:textId="77777777" w:rsidTr="008C1EA7">
        <w:trPr>
          <w:jc w:val="center"/>
        </w:trPr>
        <w:tc>
          <w:tcPr>
            <w:tcW w:w="3330" w:type="dxa"/>
          </w:tcPr>
          <w:p w14:paraId="2C81252E" w14:textId="6B717EBC" w:rsidR="00E43188" w:rsidRPr="00E43188" w:rsidRDefault="00E43188" w:rsidP="00E43188">
            <w:pPr>
              <w:pStyle w:val="ExhibitText"/>
              <w:jc w:val="left"/>
              <w:rPr>
                <w:color w:val="000000" w:themeColor="text1"/>
                <w:lang w:val="en-GB" w:eastAsia="en-SG"/>
              </w:rPr>
            </w:pPr>
            <w:r w:rsidRPr="00E43188">
              <w:rPr>
                <w:b/>
                <w:bCs/>
                <w:color w:val="000000" w:themeColor="text1"/>
                <w:lang w:val="en-GB" w:eastAsia="en-SG"/>
              </w:rPr>
              <w:t>Total Liabilities</w:t>
            </w:r>
          </w:p>
        </w:tc>
        <w:tc>
          <w:tcPr>
            <w:tcW w:w="1080" w:type="dxa"/>
          </w:tcPr>
          <w:p w14:paraId="717C2DC0" w14:textId="330D431F" w:rsidR="00E43188" w:rsidRPr="00E43188" w:rsidRDefault="00E43188" w:rsidP="00E43188">
            <w:pPr>
              <w:pStyle w:val="ExhibitText"/>
              <w:jc w:val="right"/>
            </w:pPr>
            <w:r w:rsidRPr="00E43188">
              <w:t>19,824</w:t>
            </w:r>
          </w:p>
        </w:tc>
        <w:tc>
          <w:tcPr>
            <w:tcW w:w="1080" w:type="dxa"/>
          </w:tcPr>
          <w:p w14:paraId="43F40900" w14:textId="364643C9" w:rsidR="00E43188" w:rsidRPr="00E43188" w:rsidRDefault="00E43188" w:rsidP="00E43188">
            <w:pPr>
              <w:pStyle w:val="ExhibitText"/>
              <w:jc w:val="right"/>
            </w:pPr>
            <w:r w:rsidRPr="00E43188">
              <w:t>19,213</w:t>
            </w:r>
          </w:p>
        </w:tc>
        <w:tc>
          <w:tcPr>
            <w:tcW w:w="1080" w:type="dxa"/>
          </w:tcPr>
          <w:p w14:paraId="040A0E5C" w14:textId="5837A44A" w:rsidR="00E43188" w:rsidRPr="00E43188" w:rsidRDefault="00E43188" w:rsidP="00E43188">
            <w:pPr>
              <w:pStyle w:val="ExhibitText"/>
              <w:jc w:val="right"/>
            </w:pPr>
            <w:r w:rsidRPr="00E43188">
              <w:t>25,067</w:t>
            </w:r>
          </w:p>
        </w:tc>
      </w:tr>
      <w:tr w:rsidR="00E43188" w14:paraId="2BB60C0A" w14:textId="77777777" w:rsidTr="008C1EA7">
        <w:trPr>
          <w:jc w:val="center"/>
        </w:trPr>
        <w:tc>
          <w:tcPr>
            <w:tcW w:w="3330" w:type="dxa"/>
          </w:tcPr>
          <w:p w14:paraId="38FDCB93" w14:textId="01F8A225" w:rsidR="00E43188" w:rsidRPr="00E43188" w:rsidRDefault="00E43188" w:rsidP="00E43188">
            <w:pPr>
              <w:pStyle w:val="ExhibitText"/>
              <w:jc w:val="left"/>
              <w:rPr>
                <w:b/>
                <w:bCs/>
                <w:color w:val="000000" w:themeColor="text1"/>
                <w:lang w:val="en-GB" w:eastAsia="en-SG"/>
              </w:rPr>
            </w:pPr>
            <w:r w:rsidRPr="00E43188">
              <w:rPr>
                <w:b/>
                <w:bCs/>
                <w:color w:val="000000" w:themeColor="text1"/>
                <w:lang w:val="en-GB" w:eastAsia="en-SG"/>
              </w:rPr>
              <w:t>Equity Attributable to Owners</w:t>
            </w:r>
          </w:p>
        </w:tc>
        <w:tc>
          <w:tcPr>
            <w:tcW w:w="1080" w:type="dxa"/>
          </w:tcPr>
          <w:p w14:paraId="7B77ABC7" w14:textId="77777777" w:rsidR="00E43188" w:rsidRPr="00E43188" w:rsidRDefault="00E43188" w:rsidP="00E43188">
            <w:pPr>
              <w:pStyle w:val="ExhibitText"/>
              <w:jc w:val="right"/>
            </w:pPr>
          </w:p>
        </w:tc>
        <w:tc>
          <w:tcPr>
            <w:tcW w:w="1080" w:type="dxa"/>
          </w:tcPr>
          <w:p w14:paraId="3905E848" w14:textId="77777777" w:rsidR="00E43188" w:rsidRPr="00E43188" w:rsidRDefault="00E43188" w:rsidP="00E43188">
            <w:pPr>
              <w:pStyle w:val="ExhibitText"/>
              <w:jc w:val="right"/>
            </w:pPr>
          </w:p>
        </w:tc>
        <w:tc>
          <w:tcPr>
            <w:tcW w:w="1080" w:type="dxa"/>
          </w:tcPr>
          <w:p w14:paraId="32ACD6B7" w14:textId="77777777" w:rsidR="00E43188" w:rsidRPr="00E43188" w:rsidRDefault="00E43188" w:rsidP="00E43188">
            <w:pPr>
              <w:pStyle w:val="ExhibitText"/>
              <w:jc w:val="right"/>
            </w:pPr>
          </w:p>
        </w:tc>
      </w:tr>
      <w:tr w:rsidR="00E43188" w14:paraId="1EA02586" w14:textId="77777777" w:rsidTr="008C1EA7">
        <w:trPr>
          <w:jc w:val="center"/>
        </w:trPr>
        <w:tc>
          <w:tcPr>
            <w:tcW w:w="3330" w:type="dxa"/>
          </w:tcPr>
          <w:p w14:paraId="2E806099" w14:textId="00CC4047" w:rsidR="00E43188" w:rsidRPr="00E43188" w:rsidRDefault="00E43188" w:rsidP="00E43188">
            <w:pPr>
              <w:pStyle w:val="ExhibitText"/>
              <w:jc w:val="left"/>
              <w:rPr>
                <w:b/>
                <w:bCs/>
                <w:color w:val="000000" w:themeColor="text1"/>
                <w:lang w:val="en-GB" w:eastAsia="en-SG"/>
              </w:rPr>
            </w:pPr>
            <w:r w:rsidRPr="00E43188">
              <w:rPr>
                <w:color w:val="000000" w:themeColor="text1"/>
                <w:lang w:val="en-GB" w:eastAsia="en-SG"/>
              </w:rPr>
              <w:t>Share Capital</w:t>
            </w:r>
          </w:p>
        </w:tc>
        <w:tc>
          <w:tcPr>
            <w:tcW w:w="1080" w:type="dxa"/>
          </w:tcPr>
          <w:p w14:paraId="0E069777" w14:textId="1C24A804" w:rsidR="00E43188" w:rsidRPr="00E43188" w:rsidRDefault="00E43188" w:rsidP="00E43188">
            <w:pPr>
              <w:pStyle w:val="ExhibitText"/>
              <w:jc w:val="right"/>
            </w:pPr>
            <w:r w:rsidRPr="00E43188">
              <w:t>122,478</w:t>
            </w:r>
          </w:p>
        </w:tc>
        <w:tc>
          <w:tcPr>
            <w:tcW w:w="1080" w:type="dxa"/>
          </w:tcPr>
          <w:p w14:paraId="2DED6774" w14:textId="40A3339C" w:rsidR="00E43188" w:rsidRPr="00E43188" w:rsidRDefault="00E43188" w:rsidP="00E43188">
            <w:pPr>
              <w:pStyle w:val="ExhibitText"/>
              <w:jc w:val="right"/>
            </w:pPr>
            <w:r w:rsidRPr="00E43188">
              <w:t>122,478</w:t>
            </w:r>
          </w:p>
        </w:tc>
        <w:tc>
          <w:tcPr>
            <w:tcW w:w="1080" w:type="dxa"/>
          </w:tcPr>
          <w:p w14:paraId="07A6A1F7" w14:textId="67BC08CB" w:rsidR="00E43188" w:rsidRPr="00E43188" w:rsidRDefault="00E43188" w:rsidP="00E43188">
            <w:pPr>
              <w:pStyle w:val="ExhibitText"/>
              <w:jc w:val="right"/>
            </w:pPr>
            <w:r w:rsidRPr="00E43188">
              <w:t>122,478</w:t>
            </w:r>
          </w:p>
        </w:tc>
      </w:tr>
      <w:tr w:rsidR="00E43188" w14:paraId="5FED10FC" w14:textId="77777777" w:rsidTr="008C1EA7">
        <w:trPr>
          <w:jc w:val="center"/>
        </w:trPr>
        <w:tc>
          <w:tcPr>
            <w:tcW w:w="3330" w:type="dxa"/>
          </w:tcPr>
          <w:p w14:paraId="4533BA0F" w14:textId="35DE59DB" w:rsidR="00E43188" w:rsidRPr="00E43188" w:rsidRDefault="00E43188" w:rsidP="00E43188">
            <w:pPr>
              <w:pStyle w:val="ExhibitText"/>
              <w:jc w:val="left"/>
              <w:rPr>
                <w:color w:val="000000" w:themeColor="text1"/>
                <w:lang w:val="en-GB" w:eastAsia="en-SG"/>
              </w:rPr>
            </w:pPr>
            <w:r w:rsidRPr="00E43188">
              <w:rPr>
                <w:color w:val="000000" w:themeColor="text1"/>
                <w:lang w:val="en-GB" w:eastAsia="en-SG"/>
              </w:rPr>
              <w:t>Reserves</w:t>
            </w:r>
          </w:p>
        </w:tc>
        <w:tc>
          <w:tcPr>
            <w:tcW w:w="1080" w:type="dxa"/>
          </w:tcPr>
          <w:p w14:paraId="6C75B600" w14:textId="22AFC583" w:rsidR="00E43188" w:rsidRPr="00E43188" w:rsidRDefault="00E43188" w:rsidP="00E43188">
            <w:pPr>
              <w:pStyle w:val="ExhibitText"/>
              <w:jc w:val="right"/>
            </w:pPr>
            <w:r w:rsidRPr="00E43188">
              <w:t>−120,704</w:t>
            </w:r>
          </w:p>
        </w:tc>
        <w:tc>
          <w:tcPr>
            <w:tcW w:w="1080" w:type="dxa"/>
          </w:tcPr>
          <w:p w14:paraId="7AD4150F" w14:textId="4FFFCD59" w:rsidR="00E43188" w:rsidRPr="00E43188" w:rsidRDefault="00E43188" w:rsidP="00E43188">
            <w:pPr>
              <w:pStyle w:val="ExhibitText"/>
              <w:jc w:val="right"/>
            </w:pPr>
            <w:r w:rsidRPr="00E43188">
              <w:t>−120,640</w:t>
            </w:r>
          </w:p>
        </w:tc>
        <w:tc>
          <w:tcPr>
            <w:tcW w:w="1080" w:type="dxa"/>
          </w:tcPr>
          <w:p w14:paraId="3538D26B" w14:textId="34B8E9E8" w:rsidR="00E43188" w:rsidRPr="00E43188" w:rsidRDefault="00E43188" w:rsidP="00E43188">
            <w:pPr>
              <w:pStyle w:val="ExhibitText"/>
              <w:jc w:val="right"/>
            </w:pPr>
            <w:r w:rsidRPr="00E43188">
              <w:t>−120,123</w:t>
            </w:r>
          </w:p>
        </w:tc>
      </w:tr>
      <w:tr w:rsidR="00E43188" w14:paraId="30BE5C30" w14:textId="77777777" w:rsidTr="008C1EA7">
        <w:trPr>
          <w:jc w:val="center"/>
        </w:trPr>
        <w:tc>
          <w:tcPr>
            <w:tcW w:w="3330" w:type="dxa"/>
          </w:tcPr>
          <w:p w14:paraId="7E1DB1B6" w14:textId="11E36752" w:rsidR="00E43188" w:rsidRPr="00E43188" w:rsidRDefault="00E43188" w:rsidP="00E43188">
            <w:pPr>
              <w:pStyle w:val="ExhibitText"/>
              <w:jc w:val="left"/>
              <w:rPr>
                <w:color w:val="000000" w:themeColor="text1"/>
                <w:lang w:val="en-GB" w:eastAsia="en-SG"/>
              </w:rPr>
            </w:pPr>
            <w:r w:rsidRPr="00E43188">
              <w:rPr>
                <w:color w:val="000000" w:themeColor="text1"/>
                <w:lang w:val="en-GB" w:eastAsia="en-SG"/>
              </w:rPr>
              <w:t>Retained Earnings</w:t>
            </w:r>
          </w:p>
        </w:tc>
        <w:tc>
          <w:tcPr>
            <w:tcW w:w="1080" w:type="dxa"/>
          </w:tcPr>
          <w:p w14:paraId="54379F15" w14:textId="2B61D076" w:rsidR="00E43188" w:rsidRPr="00E43188" w:rsidRDefault="00E43188" w:rsidP="00E43188">
            <w:pPr>
              <w:pStyle w:val="ExhibitText"/>
              <w:jc w:val="right"/>
            </w:pPr>
            <w:r w:rsidRPr="00E43188">
              <w:t>9,132</w:t>
            </w:r>
          </w:p>
        </w:tc>
        <w:tc>
          <w:tcPr>
            <w:tcW w:w="1080" w:type="dxa"/>
          </w:tcPr>
          <w:p w14:paraId="74DECE27" w14:textId="76B38E73" w:rsidR="00E43188" w:rsidRPr="00E43188" w:rsidRDefault="00E43188" w:rsidP="00E43188">
            <w:pPr>
              <w:pStyle w:val="ExhibitText"/>
              <w:jc w:val="right"/>
            </w:pPr>
            <w:r w:rsidRPr="00E43188">
              <w:t>10,652</w:t>
            </w:r>
          </w:p>
        </w:tc>
        <w:tc>
          <w:tcPr>
            <w:tcW w:w="1080" w:type="dxa"/>
          </w:tcPr>
          <w:p w14:paraId="2297B318" w14:textId="4992EC24" w:rsidR="00E43188" w:rsidRPr="00E43188" w:rsidRDefault="00E43188" w:rsidP="00E43188">
            <w:pPr>
              <w:pStyle w:val="ExhibitText"/>
              <w:jc w:val="right"/>
            </w:pPr>
            <w:r w:rsidRPr="00E43188">
              <w:t>7,762</w:t>
            </w:r>
          </w:p>
        </w:tc>
      </w:tr>
      <w:tr w:rsidR="00E43188" w14:paraId="12B27927" w14:textId="77777777" w:rsidTr="008C1EA7">
        <w:trPr>
          <w:jc w:val="center"/>
        </w:trPr>
        <w:tc>
          <w:tcPr>
            <w:tcW w:w="3330" w:type="dxa"/>
          </w:tcPr>
          <w:p w14:paraId="494E284A" w14:textId="77777777" w:rsidR="00E43188" w:rsidRPr="00E43188" w:rsidRDefault="00E43188" w:rsidP="00E43188">
            <w:pPr>
              <w:pStyle w:val="ExhibitText"/>
              <w:jc w:val="left"/>
              <w:rPr>
                <w:color w:val="000000" w:themeColor="text1"/>
                <w:lang w:val="en-GB" w:eastAsia="en-SG"/>
              </w:rPr>
            </w:pPr>
          </w:p>
        </w:tc>
        <w:tc>
          <w:tcPr>
            <w:tcW w:w="1080" w:type="dxa"/>
          </w:tcPr>
          <w:p w14:paraId="566C7C64" w14:textId="1DE8F11C" w:rsidR="00E43188" w:rsidRPr="00E43188" w:rsidRDefault="00E43188" w:rsidP="00E43188">
            <w:pPr>
              <w:pStyle w:val="ExhibitText"/>
              <w:jc w:val="right"/>
            </w:pPr>
            <w:r w:rsidRPr="00E43188">
              <w:t>10,906</w:t>
            </w:r>
          </w:p>
        </w:tc>
        <w:tc>
          <w:tcPr>
            <w:tcW w:w="1080" w:type="dxa"/>
          </w:tcPr>
          <w:p w14:paraId="1AECFC8B" w14:textId="616CDB32" w:rsidR="00E43188" w:rsidRPr="00E43188" w:rsidRDefault="00E43188" w:rsidP="00E43188">
            <w:pPr>
              <w:pStyle w:val="ExhibitText"/>
              <w:jc w:val="right"/>
            </w:pPr>
            <w:r w:rsidRPr="00E43188">
              <w:t>12,490</w:t>
            </w:r>
          </w:p>
        </w:tc>
        <w:tc>
          <w:tcPr>
            <w:tcW w:w="1080" w:type="dxa"/>
          </w:tcPr>
          <w:p w14:paraId="10A12FC6" w14:textId="041288A9" w:rsidR="00E43188" w:rsidRPr="00E43188" w:rsidRDefault="00E43188" w:rsidP="00E43188">
            <w:pPr>
              <w:pStyle w:val="ExhibitText"/>
              <w:jc w:val="right"/>
            </w:pPr>
            <w:r w:rsidRPr="00E43188">
              <w:t>10,117</w:t>
            </w:r>
          </w:p>
        </w:tc>
      </w:tr>
      <w:tr w:rsidR="00E43188" w14:paraId="0DA73204" w14:textId="77777777" w:rsidTr="008C1EA7">
        <w:trPr>
          <w:jc w:val="center"/>
        </w:trPr>
        <w:tc>
          <w:tcPr>
            <w:tcW w:w="3330" w:type="dxa"/>
          </w:tcPr>
          <w:p w14:paraId="32E991D7" w14:textId="62368311" w:rsidR="00E43188" w:rsidRPr="00E43188" w:rsidRDefault="00E43188" w:rsidP="00E43188">
            <w:pPr>
              <w:pStyle w:val="ExhibitText"/>
              <w:jc w:val="left"/>
              <w:rPr>
                <w:color w:val="000000" w:themeColor="text1"/>
                <w:lang w:val="en-GB" w:eastAsia="en-SG"/>
              </w:rPr>
            </w:pPr>
            <w:r w:rsidRPr="00E43188">
              <w:rPr>
                <w:color w:val="000000" w:themeColor="text1"/>
                <w:lang w:val="en-GB" w:eastAsia="en-SG"/>
              </w:rPr>
              <w:t>Non-Controlling Interests</w:t>
            </w:r>
          </w:p>
        </w:tc>
        <w:tc>
          <w:tcPr>
            <w:tcW w:w="1080" w:type="dxa"/>
          </w:tcPr>
          <w:p w14:paraId="458CAB9D" w14:textId="30BB8802" w:rsidR="00E43188" w:rsidRPr="00E43188" w:rsidRDefault="00E43188" w:rsidP="00E43188">
            <w:pPr>
              <w:pStyle w:val="ExhibitText"/>
              <w:jc w:val="right"/>
            </w:pPr>
            <w:r w:rsidRPr="00E43188">
              <w:t>8,857</w:t>
            </w:r>
          </w:p>
        </w:tc>
        <w:tc>
          <w:tcPr>
            <w:tcW w:w="1080" w:type="dxa"/>
          </w:tcPr>
          <w:p w14:paraId="40A07CF4" w14:textId="2821EC1A" w:rsidR="00E43188" w:rsidRPr="00E43188" w:rsidRDefault="00E43188" w:rsidP="00E43188">
            <w:pPr>
              <w:pStyle w:val="ExhibitText"/>
              <w:jc w:val="right"/>
            </w:pPr>
            <w:r w:rsidRPr="00E43188">
              <w:t>10,147</w:t>
            </w:r>
          </w:p>
        </w:tc>
        <w:tc>
          <w:tcPr>
            <w:tcW w:w="1080" w:type="dxa"/>
          </w:tcPr>
          <w:p w14:paraId="67E66B17" w14:textId="4F315C77" w:rsidR="00E43188" w:rsidRPr="00E43188" w:rsidRDefault="00E43188" w:rsidP="00E43188">
            <w:pPr>
              <w:pStyle w:val="ExhibitText"/>
              <w:jc w:val="right"/>
            </w:pPr>
            <w:r w:rsidRPr="00E43188">
              <w:t>8,204</w:t>
            </w:r>
          </w:p>
        </w:tc>
      </w:tr>
      <w:tr w:rsidR="00E43188" w14:paraId="66FE3061" w14:textId="77777777" w:rsidTr="008C1EA7">
        <w:trPr>
          <w:jc w:val="center"/>
        </w:trPr>
        <w:tc>
          <w:tcPr>
            <w:tcW w:w="3330" w:type="dxa"/>
          </w:tcPr>
          <w:p w14:paraId="3C2BCB5A" w14:textId="4092EECD" w:rsidR="00E43188" w:rsidRPr="00E43188" w:rsidRDefault="00E43188" w:rsidP="00E43188">
            <w:pPr>
              <w:pStyle w:val="ExhibitText"/>
              <w:jc w:val="left"/>
              <w:rPr>
                <w:color w:val="000000" w:themeColor="text1"/>
                <w:lang w:val="en-GB" w:eastAsia="en-SG"/>
              </w:rPr>
            </w:pPr>
            <w:r w:rsidRPr="00E43188">
              <w:rPr>
                <w:b/>
                <w:bCs/>
                <w:color w:val="000000" w:themeColor="text1"/>
                <w:lang w:val="en-GB" w:eastAsia="en-SG"/>
              </w:rPr>
              <w:t>Total Equity</w:t>
            </w:r>
          </w:p>
        </w:tc>
        <w:tc>
          <w:tcPr>
            <w:tcW w:w="1080" w:type="dxa"/>
          </w:tcPr>
          <w:p w14:paraId="77251BE6" w14:textId="26AE7AA2" w:rsidR="00E43188" w:rsidRPr="00E43188" w:rsidRDefault="00E43188" w:rsidP="00E43188">
            <w:pPr>
              <w:pStyle w:val="ExhibitText"/>
              <w:jc w:val="right"/>
            </w:pPr>
            <w:r w:rsidRPr="00E43188">
              <w:t>19,763</w:t>
            </w:r>
          </w:p>
        </w:tc>
        <w:tc>
          <w:tcPr>
            <w:tcW w:w="1080" w:type="dxa"/>
          </w:tcPr>
          <w:p w14:paraId="65AC4F72" w14:textId="386B5A3E" w:rsidR="00E43188" w:rsidRPr="00E43188" w:rsidRDefault="00E43188" w:rsidP="00E43188">
            <w:pPr>
              <w:pStyle w:val="ExhibitText"/>
              <w:jc w:val="right"/>
            </w:pPr>
            <w:r w:rsidRPr="00E43188">
              <w:t>22,637</w:t>
            </w:r>
          </w:p>
        </w:tc>
        <w:tc>
          <w:tcPr>
            <w:tcW w:w="1080" w:type="dxa"/>
          </w:tcPr>
          <w:p w14:paraId="1E70C339" w14:textId="2E5D3F15" w:rsidR="00E43188" w:rsidRPr="00E43188" w:rsidRDefault="00E43188" w:rsidP="00E43188">
            <w:pPr>
              <w:pStyle w:val="ExhibitText"/>
              <w:jc w:val="right"/>
            </w:pPr>
            <w:r w:rsidRPr="00E43188">
              <w:t>18,321</w:t>
            </w:r>
          </w:p>
        </w:tc>
      </w:tr>
      <w:tr w:rsidR="00E43188" w14:paraId="455259C6" w14:textId="77777777" w:rsidTr="008C1EA7">
        <w:trPr>
          <w:jc w:val="center"/>
        </w:trPr>
        <w:tc>
          <w:tcPr>
            <w:tcW w:w="3330" w:type="dxa"/>
          </w:tcPr>
          <w:p w14:paraId="73FED566" w14:textId="034AEB8F" w:rsidR="00E43188" w:rsidRPr="00E43188" w:rsidRDefault="00E43188" w:rsidP="00E43188">
            <w:pPr>
              <w:pStyle w:val="ExhibitText"/>
              <w:jc w:val="left"/>
              <w:rPr>
                <w:b/>
                <w:bCs/>
                <w:color w:val="000000" w:themeColor="text1"/>
                <w:lang w:val="en-GB" w:eastAsia="en-SG"/>
              </w:rPr>
            </w:pPr>
            <w:r w:rsidRPr="00E43188">
              <w:rPr>
                <w:b/>
                <w:bCs/>
                <w:color w:val="000000" w:themeColor="text1"/>
                <w:lang w:val="en-GB" w:eastAsia="en-SG"/>
              </w:rPr>
              <w:t>Total Liabilities and Equity</w:t>
            </w:r>
          </w:p>
        </w:tc>
        <w:tc>
          <w:tcPr>
            <w:tcW w:w="1080" w:type="dxa"/>
          </w:tcPr>
          <w:p w14:paraId="124DA4B7" w14:textId="0ABA3887" w:rsidR="00E43188" w:rsidRPr="00E43188" w:rsidRDefault="00E43188" w:rsidP="00E43188">
            <w:pPr>
              <w:pStyle w:val="ExhibitText"/>
              <w:jc w:val="right"/>
            </w:pPr>
            <w:r w:rsidRPr="00E43188">
              <w:t>39,587</w:t>
            </w:r>
          </w:p>
        </w:tc>
        <w:tc>
          <w:tcPr>
            <w:tcW w:w="1080" w:type="dxa"/>
          </w:tcPr>
          <w:p w14:paraId="47B4C14B" w14:textId="230E91AE" w:rsidR="00E43188" w:rsidRPr="00E43188" w:rsidRDefault="00E43188" w:rsidP="00E43188">
            <w:pPr>
              <w:pStyle w:val="ExhibitText"/>
              <w:jc w:val="right"/>
            </w:pPr>
            <w:r w:rsidRPr="00E43188">
              <w:t>41,850</w:t>
            </w:r>
          </w:p>
        </w:tc>
        <w:tc>
          <w:tcPr>
            <w:tcW w:w="1080" w:type="dxa"/>
          </w:tcPr>
          <w:p w14:paraId="7C6838A7" w14:textId="27056DD4" w:rsidR="00E43188" w:rsidRPr="00E43188" w:rsidRDefault="00E43188" w:rsidP="00E43188">
            <w:pPr>
              <w:pStyle w:val="ExhibitText"/>
              <w:jc w:val="right"/>
            </w:pPr>
            <w:r w:rsidRPr="00E43188">
              <w:t>43,388</w:t>
            </w:r>
          </w:p>
        </w:tc>
      </w:tr>
    </w:tbl>
    <w:p w14:paraId="71C5177B" w14:textId="77777777" w:rsidR="00E43188" w:rsidRDefault="00E43188" w:rsidP="00E43188">
      <w:pPr>
        <w:pStyle w:val="Footnote"/>
        <w:keepLines/>
        <w:rPr>
          <w:lang w:val="en-GB"/>
        </w:rPr>
      </w:pPr>
    </w:p>
    <w:p w14:paraId="613835CF" w14:textId="6179B655" w:rsidR="00434042" w:rsidRDefault="00434042" w:rsidP="00E43188">
      <w:pPr>
        <w:pStyle w:val="Footnote"/>
        <w:keepLines/>
        <w:rPr>
          <w:lang w:val="en-GB"/>
        </w:rPr>
      </w:pPr>
      <w:r>
        <w:rPr>
          <w:lang w:val="en-GB"/>
        </w:rPr>
        <w:t xml:space="preserve">Note: </w:t>
      </w:r>
      <w:r w:rsidRPr="00FE0572">
        <w:rPr>
          <w:rStyle w:val="FootnoteChar"/>
        </w:rPr>
        <w:t>SG$ = Singapore dollar</w:t>
      </w:r>
      <w:r>
        <w:rPr>
          <w:rStyle w:val="FootnoteChar"/>
        </w:rPr>
        <w:t>;</w:t>
      </w:r>
      <w:r w:rsidRPr="00FE0572">
        <w:rPr>
          <w:rStyle w:val="FootnoteChar"/>
        </w:rPr>
        <w:t xml:space="preserve"> </w:t>
      </w:r>
      <w:r>
        <w:rPr>
          <w:rStyle w:val="FootnoteChar"/>
        </w:rPr>
        <w:t xml:space="preserve">SG$1 = </w:t>
      </w:r>
      <w:r w:rsidRPr="00FE0572">
        <w:rPr>
          <w:rStyle w:val="FootnoteChar"/>
        </w:rPr>
        <w:t>US$</w:t>
      </w:r>
      <w:r>
        <w:rPr>
          <w:rStyle w:val="FootnoteChar"/>
        </w:rPr>
        <w:t>0.70540</w:t>
      </w:r>
      <w:r w:rsidRPr="00FE0572">
        <w:rPr>
          <w:rStyle w:val="FootnoteChar"/>
        </w:rPr>
        <w:t xml:space="preserve"> on March 8, 2017</w:t>
      </w:r>
    </w:p>
    <w:p w14:paraId="2B0785EB" w14:textId="7C2AD0E0" w:rsidR="001B2957" w:rsidRPr="006A6F1F" w:rsidRDefault="001B2957" w:rsidP="00E43188">
      <w:pPr>
        <w:pStyle w:val="Footnote"/>
        <w:keepLines/>
        <w:rPr>
          <w:lang w:val="en-GB"/>
        </w:rPr>
      </w:pPr>
      <w:r w:rsidRPr="006A6F1F">
        <w:rPr>
          <w:lang w:val="en-GB"/>
        </w:rPr>
        <w:t xml:space="preserve">Source: </w:t>
      </w:r>
      <w:proofErr w:type="spellStart"/>
      <w:r w:rsidRPr="006A6F1F">
        <w:rPr>
          <w:lang w:val="en-GB"/>
        </w:rPr>
        <w:t>Kimly</w:t>
      </w:r>
      <w:proofErr w:type="spellEnd"/>
      <w:r w:rsidRPr="006A6F1F">
        <w:rPr>
          <w:lang w:val="en-GB"/>
        </w:rPr>
        <w:t xml:space="preserve"> Limited, </w:t>
      </w:r>
      <w:r w:rsidRPr="006A6F1F">
        <w:rPr>
          <w:i/>
          <w:color w:val="000000" w:themeColor="text1"/>
          <w:lang w:val="en-GB"/>
        </w:rPr>
        <w:t>Invitation In Respect Of 173,800,000 New Shares</w:t>
      </w:r>
      <w:r w:rsidRPr="006A6F1F">
        <w:rPr>
          <w:color w:val="000000" w:themeColor="text1"/>
          <w:lang w:val="en-GB"/>
        </w:rPr>
        <w:t xml:space="preserve">, </w:t>
      </w:r>
      <w:r w:rsidRPr="006A6F1F">
        <w:rPr>
          <w:lang w:val="en-GB"/>
        </w:rPr>
        <w:t xml:space="preserve">77, March 8, 2017, accessed May 29, 2017, </w:t>
      </w:r>
      <w:hyperlink r:id="rId18" w:history="1">
        <w:r w:rsidRPr="006A6F1F">
          <w:rPr>
            <w:rStyle w:val="Hyperlink"/>
            <w:color w:val="auto"/>
            <w:u w:val="none"/>
            <w:lang w:val="en-GB"/>
          </w:rPr>
          <w:t>http://infopub.sgx.com/FileOpen/Kimly_Limited_-_Offer_Document.ashx?App=IPO&amp;FileID=5360</w:t>
        </w:r>
      </w:hyperlink>
      <w:r w:rsidRPr="006A6F1F">
        <w:rPr>
          <w:lang w:val="en-GB"/>
        </w:rPr>
        <w:t>.</w:t>
      </w:r>
    </w:p>
    <w:p w14:paraId="3B2E6F34" w14:textId="77777777" w:rsidR="00B9262B" w:rsidRDefault="00B9262B" w:rsidP="00007E56">
      <w:pPr>
        <w:pStyle w:val="ExhibitHeading"/>
        <w:rPr>
          <w:color w:val="000000" w:themeColor="text1"/>
          <w:lang w:val="en-GB"/>
        </w:rPr>
      </w:pPr>
    </w:p>
    <w:p w14:paraId="7F6CE991" w14:textId="77777777" w:rsidR="00B9262B" w:rsidRDefault="00B9262B" w:rsidP="00007E56">
      <w:pPr>
        <w:pStyle w:val="ExhibitHeading"/>
        <w:rPr>
          <w:color w:val="000000" w:themeColor="text1"/>
          <w:lang w:val="en-GB"/>
        </w:rPr>
      </w:pPr>
    </w:p>
    <w:p w14:paraId="486E4230" w14:textId="77777777" w:rsidR="008C1EA7" w:rsidRDefault="008C1EA7">
      <w:pPr>
        <w:spacing w:after="200" w:line="276" w:lineRule="auto"/>
        <w:rPr>
          <w:rFonts w:ascii="Arial" w:hAnsi="Arial" w:cs="Arial"/>
          <w:b/>
          <w:caps/>
          <w:color w:val="000000" w:themeColor="text1"/>
          <w:lang w:val="en-GB"/>
        </w:rPr>
      </w:pPr>
      <w:r>
        <w:rPr>
          <w:color w:val="000000" w:themeColor="text1"/>
          <w:lang w:val="en-GB"/>
        </w:rPr>
        <w:br w:type="page"/>
      </w:r>
    </w:p>
    <w:p w14:paraId="5AA963EF" w14:textId="56E2734D" w:rsidR="001B2957" w:rsidRPr="006A6F1F" w:rsidRDefault="001B2957" w:rsidP="0062193B">
      <w:pPr>
        <w:pStyle w:val="ExhibitHeading"/>
        <w:keepNext/>
        <w:keepLines/>
        <w:rPr>
          <w:color w:val="000000" w:themeColor="text1"/>
          <w:lang w:val="en-GB"/>
        </w:rPr>
      </w:pPr>
      <w:r w:rsidRPr="006A6F1F">
        <w:rPr>
          <w:color w:val="000000" w:themeColor="text1"/>
          <w:lang w:val="en-GB"/>
        </w:rPr>
        <w:lastRenderedPageBreak/>
        <w:t xml:space="preserve">Exhibit </w:t>
      </w:r>
      <w:r w:rsidR="00B9262B">
        <w:rPr>
          <w:color w:val="000000" w:themeColor="text1"/>
          <w:lang w:val="en-GB"/>
        </w:rPr>
        <w:t>8</w:t>
      </w:r>
      <w:r w:rsidRPr="006A6F1F">
        <w:rPr>
          <w:color w:val="000000" w:themeColor="text1"/>
          <w:lang w:val="en-GB"/>
        </w:rPr>
        <w:t>: discounted Cash Flow VALUATION ASSUMPTIONS</w:t>
      </w:r>
    </w:p>
    <w:p w14:paraId="2F6BA051" w14:textId="77777777" w:rsidR="001B2957" w:rsidRPr="0062193B" w:rsidRDefault="001B2957" w:rsidP="008C1EA7">
      <w:pPr>
        <w:pStyle w:val="BodyTextMain"/>
        <w:rPr>
          <w:lang w:val="en-GB"/>
        </w:rPr>
      </w:pPr>
    </w:p>
    <w:p w14:paraId="4EF20AC2" w14:textId="661368C7" w:rsidR="001B2957" w:rsidRDefault="001B2957" w:rsidP="0062193B">
      <w:pPr>
        <w:pStyle w:val="BodyTextMain"/>
        <w:keepNext/>
        <w:keepLines/>
        <w:rPr>
          <w:rFonts w:ascii="Arial" w:hAnsi="Arial" w:cs="Arial"/>
          <w:color w:val="000000" w:themeColor="text1"/>
          <w:sz w:val="20"/>
          <w:szCs w:val="20"/>
          <w:lang w:val="en-GB"/>
        </w:rPr>
      </w:pPr>
      <w:r w:rsidRPr="006A6F1F">
        <w:rPr>
          <w:rFonts w:ascii="Arial" w:hAnsi="Arial" w:cs="Arial"/>
          <w:color w:val="000000" w:themeColor="text1"/>
          <w:sz w:val="20"/>
          <w:szCs w:val="20"/>
          <w:lang w:val="en-GB"/>
        </w:rPr>
        <w:t xml:space="preserve">For the pro-forma profit and loss statement, many line items were projected using the percentage of sales method. These percentages were estimated from </w:t>
      </w:r>
      <w:proofErr w:type="spellStart"/>
      <w:r w:rsidRPr="006A6F1F">
        <w:rPr>
          <w:rFonts w:ascii="Arial" w:hAnsi="Arial" w:cs="Arial"/>
          <w:color w:val="000000" w:themeColor="text1"/>
          <w:sz w:val="20"/>
          <w:szCs w:val="20"/>
          <w:lang w:val="en-GB"/>
        </w:rPr>
        <w:t>Kimly’s</w:t>
      </w:r>
      <w:proofErr w:type="spellEnd"/>
      <w:r w:rsidRPr="006A6F1F">
        <w:rPr>
          <w:rFonts w:ascii="Arial" w:hAnsi="Arial" w:cs="Arial"/>
          <w:color w:val="000000" w:themeColor="text1"/>
          <w:sz w:val="20"/>
          <w:szCs w:val="20"/>
          <w:lang w:val="en-GB"/>
        </w:rPr>
        <w:t xml:space="preserve"> past financial data.</w:t>
      </w:r>
    </w:p>
    <w:p w14:paraId="6FF68FDC" w14:textId="77777777" w:rsidR="008C1EA7" w:rsidRPr="006A6F1F" w:rsidRDefault="008C1EA7" w:rsidP="0062193B">
      <w:pPr>
        <w:pStyle w:val="BodyTextMain"/>
        <w:keepNext/>
        <w:keepLines/>
        <w:rPr>
          <w:rFonts w:ascii="Arial" w:hAnsi="Arial" w:cs="Arial"/>
          <w:color w:val="000000" w:themeColor="text1"/>
          <w:sz w:val="20"/>
          <w:szCs w:val="20"/>
          <w:lang w:val="en-GB"/>
        </w:rPr>
      </w:pPr>
    </w:p>
    <w:p w14:paraId="36938B52" w14:textId="4C4BDE42" w:rsidR="001B2957" w:rsidRPr="008C1EA7" w:rsidRDefault="001B2957" w:rsidP="008C1EA7">
      <w:pPr>
        <w:pStyle w:val="ExhibitText"/>
        <w:numPr>
          <w:ilvl w:val="0"/>
          <w:numId w:val="6"/>
        </w:numPr>
        <w:rPr>
          <w:rFonts w:eastAsiaTheme="minorHAnsi"/>
          <w:lang w:val="en-GB"/>
        </w:rPr>
      </w:pPr>
      <w:r w:rsidRPr="008C1EA7">
        <w:rPr>
          <w:rFonts w:eastAsiaTheme="minorHAnsi"/>
          <w:lang w:val="en-GB"/>
        </w:rPr>
        <w:t xml:space="preserve">Sales were assumed to grow at an average growth rate of </w:t>
      </w:r>
      <w:r w:rsidRPr="008C1EA7">
        <w:rPr>
          <w:lang w:val="en-GB"/>
        </w:rPr>
        <w:t>10.42 per cent in the first five years.</w:t>
      </w:r>
    </w:p>
    <w:p w14:paraId="55549045" w14:textId="6B4AE71B" w:rsidR="008035A9" w:rsidRPr="006A6F1F" w:rsidRDefault="00313DBB" w:rsidP="008C1EA7">
      <w:pPr>
        <w:pStyle w:val="ExhibitText"/>
        <w:numPr>
          <w:ilvl w:val="0"/>
          <w:numId w:val="6"/>
        </w:numPr>
        <w:rPr>
          <w:rFonts w:eastAsiaTheme="minorHAnsi"/>
          <w:lang w:val="en-GB"/>
        </w:rPr>
      </w:pPr>
      <w:r>
        <w:rPr>
          <w:rFonts w:eastAsiaTheme="minorHAnsi"/>
          <w:lang w:val="en-GB"/>
        </w:rPr>
        <w:t>The t</w:t>
      </w:r>
      <w:r w:rsidR="001B2957" w:rsidRPr="006A6F1F">
        <w:rPr>
          <w:rFonts w:eastAsiaTheme="minorHAnsi"/>
          <w:lang w:val="en-GB"/>
        </w:rPr>
        <w:t xml:space="preserve">erminal growth rate was assumed to be a nominal 2 per cent for free cash flows and dividends. This was conservative, given that the real </w:t>
      </w:r>
      <w:r>
        <w:rPr>
          <w:rFonts w:eastAsiaTheme="minorHAnsi"/>
          <w:lang w:val="en-GB"/>
        </w:rPr>
        <w:t xml:space="preserve">gross domestic product </w:t>
      </w:r>
      <w:r w:rsidR="001B2957" w:rsidRPr="006A6F1F">
        <w:rPr>
          <w:rFonts w:eastAsiaTheme="minorHAnsi"/>
          <w:lang w:val="en-GB"/>
        </w:rPr>
        <w:t>growth rate was projected at 2.5 per cent.</w:t>
      </w:r>
      <w:r w:rsidR="009751EE" w:rsidRPr="006A6F1F">
        <w:rPr>
          <w:rStyle w:val="EndnoteReference"/>
          <w:rFonts w:eastAsiaTheme="minorHAnsi"/>
          <w:color w:val="000000" w:themeColor="text1"/>
          <w:lang w:val="en-GB"/>
        </w:rPr>
        <w:t>*</w:t>
      </w:r>
    </w:p>
    <w:p w14:paraId="282F8BD9" w14:textId="3390E8B3" w:rsidR="008035A9" w:rsidRPr="006A6F1F" w:rsidRDefault="00313DBB" w:rsidP="008C1EA7">
      <w:pPr>
        <w:pStyle w:val="ExhibitText"/>
        <w:numPr>
          <w:ilvl w:val="0"/>
          <w:numId w:val="6"/>
        </w:numPr>
        <w:rPr>
          <w:rFonts w:eastAsiaTheme="minorHAnsi"/>
          <w:lang w:val="en-GB"/>
        </w:rPr>
      </w:pPr>
      <w:r>
        <w:rPr>
          <w:rFonts w:eastAsiaTheme="minorHAnsi"/>
          <w:lang w:val="en-GB"/>
        </w:rPr>
        <w:t>The c</w:t>
      </w:r>
      <w:r w:rsidR="008035A9" w:rsidRPr="006A6F1F">
        <w:rPr>
          <w:rFonts w:eastAsiaTheme="minorHAnsi"/>
          <w:lang w:val="en-GB"/>
        </w:rPr>
        <w:t xml:space="preserve">ost of goods sold was assumed to </w:t>
      </w:r>
      <w:r w:rsidR="009751EE" w:rsidRPr="006A6F1F">
        <w:rPr>
          <w:rFonts w:eastAsiaTheme="minorHAnsi"/>
          <w:lang w:val="en-GB"/>
        </w:rPr>
        <w:t xml:space="preserve">be </w:t>
      </w:r>
      <w:r w:rsidR="008035A9" w:rsidRPr="006A6F1F">
        <w:rPr>
          <w:rFonts w:eastAsiaTheme="minorHAnsi"/>
          <w:lang w:val="en-GB"/>
        </w:rPr>
        <w:t xml:space="preserve">79 per cent of revenue. This percentage had remained stable in the past few years. </w:t>
      </w:r>
    </w:p>
    <w:p w14:paraId="4314C312" w14:textId="77777777" w:rsidR="008035A9" w:rsidRPr="006A6F1F" w:rsidRDefault="008035A9" w:rsidP="008C1EA7">
      <w:pPr>
        <w:pStyle w:val="ExhibitText"/>
        <w:numPr>
          <w:ilvl w:val="0"/>
          <w:numId w:val="6"/>
        </w:numPr>
        <w:rPr>
          <w:rFonts w:eastAsiaTheme="minorHAnsi"/>
          <w:lang w:val="en-GB"/>
        </w:rPr>
      </w:pPr>
      <w:r w:rsidRPr="006A6F1F">
        <w:rPr>
          <w:rFonts w:eastAsiaTheme="minorHAnsi"/>
          <w:lang w:val="en-GB"/>
        </w:rPr>
        <w:t xml:space="preserve">Other income was assumed to be 2 per cent of revenue. This percentage had remained relatively stable in the past few years. </w:t>
      </w:r>
    </w:p>
    <w:p w14:paraId="0E8C6F12" w14:textId="69B20D82" w:rsidR="008035A9" w:rsidRPr="006A6F1F" w:rsidRDefault="008035A9" w:rsidP="008C1EA7">
      <w:pPr>
        <w:pStyle w:val="ExhibitText"/>
        <w:numPr>
          <w:ilvl w:val="0"/>
          <w:numId w:val="6"/>
        </w:numPr>
        <w:rPr>
          <w:rFonts w:eastAsiaTheme="minorHAnsi"/>
          <w:lang w:val="en-GB"/>
        </w:rPr>
      </w:pPr>
      <w:r w:rsidRPr="006A6F1F">
        <w:rPr>
          <w:rFonts w:eastAsiaTheme="minorHAnsi"/>
          <w:lang w:val="en-GB"/>
        </w:rPr>
        <w:t>Depreciation of plant, property</w:t>
      </w:r>
      <w:r w:rsidR="009751EE" w:rsidRPr="006A6F1F">
        <w:rPr>
          <w:rFonts w:eastAsiaTheme="minorHAnsi"/>
          <w:lang w:val="en-GB"/>
        </w:rPr>
        <w:t>,</w:t>
      </w:r>
      <w:r w:rsidRPr="006A6F1F">
        <w:rPr>
          <w:rFonts w:eastAsiaTheme="minorHAnsi"/>
          <w:lang w:val="en-GB"/>
        </w:rPr>
        <w:t xml:space="preserve"> and equipment (PPE) was projected to be 63 per cent of PPE in the previous year. </w:t>
      </w:r>
    </w:p>
    <w:p w14:paraId="3C8DBDBC" w14:textId="77777777" w:rsidR="008035A9" w:rsidRPr="006A6F1F" w:rsidRDefault="008035A9" w:rsidP="008C1EA7">
      <w:pPr>
        <w:pStyle w:val="ExhibitText"/>
        <w:numPr>
          <w:ilvl w:val="0"/>
          <w:numId w:val="6"/>
        </w:numPr>
        <w:rPr>
          <w:rFonts w:eastAsiaTheme="minorHAnsi"/>
          <w:lang w:val="en-GB"/>
        </w:rPr>
      </w:pPr>
      <w:r w:rsidRPr="006A6F1F">
        <w:rPr>
          <w:rFonts w:eastAsiaTheme="minorHAnsi"/>
          <w:lang w:val="en-GB"/>
        </w:rPr>
        <w:t xml:space="preserve">Other expenses were assumed to be 7 per cent of revenue. </w:t>
      </w:r>
    </w:p>
    <w:p w14:paraId="24B4B7FB" w14:textId="6EBD2418" w:rsidR="008035A9" w:rsidRPr="006A6F1F" w:rsidRDefault="008035A9" w:rsidP="008C1EA7">
      <w:pPr>
        <w:pStyle w:val="ExhibitText"/>
        <w:numPr>
          <w:ilvl w:val="0"/>
          <w:numId w:val="6"/>
        </w:numPr>
        <w:rPr>
          <w:rFonts w:eastAsiaTheme="minorHAnsi"/>
          <w:lang w:val="en-GB"/>
        </w:rPr>
      </w:pPr>
      <w:r w:rsidRPr="006A6F1F">
        <w:rPr>
          <w:rFonts w:eastAsiaTheme="minorHAnsi"/>
          <w:lang w:val="en-GB"/>
        </w:rPr>
        <w:t xml:space="preserve">The interest expense was assumed to remain at </w:t>
      </w:r>
      <w:r w:rsidR="005D4DBE" w:rsidRPr="006A6F1F">
        <w:rPr>
          <w:rFonts w:eastAsiaTheme="minorHAnsi"/>
          <w:lang w:val="en-GB"/>
        </w:rPr>
        <w:t>SG$</w:t>
      </w:r>
      <w:r w:rsidRPr="006A6F1F">
        <w:rPr>
          <w:rFonts w:eastAsiaTheme="minorHAnsi"/>
          <w:lang w:val="en-GB"/>
        </w:rPr>
        <w:t>2</w:t>
      </w:r>
      <w:r w:rsidR="009751EE" w:rsidRPr="006A6F1F">
        <w:rPr>
          <w:rFonts w:eastAsiaTheme="minorHAnsi"/>
          <w:lang w:val="en-GB"/>
        </w:rPr>
        <w:t>,</w:t>
      </w:r>
      <w:r w:rsidRPr="006A6F1F">
        <w:rPr>
          <w:rFonts w:eastAsiaTheme="minorHAnsi"/>
          <w:lang w:val="en-GB"/>
        </w:rPr>
        <w:t xml:space="preserve">000 per year. </w:t>
      </w:r>
    </w:p>
    <w:p w14:paraId="4402D420" w14:textId="2A0C28D8" w:rsidR="008035A9" w:rsidRPr="006A6F1F" w:rsidRDefault="008035A9" w:rsidP="008C1EA7">
      <w:pPr>
        <w:pStyle w:val="ExhibitText"/>
        <w:numPr>
          <w:ilvl w:val="0"/>
          <w:numId w:val="6"/>
        </w:numPr>
        <w:rPr>
          <w:rFonts w:eastAsiaTheme="minorHAnsi"/>
          <w:lang w:val="en-GB"/>
        </w:rPr>
      </w:pPr>
      <w:r w:rsidRPr="006A6F1F">
        <w:rPr>
          <w:rFonts w:eastAsiaTheme="minorHAnsi"/>
          <w:lang w:val="en-GB"/>
        </w:rPr>
        <w:t xml:space="preserve">The company’s effective tax rate was assumed to be 5.11 per cent for the first </w:t>
      </w:r>
      <w:r w:rsidR="009751EE" w:rsidRPr="006A6F1F">
        <w:rPr>
          <w:rFonts w:eastAsiaTheme="minorHAnsi"/>
          <w:lang w:val="en-GB"/>
        </w:rPr>
        <w:t xml:space="preserve">five </w:t>
      </w:r>
      <w:r w:rsidRPr="006A6F1F">
        <w:rPr>
          <w:rFonts w:eastAsiaTheme="minorHAnsi"/>
          <w:lang w:val="en-GB"/>
        </w:rPr>
        <w:t xml:space="preserve">years, and </w:t>
      </w:r>
      <w:r w:rsidR="009751EE" w:rsidRPr="006A6F1F">
        <w:rPr>
          <w:rFonts w:eastAsiaTheme="minorHAnsi"/>
          <w:lang w:val="en-GB"/>
        </w:rPr>
        <w:t>17 per </w:t>
      </w:r>
      <w:r w:rsidRPr="006A6F1F">
        <w:rPr>
          <w:rFonts w:eastAsiaTheme="minorHAnsi"/>
          <w:lang w:val="en-GB"/>
        </w:rPr>
        <w:t xml:space="preserve">cent subsequently. </w:t>
      </w:r>
    </w:p>
    <w:p w14:paraId="3B90B574" w14:textId="1FC6D5E1" w:rsidR="008035A9" w:rsidRDefault="008035A9" w:rsidP="008C1EA7">
      <w:pPr>
        <w:pStyle w:val="ExhibitText"/>
        <w:numPr>
          <w:ilvl w:val="0"/>
          <w:numId w:val="6"/>
        </w:numPr>
        <w:rPr>
          <w:rFonts w:eastAsiaTheme="minorHAnsi"/>
          <w:lang w:val="en-GB"/>
        </w:rPr>
      </w:pPr>
      <w:r w:rsidRPr="006A6F1F">
        <w:rPr>
          <w:rFonts w:eastAsiaTheme="minorHAnsi"/>
          <w:lang w:val="en-GB"/>
        </w:rPr>
        <w:t xml:space="preserve">Dividends were paid at 50 per cent of net income, except in the first year after listing. The company prospectus stated that it would pay out an additional </w:t>
      </w:r>
      <w:r w:rsidR="005D4DBE" w:rsidRPr="006A6F1F">
        <w:rPr>
          <w:rFonts w:eastAsiaTheme="minorHAnsi"/>
          <w:lang w:val="en-GB"/>
        </w:rPr>
        <w:t>SG$</w:t>
      </w:r>
      <w:r w:rsidRPr="006A6F1F">
        <w:rPr>
          <w:rFonts w:eastAsiaTheme="minorHAnsi"/>
          <w:lang w:val="en-GB"/>
        </w:rPr>
        <w:t>11 mi</w:t>
      </w:r>
      <w:r w:rsidR="008C1EA7">
        <w:rPr>
          <w:rFonts w:eastAsiaTheme="minorHAnsi"/>
          <w:lang w:val="en-GB"/>
        </w:rPr>
        <w:t>llion in conditional dividends.</w:t>
      </w:r>
    </w:p>
    <w:p w14:paraId="6B29058D" w14:textId="77777777" w:rsidR="008C1EA7" w:rsidRPr="006A6F1F" w:rsidRDefault="008C1EA7" w:rsidP="008C1EA7">
      <w:pPr>
        <w:pStyle w:val="ExhibitText"/>
        <w:numPr>
          <w:ilvl w:val="0"/>
          <w:numId w:val="6"/>
        </w:numPr>
        <w:rPr>
          <w:rFonts w:eastAsiaTheme="minorHAnsi"/>
          <w:lang w:val="en-GB"/>
        </w:rPr>
      </w:pPr>
    </w:p>
    <w:p w14:paraId="398DF736" w14:textId="77777777" w:rsidR="008035A9" w:rsidRDefault="008035A9" w:rsidP="0062193B">
      <w:pPr>
        <w:keepNext/>
        <w:keepLines/>
        <w:autoSpaceDE w:val="0"/>
        <w:autoSpaceDN w:val="0"/>
        <w:adjustRightInd w:val="0"/>
        <w:rPr>
          <w:rFonts w:ascii="Arial" w:hAnsi="Arial" w:cs="Arial"/>
          <w:color w:val="000000" w:themeColor="text1"/>
          <w:lang w:val="en-GB"/>
        </w:rPr>
      </w:pPr>
      <w:r w:rsidRPr="006A6F1F">
        <w:rPr>
          <w:rFonts w:ascii="Arial" w:hAnsi="Arial" w:cs="Arial"/>
          <w:color w:val="000000" w:themeColor="text1"/>
          <w:lang w:val="en-GB"/>
        </w:rPr>
        <w:t>For the pro-forma balance sheet, many of the future assets and liabilities were projected based on the percentage of sales method.</w:t>
      </w:r>
    </w:p>
    <w:p w14:paraId="2A07E2B2" w14:textId="77777777" w:rsidR="008C1EA7" w:rsidRPr="006A6F1F" w:rsidRDefault="008C1EA7" w:rsidP="0062193B">
      <w:pPr>
        <w:keepNext/>
        <w:keepLines/>
        <w:autoSpaceDE w:val="0"/>
        <w:autoSpaceDN w:val="0"/>
        <w:adjustRightInd w:val="0"/>
        <w:rPr>
          <w:rFonts w:ascii="Arial" w:eastAsiaTheme="minorHAnsi" w:hAnsi="Arial" w:cs="Arial"/>
          <w:color w:val="000000" w:themeColor="text1"/>
          <w:lang w:val="en-GB"/>
        </w:rPr>
      </w:pPr>
    </w:p>
    <w:p w14:paraId="1651A4D1" w14:textId="736FD93C" w:rsidR="008035A9" w:rsidRPr="008C1EA7" w:rsidRDefault="008035A9" w:rsidP="008C1EA7">
      <w:pPr>
        <w:pStyle w:val="ListParagraph"/>
        <w:keepNext/>
        <w:keepLines/>
        <w:numPr>
          <w:ilvl w:val="0"/>
          <w:numId w:val="7"/>
        </w:numPr>
        <w:autoSpaceDE w:val="0"/>
        <w:autoSpaceDN w:val="0"/>
        <w:adjustRightInd w:val="0"/>
        <w:rPr>
          <w:rFonts w:ascii="Arial" w:eastAsiaTheme="minorHAnsi" w:hAnsi="Arial" w:cs="Arial"/>
          <w:color w:val="000000" w:themeColor="text1"/>
          <w:sz w:val="20"/>
          <w:szCs w:val="20"/>
          <w:lang w:val="en-GB"/>
        </w:rPr>
      </w:pPr>
      <w:r w:rsidRPr="008C1EA7">
        <w:rPr>
          <w:rFonts w:ascii="Arial" w:eastAsiaTheme="minorHAnsi" w:hAnsi="Arial" w:cs="Arial"/>
          <w:color w:val="000000" w:themeColor="text1"/>
          <w:sz w:val="20"/>
          <w:szCs w:val="20"/>
          <w:lang w:val="en-GB"/>
        </w:rPr>
        <w:t xml:space="preserve">PPE was computed by taking the prior year PPE ending balance less depreciation in the current year plus </w:t>
      </w:r>
      <w:r w:rsidR="005D4DBE" w:rsidRPr="008C1EA7">
        <w:rPr>
          <w:rFonts w:ascii="Arial" w:eastAsiaTheme="minorHAnsi" w:hAnsi="Arial" w:cs="Arial"/>
          <w:color w:val="000000" w:themeColor="text1"/>
          <w:sz w:val="20"/>
          <w:szCs w:val="20"/>
          <w:lang w:val="en-GB"/>
        </w:rPr>
        <w:t>SG$</w:t>
      </w:r>
      <w:r w:rsidRPr="008C1EA7">
        <w:rPr>
          <w:rFonts w:ascii="Arial" w:eastAsiaTheme="minorHAnsi" w:hAnsi="Arial" w:cs="Arial"/>
          <w:color w:val="000000" w:themeColor="text1"/>
          <w:sz w:val="20"/>
          <w:szCs w:val="20"/>
          <w:lang w:val="en-GB"/>
        </w:rPr>
        <w:t xml:space="preserve">3 million in capital expenditure. The </w:t>
      </w:r>
      <w:r w:rsidR="005D4DBE" w:rsidRPr="008C1EA7">
        <w:rPr>
          <w:rFonts w:ascii="Arial" w:eastAsiaTheme="minorHAnsi" w:hAnsi="Arial" w:cs="Arial"/>
          <w:color w:val="000000" w:themeColor="text1"/>
          <w:sz w:val="20"/>
          <w:szCs w:val="20"/>
          <w:lang w:val="en-GB"/>
        </w:rPr>
        <w:t>SG$</w:t>
      </w:r>
      <w:r w:rsidRPr="008C1EA7">
        <w:rPr>
          <w:rFonts w:ascii="Arial" w:eastAsiaTheme="minorHAnsi" w:hAnsi="Arial" w:cs="Arial"/>
          <w:color w:val="000000" w:themeColor="text1"/>
          <w:sz w:val="20"/>
          <w:szCs w:val="20"/>
          <w:lang w:val="en-GB"/>
        </w:rPr>
        <w:t xml:space="preserve">3 million was derived based on the assumption that the company would use half the </w:t>
      </w:r>
      <w:r w:rsidR="005D4DBE" w:rsidRPr="008C1EA7">
        <w:rPr>
          <w:rFonts w:ascii="Arial" w:eastAsiaTheme="minorHAnsi" w:hAnsi="Arial" w:cs="Arial"/>
          <w:color w:val="000000" w:themeColor="text1"/>
          <w:sz w:val="20"/>
          <w:szCs w:val="20"/>
          <w:lang w:val="en-GB"/>
        </w:rPr>
        <w:t>SG$</w:t>
      </w:r>
      <w:r w:rsidRPr="008C1EA7">
        <w:rPr>
          <w:rFonts w:ascii="Arial" w:eastAsiaTheme="minorHAnsi" w:hAnsi="Arial" w:cs="Arial"/>
          <w:color w:val="000000" w:themeColor="text1"/>
          <w:sz w:val="20"/>
          <w:szCs w:val="20"/>
          <w:lang w:val="en-GB"/>
        </w:rPr>
        <w:t xml:space="preserve">30 million proceeds on PPE over a span of five years. </w:t>
      </w:r>
    </w:p>
    <w:p w14:paraId="552CA35E" w14:textId="77777777" w:rsidR="008035A9" w:rsidRPr="008C1EA7" w:rsidRDefault="008035A9" w:rsidP="008C1EA7">
      <w:pPr>
        <w:pStyle w:val="ListParagraph"/>
        <w:keepNext/>
        <w:keepLines/>
        <w:numPr>
          <w:ilvl w:val="0"/>
          <w:numId w:val="7"/>
        </w:numPr>
        <w:autoSpaceDE w:val="0"/>
        <w:autoSpaceDN w:val="0"/>
        <w:adjustRightInd w:val="0"/>
        <w:rPr>
          <w:rFonts w:ascii="Arial" w:eastAsiaTheme="minorHAnsi" w:hAnsi="Arial" w:cs="Arial"/>
          <w:color w:val="000000" w:themeColor="text1"/>
          <w:sz w:val="20"/>
          <w:szCs w:val="20"/>
          <w:lang w:val="en-GB"/>
        </w:rPr>
      </w:pPr>
      <w:r w:rsidRPr="008C1EA7">
        <w:rPr>
          <w:rFonts w:ascii="Arial" w:eastAsiaTheme="minorHAnsi" w:hAnsi="Arial" w:cs="Arial"/>
          <w:color w:val="000000" w:themeColor="text1"/>
          <w:sz w:val="20"/>
          <w:szCs w:val="20"/>
          <w:lang w:val="en-GB"/>
        </w:rPr>
        <w:t xml:space="preserve">Net intangible assets were assumed to be zero. </w:t>
      </w:r>
    </w:p>
    <w:p w14:paraId="2C8424E4" w14:textId="77777777" w:rsidR="008035A9" w:rsidRPr="008C1EA7" w:rsidRDefault="008035A9" w:rsidP="008C1EA7">
      <w:pPr>
        <w:pStyle w:val="ListParagraph"/>
        <w:keepNext/>
        <w:keepLines/>
        <w:numPr>
          <w:ilvl w:val="0"/>
          <w:numId w:val="7"/>
        </w:numPr>
        <w:autoSpaceDE w:val="0"/>
        <w:autoSpaceDN w:val="0"/>
        <w:adjustRightInd w:val="0"/>
        <w:rPr>
          <w:rFonts w:ascii="Arial" w:eastAsiaTheme="minorHAnsi" w:hAnsi="Arial" w:cs="Arial"/>
          <w:color w:val="000000" w:themeColor="text1"/>
          <w:sz w:val="20"/>
          <w:szCs w:val="20"/>
          <w:lang w:val="en-GB"/>
        </w:rPr>
      </w:pPr>
      <w:r w:rsidRPr="008C1EA7">
        <w:rPr>
          <w:rFonts w:ascii="Arial" w:eastAsiaTheme="minorHAnsi" w:hAnsi="Arial" w:cs="Arial"/>
          <w:color w:val="000000" w:themeColor="text1"/>
          <w:sz w:val="20"/>
          <w:szCs w:val="20"/>
          <w:lang w:val="en-GB"/>
        </w:rPr>
        <w:t xml:space="preserve">Cash and bank balances would be the plug-in figure. </w:t>
      </w:r>
    </w:p>
    <w:p w14:paraId="64880D34" w14:textId="1446E3B7" w:rsidR="008035A9" w:rsidRPr="008C1EA7" w:rsidRDefault="008035A9" w:rsidP="008C1EA7">
      <w:pPr>
        <w:pStyle w:val="ListParagraph"/>
        <w:keepNext/>
        <w:keepLines/>
        <w:numPr>
          <w:ilvl w:val="0"/>
          <w:numId w:val="7"/>
        </w:numPr>
        <w:autoSpaceDE w:val="0"/>
        <w:autoSpaceDN w:val="0"/>
        <w:adjustRightInd w:val="0"/>
        <w:rPr>
          <w:rFonts w:ascii="Arial" w:eastAsiaTheme="minorHAnsi" w:hAnsi="Arial" w:cs="Arial"/>
          <w:color w:val="000000" w:themeColor="text1"/>
          <w:sz w:val="20"/>
          <w:szCs w:val="20"/>
          <w:lang w:val="en-GB"/>
        </w:rPr>
      </w:pPr>
      <w:r w:rsidRPr="008C1EA7">
        <w:rPr>
          <w:rFonts w:ascii="Arial" w:eastAsiaTheme="minorHAnsi" w:hAnsi="Arial" w:cs="Arial"/>
          <w:color w:val="000000" w:themeColor="text1"/>
          <w:sz w:val="20"/>
          <w:szCs w:val="20"/>
          <w:lang w:val="en-GB"/>
        </w:rPr>
        <w:t xml:space="preserve">Share capital after share issue was calculated by taking the total number of outstanding shares multiplied by the issue price of </w:t>
      </w:r>
      <w:r w:rsidR="005D4DBE" w:rsidRPr="008C1EA7">
        <w:rPr>
          <w:rFonts w:ascii="Arial" w:eastAsiaTheme="minorHAnsi" w:hAnsi="Arial" w:cs="Arial"/>
          <w:color w:val="000000" w:themeColor="text1"/>
          <w:sz w:val="20"/>
          <w:szCs w:val="20"/>
          <w:lang w:val="en-GB"/>
        </w:rPr>
        <w:t>SG$</w:t>
      </w:r>
      <w:r w:rsidRPr="008C1EA7">
        <w:rPr>
          <w:rFonts w:ascii="Arial" w:eastAsiaTheme="minorHAnsi" w:hAnsi="Arial" w:cs="Arial"/>
          <w:color w:val="000000" w:themeColor="text1"/>
          <w:sz w:val="20"/>
          <w:szCs w:val="20"/>
          <w:lang w:val="en-GB"/>
        </w:rPr>
        <w:t>0.25. Based on information in the prospectus, there used to be only one outstanding share</w:t>
      </w:r>
      <w:r w:rsidR="009751EE" w:rsidRPr="008C1EA7">
        <w:rPr>
          <w:rFonts w:ascii="Arial" w:eastAsiaTheme="minorHAnsi" w:hAnsi="Arial" w:cs="Arial"/>
          <w:color w:val="000000" w:themeColor="text1"/>
          <w:sz w:val="20"/>
          <w:szCs w:val="20"/>
          <w:lang w:val="en-GB"/>
        </w:rPr>
        <w:t>,</w:t>
      </w:r>
      <w:r w:rsidRPr="008C1EA7">
        <w:rPr>
          <w:rFonts w:ascii="Arial" w:eastAsiaTheme="minorHAnsi" w:hAnsi="Arial" w:cs="Arial"/>
          <w:color w:val="000000" w:themeColor="text1"/>
          <w:sz w:val="20"/>
          <w:szCs w:val="20"/>
          <w:lang w:val="en-GB"/>
        </w:rPr>
        <w:t xml:space="preserve"> which was held by the founder. Between September 2016 year end and the IPO, many new shares were issued to other shareholders. In order to prepare the prospectus, the company multiplied the outstanding shares prior to listing by </w:t>
      </w:r>
      <w:r w:rsidR="005D4DBE" w:rsidRPr="008C1EA7">
        <w:rPr>
          <w:rFonts w:ascii="Arial" w:eastAsiaTheme="minorHAnsi" w:hAnsi="Arial" w:cs="Arial"/>
          <w:color w:val="000000" w:themeColor="text1"/>
          <w:sz w:val="20"/>
          <w:szCs w:val="20"/>
          <w:lang w:val="en-GB"/>
        </w:rPr>
        <w:t>SG$</w:t>
      </w:r>
      <w:r w:rsidRPr="008C1EA7">
        <w:rPr>
          <w:rFonts w:ascii="Arial" w:eastAsiaTheme="minorHAnsi" w:hAnsi="Arial" w:cs="Arial"/>
          <w:color w:val="000000" w:themeColor="text1"/>
          <w:sz w:val="20"/>
          <w:szCs w:val="20"/>
          <w:lang w:val="en-GB"/>
        </w:rPr>
        <w:t xml:space="preserve">0.25 to get the share capital. The same approach gave a share capital of </w:t>
      </w:r>
      <w:r w:rsidR="005D4DBE" w:rsidRPr="008C1EA7">
        <w:rPr>
          <w:rFonts w:ascii="Arial" w:eastAsiaTheme="minorHAnsi" w:hAnsi="Arial" w:cs="Arial"/>
          <w:color w:val="000000" w:themeColor="text1"/>
          <w:sz w:val="20"/>
          <w:szCs w:val="20"/>
          <w:lang w:val="en-GB"/>
        </w:rPr>
        <w:t>SG$</w:t>
      </w:r>
      <w:r w:rsidRPr="008C1EA7">
        <w:rPr>
          <w:rFonts w:ascii="Arial" w:eastAsiaTheme="minorHAnsi" w:hAnsi="Arial" w:cs="Arial"/>
          <w:color w:val="000000" w:themeColor="text1"/>
          <w:sz w:val="20"/>
          <w:szCs w:val="20"/>
          <w:lang w:val="en-GB"/>
        </w:rPr>
        <w:t>288,697,000 after listing.</w:t>
      </w:r>
    </w:p>
    <w:p w14:paraId="526F5D94" w14:textId="77777777" w:rsidR="008035A9" w:rsidRPr="008C1EA7" w:rsidRDefault="008035A9" w:rsidP="008C1EA7">
      <w:pPr>
        <w:pStyle w:val="ListParagraph"/>
        <w:keepNext/>
        <w:keepLines/>
        <w:numPr>
          <w:ilvl w:val="0"/>
          <w:numId w:val="7"/>
        </w:numPr>
        <w:autoSpaceDE w:val="0"/>
        <w:autoSpaceDN w:val="0"/>
        <w:adjustRightInd w:val="0"/>
        <w:rPr>
          <w:rFonts w:ascii="Arial" w:eastAsiaTheme="minorHAnsi" w:hAnsi="Arial" w:cs="Arial"/>
          <w:color w:val="000000" w:themeColor="text1"/>
          <w:sz w:val="20"/>
          <w:szCs w:val="20"/>
          <w:lang w:val="en-GB"/>
        </w:rPr>
      </w:pPr>
      <w:r w:rsidRPr="008C1EA7">
        <w:rPr>
          <w:rFonts w:ascii="Arial" w:eastAsiaTheme="minorHAnsi" w:hAnsi="Arial" w:cs="Arial"/>
          <w:color w:val="000000" w:themeColor="text1"/>
          <w:sz w:val="20"/>
          <w:szCs w:val="20"/>
          <w:lang w:val="en-GB"/>
        </w:rPr>
        <w:t xml:space="preserve">Reserves were assumed to be constant. </w:t>
      </w:r>
    </w:p>
    <w:p w14:paraId="1565E0DE" w14:textId="7E9A9F32" w:rsidR="008035A9" w:rsidRPr="008C1EA7" w:rsidRDefault="008035A9" w:rsidP="008C1EA7">
      <w:pPr>
        <w:pStyle w:val="ListParagraph"/>
        <w:keepNext/>
        <w:keepLines/>
        <w:numPr>
          <w:ilvl w:val="0"/>
          <w:numId w:val="7"/>
        </w:numPr>
        <w:autoSpaceDE w:val="0"/>
        <w:autoSpaceDN w:val="0"/>
        <w:adjustRightInd w:val="0"/>
        <w:rPr>
          <w:rFonts w:ascii="Arial" w:eastAsiaTheme="minorHAnsi" w:hAnsi="Arial" w:cs="Arial"/>
          <w:color w:val="000000" w:themeColor="text1"/>
          <w:sz w:val="20"/>
          <w:szCs w:val="20"/>
          <w:lang w:val="en-GB"/>
        </w:rPr>
      </w:pPr>
      <w:r w:rsidRPr="008C1EA7">
        <w:rPr>
          <w:rFonts w:ascii="Arial" w:eastAsiaTheme="minorHAnsi" w:hAnsi="Arial" w:cs="Arial"/>
          <w:color w:val="000000" w:themeColor="text1"/>
          <w:sz w:val="20"/>
          <w:szCs w:val="20"/>
          <w:lang w:val="en-GB"/>
        </w:rPr>
        <w:t>All non-controlling interests were bought back</w:t>
      </w:r>
      <w:r w:rsidR="009751EE" w:rsidRPr="008C1EA7">
        <w:rPr>
          <w:rFonts w:ascii="Arial" w:eastAsiaTheme="minorHAnsi" w:hAnsi="Arial" w:cs="Arial"/>
          <w:color w:val="000000" w:themeColor="text1"/>
          <w:sz w:val="20"/>
          <w:szCs w:val="20"/>
          <w:lang w:val="en-GB"/>
        </w:rPr>
        <w:t>,</w:t>
      </w:r>
      <w:r w:rsidRPr="008C1EA7">
        <w:rPr>
          <w:rFonts w:ascii="Arial" w:eastAsiaTheme="minorHAnsi" w:hAnsi="Arial" w:cs="Arial"/>
          <w:color w:val="000000" w:themeColor="text1"/>
          <w:sz w:val="20"/>
          <w:szCs w:val="20"/>
          <w:lang w:val="en-GB"/>
        </w:rPr>
        <w:t xml:space="preserve"> and all subsidiaries became wholly owned. Thus it would be zero in future periods. </w:t>
      </w:r>
    </w:p>
    <w:p w14:paraId="00705FEC" w14:textId="77777777" w:rsidR="008035A9" w:rsidRPr="008C1EA7" w:rsidRDefault="008035A9" w:rsidP="008C1EA7">
      <w:pPr>
        <w:pStyle w:val="ListParagraph"/>
        <w:keepNext/>
        <w:keepLines/>
        <w:numPr>
          <w:ilvl w:val="0"/>
          <w:numId w:val="7"/>
        </w:numPr>
        <w:autoSpaceDE w:val="0"/>
        <w:autoSpaceDN w:val="0"/>
        <w:adjustRightInd w:val="0"/>
        <w:rPr>
          <w:rFonts w:ascii="Arial" w:eastAsiaTheme="minorHAnsi" w:hAnsi="Arial" w:cs="Arial"/>
          <w:color w:val="000000" w:themeColor="text1"/>
          <w:sz w:val="20"/>
          <w:szCs w:val="20"/>
          <w:lang w:val="en-GB"/>
        </w:rPr>
      </w:pPr>
      <w:r w:rsidRPr="008C1EA7">
        <w:rPr>
          <w:rFonts w:ascii="Arial" w:eastAsiaTheme="minorHAnsi" w:hAnsi="Arial" w:cs="Arial"/>
          <w:color w:val="000000" w:themeColor="text1"/>
          <w:sz w:val="20"/>
          <w:szCs w:val="20"/>
          <w:lang w:val="en-GB"/>
        </w:rPr>
        <w:t>Retained earnings were computed by taking prior year retained earnings plus net income minus dividends.</w:t>
      </w:r>
    </w:p>
    <w:p w14:paraId="721C87D8" w14:textId="51FEDEE5" w:rsidR="008035A9" w:rsidRDefault="008035A9" w:rsidP="008C1EA7">
      <w:pPr>
        <w:pStyle w:val="ListParagraph"/>
        <w:keepNext/>
        <w:keepLines/>
        <w:numPr>
          <w:ilvl w:val="0"/>
          <w:numId w:val="7"/>
        </w:numPr>
        <w:autoSpaceDE w:val="0"/>
        <w:autoSpaceDN w:val="0"/>
        <w:adjustRightInd w:val="0"/>
        <w:rPr>
          <w:rFonts w:ascii="Arial" w:eastAsiaTheme="minorHAnsi" w:hAnsi="Arial" w:cs="Arial"/>
          <w:color w:val="000000" w:themeColor="text1"/>
          <w:sz w:val="20"/>
          <w:szCs w:val="20"/>
          <w:lang w:val="en-GB"/>
        </w:rPr>
      </w:pPr>
      <w:r w:rsidRPr="008C1EA7">
        <w:rPr>
          <w:rFonts w:ascii="Arial" w:eastAsiaTheme="minorHAnsi" w:hAnsi="Arial" w:cs="Arial"/>
          <w:color w:val="000000" w:themeColor="text1"/>
          <w:sz w:val="20"/>
          <w:szCs w:val="20"/>
          <w:lang w:val="en-GB"/>
        </w:rPr>
        <w:t xml:space="preserve">Net operating working capital was computed by taking receivables plus inventories and prepayments less </w:t>
      </w:r>
      <w:r w:rsidR="008C1EA7">
        <w:rPr>
          <w:rFonts w:ascii="Arial" w:eastAsiaTheme="minorHAnsi" w:hAnsi="Arial" w:cs="Arial"/>
          <w:color w:val="000000" w:themeColor="text1"/>
          <w:sz w:val="20"/>
          <w:szCs w:val="20"/>
          <w:lang w:val="en-GB"/>
        </w:rPr>
        <w:t>payables and other liabilities.</w:t>
      </w:r>
    </w:p>
    <w:p w14:paraId="118C64AC" w14:textId="77777777" w:rsidR="008C1EA7" w:rsidRPr="008C1EA7" w:rsidRDefault="008C1EA7" w:rsidP="008C1EA7">
      <w:pPr>
        <w:keepNext/>
        <w:keepLines/>
        <w:autoSpaceDE w:val="0"/>
        <w:autoSpaceDN w:val="0"/>
        <w:adjustRightInd w:val="0"/>
        <w:rPr>
          <w:rFonts w:ascii="Arial" w:eastAsiaTheme="minorHAnsi" w:hAnsi="Arial" w:cs="Arial"/>
          <w:color w:val="000000" w:themeColor="text1"/>
          <w:lang w:val="en-GB"/>
        </w:rPr>
      </w:pPr>
    </w:p>
    <w:p w14:paraId="272663C7" w14:textId="2C9F1717" w:rsidR="009751EE" w:rsidRPr="008C1EA7" w:rsidRDefault="009751EE" w:rsidP="008C1EA7">
      <w:pPr>
        <w:pStyle w:val="Footnote"/>
      </w:pPr>
      <w:r w:rsidRPr="008C1EA7">
        <w:t xml:space="preserve">Note: </w:t>
      </w:r>
      <w:r w:rsidR="00313DBB" w:rsidRPr="008C1EA7">
        <w:t xml:space="preserve">SG$ = Singapore dollar; SG$1 = US$0.70540 on March 8, 2017. </w:t>
      </w:r>
      <w:r w:rsidRPr="008C1EA7">
        <w:t xml:space="preserve">* Lee </w:t>
      </w:r>
      <w:proofErr w:type="spellStart"/>
      <w:r w:rsidRPr="008C1EA7">
        <w:t>Meixian</w:t>
      </w:r>
      <w:proofErr w:type="spellEnd"/>
      <w:r w:rsidRPr="008C1EA7">
        <w:t>, “Moody's Projects Singapore Real GDP Growth for Full Year at 2.5%” in 2017,” Business Times, August 17, 2017, accessed September 23, 2017, www.businesstimes.com.sg/government-economy/moodys-projects-singapore-real-gdp-growth-for-full-year-at-25.</w:t>
      </w:r>
    </w:p>
    <w:p w14:paraId="169894EE" w14:textId="3CC529FA" w:rsidR="008035A9" w:rsidRPr="008C1EA7" w:rsidRDefault="008035A9" w:rsidP="008C1EA7">
      <w:pPr>
        <w:pStyle w:val="Footnote"/>
      </w:pPr>
      <w:r w:rsidRPr="008C1EA7">
        <w:t xml:space="preserve">Source: Assumptions made by </w:t>
      </w:r>
      <w:r w:rsidR="00313DBB" w:rsidRPr="008C1EA7">
        <w:t xml:space="preserve">the </w:t>
      </w:r>
      <w:r w:rsidRPr="008C1EA7">
        <w:t xml:space="preserve">authors </w:t>
      </w:r>
      <w:r w:rsidR="00313DBB" w:rsidRPr="008C1EA7">
        <w:t xml:space="preserve">are </w:t>
      </w:r>
      <w:r w:rsidRPr="008C1EA7">
        <w:t xml:space="preserve">based on trends and information obtained from </w:t>
      </w:r>
      <w:proofErr w:type="spellStart"/>
      <w:r w:rsidRPr="008C1EA7">
        <w:t>Kimly’s</w:t>
      </w:r>
      <w:proofErr w:type="spellEnd"/>
      <w:r w:rsidRPr="008C1EA7">
        <w:t xml:space="preserve"> financial statements</w:t>
      </w:r>
      <w:r w:rsidR="0098612B" w:rsidRPr="008C1EA7">
        <w:t>.</w:t>
      </w:r>
    </w:p>
    <w:p w14:paraId="558E1CDA" w14:textId="77777777" w:rsidR="009751EE" w:rsidRPr="006A6F1F" w:rsidRDefault="009751EE" w:rsidP="008035A9">
      <w:pPr>
        <w:pStyle w:val="ExhibitHeading"/>
        <w:rPr>
          <w:color w:val="000000" w:themeColor="text1"/>
          <w:lang w:val="en-GB"/>
        </w:rPr>
      </w:pPr>
    </w:p>
    <w:p w14:paraId="72065CBF" w14:textId="77777777" w:rsidR="00C806A6" w:rsidRPr="006A6F1F" w:rsidRDefault="00C806A6" w:rsidP="0062193B">
      <w:pPr>
        <w:pStyle w:val="Footnote"/>
        <w:spacing w:before="120"/>
        <w:rPr>
          <w:b/>
          <w:caps/>
          <w:color w:val="000000" w:themeColor="text1"/>
          <w:highlight w:val="yellow"/>
          <w:lang w:val="en-GB"/>
        </w:rPr>
        <w:sectPr w:rsidR="00C806A6" w:rsidRPr="006A6F1F" w:rsidSect="003F2FE5">
          <w:headerReference w:type="default" r:id="rId19"/>
          <w:endnotePr>
            <w:numFmt w:val="decimal"/>
          </w:endnotePr>
          <w:pgSz w:w="12240" w:h="15840"/>
          <w:pgMar w:top="1080" w:right="1440" w:bottom="1440" w:left="1440" w:header="1080" w:footer="720" w:gutter="0"/>
          <w:cols w:space="720"/>
          <w:docGrid w:linePitch="360"/>
        </w:sectPr>
      </w:pPr>
    </w:p>
    <w:p w14:paraId="79210F55" w14:textId="5D1F2A52" w:rsidR="000E0DB3" w:rsidRPr="006A6F1F" w:rsidRDefault="0085053B" w:rsidP="0062193B">
      <w:pPr>
        <w:pStyle w:val="ExhibitHeading"/>
        <w:keepNext/>
        <w:keepLines/>
        <w:rPr>
          <w:color w:val="000000" w:themeColor="text1"/>
          <w:lang w:val="en-GB"/>
        </w:rPr>
      </w:pPr>
      <w:r w:rsidRPr="006A6F1F">
        <w:rPr>
          <w:color w:val="000000" w:themeColor="text1"/>
          <w:lang w:val="en-GB"/>
        </w:rPr>
        <w:lastRenderedPageBreak/>
        <w:t xml:space="preserve">Exhibit </w:t>
      </w:r>
      <w:r w:rsidR="00F975F3" w:rsidRPr="006A6F1F">
        <w:rPr>
          <w:color w:val="000000" w:themeColor="text1"/>
          <w:lang w:val="en-GB"/>
        </w:rPr>
        <w:t>9</w:t>
      </w:r>
      <w:r w:rsidRPr="006A6F1F">
        <w:rPr>
          <w:color w:val="000000" w:themeColor="text1"/>
          <w:lang w:val="en-GB"/>
        </w:rPr>
        <w:t xml:space="preserve">: </w:t>
      </w:r>
      <w:r w:rsidR="00C806A6" w:rsidRPr="006A6F1F">
        <w:rPr>
          <w:color w:val="000000" w:themeColor="text1"/>
          <w:lang w:val="en-GB"/>
        </w:rPr>
        <w:t xml:space="preserve">key financial data of </w:t>
      </w:r>
      <w:r w:rsidRPr="006A6F1F">
        <w:rPr>
          <w:color w:val="000000" w:themeColor="text1"/>
          <w:lang w:val="en-GB"/>
        </w:rPr>
        <w:t>potential peers</w:t>
      </w:r>
    </w:p>
    <w:p w14:paraId="0FA78207" w14:textId="77777777" w:rsidR="00EE54FA" w:rsidRPr="006A6F1F" w:rsidRDefault="00EE54FA" w:rsidP="0062193B">
      <w:pPr>
        <w:pStyle w:val="ExhibitHeading"/>
        <w:keepNext/>
        <w:keepLines/>
        <w:rPr>
          <w:color w:val="000000" w:themeColor="text1"/>
          <w:sz w:val="14"/>
          <w:lang w:val="en-GB"/>
        </w:rPr>
      </w:pPr>
    </w:p>
    <w:tbl>
      <w:tblPr>
        <w:tblStyle w:val="TableGrid11"/>
        <w:tblW w:w="11423" w:type="dxa"/>
        <w:jc w:val="center"/>
        <w:tblLayout w:type="fixed"/>
        <w:tblLook w:val="04A0" w:firstRow="1" w:lastRow="0" w:firstColumn="1" w:lastColumn="0" w:noHBand="0" w:noVBand="1"/>
      </w:tblPr>
      <w:tblGrid>
        <w:gridCol w:w="2122"/>
        <w:gridCol w:w="1023"/>
        <w:gridCol w:w="1555"/>
        <w:gridCol w:w="1240"/>
        <w:gridCol w:w="960"/>
        <w:gridCol w:w="1105"/>
        <w:gridCol w:w="961"/>
        <w:gridCol w:w="1217"/>
        <w:gridCol w:w="1240"/>
      </w:tblGrid>
      <w:tr w:rsidR="00072E8C" w:rsidRPr="006A6F1F" w14:paraId="2598852B" w14:textId="77777777" w:rsidTr="00E06292">
        <w:trPr>
          <w:trHeight w:hRule="exact" w:val="432"/>
          <w:jc w:val="center"/>
        </w:trPr>
        <w:tc>
          <w:tcPr>
            <w:tcW w:w="2122" w:type="dxa"/>
            <w:noWrap/>
            <w:hideMark/>
          </w:tcPr>
          <w:p w14:paraId="2CD2C84E" w14:textId="77777777" w:rsidR="00072E8C" w:rsidRPr="006A6F1F" w:rsidRDefault="00072E8C" w:rsidP="00486FFE">
            <w:pPr>
              <w:keepNext/>
              <w:keepLines/>
              <w:jc w:val="center"/>
              <w:rPr>
                <w:rFonts w:ascii="Arial" w:hAnsi="Arial" w:cs="Arial"/>
                <w:b/>
                <w:bCs/>
                <w:color w:val="000000" w:themeColor="text1"/>
                <w:sz w:val="18"/>
                <w:szCs w:val="18"/>
                <w:lang w:val="en-GB" w:eastAsia="en-SG"/>
              </w:rPr>
            </w:pPr>
            <w:r w:rsidRPr="006A6F1F">
              <w:rPr>
                <w:rFonts w:ascii="Arial" w:hAnsi="Arial" w:cs="Arial"/>
                <w:b/>
                <w:bCs/>
                <w:color w:val="000000" w:themeColor="text1"/>
                <w:sz w:val="18"/>
                <w:szCs w:val="18"/>
                <w:lang w:val="en-GB" w:eastAsia="en-SG"/>
              </w:rPr>
              <w:t>Company</w:t>
            </w:r>
          </w:p>
        </w:tc>
        <w:tc>
          <w:tcPr>
            <w:tcW w:w="1023" w:type="dxa"/>
            <w:hideMark/>
          </w:tcPr>
          <w:p w14:paraId="2D5B2417" w14:textId="593BF876" w:rsidR="00072E8C" w:rsidRPr="006A6F1F" w:rsidRDefault="00072E8C" w:rsidP="00BF56EC">
            <w:pPr>
              <w:keepNext/>
              <w:keepLines/>
              <w:jc w:val="center"/>
              <w:rPr>
                <w:rFonts w:ascii="Arial" w:hAnsi="Arial" w:cs="Arial"/>
                <w:b/>
                <w:bCs/>
                <w:color w:val="000000" w:themeColor="text1"/>
                <w:sz w:val="18"/>
                <w:szCs w:val="18"/>
                <w:lang w:val="en-GB" w:eastAsia="en-SG"/>
              </w:rPr>
            </w:pPr>
            <w:proofErr w:type="spellStart"/>
            <w:r w:rsidRPr="006A6F1F">
              <w:rPr>
                <w:rFonts w:ascii="Arial" w:hAnsi="Arial" w:cs="Arial"/>
                <w:b/>
                <w:bCs/>
                <w:color w:val="000000" w:themeColor="text1"/>
                <w:sz w:val="18"/>
                <w:szCs w:val="18"/>
                <w:lang w:val="en-GB" w:eastAsia="en-SG"/>
              </w:rPr>
              <w:t>Price</w:t>
            </w:r>
            <w:r w:rsidRPr="006A6F1F">
              <w:rPr>
                <w:rFonts w:ascii="Arial" w:hAnsi="Arial" w:cs="Arial"/>
                <w:b/>
                <w:bCs/>
                <w:color w:val="000000" w:themeColor="text1"/>
                <w:sz w:val="18"/>
                <w:szCs w:val="18"/>
                <w:vertAlign w:val="superscript"/>
                <w:lang w:val="en-GB" w:eastAsia="en-SG"/>
              </w:rPr>
              <w:t>a</w:t>
            </w:r>
            <w:r w:rsidR="004D4A76">
              <w:rPr>
                <w:rFonts w:ascii="Arial" w:hAnsi="Arial" w:cs="Arial"/>
                <w:b/>
                <w:bCs/>
                <w:color w:val="000000" w:themeColor="text1"/>
                <w:sz w:val="18"/>
                <w:szCs w:val="18"/>
                <w:vertAlign w:val="superscript"/>
                <w:lang w:val="en-GB" w:eastAsia="en-SG"/>
              </w:rPr>
              <w:t>,b</w:t>
            </w:r>
            <w:proofErr w:type="spellEnd"/>
            <w:r w:rsidRPr="006A6F1F">
              <w:rPr>
                <w:rFonts w:ascii="Arial" w:hAnsi="Arial" w:cs="Arial"/>
                <w:b/>
                <w:bCs/>
                <w:color w:val="000000" w:themeColor="text1"/>
                <w:sz w:val="18"/>
                <w:szCs w:val="18"/>
                <w:lang w:val="en-GB" w:eastAsia="en-SG"/>
              </w:rPr>
              <w:t xml:space="preserve"> (SG</w:t>
            </w:r>
            <w:r w:rsidR="00313DBB">
              <w:rPr>
                <w:rFonts w:ascii="Arial" w:hAnsi="Arial" w:cs="Arial"/>
                <w:b/>
                <w:bCs/>
                <w:color w:val="000000" w:themeColor="text1"/>
                <w:sz w:val="18"/>
                <w:szCs w:val="18"/>
                <w:lang w:val="en-GB" w:eastAsia="en-SG"/>
              </w:rPr>
              <w:t>$</w:t>
            </w:r>
            <w:r w:rsidRPr="006A6F1F">
              <w:rPr>
                <w:rFonts w:ascii="Arial" w:hAnsi="Arial" w:cs="Arial"/>
                <w:b/>
                <w:bCs/>
                <w:color w:val="000000" w:themeColor="text1"/>
                <w:sz w:val="18"/>
                <w:szCs w:val="18"/>
                <w:lang w:val="en-GB" w:eastAsia="en-SG"/>
              </w:rPr>
              <w:t>)</w:t>
            </w:r>
          </w:p>
        </w:tc>
        <w:tc>
          <w:tcPr>
            <w:tcW w:w="1555" w:type="dxa"/>
            <w:hideMark/>
          </w:tcPr>
          <w:p w14:paraId="1C845256" w14:textId="77777777" w:rsidR="00072E8C" w:rsidRPr="006A6F1F" w:rsidRDefault="00072E8C" w:rsidP="0062193B">
            <w:pPr>
              <w:keepNext/>
              <w:keepLines/>
              <w:jc w:val="center"/>
              <w:rPr>
                <w:rFonts w:ascii="Arial" w:hAnsi="Arial" w:cs="Arial"/>
                <w:b/>
                <w:bCs/>
                <w:color w:val="000000" w:themeColor="text1"/>
                <w:sz w:val="18"/>
                <w:szCs w:val="18"/>
                <w:lang w:val="en-GB" w:eastAsia="en-SG"/>
              </w:rPr>
            </w:pPr>
            <w:r w:rsidRPr="006A6F1F">
              <w:rPr>
                <w:rFonts w:ascii="Arial" w:hAnsi="Arial" w:cs="Arial"/>
                <w:b/>
                <w:bCs/>
                <w:color w:val="000000" w:themeColor="text1"/>
                <w:sz w:val="18"/>
                <w:szCs w:val="18"/>
                <w:lang w:val="en-GB" w:eastAsia="en-SG"/>
              </w:rPr>
              <w:t>Shares Outstanding (mm)</w:t>
            </w:r>
          </w:p>
        </w:tc>
        <w:tc>
          <w:tcPr>
            <w:tcW w:w="1240" w:type="dxa"/>
            <w:hideMark/>
          </w:tcPr>
          <w:p w14:paraId="1B5767C4" w14:textId="77777777" w:rsidR="00072E8C" w:rsidRPr="006A6F1F" w:rsidRDefault="00072E8C" w:rsidP="0062193B">
            <w:pPr>
              <w:keepNext/>
              <w:keepLines/>
              <w:jc w:val="center"/>
              <w:rPr>
                <w:rFonts w:ascii="Arial" w:hAnsi="Arial" w:cs="Arial"/>
                <w:b/>
                <w:bCs/>
                <w:color w:val="000000" w:themeColor="text1"/>
                <w:sz w:val="18"/>
                <w:szCs w:val="18"/>
                <w:lang w:val="en-GB" w:eastAsia="en-SG"/>
              </w:rPr>
            </w:pPr>
            <w:r w:rsidRPr="006A6F1F">
              <w:rPr>
                <w:rFonts w:ascii="Arial" w:hAnsi="Arial" w:cs="Arial"/>
                <w:b/>
                <w:bCs/>
                <w:color w:val="000000" w:themeColor="text1"/>
                <w:sz w:val="18"/>
                <w:szCs w:val="18"/>
                <w:lang w:val="en-GB" w:eastAsia="en-SG"/>
              </w:rPr>
              <w:t>Book Debt</w:t>
            </w:r>
          </w:p>
        </w:tc>
        <w:tc>
          <w:tcPr>
            <w:tcW w:w="960" w:type="dxa"/>
            <w:hideMark/>
          </w:tcPr>
          <w:p w14:paraId="0334785D" w14:textId="77777777" w:rsidR="00072E8C" w:rsidRPr="006A6F1F" w:rsidRDefault="00072E8C" w:rsidP="0062193B">
            <w:pPr>
              <w:keepNext/>
              <w:keepLines/>
              <w:jc w:val="center"/>
              <w:rPr>
                <w:rFonts w:ascii="Arial" w:hAnsi="Arial" w:cs="Arial"/>
                <w:b/>
                <w:bCs/>
                <w:color w:val="000000" w:themeColor="text1"/>
                <w:sz w:val="18"/>
                <w:szCs w:val="18"/>
                <w:lang w:val="en-GB" w:eastAsia="en-SG"/>
              </w:rPr>
            </w:pPr>
            <w:r w:rsidRPr="006A6F1F">
              <w:rPr>
                <w:rFonts w:ascii="Arial" w:hAnsi="Arial" w:cs="Arial"/>
                <w:b/>
                <w:bCs/>
                <w:color w:val="000000" w:themeColor="text1"/>
                <w:sz w:val="18"/>
                <w:szCs w:val="18"/>
                <w:lang w:val="en-GB" w:eastAsia="en-SG"/>
              </w:rPr>
              <w:t>Cash</w:t>
            </w:r>
          </w:p>
        </w:tc>
        <w:tc>
          <w:tcPr>
            <w:tcW w:w="1105" w:type="dxa"/>
            <w:hideMark/>
          </w:tcPr>
          <w:p w14:paraId="0EFA3711" w14:textId="6CB7B41C" w:rsidR="00072E8C" w:rsidRPr="006A6F1F" w:rsidRDefault="00072E8C" w:rsidP="00BF56EC">
            <w:pPr>
              <w:keepNext/>
              <w:keepLines/>
              <w:jc w:val="center"/>
              <w:rPr>
                <w:rFonts w:ascii="Arial" w:hAnsi="Arial" w:cs="Arial"/>
                <w:b/>
                <w:bCs/>
                <w:color w:val="000000" w:themeColor="text1"/>
                <w:sz w:val="18"/>
                <w:szCs w:val="18"/>
                <w:lang w:val="en-GB" w:eastAsia="en-SG"/>
              </w:rPr>
            </w:pPr>
            <w:r w:rsidRPr="006A6F1F">
              <w:rPr>
                <w:rFonts w:ascii="Arial" w:hAnsi="Arial" w:cs="Arial"/>
                <w:b/>
                <w:bCs/>
                <w:color w:val="000000" w:themeColor="text1"/>
                <w:sz w:val="18"/>
                <w:szCs w:val="18"/>
                <w:lang w:val="en-GB" w:eastAsia="en-SG"/>
              </w:rPr>
              <w:t>E</w:t>
            </w:r>
            <w:r w:rsidR="00313DBB">
              <w:rPr>
                <w:rFonts w:ascii="Arial" w:hAnsi="Arial" w:cs="Arial"/>
                <w:b/>
                <w:bCs/>
                <w:color w:val="000000" w:themeColor="text1"/>
                <w:sz w:val="18"/>
                <w:szCs w:val="18"/>
                <w:lang w:val="en-GB" w:eastAsia="en-SG"/>
              </w:rPr>
              <w:t>arnings per Share</w:t>
            </w:r>
          </w:p>
        </w:tc>
        <w:tc>
          <w:tcPr>
            <w:tcW w:w="961" w:type="dxa"/>
            <w:hideMark/>
          </w:tcPr>
          <w:p w14:paraId="301F5242" w14:textId="77777777" w:rsidR="00072E8C" w:rsidRPr="006A6F1F" w:rsidRDefault="00072E8C" w:rsidP="0062193B">
            <w:pPr>
              <w:keepNext/>
              <w:keepLines/>
              <w:jc w:val="center"/>
              <w:rPr>
                <w:rFonts w:ascii="Arial" w:hAnsi="Arial" w:cs="Arial"/>
                <w:b/>
                <w:bCs/>
                <w:color w:val="000000" w:themeColor="text1"/>
                <w:sz w:val="18"/>
                <w:szCs w:val="18"/>
                <w:lang w:val="en-GB" w:eastAsia="en-SG"/>
              </w:rPr>
            </w:pPr>
            <w:r w:rsidRPr="006A6F1F">
              <w:rPr>
                <w:rFonts w:ascii="Arial" w:hAnsi="Arial" w:cs="Arial"/>
                <w:b/>
                <w:bCs/>
                <w:color w:val="000000" w:themeColor="text1"/>
                <w:sz w:val="18"/>
                <w:szCs w:val="18"/>
                <w:lang w:val="en-GB" w:eastAsia="en-SG"/>
              </w:rPr>
              <w:t>EBITDA</w:t>
            </w:r>
          </w:p>
        </w:tc>
        <w:tc>
          <w:tcPr>
            <w:tcW w:w="1217" w:type="dxa"/>
            <w:hideMark/>
          </w:tcPr>
          <w:p w14:paraId="3CA3789B" w14:textId="77777777" w:rsidR="00072E8C" w:rsidRPr="006A6F1F" w:rsidRDefault="00072E8C" w:rsidP="0062193B">
            <w:pPr>
              <w:keepNext/>
              <w:keepLines/>
              <w:jc w:val="center"/>
              <w:rPr>
                <w:rFonts w:ascii="Arial" w:hAnsi="Arial" w:cs="Arial"/>
                <w:b/>
                <w:bCs/>
                <w:color w:val="000000" w:themeColor="text1"/>
                <w:sz w:val="18"/>
                <w:szCs w:val="18"/>
                <w:lang w:val="en-GB" w:eastAsia="en-SG"/>
              </w:rPr>
            </w:pPr>
            <w:r w:rsidRPr="006A6F1F">
              <w:rPr>
                <w:rFonts w:ascii="Arial" w:hAnsi="Arial" w:cs="Arial"/>
                <w:b/>
                <w:bCs/>
                <w:color w:val="000000" w:themeColor="text1"/>
                <w:sz w:val="18"/>
                <w:szCs w:val="18"/>
                <w:lang w:val="en-GB" w:eastAsia="en-SG"/>
              </w:rPr>
              <w:t>Revenue</w:t>
            </w:r>
          </w:p>
        </w:tc>
        <w:tc>
          <w:tcPr>
            <w:tcW w:w="1240" w:type="dxa"/>
            <w:noWrap/>
            <w:hideMark/>
          </w:tcPr>
          <w:p w14:paraId="6656A8D9" w14:textId="5E858FEE" w:rsidR="00072E8C" w:rsidRPr="006A6F1F" w:rsidRDefault="00072E8C" w:rsidP="004D4A76">
            <w:pPr>
              <w:keepNext/>
              <w:keepLines/>
              <w:jc w:val="center"/>
              <w:rPr>
                <w:rFonts w:ascii="Arial" w:hAnsi="Arial" w:cs="Arial"/>
                <w:b/>
                <w:bCs/>
                <w:color w:val="000000" w:themeColor="text1"/>
                <w:sz w:val="18"/>
                <w:szCs w:val="18"/>
                <w:lang w:val="en-GB" w:eastAsia="en-SG"/>
              </w:rPr>
            </w:pPr>
            <w:r w:rsidRPr="006A6F1F">
              <w:rPr>
                <w:rFonts w:ascii="Arial" w:hAnsi="Arial" w:cs="Arial"/>
                <w:b/>
                <w:bCs/>
                <w:color w:val="000000" w:themeColor="text1"/>
                <w:sz w:val="18"/>
                <w:szCs w:val="18"/>
                <w:lang w:val="en-GB" w:eastAsia="en-SG"/>
              </w:rPr>
              <w:t xml:space="preserve">Equity </w:t>
            </w:r>
            <w:proofErr w:type="spellStart"/>
            <w:r w:rsidRPr="006A6F1F">
              <w:rPr>
                <w:rFonts w:ascii="Arial" w:hAnsi="Arial" w:cs="Arial"/>
                <w:b/>
                <w:bCs/>
                <w:color w:val="000000" w:themeColor="text1"/>
                <w:sz w:val="18"/>
                <w:szCs w:val="18"/>
                <w:lang w:val="en-GB" w:eastAsia="en-SG"/>
              </w:rPr>
              <w:t>Beta</w:t>
            </w:r>
            <w:r w:rsidR="004D4A76">
              <w:rPr>
                <w:rFonts w:ascii="Arial" w:hAnsi="Arial" w:cs="Arial"/>
                <w:b/>
                <w:bCs/>
                <w:color w:val="000000" w:themeColor="text1"/>
                <w:sz w:val="18"/>
                <w:szCs w:val="18"/>
                <w:vertAlign w:val="superscript"/>
                <w:lang w:val="en-GB" w:eastAsia="en-SG"/>
              </w:rPr>
              <w:t>c</w:t>
            </w:r>
            <w:proofErr w:type="spellEnd"/>
          </w:p>
        </w:tc>
      </w:tr>
      <w:tr w:rsidR="00072E8C" w:rsidRPr="006A6F1F" w14:paraId="34FE0441" w14:textId="77777777" w:rsidTr="00E06292">
        <w:trPr>
          <w:trHeight w:hRule="exact" w:val="288"/>
          <w:jc w:val="center"/>
        </w:trPr>
        <w:tc>
          <w:tcPr>
            <w:tcW w:w="2122" w:type="dxa"/>
            <w:hideMark/>
          </w:tcPr>
          <w:p w14:paraId="67399185" w14:textId="77777777" w:rsidR="00072E8C" w:rsidRPr="006A6F1F" w:rsidRDefault="00072E8C" w:rsidP="0062193B">
            <w:pPr>
              <w:keepNext/>
              <w:keepLines/>
              <w:rPr>
                <w:rFonts w:ascii="Arial" w:hAnsi="Arial" w:cs="Arial"/>
                <w:color w:val="000000" w:themeColor="text1"/>
                <w:sz w:val="18"/>
                <w:szCs w:val="18"/>
                <w:lang w:val="en-GB" w:eastAsia="en-SG"/>
              </w:rPr>
            </w:pPr>
            <w:proofErr w:type="spellStart"/>
            <w:r w:rsidRPr="006A6F1F">
              <w:rPr>
                <w:rFonts w:ascii="Arial" w:hAnsi="Arial" w:cs="Arial"/>
                <w:color w:val="000000" w:themeColor="text1"/>
                <w:sz w:val="18"/>
                <w:szCs w:val="18"/>
                <w:lang w:val="en-GB" w:eastAsia="en-SG"/>
              </w:rPr>
              <w:t>Pavillon</w:t>
            </w:r>
            <w:proofErr w:type="spellEnd"/>
            <w:r w:rsidRPr="006A6F1F">
              <w:rPr>
                <w:rFonts w:ascii="Arial" w:hAnsi="Arial" w:cs="Arial"/>
                <w:color w:val="000000" w:themeColor="text1"/>
                <w:sz w:val="18"/>
                <w:szCs w:val="18"/>
                <w:lang w:val="en-GB" w:eastAsia="en-SG"/>
              </w:rPr>
              <w:t xml:space="preserve"> Holdings</w:t>
            </w:r>
          </w:p>
        </w:tc>
        <w:tc>
          <w:tcPr>
            <w:tcW w:w="1023" w:type="dxa"/>
            <w:hideMark/>
          </w:tcPr>
          <w:p w14:paraId="26907F6C"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$0.05</w:t>
            </w:r>
          </w:p>
        </w:tc>
        <w:tc>
          <w:tcPr>
            <w:tcW w:w="1555" w:type="dxa"/>
            <w:hideMark/>
          </w:tcPr>
          <w:p w14:paraId="10751F7D"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387.75</w:t>
            </w:r>
          </w:p>
        </w:tc>
        <w:tc>
          <w:tcPr>
            <w:tcW w:w="1240" w:type="dxa"/>
            <w:hideMark/>
          </w:tcPr>
          <w:p w14:paraId="7845BC4C"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$0.00</w:t>
            </w:r>
          </w:p>
        </w:tc>
        <w:tc>
          <w:tcPr>
            <w:tcW w:w="960" w:type="dxa"/>
            <w:hideMark/>
          </w:tcPr>
          <w:p w14:paraId="2655B12A"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$11.64</w:t>
            </w:r>
          </w:p>
        </w:tc>
        <w:tc>
          <w:tcPr>
            <w:tcW w:w="1105" w:type="dxa"/>
            <w:hideMark/>
          </w:tcPr>
          <w:p w14:paraId="407A4DFB" w14:textId="0CA90151"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$0.001</w:t>
            </w:r>
            <w:r w:rsidR="008D6684" w:rsidRPr="006A6F1F">
              <w:rPr>
                <w:rFonts w:ascii="Arial" w:hAnsi="Arial" w:cs="Arial"/>
                <w:color w:val="000000" w:themeColor="text1"/>
                <w:sz w:val="18"/>
                <w:szCs w:val="18"/>
                <w:lang w:val="en-GB" w:eastAsia="en-SG"/>
              </w:rPr>
              <w:t>5</w:t>
            </w:r>
          </w:p>
        </w:tc>
        <w:tc>
          <w:tcPr>
            <w:tcW w:w="961" w:type="dxa"/>
            <w:hideMark/>
          </w:tcPr>
          <w:p w14:paraId="2F0E7917" w14:textId="4123C5E3" w:rsidR="00072E8C" w:rsidRPr="006A6F1F" w:rsidRDefault="007E33C6"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w:t>
            </w:r>
            <w:r w:rsidR="00072E8C" w:rsidRPr="006A6F1F">
              <w:rPr>
                <w:rFonts w:ascii="Arial" w:hAnsi="Arial" w:cs="Arial"/>
                <w:color w:val="000000" w:themeColor="text1"/>
                <w:sz w:val="18"/>
                <w:szCs w:val="18"/>
                <w:lang w:val="en-GB" w:eastAsia="en-SG"/>
              </w:rPr>
              <w:t>$0.39</w:t>
            </w:r>
          </w:p>
        </w:tc>
        <w:tc>
          <w:tcPr>
            <w:tcW w:w="1217" w:type="dxa"/>
            <w:hideMark/>
          </w:tcPr>
          <w:p w14:paraId="59483834"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$11.94</w:t>
            </w:r>
          </w:p>
        </w:tc>
        <w:tc>
          <w:tcPr>
            <w:tcW w:w="1240" w:type="dxa"/>
            <w:hideMark/>
          </w:tcPr>
          <w:p w14:paraId="42A0FC5B" w14:textId="383F3D53"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0.28</w:t>
            </w:r>
            <w:r w:rsidR="007E33C6" w:rsidRPr="006A6F1F">
              <w:rPr>
                <w:rFonts w:ascii="Arial" w:hAnsi="Arial" w:cs="Arial"/>
                <w:color w:val="000000" w:themeColor="text1"/>
                <w:sz w:val="18"/>
                <w:szCs w:val="18"/>
                <w:lang w:val="en-GB" w:eastAsia="en-SG"/>
              </w:rPr>
              <w:t>0</w:t>
            </w:r>
          </w:p>
        </w:tc>
      </w:tr>
      <w:tr w:rsidR="00072E8C" w:rsidRPr="006A6F1F" w14:paraId="6F67B4CA" w14:textId="77777777" w:rsidTr="00E06292">
        <w:trPr>
          <w:trHeight w:hRule="exact" w:val="288"/>
          <w:jc w:val="center"/>
        </w:trPr>
        <w:tc>
          <w:tcPr>
            <w:tcW w:w="2122" w:type="dxa"/>
            <w:hideMark/>
          </w:tcPr>
          <w:p w14:paraId="0FF5F93F" w14:textId="77777777" w:rsidR="00072E8C" w:rsidRPr="006A6F1F" w:rsidRDefault="00072E8C" w:rsidP="0062193B">
            <w:pPr>
              <w:keepNext/>
              <w:keepLines/>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Japan Foods Holding</w:t>
            </w:r>
          </w:p>
        </w:tc>
        <w:tc>
          <w:tcPr>
            <w:tcW w:w="1023" w:type="dxa"/>
            <w:hideMark/>
          </w:tcPr>
          <w:p w14:paraId="6A67B23D"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$0.44</w:t>
            </w:r>
          </w:p>
        </w:tc>
        <w:tc>
          <w:tcPr>
            <w:tcW w:w="1555" w:type="dxa"/>
            <w:hideMark/>
          </w:tcPr>
          <w:p w14:paraId="272DAB86"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174.44</w:t>
            </w:r>
          </w:p>
        </w:tc>
        <w:tc>
          <w:tcPr>
            <w:tcW w:w="1240" w:type="dxa"/>
            <w:hideMark/>
          </w:tcPr>
          <w:p w14:paraId="1E19F399"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$0.00</w:t>
            </w:r>
          </w:p>
        </w:tc>
        <w:tc>
          <w:tcPr>
            <w:tcW w:w="960" w:type="dxa"/>
            <w:hideMark/>
          </w:tcPr>
          <w:p w14:paraId="64A2E5BC"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$19.02</w:t>
            </w:r>
          </w:p>
        </w:tc>
        <w:tc>
          <w:tcPr>
            <w:tcW w:w="1105" w:type="dxa"/>
            <w:hideMark/>
          </w:tcPr>
          <w:p w14:paraId="58543D21" w14:textId="146B673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$0.</w:t>
            </w:r>
            <w:r w:rsidR="008D6684" w:rsidRPr="006A6F1F">
              <w:rPr>
                <w:rFonts w:ascii="Arial" w:hAnsi="Arial" w:cs="Arial"/>
                <w:color w:val="000000" w:themeColor="text1"/>
                <w:sz w:val="18"/>
                <w:szCs w:val="18"/>
                <w:lang w:val="en-GB" w:eastAsia="en-SG"/>
              </w:rPr>
              <w:t>0268</w:t>
            </w:r>
          </w:p>
        </w:tc>
        <w:tc>
          <w:tcPr>
            <w:tcW w:w="961" w:type="dxa"/>
            <w:hideMark/>
          </w:tcPr>
          <w:p w14:paraId="32BA010B"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$10.03</w:t>
            </w:r>
          </w:p>
        </w:tc>
        <w:tc>
          <w:tcPr>
            <w:tcW w:w="1217" w:type="dxa"/>
            <w:hideMark/>
          </w:tcPr>
          <w:p w14:paraId="24C6C59C"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$68.08</w:t>
            </w:r>
          </w:p>
        </w:tc>
        <w:tc>
          <w:tcPr>
            <w:tcW w:w="1240" w:type="dxa"/>
            <w:hideMark/>
          </w:tcPr>
          <w:p w14:paraId="7897B780" w14:textId="6D20739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0.50</w:t>
            </w:r>
            <w:r w:rsidR="007E33C6" w:rsidRPr="006A6F1F">
              <w:rPr>
                <w:rFonts w:ascii="Arial" w:hAnsi="Arial" w:cs="Arial"/>
                <w:color w:val="000000" w:themeColor="text1"/>
                <w:sz w:val="18"/>
                <w:szCs w:val="18"/>
                <w:lang w:val="en-GB" w:eastAsia="en-SG"/>
              </w:rPr>
              <w:t>0</w:t>
            </w:r>
          </w:p>
        </w:tc>
      </w:tr>
      <w:tr w:rsidR="00072E8C" w:rsidRPr="006A6F1F" w14:paraId="6D078542" w14:textId="77777777" w:rsidTr="00E06292">
        <w:trPr>
          <w:trHeight w:hRule="exact" w:val="288"/>
          <w:jc w:val="center"/>
        </w:trPr>
        <w:tc>
          <w:tcPr>
            <w:tcW w:w="2122" w:type="dxa"/>
            <w:hideMark/>
          </w:tcPr>
          <w:p w14:paraId="788F9CFE" w14:textId="77777777" w:rsidR="00072E8C" w:rsidRPr="006A6F1F" w:rsidRDefault="00072E8C" w:rsidP="0062193B">
            <w:pPr>
              <w:keepNext/>
              <w:keepLines/>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Sakae</w:t>
            </w:r>
          </w:p>
        </w:tc>
        <w:tc>
          <w:tcPr>
            <w:tcW w:w="1023" w:type="dxa"/>
            <w:hideMark/>
          </w:tcPr>
          <w:p w14:paraId="3886C6F7"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$0.35</w:t>
            </w:r>
          </w:p>
        </w:tc>
        <w:tc>
          <w:tcPr>
            <w:tcW w:w="1555" w:type="dxa"/>
            <w:hideMark/>
          </w:tcPr>
          <w:p w14:paraId="258BD3F7"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142.00</w:t>
            </w:r>
          </w:p>
        </w:tc>
        <w:tc>
          <w:tcPr>
            <w:tcW w:w="1240" w:type="dxa"/>
            <w:hideMark/>
          </w:tcPr>
          <w:p w14:paraId="004F633B"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$48.70</w:t>
            </w:r>
          </w:p>
        </w:tc>
        <w:tc>
          <w:tcPr>
            <w:tcW w:w="960" w:type="dxa"/>
            <w:hideMark/>
          </w:tcPr>
          <w:p w14:paraId="009E8044"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$11.40</w:t>
            </w:r>
          </w:p>
        </w:tc>
        <w:tc>
          <w:tcPr>
            <w:tcW w:w="1105" w:type="dxa"/>
            <w:hideMark/>
          </w:tcPr>
          <w:p w14:paraId="5BAB5C29" w14:textId="2C53824D" w:rsidR="00072E8C" w:rsidRPr="006A6F1F" w:rsidRDefault="007E33C6"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w:t>
            </w:r>
            <w:r w:rsidR="00072E8C" w:rsidRPr="006A6F1F">
              <w:rPr>
                <w:rFonts w:ascii="Arial" w:hAnsi="Arial" w:cs="Arial"/>
                <w:color w:val="000000" w:themeColor="text1"/>
                <w:sz w:val="18"/>
                <w:szCs w:val="18"/>
                <w:lang w:val="en-GB" w:eastAsia="en-SG"/>
              </w:rPr>
              <w:t>$0.</w:t>
            </w:r>
            <w:r w:rsidR="008D6684" w:rsidRPr="006A6F1F">
              <w:rPr>
                <w:rFonts w:ascii="Arial" w:hAnsi="Arial" w:cs="Arial"/>
                <w:color w:val="000000" w:themeColor="text1"/>
                <w:sz w:val="18"/>
                <w:szCs w:val="18"/>
                <w:lang w:val="en-GB" w:eastAsia="en-SG"/>
              </w:rPr>
              <w:t>0819</w:t>
            </w:r>
          </w:p>
        </w:tc>
        <w:tc>
          <w:tcPr>
            <w:tcW w:w="961" w:type="dxa"/>
            <w:hideMark/>
          </w:tcPr>
          <w:p w14:paraId="57FB8698" w14:textId="02B57837" w:rsidR="00072E8C" w:rsidRPr="006A6F1F" w:rsidRDefault="007E33C6"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w:t>
            </w:r>
            <w:r w:rsidR="00072E8C" w:rsidRPr="006A6F1F">
              <w:rPr>
                <w:rFonts w:ascii="Arial" w:hAnsi="Arial" w:cs="Arial"/>
                <w:color w:val="000000" w:themeColor="text1"/>
                <w:sz w:val="18"/>
                <w:szCs w:val="18"/>
                <w:lang w:val="en-GB" w:eastAsia="en-SG"/>
              </w:rPr>
              <w:t>$0.82</w:t>
            </w:r>
          </w:p>
        </w:tc>
        <w:tc>
          <w:tcPr>
            <w:tcW w:w="1217" w:type="dxa"/>
            <w:hideMark/>
          </w:tcPr>
          <w:p w14:paraId="67675161"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$87.45</w:t>
            </w:r>
          </w:p>
        </w:tc>
        <w:tc>
          <w:tcPr>
            <w:tcW w:w="1240" w:type="dxa"/>
            <w:hideMark/>
          </w:tcPr>
          <w:p w14:paraId="01A9E01E" w14:textId="2F1D447B" w:rsidR="00072E8C" w:rsidRPr="006A6F1F" w:rsidRDefault="007E33C6"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w:t>
            </w:r>
            <w:r w:rsidR="00072E8C" w:rsidRPr="006A6F1F">
              <w:rPr>
                <w:rFonts w:ascii="Arial" w:hAnsi="Arial" w:cs="Arial"/>
                <w:color w:val="000000" w:themeColor="text1"/>
                <w:sz w:val="18"/>
                <w:szCs w:val="18"/>
                <w:lang w:val="en-GB" w:eastAsia="en-SG"/>
              </w:rPr>
              <w:t>0.07</w:t>
            </w:r>
            <w:r w:rsidRPr="006A6F1F">
              <w:rPr>
                <w:rFonts w:ascii="Arial" w:hAnsi="Arial" w:cs="Arial"/>
                <w:color w:val="000000" w:themeColor="text1"/>
                <w:sz w:val="18"/>
                <w:szCs w:val="18"/>
                <w:lang w:val="en-GB" w:eastAsia="en-SG"/>
              </w:rPr>
              <w:t>0</w:t>
            </w:r>
          </w:p>
        </w:tc>
      </w:tr>
      <w:tr w:rsidR="00072E8C" w:rsidRPr="006A6F1F" w14:paraId="41D4BECD" w14:textId="77777777" w:rsidTr="00E06292">
        <w:trPr>
          <w:trHeight w:hRule="exact" w:val="288"/>
          <w:jc w:val="center"/>
        </w:trPr>
        <w:tc>
          <w:tcPr>
            <w:tcW w:w="2122" w:type="dxa"/>
            <w:hideMark/>
          </w:tcPr>
          <w:p w14:paraId="5490352E" w14:textId="77777777" w:rsidR="00072E8C" w:rsidRPr="006A6F1F" w:rsidRDefault="00072E8C" w:rsidP="0062193B">
            <w:pPr>
              <w:keepNext/>
              <w:keepLines/>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 xml:space="preserve">Old Chang </w:t>
            </w:r>
            <w:proofErr w:type="spellStart"/>
            <w:r w:rsidRPr="006A6F1F">
              <w:rPr>
                <w:rFonts w:ascii="Arial" w:hAnsi="Arial" w:cs="Arial"/>
                <w:color w:val="000000" w:themeColor="text1"/>
                <w:sz w:val="18"/>
                <w:szCs w:val="18"/>
                <w:lang w:val="en-GB" w:eastAsia="en-SG"/>
              </w:rPr>
              <w:t>Kee</w:t>
            </w:r>
            <w:proofErr w:type="spellEnd"/>
          </w:p>
        </w:tc>
        <w:tc>
          <w:tcPr>
            <w:tcW w:w="1023" w:type="dxa"/>
            <w:hideMark/>
          </w:tcPr>
          <w:p w14:paraId="3B5502FF"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$0.86</w:t>
            </w:r>
          </w:p>
        </w:tc>
        <w:tc>
          <w:tcPr>
            <w:tcW w:w="1555" w:type="dxa"/>
            <w:hideMark/>
          </w:tcPr>
          <w:p w14:paraId="4760CFF2"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121.38</w:t>
            </w:r>
          </w:p>
        </w:tc>
        <w:tc>
          <w:tcPr>
            <w:tcW w:w="1240" w:type="dxa"/>
            <w:hideMark/>
          </w:tcPr>
          <w:p w14:paraId="6816528D"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$7.40</w:t>
            </w:r>
          </w:p>
        </w:tc>
        <w:tc>
          <w:tcPr>
            <w:tcW w:w="960" w:type="dxa"/>
            <w:hideMark/>
          </w:tcPr>
          <w:p w14:paraId="3B69CAAF"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$16.30</w:t>
            </w:r>
          </w:p>
        </w:tc>
        <w:tc>
          <w:tcPr>
            <w:tcW w:w="1105" w:type="dxa"/>
            <w:hideMark/>
          </w:tcPr>
          <w:p w14:paraId="64915EC8" w14:textId="4E0C5786"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$0.015</w:t>
            </w:r>
            <w:r w:rsidR="008D6684" w:rsidRPr="006A6F1F">
              <w:rPr>
                <w:rFonts w:ascii="Arial" w:hAnsi="Arial" w:cs="Arial"/>
                <w:color w:val="000000" w:themeColor="text1"/>
                <w:sz w:val="18"/>
                <w:szCs w:val="18"/>
                <w:lang w:val="en-GB" w:eastAsia="en-SG"/>
              </w:rPr>
              <w:t>1</w:t>
            </w:r>
          </w:p>
        </w:tc>
        <w:tc>
          <w:tcPr>
            <w:tcW w:w="961" w:type="dxa"/>
            <w:hideMark/>
          </w:tcPr>
          <w:p w14:paraId="37EE1C3D"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$8.61</w:t>
            </w:r>
          </w:p>
        </w:tc>
        <w:tc>
          <w:tcPr>
            <w:tcW w:w="1217" w:type="dxa"/>
            <w:hideMark/>
          </w:tcPr>
          <w:p w14:paraId="44BE141F"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$80.36</w:t>
            </w:r>
          </w:p>
        </w:tc>
        <w:tc>
          <w:tcPr>
            <w:tcW w:w="1240" w:type="dxa"/>
            <w:hideMark/>
          </w:tcPr>
          <w:p w14:paraId="4B16B96F" w14:textId="2CE9AB95"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0.78</w:t>
            </w:r>
            <w:r w:rsidR="007E33C6" w:rsidRPr="006A6F1F">
              <w:rPr>
                <w:rFonts w:ascii="Arial" w:hAnsi="Arial" w:cs="Arial"/>
                <w:color w:val="000000" w:themeColor="text1"/>
                <w:sz w:val="18"/>
                <w:szCs w:val="18"/>
                <w:lang w:val="en-GB" w:eastAsia="en-SG"/>
              </w:rPr>
              <w:t>0</w:t>
            </w:r>
          </w:p>
        </w:tc>
      </w:tr>
      <w:tr w:rsidR="00072E8C" w:rsidRPr="006A6F1F" w14:paraId="4CA59A7D" w14:textId="77777777" w:rsidTr="00E06292">
        <w:trPr>
          <w:trHeight w:hRule="exact" w:val="288"/>
          <w:jc w:val="center"/>
        </w:trPr>
        <w:tc>
          <w:tcPr>
            <w:tcW w:w="2122" w:type="dxa"/>
            <w:hideMark/>
          </w:tcPr>
          <w:p w14:paraId="19A89265" w14:textId="77777777" w:rsidR="00072E8C" w:rsidRPr="006A6F1F" w:rsidRDefault="00072E8C" w:rsidP="0062193B">
            <w:pPr>
              <w:keepNext/>
              <w:keepLines/>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Neo Group</w:t>
            </w:r>
          </w:p>
        </w:tc>
        <w:tc>
          <w:tcPr>
            <w:tcW w:w="1023" w:type="dxa"/>
            <w:hideMark/>
          </w:tcPr>
          <w:p w14:paraId="7304F0F3"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$0.59</w:t>
            </w:r>
          </w:p>
        </w:tc>
        <w:tc>
          <w:tcPr>
            <w:tcW w:w="1555" w:type="dxa"/>
            <w:hideMark/>
          </w:tcPr>
          <w:p w14:paraId="1F9C8654"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145.91</w:t>
            </w:r>
          </w:p>
        </w:tc>
        <w:tc>
          <w:tcPr>
            <w:tcW w:w="1240" w:type="dxa"/>
            <w:hideMark/>
          </w:tcPr>
          <w:p w14:paraId="52D9F54B"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$72.90</w:t>
            </w:r>
          </w:p>
        </w:tc>
        <w:tc>
          <w:tcPr>
            <w:tcW w:w="960" w:type="dxa"/>
            <w:hideMark/>
          </w:tcPr>
          <w:p w14:paraId="0EA4219B"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$10.50</w:t>
            </w:r>
          </w:p>
        </w:tc>
        <w:tc>
          <w:tcPr>
            <w:tcW w:w="1105" w:type="dxa"/>
            <w:hideMark/>
          </w:tcPr>
          <w:p w14:paraId="49A9E53D" w14:textId="4A868A1E"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$0.002</w:t>
            </w:r>
            <w:r w:rsidR="008D6684" w:rsidRPr="006A6F1F">
              <w:rPr>
                <w:rFonts w:ascii="Arial" w:hAnsi="Arial" w:cs="Arial"/>
                <w:color w:val="000000" w:themeColor="text1"/>
                <w:sz w:val="18"/>
                <w:szCs w:val="18"/>
                <w:lang w:val="en-GB" w:eastAsia="en-SG"/>
              </w:rPr>
              <w:t>3</w:t>
            </w:r>
          </w:p>
        </w:tc>
        <w:tc>
          <w:tcPr>
            <w:tcW w:w="961" w:type="dxa"/>
            <w:hideMark/>
          </w:tcPr>
          <w:p w14:paraId="15CC3C44"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$13.90</w:t>
            </w:r>
          </w:p>
        </w:tc>
        <w:tc>
          <w:tcPr>
            <w:tcW w:w="1217" w:type="dxa"/>
            <w:hideMark/>
          </w:tcPr>
          <w:p w14:paraId="5730ADC8"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$194.28</w:t>
            </w:r>
          </w:p>
        </w:tc>
        <w:tc>
          <w:tcPr>
            <w:tcW w:w="1240" w:type="dxa"/>
            <w:hideMark/>
          </w:tcPr>
          <w:p w14:paraId="0187AA86" w14:textId="1B682BED"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0.72</w:t>
            </w:r>
            <w:r w:rsidR="007E33C6" w:rsidRPr="006A6F1F">
              <w:rPr>
                <w:rFonts w:ascii="Arial" w:hAnsi="Arial" w:cs="Arial"/>
                <w:color w:val="000000" w:themeColor="text1"/>
                <w:sz w:val="18"/>
                <w:szCs w:val="18"/>
                <w:lang w:val="en-GB" w:eastAsia="en-SG"/>
              </w:rPr>
              <w:t>0</w:t>
            </w:r>
          </w:p>
        </w:tc>
      </w:tr>
      <w:tr w:rsidR="00072E8C" w:rsidRPr="006A6F1F" w14:paraId="0B74F6D8" w14:textId="77777777" w:rsidTr="00E06292">
        <w:trPr>
          <w:trHeight w:hRule="exact" w:val="288"/>
          <w:jc w:val="center"/>
        </w:trPr>
        <w:tc>
          <w:tcPr>
            <w:tcW w:w="2122" w:type="dxa"/>
            <w:hideMark/>
          </w:tcPr>
          <w:p w14:paraId="08249604" w14:textId="01B9A746" w:rsidR="00072E8C" w:rsidRPr="006A6F1F" w:rsidRDefault="00D651EC" w:rsidP="0062193B">
            <w:pPr>
              <w:keepNext/>
              <w:keepLines/>
              <w:rPr>
                <w:rFonts w:ascii="Arial" w:hAnsi="Arial" w:cs="Arial"/>
                <w:color w:val="000000" w:themeColor="text1"/>
                <w:sz w:val="18"/>
                <w:szCs w:val="18"/>
                <w:lang w:val="en-GB" w:eastAsia="en-SG"/>
              </w:rPr>
            </w:pPr>
            <w:proofErr w:type="spellStart"/>
            <w:r w:rsidRPr="006A6F1F">
              <w:rPr>
                <w:rFonts w:ascii="Arial" w:hAnsi="Arial" w:cs="Arial"/>
                <w:color w:val="000000" w:themeColor="text1"/>
                <w:sz w:val="18"/>
                <w:szCs w:val="18"/>
                <w:lang w:val="en-GB" w:eastAsia="en-SG"/>
              </w:rPr>
              <w:t>BreadTalk</w:t>
            </w:r>
            <w:proofErr w:type="spellEnd"/>
            <w:r w:rsidRPr="006A6F1F">
              <w:rPr>
                <w:rFonts w:ascii="Arial" w:hAnsi="Arial" w:cs="Arial"/>
                <w:color w:val="000000" w:themeColor="text1"/>
                <w:sz w:val="18"/>
                <w:szCs w:val="18"/>
                <w:lang w:val="en-GB" w:eastAsia="en-SG"/>
              </w:rPr>
              <w:t xml:space="preserve"> </w:t>
            </w:r>
            <w:r w:rsidR="00072E8C" w:rsidRPr="006A6F1F">
              <w:rPr>
                <w:rFonts w:ascii="Arial" w:hAnsi="Arial" w:cs="Arial"/>
                <w:color w:val="000000" w:themeColor="text1"/>
                <w:sz w:val="18"/>
                <w:szCs w:val="18"/>
                <w:lang w:val="en-GB" w:eastAsia="en-SG"/>
              </w:rPr>
              <w:t>Group</w:t>
            </w:r>
          </w:p>
        </w:tc>
        <w:tc>
          <w:tcPr>
            <w:tcW w:w="1023" w:type="dxa"/>
            <w:hideMark/>
          </w:tcPr>
          <w:p w14:paraId="7E9BC5E8"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$1.30</w:t>
            </w:r>
          </w:p>
        </w:tc>
        <w:tc>
          <w:tcPr>
            <w:tcW w:w="1555" w:type="dxa"/>
            <w:hideMark/>
          </w:tcPr>
          <w:p w14:paraId="390446CC"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281.89</w:t>
            </w:r>
          </w:p>
        </w:tc>
        <w:tc>
          <w:tcPr>
            <w:tcW w:w="1240" w:type="dxa"/>
            <w:hideMark/>
          </w:tcPr>
          <w:p w14:paraId="741CE123"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$192.50</w:t>
            </w:r>
          </w:p>
        </w:tc>
        <w:tc>
          <w:tcPr>
            <w:tcW w:w="960" w:type="dxa"/>
            <w:hideMark/>
          </w:tcPr>
          <w:p w14:paraId="12F60489"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$112.50</w:t>
            </w:r>
          </w:p>
        </w:tc>
        <w:tc>
          <w:tcPr>
            <w:tcW w:w="1105" w:type="dxa"/>
            <w:hideMark/>
          </w:tcPr>
          <w:p w14:paraId="0318C953" w14:textId="4A52DCA8"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$0.</w:t>
            </w:r>
            <w:r w:rsidR="008D6684" w:rsidRPr="006A6F1F">
              <w:rPr>
                <w:rFonts w:ascii="Arial" w:hAnsi="Arial" w:cs="Arial"/>
                <w:color w:val="000000" w:themeColor="text1"/>
                <w:sz w:val="18"/>
                <w:szCs w:val="18"/>
                <w:lang w:val="en-GB" w:eastAsia="en-SG"/>
              </w:rPr>
              <w:t>0306</w:t>
            </w:r>
          </w:p>
        </w:tc>
        <w:tc>
          <w:tcPr>
            <w:tcW w:w="961" w:type="dxa"/>
            <w:hideMark/>
          </w:tcPr>
          <w:p w14:paraId="68F0288D"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$70.71</w:t>
            </w:r>
          </w:p>
        </w:tc>
        <w:tc>
          <w:tcPr>
            <w:tcW w:w="1217" w:type="dxa"/>
            <w:hideMark/>
          </w:tcPr>
          <w:p w14:paraId="60509A4A"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$616.75</w:t>
            </w:r>
          </w:p>
        </w:tc>
        <w:tc>
          <w:tcPr>
            <w:tcW w:w="1240" w:type="dxa"/>
            <w:hideMark/>
          </w:tcPr>
          <w:p w14:paraId="0F3BFD66" w14:textId="0669F0CD"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1.41</w:t>
            </w:r>
            <w:r w:rsidR="007E33C6" w:rsidRPr="006A6F1F">
              <w:rPr>
                <w:rFonts w:ascii="Arial" w:hAnsi="Arial" w:cs="Arial"/>
                <w:color w:val="000000" w:themeColor="text1"/>
                <w:sz w:val="18"/>
                <w:szCs w:val="18"/>
                <w:lang w:val="en-GB" w:eastAsia="en-SG"/>
              </w:rPr>
              <w:t>0</w:t>
            </w:r>
          </w:p>
        </w:tc>
      </w:tr>
      <w:tr w:rsidR="00072E8C" w:rsidRPr="006A6F1F" w14:paraId="649DD33D" w14:textId="77777777" w:rsidTr="00E06292">
        <w:trPr>
          <w:trHeight w:hRule="exact" w:val="288"/>
          <w:jc w:val="center"/>
        </w:trPr>
        <w:tc>
          <w:tcPr>
            <w:tcW w:w="2122" w:type="dxa"/>
            <w:hideMark/>
          </w:tcPr>
          <w:p w14:paraId="212E6635" w14:textId="77777777" w:rsidR="00072E8C" w:rsidRPr="006A6F1F" w:rsidRDefault="00072E8C" w:rsidP="0062193B">
            <w:pPr>
              <w:keepNext/>
              <w:keepLines/>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Katrina Group</w:t>
            </w:r>
          </w:p>
        </w:tc>
        <w:tc>
          <w:tcPr>
            <w:tcW w:w="1023" w:type="dxa"/>
            <w:hideMark/>
          </w:tcPr>
          <w:p w14:paraId="0C13B967"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$0.21</w:t>
            </w:r>
          </w:p>
        </w:tc>
        <w:tc>
          <w:tcPr>
            <w:tcW w:w="1555" w:type="dxa"/>
            <w:hideMark/>
          </w:tcPr>
          <w:p w14:paraId="6BBC5618"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231.52</w:t>
            </w:r>
          </w:p>
        </w:tc>
        <w:tc>
          <w:tcPr>
            <w:tcW w:w="1240" w:type="dxa"/>
            <w:hideMark/>
          </w:tcPr>
          <w:p w14:paraId="333FC0F8"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$0.00</w:t>
            </w:r>
          </w:p>
        </w:tc>
        <w:tc>
          <w:tcPr>
            <w:tcW w:w="960" w:type="dxa"/>
            <w:hideMark/>
          </w:tcPr>
          <w:p w14:paraId="2FDAB373"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$11.37</w:t>
            </w:r>
          </w:p>
        </w:tc>
        <w:tc>
          <w:tcPr>
            <w:tcW w:w="1105" w:type="dxa"/>
            <w:hideMark/>
          </w:tcPr>
          <w:p w14:paraId="742315F2" w14:textId="15EDB99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$0.011</w:t>
            </w:r>
            <w:r w:rsidR="008D6684" w:rsidRPr="006A6F1F">
              <w:rPr>
                <w:rFonts w:ascii="Arial" w:hAnsi="Arial" w:cs="Arial"/>
                <w:color w:val="000000" w:themeColor="text1"/>
                <w:sz w:val="18"/>
                <w:szCs w:val="18"/>
                <w:lang w:val="en-GB" w:eastAsia="en-SG"/>
              </w:rPr>
              <w:t>2</w:t>
            </w:r>
          </w:p>
        </w:tc>
        <w:tc>
          <w:tcPr>
            <w:tcW w:w="961" w:type="dxa"/>
            <w:hideMark/>
          </w:tcPr>
          <w:p w14:paraId="010DD696"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$10.69</w:t>
            </w:r>
          </w:p>
        </w:tc>
        <w:tc>
          <w:tcPr>
            <w:tcW w:w="1217" w:type="dxa"/>
            <w:hideMark/>
          </w:tcPr>
          <w:p w14:paraId="0AEDDABD"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$55.87</w:t>
            </w:r>
          </w:p>
        </w:tc>
        <w:tc>
          <w:tcPr>
            <w:tcW w:w="1240" w:type="dxa"/>
            <w:hideMark/>
          </w:tcPr>
          <w:p w14:paraId="61ED3883"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0.759</w:t>
            </w:r>
            <w:r w:rsidRPr="006A6F1F">
              <w:rPr>
                <w:rFonts w:ascii="Arial" w:hAnsi="Arial" w:cs="Arial"/>
                <w:color w:val="000000" w:themeColor="text1"/>
                <w:sz w:val="18"/>
                <w:szCs w:val="18"/>
                <w:vertAlign w:val="superscript"/>
                <w:lang w:val="en-GB" w:eastAsia="en-SG"/>
              </w:rPr>
              <w:t>c</w:t>
            </w:r>
          </w:p>
        </w:tc>
      </w:tr>
      <w:tr w:rsidR="00072E8C" w:rsidRPr="006A6F1F" w14:paraId="5B550EF3" w14:textId="77777777" w:rsidTr="00E06292">
        <w:trPr>
          <w:trHeight w:hRule="exact" w:val="288"/>
          <w:jc w:val="center"/>
        </w:trPr>
        <w:tc>
          <w:tcPr>
            <w:tcW w:w="2122" w:type="dxa"/>
            <w:hideMark/>
          </w:tcPr>
          <w:p w14:paraId="15BDC4FF" w14:textId="77777777" w:rsidR="00072E8C" w:rsidRPr="006A6F1F" w:rsidRDefault="00072E8C" w:rsidP="0062193B">
            <w:pPr>
              <w:keepNext/>
              <w:keepLines/>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ABR</w:t>
            </w:r>
            <w:r w:rsidR="00275B4A" w:rsidRPr="006A6F1F">
              <w:rPr>
                <w:rFonts w:ascii="Arial" w:hAnsi="Arial" w:cs="Arial"/>
                <w:color w:val="000000" w:themeColor="text1"/>
                <w:sz w:val="18"/>
                <w:szCs w:val="18"/>
                <w:lang w:val="en-GB" w:eastAsia="en-SG"/>
              </w:rPr>
              <w:t xml:space="preserve"> Holdings</w:t>
            </w:r>
          </w:p>
        </w:tc>
        <w:tc>
          <w:tcPr>
            <w:tcW w:w="1023" w:type="dxa"/>
            <w:hideMark/>
          </w:tcPr>
          <w:p w14:paraId="2C3B2B74"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$0.80</w:t>
            </w:r>
          </w:p>
        </w:tc>
        <w:tc>
          <w:tcPr>
            <w:tcW w:w="1555" w:type="dxa"/>
            <w:hideMark/>
          </w:tcPr>
          <w:p w14:paraId="74FEB92F"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201.00</w:t>
            </w:r>
          </w:p>
        </w:tc>
        <w:tc>
          <w:tcPr>
            <w:tcW w:w="1240" w:type="dxa"/>
            <w:hideMark/>
          </w:tcPr>
          <w:p w14:paraId="6B133B2E"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$0.00</w:t>
            </w:r>
          </w:p>
        </w:tc>
        <w:tc>
          <w:tcPr>
            <w:tcW w:w="960" w:type="dxa"/>
            <w:hideMark/>
          </w:tcPr>
          <w:p w14:paraId="5BD23E55"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$79.90</w:t>
            </w:r>
          </w:p>
        </w:tc>
        <w:tc>
          <w:tcPr>
            <w:tcW w:w="1105" w:type="dxa"/>
            <w:hideMark/>
          </w:tcPr>
          <w:p w14:paraId="2BAE2F01" w14:textId="5BF58CDA"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$0.038</w:t>
            </w:r>
            <w:r w:rsidR="008D6684" w:rsidRPr="006A6F1F">
              <w:rPr>
                <w:rFonts w:ascii="Arial" w:hAnsi="Arial" w:cs="Arial"/>
                <w:color w:val="000000" w:themeColor="text1"/>
                <w:sz w:val="18"/>
                <w:szCs w:val="18"/>
                <w:lang w:val="en-GB" w:eastAsia="en-SG"/>
              </w:rPr>
              <w:t>0</w:t>
            </w:r>
          </w:p>
        </w:tc>
        <w:tc>
          <w:tcPr>
            <w:tcW w:w="961" w:type="dxa"/>
            <w:hideMark/>
          </w:tcPr>
          <w:p w14:paraId="544DF0F6"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$9.00</w:t>
            </w:r>
          </w:p>
        </w:tc>
        <w:tc>
          <w:tcPr>
            <w:tcW w:w="1217" w:type="dxa"/>
            <w:hideMark/>
          </w:tcPr>
          <w:p w14:paraId="4D21DEAA"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$102.51</w:t>
            </w:r>
          </w:p>
        </w:tc>
        <w:tc>
          <w:tcPr>
            <w:tcW w:w="1240" w:type="dxa"/>
            <w:hideMark/>
          </w:tcPr>
          <w:p w14:paraId="2767FCAC" w14:textId="2947A9D0"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0.06</w:t>
            </w:r>
            <w:r w:rsidR="007E33C6" w:rsidRPr="006A6F1F">
              <w:rPr>
                <w:rFonts w:ascii="Arial" w:hAnsi="Arial" w:cs="Arial"/>
                <w:color w:val="000000" w:themeColor="text1"/>
                <w:sz w:val="18"/>
                <w:szCs w:val="18"/>
                <w:lang w:val="en-GB" w:eastAsia="en-SG"/>
              </w:rPr>
              <w:t>0</w:t>
            </w:r>
          </w:p>
        </w:tc>
      </w:tr>
      <w:tr w:rsidR="00072E8C" w:rsidRPr="006A6F1F" w14:paraId="4B4CF779" w14:textId="77777777" w:rsidTr="00E06292">
        <w:trPr>
          <w:trHeight w:hRule="exact" w:val="288"/>
          <w:jc w:val="center"/>
        </w:trPr>
        <w:tc>
          <w:tcPr>
            <w:tcW w:w="2122" w:type="dxa"/>
            <w:hideMark/>
          </w:tcPr>
          <w:p w14:paraId="692B7085" w14:textId="77777777" w:rsidR="00072E8C" w:rsidRPr="006A6F1F" w:rsidRDefault="00072E8C" w:rsidP="0062193B">
            <w:pPr>
              <w:keepNext/>
              <w:keepLines/>
              <w:rPr>
                <w:rFonts w:ascii="Arial" w:hAnsi="Arial" w:cs="Arial"/>
                <w:color w:val="000000" w:themeColor="text1"/>
                <w:sz w:val="18"/>
                <w:szCs w:val="18"/>
                <w:lang w:val="en-GB" w:eastAsia="en-SG"/>
              </w:rPr>
            </w:pPr>
            <w:proofErr w:type="spellStart"/>
            <w:r w:rsidRPr="006A6F1F">
              <w:rPr>
                <w:rFonts w:ascii="Arial" w:hAnsi="Arial" w:cs="Arial"/>
                <w:color w:val="000000" w:themeColor="text1"/>
                <w:sz w:val="18"/>
                <w:szCs w:val="18"/>
                <w:lang w:val="en-GB" w:eastAsia="en-SG"/>
              </w:rPr>
              <w:t>LifeBrandz</w:t>
            </w:r>
            <w:proofErr w:type="spellEnd"/>
          </w:p>
        </w:tc>
        <w:tc>
          <w:tcPr>
            <w:tcW w:w="1023" w:type="dxa"/>
            <w:hideMark/>
          </w:tcPr>
          <w:p w14:paraId="42887BE7"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$0.06</w:t>
            </w:r>
          </w:p>
        </w:tc>
        <w:tc>
          <w:tcPr>
            <w:tcW w:w="1555" w:type="dxa"/>
            <w:hideMark/>
          </w:tcPr>
          <w:p w14:paraId="090621BE"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194.02</w:t>
            </w:r>
          </w:p>
        </w:tc>
        <w:tc>
          <w:tcPr>
            <w:tcW w:w="1240" w:type="dxa"/>
            <w:hideMark/>
          </w:tcPr>
          <w:p w14:paraId="4B491AD0"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$0.00</w:t>
            </w:r>
          </w:p>
        </w:tc>
        <w:tc>
          <w:tcPr>
            <w:tcW w:w="960" w:type="dxa"/>
            <w:hideMark/>
          </w:tcPr>
          <w:p w14:paraId="4E967E85"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$0.02</w:t>
            </w:r>
          </w:p>
        </w:tc>
        <w:tc>
          <w:tcPr>
            <w:tcW w:w="1105" w:type="dxa"/>
            <w:hideMark/>
          </w:tcPr>
          <w:p w14:paraId="7E808FCD" w14:textId="4A3E6175" w:rsidR="00072E8C" w:rsidRPr="006A6F1F" w:rsidRDefault="007E33C6"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w:t>
            </w:r>
            <w:r w:rsidR="00072E8C" w:rsidRPr="006A6F1F">
              <w:rPr>
                <w:rFonts w:ascii="Arial" w:hAnsi="Arial" w:cs="Arial"/>
                <w:color w:val="000000" w:themeColor="text1"/>
                <w:sz w:val="18"/>
                <w:szCs w:val="18"/>
                <w:lang w:val="en-GB" w:eastAsia="en-SG"/>
              </w:rPr>
              <w:t>$0.</w:t>
            </w:r>
            <w:r w:rsidR="008D6684" w:rsidRPr="006A6F1F">
              <w:rPr>
                <w:rFonts w:ascii="Arial" w:hAnsi="Arial" w:cs="Arial"/>
                <w:color w:val="000000" w:themeColor="text1"/>
                <w:sz w:val="18"/>
                <w:szCs w:val="18"/>
                <w:lang w:val="en-GB" w:eastAsia="en-SG"/>
              </w:rPr>
              <w:t>0449</w:t>
            </w:r>
          </w:p>
        </w:tc>
        <w:tc>
          <w:tcPr>
            <w:tcW w:w="961" w:type="dxa"/>
            <w:hideMark/>
          </w:tcPr>
          <w:p w14:paraId="2519A35C" w14:textId="2DC2B61A" w:rsidR="00072E8C" w:rsidRPr="006A6F1F" w:rsidRDefault="007E33C6"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w:t>
            </w:r>
            <w:r w:rsidR="00072E8C" w:rsidRPr="006A6F1F">
              <w:rPr>
                <w:rFonts w:ascii="Arial" w:hAnsi="Arial" w:cs="Arial"/>
                <w:color w:val="000000" w:themeColor="text1"/>
                <w:sz w:val="18"/>
                <w:szCs w:val="18"/>
                <w:lang w:val="en-GB" w:eastAsia="en-SG"/>
              </w:rPr>
              <w:t>$1.12</w:t>
            </w:r>
          </w:p>
        </w:tc>
        <w:tc>
          <w:tcPr>
            <w:tcW w:w="1217" w:type="dxa"/>
            <w:hideMark/>
          </w:tcPr>
          <w:p w14:paraId="639CCBDF"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$0.73</w:t>
            </w:r>
          </w:p>
        </w:tc>
        <w:tc>
          <w:tcPr>
            <w:tcW w:w="1240" w:type="dxa"/>
            <w:hideMark/>
          </w:tcPr>
          <w:p w14:paraId="114626D8" w14:textId="3D4A5306"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1.32</w:t>
            </w:r>
            <w:r w:rsidR="007E33C6" w:rsidRPr="006A6F1F">
              <w:rPr>
                <w:rFonts w:ascii="Arial" w:hAnsi="Arial" w:cs="Arial"/>
                <w:color w:val="000000" w:themeColor="text1"/>
                <w:sz w:val="18"/>
                <w:szCs w:val="18"/>
                <w:lang w:val="en-GB" w:eastAsia="en-SG"/>
              </w:rPr>
              <w:t>0</w:t>
            </w:r>
          </w:p>
        </w:tc>
      </w:tr>
      <w:tr w:rsidR="00072E8C" w:rsidRPr="006A6F1F" w14:paraId="45B5573A" w14:textId="77777777" w:rsidTr="00E06292">
        <w:trPr>
          <w:trHeight w:hRule="exact" w:val="288"/>
          <w:jc w:val="center"/>
        </w:trPr>
        <w:tc>
          <w:tcPr>
            <w:tcW w:w="2122" w:type="dxa"/>
            <w:hideMark/>
          </w:tcPr>
          <w:p w14:paraId="62BEAFFA" w14:textId="77777777" w:rsidR="00072E8C" w:rsidRPr="006A6F1F" w:rsidRDefault="00072E8C" w:rsidP="0062193B">
            <w:pPr>
              <w:keepNext/>
              <w:keepLines/>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Dairy Farm Intl</w:t>
            </w:r>
          </w:p>
        </w:tc>
        <w:tc>
          <w:tcPr>
            <w:tcW w:w="1023" w:type="dxa"/>
            <w:noWrap/>
            <w:hideMark/>
          </w:tcPr>
          <w:p w14:paraId="4871ED8D"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$12.67</w:t>
            </w:r>
          </w:p>
        </w:tc>
        <w:tc>
          <w:tcPr>
            <w:tcW w:w="1555" w:type="dxa"/>
            <w:noWrap/>
            <w:hideMark/>
          </w:tcPr>
          <w:p w14:paraId="55B30AFF"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1,352.46</w:t>
            </w:r>
          </w:p>
        </w:tc>
        <w:tc>
          <w:tcPr>
            <w:tcW w:w="1240" w:type="dxa"/>
            <w:noWrap/>
            <w:hideMark/>
          </w:tcPr>
          <w:p w14:paraId="50B9AB22"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$964.60</w:t>
            </w:r>
          </w:p>
        </w:tc>
        <w:tc>
          <w:tcPr>
            <w:tcW w:w="960" w:type="dxa"/>
            <w:noWrap/>
            <w:hideMark/>
          </w:tcPr>
          <w:p w14:paraId="7DE710AA"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$323.80</w:t>
            </w:r>
          </w:p>
        </w:tc>
        <w:tc>
          <w:tcPr>
            <w:tcW w:w="1105" w:type="dxa"/>
            <w:noWrap/>
            <w:hideMark/>
          </w:tcPr>
          <w:p w14:paraId="24773761" w14:textId="21D0C9BB"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$0.</w:t>
            </w:r>
            <w:r w:rsidR="008D6684" w:rsidRPr="006A6F1F">
              <w:rPr>
                <w:rFonts w:ascii="Arial" w:hAnsi="Arial" w:cs="Arial"/>
                <w:color w:val="000000" w:themeColor="text1"/>
                <w:sz w:val="18"/>
                <w:szCs w:val="18"/>
                <w:lang w:val="en-GB" w:eastAsia="en-SG"/>
              </w:rPr>
              <w:t>4329</w:t>
            </w:r>
          </w:p>
        </w:tc>
        <w:tc>
          <w:tcPr>
            <w:tcW w:w="961" w:type="dxa"/>
            <w:noWrap/>
            <w:hideMark/>
          </w:tcPr>
          <w:p w14:paraId="0C945431"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$864.76</w:t>
            </w:r>
          </w:p>
        </w:tc>
        <w:tc>
          <w:tcPr>
            <w:tcW w:w="1217" w:type="dxa"/>
            <w:noWrap/>
            <w:hideMark/>
          </w:tcPr>
          <w:p w14:paraId="316E8802"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$15,025.07</w:t>
            </w:r>
          </w:p>
        </w:tc>
        <w:tc>
          <w:tcPr>
            <w:tcW w:w="1240" w:type="dxa"/>
            <w:noWrap/>
            <w:hideMark/>
          </w:tcPr>
          <w:p w14:paraId="78649502" w14:textId="675FEB70"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1.07</w:t>
            </w:r>
            <w:r w:rsidR="007E33C6" w:rsidRPr="006A6F1F">
              <w:rPr>
                <w:rFonts w:ascii="Arial" w:hAnsi="Arial" w:cs="Arial"/>
                <w:color w:val="000000" w:themeColor="text1"/>
                <w:sz w:val="18"/>
                <w:szCs w:val="18"/>
                <w:lang w:val="en-GB" w:eastAsia="en-SG"/>
              </w:rPr>
              <w:t>0</w:t>
            </w:r>
          </w:p>
        </w:tc>
      </w:tr>
      <w:tr w:rsidR="00072E8C" w:rsidRPr="006A6F1F" w14:paraId="1B365C7C" w14:textId="77777777" w:rsidTr="00E06292">
        <w:trPr>
          <w:trHeight w:hRule="exact" w:val="288"/>
          <w:jc w:val="center"/>
        </w:trPr>
        <w:tc>
          <w:tcPr>
            <w:tcW w:w="2122" w:type="dxa"/>
            <w:hideMark/>
          </w:tcPr>
          <w:p w14:paraId="58E01C51" w14:textId="77777777" w:rsidR="00072E8C" w:rsidRPr="006A6F1F" w:rsidRDefault="00072E8C" w:rsidP="0062193B">
            <w:pPr>
              <w:keepNext/>
              <w:keepLines/>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Soup Restaurant</w:t>
            </w:r>
          </w:p>
        </w:tc>
        <w:tc>
          <w:tcPr>
            <w:tcW w:w="1023" w:type="dxa"/>
            <w:hideMark/>
          </w:tcPr>
          <w:p w14:paraId="28AB3DDF"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$0.20</w:t>
            </w:r>
          </w:p>
        </w:tc>
        <w:tc>
          <w:tcPr>
            <w:tcW w:w="1555" w:type="dxa"/>
            <w:noWrap/>
            <w:hideMark/>
          </w:tcPr>
          <w:p w14:paraId="4C7163CF"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298.50</w:t>
            </w:r>
          </w:p>
        </w:tc>
        <w:tc>
          <w:tcPr>
            <w:tcW w:w="1240" w:type="dxa"/>
            <w:noWrap/>
            <w:hideMark/>
          </w:tcPr>
          <w:p w14:paraId="350EE733"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$0.00</w:t>
            </w:r>
          </w:p>
        </w:tc>
        <w:tc>
          <w:tcPr>
            <w:tcW w:w="960" w:type="dxa"/>
            <w:noWrap/>
            <w:hideMark/>
          </w:tcPr>
          <w:p w14:paraId="17C851B1"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$7.62</w:t>
            </w:r>
          </w:p>
        </w:tc>
        <w:tc>
          <w:tcPr>
            <w:tcW w:w="1105" w:type="dxa"/>
            <w:hideMark/>
          </w:tcPr>
          <w:p w14:paraId="7AF2B5AF"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$0.0035</w:t>
            </w:r>
          </w:p>
        </w:tc>
        <w:tc>
          <w:tcPr>
            <w:tcW w:w="961" w:type="dxa"/>
            <w:noWrap/>
            <w:hideMark/>
          </w:tcPr>
          <w:p w14:paraId="4C30F83B"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$2.66</w:t>
            </w:r>
          </w:p>
        </w:tc>
        <w:tc>
          <w:tcPr>
            <w:tcW w:w="1217" w:type="dxa"/>
            <w:noWrap/>
            <w:hideMark/>
          </w:tcPr>
          <w:p w14:paraId="0DAFBA71"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$38.35</w:t>
            </w:r>
          </w:p>
        </w:tc>
        <w:tc>
          <w:tcPr>
            <w:tcW w:w="1240" w:type="dxa"/>
            <w:noWrap/>
            <w:hideMark/>
          </w:tcPr>
          <w:p w14:paraId="29902DB6" w14:textId="65D814DB"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0.18</w:t>
            </w:r>
            <w:r w:rsidR="007E33C6" w:rsidRPr="006A6F1F">
              <w:rPr>
                <w:rFonts w:ascii="Arial" w:hAnsi="Arial" w:cs="Arial"/>
                <w:color w:val="000000" w:themeColor="text1"/>
                <w:sz w:val="18"/>
                <w:szCs w:val="18"/>
                <w:lang w:val="en-GB" w:eastAsia="en-SG"/>
              </w:rPr>
              <w:t>0</w:t>
            </w:r>
          </w:p>
        </w:tc>
      </w:tr>
      <w:tr w:rsidR="00EE54FA" w:rsidRPr="006A6F1F" w14:paraId="68D9DAA8" w14:textId="77777777" w:rsidTr="00E06292">
        <w:trPr>
          <w:trHeight w:hRule="exact" w:val="199"/>
          <w:jc w:val="center"/>
        </w:trPr>
        <w:tc>
          <w:tcPr>
            <w:tcW w:w="2122" w:type="dxa"/>
            <w:hideMark/>
          </w:tcPr>
          <w:p w14:paraId="0F86D1D3" w14:textId="61D7CCF2" w:rsidR="00072E8C" w:rsidRPr="006A6F1F" w:rsidRDefault="00072E8C" w:rsidP="0062193B">
            <w:pPr>
              <w:keepNext/>
              <w:keepLines/>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Tung</w:t>
            </w:r>
            <w:r w:rsidR="00D651EC" w:rsidRPr="006A6F1F">
              <w:rPr>
                <w:rFonts w:ascii="Arial" w:hAnsi="Arial" w:cs="Arial"/>
                <w:color w:val="000000" w:themeColor="text1"/>
                <w:sz w:val="18"/>
                <w:szCs w:val="18"/>
                <w:lang w:val="en-GB" w:eastAsia="en-SG"/>
              </w:rPr>
              <w:t xml:space="preserve"> </w:t>
            </w:r>
            <w:proofErr w:type="spellStart"/>
            <w:r w:rsidR="00D651EC" w:rsidRPr="006A6F1F">
              <w:rPr>
                <w:rFonts w:ascii="Arial" w:hAnsi="Arial" w:cs="Arial"/>
                <w:color w:val="000000" w:themeColor="text1"/>
                <w:sz w:val="18"/>
                <w:szCs w:val="18"/>
                <w:lang w:val="en-GB" w:eastAsia="en-SG"/>
              </w:rPr>
              <w:t>Lok</w:t>
            </w:r>
            <w:proofErr w:type="spellEnd"/>
            <w:r w:rsidR="00D651EC" w:rsidRPr="006A6F1F">
              <w:rPr>
                <w:rFonts w:ascii="Arial" w:hAnsi="Arial" w:cs="Arial"/>
                <w:color w:val="000000" w:themeColor="text1"/>
                <w:sz w:val="18"/>
                <w:szCs w:val="18"/>
                <w:lang w:val="en-GB" w:eastAsia="en-SG"/>
              </w:rPr>
              <w:t xml:space="preserve"> </w:t>
            </w:r>
            <w:r w:rsidR="00275B4A" w:rsidRPr="006A6F1F">
              <w:rPr>
                <w:rFonts w:ascii="Arial" w:hAnsi="Arial" w:cs="Arial"/>
                <w:color w:val="000000" w:themeColor="text1"/>
                <w:sz w:val="18"/>
                <w:szCs w:val="18"/>
                <w:lang w:val="en-GB" w:eastAsia="en-SG"/>
              </w:rPr>
              <w:t>Group</w:t>
            </w:r>
          </w:p>
        </w:tc>
        <w:tc>
          <w:tcPr>
            <w:tcW w:w="1023" w:type="dxa"/>
            <w:hideMark/>
          </w:tcPr>
          <w:p w14:paraId="422C37C9"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$0.11</w:t>
            </w:r>
          </w:p>
        </w:tc>
        <w:tc>
          <w:tcPr>
            <w:tcW w:w="1555" w:type="dxa"/>
            <w:noWrap/>
            <w:hideMark/>
          </w:tcPr>
          <w:p w14:paraId="3564F356"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274.40</w:t>
            </w:r>
          </w:p>
        </w:tc>
        <w:tc>
          <w:tcPr>
            <w:tcW w:w="1240" w:type="dxa"/>
            <w:noWrap/>
            <w:hideMark/>
          </w:tcPr>
          <w:p w14:paraId="7CD7F17F"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$3.28</w:t>
            </w:r>
          </w:p>
        </w:tc>
        <w:tc>
          <w:tcPr>
            <w:tcW w:w="960" w:type="dxa"/>
            <w:noWrap/>
            <w:hideMark/>
          </w:tcPr>
          <w:p w14:paraId="03588B61"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$14.02</w:t>
            </w:r>
          </w:p>
        </w:tc>
        <w:tc>
          <w:tcPr>
            <w:tcW w:w="1105" w:type="dxa"/>
            <w:hideMark/>
          </w:tcPr>
          <w:p w14:paraId="76E7ADA0"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$0.0022</w:t>
            </w:r>
          </w:p>
        </w:tc>
        <w:tc>
          <w:tcPr>
            <w:tcW w:w="961" w:type="dxa"/>
            <w:noWrap/>
            <w:hideMark/>
          </w:tcPr>
          <w:p w14:paraId="30FCC578"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$4.78</w:t>
            </w:r>
          </w:p>
        </w:tc>
        <w:tc>
          <w:tcPr>
            <w:tcW w:w="1217" w:type="dxa"/>
            <w:noWrap/>
            <w:hideMark/>
          </w:tcPr>
          <w:p w14:paraId="6C304743" w14:textId="77777777"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$86.06</w:t>
            </w:r>
          </w:p>
        </w:tc>
        <w:tc>
          <w:tcPr>
            <w:tcW w:w="1240" w:type="dxa"/>
            <w:noWrap/>
            <w:hideMark/>
          </w:tcPr>
          <w:p w14:paraId="132AB7CC" w14:textId="2DA5085A" w:rsidR="00072E8C" w:rsidRPr="006A6F1F" w:rsidRDefault="00072E8C" w:rsidP="0062193B">
            <w:pPr>
              <w:keepNext/>
              <w:keepLines/>
              <w:jc w:val="right"/>
              <w:rPr>
                <w:rFonts w:ascii="Arial" w:hAnsi="Arial" w:cs="Arial"/>
                <w:color w:val="000000" w:themeColor="text1"/>
                <w:sz w:val="18"/>
                <w:szCs w:val="18"/>
                <w:lang w:val="en-GB" w:eastAsia="en-SG"/>
              </w:rPr>
            </w:pPr>
            <w:r w:rsidRPr="006A6F1F">
              <w:rPr>
                <w:rFonts w:ascii="Arial" w:hAnsi="Arial" w:cs="Arial"/>
                <w:color w:val="000000" w:themeColor="text1"/>
                <w:sz w:val="18"/>
                <w:szCs w:val="18"/>
                <w:lang w:val="en-GB" w:eastAsia="en-SG"/>
              </w:rPr>
              <w:t>1.45</w:t>
            </w:r>
            <w:r w:rsidR="007E33C6" w:rsidRPr="006A6F1F">
              <w:rPr>
                <w:rFonts w:ascii="Arial" w:hAnsi="Arial" w:cs="Arial"/>
                <w:color w:val="000000" w:themeColor="text1"/>
                <w:sz w:val="18"/>
                <w:szCs w:val="18"/>
                <w:lang w:val="en-GB" w:eastAsia="en-SG"/>
              </w:rPr>
              <w:t>0</w:t>
            </w:r>
          </w:p>
        </w:tc>
      </w:tr>
    </w:tbl>
    <w:p w14:paraId="08A65F2A" w14:textId="77777777" w:rsidR="00F975F3" w:rsidRPr="006A6F1F" w:rsidRDefault="00F975F3" w:rsidP="0062193B">
      <w:pPr>
        <w:pStyle w:val="ExhibitText"/>
        <w:keepNext/>
        <w:keepLines/>
        <w:rPr>
          <w:b/>
          <w:color w:val="000000" w:themeColor="text1"/>
          <w:sz w:val="12"/>
          <w:szCs w:val="18"/>
          <w:lang w:val="en-GB"/>
        </w:rPr>
      </w:pPr>
    </w:p>
    <w:p w14:paraId="719D7298" w14:textId="77777777" w:rsidR="00BA424D" w:rsidRPr="006A6F1F" w:rsidRDefault="00BA424D" w:rsidP="0062193B">
      <w:pPr>
        <w:pStyle w:val="ExhibitText"/>
        <w:keepNext/>
        <w:keepLines/>
        <w:rPr>
          <w:color w:val="000000" w:themeColor="text1"/>
          <w:sz w:val="18"/>
          <w:szCs w:val="18"/>
          <w:lang w:val="en-GB"/>
        </w:rPr>
      </w:pPr>
      <w:proofErr w:type="spellStart"/>
      <w:r w:rsidRPr="006A6F1F">
        <w:rPr>
          <w:b/>
          <w:color w:val="000000" w:themeColor="text1"/>
          <w:sz w:val="18"/>
          <w:szCs w:val="18"/>
          <w:lang w:val="en-GB"/>
        </w:rPr>
        <w:t>Pavillon</w:t>
      </w:r>
      <w:proofErr w:type="spellEnd"/>
      <w:r w:rsidRPr="006A6F1F">
        <w:rPr>
          <w:b/>
          <w:color w:val="000000" w:themeColor="text1"/>
          <w:sz w:val="18"/>
          <w:szCs w:val="18"/>
          <w:lang w:val="en-GB"/>
        </w:rPr>
        <w:t xml:space="preserve"> Holdings</w:t>
      </w:r>
      <w:r w:rsidRPr="006A6F1F">
        <w:rPr>
          <w:color w:val="000000" w:themeColor="text1"/>
          <w:sz w:val="18"/>
          <w:szCs w:val="18"/>
          <w:lang w:val="en-GB"/>
        </w:rPr>
        <w:t xml:space="preserve"> owned six self-managed restaurants and nine franchise restaurants offering Thai Teochew cuisine in Singapore, China, Vietnam, and Indonesia.</w:t>
      </w:r>
    </w:p>
    <w:p w14:paraId="40423518" w14:textId="77777777" w:rsidR="00BA424D" w:rsidRPr="006A6F1F" w:rsidRDefault="00BA424D" w:rsidP="0062193B">
      <w:pPr>
        <w:pStyle w:val="ExhibitText"/>
        <w:keepNext/>
        <w:keepLines/>
        <w:rPr>
          <w:color w:val="000000" w:themeColor="text1"/>
          <w:sz w:val="18"/>
          <w:szCs w:val="18"/>
          <w:lang w:val="en-GB"/>
        </w:rPr>
      </w:pPr>
      <w:r w:rsidRPr="006A6F1F">
        <w:rPr>
          <w:b/>
          <w:color w:val="000000" w:themeColor="text1"/>
          <w:sz w:val="18"/>
          <w:szCs w:val="18"/>
          <w:lang w:val="en-GB"/>
        </w:rPr>
        <w:t>Japan Food Holdings</w:t>
      </w:r>
      <w:r w:rsidRPr="006A6F1F">
        <w:rPr>
          <w:color w:val="000000" w:themeColor="text1"/>
          <w:sz w:val="18"/>
          <w:szCs w:val="18"/>
          <w:lang w:val="en-GB"/>
        </w:rPr>
        <w:t xml:space="preserve"> operated a chain of more than 40 restaurants in Singapore serving authentic Japanese fare under various franchises as well as self-developed brands. Its network extended to Malaysia, Vietnam, China, and Hong Kong.</w:t>
      </w:r>
    </w:p>
    <w:p w14:paraId="46FBA792" w14:textId="2EDE3ABB" w:rsidR="00BA424D" w:rsidRPr="006A6F1F" w:rsidRDefault="00BA424D" w:rsidP="0062193B">
      <w:pPr>
        <w:pStyle w:val="ExhibitText"/>
        <w:keepNext/>
        <w:keepLines/>
        <w:rPr>
          <w:color w:val="000000" w:themeColor="text1"/>
          <w:sz w:val="18"/>
          <w:szCs w:val="18"/>
          <w:lang w:val="en-GB"/>
        </w:rPr>
      </w:pPr>
      <w:r w:rsidRPr="006A6F1F">
        <w:rPr>
          <w:b/>
          <w:color w:val="000000" w:themeColor="text1"/>
          <w:sz w:val="18"/>
          <w:szCs w:val="18"/>
          <w:lang w:val="en-GB"/>
        </w:rPr>
        <w:t>Sakae</w:t>
      </w:r>
      <w:r w:rsidRPr="006A6F1F">
        <w:rPr>
          <w:color w:val="000000" w:themeColor="text1"/>
          <w:sz w:val="18"/>
          <w:szCs w:val="18"/>
          <w:lang w:val="en-GB"/>
        </w:rPr>
        <w:t xml:space="preserve"> had over 200 outlets worldwide with brands such as Sakae Sushi, Sakae </w:t>
      </w:r>
      <w:proofErr w:type="spellStart"/>
      <w:r w:rsidRPr="006A6F1F">
        <w:rPr>
          <w:color w:val="000000" w:themeColor="text1"/>
          <w:sz w:val="18"/>
          <w:szCs w:val="18"/>
          <w:lang w:val="en-GB"/>
        </w:rPr>
        <w:t>Teppanyaki</w:t>
      </w:r>
      <w:proofErr w:type="spellEnd"/>
      <w:r w:rsidRPr="006A6F1F">
        <w:rPr>
          <w:color w:val="000000" w:themeColor="text1"/>
          <w:sz w:val="18"/>
          <w:szCs w:val="18"/>
          <w:lang w:val="en-GB"/>
        </w:rPr>
        <w:t xml:space="preserve">, Sakae Delivery, </w:t>
      </w:r>
      <w:proofErr w:type="spellStart"/>
      <w:r w:rsidRPr="006A6F1F">
        <w:rPr>
          <w:color w:val="000000" w:themeColor="text1"/>
          <w:sz w:val="18"/>
          <w:szCs w:val="18"/>
          <w:lang w:val="en-GB"/>
        </w:rPr>
        <w:t>Hei</w:t>
      </w:r>
      <w:proofErr w:type="spellEnd"/>
      <w:r w:rsidRPr="006A6F1F">
        <w:rPr>
          <w:color w:val="000000" w:themeColor="text1"/>
          <w:sz w:val="18"/>
          <w:szCs w:val="18"/>
          <w:lang w:val="en-GB"/>
        </w:rPr>
        <w:t xml:space="preserve"> </w:t>
      </w:r>
      <w:r w:rsidR="00AD3830" w:rsidRPr="006A6F1F">
        <w:rPr>
          <w:color w:val="000000" w:themeColor="text1"/>
          <w:sz w:val="18"/>
          <w:szCs w:val="18"/>
          <w:lang w:val="en-GB"/>
        </w:rPr>
        <w:t>Delivery</w:t>
      </w:r>
      <w:r w:rsidRPr="006A6F1F">
        <w:rPr>
          <w:color w:val="000000" w:themeColor="text1"/>
          <w:sz w:val="18"/>
          <w:szCs w:val="18"/>
          <w:lang w:val="en-GB"/>
        </w:rPr>
        <w:t xml:space="preserve">, </w:t>
      </w:r>
      <w:proofErr w:type="spellStart"/>
      <w:r w:rsidRPr="006A6F1F">
        <w:rPr>
          <w:color w:val="000000" w:themeColor="text1"/>
          <w:sz w:val="18"/>
          <w:szCs w:val="18"/>
          <w:lang w:val="en-GB"/>
        </w:rPr>
        <w:t>Senjyu</w:t>
      </w:r>
      <w:proofErr w:type="spellEnd"/>
      <w:r w:rsidRPr="006A6F1F">
        <w:rPr>
          <w:color w:val="000000" w:themeColor="text1"/>
          <w:sz w:val="18"/>
          <w:szCs w:val="18"/>
          <w:lang w:val="en-GB"/>
        </w:rPr>
        <w:t xml:space="preserve">, Crepes &amp; Cream, Sakae Express, </w:t>
      </w:r>
      <w:proofErr w:type="spellStart"/>
      <w:r w:rsidRPr="006A6F1F">
        <w:rPr>
          <w:color w:val="000000" w:themeColor="text1"/>
          <w:sz w:val="18"/>
          <w:szCs w:val="18"/>
          <w:lang w:val="en-GB"/>
        </w:rPr>
        <w:t>Sachi</w:t>
      </w:r>
      <w:proofErr w:type="spellEnd"/>
      <w:r w:rsidRPr="006A6F1F">
        <w:rPr>
          <w:color w:val="000000" w:themeColor="text1"/>
          <w:sz w:val="18"/>
          <w:szCs w:val="18"/>
          <w:lang w:val="en-GB"/>
        </w:rPr>
        <w:t xml:space="preserve">, </w:t>
      </w:r>
      <w:proofErr w:type="spellStart"/>
      <w:r w:rsidRPr="006A6F1F">
        <w:rPr>
          <w:color w:val="000000" w:themeColor="text1"/>
          <w:sz w:val="18"/>
          <w:szCs w:val="18"/>
          <w:lang w:val="en-GB"/>
        </w:rPr>
        <w:t>Kyo</w:t>
      </w:r>
      <w:proofErr w:type="spellEnd"/>
      <w:r w:rsidRPr="006A6F1F">
        <w:rPr>
          <w:color w:val="000000" w:themeColor="text1"/>
          <w:sz w:val="18"/>
          <w:szCs w:val="18"/>
          <w:lang w:val="en-GB"/>
        </w:rPr>
        <w:t xml:space="preserve"> by Sakae, </w:t>
      </w:r>
      <w:r w:rsidR="00D651EC" w:rsidRPr="006A6F1F">
        <w:rPr>
          <w:color w:val="000000" w:themeColor="text1"/>
          <w:sz w:val="18"/>
          <w:szCs w:val="18"/>
          <w:lang w:val="en-GB"/>
        </w:rPr>
        <w:t xml:space="preserve">and </w:t>
      </w:r>
      <w:r w:rsidRPr="006A6F1F">
        <w:rPr>
          <w:color w:val="000000" w:themeColor="text1"/>
          <w:sz w:val="18"/>
          <w:szCs w:val="18"/>
          <w:lang w:val="en-GB"/>
        </w:rPr>
        <w:t>Nouvelle Events</w:t>
      </w:r>
      <w:r w:rsidR="00AD3830" w:rsidRPr="006A6F1F">
        <w:rPr>
          <w:color w:val="000000" w:themeColor="text1"/>
          <w:sz w:val="18"/>
          <w:szCs w:val="18"/>
          <w:lang w:val="en-GB"/>
        </w:rPr>
        <w:t xml:space="preserve"> &amp; Catering.</w:t>
      </w:r>
    </w:p>
    <w:p w14:paraId="3F585B50" w14:textId="77777777" w:rsidR="00BA424D" w:rsidRPr="006A6F1F" w:rsidRDefault="00BA424D" w:rsidP="0062193B">
      <w:pPr>
        <w:pStyle w:val="ExhibitText"/>
        <w:keepNext/>
        <w:keepLines/>
        <w:rPr>
          <w:color w:val="000000" w:themeColor="text1"/>
          <w:sz w:val="18"/>
          <w:szCs w:val="18"/>
          <w:lang w:val="en-GB"/>
        </w:rPr>
      </w:pPr>
      <w:r w:rsidRPr="006A6F1F">
        <w:rPr>
          <w:b/>
          <w:color w:val="000000" w:themeColor="text1"/>
          <w:sz w:val="18"/>
          <w:szCs w:val="18"/>
          <w:lang w:val="en-GB"/>
        </w:rPr>
        <w:t xml:space="preserve">Old Chang </w:t>
      </w:r>
      <w:proofErr w:type="spellStart"/>
      <w:r w:rsidRPr="006A6F1F">
        <w:rPr>
          <w:b/>
          <w:color w:val="000000" w:themeColor="text1"/>
          <w:sz w:val="18"/>
          <w:szCs w:val="18"/>
          <w:lang w:val="en-GB"/>
        </w:rPr>
        <w:t>Kee</w:t>
      </w:r>
      <w:proofErr w:type="spellEnd"/>
      <w:r w:rsidRPr="006A6F1F">
        <w:rPr>
          <w:color w:val="000000" w:themeColor="text1"/>
          <w:sz w:val="18"/>
          <w:szCs w:val="18"/>
          <w:lang w:val="en-GB"/>
        </w:rPr>
        <w:t xml:space="preserve"> offered superior quality hot finger food and quick bites through kiosks along the road and retail outlets at petrol stations and shopping malls.</w:t>
      </w:r>
    </w:p>
    <w:p w14:paraId="3BB3ECA5" w14:textId="45A19B80" w:rsidR="00BA424D" w:rsidRPr="006A6F1F" w:rsidRDefault="00BA424D" w:rsidP="0062193B">
      <w:pPr>
        <w:pStyle w:val="ExhibitText"/>
        <w:keepNext/>
        <w:keepLines/>
        <w:rPr>
          <w:color w:val="000000" w:themeColor="text1"/>
          <w:sz w:val="18"/>
          <w:szCs w:val="18"/>
          <w:lang w:val="en-GB"/>
        </w:rPr>
      </w:pPr>
      <w:r w:rsidRPr="006A6F1F">
        <w:rPr>
          <w:b/>
          <w:color w:val="000000" w:themeColor="text1"/>
          <w:sz w:val="18"/>
          <w:szCs w:val="18"/>
          <w:lang w:val="en-GB"/>
        </w:rPr>
        <w:t>Neo Group</w:t>
      </w:r>
      <w:r w:rsidRPr="006A6F1F">
        <w:rPr>
          <w:color w:val="000000" w:themeColor="text1"/>
          <w:sz w:val="18"/>
          <w:szCs w:val="18"/>
          <w:lang w:val="en-GB"/>
        </w:rPr>
        <w:t xml:space="preserve"> </w:t>
      </w:r>
      <w:r w:rsidR="008F0A1E" w:rsidRPr="006A6F1F">
        <w:rPr>
          <w:color w:val="000000" w:themeColor="text1"/>
          <w:sz w:val="18"/>
          <w:szCs w:val="18"/>
          <w:lang w:val="en-GB"/>
        </w:rPr>
        <w:t xml:space="preserve">had </w:t>
      </w:r>
      <w:r w:rsidRPr="006A6F1F">
        <w:rPr>
          <w:color w:val="000000" w:themeColor="text1"/>
          <w:sz w:val="18"/>
          <w:szCs w:val="18"/>
          <w:lang w:val="en-GB"/>
        </w:rPr>
        <w:t>five business segments</w:t>
      </w:r>
      <w:r w:rsidR="008F0A1E" w:rsidRPr="006A6F1F">
        <w:rPr>
          <w:color w:val="000000" w:themeColor="text1"/>
          <w:sz w:val="18"/>
          <w:szCs w:val="18"/>
          <w:lang w:val="en-GB"/>
        </w:rPr>
        <w:t>, namely</w:t>
      </w:r>
      <w:r w:rsidR="00313DBB">
        <w:rPr>
          <w:color w:val="000000" w:themeColor="text1"/>
          <w:sz w:val="18"/>
          <w:szCs w:val="18"/>
          <w:lang w:val="en-GB"/>
        </w:rPr>
        <w:t>,</w:t>
      </w:r>
      <w:r w:rsidR="008F0A1E" w:rsidRPr="006A6F1F">
        <w:rPr>
          <w:color w:val="000000" w:themeColor="text1"/>
          <w:sz w:val="18"/>
          <w:szCs w:val="18"/>
          <w:lang w:val="en-GB"/>
        </w:rPr>
        <w:t xml:space="preserve"> </w:t>
      </w:r>
      <w:hyperlink r:id="rId20" w:history="1">
        <w:r w:rsidRPr="006A6F1F">
          <w:rPr>
            <w:color w:val="000000" w:themeColor="text1"/>
            <w:sz w:val="18"/>
            <w:szCs w:val="18"/>
            <w:lang w:val="en-GB"/>
          </w:rPr>
          <w:t>Food Catering</w:t>
        </w:r>
        <w:r w:rsidR="008F0A1E" w:rsidRPr="006A6F1F">
          <w:rPr>
            <w:color w:val="000000" w:themeColor="text1"/>
            <w:sz w:val="18"/>
            <w:szCs w:val="18"/>
            <w:lang w:val="en-GB"/>
          </w:rPr>
          <w:t xml:space="preserve"> (buffets for various occasions)</w:t>
        </w:r>
        <w:r w:rsidRPr="006A6F1F">
          <w:rPr>
            <w:color w:val="000000" w:themeColor="text1"/>
            <w:sz w:val="18"/>
            <w:szCs w:val="18"/>
            <w:lang w:val="en-GB"/>
          </w:rPr>
          <w:t>,</w:t>
        </w:r>
      </w:hyperlink>
      <w:r w:rsidRPr="006A6F1F">
        <w:rPr>
          <w:color w:val="000000" w:themeColor="text1"/>
          <w:sz w:val="18"/>
          <w:szCs w:val="18"/>
          <w:lang w:val="en-GB"/>
        </w:rPr>
        <w:t xml:space="preserve"> </w:t>
      </w:r>
      <w:hyperlink r:id="rId21" w:history="1">
        <w:r w:rsidRPr="006A6F1F">
          <w:rPr>
            <w:color w:val="000000" w:themeColor="text1"/>
            <w:sz w:val="18"/>
            <w:szCs w:val="18"/>
            <w:lang w:val="en-GB"/>
          </w:rPr>
          <w:t>Food Retail</w:t>
        </w:r>
      </w:hyperlink>
      <w:r w:rsidR="008F0A1E" w:rsidRPr="006A6F1F">
        <w:rPr>
          <w:color w:val="000000" w:themeColor="text1"/>
          <w:sz w:val="18"/>
          <w:szCs w:val="18"/>
          <w:lang w:val="en-GB"/>
        </w:rPr>
        <w:t>ing (outlets that served Japanese food),</w:t>
      </w:r>
      <w:r w:rsidRPr="006A6F1F">
        <w:rPr>
          <w:color w:val="000000" w:themeColor="text1"/>
          <w:sz w:val="18"/>
          <w:szCs w:val="18"/>
          <w:lang w:val="en-GB"/>
        </w:rPr>
        <w:t xml:space="preserve"> </w:t>
      </w:r>
      <w:hyperlink r:id="rId22" w:history="1">
        <w:r w:rsidRPr="006A6F1F">
          <w:rPr>
            <w:color w:val="000000" w:themeColor="text1"/>
            <w:sz w:val="18"/>
            <w:szCs w:val="18"/>
            <w:lang w:val="en-GB"/>
          </w:rPr>
          <w:t>Food Manufacturing</w:t>
        </w:r>
      </w:hyperlink>
      <w:r w:rsidR="008F0A1E" w:rsidRPr="006A6F1F">
        <w:rPr>
          <w:color w:val="000000" w:themeColor="text1"/>
          <w:sz w:val="18"/>
          <w:szCs w:val="18"/>
          <w:lang w:val="en-GB"/>
        </w:rPr>
        <w:t xml:space="preserve"> (</w:t>
      </w:r>
      <w:r w:rsidR="00D5646E" w:rsidRPr="006A6F1F">
        <w:rPr>
          <w:color w:val="000000" w:themeColor="text1"/>
          <w:sz w:val="18"/>
          <w:szCs w:val="18"/>
          <w:lang w:val="en-GB"/>
        </w:rPr>
        <w:t xml:space="preserve">which </w:t>
      </w:r>
      <w:r w:rsidR="008F0A1E" w:rsidRPr="006A6F1F">
        <w:rPr>
          <w:color w:val="000000" w:themeColor="text1"/>
          <w:sz w:val="18"/>
          <w:szCs w:val="18"/>
          <w:lang w:val="en-GB"/>
        </w:rPr>
        <w:t>made fish</w:t>
      </w:r>
      <w:r w:rsidR="00B15279">
        <w:rPr>
          <w:color w:val="000000" w:themeColor="text1"/>
          <w:sz w:val="18"/>
          <w:szCs w:val="18"/>
          <w:lang w:val="en-GB"/>
        </w:rPr>
        <w:t>-</w:t>
      </w:r>
      <w:r w:rsidR="008F0A1E" w:rsidRPr="006A6F1F">
        <w:rPr>
          <w:color w:val="000000" w:themeColor="text1"/>
          <w:sz w:val="18"/>
          <w:szCs w:val="18"/>
          <w:lang w:val="en-GB"/>
        </w:rPr>
        <w:t xml:space="preserve">ball and </w:t>
      </w:r>
      <w:r w:rsidR="00B15279" w:rsidRPr="006A6F1F">
        <w:rPr>
          <w:color w:val="000000" w:themeColor="text1"/>
          <w:sz w:val="18"/>
          <w:szCs w:val="18"/>
          <w:lang w:val="en-GB"/>
        </w:rPr>
        <w:t>fish</w:t>
      </w:r>
      <w:r w:rsidR="00B15279">
        <w:rPr>
          <w:color w:val="000000" w:themeColor="text1"/>
          <w:sz w:val="18"/>
          <w:szCs w:val="18"/>
          <w:lang w:val="en-GB"/>
        </w:rPr>
        <w:t>-</w:t>
      </w:r>
      <w:r w:rsidR="008F0A1E" w:rsidRPr="006A6F1F">
        <w:rPr>
          <w:color w:val="000000" w:themeColor="text1"/>
          <w:sz w:val="18"/>
          <w:szCs w:val="18"/>
          <w:lang w:val="en-GB"/>
        </w:rPr>
        <w:t>paste products)</w:t>
      </w:r>
      <w:r w:rsidRPr="006A6F1F">
        <w:rPr>
          <w:color w:val="000000" w:themeColor="text1"/>
          <w:sz w:val="18"/>
          <w:szCs w:val="18"/>
          <w:lang w:val="en-GB"/>
        </w:rPr>
        <w:t xml:space="preserve">, </w:t>
      </w:r>
      <w:hyperlink r:id="rId23" w:history="1">
        <w:r w:rsidRPr="006A6F1F">
          <w:rPr>
            <w:color w:val="000000" w:themeColor="text1"/>
            <w:sz w:val="18"/>
            <w:szCs w:val="18"/>
            <w:lang w:val="en-GB"/>
          </w:rPr>
          <w:t>Food Trading</w:t>
        </w:r>
      </w:hyperlink>
      <w:r w:rsidR="008F0A1E" w:rsidRPr="006A6F1F">
        <w:rPr>
          <w:color w:val="000000" w:themeColor="text1"/>
          <w:sz w:val="18"/>
          <w:szCs w:val="18"/>
          <w:lang w:val="en-GB"/>
        </w:rPr>
        <w:t xml:space="preserve"> (</w:t>
      </w:r>
      <w:r w:rsidR="00D5646E" w:rsidRPr="006A6F1F">
        <w:rPr>
          <w:color w:val="000000" w:themeColor="text1"/>
          <w:sz w:val="18"/>
          <w:szCs w:val="18"/>
          <w:lang w:val="en-GB"/>
        </w:rPr>
        <w:t xml:space="preserve">which </w:t>
      </w:r>
      <w:r w:rsidR="008F0A1E" w:rsidRPr="006A6F1F">
        <w:rPr>
          <w:color w:val="000000" w:themeColor="text1"/>
          <w:sz w:val="18"/>
          <w:szCs w:val="18"/>
          <w:lang w:val="en-GB"/>
        </w:rPr>
        <w:t>supplied fruits, vegetables</w:t>
      </w:r>
      <w:r w:rsidR="00D5646E" w:rsidRPr="006A6F1F">
        <w:rPr>
          <w:color w:val="000000" w:themeColor="text1"/>
          <w:sz w:val="18"/>
          <w:szCs w:val="18"/>
          <w:lang w:val="en-GB"/>
        </w:rPr>
        <w:t>,</w:t>
      </w:r>
      <w:r w:rsidR="008F0A1E" w:rsidRPr="006A6F1F">
        <w:rPr>
          <w:color w:val="000000" w:themeColor="text1"/>
          <w:sz w:val="18"/>
          <w:szCs w:val="18"/>
          <w:lang w:val="en-GB"/>
        </w:rPr>
        <w:t xml:space="preserve"> and frozen meats)</w:t>
      </w:r>
      <w:r w:rsidRPr="006A6F1F">
        <w:rPr>
          <w:color w:val="000000" w:themeColor="text1"/>
          <w:sz w:val="18"/>
          <w:szCs w:val="18"/>
          <w:lang w:val="en-GB"/>
        </w:rPr>
        <w:t xml:space="preserve">, and </w:t>
      </w:r>
      <w:r w:rsidR="008F0A1E" w:rsidRPr="006A6F1F">
        <w:rPr>
          <w:color w:val="000000" w:themeColor="text1"/>
          <w:sz w:val="18"/>
          <w:szCs w:val="18"/>
          <w:lang w:val="en-GB"/>
        </w:rPr>
        <w:t>Other Supplies (</w:t>
      </w:r>
      <w:r w:rsidR="00D5646E" w:rsidRPr="006A6F1F">
        <w:rPr>
          <w:color w:val="000000" w:themeColor="text1"/>
          <w:sz w:val="18"/>
          <w:szCs w:val="18"/>
          <w:lang w:val="en-GB"/>
        </w:rPr>
        <w:t>which supplied items such as</w:t>
      </w:r>
      <w:r w:rsidR="008F0A1E" w:rsidRPr="006A6F1F">
        <w:rPr>
          <w:color w:val="000000" w:themeColor="text1"/>
          <w:sz w:val="18"/>
          <w:szCs w:val="18"/>
          <w:lang w:val="en-GB"/>
        </w:rPr>
        <w:t xml:space="preserve"> hampers, cakes, and flowers).</w:t>
      </w:r>
    </w:p>
    <w:p w14:paraId="008A54F4" w14:textId="77777777" w:rsidR="00BA424D" w:rsidRPr="00486FFE" w:rsidRDefault="00BA424D" w:rsidP="0062193B">
      <w:pPr>
        <w:pStyle w:val="ExhibitText"/>
        <w:keepNext/>
        <w:keepLines/>
        <w:rPr>
          <w:color w:val="000000" w:themeColor="text1"/>
          <w:spacing w:val="-4"/>
          <w:sz w:val="18"/>
          <w:szCs w:val="18"/>
          <w:lang w:val="en-GB"/>
        </w:rPr>
      </w:pPr>
      <w:proofErr w:type="spellStart"/>
      <w:r w:rsidRPr="00486FFE">
        <w:rPr>
          <w:b/>
          <w:color w:val="000000" w:themeColor="text1"/>
          <w:spacing w:val="-4"/>
          <w:sz w:val="18"/>
          <w:szCs w:val="18"/>
          <w:lang w:val="en-GB"/>
        </w:rPr>
        <w:t>Breadtalk</w:t>
      </w:r>
      <w:proofErr w:type="spellEnd"/>
      <w:r w:rsidRPr="00486FFE">
        <w:rPr>
          <w:b/>
          <w:color w:val="000000" w:themeColor="text1"/>
          <w:spacing w:val="-4"/>
          <w:sz w:val="18"/>
          <w:szCs w:val="18"/>
          <w:lang w:val="en-GB"/>
        </w:rPr>
        <w:t xml:space="preserve"> Group</w:t>
      </w:r>
      <w:r w:rsidRPr="00486FFE">
        <w:rPr>
          <w:color w:val="000000" w:themeColor="text1"/>
          <w:spacing w:val="-4"/>
          <w:sz w:val="18"/>
          <w:szCs w:val="18"/>
          <w:lang w:val="en-GB"/>
        </w:rPr>
        <w:t xml:space="preserve"> had more than 850 bakeries, 26 Din Tai Fung restaurants, and 60 Food Republic food courts in China, Singapore, Hong Kong, Malaysia, Taiwan, and Thailand.</w:t>
      </w:r>
    </w:p>
    <w:p w14:paraId="55E9D467" w14:textId="44EF7DBE" w:rsidR="00B93C88" w:rsidRPr="006A6F1F" w:rsidRDefault="00B93C88" w:rsidP="0062193B">
      <w:pPr>
        <w:pStyle w:val="ExhibitText"/>
        <w:keepNext/>
        <w:keepLines/>
        <w:rPr>
          <w:b/>
          <w:color w:val="000000" w:themeColor="text1"/>
          <w:sz w:val="18"/>
          <w:szCs w:val="18"/>
          <w:lang w:val="en-GB"/>
        </w:rPr>
      </w:pPr>
      <w:r w:rsidRPr="006A6F1F">
        <w:rPr>
          <w:b/>
          <w:color w:val="000000" w:themeColor="text1"/>
          <w:sz w:val="18"/>
          <w:szCs w:val="18"/>
          <w:lang w:val="en-GB"/>
        </w:rPr>
        <w:t xml:space="preserve">Katrina Group </w:t>
      </w:r>
      <w:r w:rsidRPr="006A6F1F">
        <w:rPr>
          <w:color w:val="000000" w:themeColor="text1"/>
          <w:sz w:val="18"/>
          <w:szCs w:val="18"/>
          <w:lang w:val="en-GB"/>
        </w:rPr>
        <w:t xml:space="preserve">owned and operated restaurants under nine different </w:t>
      </w:r>
      <w:r w:rsidR="00313DBB">
        <w:rPr>
          <w:color w:val="000000" w:themeColor="text1"/>
          <w:sz w:val="18"/>
          <w:szCs w:val="18"/>
          <w:lang w:val="en-GB"/>
        </w:rPr>
        <w:t>food and beverage</w:t>
      </w:r>
      <w:r w:rsidRPr="006A6F1F">
        <w:rPr>
          <w:color w:val="000000" w:themeColor="text1"/>
          <w:sz w:val="18"/>
          <w:szCs w:val="18"/>
          <w:lang w:val="en-GB"/>
        </w:rPr>
        <w:t xml:space="preserve"> brands including Bali Thai, Pho, </w:t>
      </w:r>
      <w:proofErr w:type="spellStart"/>
      <w:r w:rsidRPr="006A6F1F">
        <w:rPr>
          <w:color w:val="000000" w:themeColor="text1"/>
          <w:sz w:val="18"/>
          <w:szCs w:val="18"/>
          <w:lang w:val="en-GB"/>
        </w:rPr>
        <w:t>Streats</w:t>
      </w:r>
      <w:proofErr w:type="spellEnd"/>
      <w:r w:rsidR="00D5646E" w:rsidRPr="006A6F1F">
        <w:rPr>
          <w:color w:val="000000" w:themeColor="text1"/>
          <w:sz w:val="18"/>
          <w:szCs w:val="18"/>
          <w:lang w:val="en-GB"/>
        </w:rPr>
        <w:t>,</w:t>
      </w:r>
      <w:r w:rsidRPr="006A6F1F">
        <w:rPr>
          <w:color w:val="000000" w:themeColor="text1"/>
          <w:sz w:val="18"/>
          <w:szCs w:val="18"/>
          <w:lang w:val="en-GB"/>
        </w:rPr>
        <w:t xml:space="preserve"> and </w:t>
      </w:r>
      <w:proofErr w:type="spellStart"/>
      <w:r w:rsidRPr="006A6F1F">
        <w:rPr>
          <w:color w:val="000000" w:themeColor="text1"/>
          <w:sz w:val="18"/>
          <w:szCs w:val="18"/>
          <w:lang w:val="en-GB"/>
        </w:rPr>
        <w:t>Indobox</w:t>
      </w:r>
      <w:proofErr w:type="spellEnd"/>
      <w:r w:rsidRPr="006A6F1F">
        <w:rPr>
          <w:color w:val="000000" w:themeColor="text1"/>
          <w:sz w:val="18"/>
          <w:szCs w:val="18"/>
          <w:lang w:val="en-GB"/>
        </w:rPr>
        <w:t>.</w:t>
      </w:r>
    </w:p>
    <w:p w14:paraId="0686635E" w14:textId="32B7CB86" w:rsidR="00B93C88" w:rsidRPr="006A6F1F" w:rsidRDefault="00B93C88" w:rsidP="0062193B">
      <w:pPr>
        <w:pStyle w:val="ExhibitText"/>
        <w:keepNext/>
        <w:keepLines/>
        <w:rPr>
          <w:color w:val="000000" w:themeColor="text1"/>
          <w:sz w:val="18"/>
          <w:szCs w:val="18"/>
          <w:lang w:val="en-GB"/>
        </w:rPr>
      </w:pPr>
      <w:r w:rsidRPr="006A6F1F">
        <w:rPr>
          <w:b/>
          <w:color w:val="000000" w:themeColor="text1"/>
          <w:sz w:val="18"/>
          <w:szCs w:val="18"/>
          <w:lang w:val="en-GB"/>
        </w:rPr>
        <w:t xml:space="preserve">ABR Holdings </w:t>
      </w:r>
      <w:r w:rsidRPr="006A6F1F">
        <w:rPr>
          <w:color w:val="000000" w:themeColor="text1"/>
          <w:sz w:val="18"/>
          <w:szCs w:val="18"/>
          <w:lang w:val="en-GB"/>
        </w:rPr>
        <w:t xml:space="preserve">owned and operated 25 </w:t>
      </w:r>
      <w:proofErr w:type="spellStart"/>
      <w:r w:rsidRPr="006A6F1F">
        <w:rPr>
          <w:color w:val="000000" w:themeColor="text1"/>
          <w:sz w:val="18"/>
          <w:szCs w:val="18"/>
          <w:lang w:val="en-GB"/>
        </w:rPr>
        <w:t>Swensen</w:t>
      </w:r>
      <w:r w:rsidR="00D5646E" w:rsidRPr="006A6F1F">
        <w:rPr>
          <w:color w:val="000000" w:themeColor="text1"/>
          <w:sz w:val="18"/>
          <w:szCs w:val="18"/>
          <w:lang w:val="en-GB"/>
        </w:rPr>
        <w:t>’s</w:t>
      </w:r>
      <w:proofErr w:type="spellEnd"/>
      <w:r w:rsidRPr="006A6F1F">
        <w:rPr>
          <w:color w:val="000000" w:themeColor="text1"/>
          <w:sz w:val="18"/>
          <w:szCs w:val="18"/>
          <w:lang w:val="en-GB"/>
        </w:rPr>
        <w:t xml:space="preserve"> restaurants in Singapore. It owned brands such as Chilli </w:t>
      </w:r>
      <w:proofErr w:type="spellStart"/>
      <w:r w:rsidRPr="006A6F1F">
        <w:rPr>
          <w:color w:val="000000" w:themeColor="text1"/>
          <w:sz w:val="18"/>
          <w:szCs w:val="18"/>
          <w:lang w:val="en-GB"/>
        </w:rPr>
        <w:t>Padi</w:t>
      </w:r>
      <w:proofErr w:type="spellEnd"/>
      <w:r w:rsidRPr="006A6F1F">
        <w:rPr>
          <w:color w:val="000000" w:themeColor="text1"/>
          <w:sz w:val="18"/>
          <w:szCs w:val="18"/>
          <w:lang w:val="en-GB"/>
        </w:rPr>
        <w:t xml:space="preserve">, Tip Top, Season </w:t>
      </w:r>
      <w:r w:rsidR="00275B4A" w:rsidRPr="006A6F1F">
        <w:rPr>
          <w:color w:val="000000" w:themeColor="text1"/>
          <w:sz w:val="18"/>
          <w:szCs w:val="18"/>
          <w:lang w:val="en-GB"/>
        </w:rPr>
        <w:t>C</w:t>
      </w:r>
      <w:r w:rsidRPr="006A6F1F">
        <w:rPr>
          <w:color w:val="000000" w:themeColor="text1"/>
          <w:sz w:val="18"/>
          <w:szCs w:val="18"/>
          <w:lang w:val="en-GB"/>
        </w:rPr>
        <w:t>afe, Season Confectionery, Sticky Wings</w:t>
      </w:r>
      <w:r w:rsidR="00D5646E" w:rsidRPr="006A6F1F">
        <w:rPr>
          <w:color w:val="000000" w:themeColor="text1"/>
          <w:sz w:val="18"/>
          <w:szCs w:val="18"/>
          <w:lang w:val="en-GB"/>
        </w:rPr>
        <w:t>,</w:t>
      </w:r>
      <w:r w:rsidRPr="006A6F1F">
        <w:rPr>
          <w:color w:val="000000" w:themeColor="text1"/>
          <w:sz w:val="18"/>
          <w:szCs w:val="18"/>
          <w:lang w:val="en-GB"/>
        </w:rPr>
        <w:t xml:space="preserve"> and </w:t>
      </w:r>
      <w:proofErr w:type="spellStart"/>
      <w:r w:rsidRPr="006A6F1F">
        <w:rPr>
          <w:color w:val="000000" w:themeColor="text1"/>
          <w:sz w:val="18"/>
          <w:szCs w:val="18"/>
          <w:lang w:val="en-GB"/>
        </w:rPr>
        <w:t>Yogen</w:t>
      </w:r>
      <w:proofErr w:type="spellEnd"/>
      <w:r w:rsidRPr="006A6F1F">
        <w:rPr>
          <w:color w:val="000000" w:themeColor="text1"/>
          <w:sz w:val="18"/>
          <w:szCs w:val="18"/>
          <w:lang w:val="en-GB"/>
        </w:rPr>
        <w:t xml:space="preserve"> </w:t>
      </w:r>
      <w:proofErr w:type="spellStart"/>
      <w:r w:rsidRPr="006A6F1F">
        <w:rPr>
          <w:color w:val="000000" w:themeColor="text1"/>
          <w:sz w:val="18"/>
          <w:szCs w:val="18"/>
          <w:lang w:val="en-GB"/>
        </w:rPr>
        <w:t>Fr</w:t>
      </w:r>
      <w:r w:rsidR="00313DBB">
        <w:rPr>
          <w:color w:val="000000" w:themeColor="text1"/>
          <w:sz w:val="18"/>
          <w:szCs w:val="18"/>
          <w:lang w:val="en-GB"/>
        </w:rPr>
        <w:t>ü</w:t>
      </w:r>
      <w:r w:rsidRPr="006A6F1F">
        <w:rPr>
          <w:color w:val="000000" w:themeColor="text1"/>
          <w:sz w:val="18"/>
          <w:szCs w:val="18"/>
          <w:lang w:val="en-GB"/>
        </w:rPr>
        <w:t>z</w:t>
      </w:r>
      <w:proofErr w:type="spellEnd"/>
      <w:r w:rsidRPr="006A6F1F">
        <w:rPr>
          <w:color w:val="000000" w:themeColor="text1"/>
          <w:sz w:val="18"/>
          <w:szCs w:val="18"/>
          <w:lang w:val="en-GB"/>
        </w:rPr>
        <w:t>.</w:t>
      </w:r>
    </w:p>
    <w:p w14:paraId="6C9EB3F5" w14:textId="5F49413D" w:rsidR="00B93C88" w:rsidRPr="006A6F1F" w:rsidRDefault="00B93C88" w:rsidP="0062193B">
      <w:pPr>
        <w:pStyle w:val="ExhibitText"/>
        <w:keepNext/>
        <w:keepLines/>
        <w:rPr>
          <w:color w:val="000000" w:themeColor="text1"/>
          <w:sz w:val="18"/>
          <w:szCs w:val="18"/>
          <w:shd w:val="clear" w:color="auto" w:fill="FFFFFF"/>
          <w:lang w:val="en-GB"/>
        </w:rPr>
      </w:pPr>
      <w:proofErr w:type="spellStart"/>
      <w:r w:rsidRPr="006A6F1F">
        <w:rPr>
          <w:b/>
          <w:color w:val="000000" w:themeColor="text1"/>
          <w:sz w:val="18"/>
          <w:szCs w:val="18"/>
          <w:lang w:val="en-GB"/>
        </w:rPr>
        <w:t>LifeBrandz</w:t>
      </w:r>
      <w:proofErr w:type="spellEnd"/>
      <w:r w:rsidRPr="006A6F1F">
        <w:rPr>
          <w:b/>
          <w:color w:val="000000" w:themeColor="text1"/>
          <w:sz w:val="18"/>
          <w:szCs w:val="18"/>
          <w:lang w:val="en-GB"/>
        </w:rPr>
        <w:t xml:space="preserve"> </w:t>
      </w:r>
      <w:r w:rsidR="008F0A1E" w:rsidRPr="006A6F1F">
        <w:rPr>
          <w:color w:val="000000" w:themeColor="text1"/>
          <w:sz w:val="18"/>
          <w:szCs w:val="18"/>
          <w:lang w:val="en-GB"/>
        </w:rPr>
        <w:t>developed and managed health, beauty, personal care</w:t>
      </w:r>
      <w:r w:rsidR="00D5646E" w:rsidRPr="006A6F1F">
        <w:rPr>
          <w:color w:val="000000" w:themeColor="text1"/>
          <w:sz w:val="18"/>
          <w:szCs w:val="18"/>
          <w:lang w:val="en-GB"/>
        </w:rPr>
        <w:t>,</w:t>
      </w:r>
      <w:r w:rsidR="008F0A1E" w:rsidRPr="006A6F1F">
        <w:rPr>
          <w:color w:val="000000" w:themeColor="text1"/>
          <w:sz w:val="18"/>
          <w:szCs w:val="18"/>
          <w:lang w:val="en-GB"/>
        </w:rPr>
        <w:t xml:space="preserve"> and lifestyle products under </w:t>
      </w:r>
      <w:r w:rsidR="00D5646E" w:rsidRPr="006A6F1F">
        <w:rPr>
          <w:color w:val="000000" w:themeColor="text1"/>
          <w:sz w:val="18"/>
          <w:szCs w:val="18"/>
          <w:lang w:val="en-GB"/>
        </w:rPr>
        <w:t xml:space="preserve">its </w:t>
      </w:r>
      <w:r w:rsidR="008F0A1E" w:rsidRPr="006A6F1F">
        <w:rPr>
          <w:color w:val="000000" w:themeColor="text1"/>
          <w:sz w:val="18"/>
          <w:szCs w:val="18"/>
          <w:lang w:val="en-GB"/>
        </w:rPr>
        <w:t xml:space="preserve">brands such as </w:t>
      </w:r>
      <w:proofErr w:type="spellStart"/>
      <w:r w:rsidR="008F0A1E" w:rsidRPr="006A6F1F">
        <w:rPr>
          <w:color w:val="000000" w:themeColor="text1"/>
          <w:sz w:val="18"/>
          <w:szCs w:val="18"/>
          <w:lang w:val="en-GB"/>
        </w:rPr>
        <w:t>Intenz</w:t>
      </w:r>
      <w:proofErr w:type="spellEnd"/>
      <w:r w:rsidR="008F0A1E" w:rsidRPr="006A6F1F">
        <w:rPr>
          <w:color w:val="000000" w:themeColor="text1"/>
          <w:sz w:val="18"/>
          <w:szCs w:val="18"/>
          <w:lang w:val="en-GB"/>
        </w:rPr>
        <w:t xml:space="preserve"> (skin supplement</w:t>
      </w:r>
      <w:r w:rsidR="00D5646E" w:rsidRPr="006A6F1F">
        <w:rPr>
          <w:color w:val="000000" w:themeColor="text1"/>
          <w:sz w:val="18"/>
          <w:szCs w:val="18"/>
          <w:lang w:val="en-GB"/>
        </w:rPr>
        <w:t>s</w:t>
      </w:r>
      <w:r w:rsidR="008F0A1E" w:rsidRPr="006A6F1F">
        <w:rPr>
          <w:color w:val="000000" w:themeColor="text1"/>
          <w:sz w:val="18"/>
          <w:szCs w:val="18"/>
          <w:lang w:val="en-GB"/>
        </w:rPr>
        <w:t xml:space="preserve">), </w:t>
      </w:r>
      <w:proofErr w:type="spellStart"/>
      <w:r w:rsidR="008F0A1E" w:rsidRPr="006A6F1F">
        <w:rPr>
          <w:color w:val="000000" w:themeColor="text1"/>
          <w:sz w:val="18"/>
          <w:szCs w:val="18"/>
          <w:lang w:val="en-GB"/>
        </w:rPr>
        <w:t>Extrim</w:t>
      </w:r>
      <w:proofErr w:type="spellEnd"/>
      <w:r w:rsidR="008F0A1E" w:rsidRPr="006A6F1F">
        <w:rPr>
          <w:color w:val="000000" w:themeColor="text1"/>
          <w:sz w:val="18"/>
          <w:szCs w:val="18"/>
          <w:lang w:val="en-GB"/>
        </w:rPr>
        <w:t xml:space="preserve"> (weight loss</w:t>
      </w:r>
      <w:r w:rsidR="00D5646E" w:rsidRPr="006A6F1F">
        <w:rPr>
          <w:color w:val="000000" w:themeColor="text1"/>
          <w:sz w:val="18"/>
          <w:szCs w:val="18"/>
          <w:lang w:val="en-GB"/>
        </w:rPr>
        <w:t xml:space="preserve"> products</w:t>
      </w:r>
      <w:r w:rsidR="008F0A1E" w:rsidRPr="006A6F1F">
        <w:rPr>
          <w:color w:val="000000" w:themeColor="text1"/>
          <w:sz w:val="18"/>
          <w:szCs w:val="18"/>
          <w:lang w:val="en-GB"/>
        </w:rPr>
        <w:t xml:space="preserve">), </w:t>
      </w:r>
      <w:proofErr w:type="spellStart"/>
      <w:r w:rsidR="00D5646E" w:rsidRPr="006A6F1F">
        <w:rPr>
          <w:color w:val="000000" w:themeColor="text1"/>
          <w:sz w:val="18"/>
          <w:szCs w:val="18"/>
          <w:lang w:val="en-GB"/>
        </w:rPr>
        <w:t>SlimWater</w:t>
      </w:r>
      <w:proofErr w:type="spellEnd"/>
      <w:r w:rsidR="00D5646E" w:rsidRPr="006A6F1F">
        <w:rPr>
          <w:color w:val="000000" w:themeColor="text1"/>
          <w:sz w:val="18"/>
          <w:szCs w:val="18"/>
          <w:lang w:val="en-GB"/>
        </w:rPr>
        <w:t xml:space="preserve"> </w:t>
      </w:r>
      <w:r w:rsidR="008F0A1E" w:rsidRPr="006A6F1F">
        <w:rPr>
          <w:color w:val="000000" w:themeColor="text1"/>
          <w:sz w:val="18"/>
          <w:szCs w:val="18"/>
          <w:lang w:val="en-GB"/>
        </w:rPr>
        <w:t>(functional water)</w:t>
      </w:r>
      <w:r w:rsidR="00164900">
        <w:rPr>
          <w:color w:val="000000" w:themeColor="text1"/>
          <w:sz w:val="18"/>
          <w:szCs w:val="18"/>
          <w:lang w:val="en-GB"/>
        </w:rPr>
        <w:t>,</w:t>
      </w:r>
      <w:r w:rsidR="008F0A1E" w:rsidRPr="006A6F1F">
        <w:rPr>
          <w:color w:val="000000" w:themeColor="text1"/>
          <w:sz w:val="18"/>
          <w:szCs w:val="18"/>
          <w:lang w:val="en-GB"/>
        </w:rPr>
        <w:t xml:space="preserve"> and </w:t>
      </w:r>
      <w:proofErr w:type="spellStart"/>
      <w:r w:rsidR="008F0A1E" w:rsidRPr="006A6F1F">
        <w:rPr>
          <w:color w:val="000000" w:themeColor="text1"/>
          <w:sz w:val="18"/>
          <w:szCs w:val="18"/>
          <w:lang w:val="en-GB"/>
        </w:rPr>
        <w:t>Genki</w:t>
      </w:r>
      <w:proofErr w:type="spellEnd"/>
      <w:r w:rsidR="008F0A1E" w:rsidRPr="006A6F1F">
        <w:rPr>
          <w:color w:val="000000" w:themeColor="text1"/>
          <w:sz w:val="18"/>
          <w:szCs w:val="18"/>
          <w:lang w:val="en-GB"/>
        </w:rPr>
        <w:t xml:space="preserve"> Tea (floral teas)</w:t>
      </w:r>
      <w:r w:rsidRPr="006A6F1F">
        <w:rPr>
          <w:color w:val="000000" w:themeColor="text1"/>
          <w:sz w:val="18"/>
          <w:szCs w:val="18"/>
          <w:shd w:val="clear" w:color="auto" w:fill="FFFFFF"/>
          <w:lang w:val="en-GB"/>
        </w:rPr>
        <w:t>.</w:t>
      </w:r>
    </w:p>
    <w:p w14:paraId="1F6AC1A8" w14:textId="2A61AA5E" w:rsidR="00B93C88" w:rsidRPr="006A6F1F" w:rsidRDefault="00B93C88" w:rsidP="0062193B">
      <w:pPr>
        <w:pStyle w:val="ExhibitText"/>
        <w:keepNext/>
        <w:keepLines/>
        <w:rPr>
          <w:b/>
          <w:color w:val="000000" w:themeColor="text1"/>
          <w:sz w:val="18"/>
          <w:szCs w:val="18"/>
          <w:lang w:val="en-GB"/>
        </w:rPr>
      </w:pPr>
      <w:r w:rsidRPr="006A6F1F">
        <w:rPr>
          <w:b/>
          <w:color w:val="000000" w:themeColor="text1"/>
          <w:sz w:val="18"/>
          <w:szCs w:val="18"/>
          <w:shd w:val="clear" w:color="auto" w:fill="FFFFFF"/>
          <w:lang w:val="en-GB"/>
        </w:rPr>
        <w:t xml:space="preserve">Dairy Farm </w:t>
      </w:r>
      <w:r w:rsidR="008F0A1E" w:rsidRPr="006A6F1F">
        <w:rPr>
          <w:b/>
          <w:color w:val="000000" w:themeColor="text1"/>
          <w:sz w:val="18"/>
          <w:szCs w:val="18"/>
          <w:shd w:val="clear" w:color="auto" w:fill="FFFFFF"/>
          <w:lang w:val="en-GB"/>
        </w:rPr>
        <w:t>International</w:t>
      </w:r>
      <w:r w:rsidRPr="006A6F1F">
        <w:rPr>
          <w:color w:val="000000" w:themeColor="text1"/>
          <w:sz w:val="18"/>
          <w:szCs w:val="18"/>
          <w:shd w:val="clear" w:color="auto" w:fill="FFFFFF"/>
          <w:lang w:val="en-GB"/>
        </w:rPr>
        <w:t xml:space="preserve"> </w:t>
      </w:r>
      <w:r w:rsidR="008F0A1E" w:rsidRPr="006A6F1F">
        <w:rPr>
          <w:color w:val="000000" w:themeColor="text1"/>
          <w:sz w:val="18"/>
          <w:szCs w:val="18"/>
          <w:shd w:val="clear" w:color="auto" w:fill="FFFFFF"/>
          <w:lang w:val="en-GB"/>
        </w:rPr>
        <w:t>operated supermarkets, hypermarkets, convenience stores, health and beauty stores, and home furnishing stores across Asia.</w:t>
      </w:r>
      <w:r w:rsidRPr="006A6F1F">
        <w:rPr>
          <w:rStyle w:val="apple-converted-space"/>
          <w:color w:val="000000" w:themeColor="text1"/>
          <w:sz w:val="18"/>
          <w:szCs w:val="18"/>
          <w:shd w:val="clear" w:color="auto" w:fill="FFFFFF"/>
          <w:lang w:val="en-GB"/>
        </w:rPr>
        <w:t> </w:t>
      </w:r>
      <w:r w:rsidRPr="006A6F1F">
        <w:rPr>
          <w:rStyle w:val="apple-converted-space"/>
          <w:b/>
          <w:color w:val="000000" w:themeColor="text1"/>
          <w:sz w:val="18"/>
          <w:szCs w:val="18"/>
          <w:shd w:val="clear" w:color="auto" w:fill="FFFFFF"/>
          <w:lang w:val="en-GB"/>
        </w:rPr>
        <w:t> </w:t>
      </w:r>
    </w:p>
    <w:p w14:paraId="5D94030D" w14:textId="77777777" w:rsidR="00BA424D" w:rsidRPr="006A6F1F" w:rsidRDefault="00BA424D" w:rsidP="0062193B">
      <w:pPr>
        <w:pStyle w:val="ExhibitText"/>
        <w:keepNext/>
        <w:keepLines/>
        <w:rPr>
          <w:color w:val="000000" w:themeColor="text1"/>
          <w:sz w:val="18"/>
          <w:szCs w:val="18"/>
          <w:lang w:val="en-GB"/>
        </w:rPr>
      </w:pPr>
      <w:r w:rsidRPr="006A6F1F">
        <w:rPr>
          <w:b/>
          <w:color w:val="000000" w:themeColor="text1"/>
          <w:sz w:val="18"/>
          <w:szCs w:val="18"/>
          <w:lang w:val="en-GB"/>
        </w:rPr>
        <w:t>Soup Restaurant Group</w:t>
      </w:r>
      <w:r w:rsidRPr="006A6F1F">
        <w:rPr>
          <w:color w:val="000000" w:themeColor="text1"/>
          <w:sz w:val="18"/>
          <w:szCs w:val="18"/>
          <w:lang w:val="en-GB"/>
        </w:rPr>
        <w:t xml:space="preserve"> operated a chain of restaurant outlets in Singapore and Malaysia as well as franchised outlets in Indonesia.</w:t>
      </w:r>
    </w:p>
    <w:p w14:paraId="1245EC55" w14:textId="18589A2D" w:rsidR="00BA424D" w:rsidRPr="006A6F1F" w:rsidRDefault="00BA424D" w:rsidP="0062193B">
      <w:pPr>
        <w:pStyle w:val="ExhibitText"/>
        <w:keepNext/>
        <w:keepLines/>
        <w:rPr>
          <w:color w:val="000000" w:themeColor="text1"/>
          <w:sz w:val="18"/>
          <w:szCs w:val="18"/>
          <w:lang w:val="en-GB"/>
        </w:rPr>
      </w:pPr>
      <w:r w:rsidRPr="006A6F1F">
        <w:rPr>
          <w:b/>
          <w:color w:val="000000" w:themeColor="text1"/>
          <w:sz w:val="18"/>
          <w:szCs w:val="18"/>
          <w:lang w:val="en-GB"/>
        </w:rPr>
        <w:t>Tung</w:t>
      </w:r>
      <w:r w:rsidR="007E33C6" w:rsidRPr="006A6F1F">
        <w:rPr>
          <w:b/>
          <w:color w:val="000000" w:themeColor="text1"/>
          <w:sz w:val="18"/>
          <w:szCs w:val="18"/>
          <w:lang w:val="en-GB"/>
        </w:rPr>
        <w:t xml:space="preserve"> </w:t>
      </w:r>
      <w:proofErr w:type="spellStart"/>
      <w:r w:rsidR="007E33C6" w:rsidRPr="006A6F1F">
        <w:rPr>
          <w:b/>
          <w:color w:val="000000" w:themeColor="text1"/>
          <w:sz w:val="18"/>
          <w:szCs w:val="18"/>
          <w:lang w:val="en-GB"/>
        </w:rPr>
        <w:t>Lok</w:t>
      </w:r>
      <w:proofErr w:type="spellEnd"/>
      <w:r w:rsidR="007E33C6" w:rsidRPr="006A6F1F">
        <w:rPr>
          <w:b/>
          <w:color w:val="000000" w:themeColor="text1"/>
          <w:sz w:val="18"/>
          <w:szCs w:val="18"/>
          <w:lang w:val="en-GB"/>
        </w:rPr>
        <w:t xml:space="preserve"> </w:t>
      </w:r>
      <w:r w:rsidRPr="006A6F1F">
        <w:rPr>
          <w:b/>
          <w:color w:val="000000" w:themeColor="text1"/>
          <w:sz w:val="18"/>
          <w:szCs w:val="18"/>
          <w:lang w:val="en-GB"/>
        </w:rPr>
        <w:t>Group</w:t>
      </w:r>
      <w:r w:rsidRPr="006A6F1F">
        <w:rPr>
          <w:color w:val="000000" w:themeColor="text1"/>
          <w:sz w:val="18"/>
          <w:szCs w:val="18"/>
          <w:lang w:val="en-GB"/>
        </w:rPr>
        <w:t xml:space="preserve"> owned and managed over 35 restaurants in Singapore, Indonesia, China, Japan</w:t>
      </w:r>
      <w:r w:rsidR="007E33C6" w:rsidRPr="006A6F1F">
        <w:rPr>
          <w:color w:val="000000" w:themeColor="text1"/>
          <w:sz w:val="18"/>
          <w:szCs w:val="18"/>
          <w:lang w:val="en-GB"/>
        </w:rPr>
        <w:t>,</w:t>
      </w:r>
      <w:r w:rsidRPr="006A6F1F">
        <w:rPr>
          <w:color w:val="000000" w:themeColor="text1"/>
          <w:sz w:val="18"/>
          <w:szCs w:val="18"/>
          <w:lang w:val="en-GB"/>
        </w:rPr>
        <w:t xml:space="preserve"> and Vietnam. </w:t>
      </w:r>
    </w:p>
    <w:p w14:paraId="4653EE25" w14:textId="4F1E08CC" w:rsidR="002B413F" w:rsidRPr="006A6F1F" w:rsidRDefault="002B413F" w:rsidP="0062193B">
      <w:pPr>
        <w:pStyle w:val="Footnote"/>
        <w:keepNext/>
        <w:keepLines/>
        <w:rPr>
          <w:color w:val="000000" w:themeColor="text1"/>
          <w:lang w:val="en-GB"/>
        </w:rPr>
      </w:pPr>
      <w:r w:rsidRPr="006A6F1F">
        <w:rPr>
          <w:color w:val="000000" w:themeColor="text1"/>
          <w:lang w:val="en-GB"/>
        </w:rPr>
        <w:t>Note</w:t>
      </w:r>
      <w:r w:rsidR="00E407E7" w:rsidRPr="006A6F1F">
        <w:rPr>
          <w:color w:val="000000" w:themeColor="text1"/>
          <w:lang w:val="en-GB"/>
        </w:rPr>
        <w:t>:</w:t>
      </w:r>
      <w:r w:rsidR="005655DE" w:rsidRPr="006A6F1F">
        <w:rPr>
          <w:color w:val="000000" w:themeColor="text1"/>
          <w:lang w:val="en-GB"/>
        </w:rPr>
        <w:t xml:space="preserve"> </w:t>
      </w:r>
      <w:r w:rsidR="00313DBB" w:rsidRPr="00FE0572">
        <w:rPr>
          <w:rStyle w:val="FootnoteChar"/>
        </w:rPr>
        <w:t>SG$ = Singapore dollar</w:t>
      </w:r>
      <w:r w:rsidR="00313DBB">
        <w:rPr>
          <w:rStyle w:val="FootnoteChar"/>
        </w:rPr>
        <w:t>;</w:t>
      </w:r>
      <w:r w:rsidR="00313DBB" w:rsidRPr="00FE0572">
        <w:rPr>
          <w:rStyle w:val="FootnoteChar"/>
        </w:rPr>
        <w:t xml:space="preserve"> </w:t>
      </w:r>
      <w:r w:rsidR="00E06292" w:rsidRPr="006A6F1F">
        <w:rPr>
          <w:color w:val="000000" w:themeColor="text1"/>
          <w:sz w:val="18"/>
          <w:szCs w:val="18"/>
          <w:lang w:val="en-GB" w:eastAsia="en-SG"/>
        </w:rPr>
        <w:t>Figures in SG$ millions, except where noted</w:t>
      </w:r>
      <w:r w:rsidR="00E06292">
        <w:rPr>
          <w:color w:val="000000" w:themeColor="text1"/>
          <w:sz w:val="18"/>
          <w:szCs w:val="18"/>
          <w:lang w:val="en-GB" w:eastAsia="en-SG"/>
        </w:rPr>
        <w:t>;</w:t>
      </w:r>
      <w:r w:rsidR="00E06292">
        <w:rPr>
          <w:rStyle w:val="FootnoteChar"/>
        </w:rPr>
        <w:t xml:space="preserve"> </w:t>
      </w:r>
      <w:r w:rsidR="00313DBB">
        <w:rPr>
          <w:rStyle w:val="FootnoteChar"/>
        </w:rPr>
        <w:t xml:space="preserve">SG$1 = </w:t>
      </w:r>
      <w:r w:rsidR="00313DBB" w:rsidRPr="00FE0572">
        <w:rPr>
          <w:rStyle w:val="FootnoteChar"/>
        </w:rPr>
        <w:t>US$</w:t>
      </w:r>
      <w:r w:rsidR="00313DBB">
        <w:rPr>
          <w:rStyle w:val="FootnoteChar"/>
        </w:rPr>
        <w:t>0.70540</w:t>
      </w:r>
      <w:r w:rsidR="00313DBB" w:rsidRPr="00FE0572">
        <w:rPr>
          <w:rStyle w:val="FootnoteChar"/>
        </w:rPr>
        <w:t xml:space="preserve"> on March 8, 2017</w:t>
      </w:r>
      <w:r w:rsidR="00313DBB">
        <w:rPr>
          <w:rStyle w:val="FootnoteChar"/>
        </w:rPr>
        <w:t xml:space="preserve">; EBITDA = earnings before interest, tax, depreciation, and amortization. </w:t>
      </w:r>
      <w:r w:rsidRPr="006A6F1F">
        <w:rPr>
          <w:color w:val="000000" w:themeColor="text1"/>
          <w:lang w:val="en-GB"/>
        </w:rPr>
        <w:t xml:space="preserve">a. Price as at March 15, 2017 (day before the close of </w:t>
      </w:r>
      <w:r w:rsidR="00313DBB">
        <w:rPr>
          <w:color w:val="000000" w:themeColor="text1"/>
          <w:lang w:val="en-GB"/>
        </w:rPr>
        <w:t xml:space="preserve">the </w:t>
      </w:r>
      <w:r w:rsidRPr="006A6F1F">
        <w:rPr>
          <w:color w:val="000000" w:themeColor="text1"/>
          <w:lang w:val="en-GB"/>
        </w:rPr>
        <w:t>IPO)</w:t>
      </w:r>
      <w:r w:rsidR="00E06292">
        <w:rPr>
          <w:color w:val="000000" w:themeColor="text1"/>
          <w:lang w:val="en-GB"/>
        </w:rPr>
        <w:t xml:space="preserve"> </w:t>
      </w:r>
    </w:p>
    <w:p w14:paraId="1CE3D524" w14:textId="4C2E11DF" w:rsidR="0085053B" w:rsidRPr="006A6F1F" w:rsidRDefault="005655DE" w:rsidP="0062193B">
      <w:pPr>
        <w:pStyle w:val="Footnote"/>
        <w:keepNext/>
        <w:keepLines/>
        <w:rPr>
          <w:color w:val="000000" w:themeColor="text1"/>
          <w:lang w:val="en-GB"/>
        </w:rPr>
      </w:pPr>
      <w:r w:rsidRPr="006A6F1F">
        <w:rPr>
          <w:color w:val="000000" w:themeColor="text1"/>
          <w:lang w:val="en-GB"/>
        </w:rPr>
        <w:t xml:space="preserve">Source: </w:t>
      </w:r>
      <w:r w:rsidR="0038247D" w:rsidRPr="006A6F1F">
        <w:rPr>
          <w:color w:val="000000" w:themeColor="text1"/>
          <w:lang w:val="en-GB"/>
        </w:rPr>
        <w:t xml:space="preserve">b. </w:t>
      </w:r>
      <w:r w:rsidR="00E407E7" w:rsidRPr="006A6F1F">
        <w:rPr>
          <w:color w:val="000000" w:themeColor="text1"/>
          <w:lang w:val="en-GB"/>
        </w:rPr>
        <w:t xml:space="preserve">Reuters, accessed </w:t>
      </w:r>
      <w:r w:rsidR="0038247D" w:rsidRPr="006A6F1F">
        <w:rPr>
          <w:color w:val="000000" w:themeColor="text1"/>
          <w:lang w:val="en-GB"/>
        </w:rPr>
        <w:t>September 13, 2017</w:t>
      </w:r>
      <w:r w:rsidRPr="006A6F1F">
        <w:rPr>
          <w:color w:val="000000" w:themeColor="text1"/>
          <w:lang w:val="en-GB"/>
        </w:rPr>
        <w:t xml:space="preserve">; </w:t>
      </w:r>
      <w:r w:rsidR="0038247D" w:rsidRPr="006A6F1F">
        <w:rPr>
          <w:color w:val="000000" w:themeColor="text1"/>
          <w:lang w:val="en-GB"/>
        </w:rPr>
        <w:t>c. ShareInvestor.com, accessed September 13, 2017</w:t>
      </w:r>
      <w:r w:rsidR="005B7210" w:rsidRPr="006A6F1F">
        <w:rPr>
          <w:color w:val="000000" w:themeColor="text1"/>
          <w:lang w:val="en-GB"/>
        </w:rPr>
        <w:t xml:space="preserve">; </w:t>
      </w:r>
      <w:r w:rsidR="0038247D" w:rsidRPr="006A6F1F">
        <w:rPr>
          <w:color w:val="000000" w:themeColor="text1"/>
          <w:lang w:val="en-GB"/>
        </w:rPr>
        <w:t>Capital IQ</w:t>
      </w:r>
      <w:r w:rsidR="00E06292">
        <w:rPr>
          <w:color w:val="000000" w:themeColor="text1"/>
          <w:lang w:val="en-GB"/>
        </w:rPr>
        <w:t>, accessed September 14, 2017. All information found by searching company names on databases.</w:t>
      </w:r>
      <w:r w:rsidR="0085053B" w:rsidRPr="006A6F1F">
        <w:rPr>
          <w:color w:val="000000" w:themeColor="text1"/>
          <w:lang w:val="en-GB"/>
        </w:rPr>
        <w:br w:type="page"/>
      </w:r>
    </w:p>
    <w:p w14:paraId="6B74756E" w14:textId="77777777" w:rsidR="00C806A6" w:rsidRPr="006A6F1F" w:rsidRDefault="00C806A6" w:rsidP="005367B0">
      <w:pPr>
        <w:tabs>
          <w:tab w:val="center" w:pos="4680"/>
          <w:tab w:val="left" w:pos="8627"/>
        </w:tabs>
        <w:ind w:left="567"/>
        <w:jc w:val="center"/>
        <w:rPr>
          <w:rFonts w:ascii="Arial" w:hAnsi="Arial" w:cs="Arial"/>
          <w:b/>
          <w:caps/>
          <w:color w:val="000000" w:themeColor="text1"/>
          <w:highlight w:val="yellow"/>
          <w:lang w:val="en-GB"/>
        </w:rPr>
        <w:sectPr w:rsidR="00C806A6" w:rsidRPr="006A6F1F" w:rsidSect="00C806A6">
          <w:headerReference w:type="first" r:id="rId24"/>
          <w:endnotePr>
            <w:numFmt w:val="decimal"/>
          </w:endnotePr>
          <w:pgSz w:w="15840" w:h="12240" w:orient="landscape"/>
          <w:pgMar w:top="1440" w:right="1080" w:bottom="1440" w:left="1440" w:header="1080" w:footer="720" w:gutter="0"/>
          <w:cols w:space="720"/>
          <w:titlePg/>
          <w:docGrid w:linePitch="360"/>
        </w:sectPr>
      </w:pPr>
    </w:p>
    <w:p w14:paraId="3EB69F5A" w14:textId="77777777" w:rsidR="00B9262B" w:rsidRPr="006A6F1F" w:rsidRDefault="00B9262B" w:rsidP="00B9262B">
      <w:pPr>
        <w:pStyle w:val="ExhibitHeading"/>
        <w:rPr>
          <w:color w:val="000000" w:themeColor="text1"/>
          <w:lang w:val="en-GB"/>
        </w:rPr>
      </w:pPr>
      <w:r w:rsidRPr="006A6F1F">
        <w:rPr>
          <w:color w:val="000000" w:themeColor="text1"/>
          <w:lang w:val="en-GB"/>
        </w:rPr>
        <w:lastRenderedPageBreak/>
        <w:t xml:space="preserve">Exhibit </w:t>
      </w:r>
      <w:r>
        <w:rPr>
          <w:color w:val="000000" w:themeColor="text1"/>
          <w:lang w:val="en-GB"/>
        </w:rPr>
        <w:t>10</w:t>
      </w:r>
      <w:r w:rsidRPr="006A6F1F">
        <w:rPr>
          <w:color w:val="000000" w:themeColor="text1"/>
          <w:lang w:val="en-GB"/>
        </w:rPr>
        <w:t>: discounted Dividend model ASSUMPTIONS</w:t>
      </w:r>
    </w:p>
    <w:p w14:paraId="7F0C05AD" w14:textId="77777777" w:rsidR="00B9262B" w:rsidRPr="006A6F1F" w:rsidRDefault="00B9262B" w:rsidP="00B9262B">
      <w:pPr>
        <w:pStyle w:val="BodyTextMain"/>
        <w:numPr>
          <w:ilvl w:val="0"/>
          <w:numId w:val="4"/>
        </w:numPr>
        <w:spacing w:before="120"/>
        <w:ind w:left="432" w:hanging="432"/>
        <w:rPr>
          <w:rFonts w:ascii="Arial" w:eastAsia="SimSun" w:hAnsi="Arial" w:cs="Arial"/>
          <w:color w:val="000000" w:themeColor="text1"/>
          <w:sz w:val="20"/>
          <w:szCs w:val="20"/>
          <w:lang w:val="en-GB" w:eastAsia="zh-CN"/>
        </w:rPr>
      </w:pPr>
      <w:proofErr w:type="spellStart"/>
      <w:r w:rsidRPr="006A6F1F">
        <w:rPr>
          <w:rFonts w:ascii="Arial" w:eastAsia="SimSun" w:hAnsi="Arial" w:cs="Arial"/>
          <w:color w:val="000000" w:themeColor="text1"/>
          <w:sz w:val="20"/>
          <w:szCs w:val="20"/>
          <w:lang w:val="en-GB" w:eastAsia="zh-CN"/>
        </w:rPr>
        <w:t>Payout</w:t>
      </w:r>
      <w:proofErr w:type="spellEnd"/>
      <w:r w:rsidRPr="006A6F1F">
        <w:rPr>
          <w:rFonts w:ascii="Arial" w:eastAsia="SimSun" w:hAnsi="Arial" w:cs="Arial"/>
          <w:color w:val="000000" w:themeColor="text1"/>
          <w:sz w:val="20"/>
          <w:szCs w:val="20"/>
          <w:lang w:val="en-GB" w:eastAsia="zh-CN"/>
        </w:rPr>
        <w:t xml:space="preserve"> ratio:</w:t>
      </w:r>
    </w:p>
    <w:p w14:paraId="0B42B0B7" w14:textId="77777777" w:rsidR="00B9262B" w:rsidRPr="006A6F1F" w:rsidRDefault="00B9262B" w:rsidP="00B9262B">
      <w:pPr>
        <w:pStyle w:val="BodyTextMain"/>
        <w:ind w:left="426"/>
        <w:rPr>
          <w:rFonts w:ascii="Arial" w:hAnsi="Arial" w:cs="Arial"/>
          <w:color w:val="000000" w:themeColor="text1"/>
          <w:sz w:val="20"/>
          <w:szCs w:val="20"/>
          <w:lang w:val="en-GB"/>
        </w:rPr>
      </w:pPr>
      <w:proofErr w:type="spellStart"/>
      <w:r w:rsidRPr="006A6F1F">
        <w:rPr>
          <w:rFonts w:ascii="Arial" w:hAnsi="Arial" w:cs="Arial"/>
          <w:color w:val="000000" w:themeColor="text1"/>
          <w:sz w:val="20"/>
          <w:szCs w:val="20"/>
          <w:lang w:val="en-GB"/>
        </w:rPr>
        <w:t>Kimly</w:t>
      </w:r>
      <w:proofErr w:type="spellEnd"/>
      <w:r w:rsidRPr="006A6F1F">
        <w:rPr>
          <w:rFonts w:ascii="Arial" w:hAnsi="Arial" w:cs="Arial"/>
          <w:color w:val="000000" w:themeColor="text1"/>
          <w:sz w:val="20"/>
          <w:szCs w:val="20"/>
          <w:lang w:val="en-GB"/>
        </w:rPr>
        <w:t xml:space="preserve"> had announced its intention to pay not less than 50 per cent of net income as dividends. The pro-forma statements showed that </w:t>
      </w:r>
      <w:proofErr w:type="spellStart"/>
      <w:r w:rsidRPr="006A6F1F">
        <w:rPr>
          <w:rFonts w:ascii="Arial" w:hAnsi="Arial" w:cs="Arial"/>
          <w:color w:val="000000" w:themeColor="text1"/>
          <w:sz w:val="20"/>
          <w:szCs w:val="20"/>
          <w:lang w:val="en-GB"/>
        </w:rPr>
        <w:t>Kimly</w:t>
      </w:r>
      <w:proofErr w:type="spellEnd"/>
      <w:r w:rsidRPr="006A6F1F">
        <w:rPr>
          <w:rFonts w:ascii="Arial" w:hAnsi="Arial" w:cs="Arial"/>
          <w:color w:val="000000" w:themeColor="text1"/>
          <w:sz w:val="20"/>
          <w:szCs w:val="20"/>
          <w:lang w:val="en-GB"/>
        </w:rPr>
        <w:t xml:space="preserve"> had a strong potential of generating sufficient cash flow to pay out these dividends. </w:t>
      </w:r>
    </w:p>
    <w:p w14:paraId="1882217E" w14:textId="77777777" w:rsidR="00B9262B" w:rsidRPr="006A6F1F" w:rsidRDefault="00B9262B" w:rsidP="00B9262B">
      <w:pPr>
        <w:pStyle w:val="BodyTextMain"/>
        <w:numPr>
          <w:ilvl w:val="0"/>
          <w:numId w:val="4"/>
        </w:numPr>
        <w:rPr>
          <w:rFonts w:ascii="Arial" w:eastAsiaTheme="minorHAnsi" w:hAnsi="Arial" w:cs="Arial"/>
          <w:color w:val="000000" w:themeColor="text1"/>
          <w:sz w:val="20"/>
          <w:szCs w:val="20"/>
          <w:lang w:val="en-GB"/>
        </w:rPr>
      </w:pPr>
      <w:r w:rsidRPr="006A6F1F">
        <w:rPr>
          <w:rFonts w:ascii="Arial" w:eastAsiaTheme="minorHAnsi" w:hAnsi="Arial" w:cs="Arial"/>
          <w:color w:val="000000" w:themeColor="text1"/>
          <w:sz w:val="20"/>
          <w:szCs w:val="20"/>
          <w:lang w:val="en-GB"/>
        </w:rPr>
        <w:t>Terminal growth rate:</w:t>
      </w:r>
    </w:p>
    <w:p w14:paraId="534B9D6A" w14:textId="77777777" w:rsidR="00B9262B" w:rsidRPr="006A6F1F" w:rsidRDefault="00B9262B" w:rsidP="00B9262B">
      <w:pPr>
        <w:pStyle w:val="BodyTextMain"/>
        <w:ind w:firstLine="360"/>
        <w:rPr>
          <w:rFonts w:ascii="Arial" w:eastAsiaTheme="minorEastAsia" w:hAnsi="Arial" w:cs="Arial"/>
          <w:color w:val="000000" w:themeColor="text1"/>
          <w:sz w:val="20"/>
          <w:szCs w:val="20"/>
          <w:highlight w:val="white"/>
          <w:lang w:val="en-GB" w:eastAsia="en-SG"/>
        </w:rPr>
      </w:pPr>
      <w:r w:rsidRPr="006A6F1F">
        <w:rPr>
          <w:rFonts w:ascii="Arial" w:eastAsiaTheme="minorEastAsia" w:hAnsi="Arial" w:cs="Arial"/>
          <w:color w:val="000000" w:themeColor="text1"/>
          <w:sz w:val="20"/>
          <w:szCs w:val="20"/>
          <w:highlight w:val="white"/>
          <w:lang w:val="en-GB" w:eastAsia="en-SG"/>
        </w:rPr>
        <w:t xml:space="preserve">The terminal dividend growth rate was assumed to be 2 per cent. </w:t>
      </w:r>
    </w:p>
    <w:p w14:paraId="16E2BFA8" w14:textId="77777777" w:rsidR="00B9262B" w:rsidRPr="006A6F1F" w:rsidRDefault="00B9262B" w:rsidP="00B9262B">
      <w:pPr>
        <w:pStyle w:val="BodyTextMain"/>
        <w:numPr>
          <w:ilvl w:val="0"/>
          <w:numId w:val="4"/>
        </w:numPr>
        <w:rPr>
          <w:rFonts w:ascii="Arial" w:eastAsia="SimSun" w:hAnsi="Arial" w:cs="Arial"/>
          <w:color w:val="000000" w:themeColor="text1"/>
          <w:sz w:val="20"/>
          <w:szCs w:val="20"/>
          <w:lang w:val="en-GB" w:eastAsia="zh-CN"/>
        </w:rPr>
      </w:pPr>
      <w:r w:rsidRPr="006A6F1F">
        <w:rPr>
          <w:rFonts w:ascii="Arial" w:eastAsia="SimSun" w:hAnsi="Arial" w:cs="Arial"/>
          <w:color w:val="000000" w:themeColor="text1"/>
          <w:sz w:val="20"/>
          <w:szCs w:val="20"/>
          <w:lang w:val="en-GB" w:eastAsia="zh-CN"/>
        </w:rPr>
        <w:t>Discount rate:</w:t>
      </w:r>
    </w:p>
    <w:p w14:paraId="13DF42D6" w14:textId="77777777" w:rsidR="00B9262B" w:rsidRDefault="00B9262B" w:rsidP="00B9262B">
      <w:pPr>
        <w:pStyle w:val="BodyTextMain"/>
        <w:ind w:left="426"/>
        <w:rPr>
          <w:rFonts w:ascii="Arial" w:hAnsi="Arial" w:cs="Arial"/>
          <w:color w:val="000000" w:themeColor="text1"/>
          <w:sz w:val="20"/>
          <w:szCs w:val="20"/>
          <w:lang w:val="en-GB"/>
        </w:rPr>
      </w:pPr>
      <w:r w:rsidRPr="006A6F1F">
        <w:rPr>
          <w:rFonts w:ascii="Arial" w:hAnsi="Arial" w:cs="Arial"/>
          <w:color w:val="000000" w:themeColor="text1"/>
          <w:sz w:val="20"/>
          <w:szCs w:val="20"/>
          <w:lang w:val="en-GB"/>
        </w:rPr>
        <w:t xml:space="preserve">The discount rate for the DDM was </w:t>
      </w:r>
      <w:proofErr w:type="spellStart"/>
      <w:r w:rsidRPr="006A6F1F">
        <w:rPr>
          <w:rFonts w:ascii="Arial" w:hAnsi="Arial" w:cs="Arial"/>
          <w:color w:val="000000" w:themeColor="text1"/>
          <w:sz w:val="20"/>
          <w:szCs w:val="20"/>
          <w:lang w:val="en-GB"/>
        </w:rPr>
        <w:t>Kimly’s</w:t>
      </w:r>
      <w:proofErr w:type="spellEnd"/>
      <w:r w:rsidRPr="006A6F1F">
        <w:rPr>
          <w:rFonts w:ascii="Arial" w:hAnsi="Arial" w:cs="Arial"/>
          <w:color w:val="000000" w:themeColor="text1"/>
          <w:sz w:val="20"/>
          <w:szCs w:val="20"/>
          <w:lang w:val="en-GB"/>
        </w:rPr>
        <w:t xml:space="preserve"> cost of equity.</w:t>
      </w:r>
    </w:p>
    <w:p w14:paraId="08F2DEB8" w14:textId="77777777" w:rsidR="00AA57F1" w:rsidRPr="006A6F1F" w:rsidRDefault="00AA57F1" w:rsidP="00AA57F1">
      <w:pPr>
        <w:pStyle w:val="BodyTextMain"/>
        <w:rPr>
          <w:rFonts w:ascii="Arial" w:hAnsi="Arial" w:cs="Arial"/>
          <w:color w:val="000000" w:themeColor="text1"/>
          <w:sz w:val="20"/>
          <w:szCs w:val="20"/>
          <w:lang w:val="en-GB"/>
        </w:rPr>
      </w:pPr>
    </w:p>
    <w:p w14:paraId="48A998B5" w14:textId="2D5437F7" w:rsidR="009058AE" w:rsidRDefault="009058AE" w:rsidP="0062193B">
      <w:pPr>
        <w:pStyle w:val="Footnote"/>
        <w:rPr>
          <w:lang w:val="en-GB"/>
        </w:rPr>
      </w:pPr>
      <w:r>
        <w:rPr>
          <w:lang w:val="en-GB"/>
        </w:rPr>
        <w:t>Note: DDM = discounted dividend model</w:t>
      </w:r>
    </w:p>
    <w:p w14:paraId="0839BBF2" w14:textId="22E21493" w:rsidR="00EE54FA" w:rsidRPr="006A6F1F" w:rsidRDefault="00B9262B" w:rsidP="0062193B">
      <w:pPr>
        <w:pStyle w:val="Footnote"/>
        <w:rPr>
          <w:lang w:val="en-GB"/>
        </w:rPr>
        <w:sectPr w:rsidR="00EE54FA" w:rsidRPr="006A6F1F" w:rsidSect="007F7D95">
          <w:endnotePr>
            <w:numFmt w:val="decimal"/>
          </w:endnotePr>
          <w:pgSz w:w="12240" w:h="15840"/>
          <w:pgMar w:top="1080" w:right="1440" w:bottom="1440" w:left="1440" w:header="1080" w:footer="720" w:gutter="0"/>
          <w:cols w:space="720"/>
          <w:titlePg/>
          <w:docGrid w:linePitch="360"/>
        </w:sectPr>
      </w:pPr>
      <w:r w:rsidRPr="006A6F1F">
        <w:rPr>
          <w:lang w:val="en-GB"/>
        </w:rPr>
        <w:t xml:space="preserve">Source: Assumptions made by </w:t>
      </w:r>
      <w:r w:rsidR="008040AB">
        <w:rPr>
          <w:lang w:val="en-GB"/>
        </w:rPr>
        <w:t xml:space="preserve">the </w:t>
      </w:r>
      <w:r w:rsidRPr="006A6F1F">
        <w:rPr>
          <w:lang w:val="en-GB"/>
        </w:rPr>
        <w:t xml:space="preserve">authors based on trends and information obtained from </w:t>
      </w:r>
      <w:proofErr w:type="spellStart"/>
      <w:r w:rsidRPr="006A6F1F">
        <w:rPr>
          <w:lang w:val="en-GB"/>
        </w:rPr>
        <w:t>Kimly’s</w:t>
      </w:r>
      <w:proofErr w:type="spellEnd"/>
      <w:r w:rsidRPr="006A6F1F">
        <w:rPr>
          <w:lang w:val="en-GB"/>
        </w:rPr>
        <w:t xml:space="preserve"> financial statements</w:t>
      </w:r>
      <w:r w:rsidRPr="0062193B">
        <w:t>.</w:t>
      </w:r>
    </w:p>
    <w:p w14:paraId="558EACBC" w14:textId="22894C1D" w:rsidR="00B73A5A" w:rsidRPr="006A6F1F" w:rsidRDefault="00B73A5A" w:rsidP="00B73A5A">
      <w:pPr>
        <w:pStyle w:val="Casehead1"/>
        <w:outlineLvl w:val="0"/>
        <w:rPr>
          <w:color w:val="000000" w:themeColor="text1"/>
          <w:lang w:val="en-GB"/>
        </w:rPr>
      </w:pPr>
      <w:r w:rsidRPr="006A6F1F">
        <w:rPr>
          <w:color w:val="000000" w:themeColor="text1"/>
          <w:lang w:val="en-GB"/>
        </w:rPr>
        <w:lastRenderedPageBreak/>
        <w:t>Endnotes</w:t>
      </w:r>
    </w:p>
    <w:sectPr w:rsidR="00B73A5A" w:rsidRPr="006A6F1F" w:rsidSect="00C806A6">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088B20" w14:textId="77777777" w:rsidR="00D7610B" w:rsidRDefault="00D7610B" w:rsidP="00D75295">
      <w:r>
        <w:separator/>
      </w:r>
    </w:p>
  </w:endnote>
  <w:endnote w:type="continuationSeparator" w:id="0">
    <w:p w14:paraId="10EFE238" w14:textId="77777777" w:rsidR="00D7610B" w:rsidRDefault="00D7610B" w:rsidP="00D75295">
      <w:r>
        <w:continuationSeparator/>
      </w:r>
    </w:p>
  </w:endnote>
  <w:endnote w:id="1">
    <w:p w14:paraId="562E15FF" w14:textId="0585D75D" w:rsidR="00D7610B" w:rsidRPr="00FE0572" w:rsidRDefault="00D7610B" w:rsidP="004245E1">
      <w:pPr>
        <w:pStyle w:val="EndnoteText"/>
        <w:jc w:val="both"/>
        <w:rPr>
          <w:rFonts w:ascii="Arial" w:hAnsi="Arial" w:cs="Arial"/>
          <w:sz w:val="17"/>
          <w:szCs w:val="17"/>
        </w:rPr>
      </w:pPr>
      <w:r w:rsidRPr="00FE0572">
        <w:rPr>
          <w:rStyle w:val="EndnoteReference"/>
          <w:rFonts w:ascii="Arial" w:hAnsi="Arial" w:cs="Arial"/>
          <w:sz w:val="17"/>
          <w:szCs w:val="17"/>
        </w:rPr>
        <w:endnoteRef/>
      </w:r>
      <w:r>
        <w:rPr>
          <w:rStyle w:val="FootnoteChar"/>
        </w:rPr>
        <w:t xml:space="preserve"> </w:t>
      </w:r>
      <w:r w:rsidRPr="00FE0572">
        <w:rPr>
          <w:rStyle w:val="FootnoteChar"/>
        </w:rPr>
        <w:t xml:space="preserve">This </w:t>
      </w:r>
      <w:r>
        <w:rPr>
          <w:rStyle w:val="FootnoteChar"/>
        </w:rPr>
        <w:t>exercis</w:t>
      </w:r>
      <w:r w:rsidRPr="00FE0572">
        <w:rPr>
          <w:rStyle w:val="FootnoteChar"/>
        </w:rPr>
        <w:t xml:space="preserve">e has been written on the basis of published sources only. Consequently, the interpretation and perspectives presented in this case are not necessarily those of </w:t>
      </w:r>
      <w:proofErr w:type="spellStart"/>
      <w:r w:rsidRPr="00FE0572">
        <w:rPr>
          <w:rStyle w:val="FootnoteChar"/>
        </w:rPr>
        <w:t>Kimly</w:t>
      </w:r>
      <w:proofErr w:type="spellEnd"/>
      <w:r w:rsidRPr="00FE0572">
        <w:rPr>
          <w:rStyle w:val="FootnoteChar"/>
        </w:rPr>
        <w:t xml:space="preserve"> Limited or any of its employees.</w:t>
      </w:r>
    </w:p>
  </w:endnote>
  <w:endnote w:id="2">
    <w:p w14:paraId="410EC748" w14:textId="281DCC0D" w:rsidR="00D7610B" w:rsidRPr="00FE0572" w:rsidRDefault="00D7610B" w:rsidP="004245E1">
      <w:pPr>
        <w:pStyle w:val="EndnoteText"/>
        <w:jc w:val="both"/>
        <w:rPr>
          <w:rFonts w:ascii="Arial" w:hAnsi="Arial" w:cs="Arial"/>
          <w:sz w:val="17"/>
          <w:szCs w:val="17"/>
        </w:rPr>
      </w:pPr>
      <w:r w:rsidRPr="00FE0572">
        <w:rPr>
          <w:rStyle w:val="EndnoteReference"/>
          <w:rFonts w:ascii="Arial" w:hAnsi="Arial" w:cs="Arial"/>
          <w:sz w:val="17"/>
          <w:szCs w:val="17"/>
        </w:rPr>
        <w:endnoteRef/>
      </w:r>
      <w:r w:rsidRPr="00FE0572">
        <w:rPr>
          <w:rFonts w:ascii="Arial" w:hAnsi="Arial" w:cs="Arial"/>
          <w:sz w:val="17"/>
          <w:szCs w:val="17"/>
        </w:rPr>
        <w:t xml:space="preserve"> </w:t>
      </w:r>
      <w:r w:rsidRPr="00FE0572">
        <w:rPr>
          <w:rStyle w:val="FootnoteChar"/>
        </w:rPr>
        <w:t>SG$ = Singapore dollar</w:t>
      </w:r>
      <w:r>
        <w:rPr>
          <w:rStyle w:val="FootnoteChar"/>
        </w:rPr>
        <w:t>;</w:t>
      </w:r>
      <w:r w:rsidRPr="00FE0572">
        <w:rPr>
          <w:rStyle w:val="FootnoteChar"/>
        </w:rPr>
        <w:t xml:space="preserve"> </w:t>
      </w:r>
      <w:r>
        <w:rPr>
          <w:rStyle w:val="FootnoteChar"/>
        </w:rPr>
        <w:t xml:space="preserve">SG$1 = </w:t>
      </w:r>
      <w:r w:rsidRPr="00FE0572">
        <w:rPr>
          <w:rStyle w:val="FootnoteChar"/>
        </w:rPr>
        <w:t>US$</w:t>
      </w:r>
      <w:r>
        <w:rPr>
          <w:rStyle w:val="FootnoteChar"/>
        </w:rPr>
        <w:t>0.70540</w:t>
      </w:r>
      <w:r w:rsidRPr="00FE0572">
        <w:rPr>
          <w:rStyle w:val="FootnoteChar"/>
        </w:rPr>
        <w:t xml:space="preserve"> on March 8, 2017</w:t>
      </w:r>
      <w:r>
        <w:rPr>
          <w:rStyle w:val="FootnoteChar"/>
        </w:rPr>
        <w:t>;</w:t>
      </w:r>
      <w:r w:rsidRPr="00FE0572">
        <w:rPr>
          <w:rStyle w:val="FootnoteChar"/>
        </w:rPr>
        <w:t xml:space="preserve"> </w:t>
      </w:r>
      <w:r>
        <w:rPr>
          <w:rStyle w:val="FootnoteChar"/>
        </w:rPr>
        <w:t>a</w:t>
      </w:r>
      <w:r w:rsidRPr="00FE0572">
        <w:rPr>
          <w:rStyle w:val="FootnoteChar"/>
        </w:rPr>
        <w:t>ll currency amounts are in SG$ unless otherwise specified.</w:t>
      </w:r>
    </w:p>
  </w:endnote>
  <w:endnote w:id="3">
    <w:p w14:paraId="6EFFE15B" w14:textId="5A9DA4C6" w:rsidR="00D7610B" w:rsidRPr="00FE0572" w:rsidRDefault="00D7610B" w:rsidP="004245E1">
      <w:pPr>
        <w:pStyle w:val="Footnote"/>
      </w:pPr>
      <w:r w:rsidRPr="00FE0572">
        <w:rPr>
          <w:rStyle w:val="EndnoteReference"/>
        </w:rPr>
        <w:endnoteRef/>
      </w:r>
      <w:r w:rsidRPr="00FE0572">
        <w:t xml:space="preserve"> Wong Wei Han, “</w:t>
      </w:r>
      <w:proofErr w:type="spellStart"/>
      <w:r w:rsidRPr="00FE0572">
        <w:t>Kimly</w:t>
      </w:r>
      <w:proofErr w:type="spellEnd"/>
      <w:r w:rsidRPr="00FE0572">
        <w:t xml:space="preserve"> </w:t>
      </w:r>
      <w:r>
        <w:t>A</w:t>
      </w:r>
      <w:r w:rsidRPr="00FE0572">
        <w:t xml:space="preserve">ims To Raise $40m in First </w:t>
      </w:r>
      <w:proofErr w:type="spellStart"/>
      <w:r w:rsidRPr="00FE0572">
        <w:t>Kopitiam</w:t>
      </w:r>
      <w:proofErr w:type="spellEnd"/>
      <w:r w:rsidRPr="00FE0572">
        <w:t xml:space="preserve"> IPO,”</w:t>
      </w:r>
      <w:r w:rsidRPr="00FE0572">
        <w:rPr>
          <w:rStyle w:val="FootnoteChar"/>
        </w:rPr>
        <w:t xml:space="preserve"> </w:t>
      </w:r>
      <w:r w:rsidRPr="0062193B">
        <w:rPr>
          <w:rStyle w:val="FootnoteChar"/>
          <w:i/>
        </w:rPr>
        <w:t>Straits Times</w:t>
      </w:r>
      <w:r>
        <w:rPr>
          <w:rStyle w:val="FootnoteChar"/>
        </w:rPr>
        <w:t xml:space="preserve">, </w:t>
      </w:r>
      <w:r w:rsidRPr="00FE0572">
        <w:rPr>
          <w:rStyle w:val="FootnoteChar"/>
        </w:rPr>
        <w:t xml:space="preserve">March 9, 2017, accessed May 29, 2017, </w:t>
      </w:r>
      <w:r w:rsidRPr="00FE0572">
        <w:t>www.straitstimes.com/business/companies-markets/kimly-aims-to-raise-40m-in-first-kopitiam-ipo</w:t>
      </w:r>
      <w:r w:rsidRPr="00FE0572">
        <w:rPr>
          <w:rStyle w:val="FootnoteChar"/>
        </w:rPr>
        <w:t>.</w:t>
      </w:r>
    </w:p>
  </w:endnote>
  <w:endnote w:id="4">
    <w:p w14:paraId="697555D8" w14:textId="6CC73321" w:rsidR="00D7610B" w:rsidRPr="00FE0572" w:rsidRDefault="00D7610B" w:rsidP="004245E1">
      <w:pPr>
        <w:pStyle w:val="EndnoteText"/>
        <w:jc w:val="both"/>
        <w:rPr>
          <w:rFonts w:ascii="Arial" w:hAnsi="Arial" w:cs="Arial"/>
          <w:sz w:val="17"/>
          <w:szCs w:val="17"/>
        </w:rPr>
      </w:pPr>
      <w:r w:rsidRPr="00FE0572">
        <w:rPr>
          <w:rStyle w:val="EndnoteReference"/>
          <w:rFonts w:ascii="Arial" w:hAnsi="Arial" w:cs="Arial"/>
          <w:sz w:val="17"/>
          <w:szCs w:val="17"/>
        </w:rPr>
        <w:endnoteRef/>
      </w:r>
      <w:r w:rsidRPr="00FE0572">
        <w:rPr>
          <w:rFonts w:ascii="Arial" w:hAnsi="Arial" w:cs="Arial"/>
          <w:sz w:val="17"/>
          <w:szCs w:val="17"/>
        </w:rPr>
        <w:t xml:space="preserve"> Stephanie Luo, “</w:t>
      </w:r>
      <w:proofErr w:type="spellStart"/>
      <w:r w:rsidRPr="00FE0572">
        <w:rPr>
          <w:rFonts w:ascii="Arial" w:hAnsi="Arial" w:cs="Arial"/>
          <w:sz w:val="17"/>
          <w:szCs w:val="17"/>
        </w:rPr>
        <w:t>Catalist</w:t>
      </w:r>
      <w:proofErr w:type="spellEnd"/>
      <w:r w:rsidRPr="00FE0572">
        <w:rPr>
          <w:rFonts w:ascii="Arial" w:hAnsi="Arial" w:cs="Arial"/>
          <w:sz w:val="17"/>
          <w:szCs w:val="17"/>
        </w:rPr>
        <w:t xml:space="preserve">-Bound </w:t>
      </w:r>
      <w:proofErr w:type="spellStart"/>
      <w:r w:rsidRPr="00FE0572">
        <w:rPr>
          <w:rFonts w:ascii="Arial" w:hAnsi="Arial" w:cs="Arial"/>
          <w:sz w:val="17"/>
          <w:szCs w:val="17"/>
        </w:rPr>
        <w:t>Kimly</w:t>
      </w:r>
      <w:proofErr w:type="spellEnd"/>
      <w:r w:rsidRPr="00FE0572">
        <w:rPr>
          <w:rFonts w:ascii="Arial" w:hAnsi="Arial" w:cs="Arial"/>
          <w:sz w:val="17"/>
          <w:szCs w:val="17"/>
        </w:rPr>
        <w:t xml:space="preserve"> Counts </w:t>
      </w:r>
      <w:proofErr w:type="spellStart"/>
      <w:r w:rsidRPr="00FE0572">
        <w:rPr>
          <w:rFonts w:ascii="Arial" w:hAnsi="Arial" w:cs="Arial"/>
          <w:sz w:val="17"/>
          <w:szCs w:val="17"/>
        </w:rPr>
        <w:t>Heliconia</w:t>
      </w:r>
      <w:proofErr w:type="spellEnd"/>
      <w:r w:rsidRPr="00FE0572">
        <w:rPr>
          <w:rFonts w:ascii="Arial" w:hAnsi="Arial" w:cs="Arial"/>
          <w:sz w:val="17"/>
          <w:szCs w:val="17"/>
        </w:rPr>
        <w:t xml:space="preserve"> Capital as a Pre-IPO Investor,” </w:t>
      </w:r>
      <w:r w:rsidRPr="0062193B">
        <w:rPr>
          <w:rFonts w:ascii="Arial" w:hAnsi="Arial" w:cs="Arial"/>
          <w:i/>
          <w:sz w:val="17"/>
          <w:szCs w:val="17"/>
        </w:rPr>
        <w:t>Business Times</w:t>
      </w:r>
      <w:r>
        <w:rPr>
          <w:rFonts w:ascii="Arial" w:hAnsi="Arial" w:cs="Arial"/>
          <w:sz w:val="17"/>
          <w:szCs w:val="17"/>
        </w:rPr>
        <w:t xml:space="preserve">, </w:t>
      </w:r>
      <w:r w:rsidRPr="00FE0572">
        <w:rPr>
          <w:rFonts w:ascii="Arial" w:hAnsi="Arial" w:cs="Arial"/>
          <w:sz w:val="17"/>
          <w:szCs w:val="17"/>
        </w:rPr>
        <w:t>March 14, 2017, accessed May 29, 2017, www.businesstimes.com.sg/companies-markets/catalist-bound-kimly-counts-heliconia-capital-as-a-pre-ipo-investor.</w:t>
      </w:r>
    </w:p>
  </w:endnote>
  <w:endnote w:id="5">
    <w:p w14:paraId="556B2DFD" w14:textId="2A02FC00" w:rsidR="00D7610B" w:rsidRPr="00FE0572" w:rsidRDefault="00D7610B" w:rsidP="004245E1">
      <w:pPr>
        <w:pStyle w:val="EndnoteText"/>
        <w:rPr>
          <w:rFonts w:ascii="Arial" w:hAnsi="Arial" w:cs="Arial"/>
          <w:sz w:val="17"/>
          <w:szCs w:val="17"/>
        </w:rPr>
      </w:pPr>
      <w:r w:rsidRPr="00FE0572">
        <w:rPr>
          <w:rStyle w:val="EndnoteReference"/>
          <w:rFonts w:ascii="Arial" w:hAnsi="Arial" w:cs="Arial"/>
          <w:sz w:val="17"/>
          <w:szCs w:val="17"/>
        </w:rPr>
        <w:endnoteRef/>
      </w:r>
      <w:r w:rsidRPr="00FE0572">
        <w:rPr>
          <w:rFonts w:ascii="Arial" w:hAnsi="Arial" w:cs="Arial"/>
          <w:sz w:val="17"/>
          <w:szCs w:val="17"/>
        </w:rPr>
        <w:t xml:space="preserve"> </w:t>
      </w:r>
      <w:r>
        <w:rPr>
          <w:rFonts w:ascii="Arial" w:hAnsi="Arial" w:cs="Arial"/>
          <w:sz w:val="17"/>
          <w:szCs w:val="17"/>
        </w:rPr>
        <w:t>I</w:t>
      </w:r>
      <w:r w:rsidRPr="00FE0572">
        <w:rPr>
          <w:rFonts w:ascii="Arial" w:hAnsi="Arial" w:cs="Arial"/>
          <w:sz w:val="17"/>
          <w:szCs w:val="17"/>
        </w:rPr>
        <w:t>bid</w:t>
      </w:r>
      <w:r>
        <w:rPr>
          <w:rFonts w:ascii="Arial" w:hAnsi="Arial" w:cs="Arial"/>
          <w:sz w:val="17"/>
          <w:szCs w:val="17"/>
        </w:rPr>
        <w:t>.</w:t>
      </w:r>
      <w:r w:rsidRPr="00F26BE8">
        <w:rPr>
          <w:rFonts w:ascii="Arial" w:hAnsi="Arial" w:cs="Arial"/>
          <w:sz w:val="17"/>
          <w:szCs w:val="17"/>
        </w:rPr>
        <w:t xml:space="preserve"> </w:t>
      </w:r>
    </w:p>
  </w:endnote>
  <w:endnote w:id="6">
    <w:p w14:paraId="0BD019AE" w14:textId="1F91A236" w:rsidR="00D7610B" w:rsidRPr="00FE0572" w:rsidRDefault="00D7610B" w:rsidP="004245E1">
      <w:pPr>
        <w:pStyle w:val="EndnoteText"/>
        <w:rPr>
          <w:rFonts w:ascii="Arial" w:hAnsi="Arial" w:cs="Arial"/>
          <w:sz w:val="17"/>
          <w:szCs w:val="17"/>
        </w:rPr>
      </w:pPr>
      <w:r w:rsidRPr="00FE0572">
        <w:rPr>
          <w:rStyle w:val="EndnoteReference"/>
          <w:rFonts w:ascii="Arial" w:hAnsi="Arial" w:cs="Arial"/>
          <w:sz w:val="17"/>
          <w:szCs w:val="17"/>
        </w:rPr>
        <w:endnoteRef/>
      </w:r>
      <w:r w:rsidRPr="00FE0572">
        <w:rPr>
          <w:rFonts w:ascii="Arial" w:hAnsi="Arial" w:cs="Arial"/>
          <w:sz w:val="17"/>
          <w:szCs w:val="17"/>
        </w:rPr>
        <w:t xml:space="preserve"> </w:t>
      </w:r>
      <w:r>
        <w:rPr>
          <w:rFonts w:ascii="Arial" w:hAnsi="Arial" w:cs="Arial"/>
          <w:sz w:val="17"/>
          <w:szCs w:val="17"/>
        </w:rPr>
        <w:t>I</w:t>
      </w:r>
      <w:r w:rsidRPr="00FE0572">
        <w:rPr>
          <w:rFonts w:ascii="Arial" w:hAnsi="Arial" w:cs="Arial"/>
          <w:sz w:val="17"/>
          <w:szCs w:val="17"/>
        </w:rPr>
        <w:t>bid</w:t>
      </w:r>
      <w:r>
        <w:rPr>
          <w:rFonts w:ascii="Arial" w:hAnsi="Arial" w:cs="Arial"/>
          <w:sz w:val="17"/>
          <w:szCs w:val="17"/>
        </w:rPr>
        <w:t>.</w:t>
      </w:r>
      <w:r w:rsidRPr="00F26BE8">
        <w:rPr>
          <w:rFonts w:ascii="Arial" w:hAnsi="Arial" w:cs="Arial"/>
          <w:sz w:val="17"/>
          <w:szCs w:val="17"/>
        </w:rPr>
        <w:t xml:space="preserve"> </w:t>
      </w:r>
    </w:p>
  </w:endnote>
  <w:endnote w:id="7">
    <w:p w14:paraId="4975E8B9" w14:textId="3682A134" w:rsidR="00D7610B" w:rsidRPr="00FE0572" w:rsidRDefault="00D7610B" w:rsidP="004245E1">
      <w:pPr>
        <w:pStyle w:val="EndnoteText"/>
        <w:rPr>
          <w:rFonts w:ascii="Arial" w:hAnsi="Arial" w:cs="Arial"/>
          <w:sz w:val="17"/>
          <w:szCs w:val="17"/>
        </w:rPr>
      </w:pPr>
      <w:r w:rsidRPr="00FE0572">
        <w:rPr>
          <w:rStyle w:val="EndnoteReference"/>
          <w:rFonts w:ascii="Arial" w:hAnsi="Arial" w:cs="Arial"/>
          <w:sz w:val="17"/>
          <w:szCs w:val="17"/>
        </w:rPr>
        <w:endnoteRef/>
      </w:r>
      <w:r w:rsidRPr="00FE0572">
        <w:rPr>
          <w:rFonts w:ascii="Arial" w:hAnsi="Arial" w:cs="Arial"/>
          <w:sz w:val="17"/>
          <w:szCs w:val="17"/>
        </w:rPr>
        <w:t xml:space="preserve"> </w:t>
      </w:r>
      <w:r>
        <w:rPr>
          <w:rFonts w:ascii="Arial" w:hAnsi="Arial" w:cs="Arial"/>
          <w:sz w:val="17"/>
          <w:szCs w:val="17"/>
        </w:rPr>
        <w:t>I</w:t>
      </w:r>
      <w:r w:rsidRPr="00FE0572">
        <w:rPr>
          <w:rFonts w:ascii="Arial" w:hAnsi="Arial" w:cs="Arial"/>
          <w:sz w:val="17"/>
          <w:szCs w:val="17"/>
        </w:rPr>
        <w:t>bid</w:t>
      </w:r>
      <w:r>
        <w:rPr>
          <w:rFonts w:ascii="Arial" w:hAnsi="Arial" w:cs="Arial"/>
          <w:sz w:val="17"/>
          <w:szCs w:val="17"/>
        </w:rPr>
        <w:t>.</w:t>
      </w:r>
      <w:r w:rsidRPr="00F26BE8">
        <w:rPr>
          <w:rFonts w:ascii="Arial" w:hAnsi="Arial" w:cs="Arial"/>
          <w:sz w:val="17"/>
          <w:szCs w:val="17"/>
        </w:rPr>
        <w:t xml:space="preserve"> </w:t>
      </w:r>
    </w:p>
  </w:endnote>
  <w:endnote w:id="8">
    <w:p w14:paraId="4B6DEA1B" w14:textId="50248880" w:rsidR="00D7610B" w:rsidRPr="00FE0572" w:rsidRDefault="00D7610B" w:rsidP="004245E1">
      <w:pPr>
        <w:pStyle w:val="EndnoteText"/>
        <w:rPr>
          <w:rFonts w:ascii="Arial" w:hAnsi="Arial" w:cs="Arial"/>
          <w:sz w:val="17"/>
          <w:szCs w:val="17"/>
        </w:rPr>
      </w:pPr>
      <w:r w:rsidRPr="00FE0572">
        <w:rPr>
          <w:rStyle w:val="EndnoteReference"/>
          <w:rFonts w:ascii="Arial" w:hAnsi="Arial" w:cs="Arial"/>
          <w:sz w:val="17"/>
          <w:szCs w:val="17"/>
        </w:rPr>
        <w:endnoteRef/>
      </w:r>
      <w:r w:rsidRPr="00FE0572">
        <w:rPr>
          <w:rFonts w:ascii="Arial" w:hAnsi="Arial" w:cs="Arial"/>
          <w:sz w:val="17"/>
          <w:szCs w:val="17"/>
        </w:rPr>
        <w:t xml:space="preserve"> </w:t>
      </w:r>
      <w:r>
        <w:rPr>
          <w:rFonts w:ascii="Arial" w:hAnsi="Arial" w:cs="Arial"/>
          <w:sz w:val="17"/>
          <w:szCs w:val="17"/>
        </w:rPr>
        <w:t>I</w:t>
      </w:r>
      <w:r w:rsidRPr="00FE0572">
        <w:rPr>
          <w:rFonts w:ascii="Arial" w:hAnsi="Arial" w:cs="Arial"/>
          <w:sz w:val="17"/>
          <w:szCs w:val="17"/>
        </w:rPr>
        <w:t>bid</w:t>
      </w:r>
      <w:r>
        <w:rPr>
          <w:rFonts w:ascii="Arial" w:hAnsi="Arial" w:cs="Arial"/>
          <w:sz w:val="17"/>
          <w:szCs w:val="17"/>
        </w:rPr>
        <w:t>.</w:t>
      </w:r>
      <w:r w:rsidRPr="00F26BE8">
        <w:rPr>
          <w:rFonts w:ascii="Arial" w:hAnsi="Arial" w:cs="Arial"/>
          <w:sz w:val="17"/>
          <w:szCs w:val="17"/>
        </w:rPr>
        <w:t xml:space="preserve"> </w:t>
      </w:r>
    </w:p>
  </w:endnote>
  <w:endnote w:id="9">
    <w:p w14:paraId="52BAF309" w14:textId="178FE26A" w:rsidR="00D7610B" w:rsidRPr="00FE0572" w:rsidRDefault="00D7610B" w:rsidP="00CE1183">
      <w:pPr>
        <w:pStyle w:val="EndnoteText"/>
        <w:jc w:val="both"/>
        <w:rPr>
          <w:rFonts w:ascii="Arial" w:hAnsi="Arial" w:cs="Arial"/>
          <w:sz w:val="17"/>
          <w:szCs w:val="17"/>
        </w:rPr>
      </w:pPr>
      <w:r w:rsidRPr="00FE0572">
        <w:rPr>
          <w:rStyle w:val="EndnoteReference"/>
          <w:rFonts w:ascii="Arial" w:hAnsi="Arial" w:cs="Arial"/>
          <w:sz w:val="17"/>
          <w:szCs w:val="17"/>
        </w:rPr>
        <w:endnoteRef/>
      </w:r>
      <w:r w:rsidRPr="00FE0572">
        <w:rPr>
          <w:rFonts w:ascii="Arial" w:hAnsi="Arial" w:cs="Arial"/>
          <w:sz w:val="17"/>
          <w:szCs w:val="17"/>
        </w:rPr>
        <w:t xml:space="preserve"> </w:t>
      </w:r>
      <w:proofErr w:type="spellStart"/>
      <w:r w:rsidRPr="00486FFE">
        <w:rPr>
          <w:rFonts w:ascii="Arial" w:hAnsi="Arial" w:cs="Arial"/>
          <w:sz w:val="17"/>
          <w:szCs w:val="17"/>
        </w:rPr>
        <w:t>Kimly</w:t>
      </w:r>
      <w:proofErr w:type="spellEnd"/>
      <w:r w:rsidRPr="00486FFE">
        <w:rPr>
          <w:rFonts w:ascii="Arial" w:hAnsi="Arial" w:cs="Arial"/>
          <w:sz w:val="17"/>
          <w:szCs w:val="17"/>
        </w:rPr>
        <w:t xml:space="preserve"> Limited, </w:t>
      </w:r>
      <w:r w:rsidRPr="00486FFE">
        <w:rPr>
          <w:rFonts w:ascii="Arial" w:hAnsi="Arial" w:cs="Arial"/>
          <w:i/>
          <w:sz w:val="17"/>
          <w:szCs w:val="17"/>
        </w:rPr>
        <w:t xml:space="preserve">Invitation In Respect of 173,800,000 New Shares In </w:t>
      </w:r>
      <w:proofErr w:type="spellStart"/>
      <w:r w:rsidRPr="00486FFE">
        <w:rPr>
          <w:rFonts w:ascii="Arial" w:hAnsi="Arial" w:cs="Arial"/>
          <w:i/>
          <w:sz w:val="17"/>
          <w:szCs w:val="17"/>
        </w:rPr>
        <w:t>Kimly</w:t>
      </w:r>
      <w:proofErr w:type="spellEnd"/>
      <w:r w:rsidRPr="00486FFE">
        <w:rPr>
          <w:rFonts w:ascii="Arial" w:hAnsi="Arial" w:cs="Arial"/>
          <w:i/>
          <w:sz w:val="17"/>
          <w:szCs w:val="17"/>
        </w:rPr>
        <w:t xml:space="preserve"> Limited: Offer Document</w:t>
      </w:r>
      <w:r w:rsidRPr="00486FFE">
        <w:rPr>
          <w:rFonts w:ascii="Arial" w:hAnsi="Arial" w:cs="Arial"/>
          <w:sz w:val="17"/>
          <w:szCs w:val="17"/>
        </w:rPr>
        <w:t xml:space="preserve">, 62–63, March 8, 2017, accessed May 29, 2017, </w:t>
      </w:r>
      <w:r w:rsidRPr="00CB5009">
        <w:rPr>
          <w:rFonts w:ascii="Arial" w:hAnsi="Arial" w:cs="Arial"/>
          <w:sz w:val="17"/>
          <w:szCs w:val="17"/>
        </w:rPr>
        <w:t>http://infopub.sgx.com/FileOpen/Kimly_Limited_-_Offer_Document.ashx?App=IPO&amp;FileID=5360</w:t>
      </w:r>
      <w:r>
        <w:rPr>
          <w:rFonts w:ascii="Arial" w:hAnsi="Arial" w:cs="Arial"/>
          <w:sz w:val="17"/>
          <w:szCs w:val="17"/>
        </w:rPr>
        <w:t>.</w:t>
      </w:r>
    </w:p>
  </w:endnote>
  <w:endnote w:id="10">
    <w:p w14:paraId="690A8951" w14:textId="4A916FFC" w:rsidR="00D7610B" w:rsidRPr="00E136FB" w:rsidRDefault="00D7610B" w:rsidP="004245E1">
      <w:pPr>
        <w:pStyle w:val="EndnoteText"/>
        <w:jc w:val="both"/>
        <w:rPr>
          <w:rFonts w:ascii="Arial" w:hAnsi="Arial" w:cs="Arial"/>
          <w:sz w:val="17"/>
          <w:szCs w:val="17"/>
        </w:rPr>
      </w:pPr>
      <w:r w:rsidRPr="00FE0572">
        <w:rPr>
          <w:rStyle w:val="EndnoteReference"/>
          <w:rFonts w:ascii="Arial" w:hAnsi="Arial" w:cs="Arial"/>
          <w:sz w:val="17"/>
          <w:szCs w:val="17"/>
        </w:rPr>
        <w:endnoteRef/>
      </w:r>
      <w:r w:rsidRPr="00FE0572">
        <w:rPr>
          <w:rFonts w:ascii="Arial" w:hAnsi="Arial" w:cs="Arial"/>
          <w:sz w:val="17"/>
          <w:szCs w:val="17"/>
        </w:rPr>
        <w:t xml:space="preserve"> </w:t>
      </w:r>
      <w:proofErr w:type="gramStart"/>
      <w:r w:rsidRPr="00486FFE">
        <w:rPr>
          <w:rFonts w:ascii="Arial" w:hAnsi="Arial" w:cs="Arial"/>
          <w:sz w:val="17"/>
          <w:szCs w:val="17"/>
        </w:rPr>
        <w:t>Ibid.,</w:t>
      </w:r>
      <w:proofErr w:type="gramEnd"/>
      <w:r w:rsidRPr="00486FFE">
        <w:rPr>
          <w:rFonts w:ascii="Arial" w:hAnsi="Arial" w:cs="Arial"/>
          <w:sz w:val="17"/>
          <w:szCs w:val="17"/>
        </w:rPr>
        <w:t xml:space="preserve"> 97.</w:t>
      </w:r>
      <w:r w:rsidRPr="0044173C">
        <w:rPr>
          <w:rFonts w:ascii="Arial" w:hAnsi="Arial" w:cs="Arial"/>
          <w:sz w:val="17"/>
          <w:szCs w:val="17"/>
        </w:rPr>
        <w:t xml:space="preserve"> </w:t>
      </w:r>
    </w:p>
  </w:endnote>
  <w:endnote w:id="11">
    <w:p w14:paraId="5442DB97" w14:textId="7F9AD175" w:rsidR="00D7610B" w:rsidRPr="00E136FB" w:rsidRDefault="00D7610B" w:rsidP="004245E1">
      <w:pPr>
        <w:pStyle w:val="EndnoteText"/>
        <w:rPr>
          <w:rFonts w:ascii="Arial" w:hAnsi="Arial" w:cs="Arial"/>
          <w:sz w:val="17"/>
          <w:szCs w:val="17"/>
        </w:rPr>
      </w:pPr>
      <w:r w:rsidRPr="00BF56EC">
        <w:rPr>
          <w:rStyle w:val="EndnoteReference"/>
          <w:rFonts w:ascii="Arial" w:hAnsi="Arial" w:cs="Arial"/>
          <w:sz w:val="17"/>
          <w:szCs w:val="17"/>
        </w:rPr>
        <w:endnoteRef/>
      </w:r>
      <w:r w:rsidRPr="00BF56EC">
        <w:rPr>
          <w:rFonts w:ascii="Arial" w:hAnsi="Arial" w:cs="Arial"/>
          <w:sz w:val="17"/>
          <w:szCs w:val="17"/>
        </w:rPr>
        <w:t xml:space="preserve"> </w:t>
      </w:r>
      <w:r w:rsidRPr="00486FFE">
        <w:rPr>
          <w:rFonts w:ascii="Arial" w:hAnsi="Arial" w:cs="Arial"/>
          <w:sz w:val="17"/>
          <w:szCs w:val="17"/>
        </w:rPr>
        <w:t>Ibid.</w:t>
      </w:r>
    </w:p>
  </w:endnote>
  <w:endnote w:id="12">
    <w:p w14:paraId="23EF10AA" w14:textId="21FFE859" w:rsidR="00D7610B" w:rsidRPr="00E136FB" w:rsidRDefault="00D7610B" w:rsidP="00AE3DCF">
      <w:pPr>
        <w:pStyle w:val="EndnoteText"/>
        <w:jc w:val="both"/>
        <w:rPr>
          <w:rFonts w:ascii="Arial" w:hAnsi="Arial" w:cs="Arial"/>
          <w:sz w:val="17"/>
          <w:szCs w:val="17"/>
        </w:rPr>
      </w:pPr>
      <w:r w:rsidRPr="00BF56EC">
        <w:rPr>
          <w:rStyle w:val="EndnoteReference"/>
          <w:rFonts w:ascii="Arial" w:hAnsi="Arial" w:cs="Arial"/>
          <w:sz w:val="17"/>
          <w:szCs w:val="17"/>
        </w:rPr>
        <w:endnoteRef/>
      </w:r>
      <w:r w:rsidRPr="00BF56EC">
        <w:rPr>
          <w:rFonts w:ascii="Arial" w:hAnsi="Arial" w:cs="Arial"/>
          <w:sz w:val="17"/>
          <w:szCs w:val="17"/>
        </w:rPr>
        <w:t xml:space="preserve"> </w:t>
      </w:r>
      <w:proofErr w:type="gramStart"/>
      <w:r w:rsidRPr="00486FFE">
        <w:rPr>
          <w:rFonts w:ascii="Arial" w:hAnsi="Arial" w:cs="Arial"/>
          <w:sz w:val="17"/>
          <w:szCs w:val="17"/>
        </w:rPr>
        <w:t>Ibid.,</w:t>
      </w:r>
      <w:proofErr w:type="gramEnd"/>
      <w:r w:rsidRPr="00486FFE">
        <w:rPr>
          <w:rFonts w:ascii="Arial" w:hAnsi="Arial" w:cs="Arial"/>
          <w:sz w:val="17"/>
          <w:szCs w:val="17"/>
        </w:rPr>
        <w:t xml:space="preserve"> 101.</w:t>
      </w:r>
    </w:p>
  </w:endnote>
  <w:endnote w:id="13">
    <w:p w14:paraId="255F1750" w14:textId="5B2E6D6B" w:rsidR="00D7610B" w:rsidRPr="00E136FB" w:rsidRDefault="00D7610B">
      <w:pPr>
        <w:pStyle w:val="EndnoteText"/>
        <w:rPr>
          <w:rFonts w:ascii="Arial" w:hAnsi="Arial" w:cs="Arial"/>
          <w:sz w:val="17"/>
          <w:szCs w:val="17"/>
        </w:rPr>
      </w:pPr>
      <w:r w:rsidRPr="00BF56EC">
        <w:rPr>
          <w:rStyle w:val="EndnoteReference"/>
          <w:rFonts w:ascii="Arial" w:hAnsi="Arial" w:cs="Arial"/>
          <w:sz w:val="17"/>
          <w:szCs w:val="17"/>
        </w:rPr>
        <w:endnoteRef/>
      </w:r>
      <w:r w:rsidRPr="00BF56EC">
        <w:rPr>
          <w:rFonts w:ascii="Arial" w:hAnsi="Arial" w:cs="Arial"/>
          <w:sz w:val="17"/>
          <w:szCs w:val="17"/>
        </w:rPr>
        <w:t xml:space="preserve"> </w:t>
      </w:r>
      <w:r w:rsidRPr="00486FFE">
        <w:rPr>
          <w:rFonts w:ascii="Arial" w:hAnsi="Arial" w:cs="Arial"/>
          <w:sz w:val="17"/>
          <w:szCs w:val="17"/>
        </w:rPr>
        <w:t>Ibid.</w:t>
      </w:r>
      <w:r w:rsidRPr="0044173C">
        <w:rPr>
          <w:rFonts w:ascii="Arial" w:hAnsi="Arial" w:cs="Arial"/>
          <w:sz w:val="17"/>
          <w:szCs w:val="17"/>
        </w:rPr>
        <w:t xml:space="preserve"> </w:t>
      </w:r>
    </w:p>
  </w:endnote>
  <w:endnote w:id="14">
    <w:p w14:paraId="4C0E0B77" w14:textId="633EA8F7" w:rsidR="00D7610B" w:rsidRPr="00E136FB" w:rsidRDefault="00D7610B" w:rsidP="004245E1">
      <w:pPr>
        <w:pStyle w:val="EndnoteText"/>
        <w:rPr>
          <w:rFonts w:ascii="Arial" w:hAnsi="Arial" w:cs="Arial"/>
          <w:sz w:val="17"/>
          <w:szCs w:val="17"/>
        </w:rPr>
      </w:pPr>
      <w:r w:rsidRPr="00BF56EC">
        <w:rPr>
          <w:rStyle w:val="EndnoteReference"/>
          <w:rFonts w:ascii="Arial" w:hAnsi="Arial" w:cs="Arial"/>
          <w:sz w:val="17"/>
          <w:szCs w:val="17"/>
        </w:rPr>
        <w:endnoteRef/>
      </w:r>
      <w:r w:rsidRPr="00BF56EC">
        <w:rPr>
          <w:rFonts w:ascii="Arial" w:hAnsi="Arial" w:cs="Arial"/>
          <w:sz w:val="17"/>
          <w:szCs w:val="17"/>
        </w:rPr>
        <w:t xml:space="preserve"> </w:t>
      </w:r>
      <w:r w:rsidRPr="00486FFE">
        <w:rPr>
          <w:rFonts w:ascii="Arial" w:hAnsi="Arial" w:cs="Arial"/>
          <w:sz w:val="17"/>
          <w:szCs w:val="17"/>
        </w:rPr>
        <w:t>Ibid.</w:t>
      </w:r>
    </w:p>
  </w:endnote>
  <w:endnote w:id="15">
    <w:p w14:paraId="51DA9EEF" w14:textId="4E3D36E5" w:rsidR="00D7610B" w:rsidRPr="00FE0572" w:rsidRDefault="00D7610B" w:rsidP="00330ACC">
      <w:pPr>
        <w:pStyle w:val="EndnoteText"/>
        <w:jc w:val="both"/>
        <w:rPr>
          <w:rFonts w:ascii="Arial" w:hAnsi="Arial" w:cs="Arial"/>
          <w:sz w:val="17"/>
          <w:szCs w:val="17"/>
        </w:rPr>
      </w:pPr>
      <w:r w:rsidRPr="00BF56EC">
        <w:rPr>
          <w:rStyle w:val="EndnoteReference"/>
          <w:rFonts w:ascii="Arial" w:hAnsi="Arial" w:cs="Arial"/>
          <w:sz w:val="17"/>
          <w:szCs w:val="17"/>
        </w:rPr>
        <w:endnoteRef/>
      </w:r>
      <w:r w:rsidRPr="00BF56EC">
        <w:rPr>
          <w:rFonts w:ascii="Arial" w:hAnsi="Arial" w:cs="Arial"/>
          <w:sz w:val="17"/>
          <w:szCs w:val="17"/>
        </w:rPr>
        <w:t xml:space="preserve"> </w:t>
      </w:r>
      <w:proofErr w:type="gramStart"/>
      <w:r w:rsidRPr="00486FFE">
        <w:rPr>
          <w:rFonts w:ascii="Arial" w:hAnsi="Arial" w:cs="Arial"/>
          <w:sz w:val="17"/>
          <w:szCs w:val="17"/>
        </w:rPr>
        <w:t>Ibid.,</w:t>
      </w:r>
      <w:proofErr w:type="gramEnd"/>
      <w:r w:rsidRPr="00486FFE">
        <w:rPr>
          <w:rFonts w:ascii="Arial" w:hAnsi="Arial" w:cs="Arial"/>
          <w:sz w:val="17"/>
          <w:szCs w:val="17"/>
        </w:rPr>
        <w:t xml:space="preserve"> 104.</w:t>
      </w:r>
      <w:r w:rsidRPr="00FE0572">
        <w:rPr>
          <w:rFonts w:ascii="Arial" w:hAnsi="Arial" w:cs="Arial"/>
          <w:sz w:val="17"/>
          <w:szCs w:val="17"/>
        </w:rPr>
        <w:t xml:space="preserve"> </w:t>
      </w:r>
    </w:p>
  </w:endnote>
  <w:endnote w:id="16">
    <w:p w14:paraId="4B101456" w14:textId="265C7D46" w:rsidR="00D7610B" w:rsidRPr="00FE0572" w:rsidRDefault="00D7610B" w:rsidP="004245E1">
      <w:pPr>
        <w:pStyle w:val="Footnote"/>
      </w:pPr>
      <w:r w:rsidRPr="00FE0572">
        <w:rPr>
          <w:rStyle w:val="EndnoteReference"/>
        </w:rPr>
        <w:endnoteRef/>
      </w:r>
      <w:r w:rsidRPr="00FE0572">
        <w:t xml:space="preserve"> Wong</w:t>
      </w:r>
      <w:r>
        <w:t xml:space="preserve"> Wei Han</w:t>
      </w:r>
      <w:r w:rsidRPr="00FE0572">
        <w:t xml:space="preserve">, </w:t>
      </w:r>
      <w:r>
        <w:t>op. cit</w:t>
      </w:r>
      <w:r w:rsidRPr="00FE0572">
        <w:t>.</w:t>
      </w:r>
    </w:p>
  </w:endnote>
  <w:endnote w:id="17">
    <w:p w14:paraId="42E8F518" w14:textId="18E66589" w:rsidR="00D7610B" w:rsidRPr="00E136FB" w:rsidRDefault="00D7610B" w:rsidP="00330ACC">
      <w:pPr>
        <w:pStyle w:val="EndnoteText"/>
        <w:jc w:val="both"/>
        <w:rPr>
          <w:rFonts w:ascii="Arial" w:hAnsi="Arial" w:cs="Arial"/>
          <w:sz w:val="17"/>
          <w:szCs w:val="17"/>
        </w:rPr>
      </w:pPr>
      <w:r w:rsidRPr="0044173C">
        <w:rPr>
          <w:rStyle w:val="EndnoteReference"/>
          <w:rFonts w:ascii="Arial" w:hAnsi="Arial" w:cs="Arial"/>
          <w:sz w:val="17"/>
          <w:szCs w:val="17"/>
        </w:rPr>
        <w:endnoteRef/>
      </w:r>
      <w:r w:rsidRPr="0044173C">
        <w:rPr>
          <w:rFonts w:ascii="Arial" w:hAnsi="Arial" w:cs="Arial"/>
          <w:sz w:val="17"/>
          <w:szCs w:val="17"/>
        </w:rPr>
        <w:t xml:space="preserve"> </w:t>
      </w:r>
      <w:proofErr w:type="spellStart"/>
      <w:r w:rsidRPr="00486FFE">
        <w:rPr>
          <w:rFonts w:ascii="Arial" w:hAnsi="Arial" w:cs="Arial"/>
          <w:sz w:val="17"/>
          <w:szCs w:val="17"/>
        </w:rPr>
        <w:t>Kimly</w:t>
      </w:r>
      <w:proofErr w:type="spellEnd"/>
      <w:r w:rsidRPr="00486FFE">
        <w:rPr>
          <w:rFonts w:ascii="Arial" w:hAnsi="Arial" w:cs="Arial"/>
          <w:sz w:val="17"/>
          <w:szCs w:val="17"/>
        </w:rPr>
        <w:t xml:space="preserve"> Limited, op. cit., 85.</w:t>
      </w:r>
      <w:r w:rsidRPr="0044173C">
        <w:rPr>
          <w:rFonts w:ascii="Arial" w:hAnsi="Arial" w:cs="Arial"/>
          <w:sz w:val="17"/>
          <w:szCs w:val="17"/>
        </w:rPr>
        <w:t xml:space="preserve"> </w:t>
      </w:r>
    </w:p>
  </w:endnote>
  <w:endnote w:id="18">
    <w:p w14:paraId="7E0F68FD" w14:textId="668071A0" w:rsidR="00D7610B" w:rsidRPr="00E136FB" w:rsidRDefault="00D7610B" w:rsidP="00486FFE">
      <w:pPr>
        <w:pStyle w:val="EndnoteText"/>
        <w:jc w:val="both"/>
        <w:rPr>
          <w:rFonts w:ascii="Arial" w:hAnsi="Arial" w:cs="Arial"/>
          <w:sz w:val="17"/>
          <w:szCs w:val="17"/>
        </w:rPr>
      </w:pPr>
      <w:r w:rsidRPr="00BF56EC">
        <w:rPr>
          <w:rStyle w:val="EndnoteReference"/>
          <w:rFonts w:ascii="Arial" w:hAnsi="Arial" w:cs="Arial"/>
          <w:sz w:val="17"/>
          <w:szCs w:val="17"/>
        </w:rPr>
        <w:endnoteRef/>
      </w:r>
      <w:r w:rsidRPr="00BF56EC">
        <w:rPr>
          <w:rFonts w:ascii="Arial" w:hAnsi="Arial" w:cs="Arial"/>
          <w:sz w:val="17"/>
          <w:szCs w:val="17"/>
        </w:rPr>
        <w:t xml:space="preserve"> A social outreach program initiated by </w:t>
      </w:r>
      <w:r>
        <w:rPr>
          <w:rFonts w:ascii="Arial" w:hAnsi="Arial" w:cs="Arial"/>
          <w:sz w:val="17"/>
          <w:szCs w:val="17"/>
        </w:rPr>
        <w:t xml:space="preserve">the </w:t>
      </w:r>
      <w:r w:rsidRPr="00BF56EC">
        <w:rPr>
          <w:rFonts w:ascii="Arial" w:hAnsi="Arial" w:cs="Arial"/>
          <w:sz w:val="17"/>
          <w:szCs w:val="17"/>
        </w:rPr>
        <w:t xml:space="preserve">National Trade Union Congress </w:t>
      </w:r>
      <w:proofErr w:type="spellStart"/>
      <w:r w:rsidRPr="00BF56EC">
        <w:rPr>
          <w:rFonts w:ascii="Arial" w:hAnsi="Arial" w:cs="Arial"/>
          <w:sz w:val="17"/>
          <w:szCs w:val="17"/>
        </w:rPr>
        <w:t>Foodfare</w:t>
      </w:r>
      <w:proofErr w:type="spellEnd"/>
      <w:r w:rsidRPr="00BF56EC">
        <w:rPr>
          <w:rFonts w:ascii="Arial" w:hAnsi="Arial" w:cs="Arial"/>
          <w:sz w:val="17"/>
          <w:szCs w:val="17"/>
        </w:rPr>
        <w:t xml:space="preserve"> in 2009 to provide highly affordable, nutritious meals to the community.</w:t>
      </w:r>
      <w:r w:rsidRPr="00E136FB">
        <w:rPr>
          <w:rFonts w:ascii="Arial" w:hAnsi="Arial" w:cs="Arial"/>
          <w:sz w:val="17"/>
          <w:szCs w:val="17"/>
        </w:rPr>
        <w:t xml:space="preserve"> </w:t>
      </w:r>
    </w:p>
  </w:endnote>
  <w:endnote w:id="19">
    <w:p w14:paraId="393B2B72" w14:textId="27D9D32C" w:rsidR="00D7610B" w:rsidRDefault="00D7610B" w:rsidP="00D7610B">
      <w:pPr>
        <w:pStyle w:val="Footnote"/>
      </w:pPr>
      <w:r>
        <w:rPr>
          <w:rStyle w:val="EndnoteReference"/>
        </w:rPr>
        <w:endnoteRef/>
      </w:r>
      <w:r>
        <w:t xml:space="preserve"> </w:t>
      </w:r>
      <w:proofErr w:type="spellStart"/>
      <w:r>
        <w:t>Zi</w:t>
      </w:r>
      <w:proofErr w:type="spellEnd"/>
      <w:r>
        <w:t xml:space="preserve"> char literally means cook and fry. It is a general term for food such as fried noodles, sweet and sour pork, and </w:t>
      </w:r>
      <w:proofErr w:type="spellStart"/>
      <w:r>
        <w:t>claypot</w:t>
      </w:r>
      <w:proofErr w:type="spellEnd"/>
      <w:r>
        <w:t xml:space="preserve"> served from food stalls.</w:t>
      </w:r>
    </w:p>
  </w:endnote>
  <w:endnote w:id="20">
    <w:p w14:paraId="303BB8DB" w14:textId="061C59D9" w:rsidR="00D7610B" w:rsidRPr="00E136FB" w:rsidRDefault="00D7610B" w:rsidP="004245E1">
      <w:pPr>
        <w:pStyle w:val="EndnoteText"/>
        <w:jc w:val="both"/>
        <w:rPr>
          <w:rFonts w:ascii="Arial" w:hAnsi="Arial" w:cs="Arial"/>
          <w:sz w:val="17"/>
          <w:szCs w:val="17"/>
        </w:rPr>
      </w:pPr>
      <w:r w:rsidRPr="00BF56EC">
        <w:rPr>
          <w:rStyle w:val="EndnoteReference"/>
          <w:rFonts w:ascii="Arial" w:hAnsi="Arial" w:cs="Arial"/>
          <w:sz w:val="17"/>
          <w:szCs w:val="17"/>
        </w:rPr>
        <w:endnoteRef/>
      </w:r>
      <w:r w:rsidRPr="00BF56EC">
        <w:rPr>
          <w:rFonts w:ascii="Arial" w:hAnsi="Arial" w:cs="Arial"/>
          <w:sz w:val="17"/>
          <w:szCs w:val="17"/>
        </w:rPr>
        <w:t xml:space="preserve"> </w:t>
      </w:r>
      <w:proofErr w:type="spellStart"/>
      <w:r w:rsidRPr="00486FFE">
        <w:rPr>
          <w:rFonts w:ascii="Arial" w:hAnsi="Arial" w:cs="Arial"/>
          <w:sz w:val="17"/>
          <w:szCs w:val="17"/>
        </w:rPr>
        <w:t>Kimly</w:t>
      </w:r>
      <w:proofErr w:type="spellEnd"/>
      <w:r w:rsidRPr="00486FFE">
        <w:rPr>
          <w:rFonts w:ascii="Arial" w:hAnsi="Arial" w:cs="Arial"/>
          <w:sz w:val="17"/>
          <w:szCs w:val="17"/>
        </w:rPr>
        <w:t xml:space="preserve"> Limited, op. cit., 98. </w:t>
      </w:r>
    </w:p>
  </w:endnote>
  <w:endnote w:id="21">
    <w:p w14:paraId="7E2F88A4" w14:textId="0CB4F6FB" w:rsidR="00D7610B" w:rsidRPr="00E136FB" w:rsidRDefault="00D7610B" w:rsidP="004245E1">
      <w:pPr>
        <w:pStyle w:val="EndnoteText"/>
        <w:rPr>
          <w:rFonts w:ascii="Arial" w:hAnsi="Arial" w:cs="Arial"/>
          <w:sz w:val="17"/>
          <w:szCs w:val="17"/>
        </w:rPr>
      </w:pPr>
      <w:r w:rsidRPr="00E136FB">
        <w:rPr>
          <w:rStyle w:val="EndnoteReference"/>
          <w:rFonts w:ascii="Arial" w:hAnsi="Arial" w:cs="Arial"/>
          <w:sz w:val="17"/>
          <w:szCs w:val="17"/>
        </w:rPr>
        <w:endnoteRef/>
      </w:r>
      <w:r w:rsidRPr="00E136FB">
        <w:rPr>
          <w:rFonts w:ascii="Arial" w:hAnsi="Arial" w:cs="Arial"/>
          <w:sz w:val="17"/>
          <w:szCs w:val="17"/>
        </w:rPr>
        <w:t xml:space="preserve"> Wong, op. cit. </w:t>
      </w:r>
    </w:p>
  </w:endnote>
  <w:endnote w:id="22">
    <w:p w14:paraId="0099E8AE" w14:textId="06DEA220" w:rsidR="00D7610B" w:rsidRPr="00FE0572" w:rsidRDefault="00D7610B" w:rsidP="004245E1">
      <w:pPr>
        <w:pStyle w:val="EndnoteText"/>
        <w:jc w:val="both"/>
        <w:rPr>
          <w:rFonts w:ascii="Arial" w:hAnsi="Arial" w:cs="Arial"/>
          <w:sz w:val="17"/>
          <w:szCs w:val="17"/>
        </w:rPr>
      </w:pPr>
      <w:r w:rsidRPr="00BF56EC">
        <w:rPr>
          <w:rStyle w:val="EndnoteReference"/>
          <w:rFonts w:ascii="Arial" w:hAnsi="Arial" w:cs="Arial"/>
          <w:sz w:val="17"/>
          <w:szCs w:val="17"/>
        </w:rPr>
        <w:endnoteRef/>
      </w:r>
      <w:r w:rsidRPr="00BF56EC">
        <w:rPr>
          <w:rFonts w:ascii="Arial" w:hAnsi="Arial" w:cs="Arial"/>
          <w:sz w:val="17"/>
          <w:szCs w:val="17"/>
        </w:rPr>
        <w:t xml:space="preserve"> </w:t>
      </w:r>
      <w:proofErr w:type="spellStart"/>
      <w:r w:rsidRPr="00486FFE">
        <w:rPr>
          <w:rFonts w:ascii="Arial" w:hAnsi="Arial" w:cs="Arial"/>
          <w:sz w:val="17"/>
          <w:szCs w:val="17"/>
        </w:rPr>
        <w:t>Kimly</w:t>
      </w:r>
      <w:proofErr w:type="spellEnd"/>
      <w:r w:rsidRPr="00486FFE">
        <w:rPr>
          <w:rFonts w:ascii="Arial" w:hAnsi="Arial" w:cs="Arial"/>
          <w:sz w:val="17"/>
          <w:szCs w:val="17"/>
        </w:rPr>
        <w:t xml:space="preserve"> Limited, op. cit., 107.</w:t>
      </w:r>
      <w:r w:rsidRPr="00FE0572">
        <w:rPr>
          <w:rFonts w:ascii="Arial" w:hAnsi="Arial" w:cs="Arial"/>
          <w:sz w:val="17"/>
          <w:szCs w:val="17"/>
        </w:rPr>
        <w:t xml:space="preserve"> </w:t>
      </w:r>
    </w:p>
  </w:endnote>
  <w:endnote w:id="23">
    <w:p w14:paraId="2B7FFA4F" w14:textId="1E5616CF" w:rsidR="00D7610B" w:rsidRPr="00FE0572" w:rsidRDefault="00D7610B" w:rsidP="004245E1">
      <w:pPr>
        <w:pStyle w:val="EndnoteText"/>
        <w:jc w:val="both"/>
        <w:rPr>
          <w:rFonts w:ascii="Arial" w:hAnsi="Arial" w:cs="Arial"/>
          <w:sz w:val="17"/>
          <w:szCs w:val="17"/>
        </w:rPr>
      </w:pPr>
      <w:r w:rsidRPr="00FE0572">
        <w:rPr>
          <w:rStyle w:val="EndnoteReference"/>
          <w:rFonts w:ascii="Arial" w:hAnsi="Arial" w:cs="Arial"/>
          <w:sz w:val="17"/>
          <w:szCs w:val="17"/>
        </w:rPr>
        <w:endnoteRef/>
      </w:r>
      <w:r w:rsidRPr="00FE0572">
        <w:rPr>
          <w:rFonts w:ascii="Arial" w:hAnsi="Arial" w:cs="Arial"/>
          <w:sz w:val="17"/>
          <w:szCs w:val="17"/>
        </w:rPr>
        <w:t xml:space="preserve"> Ann Williams, “</w:t>
      </w:r>
      <w:proofErr w:type="spellStart"/>
      <w:r w:rsidRPr="00FE0572">
        <w:rPr>
          <w:rFonts w:ascii="Arial" w:hAnsi="Arial" w:cs="Arial"/>
          <w:sz w:val="17"/>
          <w:szCs w:val="17"/>
        </w:rPr>
        <w:t>Kimly</w:t>
      </w:r>
      <w:proofErr w:type="spellEnd"/>
      <w:r w:rsidRPr="00FE0572">
        <w:rPr>
          <w:rFonts w:ascii="Arial" w:hAnsi="Arial" w:cs="Arial"/>
          <w:sz w:val="17"/>
          <w:szCs w:val="17"/>
        </w:rPr>
        <w:t xml:space="preserve"> Shares Soar 120% On Trading Debut,” </w:t>
      </w:r>
      <w:r w:rsidRPr="0062193B">
        <w:rPr>
          <w:rFonts w:ascii="Arial" w:hAnsi="Arial" w:cs="Arial"/>
          <w:i/>
          <w:sz w:val="17"/>
          <w:szCs w:val="17"/>
        </w:rPr>
        <w:t>Straits Times</w:t>
      </w:r>
      <w:r>
        <w:rPr>
          <w:rFonts w:ascii="Arial" w:hAnsi="Arial" w:cs="Arial"/>
          <w:sz w:val="17"/>
          <w:szCs w:val="17"/>
        </w:rPr>
        <w:t xml:space="preserve">, </w:t>
      </w:r>
      <w:r w:rsidRPr="00FE0572">
        <w:rPr>
          <w:rFonts w:ascii="Arial" w:hAnsi="Arial" w:cs="Arial"/>
          <w:sz w:val="17"/>
          <w:szCs w:val="17"/>
        </w:rPr>
        <w:t>March 20, 2017, accessed May 29, 2017, www.straitstimes.com/business/companies-markets/kimly-shares-soar-120-on-trading-debut.</w:t>
      </w:r>
    </w:p>
  </w:endnote>
  <w:endnote w:id="24">
    <w:p w14:paraId="67B26AC9" w14:textId="44FF308C" w:rsidR="00D7610B" w:rsidRPr="00FE0572" w:rsidRDefault="00D7610B" w:rsidP="004245E1">
      <w:pPr>
        <w:pStyle w:val="EndnoteText"/>
        <w:jc w:val="both"/>
        <w:rPr>
          <w:rFonts w:ascii="Arial" w:hAnsi="Arial" w:cs="Arial"/>
          <w:sz w:val="17"/>
          <w:szCs w:val="17"/>
        </w:rPr>
      </w:pPr>
      <w:r w:rsidRPr="00FE0572">
        <w:rPr>
          <w:rStyle w:val="EndnoteReference"/>
          <w:rFonts w:ascii="Arial" w:hAnsi="Arial" w:cs="Arial"/>
          <w:sz w:val="17"/>
          <w:szCs w:val="17"/>
        </w:rPr>
        <w:endnoteRef/>
      </w:r>
      <w:r w:rsidRPr="00FE0572">
        <w:rPr>
          <w:rFonts w:ascii="Arial" w:hAnsi="Arial" w:cs="Arial"/>
          <w:sz w:val="17"/>
          <w:szCs w:val="17"/>
        </w:rPr>
        <w:t xml:space="preserve"> Stephanie Luo, “</w:t>
      </w:r>
      <w:r>
        <w:rPr>
          <w:rFonts w:ascii="Arial" w:hAnsi="Arial" w:cs="Arial"/>
          <w:sz w:val="17"/>
          <w:szCs w:val="17"/>
        </w:rPr>
        <w:t>‘</w:t>
      </w:r>
      <w:r w:rsidRPr="00FE0572">
        <w:rPr>
          <w:rFonts w:ascii="Arial" w:hAnsi="Arial" w:cs="Arial"/>
          <w:sz w:val="17"/>
          <w:szCs w:val="17"/>
        </w:rPr>
        <w:t xml:space="preserve">Modern Kopi-Boy’ </w:t>
      </w:r>
      <w:proofErr w:type="spellStart"/>
      <w:r w:rsidRPr="00FE0572">
        <w:rPr>
          <w:rFonts w:ascii="Arial" w:hAnsi="Arial" w:cs="Arial"/>
          <w:sz w:val="17"/>
          <w:szCs w:val="17"/>
        </w:rPr>
        <w:t>Kimly</w:t>
      </w:r>
      <w:proofErr w:type="spellEnd"/>
      <w:r w:rsidRPr="00FE0572">
        <w:rPr>
          <w:rFonts w:ascii="Arial" w:hAnsi="Arial" w:cs="Arial"/>
          <w:sz w:val="17"/>
          <w:szCs w:val="17"/>
        </w:rPr>
        <w:t xml:space="preserve"> Sets Stage for Future Coffee Shops,” </w:t>
      </w:r>
      <w:r w:rsidRPr="0062193B">
        <w:rPr>
          <w:rFonts w:ascii="Arial" w:hAnsi="Arial" w:cs="Arial"/>
          <w:i/>
          <w:sz w:val="17"/>
          <w:szCs w:val="17"/>
        </w:rPr>
        <w:t>Business Times</w:t>
      </w:r>
      <w:r>
        <w:rPr>
          <w:rFonts w:ascii="Arial" w:hAnsi="Arial" w:cs="Arial"/>
          <w:sz w:val="17"/>
          <w:szCs w:val="17"/>
        </w:rPr>
        <w:t xml:space="preserve">, </w:t>
      </w:r>
      <w:r w:rsidRPr="00FE0572">
        <w:rPr>
          <w:rFonts w:ascii="Arial" w:hAnsi="Arial" w:cs="Arial"/>
          <w:sz w:val="17"/>
          <w:szCs w:val="17"/>
        </w:rPr>
        <w:t>March 9, 2017, accessed May 29, 2017, www.businesstimes.com.sg/companies-markets/modern-kopi-boy-kimly-sets-stage-for-future-coffee-shops.</w:t>
      </w:r>
    </w:p>
  </w:endnote>
  <w:endnote w:id="25">
    <w:p w14:paraId="42B78E4D" w14:textId="15C0B1E2" w:rsidR="00D7610B" w:rsidRPr="00FE0572" w:rsidRDefault="00D7610B" w:rsidP="004245E1">
      <w:pPr>
        <w:pStyle w:val="EndnoteText"/>
        <w:rPr>
          <w:rFonts w:ascii="Arial" w:hAnsi="Arial" w:cs="Arial"/>
          <w:sz w:val="17"/>
          <w:szCs w:val="17"/>
        </w:rPr>
      </w:pPr>
      <w:r w:rsidRPr="00FE0572">
        <w:rPr>
          <w:rStyle w:val="EndnoteReference"/>
          <w:rFonts w:ascii="Arial" w:hAnsi="Arial" w:cs="Arial"/>
          <w:sz w:val="17"/>
          <w:szCs w:val="17"/>
        </w:rPr>
        <w:endnoteRef/>
      </w:r>
      <w:r w:rsidRPr="00FE0572">
        <w:rPr>
          <w:rFonts w:ascii="Arial" w:hAnsi="Arial" w:cs="Arial"/>
          <w:sz w:val="17"/>
          <w:szCs w:val="17"/>
        </w:rPr>
        <w:t xml:space="preserve"> </w:t>
      </w:r>
      <w:r>
        <w:rPr>
          <w:rFonts w:ascii="Arial" w:hAnsi="Arial" w:cs="Arial"/>
          <w:sz w:val="17"/>
          <w:szCs w:val="17"/>
        </w:rPr>
        <w:t>I</w:t>
      </w:r>
      <w:r w:rsidRPr="00FE0572">
        <w:rPr>
          <w:rFonts w:ascii="Arial" w:hAnsi="Arial" w:cs="Arial"/>
          <w:sz w:val="17"/>
          <w:szCs w:val="17"/>
        </w:rPr>
        <w:t>bid</w:t>
      </w:r>
      <w:r>
        <w:rPr>
          <w:rFonts w:ascii="Arial" w:hAnsi="Arial" w:cs="Arial"/>
          <w:sz w:val="17"/>
          <w:szCs w:val="17"/>
        </w:rPr>
        <w:t>.</w:t>
      </w:r>
    </w:p>
  </w:endnote>
  <w:endnote w:id="26">
    <w:p w14:paraId="16DB0A13" w14:textId="4FEC6B43" w:rsidR="00D7610B" w:rsidRPr="00FE0572" w:rsidRDefault="00D7610B" w:rsidP="004245E1">
      <w:pPr>
        <w:pStyle w:val="EndnoteText"/>
        <w:rPr>
          <w:rFonts w:ascii="Arial" w:hAnsi="Arial" w:cs="Arial"/>
          <w:sz w:val="17"/>
          <w:szCs w:val="17"/>
        </w:rPr>
      </w:pPr>
      <w:r w:rsidRPr="00FE0572">
        <w:rPr>
          <w:rStyle w:val="EndnoteReference"/>
          <w:rFonts w:ascii="Arial" w:hAnsi="Arial" w:cs="Arial"/>
          <w:sz w:val="17"/>
          <w:szCs w:val="17"/>
        </w:rPr>
        <w:endnoteRef/>
      </w:r>
      <w:r w:rsidRPr="00FE0572">
        <w:rPr>
          <w:rFonts w:ascii="Arial" w:hAnsi="Arial" w:cs="Arial"/>
          <w:sz w:val="17"/>
          <w:szCs w:val="17"/>
        </w:rPr>
        <w:t xml:space="preserve"> </w:t>
      </w:r>
      <w:r>
        <w:rPr>
          <w:rFonts w:ascii="Arial" w:hAnsi="Arial" w:cs="Arial"/>
          <w:sz w:val="17"/>
          <w:szCs w:val="17"/>
        </w:rPr>
        <w:t>I</w:t>
      </w:r>
      <w:r w:rsidRPr="00FE0572">
        <w:rPr>
          <w:rFonts w:ascii="Arial" w:hAnsi="Arial" w:cs="Arial"/>
          <w:sz w:val="17"/>
          <w:szCs w:val="17"/>
        </w:rPr>
        <w:t>bid</w:t>
      </w:r>
      <w:r>
        <w:rPr>
          <w:rFonts w:ascii="Arial" w:hAnsi="Arial" w:cs="Arial"/>
          <w:sz w:val="17"/>
          <w:szCs w:val="17"/>
        </w:rPr>
        <w:t>.</w:t>
      </w:r>
    </w:p>
  </w:endnote>
  <w:endnote w:id="27">
    <w:p w14:paraId="6C1E362B" w14:textId="7B4BEEC1" w:rsidR="00D7610B" w:rsidRPr="00FE0572" w:rsidRDefault="00D7610B" w:rsidP="004245E1">
      <w:pPr>
        <w:pStyle w:val="EndnoteText"/>
        <w:rPr>
          <w:rFonts w:ascii="Arial" w:hAnsi="Arial" w:cs="Arial"/>
          <w:sz w:val="17"/>
          <w:szCs w:val="17"/>
        </w:rPr>
      </w:pPr>
      <w:r w:rsidRPr="00FE0572">
        <w:rPr>
          <w:rStyle w:val="EndnoteReference"/>
          <w:rFonts w:ascii="Arial" w:hAnsi="Arial" w:cs="Arial"/>
          <w:sz w:val="17"/>
          <w:szCs w:val="17"/>
        </w:rPr>
        <w:endnoteRef/>
      </w:r>
      <w:r w:rsidRPr="00FE0572">
        <w:rPr>
          <w:rFonts w:ascii="Arial" w:hAnsi="Arial" w:cs="Arial"/>
          <w:sz w:val="17"/>
          <w:szCs w:val="17"/>
        </w:rPr>
        <w:t xml:space="preserve"> </w:t>
      </w:r>
      <w:r>
        <w:rPr>
          <w:rFonts w:ascii="Arial" w:hAnsi="Arial" w:cs="Arial"/>
          <w:sz w:val="17"/>
          <w:szCs w:val="17"/>
        </w:rPr>
        <w:t>I</w:t>
      </w:r>
      <w:r w:rsidRPr="00FE0572">
        <w:rPr>
          <w:rFonts w:ascii="Arial" w:hAnsi="Arial" w:cs="Arial"/>
          <w:sz w:val="17"/>
          <w:szCs w:val="17"/>
        </w:rPr>
        <w:t>bid</w:t>
      </w:r>
      <w:r>
        <w:rPr>
          <w:rFonts w:ascii="Arial" w:hAnsi="Arial" w:cs="Arial"/>
          <w:sz w:val="17"/>
          <w:szCs w:val="17"/>
        </w:rPr>
        <w:t>.</w:t>
      </w:r>
      <w:r w:rsidRPr="00F26BE8">
        <w:rPr>
          <w:rFonts w:ascii="Arial" w:hAnsi="Arial" w:cs="Arial"/>
          <w:sz w:val="17"/>
          <w:szCs w:val="17"/>
        </w:rPr>
        <w:t xml:space="preserve"> </w:t>
      </w:r>
    </w:p>
  </w:endnote>
  <w:endnote w:id="28">
    <w:p w14:paraId="5E110375" w14:textId="5E124EC1" w:rsidR="00D7610B" w:rsidRPr="00FE0572" w:rsidRDefault="00D7610B" w:rsidP="004245E1">
      <w:pPr>
        <w:pStyle w:val="EndnoteText"/>
        <w:rPr>
          <w:rFonts w:ascii="Arial" w:hAnsi="Arial" w:cs="Arial"/>
          <w:sz w:val="17"/>
          <w:szCs w:val="17"/>
        </w:rPr>
      </w:pPr>
      <w:r w:rsidRPr="00FE0572">
        <w:rPr>
          <w:rStyle w:val="EndnoteReference"/>
          <w:rFonts w:ascii="Arial" w:hAnsi="Arial" w:cs="Arial"/>
          <w:sz w:val="17"/>
          <w:szCs w:val="17"/>
        </w:rPr>
        <w:endnoteRef/>
      </w:r>
      <w:r w:rsidRPr="00FE0572">
        <w:rPr>
          <w:rFonts w:ascii="Arial" w:hAnsi="Arial" w:cs="Arial"/>
          <w:sz w:val="17"/>
          <w:szCs w:val="17"/>
        </w:rPr>
        <w:t xml:space="preserve"> </w:t>
      </w:r>
      <w:r>
        <w:rPr>
          <w:rFonts w:ascii="Arial" w:hAnsi="Arial" w:cs="Arial"/>
          <w:sz w:val="17"/>
          <w:szCs w:val="17"/>
        </w:rPr>
        <w:t>I</w:t>
      </w:r>
      <w:r w:rsidRPr="00FE0572">
        <w:rPr>
          <w:rFonts w:ascii="Arial" w:hAnsi="Arial" w:cs="Arial"/>
          <w:sz w:val="17"/>
          <w:szCs w:val="17"/>
        </w:rPr>
        <w:t>bid</w:t>
      </w:r>
      <w:r>
        <w:rPr>
          <w:rFonts w:ascii="Arial" w:hAnsi="Arial" w:cs="Arial"/>
          <w:sz w:val="17"/>
          <w:szCs w:val="17"/>
        </w:rPr>
        <w:t>.</w:t>
      </w:r>
    </w:p>
  </w:endnote>
  <w:endnote w:id="29">
    <w:p w14:paraId="4DBE98D0" w14:textId="0DCF08AF" w:rsidR="00D7610B" w:rsidRPr="00FE0572" w:rsidRDefault="00D7610B" w:rsidP="004245E1">
      <w:pPr>
        <w:pStyle w:val="EndnoteText"/>
        <w:jc w:val="both"/>
        <w:rPr>
          <w:rFonts w:ascii="Arial" w:hAnsi="Arial" w:cs="Arial"/>
          <w:sz w:val="17"/>
          <w:szCs w:val="17"/>
        </w:rPr>
      </w:pPr>
      <w:r w:rsidRPr="00FE0572">
        <w:rPr>
          <w:rStyle w:val="EndnoteReference"/>
          <w:rFonts w:ascii="Arial" w:hAnsi="Arial" w:cs="Arial"/>
          <w:sz w:val="17"/>
          <w:szCs w:val="17"/>
        </w:rPr>
        <w:endnoteRef/>
      </w:r>
      <w:r w:rsidRPr="00FE0572">
        <w:rPr>
          <w:rFonts w:ascii="Arial" w:hAnsi="Arial" w:cs="Arial"/>
          <w:sz w:val="17"/>
          <w:szCs w:val="17"/>
        </w:rPr>
        <w:t xml:space="preserve"> </w:t>
      </w:r>
      <w:r w:rsidRPr="00CE1183">
        <w:rPr>
          <w:rFonts w:ascii="Arial" w:hAnsi="Arial" w:cs="Arial"/>
          <w:sz w:val="17"/>
          <w:szCs w:val="17"/>
        </w:rPr>
        <w:t xml:space="preserve">Wong, op. cit. </w:t>
      </w:r>
    </w:p>
  </w:endnote>
  <w:endnote w:id="30">
    <w:p w14:paraId="23F94053" w14:textId="270F726B" w:rsidR="00D7610B" w:rsidRPr="00FE0572" w:rsidRDefault="00D7610B" w:rsidP="004245E1">
      <w:pPr>
        <w:pStyle w:val="EndnoteText"/>
        <w:jc w:val="both"/>
        <w:rPr>
          <w:rFonts w:ascii="Arial" w:hAnsi="Arial" w:cs="Arial"/>
          <w:sz w:val="17"/>
          <w:szCs w:val="17"/>
        </w:rPr>
      </w:pPr>
      <w:r w:rsidRPr="00FE0572">
        <w:rPr>
          <w:rStyle w:val="EndnoteReference"/>
          <w:rFonts w:ascii="Arial" w:hAnsi="Arial" w:cs="Arial"/>
          <w:sz w:val="17"/>
          <w:szCs w:val="17"/>
        </w:rPr>
        <w:endnoteRef/>
      </w:r>
      <w:r w:rsidRPr="00FE0572">
        <w:rPr>
          <w:rFonts w:ascii="Arial" w:hAnsi="Arial" w:cs="Arial"/>
          <w:sz w:val="17"/>
          <w:szCs w:val="17"/>
        </w:rPr>
        <w:t xml:space="preserve"> </w:t>
      </w:r>
      <w:r>
        <w:rPr>
          <w:rFonts w:ascii="Arial" w:hAnsi="Arial" w:cs="Arial"/>
          <w:sz w:val="17"/>
          <w:szCs w:val="17"/>
        </w:rPr>
        <w:t xml:space="preserve">Stephanie </w:t>
      </w:r>
      <w:r w:rsidRPr="00FE0572">
        <w:rPr>
          <w:rFonts w:ascii="Arial" w:hAnsi="Arial" w:cs="Arial"/>
          <w:sz w:val="17"/>
          <w:szCs w:val="17"/>
        </w:rPr>
        <w:t xml:space="preserve">Luo, </w:t>
      </w:r>
      <w:r>
        <w:rPr>
          <w:rFonts w:ascii="Arial" w:hAnsi="Arial" w:cs="Arial"/>
          <w:sz w:val="17"/>
          <w:szCs w:val="17"/>
        </w:rPr>
        <w:t>“‘Modern Kopi-Boy’,” op. cit.</w:t>
      </w:r>
    </w:p>
  </w:endnote>
  <w:endnote w:id="31">
    <w:p w14:paraId="2C25850C" w14:textId="1B79C149" w:rsidR="00D7610B" w:rsidRPr="00FE0572" w:rsidRDefault="00D7610B" w:rsidP="004245E1">
      <w:pPr>
        <w:pStyle w:val="EndnoteText"/>
        <w:rPr>
          <w:rFonts w:ascii="Arial" w:hAnsi="Arial" w:cs="Arial"/>
          <w:sz w:val="17"/>
          <w:szCs w:val="17"/>
        </w:rPr>
      </w:pPr>
      <w:r w:rsidRPr="00FE0572">
        <w:rPr>
          <w:rStyle w:val="EndnoteReference"/>
          <w:rFonts w:ascii="Arial" w:hAnsi="Arial" w:cs="Arial"/>
          <w:sz w:val="17"/>
          <w:szCs w:val="17"/>
        </w:rPr>
        <w:endnoteRef/>
      </w:r>
      <w:r w:rsidRPr="00FE0572">
        <w:rPr>
          <w:rFonts w:ascii="Arial" w:hAnsi="Arial" w:cs="Arial"/>
          <w:sz w:val="17"/>
          <w:szCs w:val="17"/>
        </w:rPr>
        <w:t xml:space="preserve"> </w:t>
      </w:r>
      <w:r>
        <w:rPr>
          <w:rFonts w:ascii="Arial" w:hAnsi="Arial" w:cs="Arial"/>
          <w:sz w:val="17"/>
          <w:szCs w:val="17"/>
        </w:rPr>
        <w:t>I</w:t>
      </w:r>
      <w:r w:rsidRPr="00FE0572">
        <w:rPr>
          <w:rFonts w:ascii="Arial" w:hAnsi="Arial" w:cs="Arial"/>
          <w:sz w:val="17"/>
          <w:szCs w:val="17"/>
        </w:rPr>
        <w:t>bid</w:t>
      </w:r>
      <w:r>
        <w:rPr>
          <w:rFonts w:ascii="Arial" w:hAnsi="Arial" w:cs="Arial"/>
          <w:sz w:val="17"/>
          <w:szCs w:val="17"/>
        </w:rPr>
        <w:t>.</w:t>
      </w:r>
      <w:r w:rsidRPr="00F26BE8">
        <w:rPr>
          <w:rFonts w:ascii="Arial" w:hAnsi="Arial" w:cs="Arial"/>
          <w:sz w:val="17"/>
          <w:szCs w:val="17"/>
        </w:rPr>
        <w:t xml:space="preserve"> </w:t>
      </w:r>
    </w:p>
  </w:endnote>
  <w:endnote w:id="32">
    <w:p w14:paraId="366DEF7B" w14:textId="2F748F8D" w:rsidR="00D7610B" w:rsidRPr="00FE0572" w:rsidRDefault="00D7610B" w:rsidP="004245E1">
      <w:pPr>
        <w:pStyle w:val="EndnoteText"/>
        <w:rPr>
          <w:rFonts w:ascii="Arial" w:hAnsi="Arial" w:cs="Arial"/>
          <w:sz w:val="17"/>
          <w:szCs w:val="17"/>
        </w:rPr>
      </w:pPr>
      <w:r w:rsidRPr="00FE0572">
        <w:rPr>
          <w:rStyle w:val="EndnoteReference"/>
          <w:rFonts w:ascii="Arial" w:hAnsi="Arial" w:cs="Arial"/>
          <w:sz w:val="17"/>
          <w:szCs w:val="17"/>
        </w:rPr>
        <w:endnoteRef/>
      </w:r>
      <w:r w:rsidRPr="00FE0572">
        <w:rPr>
          <w:rFonts w:ascii="Arial" w:hAnsi="Arial" w:cs="Arial"/>
          <w:sz w:val="17"/>
          <w:szCs w:val="17"/>
        </w:rPr>
        <w:t xml:space="preserve"> </w:t>
      </w:r>
      <w:r>
        <w:rPr>
          <w:rFonts w:ascii="Arial" w:hAnsi="Arial" w:cs="Arial"/>
          <w:sz w:val="17"/>
          <w:szCs w:val="17"/>
        </w:rPr>
        <w:t>I</w:t>
      </w:r>
      <w:r w:rsidRPr="00FE0572">
        <w:rPr>
          <w:rFonts w:ascii="Arial" w:hAnsi="Arial" w:cs="Arial"/>
          <w:sz w:val="17"/>
          <w:szCs w:val="17"/>
        </w:rPr>
        <w:t>bid</w:t>
      </w:r>
      <w:r>
        <w:rPr>
          <w:rFonts w:ascii="Arial" w:hAnsi="Arial" w:cs="Arial"/>
          <w:sz w:val="17"/>
          <w:szCs w:val="17"/>
        </w:rPr>
        <w:t>.</w:t>
      </w:r>
    </w:p>
  </w:endnote>
  <w:endnote w:id="33">
    <w:p w14:paraId="32891E85" w14:textId="7DAD34EE" w:rsidR="00D7610B" w:rsidRPr="00FE0572" w:rsidRDefault="00D7610B" w:rsidP="0062193B">
      <w:pPr>
        <w:pStyle w:val="Footnote"/>
      </w:pPr>
      <w:r w:rsidRPr="00FE0572">
        <w:rPr>
          <w:rStyle w:val="EndnoteReference"/>
        </w:rPr>
        <w:endnoteRef/>
      </w:r>
      <w:r w:rsidRPr="00FE0572">
        <w:t xml:space="preserve"> </w:t>
      </w:r>
      <w:r w:rsidRPr="00CE1183">
        <w:t xml:space="preserve">Wong, op. cit. </w:t>
      </w:r>
      <w:r>
        <w:t xml:space="preserve"> </w:t>
      </w:r>
    </w:p>
  </w:endnote>
  <w:endnote w:id="34">
    <w:p w14:paraId="5164B02E" w14:textId="648DFFCC" w:rsidR="00D7610B" w:rsidRPr="00FE0572" w:rsidRDefault="00D7610B" w:rsidP="0062193B">
      <w:pPr>
        <w:pStyle w:val="Footnote"/>
      </w:pPr>
      <w:r w:rsidRPr="00FE0572">
        <w:rPr>
          <w:rStyle w:val="EndnoteReference"/>
        </w:rPr>
        <w:endnoteRef/>
      </w:r>
      <w:r w:rsidRPr="00FE0572">
        <w:t xml:space="preserve"> </w:t>
      </w:r>
      <w:r>
        <w:t xml:space="preserve">Stephanie </w:t>
      </w:r>
      <w:r w:rsidRPr="00FE0572">
        <w:t>Luo, “</w:t>
      </w:r>
      <w:proofErr w:type="spellStart"/>
      <w:r w:rsidRPr="00FE0572">
        <w:t>Catalist</w:t>
      </w:r>
      <w:proofErr w:type="spellEnd"/>
      <w:r w:rsidRPr="00FE0572">
        <w:t>-</w:t>
      </w:r>
      <w:r>
        <w:t>B</w:t>
      </w:r>
      <w:r w:rsidRPr="00FE0572">
        <w:t xml:space="preserve">ound </w:t>
      </w:r>
      <w:proofErr w:type="spellStart"/>
      <w:r w:rsidRPr="00FE0572">
        <w:t>Kimly</w:t>
      </w:r>
      <w:proofErr w:type="spellEnd"/>
      <w:r>
        <w:t>,” op. cit.</w:t>
      </w:r>
    </w:p>
  </w:endnote>
  <w:endnote w:id="35">
    <w:p w14:paraId="1EC7A2B7" w14:textId="464C13DD" w:rsidR="00D7610B" w:rsidRPr="00FE0572" w:rsidRDefault="00D7610B" w:rsidP="00486FFE">
      <w:pPr>
        <w:pStyle w:val="EndnoteText"/>
        <w:jc w:val="both"/>
        <w:rPr>
          <w:rFonts w:ascii="Arial" w:hAnsi="Arial" w:cs="Arial"/>
          <w:sz w:val="17"/>
          <w:szCs w:val="17"/>
        </w:rPr>
      </w:pPr>
      <w:r w:rsidRPr="00FE0572">
        <w:rPr>
          <w:rStyle w:val="EndnoteReference"/>
          <w:rFonts w:ascii="Arial" w:hAnsi="Arial" w:cs="Arial"/>
          <w:sz w:val="17"/>
          <w:szCs w:val="17"/>
        </w:rPr>
        <w:endnoteRef/>
      </w:r>
      <w:r w:rsidRPr="00FE0572">
        <w:rPr>
          <w:rFonts w:ascii="Arial" w:hAnsi="Arial" w:cs="Arial"/>
          <w:sz w:val="17"/>
          <w:szCs w:val="17"/>
        </w:rPr>
        <w:t xml:space="preserve"> My Paper, “HDB Towns </w:t>
      </w:r>
      <w:r>
        <w:rPr>
          <w:rFonts w:ascii="Arial" w:hAnsi="Arial" w:cs="Arial"/>
          <w:sz w:val="17"/>
          <w:szCs w:val="17"/>
        </w:rPr>
        <w:t>t</w:t>
      </w:r>
      <w:r w:rsidRPr="00FE0572">
        <w:rPr>
          <w:rFonts w:ascii="Arial" w:hAnsi="Arial" w:cs="Arial"/>
          <w:sz w:val="17"/>
          <w:szCs w:val="17"/>
        </w:rPr>
        <w:t xml:space="preserve">o Get 41 Coffee Shops by 2017,” </w:t>
      </w:r>
      <w:r>
        <w:rPr>
          <w:rFonts w:ascii="Arial" w:hAnsi="Arial" w:cs="Arial"/>
          <w:sz w:val="17"/>
          <w:szCs w:val="17"/>
        </w:rPr>
        <w:t xml:space="preserve">Asia One, </w:t>
      </w:r>
      <w:r w:rsidRPr="00FE0572">
        <w:rPr>
          <w:rFonts w:ascii="Arial" w:hAnsi="Arial" w:cs="Arial"/>
          <w:sz w:val="17"/>
          <w:szCs w:val="17"/>
        </w:rPr>
        <w:t>September 17, 2015, accessed July 23, 2018, www.asiaone.com/singapore/hdb-towns-get-41-coffee-shops-2017.</w:t>
      </w:r>
    </w:p>
  </w:endnote>
  <w:endnote w:id="36">
    <w:p w14:paraId="6BB9FD53" w14:textId="6FA2E14B" w:rsidR="00D7610B" w:rsidRPr="00FE0572" w:rsidRDefault="00D7610B">
      <w:pPr>
        <w:pStyle w:val="EndnoteText"/>
        <w:rPr>
          <w:rFonts w:ascii="Arial" w:hAnsi="Arial" w:cs="Arial"/>
          <w:sz w:val="17"/>
          <w:szCs w:val="17"/>
        </w:rPr>
      </w:pPr>
      <w:r w:rsidRPr="00FE0572">
        <w:rPr>
          <w:rStyle w:val="EndnoteReference"/>
          <w:rFonts w:ascii="Arial" w:hAnsi="Arial" w:cs="Arial"/>
          <w:sz w:val="17"/>
          <w:szCs w:val="17"/>
        </w:rPr>
        <w:endnoteRef/>
      </w:r>
      <w:r w:rsidRPr="00FE0572">
        <w:rPr>
          <w:rFonts w:ascii="Arial" w:hAnsi="Arial" w:cs="Arial"/>
          <w:sz w:val="17"/>
          <w:szCs w:val="17"/>
        </w:rPr>
        <w:t xml:space="preserve"> “About </w:t>
      </w:r>
      <w:proofErr w:type="gramStart"/>
      <w:r w:rsidRPr="00FE0572">
        <w:rPr>
          <w:rFonts w:ascii="Arial" w:hAnsi="Arial" w:cs="Arial"/>
          <w:sz w:val="17"/>
          <w:szCs w:val="17"/>
        </w:rPr>
        <w:t>Us</w:t>
      </w:r>
      <w:proofErr w:type="gramEnd"/>
      <w:r w:rsidRPr="00FE0572">
        <w:rPr>
          <w:rFonts w:ascii="Arial" w:hAnsi="Arial" w:cs="Arial"/>
          <w:sz w:val="17"/>
          <w:szCs w:val="17"/>
        </w:rPr>
        <w:t>,” Housing &amp; Development Board, accessed July 23, 2018, https://www.hdb.gov.sg/cs/infoweb/about-us.</w:t>
      </w:r>
    </w:p>
  </w:endnote>
  <w:endnote w:id="37">
    <w:p w14:paraId="593857DB" w14:textId="76234BBD" w:rsidR="00D7610B" w:rsidRPr="00E136FB" w:rsidRDefault="00D7610B" w:rsidP="003300EE">
      <w:pPr>
        <w:pStyle w:val="EndnoteText"/>
        <w:jc w:val="both"/>
        <w:rPr>
          <w:rFonts w:ascii="Arial" w:hAnsi="Arial" w:cs="Arial"/>
          <w:sz w:val="17"/>
          <w:szCs w:val="17"/>
        </w:rPr>
      </w:pPr>
      <w:r w:rsidRPr="00FE0572">
        <w:rPr>
          <w:rStyle w:val="EndnoteReference"/>
          <w:rFonts w:ascii="Arial" w:hAnsi="Arial" w:cs="Arial"/>
          <w:sz w:val="17"/>
          <w:szCs w:val="17"/>
        </w:rPr>
        <w:endnoteRef/>
      </w:r>
      <w:r w:rsidRPr="00FE0572">
        <w:rPr>
          <w:rFonts w:ascii="Arial" w:hAnsi="Arial" w:cs="Arial"/>
          <w:sz w:val="17"/>
          <w:szCs w:val="17"/>
        </w:rPr>
        <w:t xml:space="preserve"> </w:t>
      </w:r>
      <w:proofErr w:type="spellStart"/>
      <w:r w:rsidRPr="00486FFE">
        <w:rPr>
          <w:rFonts w:ascii="Arial" w:hAnsi="Arial" w:cs="Arial"/>
          <w:sz w:val="17"/>
          <w:szCs w:val="17"/>
        </w:rPr>
        <w:t>Kimly</w:t>
      </w:r>
      <w:proofErr w:type="spellEnd"/>
      <w:r w:rsidRPr="00486FFE">
        <w:rPr>
          <w:rFonts w:ascii="Arial" w:hAnsi="Arial" w:cs="Arial"/>
          <w:sz w:val="17"/>
          <w:szCs w:val="17"/>
        </w:rPr>
        <w:t xml:space="preserve"> Limited, </w:t>
      </w:r>
      <w:r w:rsidRPr="0044173C">
        <w:rPr>
          <w:rFonts w:ascii="Arial" w:hAnsi="Arial" w:cs="Arial"/>
          <w:i/>
          <w:sz w:val="17"/>
          <w:szCs w:val="17"/>
        </w:rPr>
        <w:t>Invitation In</w:t>
      </w:r>
      <w:r w:rsidRPr="00BF56EC">
        <w:rPr>
          <w:rFonts w:ascii="Arial" w:hAnsi="Arial" w:cs="Arial"/>
          <w:i/>
          <w:sz w:val="17"/>
          <w:szCs w:val="17"/>
        </w:rPr>
        <w:t xml:space="preserve"> Respect </w:t>
      </w:r>
      <w:r>
        <w:rPr>
          <w:rFonts w:ascii="Arial" w:hAnsi="Arial" w:cs="Arial"/>
          <w:i/>
          <w:sz w:val="17"/>
          <w:szCs w:val="17"/>
        </w:rPr>
        <w:t>o</w:t>
      </w:r>
      <w:r w:rsidRPr="00BF56EC">
        <w:rPr>
          <w:rFonts w:ascii="Arial" w:hAnsi="Arial" w:cs="Arial"/>
          <w:i/>
          <w:sz w:val="17"/>
          <w:szCs w:val="17"/>
        </w:rPr>
        <w:t xml:space="preserve">f 173,800,000 New Shares In </w:t>
      </w:r>
      <w:proofErr w:type="spellStart"/>
      <w:r w:rsidRPr="00BF56EC">
        <w:rPr>
          <w:rFonts w:ascii="Arial" w:hAnsi="Arial" w:cs="Arial"/>
          <w:i/>
          <w:sz w:val="17"/>
          <w:szCs w:val="17"/>
        </w:rPr>
        <w:t>Kimly</w:t>
      </w:r>
      <w:proofErr w:type="spellEnd"/>
      <w:r w:rsidRPr="00BF56EC">
        <w:rPr>
          <w:rFonts w:ascii="Arial" w:hAnsi="Arial" w:cs="Arial"/>
          <w:i/>
          <w:sz w:val="17"/>
          <w:szCs w:val="17"/>
        </w:rPr>
        <w:t xml:space="preserve"> Limited: Product Highlights Sheet</w:t>
      </w:r>
      <w:r w:rsidRPr="00BF56EC">
        <w:rPr>
          <w:rFonts w:ascii="Arial" w:hAnsi="Arial" w:cs="Arial"/>
          <w:sz w:val="17"/>
          <w:szCs w:val="17"/>
        </w:rPr>
        <w:t xml:space="preserve">, 6, March 8, 2017, accessed May 29, 2017, </w:t>
      </w:r>
      <w:r w:rsidRPr="00E136FB">
        <w:rPr>
          <w:rFonts w:ascii="Arial" w:hAnsi="Arial" w:cs="Arial"/>
          <w:sz w:val="17"/>
          <w:szCs w:val="17"/>
        </w:rPr>
        <w:t>http://infopub.sgx.com/FileOpen/Kimly_Limited_-_Product_Highlights_Sheet.ashx?App=IPO&amp;FileID=5361.</w:t>
      </w:r>
    </w:p>
  </w:endnote>
  <w:endnote w:id="38">
    <w:p w14:paraId="618F4C64" w14:textId="6E912769" w:rsidR="00D7610B" w:rsidRPr="00BF56EC" w:rsidRDefault="00D7610B">
      <w:pPr>
        <w:pStyle w:val="EndnoteText"/>
        <w:rPr>
          <w:rFonts w:ascii="Arial" w:hAnsi="Arial" w:cs="Arial"/>
          <w:sz w:val="17"/>
          <w:szCs w:val="17"/>
        </w:rPr>
      </w:pPr>
      <w:r w:rsidRPr="00BF56EC">
        <w:rPr>
          <w:rStyle w:val="EndnoteReference"/>
          <w:rFonts w:ascii="Arial" w:hAnsi="Arial" w:cs="Arial"/>
          <w:sz w:val="17"/>
          <w:szCs w:val="17"/>
        </w:rPr>
        <w:endnoteRef/>
      </w:r>
      <w:r w:rsidRPr="00BF56EC">
        <w:rPr>
          <w:rFonts w:ascii="Arial" w:hAnsi="Arial" w:cs="Arial"/>
          <w:sz w:val="17"/>
          <w:szCs w:val="17"/>
        </w:rPr>
        <w:t xml:space="preserve"> Jean Lim, “Food Courts,” National Library Board, Singapore </w:t>
      </w:r>
      <w:proofErr w:type="spellStart"/>
      <w:r w:rsidRPr="00BF56EC">
        <w:rPr>
          <w:rFonts w:ascii="Arial" w:hAnsi="Arial" w:cs="Arial"/>
          <w:sz w:val="17"/>
          <w:szCs w:val="17"/>
        </w:rPr>
        <w:t>Infopedia</w:t>
      </w:r>
      <w:proofErr w:type="spellEnd"/>
      <w:r w:rsidRPr="00BF56EC">
        <w:rPr>
          <w:rFonts w:ascii="Arial" w:hAnsi="Arial" w:cs="Arial"/>
          <w:sz w:val="17"/>
          <w:szCs w:val="17"/>
        </w:rPr>
        <w:t>, accessed July 23, 2018, http://eresources.nlb.gov.sg/infopedia/articles/SIP_1636_2010-01-31.html.</w:t>
      </w:r>
    </w:p>
  </w:endnote>
  <w:endnote w:id="39">
    <w:p w14:paraId="51727E61" w14:textId="2B627392" w:rsidR="00D7610B" w:rsidRPr="00BF56EC" w:rsidRDefault="00D7610B" w:rsidP="00FE0572">
      <w:pPr>
        <w:pStyle w:val="EndnoteText"/>
        <w:jc w:val="both"/>
        <w:rPr>
          <w:rFonts w:ascii="Arial" w:hAnsi="Arial" w:cs="Arial"/>
          <w:sz w:val="17"/>
          <w:szCs w:val="17"/>
        </w:rPr>
      </w:pPr>
      <w:r w:rsidRPr="00BF56EC">
        <w:rPr>
          <w:rStyle w:val="EndnoteReference"/>
          <w:rFonts w:ascii="Arial" w:hAnsi="Arial" w:cs="Arial"/>
          <w:sz w:val="17"/>
          <w:szCs w:val="17"/>
        </w:rPr>
        <w:endnoteRef/>
      </w:r>
      <w:r w:rsidRPr="00BF56EC">
        <w:rPr>
          <w:rFonts w:ascii="Arial" w:hAnsi="Arial" w:cs="Arial"/>
          <w:sz w:val="17"/>
          <w:szCs w:val="17"/>
        </w:rPr>
        <w:t xml:space="preserve"> </w:t>
      </w:r>
      <w:proofErr w:type="spellStart"/>
      <w:r w:rsidRPr="00486FFE">
        <w:rPr>
          <w:rFonts w:ascii="Arial" w:hAnsi="Arial" w:cs="Arial"/>
          <w:sz w:val="17"/>
          <w:szCs w:val="17"/>
        </w:rPr>
        <w:t>Kimly</w:t>
      </w:r>
      <w:proofErr w:type="spellEnd"/>
      <w:r w:rsidRPr="00486FFE">
        <w:rPr>
          <w:rFonts w:ascii="Arial" w:hAnsi="Arial" w:cs="Arial"/>
          <w:sz w:val="17"/>
          <w:szCs w:val="17"/>
        </w:rPr>
        <w:t xml:space="preserve"> Limited,</w:t>
      </w:r>
      <w:r w:rsidRPr="0044173C">
        <w:rPr>
          <w:rFonts w:ascii="Arial" w:hAnsi="Arial" w:cs="Arial"/>
          <w:sz w:val="17"/>
          <w:szCs w:val="17"/>
        </w:rPr>
        <w:t xml:space="preserve"> </w:t>
      </w:r>
      <w:r w:rsidRPr="00BF56EC">
        <w:rPr>
          <w:rFonts w:ascii="Arial" w:hAnsi="Arial" w:cs="Arial"/>
          <w:i/>
          <w:sz w:val="17"/>
          <w:szCs w:val="17"/>
        </w:rPr>
        <w:t xml:space="preserve">Invitation In Respect </w:t>
      </w:r>
      <w:r>
        <w:rPr>
          <w:rFonts w:ascii="Arial" w:hAnsi="Arial" w:cs="Arial"/>
          <w:i/>
          <w:sz w:val="17"/>
          <w:szCs w:val="17"/>
        </w:rPr>
        <w:t>o</w:t>
      </w:r>
      <w:r w:rsidRPr="00BF56EC">
        <w:rPr>
          <w:rFonts w:ascii="Arial" w:hAnsi="Arial" w:cs="Arial"/>
          <w:i/>
          <w:sz w:val="17"/>
          <w:szCs w:val="17"/>
        </w:rPr>
        <w:t xml:space="preserve">f 173,800,000 New Shares </w:t>
      </w:r>
      <w:r w:rsidR="00E06292">
        <w:rPr>
          <w:rFonts w:ascii="Arial" w:hAnsi="Arial" w:cs="Arial"/>
          <w:i/>
          <w:sz w:val="17"/>
          <w:szCs w:val="17"/>
        </w:rPr>
        <w:t>i</w:t>
      </w:r>
      <w:r w:rsidRPr="00BF56EC">
        <w:rPr>
          <w:rFonts w:ascii="Arial" w:hAnsi="Arial" w:cs="Arial"/>
          <w:i/>
          <w:sz w:val="17"/>
          <w:szCs w:val="17"/>
        </w:rPr>
        <w:t xml:space="preserve">n </w:t>
      </w:r>
      <w:proofErr w:type="spellStart"/>
      <w:r w:rsidRPr="00BF56EC">
        <w:rPr>
          <w:rFonts w:ascii="Arial" w:hAnsi="Arial" w:cs="Arial"/>
          <w:i/>
          <w:sz w:val="17"/>
          <w:szCs w:val="17"/>
        </w:rPr>
        <w:t>Kimly</w:t>
      </w:r>
      <w:proofErr w:type="spellEnd"/>
      <w:r w:rsidRPr="00BF56EC">
        <w:rPr>
          <w:rFonts w:ascii="Arial" w:hAnsi="Arial" w:cs="Arial"/>
          <w:i/>
          <w:sz w:val="17"/>
          <w:szCs w:val="17"/>
        </w:rPr>
        <w:t xml:space="preserve"> Limited: Offer Document</w:t>
      </w:r>
      <w:r w:rsidRPr="00BF56EC">
        <w:rPr>
          <w:rFonts w:ascii="Arial" w:hAnsi="Arial" w:cs="Arial"/>
          <w:sz w:val="17"/>
          <w:szCs w:val="17"/>
        </w:rPr>
        <w:t xml:space="preserve">, </w:t>
      </w:r>
      <w:r w:rsidRPr="00447AC5">
        <w:rPr>
          <w:rFonts w:ascii="Arial" w:hAnsi="Arial" w:cs="Arial"/>
          <w:sz w:val="17"/>
          <w:szCs w:val="17"/>
        </w:rPr>
        <w:t>op. cit., 34</w:t>
      </w:r>
      <w:r>
        <w:rPr>
          <w:rFonts w:ascii="Arial" w:hAnsi="Arial" w:cs="Arial"/>
          <w:sz w:val="17"/>
          <w:szCs w:val="17"/>
        </w:rPr>
        <w:t>.</w:t>
      </w:r>
    </w:p>
  </w:endnote>
  <w:endnote w:id="40">
    <w:p w14:paraId="30673837" w14:textId="02B592DB" w:rsidR="00D7610B" w:rsidRPr="00E136FB" w:rsidRDefault="00D7610B" w:rsidP="004245E1">
      <w:pPr>
        <w:pStyle w:val="EndnoteText"/>
        <w:jc w:val="both"/>
        <w:rPr>
          <w:rFonts w:ascii="Arial" w:hAnsi="Arial" w:cs="Arial"/>
          <w:sz w:val="17"/>
          <w:szCs w:val="17"/>
        </w:rPr>
      </w:pPr>
      <w:r w:rsidRPr="00BF56EC">
        <w:rPr>
          <w:rStyle w:val="EndnoteReference"/>
          <w:rFonts w:ascii="Arial" w:hAnsi="Arial" w:cs="Arial"/>
          <w:sz w:val="17"/>
          <w:szCs w:val="17"/>
        </w:rPr>
        <w:endnoteRef/>
      </w:r>
      <w:r w:rsidRPr="00BF56EC">
        <w:rPr>
          <w:rFonts w:ascii="Arial" w:hAnsi="Arial" w:cs="Arial"/>
          <w:sz w:val="17"/>
          <w:szCs w:val="17"/>
        </w:rPr>
        <w:t xml:space="preserve"> </w:t>
      </w:r>
      <w:proofErr w:type="gramStart"/>
      <w:r>
        <w:rPr>
          <w:rFonts w:ascii="Arial" w:hAnsi="Arial" w:cs="Arial"/>
          <w:sz w:val="17"/>
          <w:szCs w:val="17"/>
        </w:rPr>
        <w:t>Ibid</w:t>
      </w:r>
      <w:r w:rsidRPr="00486FFE">
        <w:rPr>
          <w:rFonts w:ascii="Arial" w:hAnsi="Arial" w:cs="Arial"/>
          <w:sz w:val="17"/>
          <w:szCs w:val="17"/>
        </w:rPr>
        <w:t>.,</w:t>
      </w:r>
      <w:proofErr w:type="gramEnd"/>
      <w:r w:rsidRPr="00486FFE">
        <w:rPr>
          <w:rFonts w:ascii="Arial" w:hAnsi="Arial" w:cs="Arial"/>
          <w:sz w:val="17"/>
          <w:szCs w:val="17"/>
        </w:rPr>
        <w:t xml:space="preserve"> 19</w:t>
      </w:r>
      <w:r w:rsidRPr="0044173C">
        <w:rPr>
          <w:rFonts w:ascii="Arial" w:hAnsi="Arial" w:cs="Arial"/>
          <w:sz w:val="17"/>
          <w:szCs w:val="17"/>
        </w:rPr>
        <w:t>.</w:t>
      </w:r>
    </w:p>
  </w:endnote>
  <w:endnote w:id="41">
    <w:p w14:paraId="02E45BD1" w14:textId="372B92C7" w:rsidR="00D7610B" w:rsidRPr="00E136FB" w:rsidRDefault="00D7610B" w:rsidP="004245E1">
      <w:pPr>
        <w:pStyle w:val="EndnoteText"/>
        <w:rPr>
          <w:rFonts w:ascii="Arial" w:hAnsi="Arial" w:cs="Arial"/>
          <w:sz w:val="17"/>
          <w:szCs w:val="17"/>
        </w:rPr>
      </w:pPr>
      <w:r w:rsidRPr="00BF56EC">
        <w:rPr>
          <w:rStyle w:val="EndnoteReference"/>
          <w:rFonts w:ascii="Arial" w:hAnsi="Arial" w:cs="Arial"/>
          <w:sz w:val="17"/>
          <w:szCs w:val="17"/>
        </w:rPr>
        <w:endnoteRef/>
      </w:r>
      <w:r w:rsidRPr="00BF56EC">
        <w:rPr>
          <w:rFonts w:ascii="Arial" w:hAnsi="Arial" w:cs="Arial"/>
          <w:sz w:val="17"/>
          <w:szCs w:val="17"/>
        </w:rPr>
        <w:t xml:space="preserve"> </w:t>
      </w:r>
      <w:r w:rsidRPr="00486FFE">
        <w:rPr>
          <w:rFonts w:ascii="Arial" w:hAnsi="Arial" w:cs="Arial"/>
          <w:sz w:val="17"/>
          <w:szCs w:val="17"/>
        </w:rPr>
        <w:t>Ibid.</w:t>
      </w:r>
      <w:r w:rsidRPr="0044173C">
        <w:t xml:space="preserve"> </w:t>
      </w:r>
    </w:p>
  </w:endnote>
  <w:endnote w:id="42">
    <w:p w14:paraId="0DA31F7F" w14:textId="5B5590A4" w:rsidR="00D7610B" w:rsidRPr="00E136FB" w:rsidRDefault="00D7610B" w:rsidP="004245E1">
      <w:pPr>
        <w:pStyle w:val="EndnoteText"/>
        <w:rPr>
          <w:rFonts w:ascii="Arial" w:hAnsi="Arial" w:cs="Arial"/>
          <w:sz w:val="17"/>
          <w:szCs w:val="17"/>
        </w:rPr>
      </w:pPr>
      <w:r w:rsidRPr="00BF56EC">
        <w:rPr>
          <w:rStyle w:val="EndnoteReference"/>
          <w:rFonts w:ascii="Arial" w:hAnsi="Arial" w:cs="Arial"/>
          <w:sz w:val="17"/>
          <w:szCs w:val="17"/>
        </w:rPr>
        <w:endnoteRef/>
      </w:r>
      <w:r w:rsidRPr="00BF56EC">
        <w:rPr>
          <w:rFonts w:ascii="Arial" w:hAnsi="Arial" w:cs="Arial"/>
          <w:sz w:val="17"/>
          <w:szCs w:val="17"/>
        </w:rPr>
        <w:t xml:space="preserve"> </w:t>
      </w:r>
      <w:r w:rsidRPr="00486FFE">
        <w:rPr>
          <w:rFonts w:ascii="Arial" w:hAnsi="Arial" w:cs="Arial"/>
          <w:sz w:val="17"/>
          <w:szCs w:val="17"/>
        </w:rPr>
        <w:t>Ibid.</w:t>
      </w:r>
      <w:r w:rsidRPr="0044173C">
        <w:rPr>
          <w:rFonts w:ascii="Arial" w:hAnsi="Arial" w:cs="Arial"/>
          <w:sz w:val="17"/>
          <w:szCs w:val="17"/>
        </w:rPr>
        <w:t xml:space="preserve"> </w:t>
      </w:r>
    </w:p>
  </w:endnote>
  <w:endnote w:id="43">
    <w:p w14:paraId="45FBF1F4" w14:textId="5BDADE7F" w:rsidR="00D7610B" w:rsidRPr="00FE0572" w:rsidRDefault="00D7610B" w:rsidP="004245E1">
      <w:pPr>
        <w:pStyle w:val="EndnoteText"/>
        <w:rPr>
          <w:rFonts w:ascii="Arial" w:hAnsi="Arial" w:cs="Arial"/>
          <w:sz w:val="17"/>
          <w:szCs w:val="17"/>
        </w:rPr>
      </w:pPr>
      <w:r w:rsidRPr="00486FFE">
        <w:rPr>
          <w:rStyle w:val="EndnoteReference"/>
          <w:rFonts w:ascii="Arial" w:hAnsi="Arial" w:cs="Arial"/>
          <w:sz w:val="17"/>
          <w:szCs w:val="17"/>
        </w:rPr>
        <w:endnoteRef/>
      </w:r>
      <w:r w:rsidRPr="00486FFE">
        <w:rPr>
          <w:rFonts w:ascii="Arial" w:hAnsi="Arial" w:cs="Arial"/>
          <w:sz w:val="17"/>
          <w:szCs w:val="17"/>
        </w:rPr>
        <w:t xml:space="preserve"> Ibid.</w:t>
      </w:r>
    </w:p>
  </w:endnote>
  <w:endnote w:id="44">
    <w:p w14:paraId="6D7DEB90" w14:textId="15E956B9" w:rsidR="00D7610B" w:rsidRPr="00FE0572" w:rsidRDefault="00D7610B" w:rsidP="00486FFE">
      <w:pPr>
        <w:pStyle w:val="EndnoteText"/>
        <w:jc w:val="both"/>
        <w:rPr>
          <w:rFonts w:ascii="Arial" w:hAnsi="Arial" w:cs="Arial"/>
          <w:sz w:val="17"/>
          <w:szCs w:val="17"/>
        </w:rPr>
      </w:pPr>
      <w:r w:rsidRPr="00FE0572">
        <w:rPr>
          <w:rStyle w:val="EndnoteReference"/>
          <w:rFonts w:ascii="Arial" w:hAnsi="Arial" w:cs="Arial"/>
          <w:sz w:val="17"/>
          <w:szCs w:val="17"/>
        </w:rPr>
        <w:endnoteRef/>
      </w:r>
      <w:r w:rsidRPr="00FE0572">
        <w:rPr>
          <w:rFonts w:ascii="Arial" w:hAnsi="Arial" w:cs="Arial"/>
          <w:sz w:val="17"/>
          <w:szCs w:val="17"/>
        </w:rPr>
        <w:t xml:space="preserve"> Stephen A. Ross, Randolph W. </w:t>
      </w:r>
      <w:proofErr w:type="spellStart"/>
      <w:r w:rsidRPr="00FE0572">
        <w:rPr>
          <w:rFonts w:ascii="Arial" w:hAnsi="Arial" w:cs="Arial"/>
          <w:sz w:val="17"/>
          <w:szCs w:val="17"/>
        </w:rPr>
        <w:t>Westerfield</w:t>
      </w:r>
      <w:proofErr w:type="spellEnd"/>
      <w:r w:rsidRPr="00FE0572">
        <w:rPr>
          <w:rFonts w:ascii="Arial" w:hAnsi="Arial" w:cs="Arial"/>
          <w:sz w:val="17"/>
          <w:szCs w:val="17"/>
        </w:rPr>
        <w:t xml:space="preserve">, Jeffrey Jaffe, Joseph Lim, Ruth Tan, and Helen Wong, </w:t>
      </w:r>
      <w:r w:rsidRPr="0062193B">
        <w:rPr>
          <w:rFonts w:ascii="Arial" w:hAnsi="Arial" w:cs="Arial"/>
          <w:i/>
          <w:sz w:val="17"/>
          <w:szCs w:val="17"/>
        </w:rPr>
        <w:t>Corporate Finance</w:t>
      </w:r>
      <w:r w:rsidRPr="00FE0572">
        <w:rPr>
          <w:rFonts w:ascii="Arial" w:hAnsi="Arial" w:cs="Arial"/>
          <w:sz w:val="17"/>
          <w:szCs w:val="17"/>
        </w:rPr>
        <w:t>, Asia</w:t>
      </w:r>
      <w:r>
        <w:rPr>
          <w:rFonts w:ascii="Arial" w:hAnsi="Arial" w:cs="Arial"/>
          <w:sz w:val="17"/>
          <w:szCs w:val="17"/>
        </w:rPr>
        <w:t>n</w:t>
      </w:r>
      <w:r w:rsidRPr="00FE0572">
        <w:rPr>
          <w:rFonts w:ascii="Arial" w:hAnsi="Arial" w:cs="Arial"/>
          <w:sz w:val="17"/>
          <w:szCs w:val="17"/>
        </w:rPr>
        <w:t xml:space="preserve"> Global ed. (Singapore: McGraw Hill, 2015), 296–297.</w:t>
      </w:r>
    </w:p>
  </w:endnote>
  <w:endnote w:id="45">
    <w:p w14:paraId="12C2EFEC" w14:textId="5F66EC7B" w:rsidR="00D7610B" w:rsidRPr="00FE0572" w:rsidRDefault="00D7610B" w:rsidP="004245E1">
      <w:pPr>
        <w:pStyle w:val="EndnoteText"/>
        <w:rPr>
          <w:rFonts w:ascii="Arial" w:hAnsi="Arial" w:cs="Arial"/>
          <w:sz w:val="17"/>
          <w:szCs w:val="17"/>
        </w:rPr>
      </w:pPr>
      <w:r w:rsidRPr="00FE0572">
        <w:rPr>
          <w:rStyle w:val="EndnoteReference"/>
          <w:rFonts w:ascii="Arial" w:hAnsi="Arial" w:cs="Arial"/>
          <w:sz w:val="17"/>
          <w:szCs w:val="17"/>
        </w:rPr>
        <w:endnoteRef/>
      </w:r>
      <w:r w:rsidRPr="00FE0572">
        <w:rPr>
          <w:rFonts w:ascii="Arial" w:hAnsi="Arial" w:cs="Arial"/>
          <w:sz w:val="17"/>
          <w:szCs w:val="17"/>
        </w:rPr>
        <w:t xml:space="preserve"> </w:t>
      </w:r>
      <w:proofErr w:type="gramStart"/>
      <w:r>
        <w:rPr>
          <w:rFonts w:ascii="Arial" w:hAnsi="Arial" w:cs="Arial"/>
          <w:sz w:val="17"/>
          <w:szCs w:val="17"/>
        </w:rPr>
        <w:t>Ibid.</w:t>
      </w:r>
      <w:r w:rsidRPr="00FE0572">
        <w:rPr>
          <w:rFonts w:ascii="Arial" w:hAnsi="Arial" w:cs="Arial"/>
          <w:sz w:val="17"/>
          <w:szCs w:val="17"/>
        </w:rPr>
        <w:t>,</w:t>
      </w:r>
      <w:proofErr w:type="gramEnd"/>
      <w:r w:rsidRPr="00FE0572">
        <w:rPr>
          <w:rFonts w:ascii="Arial" w:hAnsi="Arial" w:cs="Arial"/>
          <w:sz w:val="17"/>
          <w:szCs w:val="17"/>
        </w:rPr>
        <w:t xml:space="preserve"> 277–291.</w:t>
      </w:r>
    </w:p>
  </w:endnote>
  <w:endnote w:id="46">
    <w:p w14:paraId="5B7AE6E8" w14:textId="627844BB" w:rsidR="00D7610B" w:rsidRPr="00FE0572" w:rsidRDefault="00D7610B" w:rsidP="0054427B">
      <w:pPr>
        <w:pStyle w:val="Footnote"/>
      </w:pPr>
      <w:r w:rsidRPr="00FE0572">
        <w:rPr>
          <w:rStyle w:val="EndnoteReference"/>
        </w:rPr>
        <w:endnoteRef/>
      </w:r>
      <w:r w:rsidRPr="00FE0572">
        <w:t xml:space="preserve"> Luo, “</w:t>
      </w:r>
      <w:proofErr w:type="spellStart"/>
      <w:r w:rsidRPr="00FE0572">
        <w:t>Catalist</w:t>
      </w:r>
      <w:proofErr w:type="spellEnd"/>
      <w:r w:rsidRPr="00FE0572">
        <w:t>-</w:t>
      </w:r>
      <w:r>
        <w:t>B</w:t>
      </w:r>
      <w:r w:rsidRPr="00FE0572">
        <w:t xml:space="preserve">ound </w:t>
      </w:r>
      <w:proofErr w:type="spellStart"/>
      <w:r w:rsidRPr="00FE0572">
        <w:t>Kimly</w:t>
      </w:r>
      <w:proofErr w:type="spellEnd"/>
      <w:r>
        <w:t>,” op. cit.</w:t>
      </w:r>
      <w:r w:rsidRPr="00FE0572">
        <w:t xml:space="preserve"> </w:t>
      </w:r>
    </w:p>
  </w:endnote>
  <w:endnote w:id="47">
    <w:p w14:paraId="14F938A3" w14:textId="732811CF" w:rsidR="00D7610B" w:rsidRPr="00FE0572" w:rsidRDefault="00D7610B" w:rsidP="004245E1">
      <w:pPr>
        <w:pStyle w:val="EndnoteText"/>
        <w:rPr>
          <w:rFonts w:ascii="Arial" w:hAnsi="Arial" w:cs="Arial"/>
          <w:sz w:val="17"/>
          <w:szCs w:val="17"/>
        </w:rPr>
      </w:pPr>
      <w:r w:rsidRPr="00FE0572">
        <w:rPr>
          <w:rStyle w:val="EndnoteReference"/>
          <w:rFonts w:ascii="Arial" w:hAnsi="Arial" w:cs="Arial"/>
          <w:sz w:val="17"/>
          <w:szCs w:val="17"/>
        </w:rPr>
        <w:endnoteRef/>
      </w:r>
      <w:r w:rsidRPr="00FE0572">
        <w:rPr>
          <w:rFonts w:ascii="Arial" w:hAnsi="Arial" w:cs="Arial"/>
          <w:sz w:val="17"/>
          <w:szCs w:val="17"/>
        </w:rPr>
        <w:t xml:space="preserve"> Ross, </w:t>
      </w:r>
      <w:proofErr w:type="spellStart"/>
      <w:r w:rsidRPr="00FE0572">
        <w:rPr>
          <w:rFonts w:ascii="Arial" w:hAnsi="Arial" w:cs="Arial"/>
          <w:sz w:val="17"/>
          <w:szCs w:val="17"/>
        </w:rPr>
        <w:t>Westerfield</w:t>
      </w:r>
      <w:proofErr w:type="spellEnd"/>
      <w:r w:rsidRPr="00FE0572">
        <w:rPr>
          <w:rFonts w:ascii="Arial" w:hAnsi="Arial" w:cs="Arial"/>
          <w:sz w:val="17"/>
          <w:szCs w:val="17"/>
        </w:rPr>
        <w:t xml:space="preserve">, Jaffe, Lim, Tan, and Wong, </w:t>
      </w:r>
      <w:r>
        <w:rPr>
          <w:rFonts w:ascii="Arial" w:hAnsi="Arial" w:cs="Arial"/>
          <w:sz w:val="17"/>
          <w:szCs w:val="17"/>
        </w:rPr>
        <w:t>op. cit.</w:t>
      </w:r>
      <w:r w:rsidRPr="00FE0572">
        <w:rPr>
          <w:rFonts w:ascii="Arial" w:hAnsi="Arial" w:cs="Arial"/>
          <w:sz w:val="17"/>
          <w:szCs w:val="17"/>
        </w:rPr>
        <w:t>, 56</w:t>
      </w:r>
      <w:r>
        <w:rPr>
          <w:rFonts w:ascii="Arial" w:hAnsi="Arial" w:cs="Arial"/>
          <w:sz w:val="17"/>
          <w:szCs w:val="17"/>
        </w:rPr>
        <w:t>–</w:t>
      </w:r>
      <w:r w:rsidRPr="00FE0572">
        <w:rPr>
          <w:rFonts w:ascii="Arial" w:hAnsi="Arial" w:cs="Arial"/>
          <w:sz w:val="17"/>
          <w:szCs w:val="17"/>
        </w:rPr>
        <w:t>57, 291–295</w:t>
      </w:r>
      <w:r>
        <w:rPr>
          <w:rFonts w:ascii="Arial" w:hAnsi="Arial" w:cs="Arial"/>
          <w:sz w:val="17"/>
          <w:szCs w:val="17"/>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6A2E" w14:textId="77777777" w:rsidR="00A43759" w:rsidRDefault="00A437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62256" w14:textId="77777777" w:rsidR="00A43759" w:rsidRDefault="00A4375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D0153" w14:textId="77777777" w:rsidR="00A43759" w:rsidRDefault="00A437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A846D5" w14:textId="77777777" w:rsidR="00D7610B" w:rsidRDefault="00D7610B" w:rsidP="00D75295">
      <w:r>
        <w:separator/>
      </w:r>
    </w:p>
  </w:footnote>
  <w:footnote w:type="continuationSeparator" w:id="0">
    <w:p w14:paraId="342148F9" w14:textId="77777777" w:rsidR="00D7610B" w:rsidRDefault="00D7610B"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7E393" w14:textId="77777777" w:rsidR="00A43759" w:rsidRDefault="00A4375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BA746" w14:textId="0829B4AE" w:rsidR="00D7610B" w:rsidRDefault="00D7610B"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43759">
      <w:rPr>
        <w:rFonts w:ascii="Arial" w:hAnsi="Arial"/>
        <w:b/>
        <w:noProof/>
      </w:rPr>
      <w:t>5</w:t>
    </w:r>
    <w:r>
      <w:rPr>
        <w:rFonts w:ascii="Arial" w:hAnsi="Arial"/>
        <w:b/>
      </w:rPr>
      <w:fldChar w:fldCharType="end"/>
    </w:r>
    <w:r>
      <w:rPr>
        <w:rFonts w:ascii="Arial" w:hAnsi="Arial"/>
        <w:b/>
      </w:rPr>
      <w:tab/>
    </w:r>
    <w:r w:rsidR="00A43759">
      <w:rPr>
        <w:rFonts w:ascii="Arial" w:hAnsi="Arial"/>
        <w:b/>
      </w:rPr>
      <w:t>9B18N026</w:t>
    </w:r>
  </w:p>
  <w:p w14:paraId="788D1453" w14:textId="77777777" w:rsidR="00D7610B" w:rsidRPr="00C92CC4" w:rsidRDefault="00D7610B">
    <w:pPr>
      <w:pStyle w:val="Header"/>
      <w:rPr>
        <w:sz w:val="18"/>
        <w:szCs w:val="18"/>
      </w:rPr>
    </w:pPr>
  </w:p>
  <w:p w14:paraId="5751A392" w14:textId="77777777" w:rsidR="00D7610B" w:rsidRPr="00C92CC4" w:rsidRDefault="00D7610B">
    <w:pPr>
      <w:pStyle w:val="Header"/>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0C062" w14:textId="77777777" w:rsidR="00A43759" w:rsidRDefault="00A4375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0E624" w14:textId="5838B3E1" w:rsidR="00D7610B" w:rsidRDefault="00D7610B" w:rsidP="003F2FE5">
    <w:pPr>
      <w:pBdr>
        <w:bottom w:val="single" w:sz="18" w:space="1" w:color="auto"/>
      </w:pBdr>
      <w:tabs>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43759">
      <w:rPr>
        <w:rFonts w:ascii="Arial" w:hAnsi="Arial"/>
        <w:b/>
        <w:noProof/>
      </w:rPr>
      <w:t>6</w:t>
    </w:r>
    <w:r>
      <w:rPr>
        <w:rFonts w:ascii="Arial" w:hAnsi="Arial"/>
        <w:b/>
      </w:rPr>
      <w:fldChar w:fldCharType="end"/>
    </w:r>
    <w:r>
      <w:rPr>
        <w:rFonts w:ascii="Arial" w:hAnsi="Arial"/>
        <w:b/>
      </w:rPr>
      <w:tab/>
    </w:r>
    <w:r w:rsidR="00A43759">
      <w:rPr>
        <w:rFonts w:ascii="Arial" w:hAnsi="Arial"/>
        <w:b/>
      </w:rPr>
      <w:t>9B18N026</w:t>
    </w:r>
  </w:p>
  <w:p w14:paraId="13E9ACA0" w14:textId="77777777" w:rsidR="00D7610B" w:rsidRPr="00C92CC4" w:rsidRDefault="00D7610B" w:rsidP="003F2FE5">
    <w:pPr>
      <w:pStyle w:val="Header"/>
      <w:tabs>
        <w:tab w:val="clear" w:pos="4680"/>
      </w:tabs>
      <w:rPr>
        <w:sz w:val="18"/>
        <w:szCs w:val="18"/>
      </w:rPr>
    </w:pPr>
  </w:p>
  <w:p w14:paraId="06903CC9" w14:textId="77777777" w:rsidR="00D7610B" w:rsidRPr="00C92CC4" w:rsidRDefault="00D7610B" w:rsidP="003F2FE5">
    <w:pPr>
      <w:pStyle w:val="Header"/>
      <w:tabs>
        <w:tab w:val="clear" w:pos="4680"/>
      </w:tabs>
      <w:rPr>
        <w:sz w:val="18"/>
        <w:szCs w:val="18"/>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9C2BC" w14:textId="125999B4" w:rsidR="00D7610B" w:rsidRDefault="00D7610B" w:rsidP="004C7159">
    <w:pPr>
      <w:pBdr>
        <w:bottom w:val="single" w:sz="18" w:space="1" w:color="auto"/>
      </w:pBdr>
      <w:tabs>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43759">
      <w:rPr>
        <w:rFonts w:ascii="Arial" w:hAnsi="Arial"/>
        <w:b/>
        <w:noProof/>
      </w:rPr>
      <w:t>7</w:t>
    </w:r>
    <w:r>
      <w:rPr>
        <w:rFonts w:ascii="Arial" w:hAnsi="Arial"/>
        <w:b/>
      </w:rPr>
      <w:fldChar w:fldCharType="end"/>
    </w:r>
    <w:r>
      <w:rPr>
        <w:rFonts w:ascii="Arial" w:hAnsi="Arial"/>
        <w:b/>
      </w:rPr>
      <w:tab/>
    </w:r>
    <w:r w:rsidR="00A43759">
      <w:rPr>
        <w:rFonts w:ascii="Arial" w:hAnsi="Arial"/>
        <w:b/>
      </w:rPr>
      <w:t>9B18N026</w:t>
    </w:r>
  </w:p>
  <w:p w14:paraId="36B05966" w14:textId="77777777" w:rsidR="00D7610B" w:rsidRPr="00C92CC4" w:rsidRDefault="00D7610B" w:rsidP="004C7159">
    <w:pPr>
      <w:pStyle w:val="Header"/>
      <w:tabs>
        <w:tab w:val="clear" w:pos="4680"/>
      </w:tabs>
      <w:rPr>
        <w:sz w:val="18"/>
        <w:szCs w:val="18"/>
      </w:rPr>
    </w:pPr>
  </w:p>
  <w:p w14:paraId="26627340" w14:textId="77777777" w:rsidR="00D7610B" w:rsidRPr="00C92CC4" w:rsidRDefault="00D7610B" w:rsidP="004C7159">
    <w:pPr>
      <w:pStyle w:val="Header"/>
      <w:tabs>
        <w:tab w:val="clear" w:pos="4680"/>
      </w:tabs>
      <w:rPr>
        <w:sz w:val="18"/>
        <w:szCs w:val="18"/>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0FB41" w14:textId="126A5580" w:rsidR="00D7610B" w:rsidRDefault="00D7610B" w:rsidP="003F2FE5">
    <w:pPr>
      <w:pBdr>
        <w:bottom w:val="single" w:sz="18" w:space="1" w:color="auto"/>
      </w:pBdr>
      <w:tabs>
        <w:tab w:val="left" w:pos="-1440"/>
        <w:tab w:val="left" w:pos="-720"/>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43759">
      <w:rPr>
        <w:rFonts w:ascii="Arial" w:hAnsi="Arial"/>
        <w:b/>
        <w:noProof/>
      </w:rPr>
      <w:t>11</w:t>
    </w:r>
    <w:r>
      <w:rPr>
        <w:rFonts w:ascii="Arial" w:hAnsi="Arial"/>
        <w:b/>
      </w:rPr>
      <w:fldChar w:fldCharType="end"/>
    </w:r>
    <w:r>
      <w:rPr>
        <w:rFonts w:ascii="Arial" w:hAnsi="Arial"/>
        <w:b/>
      </w:rPr>
      <w:tab/>
    </w:r>
    <w:r w:rsidR="00A43759">
      <w:rPr>
        <w:rFonts w:ascii="Arial" w:hAnsi="Arial"/>
        <w:b/>
      </w:rPr>
      <w:t>9B18N026</w:t>
    </w:r>
  </w:p>
  <w:p w14:paraId="66539FF0" w14:textId="77777777" w:rsidR="00D7610B" w:rsidRPr="00C92CC4" w:rsidRDefault="00D7610B" w:rsidP="003F2FE5">
    <w:pPr>
      <w:pStyle w:val="Header"/>
      <w:tabs>
        <w:tab w:val="clear" w:pos="4680"/>
      </w:tabs>
      <w:rPr>
        <w:sz w:val="18"/>
        <w:szCs w:val="18"/>
      </w:rPr>
    </w:pPr>
  </w:p>
  <w:p w14:paraId="312BA44A" w14:textId="77777777" w:rsidR="00D7610B" w:rsidRPr="00C92CC4" w:rsidRDefault="00D7610B" w:rsidP="003F2FE5">
    <w:pPr>
      <w:pStyle w:val="Header"/>
      <w:tabs>
        <w:tab w:val="clear" w:pos="4680"/>
      </w:tabs>
      <w:rPr>
        <w:sz w:val="18"/>
        <w:szCs w:val="18"/>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EA621" w14:textId="14958989" w:rsidR="00D7610B" w:rsidRPr="00976783" w:rsidRDefault="00D7610B" w:rsidP="00976783">
    <w:pPr>
      <w:pBdr>
        <w:bottom w:val="single" w:sz="18" w:space="1" w:color="auto"/>
      </w:pBdr>
      <w:tabs>
        <w:tab w:val="left" w:pos="-1440"/>
        <w:tab w:val="left" w:pos="-720"/>
        <w:tab w:val="right" w:pos="13230"/>
      </w:tabs>
      <w:rPr>
        <w:sz w:val="18"/>
        <w:szCs w:val="18"/>
      </w:rPr>
    </w:pPr>
    <w:r w:rsidRPr="00976783">
      <w:rPr>
        <w:rFonts w:ascii="Arial" w:hAnsi="Arial"/>
        <w:b/>
      </w:rPr>
      <w:t xml:space="preserve">Page </w:t>
    </w:r>
    <w:r w:rsidRPr="00976783">
      <w:rPr>
        <w:rFonts w:ascii="Arial" w:hAnsi="Arial"/>
        <w:b/>
      </w:rPr>
      <w:fldChar w:fldCharType="begin"/>
    </w:r>
    <w:r w:rsidRPr="00976783">
      <w:rPr>
        <w:rFonts w:ascii="Arial" w:hAnsi="Arial"/>
        <w:b/>
      </w:rPr>
      <w:instrText>PAGE</w:instrText>
    </w:r>
    <w:r w:rsidRPr="00976783">
      <w:rPr>
        <w:rFonts w:ascii="Arial" w:hAnsi="Arial"/>
        <w:b/>
      </w:rPr>
      <w:fldChar w:fldCharType="separate"/>
    </w:r>
    <w:r w:rsidR="00A43759">
      <w:rPr>
        <w:rFonts w:ascii="Arial" w:hAnsi="Arial"/>
        <w:b/>
        <w:noProof/>
      </w:rPr>
      <w:t>12</w:t>
    </w:r>
    <w:r w:rsidRPr="00976783">
      <w:rPr>
        <w:rFonts w:ascii="Arial" w:hAnsi="Arial"/>
        <w:b/>
      </w:rPr>
      <w:fldChar w:fldCharType="end"/>
    </w:r>
    <w:r w:rsidRPr="00976783">
      <w:rPr>
        <w:rFonts w:ascii="Arial" w:hAnsi="Arial"/>
        <w:b/>
      </w:rPr>
      <w:tab/>
    </w:r>
    <w:r w:rsidR="00A43759">
      <w:rPr>
        <w:rFonts w:ascii="Arial" w:hAnsi="Arial"/>
        <w:b/>
      </w:rPr>
      <w:t>9B18N026</w:t>
    </w:r>
    <w:bookmarkStart w:id="0" w:name="_GoBack"/>
    <w:bookmarkEnd w:id="0"/>
  </w:p>
  <w:p w14:paraId="421E00C0" w14:textId="77777777" w:rsidR="00D7610B" w:rsidRPr="00976783" w:rsidRDefault="00D7610B" w:rsidP="00976783">
    <w:pPr>
      <w:tabs>
        <w:tab w:val="center" w:pos="4680"/>
        <w:tab w:val="right" w:pos="9360"/>
      </w:tabs>
    </w:pPr>
  </w:p>
  <w:p w14:paraId="7006AE1E" w14:textId="77777777" w:rsidR="00D7610B" w:rsidRPr="00976783" w:rsidRDefault="00D7610B" w:rsidP="009767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2761A8"/>
    <w:multiLevelType w:val="hybridMultilevel"/>
    <w:tmpl w:val="57247E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0486620"/>
    <w:multiLevelType w:val="hybridMultilevel"/>
    <w:tmpl w:val="5CCEE8E0"/>
    <w:lvl w:ilvl="0" w:tplc="FFFFFFFF">
      <w:start w:val="1"/>
      <w:numFmt w:val="bullet"/>
      <w:lvlText w:val="•"/>
      <w:lvlJc w:val="left"/>
      <w:pPr>
        <w:ind w:left="720" w:hanging="360"/>
      </w:p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F433E27"/>
    <w:multiLevelType w:val="hybridMultilevel"/>
    <w:tmpl w:val="226832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ED70EF"/>
    <w:multiLevelType w:val="hybridMultilevel"/>
    <w:tmpl w:val="C06ED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28F7E5E"/>
    <w:multiLevelType w:val="hybridMultilevel"/>
    <w:tmpl w:val="4FF8324E"/>
    <w:lvl w:ilvl="0" w:tplc="83B6644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0FB614"/>
    <w:multiLevelType w:val="hybridMultilevel"/>
    <w:tmpl w:val="4655F32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6"/>
  </w:num>
  <w:num w:numId="3">
    <w:abstractNumId w:val="2"/>
  </w:num>
  <w:num w:numId="4">
    <w:abstractNumId w:val="5"/>
  </w:num>
  <w:num w:numId="5">
    <w:abstractNumId w:val="3"/>
  </w:num>
  <w:num w:numId="6">
    <w:abstractNumId w:val="1"/>
  </w:num>
  <w:num w:numId="7">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WAFNeedToUniquify" w:val="false"/>
    <w:docVar w:name="APWAFVersion" w:val="5.0"/>
  </w:docVars>
  <w:rsids>
    <w:rsidRoot w:val="008A4DC4"/>
    <w:rsid w:val="0000085A"/>
    <w:rsid w:val="00001DB2"/>
    <w:rsid w:val="00004220"/>
    <w:rsid w:val="00005E47"/>
    <w:rsid w:val="00007E56"/>
    <w:rsid w:val="00013360"/>
    <w:rsid w:val="000216CE"/>
    <w:rsid w:val="00023421"/>
    <w:rsid w:val="00025C9D"/>
    <w:rsid w:val="00025DC7"/>
    <w:rsid w:val="00026486"/>
    <w:rsid w:val="000303FD"/>
    <w:rsid w:val="00037379"/>
    <w:rsid w:val="000403EE"/>
    <w:rsid w:val="0004240D"/>
    <w:rsid w:val="00042AE7"/>
    <w:rsid w:val="00044E0E"/>
    <w:rsid w:val="00044ECC"/>
    <w:rsid w:val="0004758B"/>
    <w:rsid w:val="000528AB"/>
    <w:rsid w:val="000531D3"/>
    <w:rsid w:val="00054B73"/>
    <w:rsid w:val="00055872"/>
    <w:rsid w:val="0005646B"/>
    <w:rsid w:val="00061AE5"/>
    <w:rsid w:val="00071E94"/>
    <w:rsid w:val="00072E8C"/>
    <w:rsid w:val="00074DE2"/>
    <w:rsid w:val="0008034D"/>
    <w:rsid w:val="0008102D"/>
    <w:rsid w:val="00085558"/>
    <w:rsid w:val="00090AEF"/>
    <w:rsid w:val="00094C0E"/>
    <w:rsid w:val="00095BF2"/>
    <w:rsid w:val="000A0000"/>
    <w:rsid w:val="000A2039"/>
    <w:rsid w:val="000B380C"/>
    <w:rsid w:val="000C1727"/>
    <w:rsid w:val="000C79EF"/>
    <w:rsid w:val="000E0DB3"/>
    <w:rsid w:val="000E22C0"/>
    <w:rsid w:val="000E4B96"/>
    <w:rsid w:val="000F0C22"/>
    <w:rsid w:val="000F5DEA"/>
    <w:rsid w:val="000F6B09"/>
    <w:rsid w:val="000F6CBC"/>
    <w:rsid w:val="000F6FDC"/>
    <w:rsid w:val="001008FD"/>
    <w:rsid w:val="00104567"/>
    <w:rsid w:val="00110BCC"/>
    <w:rsid w:val="00113A71"/>
    <w:rsid w:val="0012183E"/>
    <w:rsid w:val="001227E3"/>
    <w:rsid w:val="0012732D"/>
    <w:rsid w:val="001313D0"/>
    <w:rsid w:val="0013443C"/>
    <w:rsid w:val="00136891"/>
    <w:rsid w:val="00137DD5"/>
    <w:rsid w:val="00142D2D"/>
    <w:rsid w:val="00143886"/>
    <w:rsid w:val="00150588"/>
    <w:rsid w:val="00154FC9"/>
    <w:rsid w:val="001607F8"/>
    <w:rsid w:val="00164900"/>
    <w:rsid w:val="0016751E"/>
    <w:rsid w:val="001902E4"/>
    <w:rsid w:val="00190D76"/>
    <w:rsid w:val="00190D93"/>
    <w:rsid w:val="0019241A"/>
    <w:rsid w:val="00193763"/>
    <w:rsid w:val="001A0458"/>
    <w:rsid w:val="001A2502"/>
    <w:rsid w:val="001A5335"/>
    <w:rsid w:val="001A752D"/>
    <w:rsid w:val="001A79E9"/>
    <w:rsid w:val="001B2867"/>
    <w:rsid w:val="001B2957"/>
    <w:rsid w:val="001C2416"/>
    <w:rsid w:val="001C50A9"/>
    <w:rsid w:val="001C6F2E"/>
    <w:rsid w:val="001D0E51"/>
    <w:rsid w:val="001D49B0"/>
    <w:rsid w:val="001F02AA"/>
    <w:rsid w:val="001F272A"/>
    <w:rsid w:val="001F36B5"/>
    <w:rsid w:val="001F3CCC"/>
    <w:rsid w:val="001F5114"/>
    <w:rsid w:val="001F7E8C"/>
    <w:rsid w:val="00203AA1"/>
    <w:rsid w:val="00207772"/>
    <w:rsid w:val="00212467"/>
    <w:rsid w:val="00213D27"/>
    <w:rsid w:val="00213E98"/>
    <w:rsid w:val="00220673"/>
    <w:rsid w:val="002248F2"/>
    <w:rsid w:val="00234F3C"/>
    <w:rsid w:val="00237B7C"/>
    <w:rsid w:val="00247543"/>
    <w:rsid w:val="00260CB3"/>
    <w:rsid w:val="00265F5E"/>
    <w:rsid w:val="00267748"/>
    <w:rsid w:val="00270180"/>
    <w:rsid w:val="0027166F"/>
    <w:rsid w:val="00275B4A"/>
    <w:rsid w:val="00284BE1"/>
    <w:rsid w:val="002919F4"/>
    <w:rsid w:val="0029338C"/>
    <w:rsid w:val="002A6613"/>
    <w:rsid w:val="002B22E8"/>
    <w:rsid w:val="002B2841"/>
    <w:rsid w:val="002B2D2F"/>
    <w:rsid w:val="002B413F"/>
    <w:rsid w:val="002D669B"/>
    <w:rsid w:val="002E32F0"/>
    <w:rsid w:val="002E5634"/>
    <w:rsid w:val="002E6B3F"/>
    <w:rsid w:val="002F2050"/>
    <w:rsid w:val="002F460C"/>
    <w:rsid w:val="002F48D6"/>
    <w:rsid w:val="002F7E32"/>
    <w:rsid w:val="0030597D"/>
    <w:rsid w:val="00306551"/>
    <w:rsid w:val="00306915"/>
    <w:rsid w:val="00313DBB"/>
    <w:rsid w:val="00314034"/>
    <w:rsid w:val="0031649C"/>
    <w:rsid w:val="003300EE"/>
    <w:rsid w:val="00330ACC"/>
    <w:rsid w:val="0033600D"/>
    <w:rsid w:val="003426C0"/>
    <w:rsid w:val="00343565"/>
    <w:rsid w:val="003475D5"/>
    <w:rsid w:val="00354899"/>
    <w:rsid w:val="003559AC"/>
    <w:rsid w:val="00355FD6"/>
    <w:rsid w:val="00356D60"/>
    <w:rsid w:val="00361C8E"/>
    <w:rsid w:val="00364A5C"/>
    <w:rsid w:val="00365207"/>
    <w:rsid w:val="0036629E"/>
    <w:rsid w:val="00372AB6"/>
    <w:rsid w:val="00372FFC"/>
    <w:rsid w:val="00373DE8"/>
    <w:rsid w:val="00373FB1"/>
    <w:rsid w:val="00375B22"/>
    <w:rsid w:val="0038247D"/>
    <w:rsid w:val="00386CFF"/>
    <w:rsid w:val="00387A41"/>
    <w:rsid w:val="003925BC"/>
    <w:rsid w:val="00394FEA"/>
    <w:rsid w:val="00396A52"/>
    <w:rsid w:val="0039710B"/>
    <w:rsid w:val="003A2348"/>
    <w:rsid w:val="003A4903"/>
    <w:rsid w:val="003A6C45"/>
    <w:rsid w:val="003A79AA"/>
    <w:rsid w:val="003B30D8"/>
    <w:rsid w:val="003B7EF2"/>
    <w:rsid w:val="003C3E64"/>
    <w:rsid w:val="003C3FA4"/>
    <w:rsid w:val="003C5924"/>
    <w:rsid w:val="003C7E7C"/>
    <w:rsid w:val="003E3075"/>
    <w:rsid w:val="003F1FBC"/>
    <w:rsid w:val="003F2B0C"/>
    <w:rsid w:val="003F2FE5"/>
    <w:rsid w:val="0040348A"/>
    <w:rsid w:val="00404363"/>
    <w:rsid w:val="00412001"/>
    <w:rsid w:val="0041212F"/>
    <w:rsid w:val="004130A4"/>
    <w:rsid w:val="00421BBA"/>
    <w:rsid w:val="004221E4"/>
    <w:rsid w:val="00423B6C"/>
    <w:rsid w:val="004245E1"/>
    <w:rsid w:val="0042688A"/>
    <w:rsid w:val="00426C5B"/>
    <w:rsid w:val="00430E5D"/>
    <w:rsid w:val="00434042"/>
    <w:rsid w:val="004347C6"/>
    <w:rsid w:val="00434DEA"/>
    <w:rsid w:val="00436C3E"/>
    <w:rsid w:val="00437628"/>
    <w:rsid w:val="0044173C"/>
    <w:rsid w:val="00441C0F"/>
    <w:rsid w:val="004451FC"/>
    <w:rsid w:val="00452F11"/>
    <w:rsid w:val="00456006"/>
    <w:rsid w:val="0045725B"/>
    <w:rsid w:val="0046543C"/>
    <w:rsid w:val="0046739D"/>
    <w:rsid w:val="00471088"/>
    <w:rsid w:val="00471CE0"/>
    <w:rsid w:val="00483AF9"/>
    <w:rsid w:val="0048425A"/>
    <w:rsid w:val="004863FD"/>
    <w:rsid w:val="00486FFE"/>
    <w:rsid w:val="00495874"/>
    <w:rsid w:val="0049784F"/>
    <w:rsid w:val="004A2706"/>
    <w:rsid w:val="004B188A"/>
    <w:rsid w:val="004B1CCB"/>
    <w:rsid w:val="004B30F7"/>
    <w:rsid w:val="004B46D3"/>
    <w:rsid w:val="004C7159"/>
    <w:rsid w:val="004D4A76"/>
    <w:rsid w:val="004D73A5"/>
    <w:rsid w:val="004D73FA"/>
    <w:rsid w:val="004E4200"/>
    <w:rsid w:val="004E6602"/>
    <w:rsid w:val="004E7038"/>
    <w:rsid w:val="00500B5A"/>
    <w:rsid w:val="00500EF8"/>
    <w:rsid w:val="005074D3"/>
    <w:rsid w:val="005231B2"/>
    <w:rsid w:val="00532CF5"/>
    <w:rsid w:val="005367B0"/>
    <w:rsid w:val="0054159C"/>
    <w:rsid w:val="0054427B"/>
    <w:rsid w:val="005528CB"/>
    <w:rsid w:val="00560373"/>
    <w:rsid w:val="005616EE"/>
    <w:rsid w:val="00563FD1"/>
    <w:rsid w:val="005655DE"/>
    <w:rsid w:val="00566771"/>
    <w:rsid w:val="005755C2"/>
    <w:rsid w:val="00576D37"/>
    <w:rsid w:val="00577F61"/>
    <w:rsid w:val="00581E2E"/>
    <w:rsid w:val="005821B2"/>
    <w:rsid w:val="00584F15"/>
    <w:rsid w:val="00587FF7"/>
    <w:rsid w:val="005A3A22"/>
    <w:rsid w:val="005A59E5"/>
    <w:rsid w:val="005A6B1C"/>
    <w:rsid w:val="005B51C3"/>
    <w:rsid w:val="005B5B66"/>
    <w:rsid w:val="005B7210"/>
    <w:rsid w:val="005C01AE"/>
    <w:rsid w:val="005C0E94"/>
    <w:rsid w:val="005C3763"/>
    <w:rsid w:val="005C5CFA"/>
    <w:rsid w:val="005C7D01"/>
    <w:rsid w:val="005D0632"/>
    <w:rsid w:val="005D0C17"/>
    <w:rsid w:val="005D1A74"/>
    <w:rsid w:val="005D27DD"/>
    <w:rsid w:val="005D4DBE"/>
    <w:rsid w:val="005D7E38"/>
    <w:rsid w:val="005E255F"/>
    <w:rsid w:val="005E2707"/>
    <w:rsid w:val="005E44AD"/>
    <w:rsid w:val="005F3C62"/>
    <w:rsid w:val="005F3F45"/>
    <w:rsid w:val="005F5689"/>
    <w:rsid w:val="005F60BA"/>
    <w:rsid w:val="00602055"/>
    <w:rsid w:val="0060428D"/>
    <w:rsid w:val="00605279"/>
    <w:rsid w:val="00611B1C"/>
    <w:rsid w:val="00614B38"/>
    <w:rsid w:val="0061537B"/>
    <w:rsid w:val="0061616A"/>
    <w:rsid w:val="006163F7"/>
    <w:rsid w:val="0061667E"/>
    <w:rsid w:val="0062193B"/>
    <w:rsid w:val="00630A42"/>
    <w:rsid w:val="00631FC1"/>
    <w:rsid w:val="006366BC"/>
    <w:rsid w:val="00640452"/>
    <w:rsid w:val="0064143E"/>
    <w:rsid w:val="00641DBB"/>
    <w:rsid w:val="00651F3C"/>
    <w:rsid w:val="006525A8"/>
    <w:rsid w:val="00652606"/>
    <w:rsid w:val="0065536B"/>
    <w:rsid w:val="006613AC"/>
    <w:rsid w:val="00662AC2"/>
    <w:rsid w:val="00671556"/>
    <w:rsid w:val="0067237C"/>
    <w:rsid w:val="0067778E"/>
    <w:rsid w:val="00682754"/>
    <w:rsid w:val="0068477F"/>
    <w:rsid w:val="0068697E"/>
    <w:rsid w:val="00694100"/>
    <w:rsid w:val="00695B10"/>
    <w:rsid w:val="00697F58"/>
    <w:rsid w:val="006A2473"/>
    <w:rsid w:val="006A3BD1"/>
    <w:rsid w:val="006A58A9"/>
    <w:rsid w:val="006A606D"/>
    <w:rsid w:val="006A6F1F"/>
    <w:rsid w:val="006A7ED7"/>
    <w:rsid w:val="006B1621"/>
    <w:rsid w:val="006B1D9E"/>
    <w:rsid w:val="006B7F7A"/>
    <w:rsid w:val="006C0371"/>
    <w:rsid w:val="006C08B6"/>
    <w:rsid w:val="006C0B1A"/>
    <w:rsid w:val="006C4236"/>
    <w:rsid w:val="006C4384"/>
    <w:rsid w:val="006C6065"/>
    <w:rsid w:val="006C73F2"/>
    <w:rsid w:val="006C7F9F"/>
    <w:rsid w:val="006D42B7"/>
    <w:rsid w:val="006D6078"/>
    <w:rsid w:val="006D7938"/>
    <w:rsid w:val="006E2F6D"/>
    <w:rsid w:val="006E4002"/>
    <w:rsid w:val="006E4887"/>
    <w:rsid w:val="006E58F6"/>
    <w:rsid w:val="006E5AD1"/>
    <w:rsid w:val="006E77E1"/>
    <w:rsid w:val="006F131D"/>
    <w:rsid w:val="006F5098"/>
    <w:rsid w:val="00703619"/>
    <w:rsid w:val="00703BD1"/>
    <w:rsid w:val="0070448F"/>
    <w:rsid w:val="00705C7C"/>
    <w:rsid w:val="00710D82"/>
    <w:rsid w:val="0071471B"/>
    <w:rsid w:val="00714B87"/>
    <w:rsid w:val="00720774"/>
    <w:rsid w:val="007241BF"/>
    <w:rsid w:val="00735BD1"/>
    <w:rsid w:val="007407C8"/>
    <w:rsid w:val="007437FC"/>
    <w:rsid w:val="00750E95"/>
    <w:rsid w:val="00750EE2"/>
    <w:rsid w:val="00752878"/>
    <w:rsid w:val="00752BCD"/>
    <w:rsid w:val="007565DA"/>
    <w:rsid w:val="00766DA1"/>
    <w:rsid w:val="0077297C"/>
    <w:rsid w:val="00772AA6"/>
    <w:rsid w:val="007753DD"/>
    <w:rsid w:val="007866A6"/>
    <w:rsid w:val="00792123"/>
    <w:rsid w:val="00792752"/>
    <w:rsid w:val="00795237"/>
    <w:rsid w:val="00796381"/>
    <w:rsid w:val="00797E6A"/>
    <w:rsid w:val="007A130D"/>
    <w:rsid w:val="007A16ED"/>
    <w:rsid w:val="007B2179"/>
    <w:rsid w:val="007C2F0B"/>
    <w:rsid w:val="007C465B"/>
    <w:rsid w:val="007D4102"/>
    <w:rsid w:val="007D6570"/>
    <w:rsid w:val="007E33C6"/>
    <w:rsid w:val="007E5921"/>
    <w:rsid w:val="007F326A"/>
    <w:rsid w:val="007F3D21"/>
    <w:rsid w:val="007F3D58"/>
    <w:rsid w:val="007F7D95"/>
    <w:rsid w:val="007F7E40"/>
    <w:rsid w:val="008035A9"/>
    <w:rsid w:val="008040AB"/>
    <w:rsid w:val="00804C2F"/>
    <w:rsid w:val="00814F8F"/>
    <w:rsid w:val="00821FFC"/>
    <w:rsid w:val="00825AE2"/>
    <w:rsid w:val="008271CA"/>
    <w:rsid w:val="00832B22"/>
    <w:rsid w:val="00841393"/>
    <w:rsid w:val="00842F2D"/>
    <w:rsid w:val="00845B72"/>
    <w:rsid w:val="008467D5"/>
    <w:rsid w:val="0085053B"/>
    <w:rsid w:val="00850F50"/>
    <w:rsid w:val="00856D9F"/>
    <w:rsid w:val="008575B3"/>
    <w:rsid w:val="00860095"/>
    <w:rsid w:val="00866F6D"/>
    <w:rsid w:val="00867B90"/>
    <w:rsid w:val="008708DB"/>
    <w:rsid w:val="00874FB7"/>
    <w:rsid w:val="00876638"/>
    <w:rsid w:val="00881EB2"/>
    <w:rsid w:val="00883FD4"/>
    <w:rsid w:val="00890676"/>
    <w:rsid w:val="008906C3"/>
    <w:rsid w:val="008908B2"/>
    <w:rsid w:val="008921A8"/>
    <w:rsid w:val="00895F08"/>
    <w:rsid w:val="008A19B6"/>
    <w:rsid w:val="008A3792"/>
    <w:rsid w:val="008A4458"/>
    <w:rsid w:val="008A499F"/>
    <w:rsid w:val="008A4DC4"/>
    <w:rsid w:val="008A6194"/>
    <w:rsid w:val="008B00EE"/>
    <w:rsid w:val="008B1104"/>
    <w:rsid w:val="008B44E9"/>
    <w:rsid w:val="008C0020"/>
    <w:rsid w:val="008C0B00"/>
    <w:rsid w:val="008C1EA7"/>
    <w:rsid w:val="008C4B4A"/>
    <w:rsid w:val="008D03FD"/>
    <w:rsid w:val="008D1B81"/>
    <w:rsid w:val="008D5CA2"/>
    <w:rsid w:val="008D6684"/>
    <w:rsid w:val="008E07C7"/>
    <w:rsid w:val="008E0DD9"/>
    <w:rsid w:val="008E51D8"/>
    <w:rsid w:val="008F0926"/>
    <w:rsid w:val="008F0A1E"/>
    <w:rsid w:val="008F165E"/>
    <w:rsid w:val="008F2437"/>
    <w:rsid w:val="008F4508"/>
    <w:rsid w:val="008F7E5F"/>
    <w:rsid w:val="00903B34"/>
    <w:rsid w:val="009058AE"/>
    <w:rsid w:val="009067A4"/>
    <w:rsid w:val="0090722E"/>
    <w:rsid w:val="009109EE"/>
    <w:rsid w:val="009125E9"/>
    <w:rsid w:val="00912921"/>
    <w:rsid w:val="009211F8"/>
    <w:rsid w:val="00925A81"/>
    <w:rsid w:val="00926A46"/>
    <w:rsid w:val="00930CD9"/>
    <w:rsid w:val="009340DB"/>
    <w:rsid w:val="009370A5"/>
    <w:rsid w:val="00937A14"/>
    <w:rsid w:val="00942474"/>
    <w:rsid w:val="00950328"/>
    <w:rsid w:val="00954A80"/>
    <w:rsid w:val="0096303F"/>
    <w:rsid w:val="00966B6D"/>
    <w:rsid w:val="00972498"/>
    <w:rsid w:val="009749F5"/>
    <w:rsid w:val="00974CC6"/>
    <w:rsid w:val="009751EE"/>
    <w:rsid w:val="00976783"/>
    <w:rsid w:val="00976AD4"/>
    <w:rsid w:val="00977053"/>
    <w:rsid w:val="0098612B"/>
    <w:rsid w:val="0099531B"/>
    <w:rsid w:val="009A01D4"/>
    <w:rsid w:val="009A312F"/>
    <w:rsid w:val="009A5348"/>
    <w:rsid w:val="009A67BB"/>
    <w:rsid w:val="009A7440"/>
    <w:rsid w:val="009B0A6F"/>
    <w:rsid w:val="009B3777"/>
    <w:rsid w:val="009B6545"/>
    <w:rsid w:val="009C3D5D"/>
    <w:rsid w:val="009C76D5"/>
    <w:rsid w:val="009E3913"/>
    <w:rsid w:val="009E3B80"/>
    <w:rsid w:val="009E77AB"/>
    <w:rsid w:val="009F5A29"/>
    <w:rsid w:val="009F677B"/>
    <w:rsid w:val="009F7AA4"/>
    <w:rsid w:val="009F7C03"/>
    <w:rsid w:val="00A211E7"/>
    <w:rsid w:val="00A21A16"/>
    <w:rsid w:val="00A279E2"/>
    <w:rsid w:val="00A41F45"/>
    <w:rsid w:val="00A43759"/>
    <w:rsid w:val="00A43A56"/>
    <w:rsid w:val="00A543C3"/>
    <w:rsid w:val="00A559DB"/>
    <w:rsid w:val="00A634A5"/>
    <w:rsid w:val="00A64BED"/>
    <w:rsid w:val="00A71C95"/>
    <w:rsid w:val="00A73711"/>
    <w:rsid w:val="00A75393"/>
    <w:rsid w:val="00A87A15"/>
    <w:rsid w:val="00A944B7"/>
    <w:rsid w:val="00AA146D"/>
    <w:rsid w:val="00AA19D7"/>
    <w:rsid w:val="00AA1EF8"/>
    <w:rsid w:val="00AA57F1"/>
    <w:rsid w:val="00AB0CC5"/>
    <w:rsid w:val="00AB1D1B"/>
    <w:rsid w:val="00AB4147"/>
    <w:rsid w:val="00AB44E1"/>
    <w:rsid w:val="00AC1DA9"/>
    <w:rsid w:val="00AC4A7C"/>
    <w:rsid w:val="00AD2736"/>
    <w:rsid w:val="00AD2B3E"/>
    <w:rsid w:val="00AD3830"/>
    <w:rsid w:val="00AD42F2"/>
    <w:rsid w:val="00AD6C44"/>
    <w:rsid w:val="00AE0164"/>
    <w:rsid w:val="00AE0796"/>
    <w:rsid w:val="00AE3DCF"/>
    <w:rsid w:val="00AF35FC"/>
    <w:rsid w:val="00AF389F"/>
    <w:rsid w:val="00AF3D9E"/>
    <w:rsid w:val="00AF4CDC"/>
    <w:rsid w:val="00AF6128"/>
    <w:rsid w:val="00AF7D25"/>
    <w:rsid w:val="00B013E8"/>
    <w:rsid w:val="00B03639"/>
    <w:rsid w:val="00B05360"/>
    <w:rsid w:val="00B0652A"/>
    <w:rsid w:val="00B15279"/>
    <w:rsid w:val="00B215D0"/>
    <w:rsid w:val="00B224EF"/>
    <w:rsid w:val="00B278D4"/>
    <w:rsid w:val="00B3038E"/>
    <w:rsid w:val="00B36D60"/>
    <w:rsid w:val="00B3757D"/>
    <w:rsid w:val="00B40937"/>
    <w:rsid w:val="00B414A1"/>
    <w:rsid w:val="00B41F5D"/>
    <w:rsid w:val="00B423EF"/>
    <w:rsid w:val="00B430B0"/>
    <w:rsid w:val="00B4380B"/>
    <w:rsid w:val="00B4478C"/>
    <w:rsid w:val="00B453DE"/>
    <w:rsid w:val="00B4712E"/>
    <w:rsid w:val="00B4742F"/>
    <w:rsid w:val="00B6388E"/>
    <w:rsid w:val="00B674BD"/>
    <w:rsid w:val="00B70F7B"/>
    <w:rsid w:val="00B73A5A"/>
    <w:rsid w:val="00B801D8"/>
    <w:rsid w:val="00B80870"/>
    <w:rsid w:val="00B81AFD"/>
    <w:rsid w:val="00B87295"/>
    <w:rsid w:val="00B901F9"/>
    <w:rsid w:val="00B9262B"/>
    <w:rsid w:val="00B93C88"/>
    <w:rsid w:val="00BA1856"/>
    <w:rsid w:val="00BA3B05"/>
    <w:rsid w:val="00BA424D"/>
    <w:rsid w:val="00BB5030"/>
    <w:rsid w:val="00BB5EED"/>
    <w:rsid w:val="00BD415C"/>
    <w:rsid w:val="00BD6EFB"/>
    <w:rsid w:val="00BE2BF6"/>
    <w:rsid w:val="00BE3003"/>
    <w:rsid w:val="00BE5A93"/>
    <w:rsid w:val="00BF122D"/>
    <w:rsid w:val="00BF1D96"/>
    <w:rsid w:val="00BF3A3F"/>
    <w:rsid w:val="00BF4981"/>
    <w:rsid w:val="00BF56EC"/>
    <w:rsid w:val="00C002C6"/>
    <w:rsid w:val="00C02B56"/>
    <w:rsid w:val="00C042C7"/>
    <w:rsid w:val="00C07CAB"/>
    <w:rsid w:val="00C13B4E"/>
    <w:rsid w:val="00C15BE2"/>
    <w:rsid w:val="00C15C9E"/>
    <w:rsid w:val="00C179D3"/>
    <w:rsid w:val="00C217E9"/>
    <w:rsid w:val="00C22219"/>
    <w:rsid w:val="00C26822"/>
    <w:rsid w:val="00C270F0"/>
    <w:rsid w:val="00C2774E"/>
    <w:rsid w:val="00C3447F"/>
    <w:rsid w:val="00C41885"/>
    <w:rsid w:val="00C51DC3"/>
    <w:rsid w:val="00C52F10"/>
    <w:rsid w:val="00C5718F"/>
    <w:rsid w:val="00C636AB"/>
    <w:rsid w:val="00C70EAB"/>
    <w:rsid w:val="00C712F5"/>
    <w:rsid w:val="00C77230"/>
    <w:rsid w:val="00C806A6"/>
    <w:rsid w:val="00C81491"/>
    <w:rsid w:val="00C81676"/>
    <w:rsid w:val="00C81B07"/>
    <w:rsid w:val="00C81FAF"/>
    <w:rsid w:val="00C84133"/>
    <w:rsid w:val="00C91084"/>
    <w:rsid w:val="00C92CC4"/>
    <w:rsid w:val="00CA0AFB"/>
    <w:rsid w:val="00CA1491"/>
    <w:rsid w:val="00CA1559"/>
    <w:rsid w:val="00CA1AA7"/>
    <w:rsid w:val="00CA2CE1"/>
    <w:rsid w:val="00CA3976"/>
    <w:rsid w:val="00CA45B7"/>
    <w:rsid w:val="00CA57EB"/>
    <w:rsid w:val="00CA757B"/>
    <w:rsid w:val="00CB2AF4"/>
    <w:rsid w:val="00CB5009"/>
    <w:rsid w:val="00CB5FDB"/>
    <w:rsid w:val="00CC0F3C"/>
    <w:rsid w:val="00CC0FC0"/>
    <w:rsid w:val="00CC1787"/>
    <w:rsid w:val="00CC182C"/>
    <w:rsid w:val="00CC2EBF"/>
    <w:rsid w:val="00CD0824"/>
    <w:rsid w:val="00CD2908"/>
    <w:rsid w:val="00CD306A"/>
    <w:rsid w:val="00CD598B"/>
    <w:rsid w:val="00CE1183"/>
    <w:rsid w:val="00CE744B"/>
    <w:rsid w:val="00CE74AC"/>
    <w:rsid w:val="00CF5850"/>
    <w:rsid w:val="00CF58BB"/>
    <w:rsid w:val="00D01288"/>
    <w:rsid w:val="00D03A82"/>
    <w:rsid w:val="00D0512B"/>
    <w:rsid w:val="00D0703F"/>
    <w:rsid w:val="00D13470"/>
    <w:rsid w:val="00D15344"/>
    <w:rsid w:val="00D20B8D"/>
    <w:rsid w:val="00D23182"/>
    <w:rsid w:val="00D243BF"/>
    <w:rsid w:val="00D31BEC"/>
    <w:rsid w:val="00D4532D"/>
    <w:rsid w:val="00D45DA8"/>
    <w:rsid w:val="00D46FB2"/>
    <w:rsid w:val="00D54166"/>
    <w:rsid w:val="00D5646E"/>
    <w:rsid w:val="00D63150"/>
    <w:rsid w:val="00D63F7F"/>
    <w:rsid w:val="00D64A32"/>
    <w:rsid w:val="00D64EFC"/>
    <w:rsid w:val="00D651EC"/>
    <w:rsid w:val="00D67207"/>
    <w:rsid w:val="00D70CF5"/>
    <w:rsid w:val="00D73F5C"/>
    <w:rsid w:val="00D75295"/>
    <w:rsid w:val="00D7610B"/>
    <w:rsid w:val="00D76CE9"/>
    <w:rsid w:val="00D81D22"/>
    <w:rsid w:val="00D824BC"/>
    <w:rsid w:val="00D85534"/>
    <w:rsid w:val="00D85C48"/>
    <w:rsid w:val="00D8787B"/>
    <w:rsid w:val="00D949EE"/>
    <w:rsid w:val="00D97F12"/>
    <w:rsid w:val="00DA6232"/>
    <w:rsid w:val="00DA682C"/>
    <w:rsid w:val="00DB0F66"/>
    <w:rsid w:val="00DB1475"/>
    <w:rsid w:val="00DB42E7"/>
    <w:rsid w:val="00DC08CD"/>
    <w:rsid w:val="00DC28B6"/>
    <w:rsid w:val="00DD1619"/>
    <w:rsid w:val="00DE317E"/>
    <w:rsid w:val="00DE474B"/>
    <w:rsid w:val="00DE6EE5"/>
    <w:rsid w:val="00DF32C2"/>
    <w:rsid w:val="00E02CCE"/>
    <w:rsid w:val="00E06292"/>
    <w:rsid w:val="00E136FB"/>
    <w:rsid w:val="00E14BD5"/>
    <w:rsid w:val="00E21C5A"/>
    <w:rsid w:val="00E407E7"/>
    <w:rsid w:val="00E42427"/>
    <w:rsid w:val="00E42696"/>
    <w:rsid w:val="00E43188"/>
    <w:rsid w:val="00E46F10"/>
    <w:rsid w:val="00E471A7"/>
    <w:rsid w:val="00E51355"/>
    <w:rsid w:val="00E53261"/>
    <w:rsid w:val="00E635CF"/>
    <w:rsid w:val="00E655F1"/>
    <w:rsid w:val="00E66870"/>
    <w:rsid w:val="00E7067B"/>
    <w:rsid w:val="00E71292"/>
    <w:rsid w:val="00E713B2"/>
    <w:rsid w:val="00E726FB"/>
    <w:rsid w:val="00E91440"/>
    <w:rsid w:val="00E934B8"/>
    <w:rsid w:val="00E93D28"/>
    <w:rsid w:val="00EA01C5"/>
    <w:rsid w:val="00EA0B91"/>
    <w:rsid w:val="00EA17B1"/>
    <w:rsid w:val="00EA29A9"/>
    <w:rsid w:val="00EB14E8"/>
    <w:rsid w:val="00EB1A75"/>
    <w:rsid w:val="00EB5410"/>
    <w:rsid w:val="00EC193B"/>
    <w:rsid w:val="00EC2593"/>
    <w:rsid w:val="00EC2D1E"/>
    <w:rsid w:val="00EC6E0A"/>
    <w:rsid w:val="00ED2AFD"/>
    <w:rsid w:val="00ED4E18"/>
    <w:rsid w:val="00ED6EAA"/>
    <w:rsid w:val="00EE1EBC"/>
    <w:rsid w:val="00EE1F37"/>
    <w:rsid w:val="00EE54FA"/>
    <w:rsid w:val="00EE6591"/>
    <w:rsid w:val="00EF57E4"/>
    <w:rsid w:val="00EF5854"/>
    <w:rsid w:val="00F0159C"/>
    <w:rsid w:val="00F105B7"/>
    <w:rsid w:val="00F17A21"/>
    <w:rsid w:val="00F258D5"/>
    <w:rsid w:val="00F26BE8"/>
    <w:rsid w:val="00F271EB"/>
    <w:rsid w:val="00F3341F"/>
    <w:rsid w:val="00F3554D"/>
    <w:rsid w:val="00F370A6"/>
    <w:rsid w:val="00F40BA8"/>
    <w:rsid w:val="00F41668"/>
    <w:rsid w:val="00F46A2D"/>
    <w:rsid w:val="00F50E91"/>
    <w:rsid w:val="00F57D29"/>
    <w:rsid w:val="00F614FC"/>
    <w:rsid w:val="00F766B6"/>
    <w:rsid w:val="00F77482"/>
    <w:rsid w:val="00F8001C"/>
    <w:rsid w:val="00F92A99"/>
    <w:rsid w:val="00F96201"/>
    <w:rsid w:val="00F975F3"/>
    <w:rsid w:val="00FA0115"/>
    <w:rsid w:val="00FA3DB0"/>
    <w:rsid w:val="00FC19E5"/>
    <w:rsid w:val="00FC30E9"/>
    <w:rsid w:val="00FD0B18"/>
    <w:rsid w:val="00FD0BCD"/>
    <w:rsid w:val="00FD0F82"/>
    <w:rsid w:val="00FD1F95"/>
    <w:rsid w:val="00FE0572"/>
    <w:rsid w:val="00FE0AB2"/>
    <w:rsid w:val="00FE5C6D"/>
    <w:rsid w:val="00FE5FAE"/>
    <w:rsid w:val="00FE714F"/>
    <w:rsid w:val="00FF1113"/>
    <w:rsid w:val="00FF3E0F"/>
    <w:rsid w:val="00FF5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D70EE6C"/>
  <w15:docId w15:val="{61C90AB8-AF93-48DC-9C16-3FE4F4CA2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iPriority="0"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85053B"/>
    <w:pPr>
      <w:keepNext/>
      <w:keepLines/>
      <w:spacing w:before="480" w:line="276" w:lineRule="auto"/>
      <w:outlineLvl w:val="0"/>
    </w:pPr>
    <w:rPr>
      <w:rFonts w:ascii="Arial" w:hAnsi="Arial"/>
      <w:b/>
      <w:bCs/>
      <w:color w:val="365F91"/>
      <w:szCs w:val="28"/>
    </w:rPr>
  </w:style>
  <w:style w:type="paragraph" w:styleId="Heading2">
    <w:name w:val="heading 2"/>
    <w:basedOn w:val="Normal"/>
    <w:next w:val="Normal"/>
    <w:link w:val="Heading2Char"/>
    <w:unhideWhenUsed/>
    <w:qFormat/>
    <w:rsid w:val="0085053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85053B"/>
    <w:pPr>
      <w:keepNext/>
      <w:keepLines/>
      <w:spacing w:before="200" w:line="276" w:lineRule="auto"/>
      <w:outlineLvl w:val="2"/>
    </w:pPr>
    <w:rPr>
      <w:rFonts w:ascii="Cambria" w:hAnsi="Cambria"/>
      <w:b/>
      <w:bCs/>
      <w:color w:val="4F81BD"/>
    </w:rPr>
  </w:style>
  <w:style w:type="paragraph" w:styleId="Heading4">
    <w:name w:val="heading 4"/>
    <w:basedOn w:val="Normal"/>
    <w:next w:val="Normal"/>
    <w:link w:val="Heading4Char"/>
    <w:qFormat/>
    <w:rsid w:val="0085053B"/>
    <w:pPr>
      <w:keepNext/>
      <w:tabs>
        <w:tab w:val="num" w:pos="864"/>
      </w:tabs>
      <w:spacing w:before="240" w:after="60"/>
      <w:ind w:left="864" w:hanging="864"/>
      <w:jc w:val="both"/>
      <w:outlineLvl w:val="3"/>
    </w:pPr>
    <w:rPr>
      <w:rFonts w:ascii="Georgia" w:hAnsi="Georgia"/>
      <w:b/>
    </w:rPr>
  </w:style>
  <w:style w:type="paragraph" w:styleId="Heading5">
    <w:name w:val="heading 5"/>
    <w:basedOn w:val="Normal"/>
    <w:next w:val="Normal"/>
    <w:link w:val="Heading5Char"/>
    <w:qFormat/>
    <w:rsid w:val="0085053B"/>
    <w:pPr>
      <w:tabs>
        <w:tab w:val="num" w:pos="1008"/>
      </w:tabs>
      <w:spacing w:before="240" w:after="60"/>
      <w:ind w:left="1008" w:hanging="1008"/>
      <w:jc w:val="both"/>
      <w:outlineLvl w:val="4"/>
    </w:pPr>
    <w:rPr>
      <w:rFonts w:ascii="Georgia" w:hAnsi="Georgia"/>
      <w:b/>
      <w:i/>
    </w:rPr>
  </w:style>
  <w:style w:type="paragraph" w:styleId="Heading6">
    <w:name w:val="heading 6"/>
    <w:basedOn w:val="Normal"/>
    <w:next w:val="Normal"/>
    <w:link w:val="Heading6Char"/>
    <w:qFormat/>
    <w:rsid w:val="0085053B"/>
    <w:pPr>
      <w:tabs>
        <w:tab w:val="num" w:pos="1152"/>
      </w:tabs>
      <w:spacing w:before="240" w:after="60"/>
      <w:ind w:left="1152" w:hanging="1152"/>
      <w:jc w:val="both"/>
      <w:outlineLvl w:val="5"/>
    </w:pPr>
    <w:rPr>
      <w:rFonts w:ascii="Georgia" w:hAnsi="Georgia"/>
      <w:b/>
      <w:sz w:val="22"/>
    </w:rPr>
  </w:style>
  <w:style w:type="paragraph" w:styleId="Heading7">
    <w:name w:val="heading 7"/>
    <w:basedOn w:val="Normal"/>
    <w:next w:val="Normal"/>
    <w:link w:val="Heading7Char"/>
    <w:qFormat/>
    <w:rsid w:val="0085053B"/>
    <w:pPr>
      <w:keepNext/>
      <w:outlineLvl w:val="6"/>
    </w:pPr>
    <w:rPr>
      <w:b/>
      <w:bCs/>
      <w:sz w:val="24"/>
      <w:szCs w:val="24"/>
      <w:lang w:val="en-GB"/>
    </w:rPr>
  </w:style>
  <w:style w:type="paragraph" w:styleId="Heading8">
    <w:name w:val="heading 8"/>
    <w:basedOn w:val="Normal"/>
    <w:next w:val="Normal"/>
    <w:link w:val="Heading8Char"/>
    <w:qFormat/>
    <w:rsid w:val="0085053B"/>
    <w:pPr>
      <w:tabs>
        <w:tab w:val="left" w:pos="0"/>
      </w:tabs>
      <w:jc w:val="center"/>
      <w:outlineLvl w:val="7"/>
    </w:pPr>
    <w:rPr>
      <w:b/>
      <w:sz w:val="18"/>
      <w:lang w:val="en-AU"/>
    </w:rPr>
  </w:style>
  <w:style w:type="paragraph" w:styleId="Heading9">
    <w:name w:val="heading 9"/>
    <w:basedOn w:val="Normal"/>
    <w:next w:val="Normal"/>
    <w:link w:val="Heading9Char"/>
    <w:unhideWhenUsed/>
    <w:qFormat/>
    <w:rsid w:val="0085053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aliases w:val="Char"/>
    <w:basedOn w:val="Normal"/>
    <w:link w:val="FootnoteTextChar"/>
    <w:uiPriority w:val="99"/>
    <w:unhideWhenUsed/>
    <w:rsid w:val="006C0B1A"/>
  </w:style>
  <w:style w:type="character" w:customStyle="1" w:styleId="FootnoteTextChar">
    <w:name w:val="Footnote Text Char"/>
    <w:aliases w:val="Char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iPriority w:val="99"/>
    <w:unhideWhenUsed/>
    <w:rsid w:val="00CA3976"/>
    <w:pPr>
      <w:spacing w:after="120"/>
    </w:pPr>
  </w:style>
  <w:style w:type="character" w:customStyle="1" w:styleId="BodyTextChar">
    <w:name w:val="Body Text Char"/>
    <w:basedOn w:val="DefaultParagraphFont"/>
    <w:link w:val="BodyText"/>
    <w:uiPriority w:val="99"/>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B4742F"/>
    <w:rPr>
      <w:vertAlign w:val="superscript"/>
    </w:rPr>
  </w:style>
  <w:style w:type="character" w:customStyle="1" w:styleId="Heading9Char">
    <w:name w:val="Heading 9 Char"/>
    <w:basedOn w:val="DefaultParagraphFont"/>
    <w:link w:val="Heading9"/>
    <w:uiPriority w:val="9"/>
    <w:rsid w:val="0085053B"/>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rsid w:val="0085053B"/>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rsid w:val="0085053B"/>
    <w:rPr>
      <w:rFonts w:ascii="Arial" w:eastAsia="Times New Roman" w:hAnsi="Arial" w:cs="Times New Roman"/>
      <w:b/>
      <w:bCs/>
      <w:color w:val="365F91"/>
      <w:sz w:val="20"/>
      <w:szCs w:val="28"/>
    </w:rPr>
  </w:style>
  <w:style w:type="character" w:customStyle="1" w:styleId="Heading3Char">
    <w:name w:val="Heading 3 Char"/>
    <w:basedOn w:val="DefaultParagraphFont"/>
    <w:link w:val="Heading3"/>
    <w:rsid w:val="0085053B"/>
    <w:rPr>
      <w:rFonts w:ascii="Cambria" w:eastAsia="Times New Roman" w:hAnsi="Cambria" w:cs="Times New Roman"/>
      <w:b/>
      <w:bCs/>
      <w:color w:val="4F81BD"/>
      <w:sz w:val="20"/>
      <w:szCs w:val="20"/>
    </w:rPr>
  </w:style>
  <w:style w:type="character" w:customStyle="1" w:styleId="Heading4Char">
    <w:name w:val="Heading 4 Char"/>
    <w:basedOn w:val="DefaultParagraphFont"/>
    <w:link w:val="Heading4"/>
    <w:rsid w:val="0085053B"/>
    <w:rPr>
      <w:rFonts w:ascii="Georgia" w:eastAsia="Times New Roman" w:hAnsi="Georgia" w:cs="Times New Roman"/>
      <w:b/>
      <w:sz w:val="20"/>
      <w:szCs w:val="20"/>
    </w:rPr>
  </w:style>
  <w:style w:type="character" w:customStyle="1" w:styleId="Heading5Char">
    <w:name w:val="Heading 5 Char"/>
    <w:basedOn w:val="DefaultParagraphFont"/>
    <w:link w:val="Heading5"/>
    <w:rsid w:val="0085053B"/>
    <w:rPr>
      <w:rFonts w:ascii="Georgia" w:eastAsia="Times New Roman" w:hAnsi="Georgia" w:cs="Times New Roman"/>
      <w:b/>
      <w:i/>
      <w:sz w:val="20"/>
      <w:szCs w:val="20"/>
    </w:rPr>
  </w:style>
  <w:style w:type="character" w:customStyle="1" w:styleId="Heading6Char">
    <w:name w:val="Heading 6 Char"/>
    <w:basedOn w:val="DefaultParagraphFont"/>
    <w:link w:val="Heading6"/>
    <w:rsid w:val="0085053B"/>
    <w:rPr>
      <w:rFonts w:ascii="Georgia" w:eastAsia="Times New Roman" w:hAnsi="Georgia" w:cs="Times New Roman"/>
      <w:b/>
      <w:szCs w:val="20"/>
    </w:rPr>
  </w:style>
  <w:style w:type="character" w:customStyle="1" w:styleId="Heading7Char">
    <w:name w:val="Heading 7 Char"/>
    <w:basedOn w:val="DefaultParagraphFont"/>
    <w:link w:val="Heading7"/>
    <w:rsid w:val="0085053B"/>
    <w:rPr>
      <w:rFonts w:ascii="Times New Roman" w:eastAsia="Times New Roman" w:hAnsi="Times New Roman" w:cs="Times New Roman"/>
      <w:b/>
      <w:bCs/>
      <w:sz w:val="24"/>
      <w:szCs w:val="24"/>
      <w:lang w:val="en-GB"/>
    </w:rPr>
  </w:style>
  <w:style w:type="character" w:customStyle="1" w:styleId="Heading8Char">
    <w:name w:val="Heading 8 Char"/>
    <w:basedOn w:val="DefaultParagraphFont"/>
    <w:link w:val="Heading8"/>
    <w:rsid w:val="0085053B"/>
    <w:rPr>
      <w:rFonts w:ascii="Times New Roman" w:eastAsia="Times New Roman" w:hAnsi="Times New Roman" w:cs="Times New Roman"/>
      <w:b/>
      <w:sz w:val="18"/>
      <w:szCs w:val="20"/>
      <w:lang w:val="en-AU"/>
    </w:rPr>
  </w:style>
  <w:style w:type="character" w:styleId="IntenseReference">
    <w:name w:val="Intense Reference"/>
    <w:uiPriority w:val="32"/>
    <w:qFormat/>
    <w:rsid w:val="0085053B"/>
    <w:rPr>
      <w:b/>
      <w:bCs/>
      <w:smallCaps/>
      <w:color w:val="C0504D"/>
      <w:spacing w:val="5"/>
      <w:u w:val="single"/>
    </w:rPr>
  </w:style>
  <w:style w:type="paragraph" w:styleId="NoSpacing">
    <w:name w:val="No Spacing"/>
    <w:link w:val="NoSpacingChar"/>
    <w:uiPriority w:val="1"/>
    <w:qFormat/>
    <w:rsid w:val="0085053B"/>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85053B"/>
    <w:rPr>
      <w:rFonts w:ascii="Calibri" w:eastAsia="Calibri" w:hAnsi="Calibri" w:cs="Times New Roman"/>
      <w:lang w:val="en-IN"/>
    </w:rPr>
  </w:style>
  <w:style w:type="character" w:styleId="FollowedHyperlink">
    <w:name w:val="FollowedHyperlink"/>
    <w:unhideWhenUsed/>
    <w:rsid w:val="0085053B"/>
    <w:rPr>
      <w:color w:val="800080"/>
      <w:u w:val="single"/>
    </w:rPr>
  </w:style>
  <w:style w:type="paragraph" w:customStyle="1" w:styleId="Casehead40">
    <w:name w:val="Casehead4"/>
    <w:basedOn w:val="Normal"/>
    <w:next w:val="Normal"/>
    <w:rsid w:val="0085053B"/>
    <w:pPr>
      <w:tabs>
        <w:tab w:val="left" w:pos="-1440"/>
        <w:tab w:val="left" w:pos="-720"/>
        <w:tab w:val="left" w:pos="1"/>
      </w:tabs>
      <w:jc w:val="both"/>
    </w:pPr>
    <w:rPr>
      <w:i/>
      <w:noProof/>
      <w:sz w:val="24"/>
    </w:rPr>
  </w:style>
  <w:style w:type="table" w:customStyle="1" w:styleId="TableGrid1">
    <w:name w:val="Table Grid1"/>
    <w:basedOn w:val="TableNormal"/>
    <w:next w:val="TableGrid"/>
    <w:uiPriority w:val="59"/>
    <w:rsid w:val="00850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85053B"/>
    <w:pPr>
      <w:spacing w:after="120"/>
      <w:ind w:left="360"/>
    </w:pPr>
  </w:style>
  <w:style w:type="character" w:customStyle="1" w:styleId="BodyTextIndentChar">
    <w:name w:val="Body Text Indent Char"/>
    <w:basedOn w:val="DefaultParagraphFont"/>
    <w:link w:val="BodyTextIndent"/>
    <w:rsid w:val="0085053B"/>
    <w:rPr>
      <w:rFonts w:ascii="Times New Roman" w:eastAsia="Times New Roman" w:hAnsi="Times New Roman" w:cs="Times New Roman"/>
      <w:sz w:val="20"/>
      <w:szCs w:val="20"/>
    </w:rPr>
  </w:style>
  <w:style w:type="paragraph" w:customStyle="1" w:styleId="NormalJustified">
    <w:name w:val="Normal + Justified"/>
    <w:basedOn w:val="BodyText"/>
    <w:rsid w:val="0085053B"/>
    <w:pPr>
      <w:spacing w:after="0"/>
      <w:jc w:val="both"/>
    </w:pPr>
    <w:rPr>
      <w:sz w:val="24"/>
      <w:szCs w:val="24"/>
    </w:rPr>
  </w:style>
  <w:style w:type="paragraph" w:customStyle="1" w:styleId="nsource1">
    <w:name w:val="nsource1"/>
    <w:basedOn w:val="Normal"/>
    <w:rsid w:val="0085053B"/>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85053B"/>
    <w:pPr>
      <w:spacing w:after="120"/>
      <w:ind w:left="360"/>
    </w:pPr>
    <w:rPr>
      <w:sz w:val="16"/>
      <w:szCs w:val="16"/>
    </w:rPr>
  </w:style>
  <w:style w:type="character" w:customStyle="1" w:styleId="BodyTextIndent3Char">
    <w:name w:val="Body Text Indent 3 Char"/>
    <w:basedOn w:val="DefaultParagraphFont"/>
    <w:link w:val="BodyTextIndent3"/>
    <w:rsid w:val="0085053B"/>
    <w:rPr>
      <w:rFonts w:ascii="Times New Roman" w:eastAsia="Times New Roman" w:hAnsi="Times New Roman" w:cs="Times New Roman"/>
      <w:sz w:val="16"/>
      <w:szCs w:val="16"/>
    </w:rPr>
  </w:style>
  <w:style w:type="character" w:styleId="PageNumber">
    <w:name w:val="page number"/>
    <w:basedOn w:val="DefaultParagraphFont"/>
    <w:rsid w:val="0085053B"/>
  </w:style>
  <w:style w:type="paragraph" w:styleId="Title">
    <w:name w:val="Title"/>
    <w:basedOn w:val="Normal"/>
    <w:link w:val="TitleChar"/>
    <w:qFormat/>
    <w:rsid w:val="0085053B"/>
    <w:pPr>
      <w:spacing w:after="240"/>
      <w:jc w:val="center"/>
    </w:pPr>
    <w:rPr>
      <w:b/>
      <w:sz w:val="24"/>
      <w:lang w:val="en-AU"/>
    </w:rPr>
  </w:style>
  <w:style w:type="character" w:customStyle="1" w:styleId="TitleChar">
    <w:name w:val="Title Char"/>
    <w:basedOn w:val="DefaultParagraphFont"/>
    <w:link w:val="Title"/>
    <w:rsid w:val="0085053B"/>
    <w:rPr>
      <w:rFonts w:ascii="Times New Roman" w:eastAsia="Times New Roman" w:hAnsi="Times New Roman" w:cs="Times New Roman"/>
      <w:b/>
      <w:sz w:val="24"/>
      <w:szCs w:val="20"/>
      <w:lang w:val="en-AU"/>
    </w:rPr>
  </w:style>
  <w:style w:type="table" w:customStyle="1" w:styleId="TableGrid11">
    <w:name w:val="Table Grid11"/>
    <w:basedOn w:val="TableNormal"/>
    <w:next w:val="TableGrid"/>
    <w:uiPriority w:val="59"/>
    <w:rsid w:val="0085053B"/>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1">
    <w:name w:val="Body 1"/>
    <w:rsid w:val="0085053B"/>
    <w:pPr>
      <w:spacing w:after="0" w:line="240" w:lineRule="auto"/>
      <w:outlineLvl w:val="0"/>
    </w:pPr>
    <w:rPr>
      <w:rFonts w:ascii="Times New Roman" w:eastAsia="Arial Unicode MS" w:hAnsi="Times New Roman" w:cs="Times New Roman"/>
      <w:color w:val="000000"/>
      <w:sz w:val="24"/>
      <w:szCs w:val="24"/>
      <w:u w:color="000000"/>
      <w:lang w:val="en-GB"/>
    </w:rPr>
  </w:style>
  <w:style w:type="paragraph" w:customStyle="1" w:styleId="Body">
    <w:name w:val="Body"/>
    <w:rsid w:val="0085053B"/>
    <w:pPr>
      <w:spacing w:after="0" w:line="240" w:lineRule="auto"/>
    </w:pPr>
    <w:rPr>
      <w:rFonts w:ascii="Helvetica" w:eastAsia="ヒラギノ角ゴ Pro W3" w:hAnsi="Helvetica" w:cs="Times New Roman"/>
      <w:color w:val="000000"/>
      <w:sz w:val="24"/>
      <w:szCs w:val="20"/>
    </w:rPr>
  </w:style>
  <w:style w:type="character" w:customStyle="1" w:styleId="Hyperlink1">
    <w:name w:val="Hyperlink1"/>
    <w:rsid w:val="0085053B"/>
    <w:rPr>
      <w:color w:val="0000FE"/>
      <w:sz w:val="20"/>
      <w:u w:val="single"/>
    </w:rPr>
  </w:style>
  <w:style w:type="character" w:customStyle="1" w:styleId="HTMLCite1">
    <w:name w:val="HTML Cite1"/>
    <w:rsid w:val="0085053B"/>
    <w:rPr>
      <w:rFonts w:ascii="Lucida Grande" w:eastAsia="ヒラギノ角ゴ Pro W3" w:hAnsi="Lucida Grande"/>
      <w:b w:val="0"/>
      <w:i w:val="0"/>
      <w:color w:val="000000"/>
      <w:sz w:val="20"/>
    </w:rPr>
  </w:style>
  <w:style w:type="character" w:customStyle="1" w:styleId="submitted">
    <w:name w:val="submitted"/>
    <w:basedOn w:val="DefaultParagraphFont"/>
    <w:rsid w:val="0085053B"/>
  </w:style>
  <w:style w:type="paragraph" w:styleId="BodyText2">
    <w:name w:val="Body Text 2"/>
    <w:basedOn w:val="Normal"/>
    <w:link w:val="BodyText2Char"/>
    <w:uiPriority w:val="99"/>
    <w:unhideWhenUsed/>
    <w:rsid w:val="0085053B"/>
    <w:pPr>
      <w:spacing w:before="100" w:beforeAutospacing="1" w:after="100" w:afterAutospacing="1"/>
    </w:pPr>
    <w:rPr>
      <w:sz w:val="24"/>
      <w:szCs w:val="24"/>
    </w:rPr>
  </w:style>
  <w:style w:type="character" w:customStyle="1" w:styleId="BodyText2Char">
    <w:name w:val="Body Text 2 Char"/>
    <w:basedOn w:val="DefaultParagraphFont"/>
    <w:link w:val="BodyText2"/>
    <w:uiPriority w:val="99"/>
    <w:rsid w:val="0085053B"/>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85053B"/>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5053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5053B"/>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5053B"/>
    <w:rPr>
      <w:rFonts w:ascii="Arial" w:eastAsia="Times New Roman" w:hAnsi="Arial" w:cs="Arial"/>
      <w:vanish/>
      <w:sz w:val="16"/>
      <w:szCs w:val="16"/>
    </w:rPr>
  </w:style>
  <w:style w:type="character" w:styleId="SubtleReference">
    <w:name w:val="Subtle Reference"/>
    <w:uiPriority w:val="31"/>
    <w:qFormat/>
    <w:rsid w:val="0085053B"/>
    <w:rPr>
      <w:smallCaps/>
      <w:color w:val="5A5A5A"/>
    </w:rPr>
  </w:style>
  <w:style w:type="paragraph" w:customStyle="1" w:styleId="Default">
    <w:name w:val="Default"/>
    <w:rsid w:val="0085053B"/>
    <w:pPr>
      <w:autoSpaceDE w:val="0"/>
      <w:autoSpaceDN w:val="0"/>
      <w:adjustRightInd w:val="0"/>
      <w:spacing w:after="0" w:line="240" w:lineRule="auto"/>
    </w:pPr>
    <w:rPr>
      <w:rFonts w:ascii="Tahoma" w:eastAsia="Calibri" w:hAnsi="Tahoma" w:cs="Tahoma"/>
      <w:color w:val="000000"/>
      <w:sz w:val="24"/>
      <w:szCs w:val="24"/>
    </w:rPr>
  </w:style>
  <w:style w:type="paragraph" w:customStyle="1" w:styleId="Bibliography1">
    <w:name w:val="Bibliography1"/>
    <w:basedOn w:val="Normal"/>
    <w:next w:val="Normal"/>
    <w:uiPriority w:val="37"/>
    <w:unhideWhenUsed/>
    <w:rsid w:val="0085053B"/>
    <w:pPr>
      <w:spacing w:after="200" w:line="276" w:lineRule="auto"/>
    </w:pPr>
    <w:rPr>
      <w:rFonts w:ascii="Calibri" w:eastAsia="Calibri" w:hAnsi="Calibri"/>
      <w:sz w:val="22"/>
      <w:szCs w:val="22"/>
    </w:rPr>
  </w:style>
  <w:style w:type="paragraph" w:customStyle="1" w:styleId="Author">
    <w:name w:val="Author"/>
    <w:basedOn w:val="Normal"/>
    <w:next w:val="Affiliation"/>
    <w:rsid w:val="0085053B"/>
    <w:pPr>
      <w:jc w:val="center"/>
    </w:pPr>
    <w:rPr>
      <w:rFonts w:ascii="Georgia" w:hAnsi="Georgia"/>
      <w:b/>
      <w:color w:val="000000"/>
      <w:sz w:val="26"/>
    </w:rPr>
  </w:style>
  <w:style w:type="paragraph" w:customStyle="1" w:styleId="Affiliation">
    <w:name w:val="Affiliation"/>
    <w:basedOn w:val="Normal"/>
    <w:next w:val="Email"/>
    <w:rsid w:val="0085053B"/>
    <w:pPr>
      <w:jc w:val="center"/>
    </w:pPr>
    <w:rPr>
      <w:rFonts w:ascii="Georgia" w:hAnsi="Georgia"/>
      <w:sz w:val="26"/>
    </w:rPr>
  </w:style>
  <w:style w:type="paragraph" w:customStyle="1" w:styleId="Email">
    <w:name w:val="Email"/>
    <w:basedOn w:val="Affiliation"/>
    <w:rsid w:val="0085053B"/>
  </w:style>
  <w:style w:type="paragraph" w:styleId="Caption">
    <w:name w:val="caption"/>
    <w:basedOn w:val="Normal"/>
    <w:next w:val="Normal"/>
    <w:qFormat/>
    <w:rsid w:val="0085053B"/>
    <w:pPr>
      <w:keepNext/>
      <w:spacing w:before="120" w:after="120"/>
      <w:jc w:val="center"/>
    </w:pPr>
    <w:rPr>
      <w:rFonts w:ascii="Georgia" w:hAnsi="Georgia"/>
      <w:b/>
    </w:rPr>
  </w:style>
  <w:style w:type="paragraph" w:styleId="Date">
    <w:name w:val="Date"/>
    <w:basedOn w:val="Normal"/>
    <w:next w:val="Normal"/>
    <w:link w:val="DateChar"/>
    <w:rsid w:val="0085053B"/>
    <w:pPr>
      <w:spacing w:after="120"/>
      <w:jc w:val="both"/>
    </w:pPr>
    <w:rPr>
      <w:rFonts w:ascii="Georgia" w:hAnsi="Georgia"/>
    </w:rPr>
  </w:style>
  <w:style w:type="character" w:customStyle="1" w:styleId="DateChar">
    <w:name w:val="Date Char"/>
    <w:basedOn w:val="DefaultParagraphFont"/>
    <w:link w:val="Date"/>
    <w:rsid w:val="0085053B"/>
    <w:rPr>
      <w:rFonts w:ascii="Georgia" w:eastAsia="Times New Roman" w:hAnsi="Georgia" w:cs="Times New Roman"/>
      <w:sz w:val="20"/>
      <w:szCs w:val="20"/>
    </w:rPr>
  </w:style>
  <w:style w:type="paragraph" w:styleId="DocumentMap">
    <w:name w:val="Document Map"/>
    <w:basedOn w:val="Normal"/>
    <w:link w:val="DocumentMapChar"/>
    <w:semiHidden/>
    <w:rsid w:val="0085053B"/>
    <w:pPr>
      <w:shd w:val="clear" w:color="auto" w:fill="000080"/>
      <w:spacing w:after="120"/>
      <w:jc w:val="both"/>
    </w:pPr>
    <w:rPr>
      <w:rFonts w:ascii="Tahoma" w:hAnsi="Tahoma"/>
    </w:rPr>
  </w:style>
  <w:style w:type="character" w:customStyle="1" w:styleId="DocumentMapChar">
    <w:name w:val="Document Map Char"/>
    <w:basedOn w:val="DefaultParagraphFont"/>
    <w:link w:val="DocumentMap"/>
    <w:semiHidden/>
    <w:rsid w:val="0085053B"/>
    <w:rPr>
      <w:rFonts w:ascii="Tahoma" w:eastAsia="Times New Roman" w:hAnsi="Tahoma" w:cs="Times New Roman"/>
      <w:sz w:val="20"/>
      <w:szCs w:val="20"/>
      <w:shd w:val="clear" w:color="auto" w:fill="000080"/>
    </w:rPr>
  </w:style>
  <w:style w:type="paragraph" w:styleId="Index1">
    <w:name w:val="index 1"/>
    <w:basedOn w:val="Normal"/>
    <w:next w:val="Normal"/>
    <w:autoRedefine/>
    <w:semiHidden/>
    <w:rsid w:val="0085053B"/>
    <w:pPr>
      <w:spacing w:after="120"/>
      <w:ind w:left="240" w:hanging="240"/>
      <w:jc w:val="both"/>
    </w:pPr>
    <w:rPr>
      <w:rFonts w:ascii="Georgia" w:hAnsi="Georgia"/>
    </w:rPr>
  </w:style>
  <w:style w:type="paragraph" w:styleId="Index2">
    <w:name w:val="index 2"/>
    <w:basedOn w:val="Normal"/>
    <w:next w:val="Normal"/>
    <w:autoRedefine/>
    <w:semiHidden/>
    <w:rsid w:val="0085053B"/>
    <w:pPr>
      <w:spacing w:after="120"/>
      <w:ind w:left="480" w:hanging="240"/>
      <w:jc w:val="both"/>
    </w:pPr>
    <w:rPr>
      <w:rFonts w:ascii="Georgia" w:hAnsi="Georgia"/>
    </w:rPr>
  </w:style>
  <w:style w:type="paragraph" w:styleId="Index3">
    <w:name w:val="index 3"/>
    <w:basedOn w:val="Normal"/>
    <w:next w:val="Normal"/>
    <w:autoRedefine/>
    <w:semiHidden/>
    <w:rsid w:val="0085053B"/>
    <w:pPr>
      <w:spacing w:after="120"/>
      <w:ind w:left="720" w:hanging="240"/>
      <w:jc w:val="both"/>
    </w:pPr>
    <w:rPr>
      <w:rFonts w:ascii="Georgia" w:hAnsi="Georgia"/>
    </w:rPr>
  </w:style>
  <w:style w:type="paragraph" w:styleId="Index4">
    <w:name w:val="index 4"/>
    <w:basedOn w:val="Normal"/>
    <w:next w:val="Normal"/>
    <w:autoRedefine/>
    <w:semiHidden/>
    <w:rsid w:val="0085053B"/>
    <w:pPr>
      <w:spacing w:after="120"/>
      <w:ind w:left="960" w:hanging="240"/>
      <w:jc w:val="both"/>
    </w:pPr>
    <w:rPr>
      <w:rFonts w:ascii="Georgia" w:hAnsi="Georgia"/>
    </w:rPr>
  </w:style>
  <w:style w:type="paragraph" w:styleId="Index5">
    <w:name w:val="index 5"/>
    <w:basedOn w:val="Normal"/>
    <w:next w:val="Normal"/>
    <w:autoRedefine/>
    <w:semiHidden/>
    <w:rsid w:val="0085053B"/>
    <w:pPr>
      <w:spacing w:after="120"/>
      <w:ind w:left="1200" w:hanging="240"/>
      <w:jc w:val="both"/>
    </w:pPr>
    <w:rPr>
      <w:rFonts w:ascii="Georgia" w:hAnsi="Georgia"/>
    </w:rPr>
  </w:style>
  <w:style w:type="paragraph" w:styleId="Index6">
    <w:name w:val="index 6"/>
    <w:basedOn w:val="Normal"/>
    <w:next w:val="Normal"/>
    <w:autoRedefine/>
    <w:semiHidden/>
    <w:rsid w:val="0085053B"/>
    <w:pPr>
      <w:spacing w:after="120"/>
      <w:ind w:left="1440" w:hanging="240"/>
      <w:jc w:val="both"/>
    </w:pPr>
    <w:rPr>
      <w:rFonts w:ascii="Georgia" w:hAnsi="Georgia"/>
    </w:rPr>
  </w:style>
  <w:style w:type="paragraph" w:styleId="Index7">
    <w:name w:val="index 7"/>
    <w:basedOn w:val="Normal"/>
    <w:next w:val="Normal"/>
    <w:autoRedefine/>
    <w:semiHidden/>
    <w:rsid w:val="0085053B"/>
    <w:pPr>
      <w:spacing w:after="120"/>
      <w:ind w:left="1680" w:hanging="240"/>
      <w:jc w:val="both"/>
    </w:pPr>
    <w:rPr>
      <w:rFonts w:ascii="Georgia" w:hAnsi="Georgia"/>
    </w:rPr>
  </w:style>
  <w:style w:type="paragraph" w:styleId="Index8">
    <w:name w:val="index 8"/>
    <w:basedOn w:val="Normal"/>
    <w:next w:val="Normal"/>
    <w:autoRedefine/>
    <w:semiHidden/>
    <w:rsid w:val="0085053B"/>
    <w:pPr>
      <w:spacing w:after="120"/>
      <w:ind w:left="1920" w:hanging="240"/>
      <w:jc w:val="both"/>
    </w:pPr>
    <w:rPr>
      <w:rFonts w:ascii="Georgia" w:hAnsi="Georgia"/>
    </w:rPr>
  </w:style>
  <w:style w:type="paragraph" w:styleId="Index9">
    <w:name w:val="index 9"/>
    <w:basedOn w:val="Normal"/>
    <w:next w:val="Normal"/>
    <w:autoRedefine/>
    <w:semiHidden/>
    <w:rsid w:val="0085053B"/>
    <w:pPr>
      <w:spacing w:after="120"/>
      <w:ind w:left="2160" w:hanging="240"/>
      <w:jc w:val="both"/>
    </w:pPr>
    <w:rPr>
      <w:rFonts w:ascii="Georgia" w:hAnsi="Georgia"/>
    </w:rPr>
  </w:style>
  <w:style w:type="paragraph" w:styleId="IndexHeading">
    <w:name w:val="index heading"/>
    <w:basedOn w:val="Normal"/>
    <w:next w:val="Index1"/>
    <w:semiHidden/>
    <w:rsid w:val="0085053B"/>
    <w:pPr>
      <w:spacing w:after="120"/>
      <w:jc w:val="both"/>
    </w:pPr>
    <w:rPr>
      <w:rFonts w:ascii="Arial" w:hAnsi="Arial"/>
      <w:b/>
    </w:rPr>
  </w:style>
  <w:style w:type="paragraph" w:styleId="ListBullet">
    <w:name w:val="List Bullet"/>
    <w:basedOn w:val="Normal"/>
    <w:autoRedefine/>
    <w:rsid w:val="0085053B"/>
    <w:pPr>
      <w:tabs>
        <w:tab w:val="num" w:pos="360"/>
      </w:tabs>
      <w:spacing w:after="120"/>
      <w:ind w:left="360" w:hanging="360"/>
      <w:jc w:val="both"/>
    </w:pPr>
    <w:rPr>
      <w:rFonts w:ascii="Georgia" w:hAnsi="Georgia"/>
    </w:rPr>
  </w:style>
  <w:style w:type="paragraph" w:styleId="ListBullet2">
    <w:name w:val="List Bullet 2"/>
    <w:basedOn w:val="Normal"/>
    <w:autoRedefine/>
    <w:rsid w:val="0085053B"/>
    <w:pPr>
      <w:tabs>
        <w:tab w:val="num" w:pos="720"/>
      </w:tabs>
      <w:spacing w:after="120"/>
      <w:ind w:left="720" w:hanging="360"/>
      <w:jc w:val="both"/>
    </w:pPr>
    <w:rPr>
      <w:rFonts w:ascii="Georgia" w:hAnsi="Georgia"/>
    </w:rPr>
  </w:style>
  <w:style w:type="paragraph" w:styleId="ListBullet3">
    <w:name w:val="List Bullet 3"/>
    <w:basedOn w:val="Normal"/>
    <w:autoRedefine/>
    <w:rsid w:val="0085053B"/>
    <w:pPr>
      <w:tabs>
        <w:tab w:val="num" w:pos="1080"/>
      </w:tabs>
      <w:spacing w:after="120"/>
      <w:ind w:left="1080" w:hanging="360"/>
      <w:jc w:val="both"/>
    </w:pPr>
    <w:rPr>
      <w:rFonts w:ascii="Georgia" w:hAnsi="Georgia"/>
    </w:rPr>
  </w:style>
  <w:style w:type="paragraph" w:styleId="ListBullet4">
    <w:name w:val="List Bullet 4"/>
    <w:basedOn w:val="Normal"/>
    <w:autoRedefine/>
    <w:rsid w:val="0085053B"/>
    <w:pPr>
      <w:tabs>
        <w:tab w:val="num" w:pos="1440"/>
      </w:tabs>
      <w:spacing w:after="120"/>
      <w:ind w:left="1440" w:hanging="360"/>
      <w:jc w:val="both"/>
    </w:pPr>
    <w:rPr>
      <w:rFonts w:ascii="Georgia" w:hAnsi="Georgia"/>
    </w:rPr>
  </w:style>
  <w:style w:type="paragraph" w:styleId="ListBullet5">
    <w:name w:val="List Bullet 5"/>
    <w:basedOn w:val="Normal"/>
    <w:autoRedefine/>
    <w:rsid w:val="0085053B"/>
    <w:pPr>
      <w:tabs>
        <w:tab w:val="num" w:pos="1800"/>
      </w:tabs>
      <w:spacing w:after="120"/>
      <w:ind w:left="1800" w:hanging="360"/>
      <w:jc w:val="both"/>
    </w:pPr>
    <w:rPr>
      <w:rFonts w:ascii="Georgia" w:hAnsi="Georgia"/>
    </w:rPr>
  </w:style>
  <w:style w:type="paragraph" w:styleId="ListNumber">
    <w:name w:val="List Number"/>
    <w:basedOn w:val="Normal"/>
    <w:rsid w:val="0085053B"/>
    <w:pPr>
      <w:tabs>
        <w:tab w:val="num" w:pos="360"/>
      </w:tabs>
      <w:spacing w:after="120"/>
      <w:ind w:left="360" w:hanging="360"/>
      <w:jc w:val="both"/>
    </w:pPr>
    <w:rPr>
      <w:rFonts w:ascii="Georgia" w:hAnsi="Georgia"/>
    </w:rPr>
  </w:style>
  <w:style w:type="paragraph" w:styleId="ListNumber2">
    <w:name w:val="List Number 2"/>
    <w:basedOn w:val="Normal"/>
    <w:rsid w:val="0085053B"/>
    <w:pPr>
      <w:tabs>
        <w:tab w:val="num" w:pos="720"/>
      </w:tabs>
      <w:spacing w:after="120"/>
      <w:ind w:left="720" w:hanging="360"/>
      <w:jc w:val="both"/>
    </w:pPr>
    <w:rPr>
      <w:rFonts w:ascii="Georgia" w:hAnsi="Georgia"/>
    </w:rPr>
  </w:style>
  <w:style w:type="paragraph" w:styleId="ListNumber3">
    <w:name w:val="List Number 3"/>
    <w:basedOn w:val="Normal"/>
    <w:rsid w:val="0085053B"/>
    <w:pPr>
      <w:tabs>
        <w:tab w:val="num" w:pos="1080"/>
      </w:tabs>
      <w:spacing w:after="120"/>
      <w:ind w:left="1080" w:hanging="360"/>
      <w:jc w:val="both"/>
    </w:pPr>
    <w:rPr>
      <w:rFonts w:ascii="Georgia" w:hAnsi="Georgia"/>
    </w:rPr>
  </w:style>
  <w:style w:type="paragraph" w:styleId="ListNumber4">
    <w:name w:val="List Number 4"/>
    <w:basedOn w:val="Normal"/>
    <w:rsid w:val="0085053B"/>
    <w:pPr>
      <w:tabs>
        <w:tab w:val="num" w:pos="1440"/>
      </w:tabs>
      <w:spacing w:after="120"/>
      <w:ind w:left="1440" w:hanging="360"/>
      <w:jc w:val="both"/>
    </w:pPr>
    <w:rPr>
      <w:rFonts w:ascii="Georgia" w:hAnsi="Georgia"/>
    </w:rPr>
  </w:style>
  <w:style w:type="paragraph" w:styleId="ListNumber5">
    <w:name w:val="List Number 5"/>
    <w:basedOn w:val="Normal"/>
    <w:rsid w:val="0085053B"/>
    <w:pPr>
      <w:tabs>
        <w:tab w:val="num" w:pos="1800"/>
      </w:tabs>
      <w:spacing w:after="120"/>
      <w:ind w:left="1800" w:hanging="360"/>
      <w:jc w:val="both"/>
    </w:pPr>
    <w:rPr>
      <w:rFonts w:ascii="Georgia" w:hAnsi="Georgia"/>
    </w:rPr>
  </w:style>
  <w:style w:type="paragraph" w:styleId="MacroText">
    <w:name w:val="macro"/>
    <w:link w:val="MacroTextChar"/>
    <w:semiHidden/>
    <w:rsid w:val="0085053B"/>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Times New Roman"/>
      <w:sz w:val="20"/>
      <w:szCs w:val="20"/>
    </w:rPr>
  </w:style>
  <w:style w:type="character" w:customStyle="1" w:styleId="MacroTextChar">
    <w:name w:val="Macro Text Char"/>
    <w:basedOn w:val="DefaultParagraphFont"/>
    <w:link w:val="MacroText"/>
    <w:semiHidden/>
    <w:rsid w:val="0085053B"/>
    <w:rPr>
      <w:rFonts w:ascii="Courier New" w:eastAsia="Times New Roman" w:hAnsi="Courier New" w:cs="Times New Roman"/>
      <w:sz w:val="20"/>
      <w:szCs w:val="20"/>
    </w:rPr>
  </w:style>
  <w:style w:type="paragraph" w:styleId="NoteHeading">
    <w:name w:val="Note Heading"/>
    <w:basedOn w:val="Normal"/>
    <w:next w:val="Normal"/>
    <w:link w:val="NoteHeadingChar"/>
    <w:rsid w:val="0085053B"/>
    <w:pPr>
      <w:spacing w:after="120"/>
      <w:jc w:val="both"/>
    </w:pPr>
    <w:rPr>
      <w:rFonts w:ascii="Georgia" w:hAnsi="Georgia"/>
    </w:rPr>
  </w:style>
  <w:style w:type="character" w:customStyle="1" w:styleId="NoteHeadingChar">
    <w:name w:val="Note Heading Char"/>
    <w:basedOn w:val="DefaultParagraphFont"/>
    <w:link w:val="NoteHeading"/>
    <w:rsid w:val="0085053B"/>
    <w:rPr>
      <w:rFonts w:ascii="Georgia" w:eastAsia="Times New Roman" w:hAnsi="Georgia" w:cs="Times New Roman"/>
      <w:sz w:val="20"/>
      <w:szCs w:val="20"/>
    </w:rPr>
  </w:style>
  <w:style w:type="paragraph" w:styleId="TableofAuthorities">
    <w:name w:val="table of authorities"/>
    <w:basedOn w:val="Normal"/>
    <w:next w:val="Normal"/>
    <w:semiHidden/>
    <w:rsid w:val="0085053B"/>
    <w:pPr>
      <w:spacing w:after="120"/>
      <w:ind w:left="240" w:hanging="240"/>
      <w:jc w:val="both"/>
    </w:pPr>
    <w:rPr>
      <w:rFonts w:ascii="Georgia" w:hAnsi="Georgia"/>
    </w:rPr>
  </w:style>
  <w:style w:type="paragraph" w:styleId="TableofFigures">
    <w:name w:val="table of figures"/>
    <w:basedOn w:val="Normal"/>
    <w:next w:val="Normal"/>
    <w:semiHidden/>
    <w:rsid w:val="0085053B"/>
    <w:pPr>
      <w:spacing w:after="120"/>
      <w:ind w:left="480" w:hanging="480"/>
      <w:jc w:val="both"/>
    </w:pPr>
    <w:rPr>
      <w:rFonts w:ascii="Georgia" w:hAnsi="Georgia"/>
    </w:rPr>
  </w:style>
  <w:style w:type="paragraph" w:styleId="TOAHeading">
    <w:name w:val="toa heading"/>
    <w:basedOn w:val="Normal"/>
    <w:next w:val="Normal"/>
    <w:semiHidden/>
    <w:rsid w:val="0085053B"/>
    <w:pPr>
      <w:spacing w:before="120" w:after="120"/>
      <w:jc w:val="both"/>
    </w:pPr>
    <w:rPr>
      <w:rFonts w:ascii="Arial" w:hAnsi="Arial"/>
      <w:b/>
    </w:rPr>
  </w:style>
  <w:style w:type="paragraph" w:styleId="TOC1">
    <w:name w:val="toc 1"/>
    <w:basedOn w:val="Normal"/>
    <w:next w:val="Normal"/>
    <w:autoRedefine/>
    <w:semiHidden/>
    <w:rsid w:val="0085053B"/>
    <w:pPr>
      <w:spacing w:after="120"/>
      <w:jc w:val="both"/>
    </w:pPr>
    <w:rPr>
      <w:rFonts w:ascii="Georgia" w:hAnsi="Georgia"/>
    </w:rPr>
  </w:style>
  <w:style w:type="paragraph" w:styleId="TOC2">
    <w:name w:val="toc 2"/>
    <w:basedOn w:val="Normal"/>
    <w:next w:val="Normal"/>
    <w:autoRedefine/>
    <w:semiHidden/>
    <w:rsid w:val="0085053B"/>
    <w:pPr>
      <w:spacing w:after="120"/>
      <w:ind w:left="240"/>
      <w:jc w:val="both"/>
    </w:pPr>
    <w:rPr>
      <w:rFonts w:ascii="Georgia" w:hAnsi="Georgia"/>
    </w:rPr>
  </w:style>
  <w:style w:type="paragraph" w:styleId="TOC3">
    <w:name w:val="toc 3"/>
    <w:basedOn w:val="Normal"/>
    <w:next w:val="Normal"/>
    <w:autoRedefine/>
    <w:semiHidden/>
    <w:rsid w:val="0085053B"/>
    <w:pPr>
      <w:spacing w:after="120"/>
      <w:ind w:left="480"/>
      <w:jc w:val="both"/>
    </w:pPr>
    <w:rPr>
      <w:rFonts w:ascii="Georgia" w:hAnsi="Georgia"/>
    </w:rPr>
  </w:style>
  <w:style w:type="paragraph" w:styleId="TOC4">
    <w:name w:val="toc 4"/>
    <w:basedOn w:val="Normal"/>
    <w:next w:val="Normal"/>
    <w:autoRedefine/>
    <w:semiHidden/>
    <w:rsid w:val="0085053B"/>
    <w:pPr>
      <w:spacing w:after="120"/>
      <w:ind w:left="720"/>
      <w:jc w:val="both"/>
    </w:pPr>
    <w:rPr>
      <w:rFonts w:ascii="Georgia" w:hAnsi="Georgia"/>
    </w:rPr>
  </w:style>
  <w:style w:type="paragraph" w:styleId="TOC5">
    <w:name w:val="toc 5"/>
    <w:basedOn w:val="Normal"/>
    <w:next w:val="Normal"/>
    <w:autoRedefine/>
    <w:semiHidden/>
    <w:rsid w:val="0085053B"/>
    <w:pPr>
      <w:spacing w:after="120"/>
      <w:ind w:left="960"/>
      <w:jc w:val="both"/>
    </w:pPr>
    <w:rPr>
      <w:rFonts w:ascii="Georgia" w:hAnsi="Georgia"/>
    </w:rPr>
  </w:style>
  <w:style w:type="paragraph" w:styleId="TOC6">
    <w:name w:val="toc 6"/>
    <w:basedOn w:val="Normal"/>
    <w:next w:val="Normal"/>
    <w:autoRedefine/>
    <w:semiHidden/>
    <w:rsid w:val="0085053B"/>
    <w:pPr>
      <w:spacing w:after="120"/>
      <w:ind w:left="1200"/>
      <w:jc w:val="both"/>
    </w:pPr>
    <w:rPr>
      <w:rFonts w:ascii="Georgia" w:hAnsi="Georgia"/>
    </w:rPr>
  </w:style>
  <w:style w:type="paragraph" w:styleId="TOC7">
    <w:name w:val="toc 7"/>
    <w:basedOn w:val="Normal"/>
    <w:next w:val="Normal"/>
    <w:autoRedefine/>
    <w:semiHidden/>
    <w:rsid w:val="0085053B"/>
    <w:pPr>
      <w:spacing w:after="120"/>
      <w:ind w:left="1440"/>
      <w:jc w:val="both"/>
    </w:pPr>
    <w:rPr>
      <w:rFonts w:ascii="Georgia" w:hAnsi="Georgia"/>
    </w:rPr>
  </w:style>
  <w:style w:type="paragraph" w:styleId="TOC8">
    <w:name w:val="toc 8"/>
    <w:basedOn w:val="Normal"/>
    <w:next w:val="Normal"/>
    <w:autoRedefine/>
    <w:semiHidden/>
    <w:rsid w:val="0085053B"/>
    <w:pPr>
      <w:spacing w:after="120"/>
      <w:ind w:left="1680"/>
      <w:jc w:val="both"/>
    </w:pPr>
    <w:rPr>
      <w:rFonts w:ascii="Georgia" w:hAnsi="Georgia"/>
    </w:rPr>
  </w:style>
  <w:style w:type="paragraph" w:styleId="TOC9">
    <w:name w:val="toc 9"/>
    <w:basedOn w:val="Normal"/>
    <w:next w:val="Normal"/>
    <w:autoRedefine/>
    <w:semiHidden/>
    <w:rsid w:val="0085053B"/>
    <w:pPr>
      <w:spacing w:after="120"/>
      <w:ind w:left="1920"/>
      <w:jc w:val="both"/>
    </w:pPr>
    <w:rPr>
      <w:rFonts w:ascii="Georgia" w:hAnsi="Georgia"/>
    </w:rPr>
  </w:style>
  <w:style w:type="paragraph" w:customStyle="1" w:styleId="Bullet">
    <w:name w:val="Bullet"/>
    <w:basedOn w:val="Normal"/>
    <w:rsid w:val="0085053B"/>
    <w:pPr>
      <w:numPr>
        <w:numId w:val="1"/>
      </w:numPr>
      <w:tabs>
        <w:tab w:val="clear" w:pos="720"/>
        <w:tab w:val="left" w:pos="180"/>
      </w:tabs>
      <w:overflowPunct w:val="0"/>
      <w:autoSpaceDE w:val="0"/>
      <w:autoSpaceDN w:val="0"/>
      <w:adjustRightInd w:val="0"/>
      <w:spacing w:after="80"/>
      <w:ind w:left="180" w:hanging="180"/>
      <w:jc w:val="both"/>
      <w:textAlignment w:val="baseline"/>
    </w:pPr>
    <w:rPr>
      <w:rFonts w:ascii="Georgia" w:hAnsi="Georgia"/>
    </w:rPr>
  </w:style>
  <w:style w:type="paragraph" w:customStyle="1" w:styleId="References">
    <w:name w:val="References"/>
    <w:basedOn w:val="Normal"/>
    <w:autoRedefine/>
    <w:rsid w:val="0085053B"/>
    <w:pPr>
      <w:overflowPunct w:val="0"/>
      <w:autoSpaceDE w:val="0"/>
      <w:autoSpaceDN w:val="0"/>
      <w:adjustRightInd w:val="0"/>
      <w:ind w:left="360" w:hanging="360"/>
      <w:jc w:val="both"/>
      <w:textAlignment w:val="baseline"/>
    </w:pPr>
    <w:rPr>
      <w:rFonts w:ascii="Georgia" w:hAnsi="Georgia"/>
    </w:rPr>
  </w:style>
  <w:style w:type="paragraph" w:customStyle="1" w:styleId="AbstractHeader">
    <w:name w:val="AbstractHeader"/>
    <w:basedOn w:val="Normal"/>
    <w:next w:val="AbstractText"/>
    <w:rsid w:val="0085053B"/>
    <w:pPr>
      <w:spacing w:before="200" w:after="200"/>
      <w:jc w:val="center"/>
    </w:pPr>
    <w:rPr>
      <w:rFonts w:ascii="Georgia" w:hAnsi="Georgia"/>
      <w:b/>
      <w:kern w:val="28"/>
      <w:sz w:val="26"/>
      <w:szCs w:val="26"/>
    </w:rPr>
  </w:style>
  <w:style w:type="paragraph" w:customStyle="1" w:styleId="AbstractText">
    <w:name w:val="AbstractText"/>
    <w:basedOn w:val="Normal"/>
    <w:next w:val="Keyword"/>
    <w:rsid w:val="0085053B"/>
    <w:pPr>
      <w:spacing w:after="200"/>
      <w:ind w:left="720" w:right="720"/>
      <w:jc w:val="both"/>
    </w:pPr>
    <w:rPr>
      <w:rFonts w:ascii="Georgia" w:hAnsi="Georgia"/>
      <w:i/>
    </w:rPr>
  </w:style>
  <w:style w:type="paragraph" w:customStyle="1" w:styleId="Keyword">
    <w:name w:val="Keyword"/>
    <w:basedOn w:val="Normal"/>
    <w:next w:val="Heading1"/>
    <w:link w:val="KeywordChar"/>
    <w:rsid w:val="0085053B"/>
    <w:pPr>
      <w:ind w:firstLine="720"/>
      <w:jc w:val="both"/>
    </w:pPr>
    <w:rPr>
      <w:rFonts w:ascii="Arial" w:eastAsia="SimSun" w:hAnsi="Arial"/>
    </w:rPr>
  </w:style>
  <w:style w:type="character" w:customStyle="1" w:styleId="KeywordChar">
    <w:name w:val="Keyword Char"/>
    <w:link w:val="Keyword"/>
    <w:rsid w:val="0085053B"/>
    <w:rPr>
      <w:rFonts w:ascii="Arial" w:eastAsia="SimSun" w:hAnsi="Arial" w:cs="Times New Roman"/>
      <w:sz w:val="20"/>
      <w:szCs w:val="20"/>
    </w:rPr>
  </w:style>
  <w:style w:type="paragraph" w:customStyle="1" w:styleId="Figure">
    <w:name w:val="Figure"/>
    <w:basedOn w:val="Normal"/>
    <w:rsid w:val="0085053B"/>
    <w:pPr>
      <w:jc w:val="both"/>
    </w:pPr>
    <w:rPr>
      <w:rFonts w:ascii="Georgia" w:hAnsi="Georgia"/>
    </w:rPr>
  </w:style>
  <w:style w:type="paragraph" w:customStyle="1" w:styleId="Copyright">
    <w:name w:val="Copyright"/>
    <w:basedOn w:val="Normal"/>
    <w:rsid w:val="0085053B"/>
    <w:pPr>
      <w:framePr w:w="4680" w:h="1977" w:hRule="exact" w:hSpace="187" w:wrap="auto" w:vAnchor="page" w:hAnchor="page" w:x="1155" w:y="12605" w:anchorLock="1"/>
      <w:jc w:val="both"/>
    </w:pPr>
    <w:rPr>
      <w:rFonts w:ascii="Georgia" w:hAnsi="Georgia"/>
      <w:sz w:val="16"/>
    </w:rPr>
  </w:style>
  <w:style w:type="paragraph" w:customStyle="1" w:styleId="TableText">
    <w:name w:val="Table Text"/>
    <w:basedOn w:val="Normal"/>
    <w:rsid w:val="0085053B"/>
    <w:pPr>
      <w:keepLines/>
      <w:spacing w:before="40" w:after="40"/>
    </w:pPr>
    <w:rPr>
      <w:rFonts w:ascii="Georgia" w:hAnsi="Georgia"/>
    </w:rPr>
  </w:style>
  <w:style w:type="paragraph" w:customStyle="1" w:styleId="SpecialStyle">
    <w:name w:val="SpecialStyle"/>
    <w:basedOn w:val="Normal"/>
    <w:link w:val="SpecialStyleChar"/>
    <w:rsid w:val="0085053B"/>
    <w:pPr>
      <w:spacing w:after="120"/>
      <w:jc w:val="both"/>
    </w:pPr>
    <w:rPr>
      <w:rFonts w:ascii="Courier New" w:eastAsia="SimSun" w:hAnsi="Courier New"/>
    </w:rPr>
  </w:style>
  <w:style w:type="character" w:customStyle="1" w:styleId="SpecialStyleChar">
    <w:name w:val="SpecialStyle Char"/>
    <w:link w:val="SpecialStyle"/>
    <w:rsid w:val="0085053B"/>
    <w:rPr>
      <w:rFonts w:ascii="Courier New" w:eastAsia="SimSun" w:hAnsi="Courier New" w:cs="Times New Roman"/>
      <w:sz w:val="20"/>
      <w:szCs w:val="20"/>
    </w:rPr>
  </w:style>
  <w:style w:type="paragraph" w:customStyle="1" w:styleId="FigureCaption">
    <w:name w:val="FigureCaption"/>
    <w:autoRedefine/>
    <w:rsid w:val="0085053B"/>
    <w:pPr>
      <w:spacing w:before="120" w:after="120" w:line="240" w:lineRule="auto"/>
      <w:jc w:val="center"/>
    </w:pPr>
    <w:rPr>
      <w:rFonts w:ascii="Times New Roman" w:eastAsia="Times New Roman" w:hAnsi="Times New Roman" w:cs="Times New Roman"/>
      <w:b/>
      <w:sz w:val="20"/>
      <w:szCs w:val="20"/>
    </w:rPr>
  </w:style>
  <w:style w:type="paragraph" w:customStyle="1" w:styleId="TableCaption">
    <w:name w:val="TableCaption"/>
    <w:basedOn w:val="FigureCaption"/>
    <w:rsid w:val="0085053B"/>
  </w:style>
  <w:style w:type="paragraph" w:customStyle="1" w:styleId="TrackName">
    <w:name w:val="TrackName"/>
    <w:basedOn w:val="Email"/>
    <w:rsid w:val="0085053B"/>
    <w:pPr>
      <w:spacing w:after="120"/>
    </w:pPr>
    <w:rPr>
      <w:i/>
      <w:sz w:val="24"/>
    </w:rPr>
  </w:style>
  <w:style w:type="paragraph" w:customStyle="1" w:styleId="Basictext">
    <w:name w:val="Basic text"/>
    <w:uiPriority w:val="99"/>
    <w:rsid w:val="0085053B"/>
    <w:pPr>
      <w:spacing w:before="120" w:after="0" w:line="240" w:lineRule="auto"/>
      <w:jc w:val="both"/>
    </w:pPr>
    <w:rPr>
      <w:rFonts w:ascii="Times New Roman" w:eastAsia="PMingLiU" w:hAnsi="Times New Roman" w:cs="Arial"/>
      <w:color w:val="000000"/>
      <w:szCs w:val="15"/>
      <w:lang w:val="en-GB"/>
    </w:rPr>
  </w:style>
  <w:style w:type="table" w:styleId="TableGrid7">
    <w:name w:val="Table Grid 7"/>
    <w:basedOn w:val="TableNormal"/>
    <w:rsid w:val="0085053B"/>
    <w:pPr>
      <w:spacing w:after="120" w:line="240" w:lineRule="auto"/>
      <w:jc w:val="both"/>
    </w:pPr>
    <w:rPr>
      <w:rFonts w:ascii="Times" w:eastAsia="SimSun" w:hAnsi="Times"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Referencelist">
    <w:name w:val="Reference list"/>
    <w:basedOn w:val="Basictext"/>
    <w:rsid w:val="0085053B"/>
    <w:pPr>
      <w:spacing w:before="0"/>
      <w:ind w:left="284" w:hanging="284"/>
      <w:jc w:val="left"/>
    </w:pPr>
  </w:style>
  <w:style w:type="table" w:customStyle="1" w:styleId="TableGrid2">
    <w:name w:val="Table Grid2"/>
    <w:basedOn w:val="TableNormal"/>
    <w:next w:val="TableGrid"/>
    <w:uiPriority w:val="59"/>
    <w:rsid w:val="0085053B"/>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85053B"/>
  </w:style>
  <w:style w:type="table" w:customStyle="1" w:styleId="LightList-Accent11">
    <w:name w:val="Light List - Accent 11"/>
    <w:basedOn w:val="TableNormal"/>
    <w:uiPriority w:val="61"/>
    <w:rsid w:val="0085053B"/>
    <w:pPr>
      <w:spacing w:after="0" w:line="240" w:lineRule="auto"/>
    </w:pPr>
    <w:rPr>
      <w:rFonts w:eastAsiaTheme="minorEastAsia"/>
      <w:sz w:val="24"/>
      <w:szCs w:val="24"/>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ColorfulList1">
    <w:name w:val="Colorful List1"/>
    <w:basedOn w:val="TableNormal"/>
    <w:uiPriority w:val="72"/>
    <w:rsid w:val="0085053B"/>
    <w:pPr>
      <w:spacing w:after="0" w:line="240" w:lineRule="auto"/>
    </w:pPr>
    <w:rPr>
      <w:rFonts w:eastAsiaTheme="minorEastAsia"/>
      <w:color w:val="000000" w:themeColor="text1"/>
      <w:sz w:val="24"/>
      <w:szCs w:val="24"/>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customStyle="1" w:styleId="timertqticker">
    <w:name w:val="time_rtq_ticker"/>
    <w:basedOn w:val="DefaultParagraphFont"/>
    <w:rsid w:val="0085053B"/>
  </w:style>
  <w:style w:type="table" w:customStyle="1" w:styleId="TableGrid3">
    <w:name w:val="Table Grid3"/>
    <w:basedOn w:val="TableNormal"/>
    <w:next w:val="TableGrid"/>
    <w:uiPriority w:val="59"/>
    <w:rsid w:val="0085053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95202">
      <w:bodyDiv w:val="1"/>
      <w:marLeft w:val="0"/>
      <w:marRight w:val="0"/>
      <w:marTop w:val="0"/>
      <w:marBottom w:val="0"/>
      <w:divBdr>
        <w:top w:val="none" w:sz="0" w:space="0" w:color="auto"/>
        <w:left w:val="none" w:sz="0" w:space="0" w:color="auto"/>
        <w:bottom w:val="none" w:sz="0" w:space="0" w:color="auto"/>
        <w:right w:val="none" w:sz="0" w:space="0" w:color="auto"/>
      </w:divBdr>
      <w:divsChild>
        <w:div w:id="878862721">
          <w:marLeft w:val="0"/>
          <w:marRight w:val="0"/>
          <w:marTop w:val="0"/>
          <w:marBottom w:val="0"/>
          <w:divBdr>
            <w:top w:val="none" w:sz="0" w:space="0" w:color="auto"/>
            <w:left w:val="none" w:sz="0" w:space="0" w:color="auto"/>
            <w:bottom w:val="none" w:sz="0" w:space="0" w:color="auto"/>
            <w:right w:val="none" w:sz="0" w:space="0" w:color="auto"/>
          </w:divBdr>
        </w:div>
        <w:div w:id="758448342">
          <w:marLeft w:val="0"/>
          <w:marRight w:val="0"/>
          <w:marTop w:val="0"/>
          <w:marBottom w:val="0"/>
          <w:divBdr>
            <w:top w:val="none" w:sz="0" w:space="0" w:color="auto"/>
            <w:left w:val="none" w:sz="0" w:space="0" w:color="auto"/>
            <w:bottom w:val="none" w:sz="0" w:space="0" w:color="auto"/>
            <w:right w:val="none" w:sz="0" w:space="0" w:color="auto"/>
          </w:divBdr>
        </w:div>
      </w:divsChild>
    </w:div>
    <w:div w:id="392506493">
      <w:bodyDiv w:val="1"/>
      <w:marLeft w:val="0"/>
      <w:marRight w:val="0"/>
      <w:marTop w:val="0"/>
      <w:marBottom w:val="0"/>
      <w:divBdr>
        <w:top w:val="none" w:sz="0" w:space="0" w:color="auto"/>
        <w:left w:val="none" w:sz="0" w:space="0" w:color="auto"/>
        <w:bottom w:val="none" w:sz="0" w:space="0" w:color="auto"/>
        <w:right w:val="none" w:sz="0" w:space="0" w:color="auto"/>
      </w:divBdr>
    </w:div>
    <w:div w:id="492263361">
      <w:bodyDiv w:val="1"/>
      <w:marLeft w:val="0"/>
      <w:marRight w:val="0"/>
      <w:marTop w:val="0"/>
      <w:marBottom w:val="0"/>
      <w:divBdr>
        <w:top w:val="none" w:sz="0" w:space="0" w:color="auto"/>
        <w:left w:val="none" w:sz="0" w:space="0" w:color="auto"/>
        <w:bottom w:val="none" w:sz="0" w:space="0" w:color="auto"/>
        <w:right w:val="none" w:sz="0" w:space="0" w:color="auto"/>
      </w:divBdr>
    </w:div>
    <w:div w:id="492330836">
      <w:bodyDiv w:val="1"/>
      <w:marLeft w:val="0"/>
      <w:marRight w:val="0"/>
      <w:marTop w:val="0"/>
      <w:marBottom w:val="0"/>
      <w:divBdr>
        <w:top w:val="none" w:sz="0" w:space="0" w:color="auto"/>
        <w:left w:val="none" w:sz="0" w:space="0" w:color="auto"/>
        <w:bottom w:val="none" w:sz="0" w:space="0" w:color="auto"/>
        <w:right w:val="none" w:sz="0" w:space="0" w:color="auto"/>
      </w:divBdr>
    </w:div>
    <w:div w:id="669137880">
      <w:bodyDiv w:val="1"/>
      <w:marLeft w:val="0"/>
      <w:marRight w:val="0"/>
      <w:marTop w:val="0"/>
      <w:marBottom w:val="0"/>
      <w:divBdr>
        <w:top w:val="none" w:sz="0" w:space="0" w:color="auto"/>
        <w:left w:val="none" w:sz="0" w:space="0" w:color="auto"/>
        <w:bottom w:val="none" w:sz="0" w:space="0" w:color="auto"/>
        <w:right w:val="none" w:sz="0" w:space="0" w:color="auto"/>
      </w:divBdr>
    </w:div>
    <w:div w:id="707879851">
      <w:bodyDiv w:val="1"/>
      <w:marLeft w:val="0"/>
      <w:marRight w:val="0"/>
      <w:marTop w:val="0"/>
      <w:marBottom w:val="0"/>
      <w:divBdr>
        <w:top w:val="none" w:sz="0" w:space="0" w:color="auto"/>
        <w:left w:val="none" w:sz="0" w:space="0" w:color="auto"/>
        <w:bottom w:val="none" w:sz="0" w:space="0" w:color="auto"/>
        <w:right w:val="none" w:sz="0" w:space="0" w:color="auto"/>
      </w:divBdr>
      <w:divsChild>
        <w:div w:id="723992151">
          <w:marLeft w:val="0"/>
          <w:marRight w:val="0"/>
          <w:marTop w:val="0"/>
          <w:marBottom w:val="0"/>
          <w:divBdr>
            <w:top w:val="none" w:sz="0" w:space="0" w:color="auto"/>
            <w:left w:val="none" w:sz="0" w:space="0" w:color="auto"/>
            <w:bottom w:val="none" w:sz="0" w:space="0" w:color="auto"/>
            <w:right w:val="none" w:sz="0" w:space="0" w:color="auto"/>
          </w:divBdr>
        </w:div>
        <w:div w:id="628901537">
          <w:marLeft w:val="0"/>
          <w:marRight w:val="0"/>
          <w:marTop w:val="0"/>
          <w:marBottom w:val="0"/>
          <w:divBdr>
            <w:top w:val="none" w:sz="0" w:space="0" w:color="auto"/>
            <w:left w:val="none" w:sz="0" w:space="0" w:color="auto"/>
            <w:bottom w:val="none" w:sz="0" w:space="0" w:color="auto"/>
            <w:right w:val="none" w:sz="0" w:space="0" w:color="auto"/>
          </w:divBdr>
        </w:div>
      </w:divsChild>
    </w:div>
    <w:div w:id="746002133">
      <w:bodyDiv w:val="1"/>
      <w:marLeft w:val="0"/>
      <w:marRight w:val="0"/>
      <w:marTop w:val="0"/>
      <w:marBottom w:val="0"/>
      <w:divBdr>
        <w:top w:val="none" w:sz="0" w:space="0" w:color="auto"/>
        <w:left w:val="none" w:sz="0" w:space="0" w:color="auto"/>
        <w:bottom w:val="none" w:sz="0" w:space="0" w:color="auto"/>
        <w:right w:val="none" w:sz="0" w:space="0" w:color="auto"/>
      </w:divBdr>
    </w:div>
    <w:div w:id="780759297">
      <w:bodyDiv w:val="1"/>
      <w:marLeft w:val="0"/>
      <w:marRight w:val="0"/>
      <w:marTop w:val="0"/>
      <w:marBottom w:val="0"/>
      <w:divBdr>
        <w:top w:val="none" w:sz="0" w:space="0" w:color="auto"/>
        <w:left w:val="none" w:sz="0" w:space="0" w:color="auto"/>
        <w:bottom w:val="none" w:sz="0" w:space="0" w:color="auto"/>
        <w:right w:val="none" w:sz="0" w:space="0" w:color="auto"/>
      </w:divBdr>
    </w:div>
    <w:div w:id="795953904">
      <w:bodyDiv w:val="1"/>
      <w:marLeft w:val="0"/>
      <w:marRight w:val="0"/>
      <w:marTop w:val="0"/>
      <w:marBottom w:val="0"/>
      <w:divBdr>
        <w:top w:val="none" w:sz="0" w:space="0" w:color="auto"/>
        <w:left w:val="none" w:sz="0" w:space="0" w:color="auto"/>
        <w:bottom w:val="none" w:sz="0" w:space="0" w:color="auto"/>
        <w:right w:val="none" w:sz="0" w:space="0" w:color="auto"/>
      </w:divBdr>
    </w:div>
    <w:div w:id="923800054">
      <w:bodyDiv w:val="1"/>
      <w:marLeft w:val="0"/>
      <w:marRight w:val="0"/>
      <w:marTop w:val="0"/>
      <w:marBottom w:val="0"/>
      <w:divBdr>
        <w:top w:val="none" w:sz="0" w:space="0" w:color="auto"/>
        <w:left w:val="none" w:sz="0" w:space="0" w:color="auto"/>
        <w:bottom w:val="none" w:sz="0" w:space="0" w:color="auto"/>
        <w:right w:val="none" w:sz="0" w:space="0" w:color="auto"/>
      </w:divBdr>
    </w:div>
    <w:div w:id="1044141108">
      <w:bodyDiv w:val="1"/>
      <w:marLeft w:val="0"/>
      <w:marRight w:val="0"/>
      <w:marTop w:val="0"/>
      <w:marBottom w:val="0"/>
      <w:divBdr>
        <w:top w:val="none" w:sz="0" w:space="0" w:color="auto"/>
        <w:left w:val="none" w:sz="0" w:space="0" w:color="auto"/>
        <w:bottom w:val="none" w:sz="0" w:space="0" w:color="auto"/>
        <w:right w:val="none" w:sz="0" w:space="0" w:color="auto"/>
      </w:divBdr>
    </w:div>
    <w:div w:id="1100487809">
      <w:bodyDiv w:val="1"/>
      <w:marLeft w:val="0"/>
      <w:marRight w:val="0"/>
      <w:marTop w:val="0"/>
      <w:marBottom w:val="0"/>
      <w:divBdr>
        <w:top w:val="none" w:sz="0" w:space="0" w:color="auto"/>
        <w:left w:val="none" w:sz="0" w:space="0" w:color="auto"/>
        <w:bottom w:val="none" w:sz="0" w:space="0" w:color="auto"/>
        <w:right w:val="none" w:sz="0" w:space="0" w:color="auto"/>
      </w:divBdr>
    </w:div>
    <w:div w:id="1209877370">
      <w:bodyDiv w:val="1"/>
      <w:marLeft w:val="0"/>
      <w:marRight w:val="0"/>
      <w:marTop w:val="0"/>
      <w:marBottom w:val="0"/>
      <w:divBdr>
        <w:top w:val="none" w:sz="0" w:space="0" w:color="auto"/>
        <w:left w:val="none" w:sz="0" w:space="0" w:color="auto"/>
        <w:bottom w:val="none" w:sz="0" w:space="0" w:color="auto"/>
        <w:right w:val="none" w:sz="0" w:space="0" w:color="auto"/>
      </w:divBdr>
    </w:div>
    <w:div w:id="1375693573">
      <w:bodyDiv w:val="1"/>
      <w:marLeft w:val="0"/>
      <w:marRight w:val="0"/>
      <w:marTop w:val="0"/>
      <w:marBottom w:val="0"/>
      <w:divBdr>
        <w:top w:val="none" w:sz="0" w:space="0" w:color="auto"/>
        <w:left w:val="none" w:sz="0" w:space="0" w:color="auto"/>
        <w:bottom w:val="none" w:sz="0" w:space="0" w:color="auto"/>
        <w:right w:val="none" w:sz="0" w:space="0" w:color="auto"/>
      </w:divBdr>
    </w:div>
    <w:div w:id="1412199257">
      <w:bodyDiv w:val="1"/>
      <w:marLeft w:val="0"/>
      <w:marRight w:val="0"/>
      <w:marTop w:val="0"/>
      <w:marBottom w:val="0"/>
      <w:divBdr>
        <w:top w:val="none" w:sz="0" w:space="0" w:color="auto"/>
        <w:left w:val="none" w:sz="0" w:space="0" w:color="auto"/>
        <w:bottom w:val="none" w:sz="0" w:space="0" w:color="auto"/>
        <w:right w:val="none" w:sz="0" w:space="0" w:color="auto"/>
      </w:divBdr>
    </w:div>
    <w:div w:id="1581715048">
      <w:bodyDiv w:val="1"/>
      <w:marLeft w:val="0"/>
      <w:marRight w:val="0"/>
      <w:marTop w:val="0"/>
      <w:marBottom w:val="0"/>
      <w:divBdr>
        <w:top w:val="none" w:sz="0" w:space="0" w:color="auto"/>
        <w:left w:val="none" w:sz="0" w:space="0" w:color="auto"/>
        <w:bottom w:val="none" w:sz="0" w:space="0" w:color="auto"/>
        <w:right w:val="none" w:sz="0" w:space="0" w:color="auto"/>
      </w:divBdr>
    </w:div>
    <w:div w:id="1896811629">
      <w:bodyDiv w:val="1"/>
      <w:marLeft w:val="0"/>
      <w:marRight w:val="0"/>
      <w:marTop w:val="0"/>
      <w:marBottom w:val="0"/>
      <w:divBdr>
        <w:top w:val="none" w:sz="0" w:space="0" w:color="auto"/>
        <w:left w:val="none" w:sz="0" w:space="0" w:color="auto"/>
        <w:bottom w:val="none" w:sz="0" w:space="0" w:color="auto"/>
        <w:right w:val="none" w:sz="0" w:space="0" w:color="auto"/>
      </w:divBdr>
      <w:divsChild>
        <w:div w:id="208540699">
          <w:marLeft w:val="0"/>
          <w:marRight w:val="0"/>
          <w:marTop w:val="0"/>
          <w:marBottom w:val="0"/>
          <w:divBdr>
            <w:top w:val="none" w:sz="0" w:space="0" w:color="auto"/>
            <w:left w:val="none" w:sz="0" w:space="0" w:color="auto"/>
            <w:bottom w:val="none" w:sz="0" w:space="0" w:color="auto"/>
            <w:right w:val="none" w:sz="0" w:space="0" w:color="auto"/>
          </w:divBdr>
        </w:div>
        <w:div w:id="1480146221">
          <w:marLeft w:val="0"/>
          <w:marRight w:val="0"/>
          <w:marTop w:val="0"/>
          <w:marBottom w:val="0"/>
          <w:divBdr>
            <w:top w:val="none" w:sz="0" w:space="0" w:color="auto"/>
            <w:left w:val="none" w:sz="0" w:space="0" w:color="auto"/>
            <w:bottom w:val="none" w:sz="0" w:space="0" w:color="auto"/>
            <w:right w:val="none" w:sz="0" w:space="0" w:color="auto"/>
          </w:divBdr>
        </w:div>
      </w:divsChild>
    </w:div>
    <w:div w:id="1973291336">
      <w:bodyDiv w:val="1"/>
      <w:marLeft w:val="0"/>
      <w:marRight w:val="0"/>
      <w:marTop w:val="0"/>
      <w:marBottom w:val="0"/>
      <w:divBdr>
        <w:top w:val="none" w:sz="0" w:space="0" w:color="auto"/>
        <w:left w:val="none" w:sz="0" w:space="0" w:color="auto"/>
        <w:bottom w:val="none" w:sz="0" w:space="0" w:color="auto"/>
        <w:right w:val="none" w:sz="0" w:space="0" w:color="auto"/>
      </w:divBdr>
    </w:div>
    <w:div w:id="1975481168">
      <w:bodyDiv w:val="1"/>
      <w:marLeft w:val="0"/>
      <w:marRight w:val="0"/>
      <w:marTop w:val="0"/>
      <w:marBottom w:val="0"/>
      <w:divBdr>
        <w:top w:val="none" w:sz="0" w:space="0" w:color="auto"/>
        <w:left w:val="none" w:sz="0" w:space="0" w:color="auto"/>
        <w:bottom w:val="none" w:sz="0" w:space="0" w:color="auto"/>
        <w:right w:val="none" w:sz="0" w:space="0" w:color="auto"/>
      </w:divBdr>
    </w:div>
    <w:div w:id="212796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yperlink" Target="http://infopub.sgx.com/FileOpen/Kimly_Limited_-_Offer_Document.ashx?App=IPO&amp;FileID=536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neogroup.com.sg/brands/food-retail.html"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www.neogroup.com.sg/bran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www.neogroup.com.sg/brands/food-trading.html" TargetMode="Externa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hyperlink" Target="http://www.neogroup.com.sg/brands/food-manufactu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E08907A-0461-40C4-92E2-C67057933381}">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A667E8D-B37F-4C33-A859-D2C8A6E08C7E}">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6DE6B5-01CE-4195-B83F-2D3B74113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5072</Words>
  <Characters>28915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33920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McCutcheon, Amber</cp:lastModifiedBy>
  <cp:revision>3</cp:revision>
  <cp:lastPrinted>2011-06-23T13:34:00Z</cp:lastPrinted>
  <dcterms:created xsi:type="dcterms:W3CDTF">2018-12-20T21:17:00Z</dcterms:created>
  <dcterms:modified xsi:type="dcterms:W3CDTF">2018-12-20T22:08:00Z</dcterms:modified>
</cp:coreProperties>
</file>