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44EAE" w14:textId="77777777" w:rsidR="00F053F7" w:rsidRDefault="00F053F7" w:rsidP="00F053F7">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48F2A21F" wp14:editId="1F4248C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13B3F28" w14:textId="3143C950" w:rsidR="00F053F7" w:rsidRDefault="00243032" w:rsidP="00F053F7">
      <w:pPr>
        <w:pStyle w:val="ProductNumber"/>
      </w:pPr>
      <w:r>
        <w:t>9B19A002</w:t>
      </w:r>
    </w:p>
    <w:p w14:paraId="4E057522" w14:textId="77777777" w:rsidR="00D75295" w:rsidRPr="0053729F" w:rsidRDefault="00D75295" w:rsidP="00D75295">
      <w:pPr>
        <w:jc w:val="right"/>
        <w:rPr>
          <w:rFonts w:ascii="Arial" w:hAnsi="Arial"/>
          <w:b/>
          <w:sz w:val="28"/>
          <w:szCs w:val="28"/>
        </w:rPr>
      </w:pPr>
    </w:p>
    <w:p w14:paraId="426B7211" w14:textId="77777777" w:rsidR="00013360" w:rsidRPr="0053729F" w:rsidRDefault="00013360" w:rsidP="00D75295">
      <w:pPr>
        <w:jc w:val="right"/>
        <w:rPr>
          <w:rFonts w:ascii="Arial" w:hAnsi="Arial"/>
          <w:b/>
          <w:sz w:val="28"/>
          <w:szCs w:val="28"/>
        </w:rPr>
      </w:pPr>
    </w:p>
    <w:p w14:paraId="2F03D26A" w14:textId="418E8D4E" w:rsidR="00013360" w:rsidRPr="0053729F" w:rsidRDefault="003B2816" w:rsidP="00013360">
      <w:pPr>
        <w:pStyle w:val="CaseTitle"/>
        <w:spacing w:after="0" w:line="240" w:lineRule="auto"/>
        <w:rPr>
          <w:sz w:val="20"/>
          <w:szCs w:val="20"/>
        </w:rPr>
      </w:pPr>
      <w:r w:rsidRPr="0053729F">
        <w:rPr>
          <w:rFonts w:eastAsia="Arial"/>
        </w:rPr>
        <w:t>FODY FOODS: EATING LIFE TO THE FULLEST</w:t>
      </w:r>
    </w:p>
    <w:p w14:paraId="40ABF6FD" w14:textId="77777777" w:rsidR="00CA3976" w:rsidRPr="0053729F" w:rsidRDefault="00CA3976" w:rsidP="00013360">
      <w:pPr>
        <w:pStyle w:val="CaseTitle"/>
        <w:spacing w:after="0" w:line="240" w:lineRule="auto"/>
        <w:rPr>
          <w:sz w:val="20"/>
          <w:szCs w:val="20"/>
        </w:rPr>
      </w:pPr>
    </w:p>
    <w:p w14:paraId="202F1085" w14:textId="77777777" w:rsidR="00013360" w:rsidRPr="0053729F" w:rsidRDefault="00013360" w:rsidP="00013360">
      <w:pPr>
        <w:pStyle w:val="CaseTitle"/>
        <w:spacing w:after="0" w:line="240" w:lineRule="auto"/>
        <w:rPr>
          <w:sz w:val="20"/>
          <w:szCs w:val="20"/>
        </w:rPr>
      </w:pPr>
    </w:p>
    <w:p w14:paraId="58B0C73F" w14:textId="652B3AC2" w:rsidR="00086B26" w:rsidRPr="0053729F" w:rsidRDefault="003B2816" w:rsidP="00086B26">
      <w:pPr>
        <w:pStyle w:val="StyleCopyrightStatementAfter0ptBottomSinglesolidline1"/>
      </w:pPr>
      <w:r w:rsidRPr="0053729F">
        <w:rPr>
          <w:szCs w:val="16"/>
        </w:rPr>
        <w:t xml:space="preserve">Robert Mackalski, Marc Ducusin, Marika Lapointe, and Emma Clayton </w:t>
      </w:r>
      <w:r w:rsidR="00086B26" w:rsidRPr="0053729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53729F" w:rsidRDefault="00086B26" w:rsidP="00086B26">
      <w:pPr>
        <w:pStyle w:val="StyleCopyrightStatementAfter0ptBottomSinglesolidline1"/>
      </w:pPr>
    </w:p>
    <w:p w14:paraId="278DBD7C" w14:textId="50000A64" w:rsidR="00F053F7" w:rsidRPr="00F053F7" w:rsidRDefault="00F053F7" w:rsidP="00F053F7">
      <w:pPr>
        <w:pStyle w:val="StyleStyleCopyrightStatementAfter0ptBottomSinglesolid"/>
        <w:rPr>
          <w:rFonts w:cs="Arial"/>
          <w:szCs w:val="16"/>
        </w:rPr>
      </w:pPr>
      <w:r w:rsidRPr="00F053F7">
        <w:rPr>
          <w:rFonts w:cs="Arial"/>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03AAF340" w14:textId="77777777" w:rsidR="00F053F7" w:rsidRPr="00F053F7" w:rsidRDefault="00F053F7" w:rsidP="00F053F7">
      <w:pPr>
        <w:pStyle w:val="StyleStyleCopyrightStatementAfter0ptBottomSinglesolid"/>
        <w:rPr>
          <w:rFonts w:cs="Arial"/>
          <w:szCs w:val="16"/>
        </w:rPr>
      </w:pPr>
    </w:p>
    <w:p w14:paraId="3922E14F" w14:textId="1EE8DC17" w:rsidR="00751E0B" w:rsidRPr="0053729F" w:rsidRDefault="00F053F7" w:rsidP="00F053F7">
      <w:pPr>
        <w:pStyle w:val="StyleStyleCopyrightStatementAfter0ptBottomSinglesolid"/>
        <w:rPr>
          <w:rFonts w:cs="Arial"/>
          <w:szCs w:val="16"/>
        </w:rPr>
      </w:pPr>
      <w:r w:rsidRPr="00F053F7">
        <w:rPr>
          <w:rFonts w:cs="Arial"/>
          <w:iCs w:val="0"/>
          <w:color w:val="auto"/>
          <w:szCs w:val="16"/>
        </w:rPr>
        <w:t>Copyright © 20</w:t>
      </w:r>
      <w:r>
        <w:rPr>
          <w:rFonts w:cs="Arial"/>
          <w:iCs w:val="0"/>
          <w:color w:val="auto"/>
          <w:szCs w:val="16"/>
        </w:rPr>
        <w:t>1</w:t>
      </w:r>
      <w:r w:rsidR="00B42A65">
        <w:rPr>
          <w:rFonts w:cs="Arial"/>
          <w:iCs w:val="0"/>
          <w:color w:val="auto"/>
          <w:szCs w:val="16"/>
        </w:rPr>
        <w:t>9</w:t>
      </w:r>
      <w:r w:rsidRPr="00F053F7">
        <w:rPr>
          <w:rFonts w:cs="Arial"/>
          <w:iCs w:val="0"/>
          <w:color w:val="auto"/>
          <w:szCs w:val="16"/>
        </w:rPr>
        <w:t xml:space="preserve">, </w:t>
      </w:r>
      <w:r w:rsidRPr="00F053F7">
        <w:rPr>
          <w:rFonts w:cs="Arial"/>
          <w:iCs w:val="0"/>
          <w:color w:val="auto"/>
          <w:szCs w:val="16"/>
          <w:lang w:val="en-CA"/>
        </w:rPr>
        <w:t>Ivey Business School Foundation</w:t>
      </w:r>
      <w:r w:rsidRPr="00F053F7">
        <w:rPr>
          <w:rFonts w:cs="Arial"/>
          <w:iCs w:val="0"/>
          <w:color w:val="auto"/>
          <w:szCs w:val="16"/>
          <w:lang w:val="en-CA"/>
        </w:rPr>
        <w:tab/>
      </w:r>
      <w:r w:rsidRPr="00F053F7">
        <w:rPr>
          <w:rFonts w:cs="Arial"/>
          <w:iCs w:val="0"/>
          <w:color w:val="auto"/>
          <w:szCs w:val="16"/>
        </w:rPr>
        <w:t xml:space="preserve">Version: </w:t>
      </w:r>
      <w:r w:rsidR="00B42A65">
        <w:rPr>
          <w:rFonts w:cs="Arial"/>
          <w:iCs w:val="0"/>
          <w:color w:val="auto"/>
          <w:szCs w:val="16"/>
        </w:rPr>
        <w:t>2019-01-04</w:t>
      </w:r>
    </w:p>
    <w:p w14:paraId="0A2A54E4" w14:textId="77777777" w:rsidR="00751E0B" w:rsidRPr="0053729F" w:rsidRDefault="00751E0B" w:rsidP="00751E0B">
      <w:pPr>
        <w:pStyle w:val="StyleCopyrightStatementAfter0ptBottomSinglesolidline1"/>
        <w:rPr>
          <w:rFonts w:ascii="Times New Roman" w:hAnsi="Times New Roman"/>
          <w:sz w:val="20"/>
        </w:rPr>
      </w:pPr>
    </w:p>
    <w:p w14:paraId="2C183161" w14:textId="77777777" w:rsidR="00B87DC0" w:rsidRPr="0053729F" w:rsidRDefault="00B87DC0" w:rsidP="004B632F">
      <w:pPr>
        <w:pStyle w:val="StyleCopyrightStatementAfter0ptBottomSinglesolidline1"/>
        <w:rPr>
          <w:rFonts w:ascii="Times New Roman" w:hAnsi="Times New Roman"/>
          <w:sz w:val="20"/>
        </w:rPr>
      </w:pPr>
    </w:p>
    <w:p w14:paraId="74F9BA48" w14:textId="122D4885" w:rsidR="003B2816" w:rsidRPr="0053729F" w:rsidRDefault="003B2816" w:rsidP="003B2816">
      <w:pPr>
        <w:pStyle w:val="BodyTextMain"/>
        <w:jc w:val="right"/>
        <w:rPr>
          <w:spacing w:val="-6"/>
        </w:rPr>
      </w:pPr>
      <w:r w:rsidRPr="0053729F">
        <w:rPr>
          <w:spacing w:val="-6"/>
        </w:rPr>
        <w:t>It’s really awesome to be able to build a business that helps make people feel better and live happier lives.</w:t>
      </w:r>
    </w:p>
    <w:p w14:paraId="739CB612" w14:textId="759520DE" w:rsidR="003B2816" w:rsidRPr="0053729F" w:rsidRDefault="003B2816" w:rsidP="003B2816">
      <w:pPr>
        <w:pStyle w:val="BodyTextMain"/>
        <w:jc w:val="right"/>
      </w:pPr>
      <w:r w:rsidRPr="0053729F">
        <w:t>Steven Singer</w:t>
      </w:r>
      <w:r w:rsidR="00441AE8">
        <w:t>, founder</w:t>
      </w:r>
      <w:r w:rsidR="006A3CBF">
        <w:t xml:space="preserve"> and chief executive officer</w:t>
      </w:r>
      <w:r w:rsidR="00441AE8">
        <w:t>, FODY Foods Co. Inc.</w:t>
      </w:r>
    </w:p>
    <w:p w14:paraId="21DFF960" w14:textId="77777777" w:rsidR="003B2816" w:rsidRPr="0053729F" w:rsidRDefault="003B2816" w:rsidP="003B2816">
      <w:pPr>
        <w:pStyle w:val="BodyTextMain"/>
      </w:pPr>
    </w:p>
    <w:p w14:paraId="5E01BF5B" w14:textId="5F51B7A4" w:rsidR="003B2816" w:rsidRPr="0053729F" w:rsidRDefault="003B2816" w:rsidP="003B2816">
      <w:pPr>
        <w:pStyle w:val="BodyTextMain"/>
      </w:pPr>
      <w:r w:rsidRPr="0053729F">
        <w:t>Part dreamer, part visionary, and all entrepreneur, Steven Singer launched F</w:t>
      </w:r>
      <w:r w:rsidR="00811762">
        <w:t>ODY</w:t>
      </w:r>
      <w:r w:rsidRPr="0053729F">
        <w:t xml:space="preserve"> Foods</w:t>
      </w:r>
      <w:r w:rsidR="006C46FA">
        <w:t xml:space="preserve"> Co. Inc. (Fody</w:t>
      </w:r>
      <w:r w:rsidR="00811762">
        <w:t>)</w:t>
      </w:r>
      <w:r w:rsidRPr="0053729F">
        <w:t xml:space="preserve"> </w:t>
      </w:r>
      <w:r w:rsidR="7C6F228E" w:rsidRPr="0053729F">
        <w:t xml:space="preserve">in </w:t>
      </w:r>
      <w:r w:rsidR="5189B54E" w:rsidRPr="0053729F">
        <w:t>April</w:t>
      </w:r>
      <w:r w:rsidR="7264A0F2" w:rsidRPr="0053729F">
        <w:t xml:space="preserve"> </w:t>
      </w:r>
      <w:r w:rsidR="5189B54E" w:rsidRPr="0053729F">
        <w:t>2016</w:t>
      </w:r>
      <w:r w:rsidR="59DC06E0" w:rsidRPr="0053729F">
        <w:t xml:space="preserve"> </w:t>
      </w:r>
      <w:r w:rsidRPr="0053729F">
        <w:t xml:space="preserve">as a follow-up venture to Glutino, his wildly successful company that trailblazed the </w:t>
      </w:r>
      <w:r w:rsidR="00811762">
        <w:t xml:space="preserve">space of </w:t>
      </w:r>
      <w:r w:rsidRPr="0053729F">
        <w:t>gluten-free consumer packaged goods</w:t>
      </w:r>
      <w:r w:rsidR="00E41665">
        <w:t xml:space="preserve"> (CPG</w:t>
      </w:r>
      <w:r w:rsidR="005D03B0">
        <w:t>s</w:t>
      </w:r>
      <w:r w:rsidR="00E41665">
        <w:t>)</w:t>
      </w:r>
      <w:r w:rsidRPr="0053729F">
        <w:t>.</w:t>
      </w:r>
      <w:r w:rsidR="00506077">
        <w:t xml:space="preserve"> </w:t>
      </w:r>
      <w:r w:rsidRPr="0053729F">
        <w:t xml:space="preserve">But </w:t>
      </w:r>
      <w:r w:rsidR="005D03B0">
        <w:t>Fody</w:t>
      </w:r>
      <w:r w:rsidRPr="0053729F">
        <w:t xml:space="preserve">, the manufacturer and marketer of a line of food products </w:t>
      </w:r>
      <w:r w:rsidR="00FE02BE">
        <w:t xml:space="preserve">that were low in </w:t>
      </w:r>
      <w:r w:rsidR="00FE02BE" w:rsidRPr="0053729F">
        <w:t>fermentable oligosaccharides, disaccharides, monosaccharides, and polyols (FODMAP</w:t>
      </w:r>
      <w:r w:rsidR="00FE02BE">
        <w:t>s</w:t>
      </w:r>
      <w:r w:rsidR="00FE02BE" w:rsidRPr="0053729F">
        <w:t>)</w:t>
      </w:r>
      <w:r w:rsidR="00FE02BE">
        <w:t xml:space="preserve"> </w:t>
      </w:r>
      <w:r w:rsidRPr="0053729F">
        <w:t xml:space="preserve">for people suffering from </w:t>
      </w:r>
      <w:r w:rsidR="00B84B21">
        <w:t>irritable bowel syndrome</w:t>
      </w:r>
      <w:r w:rsidRPr="0053729F">
        <w:t xml:space="preserve"> (IBS), was a more</w:t>
      </w:r>
      <w:r w:rsidR="00506077">
        <w:t xml:space="preserve"> </w:t>
      </w:r>
      <w:r w:rsidRPr="0053729F">
        <w:t xml:space="preserve">daunting bet. With </w:t>
      </w:r>
      <w:r w:rsidR="00B84B21">
        <w:t>one</w:t>
      </w:r>
      <w:r w:rsidR="00B84B21" w:rsidRPr="0053729F">
        <w:t xml:space="preserve"> </w:t>
      </w:r>
      <w:r w:rsidRPr="0053729F">
        <w:t>billion people worldwide suffering from IBS-type symptoms,</w:t>
      </w:r>
      <w:r w:rsidRPr="0048736C">
        <w:rPr>
          <w:rStyle w:val="FootnoteReference"/>
        </w:rPr>
        <w:footnoteReference w:id="1"/>
      </w:r>
      <w:r w:rsidRPr="0053729F">
        <w:t xml:space="preserve"> research </w:t>
      </w:r>
      <w:r w:rsidR="005A1911">
        <w:t xml:space="preserve">in 2018 </w:t>
      </w:r>
      <w:r w:rsidRPr="0053729F">
        <w:t xml:space="preserve">indicated a potentially enormous market. And, while awareness of the condition was growing, only </w:t>
      </w:r>
      <w:r w:rsidR="00B84B21">
        <w:t>a small</w:t>
      </w:r>
      <w:r w:rsidR="00B84B21" w:rsidRPr="0053729F">
        <w:t xml:space="preserve"> </w:t>
      </w:r>
      <w:r w:rsidRPr="0053729F">
        <w:t>portion</w:t>
      </w:r>
      <w:r w:rsidR="00B84B21">
        <w:t xml:space="preserve"> of those afflicted with IBS</w:t>
      </w:r>
      <w:r w:rsidRPr="0053729F">
        <w:t xml:space="preserve"> knew</w:t>
      </w:r>
      <w:r w:rsidR="005D03B0">
        <w:t>,</w:t>
      </w:r>
      <w:r w:rsidRPr="0053729F">
        <w:t xml:space="preserve"> or were able to follow</w:t>
      </w:r>
      <w:r w:rsidR="005D03B0">
        <w:t>,</w:t>
      </w:r>
      <w:r w:rsidRPr="0053729F">
        <w:t xml:space="preserve"> the constraints of a </w:t>
      </w:r>
      <w:r w:rsidR="00B84B21">
        <w:t>low-FODMAP</w:t>
      </w:r>
      <w:r w:rsidRPr="0053729F">
        <w:t xml:space="preserve"> diet.</w:t>
      </w:r>
    </w:p>
    <w:p w14:paraId="0416F8C7" w14:textId="77777777" w:rsidR="003B2816" w:rsidRPr="0053729F" w:rsidRDefault="003B2816" w:rsidP="003B2816">
      <w:pPr>
        <w:pStyle w:val="BodyTextMain"/>
      </w:pPr>
    </w:p>
    <w:p w14:paraId="0052A14B" w14:textId="782A2208" w:rsidR="003B2816" w:rsidRPr="00F84CA1" w:rsidRDefault="003B2816" w:rsidP="003B2816">
      <w:pPr>
        <w:pStyle w:val="BodyTextMain"/>
      </w:pPr>
      <w:r w:rsidRPr="00F84CA1">
        <w:t xml:space="preserve">Singer was a young, dynamic figure whose approachable, down-to-earth demeanour and genuine care for </w:t>
      </w:r>
      <w:r w:rsidRPr="00784E13">
        <w:t xml:space="preserve">the life-changing potential of his products were as vital to his success as his entrepreneurial drive. </w:t>
      </w:r>
      <w:r w:rsidR="002B70D4" w:rsidRPr="00784E13">
        <w:t xml:space="preserve">In </w:t>
      </w:r>
      <w:r w:rsidR="00743FED" w:rsidRPr="00784E13">
        <w:t>October</w:t>
      </w:r>
      <w:r w:rsidR="002B70D4" w:rsidRPr="00784E13">
        <w:t xml:space="preserve"> 201</w:t>
      </w:r>
      <w:r w:rsidR="00743FED" w:rsidRPr="00784E13">
        <w:t>8</w:t>
      </w:r>
      <w:r w:rsidR="002B70D4" w:rsidRPr="00784E13">
        <w:t xml:space="preserve">, </w:t>
      </w:r>
      <w:r w:rsidR="00743FED" w:rsidRPr="00784E13">
        <w:t>Singer</w:t>
      </w:r>
      <w:r w:rsidRPr="00784E13">
        <w:t xml:space="preserve"> peered through </w:t>
      </w:r>
      <w:r w:rsidR="005D03B0" w:rsidRPr="00784E13">
        <w:t>the window of his office in</w:t>
      </w:r>
      <w:r w:rsidRPr="00784E13">
        <w:t xml:space="preserve"> downtown Montreal </w:t>
      </w:r>
      <w:r w:rsidR="005D03B0" w:rsidRPr="00784E13">
        <w:t>overlook</w:t>
      </w:r>
      <w:r w:rsidR="00EE703C">
        <w:t>ing</w:t>
      </w:r>
      <w:r w:rsidRPr="00784E13">
        <w:t xml:space="preserve"> the crowded streets below</w:t>
      </w:r>
      <w:r w:rsidR="00743FED" w:rsidRPr="00784E13">
        <w:t xml:space="preserve"> and </w:t>
      </w:r>
      <w:r w:rsidRPr="00784E13">
        <w:t>thought of all the people he could help. Could his start-up create a new category of consumer</w:t>
      </w:r>
      <w:r w:rsidR="00DE150C" w:rsidRPr="00784E13">
        <w:t>—and how?</w:t>
      </w:r>
      <w:r w:rsidRPr="00784E13">
        <w:t xml:space="preserve"> What were the best ways to market and grow their business? How should</w:t>
      </w:r>
      <w:r w:rsidRPr="00F84CA1">
        <w:t xml:space="preserve"> they communicate the sensitive issue of IBS, a condition that often went undiagnosed</w:t>
      </w:r>
      <w:r w:rsidR="00BD1624" w:rsidRPr="00F84CA1">
        <w:t xml:space="preserve"> and was accompanied by </w:t>
      </w:r>
      <w:r w:rsidRPr="00F84CA1">
        <w:t xml:space="preserve">symptoms shrouded </w:t>
      </w:r>
      <w:r w:rsidR="00650361" w:rsidRPr="00F84CA1">
        <w:t xml:space="preserve">in </w:t>
      </w:r>
      <w:r w:rsidRPr="00F84CA1">
        <w:t xml:space="preserve">stigma and social taboo? Working with five dedicated employees, Singer had assembled a tight, streamlined team. But together they were taking on a gargantuan challenge—a multi-faceted project that involved not only creating new and delicious </w:t>
      </w:r>
      <w:r w:rsidR="00DE150C" w:rsidRPr="00F84CA1">
        <w:t>low-FODMAP</w:t>
      </w:r>
      <w:r w:rsidRPr="00F84CA1">
        <w:t xml:space="preserve"> products but also educating the public and carving out a new space in the retail market. </w:t>
      </w:r>
    </w:p>
    <w:p w14:paraId="7D027A28" w14:textId="77777777" w:rsidR="003B2816" w:rsidRPr="0053729F" w:rsidRDefault="003B2816" w:rsidP="003B2816">
      <w:pPr>
        <w:pStyle w:val="BodyTextMain"/>
      </w:pPr>
    </w:p>
    <w:p w14:paraId="63154E69" w14:textId="77777777" w:rsidR="003B2816" w:rsidRPr="0053729F" w:rsidRDefault="003B2816" w:rsidP="003B2816">
      <w:pPr>
        <w:pStyle w:val="BodyTextMain"/>
      </w:pPr>
    </w:p>
    <w:p w14:paraId="5978EEC0" w14:textId="77777777" w:rsidR="003B2816" w:rsidRPr="0053729F" w:rsidRDefault="003B2816" w:rsidP="003B2816">
      <w:pPr>
        <w:pStyle w:val="Casehead1"/>
        <w:rPr>
          <w:rFonts w:eastAsia="Arial"/>
        </w:rPr>
      </w:pPr>
      <w:r w:rsidRPr="0053729F">
        <w:t>Background</w:t>
      </w:r>
    </w:p>
    <w:p w14:paraId="0F54E42A" w14:textId="77777777" w:rsidR="003B2816" w:rsidRPr="0053729F" w:rsidRDefault="003B2816" w:rsidP="003B2816">
      <w:pPr>
        <w:pStyle w:val="BodyTextMain"/>
        <w:rPr>
          <w:u w:val="single"/>
        </w:rPr>
      </w:pPr>
    </w:p>
    <w:p w14:paraId="0F6C0FAC" w14:textId="5D86DF45" w:rsidR="003B2816" w:rsidRPr="0053729F" w:rsidRDefault="003B2816" w:rsidP="003B2816">
      <w:pPr>
        <w:pStyle w:val="Casehead2"/>
      </w:pPr>
      <w:r w:rsidRPr="0053729F">
        <w:t xml:space="preserve">Glutino </w:t>
      </w:r>
      <w:r w:rsidR="00DB600F">
        <w:t>Experience</w:t>
      </w:r>
    </w:p>
    <w:p w14:paraId="46C1CBB1" w14:textId="77777777" w:rsidR="003B2816" w:rsidRPr="0053729F" w:rsidRDefault="003B2816" w:rsidP="003B2816">
      <w:pPr>
        <w:pStyle w:val="BodyTextMain"/>
      </w:pPr>
    </w:p>
    <w:p w14:paraId="3FA1FDBF" w14:textId="2067C381" w:rsidR="003B2816" w:rsidRPr="0053729F" w:rsidRDefault="003B2816" w:rsidP="003B2816">
      <w:pPr>
        <w:pStyle w:val="BodyTextMain"/>
      </w:pPr>
      <w:r w:rsidRPr="0053729F">
        <w:t xml:space="preserve">Mapping out a non-existent category was already familiar territory for Singer. In 1999, Singer’s instinct led him, at the age of 26, to develop the then-untapped market of gluten-free products. After extensive research </w:t>
      </w:r>
      <w:r w:rsidRPr="0053729F">
        <w:lastRenderedPageBreak/>
        <w:t xml:space="preserve">and consultation with nutritionists and physicians, Singer co-founded Glutino </w:t>
      </w:r>
      <w:r w:rsidR="00DE150C">
        <w:t>when he</w:t>
      </w:r>
      <w:r w:rsidR="00DE150C" w:rsidRPr="0053729F">
        <w:t xml:space="preserve"> </w:t>
      </w:r>
      <w:r w:rsidR="00DE150C">
        <w:t>acquired</w:t>
      </w:r>
      <w:r w:rsidRPr="0053729F">
        <w:t xml:space="preserve"> a small </w:t>
      </w:r>
      <w:r w:rsidR="5FDB834C" w:rsidRPr="0053729F">
        <w:t>impo</w:t>
      </w:r>
      <w:r w:rsidR="59456EF8" w:rsidRPr="0053729F">
        <w:t xml:space="preserve">rter of </w:t>
      </w:r>
      <w:r w:rsidRPr="0053729F">
        <w:t>Italian bak</w:t>
      </w:r>
      <w:r w:rsidR="59456EF8" w:rsidRPr="0053729F">
        <w:t>ed goods</w:t>
      </w:r>
      <w:r w:rsidRPr="0053729F">
        <w:t xml:space="preserve"> that was shutting down.</w:t>
      </w:r>
      <w:r w:rsidR="0053729F">
        <w:t xml:space="preserve"> </w:t>
      </w:r>
      <w:r w:rsidRPr="0053729F">
        <w:t xml:space="preserve">Singer reorganized Glutino and marketed cereal bars, cookies, and other </w:t>
      </w:r>
      <w:r w:rsidR="00DE150C">
        <w:t>CPGs</w:t>
      </w:r>
      <w:r w:rsidRPr="0053729F">
        <w:t xml:space="preserve"> for gluten-intolerant people. At the time, Singer estimated that </w:t>
      </w:r>
      <w:r w:rsidR="00C70E21">
        <w:t>three</w:t>
      </w:r>
      <w:r w:rsidR="00C70E21" w:rsidRPr="0053729F">
        <w:t xml:space="preserve"> </w:t>
      </w:r>
      <w:r w:rsidRPr="0053729F">
        <w:t xml:space="preserve">million Americans suffered from </w:t>
      </w:r>
      <w:r w:rsidR="00C70E21">
        <w:t>celiac disease,</w:t>
      </w:r>
      <w:r w:rsidRPr="0048736C">
        <w:rPr>
          <w:rStyle w:val="FootnoteReference"/>
        </w:rPr>
        <w:footnoteReference w:id="2"/>
      </w:r>
      <w:r w:rsidRPr="0053729F">
        <w:t xml:space="preserve"> and thousands more followed gluten-free diets to quell a variety of digestive issues. Despite these numbers, no one had endeavoured to offer solutions that would facilitate the formidable task of gluten-free eating. Over the next 11 years, Singer gr</w:t>
      </w:r>
      <w:r w:rsidR="00620F8B">
        <w:t>e</w:t>
      </w:r>
      <w:r w:rsidRPr="0053729F">
        <w:t xml:space="preserve">w Glutino from start-up to a gluten-free leader, generating </w:t>
      </w:r>
      <w:r w:rsidR="00784E13">
        <w:t>CA</w:t>
      </w:r>
      <w:r w:rsidRPr="0053729F">
        <w:t>$100 million in revenue before selling the company in 2011.</w:t>
      </w:r>
    </w:p>
    <w:p w14:paraId="095D9E42" w14:textId="77777777" w:rsidR="003B2816" w:rsidRPr="0053729F" w:rsidRDefault="003B2816" w:rsidP="003B2816">
      <w:pPr>
        <w:pStyle w:val="BodyTextMain"/>
      </w:pPr>
    </w:p>
    <w:p w14:paraId="24EFF351" w14:textId="77777777" w:rsidR="003B2816" w:rsidRPr="0053729F" w:rsidRDefault="003B2816" w:rsidP="003B2816">
      <w:pPr>
        <w:pStyle w:val="BodyTextMain"/>
      </w:pPr>
    </w:p>
    <w:p w14:paraId="44904E12" w14:textId="5027E28A" w:rsidR="003B2816" w:rsidRPr="0053729F" w:rsidRDefault="003B2816" w:rsidP="003B2816">
      <w:pPr>
        <w:pStyle w:val="Casehead2"/>
      </w:pPr>
      <w:r w:rsidRPr="0053729F">
        <w:t xml:space="preserve">Starting </w:t>
      </w:r>
      <w:r w:rsidR="00777643">
        <w:t>FODY</w:t>
      </w:r>
    </w:p>
    <w:p w14:paraId="245637FB" w14:textId="77777777" w:rsidR="003B2816" w:rsidRPr="0053729F" w:rsidRDefault="003B2816" w:rsidP="003B2816">
      <w:pPr>
        <w:pStyle w:val="BodyTextMain"/>
        <w:rPr>
          <w:i/>
          <w:iCs/>
        </w:rPr>
      </w:pPr>
    </w:p>
    <w:p w14:paraId="6F0FDF87" w14:textId="266ADEFA" w:rsidR="003B2816" w:rsidRPr="0053729F" w:rsidRDefault="003B2816" w:rsidP="003B2816">
      <w:pPr>
        <w:pStyle w:val="BodyTextMain"/>
        <w:jc w:val="right"/>
      </w:pPr>
      <w:r w:rsidRPr="0053729F">
        <w:t xml:space="preserve">I read an article from a medical journal on IBS and thought, </w:t>
      </w:r>
      <w:r w:rsidR="00620F8B">
        <w:t>“T</w:t>
      </w:r>
      <w:r w:rsidRPr="0053729F">
        <w:t>his needs to be solved.</w:t>
      </w:r>
      <w:r w:rsidR="00620F8B">
        <w:t>”</w:t>
      </w:r>
    </w:p>
    <w:p w14:paraId="5EE8E6A3" w14:textId="42D3E24E" w:rsidR="00C70E21" w:rsidRPr="0053729F" w:rsidRDefault="00C70E21" w:rsidP="00C70E21">
      <w:pPr>
        <w:pStyle w:val="BodyTextMain"/>
        <w:jc w:val="right"/>
      </w:pPr>
      <w:r w:rsidRPr="0053729F">
        <w:t>Steven Singer</w:t>
      </w:r>
    </w:p>
    <w:p w14:paraId="4EFF39D3" w14:textId="6A7D2B09" w:rsidR="003B2816" w:rsidRPr="0053729F" w:rsidRDefault="003B2816" w:rsidP="00B42A65">
      <w:pPr>
        <w:pStyle w:val="BodyTextMain"/>
      </w:pPr>
    </w:p>
    <w:p w14:paraId="7E90C375" w14:textId="77777777" w:rsidR="00EE703C" w:rsidRDefault="003B2816" w:rsidP="003B2816">
      <w:pPr>
        <w:pStyle w:val="BodyTextMain"/>
      </w:pPr>
      <w:r w:rsidRPr="0053729F">
        <w:t>Singer learned about IBS in 2014 after reading a research paper detailing a new diet-based approach to managing the syndrome. Researchers at Monash University in Melbourne, Australia</w:t>
      </w:r>
      <w:r w:rsidR="00C6605E">
        <w:t>,</w:t>
      </w:r>
      <w:r w:rsidRPr="0053729F">
        <w:t xml:space="preserve"> had discovered that short-chain carbohydrates, identified </w:t>
      </w:r>
      <w:r w:rsidR="00620F8B">
        <w:t xml:space="preserve">as </w:t>
      </w:r>
      <w:r w:rsidRPr="0053729F">
        <w:t>FODMAP</w:t>
      </w:r>
      <w:r w:rsidR="00777643">
        <w:t>s</w:t>
      </w:r>
      <w:r w:rsidRPr="0053729F">
        <w:t xml:space="preserve">, exacerbated the symptoms of </w:t>
      </w:r>
      <w:r w:rsidR="00711C0F">
        <w:t>irritable bowel syndrome</w:t>
      </w:r>
      <w:r w:rsidRPr="0053729F">
        <w:t xml:space="preserve">, which included constipation, </w:t>
      </w:r>
      <w:r w:rsidRPr="00506077">
        <w:rPr>
          <w:lang w:val="en-CA"/>
        </w:rPr>
        <w:t>diarrhea</w:t>
      </w:r>
      <w:r w:rsidRPr="0053729F">
        <w:t>, bloating, pain, and distension</w:t>
      </w:r>
      <w:r w:rsidR="00711C0F">
        <w:t>.</w:t>
      </w:r>
      <w:r w:rsidRPr="0048736C">
        <w:rPr>
          <w:rStyle w:val="FootnoteReference"/>
        </w:rPr>
        <w:footnoteReference w:id="3"/>
      </w:r>
      <w:r w:rsidRPr="0053729F">
        <w:t xml:space="preserve"> Eliminating </w:t>
      </w:r>
      <w:r w:rsidR="00777643" w:rsidRPr="0053729F">
        <w:t>FODMAP</w:t>
      </w:r>
      <w:r w:rsidR="00777643">
        <w:t>s</w:t>
      </w:r>
      <w:r w:rsidR="00777643" w:rsidRPr="0053729F">
        <w:t xml:space="preserve"> </w:t>
      </w:r>
      <w:r w:rsidRPr="0053729F">
        <w:t xml:space="preserve">from one’s diet had proven to be an effective way to diminish the pain, discomfort, and potential embarrassment associated with IBS. </w:t>
      </w:r>
    </w:p>
    <w:p w14:paraId="38A264DA" w14:textId="77777777" w:rsidR="00EE703C" w:rsidRDefault="00EE703C" w:rsidP="003B2816">
      <w:pPr>
        <w:pStyle w:val="BodyTextMain"/>
      </w:pPr>
    </w:p>
    <w:p w14:paraId="31D06C9B" w14:textId="5F39071F" w:rsidR="00EE703C" w:rsidRPr="00D4476A" w:rsidRDefault="003B2816" w:rsidP="003B2816">
      <w:pPr>
        <w:pStyle w:val="BodyTextMain"/>
        <w:rPr>
          <w:spacing w:val="-4"/>
        </w:rPr>
      </w:pPr>
      <w:r w:rsidRPr="00D4476A">
        <w:rPr>
          <w:spacing w:val="-4"/>
        </w:rPr>
        <w:t xml:space="preserve">The next step for Singer was careful research on IBS, the day-to-day challenges sufferers faced, the science behind IBS and </w:t>
      </w:r>
      <w:r w:rsidR="00711C0F" w:rsidRPr="00D4476A">
        <w:rPr>
          <w:spacing w:val="-4"/>
        </w:rPr>
        <w:t>low-FODMAP</w:t>
      </w:r>
      <w:r w:rsidRPr="00D4476A">
        <w:rPr>
          <w:spacing w:val="-4"/>
        </w:rPr>
        <w:t xml:space="preserve"> diets</w:t>
      </w:r>
      <w:r w:rsidR="00711C0F" w:rsidRPr="00D4476A">
        <w:rPr>
          <w:spacing w:val="-4"/>
        </w:rPr>
        <w:t>,</w:t>
      </w:r>
      <w:r w:rsidRPr="00D4476A">
        <w:rPr>
          <w:spacing w:val="-4"/>
        </w:rPr>
        <w:t xml:space="preserve"> and the market that served IBS sufferers.</w:t>
      </w:r>
      <w:r w:rsidR="00EE703C" w:rsidRPr="00D4476A">
        <w:rPr>
          <w:spacing w:val="-4"/>
        </w:rPr>
        <w:t xml:space="preserve"> </w:t>
      </w:r>
      <w:r w:rsidRPr="00D4476A">
        <w:rPr>
          <w:spacing w:val="-4"/>
        </w:rPr>
        <w:t xml:space="preserve">Researchers estimated that </w:t>
      </w:r>
      <w:r w:rsidR="00C849AC" w:rsidRPr="00D4476A">
        <w:rPr>
          <w:spacing w:val="-4"/>
        </w:rPr>
        <w:t>one</w:t>
      </w:r>
      <w:r w:rsidRPr="00D4476A">
        <w:rPr>
          <w:spacing w:val="-4"/>
        </w:rPr>
        <w:t xml:space="preserve"> in </w:t>
      </w:r>
      <w:r w:rsidR="0018217A" w:rsidRPr="00D4476A">
        <w:rPr>
          <w:spacing w:val="-4"/>
        </w:rPr>
        <w:t xml:space="preserve">seven </w:t>
      </w:r>
      <w:r w:rsidRPr="00D4476A">
        <w:rPr>
          <w:spacing w:val="-4"/>
        </w:rPr>
        <w:t xml:space="preserve">people </w:t>
      </w:r>
      <w:r w:rsidR="00777643" w:rsidRPr="00D4476A">
        <w:rPr>
          <w:spacing w:val="-4"/>
        </w:rPr>
        <w:t xml:space="preserve">worldwide </w:t>
      </w:r>
      <w:r w:rsidRPr="00D4476A">
        <w:rPr>
          <w:spacing w:val="-4"/>
        </w:rPr>
        <w:t>were affected by IBS</w:t>
      </w:r>
      <w:r w:rsidR="00C849AC" w:rsidRPr="00D4476A">
        <w:rPr>
          <w:spacing w:val="-4"/>
        </w:rPr>
        <w:t>,</w:t>
      </w:r>
      <w:r w:rsidRPr="00D4476A">
        <w:rPr>
          <w:spacing w:val="-4"/>
        </w:rPr>
        <w:t xml:space="preserve"> with new sufferers diagnosed every year. In contrast, </w:t>
      </w:r>
      <w:r w:rsidR="008863FE" w:rsidRPr="00D4476A">
        <w:rPr>
          <w:spacing w:val="-4"/>
        </w:rPr>
        <w:t xml:space="preserve">only </w:t>
      </w:r>
      <w:r w:rsidR="00C849AC" w:rsidRPr="00D4476A">
        <w:rPr>
          <w:spacing w:val="-4"/>
        </w:rPr>
        <w:t>one</w:t>
      </w:r>
      <w:r w:rsidRPr="00D4476A">
        <w:rPr>
          <w:spacing w:val="-4"/>
        </w:rPr>
        <w:t xml:space="preserve"> in 133 people suffered from celiac disease, </w:t>
      </w:r>
      <w:r w:rsidR="00CC471C" w:rsidRPr="00D4476A">
        <w:rPr>
          <w:spacing w:val="-4"/>
        </w:rPr>
        <w:t>while</w:t>
      </w:r>
      <w:r w:rsidR="008863FE" w:rsidRPr="00D4476A">
        <w:rPr>
          <w:spacing w:val="-4"/>
        </w:rPr>
        <w:t xml:space="preserve"> the gluten-free market increased steadily between 2013 and 2015, </w:t>
      </w:r>
      <w:r w:rsidRPr="00D4476A">
        <w:rPr>
          <w:spacing w:val="-4"/>
        </w:rPr>
        <w:t>represent</w:t>
      </w:r>
      <w:r w:rsidR="008863FE" w:rsidRPr="00D4476A">
        <w:rPr>
          <w:spacing w:val="-4"/>
        </w:rPr>
        <w:t>ing</w:t>
      </w:r>
      <w:r w:rsidRPr="00D4476A">
        <w:rPr>
          <w:spacing w:val="-4"/>
        </w:rPr>
        <w:t xml:space="preserve"> </w:t>
      </w:r>
      <w:r w:rsidR="00C849AC" w:rsidRPr="00D4476A">
        <w:rPr>
          <w:spacing w:val="-4"/>
        </w:rPr>
        <w:t>US$</w:t>
      </w:r>
      <w:r w:rsidRPr="00D4476A">
        <w:rPr>
          <w:spacing w:val="-4"/>
        </w:rPr>
        <w:t xml:space="preserve">4.21 billion in sales </w:t>
      </w:r>
      <w:r w:rsidR="008863FE" w:rsidRPr="00D4476A">
        <w:rPr>
          <w:spacing w:val="-4"/>
        </w:rPr>
        <w:t xml:space="preserve">in 2014, </w:t>
      </w:r>
      <w:r w:rsidRPr="00D4476A">
        <w:rPr>
          <w:spacing w:val="-4"/>
        </w:rPr>
        <w:t xml:space="preserve">with growth predictions of over </w:t>
      </w:r>
      <w:r w:rsidR="00C849AC" w:rsidRPr="00D4476A">
        <w:rPr>
          <w:spacing w:val="-4"/>
        </w:rPr>
        <w:t>US$</w:t>
      </w:r>
      <w:r w:rsidRPr="00D4476A">
        <w:rPr>
          <w:spacing w:val="-4"/>
        </w:rPr>
        <w:t>7 billion by 2020.</w:t>
      </w:r>
      <w:r w:rsidR="00D232FF" w:rsidRPr="00D4476A">
        <w:rPr>
          <w:rStyle w:val="FootnoteReference"/>
          <w:spacing w:val="-4"/>
        </w:rPr>
        <w:footnoteReference w:id="4"/>
      </w:r>
      <w:r w:rsidRPr="00D4476A">
        <w:rPr>
          <w:spacing w:val="-4"/>
        </w:rPr>
        <w:t xml:space="preserve"> </w:t>
      </w:r>
    </w:p>
    <w:p w14:paraId="61AC1D4E" w14:textId="77777777" w:rsidR="00EE703C" w:rsidRDefault="00EE703C" w:rsidP="003B2816">
      <w:pPr>
        <w:pStyle w:val="BodyTextMain"/>
      </w:pPr>
    </w:p>
    <w:p w14:paraId="0EF787CB" w14:textId="0FC60481" w:rsidR="003B2816" w:rsidRPr="0053729F" w:rsidRDefault="003B2816" w:rsidP="003B2816">
      <w:pPr>
        <w:pStyle w:val="BodyTextMain"/>
      </w:pPr>
      <w:r w:rsidRPr="0053729F">
        <w:t xml:space="preserve">Singer reasoned that if </w:t>
      </w:r>
      <w:r w:rsidR="00777643">
        <w:t>Fody</w:t>
      </w:r>
      <w:r w:rsidR="00777643" w:rsidRPr="0053729F">
        <w:t xml:space="preserve"> </w:t>
      </w:r>
      <w:r w:rsidRPr="0053729F">
        <w:t>could reach a fraction of its target market, sales numbers could rise to the billions. Not only were some IBS sufferers seeking solutions</w:t>
      </w:r>
      <w:r w:rsidR="00777643">
        <w:t>,</w:t>
      </w:r>
      <w:r w:rsidRPr="0053729F">
        <w:t xml:space="preserve"> but medical professionals had </w:t>
      </w:r>
      <w:r w:rsidR="00C849AC">
        <w:t xml:space="preserve">also </w:t>
      </w:r>
      <w:r w:rsidRPr="0053729F">
        <w:t>started looking for FODMAP foods</w:t>
      </w:r>
      <w:r w:rsidR="00427B47">
        <w:t>;</w:t>
      </w:r>
      <w:r w:rsidRPr="0053729F">
        <w:t xml:space="preserve"> </w:t>
      </w:r>
      <w:r w:rsidR="00427B47">
        <w:t>they</w:t>
      </w:r>
      <w:r w:rsidRPr="0053729F">
        <w:t xml:space="preserve"> were eager to have a solution to offer their patients</w:t>
      </w:r>
      <w:r w:rsidR="00EE703C">
        <w:t xml:space="preserve"> because</w:t>
      </w:r>
      <w:r w:rsidRPr="0053729F">
        <w:t xml:space="preserve"> the burden of IBS on the </w:t>
      </w:r>
      <w:r w:rsidR="41106C5E" w:rsidRPr="0053729F">
        <w:t>Canadian</w:t>
      </w:r>
      <w:r w:rsidR="7765F498" w:rsidRPr="0053729F">
        <w:t xml:space="preserve"> </w:t>
      </w:r>
      <w:r w:rsidR="00427B47">
        <w:t>health care</w:t>
      </w:r>
      <w:r w:rsidR="00427B47" w:rsidRPr="0053729F">
        <w:t xml:space="preserve"> </w:t>
      </w:r>
      <w:r w:rsidRPr="0053729F">
        <w:t xml:space="preserve">system was considerable, accounting for </w:t>
      </w:r>
      <w:r w:rsidR="00506077">
        <w:t>CA$</w:t>
      </w:r>
      <w:r w:rsidRPr="0053729F">
        <w:t xml:space="preserve">6.5 billion in spending and </w:t>
      </w:r>
      <w:r w:rsidR="002B70D4">
        <w:t>CA</w:t>
      </w:r>
      <w:r w:rsidRPr="0053729F">
        <w:t>$8 billion in lost productivity. Research showed that 40</w:t>
      </w:r>
      <w:r w:rsidR="00427B47">
        <w:t xml:space="preserve"> per cent</w:t>
      </w:r>
      <w:r w:rsidRPr="0053729F">
        <w:t xml:space="preserve"> of IBS sufferers </w:t>
      </w:r>
      <w:r w:rsidR="41106C5E" w:rsidRPr="0053729F">
        <w:t xml:space="preserve">in Canada </w:t>
      </w:r>
      <w:r w:rsidR="00427B47">
        <w:t>who sought</w:t>
      </w:r>
      <w:r w:rsidR="00427B47" w:rsidRPr="0053729F">
        <w:t xml:space="preserve"> </w:t>
      </w:r>
      <w:r w:rsidRPr="0053729F">
        <w:t>medical attention were diagnosed and followed treatment plans for their digestive problems,</w:t>
      </w:r>
      <w:r w:rsidRPr="0048736C">
        <w:rPr>
          <w:rStyle w:val="FootnoteReference"/>
        </w:rPr>
        <w:footnoteReference w:id="5"/>
      </w:r>
      <w:r w:rsidRPr="0053729F">
        <w:t xml:space="preserve"> leaving 60</w:t>
      </w:r>
      <w:r w:rsidR="00427B47">
        <w:t xml:space="preserve"> per cent</w:t>
      </w:r>
      <w:r w:rsidRPr="0053729F">
        <w:t xml:space="preserve"> of sufferers unaware of their condition. </w:t>
      </w:r>
    </w:p>
    <w:p w14:paraId="24103B4E" w14:textId="77777777" w:rsidR="003B2816" w:rsidRPr="0053729F" w:rsidRDefault="003B2816" w:rsidP="003B2816">
      <w:pPr>
        <w:pStyle w:val="BodyTextMain"/>
      </w:pPr>
    </w:p>
    <w:p w14:paraId="49212EDE" w14:textId="3AA77FC9" w:rsidR="003B2816" w:rsidRDefault="003B2816" w:rsidP="003B2816">
      <w:pPr>
        <w:pStyle w:val="BodyTextMain"/>
      </w:pPr>
      <w:r w:rsidRPr="0053729F">
        <w:t xml:space="preserve">Although </w:t>
      </w:r>
      <w:r w:rsidR="00BB27F7">
        <w:t>dietitians</w:t>
      </w:r>
      <w:r w:rsidR="00427B47" w:rsidRPr="0053729F">
        <w:t xml:space="preserve"> </w:t>
      </w:r>
      <w:r w:rsidRPr="0053729F">
        <w:t xml:space="preserve">and doctors supported the science behind the </w:t>
      </w:r>
      <w:r w:rsidR="00427B47">
        <w:t>low-FODMAP</w:t>
      </w:r>
      <w:r w:rsidRPr="0053729F">
        <w:t xml:space="preserve"> diet</w:t>
      </w:r>
      <w:r w:rsidR="00EE703C">
        <w:t>,</w:t>
      </w:r>
      <w:r w:rsidRPr="0053729F">
        <w:t xml:space="preserve"> </w:t>
      </w:r>
      <w:r w:rsidR="00EE703C">
        <w:t>it</w:t>
      </w:r>
      <w:r w:rsidR="00EE703C" w:rsidRPr="0053729F">
        <w:t xml:space="preserve"> </w:t>
      </w:r>
      <w:r w:rsidRPr="0053729F">
        <w:t xml:space="preserve">had not yet entered common knowledge. In addition, retailer purchasers had not heard of </w:t>
      </w:r>
      <w:r w:rsidR="00427B47">
        <w:t>low-FODMAP</w:t>
      </w:r>
      <w:r w:rsidRPr="0053729F">
        <w:t xml:space="preserve"> diets</w:t>
      </w:r>
      <w:r w:rsidR="00427B47">
        <w:t>,</w:t>
      </w:r>
      <w:r w:rsidRPr="0053729F">
        <w:t xml:space="preserve"> nor did they have any analytics to demonstrate how such products would perform on their shelves. There was also a challenge in marketing a product meant to ease uncomfortable and often embarrassing symptoms. Despite its prevalence, IBS remained a largely taboo subject. Some sufferers turned to online communities, blogs, and influencers to gain knowledge of symptom management, but online reach topped off at a few thousand followers per network. The </w:t>
      </w:r>
      <w:r w:rsidR="00427B47">
        <w:t>low-FODMAP</w:t>
      </w:r>
      <w:r w:rsidRPr="0053729F">
        <w:t xml:space="preserve"> conversation was still under the radar.</w:t>
      </w:r>
    </w:p>
    <w:p w14:paraId="76C66EFF" w14:textId="77777777" w:rsidR="00B42A65" w:rsidRDefault="00B42A65" w:rsidP="003B2816">
      <w:pPr>
        <w:pStyle w:val="BodyTextMain"/>
      </w:pPr>
    </w:p>
    <w:p w14:paraId="190FD65D" w14:textId="77777777" w:rsidR="003B2816" w:rsidRPr="0053729F" w:rsidRDefault="003B2816" w:rsidP="003B2816">
      <w:pPr>
        <w:pStyle w:val="Casehead1"/>
        <w:rPr>
          <w:rFonts w:eastAsia="Arial"/>
        </w:rPr>
      </w:pPr>
      <w:r w:rsidRPr="0053729F">
        <w:lastRenderedPageBreak/>
        <w:t>The Team</w:t>
      </w:r>
    </w:p>
    <w:p w14:paraId="79FCC3C9" w14:textId="77777777" w:rsidR="003B2816" w:rsidRPr="00F84CA1" w:rsidRDefault="003B2816" w:rsidP="003B2816">
      <w:pPr>
        <w:pStyle w:val="BodyTextMain"/>
        <w:keepNext/>
        <w:rPr>
          <w:rFonts w:eastAsia="Arial Unicode MS"/>
        </w:rPr>
      </w:pPr>
      <w:bookmarkStart w:id="0" w:name="_gjdgxs"/>
      <w:bookmarkEnd w:id="0"/>
    </w:p>
    <w:p w14:paraId="0F9F6DDA" w14:textId="42C8EE5B" w:rsidR="003B2816" w:rsidRPr="0053729F" w:rsidRDefault="003B2816" w:rsidP="00B42A65">
      <w:pPr>
        <w:pStyle w:val="BodyTextMain"/>
      </w:pPr>
      <w:r w:rsidRPr="0053729F">
        <w:t xml:space="preserve">Singer </w:t>
      </w:r>
      <w:r w:rsidR="00427B47">
        <w:t>had begun</w:t>
      </w:r>
      <w:r w:rsidRPr="0053729F">
        <w:t xml:space="preserve"> to build a small but highly energetic and enthusiastic team of young professionals to get his start-up off the ground. Each team member brought </w:t>
      </w:r>
      <w:r w:rsidR="00996E10">
        <w:t>their</w:t>
      </w:r>
      <w:r w:rsidRPr="0053729F">
        <w:t xml:space="preserve"> own unique skills to </w:t>
      </w:r>
      <w:r w:rsidR="00996E10">
        <w:t>Fody</w:t>
      </w:r>
      <w:r w:rsidR="006E3A0F">
        <w:t>’s</w:t>
      </w:r>
      <w:r w:rsidR="006E3A0F" w:rsidRPr="0053729F">
        <w:t xml:space="preserve"> </w:t>
      </w:r>
      <w:r w:rsidRPr="0053729F">
        <w:t xml:space="preserve">day-to-day management and fit the mould of Singer’s </w:t>
      </w:r>
      <w:r w:rsidR="006E3A0F">
        <w:t>hard-working</w:t>
      </w:r>
      <w:r w:rsidR="00996E10">
        <w:t xml:space="preserve"> but also </w:t>
      </w:r>
      <w:r w:rsidR="006E3A0F">
        <w:t>fun-loving</w:t>
      </w:r>
      <w:r w:rsidRPr="0053729F">
        <w:t xml:space="preserve"> culture.</w:t>
      </w:r>
      <w:r w:rsidR="00FE02BE" w:rsidRPr="00FE02BE">
        <w:rPr>
          <w:vertAlign w:val="superscript"/>
        </w:rPr>
        <w:t xml:space="preserve"> </w:t>
      </w:r>
      <w:r w:rsidR="00FE02BE" w:rsidRPr="0048736C">
        <w:rPr>
          <w:rStyle w:val="FootnoteReference"/>
        </w:rPr>
        <w:footnoteReference w:id="6"/>
      </w:r>
      <w:r w:rsidRPr="0053729F">
        <w:t xml:space="preserve"> Sean Surkis was </w:t>
      </w:r>
      <w:r w:rsidR="006E3A0F">
        <w:t>the chief operating officer</w:t>
      </w:r>
      <w:r w:rsidRPr="0053729F">
        <w:t xml:space="preserve"> and </w:t>
      </w:r>
      <w:r w:rsidR="00C4224B">
        <w:t xml:space="preserve">was </w:t>
      </w:r>
      <w:r w:rsidRPr="0053729F">
        <w:t xml:space="preserve">playfully referred to as the “glue” of the company, while Delaney Brown, the </w:t>
      </w:r>
      <w:r w:rsidR="006E3A0F">
        <w:t>brand manager</w:t>
      </w:r>
      <w:r w:rsidRPr="0053729F">
        <w:t xml:space="preserve">, was known as the “megaphone.” Operations </w:t>
      </w:r>
      <w:r w:rsidR="006E3A0F">
        <w:t>manager</w:t>
      </w:r>
      <w:r w:rsidR="006E3A0F" w:rsidRPr="0053729F">
        <w:t xml:space="preserve"> </w:t>
      </w:r>
      <w:r w:rsidRPr="0053729F">
        <w:t xml:space="preserve">Seb Soch was the company’s “Rubik’s </w:t>
      </w:r>
      <w:r w:rsidR="006A3CBF">
        <w:t>cube</w:t>
      </w:r>
      <w:r w:rsidRPr="0053729F">
        <w:t xml:space="preserve">,” and </w:t>
      </w:r>
      <w:r w:rsidR="006A3CBF">
        <w:t>project manager</w:t>
      </w:r>
      <w:r w:rsidRPr="0053729F">
        <w:t xml:space="preserve"> Arielle Levine was the “stethoscope.” Registered </w:t>
      </w:r>
      <w:r w:rsidR="006A3CBF">
        <w:t>dietitian</w:t>
      </w:r>
      <w:r w:rsidR="006A3CBF" w:rsidRPr="0053729F">
        <w:t xml:space="preserve"> </w:t>
      </w:r>
      <w:r w:rsidRPr="0053729F">
        <w:t xml:space="preserve">and educator Kate Scarlata contributed her specialized knowledge of </w:t>
      </w:r>
      <w:r w:rsidR="006A3CBF">
        <w:t>low-FODMAP</w:t>
      </w:r>
      <w:r w:rsidRPr="0053729F">
        <w:t xml:space="preserve"> diets.</w:t>
      </w:r>
    </w:p>
    <w:p w14:paraId="45FAE782" w14:textId="77777777" w:rsidR="003B2816" w:rsidRPr="0053729F" w:rsidRDefault="003B2816" w:rsidP="003B2816">
      <w:pPr>
        <w:pStyle w:val="BodyTextMain"/>
      </w:pPr>
    </w:p>
    <w:p w14:paraId="72460348" w14:textId="7EAF54C1" w:rsidR="003B2816" w:rsidRPr="0053729F" w:rsidRDefault="003B2816" w:rsidP="003B2816">
      <w:pPr>
        <w:pStyle w:val="BodyTextMain"/>
      </w:pPr>
      <w:r w:rsidRPr="0053729F">
        <w:t xml:space="preserve">The dedication of the </w:t>
      </w:r>
      <w:r w:rsidR="00996E10">
        <w:t>Fody</w:t>
      </w:r>
      <w:r w:rsidR="006A3CBF" w:rsidRPr="0053729F">
        <w:t xml:space="preserve"> </w:t>
      </w:r>
      <w:r w:rsidRPr="0053729F">
        <w:t xml:space="preserve">team was a testament to their cohesiveness and to the dynamism and leadership of their </w:t>
      </w:r>
      <w:r w:rsidR="006A3CBF">
        <w:t>chief executive officer</w:t>
      </w:r>
      <w:r w:rsidRPr="0053729F">
        <w:t xml:space="preserve">. Surkis had spent 15 years in the food industry generating </w:t>
      </w:r>
      <w:r w:rsidR="00B93F21">
        <w:t>multi-million-dollar</w:t>
      </w:r>
      <w:r w:rsidRPr="0053729F">
        <w:t xml:space="preserve"> growth for some of the biggest brands in North America, but he joined </w:t>
      </w:r>
      <w:r w:rsidR="00996E10">
        <w:t>Fody</w:t>
      </w:r>
      <w:r w:rsidRPr="0053729F">
        <w:t xml:space="preserve"> because he had faith in the product and knew that working for Singer was an unmissable opportunity. Surkis also knew that the key to the company’s success would be handling product development wisely and adopting a business model that would allow them to adapt to a quickly changing market.</w:t>
      </w:r>
    </w:p>
    <w:p w14:paraId="4AD9B3A1" w14:textId="77777777" w:rsidR="003B2816" w:rsidRPr="0053729F" w:rsidRDefault="003B2816" w:rsidP="003B2816">
      <w:pPr>
        <w:pStyle w:val="BodyTextMain"/>
      </w:pPr>
    </w:p>
    <w:p w14:paraId="029B83F4" w14:textId="77777777" w:rsidR="003B2816" w:rsidRPr="0053729F" w:rsidRDefault="003B2816" w:rsidP="003B2816">
      <w:pPr>
        <w:pStyle w:val="BodyTextMain"/>
      </w:pPr>
    </w:p>
    <w:p w14:paraId="02F8DF1D" w14:textId="77777777" w:rsidR="003B2816" w:rsidRPr="0053729F" w:rsidRDefault="003B2816" w:rsidP="003B2816">
      <w:pPr>
        <w:pStyle w:val="Casehead1"/>
        <w:rPr>
          <w:rFonts w:eastAsia="Arial"/>
        </w:rPr>
      </w:pPr>
      <w:r w:rsidRPr="0053729F">
        <w:t>Investment</w:t>
      </w:r>
    </w:p>
    <w:p w14:paraId="2321E9BB" w14:textId="77777777" w:rsidR="003B2816" w:rsidRPr="0053729F" w:rsidRDefault="003B2816" w:rsidP="003B2816">
      <w:pPr>
        <w:pStyle w:val="BodyTextMain"/>
      </w:pPr>
    </w:p>
    <w:p w14:paraId="133BA9A4" w14:textId="27537C02" w:rsidR="003B2816" w:rsidRPr="0053729F" w:rsidRDefault="003B2816" w:rsidP="003B2816">
      <w:pPr>
        <w:pStyle w:val="BodyTextMain"/>
      </w:pPr>
      <w:r w:rsidRPr="0053729F">
        <w:t xml:space="preserve">Within the first few months of operations, Singer </w:t>
      </w:r>
      <w:r w:rsidR="00124252">
        <w:t xml:space="preserve">had </w:t>
      </w:r>
      <w:r w:rsidRPr="0053729F">
        <w:t xml:space="preserve">lined up strategic investment for </w:t>
      </w:r>
      <w:r w:rsidR="00996E10">
        <w:t>Fody</w:t>
      </w:r>
      <w:r w:rsidRPr="0053729F">
        <w:t xml:space="preserve">: </w:t>
      </w:r>
    </w:p>
    <w:p w14:paraId="3F7DC734" w14:textId="77777777" w:rsidR="003B2816" w:rsidRPr="0053729F" w:rsidRDefault="003B2816" w:rsidP="003B2816">
      <w:pPr>
        <w:pStyle w:val="BodyTextMain"/>
      </w:pPr>
    </w:p>
    <w:p w14:paraId="6D04E142" w14:textId="48B07AAD" w:rsidR="003B2816" w:rsidRPr="0053729F" w:rsidRDefault="003B2816" w:rsidP="003B2816">
      <w:pPr>
        <w:pStyle w:val="BodyTextMain"/>
        <w:ind w:left="720"/>
      </w:pPr>
      <w:r w:rsidRPr="0053729F">
        <w:t>I approached Jonathan Goodman</w:t>
      </w:r>
      <w:r w:rsidR="00124252">
        <w:t>,</w:t>
      </w:r>
      <w:r w:rsidRPr="0053729F">
        <w:t xml:space="preserve"> who has had amazing success in the pharmaceutical industry. He immediately understood the IBS market and its size. When I told him there was a diet that alleviates any IBS symptom, he wanted to invest. He understands what we are trying to do and is incredibly supportive. </w:t>
      </w:r>
    </w:p>
    <w:p w14:paraId="01538307" w14:textId="77777777" w:rsidR="003B2816" w:rsidRPr="0053729F" w:rsidRDefault="003B2816" w:rsidP="003B2816">
      <w:pPr>
        <w:pStyle w:val="BodyTextMain"/>
      </w:pPr>
    </w:p>
    <w:p w14:paraId="2CDF2021" w14:textId="77777777" w:rsidR="003B2816" w:rsidRPr="0053729F" w:rsidRDefault="003B2816" w:rsidP="003B2816">
      <w:pPr>
        <w:pStyle w:val="BodyTextMain"/>
      </w:pPr>
      <w:r w:rsidRPr="0053729F">
        <w:t xml:space="preserve">While Goodman was bullish about the market opportunity, he was also enthusiastic about Singer himself: </w:t>
      </w:r>
    </w:p>
    <w:p w14:paraId="65EC8B5B" w14:textId="77777777" w:rsidR="003B2816" w:rsidRPr="0053729F" w:rsidRDefault="003B2816" w:rsidP="003B2816">
      <w:pPr>
        <w:pStyle w:val="BodyTextMain"/>
      </w:pPr>
    </w:p>
    <w:p w14:paraId="6995DA62" w14:textId="235FF277" w:rsidR="003B2816" w:rsidRPr="0053729F" w:rsidRDefault="003B2816" w:rsidP="003B2816">
      <w:pPr>
        <w:pStyle w:val="BodyTextMain"/>
        <w:ind w:left="720"/>
      </w:pPr>
      <w:r w:rsidRPr="0053729F">
        <w:t xml:space="preserve">My father and founder of Pharmascience Inc., Quebec’s largest employer in the life sciences, has an expression: </w:t>
      </w:r>
      <w:r w:rsidR="00C4224B">
        <w:t>“</w:t>
      </w:r>
      <w:r w:rsidRPr="0053729F">
        <w:t>Find something that you like to do and you will never work a day in your life.</w:t>
      </w:r>
      <w:r w:rsidR="00C4224B">
        <w:t>”</w:t>
      </w:r>
      <w:r w:rsidRPr="0053729F">
        <w:t xml:space="preserve"> Steven isn’t working at </w:t>
      </w:r>
      <w:r w:rsidR="00996E10">
        <w:t>Fody</w:t>
      </w:r>
      <w:r w:rsidR="00C4224B">
        <w:t>;</w:t>
      </w:r>
      <w:r w:rsidRPr="0053729F">
        <w:t xml:space="preserve"> </w:t>
      </w:r>
      <w:r w:rsidR="00C4224B">
        <w:t>h</w:t>
      </w:r>
      <w:r w:rsidRPr="0053729F">
        <w:t>e is just unleashing his unbridled passion for helping people. You can’t help but get excited about what he’s doing. And, the food he is creating is delicious</w:t>
      </w:r>
      <w:r w:rsidR="00124252">
        <w:t>—</w:t>
      </w:r>
      <w:r w:rsidRPr="0053729F">
        <w:t>and based on science.</w:t>
      </w:r>
    </w:p>
    <w:p w14:paraId="34E7E39A" w14:textId="77777777" w:rsidR="003B2816" w:rsidRPr="0053729F" w:rsidRDefault="003B2816" w:rsidP="003B2816">
      <w:pPr>
        <w:pStyle w:val="BodyTextMain"/>
      </w:pPr>
    </w:p>
    <w:p w14:paraId="5B361EB5" w14:textId="77777777" w:rsidR="003B2816" w:rsidRPr="0053729F" w:rsidRDefault="003B2816" w:rsidP="003B2816">
      <w:pPr>
        <w:pStyle w:val="BodyTextMain"/>
      </w:pPr>
    </w:p>
    <w:p w14:paraId="3F136A68" w14:textId="77777777" w:rsidR="003B2816" w:rsidRPr="0053729F" w:rsidRDefault="003B2816" w:rsidP="003B2816">
      <w:pPr>
        <w:pStyle w:val="Casehead1"/>
        <w:rPr>
          <w:rFonts w:eastAsia="Arial"/>
        </w:rPr>
      </w:pPr>
      <w:r w:rsidRPr="0053729F">
        <w:t>Product Strategy</w:t>
      </w:r>
    </w:p>
    <w:p w14:paraId="68ED1CEA" w14:textId="77777777" w:rsidR="003B2816" w:rsidRPr="0053729F" w:rsidRDefault="003B2816" w:rsidP="003B2816">
      <w:pPr>
        <w:pStyle w:val="BodyTextMain"/>
      </w:pPr>
    </w:p>
    <w:p w14:paraId="5CD2603E" w14:textId="32E58298" w:rsidR="00C4224B" w:rsidRDefault="00A744CE" w:rsidP="003B2816">
      <w:pPr>
        <w:pStyle w:val="BodyTextMain"/>
      </w:pPr>
      <w:r>
        <w:t>F</w:t>
      </w:r>
      <w:r w:rsidR="00C4224B">
        <w:t>ody</w:t>
      </w:r>
      <w:r>
        <w:t>’s</w:t>
      </w:r>
      <w:r w:rsidR="003B2816" w:rsidRPr="0053729F">
        <w:t xml:space="preserve"> product offering was carefully tailored to meet the needs of people with IBS. Maintaining a </w:t>
      </w:r>
      <w:r>
        <w:t>low-FODMAP</w:t>
      </w:r>
      <w:r w:rsidR="003B2816" w:rsidRPr="0053729F">
        <w:t xml:space="preserve"> diet </w:t>
      </w:r>
      <w:r>
        <w:t>was</w:t>
      </w:r>
      <w:r w:rsidR="003B2816" w:rsidRPr="0053729F">
        <w:t xml:space="preserve"> a complicated endeavour, so </w:t>
      </w:r>
      <w:r w:rsidR="00B9429E">
        <w:t>Fody</w:t>
      </w:r>
      <w:r w:rsidRPr="0053729F">
        <w:t xml:space="preserve"> </w:t>
      </w:r>
      <w:r w:rsidR="003B2816" w:rsidRPr="0053729F">
        <w:t xml:space="preserve">tried to simplify the process for IBS sufferers. </w:t>
      </w:r>
      <w:r w:rsidR="00B9429E">
        <w:t>Fody</w:t>
      </w:r>
      <w:r>
        <w:t>’s</w:t>
      </w:r>
      <w:r w:rsidRPr="0053729F">
        <w:t xml:space="preserve"> </w:t>
      </w:r>
      <w:r w:rsidR="003B2816" w:rsidRPr="0053729F">
        <w:t>original product line was launched with six items</w:t>
      </w:r>
      <w:r>
        <w:t>,</w:t>
      </w:r>
      <w:r w:rsidR="003B2816" w:rsidRPr="0053729F">
        <w:t xml:space="preserve"> including pasta sauces, salsas, </w:t>
      </w:r>
      <w:r w:rsidR="7BAEAF82" w:rsidRPr="0053729F">
        <w:t xml:space="preserve">and </w:t>
      </w:r>
      <w:r w:rsidR="003B2816" w:rsidRPr="0053729F">
        <w:t>chocolate</w:t>
      </w:r>
      <w:r w:rsidR="7BAEAF82" w:rsidRPr="0053729F">
        <w:t>-</w:t>
      </w:r>
      <w:r w:rsidR="003B2816" w:rsidRPr="0053729F">
        <w:t>and</w:t>
      </w:r>
      <w:r w:rsidR="7BAEAF82" w:rsidRPr="0053729F">
        <w:t>-</w:t>
      </w:r>
      <w:r w:rsidR="003B2816" w:rsidRPr="0053729F">
        <w:t>nut cereal bars, but more products were made available because Singer believed that a complete diet was the best solution for IBS sufferers. The line was expanded and diversified to include soups, spices, salad dressings, olive oil, snacks, and other foods (</w:t>
      </w:r>
      <w:r>
        <w:t xml:space="preserve">see </w:t>
      </w:r>
      <w:r w:rsidR="003B2816" w:rsidRPr="0053729F">
        <w:t xml:space="preserve">Exhibit </w:t>
      </w:r>
      <w:r w:rsidR="002F3427" w:rsidRPr="0053729F">
        <w:t>1</w:t>
      </w:r>
      <w:r w:rsidR="003B2816" w:rsidRPr="0053729F">
        <w:t xml:space="preserve">). Their top three sellers were their Dark Chocolate, Nuts </w:t>
      </w:r>
      <w:r w:rsidR="0020070B">
        <w:t>&amp;</w:t>
      </w:r>
      <w:r w:rsidR="003B2816" w:rsidRPr="0053729F">
        <w:t xml:space="preserve"> Sea Salt Bars</w:t>
      </w:r>
      <w:r w:rsidR="0020070B">
        <w:t>;</w:t>
      </w:r>
      <w:r w:rsidR="003B2816" w:rsidRPr="0053729F">
        <w:t xml:space="preserve"> Mild Salsa</w:t>
      </w:r>
      <w:r w:rsidR="0020070B">
        <w:t>;</w:t>
      </w:r>
      <w:r w:rsidR="003B2816" w:rsidRPr="0053729F">
        <w:t xml:space="preserve"> and </w:t>
      </w:r>
      <w:r w:rsidR="0020070B">
        <w:t>Tomato &amp; Basil Pasta Sauce</w:t>
      </w:r>
      <w:r w:rsidR="003B2816" w:rsidRPr="0053729F">
        <w:t xml:space="preserve">. </w:t>
      </w:r>
    </w:p>
    <w:p w14:paraId="101A97F9" w14:textId="77777777" w:rsidR="00C4224B" w:rsidRDefault="00C4224B" w:rsidP="003B2816">
      <w:pPr>
        <w:pStyle w:val="BodyTextMain"/>
      </w:pPr>
    </w:p>
    <w:p w14:paraId="66E5DAFD" w14:textId="749F6F6F" w:rsidR="003B2816" w:rsidRPr="0053729F" w:rsidRDefault="0020070B" w:rsidP="003B2816">
      <w:pPr>
        <w:pStyle w:val="BodyTextMain"/>
      </w:pPr>
      <w:r>
        <w:t>Taste</w:t>
      </w:r>
      <w:r w:rsidR="003B2816" w:rsidRPr="0053729F">
        <w:t xml:space="preserve"> was a crucial consideration for their brand</w:t>
      </w:r>
      <w:r>
        <w:t>, and n</w:t>
      </w:r>
      <w:r w:rsidRPr="0053729F">
        <w:t>ew products were developed with care</w:t>
      </w:r>
      <w:r w:rsidR="00C4224B">
        <w:t>.</w:t>
      </w:r>
      <w:r w:rsidR="003B2816" w:rsidRPr="0053729F">
        <w:t xml:space="preserve"> </w:t>
      </w:r>
      <w:r w:rsidR="0066467B">
        <w:t>Fody</w:t>
      </w:r>
      <w:r w:rsidR="003B2816" w:rsidRPr="0053729F">
        <w:t xml:space="preserve"> did not want their products to taste good for low-FODMAP foods</w:t>
      </w:r>
      <w:r>
        <w:t>—</w:t>
      </w:r>
      <w:r w:rsidR="003B2816" w:rsidRPr="0053729F">
        <w:t xml:space="preserve">they wanted their products to taste good, </w:t>
      </w:r>
      <w:r w:rsidR="003B2816" w:rsidRPr="0053729F">
        <w:lastRenderedPageBreak/>
        <w:t xml:space="preserve">period. It was also paramount for them to know where their ingredients were sourced and that they were processed ethically and under good working conditions for all involved. All products were </w:t>
      </w:r>
      <w:r w:rsidR="00A818DB">
        <w:t xml:space="preserve">certified low </w:t>
      </w:r>
      <w:r w:rsidR="003B2816" w:rsidRPr="0053729F">
        <w:t>FODMAP by Monash University.</w:t>
      </w:r>
      <w:r w:rsidR="0053729F">
        <w:t xml:space="preserve"> </w:t>
      </w:r>
      <w:r w:rsidR="003B2816" w:rsidRPr="0053729F">
        <w:t xml:space="preserve">Products also carried a combination of USDA </w:t>
      </w:r>
      <w:r w:rsidR="00C4224B">
        <w:t>o</w:t>
      </w:r>
      <w:r w:rsidR="003B2816" w:rsidRPr="0053729F">
        <w:t>rganic, Eco</w:t>
      </w:r>
      <w:r w:rsidR="00C4224B">
        <w:t>c</w:t>
      </w:r>
      <w:r w:rsidR="003B2816" w:rsidRPr="0053729F">
        <w:t>ert,</w:t>
      </w:r>
      <w:r w:rsidR="000F2363" w:rsidRPr="000F2363">
        <w:t xml:space="preserve"> </w:t>
      </w:r>
      <w:r w:rsidR="000F2363">
        <w:t>v</w:t>
      </w:r>
      <w:r w:rsidR="000F2363" w:rsidRPr="0053729F">
        <w:t>egan,</w:t>
      </w:r>
      <w:r w:rsidR="003B2816" w:rsidRPr="0053729F">
        <w:t xml:space="preserve"> and </w:t>
      </w:r>
      <w:r w:rsidR="006468DF">
        <w:t>kosher</w:t>
      </w:r>
      <w:r w:rsidR="003B2816" w:rsidRPr="0053729F">
        <w:t xml:space="preserve"> certifications. </w:t>
      </w:r>
      <w:r w:rsidR="006468DF">
        <w:t>Fody</w:t>
      </w:r>
      <w:r w:rsidR="003C5019" w:rsidRPr="0053729F">
        <w:t xml:space="preserve"> </w:t>
      </w:r>
      <w:r w:rsidR="003B2816" w:rsidRPr="0053729F">
        <w:t>wanted to invest in building not only a brand but also a culture.</w:t>
      </w:r>
    </w:p>
    <w:p w14:paraId="6B7B3D22" w14:textId="77777777" w:rsidR="003B2816" w:rsidRPr="0053729F" w:rsidRDefault="003B2816" w:rsidP="003B2816">
      <w:pPr>
        <w:pStyle w:val="BodyTextMain"/>
      </w:pPr>
    </w:p>
    <w:p w14:paraId="1B0F197E" w14:textId="252021B2" w:rsidR="003B2816" w:rsidRPr="0053729F" w:rsidRDefault="003B2816" w:rsidP="003B2816">
      <w:pPr>
        <w:pStyle w:val="BodyTextMain"/>
      </w:pPr>
      <w:r w:rsidRPr="0053729F">
        <w:t xml:space="preserve">To create new products quickly, the company decided early on to outsource production. For instance, </w:t>
      </w:r>
      <w:r w:rsidR="00BD03B6">
        <w:t>Fody’s</w:t>
      </w:r>
      <w:r w:rsidR="00104200" w:rsidRPr="0053729F">
        <w:t xml:space="preserve"> </w:t>
      </w:r>
      <w:r w:rsidRPr="0053729F">
        <w:t xml:space="preserve">ketchup was made in </w:t>
      </w:r>
      <w:r w:rsidR="003C5019">
        <w:t>eastern</w:t>
      </w:r>
      <w:r w:rsidR="003C5019" w:rsidRPr="0053729F">
        <w:t xml:space="preserve"> </w:t>
      </w:r>
      <w:r w:rsidRPr="0053729F">
        <w:t xml:space="preserve">Europe because the supplying company </w:t>
      </w:r>
      <w:r w:rsidR="003C5019">
        <w:t xml:space="preserve">not only </w:t>
      </w:r>
      <w:r w:rsidRPr="0053729F">
        <w:t xml:space="preserve">made a </w:t>
      </w:r>
      <w:r w:rsidR="003C5019">
        <w:t>great-tasting</w:t>
      </w:r>
      <w:r w:rsidRPr="0053729F">
        <w:t xml:space="preserve"> ketchup but also had smaller minimum order quantities. The outsourcing model shortened the </w:t>
      </w:r>
      <w:r w:rsidR="003C5019">
        <w:t>development-to-production</w:t>
      </w:r>
      <w:r w:rsidRPr="0053729F">
        <w:t xml:space="preserve"> period significantly. “From brief to new product launch is 12 to 18 months in a large company,” Surkis remarked. “In our world, we do it in </w:t>
      </w:r>
      <w:r w:rsidR="003C5019">
        <w:t>three</w:t>
      </w:r>
      <w:r w:rsidRPr="0053729F">
        <w:t xml:space="preserve"> to </w:t>
      </w:r>
      <w:r w:rsidR="003C5019">
        <w:t>four</w:t>
      </w:r>
      <w:r w:rsidRPr="0053729F">
        <w:t xml:space="preserve"> months. Things get done so quickly here</w:t>
      </w:r>
      <w:r w:rsidR="003C5019">
        <w:t>,</w:t>
      </w:r>
      <w:r w:rsidRPr="0053729F">
        <w:t xml:space="preserve"> but going faster can’t be an excuse for a lack of quality or launching the right product.” Outsourcing also allowed </w:t>
      </w:r>
      <w:r w:rsidR="00BD03B6">
        <w:t>Fody</w:t>
      </w:r>
      <w:r w:rsidR="003C5019" w:rsidRPr="0053729F">
        <w:t xml:space="preserve"> </w:t>
      </w:r>
      <w:r w:rsidRPr="0053729F">
        <w:t xml:space="preserve">to better answer their customers’ needs, which </w:t>
      </w:r>
      <w:r w:rsidR="00831CA2">
        <w:t>Fody</w:t>
      </w:r>
      <w:r w:rsidR="00831CA2" w:rsidRPr="0053729F">
        <w:t xml:space="preserve"> </w:t>
      </w:r>
      <w:r w:rsidRPr="0053729F">
        <w:t xml:space="preserve">ascertained from frequent feedback. </w:t>
      </w:r>
    </w:p>
    <w:p w14:paraId="71E5326A" w14:textId="77777777" w:rsidR="003B2816" w:rsidRPr="0053729F" w:rsidRDefault="003B2816" w:rsidP="003B2816">
      <w:pPr>
        <w:pStyle w:val="BodyTextMain"/>
      </w:pPr>
    </w:p>
    <w:p w14:paraId="2D51BABC" w14:textId="0A3AE9BE" w:rsidR="003B2816" w:rsidRPr="0053729F" w:rsidRDefault="003B2816" w:rsidP="003B2816">
      <w:pPr>
        <w:pStyle w:val="BodyTextMain"/>
      </w:pPr>
      <w:r w:rsidRPr="0053729F">
        <w:t xml:space="preserve">Consumer feedback attested to the appreciable changes that </w:t>
      </w:r>
      <w:r w:rsidR="00BD03B6">
        <w:t>Fody</w:t>
      </w:r>
      <w:r w:rsidR="005F3ED0">
        <w:t>’s</w:t>
      </w:r>
      <w:r w:rsidR="005F3ED0" w:rsidRPr="0053729F">
        <w:t xml:space="preserve"> </w:t>
      </w:r>
      <w:r w:rsidRPr="0053729F">
        <w:t xml:space="preserve">products brought to people’s lives. Levine took pride in reading the glowing reviews and letters of thanks sent by IBS sufferers who had regained a part of their </w:t>
      </w:r>
      <w:r w:rsidR="005F3ED0">
        <w:t>lives</w:t>
      </w:r>
      <w:r w:rsidR="005F3ED0" w:rsidRPr="0053729F">
        <w:t xml:space="preserve"> </w:t>
      </w:r>
      <w:r w:rsidRPr="0053729F">
        <w:t xml:space="preserve">thanks to the </w:t>
      </w:r>
      <w:r w:rsidR="005F3ED0">
        <w:t>low-FODMAP</w:t>
      </w:r>
      <w:r w:rsidRPr="0053729F">
        <w:t xml:space="preserve"> diet that </w:t>
      </w:r>
      <w:r w:rsidR="00BD03B6">
        <w:t>Fody</w:t>
      </w:r>
      <w:r w:rsidR="005F3ED0" w:rsidRPr="0053729F">
        <w:t xml:space="preserve"> </w:t>
      </w:r>
      <w:r w:rsidRPr="0053729F">
        <w:t xml:space="preserve">had facilitated for them. Levine described one particularly moving exchange with a young customer. </w:t>
      </w:r>
    </w:p>
    <w:p w14:paraId="00CC1076" w14:textId="77777777" w:rsidR="003B2816" w:rsidRPr="0053729F" w:rsidRDefault="003B2816" w:rsidP="003B2816">
      <w:pPr>
        <w:pStyle w:val="BodyTextMain"/>
      </w:pPr>
    </w:p>
    <w:p w14:paraId="33758E79" w14:textId="726D1279" w:rsidR="003B2816" w:rsidRPr="0053729F" w:rsidRDefault="003B2816" w:rsidP="003B2816">
      <w:pPr>
        <w:pStyle w:val="BodyTextMain"/>
      </w:pPr>
      <w:r w:rsidRPr="0053729F">
        <w:t>“There was a phone call from a young boy</w:t>
      </w:r>
      <w:r w:rsidR="005F3ED0">
        <w:t>—</w:t>
      </w:r>
      <w:r w:rsidRPr="0053729F">
        <w:t>maybe 10 or 11 years old,” Levine recalled. “His mom ordered for him, and he just called to say thank you and that we changed his life. He said, ‘You took the hard part of the diet and made it easy and fun.</w:t>
      </w:r>
      <w:r w:rsidR="0053729F">
        <w:t xml:space="preserve"> </w:t>
      </w:r>
      <w:r w:rsidRPr="0053729F">
        <w:t xml:space="preserve">You revamped my life.’ I got </w:t>
      </w:r>
      <w:r w:rsidR="005F3ED0">
        <w:t>goosebumps</w:t>
      </w:r>
      <w:r w:rsidRPr="0053729F">
        <w:t xml:space="preserve"> from head to toe.” </w:t>
      </w:r>
    </w:p>
    <w:p w14:paraId="2FA02D66" w14:textId="77777777" w:rsidR="003B2816" w:rsidRPr="0053729F" w:rsidRDefault="003B2816" w:rsidP="003B2816">
      <w:pPr>
        <w:pStyle w:val="BodyTextMain"/>
      </w:pPr>
    </w:p>
    <w:p w14:paraId="3FE77912" w14:textId="523C5222" w:rsidR="003B2816" w:rsidRPr="0053729F" w:rsidRDefault="003B2816" w:rsidP="003B2816">
      <w:pPr>
        <w:pStyle w:val="BodyTextMain"/>
      </w:pPr>
      <w:r w:rsidRPr="0053729F">
        <w:t xml:space="preserve">To keep the logistical aspects on track, Soch had to keep a close eye on all their contributors to ensure strong </w:t>
      </w:r>
      <w:r w:rsidR="00C50E72">
        <w:t>supply chain</w:t>
      </w:r>
      <w:r w:rsidRPr="0053729F">
        <w:t xml:space="preserve"> management. The entirety of the </w:t>
      </w:r>
      <w:r w:rsidR="00BD03B6">
        <w:t>Fody</w:t>
      </w:r>
      <w:r w:rsidR="00C50E72" w:rsidRPr="0053729F">
        <w:t xml:space="preserve"> </w:t>
      </w:r>
      <w:r w:rsidRPr="0053729F">
        <w:t xml:space="preserve">line of products was being manufactured and shipped through </w:t>
      </w:r>
      <w:r w:rsidR="00C50E72">
        <w:t>third party</w:t>
      </w:r>
      <w:r w:rsidRPr="0053729F">
        <w:t xml:space="preserve"> warehouses; food never went through the </w:t>
      </w:r>
      <w:r w:rsidR="00BD03B6">
        <w:t>Fody</w:t>
      </w:r>
      <w:r w:rsidR="00C50E72" w:rsidRPr="0053729F">
        <w:t xml:space="preserve"> </w:t>
      </w:r>
      <w:r w:rsidRPr="0053729F">
        <w:t xml:space="preserve">offices in Montreal. With </w:t>
      </w:r>
      <w:r w:rsidR="00C50E72">
        <w:t>the</w:t>
      </w:r>
      <w:r w:rsidRPr="0053729F">
        <w:t xml:space="preserve"> bulk of sales processed online</w:t>
      </w:r>
      <w:r w:rsidR="00BD03B6">
        <w:t>,</w:t>
      </w:r>
      <w:r w:rsidRPr="0053729F">
        <w:t xml:space="preserve"> and only a few deliveries made to </w:t>
      </w:r>
      <w:r w:rsidR="00C50E72">
        <w:t>bricks-and-mortar</w:t>
      </w:r>
      <w:r w:rsidRPr="0053729F">
        <w:t xml:space="preserve"> grocery stores, it was possible for one person to oversee all </w:t>
      </w:r>
      <w:r w:rsidR="00281975">
        <w:t>third-</w:t>
      </w:r>
      <w:r w:rsidR="00C50E72">
        <w:t>party</w:t>
      </w:r>
      <w:r w:rsidRPr="0053729F">
        <w:t xml:space="preserve"> </w:t>
      </w:r>
      <w:r w:rsidR="00C50E72">
        <w:t>service providers</w:t>
      </w:r>
      <w:r w:rsidRPr="0053729F">
        <w:t xml:space="preserve">. But with considerable growth on the horizon, the team would have to carefully </w:t>
      </w:r>
      <w:r w:rsidR="0071053F">
        <w:t>re-evaluate</w:t>
      </w:r>
      <w:r w:rsidR="0071053F" w:rsidRPr="0053729F">
        <w:t xml:space="preserve"> </w:t>
      </w:r>
      <w:r w:rsidRPr="0053729F">
        <w:t xml:space="preserve">how to manage their </w:t>
      </w:r>
      <w:r w:rsidR="0071053F">
        <w:t>supply chain</w:t>
      </w:r>
      <w:r w:rsidRPr="0053729F">
        <w:t xml:space="preserve"> should they find themselves in all major grocery chains in North America.</w:t>
      </w:r>
    </w:p>
    <w:p w14:paraId="5947CAAF" w14:textId="77777777" w:rsidR="003B2816" w:rsidRPr="0053729F" w:rsidRDefault="003B2816" w:rsidP="003B2816">
      <w:pPr>
        <w:pStyle w:val="BodyTextMain"/>
      </w:pPr>
    </w:p>
    <w:p w14:paraId="171FC85F" w14:textId="77777777" w:rsidR="003B2816" w:rsidRPr="0053729F" w:rsidRDefault="003B2816" w:rsidP="003B2816">
      <w:pPr>
        <w:pStyle w:val="BodyTextMain"/>
      </w:pPr>
    </w:p>
    <w:p w14:paraId="2E1C7B76" w14:textId="77777777" w:rsidR="003B2816" w:rsidRPr="0053729F" w:rsidRDefault="003B2816" w:rsidP="003B2816">
      <w:pPr>
        <w:pStyle w:val="Casehead1"/>
        <w:rPr>
          <w:rFonts w:eastAsia="Arial"/>
        </w:rPr>
      </w:pPr>
      <w:r w:rsidRPr="0053729F">
        <w:t>Distribution and Pricing</w:t>
      </w:r>
    </w:p>
    <w:p w14:paraId="395697D7" w14:textId="77777777" w:rsidR="003B2816" w:rsidRPr="0053729F" w:rsidRDefault="003B2816" w:rsidP="003B2816">
      <w:pPr>
        <w:pStyle w:val="BodyTextMain"/>
      </w:pPr>
    </w:p>
    <w:p w14:paraId="15B92221" w14:textId="6DE4BDE5" w:rsidR="003B2816" w:rsidRPr="00D4476A" w:rsidRDefault="00BD03B6" w:rsidP="003B2816">
      <w:pPr>
        <w:pStyle w:val="BodyTextMain"/>
        <w:rPr>
          <w:spacing w:val="-2"/>
        </w:rPr>
      </w:pPr>
      <w:r w:rsidRPr="00D4476A">
        <w:rPr>
          <w:spacing w:val="-2"/>
        </w:rPr>
        <w:t>Fody</w:t>
      </w:r>
      <w:r w:rsidR="00A61B66" w:rsidRPr="00D4476A">
        <w:rPr>
          <w:spacing w:val="-2"/>
        </w:rPr>
        <w:t xml:space="preserve"> </w:t>
      </w:r>
      <w:r w:rsidR="003B2816" w:rsidRPr="00D4476A">
        <w:rPr>
          <w:spacing w:val="-2"/>
        </w:rPr>
        <w:t xml:space="preserve">distributed their products online </w:t>
      </w:r>
      <w:r w:rsidR="00831CA2" w:rsidRPr="00D4476A">
        <w:rPr>
          <w:spacing w:val="-2"/>
        </w:rPr>
        <w:t xml:space="preserve">through </w:t>
      </w:r>
      <w:r w:rsidR="003B2816" w:rsidRPr="00D4476A">
        <w:rPr>
          <w:spacing w:val="-2"/>
        </w:rPr>
        <w:t>the company’s American and Canadian websites, Amazon.com</w:t>
      </w:r>
      <w:r w:rsidR="009864A0" w:rsidRPr="00D4476A">
        <w:rPr>
          <w:spacing w:val="-2"/>
        </w:rPr>
        <w:t xml:space="preserve"> Inc. (Amazon)</w:t>
      </w:r>
      <w:r w:rsidRPr="00D4476A">
        <w:rPr>
          <w:spacing w:val="-2"/>
        </w:rPr>
        <w:t>,</w:t>
      </w:r>
      <w:r w:rsidR="003B2816" w:rsidRPr="00D4476A">
        <w:rPr>
          <w:spacing w:val="-2"/>
        </w:rPr>
        <w:t xml:space="preserve"> and other online stores, in keeping with the growth of online sales in the industry. In 2016, </w:t>
      </w:r>
      <w:r w:rsidR="005A1911">
        <w:rPr>
          <w:spacing w:val="-2"/>
        </w:rPr>
        <w:t>US</w:t>
      </w:r>
      <w:r w:rsidR="003B2816" w:rsidRPr="00D4476A">
        <w:rPr>
          <w:spacing w:val="-2"/>
        </w:rPr>
        <w:t xml:space="preserve"> online grocery sales represented 3</w:t>
      </w:r>
      <w:r w:rsidR="00A61B66" w:rsidRPr="00D4476A">
        <w:rPr>
          <w:spacing w:val="-2"/>
        </w:rPr>
        <w:t xml:space="preserve"> per cent</w:t>
      </w:r>
      <w:r w:rsidR="003B2816" w:rsidRPr="00D4476A">
        <w:rPr>
          <w:spacing w:val="-2"/>
        </w:rPr>
        <w:t xml:space="preserve"> of the market and </w:t>
      </w:r>
      <w:r w:rsidR="00A61B66" w:rsidRPr="00D4476A">
        <w:rPr>
          <w:spacing w:val="-2"/>
        </w:rPr>
        <w:t xml:space="preserve">were </w:t>
      </w:r>
      <w:r w:rsidR="003B2816" w:rsidRPr="00D4476A">
        <w:rPr>
          <w:spacing w:val="-2"/>
        </w:rPr>
        <w:t>expected to reach 10</w:t>
      </w:r>
      <w:r w:rsidR="00A61B66" w:rsidRPr="00D4476A">
        <w:rPr>
          <w:spacing w:val="-2"/>
        </w:rPr>
        <w:t xml:space="preserve"> per cent</w:t>
      </w:r>
      <w:r w:rsidR="003B2816" w:rsidRPr="00D4476A">
        <w:rPr>
          <w:spacing w:val="-2"/>
        </w:rPr>
        <w:t xml:space="preserve"> by 2020 (</w:t>
      </w:r>
      <w:r w:rsidR="00A61B66" w:rsidRPr="00D4476A">
        <w:rPr>
          <w:spacing w:val="-2"/>
        </w:rPr>
        <w:t xml:space="preserve">see </w:t>
      </w:r>
      <w:r w:rsidR="003B2816" w:rsidRPr="00D4476A">
        <w:rPr>
          <w:spacing w:val="-2"/>
        </w:rPr>
        <w:t xml:space="preserve">Exhibit </w:t>
      </w:r>
      <w:r w:rsidR="002F3427" w:rsidRPr="00D4476A">
        <w:rPr>
          <w:spacing w:val="-2"/>
        </w:rPr>
        <w:t>2</w:t>
      </w:r>
      <w:r w:rsidR="003B2816" w:rsidRPr="00D4476A">
        <w:rPr>
          <w:spacing w:val="-2"/>
        </w:rPr>
        <w:t>). Amazon and Walmart</w:t>
      </w:r>
      <w:r w:rsidR="009864A0" w:rsidRPr="00D4476A">
        <w:rPr>
          <w:spacing w:val="-2"/>
        </w:rPr>
        <w:t xml:space="preserve"> Inc.</w:t>
      </w:r>
      <w:r w:rsidR="003B2816" w:rsidRPr="00D4476A">
        <w:rPr>
          <w:spacing w:val="-2"/>
        </w:rPr>
        <w:t xml:space="preserve"> were the two biggest players in the </w:t>
      </w:r>
      <w:r w:rsidR="00933E0B" w:rsidRPr="00D4476A">
        <w:rPr>
          <w:spacing w:val="-2"/>
        </w:rPr>
        <w:t>online-grocery</w:t>
      </w:r>
      <w:r w:rsidR="003B2816" w:rsidRPr="00D4476A">
        <w:rPr>
          <w:spacing w:val="-2"/>
        </w:rPr>
        <w:t xml:space="preserve"> arena (</w:t>
      </w:r>
      <w:r w:rsidR="009864A0" w:rsidRPr="00D4476A">
        <w:rPr>
          <w:spacing w:val="-2"/>
        </w:rPr>
        <w:t xml:space="preserve">see </w:t>
      </w:r>
      <w:r w:rsidR="003B2816" w:rsidRPr="00D4476A">
        <w:rPr>
          <w:spacing w:val="-2"/>
        </w:rPr>
        <w:t xml:space="preserve">Exhibit </w:t>
      </w:r>
      <w:r w:rsidR="002F3427" w:rsidRPr="00D4476A">
        <w:rPr>
          <w:spacing w:val="-2"/>
        </w:rPr>
        <w:t>3</w:t>
      </w:r>
      <w:r w:rsidR="003B2816" w:rsidRPr="00D4476A">
        <w:rPr>
          <w:spacing w:val="-2"/>
        </w:rPr>
        <w:t>)</w:t>
      </w:r>
      <w:r w:rsidR="009864A0" w:rsidRPr="00D4476A">
        <w:rPr>
          <w:spacing w:val="-2"/>
        </w:rPr>
        <w:t>,</w:t>
      </w:r>
      <w:r w:rsidR="003B2816" w:rsidRPr="00D4476A">
        <w:rPr>
          <w:spacing w:val="-2"/>
        </w:rPr>
        <w:t xml:space="preserve"> with other chains across Canada and the </w:t>
      </w:r>
      <w:r w:rsidR="009864A0" w:rsidRPr="00D4476A">
        <w:rPr>
          <w:spacing w:val="-2"/>
        </w:rPr>
        <w:t>United States</w:t>
      </w:r>
      <w:r w:rsidR="003B2816" w:rsidRPr="00D4476A">
        <w:rPr>
          <w:spacing w:val="-2"/>
        </w:rPr>
        <w:t xml:space="preserve"> beginning to tap into the market. Traditional grocery stores, too, were beginning to implement online sales options (</w:t>
      </w:r>
      <w:r w:rsidR="009864A0" w:rsidRPr="00D4476A">
        <w:rPr>
          <w:spacing w:val="-2"/>
        </w:rPr>
        <w:t xml:space="preserve">see </w:t>
      </w:r>
      <w:r w:rsidR="003B2816" w:rsidRPr="00D4476A">
        <w:rPr>
          <w:spacing w:val="-2"/>
        </w:rPr>
        <w:t xml:space="preserve">Exhibit </w:t>
      </w:r>
      <w:r w:rsidR="002F3427" w:rsidRPr="00D4476A">
        <w:rPr>
          <w:spacing w:val="-2"/>
        </w:rPr>
        <w:t>4</w:t>
      </w:r>
      <w:r w:rsidR="003B2816" w:rsidRPr="00D4476A">
        <w:rPr>
          <w:spacing w:val="-2"/>
        </w:rPr>
        <w:t>).</w:t>
      </w:r>
    </w:p>
    <w:p w14:paraId="700B8082" w14:textId="77777777" w:rsidR="003B2816" w:rsidRPr="0053729F" w:rsidRDefault="003B2816" w:rsidP="003B2816">
      <w:pPr>
        <w:pStyle w:val="BodyTextMain"/>
      </w:pPr>
    </w:p>
    <w:p w14:paraId="7A5F11AB" w14:textId="2D345DDA" w:rsidR="003B2816" w:rsidRPr="0053729F" w:rsidRDefault="003B2816" w:rsidP="003B2816">
      <w:pPr>
        <w:pStyle w:val="BodyTextMain"/>
      </w:pPr>
      <w:r w:rsidRPr="0053729F">
        <w:t xml:space="preserve">After launching the first line of products on their </w:t>
      </w:r>
      <w:r w:rsidR="005A1911">
        <w:t>US</w:t>
      </w:r>
      <w:r w:rsidRPr="0053729F">
        <w:t xml:space="preserve"> website, </w:t>
      </w:r>
      <w:r w:rsidR="00952033">
        <w:t>F</w:t>
      </w:r>
      <w:r w:rsidRPr="0053729F">
        <w:t>ody</w:t>
      </w:r>
      <w:r w:rsidR="00952033">
        <w:t>F</w:t>
      </w:r>
      <w:r w:rsidRPr="0053729F">
        <w:t xml:space="preserve">oods.com, the </w:t>
      </w:r>
      <w:r w:rsidR="006F33F9">
        <w:t>Fody</w:t>
      </w:r>
      <w:r w:rsidR="009864A0" w:rsidRPr="0053729F">
        <w:t xml:space="preserve"> </w:t>
      </w:r>
      <w:r w:rsidRPr="0053729F">
        <w:t>team was quickly able to list their full product line on Amazon, Vitacost</w:t>
      </w:r>
      <w:r w:rsidR="006F33F9">
        <w:t xml:space="preserve">.com, </w:t>
      </w:r>
      <w:r w:rsidRPr="0053729F">
        <w:t>and</w:t>
      </w:r>
      <w:r w:rsidR="009864A0">
        <w:t>,</w:t>
      </w:r>
      <w:r w:rsidRPr="0053729F">
        <w:t xml:space="preserve"> subsequently</w:t>
      </w:r>
      <w:r w:rsidR="009864A0">
        <w:t>,</w:t>
      </w:r>
      <w:r w:rsidRPr="0053729F">
        <w:t xml:space="preserve"> their Canadian site, </w:t>
      </w:r>
      <w:r w:rsidR="00952033">
        <w:t>F</w:t>
      </w:r>
      <w:r w:rsidRPr="0053729F">
        <w:t>ody</w:t>
      </w:r>
      <w:r w:rsidR="00952033">
        <w:t>F</w:t>
      </w:r>
      <w:r w:rsidRPr="0053729F">
        <w:t>oods.ca. Product price points put them firmly between private label and gourmet products. Month after month, their sales increased through a loyal fan base of repeat customers. Not only were their customers coming back</w:t>
      </w:r>
      <w:r w:rsidR="009864A0">
        <w:t>—</w:t>
      </w:r>
      <w:r w:rsidRPr="0053729F">
        <w:t xml:space="preserve">they were </w:t>
      </w:r>
      <w:r w:rsidR="006F33F9">
        <w:t xml:space="preserve">also </w:t>
      </w:r>
      <w:r w:rsidRPr="0053729F">
        <w:t>buying more and more products (</w:t>
      </w:r>
      <w:r w:rsidR="009864A0">
        <w:t xml:space="preserve">see </w:t>
      </w:r>
      <w:r w:rsidRPr="0053729F">
        <w:t xml:space="preserve">Exhibit </w:t>
      </w:r>
      <w:r w:rsidR="002F3427" w:rsidRPr="0053729F">
        <w:t>5</w:t>
      </w:r>
      <w:r w:rsidRPr="0053729F">
        <w:t>).</w:t>
      </w:r>
    </w:p>
    <w:p w14:paraId="3D0CEFA5" w14:textId="77777777" w:rsidR="003B2816" w:rsidRPr="0053729F" w:rsidRDefault="003B2816" w:rsidP="003B2816">
      <w:pPr>
        <w:pStyle w:val="BodyTextMain"/>
      </w:pPr>
    </w:p>
    <w:p w14:paraId="2C35CA7A" w14:textId="28B642BD" w:rsidR="003B2816" w:rsidRPr="0053729F" w:rsidRDefault="003B2816" w:rsidP="003B2816">
      <w:pPr>
        <w:pStyle w:val="BodyTextMain"/>
      </w:pPr>
      <w:r w:rsidRPr="0053729F">
        <w:t xml:space="preserve">In addition to providing online sales, the Fody website furnished visitors with information about FODMAPs and recipes to make at home. The online shop allowed Fody to quickly get the product on the market with low overhead and wide reach. Consumers could order items online, and the </w:t>
      </w:r>
      <w:r w:rsidR="009864A0">
        <w:t>costs</w:t>
      </w:r>
      <w:r w:rsidR="009864A0" w:rsidRPr="0053729F">
        <w:t xml:space="preserve"> </w:t>
      </w:r>
      <w:r w:rsidRPr="0053729F">
        <w:t xml:space="preserve">per product </w:t>
      </w:r>
      <w:r w:rsidR="009864A0">
        <w:t>were</w:t>
      </w:r>
      <w:r w:rsidR="009864A0" w:rsidRPr="0053729F">
        <w:t xml:space="preserve"> </w:t>
      </w:r>
      <w:r w:rsidRPr="0053729F">
        <w:t xml:space="preserve">above </w:t>
      </w:r>
      <w:r w:rsidRPr="0053729F">
        <w:lastRenderedPageBreak/>
        <w:t xml:space="preserve">the prices of leading national store-bought brands but less than gourmet prices. Free shipping was offered on orders over </w:t>
      </w:r>
      <w:r w:rsidR="00784E13">
        <w:t>CA</w:t>
      </w:r>
      <w:r w:rsidRPr="0053729F">
        <w:t>$75.</w:t>
      </w:r>
      <w:r w:rsidR="0053729F">
        <w:t xml:space="preserve"> </w:t>
      </w:r>
    </w:p>
    <w:p w14:paraId="34525E51" w14:textId="77777777" w:rsidR="003B2816" w:rsidRPr="0053729F" w:rsidRDefault="003B2816" w:rsidP="003B2816">
      <w:pPr>
        <w:pStyle w:val="BodyTextMain"/>
      </w:pPr>
    </w:p>
    <w:p w14:paraId="26A57FD1" w14:textId="7CA91601" w:rsidR="003B2816" w:rsidRPr="0053729F" w:rsidRDefault="003B2816" w:rsidP="003B2816">
      <w:pPr>
        <w:pStyle w:val="BodyTextMain"/>
      </w:pPr>
      <w:r w:rsidRPr="0053729F">
        <w:t xml:space="preserve">The website additionally allowed Soch to track their sales, gauge interest in product categories, tweak the product offerings, adjust production, and seek new product ideas. “Launching new products online has been gold for us,” said Soch. “We try something online, monitor repeat sales, and our customers give us immediate feedback.” The feedback also gave the company valuable input on their </w:t>
      </w:r>
      <w:r w:rsidR="00E85ABE">
        <w:t>bestselling</w:t>
      </w:r>
      <w:r w:rsidRPr="0053729F">
        <w:t xml:space="preserve"> products and enabled them to create a database of customers for developing and maintaining relationships. </w:t>
      </w:r>
    </w:p>
    <w:p w14:paraId="56F906F1" w14:textId="77777777" w:rsidR="003B2816" w:rsidRPr="0053729F" w:rsidRDefault="003B2816" w:rsidP="003B2816">
      <w:pPr>
        <w:pStyle w:val="BodyTextMain"/>
      </w:pPr>
    </w:p>
    <w:p w14:paraId="250FB3D4" w14:textId="24125335" w:rsidR="00BE2A73" w:rsidRPr="00F84CA1" w:rsidRDefault="003B2816" w:rsidP="003B2816">
      <w:pPr>
        <w:pStyle w:val="BodyTextMain"/>
        <w:rPr>
          <w:spacing w:val="-2"/>
        </w:rPr>
      </w:pPr>
      <w:r w:rsidRPr="00F84CA1">
        <w:rPr>
          <w:spacing w:val="-2"/>
        </w:rPr>
        <w:t xml:space="preserve">With the success of their online sales, Singer wondered how quickly </w:t>
      </w:r>
      <w:r w:rsidR="006F33F9" w:rsidRPr="00F84CA1">
        <w:rPr>
          <w:spacing w:val="-2"/>
        </w:rPr>
        <w:t>Fody</w:t>
      </w:r>
      <w:r w:rsidR="00E85ABE" w:rsidRPr="00F84CA1">
        <w:rPr>
          <w:spacing w:val="-2"/>
        </w:rPr>
        <w:t xml:space="preserve"> </w:t>
      </w:r>
      <w:r w:rsidRPr="00F84CA1">
        <w:rPr>
          <w:spacing w:val="-2"/>
        </w:rPr>
        <w:t xml:space="preserve">should pursue traditional retail. Although online shopping had steadily increased, </w:t>
      </w:r>
      <w:r w:rsidR="00E85ABE" w:rsidRPr="00F84CA1">
        <w:rPr>
          <w:spacing w:val="-2"/>
        </w:rPr>
        <w:t>bricks-and-mortar</w:t>
      </w:r>
      <w:r w:rsidRPr="00F84CA1">
        <w:rPr>
          <w:spacing w:val="-2"/>
        </w:rPr>
        <w:t xml:space="preserve"> store sales were enormous and still represented 97</w:t>
      </w:r>
      <w:r w:rsidR="00E85ABE" w:rsidRPr="00F84CA1">
        <w:rPr>
          <w:spacing w:val="-2"/>
        </w:rPr>
        <w:t xml:space="preserve"> per cent </w:t>
      </w:r>
      <w:r w:rsidRPr="00F84CA1">
        <w:rPr>
          <w:spacing w:val="-2"/>
        </w:rPr>
        <w:t xml:space="preserve">of grocery sales in North America. </w:t>
      </w:r>
      <w:r w:rsidR="000B2507" w:rsidRPr="00F84CA1">
        <w:rPr>
          <w:spacing w:val="-2"/>
        </w:rPr>
        <w:t xml:space="preserve">In Canada, for example, </w:t>
      </w:r>
      <w:r w:rsidR="001F760A" w:rsidRPr="00F84CA1">
        <w:rPr>
          <w:spacing w:val="-2"/>
        </w:rPr>
        <w:t>retail sales of supermarkets and other grocery stores in</w:t>
      </w:r>
      <w:r w:rsidR="00FD3364" w:rsidRPr="00F84CA1">
        <w:rPr>
          <w:spacing w:val="-2"/>
        </w:rPr>
        <w:t xml:space="preserve">creased from </w:t>
      </w:r>
      <w:r w:rsidR="00E85ABE" w:rsidRPr="00F84CA1">
        <w:rPr>
          <w:spacing w:val="-2"/>
        </w:rPr>
        <w:t>CA$</w:t>
      </w:r>
      <w:r w:rsidR="00FD3364" w:rsidRPr="00F84CA1">
        <w:rPr>
          <w:spacing w:val="-2"/>
        </w:rPr>
        <w:t xml:space="preserve">75.74 </w:t>
      </w:r>
      <w:r w:rsidR="00E85ABE" w:rsidRPr="00F84CA1">
        <w:rPr>
          <w:spacing w:val="-2"/>
        </w:rPr>
        <w:t xml:space="preserve">billion </w:t>
      </w:r>
      <w:r w:rsidR="00FD3364" w:rsidRPr="00F84CA1">
        <w:rPr>
          <w:spacing w:val="-2"/>
        </w:rPr>
        <w:t xml:space="preserve">to </w:t>
      </w:r>
      <w:r w:rsidR="00E85ABE" w:rsidRPr="00F84CA1">
        <w:rPr>
          <w:spacing w:val="-2"/>
        </w:rPr>
        <w:t>CA$</w:t>
      </w:r>
      <w:r w:rsidR="00FD3364" w:rsidRPr="00F84CA1">
        <w:rPr>
          <w:spacing w:val="-2"/>
        </w:rPr>
        <w:t>81.76</w:t>
      </w:r>
      <w:r w:rsidR="001F760A" w:rsidRPr="00F84CA1">
        <w:rPr>
          <w:spacing w:val="-2"/>
        </w:rPr>
        <w:t xml:space="preserve"> billion </w:t>
      </w:r>
      <w:r w:rsidR="000B2507" w:rsidRPr="00F84CA1">
        <w:rPr>
          <w:spacing w:val="-2"/>
        </w:rPr>
        <w:t>from 2012 to 2016.</w:t>
      </w:r>
      <w:r w:rsidR="00FC5BCB" w:rsidRPr="0048736C">
        <w:rPr>
          <w:rStyle w:val="FootnoteReference"/>
        </w:rPr>
        <w:footnoteReference w:id="7"/>
      </w:r>
      <w:r w:rsidR="000B2507" w:rsidRPr="00F84CA1">
        <w:rPr>
          <w:spacing w:val="-2"/>
        </w:rPr>
        <w:t xml:space="preserve"> From 2013 to 2018, forecasted </w:t>
      </w:r>
      <w:r w:rsidR="00D10520" w:rsidRPr="00F84CA1">
        <w:rPr>
          <w:spacing w:val="-2"/>
        </w:rPr>
        <w:t xml:space="preserve">retail sales of </w:t>
      </w:r>
      <w:r w:rsidR="000B2507" w:rsidRPr="00F84CA1">
        <w:rPr>
          <w:spacing w:val="-2"/>
        </w:rPr>
        <w:t xml:space="preserve">Canadian </w:t>
      </w:r>
      <w:r w:rsidR="00D10520" w:rsidRPr="00F84CA1">
        <w:rPr>
          <w:spacing w:val="-2"/>
        </w:rPr>
        <w:t>supermarkets i</w:t>
      </w:r>
      <w:r w:rsidR="000B2507" w:rsidRPr="00F84CA1">
        <w:rPr>
          <w:spacing w:val="-2"/>
        </w:rPr>
        <w:t xml:space="preserve">ncreased from </w:t>
      </w:r>
      <w:r w:rsidR="00E85ABE" w:rsidRPr="00F84CA1">
        <w:rPr>
          <w:spacing w:val="-2"/>
        </w:rPr>
        <w:t>CA$</w:t>
      </w:r>
      <w:r w:rsidR="000B2507" w:rsidRPr="00F84CA1">
        <w:rPr>
          <w:spacing w:val="-2"/>
        </w:rPr>
        <w:t>36.95</w:t>
      </w:r>
      <w:r w:rsidR="00E85ABE" w:rsidRPr="00F84CA1">
        <w:rPr>
          <w:spacing w:val="-2"/>
        </w:rPr>
        <w:t xml:space="preserve"> billion</w:t>
      </w:r>
      <w:r w:rsidR="000B2507" w:rsidRPr="00F84CA1">
        <w:rPr>
          <w:spacing w:val="-2"/>
        </w:rPr>
        <w:t xml:space="preserve"> to </w:t>
      </w:r>
      <w:r w:rsidR="00E85ABE" w:rsidRPr="00F84CA1">
        <w:rPr>
          <w:spacing w:val="-2"/>
        </w:rPr>
        <w:t>CA$</w:t>
      </w:r>
      <w:r w:rsidR="000B2507" w:rsidRPr="00F84CA1">
        <w:rPr>
          <w:spacing w:val="-2"/>
        </w:rPr>
        <w:t>42.58</w:t>
      </w:r>
      <w:r w:rsidR="00D10520" w:rsidRPr="00F84CA1">
        <w:rPr>
          <w:spacing w:val="-2"/>
        </w:rPr>
        <w:t xml:space="preserve"> billion.</w:t>
      </w:r>
      <w:r w:rsidR="00FC5BCB" w:rsidRPr="0048736C">
        <w:rPr>
          <w:rStyle w:val="FootnoteReference"/>
        </w:rPr>
        <w:footnoteReference w:id="8"/>
      </w:r>
      <w:r w:rsidR="00D10520" w:rsidRPr="00F84CA1">
        <w:rPr>
          <w:spacing w:val="-2"/>
        </w:rPr>
        <w:t xml:space="preserve"> Supermarket and other </w:t>
      </w:r>
      <w:r w:rsidR="000B2507" w:rsidRPr="00F84CA1">
        <w:rPr>
          <w:spacing w:val="-2"/>
        </w:rPr>
        <w:t>g</w:t>
      </w:r>
      <w:r w:rsidR="00D10520" w:rsidRPr="00F84CA1">
        <w:rPr>
          <w:spacing w:val="-2"/>
        </w:rPr>
        <w:t xml:space="preserve">rocery </w:t>
      </w:r>
      <w:r w:rsidR="000B2507" w:rsidRPr="00F84CA1">
        <w:rPr>
          <w:spacing w:val="-2"/>
        </w:rPr>
        <w:t>s</w:t>
      </w:r>
      <w:r w:rsidR="00D10520" w:rsidRPr="00F84CA1">
        <w:rPr>
          <w:spacing w:val="-2"/>
        </w:rPr>
        <w:t xml:space="preserve">tore </w:t>
      </w:r>
      <w:r w:rsidR="000B2507" w:rsidRPr="00F84CA1">
        <w:rPr>
          <w:spacing w:val="-2"/>
        </w:rPr>
        <w:t>s</w:t>
      </w:r>
      <w:r w:rsidR="00D10520" w:rsidRPr="00F84CA1">
        <w:rPr>
          <w:spacing w:val="-2"/>
        </w:rPr>
        <w:t>ales in the United States in</w:t>
      </w:r>
      <w:r w:rsidR="000B2507" w:rsidRPr="00F84CA1">
        <w:rPr>
          <w:spacing w:val="-2"/>
        </w:rPr>
        <w:t xml:space="preserve">creased from </w:t>
      </w:r>
      <w:r w:rsidR="00FC151A" w:rsidRPr="00F84CA1">
        <w:rPr>
          <w:spacing w:val="-2"/>
        </w:rPr>
        <w:t>US$</w:t>
      </w:r>
      <w:r w:rsidR="000B2507" w:rsidRPr="00F84CA1">
        <w:rPr>
          <w:spacing w:val="-2"/>
        </w:rPr>
        <w:t xml:space="preserve">310 </w:t>
      </w:r>
      <w:r w:rsidR="00BE2A73" w:rsidRPr="00F84CA1">
        <w:rPr>
          <w:spacing w:val="-2"/>
        </w:rPr>
        <w:t xml:space="preserve">billion </w:t>
      </w:r>
      <w:r w:rsidR="000B2507" w:rsidRPr="00F84CA1">
        <w:rPr>
          <w:spacing w:val="-2"/>
        </w:rPr>
        <w:t xml:space="preserve">to </w:t>
      </w:r>
      <w:r w:rsidR="00FC151A" w:rsidRPr="00F84CA1">
        <w:rPr>
          <w:spacing w:val="-2"/>
        </w:rPr>
        <w:t>US$</w:t>
      </w:r>
      <w:r w:rsidR="000B2507" w:rsidRPr="00F84CA1">
        <w:rPr>
          <w:spacing w:val="-2"/>
        </w:rPr>
        <w:t>600</w:t>
      </w:r>
      <w:r w:rsidR="00D10520" w:rsidRPr="00F84CA1">
        <w:rPr>
          <w:spacing w:val="-2"/>
        </w:rPr>
        <w:t xml:space="preserve"> </w:t>
      </w:r>
      <w:r w:rsidR="000B2507" w:rsidRPr="00F84CA1">
        <w:rPr>
          <w:spacing w:val="-2"/>
        </w:rPr>
        <w:t>b</w:t>
      </w:r>
      <w:r w:rsidR="00D10520" w:rsidRPr="00F84CA1">
        <w:rPr>
          <w:spacing w:val="-2"/>
        </w:rPr>
        <w:t xml:space="preserve">illion </w:t>
      </w:r>
      <w:r w:rsidR="000B2507" w:rsidRPr="00F84CA1">
        <w:rPr>
          <w:spacing w:val="-2"/>
        </w:rPr>
        <w:t>from 1992 to 2016</w:t>
      </w:r>
      <w:r w:rsidR="00FC5BCB" w:rsidRPr="00F84CA1">
        <w:rPr>
          <w:spacing w:val="-2"/>
        </w:rPr>
        <w:t>,</w:t>
      </w:r>
      <w:r w:rsidR="00331F01" w:rsidRPr="0048736C">
        <w:rPr>
          <w:rStyle w:val="FootnoteReference"/>
        </w:rPr>
        <w:footnoteReference w:id="9"/>
      </w:r>
      <w:r w:rsidR="00FC5BCB" w:rsidRPr="00F84CA1">
        <w:rPr>
          <w:spacing w:val="-2"/>
        </w:rPr>
        <w:t xml:space="preserve"> while global s</w:t>
      </w:r>
      <w:r w:rsidR="00D10520" w:rsidRPr="00F84CA1">
        <w:rPr>
          <w:spacing w:val="-2"/>
        </w:rPr>
        <w:t xml:space="preserve">ales of supermarkets and </w:t>
      </w:r>
      <w:r w:rsidR="00FC151A" w:rsidRPr="00F84CA1">
        <w:rPr>
          <w:spacing w:val="-2"/>
        </w:rPr>
        <w:t>neighbourhood</w:t>
      </w:r>
      <w:r w:rsidR="00D10520" w:rsidRPr="00F84CA1">
        <w:rPr>
          <w:spacing w:val="-2"/>
        </w:rPr>
        <w:t xml:space="preserve"> stores worldwide </w:t>
      </w:r>
      <w:r w:rsidR="00FC5BCB" w:rsidRPr="00F84CA1">
        <w:rPr>
          <w:spacing w:val="-2"/>
        </w:rPr>
        <w:t xml:space="preserve">increased from </w:t>
      </w:r>
      <w:r w:rsidR="00FC151A" w:rsidRPr="00F84CA1">
        <w:rPr>
          <w:spacing w:val="-2"/>
        </w:rPr>
        <w:t>US$</w:t>
      </w:r>
      <w:r w:rsidR="00FC5BCB" w:rsidRPr="00F84CA1">
        <w:rPr>
          <w:spacing w:val="-2"/>
        </w:rPr>
        <w:t>786</w:t>
      </w:r>
      <w:r w:rsidR="006F33F9" w:rsidRPr="00F84CA1">
        <w:rPr>
          <w:spacing w:val="-2"/>
        </w:rPr>
        <w:t xml:space="preserve"> billion</w:t>
      </w:r>
      <w:r w:rsidR="00FC5BCB" w:rsidRPr="00F84CA1">
        <w:rPr>
          <w:spacing w:val="-2"/>
        </w:rPr>
        <w:t xml:space="preserve"> to </w:t>
      </w:r>
      <w:r w:rsidR="00FC151A" w:rsidRPr="00F84CA1">
        <w:rPr>
          <w:spacing w:val="-2"/>
        </w:rPr>
        <w:t>US$1.08</w:t>
      </w:r>
      <w:r w:rsidR="00FC5BCB" w:rsidRPr="00F84CA1">
        <w:rPr>
          <w:spacing w:val="-2"/>
        </w:rPr>
        <w:t xml:space="preserve"> </w:t>
      </w:r>
      <w:r w:rsidR="00FC151A" w:rsidRPr="00F84CA1">
        <w:rPr>
          <w:spacing w:val="-2"/>
        </w:rPr>
        <w:t>trillion</w:t>
      </w:r>
      <w:r w:rsidR="00FC5BCB" w:rsidRPr="00F84CA1">
        <w:rPr>
          <w:spacing w:val="-2"/>
        </w:rPr>
        <w:t xml:space="preserve"> between</w:t>
      </w:r>
      <w:r w:rsidR="00D10520" w:rsidRPr="00F84CA1">
        <w:rPr>
          <w:spacing w:val="-2"/>
        </w:rPr>
        <w:t xml:space="preserve"> 2008 </w:t>
      </w:r>
      <w:r w:rsidR="00FC5BCB" w:rsidRPr="00F84CA1">
        <w:rPr>
          <w:spacing w:val="-2"/>
        </w:rPr>
        <w:t>and</w:t>
      </w:r>
      <w:r w:rsidR="00D10520" w:rsidRPr="00F84CA1">
        <w:rPr>
          <w:spacing w:val="-2"/>
        </w:rPr>
        <w:t xml:space="preserve"> 2018.</w:t>
      </w:r>
      <w:r w:rsidR="00331F01" w:rsidRPr="0048736C">
        <w:rPr>
          <w:rStyle w:val="FootnoteReference"/>
        </w:rPr>
        <w:footnoteReference w:id="10"/>
      </w:r>
      <w:r w:rsidR="00D10520" w:rsidRPr="00F84CA1">
        <w:rPr>
          <w:spacing w:val="-2"/>
        </w:rPr>
        <w:t xml:space="preserve"> </w:t>
      </w:r>
    </w:p>
    <w:p w14:paraId="571AF6B0" w14:textId="77777777" w:rsidR="00BE2A73" w:rsidRDefault="00BE2A73" w:rsidP="003B2816">
      <w:pPr>
        <w:pStyle w:val="BodyTextMain"/>
      </w:pPr>
    </w:p>
    <w:p w14:paraId="75507952" w14:textId="77777777" w:rsidR="00CF243B" w:rsidRDefault="003B2816" w:rsidP="003B2816">
      <w:pPr>
        <w:pStyle w:val="BodyTextMain"/>
      </w:pPr>
      <w:r w:rsidRPr="0053729F">
        <w:t xml:space="preserve">The </w:t>
      </w:r>
      <w:r w:rsidR="00BE2A73">
        <w:t>Fody</w:t>
      </w:r>
      <w:r w:rsidR="00FC151A" w:rsidRPr="0053729F">
        <w:t xml:space="preserve"> </w:t>
      </w:r>
      <w:r w:rsidRPr="0053729F">
        <w:t>team</w:t>
      </w:r>
      <w:r w:rsidR="00331F01" w:rsidRPr="0053729F">
        <w:t xml:space="preserve"> thus</w:t>
      </w:r>
      <w:r w:rsidRPr="0053729F">
        <w:t xml:space="preserve"> knew </w:t>
      </w:r>
      <w:r w:rsidR="00FC151A">
        <w:t xml:space="preserve">that </w:t>
      </w:r>
      <w:r w:rsidRPr="0053729F">
        <w:t xml:space="preserve">they had to get their product on grocery store shelves to begin tracking sales performance, but there remained the question of whether </w:t>
      </w:r>
      <w:r w:rsidR="00BE2A73">
        <w:t>Fody</w:t>
      </w:r>
      <w:r w:rsidR="00FC151A" w:rsidRPr="0053729F">
        <w:t xml:space="preserve"> </w:t>
      </w:r>
      <w:r w:rsidRPr="0053729F">
        <w:t xml:space="preserve">should be in a special section of IBS products or interspersed with regular products. They further had to consider why a retailer, faced with limited shelf space, would want to replace an existing </w:t>
      </w:r>
      <w:r w:rsidR="00FC151A">
        <w:t>stock-keeping unit (</w:t>
      </w:r>
      <w:r w:rsidRPr="0053729F">
        <w:t>SKU</w:t>
      </w:r>
      <w:r w:rsidR="00FC151A">
        <w:t>)</w:t>
      </w:r>
      <w:r w:rsidRPr="0053729F">
        <w:t xml:space="preserve"> with an unproven young brand. </w:t>
      </w:r>
    </w:p>
    <w:p w14:paraId="7F40F916" w14:textId="77777777" w:rsidR="00CF243B" w:rsidRDefault="00CF243B" w:rsidP="003B2816">
      <w:pPr>
        <w:pStyle w:val="BodyTextMain"/>
      </w:pPr>
    </w:p>
    <w:p w14:paraId="36253211" w14:textId="626530BB" w:rsidR="003B2816" w:rsidRPr="0053729F" w:rsidRDefault="003B2816" w:rsidP="003B2816">
      <w:pPr>
        <w:pStyle w:val="BodyTextMain"/>
      </w:pPr>
      <w:r w:rsidRPr="0053729F">
        <w:t xml:space="preserve">In 2017, </w:t>
      </w:r>
      <w:r w:rsidR="00BE2A73">
        <w:t>Fody</w:t>
      </w:r>
      <w:r w:rsidR="00FC151A" w:rsidRPr="0053729F">
        <w:t xml:space="preserve"> </w:t>
      </w:r>
      <w:r w:rsidRPr="0053729F">
        <w:t>approached Wegmans</w:t>
      </w:r>
      <w:r w:rsidR="00FC151A">
        <w:t xml:space="preserve"> Food Markets Inc.</w:t>
      </w:r>
      <w:r w:rsidRPr="0053729F">
        <w:t xml:space="preserve">, a </w:t>
      </w:r>
      <w:r w:rsidR="005A1911">
        <w:t>US</w:t>
      </w:r>
      <w:r w:rsidR="00BE2A73">
        <w:t xml:space="preserve"> supermarket chain based in the </w:t>
      </w:r>
      <w:r w:rsidR="00CF243B">
        <w:t>n</w:t>
      </w:r>
      <w:r w:rsidR="008677EF">
        <w:t>ortheast</w:t>
      </w:r>
      <w:r w:rsidR="00BE2A73">
        <w:t>;</w:t>
      </w:r>
      <w:r w:rsidRPr="0053729F">
        <w:t xml:space="preserve"> Hy-Vee, a </w:t>
      </w:r>
      <w:r w:rsidR="00CF243B">
        <w:t>m</w:t>
      </w:r>
      <w:r w:rsidRPr="0053729F">
        <w:t xml:space="preserve">idwestern </w:t>
      </w:r>
      <w:r w:rsidR="005A1911">
        <w:t>US</w:t>
      </w:r>
      <w:r w:rsidR="00D60121">
        <w:t xml:space="preserve"> </w:t>
      </w:r>
      <w:r w:rsidRPr="0053729F">
        <w:t>grocery chain</w:t>
      </w:r>
      <w:r w:rsidR="00BE2A73">
        <w:t>;</w:t>
      </w:r>
      <w:r w:rsidR="008677EF">
        <w:t xml:space="preserve"> </w:t>
      </w:r>
      <w:r w:rsidRPr="0053729F">
        <w:t>and Planet Organic</w:t>
      </w:r>
      <w:r w:rsidR="008677EF">
        <w:t xml:space="preserve"> Markets</w:t>
      </w:r>
      <w:r w:rsidRPr="0053729F">
        <w:t xml:space="preserve">, a small </w:t>
      </w:r>
      <w:r w:rsidR="005A1911">
        <w:t>UK</w:t>
      </w:r>
      <w:r w:rsidRPr="0053729F">
        <w:t xml:space="preserve"> </w:t>
      </w:r>
      <w:r w:rsidR="00BE2A73">
        <w:t>organic-foods</w:t>
      </w:r>
      <w:r w:rsidRPr="0053729F">
        <w:t xml:space="preserve"> market chain. All three companies understood the </w:t>
      </w:r>
      <w:r w:rsidR="00BE2A73">
        <w:t>Fody</w:t>
      </w:r>
      <w:r w:rsidRPr="0053729F">
        <w:t xml:space="preserve"> mission and signed on to list the full </w:t>
      </w:r>
      <w:r w:rsidR="00591C89">
        <w:t>22-SKU</w:t>
      </w:r>
      <w:r w:rsidRPr="0053729F">
        <w:t xml:space="preserve"> product line. In 2017</w:t>
      </w:r>
      <w:r w:rsidR="00591C89">
        <w:t>,</w:t>
      </w:r>
      <w:r w:rsidRPr="0053729F">
        <w:t xml:space="preserve"> </w:t>
      </w:r>
      <w:r w:rsidR="00BE2A73">
        <w:t>Fody</w:t>
      </w:r>
      <w:r w:rsidRPr="0053729F">
        <w:t xml:space="preserve"> products were sold in 125 stores. By 2019, that number was expected to jump to 2,400. The distribution rollout targeted large grocery chains such as Whole Foods</w:t>
      </w:r>
      <w:r w:rsidR="00591C89">
        <w:t xml:space="preserve"> Market Inc.</w:t>
      </w:r>
      <w:r w:rsidRPr="0053729F">
        <w:t>, Kroger</w:t>
      </w:r>
      <w:r w:rsidR="00591C89">
        <w:t xml:space="preserve"> Co.</w:t>
      </w:r>
      <w:r w:rsidRPr="0053729F">
        <w:t>, Safeway</w:t>
      </w:r>
      <w:r w:rsidR="00591C89">
        <w:t xml:space="preserve"> Inc.</w:t>
      </w:r>
      <w:r w:rsidRPr="0053729F">
        <w:t xml:space="preserve">, </w:t>
      </w:r>
      <w:r w:rsidR="00591C89">
        <w:t>Vitamin Cottage Natural Food Markets Inc.</w:t>
      </w:r>
      <w:r w:rsidRPr="0053729F">
        <w:t xml:space="preserve">, Publix </w:t>
      </w:r>
      <w:r w:rsidR="00591C89">
        <w:t xml:space="preserve">Super Markets Inc., </w:t>
      </w:r>
      <w:r w:rsidRPr="0053729F">
        <w:t xml:space="preserve">and Meijer </w:t>
      </w:r>
      <w:r w:rsidR="00591C89">
        <w:t xml:space="preserve">Inc., </w:t>
      </w:r>
      <w:r w:rsidRPr="0053729F">
        <w:t xml:space="preserve">with an anticipated presence in 10,800 stores by 2021. </w:t>
      </w:r>
    </w:p>
    <w:p w14:paraId="2A8C2A43" w14:textId="77777777" w:rsidR="003B2816" w:rsidRPr="0053729F" w:rsidRDefault="003B2816" w:rsidP="003B2816">
      <w:pPr>
        <w:pStyle w:val="BodyTextMain"/>
      </w:pPr>
    </w:p>
    <w:p w14:paraId="4BFE9868" w14:textId="01FBED66" w:rsidR="003B2816" w:rsidRPr="0053729F" w:rsidRDefault="003B2816" w:rsidP="003B2816">
      <w:pPr>
        <w:pStyle w:val="BodyTextMain"/>
      </w:pPr>
      <w:r w:rsidRPr="0053729F">
        <w:t xml:space="preserve">Getting </w:t>
      </w:r>
      <w:r w:rsidR="00BE2A73">
        <w:t>Fody</w:t>
      </w:r>
      <w:r w:rsidR="002E2624">
        <w:t>’s</w:t>
      </w:r>
      <w:r w:rsidR="002E2624" w:rsidRPr="0053729F">
        <w:t xml:space="preserve"> </w:t>
      </w:r>
      <w:r w:rsidRPr="0053729F">
        <w:t xml:space="preserve">products in stores was a result of Singer’s strong track record and past dealings with Glutino, which had not invested a single marketing dollar for shelf space. The initial response in the retail space was satisfactory, but if </w:t>
      </w:r>
      <w:r w:rsidR="00CF243B">
        <w:t>Fody</w:t>
      </w:r>
      <w:r w:rsidR="00CF243B" w:rsidRPr="0053729F">
        <w:t xml:space="preserve"> </w:t>
      </w:r>
      <w:r w:rsidRPr="0053729F">
        <w:t>wanted their sales to reflect the potential market share, they had to make some important decisions that would dictate the direction of their marketing mix.</w:t>
      </w:r>
    </w:p>
    <w:p w14:paraId="0EF59F49" w14:textId="506B48A4" w:rsidR="003B2816" w:rsidRPr="0053729F" w:rsidRDefault="003B2816" w:rsidP="003B2816">
      <w:pPr>
        <w:pStyle w:val="BodyTextMain"/>
      </w:pPr>
    </w:p>
    <w:p w14:paraId="3ECE89A7" w14:textId="77777777" w:rsidR="00331F01" w:rsidRPr="0053729F" w:rsidRDefault="00331F01" w:rsidP="003B2816">
      <w:pPr>
        <w:pStyle w:val="BodyTextMain"/>
      </w:pPr>
    </w:p>
    <w:p w14:paraId="0129ACA5" w14:textId="77777777" w:rsidR="003B2816" w:rsidRPr="0053729F" w:rsidRDefault="003B2816" w:rsidP="003B2816">
      <w:pPr>
        <w:pStyle w:val="Casehead1"/>
        <w:rPr>
          <w:rFonts w:eastAsia="Arial"/>
        </w:rPr>
      </w:pPr>
      <w:r w:rsidRPr="0053729F">
        <w:t xml:space="preserve">Communications and Branding </w:t>
      </w:r>
    </w:p>
    <w:p w14:paraId="0F1CB90E" w14:textId="77777777" w:rsidR="003B2816" w:rsidRPr="0053729F" w:rsidRDefault="003B2816" w:rsidP="003B2816">
      <w:pPr>
        <w:pStyle w:val="BodyTextMain"/>
      </w:pPr>
    </w:p>
    <w:p w14:paraId="36D0E7C5" w14:textId="6AF0D83C" w:rsidR="003B2816" w:rsidRPr="0053729F" w:rsidRDefault="003B2816" w:rsidP="003B2816">
      <w:pPr>
        <w:pStyle w:val="BodyTextMain"/>
      </w:pPr>
      <w:r w:rsidRPr="0053729F">
        <w:t xml:space="preserve">Vital to </w:t>
      </w:r>
      <w:r w:rsidR="00D60121">
        <w:t>Fody</w:t>
      </w:r>
      <w:r w:rsidR="00532B20">
        <w:t>’s</w:t>
      </w:r>
      <w:r w:rsidR="00532B20" w:rsidRPr="0053729F">
        <w:t xml:space="preserve"> </w:t>
      </w:r>
      <w:r w:rsidRPr="0053729F">
        <w:t>communications was company “megaphone”</w:t>
      </w:r>
      <w:r w:rsidR="007B02B8">
        <w:t xml:space="preserve"> Brown</w:t>
      </w:r>
      <w:r w:rsidRPr="0053729F">
        <w:t xml:space="preserve">, an avid foodie at heart who believed strongly in the benefits of the </w:t>
      </w:r>
      <w:r w:rsidR="007B02B8">
        <w:t>low-FODMAP</w:t>
      </w:r>
      <w:r w:rsidRPr="0053729F">
        <w:t xml:space="preserve"> diet. Brown emphasized the brand’s focus on living the best </w:t>
      </w:r>
      <w:r w:rsidRPr="0053729F">
        <w:lastRenderedPageBreak/>
        <w:t>life through health-conscious food choices. Her goal was to get Fody products in the right customers’ hands and help them restore a healthy relationship with eating. The company’s online communications welcomed customers to “</w:t>
      </w:r>
      <w:r w:rsidR="007B02B8">
        <w:t>FODYLand</w:t>
      </w:r>
      <w:r w:rsidRPr="0053729F">
        <w:t xml:space="preserve">,” which Brown described as “a world where people can eat life to the fullest. It’s not just about being alive but being able to thrive.” Brown knew their target audience numbered in the millions, but they were spread over all demographics of age, race, and income, so careful branding was paramount. With a limited marketing spend, mindful investment would be essential. </w:t>
      </w:r>
      <w:r w:rsidR="00D60121">
        <w:t>Fody</w:t>
      </w:r>
      <w:r w:rsidR="007B02B8" w:rsidRPr="0053729F">
        <w:t xml:space="preserve"> </w:t>
      </w:r>
      <w:r w:rsidRPr="0053729F">
        <w:t xml:space="preserve">would </w:t>
      </w:r>
      <w:r w:rsidR="005A1911">
        <w:t>use half of their budget to</w:t>
      </w:r>
      <w:r w:rsidRPr="0053729F">
        <w:t xml:space="preserve"> build their category and </w:t>
      </w:r>
      <w:r w:rsidR="005A1911">
        <w:t xml:space="preserve">the other half to build </w:t>
      </w:r>
      <w:r w:rsidRPr="0053729F">
        <w:t>their brand.</w:t>
      </w:r>
    </w:p>
    <w:p w14:paraId="3B15012D" w14:textId="77777777" w:rsidR="003B2816" w:rsidRPr="0053729F" w:rsidRDefault="003B2816" w:rsidP="003B2816">
      <w:pPr>
        <w:pStyle w:val="BodyTextMain"/>
      </w:pPr>
    </w:p>
    <w:p w14:paraId="07584265" w14:textId="5FA05006" w:rsidR="003B2816" w:rsidRDefault="003B2816" w:rsidP="003B2816">
      <w:pPr>
        <w:pStyle w:val="BodyTextMain"/>
      </w:pPr>
      <w:r w:rsidRPr="0053729F">
        <w:t xml:space="preserve">As the first to market, Fody bore the onus of raising awareness about the </w:t>
      </w:r>
      <w:r w:rsidR="002456D7">
        <w:t>low-FODMAP</w:t>
      </w:r>
      <w:r w:rsidRPr="0053729F">
        <w:t xml:space="preserve"> diet. </w:t>
      </w:r>
      <w:r w:rsidR="002456D7">
        <w:t>Health care</w:t>
      </w:r>
      <w:r w:rsidR="002456D7" w:rsidRPr="0053729F">
        <w:t xml:space="preserve"> </w:t>
      </w:r>
      <w:r w:rsidRPr="0053729F">
        <w:t xml:space="preserve">culture was steeped in a pharmaceutical first-and-only mindset, but Fody had set out to change that. If low FODMAP was to become an integral part of the grocery market, Singer felt it first needed to become synonymous with IBS, but there was little way of guaranteeing that the market was ready to embrace this new way of eating. </w:t>
      </w:r>
    </w:p>
    <w:p w14:paraId="0B72097F" w14:textId="77777777" w:rsidR="002456D7" w:rsidRPr="0053729F" w:rsidRDefault="002456D7" w:rsidP="003B2816">
      <w:pPr>
        <w:pStyle w:val="BodyTextMain"/>
      </w:pPr>
    </w:p>
    <w:p w14:paraId="5FF7C2C1" w14:textId="5385365B" w:rsidR="003B2816" w:rsidRPr="0053729F" w:rsidRDefault="003B2816" w:rsidP="003B2816">
      <w:pPr>
        <w:pStyle w:val="BodyTextMain"/>
      </w:pPr>
      <w:r w:rsidRPr="0053729F">
        <w:t xml:space="preserve">To spread their message, Fody started to use Google </w:t>
      </w:r>
      <w:r w:rsidR="002456D7">
        <w:t>AdWords</w:t>
      </w:r>
      <w:r w:rsidRPr="0053729F">
        <w:t xml:space="preserve"> (“low fodmap”), consumer digital promotion (with heavy social media, including prominent Facebook </w:t>
      </w:r>
      <w:r w:rsidR="006C3240">
        <w:t>advertisements</w:t>
      </w:r>
      <w:r w:rsidRPr="0053729F">
        <w:t xml:space="preserve">), </w:t>
      </w:r>
      <w:r w:rsidR="006C3240">
        <w:t>public relations</w:t>
      </w:r>
      <w:r w:rsidR="00C1760A">
        <w:t xml:space="preserve"> (PR)</w:t>
      </w:r>
      <w:r w:rsidRPr="0053729F">
        <w:t xml:space="preserve">, and trade promotion </w:t>
      </w:r>
      <w:r w:rsidR="00632F96">
        <w:t>at</w:t>
      </w:r>
      <w:r w:rsidR="00632F96" w:rsidRPr="0053729F">
        <w:t xml:space="preserve"> </w:t>
      </w:r>
      <w:r w:rsidR="006C3240">
        <w:t>trade shows</w:t>
      </w:r>
      <w:r w:rsidRPr="0053729F">
        <w:t xml:space="preserve">. The company developed relationships with key influencers like nutritionists and </w:t>
      </w:r>
      <w:bookmarkStart w:id="1" w:name="_Hlk527634671"/>
      <w:r w:rsidR="00C1760A">
        <w:t>gastrointestinal</w:t>
      </w:r>
      <w:bookmarkEnd w:id="1"/>
      <w:r w:rsidR="00C1760A" w:rsidRPr="0053729F">
        <w:t xml:space="preserve"> </w:t>
      </w:r>
      <w:r w:rsidRPr="0053729F">
        <w:t xml:space="preserve">physicians </w:t>
      </w:r>
      <w:r w:rsidR="00C1760A">
        <w:t xml:space="preserve">(GIs) </w:t>
      </w:r>
      <w:r w:rsidR="00B83DB7">
        <w:t>who</w:t>
      </w:r>
      <w:r w:rsidR="00B83DB7" w:rsidRPr="0053729F">
        <w:t xml:space="preserve"> </w:t>
      </w:r>
      <w:r w:rsidRPr="0053729F">
        <w:t xml:space="preserve">believed in low FODMAP. As Singer pointed out, “If </w:t>
      </w:r>
      <w:r w:rsidR="00C1760A">
        <w:t>GIs</w:t>
      </w:r>
      <w:r w:rsidRPr="0053729F">
        <w:t xml:space="preserve">, </w:t>
      </w:r>
      <w:r w:rsidR="00C1760A">
        <w:t>dietitians,</w:t>
      </w:r>
      <w:r w:rsidR="00C1760A" w:rsidRPr="0053729F">
        <w:t xml:space="preserve"> </w:t>
      </w:r>
      <w:r w:rsidRPr="0053729F">
        <w:t>and nutritionists don’t believe in the diet, if they don't know the diet, if they don’t understand the diet, they</w:t>
      </w:r>
      <w:r w:rsidR="00632F96">
        <w:t>’</w:t>
      </w:r>
      <w:r w:rsidRPr="0053729F">
        <w:t>re not going to promote the diet.”</w:t>
      </w:r>
    </w:p>
    <w:p w14:paraId="35F64C6D" w14:textId="77777777" w:rsidR="003B2816" w:rsidRPr="0053729F" w:rsidRDefault="003B2816" w:rsidP="003B2816">
      <w:pPr>
        <w:pStyle w:val="BodyTextMain"/>
      </w:pPr>
    </w:p>
    <w:p w14:paraId="3EF74A71" w14:textId="7C165DF0" w:rsidR="003B2816" w:rsidRPr="0053729F" w:rsidRDefault="003B2816" w:rsidP="003B2816">
      <w:pPr>
        <w:pStyle w:val="BodyTextMain"/>
      </w:pPr>
      <w:r w:rsidRPr="0053729F">
        <w:t>Fody teamed up with a PR firm in Boulder, Colorado</w:t>
      </w:r>
      <w:r w:rsidR="00C1760A">
        <w:t>,</w:t>
      </w:r>
      <w:r w:rsidRPr="0053729F">
        <w:t xml:space="preserve"> to target </w:t>
      </w:r>
      <w:r w:rsidR="00C1760A">
        <w:t>health care</w:t>
      </w:r>
      <w:r w:rsidR="00C1760A" w:rsidRPr="0053729F">
        <w:t xml:space="preserve"> </w:t>
      </w:r>
      <w:r w:rsidRPr="0053729F">
        <w:t xml:space="preserve">professionals who could educate IBS patients on the merits of eliminating FODMAPS from their diet. Singer and his team attended events such as </w:t>
      </w:r>
      <w:r w:rsidR="00C1760A">
        <w:t xml:space="preserve">Natural Products </w:t>
      </w:r>
      <w:r w:rsidRPr="0053729F">
        <w:t>Expo West, Digestive Disease Week</w:t>
      </w:r>
      <w:r w:rsidR="00C1760A">
        <w:t>,</w:t>
      </w:r>
      <w:r w:rsidRPr="0053729F">
        <w:t xml:space="preserve"> and other nutrition conferences to talk about FODMAP</w:t>
      </w:r>
      <w:r w:rsidR="00C1760A">
        <w:t>s</w:t>
      </w:r>
      <w:r w:rsidRPr="0053729F">
        <w:t xml:space="preserve"> and the Fody product line. The company relied heavily on grassroots marketing and raising awareness through </w:t>
      </w:r>
      <w:r w:rsidR="00C1760A">
        <w:t>word of mouth</w:t>
      </w:r>
      <w:r w:rsidRPr="0053729F">
        <w:t xml:space="preserve"> within the IBS community. Influencers picked up the product line and featured the company on their </w:t>
      </w:r>
      <w:r w:rsidR="00C1760A">
        <w:t>websites</w:t>
      </w:r>
      <w:r w:rsidRPr="0053729F">
        <w:t>. In early 2018, some of Fody’s category ground work paid off</w:t>
      </w:r>
      <w:r w:rsidR="00C1760A">
        <w:t>:</w:t>
      </w:r>
      <w:r w:rsidR="0053729F">
        <w:t xml:space="preserve"> </w:t>
      </w:r>
      <w:r w:rsidR="00C1760A">
        <w:t>o</w:t>
      </w:r>
      <w:r w:rsidRPr="0053729F">
        <w:t xml:space="preserve">ne </w:t>
      </w:r>
      <w:r w:rsidR="00C1760A">
        <w:t>food-industry</w:t>
      </w:r>
      <w:r w:rsidRPr="0053729F">
        <w:t xml:space="preserve"> media outlet touted the </w:t>
      </w:r>
      <w:r w:rsidR="006A58DB">
        <w:t>low-FODMAP</w:t>
      </w:r>
      <w:r w:rsidRPr="0053729F">
        <w:t xml:space="preserve"> diet as one of the year’s up-and-coming health trends.</w:t>
      </w:r>
    </w:p>
    <w:p w14:paraId="44DED015" w14:textId="77777777" w:rsidR="003B2816" w:rsidRPr="0053729F" w:rsidRDefault="003B2816" w:rsidP="003B2816">
      <w:pPr>
        <w:pStyle w:val="BodyTextMain"/>
      </w:pPr>
    </w:p>
    <w:p w14:paraId="2FEFB335" w14:textId="2691742A" w:rsidR="003B2816" w:rsidRPr="0053729F" w:rsidRDefault="003B2816" w:rsidP="003B2816">
      <w:pPr>
        <w:pStyle w:val="BodyTextMain"/>
      </w:pPr>
      <w:r w:rsidRPr="0053729F">
        <w:t>Online, Fody maintained a fresh and friendly presence on Facebook, Instagram</w:t>
      </w:r>
      <w:r w:rsidR="006A58DB">
        <w:t>,</w:t>
      </w:r>
      <w:r w:rsidRPr="0053729F">
        <w:t xml:space="preserve"> and Twitter, aligning themselves with other health blogs and websites. Their actively updated Instagram page offered appealing images and information about many types of </w:t>
      </w:r>
      <w:r w:rsidR="006A58DB">
        <w:t>low-FODMAP</w:t>
      </w:r>
      <w:r w:rsidRPr="0053729F">
        <w:t xml:space="preserve"> foods, along with links to recipes.</w:t>
      </w:r>
      <w:r w:rsidRPr="0053729F">
        <w:rPr>
          <w:i/>
          <w:iCs/>
        </w:rPr>
        <w:t xml:space="preserve"> </w:t>
      </w:r>
      <w:r w:rsidRPr="0053729F">
        <w:t>Internally</w:t>
      </w:r>
      <w:r w:rsidR="006A58DB">
        <w:t>,</w:t>
      </w:r>
      <w:r w:rsidRPr="0053729F">
        <w:t xml:space="preserve"> there was a debate in the company</w:t>
      </w:r>
      <w:r w:rsidR="006A58DB">
        <w:t>:</w:t>
      </w:r>
      <w:r w:rsidR="0053729F">
        <w:t xml:space="preserve"> </w:t>
      </w:r>
      <w:r w:rsidRPr="0053729F">
        <w:t>Was this the right messaging? What should the balance</w:t>
      </w:r>
      <w:r w:rsidR="006A58DB">
        <w:t xml:space="preserve"> be</w:t>
      </w:r>
      <w:r w:rsidRPr="0053729F">
        <w:t xml:space="preserve"> among consumer efforts, channel influencers, and trade? As a start-up, how could they stretch their marketing dollars to get the </w:t>
      </w:r>
      <w:r w:rsidR="00775679">
        <w:t>greatest return for their money</w:t>
      </w:r>
      <w:r w:rsidRPr="0053729F">
        <w:t>?</w:t>
      </w:r>
    </w:p>
    <w:p w14:paraId="32E19158" w14:textId="77777777" w:rsidR="003B2816" w:rsidRPr="0053729F" w:rsidRDefault="003B2816" w:rsidP="003B2816">
      <w:pPr>
        <w:pStyle w:val="BodyTextMain"/>
      </w:pPr>
    </w:p>
    <w:p w14:paraId="12919D09" w14:textId="77777777" w:rsidR="003B2816" w:rsidRPr="0053729F" w:rsidRDefault="003B2816" w:rsidP="003B2816">
      <w:pPr>
        <w:pStyle w:val="BodyTextMain"/>
      </w:pPr>
    </w:p>
    <w:p w14:paraId="19BAD026" w14:textId="77777777" w:rsidR="003B2816" w:rsidRPr="0053729F" w:rsidRDefault="003B2816" w:rsidP="003B2816">
      <w:pPr>
        <w:pStyle w:val="Casehead1"/>
        <w:rPr>
          <w:rFonts w:eastAsia="Arial"/>
        </w:rPr>
      </w:pPr>
      <w:r w:rsidRPr="0053729F">
        <w:t>Competition</w:t>
      </w:r>
    </w:p>
    <w:p w14:paraId="2ECFF7C1" w14:textId="77777777" w:rsidR="003B2816" w:rsidRPr="0053729F" w:rsidRDefault="003B2816" w:rsidP="003B2816">
      <w:pPr>
        <w:pStyle w:val="BodyTextMain"/>
        <w:rPr>
          <w:rFonts w:eastAsia="Arial"/>
        </w:rPr>
      </w:pPr>
    </w:p>
    <w:p w14:paraId="7B60788F" w14:textId="67013BFB" w:rsidR="003B2816" w:rsidRPr="0053729F" w:rsidRDefault="003B2816" w:rsidP="003B2816">
      <w:pPr>
        <w:pStyle w:val="BodyTextMain"/>
      </w:pPr>
      <w:r w:rsidRPr="0053729F">
        <w:t xml:space="preserve">As a trailblazer in the </w:t>
      </w:r>
      <w:r w:rsidR="00775679">
        <w:t>low-FODMAP</w:t>
      </w:r>
      <w:r w:rsidRPr="0053729F">
        <w:t xml:space="preserve"> category, Fody was not yet facing much competition. A few small companies were offering limited ranges of products, focusing mostly on cookies and snacks. However, Singer knew that once the </w:t>
      </w:r>
      <w:r w:rsidR="00775679">
        <w:t>low-FODMAP</w:t>
      </w:r>
      <w:r w:rsidRPr="0053729F">
        <w:t xml:space="preserve"> diet started picking up steam, well-financed and major </w:t>
      </w:r>
      <w:r w:rsidR="00775679">
        <w:t>consumer-packaged-goods</w:t>
      </w:r>
      <w:r w:rsidRPr="0053729F">
        <w:t xml:space="preserve"> players like </w:t>
      </w:r>
      <w:r w:rsidR="00775679">
        <w:t>Nestlé S.A.</w:t>
      </w:r>
      <w:r w:rsidR="00775679" w:rsidRPr="0053729F">
        <w:t xml:space="preserve"> </w:t>
      </w:r>
      <w:r w:rsidRPr="0053729F">
        <w:t>and Kraft</w:t>
      </w:r>
      <w:r w:rsidR="00775679">
        <w:t xml:space="preserve"> Foods Group Inc.</w:t>
      </w:r>
      <w:r w:rsidRPr="0053729F">
        <w:t xml:space="preserve"> and specialty food companies would </w:t>
      </w:r>
      <w:r w:rsidR="00B83DB7">
        <w:t>“</w:t>
      </w:r>
      <w:r w:rsidRPr="0053729F">
        <w:t>hop on the bandwagon</w:t>
      </w:r>
      <w:r w:rsidR="00B83DB7">
        <w:t>”</w:t>
      </w:r>
      <w:r w:rsidRPr="0053729F">
        <w:t xml:space="preserve"> and become competitors. Fody would have to stay as nimble as ever, keeping their development and production dynamic while expanding their </w:t>
      </w:r>
      <w:r w:rsidR="00775679">
        <w:t>production-volume</w:t>
      </w:r>
      <w:r w:rsidRPr="0053729F">
        <w:t xml:space="preserve"> capabilities.</w:t>
      </w:r>
    </w:p>
    <w:p w14:paraId="3F069E03" w14:textId="77777777" w:rsidR="003B2816" w:rsidRPr="0053729F" w:rsidRDefault="003B2816" w:rsidP="003B2816">
      <w:pPr>
        <w:pStyle w:val="BodyTextMain"/>
      </w:pPr>
    </w:p>
    <w:p w14:paraId="2B194FA2" w14:textId="77777777" w:rsidR="003B2816" w:rsidRPr="0053729F" w:rsidRDefault="003B2816" w:rsidP="003B2816">
      <w:pPr>
        <w:pStyle w:val="BodyTextMain"/>
      </w:pPr>
    </w:p>
    <w:p w14:paraId="3EFDF0CC" w14:textId="77777777" w:rsidR="003B2816" w:rsidRPr="0053729F" w:rsidRDefault="003B2816" w:rsidP="00D4476A">
      <w:pPr>
        <w:pStyle w:val="Casehead1"/>
        <w:rPr>
          <w:rFonts w:eastAsia="Arial"/>
        </w:rPr>
      </w:pPr>
      <w:r w:rsidRPr="0053729F">
        <w:lastRenderedPageBreak/>
        <w:t>Next Steps</w:t>
      </w:r>
    </w:p>
    <w:p w14:paraId="0510B8B8" w14:textId="77777777" w:rsidR="003B2816" w:rsidRPr="0053729F" w:rsidRDefault="003B2816" w:rsidP="00D4476A">
      <w:pPr>
        <w:pStyle w:val="BodyTextMain"/>
        <w:keepNext/>
      </w:pPr>
    </w:p>
    <w:p w14:paraId="2F0B9CD9" w14:textId="4FD8C699" w:rsidR="003B2816" w:rsidRPr="0053729F" w:rsidRDefault="003B2816" w:rsidP="00D4476A">
      <w:pPr>
        <w:pStyle w:val="BodyTextMain"/>
        <w:keepNext/>
      </w:pPr>
      <w:r w:rsidRPr="0053729F">
        <w:t>Singer and his passionate team were seeing the</w:t>
      </w:r>
      <w:r w:rsidR="005A1911">
        <w:t xml:space="preserve"> results of their work</w:t>
      </w:r>
      <w:r w:rsidRPr="0053729F">
        <w:t>, but with increased demand came heavier workloads. Managing producers, manufacturers, warehouses, online orders, deliveries, development, marketing</w:t>
      </w:r>
      <w:r w:rsidR="00DC0BCA">
        <w:t>,</w:t>
      </w:r>
      <w:r w:rsidRPr="0053729F">
        <w:t xml:space="preserve"> and category creation was becoming more than the small team could carry. They were growing quickly</w:t>
      </w:r>
      <w:r w:rsidR="00DC0BCA">
        <w:t>,</w:t>
      </w:r>
      <w:r w:rsidRPr="0053729F">
        <w:t xml:space="preserve"> but their rapid expansion did not leave much time to pause, reflect, and plan.</w:t>
      </w:r>
      <w:r w:rsidR="0053729F">
        <w:t xml:space="preserve"> </w:t>
      </w:r>
      <w:r w:rsidRPr="0053729F">
        <w:t>And, underneath the enthusiasm and excitement, Singer wondered if his entrepreneurial firm had the right plan to succeed in a potentially enormous, but socially sensitive and misunderstood</w:t>
      </w:r>
      <w:r w:rsidR="00DC0BCA">
        <w:t>,</w:t>
      </w:r>
      <w:r w:rsidRPr="0053729F">
        <w:t xml:space="preserve"> new category</w:t>
      </w:r>
      <w:r w:rsidR="00B83DB7">
        <w:t>.</w:t>
      </w:r>
      <w:r w:rsidR="0053729F">
        <w:t xml:space="preserve"> </w:t>
      </w:r>
      <w:r w:rsidRPr="0053729F">
        <w:t>How should he position the company and communicate the offering? Singer reflected on the best ways to approach distribution and product mix.</w:t>
      </w:r>
    </w:p>
    <w:p w14:paraId="0F5E8736" w14:textId="77777777" w:rsidR="003B2816" w:rsidRPr="0053729F" w:rsidRDefault="003B2816" w:rsidP="003B2816">
      <w:pPr>
        <w:pStyle w:val="BodyTextMain"/>
      </w:pPr>
    </w:p>
    <w:p w14:paraId="70572226" w14:textId="76EBD1B3" w:rsidR="003B2816" w:rsidRPr="0053729F" w:rsidRDefault="003B2816" w:rsidP="003B2816">
      <w:pPr>
        <w:pStyle w:val="BodyTextMain"/>
      </w:pPr>
      <w:r w:rsidRPr="0053729F">
        <w:t xml:space="preserve">Despite all </w:t>
      </w:r>
      <w:r w:rsidR="005A1911">
        <w:t xml:space="preserve">of </w:t>
      </w:r>
      <w:r w:rsidRPr="0053729F">
        <w:t xml:space="preserve">these unknowns and all </w:t>
      </w:r>
      <w:r w:rsidR="005A1911">
        <w:t xml:space="preserve">of </w:t>
      </w:r>
      <w:r w:rsidRPr="0053729F">
        <w:t xml:space="preserve">the pivotal decisions left to make, the ever-driven Singer still trusted the gut feeling that landed him there, two stories up from the old Montreal Forum, formerly the home of </w:t>
      </w:r>
      <w:r w:rsidR="00DC0BCA">
        <w:t>a</w:t>
      </w:r>
      <w:r w:rsidR="00DC0BCA" w:rsidRPr="0053729F">
        <w:t xml:space="preserve"> </w:t>
      </w:r>
      <w:r w:rsidRPr="0053729F">
        <w:t>historic indoor arena. In that moment, he knew it would pay off to follow the advice of one of the greatest hockey players of all time, Wayne Gretzky: “Skate to where the puck is going to be, not where it has been.” For all</w:t>
      </w:r>
      <w:r w:rsidR="005A1911">
        <w:t xml:space="preserve"> of</w:t>
      </w:r>
      <w:bookmarkStart w:id="2" w:name="_GoBack"/>
      <w:bookmarkEnd w:id="2"/>
      <w:r w:rsidRPr="0053729F">
        <w:t xml:space="preserve"> </w:t>
      </w:r>
      <w:r w:rsidR="00B83DB7">
        <w:t xml:space="preserve">the </w:t>
      </w:r>
      <w:r w:rsidRPr="0053729F">
        <w:t>successes that Singer and his team had scored, the game was just beginning.</w:t>
      </w:r>
    </w:p>
    <w:p w14:paraId="4DCA74D3" w14:textId="77777777" w:rsidR="003B2816" w:rsidRPr="0053729F" w:rsidRDefault="003B2816">
      <w:pPr>
        <w:spacing w:after="200" w:line="276" w:lineRule="auto"/>
        <w:rPr>
          <w:rFonts w:ascii="Cambria" w:eastAsia="Cambria" w:hAnsi="Cambria" w:cs="Cambria"/>
          <w:b/>
          <w:bCs/>
          <w:color w:val="000000"/>
          <w:sz w:val="24"/>
          <w:szCs w:val="24"/>
          <w:u w:color="000000"/>
          <w:bdr w:val="nil"/>
          <w:lang w:eastAsia="en-CA"/>
        </w:rPr>
      </w:pPr>
      <w:r w:rsidRPr="0053729F">
        <w:rPr>
          <w:b/>
          <w:bCs/>
        </w:rPr>
        <w:br w:type="page"/>
      </w:r>
    </w:p>
    <w:p w14:paraId="11C67F5E" w14:textId="04BF5D9C" w:rsidR="003B2816" w:rsidRPr="0053729F" w:rsidRDefault="003B2816" w:rsidP="003B2816">
      <w:pPr>
        <w:pStyle w:val="ExhibitHeading"/>
      </w:pPr>
      <w:r w:rsidRPr="0053729F">
        <w:rPr>
          <w:bCs/>
        </w:rPr>
        <w:lastRenderedPageBreak/>
        <w:t xml:space="preserve">EXHIBIT </w:t>
      </w:r>
      <w:r w:rsidR="008863FE" w:rsidRPr="0053729F">
        <w:rPr>
          <w:bCs/>
        </w:rPr>
        <w:t>1</w:t>
      </w:r>
      <w:r w:rsidRPr="0053729F">
        <w:rPr>
          <w:bCs/>
        </w:rPr>
        <w:t xml:space="preserve">: </w:t>
      </w:r>
      <w:r w:rsidRPr="0053729F">
        <w:t>Sample of Fody Foods product offerings and prices (in US</w:t>
      </w:r>
      <w:r w:rsidR="00A71235">
        <w:t>$</w:t>
      </w:r>
      <w:r w:rsidRPr="0053729F">
        <w:t>)</w:t>
      </w:r>
    </w:p>
    <w:p w14:paraId="0710E80F" w14:textId="77777777" w:rsidR="003B2816" w:rsidRPr="0053729F" w:rsidRDefault="003B2816" w:rsidP="00A4745A">
      <w:pPr>
        <w:pStyle w:val="ExhibitText"/>
      </w:pPr>
    </w:p>
    <w:tbl>
      <w:tblPr>
        <w:tblW w:w="9275"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7E7"/>
        <w:tblLayout w:type="fixed"/>
        <w:tblLook w:val="04A0" w:firstRow="1" w:lastRow="0" w:firstColumn="1" w:lastColumn="0" w:noHBand="0" w:noVBand="1"/>
      </w:tblPr>
      <w:tblGrid>
        <w:gridCol w:w="3091"/>
        <w:gridCol w:w="3092"/>
        <w:gridCol w:w="3092"/>
      </w:tblGrid>
      <w:tr w:rsidR="003B2816" w:rsidRPr="0053729F" w14:paraId="327A9133" w14:textId="77777777" w:rsidTr="00AC6866">
        <w:trPr>
          <w:trHeight w:val="3086"/>
          <w:jc w:val="center"/>
        </w:trPr>
        <w:tc>
          <w:tcPr>
            <w:tcW w:w="3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130" w:type="dxa"/>
            </w:tcMar>
            <w:vAlign w:val="center"/>
          </w:tcPr>
          <w:p w14:paraId="1254A5F8" w14:textId="77777777" w:rsidR="003B2816" w:rsidRPr="0053729F" w:rsidRDefault="003B2816" w:rsidP="00A4745A">
            <w:pPr>
              <w:pStyle w:val="ExhibitText"/>
              <w:jc w:val="center"/>
            </w:pPr>
            <w:r w:rsidRPr="0053729F">
              <w:rPr>
                <w:noProof/>
                <w:lang w:val="en-US"/>
              </w:rPr>
              <w:drawing>
                <wp:inline distT="0" distB="0" distL="0" distR="0" wp14:anchorId="5589C23D" wp14:editId="7AF79879">
                  <wp:extent cx="865924" cy="802171"/>
                  <wp:effectExtent l="0" t="0" r="0" b="0"/>
                  <wp:docPr id="1073741827" name="officeArt object" descr="New_Fody_Mild_Salsa_888002_grande.png"/>
                  <wp:cNvGraphicFramePr/>
                  <a:graphic xmlns:a="http://schemas.openxmlformats.org/drawingml/2006/main">
                    <a:graphicData uri="http://schemas.openxmlformats.org/drawingml/2006/picture">
                      <pic:pic xmlns:pic="http://schemas.openxmlformats.org/drawingml/2006/picture">
                        <pic:nvPicPr>
                          <pic:cNvPr id="1073741827" name="New_Fody_Mild_Salsa_888002_grande.png" descr="New_Fody_Mild_Salsa_888002_grande.png"/>
                          <pic:cNvPicPr>
                            <a:picLocks noChangeAspect="1"/>
                          </pic:cNvPicPr>
                        </pic:nvPicPr>
                        <pic:blipFill rotWithShape="1">
                          <a:blip r:embed="rId9">
                            <a:grayscl/>
                            <a:extLst/>
                          </a:blip>
                          <a:srcRect l="22715" t="18972" r="21046" b="16608"/>
                          <a:stretch/>
                        </pic:blipFill>
                        <pic:spPr bwMode="auto">
                          <a:xfrm>
                            <a:off x="0" y="0"/>
                            <a:ext cx="876274" cy="811759"/>
                          </a:xfrm>
                          <a:prstGeom prst="rect">
                            <a:avLst/>
                          </a:prstGeom>
                          <a:ln>
                            <a:noFill/>
                          </a:ln>
                          <a:effectLst/>
                          <a:extLst>
                            <a:ext uri="{53640926-AAD7-44D8-BBD7-CCE9431645EC}">
                              <a14:shadowObscured xmlns:a14="http://schemas.microsoft.com/office/drawing/2010/main"/>
                            </a:ext>
                          </a:extLst>
                        </pic:spPr>
                      </pic:pic>
                    </a:graphicData>
                  </a:graphic>
                </wp:inline>
              </w:drawing>
            </w:r>
          </w:p>
          <w:p w14:paraId="45693B2B" w14:textId="3C76D189" w:rsidR="003B2816" w:rsidRPr="0053729F" w:rsidRDefault="003B2816" w:rsidP="00A4745A">
            <w:pPr>
              <w:pStyle w:val="ExhibitText"/>
              <w:jc w:val="center"/>
            </w:pPr>
            <w:r w:rsidRPr="0053729F">
              <w:t>453</w:t>
            </w:r>
            <w:r w:rsidR="00F7482B">
              <w:t xml:space="preserve"> </w:t>
            </w:r>
            <w:r w:rsidRPr="0053729F">
              <w:t xml:space="preserve">g / 16 </w:t>
            </w:r>
            <w:r w:rsidR="0053644B">
              <w:t>oz.</w:t>
            </w:r>
          </w:p>
          <w:p w14:paraId="710FBE5B" w14:textId="38832683" w:rsidR="003B2816" w:rsidRPr="0053729F" w:rsidRDefault="003B2816" w:rsidP="00A4745A">
            <w:pPr>
              <w:pStyle w:val="ExhibitText"/>
              <w:jc w:val="center"/>
            </w:pPr>
            <w:r w:rsidRPr="0053729F">
              <w:t>Salsas</w:t>
            </w:r>
          </w:p>
          <w:p w14:paraId="04068BD1" w14:textId="35514086" w:rsidR="003B2816" w:rsidRPr="0053729F" w:rsidRDefault="003B2816" w:rsidP="00A4745A">
            <w:pPr>
              <w:pStyle w:val="ExhibitText"/>
              <w:jc w:val="center"/>
            </w:pPr>
            <w:r w:rsidRPr="0053729F">
              <w:t xml:space="preserve">Made in </w:t>
            </w:r>
            <w:r w:rsidR="0053644B">
              <w:t>the United States</w:t>
            </w:r>
          </w:p>
          <w:p w14:paraId="0A2E93FD" w14:textId="77777777" w:rsidR="003B2816" w:rsidRPr="0053729F" w:rsidRDefault="003B2816" w:rsidP="00A4745A">
            <w:pPr>
              <w:pStyle w:val="ExhibitText"/>
              <w:jc w:val="center"/>
            </w:pPr>
            <w:r w:rsidRPr="0053729F">
              <w:t>$5.99</w:t>
            </w:r>
          </w:p>
        </w:tc>
        <w:tc>
          <w:tcPr>
            <w:tcW w:w="3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130" w:type="dxa"/>
            </w:tcMar>
            <w:vAlign w:val="center"/>
          </w:tcPr>
          <w:p w14:paraId="1917BD5C" w14:textId="77777777" w:rsidR="003B2816" w:rsidRPr="0053729F" w:rsidRDefault="003B2816" w:rsidP="00A4745A">
            <w:pPr>
              <w:pStyle w:val="ExhibitText"/>
              <w:jc w:val="center"/>
            </w:pPr>
            <w:r w:rsidRPr="0053729F">
              <w:rPr>
                <w:noProof/>
                <w:lang w:val="en-US"/>
              </w:rPr>
              <w:drawing>
                <wp:inline distT="0" distB="0" distL="0" distR="0" wp14:anchorId="51A88398" wp14:editId="7D7BD385">
                  <wp:extent cx="484505" cy="954156"/>
                  <wp:effectExtent l="0" t="0" r="0" b="0"/>
                  <wp:docPr id="1073741828" name="officeArt object" descr="Caesar-8oz_grande.png"/>
                  <wp:cNvGraphicFramePr/>
                  <a:graphic xmlns:a="http://schemas.openxmlformats.org/drawingml/2006/main">
                    <a:graphicData uri="http://schemas.openxmlformats.org/drawingml/2006/picture">
                      <pic:pic xmlns:pic="http://schemas.openxmlformats.org/drawingml/2006/picture">
                        <pic:nvPicPr>
                          <pic:cNvPr id="1073741828" name="Caesar-8oz_grande.png" descr="Caesar-8oz_grande.png"/>
                          <pic:cNvPicPr>
                            <a:picLocks noChangeAspect="1"/>
                          </pic:cNvPicPr>
                        </pic:nvPicPr>
                        <pic:blipFill rotWithShape="1">
                          <a:blip r:embed="rId10">
                            <a:grayscl/>
                            <a:extLst/>
                          </a:blip>
                          <a:srcRect l="33719" t="5751" r="33105" b="5714"/>
                          <a:stretch/>
                        </pic:blipFill>
                        <pic:spPr bwMode="auto">
                          <a:xfrm>
                            <a:off x="0" y="0"/>
                            <a:ext cx="486069" cy="957236"/>
                          </a:xfrm>
                          <a:prstGeom prst="rect">
                            <a:avLst/>
                          </a:prstGeom>
                          <a:ln>
                            <a:noFill/>
                          </a:ln>
                          <a:effectLst/>
                          <a:extLst>
                            <a:ext uri="{53640926-AAD7-44D8-BBD7-CCE9431645EC}">
                              <a14:shadowObscured xmlns:a14="http://schemas.microsoft.com/office/drawing/2010/main"/>
                            </a:ext>
                          </a:extLst>
                        </pic:spPr>
                      </pic:pic>
                    </a:graphicData>
                  </a:graphic>
                </wp:inline>
              </w:drawing>
            </w:r>
          </w:p>
          <w:p w14:paraId="036C73CB" w14:textId="092520A9" w:rsidR="003B2816" w:rsidRPr="0053729F" w:rsidRDefault="003B2816" w:rsidP="00A4745A">
            <w:pPr>
              <w:pStyle w:val="ExhibitText"/>
              <w:jc w:val="center"/>
            </w:pPr>
            <w:r w:rsidRPr="0053729F">
              <w:t>236</w:t>
            </w:r>
            <w:r w:rsidR="004E3BC6">
              <w:t xml:space="preserve"> </w:t>
            </w:r>
            <w:r w:rsidRPr="0053729F">
              <w:t xml:space="preserve">ml / 8 </w:t>
            </w:r>
            <w:r w:rsidR="00F7482B">
              <w:t>fl. oz.</w:t>
            </w:r>
          </w:p>
          <w:p w14:paraId="74CFBAF4" w14:textId="6AB865B7" w:rsidR="00143DF8" w:rsidRDefault="003B2816" w:rsidP="00A4745A">
            <w:pPr>
              <w:pStyle w:val="ExhibitText"/>
              <w:jc w:val="center"/>
            </w:pPr>
            <w:r w:rsidRPr="0053729F">
              <w:t>Salad dressings</w:t>
            </w:r>
          </w:p>
          <w:p w14:paraId="6BC088E6" w14:textId="1A69472F" w:rsidR="003B2816" w:rsidRPr="0053729F" w:rsidRDefault="003B2816" w:rsidP="00A4745A">
            <w:pPr>
              <w:pStyle w:val="ExhibitText"/>
              <w:jc w:val="center"/>
            </w:pPr>
            <w:r w:rsidRPr="0053729F">
              <w:t>(</w:t>
            </w:r>
            <w:r w:rsidR="00143DF8">
              <w:t>a</w:t>
            </w:r>
            <w:r w:rsidRPr="0053729F">
              <w:t xml:space="preserve">ssorted </w:t>
            </w:r>
            <w:r w:rsidR="0053644B">
              <w:t>flavours</w:t>
            </w:r>
            <w:r w:rsidRPr="0053729F">
              <w:t>)</w:t>
            </w:r>
          </w:p>
          <w:p w14:paraId="05B0CC98" w14:textId="6AA594E5" w:rsidR="002B70D4" w:rsidRDefault="002B70D4" w:rsidP="00A4745A">
            <w:pPr>
              <w:pStyle w:val="ExhibitText"/>
              <w:jc w:val="center"/>
            </w:pPr>
            <w:r w:rsidRPr="0053729F">
              <w:t xml:space="preserve">Made in </w:t>
            </w:r>
            <w:r>
              <w:t>the United States</w:t>
            </w:r>
          </w:p>
          <w:p w14:paraId="5450C695" w14:textId="77777777" w:rsidR="003B2816" w:rsidRPr="0053729F" w:rsidRDefault="003B2816" w:rsidP="00A4745A">
            <w:pPr>
              <w:pStyle w:val="ExhibitText"/>
              <w:jc w:val="center"/>
            </w:pPr>
            <w:r w:rsidRPr="0053729F">
              <w:t>$5.99</w:t>
            </w:r>
          </w:p>
        </w:tc>
        <w:tc>
          <w:tcPr>
            <w:tcW w:w="3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130" w:type="dxa"/>
            </w:tcMar>
            <w:vAlign w:val="center"/>
          </w:tcPr>
          <w:p w14:paraId="7E5AE99B" w14:textId="77777777" w:rsidR="003B2816" w:rsidRPr="0053729F" w:rsidRDefault="003B2816" w:rsidP="00A4745A">
            <w:pPr>
              <w:pStyle w:val="ExhibitText"/>
              <w:jc w:val="center"/>
            </w:pPr>
            <w:r w:rsidRPr="0053729F">
              <w:rPr>
                <w:noProof/>
                <w:lang w:val="en-US"/>
              </w:rPr>
              <w:drawing>
                <wp:inline distT="0" distB="0" distL="0" distR="0" wp14:anchorId="03934D22" wp14:editId="32D89059">
                  <wp:extent cx="659675" cy="1089328"/>
                  <wp:effectExtent l="0" t="0" r="7620" b="0"/>
                  <wp:docPr id="1073741829" name="officeArt object" descr="New_Fody_Ketchup_888021_grande.png"/>
                  <wp:cNvGraphicFramePr/>
                  <a:graphic xmlns:a="http://schemas.openxmlformats.org/drawingml/2006/main">
                    <a:graphicData uri="http://schemas.openxmlformats.org/drawingml/2006/picture">
                      <pic:pic xmlns:pic="http://schemas.openxmlformats.org/drawingml/2006/picture">
                        <pic:nvPicPr>
                          <pic:cNvPr id="1073741829" name="New_Fody_Ketchup_888021_grande.png" descr="New_Fody_Ketchup_888021_grande.png"/>
                          <pic:cNvPicPr>
                            <a:picLocks noChangeAspect="1"/>
                          </pic:cNvPicPr>
                        </pic:nvPicPr>
                        <pic:blipFill rotWithShape="1">
                          <a:blip r:embed="rId11">
                            <a:grayscl/>
                            <a:extLst/>
                          </a:blip>
                          <a:srcRect l="28782" t="6802" r="27781" b="5852"/>
                          <a:stretch/>
                        </pic:blipFill>
                        <pic:spPr bwMode="auto">
                          <a:xfrm>
                            <a:off x="0" y="0"/>
                            <a:ext cx="663872" cy="1096259"/>
                          </a:xfrm>
                          <a:prstGeom prst="rect">
                            <a:avLst/>
                          </a:prstGeom>
                          <a:ln>
                            <a:noFill/>
                          </a:ln>
                          <a:effectLst/>
                          <a:extLst>
                            <a:ext uri="{53640926-AAD7-44D8-BBD7-CCE9431645EC}">
                              <a14:shadowObscured xmlns:a14="http://schemas.microsoft.com/office/drawing/2010/main"/>
                            </a:ext>
                          </a:extLst>
                        </pic:spPr>
                      </pic:pic>
                    </a:graphicData>
                  </a:graphic>
                </wp:inline>
              </w:drawing>
            </w:r>
          </w:p>
          <w:p w14:paraId="49945026" w14:textId="1F4FB157" w:rsidR="003B2816" w:rsidRPr="0053729F" w:rsidRDefault="003B2816" w:rsidP="00A4745A">
            <w:pPr>
              <w:pStyle w:val="ExhibitText"/>
              <w:jc w:val="center"/>
            </w:pPr>
            <w:r w:rsidRPr="0053729F">
              <w:t>475</w:t>
            </w:r>
            <w:r w:rsidR="00F7482B">
              <w:t xml:space="preserve"> </w:t>
            </w:r>
            <w:r w:rsidRPr="0053729F">
              <w:t>g / 16.8 oz</w:t>
            </w:r>
            <w:r w:rsidR="00F7482B">
              <w:t>.</w:t>
            </w:r>
          </w:p>
          <w:p w14:paraId="59D3AE4D" w14:textId="77777777" w:rsidR="003B2816" w:rsidRDefault="003B2816" w:rsidP="00A4745A">
            <w:pPr>
              <w:pStyle w:val="ExhibitText"/>
              <w:jc w:val="center"/>
            </w:pPr>
            <w:r w:rsidRPr="0053729F">
              <w:t>Ketchup</w:t>
            </w:r>
          </w:p>
          <w:p w14:paraId="06B2B84A" w14:textId="31FEEF3B" w:rsidR="002B70D4" w:rsidRPr="002B70D4" w:rsidRDefault="002B70D4" w:rsidP="00A4745A">
            <w:pPr>
              <w:pStyle w:val="ExhibitText"/>
              <w:jc w:val="center"/>
            </w:pPr>
            <w:r>
              <w:t>M</w:t>
            </w:r>
            <w:r w:rsidRPr="002B70D4">
              <w:t>ade in the Czech Republic</w:t>
            </w:r>
          </w:p>
          <w:p w14:paraId="28D29A6A" w14:textId="77777777" w:rsidR="003B2816" w:rsidRPr="0053729F" w:rsidRDefault="003B2816" w:rsidP="00A4745A">
            <w:pPr>
              <w:pStyle w:val="ExhibitText"/>
              <w:jc w:val="center"/>
            </w:pPr>
            <w:r w:rsidRPr="0053729F">
              <w:t>$6.99</w:t>
            </w:r>
          </w:p>
        </w:tc>
      </w:tr>
      <w:tr w:rsidR="003B2816" w:rsidRPr="0053729F" w14:paraId="0F8DE953" w14:textId="77777777" w:rsidTr="00AC6866">
        <w:trPr>
          <w:trHeight w:val="3086"/>
          <w:jc w:val="center"/>
        </w:trPr>
        <w:tc>
          <w:tcPr>
            <w:tcW w:w="3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130" w:type="dxa"/>
            </w:tcMar>
            <w:vAlign w:val="center"/>
          </w:tcPr>
          <w:p w14:paraId="295577D7" w14:textId="77777777" w:rsidR="003B2816" w:rsidRPr="0053729F" w:rsidRDefault="003B2816" w:rsidP="00A4745A">
            <w:pPr>
              <w:pStyle w:val="ExhibitText"/>
              <w:jc w:val="center"/>
            </w:pPr>
            <w:r w:rsidRPr="0053729F">
              <w:rPr>
                <w:noProof/>
                <w:lang w:val="en-US"/>
              </w:rPr>
              <w:drawing>
                <wp:inline distT="0" distB="0" distL="0" distR="0" wp14:anchorId="181A559C" wp14:editId="7D02654C">
                  <wp:extent cx="747249" cy="1287228"/>
                  <wp:effectExtent l="0" t="0" r="0" b="8255"/>
                  <wp:docPr id="1073741830" name="officeArt object" descr="New_Fody_Tomato_Basil_Sauce_888001_grande.png"/>
                  <wp:cNvGraphicFramePr/>
                  <a:graphic xmlns:a="http://schemas.openxmlformats.org/drawingml/2006/main">
                    <a:graphicData uri="http://schemas.openxmlformats.org/drawingml/2006/picture">
                      <pic:pic xmlns:pic="http://schemas.openxmlformats.org/drawingml/2006/picture">
                        <pic:nvPicPr>
                          <pic:cNvPr id="1073741830" name="New_Fody_Tomato_Basil_Sauce_888001_grande.png" descr="New_Fody_Tomato_Basil_Sauce_888001_grande.png"/>
                          <pic:cNvPicPr>
                            <a:picLocks noChangeAspect="1"/>
                          </pic:cNvPicPr>
                        </pic:nvPicPr>
                        <pic:blipFill rotWithShape="1">
                          <a:blip r:embed="rId12">
                            <a:grayscl/>
                            <a:extLst/>
                          </a:blip>
                          <a:srcRect l="27040" t="8516" r="25878" b="10380"/>
                          <a:stretch/>
                        </pic:blipFill>
                        <pic:spPr bwMode="auto">
                          <a:xfrm>
                            <a:off x="0" y="0"/>
                            <a:ext cx="747729" cy="1288054"/>
                          </a:xfrm>
                          <a:prstGeom prst="rect">
                            <a:avLst/>
                          </a:prstGeom>
                          <a:ln>
                            <a:noFill/>
                          </a:ln>
                          <a:effectLst/>
                          <a:extLst>
                            <a:ext uri="{53640926-AAD7-44D8-BBD7-CCE9431645EC}">
                              <a14:shadowObscured xmlns:a14="http://schemas.microsoft.com/office/drawing/2010/main"/>
                            </a:ext>
                          </a:extLst>
                        </pic:spPr>
                      </pic:pic>
                    </a:graphicData>
                  </a:graphic>
                </wp:inline>
              </w:drawing>
            </w:r>
          </w:p>
          <w:p w14:paraId="4B473E49" w14:textId="14B6BE88" w:rsidR="003B2816" w:rsidRPr="0053729F" w:rsidRDefault="003B2816" w:rsidP="00A4745A">
            <w:pPr>
              <w:pStyle w:val="ExhibitText"/>
              <w:jc w:val="center"/>
            </w:pPr>
            <w:r w:rsidRPr="0053729F">
              <w:t>550</w:t>
            </w:r>
            <w:r w:rsidR="00F7482B">
              <w:t xml:space="preserve"> </w:t>
            </w:r>
            <w:r w:rsidRPr="0053729F">
              <w:t xml:space="preserve">g / 19.4 </w:t>
            </w:r>
            <w:r w:rsidR="00F7482B">
              <w:t>oz.</w:t>
            </w:r>
          </w:p>
          <w:p w14:paraId="072D4C77" w14:textId="398C4234" w:rsidR="003B2816" w:rsidRPr="0053729F" w:rsidRDefault="003B2816" w:rsidP="00A4745A">
            <w:pPr>
              <w:pStyle w:val="ExhibitText"/>
              <w:jc w:val="center"/>
            </w:pPr>
            <w:r w:rsidRPr="0053729F">
              <w:t xml:space="preserve">Tomato Basil </w:t>
            </w:r>
            <w:r w:rsidR="0053644B">
              <w:t xml:space="preserve">Pasta </w:t>
            </w:r>
            <w:r w:rsidRPr="0053729F">
              <w:t>Sauce</w:t>
            </w:r>
          </w:p>
          <w:p w14:paraId="6FDB31D1" w14:textId="77777777" w:rsidR="003B2816" w:rsidRPr="0053729F" w:rsidRDefault="003B2816" w:rsidP="00A4745A">
            <w:pPr>
              <w:pStyle w:val="ExhibitText"/>
              <w:jc w:val="center"/>
            </w:pPr>
            <w:r w:rsidRPr="0053729F">
              <w:t>Made in Italy</w:t>
            </w:r>
          </w:p>
          <w:p w14:paraId="47130ECB" w14:textId="77777777" w:rsidR="003B2816" w:rsidRPr="0053729F" w:rsidRDefault="003B2816" w:rsidP="00A4745A">
            <w:pPr>
              <w:pStyle w:val="ExhibitText"/>
              <w:jc w:val="center"/>
            </w:pPr>
            <w:r w:rsidRPr="0053729F">
              <w:t>$5.99</w:t>
            </w:r>
          </w:p>
        </w:tc>
        <w:tc>
          <w:tcPr>
            <w:tcW w:w="3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130" w:type="dxa"/>
            </w:tcMar>
            <w:vAlign w:val="center"/>
          </w:tcPr>
          <w:p w14:paraId="57E5B295" w14:textId="77777777" w:rsidR="003B2816" w:rsidRPr="0053729F" w:rsidRDefault="003B2816" w:rsidP="00A4745A">
            <w:pPr>
              <w:pStyle w:val="ExhibitText"/>
              <w:jc w:val="center"/>
            </w:pPr>
            <w:r w:rsidRPr="0053729F">
              <w:rPr>
                <w:noProof/>
                <w:lang w:val="en-US"/>
              </w:rPr>
              <w:drawing>
                <wp:inline distT="0" distB="0" distL="0" distR="0" wp14:anchorId="1D53C4CB" wp14:editId="5FF5193B">
                  <wp:extent cx="755373" cy="1326817"/>
                  <wp:effectExtent l="0" t="0" r="6985" b="6985"/>
                  <wp:docPr id="1073741831" name="officeArt object" descr="New_Fody_Marinara_Sauce_888000_grande.png"/>
                  <wp:cNvGraphicFramePr/>
                  <a:graphic xmlns:a="http://schemas.openxmlformats.org/drawingml/2006/main">
                    <a:graphicData uri="http://schemas.openxmlformats.org/drawingml/2006/picture">
                      <pic:pic xmlns:pic="http://schemas.openxmlformats.org/drawingml/2006/picture">
                        <pic:nvPicPr>
                          <pic:cNvPr id="1073741831" name="New_Fody_Marinara_Sauce_888000_grande.png" descr="New_Fody_Marinara_Sauce_888000_grande.png"/>
                          <pic:cNvPicPr>
                            <a:picLocks noChangeAspect="1"/>
                          </pic:cNvPicPr>
                        </pic:nvPicPr>
                        <pic:blipFill rotWithShape="1">
                          <a:blip r:embed="rId13">
                            <a:grayscl/>
                            <a:extLst/>
                          </a:blip>
                          <a:srcRect l="26413" t="9290" r="27099" b="9054"/>
                          <a:stretch/>
                        </pic:blipFill>
                        <pic:spPr bwMode="auto">
                          <a:xfrm>
                            <a:off x="0" y="0"/>
                            <a:ext cx="756202" cy="1328273"/>
                          </a:xfrm>
                          <a:prstGeom prst="rect">
                            <a:avLst/>
                          </a:prstGeom>
                          <a:ln>
                            <a:noFill/>
                          </a:ln>
                          <a:effectLst/>
                          <a:extLst>
                            <a:ext uri="{53640926-AAD7-44D8-BBD7-CCE9431645EC}">
                              <a14:shadowObscured xmlns:a14="http://schemas.microsoft.com/office/drawing/2010/main"/>
                            </a:ext>
                          </a:extLst>
                        </pic:spPr>
                      </pic:pic>
                    </a:graphicData>
                  </a:graphic>
                </wp:inline>
              </w:drawing>
            </w:r>
          </w:p>
          <w:p w14:paraId="387F0E7E" w14:textId="41B816B0" w:rsidR="003B2816" w:rsidRPr="0053729F" w:rsidRDefault="003B2816" w:rsidP="00A4745A">
            <w:pPr>
              <w:pStyle w:val="ExhibitText"/>
              <w:jc w:val="center"/>
            </w:pPr>
            <w:r w:rsidRPr="0053729F">
              <w:t>550</w:t>
            </w:r>
            <w:r w:rsidR="00F7482B">
              <w:t xml:space="preserve"> </w:t>
            </w:r>
            <w:r w:rsidRPr="0053729F">
              <w:t xml:space="preserve">g / 19.4 </w:t>
            </w:r>
            <w:r w:rsidR="00F7482B">
              <w:t>oz.</w:t>
            </w:r>
          </w:p>
          <w:p w14:paraId="7D5BBCEE" w14:textId="7885E0A0" w:rsidR="003B2816" w:rsidRPr="0053729F" w:rsidRDefault="003B2816" w:rsidP="00A4745A">
            <w:pPr>
              <w:pStyle w:val="ExhibitText"/>
              <w:jc w:val="center"/>
            </w:pPr>
            <w:r w:rsidRPr="0053729F">
              <w:t xml:space="preserve">Marinara </w:t>
            </w:r>
            <w:r w:rsidR="00143DF8">
              <w:t xml:space="preserve">Pasta </w:t>
            </w:r>
            <w:r w:rsidRPr="0053729F">
              <w:t>Sauce</w:t>
            </w:r>
          </w:p>
          <w:p w14:paraId="436BE967" w14:textId="77777777" w:rsidR="003B2816" w:rsidRPr="0053729F" w:rsidRDefault="003B2816" w:rsidP="00A4745A">
            <w:pPr>
              <w:pStyle w:val="ExhibitText"/>
              <w:jc w:val="center"/>
            </w:pPr>
            <w:r w:rsidRPr="0053729F">
              <w:t>Made in Italy</w:t>
            </w:r>
          </w:p>
          <w:p w14:paraId="1DE5E079" w14:textId="77777777" w:rsidR="003B2816" w:rsidRPr="0053729F" w:rsidRDefault="003B2816" w:rsidP="00A4745A">
            <w:pPr>
              <w:pStyle w:val="ExhibitText"/>
              <w:jc w:val="center"/>
            </w:pPr>
            <w:r w:rsidRPr="0053729F">
              <w:t>$5.99</w:t>
            </w:r>
          </w:p>
        </w:tc>
        <w:tc>
          <w:tcPr>
            <w:tcW w:w="3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130" w:type="dxa"/>
            </w:tcMar>
            <w:vAlign w:val="center"/>
          </w:tcPr>
          <w:p w14:paraId="4FC1117A" w14:textId="77777777" w:rsidR="003B2816" w:rsidRPr="0053729F" w:rsidRDefault="003B2816" w:rsidP="00A4745A">
            <w:pPr>
              <w:pStyle w:val="ExhibitText"/>
              <w:jc w:val="center"/>
            </w:pPr>
            <w:r w:rsidRPr="0053729F">
              <w:rPr>
                <w:noProof/>
                <w:lang w:val="en-US"/>
              </w:rPr>
              <w:drawing>
                <wp:inline distT="0" distB="0" distL="0" distR="0" wp14:anchorId="7EAC7704" wp14:editId="58D5D9C1">
                  <wp:extent cx="532738" cy="1366347"/>
                  <wp:effectExtent l="0" t="0" r="1270" b="5715"/>
                  <wp:docPr id="1073741832" name="officeArt object" descr="New_Fody_BBQ_Sauce_888004_grande.png"/>
                  <wp:cNvGraphicFramePr/>
                  <a:graphic xmlns:a="http://schemas.openxmlformats.org/drawingml/2006/main">
                    <a:graphicData uri="http://schemas.openxmlformats.org/drawingml/2006/picture">
                      <pic:pic xmlns:pic="http://schemas.openxmlformats.org/drawingml/2006/picture">
                        <pic:nvPicPr>
                          <pic:cNvPr id="1073741832" name="New_Fody_BBQ_Sauce_888004_grande.png" descr="New_Fody_BBQ_Sauce_888004_grande.png"/>
                          <pic:cNvPicPr>
                            <a:picLocks noChangeAspect="1"/>
                          </pic:cNvPicPr>
                        </pic:nvPicPr>
                        <pic:blipFill rotWithShape="1">
                          <a:blip r:embed="rId14">
                            <a:grayscl/>
                            <a:extLst/>
                          </a:blip>
                          <a:srcRect l="33168" t="5610" r="32623" b="6651"/>
                          <a:stretch/>
                        </pic:blipFill>
                        <pic:spPr bwMode="auto">
                          <a:xfrm>
                            <a:off x="0" y="0"/>
                            <a:ext cx="533421" cy="1368100"/>
                          </a:xfrm>
                          <a:prstGeom prst="rect">
                            <a:avLst/>
                          </a:prstGeom>
                          <a:ln>
                            <a:noFill/>
                          </a:ln>
                          <a:effectLst/>
                          <a:extLst>
                            <a:ext uri="{53640926-AAD7-44D8-BBD7-CCE9431645EC}">
                              <a14:shadowObscured xmlns:a14="http://schemas.microsoft.com/office/drawing/2010/main"/>
                            </a:ext>
                          </a:extLst>
                        </pic:spPr>
                      </pic:pic>
                    </a:graphicData>
                  </a:graphic>
                </wp:inline>
              </w:drawing>
            </w:r>
          </w:p>
          <w:p w14:paraId="7C12ABAE" w14:textId="77777777" w:rsidR="00F7482B" w:rsidRDefault="003B2816" w:rsidP="00A4745A">
            <w:pPr>
              <w:pStyle w:val="ExhibitText"/>
              <w:jc w:val="center"/>
            </w:pPr>
            <w:r w:rsidRPr="0053729F">
              <w:t>340</w:t>
            </w:r>
            <w:r w:rsidR="00F7482B">
              <w:t xml:space="preserve"> </w:t>
            </w:r>
            <w:r w:rsidRPr="0053729F">
              <w:t xml:space="preserve">g / 12 </w:t>
            </w:r>
            <w:r w:rsidR="00F7482B">
              <w:t>oz.</w:t>
            </w:r>
          </w:p>
          <w:p w14:paraId="5AE53CD0" w14:textId="4E4B2904" w:rsidR="003B2816" w:rsidRPr="0053729F" w:rsidRDefault="003B2816" w:rsidP="00A4745A">
            <w:pPr>
              <w:pStyle w:val="ExhibitText"/>
              <w:jc w:val="center"/>
            </w:pPr>
            <w:r w:rsidRPr="0053729F">
              <w:t>Barbecue sauces</w:t>
            </w:r>
          </w:p>
          <w:p w14:paraId="275ACD95" w14:textId="34715871" w:rsidR="003B2816" w:rsidRPr="0053729F" w:rsidRDefault="003B2816" w:rsidP="00A4745A">
            <w:pPr>
              <w:pStyle w:val="ExhibitText"/>
              <w:jc w:val="center"/>
            </w:pPr>
            <w:r w:rsidRPr="0053729F">
              <w:t xml:space="preserve">Made in </w:t>
            </w:r>
            <w:r w:rsidR="0053644B">
              <w:t>the United States</w:t>
            </w:r>
          </w:p>
          <w:p w14:paraId="618D94AF" w14:textId="77777777" w:rsidR="003B2816" w:rsidRPr="0053729F" w:rsidRDefault="003B2816" w:rsidP="00A4745A">
            <w:pPr>
              <w:pStyle w:val="ExhibitText"/>
              <w:jc w:val="center"/>
            </w:pPr>
            <w:r w:rsidRPr="0053729F">
              <w:t>$5.49</w:t>
            </w:r>
          </w:p>
        </w:tc>
      </w:tr>
      <w:tr w:rsidR="003B2816" w:rsidRPr="0053729F" w14:paraId="40BB5DB6" w14:textId="77777777" w:rsidTr="00AC6866">
        <w:trPr>
          <w:trHeight w:val="3086"/>
          <w:jc w:val="center"/>
        </w:trPr>
        <w:tc>
          <w:tcPr>
            <w:tcW w:w="3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130" w:type="dxa"/>
            </w:tcMar>
            <w:vAlign w:val="center"/>
          </w:tcPr>
          <w:p w14:paraId="523CD045" w14:textId="77777777" w:rsidR="003B2816" w:rsidRPr="0053729F" w:rsidRDefault="003B2816" w:rsidP="00A4745A">
            <w:pPr>
              <w:pStyle w:val="ExhibitText"/>
              <w:jc w:val="center"/>
            </w:pPr>
            <w:r w:rsidRPr="0053729F">
              <w:rPr>
                <w:noProof/>
                <w:lang w:val="en-US"/>
              </w:rPr>
              <w:drawing>
                <wp:inline distT="0" distB="0" distL="0" distR="0" wp14:anchorId="06E2D944" wp14:editId="70BBA454">
                  <wp:extent cx="1359066" cy="1183833"/>
                  <wp:effectExtent l="0" t="0" r="0" b="0"/>
                  <wp:docPr id="1073741833" name="officeArt object" descr="3-New-Spices_grande.png"/>
                  <wp:cNvGraphicFramePr/>
                  <a:graphic xmlns:a="http://schemas.openxmlformats.org/drawingml/2006/main">
                    <a:graphicData uri="http://schemas.openxmlformats.org/drawingml/2006/picture">
                      <pic:pic xmlns:pic="http://schemas.openxmlformats.org/drawingml/2006/picture">
                        <pic:nvPicPr>
                          <pic:cNvPr id="1073741833" name="3-New-Spices_grande.png" descr="3-New-Spices_grande.png"/>
                          <pic:cNvPicPr>
                            <a:picLocks noChangeAspect="1"/>
                          </pic:cNvPicPr>
                        </pic:nvPicPr>
                        <pic:blipFill rotWithShape="1">
                          <a:blip r:embed="rId15">
                            <a:grayscl/>
                            <a:extLst/>
                          </a:blip>
                          <a:srcRect l="13796" t="18242" r="16850" b="21346"/>
                          <a:stretch/>
                        </pic:blipFill>
                        <pic:spPr bwMode="auto">
                          <a:xfrm>
                            <a:off x="0" y="0"/>
                            <a:ext cx="1360394" cy="1184990"/>
                          </a:xfrm>
                          <a:prstGeom prst="rect">
                            <a:avLst/>
                          </a:prstGeom>
                          <a:ln>
                            <a:noFill/>
                          </a:ln>
                          <a:effectLst/>
                          <a:extLst>
                            <a:ext uri="{53640926-AAD7-44D8-BBD7-CCE9431645EC}">
                              <a14:shadowObscured xmlns:a14="http://schemas.microsoft.com/office/drawing/2010/main"/>
                            </a:ext>
                          </a:extLst>
                        </pic:spPr>
                      </pic:pic>
                    </a:graphicData>
                  </a:graphic>
                </wp:inline>
              </w:drawing>
            </w:r>
          </w:p>
          <w:p w14:paraId="020ECCF9" w14:textId="7B5AC6A8" w:rsidR="003B2816" w:rsidRPr="0053729F" w:rsidRDefault="003B2816" w:rsidP="00A4745A">
            <w:pPr>
              <w:pStyle w:val="ExhibitText"/>
              <w:jc w:val="center"/>
            </w:pPr>
            <w:r w:rsidRPr="0053729F">
              <w:t>110 g / 3.88</w:t>
            </w:r>
            <w:r w:rsidR="00F7482B">
              <w:t xml:space="preserve"> oz.</w:t>
            </w:r>
          </w:p>
          <w:p w14:paraId="0CDA2123" w14:textId="2D7C0F5B" w:rsidR="003B2816" w:rsidRPr="0053729F" w:rsidRDefault="003B2816" w:rsidP="00A4745A">
            <w:pPr>
              <w:pStyle w:val="ExhibitText"/>
              <w:jc w:val="center"/>
            </w:pPr>
            <w:r w:rsidRPr="0053729F">
              <w:t>Spices (</w:t>
            </w:r>
            <w:r w:rsidR="00143DF8">
              <w:t>t</w:t>
            </w:r>
            <w:r w:rsidRPr="0053729F">
              <w:t xml:space="preserve">aco, </w:t>
            </w:r>
            <w:r w:rsidR="00143DF8">
              <w:t>s</w:t>
            </w:r>
            <w:r w:rsidRPr="0053729F">
              <w:t xml:space="preserve">teak, </w:t>
            </w:r>
            <w:r w:rsidR="00143DF8">
              <w:t>and</w:t>
            </w:r>
            <w:r w:rsidR="00143DF8" w:rsidRPr="0053729F">
              <w:t xml:space="preserve"> </w:t>
            </w:r>
            <w:r w:rsidR="00143DF8">
              <w:t>l</w:t>
            </w:r>
            <w:r w:rsidRPr="0053729F">
              <w:t xml:space="preserve">emon </w:t>
            </w:r>
            <w:r w:rsidR="00143DF8">
              <w:t>and</w:t>
            </w:r>
            <w:r w:rsidR="00143DF8" w:rsidRPr="0053729F">
              <w:t xml:space="preserve"> </w:t>
            </w:r>
            <w:r w:rsidR="00143DF8">
              <w:t>h</w:t>
            </w:r>
            <w:r w:rsidRPr="0053729F">
              <w:t>erb)</w:t>
            </w:r>
          </w:p>
          <w:p w14:paraId="1C921D4A" w14:textId="2C7A59A7" w:rsidR="002B70D4" w:rsidRDefault="002B70D4" w:rsidP="00A4745A">
            <w:pPr>
              <w:pStyle w:val="ExhibitText"/>
              <w:jc w:val="center"/>
            </w:pPr>
            <w:r>
              <w:t>Made in the United States</w:t>
            </w:r>
          </w:p>
          <w:p w14:paraId="2735E36E" w14:textId="77777777" w:rsidR="003B2816" w:rsidRPr="0053729F" w:rsidRDefault="003B2816" w:rsidP="00A4745A">
            <w:pPr>
              <w:pStyle w:val="ExhibitText"/>
              <w:jc w:val="center"/>
            </w:pPr>
            <w:r w:rsidRPr="0053729F">
              <w:t>$7.99</w:t>
            </w:r>
          </w:p>
        </w:tc>
        <w:tc>
          <w:tcPr>
            <w:tcW w:w="3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130" w:type="dxa"/>
            </w:tcMar>
            <w:vAlign w:val="center"/>
          </w:tcPr>
          <w:p w14:paraId="5962C7C5" w14:textId="77777777" w:rsidR="003B2816" w:rsidRPr="0053729F" w:rsidRDefault="003B2816" w:rsidP="00A4745A">
            <w:pPr>
              <w:pStyle w:val="ExhibitText"/>
              <w:jc w:val="center"/>
            </w:pPr>
            <w:r w:rsidRPr="0053729F">
              <w:rPr>
                <w:noProof/>
                <w:lang w:val="en-US"/>
              </w:rPr>
              <w:drawing>
                <wp:inline distT="0" distB="0" distL="0" distR="0" wp14:anchorId="226581AF" wp14:editId="699C13F0">
                  <wp:extent cx="1351722" cy="1264258"/>
                  <wp:effectExtent l="0" t="0" r="1270" b="0"/>
                  <wp:docPr id="1073741834" name="officeArt object" descr="New_Fody_Dark_Chocolate_Box_888017_grande.png"/>
                  <wp:cNvGraphicFramePr/>
                  <a:graphic xmlns:a="http://schemas.openxmlformats.org/drawingml/2006/main">
                    <a:graphicData uri="http://schemas.openxmlformats.org/drawingml/2006/picture">
                      <pic:pic xmlns:pic="http://schemas.openxmlformats.org/drawingml/2006/picture">
                        <pic:nvPicPr>
                          <pic:cNvPr id="1073741834" name="New_Fody_Dark_Chocolate_Box_888017_grande.png" descr="New_Fody_Dark_Chocolate_Box_888017_grande.png"/>
                          <pic:cNvPicPr>
                            <a:picLocks noChangeAspect="1"/>
                          </pic:cNvPicPr>
                        </pic:nvPicPr>
                        <pic:blipFill rotWithShape="1">
                          <a:blip r:embed="rId16">
                            <a:grayscl/>
                            <a:extLst/>
                          </a:blip>
                          <a:srcRect l="17436" t="8518" r="16081" b="9198"/>
                          <a:stretch/>
                        </pic:blipFill>
                        <pic:spPr bwMode="auto">
                          <a:xfrm>
                            <a:off x="0" y="0"/>
                            <a:ext cx="1362920" cy="1274731"/>
                          </a:xfrm>
                          <a:prstGeom prst="rect">
                            <a:avLst/>
                          </a:prstGeom>
                          <a:ln>
                            <a:noFill/>
                          </a:ln>
                          <a:effectLst/>
                          <a:extLst>
                            <a:ext uri="{53640926-AAD7-44D8-BBD7-CCE9431645EC}">
                              <a14:shadowObscured xmlns:a14="http://schemas.microsoft.com/office/drawing/2010/main"/>
                            </a:ext>
                          </a:extLst>
                        </pic:spPr>
                      </pic:pic>
                    </a:graphicData>
                  </a:graphic>
                </wp:inline>
              </w:drawing>
            </w:r>
          </w:p>
          <w:p w14:paraId="3D96B2D6" w14:textId="6484128A" w:rsidR="003B2816" w:rsidRPr="0053729F" w:rsidRDefault="003B2816" w:rsidP="00A4745A">
            <w:pPr>
              <w:pStyle w:val="ExhibitText"/>
              <w:jc w:val="center"/>
            </w:pPr>
            <w:r w:rsidRPr="0053729F">
              <w:t>12 x 40</w:t>
            </w:r>
            <w:r w:rsidR="00F7482B">
              <w:t xml:space="preserve"> </w:t>
            </w:r>
            <w:r w:rsidRPr="0053729F">
              <w:t xml:space="preserve">g / 12 x 1.4 </w:t>
            </w:r>
            <w:r w:rsidR="00F7482B">
              <w:t>oz.</w:t>
            </w:r>
            <w:r w:rsidR="0053644B">
              <w:t xml:space="preserve"> </w:t>
            </w:r>
            <w:r w:rsidRPr="0053729F">
              <w:t>bars</w:t>
            </w:r>
          </w:p>
          <w:p w14:paraId="59578ADE" w14:textId="232EE278" w:rsidR="003B2816" w:rsidRDefault="003B2816" w:rsidP="00A4745A">
            <w:pPr>
              <w:pStyle w:val="ExhibitText"/>
              <w:jc w:val="center"/>
            </w:pPr>
            <w:r w:rsidRPr="0053729F">
              <w:t>Bars</w:t>
            </w:r>
          </w:p>
          <w:p w14:paraId="3F551F03" w14:textId="3F939A45" w:rsidR="002B70D4" w:rsidRPr="0053729F" w:rsidRDefault="002B70D4" w:rsidP="00A4745A">
            <w:pPr>
              <w:pStyle w:val="ExhibitText"/>
              <w:jc w:val="center"/>
            </w:pPr>
            <w:r>
              <w:t>Made in Canada</w:t>
            </w:r>
          </w:p>
          <w:p w14:paraId="0E77394C" w14:textId="77777777" w:rsidR="003B2816" w:rsidRPr="0053729F" w:rsidRDefault="003B2816" w:rsidP="00A4745A">
            <w:pPr>
              <w:pStyle w:val="ExhibitText"/>
              <w:jc w:val="center"/>
            </w:pPr>
            <w:r w:rsidRPr="0053729F">
              <w:t>$24.99</w:t>
            </w:r>
          </w:p>
        </w:tc>
        <w:tc>
          <w:tcPr>
            <w:tcW w:w="3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130" w:type="dxa"/>
            </w:tcMar>
            <w:vAlign w:val="center"/>
          </w:tcPr>
          <w:p w14:paraId="34916822" w14:textId="77777777" w:rsidR="00D72675" w:rsidRPr="0053729F" w:rsidRDefault="003B2816" w:rsidP="00A4745A">
            <w:pPr>
              <w:pStyle w:val="ExhibitText"/>
              <w:jc w:val="center"/>
            </w:pPr>
            <w:r w:rsidRPr="0053729F">
              <w:rPr>
                <w:noProof/>
                <w:lang w:val="en-US"/>
              </w:rPr>
              <w:drawing>
                <wp:inline distT="0" distB="0" distL="0" distR="0" wp14:anchorId="75AB48B4" wp14:editId="23B5CDE8">
                  <wp:extent cx="420370" cy="1375576"/>
                  <wp:effectExtent l="0" t="0" r="0" b="0"/>
                  <wp:docPr id="1073741835" name="officeArt object" descr="New_Fody_Shallot_Olive_Oil_888019_grande.png"/>
                  <wp:cNvGraphicFramePr/>
                  <a:graphic xmlns:a="http://schemas.openxmlformats.org/drawingml/2006/main">
                    <a:graphicData uri="http://schemas.openxmlformats.org/drawingml/2006/picture">
                      <pic:pic xmlns:pic="http://schemas.openxmlformats.org/drawingml/2006/picture">
                        <pic:nvPicPr>
                          <pic:cNvPr id="1073741835" name="New_Fody_Shallot_Olive_Oil_888019_grande.png" descr="New_Fody_Shallot_Olive_Oil_888019_grande.png"/>
                          <pic:cNvPicPr>
                            <a:picLocks noChangeAspect="1"/>
                          </pic:cNvPicPr>
                        </pic:nvPicPr>
                        <pic:blipFill rotWithShape="1">
                          <a:blip r:embed="rId17">
                            <a:grayscl/>
                            <a:extLst/>
                          </a:blip>
                          <a:srcRect l="38063" t="3896" r="39012" b="5167"/>
                          <a:stretch/>
                        </pic:blipFill>
                        <pic:spPr bwMode="auto">
                          <a:xfrm>
                            <a:off x="0" y="0"/>
                            <a:ext cx="422564" cy="1382754"/>
                          </a:xfrm>
                          <a:prstGeom prst="rect">
                            <a:avLst/>
                          </a:prstGeom>
                          <a:ln>
                            <a:noFill/>
                          </a:ln>
                          <a:effectLst/>
                          <a:extLst>
                            <a:ext uri="{53640926-AAD7-44D8-BBD7-CCE9431645EC}">
                              <a14:shadowObscured xmlns:a14="http://schemas.microsoft.com/office/drawing/2010/main"/>
                            </a:ext>
                          </a:extLst>
                        </pic:spPr>
                      </pic:pic>
                    </a:graphicData>
                  </a:graphic>
                </wp:inline>
              </w:drawing>
            </w:r>
          </w:p>
          <w:p w14:paraId="0EDDD980" w14:textId="39C82D8C" w:rsidR="003B2816" w:rsidRPr="0053729F" w:rsidRDefault="003B2816" w:rsidP="00A4745A">
            <w:pPr>
              <w:pStyle w:val="ExhibitText"/>
              <w:jc w:val="center"/>
            </w:pPr>
            <w:r w:rsidRPr="0053729F">
              <w:t>250</w:t>
            </w:r>
            <w:r w:rsidR="00F7482B">
              <w:t xml:space="preserve"> </w:t>
            </w:r>
            <w:r w:rsidRPr="0053729F">
              <w:t xml:space="preserve">ml / 8.45 </w:t>
            </w:r>
            <w:r w:rsidR="00F7482B">
              <w:t>fl. oz.</w:t>
            </w:r>
          </w:p>
          <w:p w14:paraId="6FEDC283" w14:textId="77777777" w:rsidR="003B2816" w:rsidRPr="0053729F" w:rsidRDefault="003B2816" w:rsidP="00A4745A">
            <w:pPr>
              <w:pStyle w:val="ExhibitText"/>
              <w:jc w:val="center"/>
            </w:pPr>
            <w:r w:rsidRPr="0053729F">
              <w:t>Olive oils</w:t>
            </w:r>
          </w:p>
          <w:p w14:paraId="0F4C1294" w14:textId="77777777" w:rsidR="003B2816" w:rsidRPr="0053729F" w:rsidRDefault="003B2816" w:rsidP="00A4745A">
            <w:pPr>
              <w:pStyle w:val="ExhibitText"/>
              <w:jc w:val="center"/>
            </w:pPr>
            <w:r w:rsidRPr="0053729F">
              <w:t>Made in Italy</w:t>
            </w:r>
          </w:p>
          <w:p w14:paraId="74717C52" w14:textId="77777777" w:rsidR="003B2816" w:rsidRPr="0053729F" w:rsidRDefault="003B2816" w:rsidP="00A4745A">
            <w:pPr>
              <w:pStyle w:val="ExhibitText"/>
              <w:jc w:val="center"/>
            </w:pPr>
            <w:r w:rsidRPr="0053729F">
              <w:t>$16.99</w:t>
            </w:r>
          </w:p>
        </w:tc>
      </w:tr>
    </w:tbl>
    <w:p w14:paraId="3C6F13F6" w14:textId="77777777" w:rsidR="00D72675" w:rsidRPr="0053729F" w:rsidRDefault="00D72675" w:rsidP="00B42A65">
      <w:pPr>
        <w:pStyle w:val="ExhibitText"/>
        <w:rPr>
          <w:shd w:val="clear" w:color="auto" w:fill="FFFFFF"/>
        </w:rPr>
      </w:pPr>
    </w:p>
    <w:p w14:paraId="7CCD3E3A" w14:textId="54A0E4A7" w:rsidR="004E3BC6" w:rsidRDefault="004E3BC6" w:rsidP="00D72675">
      <w:pPr>
        <w:pStyle w:val="Footnote"/>
      </w:pPr>
      <w:r>
        <w:t>Note: g = grams; oz. = ounces; ml = millilitres; fl. oz. = fluid ounces.</w:t>
      </w:r>
    </w:p>
    <w:p w14:paraId="6F06D5C6" w14:textId="0B65E1D1" w:rsidR="003B2816" w:rsidRPr="0053729F" w:rsidRDefault="003B2816" w:rsidP="00D72675">
      <w:pPr>
        <w:pStyle w:val="Footnote"/>
      </w:pPr>
      <w:r w:rsidRPr="0053729F">
        <w:t>Source: Company documents</w:t>
      </w:r>
      <w:r w:rsidR="0053644B">
        <w:t>.</w:t>
      </w:r>
      <w:r w:rsidR="0048736C">
        <w:t xml:space="preserve"> </w:t>
      </w:r>
    </w:p>
    <w:p w14:paraId="07B70299" w14:textId="77777777" w:rsidR="00D72675" w:rsidRPr="0053729F" w:rsidRDefault="00D72675">
      <w:pPr>
        <w:spacing w:after="200" w:line="276" w:lineRule="auto"/>
        <w:rPr>
          <w:rFonts w:ascii="Cambria" w:eastAsia="Cambria" w:hAnsi="Cambria" w:cs="Cambria"/>
          <w:b/>
          <w:bCs/>
          <w:color w:val="000000"/>
          <w:sz w:val="24"/>
          <w:szCs w:val="24"/>
          <w:u w:color="000000"/>
          <w:bdr w:val="nil"/>
          <w:lang w:eastAsia="en-CA"/>
        </w:rPr>
      </w:pPr>
      <w:r w:rsidRPr="0053729F">
        <w:rPr>
          <w:b/>
          <w:bCs/>
        </w:rPr>
        <w:br w:type="page"/>
      </w:r>
    </w:p>
    <w:p w14:paraId="598B66FB" w14:textId="7B2917F9" w:rsidR="003B2816" w:rsidRPr="0053729F" w:rsidRDefault="003B2816" w:rsidP="00D72675">
      <w:pPr>
        <w:pStyle w:val="ExhibitHeading"/>
      </w:pPr>
      <w:r w:rsidRPr="0053729F">
        <w:rPr>
          <w:bCs/>
        </w:rPr>
        <w:lastRenderedPageBreak/>
        <w:t xml:space="preserve">EXHIBIT </w:t>
      </w:r>
      <w:r w:rsidR="008863FE" w:rsidRPr="0053729F">
        <w:rPr>
          <w:bCs/>
        </w:rPr>
        <w:t>2</w:t>
      </w:r>
      <w:r w:rsidR="00D72675" w:rsidRPr="0053729F">
        <w:rPr>
          <w:bCs/>
        </w:rPr>
        <w:t xml:space="preserve">: </w:t>
      </w:r>
      <w:r w:rsidR="004160E4">
        <w:t>online</w:t>
      </w:r>
      <w:r w:rsidR="00AC6866">
        <w:t xml:space="preserve"> </w:t>
      </w:r>
      <w:r w:rsidR="004160E4">
        <w:t>grocery</w:t>
      </w:r>
      <w:r w:rsidRPr="0053729F">
        <w:t xml:space="preserve"> market share in the United States</w:t>
      </w:r>
      <w:r w:rsidR="004160E4">
        <w:t>,</w:t>
      </w:r>
      <w:r w:rsidRPr="0053729F">
        <w:t xml:space="preserve"> 2015</w:t>
      </w:r>
      <w:r w:rsidR="004160E4">
        <w:t>–</w:t>
      </w:r>
      <w:r w:rsidRPr="0053729F">
        <w:t>2020</w:t>
      </w:r>
    </w:p>
    <w:p w14:paraId="5838C3FB" w14:textId="77777777" w:rsidR="00D72675" w:rsidRPr="0053729F" w:rsidRDefault="00D72675" w:rsidP="00E51A00">
      <w:pPr>
        <w:pStyle w:val="ExhibitText"/>
      </w:pPr>
    </w:p>
    <w:p w14:paraId="53FA8DF0" w14:textId="7A6D1CD5" w:rsidR="003B2816" w:rsidRPr="0053729F" w:rsidRDefault="003B2816" w:rsidP="00F053F7">
      <w:pPr>
        <w:pStyle w:val="ExhibitText"/>
        <w:rPr>
          <w:shd w:val="clear" w:color="auto" w:fill="FFFFFF"/>
        </w:rPr>
      </w:pPr>
      <w:r w:rsidRPr="0053729F">
        <w:rPr>
          <w:shd w:val="clear" w:color="auto" w:fill="FFFFFF"/>
        </w:rPr>
        <w:t xml:space="preserve">The </w:t>
      </w:r>
      <w:r w:rsidR="005A1911">
        <w:rPr>
          <w:shd w:val="clear" w:color="auto" w:fill="FFFFFF"/>
        </w:rPr>
        <w:t>US</w:t>
      </w:r>
      <w:r w:rsidRPr="0053729F">
        <w:rPr>
          <w:shd w:val="clear" w:color="auto" w:fill="FFFFFF"/>
        </w:rPr>
        <w:t xml:space="preserve"> </w:t>
      </w:r>
      <w:r w:rsidR="00933E0B">
        <w:rPr>
          <w:shd w:val="clear" w:color="auto" w:fill="FFFFFF"/>
        </w:rPr>
        <w:t>online</w:t>
      </w:r>
      <w:r w:rsidR="00143DF8">
        <w:rPr>
          <w:shd w:val="clear" w:color="auto" w:fill="FFFFFF"/>
        </w:rPr>
        <w:t xml:space="preserve"> </w:t>
      </w:r>
      <w:r w:rsidR="00933E0B">
        <w:rPr>
          <w:shd w:val="clear" w:color="auto" w:fill="FFFFFF"/>
        </w:rPr>
        <w:t>grocery</w:t>
      </w:r>
      <w:r w:rsidRPr="0053729F">
        <w:rPr>
          <w:shd w:val="clear" w:color="auto" w:fill="FFFFFF"/>
        </w:rPr>
        <w:t xml:space="preserve"> market had a share of 3 </w:t>
      </w:r>
      <w:r w:rsidR="00933E0B">
        <w:rPr>
          <w:shd w:val="clear" w:color="auto" w:fill="FFFFFF"/>
        </w:rPr>
        <w:t>per cent</w:t>
      </w:r>
      <w:r w:rsidR="00933E0B" w:rsidRPr="0053729F">
        <w:rPr>
          <w:shd w:val="clear" w:color="auto" w:fill="FFFFFF"/>
        </w:rPr>
        <w:t xml:space="preserve"> </w:t>
      </w:r>
      <w:r w:rsidRPr="0053729F">
        <w:rPr>
          <w:shd w:val="clear" w:color="auto" w:fill="FFFFFF"/>
        </w:rPr>
        <w:t xml:space="preserve">of total grocery sales in 2016. The market share was expected to grow to 10 </w:t>
      </w:r>
      <w:r w:rsidR="004160E4">
        <w:rPr>
          <w:shd w:val="clear" w:color="auto" w:fill="FFFFFF"/>
        </w:rPr>
        <w:t xml:space="preserve">per cent </w:t>
      </w:r>
      <w:r w:rsidRPr="0053729F">
        <w:rPr>
          <w:shd w:val="clear" w:color="auto" w:fill="FFFFFF"/>
        </w:rPr>
        <w:t>by 2020.</w:t>
      </w:r>
    </w:p>
    <w:p w14:paraId="1D85CC6B" w14:textId="77777777" w:rsidR="00D72675" w:rsidRPr="0053729F" w:rsidRDefault="00D72675" w:rsidP="00AC6866">
      <w:pPr>
        <w:pStyle w:val="ExhibitText"/>
        <w:rPr>
          <w:shd w:val="clear" w:color="auto" w:fill="FFFFFF"/>
        </w:rPr>
      </w:pPr>
    </w:p>
    <w:p w14:paraId="14C3554B" w14:textId="461C59F0" w:rsidR="00D72675" w:rsidRPr="0053729F" w:rsidRDefault="00D72675" w:rsidP="00AC6866">
      <w:pPr>
        <w:pStyle w:val="ExhibitText"/>
        <w:jc w:val="center"/>
        <w:rPr>
          <w:lang w:eastAsia="x-none"/>
        </w:rPr>
      </w:pPr>
      <w:r w:rsidRPr="0053729F">
        <w:rPr>
          <w:noProof/>
          <w:lang w:val="en-US"/>
        </w:rPr>
        <mc:AlternateContent>
          <mc:Choice Requires="wps">
            <w:drawing>
              <wp:anchor distT="0" distB="0" distL="0" distR="0" simplePos="0" relativeHeight="251670016" behindDoc="0" locked="0" layoutInCell="1" allowOverlap="1" wp14:anchorId="75CFC6B8" wp14:editId="02482E61">
                <wp:simplePos x="0" y="0"/>
                <wp:positionH relativeFrom="column">
                  <wp:posOffset>-559860</wp:posOffset>
                </wp:positionH>
                <wp:positionV relativeFrom="line">
                  <wp:posOffset>601663</wp:posOffset>
                </wp:positionV>
                <wp:extent cx="1650852" cy="248246"/>
                <wp:effectExtent l="0" t="0" r="0" b="0"/>
                <wp:wrapNone/>
                <wp:docPr id="1073741836" name="officeArt object" descr="Text Box 5"/>
                <wp:cNvGraphicFramePr/>
                <a:graphic xmlns:a="http://schemas.openxmlformats.org/drawingml/2006/main">
                  <a:graphicData uri="http://schemas.microsoft.com/office/word/2010/wordprocessingShape">
                    <wps:wsp>
                      <wps:cNvSpPr txBox="1"/>
                      <wps:spPr>
                        <a:xfrm rot="16200000">
                          <a:off x="0" y="0"/>
                          <a:ext cx="1650852" cy="248246"/>
                        </a:xfrm>
                        <a:prstGeom prst="rect">
                          <a:avLst/>
                        </a:prstGeom>
                        <a:noFill/>
                        <a:ln w="12700" cap="flat">
                          <a:noFill/>
                          <a:miter lim="400000"/>
                        </a:ln>
                        <a:effectLst/>
                      </wps:spPr>
                      <wps:txbx>
                        <w:txbxContent>
                          <w:p w14:paraId="77393354" w14:textId="287D8212" w:rsidR="00FC151A" w:rsidRDefault="004160E4" w:rsidP="003B2816">
                            <w:r>
                              <w:rPr>
                                <w:rFonts w:ascii="Arial" w:hAnsi="Arial" w:cs="Arial"/>
                                <w:sz w:val="18"/>
                                <w:szCs w:val="18"/>
                                <w:lang w:val="en-US"/>
                              </w:rPr>
                              <w:t>Online</w:t>
                            </w:r>
                            <w:r w:rsidR="00143DF8">
                              <w:rPr>
                                <w:rFonts w:ascii="Arial" w:hAnsi="Arial" w:cs="Arial"/>
                                <w:sz w:val="18"/>
                                <w:szCs w:val="18"/>
                                <w:lang w:val="en-US"/>
                              </w:rPr>
                              <w:t xml:space="preserve"> </w:t>
                            </w:r>
                            <w:r>
                              <w:rPr>
                                <w:rFonts w:ascii="Arial" w:hAnsi="Arial" w:cs="Arial"/>
                                <w:sz w:val="18"/>
                                <w:szCs w:val="18"/>
                                <w:lang w:val="en-US"/>
                              </w:rPr>
                              <w:t>grocery</w:t>
                            </w:r>
                            <w:r w:rsidR="00FC151A" w:rsidRPr="00D72675">
                              <w:rPr>
                                <w:rFonts w:ascii="Arial" w:hAnsi="Arial" w:cs="Arial"/>
                                <w:sz w:val="18"/>
                                <w:szCs w:val="18"/>
                                <w:lang w:val="en-US"/>
                              </w:rPr>
                              <w:t xml:space="preserve"> market share</w:t>
                            </w:r>
                            <w:r w:rsidR="00FC151A">
                              <w:rPr>
                                <w:sz w:val="18"/>
                                <w:szCs w:val="18"/>
                                <w:lang w:val="en-US"/>
                              </w:rPr>
                              <w:t xml:space="preserve"> </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w14:anchorId="75CFC6B8" id="_x0000_t202" coordsize="21600,21600" o:spt="202" path="m,l,21600r21600,l21600,xe">
                <v:stroke joinstyle="miter"/>
                <v:path gradientshapeok="t" o:connecttype="rect"/>
              </v:shapetype>
              <v:shape id="officeArt object" o:spid="_x0000_s1026" type="#_x0000_t202" alt="Text Box 5" style="position:absolute;left:0;text-align:left;margin-left:-44.1pt;margin-top:47.4pt;width:130pt;height:19.55pt;rotation:-90;z-index:251670016;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" filled="f" stroked="f" strokeweight="1pt">
                <v:stroke miterlimit="4"/>
                <v:textbox inset="1.27mm,1.27mm,1.27mm,1.27mm">
                  <w:txbxContent>
                    <w:p w14:paraId="77393354" w14:textId="287D8212" w:rsidR="00FC151A" w:rsidRDefault="004160E4" w:rsidP="003B2816">
                      <w:r>
                        <w:rPr>
                          <w:rFonts w:ascii="Arial" w:hAnsi="Arial" w:cs="Arial"/>
                          <w:sz w:val="18"/>
                          <w:szCs w:val="18"/>
                          <w:lang w:val="en-US"/>
                        </w:rPr>
                        <w:t>Online</w:t>
                      </w:r>
                      <w:r w:rsidR="00143DF8">
                        <w:rPr>
                          <w:rFonts w:ascii="Arial" w:hAnsi="Arial" w:cs="Arial"/>
                          <w:sz w:val="18"/>
                          <w:szCs w:val="18"/>
                          <w:lang w:val="en-US"/>
                        </w:rPr>
                        <w:t xml:space="preserve"> </w:t>
                      </w:r>
                      <w:r>
                        <w:rPr>
                          <w:rFonts w:ascii="Arial" w:hAnsi="Arial" w:cs="Arial"/>
                          <w:sz w:val="18"/>
                          <w:szCs w:val="18"/>
                          <w:lang w:val="en-US"/>
                        </w:rPr>
                        <w:t>grocery</w:t>
                      </w:r>
                      <w:r w:rsidR="00FC151A" w:rsidRPr="00D72675">
                        <w:rPr>
                          <w:rFonts w:ascii="Arial" w:hAnsi="Arial" w:cs="Arial"/>
                          <w:sz w:val="18"/>
                          <w:szCs w:val="18"/>
                          <w:lang w:val="en-US"/>
                        </w:rPr>
                        <w:t xml:space="preserve"> market share</w:t>
                      </w:r>
                      <w:r w:rsidR="00FC151A">
                        <w:rPr>
                          <w:sz w:val="18"/>
                          <w:szCs w:val="18"/>
                          <w:lang w:val="en-US"/>
                        </w:rPr>
                        <w:t xml:space="preserve"> </w:t>
                      </w:r>
                    </w:p>
                  </w:txbxContent>
                </v:textbox>
                <w10:wrap anchory="line"/>
              </v:shape>
            </w:pict>
          </mc:Fallback>
        </mc:AlternateContent>
      </w:r>
      <w:r w:rsidRPr="0053729F">
        <w:rPr>
          <w:noProof/>
          <w:lang w:val="en-US"/>
        </w:rPr>
        <w:drawing>
          <wp:inline distT="0" distB="0" distL="0" distR="0" wp14:anchorId="7512FD58" wp14:editId="3118BFE0">
            <wp:extent cx="5146040" cy="1435542"/>
            <wp:effectExtent l="0" t="0" r="16510" b="12700"/>
            <wp:docPr id="107374183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84EB8B" w14:textId="11856911" w:rsidR="00D72675" w:rsidRPr="0053729F" w:rsidRDefault="00D72675" w:rsidP="00AC6866">
      <w:pPr>
        <w:pStyle w:val="ExhibitText"/>
      </w:pPr>
    </w:p>
    <w:p w14:paraId="0EB278A4" w14:textId="1D3393A3" w:rsidR="00143DF8" w:rsidRDefault="00143DF8" w:rsidP="00F84CA1">
      <w:pPr>
        <w:pStyle w:val="Footnote"/>
      </w:pPr>
      <w:r>
        <w:t>Note: *</w:t>
      </w:r>
      <w:r w:rsidR="008270B3">
        <w:t xml:space="preserve"> Years 2017–2020 are </w:t>
      </w:r>
      <w:r w:rsidR="00E51A00">
        <w:t>estimated</w:t>
      </w:r>
      <w:r>
        <w:t>.</w:t>
      </w:r>
    </w:p>
    <w:p w14:paraId="4BC37FF6" w14:textId="60DF5687" w:rsidR="004160E4" w:rsidRDefault="003B2816" w:rsidP="00F84CA1">
      <w:pPr>
        <w:pStyle w:val="Footnote"/>
        <w:rPr>
          <w:rFonts w:eastAsia="Cambria"/>
        </w:rPr>
      </w:pPr>
      <w:r w:rsidRPr="0053729F">
        <w:t xml:space="preserve">Source: </w:t>
      </w:r>
      <w:r w:rsidR="004160E4">
        <w:t>“</w:t>
      </w:r>
      <w:r w:rsidR="004160E4" w:rsidRPr="004160E4">
        <w:t>Online Grocery Market Share in the United States from 2015 to 2020</w:t>
      </w:r>
      <w:r w:rsidR="004160E4">
        <w:t xml:space="preserve">,” Statista, 2018, </w:t>
      </w:r>
      <w:r w:rsidR="004160E4" w:rsidRPr="0053729F">
        <w:t>accessed February 14, 2018</w:t>
      </w:r>
      <w:r w:rsidR="004160E4">
        <w:t xml:space="preserve">, </w:t>
      </w:r>
      <w:r w:rsidRPr="0053729F">
        <w:rPr>
          <w:rFonts w:eastAsia="Cambria"/>
        </w:rPr>
        <w:t>www.statista.com/statistics/531189/online-grocery-market-share-united-states</w:t>
      </w:r>
      <w:r w:rsidR="004160E4">
        <w:rPr>
          <w:rFonts w:eastAsia="Cambria"/>
        </w:rPr>
        <w:t>.</w:t>
      </w:r>
    </w:p>
    <w:p w14:paraId="0630378D" w14:textId="77777777" w:rsidR="00D72675" w:rsidRPr="0053729F" w:rsidRDefault="00D72675" w:rsidP="00E51A00">
      <w:pPr>
        <w:pStyle w:val="ExhibitText"/>
      </w:pPr>
    </w:p>
    <w:p w14:paraId="02CFE0A3" w14:textId="77777777" w:rsidR="00D72675" w:rsidRPr="0053729F" w:rsidRDefault="00D72675" w:rsidP="00E51A00">
      <w:pPr>
        <w:pStyle w:val="ExhibitText"/>
      </w:pPr>
    </w:p>
    <w:p w14:paraId="43E46F82" w14:textId="6DCD4E1E" w:rsidR="003B2816" w:rsidRPr="0053729F" w:rsidRDefault="003B2816" w:rsidP="00D72675">
      <w:pPr>
        <w:pStyle w:val="ExhibitHeading"/>
      </w:pPr>
      <w:r w:rsidRPr="0053729F">
        <w:t xml:space="preserve">EXHIBIT </w:t>
      </w:r>
      <w:r w:rsidR="008863FE" w:rsidRPr="0053729F">
        <w:t>3</w:t>
      </w:r>
      <w:r w:rsidR="00D72675" w:rsidRPr="0053729F">
        <w:t>: P</w:t>
      </w:r>
      <w:r w:rsidRPr="0053729F">
        <w:t xml:space="preserve">rojected </w:t>
      </w:r>
      <w:r w:rsidR="004160E4">
        <w:t>online</w:t>
      </w:r>
      <w:r w:rsidR="00143DF8">
        <w:t xml:space="preserve"> </w:t>
      </w:r>
      <w:r w:rsidR="004160E4">
        <w:t>food-and-beverage</w:t>
      </w:r>
      <w:r w:rsidRPr="0053729F">
        <w:t xml:space="preserve"> </w:t>
      </w:r>
      <w:r w:rsidR="004160E4">
        <w:t>gross</w:t>
      </w:r>
      <w:r w:rsidR="00143DF8">
        <w:t xml:space="preserve"> </w:t>
      </w:r>
      <w:r w:rsidR="004160E4">
        <w:t>merchandise</w:t>
      </w:r>
      <w:r w:rsidRPr="0053729F">
        <w:t xml:space="preserve"> sales volume of Amazon in the United States</w:t>
      </w:r>
      <w:r w:rsidR="004160E4">
        <w:t xml:space="preserve">, </w:t>
      </w:r>
      <w:r w:rsidRPr="0053729F">
        <w:t>2015</w:t>
      </w:r>
      <w:r w:rsidR="004160E4">
        <w:t>–</w:t>
      </w:r>
      <w:r w:rsidRPr="0053729F">
        <w:t>2021 (</w:t>
      </w:r>
      <w:r w:rsidR="00AC6866">
        <w:t xml:space="preserve">in </w:t>
      </w:r>
      <w:r w:rsidR="004160E4">
        <w:t>US$</w:t>
      </w:r>
      <w:r w:rsidRPr="0053729F">
        <w:t xml:space="preserve"> billion</w:t>
      </w:r>
      <w:r w:rsidR="006E7A50">
        <w:t>s</w:t>
      </w:r>
      <w:r w:rsidRPr="0053729F">
        <w:t xml:space="preserve">) </w:t>
      </w:r>
    </w:p>
    <w:p w14:paraId="2D969D6D" w14:textId="77777777" w:rsidR="003B2816" w:rsidRPr="0053729F" w:rsidRDefault="003B2816" w:rsidP="00E51A00">
      <w:pPr>
        <w:pStyle w:val="ExhibitText"/>
      </w:pPr>
    </w:p>
    <w:p w14:paraId="06223837" w14:textId="77777777" w:rsidR="003B2816" w:rsidRPr="0053729F" w:rsidRDefault="003B2816" w:rsidP="00AC6866">
      <w:pPr>
        <w:pStyle w:val="ExhibitText"/>
        <w:jc w:val="center"/>
      </w:pPr>
      <w:r w:rsidRPr="0053729F">
        <w:rPr>
          <w:b/>
          <w:bCs/>
          <w:noProof/>
          <w:lang w:val="en-US"/>
        </w:rPr>
        <mc:AlternateContent>
          <mc:Choice Requires="wps">
            <w:drawing>
              <wp:anchor distT="0" distB="0" distL="0" distR="0" simplePos="0" relativeHeight="251656704" behindDoc="0" locked="0" layoutInCell="1" allowOverlap="1" wp14:anchorId="187A7A51" wp14:editId="164185CA">
                <wp:simplePos x="0" y="0"/>
                <wp:positionH relativeFrom="column">
                  <wp:posOffset>-717233</wp:posOffset>
                </wp:positionH>
                <wp:positionV relativeFrom="line">
                  <wp:posOffset>1270742</wp:posOffset>
                </wp:positionV>
                <wp:extent cx="1891996" cy="228600"/>
                <wp:effectExtent l="0" t="0" r="0" b="0"/>
                <wp:wrapNone/>
                <wp:docPr id="1073741838" name="officeArt object" descr="Text Box 23"/>
                <wp:cNvGraphicFramePr/>
                <a:graphic xmlns:a="http://schemas.openxmlformats.org/drawingml/2006/main">
                  <a:graphicData uri="http://schemas.microsoft.com/office/word/2010/wordprocessingShape">
                    <wps:wsp>
                      <wps:cNvSpPr txBox="1"/>
                      <wps:spPr>
                        <a:xfrm rot="16200000">
                          <a:off x="0" y="0"/>
                          <a:ext cx="1891996" cy="228600"/>
                        </a:xfrm>
                        <a:prstGeom prst="rect">
                          <a:avLst/>
                        </a:prstGeom>
                        <a:noFill/>
                        <a:ln w="12700" cap="flat">
                          <a:noFill/>
                          <a:miter lim="400000"/>
                        </a:ln>
                        <a:effectLst/>
                      </wps:spPr>
                      <wps:txbx>
                        <w:txbxContent>
                          <w:p w14:paraId="24789FE2" w14:textId="78100FF5" w:rsidR="00FC151A" w:rsidRPr="00D72675" w:rsidRDefault="00FC151A" w:rsidP="003B2816">
                            <w:pPr>
                              <w:rPr>
                                <w:rFonts w:ascii="Arial" w:hAnsi="Arial" w:cs="Arial"/>
                                <w:sz w:val="18"/>
                                <w:szCs w:val="18"/>
                              </w:rPr>
                            </w:pPr>
                            <w:r w:rsidRPr="00D72675">
                              <w:rPr>
                                <w:rFonts w:ascii="Arial" w:hAnsi="Arial" w:cs="Arial"/>
                                <w:sz w:val="18"/>
                                <w:szCs w:val="18"/>
                                <w:lang w:val="en-US"/>
                              </w:rPr>
                              <w:t xml:space="preserve">Sales volume </w:t>
                            </w:r>
                            <w:r w:rsidR="00D87A57">
                              <w:rPr>
                                <w:rFonts w:ascii="Arial" w:hAnsi="Arial" w:cs="Arial"/>
                                <w:sz w:val="18"/>
                                <w:szCs w:val="18"/>
                                <w:lang w:val="en-US"/>
                              </w:rPr>
                              <w:t xml:space="preserve">(US$ </w:t>
                            </w:r>
                            <w:r w:rsidRPr="00D72675">
                              <w:rPr>
                                <w:rFonts w:ascii="Arial" w:hAnsi="Arial" w:cs="Arial"/>
                                <w:sz w:val="18"/>
                                <w:szCs w:val="18"/>
                                <w:lang w:val="en-US"/>
                              </w:rPr>
                              <w:t>billion</w:t>
                            </w:r>
                            <w:r w:rsidR="006E7A50">
                              <w:rPr>
                                <w:rFonts w:ascii="Arial" w:hAnsi="Arial" w:cs="Arial"/>
                                <w:sz w:val="18"/>
                                <w:szCs w:val="18"/>
                                <w:lang w:val="en-US"/>
                              </w:rPr>
                              <w:t>s</w:t>
                            </w:r>
                            <w:r w:rsidR="00D87A57">
                              <w:rPr>
                                <w:rFonts w:ascii="Arial" w:hAnsi="Arial" w:cs="Arial"/>
                                <w:sz w:val="18"/>
                                <w:szCs w:val="18"/>
                                <w:lang w:val="en-US"/>
                              </w:rPr>
                              <w:t>)</w:t>
                            </w:r>
                          </w:p>
                        </w:txbxContent>
                      </wps:txbx>
                      <wps:bodyPr wrap="square" lIns="45719" tIns="45719" rIns="45719" bIns="45719" numCol="1" anchor="t">
                        <a:noAutofit/>
                      </wps:bodyPr>
                    </wps:wsp>
                  </a:graphicData>
                </a:graphic>
                <wp14:sizeRelH relativeFrom="margin">
                  <wp14:pctWidth>0</wp14:pctWidth>
                </wp14:sizeRelH>
              </wp:anchor>
            </w:drawing>
          </mc:Choice>
          <mc:Fallback>
            <w:pict>
              <v:shape w14:anchorId="187A7A51" id="_x0000_s1027" type="#_x0000_t202" alt="Text Box 23" style="position:absolute;left:0;text-align:left;margin-left:-56.5pt;margin-top:100.05pt;width:149pt;height:18pt;rotation:-90;z-index:251656704;visibility:visible;mso-wrap-style:square;mso-width-percent:0;mso-wrap-distance-left:0;mso-wrap-distance-top:0;mso-wrap-distance-right:0;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" filled="f" stroked="f" strokeweight="1pt">
                <v:stroke miterlimit="4"/>
                <v:textbox inset="1.27mm,1.27mm,1.27mm,1.27mm">
                  <w:txbxContent>
                    <w:p w14:paraId="24789FE2" w14:textId="78100FF5" w:rsidR="00FC151A" w:rsidRPr="00D72675" w:rsidRDefault="00FC151A" w:rsidP="003B2816">
                      <w:pPr>
                        <w:rPr>
                          <w:rFonts w:ascii="Arial" w:hAnsi="Arial" w:cs="Arial"/>
                          <w:sz w:val="18"/>
                          <w:szCs w:val="18"/>
                        </w:rPr>
                      </w:pPr>
                      <w:r w:rsidRPr="00D72675">
                        <w:rPr>
                          <w:rFonts w:ascii="Arial" w:hAnsi="Arial" w:cs="Arial"/>
                          <w:sz w:val="18"/>
                          <w:szCs w:val="18"/>
                          <w:lang w:val="en-US"/>
                        </w:rPr>
                        <w:t xml:space="preserve">Sales volume </w:t>
                      </w:r>
                      <w:r w:rsidR="00D87A57">
                        <w:rPr>
                          <w:rFonts w:ascii="Arial" w:hAnsi="Arial" w:cs="Arial"/>
                          <w:sz w:val="18"/>
                          <w:szCs w:val="18"/>
                          <w:lang w:val="en-US"/>
                        </w:rPr>
                        <w:t xml:space="preserve">(US$ </w:t>
                      </w:r>
                      <w:r w:rsidRPr="00D72675">
                        <w:rPr>
                          <w:rFonts w:ascii="Arial" w:hAnsi="Arial" w:cs="Arial"/>
                          <w:sz w:val="18"/>
                          <w:szCs w:val="18"/>
                          <w:lang w:val="en-US"/>
                        </w:rPr>
                        <w:t>billion</w:t>
                      </w:r>
                      <w:r w:rsidR="006E7A50">
                        <w:rPr>
                          <w:rFonts w:ascii="Arial" w:hAnsi="Arial" w:cs="Arial"/>
                          <w:sz w:val="18"/>
                          <w:szCs w:val="18"/>
                          <w:lang w:val="en-US"/>
                        </w:rPr>
                        <w:t>s</w:t>
                      </w:r>
                      <w:r w:rsidR="00D87A57">
                        <w:rPr>
                          <w:rFonts w:ascii="Arial" w:hAnsi="Arial" w:cs="Arial"/>
                          <w:sz w:val="18"/>
                          <w:szCs w:val="18"/>
                          <w:lang w:val="en-US"/>
                        </w:rPr>
                        <w:t>)</w:t>
                      </w:r>
                    </w:p>
                  </w:txbxContent>
                </v:textbox>
                <w10:wrap anchory="line"/>
              </v:shape>
            </w:pict>
          </mc:Fallback>
        </mc:AlternateContent>
      </w:r>
      <w:r w:rsidRPr="0053729F">
        <w:rPr>
          <w:noProof/>
          <w:lang w:val="en-US"/>
        </w:rPr>
        <w:drawing>
          <wp:inline distT="0" distB="0" distL="0" distR="0" wp14:anchorId="4C3DC2B6" wp14:editId="4F035668">
            <wp:extent cx="5237480" cy="2487295"/>
            <wp:effectExtent l="0" t="0" r="1270" b="8255"/>
            <wp:docPr id="1073741839"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4171EF" w14:textId="77777777" w:rsidR="00D72675" w:rsidRPr="0053729F" w:rsidRDefault="00D72675" w:rsidP="00E51A00">
      <w:pPr>
        <w:pStyle w:val="ExhibitText"/>
        <w:rPr>
          <w:shd w:val="clear" w:color="auto" w:fill="FFFFFF"/>
        </w:rPr>
      </w:pPr>
    </w:p>
    <w:p w14:paraId="1F6C8BEC" w14:textId="589D1B9C" w:rsidR="003B2816" w:rsidRPr="00F84CA1" w:rsidRDefault="003B2816" w:rsidP="00D72675">
      <w:pPr>
        <w:pStyle w:val="Footnote"/>
        <w:rPr>
          <w:spacing w:val="-4"/>
        </w:rPr>
      </w:pPr>
      <w:r w:rsidRPr="00F84CA1">
        <w:rPr>
          <w:spacing w:val="-4"/>
        </w:rPr>
        <w:t xml:space="preserve">Source: </w:t>
      </w:r>
      <w:r w:rsidR="00D87A57" w:rsidRPr="00F84CA1">
        <w:rPr>
          <w:spacing w:val="-4"/>
        </w:rPr>
        <w:t>“Projected Online Food and Beverage Gross Merchandise Sales Volume of Amazon in the United States from 2015 to 2021 (</w:t>
      </w:r>
      <w:r w:rsidR="0082733D" w:rsidRPr="00F84CA1">
        <w:rPr>
          <w:spacing w:val="-4"/>
        </w:rPr>
        <w:t>in</w:t>
      </w:r>
      <w:r w:rsidR="00D87A57" w:rsidRPr="00F84CA1">
        <w:rPr>
          <w:spacing w:val="-4"/>
        </w:rPr>
        <w:t xml:space="preserve"> Billion </w:t>
      </w:r>
      <w:r w:rsidR="005A1911">
        <w:rPr>
          <w:spacing w:val="-4"/>
        </w:rPr>
        <w:t>US</w:t>
      </w:r>
      <w:r w:rsidR="00D87A57" w:rsidRPr="00F84CA1">
        <w:rPr>
          <w:spacing w:val="-4"/>
        </w:rPr>
        <w:t xml:space="preserve"> Dollars),” Statista, 2018, accessed February 14, 2018, </w:t>
      </w:r>
      <w:r w:rsidR="00F84CA1" w:rsidRPr="00F84CA1">
        <w:rPr>
          <w:rFonts w:eastAsia="Cambria"/>
          <w:spacing w:val="-4"/>
        </w:rPr>
        <w:t>www.statista.com/statistics/545906/amazon-us-grocery-gmv</w:t>
      </w:r>
      <w:r w:rsidR="00D87A57" w:rsidRPr="00F84CA1">
        <w:rPr>
          <w:spacing w:val="-4"/>
        </w:rPr>
        <w:t>.</w:t>
      </w:r>
    </w:p>
    <w:p w14:paraId="2240947C" w14:textId="77777777" w:rsidR="003B2816" w:rsidRPr="0053729F" w:rsidRDefault="003B2816" w:rsidP="00D72675">
      <w:pPr>
        <w:pStyle w:val="Footnote"/>
      </w:pPr>
    </w:p>
    <w:p w14:paraId="228D11EB" w14:textId="77777777" w:rsidR="003B2816" w:rsidRPr="0053729F" w:rsidRDefault="003B2816" w:rsidP="003B2816">
      <w:r w:rsidRPr="0053729F">
        <w:rPr>
          <w:rFonts w:ascii="Arial Unicode MS" w:eastAsia="Arial Unicode MS" w:hAnsi="Arial Unicode MS" w:cs="Arial Unicode MS"/>
        </w:rPr>
        <w:br w:type="page"/>
      </w:r>
    </w:p>
    <w:p w14:paraId="6D7037C6" w14:textId="77777777" w:rsidR="00AC6866" w:rsidRDefault="003B2816" w:rsidP="00D72675">
      <w:pPr>
        <w:pStyle w:val="ExhibitHeading"/>
      </w:pPr>
      <w:r w:rsidRPr="0053729F">
        <w:rPr>
          <w:bCs/>
        </w:rPr>
        <w:lastRenderedPageBreak/>
        <w:t xml:space="preserve">EXHIBIT </w:t>
      </w:r>
      <w:r w:rsidR="00331F01" w:rsidRPr="0053729F">
        <w:rPr>
          <w:bCs/>
        </w:rPr>
        <w:t>4</w:t>
      </w:r>
      <w:r w:rsidR="00D72675" w:rsidRPr="0053729F">
        <w:rPr>
          <w:bCs/>
        </w:rPr>
        <w:t xml:space="preserve">: </w:t>
      </w:r>
      <w:r w:rsidR="00396C7E">
        <w:t>sales of online grocery shopping</w:t>
      </w:r>
      <w:r w:rsidRPr="0053729F">
        <w:t xml:space="preserve"> in the United States</w:t>
      </w:r>
      <w:r w:rsidR="006E7A50">
        <w:t xml:space="preserve">, </w:t>
      </w:r>
      <w:r w:rsidRPr="0053729F">
        <w:t>2012</w:t>
      </w:r>
      <w:r w:rsidR="006E7A50">
        <w:t>–</w:t>
      </w:r>
      <w:r w:rsidRPr="0053729F">
        <w:t>2021</w:t>
      </w:r>
    </w:p>
    <w:p w14:paraId="129A1837" w14:textId="783AD745" w:rsidR="003B2816" w:rsidRPr="0053729F" w:rsidRDefault="003B2816" w:rsidP="00D72675">
      <w:pPr>
        <w:pStyle w:val="ExhibitHeading"/>
        <w:rPr>
          <w:bCs/>
        </w:rPr>
      </w:pPr>
      <w:r w:rsidRPr="0053729F">
        <w:t>(</w:t>
      </w:r>
      <w:r w:rsidR="00AC6866">
        <w:t xml:space="preserve">in </w:t>
      </w:r>
      <w:r w:rsidR="006E7A50">
        <w:t>US$</w:t>
      </w:r>
      <w:r w:rsidRPr="0053729F">
        <w:t xml:space="preserve"> billion</w:t>
      </w:r>
      <w:r w:rsidR="006E7A50">
        <w:t>s</w:t>
      </w:r>
      <w:r w:rsidRPr="0053729F">
        <w:t xml:space="preserve">) </w:t>
      </w:r>
    </w:p>
    <w:p w14:paraId="3C9FB8D1" w14:textId="77777777" w:rsidR="003B2816" w:rsidRPr="0053729F" w:rsidRDefault="003B2816" w:rsidP="00E51A00">
      <w:pPr>
        <w:pStyle w:val="ExhibitText"/>
      </w:pPr>
    </w:p>
    <w:p w14:paraId="568204AA" w14:textId="29BA0F32" w:rsidR="003B2816" w:rsidRPr="00F053F7" w:rsidRDefault="006E7A50" w:rsidP="00F053F7">
      <w:pPr>
        <w:pStyle w:val="ExhibitText"/>
        <w:rPr>
          <w:rFonts w:eastAsia="Cambria"/>
        </w:rPr>
      </w:pPr>
      <w:r w:rsidRPr="00F053F7">
        <w:rPr>
          <w:rFonts w:eastAsia="Cambria"/>
        </w:rPr>
        <w:t>Amazon.com Inc. and Walmart</w:t>
      </w:r>
      <w:r w:rsidRPr="00F053F7">
        <w:t xml:space="preserve"> Inc. were among</w:t>
      </w:r>
      <w:r w:rsidR="003B2816" w:rsidRPr="00F053F7">
        <w:t xml:space="preserve"> the</w:t>
      </w:r>
      <w:r w:rsidR="0048736C">
        <w:t xml:space="preserve"> </w:t>
      </w:r>
      <w:r w:rsidR="003B2816" w:rsidRPr="00F053F7">
        <w:rPr>
          <w:rFonts w:eastAsia="Cambria"/>
        </w:rPr>
        <w:t xml:space="preserve">leading online </w:t>
      </w:r>
      <w:r w:rsidRPr="00F053F7">
        <w:rPr>
          <w:rFonts w:eastAsia="Cambria"/>
        </w:rPr>
        <w:t>food-and-beverage</w:t>
      </w:r>
      <w:r w:rsidR="003B2816" w:rsidRPr="00F053F7">
        <w:rPr>
          <w:rFonts w:eastAsia="Cambria"/>
        </w:rPr>
        <w:t xml:space="preserve"> retailers</w:t>
      </w:r>
      <w:r w:rsidR="0048736C">
        <w:t xml:space="preserve"> </w:t>
      </w:r>
      <w:r w:rsidR="003B2816" w:rsidRPr="00F053F7">
        <w:rPr>
          <w:rFonts w:eastAsia="Cambria"/>
        </w:rPr>
        <w:t>in 2017</w:t>
      </w:r>
      <w:r w:rsidRPr="00F053F7">
        <w:rPr>
          <w:rFonts w:eastAsia="Cambria"/>
        </w:rPr>
        <w:t>.</w:t>
      </w:r>
    </w:p>
    <w:p w14:paraId="2F88BABD" w14:textId="77777777" w:rsidR="00D72675" w:rsidRPr="0053729F" w:rsidRDefault="00D72675" w:rsidP="00E51A00">
      <w:pPr>
        <w:pStyle w:val="ExhibitText"/>
        <w:rPr>
          <w:rFonts w:eastAsia="Cambria"/>
        </w:rPr>
      </w:pPr>
    </w:p>
    <w:p w14:paraId="686856F9" w14:textId="77777777" w:rsidR="004F4940" w:rsidRPr="0053729F" w:rsidRDefault="003B2816" w:rsidP="00AC6866">
      <w:pPr>
        <w:pStyle w:val="ExhibitText"/>
        <w:jc w:val="center"/>
        <w:rPr>
          <w:sz w:val="22"/>
          <w:szCs w:val="22"/>
          <w:shd w:val="clear" w:color="auto" w:fill="FFFFFF"/>
        </w:rPr>
      </w:pPr>
      <w:r w:rsidRPr="0053729F">
        <w:rPr>
          <w:rFonts w:eastAsia="Cambria"/>
          <w:noProof/>
          <w:lang w:val="en-US"/>
        </w:rPr>
        <mc:AlternateContent>
          <mc:Choice Requires="wps">
            <w:drawing>
              <wp:anchor distT="0" distB="0" distL="0" distR="0" simplePos="0" relativeHeight="251655680" behindDoc="0" locked="0" layoutInCell="1" allowOverlap="1" wp14:anchorId="21638EAD" wp14:editId="04193D0E">
                <wp:simplePos x="0" y="0"/>
                <wp:positionH relativeFrom="column">
                  <wp:posOffset>-652039</wp:posOffset>
                </wp:positionH>
                <wp:positionV relativeFrom="line">
                  <wp:posOffset>954299</wp:posOffset>
                </wp:positionV>
                <wp:extent cx="1487171" cy="257175"/>
                <wp:effectExtent l="0" t="0" r="0" b="0"/>
                <wp:wrapNone/>
                <wp:docPr id="1073741840" name="officeArt object" descr="Text Box 22"/>
                <wp:cNvGraphicFramePr/>
                <a:graphic xmlns:a="http://schemas.openxmlformats.org/drawingml/2006/main">
                  <a:graphicData uri="http://schemas.microsoft.com/office/word/2010/wordprocessingShape">
                    <wps:wsp>
                      <wps:cNvSpPr txBox="1"/>
                      <wps:spPr>
                        <a:xfrm rot="16200000">
                          <a:off x="0" y="0"/>
                          <a:ext cx="1487171" cy="257175"/>
                        </a:xfrm>
                        <a:prstGeom prst="rect">
                          <a:avLst/>
                        </a:prstGeom>
                        <a:noFill/>
                        <a:ln w="12700" cap="flat">
                          <a:noFill/>
                          <a:miter lim="400000"/>
                        </a:ln>
                        <a:effectLst/>
                      </wps:spPr>
                      <wps:txbx>
                        <w:txbxContent>
                          <w:p w14:paraId="3A2C2F94" w14:textId="2BB29F62" w:rsidR="00FC151A" w:rsidRPr="00D72675" w:rsidRDefault="00FC151A" w:rsidP="003B2816">
                            <w:pPr>
                              <w:rPr>
                                <w:rFonts w:ascii="Arial" w:hAnsi="Arial" w:cs="Arial"/>
                                <w:sz w:val="18"/>
                                <w:szCs w:val="18"/>
                              </w:rPr>
                            </w:pPr>
                            <w:r w:rsidRPr="00D72675">
                              <w:rPr>
                                <w:rFonts w:ascii="Arial" w:hAnsi="Arial" w:cs="Arial"/>
                                <w:sz w:val="18"/>
                                <w:szCs w:val="18"/>
                                <w:lang w:val="en-US"/>
                              </w:rPr>
                              <w:t xml:space="preserve">Sales </w:t>
                            </w:r>
                            <w:r w:rsidR="006E7A50">
                              <w:rPr>
                                <w:rFonts w:ascii="Arial" w:hAnsi="Arial" w:cs="Arial"/>
                                <w:sz w:val="18"/>
                                <w:szCs w:val="18"/>
                                <w:lang w:val="en-US"/>
                              </w:rPr>
                              <w:t>(US$</w:t>
                            </w:r>
                            <w:r w:rsidRPr="00D72675">
                              <w:rPr>
                                <w:rFonts w:ascii="Arial" w:hAnsi="Arial" w:cs="Arial"/>
                                <w:sz w:val="18"/>
                                <w:szCs w:val="18"/>
                                <w:lang w:val="en-US"/>
                              </w:rPr>
                              <w:t xml:space="preserve"> billion</w:t>
                            </w:r>
                            <w:r w:rsidR="006E7A50">
                              <w:rPr>
                                <w:rFonts w:ascii="Arial" w:hAnsi="Arial" w:cs="Arial"/>
                                <w:sz w:val="18"/>
                                <w:szCs w:val="18"/>
                                <w:lang w:val="en-US"/>
                              </w:rPr>
                              <w:t>s)</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 w14:anchorId="21638EAD" id="_x0000_s1028" type="#_x0000_t202" alt="Text Box 22" style="position:absolute;left:0;text-align:left;margin-left:-51.35pt;margin-top:75.15pt;width:117.1pt;height:20.25pt;rotation:-90;z-index:251655680;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" filled="f" stroked="f" strokeweight="1pt">
                <v:stroke miterlimit="4"/>
                <v:textbox inset="1.27mm,1.27mm,1.27mm,1.27mm">
                  <w:txbxContent>
                    <w:p w14:paraId="3A2C2F94" w14:textId="2BB29F62" w:rsidR="00FC151A" w:rsidRPr="00D72675" w:rsidRDefault="00FC151A" w:rsidP="003B2816">
                      <w:pPr>
                        <w:rPr>
                          <w:rFonts w:ascii="Arial" w:hAnsi="Arial" w:cs="Arial"/>
                          <w:sz w:val="18"/>
                          <w:szCs w:val="18"/>
                        </w:rPr>
                      </w:pPr>
                      <w:r w:rsidRPr="00D72675">
                        <w:rPr>
                          <w:rFonts w:ascii="Arial" w:hAnsi="Arial" w:cs="Arial"/>
                          <w:sz w:val="18"/>
                          <w:szCs w:val="18"/>
                          <w:lang w:val="en-US"/>
                        </w:rPr>
                        <w:t xml:space="preserve">Sales </w:t>
                      </w:r>
                      <w:r w:rsidR="006E7A50">
                        <w:rPr>
                          <w:rFonts w:ascii="Arial" w:hAnsi="Arial" w:cs="Arial"/>
                          <w:sz w:val="18"/>
                          <w:szCs w:val="18"/>
                          <w:lang w:val="en-US"/>
                        </w:rPr>
                        <w:t>(US$</w:t>
                      </w:r>
                      <w:r w:rsidRPr="00D72675">
                        <w:rPr>
                          <w:rFonts w:ascii="Arial" w:hAnsi="Arial" w:cs="Arial"/>
                          <w:sz w:val="18"/>
                          <w:szCs w:val="18"/>
                          <w:lang w:val="en-US"/>
                        </w:rPr>
                        <w:t xml:space="preserve"> billion</w:t>
                      </w:r>
                      <w:r w:rsidR="006E7A50">
                        <w:rPr>
                          <w:rFonts w:ascii="Arial" w:hAnsi="Arial" w:cs="Arial"/>
                          <w:sz w:val="18"/>
                          <w:szCs w:val="18"/>
                          <w:lang w:val="en-US"/>
                        </w:rPr>
                        <w:t>s)</w:t>
                      </w:r>
                    </w:p>
                  </w:txbxContent>
                </v:textbox>
                <w10:wrap anchory="line"/>
              </v:shape>
            </w:pict>
          </mc:Fallback>
        </mc:AlternateContent>
      </w:r>
      <w:r w:rsidRPr="0053729F">
        <w:rPr>
          <w:noProof/>
          <w:lang w:val="en-US"/>
        </w:rPr>
        <w:drawing>
          <wp:inline distT="0" distB="0" distL="0" distR="0" wp14:anchorId="5FEFBCA5" wp14:editId="1AD66686">
            <wp:extent cx="5492468" cy="2233900"/>
            <wp:effectExtent l="0" t="0" r="13335" b="14605"/>
            <wp:docPr id="1073741841"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DFC9AD" w14:textId="77777777" w:rsidR="008270B3" w:rsidRDefault="008270B3" w:rsidP="00E51A00">
      <w:pPr>
        <w:pStyle w:val="ExhibitText"/>
      </w:pPr>
    </w:p>
    <w:p w14:paraId="1A3BFA2E" w14:textId="61E5AADB" w:rsidR="004F4940" w:rsidRPr="0053729F" w:rsidRDefault="002B70D4" w:rsidP="002B70D4">
      <w:pPr>
        <w:pStyle w:val="Footnote"/>
      </w:pPr>
      <w:r>
        <w:t xml:space="preserve">Note: </w:t>
      </w:r>
      <w:r w:rsidR="008270B3">
        <w:t xml:space="preserve">* Years 2013–2021 </w:t>
      </w:r>
      <w:r>
        <w:t>are estimated.</w:t>
      </w:r>
    </w:p>
    <w:p w14:paraId="0D3A2C75" w14:textId="0DF7EF36" w:rsidR="003B2816" w:rsidRPr="0053729F" w:rsidRDefault="003B2816" w:rsidP="004F4940">
      <w:pPr>
        <w:pStyle w:val="Footnote"/>
      </w:pPr>
      <w:r w:rsidRPr="0053729F">
        <w:t xml:space="preserve">Source: </w:t>
      </w:r>
      <w:r w:rsidR="00DD4BBC">
        <w:t>“</w:t>
      </w:r>
      <w:r w:rsidR="006E7A50" w:rsidRPr="006E7A50">
        <w:t>Online Grocery Shopping Sales in the Un</w:t>
      </w:r>
      <w:r w:rsidR="00DD4BBC">
        <w:t>ited States from 2012 to 2021 in</w:t>
      </w:r>
      <w:r w:rsidR="006E7A50" w:rsidRPr="006E7A50">
        <w:t xml:space="preserve">n Billion </w:t>
      </w:r>
      <w:r w:rsidR="005A1911">
        <w:t>US</w:t>
      </w:r>
      <w:r w:rsidR="006E7A50" w:rsidRPr="006E7A50">
        <w:t xml:space="preserve"> Dollars)</w:t>
      </w:r>
      <w:r w:rsidR="00DD4BBC">
        <w:t xml:space="preserve">,” Statista, 2018, accessed February 14, 2018, </w:t>
      </w:r>
      <w:r w:rsidRPr="0053729F">
        <w:rPr>
          <w:rFonts w:eastAsia="Cambria"/>
        </w:rPr>
        <w:t>www.statista.com/statistics/293707/us-online-grocery-sales</w:t>
      </w:r>
      <w:r w:rsidR="00DD4BBC">
        <w:rPr>
          <w:rFonts w:eastAsia="Cambria"/>
        </w:rPr>
        <w:t>.</w:t>
      </w:r>
    </w:p>
    <w:p w14:paraId="6DA13999" w14:textId="77777777" w:rsidR="004F4940" w:rsidRPr="0053729F" w:rsidRDefault="004F4940" w:rsidP="00E51A00">
      <w:pPr>
        <w:pStyle w:val="ExhibitText"/>
      </w:pPr>
    </w:p>
    <w:p w14:paraId="03C7258A" w14:textId="77777777" w:rsidR="004F4940" w:rsidRPr="0053729F" w:rsidRDefault="004F4940" w:rsidP="00E51A00">
      <w:pPr>
        <w:pStyle w:val="ExhibitText"/>
      </w:pPr>
    </w:p>
    <w:p w14:paraId="1A075625" w14:textId="2EE301C4" w:rsidR="003B2816" w:rsidRPr="0053729F" w:rsidRDefault="004F4940" w:rsidP="004F4940">
      <w:pPr>
        <w:pStyle w:val="ExhibitHeading"/>
      </w:pPr>
      <w:r w:rsidRPr="0053729F">
        <w:t xml:space="preserve">EXHIBIT </w:t>
      </w:r>
      <w:r w:rsidR="008863FE" w:rsidRPr="0053729F">
        <w:t>5</w:t>
      </w:r>
      <w:r w:rsidRPr="0053729F">
        <w:t xml:space="preserve">: </w:t>
      </w:r>
      <w:r w:rsidR="003B2816" w:rsidRPr="0053729F">
        <w:t xml:space="preserve">Fody </w:t>
      </w:r>
      <w:r w:rsidR="00627170">
        <w:t xml:space="preserve">foods </w:t>
      </w:r>
      <w:r w:rsidR="003B2816" w:rsidRPr="0053729F">
        <w:t>Online Sales</w:t>
      </w:r>
      <w:r w:rsidR="00627170">
        <w:t>,</w:t>
      </w:r>
      <w:r w:rsidR="003B2816" w:rsidRPr="0053729F">
        <w:t xml:space="preserve"> 2016</w:t>
      </w:r>
      <w:r w:rsidR="00627170">
        <w:t>–</w:t>
      </w:r>
      <w:r w:rsidR="003B2816" w:rsidRPr="0053729F">
        <w:t>2017</w:t>
      </w:r>
      <w:r w:rsidR="00627170">
        <w:t xml:space="preserve"> </w:t>
      </w:r>
      <w:r w:rsidR="00627170" w:rsidRPr="0053729F">
        <w:t>(</w:t>
      </w:r>
      <w:r w:rsidR="00AC6866">
        <w:t xml:space="preserve">in </w:t>
      </w:r>
      <w:r w:rsidR="00627170">
        <w:t>CA$</w:t>
      </w:r>
      <w:r w:rsidR="00627170" w:rsidRPr="0053729F">
        <w:t>)</w:t>
      </w:r>
    </w:p>
    <w:p w14:paraId="2E797D9C" w14:textId="77777777" w:rsidR="004F4940" w:rsidRPr="0053729F" w:rsidRDefault="004F4940" w:rsidP="00E51A00">
      <w:pPr>
        <w:pStyle w:val="ExhibitText"/>
      </w:pPr>
    </w:p>
    <w:p w14:paraId="26808456" w14:textId="77777777" w:rsidR="003B2816" w:rsidRPr="0053729F" w:rsidRDefault="003B2816" w:rsidP="00AC6866">
      <w:pPr>
        <w:pStyle w:val="ExhibitText"/>
        <w:jc w:val="center"/>
      </w:pPr>
      <w:r w:rsidRPr="0053729F">
        <w:rPr>
          <w:noProof/>
          <w:lang w:val="en-US"/>
        </w:rPr>
        <mc:AlternateContent>
          <mc:Choice Requires="wps">
            <w:drawing>
              <wp:anchor distT="0" distB="0" distL="0" distR="0" simplePos="0" relativeHeight="251671040" behindDoc="0" locked="0" layoutInCell="1" allowOverlap="1" wp14:anchorId="25165A60" wp14:editId="2E10E3FE">
                <wp:simplePos x="0" y="0"/>
                <wp:positionH relativeFrom="column">
                  <wp:posOffset>-914399</wp:posOffset>
                </wp:positionH>
                <wp:positionV relativeFrom="line">
                  <wp:posOffset>879792</wp:posOffset>
                </wp:positionV>
                <wp:extent cx="1835563" cy="225542"/>
                <wp:effectExtent l="0" t="0" r="0" b="0"/>
                <wp:wrapNone/>
                <wp:docPr id="1073741842" name="officeArt object" descr="Text Box 6"/>
                <wp:cNvGraphicFramePr/>
                <a:graphic xmlns:a="http://schemas.openxmlformats.org/drawingml/2006/main">
                  <a:graphicData uri="http://schemas.microsoft.com/office/word/2010/wordprocessingShape">
                    <wps:wsp>
                      <wps:cNvSpPr txBox="1"/>
                      <wps:spPr>
                        <a:xfrm rot="16200000">
                          <a:off x="0" y="0"/>
                          <a:ext cx="1835563" cy="225542"/>
                        </a:xfrm>
                        <a:prstGeom prst="rect">
                          <a:avLst/>
                        </a:prstGeom>
                        <a:noFill/>
                        <a:ln w="12700" cap="flat">
                          <a:noFill/>
                          <a:miter lim="400000"/>
                        </a:ln>
                        <a:effectLst/>
                      </wps:spPr>
                      <wps:txbx>
                        <w:txbxContent>
                          <w:p w14:paraId="05CA23CE" w14:textId="7E994FA9" w:rsidR="00FC151A" w:rsidRPr="004F4940" w:rsidRDefault="00FC151A" w:rsidP="003B2816">
                            <w:pPr>
                              <w:rPr>
                                <w:rFonts w:ascii="Arial" w:hAnsi="Arial" w:cs="Arial"/>
                              </w:rPr>
                            </w:pPr>
                            <w:r w:rsidRPr="004F4940">
                              <w:rPr>
                                <w:rFonts w:ascii="Arial" w:hAnsi="Arial" w:cs="Arial"/>
                                <w:sz w:val="18"/>
                                <w:szCs w:val="18"/>
                                <w:lang w:val="en-US"/>
                              </w:rPr>
                              <w:t xml:space="preserve">Online </w:t>
                            </w:r>
                            <w:r w:rsidR="00627170">
                              <w:rPr>
                                <w:rFonts w:ascii="Arial" w:hAnsi="Arial" w:cs="Arial"/>
                                <w:sz w:val="18"/>
                                <w:szCs w:val="18"/>
                                <w:lang w:val="en-US"/>
                              </w:rPr>
                              <w:t>sales (CA$)</w:t>
                            </w:r>
                          </w:p>
                        </w:txbxContent>
                      </wps:txbx>
                      <wps:bodyPr wrap="square" lIns="45719" tIns="45719" rIns="45719" bIns="45719" numCol="1" anchor="t">
                        <a:noAutofit/>
                      </wps:bodyPr>
                    </wps:wsp>
                  </a:graphicData>
                </a:graphic>
              </wp:anchor>
            </w:drawing>
          </mc:Choice>
          <mc:Fallback>
            <w:pict>
              <v:shape w14:anchorId="25165A60" id="_x0000_s1029" type="#_x0000_t202" alt="Text Box 6" style="position:absolute;left:0;text-align:left;margin-left:-1in;margin-top:69.25pt;width:144.55pt;height:17.75pt;rotation:-90;z-index:25167104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" filled="f" stroked="f" strokeweight="1pt">
                <v:stroke miterlimit="4"/>
                <v:textbox inset="1.27mm,1.27mm,1.27mm,1.27mm">
                  <w:txbxContent>
                    <w:p w14:paraId="05CA23CE" w14:textId="7E994FA9" w:rsidR="00FC151A" w:rsidRPr="004F4940" w:rsidRDefault="00FC151A" w:rsidP="003B2816">
                      <w:pPr>
                        <w:rPr>
                          <w:rFonts w:ascii="Arial" w:hAnsi="Arial" w:cs="Arial"/>
                        </w:rPr>
                      </w:pPr>
                      <w:r w:rsidRPr="004F4940">
                        <w:rPr>
                          <w:rFonts w:ascii="Arial" w:hAnsi="Arial" w:cs="Arial"/>
                          <w:sz w:val="18"/>
                          <w:szCs w:val="18"/>
                          <w:lang w:val="en-US"/>
                        </w:rPr>
                        <w:t xml:space="preserve">Online </w:t>
                      </w:r>
                      <w:r w:rsidR="00627170">
                        <w:rPr>
                          <w:rFonts w:ascii="Arial" w:hAnsi="Arial" w:cs="Arial"/>
                          <w:sz w:val="18"/>
                          <w:szCs w:val="18"/>
                          <w:lang w:val="en-US"/>
                        </w:rPr>
                        <w:t>sales (CA$)</w:t>
                      </w:r>
                    </w:p>
                  </w:txbxContent>
                </v:textbox>
                <w10:wrap anchory="line"/>
              </v:shape>
            </w:pict>
          </mc:Fallback>
        </mc:AlternateContent>
      </w:r>
      <w:r w:rsidRPr="0053729F">
        <w:rPr>
          <w:noProof/>
          <w:lang w:val="en-US"/>
        </w:rPr>
        <w:drawing>
          <wp:inline distT="0" distB="0" distL="0" distR="0" wp14:anchorId="42054A66" wp14:editId="4FFC9F87">
            <wp:extent cx="5712460" cy="2918128"/>
            <wp:effectExtent l="0" t="0" r="2540" b="15875"/>
            <wp:docPr id="1073741843"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D4A191" w14:textId="77777777" w:rsidR="004F4940" w:rsidRPr="0053729F" w:rsidRDefault="004F4940" w:rsidP="00AC6866">
      <w:pPr>
        <w:pStyle w:val="ExhibitText"/>
        <w:rPr>
          <w:shd w:val="clear" w:color="auto" w:fill="FFFFFF"/>
        </w:rPr>
      </w:pPr>
    </w:p>
    <w:p w14:paraId="387B4844" w14:textId="2C559150" w:rsidR="003B2816" w:rsidRPr="0053729F" w:rsidRDefault="003B2816" w:rsidP="004F4940">
      <w:pPr>
        <w:pStyle w:val="Footnote"/>
      </w:pPr>
      <w:r w:rsidRPr="0053729F">
        <w:t xml:space="preserve">Source: </w:t>
      </w:r>
      <w:r w:rsidR="00041794">
        <w:rPr>
          <w:rFonts w:eastAsia="Cambria"/>
        </w:rPr>
        <w:t>Company</w:t>
      </w:r>
      <w:r w:rsidR="00041794" w:rsidRPr="0053729F">
        <w:rPr>
          <w:rFonts w:eastAsia="Cambria"/>
        </w:rPr>
        <w:t xml:space="preserve"> </w:t>
      </w:r>
      <w:r w:rsidRPr="0053729F">
        <w:rPr>
          <w:rFonts w:eastAsia="Cambria"/>
        </w:rPr>
        <w:t>documents</w:t>
      </w:r>
      <w:r w:rsidR="00041794">
        <w:rPr>
          <w:rFonts w:eastAsia="Cambria"/>
        </w:rPr>
        <w:t>.</w:t>
      </w:r>
    </w:p>
    <w:p w14:paraId="5B2C3F70" w14:textId="148BE165" w:rsidR="003B2816" w:rsidRPr="0053729F" w:rsidRDefault="003B2816" w:rsidP="00E51A00">
      <w:pPr>
        <w:pStyle w:val="ExhibitText"/>
      </w:pPr>
    </w:p>
    <w:sectPr w:rsidR="003B2816" w:rsidRPr="0053729F" w:rsidSect="00BB27F7">
      <w:headerReference w:type="default" r:id="rId2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FE11F8" w16cid:durableId="1FD88324"/>
  <w16cid:commentId w16cid:paraId="7ABB0835" w16cid:durableId="1FD8855A"/>
  <w16cid:commentId w16cid:paraId="61633EF9" w16cid:durableId="1FD88714"/>
  <w16cid:commentId w16cid:paraId="515B33EB" w16cid:durableId="1FD884CD"/>
  <w16cid:commentId w16cid:paraId="6164E1C5" w16cid:durableId="1FD8889A"/>
  <w16cid:commentId w16cid:paraId="19BE8F5E" w16cid:durableId="1FD888B8"/>
  <w16cid:commentId w16cid:paraId="6FCAF788" w16cid:durableId="1FD88D12"/>
  <w16cid:commentId w16cid:paraId="00489944" w16cid:durableId="1FD88E1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CB665" w14:textId="77777777" w:rsidR="002135F3" w:rsidRDefault="002135F3" w:rsidP="00D75295">
      <w:r>
        <w:separator/>
      </w:r>
    </w:p>
  </w:endnote>
  <w:endnote w:type="continuationSeparator" w:id="0">
    <w:p w14:paraId="6AF60788" w14:textId="77777777" w:rsidR="002135F3" w:rsidRDefault="002135F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53E64" w14:textId="77777777" w:rsidR="002135F3" w:rsidRDefault="002135F3" w:rsidP="00D75295">
      <w:r>
        <w:separator/>
      </w:r>
    </w:p>
  </w:footnote>
  <w:footnote w:type="continuationSeparator" w:id="0">
    <w:p w14:paraId="395762AD" w14:textId="77777777" w:rsidR="002135F3" w:rsidRDefault="002135F3" w:rsidP="00D75295">
      <w:r>
        <w:continuationSeparator/>
      </w:r>
    </w:p>
  </w:footnote>
  <w:footnote w:id="1">
    <w:p w14:paraId="1CAE5C5B" w14:textId="2CC3C7F9" w:rsidR="00FC151A" w:rsidRPr="003B2816" w:rsidRDefault="00FC151A" w:rsidP="00097AFC">
      <w:pPr>
        <w:pStyle w:val="Footnote"/>
      </w:pPr>
      <w:r w:rsidRPr="0048736C">
        <w:rPr>
          <w:rStyle w:val="FootnoteReference"/>
        </w:rPr>
        <w:footnoteRef/>
      </w:r>
      <w:r w:rsidRPr="003B2816">
        <w:t xml:space="preserve"> </w:t>
      </w:r>
      <w:r w:rsidR="00DE150C">
        <w:t xml:space="preserve">International Foundation for Gastrointestinal Disorders, “Facts about IBS,” About IBS, November 24, 2016, accessed April 25, 2018, </w:t>
      </w:r>
      <w:r w:rsidR="00DE150C">
        <w:rPr>
          <w:rFonts w:eastAsia="Times"/>
        </w:rPr>
        <w:t>www.aboutibs.org/facts-about-ibs.html.</w:t>
      </w:r>
    </w:p>
  </w:footnote>
  <w:footnote w:id="2">
    <w:p w14:paraId="6819E1DA" w14:textId="77B242DF" w:rsidR="00FC151A" w:rsidRPr="003B2816" w:rsidRDefault="00FC151A" w:rsidP="00097AFC">
      <w:pPr>
        <w:pStyle w:val="Footnote"/>
      </w:pPr>
      <w:r w:rsidRPr="0048736C">
        <w:rPr>
          <w:rStyle w:val="FootnoteReference"/>
        </w:rPr>
        <w:footnoteRef/>
      </w:r>
      <w:r w:rsidRPr="003B2816">
        <w:t xml:space="preserve"> </w:t>
      </w:r>
      <w:r w:rsidR="00992E60" w:rsidRPr="003B2816">
        <w:t>The University of Chicago Celiac Disease Center</w:t>
      </w:r>
      <w:r w:rsidR="00992E60">
        <w:t>,</w:t>
      </w:r>
      <w:r w:rsidR="00992E60" w:rsidRPr="003B2816">
        <w:t xml:space="preserve"> </w:t>
      </w:r>
      <w:r w:rsidRPr="00F84CA1">
        <w:rPr>
          <w:i/>
        </w:rPr>
        <w:t>Celiac Disease Facts and Figures</w:t>
      </w:r>
      <w:r w:rsidRPr="003B2816">
        <w:t xml:space="preserve">, </w:t>
      </w:r>
      <w:r w:rsidR="00992E60">
        <w:t xml:space="preserve">accessed February 19, 2018, </w:t>
      </w:r>
      <w:r w:rsidRPr="003B2816">
        <w:rPr>
          <w:rStyle w:val="Hyperlink0"/>
          <w:rFonts w:ascii="Arial" w:hAnsi="Arial" w:cs="Arial"/>
          <w:color w:val="auto"/>
          <w:u w:val="none"/>
        </w:rPr>
        <w:t>www.uchospitals.edu/pdf/uch_007937.pdf</w:t>
      </w:r>
      <w:r w:rsidR="00992E60">
        <w:t>.</w:t>
      </w:r>
    </w:p>
  </w:footnote>
  <w:footnote w:id="3">
    <w:p w14:paraId="43FA5D62" w14:textId="71F3A914" w:rsidR="00FC151A" w:rsidRPr="003B2816" w:rsidRDefault="00FC151A" w:rsidP="00097AFC">
      <w:pPr>
        <w:pStyle w:val="Footnote"/>
      </w:pPr>
      <w:r w:rsidRPr="0048736C">
        <w:rPr>
          <w:rStyle w:val="FootnoteReference"/>
        </w:rPr>
        <w:footnoteRef/>
      </w:r>
      <w:r w:rsidRPr="003B2816">
        <w:t xml:space="preserve"> Monash FODMAP, “Discover the Research </w:t>
      </w:r>
      <w:r w:rsidR="00992E60">
        <w:t>behind</w:t>
      </w:r>
      <w:r w:rsidR="00992E60" w:rsidRPr="7765F498">
        <w:t xml:space="preserve"> </w:t>
      </w:r>
      <w:r w:rsidRPr="003B2816">
        <w:t xml:space="preserve">the Low FODMAP Diet,” Monash University, </w:t>
      </w:r>
      <w:r w:rsidR="00C10FCA">
        <w:t>accessed April 10</w:t>
      </w:r>
      <w:r w:rsidR="00992E60" w:rsidRPr="003B2816">
        <w:t>, 2018</w:t>
      </w:r>
      <w:r w:rsidR="00992E60" w:rsidRPr="7765F498">
        <w:t xml:space="preserve">, </w:t>
      </w:r>
      <w:r w:rsidR="65462FFC" w:rsidRPr="65462FFC">
        <w:t>www.monashfodmap.com/ibs-central/i-have-ibs/research</w:t>
      </w:r>
      <w:r w:rsidRPr="7765F498">
        <w:t>.</w:t>
      </w:r>
    </w:p>
  </w:footnote>
  <w:footnote w:id="4">
    <w:p w14:paraId="15A4FF36" w14:textId="5E8FB15A" w:rsidR="00FC151A" w:rsidRPr="003B2816" w:rsidRDefault="00FC151A" w:rsidP="00097AFC">
      <w:pPr>
        <w:pStyle w:val="Footnote"/>
      </w:pPr>
      <w:r w:rsidRPr="0048736C">
        <w:rPr>
          <w:rStyle w:val="FootnoteReference"/>
        </w:rPr>
        <w:footnoteRef/>
      </w:r>
      <w:r w:rsidRPr="74A09DE0">
        <w:t xml:space="preserve"> “</w:t>
      </w:r>
      <w:r w:rsidR="00992E60" w:rsidRPr="00992E60">
        <w:t xml:space="preserve">Global Gluten-Free Food </w:t>
      </w:r>
      <w:r w:rsidR="00992E60">
        <w:t>Market Value in 2016 and 2021 (i</w:t>
      </w:r>
      <w:r w:rsidR="00992E60" w:rsidRPr="00992E60">
        <w:t xml:space="preserve">n Billion </w:t>
      </w:r>
      <w:r w:rsidR="005A1911">
        <w:t>US</w:t>
      </w:r>
      <w:r w:rsidR="00992E60" w:rsidRPr="00992E60">
        <w:t xml:space="preserve"> Dollars)</w:t>
      </w:r>
      <w:r w:rsidRPr="74A09DE0">
        <w:t xml:space="preserve">,” </w:t>
      </w:r>
      <w:r w:rsidR="00992E60">
        <w:t>Statista</w:t>
      </w:r>
      <w:r w:rsidRPr="74A09DE0">
        <w:t>,</w:t>
      </w:r>
      <w:r w:rsidR="00992E60">
        <w:t xml:space="preserve"> 2018,</w:t>
      </w:r>
      <w:r w:rsidR="0048736C">
        <w:t xml:space="preserve"> </w:t>
      </w:r>
      <w:r w:rsidR="00992E60" w:rsidRPr="003B2816">
        <w:t>accessed February 14, 2018</w:t>
      </w:r>
      <w:r w:rsidR="00992E60" w:rsidRPr="74A09DE0">
        <w:t xml:space="preserve">, </w:t>
      </w:r>
      <w:r w:rsidRPr="003B2816">
        <w:rPr>
          <w:rStyle w:val="Hyperlink1"/>
          <w:rFonts w:ascii="Arial" w:hAnsi="Arial" w:cs="Arial"/>
          <w:color w:val="auto"/>
          <w:u w:val="none"/>
          <w:shd w:val="clear" w:color="auto" w:fill="auto"/>
        </w:rPr>
        <w:t>www.statista.com/statistics/248467/global-gluten-free-food-market-size</w:t>
      </w:r>
      <w:r w:rsidRPr="74A09DE0">
        <w:t>.</w:t>
      </w:r>
    </w:p>
  </w:footnote>
  <w:footnote w:id="5">
    <w:p w14:paraId="242F0509" w14:textId="77AFFFDC" w:rsidR="00FC151A" w:rsidRPr="003B2816" w:rsidRDefault="00FC151A" w:rsidP="00097AFC">
      <w:pPr>
        <w:pStyle w:val="Footnote"/>
      </w:pPr>
      <w:r w:rsidRPr="0048736C">
        <w:rPr>
          <w:rStyle w:val="FootnoteReference"/>
        </w:rPr>
        <w:footnoteRef/>
      </w:r>
      <w:r w:rsidRPr="003B2816">
        <w:t xml:space="preserve"> </w:t>
      </w:r>
      <w:r w:rsidR="00C10FCA" w:rsidRPr="003B2816">
        <w:t xml:space="preserve">“Statistics,” </w:t>
      </w:r>
      <w:r w:rsidRPr="003B2816">
        <w:t>Canadian Digestive Health Foundation</w:t>
      </w:r>
      <w:r w:rsidR="00C10FCA">
        <w:t>,</w:t>
      </w:r>
      <w:r w:rsidRPr="003B2816">
        <w:t xml:space="preserve"> </w:t>
      </w:r>
      <w:r w:rsidR="00C10FCA">
        <w:t>accessed February 10, 2018,</w:t>
      </w:r>
      <w:r w:rsidRPr="003B2816">
        <w:t xml:space="preserve"> </w:t>
      </w:r>
      <w:r w:rsidRPr="00FA34A3">
        <w:rPr>
          <w:rStyle w:val="Link"/>
          <w:color w:val="auto"/>
          <w:u w:val="none"/>
        </w:rPr>
        <w:t>www.cdhf.ca/en/statistics</w:t>
      </w:r>
      <w:r w:rsidR="00C10FCA">
        <w:t>.</w:t>
      </w:r>
    </w:p>
  </w:footnote>
  <w:footnote w:id="6">
    <w:p w14:paraId="369FE998" w14:textId="1D59A411" w:rsidR="00FE02BE" w:rsidRPr="003B2816" w:rsidRDefault="00FE02BE" w:rsidP="00FE02BE">
      <w:pPr>
        <w:pStyle w:val="Footnote"/>
      </w:pPr>
      <w:r w:rsidRPr="0048736C">
        <w:rPr>
          <w:rStyle w:val="FootnoteReference"/>
        </w:rPr>
        <w:footnoteRef/>
      </w:r>
      <w:r w:rsidRPr="003B2816">
        <w:t xml:space="preserve"> </w:t>
      </w:r>
      <w:r>
        <w:t xml:space="preserve">“About FODY Foods Co.,” Fody, </w:t>
      </w:r>
      <w:r w:rsidRPr="003B2816">
        <w:t>accessed April 25, 2018</w:t>
      </w:r>
      <w:r>
        <w:t xml:space="preserve">, </w:t>
      </w:r>
      <w:r w:rsidRPr="003B2816">
        <w:rPr>
          <w:rStyle w:val="Link"/>
          <w:color w:val="auto"/>
          <w:u w:val="none"/>
        </w:rPr>
        <w:t>https://www.fodyfoods.com/pages/about-fody-foods#team</w:t>
      </w:r>
      <w:r w:rsidRPr="003B2816">
        <w:t>.</w:t>
      </w:r>
    </w:p>
  </w:footnote>
  <w:footnote w:id="7">
    <w:p w14:paraId="0E79763B" w14:textId="0422042C" w:rsidR="00FC151A" w:rsidRPr="00331F01" w:rsidRDefault="00FC151A" w:rsidP="00097AFC">
      <w:pPr>
        <w:pStyle w:val="Footnote"/>
        <w:rPr>
          <w:lang w:val="en-CA"/>
        </w:rPr>
      </w:pPr>
      <w:r w:rsidRPr="0048736C">
        <w:rPr>
          <w:rStyle w:val="FootnoteReference"/>
        </w:rPr>
        <w:footnoteRef/>
      </w:r>
      <w:r>
        <w:t xml:space="preserve"> “</w:t>
      </w:r>
      <w:r w:rsidR="00D15569" w:rsidRPr="00D15569">
        <w:t>Retail Sales of Supermarkets and Other Grocery Stores</w:t>
      </w:r>
      <w:r w:rsidR="00D15569">
        <w:t xml:space="preserve"> in Canada from 2012 to 2016 (in</w:t>
      </w:r>
      <w:r w:rsidR="00D15569" w:rsidRPr="00D15569">
        <w:t xml:space="preserve"> Billion Canadian Dollars)</w:t>
      </w:r>
      <w:r w:rsidR="00D15569">
        <w:t>,</w:t>
      </w:r>
      <w:r>
        <w:t>”</w:t>
      </w:r>
      <w:r w:rsidRPr="00FC5BCB">
        <w:t xml:space="preserve"> </w:t>
      </w:r>
      <w:r w:rsidR="00D15569">
        <w:t>Statista, 2018, accessed February 14, 2018,</w:t>
      </w:r>
      <w:r w:rsidRPr="00FC5BCB">
        <w:t xml:space="preserve"> www.statista.com/statistics/432696/retail-sales-of-supermarkets-and-other-grocery-stores-in-canada</w:t>
      </w:r>
      <w:r w:rsidR="00D15569">
        <w:t>.</w:t>
      </w:r>
    </w:p>
  </w:footnote>
  <w:footnote w:id="8">
    <w:p w14:paraId="2A72DC39" w14:textId="2C7391CC" w:rsidR="00FC151A" w:rsidRPr="00331F01" w:rsidRDefault="00FC151A" w:rsidP="00097AFC">
      <w:pPr>
        <w:pStyle w:val="Footnote"/>
        <w:rPr>
          <w:lang w:val="en-CA"/>
        </w:rPr>
      </w:pPr>
      <w:r w:rsidRPr="0048736C">
        <w:rPr>
          <w:rStyle w:val="FootnoteReference"/>
        </w:rPr>
        <w:footnoteRef/>
      </w:r>
      <w:r>
        <w:t xml:space="preserve"> “</w:t>
      </w:r>
      <w:r w:rsidR="00D15569" w:rsidRPr="00D15569">
        <w:t>Forecasted Retail Sales of Supermarket</w:t>
      </w:r>
      <w:r w:rsidR="00D15569">
        <w:t>s in Canada from 2013 to 2018 (i</w:t>
      </w:r>
      <w:r w:rsidR="00D15569" w:rsidRPr="00D15569">
        <w:t>n Billion Canadian Dollars)</w:t>
      </w:r>
      <w:r w:rsidR="00D15569">
        <w:t>,</w:t>
      </w:r>
      <w:r>
        <w:t>”</w:t>
      </w:r>
      <w:r w:rsidRPr="00FC5BCB">
        <w:t xml:space="preserve"> </w:t>
      </w:r>
      <w:r w:rsidR="00D15569">
        <w:t>Statista, 2018, accessed February 14, 2018,</w:t>
      </w:r>
      <w:r w:rsidRPr="00FC5BCB">
        <w:t xml:space="preserve"> www.statista.com/statistics/481009/forecasted-retail-sales-of-supermarkets-canada</w:t>
      </w:r>
      <w:r w:rsidR="00D15569">
        <w:t>.</w:t>
      </w:r>
    </w:p>
  </w:footnote>
  <w:footnote w:id="9">
    <w:p w14:paraId="510E0597" w14:textId="412C0279" w:rsidR="00FC151A" w:rsidRPr="00331F01" w:rsidRDefault="00FC151A" w:rsidP="00097AFC">
      <w:pPr>
        <w:pStyle w:val="Footnote"/>
        <w:rPr>
          <w:lang w:val="en-CA"/>
        </w:rPr>
      </w:pPr>
      <w:r w:rsidRPr="0048736C">
        <w:rPr>
          <w:rStyle w:val="FootnoteReference"/>
        </w:rPr>
        <w:footnoteRef/>
      </w:r>
      <w:r>
        <w:t xml:space="preserve"> “</w:t>
      </w:r>
      <w:r w:rsidR="00D15569" w:rsidRPr="00D15569">
        <w:t>Supermarket and Other Grocery Store Sales in the Un</w:t>
      </w:r>
      <w:r w:rsidR="00B9429E">
        <w:t>ited States from 1992 to 2016 (i</w:t>
      </w:r>
      <w:r w:rsidR="00D15569" w:rsidRPr="00D15569">
        <w:t xml:space="preserve">n Billion </w:t>
      </w:r>
      <w:r w:rsidR="005A1911">
        <w:t>US</w:t>
      </w:r>
      <w:r w:rsidR="00D15569" w:rsidRPr="00D15569">
        <w:t xml:space="preserve"> Dollars)</w:t>
      </w:r>
      <w:r w:rsidR="00D15569">
        <w:t>,</w:t>
      </w:r>
      <w:r>
        <w:t xml:space="preserve">” </w:t>
      </w:r>
      <w:r w:rsidR="00D15569">
        <w:t>Statista, 2018, accessed February 14, 2018,</w:t>
      </w:r>
      <w:r w:rsidRPr="00331F01">
        <w:t xml:space="preserve"> www.statista.com/statistics/197626/annual-supermarket-and-other-grocery-store-sales-in-the-us-since-1992</w:t>
      </w:r>
      <w:r w:rsidR="00D15569">
        <w:t>.</w:t>
      </w:r>
    </w:p>
  </w:footnote>
  <w:footnote w:id="10">
    <w:p w14:paraId="70FAAAC1" w14:textId="37EF4B2D" w:rsidR="00FC151A" w:rsidRPr="00F84CA1" w:rsidRDefault="00FC151A" w:rsidP="00097AFC">
      <w:pPr>
        <w:pStyle w:val="Footnote"/>
        <w:rPr>
          <w:spacing w:val="-2"/>
          <w:lang w:val="en-CA"/>
        </w:rPr>
      </w:pPr>
      <w:r w:rsidRPr="0048736C">
        <w:rPr>
          <w:rStyle w:val="FootnoteReference"/>
        </w:rPr>
        <w:footnoteRef/>
      </w:r>
      <w:r w:rsidRPr="00F84CA1">
        <w:rPr>
          <w:spacing w:val="-2"/>
        </w:rPr>
        <w:t xml:space="preserve"> “</w:t>
      </w:r>
      <w:r w:rsidR="004E20F7" w:rsidRPr="00F84CA1">
        <w:rPr>
          <w:spacing w:val="-2"/>
        </w:rPr>
        <w:t xml:space="preserve">Sales of Supermarkets and Neighbourhood Stores Worldwide from 2008 to 2018 (in Billion </w:t>
      </w:r>
      <w:r w:rsidR="005A1911">
        <w:rPr>
          <w:spacing w:val="-2"/>
        </w:rPr>
        <w:t>US</w:t>
      </w:r>
      <w:r w:rsidR="004E20F7" w:rsidRPr="00F84CA1">
        <w:rPr>
          <w:spacing w:val="-2"/>
        </w:rPr>
        <w:t xml:space="preserve"> Dollars),” Statista, 2018, accessed February 14, 2018,</w:t>
      </w:r>
      <w:r w:rsidRPr="00F84CA1">
        <w:rPr>
          <w:spacing w:val="-2"/>
        </w:rPr>
        <w:t xml:space="preserve"> www.statista.com/statistics/311330/sales-of-supermarkets-and-neighbourhood-stores-worldwide</w:t>
      </w:r>
      <w:r w:rsidR="004E20F7" w:rsidRPr="00F84CA1">
        <w:rPr>
          <w:spacing w:val="-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7C60A" w14:textId="421DD51E" w:rsidR="00243032" w:rsidRPr="00C92CC4" w:rsidRDefault="00243032" w:rsidP="00243032">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A1911">
      <w:rPr>
        <w:rFonts w:ascii="Arial" w:hAnsi="Arial"/>
        <w:b/>
        <w:noProof/>
      </w:rPr>
      <w:t>10</w:t>
    </w:r>
    <w:r>
      <w:rPr>
        <w:rFonts w:ascii="Arial" w:hAnsi="Arial"/>
        <w:b/>
      </w:rPr>
      <w:fldChar w:fldCharType="end"/>
    </w:r>
    <w:r>
      <w:rPr>
        <w:rFonts w:ascii="Arial" w:hAnsi="Arial"/>
        <w:b/>
      </w:rPr>
      <w:tab/>
      <w:t>9B19A002</w:t>
    </w:r>
  </w:p>
  <w:p w14:paraId="3585411B" w14:textId="77777777" w:rsidR="00243032" w:rsidRDefault="00243032" w:rsidP="00243032">
    <w:pPr>
      <w:pStyle w:val="Header"/>
      <w:tabs>
        <w:tab w:val="clear" w:pos="4680"/>
      </w:tabs>
      <w:rPr>
        <w:sz w:val="18"/>
        <w:szCs w:val="18"/>
      </w:rPr>
    </w:pPr>
  </w:p>
  <w:p w14:paraId="541F699F" w14:textId="77777777" w:rsidR="00243032" w:rsidRPr="00C92CC4" w:rsidRDefault="00243032" w:rsidP="00243032">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D6090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B5C31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8035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0AE6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D24D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A428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189D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967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92E0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BAB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36DDC"/>
    <w:multiLevelType w:val="hybridMultilevel"/>
    <w:tmpl w:val="646ACD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EF0797"/>
    <w:multiLevelType w:val="hybridMultilevel"/>
    <w:tmpl w:val="72F457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0A79EA"/>
    <w:multiLevelType w:val="hybridMultilevel"/>
    <w:tmpl w:val="0026EF84"/>
    <w:lvl w:ilvl="0" w:tplc="0A5CCD1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14"/>
  </w:num>
  <w:num w:numId="4">
    <w:abstractNumId w:val="18"/>
  </w:num>
  <w:num w:numId="5">
    <w:abstractNumId w:val="15"/>
  </w:num>
  <w:num w:numId="6">
    <w:abstractNumId w:val="17"/>
  </w:num>
  <w:num w:numId="7">
    <w:abstractNumId w:val="12"/>
  </w:num>
  <w:num w:numId="8">
    <w:abstractNumId w:val="10"/>
  </w:num>
  <w:num w:numId="9">
    <w:abstractNumId w:val="11"/>
  </w:num>
  <w:num w:numId="10">
    <w:abstractNumId w:val="13"/>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A47"/>
    <w:rsid w:val="00013360"/>
    <w:rsid w:val="00016759"/>
    <w:rsid w:val="000216CE"/>
    <w:rsid w:val="00021BD1"/>
    <w:rsid w:val="00024ED4"/>
    <w:rsid w:val="00025DC7"/>
    <w:rsid w:val="00035F09"/>
    <w:rsid w:val="00041794"/>
    <w:rsid w:val="00044ECC"/>
    <w:rsid w:val="000531D3"/>
    <w:rsid w:val="0005646B"/>
    <w:rsid w:val="00077DAD"/>
    <w:rsid w:val="0008102D"/>
    <w:rsid w:val="00086B26"/>
    <w:rsid w:val="00094C0E"/>
    <w:rsid w:val="00097AFC"/>
    <w:rsid w:val="000A146D"/>
    <w:rsid w:val="000B2507"/>
    <w:rsid w:val="000D2A2F"/>
    <w:rsid w:val="000D7091"/>
    <w:rsid w:val="000F0C22"/>
    <w:rsid w:val="000F2363"/>
    <w:rsid w:val="000F6B09"/>
    <w:rsid w:val="000F6FDC"/>
    <w:rsid w:val="00104200"/>
    <w:rsid w:val="00104567"/>
    <w:rsid w:val="00104916"/>
    <w:rsid w:val="00104AA7"/>
    <w:rsid w:val="00124252"/>
    <w:rsid w:val="0012732D"/>
    <w:rsid w:val="001401C2"/>
    <w:rsid w:val="00143DF8"/>
    <w:rsid w:val="00143F25"/>
    <w:rsid w:val="00151121"/>
    <w:rsid w:val="00152682"/>
    <w:rsid w:val="00154FC9"/>
    <w:rsid w:val="0018217A"/>
    <w:rsid w:val="0019241A"/>
    <w:rsid w:val="00192A18"/>
    <w:rsid w:val="0019360F"/>
    <w:rsid w:val="001A22D1"/>
    <w:rsid w:val="001A752D"/>
    <w:rsid w:val="001A757E"/>
    <w:rsid w:val="001B5032"/>
    <w:rsid w:val="001C7777"/>
    <w:rsid w:val="001D344B"/>
    <w:rsid w:val="001E364F"/>
    <w:rsid w:val="001F4222"/>
    <w:rsid w:val="001F760A"/>
    <w:rsid w:val="0020070B"/>
    <w:rsid w:val="00203AA1"/>
    <w:rsid w:val="002135F3"/>
    <w:rsid w:val="00213E98"/>
    <w:rsid w:val="00226963"/>
    <w:rsid w:val="00230150"/>
    <w:rsid w:val="0023081A"/>
    <w:rsid w:val="00233111"/>
    <w:rsid w:val="00240760"/>
    <w:rsid w:val="00243032"/>
    <w:rsid w:val="002456D7"/>
    <w:rsid w:val="00265FA8"/>
    <w:rsid w:val="00281975"/>
    <w:rsid w:val="002B70D4"/>
    <w:rsid w:val="002C4E29"/>
    <w:rsid w:val="002C5707"/>
    <w:rsid w:val="002D67FC"/>
    <w:rsid w:val="002E2624"/>
    <w:rsid w:val="002F3427"/>
    <w:rsid w:val="002F460C"/>
    <w:rsid w:val="002F48D6"/>
    <w:rsid w:val="00317391"/>
    <w:rsid w:val="003231BB"/>
    <w:rsid w:val="00326216"/>
    <w:rsid w:val="00331F01"/>
    <w:rsid w:val="00333829"/>
    <w:rsid w:val="00336580"/>
    <w:rsid w:val="00354899"/>
    <w:rsid w:val="00355EE8"/>
    <w:rsid w:val="00355FD6"/>
    <w:rsid w:val="00364A5C"/>
    <w:rsid w:val="00373FB1"/>
    <w:rsid w:val="003755C5"/>
    <w:rsid w:val="00396C76"/>
    <w:rsid w:val="00396C7E"/>
    <w:rsid w:val="003B2816"/>
    <w:rsid w:val="003B30D8"/>
    <w:rsid w:val="003B7EF2"/>
    <w:rsid w:val="003C3FA4"/>
    <w:rsid w:val="003C5019"/>
    <w:rsid w:val="003D0BA1"/>
    <w:rsid w:val="003D2AFC"/>
    <w:rsid w:val="003D3B91"/>
    <w:rsid w:val="003E492D"/>
    <w:rsid w:val="003F2B0C"/>
    <w:rsid w:val="004105B2"/>
    <w:rsid w:val="0041145A"/>
    <w:rsid w:val="00412900"/>
    <w:rsid w:val="004160E4"/>
    <w:rsid w:val="004200D1"/>
    <w:rsid w:val="004221E4"/>
    <w:rsid w:val="004273F8"/>
    <w:rsid w:val="00427B47"/>
    <w:rsid w:val="004355A3"/>
    <w:rsid w:val="00441AE8"/>
    <w:rsid w:val="00446546"/>
    <w:rsid w:val="00452769"/>
    <w:rsid w:val="00454FA7"/>
    <w:rsid w:val="00465348"/>
    <w:rsid w:val="0048736C"/>
    <w:rsid w:val="004979A5"/>
    <w:rsid w:val="004A25E0"/>
    <w:rsid w:val="004B1CCB"/>
    <w:rsid w:val="004B632F"/>
    <w:rsid w:val="004D3FB1"/>
    <w:rsid w:val="004D6F21"/>
    <w:rsid w:val="004D73A5"/>
    <w:rsid w:val="004E20F7"/>
    <w:rsid w:val="004E3BC6"/>
    <w:rsid w:val="004F4940"/>
    <w:rsid w:val="00506077"/>
    <w:rsid w:val="005160F1"/>
    <w:rsid w:val="00524F2F"/>
    <w:rsid w:val="00527E5C"/>
    <w:rsid w:val="00532B20"/>
    <w:rsid w:val="00532CF5"/>
    <w:rsid w:val="0053644B"/>
    <w:rsid w:val="0053729F"/>
    <w:rsid w:val="005528CB"/>
    <w:rsid w:val="00566771"/>
    <w:rsid w:val="00581E2E"/>
    <w:rsid w:val="00582766"/>
    <w:rsid w:val="00584F15"/>
    <w:rsid w:val="00586053"/>
    <w:rsid w:val="00591C89"/>
    <w:rsid w:val="0059514B"/>
    <w:rsid w:val="005A1911"/>
    <w:rsid w:val="005A1B0F"/>
    <w:rsid w:val="005B371E"/>
    <w:rsid w:val="005B5EFE"/>
    <w:rsid w:val="005B6194"/>
    <w:rsid w:val="005C7BBC"/>
    <w:rsid w:val="005D03B0"/>
    <w:rsid w:val="005F3ED0"/>
    <w:rsid w:val="00607D0F"/>
    <w:rsid w:val="006163F7"/>
    <w:rsid w:val="00620F8B"/>
    <w:rsid w:val="00627170"/>
    <w:rsid w:val="00627C63"/>
    <w:rsid w:val="00632F96"/>
    <w:rsid w:val="0063350B"/>
    <w:rsid w:val="006468DF"/>
    <w:rsid w:val="00650361"/>
    <w:rsid w:val="00652606"/>
    <w:rsid w:val="0066467B"/>
    <w:rsid w:val="00686AE4"/>
    <w:rsid w:val="006946EE"/>
    <w:rsid w:val="006A3CBF"/>
    <w:rsid w:val="006A58A9"/>
    <w:rsid w:val="006A58DB"/>
    <w:rsid w:val="006A606D"/>
    <w:rsid w:val="006C0371"/>
    <w:rsid w:val="006C08B6"/>
    <w:rsid w:val="006C0B1A"/>
    <w:rsid w:val="006C3240"/>
    <w:rsid w:val="006C46FA"/>
    <w:rsid w:val="006C6065"/>
    <w:rsid w:val="006C7F9F"/>
    <w:rsid w:val="006E2F6D"/>
    <w:rsid w:val="006E3A0F"/>
    <w:rsid w:val="006E58F6"/>
    <w:rsid w:val="006E77E1"/>
    <w:rsid w:val="006E7A50"/>
    <w:rsid w:val="006F131D"/>
    <w:rsid w:val="006F33F9"/>
    <w:rsid w:val="006F4F94"/>
    <w:rsid w:val="007029F6"/>
    <w:rsid w:val="0071053F"/>
    <w:rsid w:val="00711642"/>
    <w:rsid w:val="00711C0F"/>
    <w:rsid w:val="00743F5E"/>
    <w:rsid w:val="00743FED"/>
    <w:rsid w:val="007507C6"/>
    <w:rsid w:val="00751E0B"/>
    <w:rsid w:val="00752BCD"/>
    <w:rsid w:val="00766DA1"/>
    <w:rsid w:val="00775679"/>
    <w:rsid w:val="00777643"/>
    <w:rsid w:val="00780D94"/>
    <w:rsid w:val="00784E13"/>
    <w:rsid w:val="007866A6"/>
    <w:rsid w:val="00787137"/>
    <w:rsid w:val="007A130D"/>
    <w:rsid w:val="007A419B"/>
    <w:rsid w:val="007B02B8"/>
    <w:rsid w:val="007B0BEB"/>
    <w:rsid w:val="007C0DA7"/>
    <w:rsid w:val="007D1A2D"/>
    <w:rsid w:val="007D4102"/>
    <w:rsid w:val="007E54A7"/>
    <w:rsid w:val="007F43B7"/>
    <w:rsid w:val="00811762"/>
    <w:rsid w:val="00821FFC"/>
    <w:rsid w:val="008270B3"/>
    <w:rsid w:val="008271CA"/>
    <w:rsid w:val="0082733D"/>
    <w:rsid w:val="00831CA2"/>
    <w:rsid w:val="008467D5"/>
    <w:rsid w:val="008677EF"/>
    <w:rsid w:val="008863FE"/>
    <w:rsid w:val="008A4DC4"/>
    <w:rsid w:val="008B438C"/>
    <w:rsid w:val="008B5DFC"/>
    <w:rsid w:val="008D06CA"/>
    <w:rsid w:val="008D3A46"/>
    <w:rsid w:val="008E3D25"/>
    <w:rsid w:val="008F2385"/>
    <w:rsid w:val="009035C5"/>
    <w:rsid w:val="009067A4"/>
    <w:rsid w:val="00926C02"/>
    <w:rsid w:val="00930885"/>
    <w:rsid w:val="00933D68"/>
    <w:rsid w:val="00933E0B"/>
    <w:rsid w:val="009340DB"/>
    <w:rsid w:val="0094618C"/>
    <w:rsid w:val="00952033"/>
    <w:rsid w:val="0095684B"/>
    <w:rsid w:val="00963058"/>
    <w:rsid w:val="00972498"/>
    <w:rsid w:val="0097481F"/>
    <w:rsid w:val="00974CC6"/>
    <w:rsid w:val="00976AD4"/>
    <w:rsid w:val="009864A0"/>
    <w:rsid w:val="00992E60"/>
    <w:rsid w:val="00995547"/>
    <w:rsid w:val="00996E10"/>
    <w:rsid w:val="009A312F"/>
    <w:rsid w:val="009A5348"/>
    <w:rsid w:val="009B0AB7"/>
    <w:rsid w:val="009C76D5"/>
    <w:rsid w:val="009F7AA4"/>
    <w:rsid w:val="00A10AD7"/>
    <w:rsid w:val="00A41A83"/>
    <w:rsid w:val="00A4745A"/>
    <w:rsid w:val="00A559DB"/>
    <w:rsid w:val="00A569EA"/>
    <w:rsid w:val="00A61B66"/>
    <w:rsid w:val="00A676A0"/>
    <w:rsid w:val="00A71235"/>
    <w:rsid w:val="00A744CE"/>
    <w:rsid w:val="00A818DB"/>
    <w:rsid w:val="00AC6866"/>
    <w:rsid w:val="00AE210C"/>
    <w:rsid w:val="00AF35FC"/>
    <w:rsid w:val="00AF5556"/>
    <w:rsid w:val="00B03639"/>
    <w:rsid w:val="00B0652A"/>
    <w:rsid w:val="00B135A8"/>
    <w:rsid w:val="00B40937"/>
    <w:rsid w:val="00B423EF"/>
    <w:rsid w:val="00B42A65"/>
    <w:rsid w:val="00B453DE"/>
    <w:rsid w:val="00B62497"/>
    <w:rsid w:val="00B72597"/>
    <w:rsid w:val="00B83DB7"/>
    <w:rsid w:val="00B84B21"/>
    <w:rsid w:val="00B87DC0"/>
    <w:rsid w:val="00B901F9"/>
    <w:rsid w:val="00B93F21"/>
    <w:rsid w:val="00B9429E"/>
    <w:rsid w:val="00BB27F7"/>
    <w:rsid w:val="00BC4D98"/>
    <w:rsid w:val="00BD03B6"/>
    <w:rsid w:val="00BD1624"/>
    <w:rsid w:val="00BD6EFB"/>
    <w:rsid w:val="00BE2A73"/>
    <w:rsid w:val="00BE3DF5"/>
    <w:rsid w:val="00BF5EAB"/>
    <w:rsid w:val="00C02410"/>
    <w:rsid w:val="00C06A88"/>
    <w:rsid w:val="00C10FCA"/>
    <w:rsid w:val="00C1584D"/>
    <w:rsid w:val="00C15BE2"/>
    <w:rsid w:val="00C1760A"/>
    <w:rsid w:val="00C3447F"/>
    <w:rsid w:val="00C4224B"/>
    <w:rsid w:val="00C44714"/>
    <w:rsid w:val="00C50E72"/>
    <w:rsid w:val="00C6605E"/>
    <w:rsid w:val="00C67102"/>
    <w:rsid w:val="00C70E21"/>
    <w:rsid w:val="00C81491"/>
    <w:rsid w:val="00C81676"/>
    <w:rsid w:val="00C849AC"/>
    <w:rsid w:val="00C85C5D"/>
    <w:rsid w:val="00C92CC4"/>
    <w:rsid w:val="00CA0AFB"/>
    <w:rsid w:val="00CA2CE1"/>
    <w:rsid w:val="00CA3976"/>
    <w:rsid w:val="00CA50E3"/>
    <w:rsid w:val="00CA757B"/>
    <w:rsid w:val="00CC1787"/>
    <w:rsid w:val="00CC182C"/>
    <w:rsid w:val="00CC471C"/>
    <w:rsid w:val="00CD0824"/>
    <w:rsid w:val="00CD128F"/>
    <w:rsid w:val="00CD2908"/>
    <w:rsid w:val="00CF243B"/>
    <w:rsid w:val="00D03A82"/>
    <w:rsid w:val="00D05536"/>
    <w:rsid w:val="00D10520"/>
    <w:rsid w:val="00D13667"/>
    <w:rsid w:val="00D15344"/>
    <w:rsid w:val="00D15569"/>
    <w:rsid w:val="00D232FF"/>
    <w:rsid w:val="00D23F57"/>
    <w:rsid w:val="00D31BEC"/>
    <w:rsid w:val="00D41A58"/>
    <w:rsid w:val="00D4476A"/>
    <w:rsid w:val="00D60121"/>
    <w:rsid w:val="00D63150"/>
    <w:rsid w:val="00D636BA"/>
    <w:rsid w:val="00D64A32"/>
    <w:rsid w:val="00D64EFC"/>
    <w:rsid w:val="00D72675"/>
    <w:rsid w:val="00D75295"/>
    <w:rsid w:val="00D76CE9"/>
    <w:rsid w:val="00D87A57"/>
    <w:rsid w:val="00D97F12"/>
    <w:rsid w:val="00DA0BAF"/>
    <w:rsid w:val="00DA6095"/>
    <w:rsid w:val="00DB42E7"/>
    <w:rsid w:val="00DB600F"/>
    <w:rsid w:val="00DC09D8"/>
    <w:rsid w:val="00DC0BCA"/>
    <w:rsid w:val="00DD4BBC"/>
    <w:rsid w:val="00DD641F"/>
    <w:rsid w:val="00DE01A6"/>
    <w:rsid w:val="00DE150C"/>
    <w:rsid w:val="00DE3C3C"/>
    <w:rsid w:val="00DE7A98"/>
    <w:rsid w:val="00DF32C2"/>
    <w:rsid w:val="00E128E7"/>
    <w:rsid w:val="00E13F18"/>
    <w:rsid w:val="00E41665"/>
    <w:rsid w:val="00E471A7"/>
    <w:rsid w:val="00E51A00"/>
    <w:rsid w:val="00E635CF"/>
    <w:rsid w:val="00E746B1"/>
    <w:rsid w:val="00E85ABE"/>
    <w:rsid w:val="00EB1E3B"/>
    <w:rsid w:val="00EC6E0A"/>
    <w:rsid w:val="00ED0A84"/>
    <w:rsid w:val="00ED4E18"/>
    <w:rsid w:val="00ED7922"/>
    <w:rsid w:val="00EE02C4"/>
    <w:rsid w:val="00EE1F37"/>
    <w:rsid w:val="00EE703C"/>
    <w:rsid w:val="00F0159C"/>
    <w:rsid w:val="00F053F7"/>
    <w:rsid w:val="00F105B7"/>
    <w:rsid w:val="00F13220"/>
    <w:rsid w:val="00F17A21"/>
    <w:rsid w:val="00F21086"/>
    <w:rsid w:val="00F37B27"/>
    <w:rsid w:val="00F46556"/>
    <w:rsid w:val="00F50039"/>
    <w:rsid w:val="00F50E91"/>
    <w:rsid w:val="00F57D29"/>
    <w:rsid w:val="00F60786"/>
    <w:rsid w:val="00F7482B"/>
    <w:rsid w:val="00F84CA1"/>
    <w:rsid w:val="00F91BC7"/>
    <w:rsid w:val="00F96201"/>
    <w:rsid w:val="00FA1BBC"/>
    <w:rsid w:val="00FA34A3"/>
    <w:rsid w:val="00FC0455"/>
    <w:rsid w:val="00FC151A"/>
    <w:rsid w:val="00FC5BCB"/>
    <w:rsid w:val="00FD0B18"/>
    <w:rsid w:val="00FD2FAD"/>
    <w:rsid w:val="00FD3364"/>
    <w:rsid w:val="00FD59D3"/>
    <w:rsid w:val="00FE02BE"/>
    <w:rsid w:val="00FE714F"/>
    <w:rsid w:val="20F77068"/>
    <w:rsid w:val="41106C5E"/>
    <w:rsid w:val="4D56258A"/>
    <w:rsid w:val="4FB5DD94"/>
    <w:rsid w:val="5189B54E"/>
    <w:rsid w:val="59456EF8"/>
    <w:rsid w:val="59DC06E0"/>
    <w:rsid w:val="5FDB834C"/>
    <w:rsid w:val="65462FFC"/>
    <w:rsid w:val="6BEC2CE9"/>
    <w:rsid w:val="7264A0F2"/>
    <w:rsid w:val="74A09DE0"/>
    <w:rsid w:val="7765F498"/>
    <w:rsid w:val="7BAEAF82"/>
    <w:rsid w:val="7C6F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35A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B135A8"/>
    <w:pPr>
      <w:keepNext/>
    </w:pPr>
    <w:rPr>
      <w:rFonts w:ascii="Arial" w:hAnsi="Arial" w:cs="Arial"/>
      <w:b/>
      <w:caps/>
      <w:sz w:val="20"/>
      <w:szCs w:val="20"/>
    </w:rPr>
  </w:style>
  <w:style w:type="character" w:customStyle="1" w:styleId="Casehead1Char">
    <w:name w:val="Casehead 1 Char"/>
    <w:basedOn w:val="BodyTextMainChar"/>
    <w:link w:val="Casehead1"/>
    <w:rsid w:val="00B135A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021BD1"/>
    <w:rPr>
      <w:b w:val="0"/>
      <w:color w:val="auto"/>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Link">
    <w:name w:val="Link"/>
    <w:rsid w:val="003B2816"/>
    <w:rPr>
      <w:color w:val="0000FF"/>
      <w:u w:val="single" w:color="0000FF"/>
    </w:rPr>
  </w:style>
  <w:style w:type="character" w:customStyle="1" w:styleId="Hyperlink0">
    <w:name w:val="Hyperlink.0"/>
    <w:basedOn w:val="Link"/>
    <w:rsid w:val="003B2816"/>
    <w:rPr>
      <w:rFonts w:ascii="Times" w:eastAsia="Times" w:hAnsi="Times" w:cs="Times"/>
      <w:color w:val="0000FF"/>
      <w:u w:val="single" w:color="0000FF"/>
    </w:rPr>
  </w:style>
  <w:style w:type="character" w:customStyle="1" w:styleId="Hyperlink1">
    <w:name w:val="Hyperlink.1"/>
    <w:basedOn w:val="Link"/>
    <w:rsid w:val="003B2816"/>
    <w:rPr>
      <w:rFonts w:ascii="Times" w:eastAsia="Times" w:hAnsi="Times" w:cs="Times"/>
      <w:color w:val="0000FF"/>
      <w:u w:val="single" w:color="0000FF"/>
      <w:shd w:val="clear" w:color="auto" w:fill="FFFFFF"/>
    </w:rPr>
  </w:style>
  <w:style w:type="character" w:customStyle="1" w:styleId="UnresolvedMention1">
    <w:name w:val="Unresolved Mention1"/>
    <w:basedOn w:val="DefaultParagraphFont"/>
    <w:uiPriority w:val="99"/>
    <w:semiHidden/>
    <w:unhideWhenUsed/>
    <w:rsid w:val="00A818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5775299999999994E-2"/>
          <c:y val="0.21804599999999999"/>
          <c:w val="0.89922500000000005"/>
          <c:h val="0.70065699999999997"/>
        </c:manualLayout>
      </c:layout>
      <c:barChart>
        <c:barDir val="col"/>
        <c:grouping val="clustered"/>
        <c:varyColors val="0"/>
        <c:ser>
          <c:idx val="0"/>
          <c:order val="0"/>
          <c:tx>
            <c:strRef>
              <c:f>Sheet1!$B$1</c:f>
              <c:strCache>
                <c:ptCount val="1"/>
                <c:pt idx="0">
                  <c:v>Series 1</c:v>
                </c:pt>
              </c:strCache>
            </c:strRef>
          </c:tx>
          <c:spPr>
            <a:solidFill>
              <a:schemeClr val="dk1">
                <a:tint val="88500"/>
              </a:schemeClr>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rgbClr val="40404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Sheet1!$A$2:$A$7</c:f>
              <c:strCache>
                <c:ptCount val="6"/>
                <c:pt idx="0">
                  <c:v>2015</c:v>
                </c:pt>
                <c:pt idx="1">
                  <c:v>2016</c:v>
                </c:pt>
                <c:pt idx="2">
                  <c:v>2017*</c:v>
                </c:pt>
                <c:pt idx="3">
                  <c:v>2018*</c:v>
                </c:pt>
                <c:pt idx="4">
                  <c:v>2019*</c:v>
                </c:pt>
                <c:pt idx="5">
                  <c:v>2020*</c:v>
                </c:pt>
              </c:strCache>
            </c:strRef>
          </c:cat>
          <c:val>
            <c:numRef>
              <c:f>Sheet1!$B$2:$B$7</c:f>
              <c:numCache>
                <c:formatCode>General</c:formatCode>
                <c:ptCount val="6"/>
                <c:pt idx="0">
                  <c:v>2.4E-2</c:v>
                </c:pt>
                <c:pt idx="1">
                  <c:v>0.03</c:v>
                </c:pt>
                <c:pt idx="2">
                  <c:v>3.7999999999999999E-2</c:v>
                </c:pt>
                <c:pt idx="3">
                  <c:v>5.0999999999999997E-2</c:v>
                </c:pt>
                <c:pt idx="4">
                  <c:v>7.0999999999999994E-2</c:v>
                </c:pt>
                <c:pt idx="5">
                  <c:v>0.1</c:v>
                </c:pt>
              </c:numCache>
            </c:numRef>
          </c:val>
          <c:extLst xmlns:c16r2="http://schemas.microsoft.com/office/drawing/2015/06/chart">
            <c:ext xmlns:c16="http://schemas.microsoft.com/office/drawing/2014/chart" uri="{C3380CC4-5D6E-409C-BE32-E72D297353CC}">
              <c16:uniqueId val="{00000000-F64F-FA45-99C2-B72B4EE8BF1C}"/>
            </c:ext>
          </c:extLst>
        </c:ser>
        <c:dLbls>
          <c:showLegendKey val="0"/>
          <c:showVal val="0"/>
          <c:showCatName val="0"/>
          <c:showSerName val="0"/>
          <c:showPercent val="0"/>
          <c:showBubbleSize val="0"/>
        </c:dLbls>
        <c:gapWidth val="219"/>
        <c:overlap val="-27"/>
        <c:axId val="171689680"/>
        <c:axId val="172565744"/>
      </c:barChart>
      <c:catAx>
        <c:axId val="171689680"/>
        <c:scaling>
          <c:orientation val="minMax"/>
        </c:scaling>
        <c:delete val="0"/>
        <c:axPos val="b"/>
        <c:numFmt formatCode="General" sourceLinked="0"/>
        <c:majorTickMark val="none"/>
        <c:minorTickMark val="none"/>
        <c:tickLblPos val="low"/>
        <c:spPr>
          <a:noFill/>
          <a:ln w="12700" cap="flat" cmpd="sng" algn="ctr">
            <a:solidFill>
              <a:srgbClr val="D9D9D9"/>
            </a:solidFill>
            <a:prstDash val="solid"/>
            <a:round/>
          </a:ln>
          <a:effectLst/>
        </c:spPr>
        <c:txPr>
          <a:bodyPr rot="0" spcFirstLastPara="1" vertOverflow="ellipsis" wrap="square" anchor="ctr" anchorCtr="1"/>
          <a:lstStyle/>
          <a:p>
            <a:pPr>
              <a:defRPr sz="900" b="0" i="0" u="none" strike="noStrike" kern="1200" baseline="0">
                <a:solidFill>
                  <a:srgbClr val="595959"/>
                </a:solidFill>
                <a:latin typeface="Arial" panose="020B0604020202020204" pitchFamily="34" charset="0"/>
                <a:ea typeface="+mn-ea"/>
                <a:cs typeface="Arial" panose="020B0604020202020204" pitchFamily="34" charset="0"/>
              </a:defRPr>
            </a:pPr>
            <a:endParaRPr lang="en-US"/>
          </a:p>
        </c:txPr>
        <c:crossAx val="172565744"/>
        <c:crosses val="autoZero"/>
        <c:auto val="1"/>
        <c:lblAlgn val="ctr"/>
        <c:lblOffset val="100"/>
        <c:noMultiLvlLbl val="1"/>
      </c:catAx>
      <c:valAx>
        <c:axId val="172565744"/>
        <c:scaling>
          <c:orientation val="minMax"/>
        </c:scaling>
        <c:delete val="0"/>
        <c:axPos val="l"/>
        <c:majorGridlines>
          <c:spPr>
            <a:ln w="12700" cap="flat" cmpd="sng" algn="ctr">
              <a:solidFill>
                <a:srgbClr val="D9D9D9"/>
              </a:solidFill>
              <a:prstDash val="solid"/>
              <a:round/>
            </a:ln>
            <a:effectLst/>
          </c:spPr>
        </c:majorGridlines>
        <c:numFmt formatCode="0.00%" sourceLinked="0"/>
        <c:majorTickMark val="none"/>
        <c:minorTickMark val="none"/>
        <c:tickLblPos val="nextTo"/>
        <c:spPr>
          <a:noFill/>
          <a:ln w="12700" cap="flat" cmpd="sng" algn="ctr">
            <a:noFill/>
            <a:prstDash val="solid"/>
            <a:round/>
          </a:ln>
          <a:effectLst/>
        </c:spPr>
        <c:txPr>
          <a:bodyPr rot="0" spcFirstLastPara="1" vertOverflow="ellipsis" wrap="square" anchor="ctr" anchorCtr="1"/>
          <a:lstStyle/>
          <a:p>
            <a:pPr>
              <a:defRPr sz="900" b="0" i="0" u="none" strike="noStrike" kern="1200" baseline="0">
                <a:solidFill>
                  <a:srgbClr val="595959"/>
                </a:solidFill>
                <a:latin typeface="Arial" panose="020B0604020202020204" pitchFamily="34" charset="0"/>
                <a:ea typeface="+mn-ea"/>
                <a:cs typeface="Arial" panose="020B0604020202020204" pitchFamily="34" charset="0"/>
              </a:defRPr>
            </a:pPr>
            <a:endParaRPr lang="en-US"/>
          </a:p>
        </c:txPr>
        <c:crossAx val="171689680"/>
        <c:crosses val="autoZero"/>
        <c:crossBetween val="between"/>
        <c:majorUnit val="2.5000000000000001E-2"/>
        <c:minorUnit val="1.2500000000000001E-2"/>
      </c:valAx>
      <c:spPr>
        <a:noFill/>
        <a:ln w="12700" cap="flat">
          <a:noFill/>
          <a:miter lim="400000"/>
        </a:ln>
        <a:effectLst/>
      </c:spPr>
    </c:plotArea>
    <c:plotVisOnly val="1"/>
    <c:dispBlanksAs val="gap"/>
    <c:showDLblsOverMax val="1"/>
  </c:chart>
  <c:spPr>
    <a:solidFill>
      <a:srgbClr val="FFFFFF"/>
    </a:solidFill>
    <a:ln w="12700" cap="flat" cmpd="sng" algn="ctr">
      <a:solidFill>
        <a:srgbClr val="D9D9D9"/>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5.0106400000000002E-2"/>
          <c:y val="0.29608099999999998"/>
          <c:w val="0.94489400000000001"/>
          <c:h val="0.62135399999999996"/>
        </c:manualLayout>
      </c:layout>
      <c:barChart>
        <c:barDir val="col"/>
        <c:grouping val="clustered"/>
        <c:varyColors val="0"/>
        <c:ser>
          <c:idx val="0"/>
          <c:order val="0"/>
          <c:tx>
            <c:strRef>
              <c:f>Sheet1!$B$1</c:f>
              <c:strCache>
                <c:ptCount val="1"/>
                <c:pt idx="0">
                  <c:v>x</c:v>
                </c:pt>
              </c:strCache>
            </c:strRef>
          </c:tx>
          <c:spPr>
            <a:solidFill>
              <a:schemeClr val="dk1">
                <a:tint val="88500"/>
              </a:schemeClr>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800" b="0" i="0" u="none" strike="noStrike" kern="1200" baseline="0">
                    <a:solidFill>
                      <a:srgbClr val="40404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Sheet1!$A$2:$A$8</c:f>
              <c:strCache>
                <c:ptCount val="7"/>
                <c:pt idx="0">
                  <c:v>2015</c:v>
                </c:pt>
                <c:pt idx="1">
                  <c:v>2016</c:v>
                </c:pt>
                <c:pt idx="2">
                  <c:v>2017</c:v>
                </c:pt>
                <c:pt idx="3">
                  <c:v>2018</c:v>
                </c:pt>
                <c:pt idx="4">
                  <c:v>2019</c:v>
                </c:pt>
                <c:pt idx="5">
                  <c:v>2020</c:v>
                </c:pt>
                <c:pt idx="6">
                  <c:v>2021</c:v>
                </c:pt>
              </c:strCache>
            </c:strRef>
          </c:cat>
          <c:val>
            <c:numRef>
              <c:f>Sheet1!$B$2:$B$8</c:f>
              <c:numCache>
                <c:formatCode>General</c:formatCode>
                <c:ptCount val="7"/>
                <c:pt idx="0">
                  <c:v>6.16</c:v>
                </c:pt>
                <c:pt idx="1">
                  <c:v>8.69</c:v>
                </c:pt>
                <c:pt idx="2">
                  <c:v>11.52</c:v>
                </c:pt>
                <c:pt idx="3">
                  <c:v>14.51</c:v>
                </c:pt>
                <c:pt idx="4">
                  <c:v>17.52</c:v>
                </c:pt>
                <c:pt idx="5">
                  <c:v>20.37</c:v>
                </c:pt>
                <c:pt idx="6">
                  <c:v>23.26</c:v>
                </c:pt>
              </c:numCache>
            </c:numRef>
          </c:val>
          <c:extLst xmlns:c16r2="http://schemas.microsoft.com/office/drawing/2015/06/chart">
            <c:ext xmlns:c16="http://schemas.microsoft.com/office/drawing/2014/chart" uri="{C3380CC4-5D6E-409C-BE32-E72D297353CC}">
              <c16:uniqueId val="{00000000-2EAF-AD49-AD76-F09BC4B80E57}"/>
            </c:ext>
          </c:extLst>
        </c:ser>
        <c:dLbls>
          <c:showLegendKey val="0"/>
          <c:showVal val="0"/>
          <c:showCatName val="0"/>
          <c:showSerName val="0"/>
          <c:showPercent val="0"/>
          <c:showBubbleSize val="0"/>
        </c:dLbls>
        <c:gapWidth val="219"/>
        <c:overlap val="-27"/>
        <c:axId val="171742976"/>
        <c:axId val="172936568"/>
      </c:barChart>
      <c:catAx>
        <c:axId val="171742976"/>
        <c:scaling>
          <c:orientation val="minMax"/>
        </c:scaling>
        <c:delete val="0"/>
        <c:axPos val="b"/>
        <c:numFmt formatCode="General" sourceLinked="0"/>
        <c:majorTickMark val="none"/>
        <c:minorTickMark val="none"/>
        <c:tickLblPos val="low"/>
        <c:spPr>
          <a:noFill/>
          <a:ln w="12700" cap="flat" cmpd="sng" algn="ctr">
            <a:solidFill>
              <a:srgbClr val="D9D9D9"/>
            </a:solidFill>
            <a:prstDash val="solid"/>
            <a:round/>
          </a:ln>
          <a:effectLst/>
        </c:spPr>
        <c:txPr>
          <a:bodyPr rot="0" spcFirstLastPara="1" vertOverflow="ellipsis" wrap="square" anchor="ctr" anchorCtr="1"/>
          <a:lstStyle/>
          <a:p>
            <a:pPr>
              <a:defRPr sz="900" b="0" i="0" u="none" strike="noStrike" kern="1200" baseline="0">
                <a:solidFill>
                  <a:srgbClr val="595959"/>
                </a:solidFill>
                <a:latin typeface="Arial" panose="020B0604020202020204" pitchFamily="34" charset="0"/>
                <a:ea typeface="+mn-ea"/>
                <a:cs typeface="Arial" panose="020B0604020202020204" pitchFamily="34" charset="0"/>
              </a:defRPr>
            </a:pPr>
            <a:endParaRPr lang="en-US"/>
          </a:p>
        </c:txPr>
        <c:crossAx val="172936568"/>
        <c:crosses val="autoZero"/>
        <c:auto val="1"/>
        <c:lblAlgn val="ctr"/>
        <c:lblOffset val="100"/>
        <c:noMultiLvlLbl val="1"/>
      </c:catAx>
      <c:valAx>
        <c:axId val="172936568"/>
        <c:scaling>
          <c:orientation val="minMax"/>
        </c:scaling>
        <c:delete val="0"/>
        <c:axPos val="l"/>
        <c:majorGridlines>
          <c:spPr>
            <a:ln w="12700" cap="flat" cmpd="sng" algn="ctr">
              <a:solidFill>
                <a:srgbClr val="D9D9D9"/>
              </a:solidFill>
              <a:prstDash val="solid"/>
              <a:round/>
            </a:ln>
            <a:effectLst/>
          </c:spPr>
        </c:majorGridlines>
        <c:numFmt formatCode="0.##" sourceLinked="0"/>
        <c:majorTickMark val="none"/>
        <c:minorTickMark val="none"/>
        <c:tickLblPos val="nextTo"/>
        <c:spPr>
          <a:noFill/>
          <a:ln w="12700" cap="flat" cmpd="sng" algn="ctr">
            <a:noFill/>
            <a:prstDash val="solid"/>
            <a:round/>
          </a:ln>
          <a:effectLst/>
        </c:spPr>
        <c:txPr>
          <a:bodyPr rot="0" spcFirstLastPara="1" vertOverflow="ellipsis" wrap="square" anchor="ctr" anchorCtr="1"/>
          <a:lstStyle/>
          <a:p>
            <a:pPr>
              <a:defRPr sz="900" b="0" i="0" u="none" strike="noStrike" kern="1200" baseline="0">
                <a:solidFill>
                  <a:srgbClr val="595959"/>
                </a:solidFill>
                <a:latin typeface="Arial" panose="020B0604020202020204" pitchFamily="34" charset="0"/>
                <a:ea typeface="+mn-ea"/>
                <a:cs typeface="Arial" panose="020B0604020202020204" pitchFamily="34" charset="0"/>
              </a:defRPr>
            </a:pPr>
            <a:endParaRPr lang="en-US"/>
          </a:p>
        </c:txPr>
        <c:crossAx val="171742976"/>
        <c:crosses val="autoZero"/>
        <c:crossBetween val="between"/>
        <c:majorUnit val="6"/>
        <c:minorUnit val="3"/>
      </c:valAx>
      <c:spPr>
        <a:noFill/>
        <a:ln w="12700" cap="flat">
          <a:noFill/>
          <a:miter lim="400000"/>
        </a:ln>
        <a:effectLst/>
      </c:spPr>
    </c:plotArea>
    <c:plotVisOnly val="1"/>
    <c:dispBlanksAs val="gap"/>
    <c:showDLblsOverMax val="1"/>
  </c:chart>
  <c:spPr>
    <a:solidFill>
      <a:srgbClr val="FFFFFF"/>
    </a:solidFill>
    <a:ln w="12700" cap="flat" cmpd="sng" algn="ctr">
      <a:solidFill>
        <a:srgbClr val="D9D9D9"/>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0961187083664487E-2"/>
          <c:y val="0.22038915593327349"/>
          <c:w val="0.92866400000000004"/>
          <c:h val="0.68908199999999997"/>
        </c:manualLayout>
      </c:layout>
      <c:barChart>
        <c:barDir val="col"/>
        <c:grouping val="clustered"/>
        <c:varyColors val="0"/>
        <c:ser>
          <c:idx val="0"/>
          <c:order val="0"/>
          <c:tx>
            <c:strRef>
              <c:f>Sheet1!$B$1</c:f>
              <c:strCache>
                <c:ptCount val="1"/>
                <c:pt idx="0">
                  <c:v>Column1</c:v>
                </c:pt>
              </c:strCache>
            </c:strRef>
          </c:tx>
          <c:spPr>
            <a:solidFill>
              <a:schemeClr val="dk1">
                <a:tint val="88500"/>
              </a:schemeClr>
            </a:solidFill>
            <a:ln>
              <a:noFill/>
            </a:ln>
            <a:effectLst/>
          </c:spPr>
          <c:invertIfNegative val="0"/>
          <c:dLbls>
            <c:dLbl>
              <c:idx val="0"/>
              <c:layout/>
              <c:tx>
                <c:rich>
                  <a:bodyPr/>
                  <a:lstStyle/>
                  <a:p>
                    <a:r>
                      <a:rPr lang="en-US"/>
                      <a:t>6</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035-44D2-B3AB-5DA4573A84C4}"/>
                </c:ext>
                <c:ext xmlns:c15="http://schemas.microsoft.com/office/drawing/2012/chart" uri="{CE6537A1-D6FC-4f65-9D91-7224C49458BB}">
                  <c15:layout/>
                </c:ext>
              </c:extLst>
            </c:dLbl>
            <c:dLbl>
              <c:idx val="4"/>
              <c:layout/>
              <c:tx>
                <c:rich>
                  <a:bodyPr/>
                  <a:lstStyle/>
                  <a:p>
                    <a:r>
                      <a:rPr lang="en-US"/>
                      <a:t>12</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035-44D2-B3AB-5DA4573A84C4}"/>
                </c:ext>
                <c:ext xmlns:c15="http://schemas.microsoft.com/office/drawing/2012/chart" uri="{CE6537A1-D6FC-4f65-9D91-7224C49458BB}">
                  <c15:layout/>
                </c:ext>
              </c:extLst>
            </c:dLbl>
            <c:dLbl>
              <c:idx val="7"/>
              <c:layout/>
              <c:tx>
                <c:rich>
                  <a:bodyPr/>
                  <a:lstStyle/>
                  <a:p>
                    <a:r>
                      <a:rPr lang="en-US"/>
                      <a:t>22</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8035-44D2-B3AB-5DA4573A84C4}"/>
                </c:ext>
                <c:ext xmlns:c15="http://schemas.microsoft.com/office/drawing/2012/chart" uri="{CE6537A1-D6FC-4f65-9D91-7224C49458BB}">
                  <c15:layout/>
                </c:ext>
              </c:extLst>
            </c:dLbl>
            <c:dLbl>
              <c:idx val="8"/>
              <c:layout/>
              <c:tx>
                <c:rich>
                  <a:bodyPr/>
                  <a:lstStyle/>
                  <a:p>
                    <a:r>
                      <a:rPr lang="en-US"/>
                      <a:t>26</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8035-44D2-B3AB-5DA4573A84C4}"/>
                </c:ext>
                <c:ext xmlns:c15="http://schemas.microsoft.com/office/drawing/2012/chart" uri="{CE6537A1-D6FC-4f65-9D91-7224C49458BB}">
                  <c15:layout/>
                </c:ext>
              </c:extLst>
            </c:dLbl>
            <c:numFmt formatCode="0.#" sourceLinked="0"/>
            <c:spPr>
              <a:noFill/>
              <a:ln>
                <a:noFill/>
              </a:ln>
              <a:effectLst/>
            </c:spPr>
            <c:txPr>
              <a:bodyPr rot="0" spcFirstLastPara="1" vertOverflow="ellipsis" vert="horz" wrap="square" anchor="ctr" anchorCtr="1"/>
              <a:lstStyle/>
              <a:p>
                <a:pPr>
                  <a:defRPr sz="900" b="0" i="0" u="none" strike="noStrike" kern="1200" baseline="0">
                    <a:solidFill>
                      <a:srgbClr val="40404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Sheet1!$A$2:$A$11</c:f>
              <c:strCache>
                <c:ptCount val="10"/>
                <c:pt idx="0">
                  <c:v>2012</c:v>
                </c:pt>
                <c:pt idx="1">
                  <c:v>2013*</c:v>
                </c:pt>
                <c:pt idx="2">
                  <c:v>2014*</c:v>
                </c:pt>
                <c:pt idx="3">
                  <c:v>2015*</c:v>
                </c:pt>
                <c:pt idx="4">
                  <c:v>2016*</c:v>
                </c:pt>
                <c:pt idx="5">
                  <c:v>2017*</c:v>
                </c:pt>
                <c:pt idx="6">
                  <c:v>2018*</c:v>
                </c:pt>
                <c:pt idx="7">
                  <c:v>2019*</c:v>
                </c:pt>
                <c:pt idx="8">
                  <c:v>2020*</c:v>
                </c:pt>
                <c:pt idx="9">
                  <c:v>2021*</c:v>
                </c:pt>
              </c:strCache>
            </c:strRef>
          </c:cat>
          <c:val>
            <c:numRef>
              <c:f>Sheet1!$B$2:$B$11</c:f>
              <c:numCache>
                <c:formatCode>General</c:formatCode>
                <c:ptCount val="10"/>
                <c:pt idx="0">
                  <c:v>6</c:v>
                </c:pt>
                <c:pt idx="1">
                  <c:v>6.9</c:v>
                </c:pt>
                <c:pt idx="2">
                  <c:v>8.4</c:v>
                </c:pt>
                <c:pt idx="3">
                  <c:v>10.1</c:v>
                </c:pt>
                <c:pt idx="4">
                  <c:v>12</c:v>
                </c:pt>
                <c:pt idx="5">
                  <c:v>14.2</c:v>
                </c:pt>
                <c:pt idx="6">
                  <c:v>17.5</c:v>
                </c:pt>
                <c:pt idx="7">
                  <c:v>22</c:v>
                </c:pt>
                <c:pt idx="8">
                  <c:v>26</c:v>
                </c:pt>
                <c:pt idx="9">
                  <c:v>29.7</c:v>
                </c:pt>
              </c:numCache>
            </c:numRef>
          </c:val>
          <c:extLst xmlns:c16r2="http://schemas.microsoft.com/office/drawing/2015/06/chart">
            <c:ext xmlns:c16="http://schemas.microsoft.com/office/drawing/2014/chart" uri="{C3380CC4-5D6E-409C-BE32-E72D297353CC}">
              <c16:uniqueId val="{00000000-9946-974C-8F81-6A0196B7EDC8}"/>
            </c:ext>
          </c:extLst>
        </c:ser>
        <c:dLbls>
          <c:showLegendKey val="0"/>
          <c:showVal val="0"/>
          <c:showCatName val="0"/>
          <c:showSerName val="0"/>
          <c:showPercent val="0"/>
          <c:showBubbleSize val="0"/>
        </c:dLbls>
        <c:gapWidth val="219"/>
        <c:overlap val="-27"/>
        <c:axId val="172883424"/>
        <c:axId val="172898944"/>
      </c:barChart>
      <c:catAx>
        <c:axId val="172883424"/>
        <c:scaling>
          <c:orientation val="minMax"/>
        </c:scaling>
        <c:delete val="0"/>
        <c:axPos val="b"/>
        <c:numFmt formatCode="General" sourceLinked="0"/>
        <c:majorTickMark val="none"/>
        <c:minorTickMark val="none"/>
        <c:tickLblPos val="low"/>
        <c:spPr>
          <a:noFill/>
          <a:ln w="12700" cap="flat" cmpd="sng" algn="ctr">
            <a:solidFill>
              <a:srgbClr val="D9D9D9"/>
            </a:solidFill>
            <a:prstDash val="solid"/>
            <a:round/>
          </a:ln>
          <a:effectLst/>
        </c:spPr>
        <c:txPr>
          <a:bodyPr rot="0" spcFirstLastPara="1" vertOverflow="ellipsis" wrap="square" anchor="ctr" anchorCtr="1"/>
          <a:lstStyle/>
          <a:p>
            <a:pPr>
              <a:defRPr sz="900" b="0" i="0" u="none" strike="noStrike" kern="1200" baseline="0">
                <a:solidFill>
                  <a:srgbClr val="595959"/>
                </a:solidFill>
                <a:latin typeface="Arial" panose="020B0604020202020204" pitchFamily="34" charset="0"/>
                <a:ea typeface="+mn-ea"/>
                <a:cs typeface="Arial" panose="020B0604020202020204" pitchFamily="34" charset="0"/>
              </a:defRPr>
            </a:pPr>
            <a:endParaRPr lang="en-US"/>
          </a:p>
        </c:txPr>
        <c:crossAx val="172898944"/>
        <c:crosses val="autoZero"/>
        <c:auto val="1"/>
        <c:lblAlgn val="ctr"/>
        <c:lblOffset val="100"/>
        <c:noMultiLvlLbl val="1"/>
      </c:catAx>
      <c:valAx>
        <c:axId val="172898944"/>
        <c:scaling>
          <c:orientation val="minMax"/>
        </c:scaling>
        <c:delete val="0"/>
        <c:axPos val="l"/>
        <c:majorGridlines>
          <c:spPr>
            <a:ln w="12700" cap="flat" cmpd="sng" algn="ctr">
              <a:solidFill>
                <a:srgbClr val="D9D9D9"/>
              </a:solidFill>
              <a:prstDash val="solid"/>
              <a:round/>
            </a:ln>
            <a:effectLst/>
          </c:spPr>
        </c:majorGridlines>
        <c:numFmt formatCode="0.#" sourceLinked="0"/>
        <c:majorTickMark val="none"/>
        <c:minorTickMark val="none"/>
        <c:tickLblPos val="nextTo"/>
        <c:spPr>
          <a:noFill/>
          <a:ln w="12700" cap="flat" cmpd="sng" algn="ctr">
            <a:noFill/>
            <a:prstDash val="solid"/>
            <a:round/>
          </a:ln>
          <a:effectLst/>
        </c:spPr>
        <c:txPr>
          <a:bodyPr rot="0" spcFirstLastPara="1" vertOverflow="ellipsis" wrap="square" anchor="ctr" anchorCtr="1"/>
          <a:lstStyle/>
          <a:p>
            <a:pPr>
              <a:defRPr sz="900" b="0" i="0" u="none" strike="noStrike" kern="1200" baseline="0">
                <a:solidFill>
                  <a:srgbClr val="595959"/>
                </a:solidFill>
                <a:latin typeface="Arial" panose="020B0604020202020204" pitchFamily="34" charset="0"/>
                <a:ea typeface="+mn-ea"/>
                <a:cs typeface="Arial" panose="020B0604020202020204" pitchFamily="34" charset="0"/>
              </a:defRPr>
            </a:pPr>
            <a:endParaRPr lang="en-US"/>
          </a:p>
        </c:txPr>
        <c:crossAx val="172883424"/>
        <c:crosses val="autoZero"/>
        <c:crossBetween val="between"/>
        <c:majorUnit val="7.5"/>
        <c:minorUnit val="3.75"/>
      </c:valAx>
      <c:spPr>
        <a:noFill/>
        <a:ln w="12700" cap="flat">
          <a:noFill/>
          <a:miter lim="400000"/>
        </a:ln>
        <a:effectLst/>
      </c:spPr>
    </c:plotArea>
    <c:plotVisOnly val="1"/>
    <c:dispBlanksAs val="gap"/>
    <c:showDLblsOverMax val="1"/>
  </c:chart>
  <c:spPr>
    <a:solidFill>
      <a:srgbClr val="FFFFFF"/>
    </a:solidFill>
    <a:ln w="12700" cap="flat" cmpd="sng" algn="ctr">
      <a:solidFill>
        <a:srgbClr val="D9D9D9"/>
      </a:solidFill>
      <a:prstDash val="solid"/>
      <a:round/>
    </a:ln>
    <a:effectLst/>
  </c:spPr>
  <c:txPr>
    <a:bodyPr/>
    <a:lstStyle/>
    <a:p>
      <a:pPr algn="jus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5259099999999999E-2"/>
          <c:y val="0.157608"/>
          <c:w val="0.89974100000000001"/>
          <c:h val="0.74669200000000002"/>
        </c:manualLayout>
      </c:layout>
      <c:barChart>
        <c:barDir val="col"/>
        <c:grouping val="clustered"/>
        <c:varyColors val="0"/>
        <c:ser>
          <c:idx val="0"/>
          <c:order val="0"/>
          <c:tx>
            <c:strRef>
              <c:f>Sheet1!$B$1</c:f>
              <c:strCache>
                <c:ptCount val="1"/>
                <c:pt idx="0">
                  <c:v>Column1</c:v>
                </c:pt>
              </c:strCache>
            </c:strRef>
          </c:tx>
          <c:spPr>
            <a:solidFill>
              <a:schemeClr val="dk1">
                <a:tint val="88500"/>
              </a:schemeClr>
            </a:solidFill>
            <a:ln>
              <a:noFill/>
            </a:ln>
            <a:effectLst/>
          </c:spPr>
          <c:invertIfNegative val="0"/>
          <c:cat>
            <c:strRef>
              <c:f>Sheet1!$A$2:$A$17</c:f>
              <c:strCache>
                <c:ptCount val="16"/>
                <c:pt idx="0">
                  <c:v>16-Oct</c:v>
                </c:pt>
                <c:pt idx="1">
                  <c:v>16-Nov</c:v>
                </c:pt>
                <c:pt idx="2">
                  <c:v>16-Dec</c:v>
                </c:pt>
                <c:pt idx="3">
                  <c:v>17-Jan</c:v>
                </c:pt>
                <c:pt idx="4">
                  <c:v>17-Feb</c:v>
                </c:pt>
                <c:pt idx="5">
                  <c:v>17-Mar</c:v>
                </c:pt>
                <c:pt idx="6">
                  <c:v>17-Apr</c:v>
                </c:pt>
                <c:pt idx="7">
                  <c:v>17-May</c:v>
                </c:pt>
                <c:pt idx="8">
                  <c:v>17-Jun</c:v>
                </c:pt>
                <c:pt idx="9">
                  <c:v>17-Jul</c:v>
                </c:pt>
                <c:pt idx="10">
                  <c:v>17-Aug</c:v>
                </c:pt>
                <c:pt idx="11">
                  <c:v>17-Sep</c:v>
                </c:pt>
                <c:pt idx="12">
                  <c:v>17-Oct</c:v>
                </c:pt>
                <c:pt idx="13">
                  <c:v>17-Nov</c:v>
                </c:pt>
                <c:pt idx="14">
                  <c:v>17-Dec</c:v>
                </c:pt>
                <c:pt idx="15">
                  <c:v>18-Jan(LE)</c:v>
                </c:pt>
              </c:strCache>
            </c:strRef>
          </c:cat>
          <c:val>
            <c:numRef>
              <c:f>Sheet1!$B$2:$B$17</c:f>
              <c:numCache>
                <c:formatCode>General</c:formatCode>
                <c:ptCount val="16"/>
                <c:pt idx="0">
                  <c:v>7000</c:v>
                </c:pt>
                <c:pt idx="1">
                  <c:v>13000</c:v>
                </c:pt>
                <c:pt idx="2">
                  <c:v>22000</c:v>
                </c:pt>
                <c:pt idx="3">
                  <c:v>35000</c:v>
                </c:pt>
                <c:pt idx="4">
                  <c:v>47000</c:v>
                </c:pt>
                <c:pt idx="5">
                  <c:v>75000</c:v>
                </c:pt>
                <c:pt idx="6">
                  <c:v>89000</c:v>
                </c:pt>
                <c:pt idx="7">
                  <c:v>93000</c:v>
                </c:pt>
                <c:pt idx="8">
                  <c:v>100000</c:v>
                </c:pt>
                <c:pt idx="9">
                  <c:v>102000</c:v>
                </c:pt>
                <c:pt idx="10">
                  <c:v>115000</c:v>
                </c:pt>
                <c:pt idx="11">
                  <c:v>120000</c:v>
                </c:pt>
                <c:pt idx="12">
                  <c:v>118000</c:v>
                </c:pt>
                <c:pt idx="13">
                  <c:v>113000</c:v>
                </c:pt>
                <c:pt idx="14">
                  <c:v>140000</c:v>
                </c:pt>
                <c:pt idx="15">
                  <c:v>150000</c:v>
                </c:pt>
              </c:numCache>
            </c:numRef>
          </c:val>
          <c:extLst xmlns:c16r2="http://schemas.microsoft.com/office/drawing/2015/06/chart">
            <c:ext xmlns:c16="http://schemas.microsoft.com/office/drawing/2014/chart" uri="{C3380CC4-5D6E-409C-BE32-E72D297353CC}">
              <c16:uniqueId val="{00000000-F508-2645-A7C0-C2103619C456}"/>
            </c:ext>
          </c:extLst>
        </c:ser>
        <c:dLbls>
          <c:showLegendKey val="0"/>
          <c:showVal val="0"/>
          <c:showCatName val="0"/>
          <c:showSerName val="0"/>
          <c:showPercent val="0"/>
          <c:showBubbleSize val="0"/>
        </c:dLbls>
        <c:gapWidth val="75"/>
        <c:overlap val="-27"/>
        <c:axId val="172874136"/>
        <c:axId val="172899328"/>
      </c:barChart>
      <c:catAx>
        <c:axId val="172874136"/>
        <c:scaling>
          <c:orientation val="minMax"/>
        </c:scaling>
        <c:delete val="0"/>
        <c:axPos val="b"/>
        <c:numFmt formatCode="General" sourceLinked="0"/>
        <c:majorTickMark val="none"/>
        <c:minorTickMark val="none"/>
        <c:tickLblPos val="low"/>
        <c:spPr>
          <a:noFill/>
          <a:ln w="12700" cap="flat" cmpd="sng" algn="ctr">
            <a:solidFill>
              <a:srgbClr val="D9D9D9"/>
            </a:solidFill>
            <a:prstDash val="solid"/>
            <a:round/>
          </a:ln>
          <a:effectLst/>
        </c:spPr>
        <c:txPr>
          <a:bodyPr rot="0" spcFirstLastPara="1" vertOverflow="ellipsis" wrap="square" anchor="ctr" anchorCtr="1"/>
          <a:lstStyle/>
          <a:p>
            <a:pPr>
              <a:defRPr sz="900" b="0" i="0" u="none" strike="noStrike" kern="1200" baseline="0">
                <a:solidFill>
                  <a:srgbClr val="595959"/>
                </a:solidFill>
                <a:latin typeface="Arial" panose="020B0604020202020204" pitchFamily="34" charset="0"/>
                <a:ea typeface="+mn-ea"/>
                <a:cs typeface="Arial" panose="020B0604020202020204" pitchFamily="34" charset="0"/>
              </a:defRPr>
            </a:pPr>
            <a:endParaRPr lang="en-US"/>
          </a:p>
        </c:txPr>
        <c:crossAx val="172899328"/>
        <c:crosses val="autoZero"/>
        <c:auto val="1"/>
        <c:lblAlgn val="ctr"/>
        <c:lblOffset val="100"/>
        <c:noMultiLvlLbl val="1"/>
      </c:catAx>
      <c:valAx>
        <c:axId val="172899328"/>
        <c:scaling>
          <c:orientation val="minMax"/>
        </c:scaling>
        <c:delete val="0"/>
        <c:axPos val="l"/>
        <c:majorGridlines>
          <c:spPr>
            <a:ln w="12700" cap="flat" cmpd="sng" algn="ctr">
              <a:solidFill>
                <a:srgbClr val="D9D9D9"/>
              </a:solidFill>
              <a:prstDash val="solid"/>
              <a:round/>
            </a:ln>
            <a:effectLst/>
          </c:spPr>
        </c:majorGridlines>
        <c:numFmt formatCode="#,##0" sourceLinked="0"/>
        <c:majorTickMark val="none"/>
        <c:minorTickMark val="none"/>
        <c:tickLblPos val="nextTo"/>
        <c:spPr>
          <a:noFill/>
          <a:ln w="12700" cap="flat" cmpd="sng" algn="ctr">
            <a:noFill/>
            <a:prstDash val="solid"/>
            <a:round/>
          </a:ln>
          <a:effectLst/>
        </c:spPr>
        <c:txPr>
          <a:bodyPr rot="0" spcFirstLastPara="1" vertOverflow="ellipsis" wrap="square" anchor="ctr" anchorCtr="1"/>
          <a:lstStyle/>
          <a:p>
            <a:pPr>
              <a:defRPr sz="900" b="0" i="0" u="none" strike="noStrike" kern="1200" baseline="0">
                <a:solidFill>
                  <a:srgbClr val="595959"/>
                </a:solidFill>
                <a:latin typeface="Arial" panose="020B0604020202020204" pitchFamily="34" charset="0"/>
                <a:ea typeface="+mn-ea"/>
                <a:cs typeface="Arial" panose="020B0604020202020204" pitchFamily="34" charset="0"/>
              </a:defRPr>
            </a:pPr>
            <a:endParaRPr lang="en-US"/>
          </a:p>
        </c:txPr>
        <c:crossAx val="172874136"/>
        <c:crosses val="autoZero"/>
        <c:crossBetween val="between"/>
        <c:majorUnit val="40000"/>
        <c:minorUnit val="20000"/>
      </c:valAx>
      <c:spPr>
        <a:noFill/>
        <a:ln w="12700" cap="flat">
          <a:noFill/>
          <a:miter lim="400000"/>
        </a:ln>
        <a:effectLst/>
      </c:spPr>
    </c:plotArea>
    <c:plotVisOnly val="1"/>
    <c:dispBlanksAs val="gap"/>
    <c:showDLblsOverMax val="1"/>
  </c:chart>
  <c:spPr>
    <a:solidFill>
      <a:srgbClr val="FFFFFF"/>
    </a:solidFill>
    <a:ln w="12700" cap="flat" cmpd="sng" algn="ctr">
      <a:solidFill>
        <a:srgbClr val="D9D9D9"/>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554EA-1899-489C-A6F1-E6969B49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2015-03-04T23:34:00Z</cp:lastPrinted>
  <dcterms:created xsi:type="dcterms:W3CDTF">2019-01-04T15:56:00Z</dcterms:created>
  <dcterms:modified xsi:type="dcterms:W3CDTF">2019-01-04T19:53:00Z</dcterms:modified>
</cp:coreProperties>
</file>