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F5050" w14:textId="77777777" w:rsidR="00496DB7" w:rsidRDefault="00496DB7" w:rsidP="00496DB7">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46346C76" wp14:editId="6431D1D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3B8DE48" w14:textId="419E38E7" w:rsidR="00496DB7" w:rsidRDefault="00FA32E2" w:rsidP="00496DB7">
      <w:pPr>
        <w:pStyle w:val="ProductNumber"/>
      </w:pPr>
      <w:r>
        <w:t>9B19A007</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2F03D26A" w14:textId="41D7993B" w:rsidR="00013360" w:rsidRDefault="00C8007B" w:rsidP="00013360">
      <w:pPr>
        <w:pStyle w:val="CaseTitle"/>
        <w:spacing w:after="0" w:line="240" w:lineRule="auto"/>
        <w:rPr>
          <w:sz w:val="20"/>
          <w:szCs w:val="20"/>
        </w:rPr>
      </w:pPr>
      <w:r w:rsidRPr="000F1E93">
        <w:rPr>
          <w:lang w:val="en-GB"/>
        </w:rPr>
        <w:t xml:space="preserve">LIDL: </w:t>
      </w:r>
      <w:r>
        <w:rPr>
          <w:lang w:val="en-GB"/>
        </w:rPr>
        <w:t xml:space="preserve">A </w:t>
      </w:r>
      <w:r w:rsidRPr="000F1E93">
        <w:rPr>
          <w:lang w:val="en-GB"/>
        </w:rPr>
        <w:t xml:space="preserve">GERMAN GROCER IN THE </w:t>
      </w:r>
      <w:r>
        <w:rPr>
          <w:lang w:val="en-GB"/>
        </w:rPr>
        <w:t>United STates</w:t>
      </w:r>
      <w:r w:rsidR="00AA1C35">
        <w:rPr>
          <w:rStyle w:val="EndnoteReference"/>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DEC0B99" w:rsidR="00086B26" w:rsidRPr="00287D6F" w:rsidRDefault="00C8007B" w:rsidP="00086B26">
      <w:pPr>
        <w:pStyle w:val="StyleCopyrightStatementAfter0ptBottomSinglesolidline1"/>
        <w:rPr>
          <w:lang w:val="en-GB"/>
        </w:rPr>
      </w:pPr>
      <w:proofErr w:type="spellStart"/>
      <w:r>
        <w:rPr>
          <w:rFonts w:cs="Arial"/>
          <w:szCs w:val="16"/>
          <w:lang w:val="en-GB"/>
        </w:rPr>
        <w:t>Lubna</w:t>
      </w:r>
      <w:proofErr w:type="spellEnd"/>
      <w:r>
        <w:rPr>
          <w:rFonts w:cs="Arial"/>
          <w:szCs w:val="16"/>
          <w:lang w:val="en-GB"/>
        </w:rPr>
        <w:t xml:space="preserve"> </w:t>
      </w:r>
      <w:proofErr w:type="spellStart"/>
      <w:r>
        <w:rPr>
          <w:rFonts w:cs="Arial"/>
          <w:szCs w:val="16"/>
          <w:lang w:val="en-GB"/>
        </w:rPr>
        <w:t>Nafees</w:t>
      </w:r>
      <w:proofErr w:type="spellEnd"/>
      <w:r>
        <w:rPr>
          <w:rFonts w:cs="Arial"/>
          <w:szCs w:val="16"/>
          <w:lang w:val="en-GB"/>
        </w:rPr>
        <w:t xml:space="preserve">, Neel Das, and </w:t>
      </w:r>
      <w:proofErr w:type="spellStart"/>
      <w:r>
        <w:rPr>
          <w:rFonts w:cs="Arial"/>
          <w:szCs w:val="16"/>
          <w:lang w:val="en-GB"/>
        </w:rPr>
        <w:t>Mokhalles</w:t>
      </w:r>
      <w:proofErr w:type="spellEnd"/>
      <w:r>
        <w:rPr>
          <w:rFonts w:cs="Arial"/>
          <w:szCs w:val="16"/>
          <w:lang w:val="en-GB"/>
        </w:rPr>
        <w:t xml:space="preserve"> Mehdi</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183CB101" w14:textId="77777777" w:rsidR="00496DB7" w:rsidRPr="00A323B0" w:rsidRDefault="00496DB7" w:rsidP="00496DB7">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B5F203E" w14:textId="77777777" w:rsidR="00496DB7" w:rsidRPr="00A323B0" w:rsidRDefault="00496DB7" w:rsidP="00496DB7">
      <w:pPr>
        <w:pStyle w:val="StyleStyleCopyrightStatementAfter0ptBottomSinglesolid"/>
        <w:rPr>
          <w:rFonts w:cs="Arial"/>
          <w:szCs w:val="16"/>
        </w:rPr>
      </w:pPr>
    </w:p>
    <w:p w14:paraId="3922E14F" w14:textId="79A813A2" w:rsidR="00751E0B" w:rsidRPr="00C02410" w:rsidRDefault="00496DB7" w:rsidP="00496DB7">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w:t>
      </w:r>
      <w:r w:rsidR="00FC7621">
        <w:rPr>
          <w:rFonts w:cs="Arial"/>
          <w:iCs w:val="0"/>
          <w:color w:val="auto"/>
          <w:szCs w:val="16"/>
        </w:rPr>
        <w:t>03-06</w:t>
      </w:r>
      <w:bookmarkStart w:id="0" w:name="_GoBack"/>
      <w:bookmarkEnd w:id="0"/>
    </w:p>
    <w:p w14:paraId="0A2A54E4" w14:textId="77777777" w:rsidR="00751E0B" w:rsidRDefault="00751E0B" w:rsidP="00751E0B">
      <w:pPr>
        <w:pStyle w:val="StyleCopyrightStatementAfter0ptBottomSinglesolidline1"/>
        <w:rPr>
          <w:rFonts w:ascii="Times New Roman" w:hAnsi="Times New Roman"/>
          <w:sz w:val="20"/>
        </w:rPr>
      </w:pPr>
    </w:p>
    <w:p w14:paraId="165992F5" w14:textId="77777777" w:rsidR="00C8007B" w:rsidRPr="00F60786" w:rsidRDefault="00C8007B" w:rsidP="00751E0B">
      <w:pPr>
        <w:pStyle w:val="StyleCopyrightStatementAfter0ptBottomSinglesolidline1"/>
        <w:rPr>
          <w:rFonts w:ascii="Times New Roman" w:hAnsi="Times New Roman"/>
          <w:sz w:val="20"/>
        </w:rPr>
      </w:pPr>
    </w:p>
    <w:p w14:paraId="1D870DA6" w14:textId="77777777" w:rsidR="00C8007B" w:rsidRPr="00496DB7" w:rsidRDefault="00C8007B" w:rsidP="00496DB7">
      <w:pPr>
        <w:pStyle w:val="Casehead1"/>
      </w:pPr>
      <w:r w:rsidRPr="00496DB7">
        <w:t>Lidl Stiftung &amp; Co. KG OPENS SHOP IN the United States</w:t>
      </w:r>
    </w:p>
    <w:p w14:paraId="61234D01" w14:textId="77777777" w:rsidR="00C8007B" w:rsidRPr="00C8007B" w:rsidRDefault="00C8007B" w:rsidP="00C8007B">
      <w:pPr>
        <w:pStyle w:val="BodyTextMain"/>
        <w:rPr>
          <w:sz w:val="20"/>
          <w:lang w:val="en-GB"/>
        </w:rPr>
      </w:pPr>
    </w:p>
    <w:p w14:paraId="224E05F1" w14:textId="744B3F24" w:rsidR="009C53B1" w:rsidRPr="00C8007B" w:rsidRDefault="00C8007B" w:rsidP="00C8007B">
      <w:pPr>
        <w:pStyle w:val="BodyTextMain"/>
        <w:rPr>
          <w:lang w:val="en-GB"/>
        </w:rPr>
      </w:pPr>
      <w:r w:rsidRPr="00C8007B">
        <w:rPr>
          <w:lang w:val="en-GB"/>
        </w:rPr>
        <w:t xml:space="preserve">In June 2017, the supermarket giant Lidl </w:t>
      </w:r>
      <w:proofErr w:type="spellStart"/>
      <w:r w:rsidRPr="00C8007B">
        <w:rPr>
          <w:lang w:val="en-GB"/>
        </w:rPr>
        <w:t>Stiftung</w:t>
      </w:r>
      <w:proofErr w:type="spellEnd"/>
      <w:r w:rsidRPr="00C8007B">
        <w:rPr>
          <w:lang w:val="en-GB"/>
        </w:rPr>
        <w:t xml:space="preserve"> &amp; Co. KG (Lidl) entered the U.S. market by opening its first 20 stores throughout the southern states of Virginia, North Carolina, and South Carolina.</w:t>
      </w:r>
      <w:r w:rsidR="009C53B1" w:rsidRPr="00C8007B">
        <w:rPr>
          <w:vertAlign w:val="superscript"/>
          <w:lang w:val="en-GB"/>
        </w:rPr>
        <w:endnoteReference w:id="2"/>
      </w:r>
      <w:r w:rsidR="009C53B1" w:rsidRPr="00C8007B">
        <w:rPr>
          <w:lang w:val="en-GB"/>
        </w:rPr>
        <w:t xml:space="preserve"> Brendan Proctor, president and chief executive officer of Lidl US, was given the charge of launching the hard discount grocery chain in the United States. When Lidl first opened, it lured customers away from other top competitors such as Aldi, Walmart Inc. (Walmart), the Kroger Co. (Kroger), Target Corporation (Target), and Food Lion LLC (Food Lion).</w:t>
      </w:r>
      <w:r w:rsidR="009C53B1" w:rsidRPr="00C8007B">
        <w:rPr>
          <w:vertAlign w:val="superscript"/>
          <w:lang w:val="en-GB"/>
        </w:rPr>
        <w:endnoteReference w:id="3"/>
      </w:r>
      <w:r w:rsidR="009C53B1" w:rsidRPr="00C8007B">
        <w:rPr>
          <w:lang w:val="en-GB"/>
        </w:rPr>
        <w:t xml:space="preserve"> Lidl offered lower prices than its competition and quickly gained a strong advantage in the marketplace. Although this gain was profitable, Walmart and Kroger were quick to regain most of their lost shares.</w:t>
      </w:r>
      <w:r w:rsidR="009C53B1" w:rsidRPr="00C8007B">
        <w:rPr>
          <w:vertAlign w:val="superscript"/>
          <w:lang w:val="en-GB"/>
        </w:rPr>
        <w:endnoteReference w:id="4"/>
      </w:r>
    </w:p>
    <w:p w14:paraId="2646BB94" w14:textId="77777777" w:rsidR="009C53B1" w:rsidRPr="00C8007B" w:rsidRDefault="009C53B1" w:rsidP="00C8007B">
      <w:pPr>
        <w:pStyle w:val="BodyTextMain"/>
        <w:rPr>
          <w:sz w:val="20"/>
          <w:lang w:val="en-GB"/>
        </w:rPr>
      </w:pPr>
    </w:p>
    <w:p w14:paraId="0296EC1E" w14:textId="77777777" w:rsidR="009C53B1" w:rsidRPr="00C8007B" w:rsidRDefault="009C53B1" w:rsidP="00C8007B">
      <w:pPr>
        <w:pStyle w:val="BodyTextMain"/>
        <w:rPr>
          <w:spacing w:val="-2"/>
          <w:lang w:val="en-GB"/>
        </w:rPr>
      </w:pPr>
      <w:r w:rsidRPr="00C8007B">
        <w:rPr>
          <w:spacing w:val="-2"/>
          <w:lang w:val="en-GB"/>
        </w:rPr>
        <w:t>Lidl’s struggle to attract new customers was attributed in part to the company’s decision to open its doors to the U.S. market only one day after Amazon.com Inc. (Amazon) announced its acquisition of Whole Foods Market Inc. (Whole Foods) and plan to slash product prices dramatically.</w:t>
      </w:r>
      <w:r w:rsidRPr="00C8007B">
        <w:rPr>
          <w:spacing w:val="-2"/>
          <w:vertAlign w:val="superscript"/>
          <w:lang w:val="en-GB"/>
        </w:rPr>
        <w:endnoteReference w:id="5"/>
      </w:r>
      <w:r w:rsidRPr="00C8007B">
        <w:rPr>
          <w:spacing w:val="-2"/>
          <w:lang w:val="en-GB"/>
        </w:rPr>
        <w:t xml:space="preserve"> Lidl also struggled to hit the correct target market for each of its different locations in terms of tastes and demographics. Despite high early consumer demand, according to one observer, the stores were too large, too overly engineered, and too costly </w:t>
      </w:r>
      <w:proofErr w:type="gramStart"/>
      <w:r w:rsidRPr="00C8007B">
        <w:rPr>
          <w:spacing w:val="-2"/>
          <w:lang w:val="en-GB"/>
        </w:rPr>
        <w:t>to</w:t>
      </w:r>
      <w:proofErr w:type="gramEnd"/>
      <w:r w:rsidRPr="00C8007B">
        <w:rPr>
          <w:spacing w:val="-2"/>
          <w:lang w:val="en-GB"/>
        </w:rPr>
        <w:t xml:space="preserve"> operate.</w:t>
      </w:r>
      <w:r w:rsidRPr="00C8007B">
        <w:rPr>
          <w:spacing w:val="-2"/>
          <w:vertAlign w:val="superscript"/>
          <w:lang w:val="en-GB"/>
        </w:rPr>
        <w:endnoteReference w:id="6"/>
      </w:r>
      <w:r w:rsidRPr="00C8007B">
        <w:rPr>
          <w:spacing w:val="-2"/>
          <w:lang w:val="en-GB"/>
        </w:rPr>
        <w:t xml:space="preserve"> With plans for 100 U.S.-based locations by the summer of 2018, coupled with the launch of a new clothing line in June 2018, Lidl, the German supermarket giant, had set its sights high. </w:t>
      </w:r>
    </w:p>
    <w:p w14:paraId="72ECFC15" w14:textId="77777777" w:rsidR="009C53B1" w:rsidRPr="00C8007B" w:rsidRDefault="009C53B1" w:rsidP="00C8007B">
      <w:pPr>
        <w:pStyle w:val="BodyTextMain"/>
        <w:rPr>
          <w:sz w:val="20"/>
          <w:lang w:val="en-GB"/>
        </w:rPr>
      </w:pPr>
    </w:p>
    <w:p w14:paraId="088FB2E3" w14:textId="77777777" w:rsidR="009C53B1" w:rsidRPr="00C8007B" w:rsidRDefault="009C53B1" w:rsidP="00C8007B">
      <w:pPr>
        <w:pStyle w:val="BodyTextMain"/>
        <w:rPr>
          <w:sz w:val="20"/>
          <w:lang w:val="en-GB"/>
        </w:rPr>
      </w:pPr>
    </w:p>
    <w:p w14:paraId="0BCE5F3F" w14:textId="77777777" w:rsidR="009C53B1" w:rsidRPr="00C8007B" w:rsidRDefault="009C53B1" w:rsidP="00C8007B">
      <w:pPr>
        <w:pStyle w:val="Casehead1"/>
        <w:rPr>
          <w:lang w:val="en-GB"/>
        </w:rPr>
      </w:pPr>
      <w:r w:rsidRPr="00C8007B">
        <w:rPr>
          <w:lang w:val="en-GB"/>
        </w:rPr>
        <w:t>ECONOMIES AND CULTURE</w:t>
      </w:r>
    </w:p>
    <w:p w14:paraId="0728B0E2" w14:textId="77777777" w:rsidR="009C53B1" w:rsidRPr="00C8007B" w:rsidRDefault="009C53B1" w:rsidP="00C8007B">
      <w:pPr>
        <w:pStyle w:val="BodyTextMain"/>
        <w:rPr>
          <w:sz w:val="20"/>
          <w:lang w:val="en-GB"/>
        </w:rPr>
      </w:pPr>
    </w:p>
    <w:p w14:paraId="3F167C08" w14:textId="77777777" w:rsidR="009C53B1" w:rsidRPr="00C8007B" w:rsidRDefault="009C53B1" w:rsidP="00C8007B">
      <w:pPr>
        <w:pStyle w:val="Casehead2"/>
        <w:rPr>
          <w:lang w:val="en-GB"/>
        </w:rPr>
      </w:pPr>
      <w:r w:rsidRPr="00C8007B">
        <w:rPr>
          <w:lang w:val="en-GB"/>
        </w:rPr>
        <w:t>Economy</w:t>
      </w:r>
    </w:p>
    <w:p w14:paraId="5CA12602" w14:textId="77777777" w:rsidR="009C53B1" w:rsidRPr="00C8007B" w:rsidRDefault="009C53B1" w:rsidP="00C8007B">
      <w:pPr>
        <w:pStyle w:val="BodyTextMain"/>
        <w:rPr>
          <w:sz w:val="20"/>
          <w:lang w:val="en-GB"/>
        </w:rPr>
      </w:pPr>
    </w:p>
    <w:p w14:paraId="2D3BF22B" w14:textId="03C4A828" w:rsidR="009C53B1" w:rsidRPr="00C8007B" w:rsidRDefault="009C53B1" w:rsidP="00C8007B">
      <w:pPr>
        <w:pStyle w:val="BodyTextMain"/>
        <w:rPr>
          <w:lang w:val="en-GB"/>
        </w:rPr>
      </w:pPr>
      <w:r w:rsidRPr="00C8007B">
        <w:rPr>
          <w:lang w:val="en-GB"/>
        </w:rPr>
        <w:t>The United States had been known to have the world</w:t>
      </w:r>
      <w:r>
        <w:rPr>
          <w:lang w:val="en-GB"/>
        </w:rPr>
        <w:t>’</w:t>
      </w:r>
      <w:r w:rsidRPr="00C8007B">
        <w:rPr>
          <w:lang w:val="en-GB"/>
        </w:rPr>
        <w:t>s largest economy; however, in 2014, the U.S. economy took second place behind China in terms of gross domestic product (GDP).</w:t>
      </w:r>
      <w:r w:rsidRPr="00C8007B">
        <w:rPr>
          <w:vertAlign w:val="superscript"/>
          <w:lang w:val="en-GB"/>
        </w:rPr>
        <w:endnoteReference w:id="7"/>
      </w:r>
      <w:r w:rsidRPr="00C8007B">
        <w:rPr>
          <w:lang w:val="en-GB"/>
        </w:rPr>
        <w:t xml:space="preserve"> The purchasing power parity (</w:t>
      </w:r>
      <w:r>
        <w:rPr>
          <w:lang w:val="en-GB"/>
        </w:rPr>
        <w:t xml:space="preserve">in terms of </w:t>
      </w:r>
      <w:r w:rsidRPr="00C8007B">
        <w:rPr>
          <w:lang w:val="en-GB"/>
        </w:rPr>
        <w:t xml:space="preserve">GDP) of the United States was </w:t>
      </w:r>
      <w:r>
        <w:rPr>
          <w:lang w:val="en-GB"/>
        </w:rPr>
        <w:t>US</w:t>
      </w:r>
      <w:r w:rsidRPr="00C8007B">
        <w:rPr>
          <w:lang w:val="en-GB"/>
        </w:rPr>
        <w:t>$19.36</w:t>
      </w:r>
      <w:r w:rsidRPr="00C8007B">
        <w:rPr>
          <w:vertAlign w:val="superscript"/>
          <w:lang w:val="en-GB"/>
        </w:rPr>
        <w:endnoteReference w:id="8"/>
      </w:r>
      <w:r w:rsidRPr="00C8007B">
        <w:rPr>
          <w:lang w:val="en-GB"/>
        </w:rPr>
        <w:t xml:space="preserve"> trillion</w:t>
      </w:r>
      <w:r>
        <w:rPr>
          <w:lang w:val="en-GB"/>
        </w:rPr>
        <w:t xml:space="preserve"> in 2017</w:t>
      </w:r>
      <w:r w:rsidRPr="00C8007B">
        <w:rPr>
          <w:lang w:val="en-GB"/>
        </w:rPr>
        <w:t>,</w:t>
      </w:r>
      <w:r w:rsidRPr="00C8007B">
        <w:rPr>
          <w:vertAlign w:val="superscript"/>
          <w:lang w:val="en-GB"/>
        </w:rPr>
        <w:endnoteReference w:id="9"/>
      </w:r>
      <w:r w:rsidRPr="00C8007B">
        <w:rPr>
          <w:lang w:val="en-GB"/>
        </w:rPr>
        <w:t xml:space="preserve"> compared to Germany’s $4.15 trillion.</w:t>
      </w:r>
      <w:r w:rsidRPr="00C8007B">
        <w:rPr>
          <w:vertAlign w:val="superscript"/>
          <w:lang w:val="en-GB"/>
        </w:rPr>
        <w:endnoteReference w:id="10"/>
      </w:r>
      <w:r w:rsidRPr="00C8007B">
        <w:rPr>
          <w:lang w:val="en-GB"/>
        </w:rPr>
        <w:t xml:space="preserve"> The growth rate in terms of GDP for the United States was 2.2 per cent in 2017, which was similar to Germany’s growth rate of 2.1 per cent. There was also a difference in disposable income between the two countries. In 2017, the adjusted disposable net income per capita in Germany was $31,925, while in the United States it was $41,071.</w:t>
      </w:r>
      <w:r w:rsidRPr="00C8007B">
        <w:rPr>
          <w:vertAlign w:val="superscript"/>
          <w:lang w:val="en-GB"/>
        </w:rPr>
        <w:endnoteReference w:id="11"/>
      </w:r>
      <w:r w:rsidRPr="00C8007B">
        <w:rPr>
          <w:lang w:val="en-GB"/>
        </w:rPr>
        <w:t xml:space="preserve"> Lidl wanted to enter the United States in hopes of taking a piece of the large U.S. market for itself. The U.S. retail and food service industry totalled $5.35 trillion in 2015.</w:t>
      </w:r>
      <w:r w:rsidRPr="00C8007B">
        <w:rPr>
          <w:shd w:val="clear" w:color="auto" w:fill="FFFFFF"/>
          <w:vertAlign w:val="superscript"/>
          <w:lang w:val="en-GB"/>
        </w:rPr>
        <w:endnoteReference w:id="12"/>
      </w:r>
    </w:p>
    <w:p w14:paraId="05634406" w14:textId="77777777" w:rsidR="009C53B1" w:rsidRPr="00C8007B" w:rsidRDefault="009C53B1" w:rsidP="00C8007B">
      <w:pPr>
        <w:pStyle w:val="Casehead2"/>
        <w:rPr>
          <w:lang w:val="en-GB"/>
        </w:rPr>
      </w:pPr>
      <w:r w:rsidRPr="00C8007B">
        <w:rPr>
          <w:lang w:val="en-GB"/>
        </w:rPr>
        <w:lastRenderedPageBreak/>
        <w:t>Culture</w:t>
      </w:r>
    </w:p>
    <w:p w14:paraId="4C354424" w14:textId="77777777" w:rsidR="009C53B1" w:rsidRPr="009627F1" w:rsidRDefault="009C53B1" w:rsidP="00C8007B">
      <w:pPr>
        <w:pStyle w:val="BodyTextMain"/>
        <w:rPr>
          <w:sz w:val="20"/>
          <w:lang w:val="en-GB"/>
        </w:rPr>
      </w:pPr>
    </w:p>
    <w:p w14:paraId="3283E821" w14:textId="77777777" w:rsidR="009C53B1" w:rsidRPr="00C8007B" w:rsidRDefault="009C53B1" w:rsidP="00C8007B">
      <w:pPr>
        <w:pStyle w:val="BodyTextMain"/>
        <w:rPr>
          <w:spacing w:val="-2"/>
          <w:lang w:val="en-GB"/>
        </w:rPr>
      </w:pPr>
      <w:r w:rsidRPr="00C8007B">
        <w:rPr>
          <w:spacing w:val="-2"/>
          <w:lang w:val="en-GB"/>
        </w:rPr>
        <w:t>The cultures of the United States and Germany were similar in many ways. For example, both the United States and Germany had a low power distance score combined with a high score of individualism. Power distance referred to the hierarchical extent of a country and to the degree a person could exert power over another. In Germany, citizens took pride in making their own decisions, regardless of a person’s status. This was very similar to the American belief of “liberty and justice for all” and emphasis on equal rights in all aspects of society. Individualism was measured by the “degree of interdependence a society maintained among its members.”</w:t>
      </w:r>
      <w:r w:rsidRPr="00C8007B">
        <w:rPr>
          <w:spacing w:val="-2"/>
          <w:vertAlign w:val="superscript"/>
          <w:lang w:val="en-GB"/>
        </w:rPr>
        <w:endnoteReference w:id="13"/>
      </w:r>
      <w:r w:rsidRPr="00C8007B">
        <w:rPr>
          <w:spacing w:val="-2"/>
          <w:lang w:val="en-GB"/>
        </w:rPr>
        <w:t xml:space="preserve"> In both the United States and Germany, people looked after themselves and their immediate family before worrying about others in the community. Germany and the United States also shared the same value system. There were two types of value systems, determined by the main drive of society: to be the best (“masculine”) or to like what you do (“feminine”). Both countries were considered “masculine,” meaning that both countries were driven by “accomplishment, achievement, and success, with success being defined by the winner/best in field.”</w:t>
      </w:r>
      <w:r w:rsidRPr="00C8007B">
        <w:rPr>
          <w:spacing w:val="-2"/>
          <w:vertAlign w:val="superscript"/>
          <w:lang w:val="en-GB"/>
        </w:rPr>
        <w:endnoteReference w:id="14"/>
      </w:r>
    </w:p>
    <w:p w14:paraId="096D05AB" w14:textId="77777777" w:rsidR="009C53B1" w:rsidRPr="009627F1" w:rsidRDefault="009C53B1" w:rsidP="00C8007B">
      <w:pPr>
        <w:pStyle w:val="BodyTextMain"/>
        <w:rPr>
          <w:sz w:val="20"/>
          <w:lang w:val="en-GB"/>
        </w:rPr>
      </w:pPr>
    </w:p>
    <w:p w14:paraId="367F3622" w14:textId="77777777" w:rsidR="009C53B1" w:rsidRPr="00C8007B" w:rsidRDefault="009C53B1" w:rsidP="00C8007B">
      <w:pPr>
        <w:pStyle w:val="BodyTextMain"/>
        <w:rPr>
          <w:spacing w:val="-4"/>
          <w:lang w:val="en-GB"/>
        </w:rPr>
      </w:pPr>
      <w:r w:rsidRPr="00C8007B">
        <w:rPr>
          <w:spacing w:val="-4"/>
          <w:lang w:val="en-GB"/>
        </w:rPr>
        <w:t>U.S. and German cultures were also different in several ways. For example, unlike the United States, Germany had a higher “uncertainty avoidance” score. Uncertainty avoidance was “the way that a society dealt with the fact that the future can never be known.”</w:t>
      </w:r>
      <w:r w:rsidRPr="00C8007B">
        <w:rPr>
          <w:spacing w:val="-4"/>
          <w:vertAlign w:val="superscript"/>
          <w:lang w:val="en-GB"/>
        </w:rPr>
        <w:endnoteReference w:id="15"/>
      </w:r>
      <w:r w:rsidRPr="00C8007B">
        <w:rPr>
          <w:spacing w:val="-4"/>
          <w:lang w:val="en-GB"/>
        </w:rPr>
        <w:t xml:space="preserve"> This implied that the German people emphasized planning for the future and exercising caution when making important decisions; Americans, on the other hand, were known to accept new ideas and innovative products, and were more willing to explore the unknown. Germany also differed from the United States on its scores in “long-term orientation” and “indulgence.” The long-term orientation of a country described how a society had to maintain some links with its past when dealing with the challenges of the present and future. With a high score in this category, education and changing cultural ideologies were the driving forces behind future planning in German society. The United States scored low on the long-term orientation scale, meaning that Americans preferred to maintain time-honoured traditions and norms, viewing societal change with suspicion. The indulgence attribute measured how social norms called for the restraint or relatively free gratification of basic and natural human desires. The German culture emphasized conservatism and only using what was needed. German society viewed its desires and gratifications with cynicism and pessimism and did not indulge often. The United States had a contradictory attitude, as defined by its work-hard, play-hard lifestyle; while America was engaged in a war against drugs, the drug addiction rate in the United States was higher than that of other wealthy countries.</w:t>
      </w:r>
      <w:r w:rsidRPr="00C8007B">
        <w:rPr>
          <w:spacing w:val="-4"/>
          <w:vertAlign w:val="superscript"/>
          <w:lang w:val="en-GB"/>
        </w:rPr>
        <w:endnoteReference w:id="16"/>
      </w:r>
    </w:p>
    <w:p w14:paraId="494C74FE" w14:textId="77777777" w:rsidR="009C53B1" w:rsidRPr="00C8007B" w:rsidRDefault="009C53B1" w:rsidP="00C8007B">
      <w:pPr>
        <w:pStyle w:val="BodyTextMain"/>
        <w:rPr>
          <w:sz w:val="20"/>
          <w:lang w:val="en-GB"/>
        </w:rPr>
      </w:pPr>
    </w:p>
    <w:p w14:paraId="1531086C" w14:textId="77777777" w:rsidR="009C53B1" w:rsidRPr="00C8007B" w:rsidRDefault="009C53B1" w:rsidP="00C8007B">
      <w:pPr>
        <w:pStyle w:val="BodyTextMain"/>
        <w:rPr>
          <w:sz w:val="20"/>
          <w:lang w:val="en-GB"/>
        </w:rPr>
      </w:pPr>
    </w:p>
    <w:p w14:paraId="151CCA0A" w14:textId="77777777" w:rsidR="009C53B1" w:rsidRPr="00C8007B" w:rsidRDefault="009C53B1" w:rsidP="00C8007B">
      <w:pPr>
        <w:pStyle w:val="Casehead1"/>
        <w:rPr>
          <w:lang w:val="en-GB"/>
        </w:rPr>
      </w:pPr>
      <w:r w:rsidRPr="00C8007B">
        <w:rPr>
          <w:lang w:val="en-GB"/>
        </w:rPr>
        <w:t>INDUSTRY OVERVIEW</w:t>
      </w:r>
    </w:p>
    <w:p w14:paraId="0C7F9AF5" w14:textId="77777777" w:rsidR="009C53B1" w:rsidRPr="00C8007B" w:rsidRDefault="009C53B1" w:rsidP="00C8007B">
      <w:pPr>
        <w:pStyle w:val="BodyTextMain"/>
        <w:rPr>
          <w:sz w:val="20"/>
          <w:lang w:val="en-GB"/>
        </w:rPr>
      </w:pPr>
    </w:p>
    <w:p w14:paraId="16685AC2" w14:textId="7880DE0E" w:rsidR="009C53B1" w:rsidRPr="00C8007B" w:rsidRDefault="009C53B1" w:rsidP="00C8007B">
      <w:pPr>
        <w:pStyle w:val="BodyTextMain"/>
        <w:rPr>
          <w:spacing w:val="-2"/>
          <w:lang w:val="en-GB"/>
        </w:rPr>
      </w:pPr>
      <w:r w:rsidRPr="00C8007B">
        <w:rPr>
          <w:spacing w:val="-2"/>
          <w:lang w:val="en-GB"/>
        </w:rPr>
        <w:t xml:space="preserve">In 2017, the U.S. retail industry ended </w:t>
      </w:r>
      <w:r>
        <w:rPr>
          <w:spacing w:val="-2"/>
          <w:lang w:val="en-GB"/>
        </w:rPr>
        <w:t>the year</w:t>
      </w:r>
      <w:r w:rsidRPr="00C8007B">
        <w:rPr>
          <w:spacing w:val="-2"/>
          <w:lang w:val="en-GB"/>
        </w:rPr>
        <w:t xml:space="preserve"> with a growth of 4.2 per cent.</w:t>
      </w:r>
      <w:r w:rsidRPr="00C8007B">
        <w:rPr>
          <w:spacing w:val="-2"/>
          <w:vertAlign w:val="superscript"/>
          <w:lang w:val="en-GB"/>
        </w:rPr>
        <w:endnoteReference w:id="17"/>
      </w:r>
      <w:r w:rsidRPr="00C8007B">
        <w:rPr>
          <w:spacing w:val="-2"/>
          <w:lang w:val="en-GB"/>
        </w:rPr>
        <w:t xml:space="preserve"> The retail industry included any business that sold finished merchandise to an end user.</w:t>
      </w:r>
      <w:r w:rsidRPr="00C8007B">
        <w:rPr>
          <w:spacing w:val="-2"/>
          <w:vertAlign w:val="superscript"/>
          <w:lang w:val="en-GB"/>
        </w:rPr>
        <w:endnoteReference w:id="18"/>
      </w:r>
      <w:r w:rsidRPr="00C8007B">
        <w:rPr>
          <w:spacing w:val="-2"/>
          <w:lang w:val="en-GB"/>
        </w:rPr>
        <w:t xml:space="preserve"> In 2015, grocery sales accounted for 36.5 per cent of total retail sales in the United States. Grocery store sales totalled $600.31 billion in 2016, with an increase of $16 billion since 2015.</w:t>
      </w:r>
      <w:r w:rsidRPr="00C8007B">
        <w:rPr>
          <w:spacing w:val="-2"/>
          <w:shd w:val="clear" w:color="auto" w:fill="FFFFFF"/>
          <w:lang w:val="en-GB"/>
        </w:rPr>
        <w:t xml:space="preserve"> </w:t>
      </w:r>
      <w:r w:rsidRPr="00C8007B">
        <w:rPr>
          <w:spacing w:val="-2"/>
          <w:lang w:val="en-GB"/>
        </w:rPr>
        <w:t>Some of the top grocery stores in the United States in terms of sales were Walmart, with $362.82 billion; Kroger, which had acquired Harris Teeter Supermarkets Inc. (Harris Teeter), with $110.22 billion; Aldi, with $23.49 billion; and Whole Foods, with $16.02 billion.</w:t>
      </w:r>
      <w:r w:rsidRPr="00C8007B">
        <w:rPr>
          <w:spacing w:val="-2"/>
          <w:shd w:val="clear" w:color="auto" w:fill="FFFFFF"/>
          <w:vertAlign w:val="superscript"/>
          <w:lang w:val="en-GB"/>
        </w:rPr>
        <w:endnoteReference w:id="19"/>
      </w:r>
    </w:p>
    <w:p w14:paraId="3C6E8F55" w14:textId="77777777" w:rsidR="009C53B1" w:rsidRPr="00C8007B" w:rsidRDefault="009C53B1" w:rsidP="00C8007B">
      <w:pPr>
        <w:pStyle w:val="BodyTextMain"/>
        <w:rPr>
          <w:sz w:val="20"/>
          <w:lang w:val="en-GB"/>
        </w:rPr>
      </w:pPr>
    </w:p>
    <w:p w14:paraId="787D74F6" w14:textId="77777777" w:rsidR="009C53B1" w:rsidRPr="00C8007B" w:rsidRDefault="009C53B1" w:rsidP="00C8007B">
      <w:pPr>
        <w:pStyle w:val="BodyTextMain"/>
        <w:rPr>
          <w:sz w:val="20"/>
          <w:lang w:val="en-GB"/>
        </w:rPr>
      </w:pPr>
    </w:p>
    <w:p w14:paraId="7FFCED56" w14:textId="77777777" w:rsidR="009C53B1" w:rsidRPr="00C8007B" w:rsidRDefault="009C53B1" w:rsidP="00C8007B">
      <w:pPr>
        <w:pStyle w:val="Casehead2"/>
        <w:rPr>
          <w:lang w:val="en-GB"/>
        </w:rPr>
      </w:pPr>
      <w:r w:rsidRPr="00C8007B">
        <w:rPr>
          <w:lang w:val="en-GB"/>
        </w:rPr>
        <w:t>The Company</w:t>
      </w:r>
    </w:p>
    <w:p w14:paraId="2529F2B5" w14:textId="77777777" w:rsidR="009C53B1" w:rsidRPr="00C8007B" w:rsidRDefault="009C53B1" w:rsidP="00C8007B">
      <w:pPr>
        <w:pStyle w:val="BodyTextMain"/>
        <w:rPr>
          <w:sz w:val="20"/>
          <w:lang w:val="en-GB"/>
        </w:rPr>
      </w:pPr>
    </w:p>
    <w:p w14:paraId="5550C3F9" w14:textId="77777777" w:rsidR="009C53B1" w:rsidRPr="00496DB7" w:rsidRDefault="009C53B1" w:rsidP="00C8007B">
      <w:pPr>
        <w:pStyle w:val="BodyTextMain"/>
        <w:rPr>
          <w:spacing w:val="-2"/>
          <w:lang w:val="en-GB"/>
        </w:rPr>
      </w:pPr>
      <w:r w:rsidRPr="00496DB7">
        <w:rPr>
          <w:spacing w:val="-2"/>
          <w:lang w:val="en-GB"/>
        </w:rPr>
        <w:t>The first Lidl store was opened in Germany in 1973. By 1979, Lidl had grown to a total of 30 stores and had become a household name in Germany. Lidl could be perfectly described as a hard discounter—a store that offered a limited assortment of goods, typically 1,000 to 3,000 different items, at rock-bottom prices.</w:t>
      </w:r>
      <w:r w:rsidRPr="00496DB7">
        <w:rPr>
          <w:spacing w:val="-2"/>
          <w:vertAlign w:val="superscript"/>
          <w:lang w:val="en-GB"/>
        </w:rPr>
        <w:endnoteReference w:id="20"/>
      </w:r>
      <w:r w:rsidRPr="00496DB7">
        <w:rPr>
          <w:spacing w:val="-2"/>
          <w:lang w:val="en-GB"/>
        </w:rPr>
        <w:t xml:space="preserve"> In the 1980s, Lidl’s growth continued and soon reached 300 stores. Lidl began its international expansion in neighbouring France, and in 1994 continued expanding by opening its first store in the United Kingdom. </w:t>
      </w:r>
      <w:r w:rsidRPr="00496DB7">
        <w:rPr>
          <w:spacing w:val="-2"/>
          <w:lang w:val="en-GB"/>
        </w:rPr>
        <w:lastRenderedPageBreak/>
        <w:t>Within a decade of opening its first store in the United Kingdom, Lidl became the nation’s leading discount retailer. By 2018, Lidl operated more than 600 stores in the United Kingdom alone.</w:t>
      </w:r>
      <w:r w:rsidRPr="00496DB7">
        <w:rPr>
          <w:spacing w:val="-2"/>
          <w:vertAlign w:val="superscript"/>
          <w:lang w:val="en-GB"/>
        </w:rPr>
        <w:endnoteReference w:id="21"/>
      </w:r>
      <w:r w:rsidRPr="00496DB7">
        <w:rPr>
          <w:spacing w:val="-2"/>
          <w:lang w:val="en-GB"/>
        </w:rPr>
        <w:t xml:space="preserve"> Lidl first expanded into the United States in 2017, and the grocer operated more than 10,000 stores across 27 countries by 2018.</w:t>
      </w:r>
      <w:r w:rsidRPr="00496DB7">
        <w:rPr>
          <w:spacing w:val="-2"/>
          <w:vertAlign w:val="superscript"/>
          <w:lang w:val="en-GB"/>
        </w:rPr>
        <w:endnoteReference w:id="22"/>
      </w:r>
    </w:p>
    <w:p w14:paraId="167B0678" w14:textId="77777777" w:rsidR="009C53B1" w:rsidRPr="00C8007B" w:rsidRDefault="009C53B1" w:rsidP="00C8007B">
      <w:pPr>
        <w:pStyle w:val="BodyTextMain"/>
        <w:rPr>
          <w:sz w:val="20"/>
          <w:lang w:val="en-GB"/>
        </w:rPr>
      </w:pPr>
    </w:p>
    <w:p w14:paraId="08B3E95D" w14:textId="622F7972" w:rsidR="009C53B1" w:rsidRPr="00C8007B" w:rsidRDefault="009C53B1" w:rsidP="00C8007B">
      <w:pPr>
        <w:pStyle w:val="BodyTextMain"/>
        <w:rPr>
          <w:lang w:val="en-GB"/>
        </w:rPr>
      </w:pPr>
      <w:r w:rsidRPr="00C8007B">
        <w:rPr>
          <w:lang w:val="en-GB"/>
        </w:rPr>
        <w:t>As an international company, Lidl focused on respecting the cultures and traditions of its customers. The mission of Lidl was “to offer our communities high quality products at low prices” while continuously improving its stores.</w:t>
      </w:r>
      <w:r w:rsidRPr="00C8007B">
        <w:rPr>
          <w:rFonts w:eastAsiaTheme="minorEastAsia"/>
          <w:vertAlign w:val="superscript"/>
          <w:lang w:val="en-GB"/>
        </w:rPr>
        <w:endnoteReference w:id="23"/>
      </w:r>
      <w:r w:rsidRPr="00C8007B">
        <w:rPr>
          <w:lang w:val="en-GB"/>
        </w:rPr>
        <w:t xml:space="preserve"> With its launch into the United States—its first expansion outside of the European market—Lidl did not want U.S. customers to think that its products were not fresh. In order to get </w:t>
      </w:r>
      <w:r>
        <w:rPr>
          <w:lang w:val="en-GB"/>
        </w:rPr>
        <w:t>i</w:t>
      </w:r>
      <w:r w:rsidRPr="00C8007B">
        <w:rPr>
          <w:lang w:val="en-GB"/>
        </w:rPr>
        <w:t>t</w:t>
      </w:r>
      <w:r>
        <w:rPr>
          <w:lang w:val="en-GB"/>
        </w:rPr>
        <w:t>s</w:t>
      </w:r>
      <w:r w:rsidRPr="00C8007B">
        <w:rPr>
          <w:lang w:val="en-GB"/>
        </w:rPr>
        <w:t xml:space="preserve"> message across, Lidl adopted the tagline “Our roots are European, but our vegetables are grown here.”</w:t>
      </w:r>
      <w:r w:rsidRPr="00C8007B">
        <w:rPr>
          <w:vertAlign w:val="superscript"/>
          <w:lang w:val="en-GB"/>
        </w:rPr>
        <w:endnoteReference w:id="24"/>
      </w:r>
    </w:p>
    <w:p w14:paraId="790C3800" w14:textId="77777777" w:rsidR="009C53B1" w:rsidRPr="00C8007B" w:rsidRDefault="009C53B1" w:rsidP="00C8007B">
      <w:pPr>
        <w:pStyle w:val="BodyTextMain"/>
        <w:rPr>
          <w:sz w:val="20"/>
          <w:lang w:val="en-GB"/>
        </w:rPr>
      </w:pPr>
    </w:p>
    <w:p w14:paraId="64CD4013" w14:textId="77777777" w:rsidR="009C53B1" w:rsidRPr="00C8007B" w:rsidRDefault="009C53B1" w:rsidP="00C8007B">
      <w:pPr>
        <w:pStyle w:val="BodyTextMain"/>
        <w:rPr>
          <w:spacing w:val="6"/>
          <w:lang w:val="en-GB"/>
        </w:rPr>
      </w:pPr>
      <w:r w:rsidRPr="00C8007B">
        <w:rPr>
          <w:lang w:val="en-GB"/>
        </w:rPr>
        <w:t>Environmental and social responsibility was of the utmost importance to Lidl. Lidl believed that sustainability was a key indicator of quality.</w:t>
      </w:r>
      <w:r w:rsidRPr="00C8007B">
        <w:rPr>
          <w:vertAlign w:val="superscript"/>
          <w:lang w:val="en-GB"/>
        </w:rPr>
        <w:endnoteReference w:id="25"/>
      </w:r>
      <w:r w:rsidRPr="00C8007B">
        <w:rPr>
          <w:lang w:val="en-GB"/>
        </w:rPr>
        <w:t xml:space="preserve"> Every Lidl store had a recycling centre at the exit, where one could dispose of cans, plastic bags, and bottles. In addition, Lidl had collaborated with How2Recycle to provide recycling instructions for all of its product packaging.</w:t>
      </w:r>
      <w:r w:rsidRPr="00C8007B">
        <w:rPr>
          <w:vertAlign w:val="superscript"/>
          <w:lang w:val="en-GB"/>
        </w:rPr>
        <w:endnoteReference w:id="26"/>
      </w:r>
    </w:p>
    <w:p w14:paraId="311FFE48" w14:textId="77777777" w:rsidR="009C53B1" w:rsidRPr="00C8007B" w:rsidRDefault="009C53B1" w:rsidP="00C8007B">
      <w:pPr>
        <w:pStyle w:val="BodyTextMain"/>
        <w:rPr>
          <w:sz w:val="20"/>
          <w:lang w:val="en-GB"/>
        </w:rPr>
      </w:pPr>
    </w:p>
    <w:p w14:paraId="336AE0C8" w14:textId="77777777" w:rsidR="009C53B1" w:rsidRPr="00C8007B" w:rsidRDefault="009C53B1" w:rsidP="00C8007B">
      <w:pPr>
        <w:pStyle w:val="BodyTextMain"/>
        <w:rPr>
          <w:sz w:val="20"/>
          <w:lang w:val="en-GB"/>
        </w:rPr>
      </w:pPr>
    </w:p>
    <w:p w14:paraId="263E1D38" w14:textId="77777777" w:rsidR="009C53B1" w:rsidRPr="00C8007B" w:rsidRDefault="009C53B1" w:rsidP="00C8007B">
      <w:pPr>
        <w:pStyle w:val="Casehead2"/>
        <w:rPr>
          <w:lang w:val="en-GB"/>
        </w:rPr>
      </w:pPr>
      <w:r w:rsidRPr="00C8007B">
        <w:rPr>
          <w:lang w:val="en-GB"/>
        </w:rPr>
        <w:t>Principles and Values</w:t>
      </w:r>
    </w:p>
    <w:p w14:paraId="37F3A88A" w14:textId="77777777" w:rsidR="009C53B1" w:rsidRPr="00C8007B" w:rsidRDefault="009C53B1" w:rsidP="00C8007B">
      <w:pPr>
        <w:pStyle w:val="BodyTextMain"/>
        <w:rPr>
          <w:sz w:val="20"/>
          <w:lang w:val="en-GB"/>
        </w:rPr>
      </w:pPr>
    </w:p>
    <w:p w14:paraId="19957CA5" w14:textId="7DF4A236" w:rsidR="009C53B1" w:rsidRPr="00C8007B" w:rsidRDefault="009C53B1" w:rsidP="00C8007B">
      <w:pPr>
        <w:pStyle w:val="BodyTextMain"/>
        <w:rPr>
          <w:spacing w:val="-2"/>
          <w:lang w:val="en-GB"/>
        </w:rPr>
      </w:pPr>
      <w:r w:rsidRPr="00C8007B">
        <w:rPr>
          <w:spacing w:val="-2"/>
          <w:lang w:val="en-GB"/>
        </w:rPr>
        <w:t>Lidl’s principles and values included customer satisfaction; superior quality for the lowest price; expansion and constant improvement in Lidl stores; defined working processes and procedures; short decision paths and simple work processes; ensur</w:t>
      </w:r>
      <w:r>
        <w:rPr>
          <w:spacing w:val="-2"/>
          <w:lang w:val="en-GB"/>
        </w:rPr>
        <w:t>ing</w:t>
      </w:r>
      <w:r w:rsidRPr="00C8007B">
        <w:rPr>
          <w:spacing w:val="-2"/>
          <w:lang w:val="en-GB"/>
        </w:rPr>
        <w:t xml:space="preserve"> the law and internal policies of Lidl; be</w:t>
      </w:r>
      <w:r>
        <w:rPr>
          <w:spacing w:val="-2"/>
          <w:lang w:val="en-GB"/>
        </w:rPr>
        <w:t>ing</w:t>
      </w:r>
      <w:r w:rsidRPr="00C8007B">
        <w:rPr>
          <w:spacing w:val="-2"/>
          <w:lang w:val="en-GB"/>
        </w:rPr>
        <w:t xml:space="preserve"> economically, socially, and environmentally responsible; fairness to all in the company; promot</w:t>
      </w:r>
      <w:r>
        <w:rPr>
          <w:spacing w:val="-2"/>
          <w:lang w:val="en-GB"/>
        </w:rPr>
        <w:t>ing</w:t>
      </w:r>
      <w:r w:rsidRPr="00C8007B">
        <w:rPr>
          <w:spacing w:val="-2"/>
          <w:lang w:val="en-GB"/>
        </w:rPr>
        <w:t xml:space="preserve"> a respectful and encouraging environment; endorsing agreements in an ether of trust; recognition, acknowledgment, and constructive feedback in daily work; and nurturing an environment for leadership growth.</w:t>
      </w:r>
      <w:r w:rsidRPr="00C8007B">
        <w:rPr>
          <w:spacing w:val="-2"/>
          <w:vertAlign w:val="superscript"/>
          <w:lang w:val="en-GB"/>
        </w:rPr>
        <w:endnoteReference w:id="27"/>
      </w:r>
    </w:p>
    <w:p w14:paraId="16DB767F" w14:textId="77777777" w:rsidR="009C53B1" w:rsidRPr="00C8007B" w:rsidRDefault="009C53B1" w:rsidP="00C8007B">
      <w:pPr>
        <w:pStyle w:val="BodyTextMain"/>
        <w:rPr>
          <w:sz w:val="20"/>
          <w:lang w:val="en-GB"/>
        </w:rPr>
      </w:pPr>
    </w:p>
    <w:p w14:paraId="7C5DB495" w14:textId="77777777" w:rsidR="009C53B1" w:rsidRPr="00C8007B" w:rsidRDefault="009C53B1" w:rsidP="00C8007B">
      <w:pPr>
        <w:pStyle w:val="BodyTextMain"/>
        <w:rPr>
          <w:sz w:val="20"/>
          <w:lang w:val="en-GB"/>
        </w:rPr>
      </w:pPr>
    </w:p>
    <w:p w14:paraId="31E5BF27" w14:textId="77777777" w:rsidR="009C53B1" w:rsidRPr="00C8007B" w:rsidRDefault="009C53B1" w:rsidP="00C8007B">
      <w:pPr>
        <w:pStyle w:val="Casehead2"/>
        <w:rPr>
          <w:lang w:val="en-GB"/>
        </w:rPr>
      </w:pPr>
      <w:r w:rsidRPr="00C8007B">
        <w:rPr>
          <w:lang w:val="en-GB"/>
        </w:rPr>
        <w:t>The Customer</w:t>
      </w:r>
    </w:p>
    <w:p w14:paraId="55E2FAEE" w14:textId="77777777" w:rsidR="009C53B1" w:rsidRPr="00C8007B" w:rsidRDefault="009C53B1" w:rsidP="00C8007B">
      <w:pPr>
        <w:pStyle w:val="BodyTextMain"/>
        <w:rPr>
          <w:sz w:val="20"/>
          <w:lang w:val="en-GB"/>
        </w:rPr>
      </w:pPr>
    </w:p>
    <w:p w14:paraId="7FC16C66" w14:textId="77777777" w:rsidR="009C53B1" w:rsidRPr="00C8007B" w:rsidRDefault="009C53B1" w:rsidP="00C8007B">
      <w:pPr>
        <w:pStyle w:val="BodyTextMain"/>
        <w:rPr>
          <w:lang w:val="en-GB"/>
        </w:rPr>
      </w:pPr>
      <w:r w:rsidRPr="00C8007B">
        <w:rPr>
          <w:lang w:val="en-GB"/>
        </w:rPr>
        <w:t>The typical Lidl customer was middle class or lower middle class. Lidl had a “Surprises!” section of the store where customers could find discounted appliances and other household items. All products in Lidl were discounted and yet were of a decent quality.</w:t>
      </w:r>
    </w:p>
    <w:p w14:paraId="3A68937E" w14:textId="77777777" w:rsidR="009C53B1" w:rsidRPr="00C8007B" w:rsidRDefault="009C53B1" w:rsidP="00C8007B">
      <w:pPr>
        <w:pStyle w:val="BodyTextMain"/>
        <w:rPr>
          <w:sz w:val="20"/>
          <w:lang w:val="en-GB"/>
        </w:rPr>
      </w:pPr>
    </w:p>
    <w:p w14:paraId="58EF2E26" w14:textId="2CFFF7E4" w:rsidR="009C53B1" w:rsidRPr="00C8007B" w:rsidRDefault="009C53B1" w:rsidP="00C8007B">
      <w:pPr>
        <w:pStyle w:val="BodyTextMain"/>
        <w:rPr>
          <w:spacing w:val="-4"/>
          <w:lang w:val="en-GB"/>
        </w:rPr>
      </w:pPr>
      <w:r w:rsidRPr="00C8007B">
        <w:rPr>
          <w:spacing w:val="-4"/>
          <w:lang w:val="en-GB"/>
        </w:rPr>
        <w:t xml:space="preserve">Lidl provided budget-conscious customers with a hassle-free shopping experience. Many were middle class families with children, or elderly customers on a fixed income. Lidl attracted this customer base by striving for the highest level of customer satisfaction through </w:t>
      </w:r>
      <w:r>
        <w:rPr>
          <w:spacing w:val="-4"/>
          <w:lang w:val="en-GB"/>
        </w:rPr>
        <w:t>i</w:t>
      </w:r>
      <w:r w:rsidRPr="00C8007B">
        <w:rPr>
          <w:spacing w:val="-4"/>
          <w:lang w:val="en-GB"/>
        </w:rPr>
        <w:t>t</w:t>
      </w:r>
      <w:r>
        <w:rPr>
          <w:spacing w:val="-4"/>
          <w:lang w:val="en-GB"/>
        </w:rPr>
        <w:t>s</w:t>
      </w:r>
      <w:r w:rsidRPr="00C8007B">
        <w:rPr>
          <w:spacing w:val="-4"/>
          <w:lang w:val="en-GB"/>
        </w:rPr>
        <w:t xml:space="preserve"> commitment to high-quality products at low prices.</w:t>
      </w:r>
    </w:p>
    <w:p w14:paraId="6ACA5ECA" w14:textId="77777777" w:rsidR="009C53B1" w:rsidRPr="00C8007B" w:rsidRDefault="009C53B1" w:rsidP="00C8007B">
      <w:pPr>
        <w:pStyle w:val="BodyTextMain"/>
        <w:rPr>
          <w:sz w:val="20"/>
          <w:lang w:val="en-GB"/>
        </w:rPr>
      </w:pPr>
    </w:p>
    <w:p w14:paraId="70A3564E" w14:textId="77777777" w:rsidR="009C53B1" w:rsidRPr="00C8007B" w:rsidRDefault="009C53B1" w:rsidP="00C8007B">
      <w:pPr>
        <w:pStyle w:val="BodyTextMain"/>
        <w:rPr>
          <w:sz w:val="20"/>
          <w:lang w:val="en-GB"/>
        </w:rPr>
      </w:pPr>
    </w:p>
    <w:p w14:paraId="4532CFF8" w14:textId="77777777" w:rsidR="009C53B1" w:rsidRPr="00C8007B" w:rsidRDefault="009C53B1" w:rsidP="00C8007B">
      <w:pPr>
        <w:pStyle w:val="Casehead1"/>
        <w:rPr>
          <w:lang w:val="en-GB"/>
        </w:rPr>
      </w:pPr>
      <w:r w:rsidRPr="00C8007B">
        <w:rPr>
          <w:lang w:val="en-GB"/>
        </w:rPr>
        <w:t>MARKETING MIX</w:t>
      </w:r>
    </w:p>
    <w:p w14:paraId="49612AA5" w14:textId="77777777" w:rsidR="009C53B1" w:rsidRPr="00C8007B" w:rsidRDefault="009C53B1" w:rsidP="00C8007B">
      <w:pPr>
        <w:pStyle w:val="BodyTextMain"/>
        <w:rPr>
          <w:sz w:val="20"/>
          <w:lang w:val="en-GB"/>
        </w:rPr>
      </w:pPr>
    </w:p>
    <w:p w14:paraId="2FADD5B5" w14:textId="77777777" w:rsidR="009C53B1" w:rsidRPr="00C8007B" w:rsidRDefault="009C53B1" w:rsidP="00C8007B">
      <w:pPr>
        <w:pStyle w:val="Casehead2"/>
        <w:rPr>
          <w:lang w:val="en-GB"/>
        </w:rPr>
      </w:pPr>
      <w:r w:rsidRPr="00C8007B">
        <w:rPr>
          <w:lang w:val="en-GB"/>
        </w:rPr>
        <w:t>Product</w:t>
      </w:r>
    </w:p>
    <w:p w14:paraId="3AEC4B75" w14:textId="77777777" w:rsidR="009C53B1" w:rsidRPr="00C8007B" w:rsidRDefault="009C53B1" w:rsidP="00C8007B">
      <w:pPr>
        <w:pStyle w:val="BodyTextMain"/>
        <w:rPr>
          <w:sz w:val="20"/>
          <w:lang w:val="en-GB"/>
        </w:rPr>
      </w:pPr>
    </w:p>
    <w:p w14:paraId="1617A504" w14:textId="6F890B9F" w:rsidR="009C53B1" w:rsidRPr="00496DB7" w:rsidRDefault="009C53B1" w:rsidP="00C8007B">
      <w:pPr>
        <w:pStyle w:val="BodyTextMain"/>
        <w:rPr>
          <w:spacing w:val="-2"/>
          <w:lang w:val="en-GB"/>
        </w:rPr>
      </w:pPr>
      <w:r w:rsidRPr="00496DB7">
        <w:rPr>
          <w:spacing w:val="-2"/>
          <w:lang w:val="en-GB"/>
        </w:rPr>
        <w:t>When walk</w:t>
      </w:r>
      <w:r>
        <w:rPr>
          <w:spacing w:val="-2"/>
          <w:lang w:val="en-GB"/>
        </w:rPr>
        <w:t>ing</w:t>
      </w:r>
      <w:r w:rsidRPr="00496DB7">
        <w:rPr>
          <w:spacing w:val="-2"/>
          <w:lang w:val="en-GB"/>
        </w:rPr>
        <w:t xml:space="preserve"> into a Lidl store, </w:t>
      </w:r>
      <w:r>
        <w:rPr>
          <w:spacing w:val="-2"/>
          <w:lang w:val="en-GB"/>
        </w:rPr>
        <w:t>customers</w:t>
      </w:r>
      <w:r w:rsidRPr="00496DB7">
        <w:rPr>
          <w:spacing w:val="-2"/>
          <w:lang w:val="en-GB"/>
        </w:rPr>
        <w:t xml:space="preserve"> immediately saw the bakery section, as well as an easily accessible household section containing cosmetics, toiletries, and the like. Having these two sections at the front of the store, rather than to the side or in the back—like Lidl’s competitors</w:t>
      </w:r>
      <w:r>
        <w:rPr>
          <w:spacing w:val="-2"/>
          <w:lang w:val="en-GB"/>
        </w:rPr>
        <w:t xml:space="preserve"> did</w:t>
      </w:r>
      <w:r w:rsidRPr="00496DB7">
        <w:rPr>
          <w:spacing w:val="-2"/>
          <w:lang w:val="en-GB"/>
        </w:rPr>
        <w:t>—made a Lidl visit much more attractive to customers only looking for bread or toilet paper. Lidl also had its own brand of vegetables and fresh fruits—</w:t>
      </w:r>
      <w:proofErr w:type="spellStart"/>
      <w:r w:rsidRPr="00496DB7">
        <w:rPr>
          <w:iCs/>
          <w:spacing w:val="-2"/>
          <w:lang w:val="en-GB"/>
        </w:rPr>
        <w:t>Oaklands</w:t>
      </w:r>
      <w:proofErr w:type="spellEnd"/>
      <w:r w:rsidRPr="00496DB7">
        <w:rPr>
          <w:i/>
          <w:iCs/>
          <w:spacing w:val="-2"/>
          <w:lang w:val="en-GB"/>
        </w:rPr>
        <w:t xml:space="preserve">. </w:t>
      </w:r>
      <w:proofErr w:type="spellStart"/>
      <w:r w:rsidRPr="00496DB7">
        <w:rPr>
          <w:spacing w:val="-2"/>
          <w:lang w:val="en-GB"/>
        </w:rPr>
        <w:t>Oaklands</w:t>
      </w:r>
      <w:proofErr w:type="spellEnd"/>
      <w:r w:rsidRPr="00496DB7">
        <w:rPr>
          <w:spacing w:val="-2"/>
          <w:lang w:val="en-GB"/>
        </w:rPr>
        <w:t xml:space="preserve"> made daily deliveries to Lidl stores and gave customers a chance to experience produce from all over the world, which was very attractive to health-conscious customers. Lidl’s push for cost savings was emphasized by the display of products on the shelves; products remained in the boxes or cartons provided by the distributors. Despite Lidl being a huge discount retailer, customer</w:t>
      </w:r>
      <w:r>
        <w:rPr>
          <w:spacing w:val="-2"/>
          <w:lang w:val="en-GB"/>
        </w:rPr>
        <w:t>s</w:t>
      </w:r>
      <w:r w:rsidRPr="00496DB7">
        <w:rPr>
          <w:spacing w:val="-2"/>
          <w:lang w:val="en-GB"/>
        </w:rPr>
        <w:t xml:space="preserve"> would be able to find what they needed quickly, without the temptation of buying everything else along the way. </w:t>
      </w:r>
    </w:p>
    <w:p w14:paraId="2422584E" w14:textId="778FB2AB" w:rsidR="009C53B1" w:rsidRPr="00C8007B" w:rsidRDefault="009C53B1" w:rsidP="00C8007B">
      <w:pPr>
        <w:pStyle w:val="BodyTextMain"/>
        <w:rPr>
          <w:lang w:val="en-GB"/>
        </w:rPr>
      </w:pPr>
      <w:r w:rsidRPr="00C8007B">
        <w:rPr>
          <w:lang w:val="en-GB"/>
        </w:rPr>
        <w:lastRenderedPageBreak/>
        <w:t xml:space="preserve">Lidl prided itself on having wine expert Adam </w:t>
      </w:r>
      <w:proofErr w:type="spellStart"/>
      <w:r w:rsidRPr="00C8007B">
        <w:rPr>
          <w:lang w:val="en-GB"/>
        </w:rPr>
        <w:t>Lapierre</w:t>
      </w:r>
      <w:proofErr w:type="spellEnd"/>
      <w:r w:rsidRPr="00C8007B">
        <w:rPr>
          <w:lang w:val="en-GB"/>
        </w:rPr>
        <w:t xml:space="preserve"> as part of its corporate staff. </w:t>
      </w:r>
      <w:r>
        <w:rPr>
          <w:lang w:val="en-GB"/>
        </w:rPr>
        <w:t>As</w:t>
      </w:r>
      <w:r w:rsidRPr="00C8007B">
        <w:rPr>
          <w:lang w:val="en-GB"/>
        </w:rPr>
        <w:t xml:space="preserve"> a master of wine, </w:t>
      </w:r>
      <w:proofErr w:type="spellStart"/>
      <w:r w:rsidRPr="00C8007B">
        <w:rPr>
          <w:lang w:val="en-GB"/>
        </w:rPr>
        <w:t>Lapierre</w:t>
      </w:r>
      <w:proofErr w:type="spellEnd"/>
      <w:r w:rsidRPr="00C8007B">
        <w:rPr>
          <w:lang w:val="en-GB"/>
        </w:rPr>
        <w:t xml:space="preserve"> enabled Lidl to offer an array of exclusive wines, attracting customers from all demographics. Lidl’s private label wine selections had won 250 awards since entering the United States in May 2017. The label also won 42 medals at the San Francisco Chronicle Wine Competition, where approximately 7,000 bottles were tested. This achievement further demonstrated Lidl’s commitment to its customers of providing superior quality products for prices significantly lower than the competition.</w:t>
      </w:r>
      <w:r w:rsidRPr="00C8007B">
        <w:rPr>
          <w:vertAlign w:val="superscript"/>
          <w:lang w:val="en-GB"/>
        </w:rPr>
        <w:endnoteReference w:id="28"/>
      </w:r>
    </w:p>
    <w:p w14:paraId="54A2779C" w14:textId="77777777" w:rsidR="009C53B1" w:rsidRPr="00C8007B" w:rsidRDefault="009C53B1" w:rsidP="00C8007B">
      <w:pPr>
        <w:pStyle w:val="BodyTextMain"/>
        <w:rPr>
          <w:sz w:val="20"/>
          <w:lang w:val="en-GB"/>
        </w:rPr>
      </w:pPr>
    </w:p>
    <w:p w14:paraId="77D37C40" w14:textId="77777777" w:rsidR="009C53B1" w:rsidRPr="00C8007B" w:rsidRDefault="009C53B1" w:rsidP="00C8007B">
      <w:pPr>
        <w:pStyle w:val="BodyTextMain"/>
        <w:rPr>
          <w:sz w:val="20"/>
          <w:lang w:val="en-GB"/>
        </w:rPr>
      </w:pPr>
    </w:p>
    <w:p w14:paraId="0752A8A0" w14:textId="77777777" w:rsidR="009C53B1" w:rsidRPr="00C8007B" w:rsidRDefault="009C53B1" w:rsidP="00C8007B">
      <w:pPr>
        <w:pStyle w:val="Casehead2"/>
        <w:rPr>
          <w:lang w:val="en-GB"/>
        </w:rPr>
      </w:pPr>
      <w:r w:rsidRPr="00C8007B">
        <w:rPr>
          <w:lang w:val="en-GB"/>
        </w:rPr>
        <w:t>Quality Standards</w:t>
      </w:r>
    </w:p>
    <w:p w14:paraId="091BC1E5" w14:textId="77777777" w:rsidR="009C53B1" w:rsidRPr="00C8007B" w:rsidRDefault="009C53B1" w:rsidP="00C8007B">
      <w:pPr>
        <w:pStyle w:val="BodyTextMain"/>
        <w:rPr>
          <w:sz w:val="20"/>
          <w:lang w:val="en-GB"/>
        </w:rPr>
      </w:pPr>
    </w:p>
    <w:p w14:paraId="08EA1169" w14:textId="77777777" w:rsidR="009C53B1" w:rsidRPr="00C8007B" w:rsidRDefault="009C53B1" w:rsidP="00C8007B">
      <w:pPr>
        <w:pStyle w:val="BodyTextMain"/>
        <w:rPr>
          <w:lang w:val="en-GB"/>
        </w:rPr>
      </w:pPr>
      <w:r w:rsidRPr="00C8007B">
        <w:rPr>
          <w:lang w:val="en-GB"/>
        </w:rPr>
        <w:t>Lidl had a set of predefined measurable standards to meet quality requirements. The company constantly tested its products to maintain these standards. In addition, Lidl conducted third party audits on product suppliers to verify the quality and safety norms. Products below the quality standards were not included in Lidl stores. Some of the quality maintenance programs adopted by Lidl were as follows:</w:t>
      </w:r>
    </w:p>
    <w:p w14:paraId="16AAAADC" w14:textId="77777777" w:rsidR="009C53B1" w:rsidRPr="00C8007B" w:rsidRDefault="009C53B1" w:rsidP="00C8007B">
      <w:pPr>
        <w:pStyle w:val="BodyTextMain"/>
        <w:rPr>
          <w:sz w:val="20"/>
          <w:lang w:val="en-GB"/>
        </w:rPr>
      </w:pPr>
    </w:p>
    <w:p w14:paraId="2C6978DD" w14:textId="6F292524" w:rsidR="009C53B1" w:rsidRPr="00C8007B" w:rsidRDefault="009C53B1" w:rsidP="00C8007B">
      <w:pPr>
        <w:pStyle w:val="BodyTextMain"/>
        <w:numPr>
          <w:ilvl w:val="0"/>
          <w:numId w:val="14"/>
        </w:numPr>
        <w:rPr>
          <w:spacing w:val="-4"/>
          <w:lang w:val="en-GB"/>
        </w:rPr>
      </w:pPr>
      <w:r w:rsidRPr="00C8007B">
        <w:rPr>
          <w:spacing w:val="-4"/>
          <w:lang w:val="en-GB"/>
        </w:rPr>
        <w:t>Lidl partnered closely with suppliers (i.e., manufacturers and growers)</w:t>
      </w:r>
      <w:r w:rsidR="00AA1C35">
        <w:rPr>
          <w:spacing w:val="-4"/>
          <w:lang w:val="en-GB"/>
        </w:rPr>
        <w:t>.</w:t>
      </w:r>
    </w:p>
    <w:p w14:paraId="654E7FF0" w14:textId="77777777" w:rsidR="009C53B1" w:rsidRPr="00C8007B" w:rsidRDefault="009C53B1" w:rsidP="00C8007B">
      <w:pPr>
        <w:pStyle w:val="BodyTextMain"/>
        <w:numPr>
          <w:ilvl w:val="0"/>
          <w:numId w:val="14"/>
        </w:numPr>
        <w:rPr>
          <w:lang w:val="en-GB"/>
        </w:rPr>
      </w:pPr>
      <w:r w:rsidRPr="00C8007B">
        <w:rPr>
          <w:lang w:val="en-GB"/>
        </w:rPr>
        <w:t>The company personally inspected farms and partnered with animal welfare groups to ensure the quality of meat and its sources.</w:t>
      </w:r>
    </w:p>
    <w:p w14:paraId="0F8F093C" w14:textId="11FC13C5" w:rsidR="009C53B1" w:rsidRPr="00C8007B" w:rsidRDefault="009C53B1" w:rsidP="00C8007B">
      <w:pPr>
        <w:pStyle w:val="BodyTextMain"/>
        <w:numPr>
          <w:ilvl w:val="0"/>
          <w:numId w:val="14"/>
        </w:numPr>
        <w:rPr>
          <w:lang w:val="en-GB"/>
        </w:rPr>
      </w:pPr>
      <w:r w:rsidRPr="00C8007B">
        <w:rPr>
          <w:lang w:val="en-GB"/>
        </w:rPr>
        <w:t>Lidl had a selection of vintage wine</w:t>
      </w:r>
      <w:r>
        <w:rPr>
          <w:lang w:val="en-GB"/>
        </w:rPr>
        <w:t>s</w:t>
      </w:r>
      <w:r w:rsidRPr="00C8007B">
        <w:rPr>
          <w:lang w:val="en-GB"/>
        </w:rPr>
        <w:t>, including wine from</w:t>
      </w:r>
      <w:r>
        <w:rPr>
          <w:lang w:val="en-GB"/>
        </w:rPr>
        <w:t xml:space="preserve"> the</w:t>
      </w:r>
      <w:r w:rsidRPr="00C8007B">
        <w:rPr>
          <w:lang w:val="en-GB"/>
        </w:rPr>
        <w:t xml:space="preserve"> Napa Valley, the Oregon Coast, the South of France, the hills of Tuscany, and so on.</w:t>
      </w:r>
    </w:p>
    <w:p w14:paraId="7D61FD9D" w14:textId="0E8F2D62" w:rsidR="009C53B1" w:rsidRPr="00C8007B" w:rsidRDefault="009C53B1" w:rsidP="00C8007B">
      <w:pPr>
        <w:pStyle w:val="BodyTextMain"/>
        <w:numPr>
          <w:ilvl w:val="0"/>
          <w:numId w:val="14"/>
        </w:numPr>
        <w:rPr>
          <w:lang w:val="en-GB"/>
        </w:rPr>
      </w:pPr>
      <w:r w:rsidRPr="00C8007B">
        <w:rPr>
          <w:lang w:val="en-GB"/>
        </w:rPr>
        <w:t>Lidl endeavoured to deliver healthy and delicious food</w:t>
      </w:r>
      <w:r>
        <w:rPr>
          <w:lang w:val="en-GB"/>
        </w:rPr>
        <w:t>s</w:t>
      </w:r>
      <w:r w:rsidRPr="00C8007B">
        <w:rPr>
          <w:lang w:val="en-GB"/>
        </w:rPr>
        <w:t xml:space="preserve"> for babies.</w:t>
      </w:r>
      <w:r w:rsidRPr="00C8007B">
        <w:rPr>
          <w:vertAlign w:val="superscript"/>
          <w:lang w:val="en-GB"/>
        </w:rPr>
        <w:endnoteReference w:id="29"/>
      </w:r>
    </w:p>
    <w:p w14:paraId="334B606E" w14:textId="77777777" w:rsidR="009C53B1" w:rsidRPr="00C8007B" w:rsidRDefault="009C53B1" w:rsidP="00C8007B">
      <w:pPr>
        <w:pStyle w:val="BodyTextMain"/>
        <w:rPr>
          <w:sz w:val="20"/>
          <w:lang w:val="en-GB"/>
        </w:rPr>
      </w:pPr>
    </w:p>
    <w:p w14:paraId="6DBF211E" w14:textId="77777777" w:rsidR="009C53B1" w:rsidRPr="00C8007B" w:rsidRDefault="009C53B1" w:rsidP="00C8007B">
      <w:pPr>
        <w:pStyle w:val="BodyTextMain"/>
        <w:rPr>
          <w:sz w:val="20"/>
          <w:lang w:val="en-GB"/>
        </w:rPr>
      </w:pPr>
    </w:p>
    <w:p w14:paraId="58666ED6" w14:textId="77777777" w:rsidR="009C53B1" w:rsidRPr="00C8007B" w:rsidRDefault="009C53B1" w:rsidP="00C8007B">
      <w:pPr>
        <w:pStyle w:val="Casehead2"/>
        <w:rPr>
          <w:lang w:val="en-GB"/>
        </w:rPr>
      </w:pPr>
      <w:r w:rsidRPr="00C8007B">
        <w:rPr>
          <w:lang w:val="en-GB"/>
        </w:rPr>
        <w:t>Food Safety</w:t>
      </w:r>
    </w:p>
    <w:p w14:paraId="6CB6FA28" w14:textId="77777777" w:rsidR="009C53B1" w:rsidRPr="00C8007B" w:rsidRDefault="009C53B1" w:rsidP="00C8007B">
      <w:pPr>
        <w:pStyle w:val="BodyTextMain"/>
        <w:rPr>
          <w:sz w:val="20"/>
          <w:lang w:val="en-GB"/>
        </w:rPr>
      </w:pPr>
    </w:p>
    <w:p w14:paraId="42A7B862" w14:textId="77777777" w:rsidR="009C53B1" w:rsidRPr="00C8007B" w:rsidRDefault="009C53B1" w:rsidP="00C8007B">
      <w:pPr>
        <w:pStyle w:val="BodyTextMain"/>
        <w:rPr>
          <w:lang w:val="en-GB"/>
        </w:rPr>
      </w:pPr>
      <w:r w:rsidRPr="00C8007B">
        <w:rPr>
          <w:lang w:val="en-GB"/>
        </w:rPr>
        <w:t>Lidl was committed to food safety through its established strict, science-based safety and quality standards to ensure the well-being of its customers. Lidl worked closely with suppliers to sustain its principles and drive continuous advancement through facility audits and product testing for quality assurance. Lidl’s first priority was to offer consistently safe, high-quality products.</w:t>
      </w:r>
      <w:r w:rsidRPr="00C8007B">
        <w:rPr>
          <w:vertAlign w:val="superscript"/>
          <w:lang w:val="en-GB"/>
        </w:rPr>
        <w:endnoteReference w:id="30"/>
      </w:r>
    </w:p>
    <w:p w14:paraId="37595826" w14:textId="77777777" w:rsidR="009C53B1" w:rsidRPr="00C8007B" w:rsidRDefault="009C53B1" w:rsidP="00C8007B">
      <w:pPr>
        <w:pStyle w:val="BodyTextMain"/>
        <w:rPr>
          <w:sz w:val="20"/>
          <w:lang w:val="en-GB"/>
        </w:rPr>
      </w:pPr>
    </w:p>
    <w:p w14:paraId="79978DC1" w14:textId="77777777" w:rsidR="009C53B1" w:rsidRPr="00C8007B" w:rsidRDefault="009C53B1" w:rsidP="00C8007B">
      <w:pPr>
        <w:pStyle w:val="BodyTextMain"/>
        <w:rPr>
          <w:sz w:val="20"/>
          <w:lang w:val="en-GB"/>
        </w:rPr>
      </w:pPr>
    </w:p>
    <w:p w14:paraId="46263127" w14:textId="77777777" w:rsidR="009C53B1" w:rsidRPr="00C8007B" w:rsidRDefault="009C53B1" w:rsidP="00C8007B">
      <w:pPr>
        <w:pStyle w:val="Casehead2"/>
        <w:rPr>
          <w:lang w:val="en-GB"/>
        </w:rPr>
      </w:pPr>
      <w:r w:rsidRPr="00C8007B">
        <w:rPr>
          <w:lang w:val="en-GB"/>
        </w:rPr>
        <w:t>Supplier Relationship</w:t>
      </w:r>
    </w:p>
    <w:p w14:paraId="423891BD" w14:textId="77777777" w:rsidR="009C53B1" w:rsidRPr="00C8007B" w:rsidRDefault="009C53B1" w:rsidP="00C8007B">
      <w:pPr>
        <w:pStyle w:val="BodyTextMain"/>
        <w:rPr>
          <w:sz w:val="20"/>
          <w:lang w:val="en-GB"/>
        </w:rPr>
      </w:pPr>
    </w:p>
    <w:p w14:paraId="0F3BE112" w14:textId="77777777" w:rsidR="009C53B1" w:rsidRPr="00C8007B" w:rsidRDefault="009C53B1" w:rsidP="00C8007B">
      <w:pPr>
        <w:pStyle w:val="BodyTextMain"/>
        <w:rPr>
          <w:color w:val="000000"/>
          <w:lang w:val="en-GB"/>
        </w:rPr>
      </w:pPr>
      <w:r w:rsidRPr="00C8007B">
        <w:rPr>
          <w:color w:val="000000"/>
          <w:lang w:val="en-GB"/>
        </w:rPr>
        <w:t>Lidl associated with suppliers that shared a commitment to deliver the highest-quality products. With Lidl’s inflexible assurance to exceed consumer expectations, the company searched for compatible suppliers devoted to providing and developing with the company. Lidl had long-term contracts with its suppliers and spent less time on negotiations to deliver high-quality products at extremely low prices.</w:t>
      </w:r>
      <w:r w:rsidRPr="00C8007B">
        <w:rPr>
          <w:color w:val="000000"/>
          <w:vertAlign w:val="superscript"/>
          <w:lang w:val="en-GB"/>
        </w:rPr>
        <w:endnoteReference w:id="31"/>
      </w:r>
      <w:r w:rsidRPr="00C8007B">
        <w:rPr>
          <w:color w:val="000000"/>
          <w:lang w:val="en-GB"/>
        </w:rPr>
        <w:t xml:space="preserve"> In addition, Lidl expected its global business partners to adhere to and ensure non-negotiable minimum social standards such as human dignity, a ban on forced and child labour, working conditions and remunerations, a ban on discrimination, freedom of organization and assembly, health and safety in the workplace, environmental protection, anti-bribery, and operational implementation.</w:t>
      </w:r>
      <w:r w:rsidRPr="00C8007B">
        <w:rPr>
          <w:color w:val="000000"/>
          <w:vertAlign w:val="superscript"/>
          <w:lang w:val="en-GB"/>
        </w:rPr>
        <w:endnoteReference w:id="32"/>
      </w:r>
      <w:r w:rsidRPr="00C8007B">
        <w:rPr>
          <w:color w:val="000000"/>
          <w:lang w:val="en-GB"/>
        </w:rPr>
        <w:t xml:space="preserve"> </w:t>
      </w:r>
    </w:p>
    <w:p w14:paraId="0736281D" w14:textId="77777777" w:rsidR="009C53B1" w:rsidRPr="00C8007B" w:rsidRDefault="009C53B1" w:rsidP="00C8007B">
      <w:pPr>
        <w:pStyle w:val="BodyTextMain"/>
        <w:rPr>
          <w:sz w:val="20"/>
          <w:lang w:val="en-GB"/>
        </w:rPr>
      </w:pPr>
    </w:p>
    <w:p w14:paraId="43AD9955" w14:textId="77777777" w:rsidR="009C53B1" w:rsidRPr="00C8007B" w:rsidRDefault="009C53B1" w:rsidP="00C8007B">
      <w:pPr>
        <w:pStyle w:val="BodyTextMain"/>
        <w:rPr>
          <w:sz w:val="20"/>
          <w:lang w:val="en-GB"/>
        </w:rPr>
      </w:pPr>
    </w:p>
    <w:p w14:paraId="75E01F94" w14:textId="77777777" w:rsidR="009C53B1" w:rsidRPr="00C8007B" w:rsidRDefault="009C53B1" w:rsidP="009627F1">
      <w:pPr>
        <w:pStyle w:val="Casehead2"/>
        <w:rPr>
          <w:lang w:val="en-GB"/>
        </w:rPr>
      </w:pPr>
      <w:r w:rsidRPr="00C8007B">
        <w:rPr>
          <w:lang w:val="en-GB"/>
        </w:rPr>
        <w:t>Sustainability</w:t>
      </w:r>
    </w:p>
    <w:p w14:paraId="32285878" w14:textId="77777777" w:rsidR="009C53B1" w:rsidRPr="00C8007B" w:rsidRDefault="009C53B1" w:rsidP="009627F1">
      <w:pPr>
        <w:pStyle w:val="BodyTextMain"/>
        <w:rPr>
          <w:sz w:val="20"/>
          <w:lang w:val="en-GB"/>
        </w:rPr>
      </w:pPr>
    </w:p>
    <w:p w14:paraId="50D6B60E" w14:textId="77777777" w:rsidR="009C53B1" w:rsidRDefault="009C53B1" w:rsidP="009627F1">
      <w:pPr>
        <w:pStyle w:val="BodyTextMain"/>
      </w:pPr>
      <w:r w:rsidRPr="00C8007B">
        <w:t>Lidl believed that sustainability was a fundamental sign of quality and aimed to provide transparency around its sustainability initiatives such as store drop-off recycling, How2Recycle labels on Lidl packaging, third party certifications, seafood certifications, and sourcing responsibly.</w:t>
      </w:r>
      <w:r w:rsidRPr="00C8007B">
        <w:rPr>
          <w:rFonts w:eastAsiaTheme="minorEastAsia"/>
          <w:spacing w:val="-2"/>
          <w:vertAlign w:val="superscript"/>
        </w:rPr>
        <w:endnoteReference w:id="33"/>
      </w:r>
    </w:p>
    <w:p w14:paraId="40214B34" w14:textId="77777777" w:rsidR="009C53B1" w:rsidRDefault="009C53B1" w:rsidP="009627F1">
      <w:pPr>
        <w:pStyle w:val="BodyTextMain"/>
      </w:pPr>
    </w:p>
    <w:p w14:paraId="584ED56B" w14:textId="77777777" w:rsidR="009C53B1" w:rsidRPr="00C8007B" w:rsidRDefault="009C53B1" w:rsidP="009627F1">
      <w:pPr>
        <w:pStyle w:val="BodyTextMain"/>
      </w:pPr>
    </w:p>
    <w:p w14:paraId="3C593781" w14:textId="77777777" w:rsidR="009C53B1" w:rsidRPr="00C8007B" w:rsidRDefault="009C53B1" w:rsidP="00496DB7">
      <w:pPr>
        <w:pStyle w:val="Casehead2"/>
        <w:keepNext/>
        <w:rPr>
          <w:lang w:val="en-GB"/>
        </w:rPr>
      </w:pPr>
      <w:r w:rsidRPr="00C8007B">
        <w:rPr>
          <w:lang w:val="en-GB"/>
        </w:rPr>
        <w:lastRenderedPageBreak/>
        <w:t>Third Party Certifications</w:t>
      </w:r>
    </w:p>
    <w:p w14:paraId="45B33431" w14:textId="77777777" w:rsidR="009C53B1" w:rsidRPr="00C8007B" w:rsidRDefault="009C53B1" w:rsidP="00496DB7">
      <w:pPr>
        <w:pStyle w:val="BodyTextMain"/>
        <w:keepNext/>
        <w:rPr>
          <w:sz w:val="20"/>
        </w:rPr>
      </w:pPr>
    </w:p>
    <w:p w14:paraId="06E61DF6" w14:textId="698991C5" w:rsidR="009C53B1" w:rsidRPr="00C8007B" w:rsidRDefault="009C53B1" w:rsidP="00496DB7">
      <w:pPr>
        <w:pStyle w:val="BodyTextMain"/>
        <w:keepNext/>
      </w:pPr>
      <w:r w:rsidRPr="00C8007B">
        <w:t>Lidl pursued the certification of well-known agencies and organizations—namely, USDA Organic</w:t>
      </w:r>
      <w:r w:rsidRPr="00AA1C35">
        <w:t xml:space="preserve">, </w:t>
      </w:r>
      <w:r w:rsidR="00AA1C35" w:rsidRPr="00AA1C35">
        <w:t>t</w:t>
      </w:r>
      <w:r w:rsidRPr="00AA1C35">
        <w:t xml:space="preserve">he </w:t>
      </w:r>
      <w:r w:rsidRPr="00C8007B">
        <w:t xml:space="preserve">Non-GMO (genetically modified) Project product verification program, the Rainforest Alliance Certified seal, UTZ certification, the Roundtable on Sustainable Palm Oil certification, Fairtrade </w:t>
      </w:r>
      <w:r w:rsidRPr="00496DB7">
        <w:t xml:space="preserve">International, and True </w:t>
      </w:r>
      <w:r w:rsidRPr="00C8007B">
        <w:t xml:space="preserve">Source Certified Honey. These institutions set standards and best practices </w:t>
      </w:r>
      <w:r>
        <w:t>for various different industries, including</w:t>
      </w:r>
      <w:r w:rsidRPr="00C8007B">
        <w:t xml:space="preserve"> fishing, organic farming and production, sustainable harvesting, and fair trade.</w:t>
      </w:r>
      <w:r w:rsidRPr="00C8007B">
        <w:rPr>
          <w:vertAlign w:val="superscript"/>
        </w:rPr>
        <w:endnoteReference w:id="34"/>
      </w:r>
    </w:p>
    <w:p w14:paraId="451817E5" w14:textId="77777777" w:rsidR="009C53B1" w:rsidRPr="009627F1" w:rsidRDefault="009C53B1" w:rsidP="00C8007B">
      <w:pPr>
        <w:pStyle w:val="BodyTextMain"/>
        <w:rPr>
          <w:sz w:val="20"/>
        </w:rPr>
      </w:pPr>
    </w:p>
    <w:p w14:paraId="48598881" w14:textId="77777777" w:rsidR="009C53B1" w:rsidRPr="00C8007B" w:rsidRDefault="009C53B1" w:rsidP="00C8007B">
      <w:pPr>
        <w:pStyle w:val="BodyTextMain"/>
      </w:pPr>
      <w:r w:rsidRPr="00C8007B">
        <w:t>Certifications for fresh and frozen Lidl seafood included those set by the Marine Stewardship Council, Best Aquaculture Practices, and Aquaculture Stewardship Council.</w:t>
      </w:r>
      <w:r w:rsidRPr="00C8007B" w:rsidDel="00944B70">
        <w:t xml:space="preserve"> </w:t>
      </w:r>
      <w:r w:rsidRPr="00C8007B">
        <w:t>Moreover, sourcing responsibly allowed Lidl to improve the quality of its products to provide only the best to its customers. These products included cage-free eggs, non-GMO foods, and olive oil.</w:t>
      </w:r>
      <w:r w:rsidRPr="00C8007B">
        <w:rPr>
          <w:rFonts w:eastAsiaTheme="minorEastAsia"/>
          <w:vertAlign w:val="superscript"/>
        </w:rPr>
        <w:endnoteReference w:id="35"/>
      </w:r>
    </w:p>
    <w:p w14:paraId="2DD68E50" w14:textId="77777777" w:rsidR="009C53B1" w:rsidRPr="009627F1" w:rsidRDefault="009C53B1" w:rsidP="00C8007B">
      <w:pPr>
        <w:pStyle w:val="BodyTextMain"/>
        <w:rPr>
          <w:sz w:val="20"/>
        </w:rPr>
      </w:pPr>
    </w:p>
    <w:p w14:paraId="1B1E578D" w14:textId="77777777" w:rsidR="009C53B1" w:rsidRPr="009627F1" w:rsidRDefault="009C53B1" w:rsidP="00C8007B">
      <w:pPr>
        <w:pStyle w:val="BodyTextMain"/>
        <w:rPr>
          <w:sz w:val="20"/>
          <w:lang w:val="en-GB"/>
        </w:rPr>
      </w:pPr>
    </w:p>
    <w:p w14:paraId="76117072" w14:textId="77777777" w:rsidR="009C53B1" w:rsidRPr="00C8007B" w:rsidRDefault="009C53B1" w:rsidP="009627F1">
      <w:pPr>
        <w:pStyle w:val="Casehead2"/>
        <w:rPr>
          <w:lang w:val="en-GB"/>
        </w:rPr>
      </w:pPr>
      <w:r w:rsidRPr="00C8007B">
        <w:rPr>
          <w:lang w:val="en-GB"/>
        </w:rPr>
        <w:t>Price</w:t>
      </w:r>
    </w:p>
    <w:p w14:paraId="1613B669" w14:textId="77777777" w:rsidR="009C53B1" w:rsidRPr="009627F1" w:rsidRDefault="009C53B1" w:rsidP="00C8007B">
      <w:pPr>
        <w:pStyle w:val="BodyTextMain"/>
        <w:rPr>
          <w:sz w:val="20"/>
          <w:lang w:val="en-GB"/>
        </w:rPr>
      </w:pPr>
    </w:p>
    <w:p w14:paraId="0D498A54" w14:textId="14BEE35B" w:rsidR="009C53B1" w:rsidRPr="009627F1" w:rsidRDefault="009C53B1" w:rsidP="00C8007B">
      <w:pPr>
        <w:pStyle w:val="BodyTextMain"/>
        <w:rPr>
          <w:spacing w:val="-2"/>
          <w:lang w:val="en-GB"/>
        </w:rPr>
      </w:pPr>
      <w:r w:rsidRPr="009627F1">
        <w:rPr>
          <w:spacing w:val="-2"/>
          <w:lang w:val="en-GB"/>
        </w:rPr>
        <w:t xml:space="preserve">When Lidl entered the United States in 2017, it undercut </w:t>
      </w:r>
      <w:r>
        <w:rPr>
          <w:spacing w:val="-2"/>
          <w:lang w:val="en-GB"/>
        </w:rPr>
        <w:t>most</w:t>
      </w:r>
      <w:r w:rsidRPr="009627F1">
        <w:rPr>
          <w:spacing w:val="-2"/>
          <w:lang w:val="en-GB"/>
        </w:rPr>
        <w:t xml:space="preserve"> competitors by </w:t>
      </w:r>
      <w:r>
        <w:rPr>
          <w:spacing w:val="-2"/>
          <w:lang w:val="en-GB"/>
        </w:rPr>
        <w:t>approximately</w:t>
      </w:r>
      <w:r w:rsidRPr="009627F1">
        <w:rPr>
          <w:spacing w:val="-2"/>
          <w:lang w:val="en-GB"/>
        </w:rPr>
        <w:t xml:space="preserve"> 39 per cent</w:t>
      </w:r>
      <w:r w:rsidRPr="009627F1">
        <w:rPr>
          <w:spacing w:val="-2"/>
          <w:vertAlign w:val="superscript"/>
          <w:lang w:val="en-GB"/>
        </w:rPr>
        <w:endnoteReference w:id="36"/>
      </w:r>
      <w:r w:rsidRPr="009627F1">
        <w:rPr>
          <w:spacing w:val="-2"/>
          <w:lang w:val="en-GB"/>
        </w:rPr>
        <w:t>—and Walmart directly by 9 per cent.</w:t>
      </w:r>
      <w:r w:rsidRPr="009627F1">
        <w:rPr>
          <w:spacing w:val="-2"/>
          <w:vertAlign w:val="superscript"/>
          <w:lang w:val="en-GB"/>
        </w:rPr>
        <w:endnoteReference w:id="37"/>
      </w:r>
      <w:r w:rsidRPr="009627F1">
        <w:rPr>
          <w:spacing w:val="-2"/>
          <w:lang w:val="en-GB"/>
        </w:rPr>
        <w:t xml:space="preserve"> In a typical Lidl store, milk was priced significantly lower than its competitors. The price for a bag of four organic avocados was $2.99, which was </w:t>
      </w:r>
      <w:r>
        <w:rPr>
          <w:spacing w:val="-2"/>
          <w:lang w:val="en-GB"/>
        </w:rPr>
        <w:t xml:space="preserve">far below the price </w:t>
      </w:r>
      <w:r w:rsidRPr="009627F1">
        <w:rPr>
          <w:spacing w:val="-2"/>
          <w:lang w:val="en-GB"/>
        </w:rPr>
        <w:t>avocados usually sold for</w:t>
      </w:r>
      <w:r>
        <w:rPr>
          <w:spacing w:val="-2"/>
          <w:lang w:val="en-GB"/>
        </w:rPr>
        <w:t>, at</w:t>
      </w:r>
      <w:r w:rsidRPr="009627F1">
        <w:rPr>
          <w:spacing w:val="-2"/>
          <w:lang w:val="en-GB"/>
        </w:rPr>
        <w:t xml:space="preserve"> $2.99 each. Even domestic products, such as </w:t>
      </w:r>
      <w:proofErr w:type="spellStart"/>
      <w:r w:rsidRPr="009627F1">
        <w:rPr>
          <w:spacing w:val="-2"/>
          <w:lang w:val="en-GB"/>
        </w:rPr>
        <w:t>Freschetta</w:t>
      </w:r>
      <w:proofErr w:type="spellEnd"/>
      <w:r w:rsidRPr="009627F1">
        <w:rPr>
          <w:spacing w:val="-2"/>
          <w:lang w:val="en-GB"/>
        </w:rPr>
        <w:t xml:space="preserve"> frozen pizza, were priced at lower rates than Lidl’s competitors. </w:t>
      </w:r>
      <w:r>
        <w:rPr>
          <w:spacing w:val="-2"/>
          <w:lang w:val="en-GB"/>
        </w:rPr>
        <w:t>D</w:t>
      </w:r>
      <w:r w:rsidRPr="009627F1">
        <w:rPr>
          <w:spacing w:val="-2"/>
          <w:lang w:val="en-GB"/>
        </w:rPr>
        <w:t xml:space="preserve">omestic products accounted for roughly 50 per cent of Lidl’s in-store items (see Exhibit 1). One way Lidl had been successful in </w:t>
      </w:r>
      <w:r>
        <w:rPr>
          <w:spacing w:val="-2"/>
          <w:lang w:val="en-GB"/>
        </w:rPr>
        <w:t xml:space="preserve">its </w:t>
      </w:r>
      <w:r w:rsidRPr="009627F1">
        <w:rPr>
          <w:spacing w:val="-2"/>
          <w:lang w:val="en-GB"/>
        </w:rPr>
        <w:t xml:space="preserve">cost-saving measures was </w:t>
      </w:r>
      <w:r>
        <w:rPr>
          <w:spacing w:val="-2"/>
          <w:lang w:val="en-GB"/>
        </w:rPr>
        <w:t>by</w:t>
      </w:r>
      <w:r w:rsidRPr="009627F1">
        <w:rPr>
          <w:spacing w:val="-2"/>
          <w:lang w:val="en-GB"/>
        </w:rPr>
        <w:t xml:space="preserve"> offering many private label brands. Increasing private label brand offerings gave way to higher profit margins. Because of Lidl’s pricing strategy, local Aldi stores were forced to lower their prices by 14 per cent.</w:t>
      </w:r>
      <w:r w:rsidRPr="009627F1">
        <w:rPr>
          <w:spacing w:val="-2"/>
          <w:vertAlign w:val="superscript"/>
          <w:lang w:val="en-GB"/>
        </w:rPr>
        <w:endnoteReference w:id="38"/>
      </w:r>
      <w:r w:rsidRPr="009627F1">
        <w:rPr>
          <w:spacing w:val="-2"/>
          <w:lang w:val="en-GB"/>
        </w:rPr>
        <w:t xml:space="preserve"> Lidl believed that </w:t>
      </w:r>
      <w:r>
        <w:rPr>
          <w:spacing w:val="-2"/>
          <w:lang w:val="en-GB"/>
        </w:rPr>
        <w:t>i</w:t>
      </w:r>
      <w:r w:rsidRPr="009627F1">
        <w:rPr>
          <w:spacing w:val="-2"/>
          <w:lang w:val="en-GB"/>
        </w:rPr>
        <w:t>t</w:t>
      </w:r>
      <w:r>
        <w:rPr>
          <w:spacing w:val="-2"/>
          <w:lang w:val="en-GB"/>
        </w:rPr>
        <w:t>s</w:t>
      </w:r>
      <w:r w:rsidRPr="009627F1">
        <w:rPr>
          <w:spacing w:val="-2"/>
          <w:lang w:val="en-GB"/>
        </w:rPr>
        <w:t xml:space="preserve"> customers should not compromise quality for price. Through consistency, strict standards, and third party audits of suppliers, the</w:t>
      </w:r>
      <w:r>
        <w:rPr>
          <w:spacing w:val="-2"/>
          <w:lang w:val="en-GB"/>
        </w:rPr>
        <w:t xml:space="preserve"> compan</w:t>
      </w:r>
      <w:r w:rsidRPr="009627F1">
        <w:rPr>
          <w:spacing w:val="-2"/>
          <w:lang w:val="en-GB"/>
        </w:rPr>
        <w:t>y w</w:t>
      </w:r>
      <w:r>
        <w:rPr>
          <w:spacing w:val="-2"/>
          <w:lang w:val="en-GB"/>
        </w:rPr>
        <w:t>as</w:t>
      </w:r>
      <w:r w:rsidRPr="009627F1">
        <w:rPr>
          <w:spacing w:val="-2"/>
          <w:lang w:val="en-GB"/>
        </w:rPr>
        <w:t xml:space="preserve"> able to provide quality products at low prices. </w:t>
      </w:r>
      <w:r>
        <w:rPr>
          <w:spacing w:val="-2"/>
          <w:lang w:val="en-GB"/>
        </w:rPr>
        <w:t>Lidl</w:t>
      </w:r>
      <w:r w:rsidRPr="009627F1">
        <w:rPr>
          <w:spacing w:val="-2"/>
          <w:lang w:val="en-GB"/>
        </w:rPr>
        <w:t xml:space="preserve"> even went as far as to offer dissatisfied customers a replacement with their refund.</w:t>
      </w:r>
      <w:r w:rsidRPr="009627F1">
        <w:rPr>
          <w:spacing w:val="-2"/>
          <w:vertAlign w:val="superscript"/>
          <w:lang w:val="en-GB"/>
        </w:rPr>
        <w:endnoteReference w:id="39"/>
      </w:r>
      <w:r w:rsidRPr="009627F1">
        <w:rPr>
          <w:spacing w:val="-2"/>
          <w:lang w:val="en-GB"/>
        </w:rPr>
        <w:t xml:space="preserve"> </w:t>
      </w:r>
    </w:p>
    <w:p w14:paraId="594C641F" w14:textId="77777777" w:rsidR="009C53B1" w:rsidRPr="009627F1" w:rsidRDefault="009C53B1" w:rsidP="00C8007B">
      <w:pPr>
        <w:pStyle w:val="BodyTextMain"/>
        <w:rPr>
          <w:sz w:val="20"/>
          <w:lang w:val="en-GB"/>
        </w:rPr>
      </w:pPr>
    </w:p>
    <w:p w14:paraId="62A9EE86" w14:textId="77777777" w:rsidR="009C53B1" w:rsidRPr="009627F1" w:rsidRDefault="009C53B1" w:rsidP="00C8007B">
      <w:pPr>
        <w:pStyle w:val="BodyTextMain"/>
        <w:rPr>
          <w:sz w:val="20"/>
          <w:lang w:val="en-GB"/>
        </w:rPr>
      </w:pPr>
    </w:p>
    <w:p w14:paraId="2C306EC9" w14:textId="77777777" w:rsidR="009C53B1" w:rsidRPr="00C8007B" w:rsidRDefault="009C53B1" w:rsidP="009627F1">
      <w:pPr>
        <w:pStyle w:val="Casehead2"/>
        <w:rPr>
          <w:lang w:val="en-GB"/>
        </w:rPr>
      </w:pPr>
      <w:r w:rsidRPr="00C8007B">
        <w:rPr>
          <w:lang w:val="en-GB"/>
        </w:rPr>
        <w:t>Promotion</w:t>
      </w:r>
    </w:p>
    <w:p w14:paraId="5916E245" w14:textId="77777777" w:rsidR="009C53B1" w:rsidRPr="009627F1" w:rsidRDefault="009C53B1" w:rsidP="00C8007B">
      <w:pPr>
        <w:pStyle w:val="BodyTextMain"/>
        <w:rPr>
          <w:sz w:val="20"/>
          <w:lang w:val="en-GB"/>
        </w:rPr>
      </w:pPr>
    </w:p>
    <w:p w14:paraId="5DF35552" w14:textId="3774A900" w:rsidR="009C53B1" w:rsidRPr="00C8007B" w:rsidRDefault="009C53B1" w:rsidP="00C8007B">
      <w:pPr>
        <w:pStyle w:val="BodyTextMain"/>
        <w:rPr>
          <w:lang w:val="en-GB"/>
        </w:rPr>
      </w:pPr>
      <w:r w:rsidRPr="00C8007B">
        <w:rPr>
          <w:lang w:val="en-GB"/>
        </w:rPr>
        <w:t xml:space="preserve">Lidl used big glass windows in all its stores </w:t>
      </w:r>
      <w:r>
        <w:rPr>
          <w:lang w:val="en-GB"/>
        </w:rPr>
        <w:t>to</w:t>
      </w:r>
      <w:r w:rsidRPr="00C8007B">
        <w:rPr>
          <w:lang w:val="en-GB"/>
        </w:rPr>
        <w:t xml:space="preserve"> attract new customers. Upon entering a Lidl store, a customer would be bombarded with large orange discount signs on almost every item. Lidl also had a “</w:t>
      </w:r>
      <w:r w:rsidRPr="00C8007B">
        <w:rPr>
          <w:iCs/>
          <w:lang w:val="en-GB"/>
        </w:rPr>
        <w:t>Surprises!” section</w:t>
      </w:r>
      <w:r w:rsidRPr="00C8007B">
        <w:rPr>
          <w:lang w:val="en-GB"/>
        </w:rPr>
        <w:t xml:space="preserve"> with low-cost, last-minute household items, such as vacuums, T-shirts, and </w:t>
      </w:r>
      <w:proofErr w:type="spellStart"/>
      <w:r w:rsidRPr="00C8007B">
        <w:rPr>
          <w:lang w:val="en-GB"/>
        </w:rPr>
        <w:t>stepstools</w:t>
      </w:r>
      <w:proofErr w:type="spellEnd"/>
      <w:r w:rsidRPr="00C8007B">
        <w:rPr>
          <w:lang w:val="en-GB"/>
        </w:rPr>
        <w:t>. These items rotated every Sunday and Thursday. Lidl also released a weekly circular highlighting some of the best deals available in stores that week. Television advertis</w:t>
      </w:r>
      <w:r>
        <w:rPr>
          <w:lang w:val="en-GB"/>
        </w:rPr>
        <w:t>ing</w:t>
      </w:r>
      <w:r w:rsidRPr="00C8007B">
        <w:rPr>
          <w:lang w:val="en-GB"/>
        </w:rPr>
        <w:t xml:space="preserve"> w</w:t>
      </w:r>
      <w:r>
        <w:rPr>
          <w:lang w:val="en-GB"/>
        </w:rPr>
        <w:t>as</w:t>
      </w:r>
      <w:r w:rsidRPr="00C8007B">
        <w:rPr>
          <w:lang w:val="en-GB"/>
        </w:rPr>
        <w:t xml:space="preserve"> used to promote new store openings; however, to keep costs low, th</w:t>
      </w:r>
      <w:r>
        <w:rPr>
          <w:lang w:val="en-GB"/>
        </w:rPr>
        <w:t>is was</w:t>
      </w:r>
      <w:r w:rsidRPr="00C8007B">
        <w:rPr>
          <w:lang w:val="en-GB"/>
        </w:rPr>
        <w:t xml:space="preserve"> not a major part of </w:t>
      </w:r>
      <w:r>
        <w:rPr>
          <w:lang w:val="en-GB"/>
        </w:rPr>
        <w:t>Lidl’s</w:t>
      </w:r>
      <w:r w:rsidRPr="00C8007B">
        <w:rPr>
          <w:lang w:val="en-GB"/>
        </w:rPr>
        <w:t xml:space="preserve"> marketing strategy. </w:t>
      </w:r>
    </w:p>
    <w:p w14:paraId="5B1D05FA" w14:textId="77777777" w:rsidR="009C53B1" w:rsidRPr="009627F1" w:rsidRDefault="009C53B1" w:rsidP="00C8007B">
      <w:pPr>
        <w:pStyle w:val="BodyTextMain"/>
        <w:rPr>
          <w:spacing w:val="-4"/>
          <w:sz w:val="20"/>
          <w:lang w:val="en-GB"/>
        </w:rPr>
      </w:pPr>
    </w:p>
    <w:p w14:paraId="037B23D6" w14:textId="51ADC746" w:rsidR="009C53B1" w:rsidRPr="009627F1" w:rsidRDefault="009C53B1" w:rsidP="00C8007B">
      <w:pPr>
        <w:pStyle w:val="BodyTextMain"/>
        <w:rPr>
          <w:spacing w:val="-4"/>
          <w:lang w:val="en-GB"/>
        </w:rPr>
      </w:pPr>
      <w:r w:rsidRPr="009627F1">
        <w:rPr>
          <w:spacing w:val="-4"/>
          <w:lang w:val="en-GB"/>
        </w:rPr>
        <w:t xml:space="preserve">Lidl developed a mobile application (app) for both iOS and Android users. When </w:t>
      </w:r>
      <w:r>
        <w:rPr>
          <w:spacing w:val="-4"/>
          <w:lang w:val="en-GB"/>
        </w:rPr>
        <w:t xml:space="preserve">customers </w:t>
      </w:r>
      <w:r w:rsidRPr="009627F1">
        <w:rPr>
          <w:spacing w:val="-4"/>
          <w:lang w:val="en-GB"/>
        </w:rPr>
        <w:t>enter</w:t>
      </w:r>
      <w:r>
        <w:rPr>
          <w:spacing w:val="-4"/>
          <w:lang w:val="en-GB"/>
        </w:rPr>
        <w:t>ed</w:t>
      </w:r>
      <w:r w:rsidRPr="009627F1">
        <w:rPr>
          <w:spacing w:val="-4"/>
          <w:lang w:val="en-GB"/>
        </w:rPr>
        <w:t xml:space="preserve"> a store, a sign encouraged </w:t>
      </w:r>
      <w:r>
        <w:rPr>
          <w:spacing w:val="-4"/>
          <w:lang w:val="en-GB"/>
        </w:rPr>
        <w:t>them</w:t>
      </w:r>
      <w:r w:rsidRPr="009627F1">
        <w:rPr>
          <w:spacing w:val="-4"/>
          <w:lang w:val="en-GB"/>
        </w:rPr>
        <w:t xml:space="preserve"> to download the app. The app promoted not only deals that were in-store but also those found exclusively online. The app also allowed customers to “clip” digital coupons for additional savings. Aldi, Lidl’s biggest competitor, also had an app; however, </w:t>
      </w:r>
      <w:r>
        <w:rPr>
          <w:spacing w:val="-4"/>
          <w:lang w:val="en-GB"/>
        </w:rPr>
        <w:t>Aldi’s</w:t>
      </w:r>
      <w:r w:rsidRPr="009627F1">
        <w:rPr>
          <w:spacing w:val="-4"/>
          <w:lang w:val="en-GB"/>
        </w:rPr>
        <w:t xml:space="preserve"> app only provided information that could be found in the store. Lidl’s website offered information about local weekly deals, recipes, sourcing, new offers, and new store openings. Lidl had a strong social media presence; </w:t>
      </w:r>
      <w:r>
        <w:rPr>
          <w:spacing w:val="-4"/>
          <w:lang w:val="en-GB"/>
        </w:rPr>
        <w:t>i</w:t>
      </w:r>
      <w:r w:rsidRPr="009627F1">
        <w:rPr>
          <w:spacing w:val="-4"/>
          <w:lang w:val="en-GB"/>
        </w:rPr>
        <w:t>t</w:t>
      </w:r>
      <w:r>
        <w:rPr>
          <w:spacing w:val="-4"/>
          <w:lang w:val="en-GB"/>
        </w:rPr>
        <w:t>s</w:t>
      </w:r>
      <w:r w:rsidRPr="009627F1">
        <w:rPr>
          <w:spacing w:val="-4"/>
          <w:lang w:val="en-GB"/>
        </w:rPr>
        <w:t xml:space="preserve"> Facebook page was updated every few days, and Facebook messages </w:t>
      </w:r>
      <w:r>
        <w:rPr>
          <w:spacing w:val="-4"/>
          <w:lang w:val="en-GB"/>
        </w:rPr>
        <w:t xml:space="preserve">were answered </w:t>
      </w:r>
      <w:r w:rsidRPr="009627F1">
        <w:rPr>
          <w:spacing w:val="-4"/>
          <w:lang w:val="en-GB"/>
        </w:rPr>
        <w:t xml:space="preserve">within a few hours. </w:t>
      </w:r>
    </w:p>
    <w:p w14:paraId="261A7E51" w14:textId="77777777" w:rsidR="009C53B1" w:rsidRPr="009627F1" w:rsidRDefault="009C53B1" w:rsidP="00C8007B">
      <w:pPr>
        <w:pStyle w:val="BodyTextMain"/>
        <w:rPr>
          <w:sz w:val="20"/>
          <w:lang w:val="en-GB"/>
        </w:rPr>
      </w:pPr>
    </w:p>
    <w:p w14:paraId="616CBE65" w14:textId="77777777" w:rsidR="009C53B1" w:rsidRPr="009627F1" w:rsidRDefault="009C53B1" w:rsidP="00C8007B">
      <w:pPr>
        <w:pStyle w:val="BodyTextMain"/>
        <w:rPr>
          <w:sz w:val="20"/>
          <w:lang w:val="en-GB"/>
        </w:rPr>
      </w:pPr>
    </w:p>
    <w:p w14:paraId="23D101C8" w14:textId="77777777" w:rsidR="009C53B1" w:rsidRPr="00C8007B" w:rsidRDefault="009C53B1" w:rsidP="009627F1">
      <w:pPr>
        <w:pStyle w:val="Casehead2"/>
        <w:keepNext/>
        <w:rPr>
          <w:lang w:val="en-GB"/>
        </w:rPr>
      </w:pPr>
      <w:r w:rsidRPr="00C8007B">
        <w:rPr>
          <w:lang w:val="en-GB"/>
        </w:rPr>
        <w:t>Location</w:t>
      </w:r>
    </w:p>
    <w:p w14:paraId="243E2E60" w14:textId="77777777" w:rsidR="009C53B1" w:rsidRPr="009627F1" w:rsidRDefault="009C53B1" w:rsidP="009627F1">
      <w:pPr>
        <w:pStyle w:val="BodyTextMain"/>
        <w:keepNext/>
        <w:rPr>
          <w:sz w:val="20"/>
          <w:lang w:val="en-GB"/>
        </w:rPr>
      </w:pPr>
    </w:p>
    <w:p w14:paraId="0085CEC1" w14:textId="15032F53" w:rsidR="009C53B1" w:rsidRPr="00C8007B" w:rsidRDefault="009C53B1" w:rsidP="009627F1">
      <w:pPr>
        <w:pStyle w:val="BodyTextMain"/>
        <w:keepNext/>
        <w:rPr>
          <w:lang w:val="en-GB"/>
        </w:rPr>
      </w:pPr>
      <w:r w:rsidRPr="00C8007B">
        <w:rPr>
          <w:lang w:val="en-GB"/>
        </w:rPr>
        <w:t xml:space="preserve">Close proximity to an Aldi location was a huge part of Lidl’s criteria for deciding where to open the next store. The Winston-Salem, North Carolina, location, in particular, was 2.4 kilometres (km) from the closest </w:t>
      </w:r>
      <w:r w:rsidRPr="00C8007B">
        <w:rPr>
          <w:lang w:val="en-GB"/>
        </w:rPr>
        <w:lastRenderedPageBreak/>
        <w:t xml:space="preserve">Aldi. In fact, Walmart, Food Lion, and Harris Teeter were all within 8 km of this location. When Lidl entered a new market, </w:t>
      </w:r>
      <w:r>
        <w:rPr>
          <w:lang w:val="en-GB"/>
        </w:rPr>
        <w:t>i</w:t>
      </w:r>
      <w:r w:rsidRPr="00C8007B">
        <w:rPr>
          <w:lang w:val="en-GB"/>
        </w:rPr>
        <w:t xml:space="preserve">t gave competitors </w:t>
      </w:r>
      <w:r>
        <w:rPr>
          <w:lang w:val="en-GB"/>
        </w:rPr>
        <w:t>strong</w:t>
      </w:r>
      <w:r w:rsidRPr="00C8007B">
        <w:rPr>
          <w:lang w:val="en-GB"/>
        </w:rPr>
        <w:t xml:space="preserve"> competition. Almost every grocery store in proximity to a Lidl was forced to cut </w:t>
      </w:r>
      <w:r>
        <w:rPr>
          <w:lang w:val="en-GB"/>
        </w:rPr>
        <w:t>i</w:t>
      </w:r>
      <w:r w:rsidRPr="00C8007B">
        <w:rPr>
          <w:lang w:val="en-GB"/>
        </w:rPr>
        <w:t>t</w:t>
      </w:r>
      <w:r>
        <w:rPr>
          <w:lang w:val="en-GB"/>
        </w:rPr>
        <w:t>s</w:t>
      </w:r>
      <w:r w:rsidRPr="00C8007B">
        <w:rPr>
          <w:lang w:val="en-GB"/>
        </w:rPr>
        <w:t xml:space="preserve"> prices to remain competitive and retain market share. In 2018, there were 47 U.S.-based Lidl stores located across six states</w:t>
      </w:r>
      <w:r>
        <w:rPr>
          <w:lang w:val="en-GB"/>
        </w:rPr>
        <w:t xml:space="preserve"> (see Exhibit 2).</w:t>
      </w:r>
      <w:r w:rsidRPr="00C8007B">
        <w:rPr>
          <w:lang w:val="en-GB"/>
        </w:rPr>
        <w:t xml:space="preserve"> The company had originally planned for 100 locations by the end of 2018, but had been scaling back in an effort to maintain and grow the reputation of existing U.S. stores. Lidl also offered online grocery ordering and delivery in three states: North Carolina, South Carolina, and Virginia. The delivery system used a third party distributor called </w:t>
      </w:r>
      <w:proofErr w:type="spellStart"/>
      <w:r w:rsidRPr="00C8007B">
        <w:rPr>
          <w:iCs/>
          <w:lang w:val="en-GB"/>
        </w:rPr>
        <w:t>Shipt</w:t>
      </w:r>
      <w:proofErr w:type="spellEnd"/>
      <w:r w:rsidRPr="00C8007B">
        <w:rPr>
          <w:lang w:val="en-GB"/>
        </w:rPr>
        <w:t xml:space="preserve">. Despite the fact that this service was only offered in eight of the 47 U.S. locations, it was a great push in the right direction in terms of maintaining a competitive advantage with stores like Walmart and Amazon, who had a huge online presence. </w:t>
      </w:r>
    </w:p>
    <w:p w14:paraId="2859663B" w14:textId="77777777" w:rsidR="009C53B1" w:rsidRPr="009627F1" w:rsidRDefault="009C53B1" w:rsidP="00C8007B">
      <w:pPr>
        <w:pStyle w:val="BodyTextMain"/>
        <w:rPr>
          <w:sz w:val="20"/>
          <w:lang w:val="en-GB"/>
        </w:rPr>
      </w:pPr>
    </w:p>
    <w:p w14:paraId="08B3AE0B" w14:textId="19C5437D" w:rsidR="009C53B1" w:rsidRPr="00496DB7" w:rsidRDefault="009C53B1" w:rsidP="00C8007B">
      <w:pPr>
        <w:pStyle w:val="BodyTextMain"/>
        <w:rPr>
          <w:spacing w:val="-4"/>
          <w:lang w:val="en-GB"/>
        </w:rPr>
      </w:pPr>
      <w:r w:rsidRPr="00496DB7">
        <w:rPr>
          <w:spacing w:val="-4"/>
          <w:lang w:val="en-GB"/>
        </w:rPr>
        <w:t>To compete with online grocery retailers, Lidl offered customers the option o</w:t>
      </w:r>
      <w:r>
        <w:rPr>
          <w:spacing w:val="-4"/>
          <w:lang w:val="en-GB"/>
        </w:rPr>
        <w:t>f</w:t>
      </w:r>
      <w:r w:rsidRPr="00496DB7">
        <w:rPr>
          <w:spacing w:val="-4"/>
          <w:lang w:val="en-GB"/>
        </w:rPr>
        <w:t xml:space="preserve"> order</w:t>
      </w:r>
      <w:r>
        <w:rPr>
          <w:spacing w:val="-4"/>
          <w:lang w:val="en-GB"/>
        </w:rPr>
        <w:t>ing</w:t>
      </w:r>
      <w:r w:rsidRPr="00496DB7">
        <w:rPr>
          <w:spacing w:val="-4"/>
          <w:lang w:val="en-GB"/>
        </w:rPr>
        <w:t xml:space="preserve"> and purchas</w:t>
      </w:r>
      <w:r>
        <w:rPr>
          <w:spacing w:val="-4"/>
          <w:lang w:val="en-GB"/>
        </w:rPr>
        <w:t>ing</w:t>
      </w:r>
      <w:r w:rsidRPr="00496DB7">
        <w:rPr>
          <w:spacing w:val="-4"/>
          <w:lang w:val="en-GB"/>
        </w:rPr>
        <w:t xml:space="preserve"> their groceries online through its </w:t>
      </w:r>
      <w:proofErr w:type="spellStart"/>
      <w:r w:rsidRPr="00496DB7">
        <w:rPr>
          <w:spacing w:val="-4"/>
          <w:lang w:val="en-GB"/>
        </w:rPr>
        <w:t>Shipt</w:t>
      </w:r>
      <w:proofErr w:type="spellEnd"/>
      <w:r w:rsidRPr="00496DB7">
        <w:rPr>
          <w:spacing w:val="-4"/>
          <w:lang w:val="en-GB"/>
        </w:rPr>
        <w:t xml:space="preserve"> program using the free mobile app or website. Lidl delivered the groceries within one hour on the same day of ordering for a small fee; however, products purchased from </w:t>
      </w:r>
      <w:proofErr w:type="spellStart"/>
      <w:r w:rsidRPr="00496DB7">
        <w:rPr>
          <w:spacing w:val="-4"/>
          <w:lang w:val="en-GB"/>
        </w:rPr>
        <w:t>Shipt</w:t>
      </w:r>
      <w:proofErr w:type="spellEnd"/>
      <w:r w:rsidRPr="00496DB7">
        <w:rPr>
          <w:spacing w:val="-4"/>
          <w:lang w:val="en-GB"/>
        </w:rPr>
        <w:t xml:space="preserve"> were priced differently from those priced in the store. Customers could also simply browse the site and choose groceries, and a Lidl associate would collect the items for the customer before they arrived to the store for pickup. </w:t>
      </w:r>
    </w:p>
    <w:p w14:paraId="70289B58" w14:textId="77777777" w:rsidR="009C53B1" w:rsidRPr="009627F1" w:rsidRDefault="009C53B1" w:rsidP="00C8007B">
      <w:pPr>
        <w:pStyle w:val="BodyTextMain"/>
        <w:rPr>
          <w:sz w:val="20"/>
          <w:lang w:val="en-GB"/>
        </w:rPr>
      </w:pPr>
    </w:p>
    <w:p w14:paraId="60DC8221" w14:textId="77777777" w:rsidR="009C53B1" w:rsidRPr="009627F1" w:rsidRDefault="009C53B1" w:rsidP="00C8007B">
      <w:pPr>
        <w:pStyle w:val="BodyTextMain"/>
        <w:rPr>
          <w:sz w:val="20"/>
          <w:lang w:val="en-GB"/>
        </w:rPr>
      </w:pPr>
    </w:p>
    <w:p w14:paraId="067917AA" w14:textId="77777777" w:rsidR="009C53B1" w:rsidRPr="00C8007B" w:rsidRDefault="009C53B1" w:rsidP="009627F1">
      <w:pPr>
        <w:pStyle w:val="Casehead1"/>
        <w:rPr>
          <w:lang w:val="en-GB"/>
        </w:rPr>
      </w:pPr>
      <w:r w:rsidRPr="00C8007B">
        <w:rPr>
          <w:lang w:val="en-GB"/>
        </w:rPr>
        <w:t>COMPETITION</w:t>
      </w:r>
    </w:p>
    <w:p w14:paraId="6E8D88E8" w14:textId="77777777" w:rsidR="009C53B1" w:rsidRPr="009627F1" w:rsidRDefault="009C53B1" w:rsidP="00C8007B">
      <w:pPr>
        <w:pStyle w:val="BodyTextMain"/>
        <w:rPr>
          <w:sz w:val="20"/>
          <w:lang w:val="en-GB"/>
        </w:rPr>
      </w:pPr>
    </w:p>
    <w:p w14:paraId="46CA164E" w14:textId="77777777" w:rsidR="009C53B1" w:rsidRPr="00C8007B" w:rsidRDefault="009C53B1" w:rsidP="009627F1">
      <w:pPr>
        <w:pStyle w:val="Casehead2"/>
        <w:rPr>
          <w:lang w:val="en-GB"/>
        </w:rPr>
      </w:pPr>
      <w:r w:rsidRPr="00C8007B">
        <w:rPr>
          <w:lang w:val="en-GB"/>
        </w:rPr>
        <w:t>Aldi</w:t>
      </w:r>
    </w:p>
    <w:p w14:paraId="51C68913" w14:textId="77777777" w:rsidR="009C53B1" w:rsidRPr="009627F1" w:rsidRDefault="009C53B1" w:rsidP="00C8007B">
      <w:pPr>
        <w:pStyle w:val="BodyTextMain"/>
        <w:rPr>
          <w:sz w:val="20"/>
          <w:lang w:val="en-GB"/>
        </w:rPr>
      </w:pPr>
    </w:p>
    <w:p w14:paraId="48857678" w14:textId="47DF60F6" w:rsidR="009C53B1" w:rsidRPr="009627F1" w:rsidRDefault="009C53B1" w:rsidP="00C8007B">
      <w:pPr>
        <w:pStyle w:val="BodyTextMain"/>
        <w:rPr>
          <w:spacing w:val="-4"/>
          <w:lang w:val="en-GB"/>
        </w:rPr>
      </w:pPr>
      <w:r w:rsidRPr="009627F1">
        <w:rPr>
          <w:spacing w:val="-4"/>
          <w:lang w:val="en-GB"/>
        </w:rPr>
        <w:t xml:space="preserve">Aldi and Lidl were very similar, </w:t>
      </w:r>
      <w:r>
        <w:rPr>
          <w:spacing w:val="-4"/>
          <w:lang w:val="en-GB"/>
        </w:rPr>
        <w:t>having</w:t>
      </w:r>
      <w:r w:rsidRPr="009627F1">
        <w:rPr>
          <w:spacing w:val="-4"/>
          <w:lang w:val="en-GB"/>
        </w:rPr>
        <w:t xml:space="preserve"> both originated in Germany. In terms of number of locations, Lidl did not have as many stores as Aldi; however, most Lidl locations were within a few miles of an Aldi. One of the first noticeable differences between the two was the cart deposit. Aldi was known for requiring a 25-cent deposit to use a cart, which was refunded when the cart was returned to its correct location. In Europe, Lidl also had a cart deposit; however, the</w:t>
      </w:r>
      <w:r>
        <w:rPr>
          <w:spacing w:val="-4"/>
          <w:lang w:val="en-GB"/>
        </w:rPr>
        <w:t xml:space="preserve"> compan</w:t>
      </w:r>
      <w:r w:rsidRPr="009627F1">
        <w:rPr>
          <w:spacing w:val="-4"/>
          <w:lang w:val="en-GB"/>
        </w:rPr>
        <w:t xml:space="preserve">y decided not to implement this practice in the United States. </w:t>
      </w:r>
      <w:r>
        <w:rPr>
          <w:spacing w:val="-4"/>
          <w:lang w:val="en-GB"/>
        </w:rPr>
        <w:t>In terms of</w:t>
      </w:r>
      <w:r w:rsidRPr="009627F1">
        <w:rPr>
          <w:spacing w:val="-4"/>
          <w:lang w:val="en-GB"/>
        </w:rPr>
        <w:t xml:space="preserve"> price, Lidl was generally 3 per cent cheaper than Aldi.</w:t>
      </w:r>
      <w:r w:rsidRPr="009627F1">
        <w:rPr>
          <w:spacing w:val="-4"/>
          <w:vertAlign w:val="superscript"/>
          <w:lang w:val="en-GB"/>
        </w:rPr>
        <w:endnoteReference w:id="40"/>
      </w:r>
      <w:r w:rsidRPr="009627F1">
        <w:rPr>
          <w:spacing w:val="-4"/>
          <w:lang w:val="en-GB"/>
        </w:rPr>
        <w:t xml:space="preserve"> Most of these savings came from basic staple items such as milk and cheese; produce items, however, were usually priced similarly.</w:t>
      </w:r>
      <w:r w:rsidRPr="009627F1">
        <w:rPr>
          <w:spacing w:val="-4"/>
          <w:vertAlign w:val="superscript"/>
          <w:lang w:val="en-GB"/>
        </w:rPr>
        <w:endnoteReference w:id="41"/>
      </w:r>
      <w:r w:rsidRPr="009627F1">
        <w:rPr>
          <w:spacing w:val="-4"/>
          <w:lang w:val="en-GB"/>
        </w:rPr>
        <w:t xml:space="preserve"> Both Lidl and Aldi were known for carrying private label brands, which helped them keep prices extremely low. At Lidl, promotions were common; upon entering the store, the entire entrance promoted the money-saving app. When users downloaded the app, they were given access to all the current discounts taking place in the store, as well as exclusive coupons only available through the app. Aldi’s app, on the other hand, did not provide any additional discounts to users. At Lidl, in-store sales were promoted with a bright red sheet of paper showing the sale price. These price signs were hard to miss and really grabbed customers’ attention. In comparison, Aldi used regular shelf labels, with small yellow signs showing the lower price. These were generally not as attention-grabbing as Lidl’s signs. Aldi’s prices were 14 per cent lower </w:t>
      </w:r>
      <w:r>
        <w:rPr>
          <w:spacing w:val="-4"/>
          <w:lang w:val="en-GB"/>
        </w:rPr>
        <w:t xml:space="preserve">when </w:t>
      </w:r>
      <w:r w:rsidRPr="009627F1">
        <w:rPr>
          <w:spacing w:val="-4"/>
          <w:lang w:val="en-GB"/>
        </w:rPr>
        <w:t>in the presence of a Lidl store.</w:t>
      </w:r>
      <w:r w:rsidRPr="009627F1">
        <w:rPr>
          <w:spacing w:val="-4"/>
          <w:vertAlign w:val="superscript"/>
          <w:lang w:val="en-GB"/>
        </w:rPr>
        <w:endnoteReference w:id="42"/>
      </w:r>
    </w:p>
    <w:p w14:paraId="431EA7E5" w14:textId="77777777" w:rsidR="009C53B1" w:rsidRPr="009627F1" w:rsidRDefault="009C53B1" w:rsidP="00C8007B">
      <w:pPr>
        <w:pStyle w:val="BodyTextMain"/>
        <w:rPr>
          <w:sz w:val="20"/>
          <w:lang w:val="en-GB"/>
        </w:rPr>
      </w:pPr>
    </w:p>
    <w:p w14:paraId="0A1BCEEA" w14:textId="77777777" w:rsidR="009C53B1" w:rsidRPr="009627F1" w:rsidRDefault="009C53B1" w:rsidP="00C8007B">
      <w:pPr>
        <w:pStyle w:val="BodyTextMain"/>
        <w:rPr>
          <w:sz w:val="20"/>
          <w:lang w:val="en-GB"/>
        </w:rPr>
      </w:pPr>
    </w:p>
    <w:p w14:paraId="67DDAEDD" w14:textId="77777777" w:rsidR="009C53B1" w:rsidRPr="00C8007B" w:rsidRDefault="009C53B1" w:rsidP="009627F1">
      <w:pPr>
        <w:pStyle w:val="Casehead2"/>
        <w:rPr>
          <w:lang w:val="en-GB"/>
        </w:rPr>
      </w:pPr>
      <w:r w:rsidRPr="00C8007B">
        <w:rPr>
          <w:lang w:val="en-GB"/>
        </w:rPr>
        <w:t>Walmart Inc.</w:t>
      </w:r>
    </w:p>
    <w:p w14:paraId="3E8A358B" w14:textId="77777777" w:rsidR="009C53B1" w:rsidRPr="009627F1" w:rsidRDefault="009C53B1" w:rsidP="00C8007B">
      <w:pPr>
        <w:pStyle w:val="BodyTextMain"/>
        <w:rPr>
          <w:sz w:val="20"/>
          <w:lang w:val="en-GB"/>
        </w:rPr>
      </w:pPr>
    </w:p>
    <w:p w14:paraId="5734E67E" w14:textId="40340774" w:rsidR="009C53B1" w:rsidRDefault="009C53B1" w:rsidP="00C8007B">
      <w:pPr>
        <w:pStyle w:val="BodyTextMain"/>
        <w:rPr>
          <w:lang w:val="en-GB"/>
        </w:rPr>
      </w:pPr>
      <w:r w:rsidRPr="00C8007B">
        <w:rPr>
          <w:lang w:val="en-GB"/>
        </w:rPr>
        <w:t>Despite Walmart being a huge player in the U.S. grocery market, competing grocery stores tended to drop their prices in greater amounts for a Lidl entry than for a Walmart entry.</w:t>
      </w:r>
      <w:r w:rsidRPr="00C8007B">
        <w:rPr>
          <w:vertAlign w:val="superscript"/>
          <w:lang w:val="en-GB"/>
        </w:rPr>
        <w:endnoteReference w:id="43"/>
      </w:r>
      <w:r w:rsidRPr="00C8007B">
        <w:rPr>
          <w:lang w:val="en-GB"/>
        </w:rPr>
        <w:t xml:space="preserve"> Walmart’s prices were the least affected in response to the presence of a Lidl, at 2.5 per cent lower, </w:t>
      </w:r>
      <w:r>
        <w:rPr>
          <w:lang w:val="en-GB"/>
        </w:rPr>
        <w:t>whereas</w:t>
      </w:r>
      <w:r w:rsidRPr="00C8007B">
        <w:rPr>
          <w:lang w:val="en-GB"/>
        </w:rPr>
        <w:t xml:space="preserve"> Food Lion’s prices were 13.6 per cent lower. In January 2018, Walmart announced plans to close many of </w:t>
      </w:r>
      <w:r>
        <w:rPr>
          <w:lang w:val="en-GB"/>
        </w:rPr>
        <w:t>i</w:t>
      </w:r>
      <w:r w:rsidRPr="00C8007B">
        <w:rPr>
          <w:lang w:val="en-GB"/>
        </w:rPr>
        <w:t>t</w:t>
      </w:r>
      <w:r>
        <w:rPr>
          <w:lang w:val="en-GB"/>
        </w:rPr>
        <w:t>s</w:t>
      </w:r>
      <w:r w:rsidRPr="00C8007B">
        <w:rPr>
          <w:lang w:val="en-GB"/>
        </w:rPr>
        <w:t xml:space="preserve"> Sam’s Club stores. It was shortly after this announcement that Lidl, too, announced plan</w:t>
      </w:r>
      <w:r>
        <w:rPr>
          <w:lang w:val="en-GB"/>
        </w:rPr>
        <w:t>s</w:t>
      </w:r>
      <w:r w:rsidRPr="00C8007B">
        <w:rPr>
          <w:lang w:val="en-GB"/>
        </w:rPr>
        <w:t xml:space="preserve"> to scale back </w:t>
      </w:r>
      <w:r>
        <w:rPr>
          <w:lang w:val="en-GB"/>
        </w:rPr>
        <w:t>i</w:t>
      </w:r>
      <w:r w:rsidRPr="00C8007B">
        <w:rPr>
          <w:lang w:val="en-GB"/>
        </w:rPr>
        <w:t>t</w:t>
      </w:r>
      <w:r>
        <w:rPr>
          <w:lang w:val="en-GB"/>
        </w:rPr>
        <w:t>s</w:t>
      </w:r>
      <w:r w:rsidRPr="00C8007B">
        <w:rPr>
          <w:lang w:val="en-GB"/>
        </w:rPr>
        <w:t xml:space="preserve"> U.S. entry.</w:t>
      </w:r>
      <w:r w:rsidRPr="00C8007B">
        <w:rPr>
          <w:vertAlign w:val="superscript"/>
          <w:lang w:val="en-GB"/>
        </w:rPr>
        <w:endnoteReference w:id="44"/>
      </w:r>
    </w:p>
    <w:p w14:paraId="643AD801" w14:textId="77777777" w:rsidR="009C53B1" w:rsidRPr="00C8007B" w:rsidRDefault="009C53B1" w:rsidP="00C8007B">
      <w:pPr>
        <w:pStyle w:val="BodyTextMain"/>
        <w:rPr>
          <w:lang w:val="en-GB"/>
        </w:rPr>
      </w:pPr>
    </w:p>
    <w:p w14:paraId="2BE6205B" w14:textId="77777777" w:rsidR="009C53B1" w:rsidRPr="00C8007B" w:rsidRDefault="009C53B1" w:rsidP="009627F1">
      <w:pPr>
        <w:pStyle w:val="Casehead2"/>
        <w:rPr>
          <w:lang w:val="en-GB"/>
        </w:rPr>
      </w:pPr>
      <w:r w:rsidRPr="00C8007B">
        <w:rPr>
          <w:lang w:val="en-GB"/>
        </w:rPr>
        <w:t>Food Lion LLC</w:t>
      </w:r>
    </w:p>
    <w:p w14:paraId="3674085E" w14:textId="77777777" w:rsidR="009C53B1" w:rsidRPr="009627F1" w:rsidRDefault="009C53B1" w:rsidP="00C8007B">
      <w:pPr>
        <w:pStyle w:val="BodyTextMain"/>
        <w:rPr>
          <w:sz w:val="20"/>
          <w:lang w:val="en-GB"/>
        </w:rPr>
      </w:pPr>
    </w:p>
    <w:p w14:paraId="1C71D8AA" w14:textId="79EC3FC5" w:rsidR="009C53B1" w:rsidRPr="00496DB7" w:rsidRDefault="009C53B1" w:rsidP="00C8007B">
      <w:pPr>
        <w:pStyle w:val="BodyTextMain"/>
        <w:rPr>
          <w:spacing w:val="-2"/>
          <w:lang w:val="en-GB"/>
        </w:rPr>
      </w:pPr>
      <w:r w:rsidRPr="00496DB7">
        <w:rPr>
          <w:spacing w:val="-2"/>
          <w:lang w:val="en-GB"/>
        </w:rPr>
        <w:t xml:space="preserve">Although Lidl was a newcomer in the market, it was still creating big waves. With less than 100 stores, Lidl was very small compared to Food Lion’s 1,089 locations. On average, Lidl was approximately 16 per cent </w:t>
      </w:r>
      <w:r w:rsidRPr="00496DB7">
        <w:rPr>
          <w:spacing w:val="-2"/>
          <w:lang w:val="en-GB"/>
        </w:rPr>
        <w:lastRenderedPageBreak/>
        <w:t>less expensive than Food Lion for basic everyday grocery items such as milk: where Lidl charged $1.00 per 3.78 litres, Food Lion charged $2.50.</w:t>
      </w:r>
      <w:r w:rsidRPr="00496DB7">
        <w:rPr>
          <w:spacing w:val="-2"/>
          <w:vertAlign w:val="superscript"/>
          <w:lang w:val="en-GB"/>
        </w:rPr>
        <w:endnoteReference w:id="45"/>
      </w:r>
      <w:r w:rsidRPr="00496DB7">
        <w:rPr>
          <w:spacing w:val="-2"/>
          <w:lang w:val="en-GB"/>
        </w:rPr>
        <w:t xml:space="preserve"> On average, Lidl carried a smaller selection of products, with a larger selection of private label items; Lidl normally carried about 1,800 items,</w:t>
      </w:r>
      <w:r w:rsidRPr="00496DB7">
        <w:rPr>
          <w:spacing w:val="-2"/>
          <w:vertAlign w:val="superscript"/>
          <w:lang w:val="en-GB"/>
        </w:rPr>
        <w:endnoteReference w:id="46"/>
      </w:r>
      <w:r w:rsidRPr="00496DB7">
        <w:rPr>
          <w:spacing w:val="-2"/>
          <w:lang w:val="en-GB"/>
        </w:rPr>
        <w:t xml:space="preserve"> whereas Food Lion normally carried about 38,900 items.</w:t>
      </w:r>
      <w:r w:rsidRPr="00496DB7">
        <w:rPr>
          <w:spacing w:val="-2"/>
          <w:vertAlign w:val="superscript"/>
          <w:lang w:val="en-GB"/>
        </w:rPr>
        <w:endnoteReference w:id="47"/>
      </w:r>
      <w:r w:rsidRPr="00496DB7">
        <w:rPr>
          <w:spacing w:val="-2"/>
          <w:lang w:val="en-GB"/>
        </w:rPr>
        <w:t xml:space="preserve"> While Food Lion attempted to gain as many customers as possible by advertising consistently, Lidl did not; instead, Lidl saved money by advertising </w:t>
      </w:r>
      <w:r>
        <w:rPr>
          <w:spacing w:val="-2"/>
          <w:lang w:val="en-GB"/>
        </w:rPr>
        <w:t xml:space="preserve">less </w:t>
      </w:r>
      <w:r w:rsidRPr="00496DB7">
        <w:rPr>
          <w:spacing w:val="-2"/>
          <w:lang w:val="en-GB"/>
        </w:rPr>
        <w:t>often and passed th</w:t>
      </w:r>
      <w:r>
        <w:rPr>
          <w:spacing w:val="-2"/>
          <w:lang w:val="en-GB"/>
        </w:rPr>
        <w:t>e</w:t>
      </w:r>
      <w:r w:rsidRPr="00496DB7">
        <w:rPr>
          <w:spacing w:val="-2"/>
          <w:lang w:val="en-GB"/>
        </w:rPr>
        <w:t xml:space="preserve"> savings on</w:t>
      </w:r>
      <w:r>
        <w:rPr>
          <w:spacing w:val="-2"/>
          <w:lang w:val="en-GB"/>
        </w:rPr>
        <w:t xml:space="preserve"> </w:t>
      </w:r>
      <w:r w:rsidRPr="00496DB7">
        <w:rPr>
          <w:spacing w:val="-2"/>
          <w:lang w:val="en-GB"/>
        </w:rPr>
        <w:t xml:space="preserve">to its customers through lower prices. Food Lion’s prices were 13.6 per cent lower </w:t>
      </w:r>
      <w:r>
        <w:rPr>
          <w:spacing w:val="-2"/>
          <w:lang w:val="en-GB"/>
        </w:rPr>
        <w:t xml:space="preserve">when </w:t>
      </w:r>
      <w:r w:rsidRPr="00496DB7">
        <w:rPr>
          <w:spacing w:val="-2"/>
          <w:lang w:val="en-GB"/>
        </w:rPr>
        <w:t>in the presence of Lidl.</w:t>
      </w:r>
      <w:r w:rsidRPr="00496DB7">
        <w:rPr>
          <w:spacing w:val="-2"/>
          <w:vertAlign w:val="superscript"/>
          <w:lang w:val="en-GB"/>
        </w:rPr>
        <w:endnoteReference w:id="48"/>
      </w:r>
    </w:p>
    <w:p w14:paraId="5691B56B" w14:textId="77777777" w:rsidR="009C53B1" w:rsidRPr="009627F1" w:rsidRDefault="009C53B1" w:rsidP="00C8007B">
      <w:pPr>
        <w:pStyle w:val="BodyTextMain"/>
        <w:rPr>
          <w:sz w:val="20"/>
          <w:lang w:val="en-GB"/>
        </w:rPr>
      </w:pPr>
    </w:p>
    <w:p w14:paraId="2EE9A489" w14:textId="77777777" w:rsidR="009C53B1" w:rsidRPr="009627F1" w:rsidRDefault="009C53B1" w:rsidP="00C8007B">
      <w:pPr>
        <w:pStyle w:val="BodyTextMain"/>
        <w:rPr>
          <w:sz w:val="20"/>
          <w:lang w:val="en-GB"/>
        </w:rPr>
      </w:pPr>
    </w:p>
    <w:p w14:paraId="5459ED5E" w14:textId="77777777" w:rsidR="009C53B1" w:rsidRPr="00C8007B" w:rsidRDefault="009C53B1" w:rsidP="009627F1">
      <w:pPr>
        <w:pStyle w:val="Casehead2"/>
        <w:rPr>
          <w:lang w:val="en-GB"/>
        </w:rPr>
      </w:pPr>
      <w:r w:rsidRPr="00C8007B">
        <w:rPr>
          <w:lang w:val="en-GB"/>
        </w:rPr>
        <w:t>The Kroger Co.</w:t>
      </w:r>
    </w:p>
    <w:p w14:paraId="18F40193" w14:textId="77777777" w:rsidR="009C53B1" w:rsidRPr="009627F1" w:rsidRDefault="009C53B1" w:rsidP="00C8007B">
      <w:pPr>
        <w:pStyle w:val="BodyTextMain"/>
        <w:rPr>
          <w:sz w:val="20"/>
          <w:lang w:val="en-GB"/>
        </w:rPr>
      </w:pPr>
    </w:p>
    <w:p w14:paraId="63ED1062" w14:textId="278C4495" w:rsidR="009C53B1" w:rsidRPr="00C8007B" w:rsidRDefault="009C53B1" w:rsidP="00C8007B">
      <w:pPr>
        <w:pStyle w:val="BodyTextMain"/>
        <w:rPr>
          <w:lang w:val="en-GB"/>
        </w:rPr>
      </w:pPr>
      <w:r w:rsidRPr="00C8007B">
        <w:rPr>
          <w:lang w:val="en-GB"/>
        </w:rPr>
        <w:t xml:space="preserve">Kroger was a major grocery chain, </w:t>
      </w:r>
      <w:r>
        <w:rPr>
          <w:lang w:val="en-GB"/>
        </w:rPr>
        <w:t>having also</w:t>
      </w:r>
      <w:r w:rsidRPr="00C8007B">
        <w:rPr>
          <w:lang w:val="en-GB"/>
        </w:rPr>
        <w:t xml:space="preserve"> acquired Harris Teeter, another major grocery chain in the United States.</w:t>
      </w:r>
      <w:r w:rsidRPr="00C8007B">
        <w:rPr>
          <w:vertAlign w:val="superscript"/>
          <w:lang w:val="en-GB"/>
        </w:rPr>
        <w:endnoteReference w:id="49"/>
      </w:r>
      <w:r w:rsidRPr="00C8007B">
        <w:rPr>
          <w:lang w:val="en-GB"/>
        </w:rPr>
        <w:t xml:space="preserve"> As of 2018, Kroger had 2,782 locations—far more than Lidl.</w:t>
      </w:r>
      <w:r w:rsidRPr="00C8007B">
        <w:rPr>
          <w:iCs/>
          <w:shd w:val="clear" w:color="auto" w:fill="FFFFFF"/>
          <w:vertAlign w:val="superscript"/>
          <w:lang w:val="en-GB"/>
        </w:rPr>
        <w:endnoteReference w:id="50"/>
      </w:r>
      <w:r w:rsidRPr="00C8007B">
        <w:rPr>
          <w:lang w:val="en-GB"/>
        </w:rPr>
        <w:t xml:space="preserve"> While Lidl found its cost savings by offering larger quantities of fewer products, Kroger took the opposite approach by carrying many variations of many brands.</w:t>
      </w:r>
      <w:r w:rsidRPr="00C8007B">
        <w:rPr>
          <w:vertAlign w:val="superscript"/>
          <w:lang w:val="en-GB"/>
        </w:rPr>
        <w:endnoteReference w:id="51"/>
      </w:r>
      <w:r w:rsidRPr="00C8007B">
        <w:rPr>
          <w:lang w:val="en-GB"/>
        </w:rPr>
        <w:t> </w:t>
      </w:r>
      <w:r>
        <w:rPr>
          <w:lang w:val="en-GB"/>
        </w:rPr>
        <w:t>Although</w:t>
      </w:r>
      <w:r w:rsidRPr="00C8007B">
        <w:rPr>
          <w:lang w:val="en-GB"/>
        </w:rPr>
        <w:t xml:space="preserve"> both grocers offered private label brands, Kroger’s private label items were priced 31 per cent higher.</w:t>
      </w:r>
      <w:r w:rsidRPr="00C8007B">
        <w:rPr>
          <w:vertAlign w:val="superscript"/>
          <w:lang w:val="en-GB"/>
        </w:rPr>
        <w:endnoteReference w:id="52"/>
      </w:r>
      <w:r w:rsidRPr="00C8007B">
        <w:rPr>
          <w:lang w:val="en-GB"/>
        </w:rPr>
        <w:t xml:space="preserve"> Kroger’s prices were more in line with other major grocery chains, such as Food Lion, </w:t>
      </w:r>
      <w:r>
        <w:rPr>
          <w:lang w:val="en-GB"/>
        </w:rPr>
        <w:t>and</w:t>
      </w:r>
      <w:r w:rsidRPr="00C8007B">
        <w:rPr>
          <w:lang w:val="en-GB"/>
        </w:rPr>
        <w:t xml:space="preserve"> usually above </w:t>
      </w:r>
      <w:r>
        <w:rPr>
          <w:lang w:val="en-GB"/>
        </w:rPr>
        <w:t xml:space="preserve">Lidl’s </w:t>
      </w:r>
      <w:r w:rsidRPr="00C8007B">
        <w:rPr>
          <w:lang w:val="en-GB"/>
        </w:rPr>
        <w:t xml:space="preserve">prices. Unlike Lidl, Kroger and Harris Teeter also advertised regularly on all types of media. Shortly after Lidl entered the market in 2017, Kroger sued </w:t>
      </w:r>
      <w:r>
        <w:rPr>
          <w:lang w:val="en-GB"/>
        </w:rPr>
        <w:t>Lidl</w:t>
      </w:r>
      <w:r w:rsidRPr="00C8007B">
        <w:rPr>
          <w:lang w:val="en-GB"/>
        </w:rPr>
        <w:t xml:space="preserve"> for copyright infringement on </w:t>
      </w:r>
      <w:r>
        <w:rPr>
          <w:lang w:val="en-GB"/>
        </w:rPr>
        <w:t>its</w:t>
      </w:r>
      <w:r w:rsidRPr="00C8007B">
        <w:rPr>
          <w:lang w:val="en-GB"/>
        </w:rPr>
        <w:t xml:space="preserve"> private label brands and logo. Kroger eventually decided to dismiss the case, and </w:t>
      </w:r>
      <w:r>
        <w:rPr>
          <w:lang w:val="en-GB"/>
        </w:rPr>
        <w:t>both parties</w:t>
      </w:r>
      <w:r w:rsidRPr="00C8007B">
        <w:rPr>
          <w:lang w:val="en-GB"/>
        </w:rPr>
        <w:t xml:space="preserve"> agreed to pay their own legal fees.</w:t>
      </w:r>
      <w:r w:rsidRPr="00C8007B">
        <w:rPr>
          <w:vertAlign w:val="superscript"/>
          <w:lang w:val="en-GB"/>
        </w:rPr>
        <w:endnoteReference w:id="53"/>
      </w:r>
      <w:r w:rsidRPr="00C8007B">
        <w:rPr>
          <w:lang w:val="en-GB"/>
        </w:rPr>
        <w:t xml:space="preserve"> </w:t>
      </w:r>
    </w:p>
    <w:p w14:paraId="189A7158" w14:textId="77777777" w:rsidR="009C53B1" w:rsidRPr="009627F1" w:rsidRDefault="009C53B1" w:rsidP="00C8007B">
      <w:pPr>
        <w:pStyle w:val="BodyTextMain"/>
        <w:rPr>
          <w:sz w:val="20"/>
          <w:lang w:val="en-GB"/>
        </w:rPr>
      </w:pPr>
    </w:p>
    <w:p w14:paraId="77FB0C77" w14:textId="77777777" w:rsidR="009C53B1" w:rsidRPr="009627F1" w:rsidRDefault="009C53B1" w:rsidP="00C8007B">
      <w:pPr>
        <w:pStyle w:val="BodyTextMain"/>
        <w:rPr>
          <w:sz w:val="20"/>
          <w:lang w:val="en-GB"/>
        </w:rPr>
      </w:pPr>
    </w:p>
    <w:p w14:paraId="751A26B7" w14:textId="77777777" w:rsidR="009C53B1" w:rsidRPr="00C8007B" w:rsidRDefault="009C53B1" w:rsidP="009627F1">
      <w:pPr>
        <w:pStyle w:val="Casehead2"/>
        <w:rPr>
          <w:lang w:val="en-GB"/>
        </w:rPr>
      </w:pPr>
      <w:r w:rsidRPr="00C8007B">
        <w:rPr>
          <w:lang w:val="en-GB"/>
        </w:rPr>
        <w:t>Amazon.com Inc. and Whole Foods Market Inc.</w:t>
      </w:r>
    </w:p>
    <w:p w14:paraId="074C337E" w14:textId="77777777" w:rsidR="009C53B1" w:rsidRPr="009627F1" w:rsidRDefault="009C53B1" w:rsidP="00C8007B">
      <w:pPr>
        <w:pStyle w:val="BodyTextMain"/>
        <w:rPr>
          <w:sz w:val="20"/>
          <w:lang w:val="en-GB"/>
        </w:rPr>
      </w:pPr>
    </w:p>
    <w:p w14:paraId="116029BD" w14:textId="02708D26" w:rsidR="009C53B1" w:rsidRPr="00C8007B" w:rsidRDefault="009C53B1" w:rsidP="00C8007B">
      <w:pPr>
        <w:pStyle w:val="BodyTextMain"/>
        <w:rPr>
          <w:spacing w:val="-2"/>
          <w:lang w:val="en-GB"/>
        </w:rPr>
      </w:pPr>
      <w:r w:rsidRPr="00C8007B">
        <w:rPr>
          <w:spacing w:val="-2"/>
          <w:lang w:val="en-GB"/>
        </w:rPr>
        <w:t xml:space="preserve">Amazon acquired Whole Foods </w:t>
      </w:r>
      <w:r>
        <w:rPr>
          <w:spacing w:val="-2"/>
          <w:lang w:val="en-GB"/>
        </w:rPr>
        <w:t xml:space="preserve">just </w:t>
      </w:r>
      <w:r w:rsidRPr="00C8007B">
        <w:rPr>
          <w:spacing w:val="-2"/>
          <w:lang w:val="en-GB"/>
        </w:rPr>
        <w:t xml:space="preserve">after Lidl opened </w:t>
      </w:r>
      <w:r>
        <w:rPr>
          <w:spacing w:val="-2"/>
          <w:lang w:val="en-GB"/>
        </w:rPr>
        <w:t xml:space="preserve">its stores </w:t>
      </w:r>
      <w:r w:rsidRPr="00C8007B">
        <w:rPr>
          <w:spacing w:val="-2"/>
          <w:lang w:val="en-GB"/>
        </w:rPr>
        <w:t>in the United States. As a result</w:t>
      </w:r>
      <w:r>
        <w:rPr>
          <w:spacing w:val="-2"/>
          <w:lang w:val="en-GB"/>
        </w:rPr>
        <w:t xml:space="preserve"> of Amazon’s news</w:t>
      </w:r>
      <w:r w:rsidRPr="00C8007B">
        <w:rPr>
          <w:spacing w:val="-2"/>
          <w:lang w:val="en-GB"/>
        </w:rPr>
        <w:t>, grocery store openings dropped by 29 per cent, and some chains even considered filing for bankruptcy. Amazon’s acquisition of Whole Foods came in response to data citing complaints of long checkout lines at grocery stores.</w:t>
      </w:r>
      <w:r w:rsidRPr="00C8007B">
        <w:rPr>
          <w:spacing w:val="-2"/>
          <w:vertAlign w:val="superscript"/>
          <w:lang w:val="en-GB"/>
        </w:rPr>
        <w:endnoteReference w:id="54"/>
      </w:r>
      <w:r w:rsidRPr="00C8007B">
        <w:rPr>
          <w:spacing w:val="-2"/>
          <w:lang w:val="en-GB"/>
        </w:rPr>
        <w:t xml:space="preserve"> With Amazon taking over the ownership of Whole Foods, the prices of many products in Whole Foods fell.</w:t>
      </w:r>
      <w:r w:rsidRPr="00C8007B">
        <w:rPr>
          <w:spacing w:val="-2"/>
          <w:vertAlign w:val="superscript"/>
          <w:lang w:val="en-GB"/>
        </w:rPr>
        <w:endnoteReference w:id="55"/>
      </w:r>
      <w:r w:rsidRPr="00C8007B">
        <w:rPr>
          <w:spacing w:val="-2"/>
          <w:lang w:val="en-GB"/>
        </w:rPr>
        <w:t xml:space="preserve"> The partnership also allowed Amazon to offer its Prime members 5 per cent cashback when using their Amazon Visa card in Whole Foods. Amazon planned to add more benefits for Prime customers in the near future. Through the Prime Now service, Amazon offered quick home delivery o</w:t>
      </w:r>
      <w:r>
        <w:rPr>
          <w:spacing w:val="-2"/>
          <w:lang w:val="en-GB"/>
        </w:rPr>
        <w:t>n</w:t>
      </w:r>
      <w:r w:rsidRPr="00C8007B">
        <w:rPr>
          <w:spacing w:val="-2"/>
          <w:lang w:val="en-GB"/>
        </w:rPr>
        <w:t xml:space="preserve"> thousands of different Whole Foods products. Another positive impact for customers was the ability to pick up and return Amazon purchases in all Whole Foods locations. Private label products, originally only available at Whole Foods, could now be ordered through Amazon and delivered straight to the customer’s home.</w:t>
      </w:r>
      <w:r w:rsidRPr="00C8007B">
        <w:rPr>
          <w:spacing w:val="-2"/>
          <w:vertAlign w:val="superscript"/>
          <w:lang w:val="en-GB"/>
        </w:rPr>
        <w:endnoteReference w:id="56"/>
      </w:r>
    </w:p>
    <w:p w14:paraId="312DFDA5" w14:textId="77777777" w:rsidR="009C53B1" w:rsidRPr="009627F1" w:rsidRDefault="009C53B1" w:rsidP="00C8007B">
      <w:pPr>
        <w:pStyle w:val="BodyTextMain"/>
        <w:rPr>
          <w:sz w:val="20"/>
          <w:lang w:val="en-GB"/>
        </w:rPr>
      </w:pPr>
    </w:p>
    <w:p w14:paraId="4C686F71" w14:textId="77777777" w:rsidR="009C53B1" w:rsidRPr="009627F1" w:rsidRDefault="009C53B1" w:rsidP="00C8007B">
      <w:pPr>
        <w:pStyle w:val="BodyTextMain"/>
        <w:rPr>
          <w:sz w:val="20"/>
          <w:lang w:val="en-GB"/>
        </w:rPr>
      </w:pPr>
    </w:p>
    <w:p w14:paraId="5D882D59" w14:textId="77777777" w:rsidR="009C53B1" w:rsidRPr="00C8007B" w:rsidRDefault="009C53B1" w:rsidP="003C161B">
      <w:pPr>
        <w:pStyle w:val="Casehead1"/>
        <w:rPr>
          <w:lang w:val="en-GB"/>
        </w:rPr>
      </w:pPr>
      <w:r w:rsidRPr="00C8007B">
        <w:rPr>
          <w:lang w:val="en-GB"/>
        </w:rPr>
        <w:t>Lidl’s Future in the U.S. Market</w:t>
      </w:r>
    </w:p>
    <w:p w14:paraId="4C408D5E" w14:textId="77777777" w:rsidR="009C53B1" w:rsidRPr="009627F1" w:rsidRDefault="009C53B1" w:rsidP="00C8007B">
      <w:pPr>
        <w:pStyle w:val="BodyTextMain"/>
        <w:rPr>
          <w:sz w:val="20"/>
          <w:lang w:val="en-GB"/>
        </w:rPr>
      </w:pPr>
    </w:p>
    <w:p w14:paraId="5EEF0D55" w14:textId="46AEB0FC" w:rsidR="00E17C61" w:rsidRDefault="009C53B1" w:rsidP="009627F1">
      <w:pPr>
        <w:pStyle w:val="BodyTextMain"/>
      </w:pPr>
      <w:r w:rsidRPr="009627F1">
        <w:t xml:space="preserve">In February 2018, Lidl’s expansion </w:t>
      </w:r>
      <w:r>
        <w:t>target of 100 stores</w:t>
      </w:r>
      <w:r w:rsidRPr="009627F1">
        <w:t xml:space="preserve"> in the United States </w:t>
      </w:r>
      <w:r>
        <w:t>by</w:t>
      </w:r>
      <w:r w:rsidRPr="009627F1">
        <w:t xml:space="preserve"> summer 2018 was termed “aggressive” and “wildly optimistic.” The initial launch in a highly competitive U.S. market was not as overwhelmingly successful as Lidl management had hoped, but it was not a closed chapter either.</w:t>
      </w:r>
      <w:r w:rsidRPr="009627F1">
        <w:rPr>
          <w:vertAlign w:val="superscript"/>
        </w:rPr>
        <w:endnoteReference w:id="57"/>
      </w:r>
      <w:r w:rsidRPr="009627F1">
        <w:t xml:space="preserve"> A 2018 survey run by Statista found that only 4 per cent of respondents regularly bought food and products for everyday use from Lidl.</w:t>
      </w:r>
      <w:r w:rsidRPr="009627F1">
        <w:rPr>
          <w:vertAlign w:val="superscript"/>
        </w:rPr>
        <w:endnoteReference w:id="58"/>
      </w:r>
      <w:r w:rsidRPr="009627F1">
        <w:t xml:space="preserve"> </w:t>
      </w:r>
      <w:r w:rsidR="00C8007B" w:rsidRPr="009627F1">
        <w:t>Over 4,000 respondents between the ages of 18 and 64 participated and were asked to specify from which store they regularly purchased food and products for everyday use. Results showed that Walmart was preferred by 69 per cent, Target by 37 per cent, Costco by 32 per cent, Kroger by 29 per cent, and Aldi by 26 per cent. With an abysmal 4 per cent, what could Lidl do to meet its U.S. market goals and expand into the future?</w:t>
      </w:r>
    </w:p>
    <w:p w14:paraId="7CEA6A82" w14:textId="36C89208" w:rsidR="00E17C61" w:rsidRDefault="00E17C61" w:rsidP="009627F1">
      <w:pPr>
        <w:pStyle w:val="BodyTextMain"/>
      </w:pPr>
      <w:r>
        <w:rPr>
          <w:noProof/>
        </w:rPr>
        <mc:AlternateContent>
          <mc:Choice Requires="wps">
            <w:drawing>
              <wp:anchor distT="45720" distB="45720" distL="114300" distR="114300" simplePos="0" relativeHeight="251659264" behindDoc="0" locked="0" layoutInCell="1" allowOverlap="1" wp14:anchorId="61EDDC71" wp14:editId="1986643B">
                <wp:simplePos x="0" y="0"/>
                <wp:positionH relativeFrom="column">
                  <wp:posOffset>1160780</wp:posOffset>
                </wp:positionH>
                <wp:positionV relativeFrom="paragraph">
                  <wp:posOffset>141605</wp:posOffset>
                </wp:positionV>
                <wp:extent cx="3562350" cy="1404620"/>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1404620"/>
                        </a:xfrm>
                        <a:prstGeom prst="rect">
                          <a:avLst/>
                        </a:prstGeom>
                        <a:solidFill>
                          <a:srgbClr val="FFFFFF"/>
                        </a:solidFill>
                        <a:ln w="9525">
                          <a:solidFill>
                            <a:srgbClr val="000000"/>
                          </a:solidFill>
                          <a:miter lim="800000"/>
                          <a:headEnd/>
                          <a:tailEnd/>
                        </a:ln>
                      </wps:spPr>
                      <wps:txbx>
                        <w:txbxContent>
                          <w:p w14:paraId="31170437" w14:textId="2B97F898" w:rsidR="00E17C61" w:rsidRDefault="00E17C61" w:rsidP="00E17C61">
                            <w:pPr>
                              <w:pStyle w:val="Footnote"/>
                            </w:pPr>
                            <w:r>
                              <w:t xml:space="preserve">The authors would like to thank </w:t>
                            </w:r>
                            <w:proofErr w:type="spellStart"/>
                            <w:r>
                              <w:t>Eleftherios</w:t>
                            </w:r>
                            <w:proofErr w:type="spellEnd"/>
                            <w:r>
                              <w:t xml:space="preserve"> (Teddy) </w:t>
                            </w:r>
                            <w:proofErr w:type="spellStart"/>
                            <w:r>
                              <w:t>Smaragdis</w:t>
                            </w:r>
                            <w:proofErr w:type="spellEnd"/>
                            <w:r>
                              <w:t xml:space="preserve">, Joseph Hanna, and Jamie </w:t>
                            </w:r>
                            <w:proofErr w:type="spellStart"/>
                            <w:r>
                              <w:t>Metreaud</w:t>
                            </w:r>
                            <w:proofErr w:type="spellEnd"/>
                            <w:r>
                              <w:t xml:space="preserve"> for collecting data for the case study.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EDDC71" id="_x0000_t202" coordsize="21600,21600" o:spt="202" path="m,l,21600r21600,l21600,xe">
                <v:stroke joinstyle="miter"/>
                <v:path gradientshapeok="t" o:connecttype="rect"/>
              </v:shapetype>
              <v:shape id="Text Box 2" o:spid="_x0000_s1026" type="#_x0000_t202" style="position:absolute;left:0;text-align:left;margin-left:91.4pt;margin-top:11.15pt;width:28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">
                <v:textbox style="mso-fit-shape-to-text:t">
                  <w:txbxContent>
                    <w:p w14:paraId="31170437" w14:textId="2B97F898" w:rsidR="00E17C61" w:rsidRDefault="00E17C61" w:rsidP="00E17C61">
                      <w:pPr>
                        <w:pStyle w:val="Footnote"/>
                      </w:pPr>
                      <w:r>
                        <w:t>The authors would like to thank Eleftherios (Teddy) Smaragdis, Joseph Hanna</w:t>
                      </w:r>
                      <w:r>
                        <w:t>,</w:t>
                      </w:r>
                      <w:r>
                        <w:t xml:space="preserve"> and Jamie Metreaud for collecting data for the case study</w:t>
                      </w:r>
                      <w:r>
                        <w:t>.</w:t>
                      </w:r>
                    </w:p>
                  </w:txbxContent>
                </v:textbox>
                <w10:wrap type="square"/>
              </v:shape>
            </w:pict>
          </mc:Fallback>
        </mc:AlternateContent>
      </w:r>
    </w:p>
    <w:p w14:paraId="4804EE4B" w14:textId="3393363A" w:rsidR="00E17C61" w:rsidRDefault="00E17C61" w:rsidP="009627F1">
      <w:pPr>
        <w:pStyle w:val="BodyTextMain"/>
      </w:pPr>
    </w:p>
    <w:p w14:paraId="003690D6" w14:textId="0342B76F" w:rsidR="00E17C61" w:rsidRDefault="00E17C61" w:rsidP="009627F1">
      <w:pPr>
        <w:pStyle w:val="BodyTextMain"/>
      </w:pPr>
    </w:p>
    <w:p w14:paraId="27E24355" w14:textId="13DF69CC" w:rsidR="00C8007B" w:rsidRDefault="00C8007B" w:rsidP="009627F1">
      <w:pPr>
        <w:pStyle w:val="BodyTextMain"/>
        <w:rPr>
          <w:rFonts w:ascii="Arial" w:hAnsi="Arial" w:cs="Arial"/>
          <w:b/>
          <w:caps/>
        </w:rPr>
      </w:pPr>
      <w:r>
        <w:br w:type="page"/>
      </w:r>
    </w:p>
    <w:p w14:paraId="117FC590" w14:textId="2603870B" w:rsidR="00C8007B" w:rsidRPr="00C8007B" w:rsidRDefault="00C8007B" w:rsidP="00C8007B">
      <w:pPr>
        <w:jc w:val="center"/>
        <w:rPr>
          <w:rFonts w:ascii="Arial" w:hAnsi="Arial" w:cs="Arial"/>
          <w:b/>
          <w:caps/>
          <w:lang w:val="en-GB"/>
        </w:rPr>
      </w:pPr>
      <w:r w:rsidRPr="00C8007B">
        <w:rPr>
          <w:rFonts w:ascii="Arial" w:hAnsi="Arial" w:cs="Arial"/>
          <w:b/>
          <w:caps/>
          <w:lang w:val="en-GB"/>
        </w:rPr>
        <w:lastRenderedPageBreak/>
        <w:t xml:space="preserve">EXHIBIT 1: Lidl’s PRICES COMPARED TO COMPETITORS’ </w:t>
      </w:r>
      <w:r w:rsidR="006713F2">
        <w:rPr>
          <w:rFonts w:ascii="Arial" w:hAnsi="Arial" w:cs="Arial"/>
          <w:b/>
          <w:caps/>
          <w:lang w:val="en-GB"/>
        </w:rPr>
        <w:t>Prices</w:t>
      </w:r>
    </w:p>
    <w:p w14:paraId="6DCACF6B" w14:textId="77777777" w:rsidR="00C8007B" w:rsidRPr="00C8007B" w:rsidRDefault="00C8007B" w:rsidP="00C8007B">
      <w:pPr>
        <w:jc w:val="both"/>
        <w:rPr>
          <w:sz w:val="18"/>
          <w:szCs w:val="22"/>
          <w:lang w:val="en-GB"/>
        </w:rPr>
      </w:pPr>
    </w:p>
    <w:tbl>
      <w:tblPr>
        <w:tblStyle w:val="TableGrid1"/>
        <w:tblW w:w="0" w:type="auto"/>
        <w:jc w:val="right"/>
        <w:tblCellMar>
          <w:left w:w="57" w:type="dxa"/>
          <w:right w:w="57" w:type="dxa"/>
        </w:tblCellMar>
        <w:tblLook w:val="04A0" w:firstRow="1" w:lastRow="0" w:firstColumn="1" w:lastColumn="0" w:noHBand="0" w:noVBand="1"/>
      </w:tblPr>
      <w:tblGrid>
        <w:gridCol w:w="1271"/>
        <w:gridCol w:w="1701"/>
        <w:gridCol w:w="1276"/>
        <w:gridCol w:w="1843"/>
        <w:gridCol w:w="1984"/>
        <w:gridCol w:w="1275"/>
      </w:tblGrid>
      <w:tr w:rsidR="00C8007B" w:rsidRPr="00C8007B" w14:paraId="437F97C6" w14:textId="77777777" w:rsidTr="009C53B1">
        <w:trPr>
          <w:trHeight w:val="25"/>
          <w:jc w:val="right"/>
        </w:trPr>
        <w:tc>
          <w:tcPr>
            <w:tcW w:w="1271" w:type="dxa"/>
            <w:hideMark/>
          </w:tcPr>
          <w:p w14:paraId="18843F39" w14:textId="77777777" w:rsidR="00C8007B" w:rsidRPr="00C8007B" w:rsidRDefault="00C8007B" w:rsidP="00C8007B">
            <w:pPr>
              <w:spacing w:line="0" w:lineRule="atLeast"/>
              <w:jc w:val="both"/>
              <w:rPr>
                <w:rFonts w:ascii="Arial" w:hAnsi="Arial" w:cs="Arial"/>
                <w:sz w:val="18"/>
                <w:szCs w:val="18"/>
                <w:lang w:val="en-GB"/>
              </w:rPr>
            </w:pPr>
            <w:r w:rsidRPr="00C8007B">
              <w:rPr>
                <w:rFonts w:ascii="Arial" w:hAnsi="Arial" w:cs="Arial"/>
                <w:b/>
                <w:bCs/>
                <w:color w:val="000000"/>
                <w:sz w:val="18"/>
                <w:szCs w:val="18"/>
                <w:lang w:val="en-GB"/>
              </w:rPr>
              <w:t>Food item</w:t>
            </w:r>
          </w:p>
        </w:tc>
        <w:tc>
          <w:tcPr>
            <w:tcW w:w="1701" w:type="dxa"/>
            <w:hideMark/>
          </w:tcPr>
          <w:p w14:paraId="247A3138" w14:textId="77777777" w:rsidR="00C8007B" w:rsidRPr="00C8007B" w:rsidRDefault="00C8007B" w:rsidP="00832827">
            <w:pPr>
              <w:spacing w:line="0" w:lineRule="atLeast"/>
              <w:jc w:val="center"/>
              <w:rPr>
                <w:rFonts w:ascii="Arial" w:hAnsi="Arial" w:cs="Arial"/>
                <w:sz w:val="18"/>
                <w:szCs w:val="18"/>
                <w:lang w:val="en-GB"/>
              </w:rPr>
            </w:pPr>
            <w:r w:rsidRPr="00C8007B">
              <w:rPr>
                <w:rFonts w:ascii="Arial" w:hAnsi="Arial" w:cs="Arial"/>
                <w:color w:val="000000"/>
                <w:sz w:val="18"/>
                <w:szCs w:val="18"/>
                <w:lang w:val="en-GB"/>
              </w:rPr>
              <w:t>Milk (3.78 litres)</w:t>
            </w:r>
          </w:p>
        </w:tc>
        <w:tc>
          <w:tcPr>
            <w:tcW w:w="1276" w:type="dxa"/>
            <w:hideMark/>
          </w:tcPr>
          <w:p w14:paraId="7EBEFE11" w14:textId="77777777" w:rsidR="00C8007B" w:rsidRPr="00C8007B" w:rsidRDefault="00C8007B" w:rsidP="00832827">
            <w:pPr>
              <w:spacing w:line="0" w:lineRule="atLeast"/>
              <w:jc w:val="center"/>
              <w:rPr>
                <w:rFonts w:ascii="Arial" w:hAnsi="Arial" w:cs="Arial"/>
                <w:sz w:val="18"/>
                <w:szCs w:val="18"/>
                <w:lang w:val="en-GB"/>
              </w:rPr>
            </w:pPr>
            <w:r w:rsidRPr="00C8007B">
              <w:rPr>
                <w:rFonts w:ascii="Arial" w:hAnsi="Arial" w:cs="Arial"/>
                <w:color w:val="000000"/>
                <w:sz w:val="18"/>
                <w:szCs w:val="18"/>
                <w:lang w:val="en-GB"/>
              </w:rPr>
              <w:t>White bread</w:t>
            </w:r>
          </w:p>
        </w:tc>
        <w:tc>
          <w:tcPr>
            <w:tcW w:w="1843" w:type="dxa"/>
            <w:hideMark/>
          </w:tcPr>
          <w:p w14:paraId="0025D262" w14:textId="2ADCE6CA" w:rsidR="00C8007B" w:rsidRPr="00C8007B" w:rsidRDefault="00C8007B" w:rsidP="00832827">
            <w:pPr>
              <w:spacing w:line="0" w:lineRule="atLeast"/>
              <w:jc w:val="center"/>
              <w:rPr>
                <w:rFonts w:ascii="Arial" w:hAnsi="Arial" w:cs="Arial"/>
                <w:sz w:val="18"/>
                <w:szCs w:val="18"/>
                <w:lang w:val="en-GB"/>
              </w:rPr>
            </w:pPr>
            <w:r w:rsidRPr="00C8007B">
              <w:rPr>
                <w:rFonts w:ascii="Arial" w:hAnsi="Arial" w:cs="Arial"/>
                <w:color w:val="000000"/>
                <w:sz w:val="18"/>
                <w:szCs w:val="18"/>
                <w:lang w:val="en-GB"/>
              </w:rPr>
              <w:t xml:space="preserve">Potatoes (per </w:t>
            </w:r>
            <w:r w:rsidR="006713F2">
              <w:rPr>
                <w:rFonts w:ascii="Arial" w:hAnsi="Arial" w:cs="Arial"/>
                <w:color w:val="000000"/>
                <w:sz w:val="18"/>
                <w:szCs w:val="18"/>
                <w:lang w:val="en-GB"/>
              </w:rPr>
              <w:t>pound</w:t>
            </w:r>
            <w:r w:rsidRPr="00C8007B">
              <w:rPr>
                <w:rFonts w:ascii="Arial" w:hAnsi="Arial" w:cs="Arial"/>
                <w:color w:val="000000"/>
                <w:sz w:val="18"/>
                <w:szCs w:val="18"/>
                <w:lang w:val="en-GB"/>
              </w:rPr>
              <w:t>)</w:t>
            </w:r>
          </w:p>
        </w:tc>
        <w:tc>
          <w:tcPr>
            <w:tcW w:w="1984" w:type="dxa"/>
            <w:hideMark/>
          </w:tcPr>
          <w:p w14:paraId="4604A4FC" w14:textId="778E9757" w:rsidR="00C8007B" w:rsidRPr="00C8007B" w:rsidRDefault="00C8007B" w:rsidP="00832827">
            <w:pPr>
              <w:spacing w:line="0" w:lineRule="atLeast"/>
              <w:jc w:val="center"/>
              <w:rPr>
                <w:rFonts w:ascii="Arial" w:hAnsi="Arial" w:cs="Arial"/>
                <w:sz w:val="18"/>
                <w:szCs w:val="18"/>
                <w:lang w:val="en-GB"/>
              </w:rPr>
            </w:pPr>
            <w:r w:rsidRPr="00C8007B">
              <w:rPr>
                <w:rFonts w:ascii="Arial" w:hAnsi="Arial" w:cs="Arial"/>
                <w:color w:val="000000"/>
                <w:sz w:val="18"/>
                <w:szCs w:val="18"/>
                <w:lang w:val="en-GB"/>
              </w:rPr>
              <w:t xml:space="preserve">Tomatoes (per </w:t>
            </w:r>
            <w:r w:rsidR="006713F2">
              <w:rPr>
                <w:rFonts w:ascii="Arial" w:hAnsi="Arial" w:cs="Arial"/>
                <w:color w:val="000000"/>
                <w:sz w:val="18"/>
                <w:szCs w:val="18"/>
                <w:lang w:val="en-GB"/>
              </w:rPr>
              <w:t>pound</w:t>
            </w:r>
            <w:r w:rsidRPr="00C8007B">
              <w:rPr>
                <w:rFonts w:ascii="Arial" w:hAnsi="Arial" w:cs="Arial"/>
                <w:color w:val="000000"/>
                <w:sz w:val="18"/>
                <w:szCs w:val="18"/>
                <w:lang w:val="en-GB"/>
              </w:rPr>
              <w:t>)</w:t>
            </w:r>
          </w:p>
        </w:tc>
        <w:tc>
          <w:tcPr>
            <w:tcW w:w="1275" w:type="dxa"/>
            <w:hideMark/>
          </w:tcPr>
          <w:p w14:paraId="3B3A37E8" w14:textId="3450DB25" w:rsidR="00C8007B" w:rsidRPr="00C8007B" w:rsidRDefault="00C8007B" w:rsidP="00832827">
            <w:pPr>
              <w:spacing w:line="0" w:lineRule="atLeast"/>
              <w:jc w:val="center"/>
              <w:rPr>
                <w:rFonts w:ascii="Arial" w:hAnsi="Arial" w:cs="Arial"/>
                <w:sz w:val="18"/>
                <w:szCs w:val="18"/>
                <w:lang w:val="en-GB"/>
              </w:rPr>
            </w:pPr>
            <w:r w:rsidRPr="00C8007B">
              <w:rPr>
                <w:rFonts w:ascii="Arial" w:hAnsi="Arial" w:cs="Arial"/>
                <w:color w:val="000000"/>
                <w:sz w:val="18"/>
                <w:szCs w:val="18"/>
                <w:lang w:val="en-GB"/>
              </w:rPr>
              <w:t>Eggs (</w:t>
            </w:r>
            <w:r w:rsidR="00832827">
              <w:rPr>
                <w:rFonts w:ascii="Arial" w:hAnsi="Arial" w:cs="Arial"/>
                <w:color w:val="000000"/>
                <w:sz w:val="18"/>
                <w:szCs w:val="18"/>
                <w:lang w:val="en-GB"/>
              </w:rPr>
              <w:t>dozen</w:t>
            </w:r>
            <w:r w:rsidRPr="00C8007B">
              <w:rPr>
                <w:rFonts w:ascii="Arial" w:hAnsi="Arial" w:cs="Arial"/>
                <w:color w:val="000000"/>
                <w:sz w:val="18"/>
                <w:szCs w:val="18"/>
                <w:lang w:val="en-GB"/>
              </w:rPr>
              <w:t>)</w:t>
            </w:r>
          </w:p>
        </w:tc>
      </w:tr>
      <w:tr w:rsidR="00C8007B" w:rsidRPr="00C8007B" w14:paraId="030E2556" w14:textId="77777777" w:rsidTr="009C53B1">
        <w:trPr>
          <w:trHeight w:val="25"/>
          <w:jc w:val="right"/>
        </w:trPr>
        <w:tc>
          <w:tcPr>
            <w:tcW w:w="1271" w:type="dxa"/>
            <w:hideMark/>
          </w:tcPr>
          <w:p w14:paraId="10EE4E44" w14:textId="77777777" w:rsidR="00C8007B" w:rsidRPr="00C8007B" w:rsidRDefault="00C8007B" w:rsidP="00C8007B">
            <w:pPr>
              <w:spacing w:line="0" w:lineRule="atLeast"/>
              <w:jc w:val="both"/>
              <w:rPr>
                <w:rFonts w:ascii="Arial" w:hAnsi="Arial" w:cs="Arial"/>
                <w:sz w:val="18"/>
                <w:szCs w:val="18"/>
                <w:lang w:val="en-GB"/>
              </w:rPr>
            </w:pPr>
            <w:r w:rsidRPr="00C8007B">
              <w:rPr>
                <w:rFonts w:ascii="Arial" w:hAnsi="Arial" w:cs="Arial"/>
                <w:b/>
                <w:bCs/>
                <w:color w:val="000000"/>
                <w:sz w:val="18"/>
                <w:szCs w:val="18"/>
                <w:lang w:val="en-GB"/>
              </w:rPr>
              <w:t>Lidl</w:t>
            </w:r>
          </w:p>
        </w:tc>
        <w:tc>
          <w:tcPr>
            <w:tcW w:w="1701" w:type="dxa"/>
            <w:vAlign w:val="center"/>
            <w:hideMark/>
          </w:tcPr>
          <w:p w14:paraId="213D372F"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b/>
                <w:bCs/>
                <w:color w:val="000000"/>
                <w:sz w:val="18"/>
                <w:szCs w:val="18"/>
                <w:lang w:val="en-GB"/>
              </w:rPr>
              <w:t>$1.03</w:t>
            </w:r>
          </w:p>
        </w:tc>
        <w:tc>
          <w:tcPr>
            <w:tcW w:w="1276" w:type="dxa"/>
            <w:vAlign w:val="center"/>
            <w:hideMark/>
          </w:tcPr>
          <w:p w14:paraId="447ACD8E"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b/>
                <w:bCs/>
                <w:color w:val="000000"/>
                <w:sz w:val="18"/>
                <w:szCs w:val="18"/>
                <w:lang w:val="en-GB"/>
              </w:rPr>
              <w:t>$1.05</w:t>
            </w:r>
          </w:p>
        </w:tc>
        <w:tc>
          <w:tcPr>
            <w:tcW w:w="1843" w:type="dxa"/>
            <w:vAlign w:val="center"/>
            <w:hideMark/>
          </w:tcPr>
          <w:p w14:paraId="362CA55E"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b/>
                <w:bCs/>
                <w:color w:val="000000"/>
                <w:sz w:val="18"/>
                <w:szCs w:val="18"/>
                <w:lang w:val="en-GB"/>
              </w:rPr>
              <w:t>$0.49</w:t>
            </w:r>
          </w:p>
        </w:tc>
        <w:tc>
          <w:tcPr>
            <w:tcW w:w="1984" w:type="dxa"/>
            <w:vAlign w:val="center"/>
            <w:hideMark/>
          </w:tcPr>
          <w:p w14:paraId="69D0C663"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b/>
                <w:bCs/>
                <w:color w:val="000000"/>
                <w:sz w:val="18"/>
                <w:szCs w:val="18"/>
                <w:lang w:val="en-GB"/>
              </w:rPr>
              <w:t>$1.45</w:t>
            </w:r>
          </w:p>
        </w:tc>
        <w:tc>
          <w:tcPr>
            <w:tcW w:w="1275" w:type="dxa"/>
            <w:vAlign w:val="center"/>
            <w:hideMark/>
          </w:tcPr>
          <w:p w14:paraId="0957A97F"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b/>
                <w:bCs/>
                <w:color w:val="000000"/>
                <w:sz w:val="18"/>
                <w:szCs w:val="18"/>
                <w:lang w:val="en-GB"/>
              </w:rPr>
              <w:t>$0.99</w:t>
            </w:r>
          </w:p>
        </w:tc>
      </w:tr>
      <w:tr w:rsidR="00C8007B" w:rsidRPr="00C8007B" w14:paraId="43AD8B9D" w14:textId="77777777" w:rsidTr="009C53B1">
        <w:trPr>
          <w:jc w:val="right"/>
        </w:trPr>
        <w:tc>
          <w:tcPr>
            <w:tcW w:w="1271" w:type="dxa"/>
            <w:hideMark/>
          </w:tcPr>
          <w:p w14:paraId="50BB108F" w14:textId="77777777" w:rsidR="00C8007B" w:rsidRPr="00C8007B" w:rsidRDefault="00C8007B" w:rsidP="00C8007B">
            <w:pPr>
              <w:spacing w:line="0" w:lineRule="atLeast"/>
              <w:jc w:val="both"/>
              <w:rPr>
                <w:rFonts w:ascii="Arial" w:hAnsi="Arial" w:cs="Arial"/>
                <w:sz w:val="18"/>
                <w:szCs w:val="18"/>
                <w:lang w:val="en-GB"/>
              </w:rPr>
            </w:pPr>
            <w:r w:rsidRPr="00C8007B">
              <w:rPr>
                <w:rFonts w:ascii="Arial" w:hAnsi="Arial" w:cs="Arial"/>
                <w:color w:val="000000"/>
                <w:sz w:val="18"/>
                <w:szCs w:val="18"/>
                <w:lang w:val="en-GB"/>
              </w:rPr>
              <w:t>Aldi</w:t>
            </w:r>
          </w:p>
        </w:tc>
        <w:tc>
          <w:tcPr>
            <w:tcW w:w="1701" w:type="dxa"/>
            <w:vAlign w:val="center"/>
            <w:hideMark/>
          </w:tcPr>
          <w:p w14:paraId="33772042"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$1.99</w:t>
            </w:r>
          </w:p>
        </w:tc>
        <w:tc>
          <w:tcPr>
            <w:tcW w:w="1276" w:type="dxa"/>
            <w:vAlign w:val="center"/>
            <w:hideMark/>
          </w:tcPr>
          <w:p w14:paraId="7C1D5A71"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$0.85</w:t>
            </w:r>
          </w:p>
        </w:tc>
        <w:tc>
          <w:tcPr>
            <w:tcW w:w="1843" w:type="dxa"/>
            <w:vAlign w:val="center"/>
            <w:hideMark/>
          </w:tcPr>
          <w:p w14:paraId="0D23926C"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$0.49</w:t>
            </w:r>
          </w:p>
        </w:tc>
        <w:tc>
          <w:tcPr>
            <w:tcW w:w="1984" w:type="dxa"/>
            <w:vAlign w:val="center"/>
            <w:hideMark/>
          </w:tcPr>
          <w:p w14:paraId="28B4E5F8"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$1.59</w:t>
            </w:r>
          </w:p>
        </w:tc>
        <w:tc>
          <w:tcPr>
            <w:tcW w:w="1275" w:type="dxa"/>
            <w:vAlign w:val="center"/>
            <w:hideMark/>
          </w:tcPr>
          <w:p w14:paraId="3EE71F6E"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$1.29</w:t>
            </w:r>
          </w:p>
        </w:tc>
      </w:tr>
      <w:tr w:rsidR="00C8007B" w:rsidRPr="00C8007B" w14:paraId="20AEEE21" w14:textId="77777777" w:rsidTr="009C53B1">
        <w:trPr>
          <w:jc w:val="right"/>
        </w:trPr>
        <w:tc>
          <w:tcPr>
            <w:tcW w:w="1271" w:type="dxa"/>
            <w:hideMark/>
          </w:tcPr>
          <w:p w14:paraId="73D1D8E7" w14:textId="77777777" w:rsidR="00C8007B" w:rsidRPr="00C8007B" w:rsidRDefault="00C8007B" w:rsidP="00C8007B">
            <w:pPr>
              <w:spacing w:line="0" w:lineRule="atLeast"/>
              <w:jc w:val="both"/>
              <w:rPr>
                <w:rFonts w:ascii="Arial" w:hAnsi="Arial" w:cs="Arial"/>
                <w:sz w:val="18"/>
                <w:szCs w:val="18"/>
                <w:lang w:val="en-GB"/>
              </w:rPr>
            </w:pPr>
            <w:r w:rsidRPr="00C8007B">
              <w:rPr>
                <w:rFonts w:ascii="Arial" w:hAnsi="Arial" w:cs="Arial"/>
                <w:color w:val="000000"/>
                <w:sz w:val="18"/>
                <w:szCs w:val="18"/>
                <w:lang w:val="en-GB"/>
              </w:rPr>
              <w:t>Walmart</w:t>
            </w:r>
          </w:p>
        </w:tc>
        <w:tc>
          <w:tcPr>
            <w:tcW w:w="1701" w:type="dxa"/>
            <w:vAlign w:val="center"/>
            <w:hideMark/>
          </w:tcPr>
          <w:p w14:paraId="547B1213"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$2.58</w:t>
            </w:r>
          </w:p>
        </w:tc>
        <w:tc>
          <w:tcPr>
            <w:tcW w:w="1276" w:type="dxa"/>
            <w:vAlign w:val="center"/>
            <w:hideMark/>
          </w:tcPr>
          <w:p w14:paraId="10713BFF" w14:textId="5DAA2282" w:rsidR="00C8007B" w:rsidRPr="00C8007B" w:rsidRDefault="00C8007B" w:rsidP="00AA1C35">
            <w:pPr>
              <w:spacing w:line="0" w:lineRule="atLeast"/>
              <w:jc w:val="right"/>
              <w:rPr>
                <w:rFonts w:ascii="Arial" w:hAnsi="Arial" w:cs="Arial"/>
                <w:sz w:val="18"/>
                <w:szCs w:val="18"/>
                <w:lang w:val="en-GB"/>
              </w:rPr>
            </w:pPr>
            <w:r w:rsidRPr="00C8007B">
              <w:rPr>
                <w:rFonts w:ascii="Arial" w:hAnsi="Arial" w:cs="Arial"/>
                <w:color w:val="000000"/>
                <w:sz w:val="18"/>
                <w:szCs w:val="18"/>
                <w:lang w:val="en-GB"/>
              </w:rPr>
              <w:t>$1.18</w:t>
            </w:r>
          </w:p>
        </w:tc>
        <w:tc>
          <w:tcPr>
            <w:tcW w:w="1843" w:type="dxa"/>
            <w:vAlign w:val="center"/>
            <w:hideMark/>
          </w:tcPr>
          <w:p w14:paraId="631757FD"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$0.60</w:t>
            </w:r>
          </w:p>
        </w:tc>
        <w:tc>
          <w:tcPr>
            <w:tcW w:w="1984" w:type="dxa"/>
            <w:vAlign w:val="center"/>
            <w:hideMark/>
          </w:tcPr>
          <w:p w14:paraId="11976126"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$1.48</w:t>
            </w:r>
          </w:p>
        </w:tc>
        <w:tc>
          <w:tcPr>
            <w:tcW w:w="1275" w:type="dxa"/>
            <w:vAlign w:val="center"/>
            <w:hideMark/>
          </w:tcPr>
          <w:p w14:paraId="7776B948"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$1.58</w:t>
            </w:r>
          </w:p>
        </w:tc>
      </w:tr>
      <w:tr w:rsidR="00C8007B" w:rsidRPr="00C8007B" w14:paraId="6FAAB043" w14:textId="77777777" w:rsidTr="009C53B1">
        <w:trPr>
          <w:jc w:val="right"/>
        </w:trPr>
        <w:tc>
          <w:tcPr>
            <w:tcW w:w="1271" w:type="dxa"/>
            <w:hideMark/>
          </w:tcPr>
          <w:p w14:paraId="71F21BE9" w14:textId="77777777" w:rsidR="00C8007B" w:rsidRPr="00C8007B" w:rsidRDefault="00C8007B" w:rsidP="00C8007B">
            <w:pPr>
              <w:spacing w:line="0" w:lineRule="atLeast"/>
              <w:jc w:val="both"/>
              <w:rPr>
                <w:rFonts w:ascii="Arial" w:hAnsi="Arial" w:cs="Arial"/>
                <w:sz w:val="18"/>
                <w:szCs w:val="18"/>
                <w:lang w:val="en-GB"/>
              </w:rPr>
            </w:pPr>
            <w:r w:rsidRPr="00C8007B">
              <w:rPr>
                <w:rFonts w:ascii="Arial" w:hAnsi="Arial" w:cs="Arial"/>
                <w:color w:val="000000"/>
                <w:sz w:val="18"/>
                <w:szCs w:val="18"/>
                <w:lang w:val="en-GB"/>
              </w:rPr>
              <w:t>Kroger</w:t>
            </w:r>
          </w:p>
        </w:tc>
        <w:tc>
          <w:tcPr>
            <w:tcW w:w="1701" w:type="dxa"/>
            <w:vAlign w:val="center"/>
            <w:hideMark/>
          </w:tcPr>
          <w:p w14:paraId="7025B520"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$2.49</w:t>
            </w:r>
          </w:p>
        </w:tc>
        <w:tc>
          <w:tcPr>
            <w:tcW w:w="1276" w:type="dxa"/>
            <w:vAlign w:val="center"/>
            <w:hideMark/>
          </w:tcPr>
          <w:p w14:paraId="71A273A6"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$0.85</w:t>
            </w:r>
          </w:p>
        </w:tc>
        <w:tc>
          <w:tcPr>
            <w:tcW w:w="1843" w:type="dxa"/>
            <w:vAlign w:val="center"/>
            <w:hideMark/>
          </w:tcPr>
          <w:p w14:paraId="003B9E38"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$0.50</w:t>
            </w:r>
          </w:p>
        </w:tc>
        <w:tc>
          <w:tcPr>
            <w:tcW w:w="1984" w:type="dxa"/>
            <w:vAlign w:val="center"/>
            <w:hideMark/>
          </w:tcPr>
          <w:p w14:paraId="0A318803"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$1.49</w:t>
            </w:r>
          </w:p>
        </w:tc>
        <w:tc>
          <w:tcPr>
            <w:tcW w:w="1275" w:type="dxa"/>
            <w:vAlign w:val="center"/>
            <w:hideMark/>
          </w:tcPr>
          <w:p w14:paraId="293BA160"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$1.59</w:t>
            </w:r>
          </w:p>
        </w:tc>
      </w:tr>
      <w:tr w:rsidR="00C8007B" w:rsidRPr="00C8007B" w14:paraId="2227FB1F" w14:textId="77777777" w:rsidTr="009C53B1">
        <w:trPr>
          <w:jc w:val="right"/>
        </w:trPr>
        <w:tc>
          <w:tcPr>
            <w:tcW w:w="1271" w:type="dxa"/>
            <w:hideMark/>
          </w:tcPr>
          <w:p w14:paraId="0238E77A" w14:textId="77777777" w:rsidR="00C8007B" w:rsidRPr="00C8007B" w:rsidRDefault="00C8007B" w:rsidP="00C8007B">
            <w:pPr>
              <w:spacing w:line="0" w:lineRule="atLeast"/>
              <w:jc w:val="both"/>
              <w:rPr>
                <w:rFonts w:ascii="Arial" w:hAnsi="Arial" w:cs="Arial"/>
                <w:sz w:val="18"/>
                <w:szCs w:val="18"/>
                <w:lang w:val="en-GB"/>
              </w:rPr>
            </w:pPr>
            <w:r w:rsidRPr="00C8007B">
              <w:rPr>
                <w:rFonts w:ascii="Arial" w:hAnsi="Arial" w:cs="Arial"/>
                <w:color w:val="000000"/>
                <w:sz w:val="18"/>
                <w:szCs w:val="18"/>
                <w:lang w:val="en-GB"/>
              </w:rPr>
              <w:t>Food Lion</w:t>
            </w:r>
          </w:p>
        </w:tc>
        <w:tc>
          <w:tcPr>
            <w:tcW w:w="1701" w:type="dxa"/>
            <w:vAlign w:val="center"/>
            <w:hideMark/>
          </w:tcPr>
          <w:p w14:paraId="5C14E931"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$1.99</w:t>
            </w:r>
          </w:p>
        </w:tc>
        <w:tc>
          <w:tcPr>
            <w:tcW w:w="1276" w:type="dxa"/>
            <w:vAlign w:val="center"/>
            <w:hideMark/>
          </w:tcPr>
          <w:p w14:paraId="2942EDA6"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$0.76</w:t>
            </w:r>
          </w:p>
        </w:tc>
        <w:tc>
          <w:tcPr>
            <w:tcW w:w="1843" w:type="dxa"/>
            <w:vAlign w:val="center"/>
            <w:hideMark/>
          </w:tcPr>
          <w:p w14:paraId="07A3B28E"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$0.51</w:t>
            </w:r>
          </w:p>
        </w:tc>
        <w:tc>
          <w:tcPr>
            <w:tcW w:w="1984" w:type="dxa"/>
            <w:vAlign w:val="center"/>
            <w:hideMark/>
          </w:tcPr>
          <w:p w14:paraId="2E059C5F"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$1.49</w:t>
            </w:r>
          </w:p>
        </w:tc>
        <w:tc>
          <w:tcPr>
            <w:tcW w:w="1275" w:type="dxa"/>
            <w:vAlign w:val="center"/>
            <w:hideMark/>
          </w:tcPr>
          <w:p w14:paraId="284CB77D"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$1.29</w:t>
            </w:r>
          </w:p>
        </w:tc>
      </w:tr>
      <w:tr w:rsidR="00C8007B" w:rsidRPr="00C8007B" w14:paraId="3B9C7D95" w14:textId="77777777" w:rsidTr="009C53B1">
        <w:trPr>
          <w:jc w:val="right"/>
        </w:trPr>
        <w:tc>
          <w:tcPr>
            <w:tcW w:w="1271" w:type="dxa"/>
            <w:hideMark/>
          </w:tcPr>
          <w:p w14:paraId="72D99D64" w14:textId="77777777" w:rsidR="00C8007B" w:rsidRPr="00C8007B" w:rsidRDefault="00C8007B" w:rsidP="00C8007B">
            <w:pPr>
              <w:spacing w:line="0" w:lineRule="atLeast"/>
              <w:jc w:val="both"/>
              <w:rPr>
                <w:rFonts w:ascii="Arial" w:hAnsi="Arial" w:cs="Arial"/>
                <w:sz w:val="18"/>
                <w:szCs w:val="18"/>
                <w:lang w:val="en-GB"/>
              </w:rPr>
            </w:pPr>
            <w:r w:rsidRPr="00C8007B">
              <w:rPr>
                <w:rFonts w:ascii="Arial" w:hAnsi="Arial" w:cs="Arial"/>
                <w:color w:val="000000"/>
                <w:sz w:val="18"/>
                <w:szCs w:val="18"/>
                <w:lang w:val="en-GB"/>
              </w:rPr>
              <w:t>Amazon</w:t>
            </w:r>
          </w:p>
        </w:tc>
        <w:tc>
          <w:tcPr>
            <w:tcW w:w="1701" w:type="dxa"/>
            <w:vAlign w:val="center"/>
            <w:hideMark/>
          </w:tcPr>
          <w:p w14:paraId="2177E9F6"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shd w:val="clear" w:color="auto" w:fill="FFFFFF"/>
                <w:lang w:val="en-GB"/>
              </w:rPr>
              <w:t>$3.69</w:t>
            </w:r>
          </w:p>
        </w:tc>
        <w:tc>
          <w:tcPr>
            <w:tcW w:w="1276" w:type="dxa"/>
            <w:vAlign w:val="center"/>
            <w:hideMark/>
          </w:tcPr>
          <w:p w14:paraId="105733C0"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shd w:val="clear" w:color="auto" w:fill="FFFFFF"/>
                <w:lang w:val="en-GB"/>
              </w:rPr>
              <w:t>$2.69</w:t>
            </w:r>
          </w:p>
        </w:tc>
        <w:tc>
          <w:tcPr>
            <w:tcW w:w="1843" w:type="dxa"/>
            <w:vAlign w:val="center"/>
            <w:hideMark/>
          </w:tcPr>
          <w:p w14:paraId="7C68F4C2"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$0.46</w:t>
            </w:r>
          </w:p>
        </w:tc>
        <w:tc>
          <w:tcPr>
            <w:tcW w:w="1984" w:type="dxa"/>
            <w:vAlign w:val="center"/>
            <w:hideMark/>
          </w:tcPr>
          <w:p w14:paraId="6182B687"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$1.99</w:t>
            </w:r>
          </w:p>
        </w:tc>
        <w:tc>
          <w:tcPr>
            <w:tcW w:w="1275" w:type="dxa"/>
            <w:vAlign w:val="center"/>
            <w:hideMark/>
          </w:tcPr>
          <w:p w14:paraId="6EA14337" w14:textId="77777777" w:rsidR="00C8007B" w:rsidRPr="00C8007B" w:rsidRDefault="00C8007B" w:rsidP="00C8007B">
            <w:pPr>
              <w:spacing w:line="0" w:lineRule="atLeast"/>
              <w:jc w:val="right"/>
              <w:rPr>
                <w:rFonts w:ascii="Arial" w:hAnsi="Arial" w:cs="Arial"/>
                <w:sz w:val="18"/>
                <w:szCs w:val="18"/>
                <w:lang w:val="en-GB"/>
              </w:rPr>
            </w:pPr>
            <w:r w:rsidRPr="00C8007B">
              <w:rPr>
                <w:rFonts w:ascii="Arial" w:hAnsi="Arial" w:cs="Arial"/>
                <w:color w:val="000000"/>
                <w:sz w:val="18"/>
                <w:szCs w:val="18"/>
                <w:lang w:val="en-GB"/>
              </w:rPr>
              <w:t>$2.99</w:t>
            </w:r>
          </w:p>
        </w:tc>
      </w:tr>
    </w:tbl>
    <w:p w14:paraId="7D8A867B" w14:textId="77777777" w:rsidR="00C8007B" w:rsidRPr="00C8007B" w:rsidRDefault="00C8007B" w:rsidP="00C8007B">
      <w:pPr>
        <w:rPr>
          <w:color w:val="000000"/>
          <w:sz w:val="14"/>
          <w:szCs w:val="22"/>
          <w:lang w:val="en-GB"/>
        </w:rPr>
      </w:pPr>
    </w:p>
    <w:p w14:paraId="46561638" w14:textId="256E460E" w:rsidR="00C8007B" w:rsidRPr="00C8007B" w:rsidRDefault="00C8007B" w:rsidP="00C8007B">
      <w:pPr>
        <w:jc w:val="both"/>
        <w:rPr>
          <w:rFonts w:ascii="Arial" w:hAnsi="Arial" w:cs="Arial"/>
          <w:color w:val="000000"/>
          <w:sz w:val="17"/>
          <w:szCs w:val="17"/>
          <w:lang w:val="en-GB"/>
        </w:rPr>
      </w:pPr>
      <w:r w:rsidRPr="00C8007B">
        <w:rPr>
          <w:rFonts w:ascii="Arial" w:hAnsi="Arial" w:cs="Arial"/>
          <w:color w:val="000000"/>
          <w:sz w:val="17"/>
          <w:szCs w:val="17"/>
          <w:lang w:val="en-GB"/>
        </w:rPr>
        <w:t>Source: Compiled by case writers.</w:t>
      </w:r>
    </w:p>
    <w:p w14:paraId="6F9F2DCB" w14:textId="77777777" w:rsidR="00C8007B" w:rsidRPr="00C8007B" w:rsidRDefault="00C8007B" w:rsidP="00C8007B">
      <w:pPr>
        <w:jc w:val="both"/>
        <w:rPr>
          <w:rFonts w:ascii="Arial" w:hAnsi="Arial" w:cs="Arial"/>
          <w:color w:val="000000"/>
          <w:sz w:val="13"/>
          <w:szCs w:val="17"/>
          <w:lang w:val="en-GB"/>
        </w:rPr>
      </w:pPr>
    </w:p>
    <w:p w14:paraId="48ACC194" w14:textId="77777777" w:rsidR="00C8007B" w:rsidRPr="00C8007B" w:rsidRDefault="00C8007B" w:rsidP="00C8007B">
      <w:pPr>
        <w:jc w:val="both"/>
        <w:rPr>
          <w:rFonts w:ascii="Arial" w:hAnsi="Arial" w:cs="Arial"/>
          <w:color w:val="000000"/>
          <w:sz w:val="13"/>
          <w:szCs w:val="17"/>
          <w:lang w:val="en-GB"/>
        </w:rPr>
      </w:pPr>
    </w:p>
    <w:p w14:paraId="268B15EC" w14:textId="302DA4ED" w:rsidR="00C8007B" w:rsidRPr="00C8007B" w:rsidRDefault="00C8007B" w:rsidP="00C8007B">
      <w:pPr>
        <w:jc w:val="center"/>
        <w:rPr>
          <w:rFonts w:ascii="Arial" w:hAnsi="Arial" w:cs="Arial"/>
          <w:b/>
          <w:caps/>
          <w:lang w:val="en-GB"/>
        </w:rPr>
      </w:pPr>
      <w:r w:rsidRPr="00C8007B">
        <w:rPr>
          <w:rFonts w:ascii="Arial" w:hAnsi="Arial" w:cs="Arial"/>
          <w:b/>
          <w:caps/>
          <w:lang w:val="en-GB"/>
        </w:rPr>
        <w:t>EXHIBIT 2: LOCATIONS OF LIDL’S U</w:t>
      </w:r>
      <w:r w:rsidR="008E3166">
        <w:rPr>
          <w:rFonts w:ascii="Arial" w:hAnsi="Arial" w:cs="Arial"/>
          <w:b/>
          <w:caps/>
          <w:lang w:val="en-GB"/>
        </w:rPr>
        <w:t>.</w:t>
      </w:r>
      <w:r w:rsidRPr="00C8007B">
        <w:rPr>
          <w:rFonts w:ascii="Arial" w:hAnsi="Arial" w:cs="Arial"/>
          <w:b/>
          <w:caps/>
          <w:lang w:val="en-GB"/>
        </w:rPr>
        <w:t>S</w:t>
      </w:r>
      <w:r w:rsidR="008E3166">
        <w:rPr>
          <w:rFonts w:ascii="Arial" w:hAnsi="Arial" w:cs="Arial"/>
          <w:b/>
          <w:caps/>
          <w:lang w:val="en-GB"/>
        </w:rPr>
        <w:t>.</w:t>
      </w:r>
      <w:r w:rsidRPr="00C8007B">
        <w:rPr>
          <w:rFonts w:ascii="Arial" w:hAnsi="Arial" w:cs="Arial"/>
          <w:b/>
          <w:caps/>
          <w:lang w:val="en-GB"/>
        </w:rPr>
        <w:t>-BASED STORES</w:t>
      </w:r>
    </w:p>
    <w:p w14:paraId="40D4B954" w14:textId="77777777" w:rsidR="00C8007B" w:rsidRPr="00C8007B" w:rsidRDefault="00C8007B" w:rsidP="00C8007B">
      <w:pPr>
        <w:jc w:val="both"/>
        <w:rPr>
          <w:rFonts w:ascii="Arial" w:hAnsi="Arial" w:cs="Arial"/>
          <w:color w:val="000000"/>
          <w:sz w:val="17"/>
          <w:szCs w:val="17"/>
          <w:lang w:val="en-GB"/>
        </w:rPr>
      </w:pPr>
    </w:p>
    <w:tbl>
      <w:tblPr>
        <w:tblStyle w:val="TableGrid1"/>
        <w:tblW w:w="9337" w:type="dxa"/>
        <w:tblInd w:w="108" w:type="dxa"/>
        <w:tblLayout w:type="fixed"/>
        <w:tblLook w:val="04A0" w:firstRow="1" w:lastRow="0" w:firstColumn="1" w:lastColumn="0" w:noHBand="0" w:noVBand="1"/>
      </w:tblPr>
      <w:tblGrid>
        <w:gridCol w:w="3037"/>
        <w:gridCol w:w="3150"/>
        <w:gridCol w:w="3150"/>
      </w:tblGrid>
      <w:tr w:rsidR="00C8007B" w:rsidRPr="00C8007B" w14:paraId="091D72D8" w14:textId="77777777" w:rsidTr="00C8007B">
        <w:trPr>
          <w:trHeight w:val="60"/>
        </w:trPr>
        <w:tc>
          <w:tcPr>
            <w:tcW w:w="3037" w:type="dxa"/>
            <w:noWrap/>
            <w:vAlign w:val="center"/>
            <w:hideMark/>
          </w:tcPr>
          <w:p w14:paraId="3BD6A701"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North Chesterfield, Virginia—Mall Drive</w:t>
            </w:r>
          </w:p>
        </w:tc>
        <w:tc>
          <w:tcPr>
            <w:tcW w:w="3150" w:type="dxa"/>
            <w:noWrap/>
            <w:vAlign w:val="center"/>
            <w:hideMark/>
          </w:tcPr>
          <w:p w14:paraId="34D1A2E3"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Raleigh, North Carolina—Wake Forest Road</w:t>
            </w:r>
          </w:p>
        </w:tc>
        <w:tc>
          <w:tcPr>
            <w:tcW w:w="3150" w:type="dxa"/>
            <w:noWrap/>
            <w:vAlign w:val="center"/>
            <w:hideMark/>
          </w:tcPr>
          <w:p w14:paraId="6962A9EA"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Virginia Beach, Virginia—Edison Road</w:t>
            </w:r>
          </w:p>
        </w:tc>
      </w:tr>
      <w:tr w:rsidR="00C8007B" w:rsidRPr="00C8007B" w14:paraId="336BAF2E" w14:textId="77777777" w:rsidTr="00C8007B">
        <w:trPr>
          <w:trHeight w:val="60"/>
        </w:trPr>
        <w:tc>
          <w:tcPr>
            <w:tcW w:w="3037" w:type="dxa"/>
            <w:noWrap/>
            <w:vAlign w:val="center"/>
            <w:hideMark/>
          </w:tcPr>
          <w:p w14:paraId="49CB6D1C"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Newport News, Virginia—Jefferson Avenue</w:t>
            </w:r>
          </w:p>
        </w:tc>
        <w:tc>
          <w:tcPr>
            <w:tcW w:w="3150" w:type="dxa"/>
            <w:noWrap/>
            <w:vAlign w:val="center"/>
            <w:hideMark/>
          </w:tcPr>
          <w:p w14:paraId="1C259E32"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Hampton, Virginia—West Mercury Boulevard</w:t>
            </w:r>
          </w:p>
        </w:tc>
        <w:tc>
          <w:tcPr>
            <w:tcW w:w="3150" w:type="dxa"/>
            <w:noWrap/>
            <w:vAlign w:val="center"/>
            <w:hideMark/>
          </w:tcPr>
          <w:p w14:paraId="6A32A187"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Richmond, Virginia—West Broad Street</w:t>
            </w:r>
          </w:p>
        </w:tc>
      </w:tr>
      <w:tr w:rsidR="00C8007B" w:rsidRPr="00C8007B" w14:paraId="5FC1477B" w14:textId="77777777" w:rsidTr="00C8007B">
        <w:trPr>
          <w:trHeight w:val="300"/>
        </w:trPr>
        <w:tc>
          <w:tcPr>
            <w:tcW w:w="3037" w:type="dxa"/>
            <w:noWrap/>
            <w:vAlign w:val="center"/>
            <w:hideMark/>
          </w:tcPr>
          <w:p w14:paraId="452C4A35"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Suffolk, Virginia—Harbour View Boulevard</w:t>
            </w:r>
          </w:p>
        </w:tc>
        <w:tc>
          <w:tcPr>
            <w:tcW w:w="3150" w:type="dxa"/>
            <w:noWrap/>
            <w:vAlign w:val="center"/>
            <w:hideMark/>
          </w:tcPr>
          <w:p w14:paraId="4F27AC91"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Augusta, Georgia—Alexander Drive</w:t>
            </w:r>
          </w:p>
        </w:tc>
        <w:tc>
          <w:tcPr>
            <w:tcW w:w="3150" w:type="dxa"/>
            <w:noWrap/>
            <w:vAlign w:val="center"/>
            <w:hideMark/>
          </w:tcPr>
          <w:p w14:paraId="4014244C"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Winston Salem, North Carolina—Fairlawn Drive</w:t>
            </w:r>
          </w:p>
        </w:tc>
      </w:tr>
      <w:tr w:rsidR="00C8007B" w:rsidRPr="00C8007B" w14:paraId="533D2E95" w14:textId="77777777" w:rsidTr="00C8007B">
        <w:trPr>
          <w:trHeight w:val="300"/>
        </w:trPr>
        <w:tc>
          <w:tcPr>
            <w:tcW w:w="3037" w:type="dxa"/>
            <w:noWrap/>
            <w:vAlign w:val="center"/>
            <w:hideMark/>
          </w:tcPr>
          <w:p w14:paraId="14E02BA7"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 xml:space="preserve">Greenville, North Carolina—East </w:t>
            </w:r>
            <w:proofErr w:type="spellStart"/>
            <w:r w:rsidRPr="009627F1">
              <w:rPr>
                <w:rFonts w:ascii="Arial" w:hAnsi="Arial" w:cs="Arial"/>
                <w:sz w:val="18"/>
                <w:szCs w:val="18"/>
                <w:lang w:val="en-GB"/>
              </w:rPr>
              <w:t>Firetower</w:t>
            </w:r>
            <w:proofErr w:type="spellEnd"/>
            <w:r w:rsidRPr="009627F1">
              <w:rPr>
                <w:rFonts w:ascii="Arial" w:hAnsi="Arial" w:cs="Arial"/>
                <w:sz w:val="18"/>
                <w:szCs w:val="18"/>
                <w:lang w:val="en-GB"/>
              </w:rPr>
              <w:t xml:space="preserve"> Road</w:t>
            </w:r>
          </w:p>
        </w:tc>
        <w:tc>
          <w:tcPr>
            <w:tcW w:w="3150" w:type="dxa"/>
            <w:noWrap/>
            <w:vAlign w:val="center"/>
            <w:hideMark/>
          </w:tcPr>
          <w:p w14:paraId="76F763B5"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Culpeper, Virginia—Brandy Road</w:t>
            </w:r>
          </w:p>
        </w:tc>
        <w:tc>
          <w:tcPr>
            <w:tcW w:w="3150" w:type="dxa"/>
            <w:noWrap/>
            <w:vAlign w:val="center"/>
            <w:hideMark/>
          </w:tcPr>
          <w:p w14:paraId="0BB8FFE2"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Goose Creek, South Carolina—Saint James Avenue</w:t>
            </w:r>
          </w:p>
        </w:tc>
      </w:tr>
      <w:tr w:rsidR="00C8007B" w:rsidRPr="00C8007B" w14:paraId="5FB359E0" w14:textId="77777777" w:rsidTr="00C8007B">
        <w:trPr>
          <w:trHeight w:val="300"/>
        </w:trPr>
        <w:tc>
          <w:tcPr>
            <w:tcW w:w="3037" w:type="dxa"/>
            <w:noWrap/>
            <w:vAlign w:val="center"/>
            <w:hideMark/>
          </w:tcPr>
          <w:p w14:paraId="6D30EDC8"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Winston Salem, North Carolina—Sides Branch Road</w:t>
            </w:r>
          </w:p>
        </w:tc>
        <w:tc>
          <w:tcPr>
            <w:tcW w:w="3150" w:type="dxa"/>
            <w:noWrap/>
            <w:vAlign w:val="center"/>
            <w:hideMark/>
          </w:tcPr>
          <w:p w14:paraId="091F01D4"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 xml:space="preserve">North Augusta, South Carolina—East </w:t>
            </w:r>
            <w:proofErr w:type="spellStart"/>
            <w:r w:rsidRPr="009627F1">
              <w:rPr>
                <w:rFonts w:ascii="Arial" w:hAnsi="Arial" w:cs="Arial"/>
                <w:sz w:val="18"/>
                <w:szCs w:val="18"/>
                <w:lang w:val="en-GB"/>
              </w:rPr>
              <w:t>Martintown</w:t>
            </w:r>
            <w:proofErr w:type="spellEnd"/>
            <w:r w:rsidRPr="009627F1">
              <w:rPr>
                <w:rFonts w:ascii="Arial" w:hAnsi="Arial" w:cs="Arial"/>
                <w:sz w:val="18"/>
                <w:szCs w:val="18"/>
                <w:lang w:val="en-GB"/>
              </w:rPr>
              <w:t xml:space="preserve"> Road</w:t>
            </w:r>
          </w:p>
        </w:tc>
        <w:tc>
          <w:tcPr>
            <w:tcW w:w="3150" w:type="dxa"/>
            <w:noWrap/>
            <w:vAlign w:val="center"/>
            <w:hideMark/>
          </w:tcPr>
          <w:p w14:paraId="0595D259" w14:textId="77777777" w:rsidR="00C8007B" w:rsidRPr="009627F1" w:rsidRDefault="00C8007B" w:rsidP="00C8007B">
            <w:pPr>
              <w:rPr>
                <w:rFonts w:ascii="Arial" w:hAnsi="Arial" w:cs="Arial"/>
                <w:sz w:val="18"/>
                <w:szCs w:val="18"/>
                <w:lang w:val="en-GB"/>
              </w:rPr>
            </w:pPr>
            <w:proofErr w:type="spellStart"/>
            <w:r w:rsidRPr="009627F1">
              <w:rPr>
                <w:rFonts w:ascii="Arial" w:hAnsi="Arial" w:cs="Arial"/>
                <w:sz w:val="18"/>
                <w:szCs w:val="18"/>
                <w:lang w:val="en-GB"/>
              </w:rPr>
              <w:t>Henrico</w:t>
            </w:r>
            <w:proofErr w:type="spellEnd"/>
            <w:r w:rsidRPr="009627F1">
              <w:rPr>
                <w:rFonts w:ascii="Arial" w:hAnsi="Arial" w:cs="Arial"/>
                <w:sz w:val="18"/>
                <w:szCs w:val="18"/>
                <w:lang w:val="en-GB"/>
              </w:rPr>
              <w:t>, Virginia—Hermitage Road</w:t>
            </w:r>
          </w:p>
        </w:tc>
      </w:tr>
      <w:tr w:rsidR="00C8007B" w:rsidRPr="00C8007B" w14:paraId="4ABDE853" w14:textId="77777777" w:rsidTr="00C8007B">
        <w:trPr>
          <w:trHeight w:val="300"/>
        </w:trPr>
        <w:tc>
          <w:tcPr>
            <w:tcW w:w="3037" w:type="dxa"/>
            <w:noWrap/>
            <w:vAlign w:val="center"/>
            <w:hideMark/>
          </w:tcPr>
          <w:p w14:paraId="7E8BD364"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Indian Land, South Carolina—Charlotte Highway</w:t>
            </w:r>
          </w:p>
        </w:tc>
        <w:tc>
          <w:tcPr>
            <w:tcW w:w="3150" w:type="dxa"/>
            <w:noWrap/>
            <w:vAlign w:val="center"/>
            <w:hideMark/>
          </w:tcPr>
          <w:p w14:paraId="5539AE8B"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Virginia Beach, Virginia—Providence Road</w:t>
            </w:r>
          </w:p>
        </w:tc>
        <w:tc>
          <w:tcPr>
            <w:tcW w:w="3150" w:type="dxa"/>
            <w:noWrap/>
            <w:vAlign w:val="center"/>
            <w:hideMark/>
          </w:tcPr>
          <w:p w14:paraId="20E9F738"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Lexington, South Carolina—Sunset Boulevard</w:t>
            </w:r>
          </w:p>
        </w:tc>
      </w:tr>
      <w:tr w:rsidR="00C8007B" w:rsidRPr="00C8007B" w14:paraId="66B15D0B" w14:textId="77777777" w:rsidTr="00C8007B">
        <w:trPr>
          <w:trHeight w:val="300"/>
        </w:trPr>
        <w:tc>
          <w:tcPr>
            <w:tcW w:w="3037" w:type="dxa"/>
            <w:noWrap/>
            <w:vAlign w:val="center"/>
            <w:hideMark/>
          </w:tcPr>
          <w:p w14:paraId="72868ED7"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Thomasville, North Carolina—Randolph Street</w:t>
            </w:r>
          </w:p>
        </w:tc>
        <w:tc>
          <w:tcPr>
            <w:tcW w:w="3150" w:type="dxa"/>
            <w:noWrap/>
            <w:vAlign w:val="center"/>
            <w:hideMark/>
          </w:tcPr>
          <w:p w14:paraId="2F22D461"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Sanford, North Carolina—North Carolina Highway 87 South</w:t>
            </w:r>
          </w:p>
        </w:tc>
        <w:tc>
          <w:tcPr>
            <w:tcW w:w="3150" w:type="dxa"/>
            <w:noWrap/>
            <w:vAlign w:val="center"/>
            <w:hideMark/>
          </w:tcPr>
          <w:p w14:paraId="663A53E5"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Greenwood, South Carolina—72 Bypass North West</w:t>
            </w:r>
          </w:p>
        </w:tc>
      </w:tr>
      <w:tr w:rsidR="00C8007B" w:rsidRPr="00C8007B" w14:paraId="22752A79" w14:textId="77777777" w:rsidTr="00C8007B">
        <w:trPr>
          <w:trHeight w:val="60"/>
        </w:trPr>
        <w:tc>
          <w:tcPr>
            <w:tcW w:w="3037" w:type="dxa"/>
            <w:noWrap/>
            <w:vAlign w:val="center"/>
            <w:hideMark/>
          </w:tcPr>
          <w:p w14:paraId="3D4B5B91"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Rock Hill, South Carolina—</w:t>
            </w:r>
            <w:proofErr w:type="spellStart"/>
            <w:r w:rsidRPr="009627F1">
              <w:rPr>
                <w:rFonts w:ascii="Arial" w:hAnsi="Arial" w:cs="Arial"/>
                <w:sz w:val="18"/>
                <w:szCs w:val="18"/>
                <w:lang w:val="en-GB"/>
              </w:rPr>
              <w:t>Herrons</w:t>
            </w:r>
            <w:proofErr w:type="spellEnd"/>
            <w:r w:rsidRPr="009627F1">
              <w:rPr>
                <w:rFonts w:ascii="Arial" w:hAnsi="Arial" w:cs="Arial"/>
                <w:sz w:val="18"/>
                <w:szCs w:val="18"/>
                <w:lang w:val="en-GB"/>
              </w:rPr>
              <w:t xml:space="preserve"> Ferry Road</w:t>
            </w:r>
          </w:p>
        </w:tc>
        <w:tc>
          <w:tcPr>
            <w:tcW w:w="3150" w:type="dxa"/>
            <w:noWrap/>
            <w:vAlign w:val="center"/>
            <w:hideMark/>
          </w:tcPr>
          <w:p w14:paraId="0F04AB16"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Dumfries, Virginia—Dumfries Road</w:t>
            </w:r>
          </w:p>
        </w:tc>
        <w:tc>
          <w:tcPr>
            <w:tcW w:w="3150" w:type="dxa"/>
            <w:noWrap/>
            <w:vAlign w:val="center"/>
            <w:hideMark/>
          </w:tcPr>
          <w:p w14:paraId="41242390"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Middletown, Delaware—Auto Park Drive</w:t>
            </w:r>
          </w:p>
        </w:tc>
      </w:tr>
      <w:tr w:rsidR="00C8007B" w:rsidRPr="00C8007B" w14:paraId="1AE60FD0" w14:textId="77777777" w:rsidTr="00C8007B">
        <w:trPr>
          <w:trHeight w:val="300"/>
        </w:trPr>
        <w:tc>
          <w:tcPr>
            <w:tcW w:w="3037" w:type="dxa"/>
            <w:noWrap/>
            <w:vAlign w:val="center"/>
            <w:hideMark/>
          </w:tcPr>
          <w:p w14:paraId="03EB31A9"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Richmond, Virginia—South Laburnum Avenue</w:t>
            </w:r>
          </w:p>
        </w:tc>
        <w:tc>
          <w:tcPr>
            <w:tcW w:w="3150" w:type="dxa"/>
            <w:noWrap/>
            <w:vAlign w:val="center"/>
            <w:hideMark/>
          </w:tcPr>
          <w:p w14:paraId="70DCE1BB"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Chester, Virginia—Iron Bridge Road</w:t>
            </w:r>
          </w:p>
        </w:tc>
        <w:tc>
          <w:tcPr>
            <w:tcW w:w="3150" w:type="dxa"/>
            <w:noWrap/>
            <w:vAlign w:val="center"/>
            <w:hideMark/>
          </w:tcPr>
          <w:p w14:paraId="64CCABC2"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Manassas, Virginia—</w:t>
            </w:r>
            <w:proofErr w:type="spellStart"/>
            <w:r w:rsidRPr="009627F1">
              <w:rPr>
                <w:rFonts w:ascii="Arial" w:hAnsi="Arial" w:cs="Arial"/>
                <w:sz w:val="18"/>
                <w:szCs w:val="18"/>
                <w:lang w:val="en-GB"/>
              </w:rPr>
              <w:t>Sudley</w:t>
            </w:r>
            <w:proofErr w:type="spellEnd"/>
            <w:r w:rsidRPr="009627F1">
              <w:rPr>
                <w:rFonts w:ascii="Arial" w:hAnsi="Arial" w:cs="Arial"/>
                <w:sz w:val="18"/>
                <w:szCs w:val="18"/>
                <w:lang w:val="en-GB"/>
              </w:rPr>
              <w:t xml:space="preserve"> Manor Drive</w:t>
            </w:r>
          </w:p>
        </w:tc>
      </w:tr>
      <w:tr w:rsidR="00C8007B" w:rsidRPr="00C8007B" w14:paraId="5D039CF7" w14:textId="77777777" w:rsidTr="00C8007B">
        <w:trPr>
          <w:trHeight w:val="300"/>
        </w:trPr>
        <w:tc>
          <w:tcPr>
            <w:tcW w:w="3037" w:type="dxa"/>
            <w:noWrap/>
            <w:vAlign w:val="center"/>
            <w:hideMark/>
          </w:tcPr>
          <w:p w14:paraId="06F96C58"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Shelby, North Carolina—East Dixon Boulevard</w:t>
            </w:r>
          </w:p>
        </w:tc>
        <w:tc>
          <w:tcPr>
            <w:tcW w:w="3150" w:type="dxa"/>
            <w:noWrap/>
            <w:vAlign w:val="center"/>
            <w:hideMark/>
          </w:tcPr>
          <w:p w14:paraId="29BE0DEA"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Chesapeake, Virginia—Portsmouth Blvd</w:t>
            </w:r>
          </w:p>
        </w:tc>
        <w:tc>
          <w:tcPr>
            <w:tcW w:w="3150" w:type="dxa"/>
            <w:noWrap/>
            <w:vAlign w:val="center"/>
            <w:hideMark/>
          </w:tcPr>
          <w:p w14:paraId="7B288858"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Virginia Beach, Virginia—Holland Road</w:t>
            </w:r>
          </w:p>
        </w:tc>
      </w:tr>
      <w:tr w:rsidR="00C8007B" w:rsidRPr="00C8007B" w14:paraId="69852641" w14:textId="77777777" w:rsidTr="00C8007B">
        <w:trPr>
          <w:trHeight w:val="300"/>
        </w:trPr>
        <w:tc>
          <w:tcPr>
            <w:tcW w:w="3037" w:type="dxa"/>
            <w:noWrap/>
            <w:vAlign w:val="center"/>
            <w:hideMark/>
          </w:tcPr>
          <w:p w14:paraId="6EA99974"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Bowie, Maryland—Annapolis Road</w:t>
            </w:r>
          </w:p>
        </w:tc>
        <w:tc>
          <w:tcPr>
            <w:tcW w:w="3150" w:type="dxa"/>
            <w:noWrap/>
            <w:vAlign w:val="center"/>
            <w:hideMark/>
          </w:tcPr>
          <w:p w14:paraId="7B70DC4A"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Greenville, South Carolina—Wade Hampton Boulevard</w:t>
            </w:r>
          </w:p>
        </w:tc>
        <w:tc>
          <w:tcPr>
            <w:tcW w:w="3150" w:type="dxa"/>
            <w:noWrap/>
            <w:vAlign w:val="center"/>
            <w:hideMark/>
          </w:tcPr>
          <w:p w14:paraId="33C00B7A"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Greenville, South Carolina—Woodruff Road</w:t>
            </w:r>
          </w:p>
        </w:tc>
      </w:tr>
      <w:tr w:rsidR="00C8007B" w:rsidRPr="00C8007B" w14:paraId="2AB51544" w14:textId="77777777" w:rsidTr="00C8007B">
        <w:trPr>
          <w:trHeight w:val="60"/>
        </w:trPr>
        <w:tc>
          <w:tcPr>
            <w:tcW w:w="3037" w:type="dxa"/>
            <w:noWrap/>
            <w:vAlign w:val="center"/>
            <w:hideMark/>
          </w:tcPr>
          <w:p w14:paraId="34196AC6"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Danville, Virginia—Piedmont Place</w:t>
            </w:r>
          </w:p>
        </w:tc>
        <w:tc>
          <w:tcPr>
            <w:tcW w:w="3150" w:type="dxa"/>
            <w:noWrap/>
            <w:vAlign w:val="center"/>
            <w:hideMark/>
          </w:tcPr>
          <w:p w14:paraId="4E21FBA1"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Wilson, North Carolina—Raleigh Road</w:t>
            </w:r>
          </w:p>
        </w:tc>
        <w:tc>
          <w:tcPr>
            <w:tcW w:w="3150" w:type="dxa"/>
            <w:noWrap/>
            <w:vAlign w:val="center"/>
            <w:hideMark/>
          </w:tcPr>
          <w:p w14:paraId="08BF3731"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Concord, North Carolina—</w:t>
            </w:r>
            <w:proofErr w:type="spellStart"/>
            <w:r w:rsidRPr="009627F1">
              <w:rPr>
                <w:rFonts w:ascii="Arial" w:hAnsi="Arial" w:cs="Arial"/>
                <w:sz w:val="18"/>
                <w:szCs w:val="18"/>
                <w:lang w:val="en-GB"/>
              </w:rPr>
              <w:t>Christenbury</w:t>
            </w:r>
            <w:proofErr w:type="spellEnd"/>
            <w:r w:rsidRPr="009627F1">
              <w:rPr>
                <w:rFonts w:ascii="Arial" w:hAnsi="Arial" w:cs="Arial"/>
                <w:sz w:val="18"/>
                <w:szCs w:val="18"/>
                <w:lang w:val="en-GB"/>
              </w:rPr>
              <w:t xml:space="preserve"> Parkway</w:t>
            </w:r>
          </w:p>
        </w:tc>
      </w:tr>
      <w:tr w:rsidR="00C8007B" w:rsidRPr="00C8007B" w14:paraId="15B02156" w14:textId="77777777" w:rsidTr="00C8007B">
        <w:trPr>
          <w:trHeight w:val="60"/>
        </w:trPr>
        <w:tc>
          <w:tcPr>
            <w:tcW w:w="3037" w:type="dxa"/>
            <w:noWrap/>
            <w:vAlign w:val="center"/>
            <w:hideMark/>
          </w:tcPr>
          <w:p w14:paraId="7FFD8999"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Woodbridge, Virginia—</w:t>
            </w:r>
            <w:proofErr w:type="spellStart"/>
            <w:r w:rsidRPr="009627F1">
              <w:rPr>
                <w:rFonts w:ascii="Arial" w:hAnsi="Arial" w:cs="Arial"/>
                <w:sz w:val="18"/>
                <w:szCs w:val="18"/>
                <w:lang w:val="en-GB"/>
              </w:rPr>
              <w:t>Tacketts</w:t>
            </w:r>
            <w:proofErr w:type="spellEnd"/>
            <w:r w:rsidRPr="009627F1">
              <w:rPr>
                <w:rFonts w:ascii="Arial" w:hAnsi="Arial" w:cs="Arial"/>
                <w:sz w:val="18"/>
                <w:szCs w:val="18"/>
                <w:lang w:val="en-GB"/>
              </w:rPr>
              <w:t xml:space="preserve"> Village Square</w:t>
            </w:r>
          </w:p>
        </w:tc>
        <w:tc>
          <w:tcPr>
            <w:tcW w:w="3150" w:type="dxa"/>
            <w:noWrap/>
            <w:vAlign w:val="center"/>
            <w:hideMark/>
          </w:tcPr>
          <w:p w14:paraId="3C949FC1"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Kinston, North Carolina—West Vernon Avenue</w:t>
            </w:r>
          </w:p>
        </w:tc>
        <w:tc>
          <w:tcPr>
            <w:tcW w:w="3150" w:type="dxa"/>
            <w:noWrap/>
            <w:vAlign w:val="center"/>
            <w:hideMark/>
          </w:tcPr>
          <w:p w14:paraId="2CC17B9E" w14:textId="6741B5AE" w:rsidR="00C8007B" w:rsidRPr="009627F1" w:rsidRDefault="00C8007B" w:rsidP="00C81F2A">
            <w:pPr>
              <w:rPr>
                <w:rFonts w:ascii="Arial" w:hAnsi="Arial" w:cs="Arial"/>
                <w:sz w:val="18"/>
                <w:szCs w:val="18"/>
                <w:lang w:val="en-GB"/>
              </w:rPr>
            </w:pPr>
            <w:r w:rsidRPr="009627F1">
              <w:rPr>
                <w:rFonts w:ascii="Arial" w:hAnsi="Arial" w:cs="Arial"/>
                <w:sz w:val="18"/>
                <w:szCs w:val="18"/>
                <w:lang w:val="en-GB"/>
              </w:rPr>
              <w:t>Eatontown, New Jers</w:t>
            </w:r>
            <w:r w:rsidR="00C81F2A">
              <w:rPr>
                <w:rFonts w:ascii="Arial" w:hAnsi="Arial" w:cs="Arial"/>
                <w:sz w:val="18"/>
                <w:szCs w:val="18"/>
                <w:lang w:val="en-GB"/>
              </w:rPr>
              <w:t>e</w:t>
            </w:r>
            <w:r w:rsidRPr="009627F1">
              <w:rPr>
                <w:rFonts w:ascii="Arial" w:hAnsi="Arial" w:cs="Arial"/>
                <w:sz w:val="18"/>
                <w:szCs w:val="18"/>
                <w:lang w:val="en-GB"/>
              </w:rPr>
              <w:t>y—New Jersey State Highway 35</w:t>
            </w:r>
          </w:p>
        </w:tc>
      </w:tr>
      <w:tr w:rsidR="00C8007B" w:rsidRPr="00C8007B" w14:paraId="1FD869A0" w14:textId="77777777" w:rsidTr="00C8007B">
        <w:trPr>
          <w:trHeight w:val="300"/>
        </w:trPr>
        <w:tc>
          <w:tcPr>
            <w:tcW w:w="3037" w:type="dxa"/>
            <w:noWrap/>
            <w:vAlign w:val="center"/>
            <w:hideMark/>
          </w:tcPr>
          <w:p w14:paraId="20FB97EB"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Wake Forest North Carolina—South Main Street</w:t>
            </w:r>
          </w:p>
        </w:tc>
        <w:tc>
          <w:tcPr>
            <w:tcW w:w="3150" w:type="dxa"/>
            <w:noWrap/>
            <w:vAlign w:val="center"/>
            <w:hideMark/>
          </w:tcPr>
          <w:p w14:paraId="6EFFC445"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Rockingham, North Carolina—United States Highway 74 Business</w:t>
            </w:r>
          </w:p>
        </w:tc>
        <w:tc>
          <w:tcPr>
            <w:tcW w:w="3150" w:type="dxa"/>
            <w:noWrap/>
            <w:vAlign w:val="center"/>
            <w:hideMark/>
          </w:tcPr>
          <w:p w14:paraId="65198A38"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Florence, South Carolina—West Palmetto</w:t>
            </w:r>
          </w:p>
        </w:tc>
      </w:tr>
      <w:tr w:rsidR="00C8007B" w:rsidRPr="00C8007B" w14:paraId="7737BE8F" w14:textId="77777777" w:rsidTr="00C8007B">
        <w:trPr>
          <w:trHeight w:val="60"/>
        </w:trPr>
        <w:tc>
          <w:tcPr>
            <w:tcW w:w="3037" w:type="dxa"/>
            <w:noWrap/>
            <w:vAlign w:val="center"/>
            <w:hideMark/>
          </w:tcPr>
          <w:p w14:paraId="4C58EC73" w14:textId="1CF3DBB5"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Havelock, North Carolina—West United States Highway</w:t>
            </w:r>
            <w:r w:rsidR="00832827">
              <w:rPr>
                <w:rFonts w:ascii="Arial" w:hAnsi="Arial" w:cs="Arial"/>
                <w:sz w:val="18"/>
                <w:szCs w:val="18"/>
                <w:lang w:val="en-GB"/>
              </w:rPr>
              <w:t xml:space="preserve"> 70</w:t>
            </w:r>
          </w:p>
        </w:tc>
        <w:tc>
          <w:tcPr>
            <w:tcW w:w="3150" w:type="dxa"/>
            <w:noWrap/>
            <w:vAlign w:val="center"/>
            <w:hideMark/>
          </w:tcPr>
          <w:p w14:paraId="0A73E301"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Spartanburg, South Carolina—East Main Street</w:t>
            </w:r>
          </w:p>
        </w:tc>
        <w:tc>
          <w:tcPr>
            <w:tcW w:w="3150" w:type="dxa"/>
            <w:noWrap/>
            <w:vAlign w:val="center"/>
            <w:hideMark/>
          </w:tcPr>
          <w:p w14:paraId="1AD84E12" w14:textId="1693BB34" w:rsidR="00C8007B" w:rsidRPr="009627F1" w:rsidRDefault="00496DB7" w:rsidP="00C8007B">
            <w:pPr>
              <w:rPr>
                <w:rFonts w:ascii="Arial" w:hAnsi="Arial" w:cs="Arial"/>
                <w:sz w:val="18"/>
                <w:szCs w:val="18"/>
                <w:lang w:val="en-GB"/>
              </w:rPr>
            </w:pPr>
            <w:r w:rsidRPr="009627F1">
              <w:rPr>
                <w:rFonts w:ascii="Arial" w:hAnsi="Arial" w:cs="Arial"/>
                <w:sz w:val="18"/>
                <w:szCs w:val="18"/>
                <w:lang w:val="en-GB"/>
              </w:rPr>
              <w:t>Ashburn, Virginia—Broadlands Boulevard</w:t>
            </w:r>
          </w:p>
        </w:tc>
      </w:tr>
      <w:tr w:rsidR="00C8007B" w:rsidRPr="00C8007B" w14:paraId="25570483" w14:textId="77777777" w:rsidTr="00C8007B">
        <w:trPr>
          <w:trHeight w:val="60"/>
        </w:trPr>
        <w:tc>
          <w:tcPr>
            <w:tcW w:w="3037" w:type="dxa"/>
            <w:noWrap/>
            <w:vAlign w:val="center"/>
            <w:hideMark/>
          </w:tcPr>
          <w:p w14:paraId="309672BB"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Newport News, Virginia—Warwick Boulevard</w:t>
            </w:r>
          </w:p>
        </w:tc>
        <w:tc>
          <w:tcPr>
            <w:tcW w:w="3150" w:type="dxa"/>
            <w:noWrap/>
            <w:vAlign w:val="center"/>
            <w:hideMark/>
          </w:tcPr>
          <w:p w14:paraId="16BC304D" w14:textId="52406A3F"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Morehead City, North Carolina—United States Highway</w:t>
            </w:r>
            <w:r w:rsidR="00832827">
              <w:rPr>
                <w:rFonts w:ascii="Arial" w:hAnsi="Arial" w:cs="Arial"/>
                <w:sz w:val="18"/>
                <w:szCs w:val="18"/>
                <w:lang w:val="en-GB"/>
              </w:rPr>
              <w:t xml:space="preserve"> 70</w:t>
            </w:r>
          </w:p>
        </w:tc>
        <w:tc>
          <w:tcPr>
            <w:tcW w:w="3150" w:type="dxa"/>
            <w:noWrap/>
            <w:vAlign w:val="center"/>
            <w:hideMark/>
          </w:tcPr>
          <w:p w14:paraId="4C95AE92" w14:textId="5F4F61C6" w:rsidR="00C8007B" w:rsidRPr="009627F1" w:rsidRDefault="00C8007B" w:rsidP="00C8007B">
            <w:pPr>
              <w:rPr>
                <w:rFonts w:ascii="Arial" w:hAnsi="Arial" w:cs="Arial"/>
                <w:sz w:val="18"/>
                <w:szCs w:val="18"/>
                <w:lang w:val="en-GB"/>
              </w:rPr>
            </w:pPr>
          </w:p>
        </w:tc>
      </w:tr>
      <w:tr w:rsidR="00C8007B" w:rsidRPr="00C8007B" w14:paraId="0475E812" w14:textId="77777777" w:rsidTr="00C8007B">
        <w:trPr>
          <w:trHeight w:val="300"/>
        </w:trPr>
        <w:tc>
          <w:tcPr>
            <w:tcW w:w="3037" w:type="dxa"/>
            <w:noWrap/>
            <w:vAlign w:val="center"/>
            <w:hideMark/>
          </w:tcPr>
          <w:p w14:paraId="1654D788"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Fredericksburg, Virginia—Plank and Gordon Road</w:t>
            </w:r>
          </w:p>
        </w:tc>
        <w:tc>
          <w:tcPr>
            <w:tcW w:w="3150" w:type="dxa"/>
            <w:noWrap/>
            <w:vAlign w:val="center"/>
            <w:hideMark/>
          </w:tcPr>
          <w:p w14:paraId="4FDD29E3"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Vineland, New Jersey—West Landis Avenue</w:t>
            </w:r>
          </w:p>
        </w:tc>
        <w:tc>
          <w:tcPr>
            <w:tcW w:w="3150" w:type="dxa"/>
            <w:noWrap/>
            <w:vAlign w:val="center"/>
            <w:hideMark/>
          </w:tcPr>
          <w:p w14:paraId="729CCD1E" w14:textId="77777777" w:rsidR="00C8007B" w:rsidRPr="009627F1" w:rsidRDefault="00C8007B" w:rsidP="00C8007B">
            <w:pPr>
              <w:rPr>
                <w:rFonts w:ascii="Arial" w:hAnsi="Arial" w:cs="Arial"/>
                <w:sz w:val="18"/>
                <w:szCs w:val="18"/>
                <w:lang w:val="en-GB"/>
              </w:rPr>
            </w:pPr>
          </w:p>
        </w:tc>
      </w:tr>
      <w:tr w:rsidR="00C8007B" w:rsidRPr="00C8007B" w14:paraId="348E992A" w14:textId="77777777" w:rsidTr="00C8007B">
        <w:trPr>
          <w:trHeight w:val="300"/>
        </w:trPr>
        <w:tc>
          <w:tcPr>
            <w:tcW w:w="3037" w:type="dxa"/>
            <w:noWrap/>
            <w:vAlign w:val="center"/>
            <w:hideMark/>
          </w:tcPr>
          <w:p w14:paraId="3A54AADE"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Fredericksburg, Virginia—Warrenton Road</w:t>
            </w:r>
          </w:p>
        </w:tc>
        <w:tc>
          <w:tcPr>
            <w:tcW w:w="3150" w:type="dxa"/>
            <w:noWrap/>
            <w:vAlign w:val="center"/>
            <w:hideMark/>
          </w:tcPr>
          <w:p w14:paraId="5D2BE68E"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Indian Trail, North Carolina—East Independence Boulevard</w:t>
            </w:r>
          </w:p>
        </w:tc>
        <w:tc>
          <w:tcPr>
            <w:tcW w:w="3150" w:type="dxa"/>
            <w:noWrap/>
            <w:vAlign w:val="center"/>
            <w:hideMark/>
          </w:tcPr>
          <w:p w14:paraId="7838C29A" w14:textId="77777777" w:rsidR="00C8007B" w:rsidRPr="009627F1" w:rsidRDefault="00C8007B" w:rsidP="00C8007B">
            <w:pPr>
              <w:rPr>
                <w:rFonts w:ascii="Arial" w:hAnsi="Arial" w:cs="Arial"/>
                <w:b/>
                <w:bCs/>
                <w:sz w:val="18"/>
                <w:szCs w:val="18"/>
                <w:lang w:val="en-GB"/>
              </w:rPr>
            </w:pPr>
            <w:r w:rsidRPr="009627F1">
              <w:rPr>
                <w:rFonts w:ascii="Arial" w:hAnsi="Arial" w:cs="Arial"/>
                <w:b/>
                <w:bCs/>
                <w:sz w:val="18"/>
                <w:szCs w:val="18"/>
                <w:lang w:val="en-GB"/>
              </w:rPr>
              <w:t>A Few Upcoming stores</w:t>
            </w:r>
          </w:p>
        </w:tc>
      </w:tr>
      <w:tr w:rsidR="00C8007B" w:rsidRPr="00C8007B" w14:paraId="209BF172" w14:textId="77777777" w:rsidTr="00C8007B">
        <w:trPr>
          <w:trHeight w:val="300"/>
        </w:trPr>
        <w:tc>
          <w:tcPr>
            <w:tcW w:w="3037" w:type="dxa"/>
            <w:noWrap/>
            <w:vAlign w:val="center"/>
            <w:hideMark/>
          </w:tcPr>
          <w:p w14:paraId="5D96A69D"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Gastonia, North Carolina—East Hudson Boulevard</w:t>
            </w:r>
          </w:p>
        </w:tc>
        <w:tc>
          <w:tcPr>
            <w:tcW w:w="3150" w:type="dxa"/>
            <w:noWrap/>
            <w:vAlign w:val="center"/>
            <w:hideMark/>
          </w:tcPr>
          <w:p w14:paraId="7782C460"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Rocky Mount, North Carolina—North Wesleyan Boulevard</w:t>
            </w:r>
          </w:p>
        </w:tc>
        <w:tc>
          <w:tcPr>
            <w:tcW w:w="3150" w:type="dxa"/>
            <w:noWrap/>
            <w:vAlign w:val="center"/>
            <w:hideMark/>
          </w:tcPr>
          <w:p w14:paraId="6EB493EE" w14:textId="5EE3D22A"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Eatontown,</w:t>
            </w:r>
            <w:r w:rsidR="00C81F2A">
              <w:rPr>
                <w:rFonts w:ascii="Arial" w:hAnsi="Arial" w:cs="Arial"/>
                <w:sz w:val="18"/>
                <w:szCs w:val="18"/>
                <w:lang w:val="en-GB"/>
              </w:rPr>
              <w:t xml:space="preserve"> </w:t>
            </w:r>
            <w:r w:rsidRPr="009627F1">
              <w:rPr>
                <w:rFonts w:ascii="Arial" w:hAnsi="Arial" w:cs="Arial"/>
                <w:sz w:val="18"/>
                <w:szCs w:val="18"/>
                <w:lang w:val="en-GB"/>
              </w:rPr>
              <w:t>New Jersey</w:t>
            </w:r>
          </w:p>
        </w:tc>
      </w:tr>
      <w:tr w:rsidR="00C8007B" w:rsidRPr="00C8007B" w14:paraId="663CB018" w14:textId="77777777" w:rsidTr="00C8007B">
        <w:trPr>
          <w:trHeight w:val="60"/>
        </w:trPr>
        <w:tc>
          <w:tcPr>
            <w:tcW w:w="3037" w:type="dxa"/>
            <w:noWrap/>
            <w:vAlign w:val="center"/>
            <w:hideMark/>
          </w:tcPr>
          <w:p w14:paraId="198A701E"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Lexington, North Carolina—Fairview Road</w:t>
            </w:r>
          </w:p>
        </w:tc>
        <w:tc>
          <w:tcPr>
            <w:tcW w:w="3150" w:type="dxa"/>
            <w:noWrap/>
            <w:vAlign w:val="center"/>
            <w:hideMark/>
          </w:tcPr>
          <w:p w14:paraId="6EFBF03C"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Orangeburg, South Carolina—North Road</w:t>
            </w:r>
          </w:p>
        </w:tc>
        <w:tc>
          <w:tcPr>
            <w:tcW w:w="3150" w:type="dxa"/>
            <w:noWrap/>
            <w:vAlign w:val="center"/>
            <w:hideMark/>
          </w:tcPr>
          <w:p w14:paraId="523C169F" w14:textId="65027C0F"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Union,</w:t>
            </w:r>
            <w:r w:rsidR="00C81F2A">
              <w:rPr>
                <w:rFonts w:ascii="Arial" w:hAnsi="Arial" w:cs="Arial"/>
                <w:sz w:val="18"/>
                <w:szCs w:val="18"/>
                <w:lang w:val="en-GB"/>
              </w:rPr>
              <w:t xml:space="preserve"> </w:t>
            </w:r>
            <w:r w:rsidRPr="009627F1">
              <w:rPr>
                <w:rFonts w:ascii="Arial" w:hAnsi="Arial" w:cs="Arial"/>
                <w:sz w:val="18"/>
                <w:szCs w:val="18"/>
                <w:lang w:val="en-GB"/>
              </w:rPr>
              <w:t>New Jersey</w:t>
            </w:r>
          </w:p>
        </w:tc>
      </w:tr>
      <w:tr w:rsidR="00C8007B" w:rsidRPr="00C8007B" w14:paraId="3ED9D791" w14:textId="77777777" w:rsidTr="00C8007B">
        <w:trPr>
          <w:trHeight w:val="300"/>
        </w:trPr>
        <w:tc>
          <w:tcPr>
            <w:tcW w:w="3037" w:type="dxa"/>
            <w:noWrap/>
            <w:vAlign w:val="center"/>
            <w:hideMark/>
          </w:tcPr>
          <w:p w14:paraId="413C7CDC" w14:textId="0C38D545"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Spartanburg SC</w:t>
            </w:r>
            <w:r w:rsidR="006713F2">
              <w:rPr>
                <w:rFonts w:ascii="Arial" w:hAnsi="Arial" w:cs="Arial"/>
                <w:sz w:val="18"/>
                <w:szCs w:val="18"/>
                <w:lang w:val="en-GB"/>
              </w:rPr>
              <w:t>—</w:t>
            </w:r>
            <w:r w:rsidRPr="009627F1">
              <w:rPr>
                <w:rFonts w:ascii="Arial" w:hAnsi="Arial" w:cs="Arial"/>
                <w:sz w:val="18"/>
                <w:szCs w:val="18"/>
                <w:lang w:val="en-GB"/>
              </w:rPr>
              <w:t>Warren H. Abernathy H</w:t>
            </w:r>
            <w:r w:rsidR="00832827">
              <w:rPr>
                <w:rFonts w:ascii="Arial" w:hAnsi="Arial" w:cs="Arial"/>
                <w:sz w:val="18"/>
                <w:szCs w:val="18"/>
                <w:lang w:val="en-GB"/>
              </w:rPr>
              <w:t>igh</w:t>
            </w:r>
            <w:r w:rsidRPr="009627F1">
              <w:rPr>
                <w:rFonts w:ascii="Arial" w:hAnsi="Arial" w:cs="Arial"/>
                <w:sz w:val="18"/>
                <w:szCs w:val="18"/>
                <w:lang w:val="en-GB"/>
              </w:rPr>
              <w:t>w</w:t>
            </w:r>
            <w:r w:rsidR="00832827">
              <w:rPr>
                <w:rFonts w:ascii="Arial" w:hAnsi="Arial" w:cs="Arial"/>
                <w:sz w:val="18"/>
                <w:szCs w:val="18"/>
                <w:lang w:val="en-GB"/>
              </w:rPr>
              <w:t>a</w:t>
            </w:r>
            <w:r w:rsidRPr="009627F1">
              <w:rPr>
                <w:rFonts w:ascii="Arial" w:hAnsi="Arial" w:cs="Arial"/>
                <w:sz w:val="18"/>
                <w:szCs w:val="18"/>
                <w:lang w:val="en-GB"/>
              </w:rPr>
              <w:t>y</w:t>
            </w:r>
          </w:p>
        </w:tc>
        <w:tc>
          <w:tcPr>
            <w:tcW w:w="3150" w:type="dxa"/>
            <w:noWrap/>
            <w:vAlign w:val="center"/>
            <w:hideMark/>
          </w:tcPr>
          <w:p w14:paraId="488ECC3A" w14:textId="77777777" w:rsidR="00C8007B" w:rsidRPr="009627F1" w:rsidRDefault="00C8007B" w:rsidP="00C8007B">
            <w:pPr>
              <w:rPr>
                <w:rFonts w:ascii="Arial" w:hAnsi="Arial" w:cs="Arial"/>
                <w:sz w:val="18"/>
                <w:szCs w:val="18"/>
                <w:lang w:val="en-GB"/>
              </w:rPr>
            </w:pPr>
            <w:r w:rsidRPr="009627F1">
              <w:rPr>
                <w:rFonts w:ascii="Arial" w:hAnsi="Arial" w:cs="Arial"/>
                <w:sz w:val="18"/>
                <w:szCs w:val="18"/>
                <w:lang w:val="en-GB"/>
              </w:rPr>
              <w:t>Norfolk, Virginia—North Military Highway</w:t>
            </w:r>
          </w:p>
        </w:tc>
        <w:tc>
          <w:tcPr>
            <w:tcW w:w="3150" w:type="dxa"/>
            <w:noWrap/>
            <w:vAlign w:val="center"/>
            <w:hideMark/>
          </w:tcPr>
          <w:p w14:paraId="293DB1C7" w14:textId="56FFCB96" w:rsidR="00C8007B" w:rsidRPr="009627F1" w:rsidRDefault="00C8007B" w:rsidP="00C81F2A">
            <w:pPr>
              <w:rPr>
                <w:rFonts w:ascii="Arial" w:hAnsi="Arial" w:cs="Arial"/>
                <w:sz w:val="18"/>
                <w:szCs w:val="18"/>
                <w:lang w:val="en-GB"/>
              </w:rPr>
            </w:pPr>
            <w:r w:rsidRPr="009627F1">
              <w:rPr>
                <w:rFonts w:ascii="Arial" w:hAnsi="Arial" w:cs="Arial"/>
                <w:sz w:val="18"/>
                <w:szCs w:val="18"/>
                <w:lang w:val="en-GB"/>
              </w:rPr>
              <w:t>Hazlet,</w:t>
            </w:r>
            <w:r w:rsidR="00C81F2A">
              <w:rPr>
                <w:rFonts w:ascii="Arial" w:hAnsi="Arial" w:cs="Arial"/>
                <w:sz w:val="18"/>
                <w:szCs w:val="18"/>
                <w:lang w:val="en-GB"/>
              </w:rPr>
              <w:t xml:space="preserve"> </w:t>
            </w:r>
            <w:r w:rsidRPr="009627F1">
              <w:rPr>
                <w:rFonts w:ascii="Arial" w:hAnsi="Arial" w:cs="Arial"/>
                <w:sz w:val="18"/>
                <w:szCs w:val="18"/>
                <w:lang w:val="en-GB"/>
              </w:rPr>
              <w:t>New Jersey</w:t>
            </w:r>
          </w:p>
        </w:tc>
      </w:tr>
    </w:tbl>
    <w:p w14:paraId="462F98F6" w14:textId="77777777" w:rsidR="00C8007B" w:rsidRPr="00C8007B" w:rsidRDefault="00C8007B" w:rsidP="00C8007B">
      <w:pPr>
        <w:jc w:val="both"/>
        <w:rPr>
          <w:rFonts w:ascii="Arial" w:hAnsi="Arial" w:cs="Arial"/>
          <w:color w:val="000000"/>
          <w:sz w:val="17"/>
          <w:szCs w:val="17"/>
          <w:lang w:val="en-GB"/>
        </w:rPr>
      </w:pPr>
    </w:p>
    <w:p w14:paraId="2B0BF38E" w14:textId="59B3C472" w:rsidR="00C8007B" w:rsidRPr="00C8007B" w:rsidRDefault="00C8007B" w:rsidP="00C8007B">
      <w:pPr>
        <w:jc w:val="both"/>
        <w:rPr>
          <w:rFonts w:ascii="Arial" w:hAnsi="Arial" w:cs="Arial"/>
          <w:color w:val="000000"/>
          <w:sz w:val="17"/>
          <w:szCs w:val="17"/>
          <w:lang w:val="en-GB"/>
        </w:rPr>
      </w:pPr>
      <w:r w:rsidRPr="00C8007B">
        <w:rPr>
          <w:rFonts w:ascii="Arial" w:hAnsi="Arial" w:cs="Arial"/>
          <w:color w:val="000000"/>
          <w:sz w:val="17"/>
          <w:szCs w:val="17"/>
          <w:lang w:val="en-GB"/>
        </w:rPr>
        <w:t xml:space="preserve">Source: </w:t>
      </w:r>
      <w:r w:rsidRPr="00C8007B">
        <w:rPr>
          <w:rFonts w:ascii="Arial" w:hAnsi="Arial" w:cs="Arial"/>
          <w:sz w:val="17"/>
          <w:szCs w:val="17"/>
          <w:lang w:val="en-GB"/>
        </w:rPr>
        <w:t xml:space="preserve">“Stores,” Lidl, accessed October 31, 2018, </w:t>
      </w:r>
      <w:r w:rsidRPr="00C8007B">
        <w:rPr>
          <w:rFonts w:ascii="Arial" w:hAnsi="Arial" w:cs="Arial"/>
          <w:color w:val="000000"/>
          <w:sz w:val="17"/>
          <w:szCs w:val="17"/>
          <w:lang w:val="en-GB"/>
        </w:rPr>
        <w:t xml:space="preserve">www.lidl.com/stores; </w:t>
      </w:r>
      <w:r w:rsidRPr="00C8007B">
        <w:rPr>
          <w:rFonts w:ascii="Arial" w:hAnsi="Arial" w:cs="Arial"/>
          <w:sz w:val="17"/>
          <w:szCs w:val="17"/>
          <w:lang w:val="en-GB"/>
        </w:rPr>
        <w:t>“</w:t>
      </w:r>
      <w:r w:rsidR="008E3166">
        <w:rPr>
          <w:rFonts w:ascii="Arial" w:hAnsi="Arial" w:cs="Arial"/>
          <w:sz w:val="17"/>
          <w:szCs w:val="17"/>
          <w:lang w:val="en-GB"/>
        </w:rPr>
        <w:t>G</w:t>
      </w:r>
      <w:r w:rsidRPr="00C8007B">
        <w:rPr>
          <w:rFonts w:ascii="Arial" w:hAnsi="Arial" w:cs="Arial"/>
          <w:sz w:val="17"/>
          <w:szCs w:val="17"/>
          <w:lang w:val="en-GB"/>
        </w:rPr>
        <w:t>rand</w:t>
      </w:r>
      <w:r w:rsidR="008E3166">
        <w:rPr>
          <w:rFonts w:ascii="Arial" w:hAnsi="Arial" w:cs="Arial"/>
          <w:sz w:val="17"/>
          <w:szCs w:val="17"/>
          <w:lang w:val="en-GB"/>
        </w:rPr>
        <w:t xml:space="preserve"> O</w:t>
      </w:r>
      <w:r w:rsidRPr="00C8007B">
        <w:rPr>
          <w:rFonts w:ascii="Arial" w:hAnsi="Arial" w:cs="Arial"/>
          <w:sz w:val="17"/>
          <w:szCs w:val="17"/>
          <w:lang w:val="en-GB"/>
        </w:rPr>
        <w:t xml:space="preserve">penings,” Lidl, accessed October 31, 2018, </w:t>
      </w:r>
      <w:r w:rsidRPr="00C8007B">
        <w:rPr>
          <w:rFonts w:ascii="Arial" w:hAnsi="Arial" w:cs="Arial"/>
          <w:color w:val="000000"/>
          <w:sz w:val="17"/>
          <w:szCs w:val="17"/>
          <w:lang w:val="en-GB"/>
        </w:rPr>
        <w:t>www.lidl.com/grand-openings.</w:t>
      </w:r>
    </w:p>
    <w:p w14:paraId="24CE6E84" w14:textId="2E3DE148" w:rsidR="00B87DC0" w:rsidRDefault="00C8007B" w:rsidP="00C8007B">
      <w:pPr>
        <w:pStyle w:val="Casehead1"/>
        <w:rPr>
          <w:rFonts w:ascii="Times New Roman" w:hAnsi="Times New Roman"/>
        </w:rPr>
      </w:pPr>
      <w:r>
        <w:lastRenderedPageBreak/>
        <w:t>endnotes</w:t>
      </w:r>
    </w:p>
    <w:sectPr w:rsidR="00B87DC0"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636CF9" w16cid:durableId="20166AC4"/>
  <w16cid:commentId w16cid:paraId="5A9902CF" w16cid:durableId="20166E90"/>
  <w16cid:commentId w16cid:paraId="600B7657" w16cid:durableId="2017A86D"/>
  <w16cid:commentId w16cid:paraId="16BD86E4" w16cid:durableId="20167611"/>
  <w16cid:commentId w16cid:paraId="573628AB" w16cid:durableId="201677DF"/>
  <w16cid:commentId w16cid:paraId="0537CB60" w16cid:durableId="201679BC"/>
  <w16cid:commentId w16cid:paraId="0EB8A492" w16cid:durableId="20168AC5"/>
  <w16cid:commentId w16cid:paraId="6C5FB2DE" w16cid:durableId="2017AC8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941A2" w14:textId="77777777" w:rsidR="00535061" w:rsidRDefault="00535061" w:rsidP="00D75295">
      <w:r>
        <w:separator/>
      </w:r>
    </w:p>
  </w:endnote>
  <w:endnote w:type="continuationSeparator" w:id="0">
    <w:p w14:paraId="7793F182" w14:textId="77777777" w:rsidR="00535061" w:rsidRDefault="00535061" w:rsidP="00D75295">
      <w:r>
        <w:continuationSeparator/>
      </w:r>
    </w:p>
  </w:endnote>
  <w:endnote w:id="1">
    <w:p w14:paraId="071E4C58" w14:textId="07B96A21" w:rsidR="00AA1C35" w:rsidRPr="00AA1C35" w:rsidRDefault="00AA1C35" w:rsidP="00AA1C35">
      <w:pPr>
        <w:pStyle w:val="Footnote"/>
      </w:pPr>
      <w:r>
        <w:rPr>
          <w:rStyle w:val="EndnoteReference"/>
        </w:rPr>
        <w:endnoteRef/>
      </w:r>
      <w:r>
        <w:t xml:space="preserve"> </w:t>
      </w:r>
      <w:r w:rsidRPr="00C74511">
        <w:rPr>
          <w:lang w:val="en-GB"/>
        </w:rPr>
        <w:t xml:space="preserve">This case has been written on the basis of published sources only. Consequently, the interpretation and perspectives presented in this case are not necessarily those of </w:t>
      </w:r>
      <w:r w:rsidRPr="00C8007B">
        <w:rPr>
          <w:lang w:val="en-GB"/>
        </w:rPr>
        <w:t xml:space="preserve">Lidl </w:t>
      </w:r>
      <w:proofErr w:type="spellStart"/>
      <w:r w:rsidRPr="00C8007B">
        <w:rPr>
          <w:lang w:val="en-GB"/>
        </w:rPr>
        <w:t>Stiftung</w:t>
      </w:r>
      <w:proofErr w:type="spellEnd"/>
      <w:r w:rsidRPr="00C8007B">
        <w:rPr>
          <w:lang w:val="en-GB"/>
        </w:rPr>
        <w:t xml:space="preserve"> &amp; Co. KG</w:t>
      </w:r>
      <w:r w:rsidRPr="00C74511">
        <w:rPr>
          <w:lang w:val="en-GB"/>
        </w:rPr>
        <w:t xml:space="preserve"> or any of its employees.</w:t>
      </w:r>
    </w:p>
  </w:endnote>
  <w:endnote w:id="2">
    <w:p w14:paraId="12FDD5B6" w14:textId="77777777" w:rsidR="009C53B1" w:rsidRPr="009957CD" w:rsidRDefault="009C53B1" w:rsidP="00C8007B">
      <w:pPr>
        <w:pStyle w:val="Footnote"/>
      </w:pPr>
      <w:r w:rsidRPr="009957CD">
        <w:rPr>
          <w:vertAlign w:val="superscript"/>
        </w:rPr>
        <w:endnoteRef/>
      </w:r>
      <w:r w:rsidRPr="009957CD">
        <w:rPr>
          <w:vertAlign w:val="superscript"/>
        </w:rPr>
        <w:t xml:space="preserve"> </w:t>
      </w:r>
      <w:proofErr w:type="spellStart"/>
      <w:r w:rsidRPr="009957CD">
        <w:t>Zlati</w:t>
      </w:r>
      <w:proofErr w:type="spellEnd"/>
      <w:r w:rsidRPr="009957CD">
        <w:t xml:space="preserve"> Meyer, “German Market Chain Lidl Maps Its First U.S. Stores,” </w:t>
      </w:r>
      <w:r w:rsidRPr="009C53B1">
        <w:rPr>
          <w:i/>
        </w:rPr>
        <w:t>USA Today</w:t>
      </w:r>
      <w:r w:rsidRPr="009957CD">
        <w:t xml:space="preserve">, May 30, 2017, accessed April 15, 2018, </w:t>
      </w:r>
      <w:r>
        <w:t>w</w:t>
      </w:r>
      <w:r w:rsidRPr="009957CD">
        <w:t>ww.usatoday.com/story/money/business/2017/05/30/lidls-first-us-stores-carolinas-virginia/102307150/.</w:t>
      </w:r>
    </w:p>
  </w:endnote>
  <w:endnote w:id="3">
    <w:p w14:paraId="2EFC6DC7" w14:textId="77777777" w:rsidR="009C53B1" w:rsidRPr="009957CD" w:rsidRDefault="009C53B1" w:rsidP="00C8007B">
      <w:pPr>
        <w:pStyle w:val="Footnote"/>
      </w:pPr>
      <w:r w:rsidRPr="009957CD">
        <w:rPr>
          <w:vertAlign w:val="superscript"/>
        </w:rPr>
        <w:endnoteRef/>
      </w:r>
      <w:r w:rsidRPr="009957CD">
        <w:t xml:space="preserve"> Heather Haddon, “Lidl Stores Gain Little Traction So Far in U.S.,” </w:t>
      </w:r>
      <w:r w:rsidRPr="009C53B1">
        <w:rPr>
          <w:i/>
        </w:rPr>
        <w:t>Wall Street Journal</w:t>
      </w:r>
      <w:r w:rsidRPr="009957CD">
        <w:t>, October 8, 2017, accessed April 15, 2018, www.wsj.com/articles/lidl-stores-gain-little-traction-so-far-in-u-s-1507460402.</w:t>
      </w:r>
    </w:p>
  </w:endnote>
  <w:endnote w:id="4">
    <w:p w14:paraId="250C29C9" w14:textId="4C282280" w:rsidR="009C53B1" w:rsidRPr="009957CD" w:rsidRDefault="009C53B1" w:rsidP="00C8007B">
      <w:pPr>
        <w:pStyle w:val="Footnote"/>
      </w:pPr>
      <w:r w:rsidRPr="009957CD">
        <w:rPr>
          <w:vertAlign w:val="superscript"/>
        </w:rPr>
        <w:endnoteRef/>
      </w:r>
      <w:r w:rsidRPr="009957CD">
        <w:t xml:space="preserve"> Ibid. </w:t>
      </w:r>
    </w:p>
  </w:endnote>
  <w:endnote w:id="5">
    <w:p w14:paraId="5EABCA3A" w14:textId="77777777" w:rsidR="009C53B1" w:rsidRPr="009957CD" w:rsidRDefault="009C53B1" w:rsidP="00C8007B">
      <w:pPr>
        <w:pStyle w:val="Footnote"/>
      </w:pPr>
      <w:r w:rsidRPr="009957CD">
        <w:rPr>
          <w:vertAlign w:val="superscript"/>
        </w:rPr>
        <w:endnoteRef/>
      </w:r>
      <w:r w:rsidRPr="009957CD">
        <w:t xml:space="preserve"> Rachel Abrams and Julie Creswell, “Amazon Deal for Whole Foods Starts a Supermarket War,” </w:t>
      </w:r>
      <w:r w:rsidRPr="009C53B1">
        <w:rPr>
          <w:i/>
        </w:rPr>
        <w:t>New York Times</w:t>
      </w:r>
      <w:r w:rsidRPr="009957CD">
        <w:t>, June 16, 2017, www.nytimes.com/2017/06/16/business/whole-foods-walmart-amazon-grocery-stores.html.</w:t>
      </w:r>
    </w:p>
  </w:endnote>
  <w:endnote w:id="6">
    <w:p w14:paraId="7F79F479" w14:textId="77777777" w:rsidR="009C53B1" w:rsidRPr="009957CD" w:rsidRDefault="009C53B1" w:rsidP="00C8007B">
      <w:pPr>
        <w:pStyle w:val="Footnote"/>
      </w:pPr>
      <w:r w:rsidRPr="009957CD">
        <w:rPr>
          <w:vertAlign w:val="superscript"/>
        </w:rPr>
        <w:endnoteRef/>
      </w:r>
      <w:r w:rsidRPr="009957CD">
        <w:rPr>
          <w:vertAlign w:val="superscript"/>
        </w:rPr>
        <w:t xml:space="preserve"> </w:t>
      </w:r>
      <w:r w:rsidRPr="009957CD">
        <w:t xml:space="preserve">Walter Loeb, “Lidl Hits Roadblocks, Slows Expansion in the U.S.,” </w:t>
      </w:r>
      <w:r w:rsidRPr="009C53B1">
        <w:rPr>
          <w:i/>
        </w:rPr>
        <w:t>Forbes</w:t>
      </w:r>
      <w:r w:rsidRPr="009957CD">
        <w:t>, December 13, 2017, accessed April 15, 2018, www.forbes.com/sites/walterloeb/2017/12/13/lidl-hits-roadblocks-slows-expansion/#657e804b7022.</w:t>
      </w:r>
    </w:p>
  </w:endnote>
  <w:endnote w:id="7">
    <w:p w14:paraId="04A4CB42" w14:textId="43D5FB6F" w:rsidR="009C53B1" w:rsidRPr="009957CD" w:rsidRDefault="009C53B1" w:rsidP="00C8007B">
      <w:pPr>
        <w:pStyle w:val="Footnote"/>
      </w:pPr>
      <w:r w:rsidRPr="009957CD">
        <w:rPr>
          <w:vertAlign w:val="superscript"/>
        </w:rPr>
        <w:endnoteRef/>
      </w:r>
      <w:r w:rsidRPr="009957CD">
        <w:t xml:space="preserve"> </w:t>
      </w:r>
      <w:r>
        <w:t xml:space="preserve">“The World </w:t>
      </w:r>
      <w:proofErr w:type="spellStart"/>
      <w:r>
        <w:t>Factbook</w:t>
      </w:r>
      <w:proofErr w:type="spellEnd"/>
      <w:r>
        <w:t xml:space="preserve">: North America: </w:t>
      </w:r>
      <w:r w:rsidRPr="009957CD">
        <w:t xml:space="preserve">United States,” </w:t>
      </w:r>
      <w:r>
        <w:t xml:space="preserve">Central Intelligence Agency, </w:t>
      </w:r>
      <w:r w:rsidRPr="009957CD">
        <w:t>last modified April 2, 2018, accessed April 15, 2018, www.cia.gov/library/publications/the-world-factbook/geos/us.html.</w:t>
      </w:r>
    </w:p>
  </w:endnote>
  <w:endnote w:id="8">
    <w:p w14:paraId="16DA9529" w14:textId="6D39142C" w:rsidR="009C53B1" w:rsidRPr="00436733" w:rsidRDefault="009C53B1" w:rsidP="00F03208">
      <w:pPr>
        <w:pStyle w:val="EndnoteText"/>
        <w:rPr>
          <w:rFonts w:ascii="Arial" w:hAnsi="Arial" w:cs="Arial"/>
          <w:sz w:val="17"/>
          <w:szCs w:val="17"/>
          <w:lang w:val="en-CA"/>
        </w:rPr>
      </w:pPr>
      <w:r w:rsidRPr="00436733">
        <w:rPr>
          <w:rStyle w:val="EndnoteReference"/>
          <w:rFonts w:ascii="Arial" w:hAnsi="Arial" w:cs="Arial"/>
          <w:sz w:val="17"/>
          <w:szCs w:val="17"/>
        </w:rPr>
        <w:endnoteRef/>
      </w:r>
      <w:r w:rsidRPr="00436733">
        <w:rPr>
          <w:rFonts w:ascii="Arial" w:hAnsi="Arial" w:cs="Arial"/>
          <w:sz w:val="17"/>
          <w:szCs w:val="17"/>
        </w:rPr>
        <w:t xml:space="preserve"> </w:t>
      </w:r>
      <w:r w:rsidRPr="00436733">
        <w:rPr>
          <w:rFonts w:ascii="Arial" w:hAnsi="Arial" w:cs="Arial"/>
          <w:sz w:val="17"/>
          <w:szCs w:val="17"/>
          <w:lang w:val="en-CA"/>
        </w:rPr>
        <w:t xml:space="preserve">All </w:t>
      </w:r>
      <w:r>
        <w:rPr>
          <w:rFonts w:ascii="Arial" w:hAnsi="Arial" w:cs="Arial"/>
          <w:sz w:val="17"/>
          <w:szCs w:val="17"/>
          <w:lang w:val="en-CA"/>
        </w:rPr>
        <w:t>currency</w:t>
      </w:r>
      <w:r w:rsidRPr="00436733">
        <w:rPr>
          <w:rFonts w:ascii="Arial" w:hAnsi="Arial" w:cs="Arial"/>
          <w:sz w:val="17"/>
          <w:szCs w:val="17"/>
          <w:lang w:val="en-CA"/>
        </w:rPr>
        <w:t xml:space="preserve"> amounts are in U.S. dollars unless otherwise specified. </w:t>
      </w:r>
    </w:p>
  </w:endnote>
  <w:endnote w:id="9">
    <w:p w14:paraId="41165BD9" w14:textId="3AC0711A"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Ibid. </w:t>
      </w:r>
    </w:p>
  </w:endnote>
  <w:endnote w:id="10">
    <w:p w14:paraId="11CE6881" w14:textId="6084426C"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w:t>
      </w:r>
      <w:r>
        <w:rPr>
          <w:rFonts w:ascii="Arial" w:hAnsi="Arial" w:cs="Arial"/>
          <w:sz w:val="17"/>
          <w:szCs w:val="17"/>
          <w:lang w:val="en-GB"/>
        </w:rPr>
        <w:t>“</w:t>
      </w:r>
      <w:r w:rsidRPr="009C53B1">
        <w:rPr>
          <w:rFonts w:ascii="Arial" w:hAnsi="Arial" w:cs="Arial"/>
          <w:sz w:val="17"/>
          <w:szCs w:val="17"/>
          <w:shd w:val="clear" w:color="auto" w:fill="FFFFFF"/>
          <w:lang w:val="en-GB"/>
        </w:rPr>
        <w:t xml:space="preserve">The World </w:t>
      </w:r>
      <w:proofErr w:type="spellStart"/>
      <w:r w:rsidRPr="009C53B1">
        <w:rPr>
          <w:rFonts w:ascii="Arial" w:hAnsi="Arial" w:cs="Arial"/>
          <w:sz w:val="17"/>
          <w:szCs w:val="17"/>
          <w:shd w:val="clear" w:color="auto" w:fill="FFFFFF"/>
          <w:lang w:val="en-GB"/>
        </w:rPr>
        <w:t>Factbook</w:t>
      </w:r>
      <w:proofErr w:type="spellEnd"/>
      <w:r>
        <w:rPr>
          <w:rFonts w:ascii="Arial" w:hAnsi="Arial" w:cs="Arial"/>
          <w:sz w:val="17"/>
          <w:szCs w:val="17"/>
          <w:shd w:val="clear" w:color="auto" w:fill="FFFFFF"/>
          <w:lang w:val="en-GB"/>
        </w:rPr>
        <w:t>: Europe:</w:t>
      </w:r>
      <w:r w:rsidRPr="00436733">
        <w:rPr>
          <w:rFonts w:ascii="Arial" w:hAnsi="Arial" w:cs="Arial"/>
          <w:sz w:val="17"/>
          <w:szCs w:val="17"/>
          <w:shd w:val="clear" w:color="auto" w:fill="FFFFFF"/>
          <w:lang w:val="en-GB"/>
        </w:rPr>
        <w:t xml:space="preserve"> Germany,” </w:t>
      </w:r>
      <w:r>
        <w:rPr>
          <w:rFonts w:ascii="Arial" w:hAnsi="Arial" w:cs="Arial"/>
          <w:sz w:val="17"/>
          <w:szCs w:val="17"/>
          <w:shd w:val="clear" w:color="auto" w:fill="FFFFFF"/>
          <w:lang w:val="en-GB"/>
        </w:rPr>
        <w:t xml:space="preserve">Central Intelligence Agency, </w:t>
      </w:r>
      <w:r w:rsidRPr="00436733">
        <w:rPr>
          <w:rFonts w:ascii="Arial" w:hAnsi="Arial" w:cs="Arial"/>
          <w:sz w:val="17"/>
          <w:szCs w:val="17"/>
          <w:shd w:val="clear" w:color="auto" w:fill="FFFFFF"/>
          <w:lang w:val="en-GB"/>
        </w:rPr>
        <w:t>last modified April 17, 2018, accessed April 15, 2018, www.cia.gov/library/publications/the-world-factbook/geos/gm.html.</w:t>
      </w:r>
    </w:p>
  </w:endnote>
  <w:endnote w:id="11">
    <w:p w14:paraId="2E3A1A77" w14:textId="77777777" w:rsidR="009C53B1" w:rsidRPr="00436733" w:rsidRDefault="009C53B1" w:rsidP="00C8007B">
      <w:pPr>
        <w:jc w:val="both"/>
        <w:rPr>
          <w:rFonts w:ascii="Arial" w:hAnsi="Arial" w:cs="Arial"/>
          <w:spacing w:val="-4"/>
          <w:sz w:val="17"/>
          <w:szCs w:val="17"/>
          <w:lang w:val="en-GB"/>
        </w:rPr>
      </w:pPr>
      <w:r w:rsidRPr="00436733">
        <w:rPr>
          <w:rStyle w:val="EndnoteReference"/>
          <w:rFonts w:ascii="Arial" w:hAnsi="Arial" w:cs="Arial"/>
          <w:spacing w:val="-4"/>
          <w:sz w:val="17"/>
          <w:szCs w:val="17"/>
          <w:lang w:val="en-GB"/>
        </w:rPr>
        <w:endnoteRef/>
      </w:r>
      <w:r w:rsidRPr="00436733">
        <w:rPr>
          <w:rFonts w:ascii="Arial" w:hAnsi="Arial" w:cs="Arial"/>
          <w:spacing w:val="-4"/>
          <w:sz w:val="17"/>
          <w:szCs w:val="17"/>
          <w:lang w:val="en-GB"/>
        </w:rPr>
        <w:t xml:space="preserve"> “</w:t>
      </w:r>
      <w:r w:rsidRPr="00436733">
        <w:rPr>
          <w:rFonts w:ascii="Arial" w:hAnsi="Arial" w:cs="Arial"/>
          <w:spacing w:val="-4"/>
          <w:sz w:val="17"/>
          <w:szCs w:val="17"/>
          <w:shd w:val="clear" w:color="auto" w:fill="FFFFFF"/>
          <w:lang w:val="en-GB"/>
        </w:rPr>
        <w:t>How Does German Economy Compare to United States Economy</w:t>
      </w:r>
      <w:proofErr w:type="gramStart"/>
      <w:r w:rsidRPr="00436733">
        <w:rPr>
          <w:rFonts w:ascii="Arial" w:hAnsi="Arial" w:cs="Arial"/>
          <w:spacing w:val="-4"/>
          <w:sz w:val="17"/>
          <w:szCs w:val="17"/>
          <w:shd w:val="clear" w:color="auto" w:fill="FFFFFF"/>
          <w:lang w:val="en-GB"/>
        </w:rPr>
        <w:t>?,</w:t>
      </w:r>
      <w:proofErr w:type="gramEnd"/>
      <w:r w:rsidRPr="00436733">
        <w:rPr>
          <w:rFonts w:ascii="Arial" w:hAnsi="Arial" w:cs="Arial"/>
          <w:spacing w:val="-4"/>
          <w:sz w:val="17"/>
          <w:szCs w:val="17"/>
          <w:shd w:val="clear" w:color="auto" w:fill="FFFFFF"/>
          <w:lang w:val="en-GB"/>
        </w:rPr>
        <w:t>” The Infographics Show, December 6, 2017, accessed April 23, 2018, www.theinfographicsshow.com/home-1/2017/12/6/how-does-german-economy-compare-to-united-states-economy.</w:t>
      </w:r>
    </w:p>
  </w:endnote>
  <w:endnote w:id="12">
    <w:p w14:paraId="061621F9" w14:textId="77777777"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w:t>
      </w:r>
      <w:r w:rsidRPr="00436733">
        <w:rPr>
          <w:rFonts w:ascii="Arial" w:hAnsi="Arial" w:cs="Arial"/>
          <w:sz w:val="17"/>
          <w:szCs w:val="17"/>
          <w:shd w:val="clear" w:color="auto" w:fill="FFFFFF"/>
          <w:lang w:val="en-GB"/>
        </w:rPr>
        <w:t xml:space="preserve">“Total Retail and Food Services Sales in the United States from 1992 to 2017 (in Trillion U.S. Dollars),” </w:t>
      </w:r>
      <w:r w:rsidRPr="00436733">
        <w:rPr>
          <w:rFonts w:ascii="Arial" w:hAnsi="Arial" w:cs="Arial"/>
          <w:iCs/>
          <w:sz w:val="17"/>
          <w:szCs w:val="17"/>
          <w:bdr w:val="none" w:sz="0" w:space="0" w:color="auto" w:frame="1"/>
          <w:shd w:val="clear" w:color="auto" w:fill="FFFFFF"/>
          <w:lang w:val="en-GB"/>
        </w:rPr>
        <w:t>Statista</w:t>
      </w:r>
      <w:r w:rsidRPr="00436733">
        <w:rPr>
          <w:rFonts w:ascii="Arial" w:hAnsi="Arial" w:cs="Arial"/>
          <w:sz w:val="17"/>
          <w:szCs w:val="17"/>
          <w:shd w:val="clear" w:color="auto" w:fill="FFFFFF"/>
          <w:lang w:val="en-GB"/>
        </w:rPr>
        <w:t>, accessed April 23, 2018, www.statista.com/statistics/197569/annual-retail-and-food-services-sales/.</w:t>
      </w:r>
    </w:p>
  </w:endnote>
  <w:endnote w:id="13">
    <w:p w14:paraId="1A21FFA9" w14:textId="77777777"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w:t>
      </w:r>
      <w:r w:rsidRPr="00436733">
        <w:rPr>
          <w:rFonts w:ascii="Arial" w:hAnsi="Arial" w:cs="Arial"/>
          <w:sz w:val="17"/>
          <w:szCs w:val="17"/>
          <w:shd w:val="clear" w:color="auto" w:fill="FFFFFF"/>
          <w:lang w:val="en-GB"/>
        </w:rPr>
        <w:t>Country Comparison,” Hofstede Insights, accessed April 15, 2018, www.hofstede-insights.com/country-comparison/germany,the-usa/.</w:t>
      </w:r>
      <w:r w:rsidRPr="00436733" w:rsidDel="00D42397">
        <w:rPr>
          <w:rFonts w:ascii="Arial" w:hAnsi="Arial" w:cs="Arial"/>
          <w:sz w:val="17"/>
          <w:szCs w:val="17"/>
          <w:shd w:val="clear" w:color="auto" w:fill="FFFFFF"/>
          <w:lang w:val="en-GB"/>
        </w:rPr>
        <w:t xml:space="preserve"> </w:t>
      </w:r>
    </w:p>
  </w:endnote>
  <w:endnote w:id="14">
    <w:p w14:paraId="2559C4B2" w14:textId="7431D73E"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Ibid.</w:t>
      </w:r>
    </w:p>
  </w:endnote>
  <w:endnote w:id="15">
    <w:p w14:paraId="7FDBB362" w14:textId="371B547E"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Ibid.</w:t>
      </w:r>
    </w:p>
  </w:endnote>
  <w:endnote w:id="16">
    <w:p w14:paraId="2A7DA4D3" w14:textId="36AB02E2"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Ibid.</w:t>
      </w:r>
    </w:p>
  </w:endnote>
  <w:endnote w:id="17">
    <w:p w14:paraId="3128ED9F" w14:textId="77777777"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Sarah Chaney</w:t>
      </w:r>
      <w:r w:rsidRPr="00436733">
        <w:rPr>
          <w:rFonts w:ascii="Arial" w:hAnsi="Arial" w:cs="Arial"/>
          <w:sz w:val="17"/>
          <w:szCs w:val="17"/>
          <w:shd w:val="clear" w:color="auto" w:fill="FFFFFF"/>
          <w:lang w:val="en-GB"/>
        </w:rPr>
        <w:t xml:space="preserve">, “U.S. Retail Sales End 2017 on Solid Footing,” </w:t>
      </w:r>
      <w:r w:rsidRPr="00436733">
        <w:rPr>
          <w:rFonts w:ascii="Arial" w:hAnsi="Arial" w:cs="Arial"/>
          <w:i/>
          <w:sz w:val="17"/>
          <w:szCs w:val="17"/>
          <w:shd w:val="clear" w:color="auto" w:fill="FFFFFF"/>
          <w:lang w:val="en-GB"/>
        </w:rPr>
        <w:t>Wall Street Journal</w:t>
      </w:r>
      <w:r w:rsidRPr="00436733">
        <w:rPr>
          <w:rFonts w:ascii="Arial" w:hAnsi="Arial" w:cs="Arial"/>
          <w:sz w:val="17"/>
          <w:szCs w:val="17"/>
          <w:shd w:val="clear" w:color="auto" w:fill="FFFFFF"/>
          <w:lang w:val="en-GB"/>
        </w:rPr>
        <w:t>, January 12, 2018, accessed April 23, 2018, www.wsj.com/articles/u-s-retail-sales-increased-0-4-in-december-1515763942.</w:t>
      </w:r>
    </w:p>
  </w:endnote>
  <w:endnote w:id="18">
    <w:p w14:paraId="0A30C4BB" w14:textId="77777777"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w:t>
      </w:r>
      <w:r w:rsidRPr="00436733">
        <w:rPr>
          <w:rFonts w:ascii="Arial" w:hAnsi="Arial" w:cs="Arial"/>
          <w:sz w:val="17"/>
          <w:szCs w:val="17"/>
          <w:shd w:val="clear" w:color="auto" w:fill="FFFFFF"/>
          <w:lang w:val="en-GB"/>
        </w:rPr>
        <w:t xml:space="preserve">Barbara </w:t>
      </w:r>
      <w:proofErr w:type="spellStart"/>
      <w:r w:rsidRPr="00436733">
        <w:rPr>
          <w:rFonts w:ascii="Arial" w:hAnsi="Arial" w:cs="Arial"/>
          <w:sz w:val="17"/>
          <w:szCs w:val="17"/>
          <w:shd w:val="clear" w:color="auto" w:fill="FFFFFF"/>
          <w:lang w:val="en-GB"/>
        </w:rPr>
        <w:t>Farfan</w:t>
      </w:r>
      <w:proofErr w:type="spellEnd"/>
      <w:r w:rsidRPr="00436733">
        <w:rPr>
          <w:rFonts w:ascii="Arial" w:hAnsi="Arial" w:cs="Arial"/>
          <w:sz w:val="17"/>
          <w:szCs w:val="17"/>
          <w:shd w:val="clear" w:color="auto" w:fill="FFFFFF"/>
          <w:lang w:val="en-GB"/>
        </w:rPr>
        <w:t xml:space="preserve">, “2016 Retail Industry Snapshot: Overview Stats, Facts, Research &amp; Data,” The Balance </w:t>
      </w:r>
      <w:proofErr w:type="spellStart"/>
      <w:r w:rsidRPr="00436733">
        <w:rPr>
          <w:rFonts w:ascii="Arial" w:hAnsi="Arial" w:cs="Arial"/>
          <w:sz w:val="17"/>
          <w:szCs w:val="17"/>
          <w:shd w:val="clear" w:color="auto" w:fill="FFFFFF"/>
          <w:lang w:val="en-GB"/>
        </w:rPr>
        <w:t>Everyday</w:t>
      </w:r>
      <w:proofErr w:type="spellEnd"/>
      <w:r w:rsidRPr="00436733">
        <w:rPr>
          <w:rFonts w:ascii="Arial" w:hAnsi="Arial" w:cs="Arial"/>
          <w:sz w:val="17"/>
          <w:szCs w:val="17"/>
          <w:shd w:val="clear" w:color="auto" w:fill="FFFFFF"/>
          <w:lang w:val="en-GB"/>
        </w:rPr>
        <w:t>, July 16, 2017, accessed April 23, 2018, www.thebalanceeveryday.com/us-retail-industry-overview-2892699.</w:t>
      </w:r>
    </w:p>
  </w:endnote>
  <w:endnote w:id="19">
    <w:p w14:paraId="0BF7F6DB" w14:textId="77777777" w:rsidR="009C53B1" w:rsidRPr="00436733" w:rsidRDefault="009C53B1" w:rsidP="00C8007B">
      <w:pPr>
        <w:shd w:val="clear" w:color="auto" w:fill="FFFFFF"/>
        <w:jc w:val="both"/>
        <w:textAlignment w:val="baseline"/>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“Sales of the Leading Food and Grocery Retailers in the United States in 2018 (in Billion U.S. Dollars),” </w:t>
      </w:r>
      <w:r w:rsidRPr="00436733">
        <w:rPr>
          <w:rFonts w:ascii="Arial" w:hAnsi="Arial" w:cs="Arial"/>
          <w:iCs/>
          <w:sz w:val="17"/>
          <w:szCs w:val="17"/>
          <w:bdr w:val="none" w:sz="0" w:space="0" w:color="auto" w:frame="1"/>
          <w:lang w:val="en-GB"/>
        </w:rPr>
        <w:t xml:space="preserve">Statista, </w:t>
      </w:r>
      <w:r w:rsidRPr="00436733">
        <w:rPr>
          <w:rFonts w:ascii="Arial" w:hAnsi="Arial" w:cs="Arial"/>
          <w:sz w:val="17"/>
          <w:szCs w:val="17"/>
          <w:lang w:val="en-GB"/>
        </w:rPr>
        <w:t>accessed April 23, 2018, www.statista.com/statistics/240473/food-retail-revenues-of-the-leading-food-retailers-of-north-america/.</w:t>
      </w:r>
    </w:p>
  </w:endnote>
  <w:endnote w:id="20">
    <w:p w14:paraId="42C5D685" w14:textId="6D189D44"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Warren J. Keegan and Mark C. Green, </w:t>
      </w:r>
      <w:r w:rsidRPr="00436733">
        <w:rPr>
          <w:rFonts w:ascii="Arial" w:hAnsi="Arial" w:cs="Arial"/>
          <w:i/>
          <w:iCs/>
          <w:sz w:val="17"/>
          <w:szCs w:val="17"/>
          <w:lang w:val="en-GB"/>
        </w:rPr>
        <w:t xml:space="preserve">Global Marketing, </w:t>
      </w:r>
      <w:r w:rsidRPr="00436733">
        <w:rPr>
          <w:rFonts w:ascii="Arial" w:hAnsi="Arial" w:cs="Arial"/>
          <w:iCs/>
          <w:sz w:val="17"/>
          <w:szCs w:val="17"/>
          <w:lang w:val="en-GB"/>
        </w:rPr>
        <w:t>9th ed.</w:t>
      </w:r>
      <w:r w:rsidRPr="00436733">
        <w:rPr>
          <w:rFonts w:ascii="Arial" w:hAnsi="Arial" w:cs="Arial"/>
          <w:i/>
          <w:iCs/>
          <w:sz w:val="17"/>
          <w:szCs w:val="17"/>
          <w:lang w:val="en-GB"/>
        </w:rPr>
        <w:t xml:space="preserve"> (</w:t>
      </w:r>
      <w:r w:rsidRPr="00436733">
        <w:rPr>
          <w:rFonts w:ascii="Arial" w:hAnsi="Arial" w:cs="Arial"/>
          <w:sz w:val="17"/>
          <w:szCs w:val="17"/>
          <w:shd w:val="clear" w:color="auto" w:fill="FFFFFF"/>
          <w:lang w:val="en-GB"/>
        </w:rPr>
        <w:t>Boston</w:t>
      </w:r>
      <w:r>
        <w:rPr>
          <w:rFonts w:ascii="Arial" w:hAnsi="Arial" w:cs="Arial"/>
          <w:sz w:val="17"/>
          <w:szCs w:val="17"/>
          <w:shd w:val="clear" w:color="auto" w:fill="FFFFFF"/>
          <w:lang w:val="en-GB"/>
        </w:rPr>
        <w:t>, MA</w:t>
      </w:r>
      <w:r w:rsidRPr="00436733">
        <w:rPr>
          <w:rFonts w:ascii="Arial" w:hAnsi="Arial" w:cs="Arial"/>
          <w:sz w:val="17"/>
          <w:szCs w:val="17"/>
          <w:shd w:val="clear" w:color="auto" w:fill="FFFFFF"/>
          <w:lang w:val="en-GB"/>
        </w:rPr>
        <w:t>: Pearson</w:t>
      </w:r>
      <w:r>
        <w:rPr>
          <w:rFonts w:ascii="Arial" w:hAnsi="Arial" w:cs="Arial"/>
          <w:sz w:val="17"/>
          <w:szCs w:val="17"/>
          <w:shd w:val="clear" w:color="auto" w:fill="FFFFFF"/>
          <w:lang w:val="en-GB"/>
        </w:rPr>
        <w:t xml:space="preserve"> Education</w:t>
      </w:r>
      <w:r w:rsidRPr="00436733">
        <w:rPr>
          <w:rFonts w:ascii="Arial" w:hAnsi="Arial" w:cs="Arial"/>
          <w:sz w:val="17"/>
          <w:szCs w:val="17"/>
          <w:shd w:val="clear" w:color="auto" w:fill="FFFFFF"/>
          <w:lang w:val="en-GB"/>
        </w:rPr>
        <w:t>, 2017).</w:t>
      </w:r>
    </w:p>
  </w:endnote>
  <w:endnote w:id="21">
    <w:p w14:paraId="3AC3978A" w14:textId="77777777"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w:t>
      </w:r>
      <w:r w:rsidRPr="00436733">
        <w:rPr>
          <w:rFonts w:ascii="Arial" w:hAnsi="Arial" w:cs="Arial"/>
          <w:sz w:val="17"/>
          <w:szCs w:val="17"/>
          <w:shd w:val="clear" w:color="auto" w:fill="FFFFFF"/>
          <w:lang w:val="en-GB"/>
        </w:rPr>
        <w:t>Our History,” Lidl UK, accessed April 15, 2018, https://careers.lidl.co.uk/en/our-history-1819.htm.</w:t>
      </w:r>
    </w:p>
  </w:endnote>
  <w:endnote w:id="22">
    <w:p w14:paraId="7C996032" w14:textId="77777777"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“About </w:t>
      </w:r>
      <w:proofErr w:type="gramStart"/>
      <w:r w:rsidRPr="00436733">
        <w:rPr>
          <w:rFonts w:ascii="Arial" w:hAnsi="Arial" w:cs="Arial"/>
          <w:sz w:val="17"/>
          <w:szCs w:val="17"/>
          <w:lang w:val="en-GB"/>
        </w:rPr>
        <w:t>Us</w:t>
      </w:r>
      <w:proofErr w:type="gramEnd"/>
      <w:r w:rsidRPr="00436733">
        <w:rPr>
          <w:rFonts w:ascii="Arial" w:hAnsi="Arial" w:cs="Arial"/>
          <w:sz w:val="17"/>
          <w:szCs w:val="17"/>
          <w:lang w:val="en-GB"/>
        </w:rPr>
        <w:t>,” Lidl USA,</w:t>
      </w:r>
      <w:r w:rsidRPr="00436733">
        <w:rPr>
          <w:rFonts w:ascii="Arial" w:hAnsi="Arial" w:cs="Arial"/>
          <w:sz w:val="17"/>
          <w:szCs w:val="17"/>
          <w:shd w:val="clear" w:color="auto" w:fill="FFFFFF"/>
          <w:lang w:val="en-GB"/>
        </w:rPr>
        <w:t xml:space="preserve"> accessed April 15, 2018, www.lidl.com/about-us.</w:t>
      </w:r>
    </w:p>
  </w:endnote>
  <w:endnote w:id="23">
    <w:p w14:paraId="230C60EB" w14:textId="7F5DE5D2"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Ibid.</w:t>
      </w:r>
    </w:p>
  </w:endnote>
  <w:endnote w:id="24">
    <w:p w14:paraId="2CEEC980" w14:textId="05934F82"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Ibid.</w:t>
      </w:r>
    </w:p>
  </w:endnote>
  <w:endnote w:id="25">
    <w:p w14:paraId="5FB4FAD5" w14:textId="77777777"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“Sustainability,” Lidl USA, accessed August 23, 2018, </w:t>
      </w:r>
      <w:r w:rsidRPr="00436733">
        <w:rPr>
          <w:rFonts w:ascii="Arial" w:hAnsi="Arial" w:cs="Arial"/>
          <w:sz w:val="17"/>
          <w:szCs w:val="17"/>
          <w:shd w:val="clear" w:color="auto" w:fill="FFFFFF"/>
          <w:lang w:val="en-GB"/>
        </w:rPr>
        <w:t>www.lidl.com/sustainability.</w:t>
      </w:r>
    </w:p>
  </w:endnote>
  <w:endnote w:id="26">
    <w:p w14:paraId="3D079439" w14:textId="40996743"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Ibid.</w:t>
      </w:r>
    </w:p>
  </w:endnote>
  <w:endnote w:id="27">
    <w:p w14:paraId="66CE1630" w14:textId="67C4E25B"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Pr>
          <w:rFonts w:ascii="Arial" w:hAnsi="Arial" w:cs="Arial"/>
          <w:sz w:val="17"/>
          <w:szCs w:val="17"/>
          <w:lang w:val="en-GB"/>
        </w:rPr>
        <w:t xml:space="preserve"> </w:t>
      </w:r>
      <w:r w:rsidRPr="00436733">
        <w:rPr>
          <w:rFonts w:ascii="Arial" w:hAnsi="Arial" w:cs="Arial"/>
          <w:sz w:val="17"/>
          <w:szCs w:val="17"/>
          <w:lang w:val="en-GB"/>
        </w:rPr>
        <w:t>“Principles and Values,” Lidl USA, accessed August 14, 2018, www.lidl.com/about-us#principles-and-values.</w:t>
      </w:r>
    </w:p>
  </w:endnote>
  <w:endnote w:id="28">
    <w:p w14:paraId="0B361438" w14:textId="17759EA3" w:rsidR="009C53B1" w:rsidRDefault="009C53B1" w:rsidP="00C8007B">
      <w:pPr>
        <w:jc w:val="both"/>
        <w:rPr>
          <w:rFonts w:ascii="Arial" w:hAnsi="Arial" w:cs="Arial"/>
          <w:spacing w:val="-4"/>
          <w:sz w:val="17"/>
          <w:szCs w:val="17"/>
          <w:shd w:val="clear" w:color="auto" w:fill="FFFFFF"/>
          <w:lang w:val="en-GB"/>
        </w:rPr>
      </w:pPr>
      <w:r w:rsidRPr="00436733">
        <w:rPr>
          <w:rStyle w:val="EndnoteReference"/>
          <w:rFonts w:ascii="Arial" w:hAnsi="Arial" w:cs="Arial"/>
          <w:spacing w:val="-4"/>
          <w:sz w:val="17"/>
          <w:szCs w:val="17"/>
          <w:lang w:val="en-GB"/>
        </w:rPr>
        <w:endnoteRef/>
      </w:r>
      <w:r w:rsidRPr="00436733">
        <w:rPr>
          <w:rFonts w:ascii="Arial" w:hAnsi="Arial" w:cs="Arial"/>
          <w:spacing w:val="-4"/>
          <w:sz w:val="17"/>
          <w:szCs w:val="17"/>
          <w:lang w:val="en-GB"/>
        </w:rPr>
        <w:t xml:space="preserve"> </w:t>
      </w:r>
      <w:r w:rsidRPr="00436733">
        <w:rPr>
          <w:rFonts w:ascii="Arial" w:hAnsi="Arial" w:cs="Arial"/>
          <w:spacing w:val="-4"/>
          <w:sz w:val="17"/>
          <w:szCs w:val="17"/>
          <w:shd w:val="clear" w:color="auto" w:fill="FFFFFF"/>
          <w:lang w:val="en-GB"/>
        </w:rPr>
        <w:t xml:space="preserve">“Lidl Exclusive Private-Label Wines Shine Bright at San Francisco Chronicle Wine Competition,” </w:t>
      </w:r>
      <w:r w:rsidRPr="00436733">
        <w:rPr>
          <w:rFonts w:ascii="Arial" w:hAnsi="Arial" w:cs="Arial"/>
          <w:spacing w:val="-4"/>
          <w:sz w:val="17"/>
          <w:szCs w:val="17"/>
          <w:lang w:val="en-GB"/>
        </w:rPr>
        <w:t>Lidl US</w:t>
      </w:r>
      <w:r w:rsidRPr="00436733">
        <w:rPr>
          <w:rFonts w:ascii="Arial" w:hAnsi="Arial" w:cs="Arial"/>
          <w:spacing w:val="-4"/>
          <w:sz w:val="17"/>
          <w:szCs w:val="17"/>
          <w:shd w:val="clear" w:color="auto" w:fill="FFFFFF"/>
          <w:lang w:val="en-GB"/>
        </w:rPr>
        <w:t>, press release, February 1, 2018, https://assets.ctfassets.net/u41cm62nxtp7/6x3zhqemPKyAqMw2s2e6SA/04630348de651c47e9501a5e3c8f478b/Lidl_</w:t>
      </w:r>
    </w:p>
    <w:p w14:paraId="34B26796" w14:textId="77777777" w:rsidR="009C53B1" w:rsidRPr="00436733" w:rsidRDefault="009C53B1" w:rsidP="00C8007B">
      <w:pPr>
        <w:jc w:val="both"/>
        <w:rPr>
          <w:rFonts w:ascii="Arial" w:hAnsi="Arial" w:cs="Arial"/>
          <w:spacing w:val="-4"/>
          <w:sz w:val="17"/>
          <w:szCs w:val="17"/>
          <w:lang w:val="en-GB"/>
        </w:rPr>
      </w:pPr>
      <w:r w:rsidRPr="00436733">
        <w:rPr>
          <w:rFonts w:ascii="Arial" w:hAnsi="Arial" w:cs="Arial"/>
          <w:spacing w:val="-4"/>
          <w:sz w:val="17"/>
          <w:szCs w:val="17"/>
          <w:shd w:val="clear" w:color="auto" w:fill="FFFFFF"/>
          <w:lang w:val="en-GB"/>
        </w:rPr>
        <w:t>US_Wine_Competition_Announcement_-_FINAL2.pdf.</w:t>
      </w:r>
    </w:p>
  </w:endnote>
  <w:endnote w:id="29">
    <w:p w14:paraId="3B3CA4A8" w14:textId="77777777"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“Quality Standards,” Lidl USA, accessed August 14, 2018, www.lidl.com/quality-standards</w:t>
      </w:r>
      <w:r w:rsidRPr="00436733">
        <w:rPr>
          <w:rStyle w:val="Hyperlink"/>
          <w:rFonts w:ascii="Arial" w:hAnsi="Arial" w:cs="Arial"/>
          <w:color w:val="auto"/>
          <w:sz w:val="17"/>
          <w:szCs w:val="17"/>
          <w:u w:val="none"/>
          <w:lang w:val="en-GB"/>
        </w:rPr>
        <w:t>.</w:t>
      </w:r>
      <w:r w:rsidRPr="00436733">
        <w:rPr>
          <w:rFonts w:ascii="Arial" w:hAnsi="Arial" w:cs="Arial"/>
          <w:sz w:val="17"/>
          <w:szCs w:val="17"/>
          <w:lang w:val="en-GB"/>
        </w:rPr>
        <w:t xml:space="preserve"> </w:t>
      </w:r>
    </w:p>
  </w:endnote>
  <w:endnote w:id="30">
    <w:p w14:paraId="20859F98" w14:textId="30988F79"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Pr>
          <w:rFonts w:ascii="Arial" w:hAnsi="Arial" w:cs="Arial"/>
          <w:sz w:val="17"/>
          <w:szCs w:val="17"/>
          <w:lang w:val="en-GB"/>
        </w:rPr>
        <w:t xml:space="preserve"> </w:t>
      </w:r>
      <w:r w:rsidRPr="00436733">
        <w:rPr>
          <w:rFonts w:ascii="Arial" w:hAnsi="Arial" w:cs="Arial"/>
          <w:sz w:val="17"/>
          <w:szCs w:val="17"/>
          <w:lang w:val="en-GB"/>
        </w:rPr>
        <w:t>“Food Safety,” Lidl USA, accessed August 14, 2018, www.lidl.com/food-safety.</w:t>
      </w:r>
    </w:p>
  </w:endnote>
  <w:endnote w:id="31">
    <w:p w14:paraId="41484689" w14:textId="072CAF41"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Pr>
          <w:rFonts w:ascii="Arial" w:hAnsi="Arial" w:cs="Arial"/>
          <w:sz w:val="17"/>
          <w:szCs w:val="17"/>
          <w:lang w:val="en-GB"/>
        </w:rPr>
        <w:t xml:space="preserve"> </w:t>
      </w:r>
      <w:r w:rsidRPr="00436733">
        <w:rPr>
          <w:rFonts w:ascii="Arial" w:hAnsi="Arial" w:cs="Arial"/>
          <w:sz w:val="17"/>
          <w:szCs w:val="17"/>
          <w:lang w:val="en-GB"/>
        </w:rPr>
        <w:t>“Become a Lidl Supplier,” Lidl USA, accessed August 14, 2018, www.lidl.com/suppliers.</w:t>
      </w:r>
    </w:p>
  </w:endnote>
  <w:endnote w:id="32">
    <w:p w14:paraId="0CC6D814" w14:textId="77777777"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w:t>
      </w:r>
      <w:r w:rsidRPr="00436733">
        <w:rPr>
          <w:rFonts w:ascii="Arial" w:hAnsi="Arial" w:cs="Arial"/>
          <w:sz w:val="17"/>
          <w:szCs w:val="17"/>
        </w:rPr>
        <w:t xml:space="preserve">Lidl US, </w:t>
      </w:r>
      <w:r w:rsidRPr="00436733">
        <w:rPr>
          <w:rFonts w:ascii="Arial" w:hAnsi="Arial" w:cs="Arial"/>
          <w:i/>
          <w:sz w:val="17"/>
          <w:szCs w:val="17"/>
          <w:lang w:val="en-GB"/>
        </w:rPr>
        <w:t>Lidl US Supplier Code of Conduct</w:t>
      </w:r>
      <w:r w:rsidRPr="00436733">
        <w:rPr>
          <w:rFonts w:ascii="Arial" w:hAnsi="Arial" w:cs="Arial"/>
          <w:sz w:val="17"/>
          <w:szCs w:val="17"/>
          <w:lang w:val="en-GB"/>
        </w:rPr>
        <w:t>, accessed August 14, 2018, www.lidl.com/assets/LidlUSCodeofConduct.pdf.</w:t>
      </w:r>
    </w:p>
  </w:endnote>
  <w:endnote w:id="33">
    <w:p w14:paraId="435C36BB" w14:textId="6AA7BECC"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“Sustainability,” op. cit</w:t>
      </w:r>
      <w:r>
        <w:rPr>
          <w:rFonts w:ascii="Arial" w:hAnsi="Arial" w:cs="Arial"/>
          <w:sz w:val="17"/>
          <w:szCs w:val="17"/>
          <w:lang w:val="en-GB"/>
        </w:rPr>
        <w:t>.</w:t>
      </w:r>
    </w:p>
  </w:endnote>
  <w:endnote w:id="34">
    <w:p w14:paraId="43AC7801" w14:textId="584BFD32"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Pr>
          <w:rFonts w:ascii="Arial" w:hAnsi="Arial" w:cs="Arial"/>
          <w:sz w:val="17"/>
          <w:szCs w:val="17"/>
          <w:lang w:val="en-GB"/>
        </w:rPr>
        <w:t xml:space="preserve"> </w:t>
      </w:r>
      <w:r w:rsidRPr="00436733">
        <w:rPr>
          <w:rFonts w:ascii="Arial" w:hAnsi="Arial" w:cs="Arial"/>
          <w:sz w:val="17"/>
          <w:szCs w:val="17"/>
          <w:lang w:val="en-GB"/>
        </w:rPr>
        <w:t>“Sustainability,” op. cit.</w:t>
      </w:r>
    </w:p>
  </w:endnote>
  <w:endnote w:id="35">
    <w:p w14:paraId="4A84908F" w14:textId="0DFA72B1"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Ibid.</w:t>
      </w:r>
    </w:p>
  </w:endnote>
  <w:endnote w:id="36">
    <w:p w14:paraId="5AAAA1C1" w14:textId="16539FB8"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Kacey </w:t>
      </w:r>
      <w:proofErr w:type="spellStart"/>
      <w:r w:rsidRPr="00436733">
        <w:rPr>
          <w:rFonts w:ascii="Arial" w:hAnsi="Arial" w:cs="Arial"/>
          <w:sz w:val="17"/>
          <w:szCs w:val="17"/>
          <w:shd w:val="clear" w:color="auto" w:fill="FFFFFF"/>
          <w:lang w:val="en-GB"/>
        </w:rPr>
        <w:t>Culliney</w:t>
      </w:r>
      <w:proofErr w:type="spellEnd"/>
      <w:r w:rsidRPr="00436733">
        <w:rPr>
          <w:rFonts w:ascii="Arial" w:hAnsi="Arial" w:cs="Arial"/>
          <w:sz w:val="17"/>
          <w:szCs w:val="17"/>
          <w:shd w:val="clear" w:color="auto" w:fill="FFFFFF"/>
          <w:lang w:val="en-GB"/>
        </w:rPr>
        <w:t xml:space="preserve">, “Premium Price Wars: Lidl Undercuts Competition </w:t>
      </w:r>
      <w:r>
        <w:rPr>
          <w:rFonts w:ascii="Arial" w:hAnsi="Arial" w:cs="Arial"/>
          <w:sz w:val="17"/>
          <w:szCs w:val="17"/>
          <w:shd w:val="clear" w:color="auto" w:fill="FFFFFF"/>
          <w:lang w:val="en-GB"/>
        </w:rPr>
        <w:t>b</w:t>
      </w:r>
      <w:r w:rsidRPr="00436733">
        <w:rPr>
          <w:rFonts w:ascii="Arial" w:hAnsi="Arial" w:cs="Arial"/>
          <w:sz w:val="17"/>
          <w:szCs w:val="17"/>
          <w:shd w:val="clear" w:color="auto" w:fill="FFFFFF"/>
          <w:lang w:val="en-GB"/>
        </w:rPr>
        <w:t xml:space="preserve">y as Much as 39%, Finds the Hartman Group,” </w:t>
      </w:r>
      <w:proofErr w:type="spellStart"/>
      <w:r w:rsidRPr="00436733">
        <w:rPr>
          <w:rFonts w:ascii="Arial" w:hAnsi="Arial" w:cs="Arial"/>
          <w:sz w:val="17"/>
          <w:szCs w:val="17"/>
          <w:shd w:val="clear" w:color="auto" w:fill="FFFFFF"/>
          <w:lang w:val="en-GB"/>
        </w:rPr>
        <w:t>FoodNavigator</w:t>
      </w:r>
      <w:proofErr w:type="spellEnd"/>
      <w:r w:rsidRPr="00436733">
        <w:rPr>
          <w:rFonts w:ascii="Arial" w:hAnsi="Arial" w:cs="Arial"/>
          <w:sz w:val="17"/>
          <w:szCs w:val="17"/>
          <w:shd w:val="clear" w:color="auto" w:fill="FFFFFF"/>
          <w:lang w:val="en-GB"/>
        </w:rPr>
        <w:t>-USA, October 5, 2017, accessed April 15, 2018, www.foodnavigator-usa.com/Article/2017/10/05/Lidl-undercuts-competition-by-as-much-as-39-finds-The-Hartman-Group.</w:t>
      </w:r>
    </w:p>
  </w:endnote>
  <w:endnote w:id="37">
    <w:p w14:paraId="5F0C40DA" w14:textId="77777777" w:rsidR="009C53B1" w:rsidRPr="009C53B1" w:rsidRDefault="009C53B1" w:rsidP="00C8007B">
      <w:pPr>
        <w:pStyle w:val="EndnoteText"/>
        <w:jc w:val="both"/>
        <w:rPr>
          <w:rFonts w:ascii="Arial" w:hAnsi="Arial" w:cs="Arial"/>
          <w:sz w:val="17"/>
          <w:szCs w:val="17"/>
          <w:lang w:val="en-GB"/>
        </w:rPr>
      </w:pPr>
      <w:r w:rsidRPr="009C53B1">
        <w:rPr>
          <w:rStyle w:val="EndnoteReference"/>
          <w:rFonts w:ascii="Arial" w:hAnsi="Arial" w:cs="Arial"/>
          <w:sz w:val="17"/>
          <w:szCs w:val="17"/>
          <w:lang w:val="en-GB"/>
        </w:rPr>
        <w:endnoteRef/>
      </w:r>
      <w:r w:rsidRPr="009C53B1">
        <w:rPr>
          <w:rFonts w:ascii="Arial" w:hAnsi="Arial" w:cs="Arial"/>
          <w:sz w:val="17"/>
          <w:szCs w:val="17"/>
          <w:lang w:val="en-GB"/>
        </w:rPr>
        <w:t xml:space="preserve"> Mike </w:t>
      </w:r>
      <w:proofErr w:type="spellStart"/>
      <w:r w:rsidRPr="009C53B1">
        <w:rPr>
          <w:rFonts w:ascii="Arial" w:hAnsi="Arial" w:cs="Arial"/>
          <w:sz w:val="17"/>
          <w:szCs w:val="17"/>
          <w:shd w:val="clear" w:color="auto" w:fill="FFFFFF"/>
          <w:lang w:val="en-GB"/>
        </w:rPr>
        <w:t>Timmermann</w:t>
      </w:r>
      <w:proofErr w:type="spellEnd"/>
      <w:r w:rsidRPr="009C53B1">
        <w:rPr>
          <w:rFonts w:ascii="Arial" w:hAnsi="Arial" w:cs="Arial"/>
          <w:sz w:val="17"/>
          <w:szCs w:val="17"/>
          <w:shd w:val="clear" w:color="auto" w:fill="FFFFFF"/>
          <w:lang w:val="en-GB"/>
        </w:rPr>
        <w:t>, “New Study: Aldi, Walmart and Kroger Drop Prices When Lidl Opens Nearby,” Clark Howard, January 17, 2018, accessed April 15, 2018, https://clark.com/shopping-retail/food-restaurants/grocery-prices-lidl-vs-aldi-walmart-kroger-food-lion/.</w:t>
      </w:r>
    </w:p>
  </w:endnote>
  <w:endnote w:id="38">
    <w:p w14:paraId="7420DFEE" w14:textId="47D26F66"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Ibid.</w:t>
      </w:r>
    </w:p>
  </w:endnote>
  <w:endnote w:id="39">
    <w:p w14:paraId="2C3BAD84" w14:textId="33B0B794"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“Quality Standards,” op. cit.</w:t>
      </w:r>
    </w:p>
  </w:endnote>
  <w:endnote w:id="40">
    <w:p w14:paraId="087C64C4" w14:textId="21231AC8"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Hayley </w:t>
      </w:r>
      <w:r w:rsidRPr="00436733">
        <w:rPr>
          <w:rFonts w:ascii="Arial" w:hAnsi="Arial" w:cs="Arial"/>
          <w:sz w:val="17"/>
          <w:szCs w:val="17"/>
          <w:shd w:val="clear" w:color="auto" w:fill="FFFFFF"/>
          <w:lang w:val="en-GB"/>
        </w:rPr>
        <w:t xml:space="preserve">Peterson, “America’s Newest Grocery Store Chain Has an Advantage </w:t>
      </w:r>
      <w:r>
        <w:rPr>
          <w:rFonts w:ascii="Arial" w:hAnsi="Arial" w:cs="Arial"/>
          <w:sz w:val="17"/>
          <w:szCs w:val="17"/>
          <w:shd w:val="clear" w:color="auto" w:fill="FFFFFF"/>
          <w:lang w:val="en-GB"/>
        </w:rPr>
        <w:t>t</w:t>
      </w:r>
      <w:r w:rsidRPr="00436733">
        <w:rPr>
          <w:rFonts w:ascii="Arial" w:hAnsi="Arial" w:cs="Arial"/>
          <w:sz w:val="17"/>
          <w:szCs w:val="17"/>
          <w:shd w:val="clear" w:color="auto" w:fill="FFFFFF"/>
          <w:lang w:val="en-GB"/>
        </w:rPr>
        <w:t xml:space="preserve">hat Should Terrify Walmart,” </w:t>
      </w:r>
      <w:r w:rsidRPr="00436733">
        <w:rPr>
          <w:rFonts w:ascii="Arial" w:hAnsi="Arial" w:cs="Arial"/>
          <w:i/>
          <w:sz w:val="17"/>
          <w:szCs w:val="17"/>
          <w:shd w:val="clear" w:color="auto" w:fill="FFFFFF"/>
          <w:lang w:val="en-GB"/>
        </w:rPr>
        <w:t>Business Insider</w:t>
      </w:r>
      <w:r w:rsidRPr="00436733">
        <w:rPr>
          <w:rFonts w:ascii="Arial" w:hAnsi="Arial" w:cs="Arial"/>
          <w:sz w:val="17"/>
          <w:szCs w:val="17"/>
          <w:shd w:val="clear" w:color="auto" w:fill="FFFFFF"/>
          <w:lang w:val="en-GB"/>
        </w:rPr>
        <w:t>, June 19, 2017, accessed April 15, 2018, www.businessinsider.com/lidl-is-cheaper-than-walmart-and-aldi-2017-6.</w:t>
      </w:r>
    </w:p>
  </w:endnote>
  <w:endnote w:id="41">
    <w:p w14:paraId="27327571" w14:textId="77777777"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Janet Jones </w:t>
      </w:r>
      <w:r w:rsidRPr="00436733">
        <w:rPr>
          <w:rFonts w:ascii="Arial" w:hAnsi="Arial" w:cs="Arial"/>
          <w:sz w:val="17"/>
          <w:szCs w:val="17"/>
          <w:shd w:val="clear" w:color="auto" w:fill="FFFFFF"/>
          <w:lang w:val="en-GB"/>
        </w:rPr>
        <w:t>Kendall, “Why Does Lexington Need an Aldi AND a Lidl</w:t>
      </w:r>
      <w:proofErr w:type="gramStart"/>
      <w:r w:rsidRPr="00436733">
        <w:rPr>
          <w:rFonts w:ascii="Arial" w:hAnsi="Arial" w:cs="Arial"/>
          <w:sz w:val="17"/>
          <w:szCs w:val="17"/>
          <w:shd w:val="clear" w:color="auto" w:fill="FFFFFF"/>
          <w:lang w:val="en-GB"/>
        </w:rPr>
        <w:t>?,</w:t>
      </w:r>
      <w:proofErr w:type="gramEnd"/>
      <w:r w:rsidRPr="00436733">
        <w:rPr>
          <w:rFonts w:ascii="Arial" w:hAnsi="Arial" w:cs="Arial"/>
          <w:sz w:val="17"/>
          <w:szCs w:val="17"/>
          <w:shd w:val="clear" w:color="auto" w:fill="FFFFFF"/>
          <w:lang w:val="en-GB"/>
        </w:rPr>
        <w:t xml:space="preserve">” </w:t>
      </w:r>
      <w:r w:rsidRPr="00436733">
        <w:rPr>
          <w:rFonts w:ascii="Arial" w:hAnsi="Arial" w:cs="Arial"/>
          <w:i/>
          <w:sz w:val="17"/>
          <w:szCs w:val="17"/>
          <w:shd w:val="clear" w:color="auto" w:fill="FFFFFF"/>
          <w:lang w:val="en-GB"/>
        </w:rPr>
        <w:t>The State</w:t>
      </w:r>
      <w:r w:rsidRPr="00436733">
        <w:rPr>
          <w:rFonts w:ascii="Arial" w:hAnsi="Arial" w:cs="Arial"/>
          <w:sz w:val="17"/>
          <w:szCs w:val="17"/>
          <w:shd w:val="clear" w:color="auto" w:fill="FFFFFF"/>
          <w:lang w:val="en-GB"/>
        </w:rPr>
        <w:t>, October 25, 2017, accessed April 15, 2018, www.thestate.com/news/business/biz-columns-blogs/shop-around/article180772901.html.</w:t>
      </w:r>
    </w:p>
  </w:endnote>
  <w:endnote w:id="42">
    <w:p w14:paraId="55D03968" w14:textId="77777777"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Courtney </w:t>
      </w:r>
      <w:r w:rsidRPr="00436733">
        <w:rPr>
          <w:rFonts w:ascii="Arial" w:hAnsi="Arial" w:cs="Arial"/>
          <w:sz w:val="17"/>
          <w:szCs w:val="17"/>
          <w:shd w:val="clear" w:color="auto" w:fill="FFFFFF"/>
          <w:lang w:val="en-GB"/>
        </w:rPr>
        <w:t>Reagan, “If Your Town Has a Lidl, Your Grocery Prices Are Lower,” CNBC, January 12, 2018, accessed April 15, 2018, www.cnbc.com/2018/01/12/if-your-town-has-a-lidl-your-grocery-prices-are-lower.html.</w:t>
      </w:r>
    </w:p>
  </w:endnote>
  <w:endnote w:id="43">
    <w:p w14:paraId="30371DF4" w14:textId="3E861435"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Ibid</w:t>
      </w:r>
      <w:r>
        <w:rPr>
          <w:rFonts w:ascii="Arial" w:hAnsi="Arial" w:cs="Arial"/>
          <w:sz w:val="17"/>
          <w:szCs w:val="17"/>
          <w:lang w:val="en-GB"/>
        </w:rPr>
        <w:t>.</w:t>
      </w:r>
    </w:p>
  </w:endnote>
  <w:endnote w:id="44">
    <w:p w14:paraId="4D84E4F1" w14:textId="77777777"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Bryan </w:t>
      </w:r>
      <w:r w:rsidRPr="00436733">
        <w:rPr>
          <w:rFonts w:ascii="Arial" w:hAnsi="Arial" w:cs="Arial"/>
          <w:sz w:val="17"/>
          <w:szCs w:val="17"/>
          <w:shd w:val="clear" w:color="auto" w:fill="FFFFFF"/>
          <w:lang w:val="en-GB"/>
        </w:rPr>
        <w:t xml:space="preserve">Pearson, “German Lessons: What Walmart Could Have Learned from Lidl, and Vice Versa,” </w:t>
      </w:r>
      <w:r w:rsidRPr="00436733">
        <w:rPr>
          <w:rFonts w:ascii="Arial" w:hAnsi="Arial" w:cs="Arial"/>
          <w:i/>
          <w:sz w:val="17"/>
          <w:szCs w:val="17"/>
          <w:shd w:val="clear" w:color="auto" w:fill="FFFFFF"/>
          <w:lang w:val="en-GB"/>
        </w:rPr>
        <w:t>Forbes</w:t>
      </w:r>
      <w:r w:rsidRPr="00436733">
        <w:rPr>
          <w:rFonts w:ascii="Arial" w:hAnsi="Arial" w:cs="Arial"/>
          <w:sz w:val="17"/>
          <w:szCs w:val="17"/>
          <w:shd w:val="clear" w:color="auto" w:fill="FFFFFF"/>
          <w:lang w:val="en-GB"/>
        </w:rPr>
        <w:t>, February 5, 2018, accessed April 15, 2018,</w:t>
      </w:r>
      <w:r w:rsidRPr="00436733" w:rsidDel="00AB04F6">
        <w:rPr>
          <w:rFonts w:ascii="Arial" w:hAnsi="Arial" w:cs="Arial"/>
          <w:sz w:val="17"/>
          <w:szCs w:val="17"/>
          <w:lang w:val="en-GB"/>
        </w:rPr>
        <w:t xml:space="preserve"> </w:t>
      </w:r>
      <w:r w:rsidRPr="00436733">
        <w:rPr>
          <w:rFonts w:ascii="Arial" w:hAnsi="Arial" w:cs="Arial"/>
          <w:sz w:val="17"/>
          <w:szCs w:val="17"/>
          <w:shd w:val="clear" w:color="auto" w:fill="FFFFFF"/>
          <w:lang w:val="en-GB"/>
        </w:rPr>
        <w:t>www.forbes.com/sites/bryanpearson/2018/02/05/german-lessons-what-walmart-could-have-learned-from-lidl-and-vice-versa/#6921347e138c.</w:t>
      </w:r>
    </w:p>
  </w:endnote>
  <w:endnote w:id="45">
    <w:p w14:paraId="7E4FE071" w14:textId="38C2079A"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w:t>
      </w:r>
      <w:r w:rsidRPr="00436733">
        <w:rPr>
          <w:rFonts w:ascii="Arial" w:hAnsi="Arial" w:cs="Arial"/>
          <w:sz w:val="17"/>
          <w:szCs w:val="17"/>
          <w:shd w:val="clear" w:color="auto" w:fill="FFFFFF"/>
          <w:lang w:val="en-GB"/>
        </w:rPr>
        <w:t xml:space="preserve">Peterson, op. cit. </w:t>
      </w:r>
    </w:p>
  </w:endnote>
  <w:endnote w:id="46">
    <w:p w14:paraId="596248A8" w14:textId="77777777"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Kristin </w:t>
      </w:r>
      <w:r w:rsidRPr="00436733">
        <w:rPr>
          <w:rFonts w:ascii="Arial" w:hAnsi="Arial" w:cs="Arial"/>
          <w:sz w:val="17"/>
          <w:szCs w:val="17"/>
          <w:shd w:val="clear" w:color="auto" w:fill="FFFFFF"/>
          <w:lang w:val="en-GB"/>
        </w:rPr>
        <w:t xml:space="preserve">Zachary, “What’s a Lidl? Here’s the Scoop on Huge Grocery Chain Eyeing Major Expansion into Triad, United States,” </w:t>
      </w:r>
      <w:r w:rsidRPr="00436733">
        <w:rPr>
          <w:rFonts w:ascii="Arial" w:hAnsi="Arial" w:cs="Arial"/>
          <w:i/>
          <w:sz w:val="17"/>
          <w:szCs w:val="17"/>
          <w:shd w:val="clear" w:color="auto" w:fill="FFFFFF"/>
          <w:lang w:val="en-GB"/>
        </w:rPr>
        <w:t>Triad Business Journal</w:t>
      </w:r>
      <w:r w:rsidRPr="00436733">
        <w:rPr>
          <w:rFonts w:ascii="Arial" w:hAnsi="Arial" w:cs="Arial"/>
          <w:sz w:val="17"/>
          <w:szCs w:val="17"/>
          <w:shd w:val="clear" w:color="auto" w:fill="FFFFFF"/>
          <w:lang w:val="en-GB"/>
        </w:rPr>
        <w:t>, April 8, 2015, accessed April 15, 2018, www.bizjournals.com/triad/blog/morning-edition/2015/04/whats-a-lidl-heres-the-scoop-on-huge-grocery-chain.html.</w:t>
      </w:r>
    </w:p>
  </w:endnote>
  <w:endnote w:id="47">
    <w:p w14:paraId="2A8A4DBE" w14:textId="028F6289"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w:t>
      </w:r>
      <w:r w:rsidRPr="00436733">
        <w:rPr>
          <w:rFonts w:ascii="Arial" w:hAnsi="Arial" w:cs="Arial"/>
          <w:sz w:val="17"/>
          <w:szCs w:val="17"/>
          <w:shd w:val="clear" w:color="auto" w:fill="FFFFFF"/>
          <w:lang w:val="en-GB"/>
        </w:rPr>
        <w:t>Supermarket Facts,” F</w:t>
      </w:r>
      <w:r>
        <w:rPr>
          <w:rFonts w:ascii="Arial" w:hAnsi="Arial" w:cs="Arial"/>
          <w:sz w:val="17"/>
          <w:szCs w:val="17"/>
          <w:shd w:val="clear" w:color="auto" w:fill="FFFFFF"/>
          <w:lang w:val="en-GB"/>
        </w:rPr>
        <w:t xml:space="preserve">ood </w:t>
      </w:r>
      <w:r w:rsidRPr="00436733">
        <w:rPr>
          <w:rFonts w:ascii="Arial" w:hAnsi="Arial" w:cs="Arial"/>
          <w:sz w:val="17"/>
          <w:szCs w:val="17"/>
          <w:shd w:val="clear" w:color="auto" w:fill="FFFFFF"/>
          <w:lang w:val="en-GB"/>
        </w:rPr>
        <w:t>M</w:t>
      </w:r>
      <w:r>
        <w:rPr>
          <w:rFonts w:ascii="Arial" w:hAnsi="Arial" w:cs="Arial"/>
          <w:sz w:val="17"/>
          <w:szCs w:val="17"/>
          <w:shd w:val="clear" w:color="auto" w:fill="FFFFFF"/>
          <w:lang w:val="en-GB"/>
        </w:rPr>
        <w:t xml:space="preserve">arketing </w:t>
      </w:r>
      <w:r w:rsidRPr="00436733">
        <w:rPr>
          <w:rFonts w:ascii="Arial" w:hAnsi="Arial" w:cs="Arial"/>
          <w:sz w:val="17"/>
          <w:szCs w:val="17"/>
          <w:shd w:val="clear" w:color="auto" w:fill="FFFFFF"/>
          <w:lang w:val="en-GB"/>
        </w:rPr>
        <w:t>I</w:t>
      </w:r>
      <w:r>
        <w:rPr>
          <w:rFonts w:ascii="Arial" w:hAnsi="Arial" w:cs="Arial"/>
          <w:sz w:val="17"/>
          <w:szCs w:val="17"/>
          <w:shd w:val="clear" w:color="auto" w:fill="FFFFFF"/>
          <w:lang w:val="en-GB"/>
        </w:rPr>
        <w:t>nstitute</w:t>
      </w:r>
      <w:r w:rsidRPr="00436733">
        <w:rPr>
          <w:rFonts w:ascii="Arial" w:hAnsi="Arial" w:cs="Arial"/>
          <w:sz w:val="17"/>
          <w:szCs w:val="17"/>
          <w:shd w:val="clear" w:color="auto" w:fill="FFFFFF"/>
          <w:lang w:val="en-GB"/>
        </w:rPr>
        <w:t>, accessed April 15, 2018, www.fmi.org/our-research/supermarket-facts.</w:t>
      </w:r>
    </w:p>
  </w:endnote>
  <w:endnote w:id="48">
    <w:p w14:paraId="16D53D67" w14:textId="06AA6A54"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w:t>
      </w:r>
      <w:r w:rsidRPr="00436733">
        <w:rPr>
          <w:rFonts w:ascii="Arial" w:hAnsi="Arial" w:cs="Arial"/>
          <w:sz w:val="17"/>
          <w:szCs w:val="17"/>
          <w:shd w:val="clear" w:color="auto" w:fill="FFFFFF"/>
          <w:lang w:val="en-GB"/>
        </w:rPr>
        <w:t>Reagan, op. cit.</w:t>
      </w:r>
      <w:r w:rsidRPr="00436733" w:rsidDel="00881E0B">
        <w:rPr>
          <w:rFonts w:ascii="Arial" w:hAnsi="Arial" w:cs="Arial"/>
          <w:sz w:val="17"/>
          <w:szCs w:val="17"/>
          <w:shd w:val="clear" w:color="auto" w:fill="FFFFFF"/>
          <w:lang w:val="en-GB"/>
        </w:rPr>
        <w:t xml:space="preserve"> </w:t>
      </w:r>
    </w:p>
  </w:endnote>
  <w:endnote w:id="49">
    <w:p w14:paraId="0DA167EC" w14:textId="77777777"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Steve </w:t>
      </w:r>
      <w:r w:rsidRPr="00436733">
        <w:rPr>
          <w:rFonts w:ascii="Arial" w:hAnsi="Arial" w:cs="Arial"/>
          <w:sz w:val="17"/>
          <w:szCs w:val="17"/>
          <w:shd w:val="clear" w:color="auto" w:fill="FFFFFF"/>
          <w:lang w:val="en-GB"/>
        </w:rPr>
        <w:t xml:space="preserve">Watkins, “Kroger Eyeing Another Major Acquisition, Analyst Says,” </w:t>
      </w:r>
      <w:r w:rsidRPr="00436733">
        <w:rPr>
          <w:rFonts w:ascii="Arial" w:hAnsi="Arial" w:cs="Arial"/>
          <w:i/>
          <w:sz w:val="17"/>
          <w:szCs w:val="17"/>
          <w:shd w:val="clear" w:color="auto" w:fill="FFFFFF"/>
          <w:lang w:val="en-GB"/>
        </w:rPr>
        <w:t>Charlotte Business Journal</w:t>
      </w:r>
      <w:r w:rsidRPr="00436733">
        <w:rPr>
          <w:rFonts w:ascii="Arial" w:hAnsi="Arial" w:cs="Arial"/>
          <w:sz w:val="17"/>
          <w:szCs w:val="17"/>
          <w:shd w:val="clear" w:color="auto" w:fill="FFFFFF"/>
          <w:lang w:val="en-GB"/>
        </w:rPr>
        <w:t>, January 16, 2015, accessed April 23, 2018, www.bizjournals.com/charlotte/news/2015/01/16/kroger-eyeing-another-major-acquisition-analyst.html.</w:t>
      </w:r>
    </w:p>
  </w:endnote>
  <w:endnote w:id="50">
    <w:p w14:paraId="041C7180" w14:textId="77777777" w:rsidR="009C53B1" w:rsidRPr="00436733" w:rsidRDefault="009C53B1" w:rsidP="00C8007B">
      <w:pPr>
        <w:shd w:val="clear" w:color="auto" w:fill="FFFFFF"/>
        <w:jc w:val="both"/>
        <w:textAlignment w:val="baseline"/>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“Number of Stores Operated by Kroger or Its Subsidiaries as of February 2018, by Category,” </w:t>
      </w:r>
      <w:r w:rsidRPr="00436733">
        <w:rPr>
          <w:rFonts w:ascii="Arial" w:hAnsi="Arial" w:cs="Arial"/>
          <w:iCs/>
          <w:sz w:val="17"/>
          <w:szCs w:val="17"/>
          <w:bdr w:val="none" w:sz="0" w:space="0" w:color="auto" w:frame="1"/>
          <w:lang w:val="en-GB"/>
        </w:rPr>
        <w:t>Statista</w:t>
      </w:r>
      <w:r w:rsidRPr="00436733">
        <w:rPr>
          <w:rFonts w:ascii="Arial" w:hAnsi="Arial" w:cs="Arial"/>
          <w:sz w:val="17"/>
          <w:szCs w:val="17"/>
          <w:lang w:val="en-GB"/>
        </w:rPr>
        <w:t>, accessed April 23, 2018, www.statista.com/statistics/717760/kroger-operation-stores/.</w:t>
      </w:r>
    </w:p>
  </w:endnote>
  <w:endnote w:id="51">
    <w:p w14:paraId="523AE7C8" w14:textId="77777777"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Mary </w:t>
      </w:r>
      <w:proofErr w:type="spellStart"/>
      <w:r w:rsidRPr="00436733">
        <w:rPr>
          <w:rFonts w:ascii="Arial" w:hAnsi="Arial" w:cs="Arial"/>
          <w:sz w:val="17"/>
          <w:szCs w:val="17"/>
          <w:shd w:val="clear" w:color="auto" w:fill="FFFFFF"/>
          <w:lang w:val="en-GB"/>
        </w:rPr>
        <w:t>Hanbury</w:t>
      </w:r>
      <w:proofErr w:type="spellEnd"/>
      <w:r w:rsidRPr="00436733">
        <w:rPr>
          <w:rFonts w:ascii="Arial" w:hAnsi="Arial" w:cs="Arial"/>
          <w:sz w:val="17"/>
          <w:szCs w:val="17"/>
          <w:shd w:val="clear" w:color="auto" w:fill="FFFFFF"/>
          <w:lang w:val="en-GB"/>
        </w:rPr>
        <w:t xml:space="preserve">, “A German Grocery Chain That’s Coming to America Is Already Dominating Walmart on Prices — Here’s Why It’s So Cheap,” </w:t>
      </w:r>
      <w:r w:rsidRPr="00436733">
        <w:rPr>
          <w:rFonts w:ascii="Arial" w:hAnsi="Arial" w:cs="Arial"/>
          <w:i/>
          <w:sz w:val="17"/>
          <w:szCs w:val="17"/>
          <w:shd w:val="clear" w:color="auto" w:fill="FFFFFF"/>
          <w:lang w:val="en-GB"/>
        </w:rPr>
        <w:t>Business Insider</w:t>
      </w:r>
      <w:r w:rsidRPr="00436733">
        <w:rPr>
          <w:rFonts w:ascii="Arial" w:hAnsi="Arial" w:cs="Arial"/>
          <w:sz w:val="17"/>
          <w:szCs w:val="17"/>
          <w:shd w:val="clear" w:color="auto" w:fill="FFFFFF"/>
          <w:lang w:val="en-GB"/>
        </w:rPr>
        <w:t>, July 2, 2017, accessed April 23, 2018, www.businessinsider.com/how-lidl-keeps-its-prices-down-2017-6#1-most-of-its-products-are-private-label-brands-1.</w:t>
      </w:r>
    </w:p>
  </w:endnote>
  <w:endnote w:id="52">
    <w:p w14:paraId="38DACAE8" w14:textId="52BDC1A7" w:rsidR="009C53B1" w:rsidRPr="00436733" w:rsidRDefault="009C53B1" w:rsidP="00C8007B">
      <w:pPr>
        <w:pStyle w:val="EndnoteText"/>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Ibid. </w:t>
      </w:r>
    </w:p>
  </w:endnote>
  <w:endnote w:id="53">
    <w:p w14:paraId="3CA70BA9" w14:textId="77777777"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Kimberly </w:t>
      </w:r>
      <w:proofErr w:type="spellStart"/>
      <w:r w:rsidRPr="00436733">
        <w:rPr>
          <w:rFonts w:ascii="Arial" w:hAnsi="Arial" w:cs="Arial"/>
          <w:sz w:val="17"/>
          <w:szCs w:val="17"/>
          <w:shd w:val="clear" w:color="auto" w:fill="FFFFFF"/>
          <w:lang w:val="en-GB"/>
        </w:rPr>
        <w:t>Pierceall</w:t>
      </w:r>
      <w:proofErr w:type="spellEnd"/>
      <w:r w:rsidRPr="00436733">
        <w:rPr>
          <w:rFonts w:ascii="Arial" w:hAnsi="Arial" w:cs="Arial"/>
          <w:sz w:val="17"/>
          <w:szCs w:val="17"/>
          <w:shd w:val="clear" w:color="auto" w:fill="FFFFFF"/>
          <w:lang w:val="en-GB"/>
        </w:rPr>
        <w:t xml:space="preserve">, “Kroger Ends Trademark Suit against Lidl US,” </w:t>
      </w:r>
      <w:r w:rsidRPr="00436733">
        <w:rPr>
          <w:rFonts w:ascii="Arial" w:hAnsi="Arial" w:cs="Arial"/>
          <w:i/>
          <w:sz w:val="17"/>
          <w:szCs w:val="17"/>
          <w:shd w:val="clear" w:color="auto" w:fill="FFFFFF"/>
          <w:lang w:val="en-GB"/>
        </w:rPr>
        <w:t>The Virginian-Pilot</w:t>
      </w:r>
      <w:r w:rsidRPr="00436733">
        <w:rPr>
          <w:rFonts w:ascii="Arial" w:hAnsi="Arial" w:cs="Arial"/>
          <w:sz w:val="17"/>
          <w:szCs w:val="17"/>
          <w:shd w:val="clear" w:color="auto" w:fill="FFFFFF"/>
          <w:lang w:val="en-GB"/>
        </w:rPr>
        <w:t>, September 11, 2017, accessed April 23, 2018, https://pilotonline.com/business/consumer/article_6bbafbca-dd73-5beb-888b-44d77368469d.html.</w:t>
      </w:r>
    </w:p>
  </w:endnote>
  <w:endnote w:id="54">
    <w:p w14:paraId="6F772304" w14:textId="77777777"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Lauren </w:t>
      </w:r>
      <w:r w:rsidRPr="00436733">
        <w:rPr>
          <w:rFonts w:ascii="Arial" w:hAnsi="Arial" w:cs="Arial"/>
          <w:sz w:val="17"/>
          <w:szCs w:val="17"/>
          <w:shd w:val="clear" w:color="auto" w:fill="FFFFFF"/>
          <w:lang w:val="en-GB"/>
        </w:rPr>
        <w:t>Thomas, “Amazon Wasn’t Alone in Investing in Grocery Stores Last Year,” CNBC, February 27, 2018, accessed April 23, 2018, www.cnbc.com/2018/02/27/amazon-wasnt-alone-in-investing-in-grocery-stores-last-year.html.</w:t>
      </w:r>
    </w:p>
  </w:endnote>
  <w:endnote w:id="55">
    <w:p w14:paraId="48873B60" w14:textId="55931C4A" w:rsidR="009C53B1" w:rsidRPr="00496DB7" w:rsidRDefault="009C53B1" w:rsidP="00C8007B">
      <w:pPr>
        <w:jc w:val="both"/>
        <w:rPr>
          <w:rFonts w:ascii="Arial" w:hAnsi="Arial" w:cs="Arial"/>
          <w:spacing w:val="-2"/>
          <w:sz w:val="17"/>
          <w:szCs w:val="17"/>
          <w:lang w:val="en-GB"/>
        </w:rPr>
      </w:pPr>
      <w:r w:rsidRPr="00496DB7">
        <w:rPr>
          <w:rStyle w:val="EndnoteReference"/>
          <w:rFonts w:ascii="Arial" w:hAnsi="Arial" w:cs="Arial"/>
          <w:spacing w:val="-2"/>
          <w:sz w:val="17"/>
          <w:szCs w:val="17"/>
          <w:lang w:val="en-GB"/>
        </w:rPr>
        <w:endnoteRef/>
      </w:r>
      <w:r w:rsidRPr="00496DB7">
        <w:rPr>
          <w:rFonts w:ascii="Arial" w:hAnsi="Arial" w:cs="Arial"/>
          <w:spacing w:val="-2"/>
          <w:sz w:val="17"/>
          <w:szCs w:val="17"/>
          <w:lang w:val="en-GB"/>
        </w:rPr>
        <w:t xml:space="preserve"> Sebastian </w:t>
      </w:r>
      <w:r w:rsidRPr="00496DB7">
        <w:rPr>
          <w:rFonts w:ascii="Arial" w:hAnsi="Arial" w:cs="Arial"/>
          <w:spacing w:val="-2"/>
          <w:sz w:val="17"/>
          <w:szCs w:val="17"/>
          <w:shd w:val="clear" w:color="auto" w:fill="FFFFFF"/>
          <w:lang w:val="en-GB"/>
        </w:rPr>
        <w:t xml:space="preserve">Herrera, “A Year </w:t>
      </w:r>
      <w:proofErr w:type="gramStart"/>
      <w:r w:rsidRPr="00496DB7">
        <w:rPr>
          <w:rFonts w:ascii="Arial" w:hAnsi="Arial" w:cs="Arial"/>
          <w:spacing w:val="-2"/>
          <w:sz w:val="17"/>
          <w:szCs w:val="17"/>
          <w:shd w:val="clear" w:color="auto" w:fill="FFFFFF"/>
          <w:lang w:val="en-GB"/>
        </w:rPr>
        <w:t>After</w:t>
      </w:r>
      <w:proofErr w:type="gramEnd"/>
      <w:r w:rsidRPr="00496DB7">
        <w:rPr>
          <w:rFonts w:ascii="Arial" w:hAnsi="Arial" w:cs="Arial"/>
          <w:spacing w:val="-2"/>
          <w:sz w:val="17"/>
          <w:szCs w:val="17"/>
          <w:shd w:val="clear" w:color="auto" w:fill="FFFFFF"/>
          <w:lang w:val="en-GB"/>
        </w:rPr>
        <w:t xml:space="preserve"> Amazon Deal, How Has Whole Foods Changed?” Statesman, September 24, 2018, accessed September 24, 2018, www.statesman.com/news/20180917/year-after-amazon-deal-how-has-whole-foods-changed---.</w:t>
      </w:r>
    </w:p>
  </w:endnote>
  <w:endnote w:id="56">
    <w:p w14:paraId="06FDB383" w14:textId="247CC8C8"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lang w:val="en-GB"/>
        </w:rPr>
        <w:t xml:space="preserve"> Nick </w:t>
      </w:r>
      <w:r w:rsidRPr="00436733">
        <w:rPr>
          <w:rFonts w:ascii="Arial" w:hAnsi="Arial" w:cs="Arial"/>
          <w:sz w:val="17"/>
          <w:szCs w:val="17"/>
          <w:shd w:val="clear" w:color="auto" w:fill="FFFFFF"/>
          <w:lang w:val="en-GB"/>
        </w:rPr>
        <w:t>Wingfield, “Here’s How the Amazon Takeover Has Changed Whole Foods—So Far,” Boston.com, March 1, 2018, accessed April 23, 2018, www.boston.com/news/food/2018/03/01/amazon-whole-foods-changes.</w:t>
      </w:r>
    </w:p>
  </w:endnote>
  <w:endnote w:id="57">
    <w:p w14:paraId="4DDC4FB4" w14:textId="54D93092" w:rsidR="009C53B1" w:rsidRPr="00436733" w:rsidRDefault="009C53B1" w:rsidP="00C8007B">
      <w:pPr>
        <w:jc w:val="both"/>
        <w:rPr>
          <w:rFonts w:ascii="Arial" w:hAnsi="Arial" w:cs="Arial"/>
          <w:sz w:val="17"/>
          <w:szCs w:val="17"/>
          <w:lang w:val="en-GB"/>
        </w:rPr>
      </w:pPr>
      <w:r w:rsidRPr="00436733">
        <w:rPr>
          <w:rStyle w:val="EndnoteReference"/>
          <w:rFonts w:ascii="Arial" w:hAnsi="Arial" w:cs="Arial"/>
          <w:sz w:val="17"/>
          <w:szCs w:val="17"/>
          <w:lang w:val="en-GB"/>
        </w:rPr>
        <w:endnoteRef/>
      </w:r>
      <w:r w:rsidRPr="00436733">
        <w:rPr>
          <w:rFonts w:ascii="Arial" w:hAnsi="Arial" w:cs="Arial"/>
          <w:sz w:val="17"/>
          <w:szCs w:val="17"/>
          <w:shd w:val="clear" w:color="auto" w:fill="FFFFFF"/>
          <w:lang w:val="en-GB"/>
        </w:rPr>
        <w:t xml:space="preserve"> </w:t>
      </w:r>
      <w:proofErr w:type="spellStart"/>
      <w:r w:rsidRPr="00436733">
        <w:rPr>
          <w:rFonts w:ascii="Arial" w:hAnsi="Arial" w:cs="Arial"/>
          <w:sz w:val="17"/>
          <w:szCs w:val="17"/>
          <w:shd w:val="clear" w:color="auto" w:fill="FFFFFF"/>
          <w:lang w:val="en-GB"/>
        </w:rPr>
        <w:t>Hanbury</w:t>
      </w:r>
      <w:proofErr w:type="spellEnd"/>
      <w:r w:rsidRPr="00436733">
        <w:rPr>
          <w:rFonts w:ascii="Arial" w:hAnsi="Arial" w:cs="Arial"/>
          <w:sz w:val="17"/>
          <w:szCs w:val="17"/>
          <w:shd w:val="clear" w:color="auto" w:fill="FFFFFF"/>
          <w:lang w:val="en-GB"/>
        </w:rPr>
        <w:t>, op. cit.</w:t>
      </w:r>
      <w:r w:rsidRPr="00436733">
        <w:rPr>
          <w:rFonts w:ascii="Arial" w:hAnsi="Arial" w:cs="Arial"/>
          <w:sz w:val="17"/>
          <w:szCs w:val="17"/>
          <w:lang w:val="en-GB"/>
        </w:rPr>
        <w:t xml:space="preserve"> </w:t>
      </w:r>
    </w:p>
  </w:endnote>
  <w:endnote w:id="58">
    <w:p w14:paraId="17EA7F30" w14:textId="77777777" w:rsidR="009C53B1" w:rsidRPr="006171D7" w:rsidRDefault="009C53B1" w:rsidP="00C8007B">
      <w:pPr>
        <w:pStyle w:val="EndnoteText"/>
        <w:rPr>
          <w:rFonts w:ascii="Arial" w:hAnsi="Arial" w:cs="Arial"/>
          <w:spacing w:val="-2"/>
          <w:sz w:val="17"/>
          <w:szCs w:val="17"/>
          <w:lang w:val="en-GB"/>
        </w:rPr>
      </w:pPr>
      <w:r w:rsidRPr="00436733">
        <w:rPr>
          <w:rStyle w:val="FootnoteChar"/>
          <w:rFonts w:eastAsia="Calibri"/>
          <w:spacing w:val="-2"/>
          <w:vertAlign w:val="superscript"/>
        </w:rPr>
        <w:endnoteRef/>
      </w:r>
      <w:r w:rsidRPr="00436733">
        <w:rPr>
          <w:rFonts w:ascii="Arial" w:hAnsi="Arial" w:cs="Arial"/>
          <w:spacing w:val="-2"/>
          <w:sz w:val="17"/>
          <w:szCs w:val="17"/>
          <w:lang w:val="en-GB"/>
        </w:rPr>
        <w:t xml:space="preserve"> “From Which of These Stores Do You Regularly Buy Food and Products for Everyday Use</w:t>
      </w:r>
      <w:proofErr w:type="gramStart"/>
      <w:r w:rsidRPr="00436733">
        <w:rPr>
          <w:rFonts w:ascii="Arial" w:hAnsi="Arial" w:cs="Arial"/>
          <w:spacing w:val="-2"/>
          <w:sz w:val="17"/>
          <w:szCs w:val="17"/>
          <w:lang w:val="en-GB"/>
        </w:rPr>
        <w:t>?,</w:t>
      </w:r>
      <w:proofErr w:type="gramEnd"/>
      <w:r w:rsidRPr="00436733">
        <w:rPr>
          <w:rFonts w:ascii="Arial" w:hAnsi="Arial" w:cs="Arial"/>
          <w:spacing w:val="-2"/>
          <w:sz w:val="17"/>
          <w:szCs w:val="17"/>
          <w:lang w:val="en-GB"/>
        </w:rPr>
        <w:t>”</w:t>
      </w:r>
      <w:r w:rsidRPr="00436733" w:rsidDel="00F84350">
        <w:rPr>
          <w:rFonts w:ascii="Arial" w:hAnsi="Arial" w:cs="Arial"/>
          <w:spacing w:val="-2"/>
          <w:sz w:val="17"/>
          <w:szCs w:val="17"/>
          <w:lang w:val="en-GB"/>
        </w:rPr>
        <w:t xml:space="preserve"> </w:t>
      </w:r>
      <w:r w:rsidRPr="00436733">
        <w:rPr>
          <w:rFonts w:ascii="Arial" w:hAnsi="Arial" w:cs="Arial"/>
          <w:spacing w:val="-2"/>
          <w:sz w:val="17"/>
          <w:szCs w:val="17"/>
          <w:lang w:val="en-GB"/>
        </w:rPr>
        <w:t>Statista, accessed October 1, 2018, www.statista.com/forecasts/805858/popular-stores-for-buying-food-and-products-for-everyday-use-in-the-us.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4B247" w14:textId="77777777" w:rsidR="00535061" w:rsidRDefault="00535061" w:rsidP="00D75295">
      <w:r>
        <w:separator/>
      </w:r>
    </w:p>
  </w:footnote>
  <w:footnote w:type="continuationSeparator" w:id="0">
    <w:p w14:paraId="730EBAC8" w14:textId="77777777" w:rsidR="00535061" w:rsidRDefault="00535061"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1A36780A" w:rsidR="00C8007B" w:rsidRPr="00C92CC4" w:rsidRDefault="00C8007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C7621">
      <w:rPr>
        <w:rFonts w:ascii="Arial" w:hAnsi="Arial"/>
        <w:b/>
        <w:noProof/>
      </w:rPr>
      <w:t>10</w:t>
    </w:r>
    <w:r>
      <w:rPr>
        <w:rFonts w:ascii="Arial" w:hAnsi="Arial"/>
        <w:b/>
      </w:rPr>
      <w:fldChar w:fldCharType="end"/>
    </w:r>
    <w:r>
      <w:rPr>
        <w:rFonts w:ascii="Arial" w:hAnsi="Arial"/>
        <w:b/>
      </w:rPr>
      <w:tab/>
    </w:r>
    <w:r w:rsidR="00FA32E2">
      <w:rPr>
        <w:rFonts w:ascii="Arial" w:hAnsi="Arial"/>
        <w:b/>
      </w:rPr>
      <w:t>9B19A007</w:t>
    </w:r>
  </w:p>
  <w:p w14:paraId="2B53C0A0" w14:textId="77777777" w:rsidR="00C8007B" w:rsidRDefault="00C8007B" w:rsidP="00D13667">
    <w:pPr>
      <w:pStyle w:val="Header"/>
      <w:tabs>
        <w:tab w:val="clear" w:pos="4680"/>
      </w:tabs>
      <w:rPr>
        <w:sz w:val="18"/>
        <w:szCs w:val="18"/>
      </w:rPr>
    </w:pPr>
  </w:p>
  <w:p w14:paraId="47119730" w14:textId="77777777" w:rsidR="00C8007B" w:rsidRPr="00C92CC4" w:rsidRDefault="00C8007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C4F12"/>
    <w:multiLevelType w:val="hybridMultilevel"/>
    <w:tmpl w:val="53E87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EC3B97"/>
    <w:multiLevelType w:val="hybridMultilevel"/>
    <w:tmpl w:val="7FD81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10"/>
  </w:num>
  <w:num w:numId="5">
    <w:abstractNumId w:val="4"/>
  </w:num>
  <w:num w:numId="6">
    <w:abstractNumId w:val="8"/>
  </w:num>
  <w:num w:numId="7">
    <w:abstractNumId w:val="1"/>
  </w:num>
  <w:num w:numId="8">
    <w:abstractNumId w:val="13"/>
  </w:num>
  <w:num w:numId="9">
    <w:abstractNumId w:val="9"/>
  </w:num>
  <w:num w:numId="10">
    <w:abstractNumId w:val="2"/>
  </w:num>
  <w:num w:numId="11">
    <w:abstractNumId w:val="6"/>
  </w:num>
  <w:num w:numId="12">
    <w:abstractNumId w:val="7"/>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86B26"/>
    <w:rsid w:val="0009376C"/>
    <w:rsid w:val="00094C0E"/>
    <w:rsid w:val="000A146D"/>
    <w:rsid w:val="000D2A2F"/>
    <w:rsid w:val="000D7091"/>
    <w:rsid w:val="000F0C22"/>
    <w:rsid w:val="000F6B09"/>
    <w:rsid w:val="000F6FDC"/>
    <w:rsid w:val="00104567"/>
    <w:rsid w:val="00104916"/>
    <w:rsid w:val="00104AA7"/>
    <w:rsid w:val="0012732D"/>
    <w:rsid w:val="00143F25"/>
    <w:rsid w:val="00152682"/>
    <w:rsid w:val="001526A9"/>
    <w:rsid w:val="00154FC9"/>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C4E29"/>
    <w:rsid w:val="002E798C"/>
    <w:rsid w:val="002F460C"/>
    <w:rsid w:val="002F48D6"/>
    <w:rsid w:val="00317391"/>
    <w:rsid w:val="00326216"/>
    <w:rsid w:val="00336580"/>
    <w:rsid w:val="00354899"/>
    <w:rsid w:val="00355FD6"/>
    <w:rsid w:val="00364A5C"/>
    <w:rsid w:val="00373FB1"/>
    <w:rsid w:val="00396C76"/>
    <w:rsid w:val="003B30D8"/>
    <w:rsid w:val="003B7EF2"/>
    <w:rsid w:val="003C161B"/>
    <w:rsid w:val="003C3FA4"/>
    <w:rsid w:val="003D0BA1"/>
    <w:rsid w:val="003F2B0C"/>
    <w:rsid w:val="004105B2"/>
    <w:rsid w:val="0041145A"/>
    <w:rsid w:val="00412900"/>
    <w:rsid w:val="004221E4"/>
    <w:rsid w:val="004273F8"/>
    <w:rsid w:val="004355A3"/>
    <w:rsid w:val="00446546"/>
    <w:rsid w:val="00452769"/>
    <w:rsid w:val="00454FA7"/>
    <w:rsid w:val="00465348"/>
    <w:rsid w:val="00496DB7"/>
    <w:rsid w:val="004979A5"/>
    <w:rsid w:val="004A25E0"/>
    <w:rsid w:val="004B1CCB"/>
    <w:rsid w:val="004B632F"/>
    <w:rsid w:val="004D3FB1"/>
    <w:rsid w:val="004D6F21"/>
    <w:rsid w:val="004D73A5"/>
    <w:rsid w:val="005160F1"/>
    <w:rsid w:val="00524F2F"/>
    <w:rsid w:val="00527E5C"/>
    <w:rsid w:val="00532CF5"/>
    <w:rsid w:val="00535061"/>
    <w:rsid w:val="005528CB"/>
    <w:rsid w:val="00566771"/>
    <w:rsid w:val="00581E2E"/>
    <w:rsid w:val="00584F15"/>
    <w:rsid w:val="0058617A"/>
    <w:rsid w:val="0059514B"/>
    <w:rsid w:val="005A1B0F"/>
    <w:rsid w:val="005B4CE6"/>
    <w:rsid w:val="005B5EFE"/>
    <w:rsid w:val="006163F7"/>
    <w:rsid w:val="00627C63"/>
    <w:rsid w:val="0063350B"/>
    <w:rsid w:val="00652606"/>
    <w:rsid w:val="006713F2"/>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7F4FE7"/>
    <w:rsid w:val="00821FFC"/>
    <w:rsid w:val="008271CA"/>
    <w:rsid w:val="00832827"/>
    <w:rsid w:val="008467D5"/>
    <w:rsid w:val="008A4DC4"/>
    <w:rsid w:val="008B438C"/>
    <w:rsid w:val="008D06CA"/>
    <w:rsid w:val="008D3A46"/>
    <w:rsid w:val="008E3166"/>
    <w:rsid w:val="008F2385"/>
    <w:rsid w:val="009067A4"/>
    <w:rsid w:val="00930885"/>
    <w:rsid w:val="00933D68"/>
    <w:rsid w:val="009340DB"/>
    <w:rsid w:val="0094618C"/>
    <w:rsid w:val="0095684B"/>
    <w:rsid w:val="009627F1"/>
    <w:rsid w:val="00972498"/>
    <w:rsid w:val="0097481F"/>
    <w:rsid w:val="00974CC6"/>
    <w:rsid w:val="00976AD4"/>
    <w:rsid w:val="00995547"/>
    <w:rsid w:val="009A312F"/>
    <w:rsid w:val="009A5348"/>
    <w:rsid w:val="009B0AB7"/>
    <w:rsid w:val="009C53B1"/>
    <w:rsid w:val="009C76D5"/>
    <w:rsid w:val="009F7AA4"/>
    <w:rsid w:val="00A10AD7"/>
    <w:rsid w:val="00A559DB"/>
    <w:rsid w:val="00A569EA"/>
    <w:rsid w:val="00A676A0"/>
    <w:rsid w:val="00A821E7"/>
    <w:rsid w:val="00AA1C35"/>
    <w:rsid w:val="00AE2C34"/>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07451"/>
    <w:rsid w:val="00C1584D"/>
    <w:rsid w:val="00C15BE2"/>
    <w:rsid w:val="00C3447F"/>
    <w:rsid w:val="00C37055"/>
    <w:rsid w:val="00C44714"/>
    <w:rsid w:val="00C67102"/>
    <w:rsid w:val="00C8007B"/>
    <w:rsid w:val="00C81491"/>
    <w:rsid w:val="00C81676"/>
    <w:rsid w:val="00C81F2A"/>
    <w:rsid w:val="00C85C5D"/>
    <w:rsid w:val="00C92CC4"/>
    <w:rsid w:val="00CA0AFB"/>
    <w:rsid w:val="00CA2CE1"/>
    <w:rsid w:val="00CA3976"/>
    <w:rsid w:val="00CA50E3"/>
    <w:rsid w:val="00CA757B"/>
    <w:rsid w:val="00CB006D"/>
    <w:rsid w:val="00CB2775"/>
    <w:rsid w:val="00CC1787"/>
    <w:rsid w:val="00CC182C"/>
    <w:rsid w:val="00CD0824"/>
    <w:rsid w:val="00CD2908"/>
    <w:rsid w:val="00D03A82"/>
    <w:rsid w:val="00D13667"/>
    <w:rsid w:val="00D15344"/>
    <w:rsid w:val="00D17E52"/>
    <w:rsid w:val="00D23F57"/>
    <w:rsid w:val="00D31BEC"/>
    <w:rsid w:val="00D63150"/>
    <w:rsid w:val="00D636BA"/>
    <w:rsid w:val="00D64A32"/>
    <w:rsid w:val="00D64EFC"/>
    <w:rsid w:val="00D75295"/>
    <w:rsid w:val="00D76CE9"/>
    <w:rsid w:val="00D97F12"/>
    <w:rsid w:val="00DA6095"/>
    <w:rsid w:val="00DB42E7"/>
    <w:rsid w:val="00DC09D8"/>
    <w:rsid w:val="00DE01A6"/>
    <w:rsid w:val="00DE1E2C"/>
    <w:rsid w:val="00DE7A98"/>
    <w:rsid w:val="00DF32C2"/>
    <w:rsid w:val="00E17C61"/>
    <w:rsid w:val="00E471A7"/>
    <w:rsid w:val="00E635CF"/>
    <w:rsid w:val="00E86995"/>
    <w:rsid w:val="00EB1E3B"/>
    <w:rsid w:val="00EC6E0A"/>
    <w:rsid w:val="00ED4E18"/>
    <w:rsid w:val="00ED7922"/>
    <w:rsid w:val="00EE02C4"/>
    <w:rsid w:val="00EE1F37"/>
    <w:rsid w:val="00EE6B10"/>
    <w:rsid w:val="00F0159C"/>
    <w:rsid w:val="00F03208"/>
    <w:rsid w:val="00F105B7"/>
    <w:rsid w:val="00F13220"/>
    <w:rsid w:val="00F17A21"/>
    <w:rsid w:val="00F37B27"/>
    <w:rsid w:val="00F46556"/>
    <w:rsid w:val="00F50E91"/>
    <w:rsid w:val="00F56799"/>
    <w:rsid w:val="00F57D29"/>
    <w:rsid w:val="00F60786"/>
    <w:rsid w:val="00F62697"/>
    <w:rsid w:val="00F91BC7"/>
    <w:rsid w:val="00F96201"/>
    <w:rsid w:val="00FA1BBC"/>
    <w:rsid w:val="00FA32E2"/>
    <w:rsid w:val="00FC7621"/>
    <w:rsid w:val="00FD01BB"/>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C80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FAAAE-0CB7-443C-A45E-5CCEDCC5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4224</Words>
  <Characters>24078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4</cp:revision>
  <cp:lastPrinted>2019-03-06T19:21:00Z</cp:lastPrinted>
  <dcterms:created xsi:type="dcterms:W3CDTF">2019-02-25T20:42:00Z</dcterms:created>
  <dcterms:modified xsi:type="dcterms:W3CDTF">2019-03-06T19:22:00Z</dcterms:modified>
</cp:coreProperties>
</file>