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E41CB8" w14:textId="142E8E9C" w:rsidR="00ED5007" w:rsidRPr="00964945" w:rsidRDefault="00FF6C5D" w:rsidP="00C02410">
      <w:pPr>
        <w:pBdr>
          <w:bottom w:val="single" w:sz="18" w:space="1" w:color="auto"/>
        </w:pBdr>
        <w:tabs>
          <w:tab w:val="left" w:pos="-1440"/>
          <w:tab w:val="left" w:pos="-720"/>
          <w:tab w:val="left" w:pos="1"/>
        </w:tabs>
        <w:jc w:val="both"/>
        <w:rPr>
          <w:rFonts w:ascii="Arial" w:hAnsi="Arial"/>
          <w:b/>
          <w:noProof/>
          <w:sz w:val="24"/>
          <w:lang w:val="en-GB"/>
        </w:rPr>
      </w:pPr>
      <w:r w:rsidRPr="00FF6C5D">
        <w:rPr>
          <w:rFonts w:ascii="Arial" w:hAnsi="Arial"/>
          <w:b/>
          <w:noProof/>
          <w:sz w:val="24"/>
          <w:lang w:val="en-CA" w:eastAsia="en-CA"/>
        </w:rPr>
        <w:drawing>
          <wp:inline distT="0" distB="0" distL="0" distR="0" wp14:anchorId="0204D762" wp14:editId="0EC7705E">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7CF3752E" w:rsidR="00C02410" w:rsidRPr="00964945" w:rsidRDefault="00FF6C5D" w:rsidP="00C02410">
      <w:pPr>
        <w:pStyle w:val="ProductNumber"/>
        <w:rPr>
          <w:lang w:val="en-GB"/>
        </w:rPr>
      </w:pPr>
      <w:r>
        <w:rPr>
          <w:lang w:val="en-GB"/>
        </w:rPr>
        <w:t>9B19A019</w:t>
      </w:r>
    </w:p>
    <w:p w14:paraId="4E057522" w14:textId="7A113CB1" w:rsidR="00D75295" w:rsidRPr="00964945" w:rsidRDefault="00D75295" w:rsidP="00D75295">
      <w:pPr>
        <w:jc w:val="right"/>
        <w:rPr>
          <w:rFonts w:ascii="Arial" w:hAnsi="Arial"/>
          <w:b/>
          <w:lang w:val="en-GB"/>
        </w:rPr>
      </w:pPr>
    </w:p>
    <w:p w14:paraId="02524312" w14:textId="77777777" w:rsidR="001901C0" w:rsidRPr="00964945" w:rsidRDefault="001901C0" w:rsidP="00D75295">
      <w:pPr>
        <w:jc w:val="right"/>
        <w:rPr>
          <w:rFonts w:ascii="Arial" w:hAnsi="Arial"/>
          <w:b/>
          <w:lang w:val="en-GB"/>
        </w:rPr>
      </w:pPr>
    </w:p>
    <w:p w14:paraId="727578F2" w14:textId="77777777" w:rsidR="000F0E22" w:rsidRPr="00964945" w:rsidRDefault="000F0E22" w:rsidP="000F0E22">
      <w:pPr>
        <w:pStyle w:val="CaseTitle"/>
        <w:spacing w:after="0"/>
        <w:rPr>
          <w:lang w:val="en-GB"/>
        </w:rPr>
      </w:pPr>
      <w:r w:rsidRPr="00964945">
        <w:rPr>
          <w:lang w:val="en-GB"/>
        </w:rPr>
        <w:t>ZENATIX: DISCOVERING MARKET FIT</w:t>
      </w:r>
    </w:p>
    <w:p w14:paraId="2F03D26A" w14:textId="031908DB" w:rsidR="00013360" w:rsidRPr="00964945" w:rsidRDefault="00013360" w:rsidP="00013360">
      <w:pPr>
        <w:pStyle w:val="CaseTitle"/>
        <w:spacing w:after="0" w:line="240" w:lineRule="auto"/>
        <w:rPr>
          <w:sz w:val="20"/>
          <w:szCs w:val="20"/>
          <w:lang w:val="en-GB"/>
        </w:rPr>
      </w:pPr>
    </w:p>
    <w:p w14:paraId="202F1085" w14:textId="77777777" w:rsidR="00013360" w:rsidRPr="00964945" w:rsidRDefault="00013360" w:rsidP="00013360">
      <w:pPr>
        <w:pStyle w:val="CaseTitle"/>
        <w:spacing w:after="0" w:line="240" w:lineRule="auto"/>
        <w:rPr>
          <w:sz w:val="20"/>
          <w:szCs w:val="20"/>
          <w:lang w:val="en-GB"/>
        </w:rPr>
      </w:pPr>
    </w:p>
    <w:p w14:paraId="58B0C73F" w14:textId="4C26ADCF" w:rsidR="00086B26" w:rsidRPr="00964945" w:rsidRDefault="000F0E22" w:rsidP="00086B26">
      <w:pPr>
        <w:pStyle w:val="StyleCopyrightStatementAfter0ptBottomSinglesolidline1"/>
        <w:rPr>
          <w:lang w:val="en-GB"/>
        </w:rPr>
      </w:pPr>
      <w:proofErr w:type="spellStart"/>
      <w:r w:rsidRPr="00964945">
        <w:rPr>
          <w:lang w:val="en-GB"/>
        </w:rPr>
        <w:t>Dr.</w:t>
      </w:r>
      <w:proofErr w:type="spellEnd"/>
      <w:r w:rsidRPr="00964945">
        <w:rPr>
          <w:lang w:val="en-GB"/>
        </w:rPr>
        <w:t xml:space="preserve"> Puran Singh and </w:t>
      </w:r>
      <w:proofErr w:type="spellStart"/>
      <w:r w:rsidRPr="00964945">
        <w:rPr>
          <w:lang w:val="en-GB"/>
        </w:rPr>
        <w:t>Dr.</w:t>
      </w:r>
      <w:proofErr w:type="spellEnd"/>
      <w:r w:rsidRPr="00964945">
        <w:rPr>
          <w:lang w:val="en-GB"/>
        </w:rPr>
        <w:t xml:space="preserve"> </w:t>
      </w:r>
      <w:r w:rsidRPr="00964945">
        <w:rPr>
          <w:lang w:val="en-GB"/>
        </w:rPr>
        <w:tab/>
      </w:r>
      <w:proofErr w:type="spellStart"/>
      <w:r w:rsidRPr="00964945">
        <w:rPr>
          <w:lang w:val="en-GB"/>
        </w:rPr>
        <w:t>Harleen</w:t>
      </w:r>
      <w:proofErr w:type="spellEnd"/>
      <w:r w:rsidRPr="00964945">
        <w:rPr>
          <w:lang w:val="en-GB"/>
        </w:rPr>
        <w:t xml:space="preserve"> Kaur </w:t>
      </w:r>
      <w:r w:rsidR="00086B26" w:rsidRPr="00964945">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3DD6F602" w14:textId="77777777" w:rsidR="000F0E22" w:rsidRDefault="000F0E22" w:rsidP="00A323B0">
      <w:pPr>
        <w:pStyle w:val="StyleStyleCopyrightStatementAfter0ptBottomSinglesolid"/>
        <w:rPr>
          <w:rFonts w:cs="Arial"/>
          <w:iCs w:val="0"/>
          <w:color w:val="auto"/>
          <w:szCs w:val="16"/>
          <w:lang w:val="en-GB"/>
        </w:rPr>
      </w:pPr>
    </w:p>
    <w:p w14:paraId="7F9C699E" w14:textId="77777777" w:rsidR="00FF6C5D" w:rsidRDefault="00FF6C5D" w:rsidP="00A323B0">
      <w:pPr>
        <w:pStyle w:val="StyleStyleCopyrightStatementAfter0ptBottomSinglesolid"/>
        <w:rPr>
          <w:rFonts w:cs="Arial"/>
          <w:color w:val="FFFFFF" w:themeColor="background1"/>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6B1C33D4" w14:textId="77777777" w:rsidR="00FF6C5D" w:rsidRDefault="00FF6C5D" w:rsidP="00A323B0">
      <w:pPr>
        <w:pStyle w:val="StyleStyleCopyrightStatementAfter0ptBottomSinglesolid"/>
        <w:rPr>
          <w:rFonts w:cs="Arial"/>
          <w:color w:val="FFFFFF" w:themeColor="background1"/>
          <w:szCs w:val="16"/>
        </w:rPr>
      </w:pPr>
    </w:p>
    <w:p w14:paraId="3922E14F" w14:textId="1F0211D5" w:rsidR="00751E0B" w:rsidRPr="00FF6C5D" w:rsidRDefault="00FF6C5D" w:rsidP="00A323B0">
      <w:pPr>
        <w:pStyle w:val="StyleStyleCopyrightStatementAfter0ptBottomSinglesolid"/>
        <w:rPr>
          <w:rFonts w:cs="Arial"/>
          <w:color w:val="FFFFFF" w:themeColor="background1"/>
          <w:szCs w:val="16"/>
        </w:rPr>
      </w:pPr>
      <w:r>
        <w:rPr>
          <w:rFonts w:cs="Arial"/>
          <w:iCs w:val="0"/>
          <w:color w:val="auto"/>
          <w:szCs w:val="16"/>
        </w:rPr>
        <w:t>Copyright © 2019</w:t>
      </w:r>
      <w:r w:rsidRPr="00A323B0">
        <w:rPr>
          <w:rFonts w:cs="Arial"/>
          <w:iCs w:val="0"/>
          <w:color w:val="auto"/>
          <w:szCs w:val="16"/>
        </w:rPr>
        <w:t xml:space="preserve">, </w:t>
      </w:r>
      <w:r w:rsidRPr="00A323B0">
        <w:rPr>
          <w:rFonts w:cs="Arial"/>
          <w:iCs w:val="0"/>
          <w:color w:val="auto"/>
          <w:szCs w:val="16"/>
          <w:lang w:val="en-CA"/>
        </w:rPr>
        <w:t>Ivey Business School Foundation</w:t>
      </w:r>
      <w:r w:rsidR="00A323B0" w:rsidRPr="00964945">
        <w:rPr>
          <w:rFonts w:cs="Arial"/>
          <w:iCs w:val="0"/>
          <w:color w:val="auto"/>
          <w:szCs w:val="16"/>
          <w:lang w:val="en-GB"/>
        </w:rPr>
        <w:tab/>
        <w:t>Version: 20</w:t>
      </w:r>
      <w:r w:rsidR="000F0E22" w:rsidRPr="00964945">
        <w:rPr>
          <w:rFonts w:cs="Arial"/>
          <w:iCs w:val="0"/>
          <w:color w:val="auto"/>
          <w:szCs w:val="16"/>
          <w:lang w:val="en-GB"/>
        </w:rPr>
        <w:t>19</w:t>
      </w:r>
      <w:r w:rsidR="00A323B0" w:rsidRPr="00964945">
        <w:rPr>
          <w:rFonts w:cs="Arial"/>
          <w:iCs w:val="0"/>
          <w:color w:val="auto"/>
          <w:szCs w:val="16"/>
          <w:lang w:val="en-GB"/>
        </w:rPr>
        <w:t>-</w:t>
      </w:r>
      <w:r w:rsidR="00FD0568" w:rsidRPr="00964945">
        <w:rPr>
          <w:rFonts w:cs="Arial"/>
          <w:iCs w:val="0"/>
          <w:color w:val="auto"/>
          <w:szCs w:val="16"/>
          <w:lang w:val="en-GB"/>
        </w:rPr>
        <w:t>0</w:t>
      </w:r>
      <w:r w:rsidR="00ED5007">
        <w:rPr>
          <w:rFonts w:cs="Arial"/>
          <w:iCs w:val="0"/>
          <w:color w:val="auto"/>
          <w:szCs w:val="16"/>
          <w:lang w:val="en-GB"/>
        </w:rPr>
        <w:t>5</w:t>
      </w:r>
      <w:r w:rsidR="00A323B0" w:rsidRPr="00964945">
        <w:rPr>
          <w:rFonts w:cs="Arial"/>
          <w:iCs w:val="0"/>
          <w:color w:val="auto"/>
          <w:szCs w:val="16"/>
          <w:lang w:val="en-GB"/>
        </w:rPr>
        <w:t>-</w:t>
      </w:r>
      <w:r w:rsidR="008355D5">
        <w:rPr>
          <w:rFonts w:cs="Arial"/>
          <w:iCs w:val="0"/>
          <w:color w:val="auto"/>
          <w:szCs w:val="16"/>
          <w:lang w:val="en-GB"/>
        </w:rPr>
        <w:t>17</w:t>
      </w:r>
    </w:p>
    <w:p w14:paraId="0A2A54E4" w14:textId="77777777" w:rsidR="00751E0B" w:rsidRPr="00964945" w:rsidRDefault="00751E0B" w:rsidP="00751E0B">
      <w:pPr>
        <w:pStyle w:val="StyleCopyrightStatementAfter0ptBottomSinglesolidline1"/>
        <w:rPr>
          <w:rFonts w:ascii="Times New Roman" w:hAnsi="Times New Roman"/>
          <w:sz w:val="20"/>
          <w:lang w:val="en-GB"/>
        </w:rPr>
      </w:pPr>
    </w:p>
    <w:p w14:paraId="622323E1" w14:textId="77777777" w:rsidR="000F0E22" w:rsidRPr="00964945" w:rsidRDefault="000F0E22" w:rsidP="00751E0B">
      <w:pPr>
        <w:pStyle w:val="StyleCopyrightStatementAfter0ptBottomSinglesolidline1"/>
        <w:rPr>
          <w:rFonts w:ascii="Times New Roman" w:hAnsi="Times New Roman"/>
          <w:sz w:val="20"/>
          <w:lang w:val="en-GB"/>
        </w:rPr>
      </w:pPr>
    </w:p>
    <w:p w14:paraId="548EC32B" w14:textId="6694B527" w:rsidR="000F0E22" w:rsidRPr="00964945" w:rsidRDefault="000F0E22" w:rsidP="00964945">
      <w:pPr>
        <w:pStyle w:val="BodyTextMain"/>
        <w:rPr>
          <w:i/>
          <w:iCs/>
          <w:color w:val="000000"/>
          <w:spacing w:val="-2"/>
          <w:kern w:val="22"/>
          <w:lang w:val="en-GB"/>
        </w:rPr>
      </w:pPr>
      <w:r w:rsidRPr="00964945">
        <w:rPr>
          <w:spacing w:val="-2"/>
          <w:kern w:val="22"/>
          <w:lang w:val="en-GB"/>
        </w:rPr>
        <w:t xml:space="preserve">On the night of October 22, 2016, </w:t>
      </w:r>
      <w:proofErr w:type="spellStart"/>
      <w:r w:rsidRPr="00964945">
        <w:rPr>
          <w:spacing w:val="-2"/>
          <w:kern w:val="22"/>
          <w:lang w:val="en-GB"/>
        </w:rPr>
        <w:t>Amarjeet</w:t>
      </w:r>
      <w:proofErr w:type="spellEnd"/>
      <w:r w:rsidRPr="00964945">
        <w:rPr>
          <w:spacing w:val="-2"/>
          <w:kern w:val="22"/>
          <w:lang w:val="en-GB"/>
        </w:rPr>
        <w:t xml:space="preserve"> Singh was going over the slides of his pitch deck while his three</w:t>
      </w:r>
      <w:r w:rsidR="006C717E" w:rsidRPr="00964945">
        <w:rPr>
          <w:spacing w:val="-2"/>
          <w:kern w:val="22"/>
          <w:lang w:val="en-GB"/>
        </w:rPr>
        <w:t>-</w:t>
      </w:r>
      <w:r w:rsidR="00A0730D" w:rsidRPr="00964945">
        <w:rPr>
          <w:spacing w:val="-2"/>
          <w:kern w:val="22"/>
          <w:lang w:val="en-GB"/>
        </w:rPr>
        <w:t>year</w:t>
      </w:r>
      <w:r w:rsidR="00A0730D">
        <w:rPr>
          <w:spacing w:val="-2"/>
          <w:kern w:val="22"/>
          <w:lang w:val="en-GB"/>
        </w:rPr>
        <w:t>-</w:t>
      </w:r>
      <w:r w:rsidRPr="00964945">
        <w:rPr>
          <w:spacing w:val="-2"/>
          <w:kern w:val="22"/>
          <w:lang w:val="en-GB"/>
        </w:rPr>
        <w:t xml:space="preserve">old son sat by his side curiously observing his </w:t>
      </w:r>
      <w:r w:rsidR="00A0730D" w:rsidRPr="00964945">
        <w:rPr>
          <w:spacing w:val="-2"/>
          <w:kern w:val="22"/>
          <w:lang w:val="en-GB"/>
        </w:rPr>
        <w:t>father</w:t>
      </w:r>
      <w:r w:rsidR="00A0730D">
        <w:rPr>
          <w:spacing w:val="-2"/>
          <w:kern w:val="22"/>
          <w:lang w:val="en-GB"/>
        </w:rPr>
        <w:t>’</w:t>
      </w:r>
      <w:r w:rsidR="00A0730D" w:rsidRPr="00964945">
        <w:rPr>
          <w:spacing w:val="-2"/>
          <w:kern w:val="22"/>
          <w:lang w:val="en-GB"/>
        </w:rPr>
        <w:t xml:space="preserve">s </w:t>
      </w:r>
      <w:r w:rsidRPr="00964945">
        <w:rPr>
          <w:spacing w:val="-2"/>
          <w:kern w:val="22"/>
          <w:lang w:val="en-GB"/>
        </w:rPr>
        <w:t xml:space="preserve">constant stare at the laptop screen. Singh, along with his co-founders Vishal Bansal and Rahul </w:t>
      </w:r>
      <w:proofErr w:type="spellStart"/>
      <w:r w:rsidRPr="00964945">
        <w:rPr>
          <w:spacing w:val="-2"/>
          <w:kern w:val="22"/>
          <w:lang w:val="en-GB"/>
        </w:rPr>
        <w:t>Bhalla</w:t>
      </w:r>
      <w:proofErr w:type="spellEnd"/>
      <w:r w:rsidRPr="00964945">
        <w:rPr>
          <w:spacing w:val="-2"/>
          <w:kern w:val="22"/>
          <w:lang w:val="en-GB"/>
        </w:rPr>
        <w:t xml:space="preserve">, was scheduled to meet two </w:t>
      </w:r>
      <w:r w:rsidR="006C717E" w:rsidRPr="00964945">
        <w:rPr>
          <w:spacing w:val="-2"/>
          <w:kern w:val="22"/>
          <w:lang w:val="en-GB"/>
        </w:rPr>
        <w:t>v</w:t>
      </w:r>
      <w:r w:rsidRPr="00964945">
        <w:rPr>
          <w:spacing w:val="-2"/>
          <w:kern w:val="22"/>
          <w:lang w:val="en-GB"/>
        </w:rPr>
        <w:t>enture</w:t>
      </w:r>
      <w:r w:rsidR="00A0730D">
        <w:rPr>
          <w:spacing w:val="-2"/>
          <w:kern w:val="22"/>
          <w:lang w:val="en-GB"/>
        </w:rPr>
        <w:t xml:space="preserve"> </w:t>
      </w:r>
      <w:r w:rsidR="006C717E" w:rsidRPr="00964945">
        <w:rPr>
          <w:spacing w:val="-2"/>
          <w:kern w:val="22"/>
          <w:lang w:val="en-GB"/>
        </w:rPr>
        <w:t>c</w:t>
      </w:r>
      <w:r w:rsidRPr="00964945">
        <w:rPr>
          <w:spacing w:val="-2"/>
          <w:kern w:val="22"/>
          <w:lang w:val="en-GB"/>
        </w:rPr>
        <w:t xml:space="preserve">apital </w:t>
      </w:r>
      <w:r w:rsidR="006C717E" w:rsidRPr="00964945">
        <w:rPr>
          <w:spacing w:val="-2"/>
          <w:kern w:val="22"/>
          <w:lang w:val="en-GB"/>
        </w:rPr>
        <w:t>f</w:t>
      </w:r>
      <w:r w:rsidRPr="00964945">
        <w:rPr>
          <w:spacing w:val="-2"/>
          <w:kern w:val="22"/>
          <w:lang w:val="en-GB"/>
        </w:rPr>
        <w:t xml:space="preserve">irms </w:t>
      </w:r>
      <w:r w:rsidR="006C717E" w:rsidRPr="00964945">
        <w:rPr>
          <w:spacing w:val="-2"/>
          <w:kern w:val="22"/>
          <w:lang w:val="en-GB"/>
        </w:rPr>
        <w:t xml:space="preserve">the </w:t>
      </w:r>
      <w:r w:rsidRPr="00964945">
        <w:rPr>
          <w:spacing w:val="-2"/>
          <w:kern w:val="22"/>
          <w:lang w:val="en-GB"/>
        </w:rPr>
        <w:t xml:space="preserve">next morning to pitch for funding for </w:t>
      </w:r>
      <w:proofErr w:type="spellStart"/>
      <w:r w:rsidRPr="00964945">
        <w:rPr>
          <w:spacing w:val="-2"/>
          <w:kern w:val="22"/>
          <w:lang w:val="en-GB"/>
        </w:rPr>
        <w:t>Zenatix</w:t>
      </w:r>
      <w:proofErr w:type="spellEnd"/>
      <w:r w:rsidRPr="00964945">
        <w:rPr>
          <w:spacing w:val="-2"/>
          <w:kern w:val="22"/>
          <w:lang w:val="en-GB"/>
        </w:rPr>
        <w:t xml:space="preserve">, an </w:t>
      </w:r>
      <w:r w:rsidR="006C717E" w:rsidRPr="00964945">
        <w:rPr>
          <w:spacing w:val="-2"/>
          <w:kern w:val="22"/>
          <w:lang w:val="en-GB"/>
        </w:rPr>
        <w:t>e</w:t>
      </w:r>
      <w:r w:rsidRPr="00964945">
        <w:rPr>
          <w:spacing w:val="-2"/>
          <w:kern w:val="22"/>
          <w:lang w:val="en-GB"/>
        </w:rPr>
        <w:t xml:space="preserve">nergy </w:t>
      </w:r>
      <w:r w:rsidR="006C717E" w:rsidRPr="00964945">
        <w:rPr>
          <w:spacing w:val="-2"/>
          <w:kern w:val="22"/>
          <w:lang w:val="en-GB"/>
        </w:rPr>
        <w:t>d</w:t>
      </w:r>
      <w:r w:rsidRPr="00964945">
        <w:rPr>
          <w:spacing w:val="-2"/>
          <w:kern w:val="22"/>
          <w:lang w:val="en-GB"/>
        </w:rPr>
        <w:t>ata</w:t>
      </w:r>
      <w:r w:rsidR="00A0730D">
        <w:rPr>
          <w:spacing w:val="-2"/>
          <w:kern w:val="22"/>
          <w:lang w:val="en-GB"/>
        </w:rPr>
        <w:t xml:space="preserve"> </w:t>
      </w:r>
      <w:r w:rsidR="006C717E" w:rsidRPr="00964945">
        <w:rPr>
          <w:spacing w:val="-2"/>
          <w:kern w:val="22"/>
          <w:lang w:val="en-GB"/>
        </w:rPr>
        <w:t>a</w:t>
      </w:r>
      <w:r w:rsidRPr="00964945">
        <w:rPr>
          <w:spacing w:val="-2"/>
          <w:kern w:val="22"/>
          <w:lang w:val="en-GB"/>
        </w:rPr>
        <w:t>nalytics start</w:t>
      </w:r>
      <w:r w:rsidR="00A0730D">
        <w:rPr>
          <w:spacing w:val="-2"/>
          <w:kern w:val="22"/>
          <w:lang w:val="en-GB"/>
        </w:rPr>
        <w:t>-</w:t>
      </w:r>
      <w:r w:rsidRPr="00964945">
        <w:rPr>
          <w:spacing w:val="-2"/>
          <w:kern w:val="22"/>
          <w:lang w:val="en-GB"/>
        </w:rPr>
        <w:t xml:space="preserve">up that they </w:t>
      </w:r>
      <w:r w:rsidR="006C717E" w:rsidRPr="00964945">
        <w:rPr>
          <w:spacing w:val="-2"/>
          <w:kern w:val="22"/>
          <w:lang w:val="en-GB"/>
        </w:rPr>
        <w:t xml:space="preserve">had </w:t>
      </w:r>
      <w:r w:rsidRPr="00964945">
        <w:rPr>
          <w:spacing w:val="-2"/>
          <w:kern w:val="22"/>
          <w:lang w:val="en-GB"/>
        </w:rPr>
        <w:t>founded in 2013. There were no significant financials to show off</w:t>
      </w:r>
      <w:r w:rsidR="008D233A" w:rsidRPr="00964945">
        <w:rPr>
          <w:spacing w:val="-2"/>
          <w:kern w:val="22"/>
          <w:lang w:val="en-GB"/>
        </w:rPr>
        <w:t>,</w:t>
      </w:r>
      <w:r w:rsidRPr="00964945">
        <w:rPr>
          <w:spacing w:val="-2"/>
          <w:kern w:val="22"/>
          <w:lang w:val="en-GB"/>
        </w:rPr>
        <w:t xml:space="preserve"> given that they had been in operation for only three years (see Exhibit</w:t>
      </w:r>
      <w:r w:rsidR="006C717E" w:rsidRPr="00964945">
        <w:rPr>
          <w:spacing w:val="-2"/>
          <w:kern w:val="22"/>
          <w:lang w:val="en-GB"/>
        </w:rPr>
        <w:t>s</w:t>
      </w:r>
      <w:r w:rsidRPr="00964945">
        <w:rPr>
          <w:spacing w:val="-2"/>
          <w:kern w:val="22"/>
          <w:lang w:val="en-GB"/>
        </w:rPr>
        <w:t xml:space="preserve"> 1 and 2). They had raised US$500,000</w:t>
      </w:r>
      <w:r w:rsidR="001A2465" w:rsidRPr="00964945">
        <w:rPr>
          <w:rStyle w:val="FootnoteReference"/>
          <w:spacing w:val="-2"/>
          <w:kern w:val="22"/>
          <w:lang w:val="en-GB"/>
        </w:rPr>
        <w:footnoteReference w:id="1"/>
      </w:r>
      <w:r w:rsidRPr="00964945">
        <w:rPr>
          <w:spacing w:val="-2"/>
          <w:kern w:val="22"/>
          <w:lang w:val="en-GB"/>
        </w:rPr>
        <w:t xml:space="preserve"> in 2015</w:t>
      </w:r>
      <w:r w:rsidR="006C717E" w:rsidRPr="00964945">
        <w:rPr>
          <w:spacing w:val="-2"/>
          <w:kern w:val="22"/>
          <w:lang w:val="en-GB"/>
        </w:rPr>
        <w:t>, which</w:t>
      </w:r>
      <w:r w:rsidRPr="00964945">
        <w:rPr>
          <w:spacing w:val="-2"/>
          <w:kern w:val="22"/>
          <w:lang w:val="en-GB"/>
        </w:rPr>
        <w:t xml:space="preserve"> had kept them going for over a year</w:t>
      </w:r>
      <w:r w:rsidR="006C717E" w:rsidRPr="00964945">
        <w:rPr>
          <w:spacing w:val="-2"/>
          <w:kern w:val="22"/>
          <w:lang w:val="en-GB"/>
        </w:rPr>
        <w:t>; during that year</w:t>
      </w:r>
      <w:r w:rsidR="00A0730D">
        <w:rPr>
          <w:spacing w:val="-2"/>
          <w:kern w:val="22"/>
          <w:lang w:val="en-GB"/>
        </w:rPr>
        <w:t>,</w:t>
      </w:r>
      <w:r w:rsidRPr="00964945">
        <w:rPr>
          <w:spacing w:val="-2"/>
          <w:kern w:val="22"/>
          <w:lang w:val="en-GB"/>
        </w:rPr>
        <w:t xml:space="preserve"> they </w:t>
      </w:r>
      <w:r w:rsidR="006C717E" w:rsidRPr="00964945">
        <w:rPr>
          <w:spacing w:val="-2"/>
          <w:kern w:val="22"/>
          <w:lang w:val="en-GB"/>
        </w:rPr>
        <w:t>tried</w:t>
      </w:r>
      <w:r w:rsidRPr="00964945">
        <w:rPr>
          <w:spacing w:val="-2"/>
          <w:kern w:val="22"/>
          <w:lang w:val="en-GB"/>
        </w:rPr>
        <w:t xml:space="preserve"> to achieve a </w:t>
      </w:r>
      <w:r w:rsidR="00C1648C" w:rsidRPr="00964945">
        <w:rPr>
          <w:spacing w:val="-2"/>
          <w:kern w:val="22"/>
          <w:lang w:val="en-GB"/>
        </w:rPr>
        <w:t>product</w:t>
      </w:r>
      <w:r w:rsidR="00C1648C">
        <w:rPr>
          <w:spacing w:val="-2"/>
          <w:kern w:val="22"/>
          <w:lang w:val="en-GB"/>
        </w:rPr>
        <w:t>–</w:t>
      </w:r>
      <w:r w:rsidRPr="00964945">
        <w:rPr>
          <w:spacing w:val="-2"/>
          <w:kern w:val="22"/>
          <w:lang w:val="en-GB"/>
        </w:rPr>
        <w:t xml:space="preserve">market fit </w:t>
      </w:r>
      <w:r w:rsidR="006C717E" w:rsidRPr="00964945">
        <w:rPr>
          <w:spacing w:val="-2"/>
          <w:kern w:val="22"/>
          <w:lang w:val="en-GB"/>
        </w:rPr>
        <w:t xml:space="preserve">but </w:t>
      </w:r>
      <w:r w:rsidRPr="00964945">
        <w:rPr>
          <w:spacing w:val="-2"/>
          <w:kern w:val="22"/>
          <w:lang w:val="en-GB"/>
        </w:rPr>
        <w:t>with limited success. Before they knew</w:t>
      </w:r>
      <w:r w:rsidR="006C717E" w:rsidRPr="00964945">
        <w:rPr>
          <w:spacing w:val="-2"/>
          <w:kern w:val="22"/>
          <w:lang w:val="en-GB"/>
        </w:rPr>
        <w:t xml:space="preserve"> it</w:t>
      </w:r>
      <w:r w:rsidRPr="00964945">
        <w:rPr>
          <w:spacing w:val="-2"/>
          <w:kern w:val="22"/>
          <w:lang w:val="en-GB"/>
        </w:rPr>
        <w:t xml:space="preserve">, the funds </w:t>
      </w:r>
      <w:r w:rsidR="006C717E" w:rsidRPr="00964945">
        <w:rPr>
          <w:spacing w:val="-2"/>
          <w:kern w:val="22"/>
          <w:lang w:val="en-GB"/>
        </w:rPr>
        <w:t xml:space="preserve">that were expected to last three to four months </w:t>
      </w:r>
      <w:r w:rsidRPr="00964945">
        <w:rPr>
          <w:spacing w:val="-2"/>
          <w:kern w:val="22"/>
          <w:lang w:val="en-GB"/>
        </w:rPr>
        <w:t xml:space="preserve">had dried up. Singh, </w:t>
      </w:r>
      <w:proofErr w:type="spellStart"/>
      <w:r w:rsidRPr="00964945">
        <w:rPr>
          <w:spacing w:val="-2"/>
          <w:kern w:val="22"/>
          <w:lang w:val="en-GB"/>
        </w:rPr>
        <w:t>Bhalla</w:t>
      </w:r>
      <w:proofErr w:type="spellEnd"/>
      <w:r w:rsidR="006C717E" w:rsidRPr="00964945">
        <w:rPr>
          <w:spacing w:val="-2"/>
          <w:kern w:val="22"/>
          <w:lang w:val="en-GB"/>
        </w:rPr>
        <w:t>,</w:t>
      </w:r>
      <w:r w:rsidRPr="00964945">
        <w:rPr>
          <w:spacing w:val="-2"/>
          <w:kern w:val="22"/>
          <w:lang w:val="en-GB"/>
        </w:rPr>
        <w:t xml:space="preserve"> and Bansal had approached a number of investors in</w:t>
      </w:r>
      <w:r w:rsidR="006C717E" w:rsidRPr="00964945">
        <w:rPr>
          <w:spacing w:val="-2"/>
          <w:kern w:val="22"/>
          <w:lang w:val="en-GB"/>
        </w:rPr>
        <w:t xml:space="preserve"> the</w:t>
      </w:r>
      <w:r w:rsidRPr="00964945">
        <w:rPr>
          <w:spacing w:val="-2"/>
          <w:kern w:val="22"/>
          <w:lang w:val="en-GB"/>
        </w:rPr>
        <w:t xml:space="preserve"> past two months</w:t>
      </w:r>
      <w:r w:rsidR="006C717E" w:rsidRPr="00964945">
        <w:rPr>
          <w:spacing w:val="-2"/>
          <w:kern w:val="22"/>
          <w:lang w:val="en-GB"/>
        </w:rPr>
        <w:t>, also</w:t>
      </w:r>
      <w:r w:rsidRPr="00964945">
        <w:rPr>
          <w:spacing w:val="-2"/>
          <w:kern w:val="22"/>
          <w:lang w:val="en-GB"/>
        </w:rPr>
        <w:t xml:space="preserve"> with</w:t>
      </w:r>
      <w:r w:rsidR="006C717E" w:rsidRPr="00964945">
        <w:rPr>
          <w:spacing w:val="-2"/>
          <w:kern w:val="22"/>
          <w:lang w:val="en-GB"/>
        </w:rPr>
        <w:t xml:space="preserve"> no</w:t>
      </w:r>
      <w:r w:rsidRPr="00964945">
        <w:rPr>
          <w:spacing w:val="-2"/>
          <w:kern w:val="22"/>
          <w:lang w:val="en-GB"/>
        </w:rPr>
        <w:t xml:space="preserve"> success.</w:t>
      </w:r>
      <w:r w:rsidR="00DF72F5" w:rsidRPr="00964945">
        <w:rPr>
          <w:spacing w:val="-2"/>
          <w:kern w:val="22"/>
          <w:lang w:val="en-GB"/>
        </w:rPr>
        <w:t xml:space="preserve"> Singh said,</w:t>
      </w:r>
      <w:r w:rsidR="001A3EF1" w:rsidRPr="00964945">
        <w:rPr>
          <w:iCs/>
          <w:color w:val="000000"/>
          <w:spacing w:val="-2"/>
          <w:kern w:val="22"/>
          <w:lang w:val="en-GB"/>
        </w:rPr>
        <w:t xml:space="preserve"> “</w:t>
      </w:r>
      <w:r w:rsidRPr="00964945">
        <w:rPr>
          <w:iCs/>
          <w:color w:val="000000"/>
          <w:spacing w:val="-2"/>
          <w:kern w:val="22"/>
          <w:lang w:val="en-GB"/>
        </w:rPr>
        <w:t>Lack of a proven model in this line of business</w:t>
      </w:r>
      <w:r w:rsidR="001A3EF1" w:rsidRPr="00964945">
        <w:rPr>
          <w:iCs/>
          <w:color w:val="000000"/>
          <w:spacing w:val="-2"/>
          <w:kern w:val="22"/>
          <w:lang w:val="en-GB"/>
        </w:rPr>
        <w:t>,</w:t>
      </w:r>
      <w:r w:rsidRPr="00964945">
        <w:rPr>
          <w:iCs/>
          <w:color w:val="000000"/>
          <w:spacing w:val="-2"/>
          <w:kern w:val="22"/>
          <w:lang w:val="en-GB"/>
        </w:rPr>
        <w:t xml:space="preserve"> and particularly the hardware business</w:t>
      </w:r>
      <w:r w:rsidR="001A3EF1" w:rsidRPr="00964945">
        <w:rPr>
          <w:iCs/>
          <w:color w:val="000000"/>
          <w:spacing w:val="-2"/>
          <w:kern w:val="22"/>
          <w:lang w:val="en-GB"/>
        </w:rPr>
        <w:t>,</w:t>
      </w:r>
      <w:r w:rsidRPr="00964945">
        <w:rPr>
          <w:iCs/>
          <w:color w:val="000000"/>
          <w:spacing w:val="-2"/>
          <w:kern w:val="22"/>
          <w:lang w:val="en-GB"/>
        </w:rPr>
        <w:t xml:space="preserve"> made it difficult for investors to believe our story. Hardware products move slow</w:t>
      </w:r>
      <w:r w:rsidR="001A3EF1" w:rsidRPr="00964945">
        <w:rPr>
          <w:iCs/>
          <w:color w:val="000000"/>
          <w:spacing w:val="-2"/>
          <w:kern w:val="22"/>
          <w:lang w:val="en-GB"/>
        </w:rPr>
        <w:t>ly</w:t>
      </w:r>
      <w:r w:rsidRPr="00964945">
        <w:rPr>
          <w:iCs/>
          <w:color w:val="000000"/>
          <w:spacing w:val="-2"/>
          <w:kern w:val="22"/>
          <w:lang w:val="en-GB"/>
        </w:rPr>
        <w:t xml:space="preserve"> and take time to stabilize. Investors don’t like that</w:t>
      </w:r>
      <w:r w:rsidR="008D233A" w:rsidRPr="00964945">
        <w:rPr>
          <w:iCs/>
          <w:color w:val="000000"/>
          <w:spacing w:val="-2"/>
          <w:kern w:val="22"/>
          <w:lang w:val="en-GB"/>
        </w:rPr>
        <w:t>.</w:t>
      </w:r>
      <w:r w:rsidR="001A3EF1" w:rsidRPr="00964945">
        <w:rPr>
          <w:iCs/>
          <w:color w:val="000000"/>
          <w:spacing w:val="-2"/>
          <w:kern w:val="22"/>
          <w:lang w:val="en-GB"/>
        </w:rPr>
        <w:t>”</w:t>
      </w:r>
    </w:p>
    <w:p w14:paraId="7A9143D7" w14:textId="77777777" w:rsidR="003B4E14" w:rsidRPr="00964945" w:rsidRDefault="003B4E14" w:rsidP="00DF72F5">
      <w:pPr>
        <w:pStyle w:val="BodyTextMain"/>
        <w:rPr>
          <w:color w:val="000000"/>
          <w:lang w:val="en-GB"/>
        </w:rPr>
      </w:pPr>
    </w:p>
    <w:p w14:paraId="54A2CEC8" w14:textId="2B119123" w:rsidR="000F0E22" w:rsidRPr="00964945" w:rsidRDefault="000F0E22" w:rsidP="00DF72F5">
      <w:pPr>
        <w:pStyle w:val="BodyTextMain"/>
        <w:rPr>
          <w:spacing w:val="-2"/>
          <w:kern w:val="22"/>
          <w:lang w:val="en-GB"/>
        </w:rPr>
      </w:pPr>
      <w:r w:rsidRPr="00964945">
        <w:rPr>
          <w:spacing w:val="-2"/>
          <w:kern w:val="22"/>
          <w:lang w:val="en-GB"/>
        </w:rPr>
        <w:t xml:space="preserve">For the meeting </w:t>
      </w:r>
      <w:r w:rsidR="00A0730D">
        <w:rPr>
          <w:spacing w:val="-2"/>
          <w:kern w:val="22"/>
          <w:lang w:val="en-GB"/>
        </w:rPr>
        <w:t xml:space="preserve">the </w:t>
      </w:r>
      <w:r w:rsidRPr="00964945">
        <w:rPr>
          <w:spacing w:val="-2"/>
          <w:kern w:val="22"/>
          <w:lang w:val="en-GB"/>
        </w:rPr>
        <w:t xml:space="preserve">next day, Singh was banking on the new control feature of </w:t>
      </w:r>
      <w:proofErr w:type="spellStart"/>
      <w:r w:rsidR="002727B3" w:rsidRPr="00964945">
        <w:rPr>
          <w:spacing w:val="-2"/>
          <w:kern w:val="22"/>
          <w:lang w:val="en-GB"/>
        </w:rPr>
        <w:t>Zenatix’s</w:t>
      </w:r>
      <w:proofErr w:type="spellEnd"/>
      <w:r w:rsidR="002727B3" w:rsidRPr="00964945">
        <w:rPr>
          <w:spacing w:val="-2"/>
          <w:kern w:val="22"/>
          <w:lang w:val="en-GB"/>
        </w:rPr>
        <w:t xml:space="preserve"> </w:t>
      </w:r>
      <w:proofErr w:type="spellStart"/>
      <w:r w:rsidRPr="00964945">
        <w:rPr>
          <w:spacing w:val="-2"/>
          <w:kern w:val="22"/>
          <w:lang w:val="en-GB"/>
        </w:rPr>
        <w:t>WattMan</w:t>
      </w:r>
      <w:proofErr w:type="spellEnd"/>
      <w:r w:rsidRPr="00964945">
        <w:rPr>
          <w:spacing w:val="-2"/>
          <w:kern w:val="22"/>
          <w:lang w:val="en-GB"/>
        </w:rPr>
        <w:t xml:space="preserve"> III </w:t>
      </w:r>
      <w:r w:rsidR="002727B3" w:rsidRPr="00964945">
        <w:rPr>
          <w:spacing w:val="-2"/>
          <w:kern w:val="22"/>
          <w:lang w:val="en-GB"/>
        </w:rPr>
        <w:t>technology</w:t>
      </w:r>
      <w:r w:rsidR="00A0730D">
        <w:rPr>
          <w:spacing w:val="-2"/>
          <w:kern w:val="22"/>
          <w:lang w:val="en-GB"/>
        </w:rPr>
        <w:t>, which</w:t>
      </w:r>
      <w:r w:rsidRPr="00964945">
        <w:rPr>
          <w:spacing w:val="-2"/>
          <w:kern w:val="22"/>
          <w:lang w:val="en-GB"/>
        </w:rPr>
        <w:t xml:space="preserve"> </w:t>
      </w:r>
      <w:r w:rsidR="002727B3" w:rsidRPr="00964945">
        <w:rPr>
          <w:spacing w:val="-2"/>
          <w:kern w:val="22"/>
          <w:lang w:val="en-GB"/>
        </w:rPr>
        <w:t xml:space="preserve">had </w:t>
      </w:r>
      <w:r w:rsidRPr="00964945">
        <w:rPr>
          <w:spacing w:val="-2"/>
          <w:kern w:val="22"/>
          <w:lang w:val="en-GB"/>
        </w:rPr>
        <w:t xml:space="preserve">helped them </w:t>
      </w:r>
      <w:r w:rsidR="002727B3" w:rsidRPr="00964945">
        <w:rPr>
          <w:spacing w:val="-2"/>
          <w:kern w:val="22"/>
          <w:lang w:val="en-GB"/>
        </w:rPr>
        <w:t>get</w:t>
      </w:r>
      <w:r w:rsidRPr="00964945">
        <w:rPr>
          <w:spacing w:val="-2"/>
          <w:kern w:val="22"/>
          <w:lang w:val="en-GB"/>
        </w:rPr>
        <w:t xml:space="preserve"> </w:t>
      </w:r>
      <w:r w:rsidR="002727B3" w:rsidRPr="00964945">
        <w:rPr>
          <w:spacing w:val="-2"/>
          <w:kern w:val="22"/>
          <w:lang w:val="en-GB"/>
        </w:rPr>
        <w:t xml:space="preserve">their </w:t>
      </w:r>
      <w:r w:rsidRPr="00964945">
        <w:rPr>
          <w:spacing w:val="-2"/>
          <w:kern w:val="22"/>
          <w:lang w:val="en-GB"/>
        </w:rPr>
        <w:t>first retail</w:t>
      </w:r>
      <w:r w:rsidR="002727B3" w:rsidRPr="00964945">
        <w:rPr>
          <w:spacing w:val="-2"/>
          <w:kern w:val="22"/>
          <w:lang w:val="en-GB"/>
        </w:rPr>
        <w:t>-</w:t>
      </w:r>
      <w:r w:rsidRPr="00964945">
        <w:rPr>
          <w:spacing w:val="-2"/>
          <w:kern w:val="22"/>
          <w:lang w:val="en-GB"/>
        </w:rPr>
        <w:t xml:space="preserve">chain client </w:t>
      </w:r>
      <w:r w:rsidR="008D233A" w:rsidRPr="00964945">
        <w:rPr>
          <w:spacing w:val="-2"/>
          <w:kern w:val="22"/>
          <w:lang w:val="en-GB"/>
        </w:rPr>
        <w:t>with</w:t>
      </w:r>
      <w:r w:rsidR="002727B3" w:rsidRPr="00964945">
        <w:rPr>
          <w:spacing w:val="-2"/>
          <w:kern w:val="22"/>
          <w:lang w:val="en-GB"/>
        </w:rPr>
        <w:t xml:space="preserve"> </w:t>
      </w:r>
      <w:r w:rsidR="00964945" w:rsidRPr="00964945">
        <w:rPr>
          <w:spacing w:val="-2"/>
          <w:kern w:val="22"/>
          <w:lang w:val="en-GB"/>
        </w:rPr>
        <w:t>a large</w:t>
      </w:r>
      <w:r w:rsidRPr="00964945">
        <w:rPr>
          <w:spacing w:val="-2"/>
          <w:kern w:val="22"/>
          <w:lang w:val="en-GB"/>
        </w:rPr>
        <w:t xml:space="preserve"> number of outlets earlier in the month. </w:t>
      </w:r>
      <w:proofErr w:type="spellStart"/>
      <w:r w:rsidRPr="00964945">
        <w:rPr>
          <w:bCs/>
          <w:spacing w:val="-2"/>
          <w:kern w:val="22"/>
          <w:lang w:val="en-GB"/>
        </w:rPr>
        <w:t>WattMan</w:t>
      </w:r>
      <w:proofErr w:type="spellEnd"/>
      <w:r w:rsidR="00796E04" w:rsidRPr="00964945">
        <w:rPr>
          <w:bCs/>
          <w:spacing w:val="-2"/>
          <w:kern w:val="22"/>
          <w:lang w:val="en-GB"/>
        </w:rPr>
        <w:t xml:space="preserve"> </w:t>
      </w:r>
      <w:r w:rsidRPr="00964945">
        <w:rPr>
          <w:bCs/>
          <w:spacing w:val="-2"/>
          <w:kern w:val="22"/>
          <w:lang w:val="en-GB"/>
        </w:rPr>
        <w:t xml:space="preserve">III was a </w:t>
      </w:r>
      <w:r w:rsidR="002727B3" w:rsidRPr="00964945">
        <w:rPr>
          <w:bCs/>
          <w:spacing w:val="-2"/>
          <w:kern w:val="22"/>
          <w:lang w:val="en-GB"/>
        </w:rPr>
        <w:t>b</w:t>
      </w:r>
      <w:r w:rsidRPr="00964945">
        <w:rPr>
          <w:bCs/>
          <w:spacing w:val="-2"/>
          <w:kern w:val="22"/>
          <w:lang w:val="en-GB"/>
        </w:rPr>
        <w:t xml:space="preserve">uilding </w:t>
      </w:r>
      <w:r w:rsidR="002727B3" w:rsidRPr="00964945">
        <w:rPr>
          <w:bCs/>
          <w:spacing w:val="-2"/>
          <w:kern w:val="22"/>
          <w:lang w:val="en-GB"/>
        </w:rPr>
        <w:t>e</w:t>
      </w:r>
      <w:r w:rsidRPr="00964945">
        <w:rPr>
          <w:bCs/>
          <w:spacing w:val="-2"/>
          <w:kern w:val="22"/>
          <w:lang w:val="en-GB"/>
        </w:rPr>
        <w:t>nergy</w:t>
      </w:r>
      <w:r w:rsidR="002727B3" w:rsidRPr="00964945">
        <w:rPr>
          <w:bCs/>
          <w:spacing w:val="-2"/>
          <w:kern w:val="22"/>
          <w:lang w:val="en-GB"/>
        </w:rPr>
        <w:t>-e</w:t>
      </w:r>
      <w:r w:rsidRPr="00964945">
        <w:rPr>
          <w:bCs/>
          <w:spacing w:val="-2"/>
          <w:kern w:val="22"/>
          <w:lang w:val="en-GB"/>
        </w:rPr>
        <w:t xml:space="preserve">fficiency </w:t>
      </w:r>
      <w:r w:rsidR="002727B3" w:rsidRPr="00964945">
        <w:rPr>
          <w:bCs/>
          <w:spacing w:val="-2"/>
          <w:kern w:val="22"/>
          <w:lang w:val="en-GB"/>
        </w:rPr>
        <w:t>s</w:t>
      </w:r>
      <w:r w:rsidRPr="00964945">
        <w:rPr>
          <w:bCs/>
          <w:spacing w:val="-2"/>
          <w:kern w:val="22"/>
          <w:lang w:val="en-GB"/>
        </w:rPr>
        <w:t>ystem based on Internet of things (</w:t>
      </w:r>
      <w:proofErr w:type="spellStart"/>
      <w:r w:rsidRPr="00964945">
        <w:rPr>
          <w:bCs/>
          <w:spacing w:val="-2"/>
          <w:kern w:val="22"/>
          <w:lang w:val="en-GB"/>
        </w:rPr>
        <w:t>IoT</w:t>
      </w:r>
      <w:proofErr w:type="spellEnd"/>
      <w:r w:rsidRPr="00964945">
        <w:rPr>
          <w:bCs/>
          <w:spacing w:val="-2"/>
          <w:kern w:val="22"/>
          <w:lang w:val="en-GB"/>
        </w:rPr>
        <w:t>) technology</w:t>
      </w:r>
      <w:r w:rsidR="00A0730D">
        <w:rPr>
          <w:bCs/>
          <w:spacing w:val="-2"/>
          <w:kern w:val="22"/>
          <w:lang w:val="en-GB"/>
        </w:rPr>
        <w:t>, which</w:t>
      </w:r>
      <w:r w:rsidRPr="00964945">
        <w:rPr>
          <w:bCs/>
          <w:spacing w:val="-2"/>
          <w:kern w:val="22"/>
          <w:lang w:val="en-GB"/>
        </w:rPr>
        <w:t xml:space="preserve"> monitored </w:t>
      </w:r>
      <w:r w:rsidR="00A0730D">
        <w:rPr>
          <w:bCs/>
          <w:spacing w:val="-2"/>
          <w:kern w:val="22"/>
          <w:lang w:val="en-GB"/>
        </w:rPr>
        <w:t xml:space="preserve">the </w:t>
      </w:r>
      <w:r w:rsidRPr="00964945">
        <w:rPr>
          <w:bCs/>
          <w:spacing w:val="-2"/>
          <w:kern w:val="22"/>
          <w:lang w:val="en-GB"/>
        </w:rPr>
        <w:t>usage and performance of electrical assets such as air conditioners, generators, and refrigerators. Insights into the usage pattern</w:t>
      </w:r>
      <w:r w:rsidR="002727B3" w:rsidRPr="00964945">
        <w:rPr>
          <w:bCs/>
          <w:spacing w:val="-2"/>
          <w:kern w:val="22"/>
          <w:lang w:val="en-GB"/>
        </w:rPr>
        <w:t>s</w:t>
      </w:r>
      <w:r w:rsidRPr="00964945">
        <w:rPr>
          <w:bCs/>
          <w:spacing w:val="-2"/>
          <w:kern w:val="22"/>
          <w:lang w:val="en-GB"/>
        </w:rPr>
        <w:t xml:space="preserve"> and performance of </w:t>
      </w:r>
      <w:r w:rsidR="002727B3" w:rsidRPr="00964945">
        <w:rPr>
          <w:bCs/>
          <w:spacing w:val="-2"/>
          <w:kern w:val="22"/>
          <w:lang w:val="en-GB"/>
        </w:rPr>
        <w:t>these</w:t>
      </w:r>
      <w:r w:rsidRPr="00964945">
        <w:rPr>
          <w:bCs/>
          <w:spacing w:val="-2"/>
          <w:kern w:val="22"/>
          <w:lang w:val="en-GB"/>
        </w:rPr>
        <w:t xml:space="preserve"> electrical assets could help reduce wasteful energy consumption and </w:t>
      </w:r>
      <w:r w:rsidR="008D233A" w:rsidRPr="00964945">
        <w:rPr>
          <w:bCs/>
          <w:spacing w:val="-2"/>
          <w:kern w:val="22"/>
          <w:lang w:val="en-GB"/>
        </w:rPr>
        <w:t xml:space="preserve">so reduce the </w:t>
      </w:r>
      <w:r w:rsidR="00964945" w:rsidRPr="00964945">
        <w:rPr>
          <w:bCs/>
          <w:spacing w:val="-2"/>
          <w:kern w:val="22"/>
          <w:lang w:val="en-GB"/>
        </w:rPr>
        <w:t>associated</w:t>
      </w:r>
      <w:r w:rsidR="002727B3" w:rsidRPr="00964945">
        <w:rPr>
          <w:bCs/>
          <w:spacing w:val="-2"/>
          <w:kern w:val="22"/>
          <w:lang w:val="en-GB"/>
        </w:rPr>
        <w:t xml:space="preserve"> </w:t>
      </w:r>
      <w:r w:rsidRPr="00964945">
        <w:rPr>
          <w:bCs/>
          <w:spacing w:val="-2"/>
          <w:kern w:val="22"/>
          <w:lang w:val="en-GB"/>
        </w:rPr>
        <w:t>cost</w:t>
      </w:r>
      <w:r w:rsidR="008D233A" w:rsidRPr="00964945">
        <w:rPr>
          <w:bCs/>
          <w:spacing w:val="-2"/>
          <w:kern w:val="22"/>
          <w:lang w:val="en-GB"/>
        </w:rPr>
        <w:t>s</w:t>
      </w:r>
      <w:r w:rsidRPr="00964945">
        <w:rPr>
          <w:bCs/>
          <w:spacing w:val="-2"/>
          <w:kern w:val="22"/>
          <w:lang w:val="en-GB"/>
        </w:rPr>
        <w:t>.</w:t>
      </w:r>
      <w:r w:rsidR="00796E04" w:rsidRPr="00964945">
        <w:rPr>
          <w:bCs/>
          <w:spacing w:val="-2"/>
          <w:kern w:val="22"/>
          <w:lang w:val="en-GB"/>
        </w:rPr>
        <w:t xml:space="preserve"> </w:t>
      </w:r>
      <w:r w:rsidRPr="00964945">
        <w:rPr>
          <w:bCs/>
          <w:spacing w:val="-2"/>
          <w:kern w:val="22"/>
          <w:lang w:val="en-GB"/>
        </w:rPr>
        <w:t>Breakthrough</w:t>
      </w:r>
      <w:r w:rsidR="002727B3" w:rsidRPr="00964945">
        <w:rPr>
          <w:bCs/>
          <w:spacing w:val="-2"/>
          <w:kern w:val="22"/>
          <w:lang w:val="en-GB"/>
        </w:rPr>
        <w:t>s</w:t>
      </w:r>
      <w:r w:rsidRPr="00964945">
        <w:rPr>
          <w:bCs/>
          <w:spacing w:val="-2"/>
          <w:kern w:val="22"/>
          <w:lang w:val="en-GB"/>
        </w:rPr>
        <w:t xml:space="preserve"> in remote and automated control feature</w:t>
      </w:r>
      <w:r w:rsidR="002727B3" w:rsidRPr="00964945">
        <w:rPr>
          <w:bCs/>
          <w:spacing w:val="-2"/>
          <w:kern w:val="22"/>
          <w:lang w:val="en-GB"/>
        </w:rPr>
        <w:t>s</w:t>
      </w:r>
      <w:r w:rsidRPr="00964945">
        <w:rPr>
          <w:bCs/>
          <w:spacing w:val="-2"/>
          <w:kern w:val="22"/>
          <w:lang w:val="en-GB"/>
        </w:rPr>
        <w:t xml:space="preserve"> in </w:t>
      </w:r>
      <w:r w:rsidR="002727B3" w:rsidRPr="00964945">
        <w:rPr>
          <w:bCs/>
          <w:spacing w:val="-2"/>
          <w:kern w:val="22"/>
          <w:lang w:val="en-GB"/>
        </w:rPr>
        <w:t xml:space="preserve">the </w:t>
      </w:r>
      <w:r w:rsidRPr="00964945">
        <w:rPr>
          <w:bCs/>
          <w:spacing w:val="-2"/>
          <w:kern w:val="22"/>
          <w:lang w:val="en-GB"/>
        </w:rPr>
        <w:t xml:space="preserve">latest version of </w:t>
      </w:r>
      <w:proofErr w:type="spellStart"/>
      <w:r w:rsidRPr="00964945">
        <w:rPr>
          <w:bCs/>
          <w:spacing w:val="-2"/>
          <w:kern w:val="22"/>
          <w:lang w:val="en-GB"/>
        </w:rPr>
        <w:t>WattMan</w:t>
      </w:r>
      <w:proofErr w:type="spellEnd"/>
      <w:r w:rsidR="002727B3" w:rsidRPr="00964945">
        <w:rPr>
          <w:bCs/>
          <w:spacing w:val="-2"/>
          <w:kern w:val="22"/>
          <w:lang w:val="en-GB"/>
        </w:rPr>
        <w:t xml:space="preserve"> III</w:t>
      </w:r>
      <w:r w:rsidRPr="00964945">
        <w:rPr>
          <w:bCs/>
          <w:spacing w:val="-2"/>
          <w:kern w:val="22"/>
          <w:lang w:val="en-GB"/>
        </w:rPr>
        <w:t xml:space="preserve"> </w:t>
      </w:r>
      <w:r w:rsidR="008D233A" w:rsidRPr="00964945">
        <w:rPr>
          <w:bCs/>
          <w:spacing w:val="-2"/>
          <w:kern w:val="22"/>
          <w:lang w:val="en-GB"/>
        </w:rPr>
        <w:t xml:space="preserve">had </w:t>
      </w:r>
      <w:r w:rsidRPr="00964945">
        <w:rPr>
          <w:bCs/>
          <w:spacing w:val="-2"/>
          <w:kern w:val="22"/>
          <w:lang w:val="en-GB"/>
        </w:rPr>
        <w:t xml:space="preserve">got them an </w:t>
      </w:r>
      <w:r w:rsidRPr="00964945">
        <w:rPr>
          <w:spacing w:val="-2"/>
          <w:kern w:val="22"/>
          <w:lang w:val="en-GB"/>
        </w:rPr>
        <w:t>order for over 100 site installations from the</w:t>
      </w:r>
      <w:r w:rsidR="002D3C61" w:rsidRPr="00964945">
        <w:rPr>
          <w:spacing w:val="-2"/>
          <w:kern w:val="22"/>
          <w:lang w:val="en-GB"/>
        </w:rPr>
        <w:t>ir</w:t>
      </w:r>
      <w:r w:rsidRPr="00964945">
        <w:rPr>
          <w:spacing w:val="-2"/>
          <w:kern w:val="22"/>
          <w:lang w:val="en-GB"/>
        </w:rPr>
        <w:t xml:space="preserve"> first retail</w:t>
      </w:r>
      <w:r w:rsidR="002727B3" w:rsidRPr="00964945">
        <w:rPr>
          <w:spacing w:val="-2"/>
          <w:kern w:val="22"/>
          <w:lang w:val="en-GB"/>
        </w:rPr>
        <w:t>-</w:t>
      </w:r>
      <w:r w:rsidRPr="00964945">
        <w:rPr>
          <w:spacing w:val="-2"/>
          <w:kern w:val="22"/>
          <w:lang w:val="en-GB"/>
        </w:rPr>
        <w:t>chain client. It was a strong indicator of market validation</w:t>
      </w:r>
      <w:r w:rsidR="008D233A" w:rsidRPr="00964945">
        <w:rPr>
          <w:spacing w:val="-2"/>
          <w:kern w:val="22"/>
          <w:lang w:val="en-GB"/>
        </w:rPr>
        <w:t>,</w:t>
      </w:r>
      <w:r w:rsidRPr="00964945">
        <w:rPr>
          <w:spacing w:val="-2"/>
          <w:kern w:val="22"/>
          <w:lang w:val="en-GB"/>
        </w:rPr>
        <w:t xml:space="preserve"> and team </w:t>
      </w:r>
      <w:proofErr w:type="spellStart"/>
      <w:r w:rsidRPr="00964945">
        <w:rPr>
          <w:spacing w:val="-2"/>
          <w:kern w:val="22"/>
          <w:lang w:val="en-GB"/>
        </w:rPr>
        <w:t>Zenatix</w:t>
      </w:r>
      <w:proofErr w:type="spellEnd"/>
      <w:r w:rsidRPr="00964945">
        <w:rPr>
          <w:spacing w:val="-2"/>
          <w:kern w:val="22"/>
          <w:lang w:val="en-GB"/>
        </w:rPr>
        <w:t xml:space="preserve"> was relying on </w:t>
      </w:r>
      <w:r w:rsidR="008D233A" w:rsidRPr="00964945">
        <w:rPr>
          <w:spacing w:val="-2"/>
          <w:kern w:val="22"/>
          <w:lang w:val="en-GB"/>
        </w:rPr>
        <w:t>this</w:t>
      </w:r>
      <w:r w:rsidRPr="00964945">
        <w:rPr>
          <w:spacing w:val="-2"/>
          <w:kern w:val="22"/>
          <w:lang w:val="en-GB"/>
        </w:rPr>
        <w:t xml:space="preserve"> to convince investors of the potential that </w:t>
      </w:r>
      <w:proofErr w:type="spellStart"/>
      <w:r w:rsidRPr="00964945">
        <w:rPr>
          <w:spacing w:val="-2"/>
          <w:kern w:val="22"/>
          <w:lang w:val="en-GB"/>
        </w:rPr>
        <w:t>WattMan</w:t>
      </w:r>
      <w:proofErr w:type="spellEnd"/>
      <w:r w:rsidRPr="00964945">
        <w:rPr>
          <w:spacing w:val="-2"/>
          <w:kern w:val="22"/>
          <w:lang w:val="en-GB"/>
        </w:rPr>
        <w:t xml:space="preserve"> III had for </w:t>
      </w:r>
      <w:r w:rsidR="002727B3" w:rsidRPr="00964945">
        <w:rPr>
          <w:spacing w:val="-2"/>
          <w:kern w:val="22"/>
          <w:lang w:val="en-GB"/>
        </w:rPr>
        <w:t xml:space="preserve">the </w:t>
      </w:r>
      <w:r w:rsidRPr="00964945">
        <w:rPr>
          <w:spacing w:val="-2"/>
          <w:kern w:val="22"/>
          <w:lang w:val="en-GB"/>
        </w:rPr>
        <w:t>retail</w:t>
      </w:r>
      <w:r w:rsidR="002727B3" w:rsidRPr="00964945">
        <w:rPr>
          <w:spacing w:val="-2"/>
          <w:kern w:val="22"/>
          <w:lang w:val="en-GB"/>
        </w:rPr>
        <w:t>-</w:t>
      </w:r>
      <w:r w:rsidRPr="00964945">
        <w:rPr>
          <w:spacing w:val="-2"/>
          <w:kern w:val="22"/>
          <w:lang w:val="en-GB"/>
        </w:rPr>
        <w:t>chain market.</w:t>
      </w:r>
    </w:p>
    <w:p w14:paraId="45D34D60" w14:textId="77777777" w:rsidR="00DF72F5" w:rsidRPr="00964945" w:rsidRDefault="00DF72F5" w:rsidP="003B4E14">
      <w:pPr>
        <w:pStyle w:val="BodyTextMain"/>
        <w:rPr>
          <w:lang w:val="en-GB"/>
        </w:rPr>
      </w:pPr>
    </w:p>
    <w:p w14:paraId="04E3A221" w14:textId="725A9167" w:rsidR="000F0E22" w:rsidRPr="00964945" w:rsidRDefault="005B0029" w:rsidP="003B4E14">
      <w:pPr>
        <w:pStyle w:val="BodyTextMain"/>
        <w:rPr>
          <w:lang w:val="en-GB"/>
        </w:rPr>
      </w:pPr>
      <w:r w:rsidRPr="00964945">
        <w:rPr>
          <w:lang w:val="en-GB"/>
        </w:rPr>
        <w:t>After exploring the commercial</w:t>
      </w:r>
      <w:r w:rsidR="009B2BB8">
        <w:rPr>
          <w:lang w:val="en-GB"/>
        </w:rPr>
        <w:t xml:space="preserve"> </w:t>
      </w:r>
      <w:r w:rsidRPr="00964945">
        <w:rPr>
          <w:lang w:val="en-GB"/>
        </w:rPr>
        <w:t>building segment</w:t>
      </w:r>
      <w:r w:rsidR="00954C44" w:rsidRPr="00964945">
        <w:rPr>
          <w:lang w:val="en-GB"/>
        </w:rPr>
        <w:t>—</w:t>
      </w:r>
      <w:r w:rsidRPr="00964945">
        <w:rPr>
          <w:lang w:val="en-GB"/>
        </w:rPr>
        <w:t>shopping malls, office complexes, hospitals, and hotels</w:t>
      </w:r>
      <w:r w:rsidR="00954C44" w:rsidRPr="00964945">
        <w:rPr>
          <w:lang w:val="en-GB"/>
        </w:rPr>
        <w:t>—</w:t>
      </w:r>
      <w:r w:rsidRPr="00964945">
        <w:rPr>
          <w:lang w:val="en-GB"/>
        </w:rPr>
        <w:t xml:space="preserve">for over a year, </w:t>
      </w:r>
      <w:r w:rsidR="000F0E22" w:rsidRPr="00964945">
        <w:rPr>
          <w:lang w:val="en-GB"/>
        </w:rPr>
        <w:t xml:space="preserve">Singh and </w:t>
      </w:r>
      <w:r w:rsidR="008F4338" w:rsidRPr="00964945">
        <w:rPr>
          <w:lang w:val="en-GB"/>
        </w:rPr>
        <w:t xml:space="preserve">his </w:t>
      </w:r>
      <w:r w:rsidR="000F0E22" w:rsidRPr="00964945">
        <w:rPr>
          <w:lang w:val="en-GB"/>
        </w:rPr>
        <w:t xml:space="preserve">team had decided </w:t>
      </w:r>
      <w:r w:rsidR="00A0730D" w:rsidRPr="00964945">
        <w:rPr>
          <w:lang w:val="en-GB"/>
        </w:rPr>
        <w:t>in February 2016</w:t>
      </w:r>
      <w:r w:rsidR="00A0730D">
        <w:rPr>
          <w:lang w:val="en-GB"/>
        </w:rPr>
        <w:t xml:space="preserve"> </w:t>
      </w:r>
      <w:r w:rsidR="000F0E22" w:rsidRPr="00964945">
        <w:rPr>
          <w:lang w:val="en-GB"/>
        </w:rPr>
        <w:t xml:space="preserve">to drop </w:t>
      </w:r>
      <w:r w:rsidRPr="00964945">
        <w:rPr>
          <w:lang w:val="en-GB"/>
        </w:rPr>
        <w:t>that market</w:t>
      </w:r>
      <w:r w:rsidR="000F0E22" w:rsidRPr="00964945">
        <w:rPr>
          <w:lang w:val="en-GB"/>
        </w:rPr>
        <w:t xml:space="preserve"> and focus solely on retail</w:t>
      </w:r>
      <w:r w:rsidRPr="00964945">
        <w:rPr>
          <w:lang w:val="en-GB"/>
        </w:rPr>
        <w:t>-</w:t>
      </w:r>
      <w:r w:rsidR="000F0E22" w:rsidRPr="00964945">
        <w:rPr>
          <w:lang w:val="en-GB"/>
        </w:rPr>
        <w:t xml:space="preserve">chain clients. It was </w:t>
      </w:r>
      <w:r w:rsidR="00A0730D">
        <w:rPr>
          <w:lang w:val="en-GB"/>
        </w:rPr>
        <w:t>the s</w:t>
      </w:r>
      <w:r w:rsidR="00A0730D" w:rsidRPr="00964945">
        <w:rPr>
          <w:lang w:val="en-GB"/>
        </w:rPr>
        <w:t xml:space="preserve">econd </w:t>
      </w:r>
      <w:r w:rsidR="000F0E22" w:rsidRPr="00964945">
        <w:rPr>
          <w:lang w:val="en-GB"/>
        </w:rPr>
        <w:t xml:space="preserve">time they had decided to change </w:t>
      </w:r>
      <w:r w:rsidRPr="00964945">
        <w:rPr>
          <w:lang w:val="en-GB"/>
        </w:rPr>
        <w:t xml:space="preserve">their </w:t>
      </w:r>
      <w:r w:rsidR="000F0E22" w:rsidRPr="00964945">
        <w:rPr>
          <w:lang w:val="en-GB"/>
        </w:rPr>
        <w:t>target market. Two shifts in target market and technical challenges in product development and deployment presented enough uncertainty for investors to be cautious. This was a make</w:t>
      </w:r>
      <w:r w:rsidRPr="00964945">
        <w:rPr>
          <w:lang w:val="en-GB"/>
        </w:rPr>
        <w:t>-</w:t>
      </w:r>
      <w:r w:rsidR="000F0E22" w:rsidRPr="00964945">
        <w:rPr>
          <w:lang w:val="en-GB"/>
        </w:rPr>
        <w:t>or</w:t>
      </w:r>
      <w:r w:rsidRPr="00964945">
        <w:rPr>
          <w:lang w:val="en-GB"/>
        </w:rPr>
        <w:t>-</w:t>
      </w:r>
      <w:r w:rsidR="000F0E22" w:rsidRPr="00964945">
        <w:rPr>
          <w:lang w:val="en-GB"/>
        </w:rPr>
        <w:t xml:space="preserve">break situation for </w:t>
      </w:r>
      <w:proofErr w:type="spellStart"/>
      <w:r w:rsidR="000F0E22" w:rsidRPr="00964945">
        <w:rPr>
          <w:lang w:val="en-GB"/>
        </w:rPr>
        <w:t>Zenatix</w:t>
      </w:r>
      <w:proofErr w:type="spellEnd"/>
      <w:r w:rsidR="000F0E22" w:rsidRPr="00964945">
        <w:rPr>
          <w:lang w:val="en-GB"/>
        </w:rPr>
        <w:t xml:space="preserve"> as</w:t>
      </w:r>
      <w:r w:rsidRPr="00964945">
        <w:rPr>
          <w:lang w:val="en-GB"/>
        </w:rPr>
        <w:t>, in order to su</w:t>
      </w:r>
      <w:r w:rsidR="00964945">
        <w:rPr>
          <w:lang w:val="en-GB"/>
        </w:rPr>
        <w:t>r</w:t>
      </w:r>
      <w:r w:rsidRPr="00964945">
        <w:rPr>
          <w:lang w:val="en-GB"/>
        </w:rPr>
        <w:t>vive in the near future,</w:t>
      </w:r>
      <w:r w:rsidR="000F0E22" w:rsidRPr="00964945">
        <w:rPr>
          <w:lang w:val="en-GB"/>
        </w:rPr>
        <w:t xml:space="preserve"> they had to convince investors of </w:t>
      </w:r>
      <w:r w:rsidRPr="00964945">
        <w:rPr>
          <w:lang w:val="en-GB"/>
        </w:rPr>
        <w:t xml:space="preserve">their </w:t>
      </w:r>
      <w:r w:rsidR="00C1648C" w:rsidRPr="00964945">
        <w:rPr>
          <w:lang w:val="en-GB"/>
        </w:rPr>
        <w:t>product</w:t>
      </w:r>
      <w:r w:rsidR="00C1648C">
        <w:rPr>
          <w:lang w:val="en-GB"/>
        </w:rPr>
        <w:t>–</w:t>
      </w:r>
      <w:r w:rsidR="000F0E22" w:rsidRPr="00964945">
        <w:rPr>
          <w:lang w:val="en-GB"/>
        </w:rPr>
        <w:t>market fit.</w:t>
      </w:r>
    </w:p>
    <w:p w14:paraId="1A59E8DA" w14:textId="77777777" w:rsidR="00B70676" w:rsidRPr="00964945" w:rsidRDefault="00B70676" w:rsidP="003B4E14">
      <w:pPr>
        <w:pStyle w:val="BodyTextMain"/>
        <w:rPr>
          <w:lang w:val="en-GB"/>
        </w:rPr>
      </w:pPr>
    </w:p>
    <w:p w14:paraId="0646C5FF" w14:textId="77777777" w:rsidR="00B70676" w:rsidRPr="00964945" w:rsidRDefault="00B70676" w:rsidP="003B4E14">
      <w:pPr>
        <w:pStyle w:val="BodyTextMain"/>
        <w:rPr>
          <w:lang w:val="en-GB"/>
        </w:rPr>
      </w:pPr>
    </w:p>
    <w:p w14:paraId="545972E2" w14:textId="4CEEFA54" w:rsidR="000F0E22" w:rsidRPr="00964945" w:rsidRDefault="000F0E22" w:rsidP="00917073">
      <w:pPr>
        <w:pStyle w:val="Casehead1"/>
        <w:keepNext/>
        <w:rPr>
          <w:lang w:val="en-GB"/>
        </w:rPr>
      </w:pPr>
      <w:r w:rsidRPr="00964945">
        <w:rPr>
          <w:lang w:val="en-GB"/>
        </w:rPr>
        <w:lastRenderedPageBreak/>
        <w:t>GENESIS OF IDEA</w:t>
      </w:r>
    </w:p>
    <w:p w14:paraId="52FD141C" w14:textId="77777777" w:rsidR="003B4E14" w:rsidRPr="00964945" w:rsidRDefault="003B4E14" w:rsidP="008D39A5">
      <w:pPr>
        <w:pStyle w:val="BodyTextMain"/>
        <w:rPr>
          <w:lang w:val="en-GB"/>
        </w:rPr>
      </w:pPr>
    </w:p>
    <w:p w14:paraId="06991CD9" w14:textId="7427A706" w:rsidR="000F0E22" w:rsidRPr="00964945" w:rsidRDefault="007E231A" w:rsidP="00917073">
      <w:pPr>
        <w:pStyle w:val="BodyTextMain"/>
        <w:keepNext/>
        <w:rPr>
          <w:lang w:val="en-GB"/>
        </w:rPr>
      </w:pPr>
      <w:r w:rsidRPr="00964945">
        <w:rPr>
          <w:lang w:val="en-GB"/>
        </w:rPr>
        <w:t xml:space="preserve">In 2002, </w:t>
      </w:r>
      <w:r w:rsidR="000F0E22" w:rsidRPr="00964945">
        <w:rPr>
          <w:lang w:val="en-GB"/>
        </w:rPr>
        <w:t xml:space="preserve">Singh, </w:t>
      </w:r>
      <w:proofErr w:type="spellStart"/>
      <w:r w:rsidR="000F0E22" w:rsidRPr="00964945">
        <w:rPr>
          <w:lang w:val="en-GB"/>
        </w:rPr>
        <w:t>Bhalla</w:t>
      </w:r>
      <w:proofErr w:type="spellEnd"/>
      <w:r w:rsidR="00020DEA" w:rsidRPr="00964945">
        <w:rPr>
          <w:lang w:val="en-GB"/>
        </w:rPr>
        <w:t>,</w:t>
      </w:r>
      <w:r w:rsidR="000F0E22" w:rsidRPr="00964945">
        <w:rPr>
          <w:lang w:val="en-GB"/>
        </w:rPr>
        <w:t xml:space="preserve"> and Bansal were contemporaries during their </w:t>
      </w:r>
      <w:r w:rsidR="00A0730D">
        <w:rPr>
          <w:lang w:val="en-GB"/>
        </w:rPr>
        <w:t>b</w:t>
      </w:r>
      <w:r w:rsidR="00A0730D" w:rsidRPr="00964945">
        <w:rPr>
          <w:lang w:val="en-GB"/>
        </w:rPr>
        <w:t xml:space="preserve">achelor </w:t>
      </w:r>
      <w:r w:rsidR="000F0E22" w:rsidRPr="00964945">
        <w:rPr>
          <w:lang w:val="en-GB"/>
        </w:rPr>
        <w:t xml:space="preserve">of </w:t>
      </w:r>
      <w:r w:rsidR="00A0730D">
        <w:rPr>
          <w:lang w:val="en-GB"/>
        </w:rPr>
        <w:t>t</w:t>
      </w:r>
      <w:r w:rsidR="00A0730D" w:rsidRPr="00964945">
        <w:rPr>
          <w:lang w:val="en-GB"/>
        </w:rPr>
        <w:t xml:space="preserve">echnology </w:t>
      </w:r>
      <w:r w:rsidR="00020DEA" w:rsidRPr="00964945">
        <w:rPr>
          <w:lang w:val="en-GB"/>
        </w:rPr>
        <w:t>p</w:t>
      </w:r>
      <w:r w:rsidR="000F0E22" w:rsidRPr="00964945">
        <w:rPr>
          <w:lang w:val="en-GB"/>
        </w:rPr>
        <w:t>rogram at</w:t>
      </w:r>
      <w:r w:rsidR="00020DEA" w:rsidRPr="00964945">
        <w:rPr>
          <w:lang w:val="en-GB"/>
        </w:rPr>
        <w:t xml:space="preserve"> the</w:t>
      </w:r>
      <w:r w:rsidR="000F0E22" w:rsidRPr="00964945">
        <w:rPr>
          <w:lang w:val="en-GB"/>
        </w:rPr>
        <w:t xml:space="preserve"> Indian Institute of Technology Delhi</w:t>
      </w:r>
      <w:r w:rsidR="00E20DDB">
        <w:rPr>
          <w:lang w:val="en-GB"/>
        </w:rPr>
        <w:t xml:space="preserve"> (II</w:t>
      </w:r>
      <w:r w:rsidR="000A1708" w:rsidRPr="00964945">
        <w:rPr>
          <w:lang w:val="en-GB"/>
        </w:rPr>
        <w:t>TD)</w:t>
      </w:r>
      <w:r w:rsidR="00020DEA" w:rsidRPr="00964945">
        <w:rPr>
          <w:lang w:val="en-GB"/>
        </w:rPr>
        <w:t>,</w:t>
      </w:r>
      <w:r w:rsidR="000F0E22" w:rsidRPr="00964945">
        <w:rPr>
          <w:lang w:val="en-GB"/>
        </w:rPr>
        <w:t xml:space="preserve"> and </w:t>
      </w:r>
      <w:r w:rsidR="00020DEA" w:rsidRPr="00964945">
        <w:rPr>
          <w:lang w:val="en-GB"/>
        </w:rPr>
        <w:t xml:space="preserve">they </w:t>
      </w:r>
      <w:r w:rsidR="000F0E22" w:rsidRPr="00964945">
        <w:rPr>
          <w:lang w:val="en-GB"/>
        </w:rPr>
        <w:t xml:space="preserve">went on to do well in their respective careers in different fields (see Exhibit 3). In September 2013, </w:t>
      </w:r>
      <w:proofErr w:type="spellStart"/>
      <w:r w:rsidR="000F0E22" w:rsidRPr="00964945">
        <w:rPr>
          <w:lang w:val="en-GB"/>
        </w:rPr>
        <w:t>Bhalla</w:t>
      </w:r>
      <w:proofErr w:type="spellEnd"/>
      <w:r w:rsidR="000F0E22" w:rsidRPr="00964945">
        <w:rPr>
          <w:lang w:val="en-GB"/>
        </w:rPr>
        <w:t xml:space="preserve"> and Bansal approached Singh with the idea of starting a technology-based venture. </w:t>
      </w:r>
      <w:proofErr w:type="spellStart"/>
      <w:r w:rsidR="000F0E22" w:rsidRPr="00964945">
        <w:rPr>
          <w:lang w:val="en-GB"/>
        </w:rPr>
        <w:t>Bhalla</w:t>
      </w:r>
      <w:proofErr w:type="spellEnd"/>
      <w:r w:rsidR="000F0E22" w:rsidRPr="00964945">
        <w:rPr>
          <w:lang w:val="en-GB"/>
        </w:rPr>
        <w:t xml:space="preserve"> and Bansal had been deliberating starting something of their own for several years. Having worked in multinational corporations across </w:t>
      </w:r>
      <w:r w:rsidR="001F5F08" w:rsidRPr="00964945">
        <w:rPr>
          <w:lang w:val="en-GB"/>
        </w:rPr>
        <w:t xml:space="preserve">several </w:t>
      </w:r>
      <w:r w:rsidR="000F0E22" w:rsidRPr="00964945">
        <w:rPr>
          <w:lang w:val="en-GB"/>
        </w:rPr>
        <w:t xml:space="preserve">geographies, they knew that </w:t>
      </w:r>
      <w:r w:rsidR="00020DEA" w:rsidRPr="00964945">
        <w:rPr>
          <w:lang w:val="en-GB"/>
        </w:rPr>
        <w:t xml:space="preserve">the </w:t>
      </w:r>
      <w:r w:rsidR="000F0E22" w:rsidRPr="00964945">
        <w:rPr>
          <w:lang w:val="en-GB"/>
        </w:rPr>
        <w:t xml:space="preserve">future belonged to technology-based ventures. At this time, </w:t>
      </w:r>
      <w:proofErr w:type="spellStart"/>
      <w:r w:rsidR="000F0E22" w:rsidRPr="00964945">
        <w:rPr>
          <w:lang w:val="en-GB"/>
        </w:rPr>
        <w:t>IoT</w:t>
      </w:r>
      <w:proofErr w:type="spellEnd"/>
      <w:r w:rsidR="000F0E22" w:rsidRPr="00964945">
        <w:rPr>
          <w:lang w:val="en-GB"/>
        </w:rPr>
        <w:t xml:space="preserve"> and </w:t>
      </w:r>
      <w:r w:rsidR="00020DEA" w:rsidRPr="00964945">
        <w:rPr>
          <w:lang w:val="en-GB"/>
        </w:rPr>
        <w:t>a</w:t>
      </w:r>
      <w:r w:rsidR="000F0E22" w:rsidRPr="00964945">
        <w:rPr>
          <w:lang w:val="en-GB"/>
        </w:rPr>
        <w:t xml:space="preserve">rtificial intelligence (AI) were deemed to be </w:t>
      </w:r>
      <w:r w:rsidR="00020DEA" w:rsidRPr="00964945">
        <w:rPr>
          <w:lang w:val="en-GB"/>
        </w:rPr>
        <w:t xml:space="preserve">important </w:t>
      </w:r>
      <w:r w:rsidR="000F0E22" w:rsidRPr="00964945">
        <w:rPr>
          <w:lang w:val="en-GB"/>
        </w:rPr>
        <w:t>technologies of the future. E-commerce was</w:t>
      </w:r>
      <w:r w:rsidR="001F5F08" w:rsidRPr="00964945">
        <w:rPr>
          <w:lang w:val="en-GB"/>
        </w:rPr>
        <w:t xml:space="preserve"> also</w:t>
      </w:r>
      <w:r w:rsidR="000F0E22" w:rsidRPr="00964945">
        <w:rPr>
          <w:lang w:val="en-GB"/>
        </w:rPr>
        <w:t xml:space="preserve"> believed to be the next big thing in India</w:t>
      </w:r>
      <w:r w:rsidR="001F5F08" w:rsidRPr="00964945">
        <w:rPr>
          <w:lang w:val="en-GB"/>
        </w:rPr>
        <w:t xml:space="preserve">, </w:t>
      </w:r>
      <w:r w:rsidR="000F0E22" w:rsidRPr="00964945">
        <w:rPr>
          <w:lang w:val="en-GB"/>
        </w:rPr>
        <w:t xml:space="preserve">and </w:t>
      </w:r>
      <w:r w:rsidR="001F5F08" w:rsidRPr="00964945">
        <w:rPr>
          <w:lang w:val="en-GB"/>
        </w:rPr>
        <w:t xml:space="preserve">it </w:t>
      </w:r>
      <w:r w:rsidR="000F0E22" w:rsidRPr="00964945">
        <w:rPr>
          <w:lang w:val="en-GB"/>
        </w:rPr>
        <w:t xml:space="preserve">presented </w:t>
      </w:r>
      <w:r w:rsidR="001F5F08" w:rsidRPr="00964945">
        <w:rPr>
          <w:lang w:val="en-GB"/>
        </w:rPr>
        <w:t xml:space="preserve">a growing </w:t>
      </w:r>
      <w:r w:rsidR="000F0E22" w:rsidRPr="00964945">
        <w:rPr>
          <w:lang w:val="en-GB"/>
        </w:rPr>
        <w:t>need for data</w:t>
      </w:r>
      <w:r w:rsidR="003C5056">
        <w:rPr>
          <w:lang w:val="en-GB"/>
        </w:rPr>
        <w:t xml:space="preserve"> </w:t>
      </w:r>
      <w:r w:rsidR="000F0E22" w:rsidRPr="00964945">
        <w:rPr>
          <w:lang w:val="en-GB"/>
        </w:rPr>
        <w:t>analytics solutions.</w:t>
      </w:r>
    </w:p>
    <w:p w14:paraId="564C2F6B" w14:textId="77777777" w:rsidR="00DF72F5" w:rsidRPr="00964945" w:rsidRDefault="00DF72F5" w:rsidP="003B4E14">
      <w:pPr>
        <w:pStyle w:val="BodyTextMain"/>
        <w:rPr>
          <w:lang w:val="en-GB"/>
        </w:rPr>
      </w:pPr>
    </w:p>
    <w:p w14:paraId="3AF47504" w14:textId="58304C39" w:rsidR="000F0E22" w:rsidRPr="00964945" w:rsidRDefault="000F0E22" w:rsidP="003B4E14">
      <w:pPr>
        <w:pStyle w:val="BodyTextMain"/>
        <w:rPr>
          <w:lang w:val="en-GB"/>
        </w:rPr>
      </w:pPr>
      <w:r w:rsidRPr="00964945">
        <w:rPr>
          <w:lang w:val="en-GB"/>
        </w:rPr>
        <w:t xml:space="preserve">Singh, </w:t>
      </w:r>
      <w:r w:rsidR="0061618A" w:rsidRPr="00964945">
        <w:rPr>
          <w:lang w:val="en-GB"/>
        </w:rPr>
        <w:t>however</w:t>
      </w:r>
      <w:r w:rsidRPr="00964945">
        <w:rPr>
          <w:lang w:val="en-GB"/>
        </w:rPr>
        <w:t xml:space="preserve">, had always been passionate about creating social impact through technology. He suggested exploring ideas around analytics in the energy efficiency and healthcare domains. After initial deliberations, they </w:t>
      </w:r>
      <w:r w:rsidR="00E261BA" w:rsidRPr="00964945">
        <w:rPr>
          <w:lang w:val="en-GB"/>
        </w:rPr>
        <w:t xml:space="preserve">initially </w:t>
      </w:r>
      <w:r w:rsidR="0061618A" w:rsidRPr="00964945">
        <w:rPr>
          <w:lang w:val="en-GB"/>
        </w:rPr>
        <w:t>chose</w:t>
      </w:r>
      <w:r w:rsidRPr="00964945">
        <w:rPr>
          <w:lang w:val="en-GB"/>
        </w:rPr>
        <w:t xml:space="preserve"> </w:t>
      </w:r>
      <w:r w:rsidR="0061618A" w:rsidRPr="00964945">
        <w:rPr>
          <w:lang w:val="en-GB"/>
        </w:rPr>
        <w:t>“d</w:t>
      </w:r>
      <w:r w:rsidRPr="00964945">
        <w:rPr>
          <w:lang w:val="en-GB"/>
        </w:rPr>
        <w:t xml:space="preserve">ata </w:t>
      </w:r>
      <w:r w:rsidR="0061618A" w:rsidRPr="00964945">
        <w:rPr>
          <w:lang w:val="en-GB"/>
        </w:rPr>
        <w:t>a</w:t>
      </w:r>
      <w:r w:rsidRPr="00964945">
        <w:rPr>
          <w:lang w:val="en-GB"/>
        </w:rPr>
        <w:t>nalytics</w:t>
      </w:r>
      <w:r w:rsidR="0061618A" w:rsidRPr="00964945">
        <w:rPr>
          <w:lang w:val="en-GB"/>
        </w:rPr>
        <w:t>”</w:t>
      </w:r>
      <w:r w:rsidRPr="00964945">
        <w:rPr>
          <w:lang w:val="en-GB"/>
        </w:rPr>
        <w:t xml:space="preserve"> as the theme for their </w:t>
      </w:r>
      <w:r w:rsidR="0061618A" w:rsidRPr="00964945">
        <w:rPr>
          <w:lang w:val="en-GB"/>
        </w:rPr>
        <w:t xml:space="preserve">new </w:t>
      </w:r>
      <w:r w:rsidRPr="00964945">
        <w:rPr>
          <w:lang w:val="en-GB"/>
        </w:rPr>
        <w:t>venture</w:t>
      </w:r>
      <w:r w:rsidR="0046323F" w:rsidRPr="00964945">
        <w:rPr>
          <w:lang w:val="en-GB"/>
        </w:rPr>
        <w:t>,</w:t>
      </w:r>
      <w:r w:rsidR="0061618A" w:rsidRPr="00964945">
        <w:rPr>
          <w:lang w:val="en-GB"/>
        </w:rPr>
        <w:t xml:space="preserve"> but </w:t>
      </w:r>
      <w:r w:rsidRPr="00964945">
        <w:rPr>
          <w:lang w:val="en-GB"/>
        </w:rPr>
        <w:t>the target market and product were still to be narrowed down.</w:t>
      </w:r>
    </w:p>
    <w:p w14:paraId="43C40A04" w14:textId="77777777" w:rsidR="00DF72F5" w:rsidRPr="00964945" w:rsidRDefault="00DF72F5" w:rsidP="003B4E14">
      <w:pPr>
        <w:pStyle w:val="BodyTextMain"/>
        <w:rPr>
          <w:lang w:val="en-GB"/>
        </w:rPr>
      </w:pPr>
    </w:p>
    <w:p w14:paraId="4F39FF88" w14:textId="25669318" w:rsidR="000F0E22" w:rsidRPr="00964945" w:rsidRDefault="000F0E22" w:rsidP="003B4E14">
      <w:pPr>
        <w:pStyle w:val="BodyTextMain"/>
        <w:rPr>
          <w:lang w:val="en-GB"/>
        </w:rPr>
      </w:pPr>
      <w:r w:rsidRPr="00964945">
        <w:rPr>
          <w:lang w:val="en-GB"/>
        </w:rPr>
        <w:t>After further deliberations and market research, they ruled out the</w:t>
      </w:r>
      <w:r w:rsidR="007E231A" w:rsidRPr="00964945">
        <w:rPr>
          <w:lang w:val="en-GB"/>
        </w:rPr>
        <w:t xml:space="preserve"> </w:t>
      </w:r>
      <w:r w:rsidRPr="00964945">
        <w:rPr>
          <w:lang w:val="en-GB"/>
        </w:rPr>
        <w:t>e-commerce and healthcare markets. They f</w:t>
      </w:r>
      <w:r w:rsidR="007E231A" w:rsidRPr="00964945">
        <w:rPr>
          <w:lang w:val="en-GB"/>
        </w:rPr>
        <w:t>ound</w:t>
      </w:r>
      <w:r w:rsidRPr="00964945">
        <w:rPr>
          <w:lang w:val="en-GB"/>
        </w:rPr>
        <w:t xml:space="preserve"> that big e-commerce companies did their own analytics in-house rather than outsource it. In healthcare, doctors and hospitals were overburdened; collecting good</w:t>
      </w:r>
      <w:r w:rsidR="007E231A" w:rsidRPr="00964945">
        <w:rPr>
          <w:lang w:val="en-GB"/>
        </w:rPr>
        <w:t>-</w:t>
      </w:r>
      <w:r w:rsidRPr="00964945">
        <w:rPr>
          <w:lang w:val="en-GB"/>
        </w:rPr>
        <w:t xml:space="preserve">quality data from them was </w:t>
      </w:r>
      <w:r w:rsidR="007E231A" w:rsidRPr="00964945">
        <w:rPr>
          <w:lang w:val="en-GB"/>
        </w:rPr>
        <w:t xml:space="preserve">therefore </w:t>
      </w:r>
      <w:r w:rsidRPr="00964945">
        <w:rPr>
          <w:lang w:val="en-GB"/>
        </w:rPr>
        <w:t xml:space="preserve">going to be difficult. The energy sector was also tricky </w:t>
      </w:r>
      <w:r w:rsidR="007E231A" w:rsidRPr="00964945">
        <w:rPr>
          <w:lang w:val="en-GB"/>
        </w:rPr>
        <w:t>because</w:t>
      </w:r>
      <w:r w:rsidRPr="00964945">
        <w:rPr>
          <w:lang w:val="en-GB"/>
        </w:rPr>
        <w:t xml:space="preserve"> the supply side</w:t>
      </w:r>
      <w:r w:rsidR="0046323F" w:rsidRPr="00964945">
        <w:rPr>
          <w:lang w:val="en-GB"/>
        </w:rPr>
        <w:t>—</w:t>
      </w:r>
      <w:r w:rsidRPr="00964945">
        <w:rPr>
          <w:lang w:val="en-GB"/>
        </w:rPr>
        <w:t>generation and distribution of energy</w:t>
      </w:r>
      <w:r w:rsidR="0046323F" w:rsidRPr="00964945">
        <w:rPr>
          <w:lang w:val="en-GB"/>
        </w:rPr>
        <w:t>—</w:t>
      </w:r>
      <w:r w:rsidRPr="00964945">
        <w:rPr>
          <w:lang w:val="en-GB"/>
        </w:rPr>
        <w:t>was largely government owned. The demand side, however, presented an opportunity since increasing prices and consumption of energy in India could force consumers to adopt energy</w:t>
      </w:r>
      <w:r w:rsidR="003F2756" w:rsidRPr="00964945">
        <w:rPr>
          <w:lang w:val="en-GB"/>
        </w:rPr>
        <w:t>-</w:t>
      </w:r>
      <w:r w:rsidRPr="00964945">
        <w:rPr>
          <w:lang w:val="en-GB"/>
        </w:rPr>
        <w:t>saving solutions. Government had also recognized the need for being energy efficient and had been taking measures in this direction for many years (see Exhibit 4).</w:t>
      </w:r>
    </w:p>
    <w:p w14:paraId="52C115BE" w14:textId="77777777" w:rsidR="00DF72F5" w:rsidRPr="00964945" w:rsidRDefault="00DF72F5" w:rsidP="003B4E14">
      <w:pPr>
        <w:pStyle w:val="BodyTextMain"/>
        <w:rPr>
          <w:lang w:val="en-GB"/>
        </w:rPr>
      </w:pPr>
    </w:p>
    <w:p w14:paraId="7F0CDF84" w14:textId="7ECFA18F" w:rsidR="000F0E22" w:rsidRPr="00964945" w:rsidRDefault="000F0E22" w:rsidP="003B4E14">
      <w:pPr>
        <w:pStyle w:val="BodyTextMain"/>
        <w:rPr>
          <w:lang w:val="en-GB"/>
        </w:rPr>
      </w:pPr>
      <w:r w:rsidRPr="00964945">
        <w:rPr>
          <w:lang w:val="en-GB"/>
        </w:rPr>
        <w:t xml:space="preserve">Singh had done some research in the area of </w:t>
      </w:r>
      <w:r w:rsidR="000A1708" w:rsidRPr="00964945">
        <w:rPr>
          <w:lang w:val="en-GB"/>
        </w:rPr>
        <w:t>b</w:t>
      </w:r>
      <w:r w:rsidRPr="00964945">
        <w:rPr>
          <w:lang w:val="en-GB"/>
        </w:rPr>
        <w:t xml:space="preserve">uilding </w:t>
      </w:r>
      <w:r w:rsidR="000A1708" w:rsidRPr="00964945">
        <w:rPr>
          <w:lang w:val="en-GB"/>
        </w:rPr>
        <w:t>e</w:t>
      </w:r>
      <w:r w:rsidRPr="00964945">
        <w:rPr>
          <w:lang w:val="en-GB"/>
        </w:rPr>
        <w:t>nergy</w:t>
      </w:r>
      <w:r w:rsidR="0046323F" w:rsidRPr="00964945">
        <w:rPr>
          <w:lang w:val="en-GB"/>
        </w:rPr>
        <w:t>-</w:t>
      </w:r>
      <w:r w:rsidR="000A1708" w:rsidRPr="00964945">
        <w:rPr>
          <w:lang w:val="en-GB"/>
        </w:rPr>
        <w:t>e</w:t>
      </w:r>
      <w:r w:rsidRPr="00964945">
        <w:rPr>
          <w:lang w:val="en-GB"/>
        </w:rPr>
        <w:t>fficiency systems</w:t>
      </w:r>
      <w:r w:rsidR="0046323F" w:rsidRPr="00964945">
        <w:rPr>
          <w:lang w:val="en-GB"/>
        </w:rPr>
        <w:t>,</w:t>
      </w:r>
      <w:r w:rsidRPr="00964945">
        <w:rPr>
          <w:lang w:val="en-GB"/>
        </w:rPr>
        <w:t xml:space="preserve"> for which he had raised a grant of about $1 million from corporate</w:t>
      </w:r>
      <w:r w:rsidR="000A1708" w:rsidRPr="00964945">
        <w:rPr>
          <w:lang w:val="en-GB"/>
        </w:rPr>
        <w:t xml:space="preserve"> investors</w:t>
      </w:r>
      <w:r w:rsidRPr="00964945">
        <w:rPr>
          <w:lang w:val="en-GB"/>
        </w:rPr>
        <w:t xml:space="preserve"> and the U</w:t>
      </w:r>
      <w:r w:rsidR="005B2A67">
        <w:rPr>
          <w:lang w:val="en-GB"/>
        </w:rPr>
        <w:t>.</w:t>
      </w:r>
      <w:r w:rsidRPr="00964945">
        <w:rPr>
          <w:lang w:val="en-GB"/>
        </w:rPr>
        <w:t>S</w:t>
      </w:r>
      <w:r w:rsidR="005B2A67">
        <w:rPr>
          <w:lang w:val="en-GB"/>
        </w:rPr>
        <w:t>.</w:t>
      </w:r>
      <w:r w:rsidRPr="00964945">
        <w:rPr>
          <w:lang w:val="en-GB"/>
        </w:rPr>
        <w:t xml:space="preserve"> and Indian governments while he was at </w:t>
      </w:r>
      <w:r w:rsidR="00E20DDB">
        <w:rPr>
          <w:lang w:val="en-GB"/>
        </w:rPr>
        <w:t xml:space="preserve">the </w:t>
      </w:r>
      <w:proofErr w:type="spellStart"/>
      <w:r w:rsidR="00E20DDB">
        <w:rPr>
          <w:lang w:val="en-GB"/>
        </w:rPr>
        <w:t>Indraprastha</w:t>
      </w:r>
      <w:proofErr w:type="spellEnd"/>
      <w:r w:rsidR="00E20DDB">
        <w:rPr>
          <w:lang w:val="en-GB"/>
        </w:rPr>
        <w:t xml:space="preserve"> Institute of Information Technology, Delhi</w:t>
      </w:r>
      <w:bookmarkStart w:id="0" w:name="_GoBack"/>
      <w:bookmarkEnd w:id="0"/>
      <w:r w:rsidR="00E20DDB">
        <w:rPr>
          <w:lang w:val="en-GB"/>
        </w:rPr>
        <w:t xml:space="preserve"> (</w:t>
      </w:r>
      <w:r w:rsidRPr="00964945">
        <w:rPr>
          <w:lang w:val="en-GB"/>
        </w:rPr>
        <w:t>IIITD</w:t>
      </w:r>
      <w:r w:rsidR="00E20DDB">
        <w:rPr>
          <w:lang w:val="en-GB"/>
        </w:rPr>
        <w:t>)</w:t>
      </w:r>
      <w:r w:rsidRPr="00964945">
        <w:rPr>
          <w:lang w:val="en-GB"/>
        </w:rPr>
        <w:t>. In 2012</w:t>
      </w:r>
      <w:r w:rsidR="000A1708" w:rsidRPr="00964945">
        <w:rPr>
          <w:lang w:val="en-GB"/>
        </w:rPr>
        <w:t>–</w:t>
      </w:r>
      <w:r w:rsidRPr="00964945">
        <w:rPr>
          <w:lang w:val="en-GB"/>
        </w:rPr>
        <w:t xml:space="preserve">13, he had tested prototypes of an </w:t>
      </w:r>
      <w:proofErr w:type="spellStart"/>
      <w:r w:rsidRPr="00964945">
        <w:rPr>
          <w:lang w:val="en-GB"/>
        </w:rPr>
        <w:t>IoT</w:t>
      </w:r>
      <w:proofErr w:type="spellEnd"/>
      <w:r w:rsidR="000A1708" w:rsidRPr="00964945">
        <w:rPr>
          <w:lang w:val="en-GB"/>
        </w:rPr>
        <w:t>-</w:t>
      </w:r>
      <w:r w:rsidRPr="00964945">
        <w:rPr>
          <w:lang w:val="en-GB"/>
        </w:rPr>
        <w:t>based monitoring system in some</w:t>
      </w:r>
      <w:r w:rsidR="000A1708" w:rsidRPr="00964945">
        <w:rPr>
          <w:lang w:val="en-GB"/>
        </w:rPr>
        <w:t xml:space="preserve"> of the institute’s</w:t>
      </w:r>
      <w:r w:rsidRPr="00964945">
        <w:rPr>
          <w:lang w:val="en-GB"/>
        </w:rPr>
        <w:t xml:space="preserve"> buildings to collect real</w:t>
      </w:r>
      <w:r w:rsidR="000A1708" w:rsidRPr="00964945">
        <w:rPr>
          <w:lang w:val="en-GB"/>
        </w:rPr>
        <w:t>-</w:t>
      </w:r>
      <w:r w:rsidRPr="00964945">
        <w:rPr>
          <w:lang w:val="en-GB"/>
        </w:rPr>
        <w:t>time data on energy usage and performance. The experiment had resulted in data-based insights that led to significant savings for the institution in terms of energy costs.</w:t>
      </w:r>
    </w:p>
    <w:p w14:paraId="546BEF24" w14:textId="77777777" w:rsidR="00DF72F5" w:rsidRPr="00964945" w:rsidRDefault="00DF72F5" w:rsidP="003B4E14">
      <w:pPr>
        <w:pStyle w:val="BodyTextMain"/>
        <w:rPr>
          <w:lang w:val="en-GB"/>
        </w:rPr>
      </w:pPr>
    </w:p>
    <w:p w14:paraId="2BE7C65D" w14:textId="6B25BB49" w:rsidR="000F0E22" w:rsidRPr="00964945" w:rsidRDefault="000F0E22" w:rsidP="003B4E14">
      <w:pPr>
        <w:pStyle w:val="BodyTextMain"/>
        <w:rPr>
          <w:lang w:val="en-GB"/>
        </w:rPr>
      </w:pPr>
      <w:r w:rsidRPr="00964945">
        <w:rPr>
          <w:lang w:val="en-GB"/>
        </w:rPr>
        <w:t xml:space="preserve">Keeping in mind the prior expertise of Singh, and coupled with market opportunities, the trio chose </w:t>
      </w:r>
      <w:r w:rsidR="004D2D61" w:rsidRPr="00964945">
        <w:rPr>
          <w:lang w:val="en-GB"/>
        </w:rPr>
        <w:t>“</w:t>
      </w:r>
      <w:r w:rsidR="000E3CCD" w:rsidRPr="00964945">
        <w:rPr>
          <w:lang w:val="en-GB"/>
        </w:rPr>
        <w:t>e</w:t>
      </w:r>
      <w:r w:rsidRPr="00964945">
        <w:rPr>
          <w:lang w:val="en-GB"/>
        </w:rPr>
        <w:t xml:space="preserve">nergy </w:t>
      </w:r>
      <w:r w:rsidR="004D2D61" w:rsidRPr="00964945">
        <w:rPr>
          <w:lang w:val="en-GB"/>
        </w:rPr>
        <w:t>d</w:t>
      </w:r>
      <w:r w:rsidRPr="00964945">
        <w:rPr>
          <w:lang w:val="en-GB"/>
        </w:rPr>
        <w:t xml:space="preserve">ata </w:t>
      </w:r>
      <w:r w:rsidR="004D2D61" w:rsidRPr="00964945">
        <w:rPr>
          <w:lang w:val="en-GB"/>
        </w:rPr>
        <w:t>a</w:t>
      </w:r>
      <w:r w:rsidRPr="00964945">
        <w:rPr>
          <w:lang w:val="en-GB"/>
        </w:rPr>
        <w:t>nalytics</w:t>
      </w:r>
      <w:r w:rsidR="004D2D61" w:rsidRPr="00964945">
        <w:rPr>
          <w:lang w:val="en-GB"/>
        </w:rPr>
        <w:t>”</w:t>
      </w:r>
      <w:r w:rsidRPr="00964945">
        <w:rPr>
          <w:lang w:val="en-GB"/>
        </w:rPr>
        <w:t xml:space="preserve"> as the </w:t>
      </w:r>
      <w:r w:rsidR="00E261BA" w:rsidRPr="00964945">
        <w:rPr>
          <w:lang w:val="en-GB"/>
        </w:rPr>
        <w:t xml:space="preserve">final </w:t>
      </w:r>
      <w:r w:rsidRPr="00964945">
        <w:rPr>
          <w:lang w:val="en-GB"/>
        </w:rPr>
        <w:t>theme for their start</w:t>
      </w:r>
      <w:r w:rsidR="005B2A67">
        <w:rPr>
          <w:lang w:val="en-GB"/>
        </w:rPr>
        <w:t>-</w:t>
      </w:r>
      <w:r w:rsidRPr="00964945">
        <w:rPr>
          <w:lang w:val="en-GB"/>
        </w:rPr>
        <w:t>up venture</w:t>
      </w:r>
      <w:r w:rsidR="004D2D61" w:rsidRPr="00964945">
        <w:rPr>
          <w:lang w:val="en-GB"/>
        </w:rPr>
        <w:t>,</w:t>
      </w:r>
      <w:r w:rsidRPr="00964945">
        <w:rPr>
          <w:lang w:val="en-GB"/>
        </w:rPr>
        <w:t xml:space="preserve"> which they named </w:t>
      </w:r>
      <w:proofErr w:type="spellStart"/>
      <w:r w:rsidRPr="00964945">
        <w:rPr>
          <w:lang w:val="en-GB"/>
        </w:rPr>
        <w:t>Zenatix</w:t>
      </w:r>
      <w:proofErr w:type="spellEnd"/>
      <w:r w:rsidRPr="00964945">
        <w:rPr>
          <w:lang w:val="en-GB"/>
        </w:rPr>
        <w:t xml:space="preserve">. In December 2013, </w:t>
      </w:r>
      <w:proofErr w:type="spellStart"/>
      <w:r w:rsidRPr="00964945">
        <w:rPr>
          <w:lang w:val="en-GB"/>
        </w:rPr>
        <w:t>Zenatix</w:t>
      </w:r>
      <w:proofErr w:type="spellEnd"/>
      <w:r w:rsidRPr="00964945">
        <w:rPr>
          <w:lang w:val="en-GB"/>
        </w:rPr>
        <w:t xml:space="preserve"> was registered as a private limited company in India, a parallel of LLC in the </w:t>
      </w:r>
      <w:r w:rsidR="005B2A67" w:rsidRPr="00964945">
        <w:rPr>
          <w:lang w:val="en-GB"/>
        </w:rPr>
        <w:t>U</w:t>
      </w:r>
      <w:r w:rsidR="005B2A67">
        <w:rPr>
          <w:lang w:val="en-GB"/>
        </w:rPr>
        <w:t>nited States</w:t>
      </w:r>
      <w:r w:rsidRPr="00964945">
        <w:rPr>
          <w:lang w:val="en-GB"/>
        </w:rPr>
        <w:t>. An existing tested prototype gave them a confident head start.</w:t>
      </w:r>
    </w:p>
    <w:p w14:paraId="093AEB1B" w14:textId="77777777" w:rsidR="003B4E14" w:rsidRPr="00964945" w:rsidRDefault="003B4E14" w:rsidP="00295D78">
      <w:pPr>
        <w:pStyle w:val="BodyTextMain"/>
        <w:rPr>
          <w:lang w:val="en-GB"/>
        </w:rPr>
      </w:pPr>
    </w:p>
    <w:p w14:paraId="345A1119" w14:textId="77777777" w:rsidR="003B4E14" w:rsidRPr="00964945" w:rsidRDefault="003B4E14" w:rsidP="00295D78">
      <w:pPr>
        <w:pStyle w:val="BodyTextMain"/>
        <w:rPr>
          <w:lang w:val="en-GB"/>
        </w:rPr>
      </w:pPr>
    </w:p>
    <w:p w14:paraId="75B1978D" w14:textId="77777777" w:rsidR="000F0E22" w:rsidRPr="00964945" w:rsidRDefault="000F0E22" w:rsidP="003B4E14">
      <w:pPr>
        <w:pStyle w:val="Casehead1"/>
        <w:rPr>
          <w:lang w:val="en-GB"/>
        </w:rPr>
      </w:pPr>
      <w:r w:rsidRPr="00964945">
        <w:rPr>
          <w:lang w:val="en-GB"/>
        </w:rPr>
        <w:t>WATTMAN I: INITIAL TRACTION</w:t>
      </w:r>
    </w:p>
    <w:p w14:paraId="7E4EBEF3" w14:textId="77777777" w:rsidR="003B4E14" w:rsidRPr="00964945" w:rsidRDefault="003B4E14" w:rsidP="008D39A5">
      <w:pPr>
        <w:pStyle w:val="BodyTextMain"/>
        <w:rPr>
          <w:lang w:val="en-GB"/>
        </w:rPr>
      </w:pPr>
    </w:p>
    <w:p w14:paraId="390FFE26" w14:textId="1CDC684E" w:rsidR="000F0E22" w:rsidRPr="00964945" w:rsidRDefault="000F0E22" w:rsidP="003B4E14">
      <w:pPr>
        <w:pStyle w:val="BodyTextMain"/>
        <w:rPr>
          <w:lang w:val="en-GB"/>
        </w:rPr>
      </w:pPr>
      <w:r w:rsidRPr="00964945">
        <w:rPr>
          <w:lang w:val="en-GB"/>
        </w:rPr>
        <w:t xml:space="preserve">In January 2014, </w:t>
      </w:r>
      <w:proofErr w:type="spellStart"/>
      <w:r w:rsidRPr="00964945">
        <w:rPr>
          <w:lang w:val="en-GB"/>
        </w:rPr>
        <w:t>Zenatix</w:t>
      </w:r>
      <w:proofErr w:type="spellEnd"/>
      <w:r w:rsidRPr="00964945">
        <w:rPr>
          <w:lang w:val="en-GB"/>
        </w:rPr>
        <w:t xml:space="preserve"> started building the product </w:t>
      </w:r>
      <w:r w:rsidRPr="00964945">
        <w:rPr>
          <w:bCs/>
          <w:lang w:val="en-GB"/>
        </w:rPr>
        <w:t xml:space="preserve">with </w:t>
      </w:r>
      <w:r w:rsidRPr="00964945">
        <w:rPr>
          <w:lang w:val="en-GB"/>
        </w:rPr>
        <w:t>one full</w:t>
      </w:r>
      <w:r w:rsidR="001F48B2" w:rsidRPr="00964945">
        <w:rPr>
          <w:lang w:val="en-GB"/>
        </w:rPr>
        <w:t>-</w:t>
      </w:r>
      <w:r w:rsidRPr="00964945">
        <w:rPr>
          <w:lang w:val="en-GB"/>
        </w:rPr>
        <w:t>time employee, a former student of Singh</w:t>
      </w:r>
      <w:r w:rsidR="001F48B2" w:rsidRPr="00964945">
        <w:rPr>
          <w:lang w:val="en-GB"/>
        </w:rPr>
        <w:t>’s</w:t>
      </w:r>
      <w:r w:rsidRPr="00964945">
        <w:rPr>
          <w:lang w:val="en-GB"/>
        </w:rPr>
        <w:t xml:space="preserve">, and a couple of interns. By </w:t>
      </w:r>
      <w:r w:rsidRPr="00964945">
        <w:rPr>
          <w:bCs/>
          <w:lang w:val="en-GB"/>
        </w:rPr>
        <w:t xml:space="preserve">March, </w:t>
      </w:r>
      <w:proofErr w:type="spellStart"/>
      <w:r w:rsidRPr="00964945">
        <w:rPr>
          <w:bCs/>
          <w:lang w:val="en-GB"/>
        </w:rPr>
        <w:t>WattMan</w:t>
      </w:r>
      <w:proofErr w:type="spellEnd"/>
      <w:r w:rsidRPr="00964945">
        <w:rPr>
          <w:bCs/>
          <w:lang w:val="en-GB"/>
        </w:rPr>
        <w:t xml:space="preserve"> I was ready for deployment. </w:t>
      </w:r>
      <w:proofErr w:type="spellStart"/>
      <w:r w:rsidRPr="00964945">
        <w:rPr>
          <w:bCs/>
          <w:lang w:val="en-GB"/>
        </w:rPr>
        <w:t>WattMan</w:t>
      </w:r>
      <w:proofErr w:type="spellEnd"/>
      <w:r w:rsidRPr="00964945">
        <w:rPr>
          <w:bCs/>
          <w:lang w:val="en-GB"/>
        </w:rPr>
        <w:t xml:space="preserve"> was a hardware product consisting of energy meters, sensors</w:t>
      </w:r>
      <w:r w:rsidR="001F48B2" w:rsidRPr="00964945">
        <w:rPr>
          <w:bCs/>
          <w:lang w:val="en-GB"/>
        </w:rPr>
        <w:t>,</w:t>
      </w:r>
      <w:r w:rsidRPr="00964945">
        <w:rPr>
          <w:bCs/>
          <w:lang w:val="en-GB"/>
        </w:rPr>
        <w:t xml:space="preserve"> and battery monitors connected to</w:t>
      </w:r>
      <w:r w:rsidR="000B45D6" w:rsidRPr="00964945">
        <w:rPr>
          <w:bCs/>
          <w:lang w:val="en-GB"/>
        </w:rPr>
        <w:t xml:space="preserve"> a</w:t>
      </w:r>
      <w:r w:rsidRPr="00964945">
        <w:rPr>
          <w:bCs/>
          <w:lang w:val="en-GB"/>
        </w:rPr>
        <w:t xml:space="preserve"> </w:t>
      </w:r>
      <w:proofErr w:type="spellStart"/>
      <w:r w:rsidRPr="00964945">
        <w:rPr>
          <w:bCs/>
          <w:lang w:val="en-GB"/>
        </w:rPr>
        <w:t>zSmart</w:t>
      </w:r>
      <w:proofErr w:type="spellEnd"/>
      <w:r w:rsidRPr="00964945">
        <w:rPr>
          <w:bCs/>
          <w:lang w:val="en-GB"/>
        </w:rPr>
        <w:t xml:space="preserve"> Controller, a gateway device that collected usage and performance data from meters and sensors every </w:t>
      </w:r>
      <w:r w:rsidR="001F48B2" w:rsidRPr="00964945">
        <w:rPr>
          <w:bCs/>
          <w:lang w:val="en-GB"/>
        </w:rPr>
        <w:t>30</w:t>
      </w:r>
      <w:r w:rsidRPr="00964945">
        <w:rPr>
          <w:bCs/>
          <w:lang w:val="en-GB"/>
        </w:rPr>
        <w:t xml:space="preserve"> seconds </w:t>
      </w:r>
      <w:r w:rsidR="001F48B2" w:rsidRPr="00964945">
        <w:rPr>
          <w:bCs/>
          <w:lang w:val="en-GB"/>
        </w:rPr>
        <w:t>(</w:t>
      </w:r>
      <w:r w:rsidRPr="00964945">
        <w:rPr>
          <w:bCs/>
          <w:lang w:val="en-GB"/>
        </w:rPr>
        <w:t>see Exhibit 5</w:t>
      </w:r>
      <w:r w:rsidR="001F48B2" w:rsidRPr="00964945">
        <w:rPr>
          <w:bCs/>
          <w:lang w:val="en-GB"/>
        </w:rPr>
        <w:t>)</w:t>
      </w:r>
      <w:r w:rsidRPr="00964945">
        <w:rPr>
          <w:bCs/>
          <w:lang w:val="en-GB"/>
        </w:rPr>
        <w:t>. The gateway published this data to a cloud stack</w:t>
      </w:r>
      <w:r w:rsidR="000B45D6" w:rsidRPr="00964945">
        <w:rPr>
          <w:lang w:val="en-GB"/>
        </w:rPr>
        <w:t>—</w:t>
      </w:r>
      <w:r w:rsidRPr="00964945">
        <w:rPr>
          <w:bCs/>
          <w:lang w:val="en-GB"/>
        </w:rPr>
        <w:t>an open</w:t>
      </w:r>
      <w:r w:rsidR="001F48B2" w:rsidRPr="00964945">
        <w:rPr>
          <w:bCs/>
          <w:lang w:val="en-GB"/>
        </w:rPr>
        <w:t>-</w:t>
      </w:r>
      <w:r w:rsidRPr="00964945">
        <w:rPr>
          <w:bCs/>
          <w:lang w:val="en-GB"/>
        </w:rPr>
        <w:t>source software platform that provided infrastructure to store, manage</w:t>
      </w:r>
      <w:r w:rsidR="001F48B2" w:rsidRPr="00964945">
        <w:rPr>
          <w:bCs/>
          <w:lang w:val="en-GB"/>
        </w:rPr>
        <w:t>,</w:t>
      </w:r>
      <w:r w:rsidRPr="00964945">
        <w:rPr>
          <w:bCs/>
          <w:lang w:val="en-GB"/>
        </w:rPr>
        <w:t xml:space="preserve"> and perform computing operations on data on a remote </w:t>
      </w:r>
      <w:r w:rsidR="007A11F8" w:rsidRPr="00964945">
        <w:rPr>
          <w:bCs/>
          <w:lang w:val="en-GB"/>
        </w:rPr>
        <w:t>virtual</w:t>
      </w:r>
      <w:r w:rsidR="00964945">
        <w:rPr>
          <w:bCs/>
          <w:lang w:val="en-GB"/>
        </w:rPr>
        <w:t xml:space="preserve"> </w:t>
      </w:r>
      <w:r w:rsidRPr="00964945">
        <w:rPr>
          <w:bCs/>
          <w:lang w:val="en-GB"/>
        </w:rPr>
        <w:t>server</w:t>
      </w:r>
      <w:r w:rsidR="000B45D6" w:rsidRPr="00964945">
        <w:rPr>
          <w:lang w:val="en-GB"/>
        </w:rPr>
        <w:t>—</w:t>
      </w:r>
      <w:r w:rsidRPr="00964945">
        <w:rPr>
          <w:bCs/>
          <w:lang w:val="en-GB"/>
        </w:rPr>
        <w:t xml:space="preserve">where it could be </w:t>
      </w:r>
      <w:proofErr w:type="spellStart"/>
      <w:r w:rsidRPr="00964945">
        <w:rPr>
          <w:bCs/>
          <w:lang w:val="en-GB"/>
        </w:rPr>
        <w:t>analyzed</w:t>
      </w:r>
      <w:proofErr w:type="spellEnd"/>
      <w:r w:rsidRPr="00964945">
        <w:rPr>
          <w:bCs/>
          <w:lang w:val="en-GB"/>
        </w:rPr>
        <w:t xml:space="preserve"> to provide </w:t>
      </w:r>
      <w:r w:rsidR="001F48B2" w:rsidRPr="00964945">
        <w:rPr>
          <w:bCs/>
          <w:lang w:val="en-GB"/>
        </w:rPr>
        <w:t xml:space="preserve">a </w:t>
      </w:r>
      <w:r w:rsidRPr="00964945">
        <w:rPr>
          <w:bCs/>
          <w:lang w:val="en-GB"/>
        </w:rPr>
        <w:t xml:space="preserve">breakdown of energy consumption for each electrical asset at different times of the day. </w:t>
      </w:r>
      <w:proofErr w:type="spellStart"/>
      <w:r w:rsidRPr="00964945">
        <w:rPr>
          <w:lang w:val="en-GB"/>
        </w:rPr>
        <w:t>Zenatix</w:t>
      </w:r>
      <w:proofErr w:type="spellEnd"/>
      <w:r w:rsidRPr="00964945">
        <w:rPr>
          <w:lang w:val="en-GB"/>
        </w:rPr>
        <w:t xml:space="preserve"> bought various sensors of</w:t>
      </w:r>
      <w:r w:rsidR="001F48B2" w:rsidRPr="00964945">
        <w:rPr>
          <w:lang w:val="en-GB"/>
        </w:rPr>
        <w:t>f</w:t>
      </w:r>
      <w:r w:rsidR="005B2A67">
        <w:rPr>
          <w:lang w:val="en-GB"/>
        </w:rPr>
        <w:t xml:space="preserve"> </w:t>
      </w:r>
      <w:r w:rsidRPr="00964945">
        <w:rPr>
          <w:lang w:val="en-GB"/>
        </w:rPr>
        <w:t>the</w:t>
      </w:r>
      <w:r w:rsidR="005B2A67">
        <w:rPr>
          <w:lang w:val="en-GB"/>
        </w:rPr>
        <w:t xml:space="preserve"> </w:t>
      </w:r>
      <w:r w:rsidRPr="00964945">
        <w:rPr>
          <w:lang w:val="en-GB"/>
        </w:rPr>
        <w:t>shelf</w:t>
      </w:r>
      <w:r w:rsidR="005B2A67">
        <w:rPr>
          <w:lang w:val="en-GB"/>
        </w:rPr>
        <w:t>,</w:t>
      </w:r>
      <w:r w:rsidRPr="00964945">
        <w:rPr>
          <w:lang w:val="en-GB"/>
        </w:rPr>
        <w:t xml:space="preserve"> while the gateway device was </w:t>
      </w:r>
      <w:r w:rsidR="001F48B2" w:rsidRPr="00964945">
        <w:rPr>
          <w:lang w:val="en-GB"/>
        </w:rPr>
        <w:t>built</w:t>
      </w:r>
      <w:r w:rsidRPr="00964945">
        <w:rPr>
          <w:lang w:val="en-GB"/>
        </w:rPr>
        <w:t xml:space="preserve"> in-house by </w:t>
      </w:r>
      <w:r w:rsidR="001F48B2" w:rsidRPr="00964945">
        <w:rPr>
          <w:lang w:val="en-GB"/>
        </w:rPr>
        <w:t xml:space="preserve">the </w:t>
      </w:r>
      <w:r w:rsidRPr="00964945">
        <w:rPr>
          <w:lang w:val="en-GB"/>
        </w:rPr>
        <w:t>tech team.</w:t>
      </w:r>
    </w:p>
    <w:p w14:paraId="127D88FE" w14:textId="77777777" w:rsidR="00DF72F5" w:rsidRPr="00964945" w:rsidRDefault="00DF72F5" w:rsidP="003B4E14">
      <w:pPr>
        <w:pStyle w:val="BodyTextMain"/>
        <w:rPr>
          <w:bCs/>
          <w:lang w:val="en-GB"/>
        </w:rPr>
      </w:pPr>
    </w:p>
    <w:p w14:paraId="3595D072" w14:textId="4E9A2C56" w:rsidR="000F0E22" w:rsidRPr="00964945" w:rsidRDefault="000F0E22" w:rsidP="003B4E14">
      <w:pPr>
        <w:pStyle w:val="BodyTextMain"/>
        <w:rPr>
          <w:lang w:val="en-GB"/>
        </w:rPr>
      </w:pPr>
      <w:proofErr w:type="spellStart"/>
      <w:r w:rsidRPr="00964945">
        <w:rPr>
          <w:lang w:val="en-GB"/>
        </w:rPr>
        <w:lastRenderedPageBreak/>
        <w:t>Zenatix</w:t>
      </w:r>
      <w:proofErr w:type="spellEnd"/>
      <w:r w:rsidRPr="00964945">
        <w:rPr>
          <w:lang w:val="en-GB"/>
        </w:rPr>
        <w:t xml:space="preserve"> targeted industrial clients that used heavy machinery and large manufacturing unit</w:t>
      </w:r>
      <w:r w:rsidR="003F048F" w:rsidRPr="00964945">
        <w:rPr>
          <w:lang w:val="en-GB"/>
        </w:rPr>
        <w:t>s</w:t>
      </w:r>
      <w:r w:rsidRPr="00964945">
        <w:rPr>
          <w:lang w:val="en-GB"/>
        </w:rPr>
        <w:t xml:space="preserve"> </w:t>
      </w:r>
      <w:r w:rsidR="003F048F" w:rsidRPr="00964945">
        <w:rPr>
          <w:lang w:val="en-GB"/>
        </w:rPr>
        <w:t>because</w:t>
      </w:r>
      <w:r w:rsidRPr="00964945">
        <w:rPr>
          <w:lang w:val="en-GB"/>
        </w:rPr>
        <w:t xml:space="preserve"> power consumption w</w:t>
      </w:r>
      <w:r w:rsidR="003F048F" w:rsidRPr="00964945">
        <w:rPr>
          <w:lang w:val="en-GB"/>
        </w:rPr>
        <w:t>ould</w:t>
      </w:r>
      <w:r w:rsidRPr="00964945">
        <w:rPr>
          <w:lang w:val="en-GB"/>
        </w:rPr>
        <w:t xml:space="preserve"> be very high for such clients. Industrial</w:t>
      </w:r>
      <w:r w:rsidR="003F048F" w:rsidRPr="00964945">
        <w:rPr>
          <w:lang w:val="en-GB"/>
        </w:rPr>
        <w:t xml:space="preserve"> </w:t>
      </w:r>
      <w:r w:rsidRPr="00964945">
        <w:rPr>
          <w:lang w:val="en-GB"/>
        </w:rPr>
        <w:t xml:space="preserve">units </w:t>
      </w:r>
      <w:r w:rsidR="003F048F" w:rsidRPr="00964945">
        <w:rPr>
          <w:lang w:val="en-GB"/>
        </w:rPr>
        <w:t>would</w:t>
      </w:r>
      <w:r w:rsidRPr="00964945">
        <w:rPr>
          <w:lang w:val="en-GB"/>
        </w:rPr>
        <w:t xml:space="preserve"> </w:t>
      </w:r>
      <w:r w:rsidR="003F048F" w:rsidRPr="00964945">
        <w:rPr>
          <w:lang w:val="en-GB"/>
        </w:rPr>
        <w:t>be highly motivated</w:t>
      </w:r>
      <w:r w:rsidRPr="00964945">
        <w:rPr>
          <w:lang w:val="en-GB"/>
        </w:rPr>
        <w:t xml:space="preserve"> to reduce these expenses. </w:t>
      </w:r>
      <w:r w:rsidR="005B2A67">
        <w:rPr>
          <w:lang w:val="en-GB"/>
        </w:rPr>
        <w:t>However,</w:t>
      </w:r>
      <w:r w:rsidR="005B2A67" w:rsidRPr="00964945">
        <w:rPr>
          <w:lang w:val="en-GB"/>
        </w:rPr>
        <w:t xml:space="preserve"> </w:t>
      </w:r>
      <w:r w:rsidR="003F048F" w:rsidRPr="00964945">
        <w:rPr>
          <w:lang w:val="en-GB"/>
        </w:rPr>
        <w:t>the only data</w:t>
      </w:r>
      <w:r w:rsidRPr="00964945">
        <w:rPr>
          <w:lang w:val="en-GB"/>
        </w:rPr>
        <w:t xml:space="preserve"> they had access to </w:t>
      </w:r>
      <w:proofErr w:type="gramStart"/>
      <w:r w:rsidRPr="00964945">
        <w:rPr>
          <w:lang w:val="en-GB"/>
        </w:rPr>
        <w:t>was</w:t>
      </w:r>
      <w:proofErr w:type="gramEnd"/>
      <w:r w:rsidRPr="00964945">
        <w:rPr>
          <w:lang w:val="en-GB"/>
        </w:rPr>
        <w:t xml:space="preserve"> an electricity bill that gave no clue </w:t>
      </w:r>
      <w:r w:rsidR="003F048F" w:rsidRPr="00964945">
        <w:rPr>
          <w:lang w:val="en-GB"/>
        </w:rPr>
        <w:t>as to</w:t>
      </w:r>
      <w:r w:rsidRPr="00964945">
        <w:rPr>
          <w:lang w:val="en-GB"/>
        </w:rPr>
        <w:t xml:space="preserve"> where they were consuming more or what they could do to consume less. There was lack of understanding as to which electrical assets were the major consumers of electricity and at what time</w:t>
      </w:r>
      <w:r w:rsidR="00851A51" w:rsidRPr="00964945">
        <w:rPr>
          <w:lang w:val="en-GB"/>
        </w:rPr>
        <w:t>s</w:t>
      </w:r>
      <w:r w:rsidRPr="00964945">
        <w:rPr>
          <w:lang w:val="en-GB"/>
        </w:rPr>
        <w:t xml:space="preserve"> of the day. </w:t>
      </w:r>
      <w:proofErr w:type="spellStart"/>
      <w:r w:rsidRPr="00964945">
        <w:rPr>
          <w:lang w:val="en-GB"/>
        </w:rPr>
        <w:t>WattMan</w:t>
      </w:r>
      <w:proofErr w:type="spellEnd"/>
      <w:r w:rsidR="003F048F" w:rsidRPr="00964945">
        <w:rPr>
          <w:lang w:val="en-GB"/>
        </w:rPr>
        <w:t xml:space="preserve"> I</w:t>
      </w:r>
      <w:r w:rsidRPr="00964945">
        <w:rPr>
          <w:lang w:val="en-GB"/>
        </w:rPr>
        <w:t xml:space="preserve"> precisely answered these questions by providing insights on energy consumption by </w:t>
      </w:r>
      <w:r w:rsidR="00851A51" w:rsidRPr="00964945">
        <w:rPr>
          <w:lang w:val="en-GB"/>
        </w:rPr>
        <w:t>each</w:t>
      </w:r>
      <w:r w:rsidRPr="00964945">
        <w:rPr>
          <w:lang w:val="en-GB"/>
        </w:rPr>
        <w:t xml:space="preserve"> individual electrical asset. </w:t>
      </w:r>
    </w:p>
    <w:p w14:paraId="74FD2394" w14:textId="77777777" w:rsidR="00DF72F5" w:rsidRPr="00964945" w:rsidRDefault="00DF72F5" w:rsidP="003B4E14">
      <w:pPr>
        <w:pStyle w:val="BodyTextMain"/>
        <w:rPr>
          <w:lang w:val="en-GB"/>
        </w:rPr>
      </w:pPr>
    </w:p>
    <w:p w14:paraId="4F6A7AAF" w14:textId="33FFA6FC" w:rsidR="000F0E22" w:rsidRPr="00964945" w:rsidRDefault="000F0E22" w:rsidP="003B4E14">
      <w:pPr>
        <w:pStyle w:val="BodyTextMain"/>
        <w:rPr>
          <w:spacing w:val="-2"/>
          <w:kern w:val="22"/>
          <w:lang w:val="en-GB"/>
        </w:rPr>
      </w:pPr>
      <w:r w:rsidRPr="00964945">
        <w:rPr>
          <w:spacing w:val="-2"/>
          <w:kern w:val="22"/>
          <w:lang w:val="en-GB"/>
        </w:rPr>
        <w:t xml:space="preserve">In March 2014, </w:t>
      </w:r>
      <w:proofErr w:type="spellStart"/>
      <w:r w:rsidRPr="00964945">
        <w:rPr>
          <w:spacing w:val="-2"/>
          <w:kern w:val="22"/>
          <w:lang w:val="en-GB"/>
        </w:rPr>
        <w:t>Zenatix</w:t>
      </w:r>
      <w:proofErr w:type="spellEnd"/>
      <w:r w:rsidRPr="00964945">
        <w:rPr>
          <w:spacing w:val="-2"/>
          <w:kern w:val="22"/>
          <w:lang w:val="en-GB"/>
        </w:rPr>
        <w:t xml:space="preserve"> was able to </w:t>
      </w:r>
      <w:proofErr w:type="spellStart"/>
      <w:r w:rsidRPr="00964945">
        <w:rPr>
          <w:spacing w:val="-2"/>
          <w:kern w:val="22"/>
          <w:lang w:val="en-GB"/>
        </w:rPr>
        <w:t>onboard</w:t>
      </w:r>
      <w:proofErr w:type="spellEnd"/>
      <w:r w:rsidRPr="00964945">
        <w:rPr>
          <w:spacing w:val="-2"/>
          <w:kern w:val="22"/>
          <w:lang w:val="en-GB"/>
        </w:rPr>
        <w:t xml:space="preserve"> an industrial client in Delhi. Over the next eight months, </w:t>
      </w:r>
      <w:proofErr w:type="spellStart"/>
      <w:r w:rsidRPr="00964945">
        <w:rPr>
          <w:spacing w:val="-2"/>
          <w:kern w:val="22"/>
          <w:lang w:val="en-GB"/>
        </w:rPr>
        <w:t>Zenatix</w:t>
      </w:r>
      <w:proofErr w:type="spellEnd"/>
      <w:r w:rsidRPr="00964945">
        <w:rPr>
          <w:spacing w:val="-2"/>
          <w:kern w:val="22"/>
          <w:lang w:val="en-GB"/>
        </w:rPr>
        <w:t xml:space="preserve"> improved the product and started developing business in</w:t>
      </w:r>
      <w:r w:rsidR="00E311C2" w:rsidRPr="00964945">
        <w:rPr>
          <w:spacing w:val="-2"/>
          <w:kern w:val="22"/>
          <w:lang w:val="en-GB"/>
        </w:rPr>
        <w:t xml:space="preserve"> the</w:t>
      </w:r>
      <w:r w:rsidRPr="00964945">
        <w:rPr>
          <w:spacing w:val="-2"/>
          <w:kern w:val="22"/>
          <w:lang w:val="en-GB"/>
        </w:rPr>
        <w:t xml:space="preserve"> National Capital Region</w:t>
      </w:r>
      <w:r w:rsidR="00E311C2" w:rsidRPr="00964945">
        <w:rPr>
          <w:spacing w:val="-2"/>
          <w:kern w:val="22"/>
          <w:lang w:val="en-GB"/>
        </w:rPr>
        <w:t>, which</w:t>
      </w:r>
      <w:r w:rsidRPr="00964945">
        <w:rPr>
          <w:spacing w:val="-2"/>
          <w:kern w:val="22"/>
          <w:lang w:val="en-GB"/>
        </w:rPr>
        <w:t xml:space="preserve"> included Delhi, the national capital</w:t>
      </w:r>
      <w:r w:rsidR="00E311C2" w:rsidRPr="00964945">
        <w:rPr>
          <w:spacing w:val="-2"/>
          <w:kern w:val="22"/>
          <w:lang w:val="en-GB"/>
        </w:rPr>
        <w:t>,</w:t>
      </w:r>
      <w:r w:rsidRPr="00964945">
        <w:rPr>
          <w:spacing w:val="-2"/>
          <w:kern w:val="22"/>
          <w:lang w:val="en-GB"/>
        </w:rPr>
        <w:t xml:space="preserve"> and </w:t>
      </w:r>
      <w:r w:rsidR="00E311C2" w:rsidRPr="00964945">
        <w:rPr>
          <w:spacing w:val="-2"/>
          <w:kern w:val="22"/>
          <w:lang w:val="en-GB"/>
        </w:rPr>
        <w:t xml:space="preserve">the </w:t>
      </w:r>
      <w:r w:rsidRPr="00964945">
        <w:rPr>
          <w:spacing w:val="-2"/>
          <w:kern w:val="22"/>
          <w:lang w:val="en-GB"/>
        </w:rPr>
        <w:t xml:space="preserve">two adjoining cities of Noida and Gurgaon. After </w:t>
      </w:r>
      <w:proofErr w:type="spellStart"/>
      <w:r w:rsidRPr="00964945">
        <w:rPr>
          <w:spacing w:val="-2"/>
          <w:kern w:val="22"/>
          <w:lang w:val="en-GB"/>
        </w:rPr>
        <w:t>onboarding</w:t>
      </w:r>
      <w:proofErr w:type="spellEnd"/>
      <w:r w:rsidRPr="00964945">
        <w:rPr>
          <w:spacing w:val="-2"/>
          <w:kern w:val="22"/>
          <w:lang w:val="en-GB"/>
        </w:rPr>
        <w:t xml:space="preserve"> </w:t>
      </w:r>
      <w:r w:rsidR="00E311C2" w:rsidRPr="00964945">
        <w:rPr>
          <w:spacing w:val="-2"/>
          <w:kern w:val="22"/>
          <w:lang w:val="en-GB"/>
        </w:rPr>
        <w:t xml:space="preserve">a </w:t>
      </w:r>
      <w:r w:rsidRPr="00964945">
        <w:rPr>
          <w:spacing w:val="-2"/>
          <w:kern w:val="22"/>
          <w:lang w:val="en-GB"/>
        </w:rPr>
        <w:t xml:space="preserve">few industrial clients, </w:t>
      </w:r>
      <w:proofErr w:type="spellStart"/>
      <w:r w:rsidR="00E311C2" w:rsidRPr="00964945">
        <w:rPr>
          <w:spacing w:val="-2"/>
          <w:kern w:val="22"/>
          <w:lang w:val="en-GB"/>
        </w:rPr>
        <w:t>Zenatix</w:t>
      </w:r>
      <w:proofErr w:type="spellEnd"/>
      <w:r w:rsidRPr="00964945">
        <w:rPr>
          <w:spacing w:val="-2"/>
          <w:kern w:val="22"/>
          <w:lang w:val="en-GB"/>
        </w:rPr>
        <w:t xml:space="preserve"> fac</w:t>
      </w:r>
      <w:r w:rsidR="00E311C2" w:rsidRPr="00964945">
        <w:rPr>
          <w:spacing w:val="-2"/>
          <w:kern w:val="22"/>
          <w:lang w:val="en-GB"/>
        </w:rPr>
        <w:t>ed</w:t>
      </w:r>
      <w:r w:rsidRPr="00964945">
        <w:rPr>
          <w:spacing w:val="-2"/>
          <w:kern w:val="22"/>
          <w:lang w:val="en-GB"/>
        </w:rPr>
        <w:t xml:space="preserve"> some issues with respect to product design and configuration. While interacting with industrial clients, they realized that plant head</w:t>
      </w:r>
      <w:r w:rsidR="00E311C2" w:rsidRPr="00964945">
        <w:rPr>
          <w:spacing w:val="-2"/>
          <w:kern w:val="22"/>
          <w:lang w:val="en-GB"/>
        </w:rPr>
        <w:t>s</w:t>
      </w:r>
      <w:r w:rsidRPr="00964945">
        <w:rPr>
          <w:spacing w:val="-2"/>
          <w:kern w:val="22"/>
          <w:lang w:val="en-GB"/>
        </w:rPr>
        <w:t xml:space="preserve"> and floor managers at each industrial set</w:t>
      </w:r>
      <w:r w:rsidR="005B2A67">
        <w:rPr>
          <w:spacing w:val="-2"/>
          <w:kern w:val="22"/>
          <w:lang w:val="en-GB"/>
        </w:rPr>
        <w:t>-</w:t>
      </w:r>
      <w:r w:rsidRPr="00964945">
        <w:rPr>
          <w:spacing w:val="-2"/>
          <w:kern w:val="22"/>
          <w:lang w:val="en-GB"/>
        </w:rPr>
        <w:t>up had unique inputs and different expectations on what would be useful for them to be</w:t>
      </w:r>
      <w:r w:rsidR="00E311C2" w:rsidRPr="00964945">
        <w:rPr>
          <w:spacing w:val="-2"/>
          <w:kern w:val="22"/>
          <w:lang w:val="en-GB"/>
        </w:rPr>
        <w:t>come</w:t>
      </w:r>
      <w:r w:rsidRPr="00964945">
        <w:rPr>
          <w:spacing w:val="-2"/>
          <w:kern w:val="22"/>
          <w:lang w:val="en-GB"/>
        </w:rPr>
        <w:t xml:space="preserve"> more energy efficient.</w:t>
      </w:r>
    </w:p>
    <w:p w14:paraId="2E4AE485" w14:textId="77777777" w:rsidR="00DF72F5" w:rsidRPr="00964945" w:rsidRDefault="00DF72F5" w:rsidP="003B4E14">
      <w:pPr>
        <w:pStyle w:val="BodyTextMain"/>
        <w:rPr>
          <w:lang w:val="en-GB"/>
        </w:rPr>
      </w:pPr>
    </w:p>
    <w:p w14:paraId="42F15A2D" w14:textId="6438A717" w:rsidR="000F0E22" w:rsidRPr="00964945" w:rsidRDefault="000F0E22" w:rsidP="003B4E14">
      <w:pPr>
        <w:pStyle w:val="BodyTextMain"/>
        <w:rPr>
          <w:lang w:val="en-GB"/>
        </w:rPr>
      </w:pPr>
      <w:r w:rsidRPr="00964945">
        <w:rPr>
          <w:lang w:val="en-GB"/>
        </w:rPr>
        <w:t>Some clients were already collecting data from machines</w:t>
      </w:r>
      <w:r w:rsidR="005F739D" w:rsidRPr="00964945">
        <w:rPr>
          <w:lang w:val="en-GB"/>
        </w:rPr>
        <w:t>,</w:t>
      </w:r>
      <w:r w:rsidRPr="00964945">
        <w:rPr>
          <w:lang w:val="en-GB"/>
        </w:rPr>
        <w:t xml:space="preserve"> but that data was limited to systems installed in-house that were not connected to </w:t>
      </w:r>
      <w:r w:rsidR="00E311C2" w:rsidRPr="00964945">
        <w:rPr>
          <w:lang w:val="en-GB"/>
        </w:rPr>
        <w:t xml:space="preserve">the </w:t>
      </w:r>
      <w:r w:rsidR="005B2A67">
        <w:rPr>
          <w:lang w:val="en-GB"/>
        </w:rPr>
        <w:t>I</w:t>
      </w:r>
      <w:r w:rsidR="005B2A67" w:rsidRPr="00964945">
        <w:rPr>
          <w:lang w:val="en-GB"/>
        </w:rPr>
        <w:t>nternet</w:t>
      </w:r>
      <w:r w:rsidRPr="00964945">
        <w:rPr>
          <w:lang w:val="en-GB"/>
        </w:rPr>
        <w:t xml:space="preserve">. </w:t>
      </w:r>
      <w:proofErr w:type="spellStart"/>
      <w:r w:rsidRPr="00964945">
        <w:rPr>
          <w:lang w:val="en-GB"/>
        </w:rPr>
        <w:t>Zenatix</w:t>
      </w:r>
      <w:proofErr w:type="spellEnd"/>
      <w:r w:rsidRPr="00964945">
        <w:rPr>
          <w:lang w:val="en-GB"/>
        </w:rPr>
        <w:t xml:space="preserve"> evaluated the opportunity to integrate machine</w:t>
      </w:r>
      <w:r w:rsidR="00E311C2" w:rsidRPr="00964945">
        <w:rPr>
          <w:lang w:val="en-GB"/>
        </w:rPr>
        <w:t>-</w:t>
      </w:r>
      <w:r w:rsidRPr="00964945">
        <w:rPr>
          <w:lang w:val="en-GB"/>
        </w:rPr>
        <w:t xml:space="preserve">level data </w:t>
      </w:r>
      <w:r w:rsidR="005B2A67">
        <w:rPr>
          <w:lang w:val="en-GB"/>
        </w:rPr>
        <w:t>with</w:t>
      </w:r>
      <w:r w:rsidR="005B2A67" w:rsidRPr="00964945">
        <w:rPr>
          <w:lang w:val="en-GB"/>
        </w:rPr>
        <w:t xml:space="preserve"> </w:t>
      </w:r>
      <w:r w:rsidRPr="00964945">
        <w:rPr>
          <w:lang w:val="en-GB"/>
        </w:rPr>
        <w:t>energy</w:t>
      </w:r>
      <w:r w:rsidR="003C5056">
        <w:rPr>
          <w:lang w:val="en-GB"/>
        </w:rPr>
        <w:t xml:space="preserve"> </w:t>
      </w:r>
      <w:r w:rsidRPr="00964945">
        <w:rPr>
          <w:lang w:val="en-GB"/>
        </w:rPr>
        <w:t>consumption data to generate richer insights. However, integration with archaic machines in industrial set</w:t>
      </w:r>
      <w:r w:rsidR="005B2A67">
        <w:rPr>
          <w:lang w:val="en-GB"/>
        </w:rPr>
        <w:t>-</w:t>
      </w:r>
      <w:r w:rsidRPr="00964945">
        <w:rPr>
          <w:lang w:val="en-GB"/>
        </w:rPr>
        <w:t xml:space="preserve">ups posed </w:t>
      </w:r>
      <w:r w:rsidR="00E311C2" w:rsidRPr="00964945">
        <w:rPr>
          <w:lang w:val="en-GB"/>
        </w:rPr>
        <w:t>many</w:t>
      </w:r>
      <w:r w:rsidRPr="00964945">
        <w:rPr>
          <w:lang w:val="en-GB"/>
        </w:rPr>
        <w:t xml:space="preserve"> challenges. Several machine</w:t>
      </w:r>
      <w:r w:rsidR="00E311C2" w:rsidRPr="00964945">
        <w:rPr>
          <w:lang w:val="en-GB"/>
        </w:rPr>
        <w:t>-</w:t>
      </w:r>
      <w:r w:rsidRPr="00964945">
        <w:rPr>
          <w:lang w:val="en-GB"/>
        </w:rPr>
        <w:t xml:space="preserve">level systems were not designed to pull data in real time. Also, </w:t>
      </w:r>
      <w:r w:rsidR="005F739D" w:rsidRPr="00964945">
        <w:rPr>
          <w:lang w:val="en-GB"/>
        </w:rPr>
        <w:t>because of the</w:t>
      </w:r>
      <w:r w:rsidRPr="00964945">
        <w:rPr>
          <w:lang w:val="en-GB"/>
        </w:rPr>
        <w:t xml:space="preserve"> lack of standardization of systems, interfacing across </w:t>
      </w:r>
      <w:r w:rsidR="00E311C2" w:rsidRPr="00964945">
        <w:rPr>
          <w:lang w:val="en-GB"/>
        </w:rPr>
        <w:t xml:space="preserve">a </w:t>
      </w:r>
      <w:r w:rsidRPr="00964945">
        <w:rPr>
          <w:lang w:val="en-GB"/>
        </w:rPr>
        <w:t xml:space="preserve">variety of systems was not a repeatable process. Two industrial units producing </w:t>
      </w:r>
      <w:r w:rsidR="00E311C2" w:rsidRPr="00964945">
        <w:rPr>
          <w:lang w:val="en-GB"/>
        </w:rPr>
        <w:t xml:space="preserve">the </w:t>
      </w:r>
      <w:r w:rsidRPr="00964945">
        <w:rPr>
          <w:lang w:val="en-GB"/>
        </w:rPr>
        <w:t xml:space="preserve">same product had differences in </w:t>
      </w:r>
      <w:r w:rsidR="00E311C2" w:rsidRPr="00964945">
        <w:rPr>
          <w:lang w:val="en-GB"/>
        </w:rPr>
        <w:t xml:space="preserve">the </w:t>
      </w:r>
      <w:r w:rsidRPr="00964945">
        <w:rPr>
          <w:lang w:val="en-GB"/>
        </w:rPr>
        <w:t>type of machine</w:t>
      </w:r>
      <w:r w:rsidR="00E311C2" w:rsidRPr="00964945">
        <w:rPr>
          <w:lang w:val="en-GB"/>
        </w:rPr>
        <w:t>s</w:t>
      </w:r>
      <w:r w:rsidRPr="00964945">
        <w:rPr>
          <w:lang w:val="en-GB"/>
        </w:rPr>
        <w:t xml:space="preserve"> in use, </w:t>
      </w:r>
      <w:r w:rsidR="00E311C2" w:rsidRPr="00964945">
        <w:rPr>
          <w:lang w:val="en-GB"/>
        </w:rPr>
        <w:t xml:space="preserve">the </w:t>
      </w:r>
      <w:r w:rsidRPr="00964945">
        <w:rPr>
          <w:lang w:val="en-GB"/>
        </w:rPr>
        <w:t xml:space="preserve">skill level of </w:t>
      </w:r>
      <w:r w:rsidR="00E311C2" w:rsidRPr="00964945">
        <w:rPr>
          <w:lang w:val="en-GB"/>
        </w:rPr>
        <w:t xml:space="preserve">the </w:t>
      </w:r>
      <w:r w:rsidRPr="00964945">
        <w:rPr>
          <w:lang w:val="en-GB"/>
        </w:rPr>
        <w:t>person operating the machine</w:t>
      </w:r>
      <w:r w:rsidR="00E311C2" w:rsidRPr="00964945">
        <w:rPr>
          <w:lang w:val="en-GB"/>
        </w:rPr>
        <w:t>,</w:t>
      </w:r>
      <w:r w:rsidRPr="00964945">
        <w:rPr>
          <w:lang w:val="en-GB"/>
        </w:rPr>
        <w:t xml:space="preserve"> and </w:t>
      </w:r>
      <w:r w:rsidR="00E311C2" w:rsidRPr="00964945">
        <w:rPr>
          <w:lang w:val="en-GB"/>
        </w:rPr>
        <w:t xml:space="preserve">different </w:t>
      </w:r>
      <w:r w:rsidRPr="00964945">
        <w:rPr>
          <w:lang w:val="en-GB"/>
        </w:rPr>
        <w:t xml:space="preserve">environmental conditions. For each new industrial client, the product design and configuration had to be tweaked to fit the needs, </w:t>
      </w:r>
      <w:r w:rsidR="00E311C2" w:rsidRPr="00964945">
        <w:rPr>
          <w:lang w:val="en-GB"/>
        </w:rPr>
        <w:t xml:space="preserve">the </w:t>
      </w:r>
      <w:r w:rsidRPr="00964945">
        <w:rPr>
          <w:lang w:val="en-GB"/>
        </w:rPr>
        <w:t>machines</w:t>
      </w:r>
      <w:r w:rsidR="00E311C2" w:rsidRPr="00964945">
        <w:rPr>
          <w:lang w:val="en-GB"/>
        </w:rPr>
        <w:t>,</w:t>
      </w:r>
      <w:r w:rsidRPr="00964945">
        <w:rPr>
          <w:lang w:val="en-GB"/>
        </w:rPr>
        <w:t xml:space="preserve"> and </w:t>
      </w:r>
      <w:r w:rsidR="00E311C2" w:rsidRPr="00964945">
        <w:rPr>
          <w:lang w:val="en-GB"/>
        </w:rPr>
        <w:t xml:space="preserve">the </w:t>
      </w:r>
      <w:r w:rsidRPr="00964945">
        <w:rPr>
          <w:lang w:val="en-GB"/>
        </w:rPr>
        <w:t>local physical environment. A standardized product was clearly not going to work</w:t>
      </w:r>
      <w:r w:rsidR="00E311C2" w:rsidRPr="00964945">
        <w:rPr>
          <w:lang w:val="en-GB"/>
        </w:rPr>
        <w:t>,</w:t>
      </w:r>
      <w:r w:rsidRPr="00964945">
        <w:rPr>
          <w:lang w:val="en-GB"/>
        </w:rPr>
        <w:t xml:space="preserve"> and without a standard repeatable product, achieving scale was difficult. After many deliberations, </w:t>
      </w:r>
      <w:proofErr w:type="spellStart"/>
      <w:r w:rsidRPr="00964945">
        <w:rPr>
          <w:lang w:val="en-GB"/>
        </w:rPr>
        <w:t>Zenatix</w:t>
      </w:r>
      <w:proofErr w:type="spellEnd"/>
      <w:r w:rsidRPr="00964945">
        <w:rPr>
          <w:lang w:val="en-GB"/>
        </w:rPr>
        <w:t xml:space="preserve"> </w:t>
      </w:r>
      <w:r w:rsidR="00E311C2" w:rsidRPr="00964945">
        <w:rPr>
          <w:lang w:val="en-GB"/>
        </w:rPr>
        <w:t>decided</w:t>
      </w:r>
      <w:r w:rsidRPr="00964945">
        <w:rPr>
          <w:lang w:val="en-GB"/>
        </w:rPr>
        <w:t xml:space="preserve"> that industrial clients were not the right target.</w:t>
      </w:r>
    </w:p>
    <w:p w14:paraId="0A2D909F" w14:textId="77777777" w:rsidR="00DF72F5" w:rsidRPr="00964945" w:rsidRDefault="00DF72F5" w:rsidP="003B4E14">
      <w:pPr>
        <w:pStyle w:val="BodyTextMain"/>
        <w:rPr>
          <w:bCs/>
          <w:lang w:val="en-GB"/>
        </w:rPr>
      </w:pPr>
    </w:p>
    <w:p w14:paraId="401D3894" w14:textId="61CD4608" w:rsidR="000F0E22" w:rsidRPr="00964945" w:rsidRDefault="000F0E22" w:rsidP="003B4E14">
      <w:pPr>
        <w:pStyle w:val="BodyTextMain"/>
        <w:rPr>
          <w:lang w:val="en-GB"/>
        </w:rPr>
      </w:pPr>
      <w:r w:rsidRPr="00964945">
        <w:rPr>
          <w:bCs/>
          <w:lang w:val="en-GB"/>
        </w:rPr>
        <w:t xml:space="preserve">Team </w:t>
      </w:r>
      <w:proofErr w:type="spellStart"/>
      <w:r w:rsidRPr="00964945">
        <w:rPr>
          <w:bCs/>
          <w:lang w:val="en-GB"/>
        </w:rPr>
        <w:t>Zenatix</w:t>
      </w:r>
      <w:proofErr w:type="spellEnd"/>
      <w:r w:rsidRPr="00964945">
        <w:rPr>
          <w:bCs/>
          <w:lang w:val="en-GB"/>
        </w:rPr>
        <w:t xml:space="preserve"> </w:t>
      </w:r>
      <w:r w:rsidR="00E311C2" w:rsidRPr="00964945">
        <w:rPr>
          <w:bCs/>
          <w:lang w:val="en-GB"/>
        </w:rPr>
        <w:t>then</w:t>
      </w:r>
      <w:r w:rsidRPr="00964945">
        <w:rPr>
          <w:bCs/>
          <w:lang w:val="en-GB"/>
        </w:rPr>
        <w:t xml:space="preserve"> explor</w:t>
      </w:r>
      <w:r w:rsidR="00E311C2" w:rsidRPr="00964945">
        <w:rPr>
          <w:bCs/>
          <w:lang w:val="en-GB"/>
        </w:rPr>
        <w:t>ed</w:t>
      </w:r>
      <w:r w:rsidRPr="00964945">
        <w:rPr>
          <w:bCs/>
          <w:lang w:val="en-GB"/>
        </w:rPr>
        <w:t xml:space="preserve"> other </w:t>
      </w:r>
      <w:r w:rsidRPr="00964945">
        <w:rPr>
          <w:lang w:val="en-GB"/>
        </w:rPr>
        <w:t>big consumer</w:t>
      </w:r>
      <w:r w:rsidR="00E311C2" w:rsidRPr="00964945">
        <w:rPr>
          <w:lang w:val="en-GB"/>
        </w:rPr>
        <w:t>s</w:t>
      </w:r>
      <w:r w:rsidRPr="00964945">
        <w:rPr>
          <w:lang w:val="en-GB"/>
        </w:rPr>
        <w:t xml:space="preserve"> of electricity</w:t>
      </w:r>
      <w:r w:rsidR="005B2A67">
        <w:rPr>
          <w:lang w:val="en-GB"/>
        </w:rPr>
        <w:t>:</w:t>
      </w:r>
      <w:r w:rsidR="00E311C2" w:rsidRPr="00964945">
        <w:rPr>
          <w:lang w:val="en-GB"/>
        </w:rPr>
        <w:t xml:space="preserve"> </w:t>
      </w:r>
      <w:r w:rsidRPr="00964945">
        <w:rPr>
          <w:bCs/>
          <w:lang w:val="en-GB"/>
        </w:rPr>
        <w:t>commercial buildings such as hotels, hospitals</w:t>
      </w:r>
      <w:r w:rsidR="00E311C2" w:rsidRPr="00964945">
        <w:rPr>
          <w:bCs/>
          <w:lang w:val="en-GB"/>
        </w:rPr>
        <w:t>,</w:t>
      </w:r>
      <w:r w:rsidRPr="00964945">
        <w:rPr>
          <w:bCs/>
          <w:lang w:val="en-GB"/>
        </w:rPr>
        <w:t xml:space="preserve"> </w:t>
      </w:r>
      <w:r w:rsidR="00AC1016" w:rsidRPr="00964945">
        <w:rPr>
          <w:bCs/>
          <w:lang w:val="en-GB"/>
        </w:rPr>
        <w:t xml:space="preserve">restaurants, </w:t>
      </w:r>
      <w:r w:rsidRPr="00964945">
        <w:rPr>
          <w:bCs/>
          <w:lang w:val="en-GB"/>
        </w:rPr>
        <w:t>and office complexes.</w:t>
      </w:r>
      <w:r w:rsidRPr="00964945">
        <w:rPr>
          <w:lang w:val="en-GB"/>
        </w:rPr>
        <w:t xml:space="preserve"> In the initial market research and interaction with potential clients, </w:t>
      </w:r>
      <w:r w:rsidR="00E311C2" w:rsidRPr="00964945">
        <w:rPr>
          <w:lang w:val="en-GB"/>
        </w:rPr>
        <w:t>the founders</w:t>
      </w:r>
      <w:r w:rsidRPr="00964945">
        <w:rPr>
          <w:lang w:val="en-GB"/>
        </w:rPr>
        <w:t xml:space="preserve"> observed that there was an interesting energy</w:t>
      </w:r>
      <w:r w:rsidR="003C5056">
        <w:rPr>
          <w:lang w:val="en-GB"/>
        </w:rPr>
        <w:t xml:space="preserve"> </w:t>
      </w:r>
      <w:r w:rsidRPr="00964945">
        <w:rPr>
          <w:lang w:val="en-GB"/>
        </w:rPr>
        <w:t>consumption pattern in such buildings. Air conditioning constituted</w:t>
      </w:r>
      <w:r w:rsidR="00E311C2" w:rsidRPr="00964945">
        <w:rPr>
          <w:lang w:val="en-GB"/>
        </w:rPr>
        <w:t xml:space="preserve"> </w:t>
      </w:r>
      <w:r w:rsidRPr="00964945">
        <w:rPr>
          <w:lang w:val="en-GB"/>
        </w:rPr>
        <w:t>40</w:t>
      </w:r>
      <w:r w:rsidR="00E311C2" w:rsidRPr="00964945">
        <w:rPr>
          <w:lang w:val="en-GB"/>
        </w:rPr>
        <w:t>–</w:t>
      </w:r>
      <w:r w:rsidRPr="00964945">
        <w:rPr>
          <w:lang w:val="en-GB"/>
        </w:rPr>
        <w:t>60</w:t>
      </w:r>
      <w:r w:rsidR="005B2A67">
        <w:rPr>
          <w:lang w:val="en-GB"/>
        </w:rPr>
        <w:t xml:space="preserve"> per cent</w:t>
      </w:r>
      <w:r w:rsidR="005B2A67" w:rsidRPr="00964945">
        <w:rPr>
          <w:lang w:val="en-GB"/>
        </w:rPr>
        <w:t xml:space="preserve"> </w:t>
      </w:r>
      <w:r w:rsidRPr="00964945">
        <w:rPr>
          <w:lang w:val="en-GB"/>
        </w:rPr>
        <w:t>of total energy consumption</w:t>
      </w:r>
      <w:r w:rsidR="005B2A67">
        <w:rPr>
          <w:lang w:val="en-GB"/>
        </w:rPr>
        <w:t>;</w:t>
      </w:r>
      <w:r w:rsidR="005B2A67" w:rsidRPr="00964945">
        <w:rPr>
          <w:lang w:val="en-GB"/>
        </w:rPr>
        <w:t xml:space="preserve"> </w:t>
      </w:r>
      <w:r w:rsidRPr="00964945">
        <w:rPr>
          <w:lang w:val="en-GB"/>
        </w:rPr>
        <w:t>uninterruptible power supply (UPS) system loads such as computing devices and servers constituted 20</w:t>
      </w:r>
      <w:r w:rsidR="00E311C2" w:rsidRPr="00964945">
        <w:rPr>
          <w:lang w:val="en-GB"/>
        </w:rPr>
        <w:t>–</w:t>
      </w:r>
      <w:r w:rsidRPr="00964945">
        <w:rPr>
          <w:lang w:val="en-GB"/>
        </w:rPr>
        <w:t>30</w:t>
      </w:r>
      <w:r w:rsidR="005B2A67">
        <w:rPr>
          <w:lang w:val="en-GB"/>
        </w:rPr>
        <w:t xml:space="preserve"> per cent;</w:t>
      </w:r>
      <w:r w:rsidR="005B2A67" w:rsidRPr="00964945">
        <w:rPr>
          <w:lang w:val="en-GB"/>
        </w:rPr>
        <w:t xml:space="preserve"> </w:t>
      </w:r>
      <w:r w:rsidRPr="00964945">
        <w:rPr>
          <w:lang w:val="en-GB"/>
        </w:rPr>
        <w:t>diesel generator</w:t>
      </w:r>
      <w:r w:rsidR="005B2A67">
        <w:rPr>
          <w:lang w:val="en-GB"/>
        </w:rPr>
        <w:t>s</w:t>
      </w:r>
      <w:r w:rsidRPr="00964945">
        <w:rPr>
          <w:lang w:val="en-GB"/>
        </w:rPr>
        <w:t xml:space="preserve"> constituted 10</w:t>
      </w:r>
      <w:r w:rsidR="00E311C2" w:rsidRPr="00964945">
        <w:rPr>
          <w:lang w:val="en-GB"/>
        </w:rPr>
        <w:t>–</w:t>
      </w:r>
      <w:r w:rsidRPr="00964945">
        <w:rPr>
          <w:lang w:val="en-GB"/>
        </w:rPr>
        <w:t>20</w:t>
      </w:r>
      <w:r w:rsidR="005B2A67">
        <w:rPr>
          <w:lang w:val="en-GB"/>
        </w:rPr>
        <w:t xml:space="preserve"> per cent;</w:t>
      </w:r>
      <w:r w:rsidR="005B2A67" w:rsidRPr="00964945">
        <w:rPr>
          <w:lang w:val="en-GB"/>
        </w:rPr>
        <w:t xml:space="preserve"> </w:t>
      </w:r>
      <w:r w:rsidRPr="00964945">
        <w:rPr>
          <w:lang w:val="en-GB"/>
        </w:rPr>
        <w:t xml:space="preserve">and </w:t>
      </w:r>
      <w:r w:rsidR="00E311C2" w:rsidRPr="00964945">
        <w:rPr>
          <w:lang w:val="en-GB"/>
        </w:rPr>
        <w:t xml:space="preserve">the </w:t>
      </w:r>
      <w:r w:rsidRPr="00964945">
        <w:rPr>
          <w:lang w:val="en-GB"/>
        </w:rPr>
        <w:t xml:space="preserve">balance was consumed by small devices and lighting. </w:t>
      </w:r>
      <w:r w:rsidR="00E311C2" w:rsidRPr="00964945">
        <w:rPr>
          <w:lang w:val="en-GB"/>
        </w:rPr>
        <w:t>T</w:t>
      </w:r>
      <w:r w:rsidRPr="00964945">
        <w:rPr>
          <w:lang w:val="en-GB"/>
        </w:rPr>
        <w:t>he usage pattern was similar for most commercial clients</w:t>
      </w:r>
      <w:r w:rsidR="005B2A67">
        <w:rPr>
          <w:lang w:val="en-GB"/>
        </w:rPr>
        <w:t>,</w:t>
      </w:r>
      <w:r w:rsidRPr="00964945">
        <w:rPr>
          <w:lang w:val="en-GB"/>
        </w:rPr>
        <w:t xml:space="preserve"> and electrical assets were not strikingly different, </w:t>
      </w:r>
      <w:r w:rsidR="00E311C2" w:rsidRPr="00964945">
        <w:rPr>
          <w:lang w:val="en-GB"/>
        </w:rPr>
        <w:t xml:space="preserve">so </w:t>
      </w:r>
      <w:r w:rsidRPr="00964945">
        <w:rPr>
          <w:lang w:val="en-GB"/>
        </w:rPr>
        <w:t xml:space="preserve">there was an opportunity to build </w:t>
      </w:r>
      <w:r w:rsidR="00E311C2" w:rsidRPr="00964945">
        <w:rPr>
          <w:lang w:val="en-GB"/>
        </w:rPr>
        <w:t xml:space="preserve">a </w:t>
      </w:r>
      <w:r w:rsidRPr="00964945">
        <w:rPr>
          <w:lang w:val="en-GB"/>
        </w:rPr>
        <w:t xml:space="preserve">repeatable product and </w:t>
      </w:r>
      <w:r w:rsidR="00964945" w:rsidRPr="00964945">
        <w:rPr>
          <w:lang w:val="en-GB"/>
        </w:rPr>
        <w:t>create</w:t>
      </w:r>
      <w:r w:rsidR="00E311C2" w:rsidRPr="00964945">
        <w:rPr>
          <w:lang w:val="en-GB"/>
        </w:rPr>
        <w:t xml:space="preserve"> a </w:t>
      </w:r>
      <w:r w:rsidRPr="00964945">
        <w:rPr>
          <w:lang w:val="en-GB"/>
        </w:rPr>
        <w:t>scalable business.</w:t>
      </w:r>
    </w:p>
    <w:p w14:paraId="4E308264" w14:textId="77777777" w:rsidR="003B4E14" w:rsidRPr="00964945" w:rsidRDefault="003B4E14" w:rsidP="00295D78">
      <w:pPr>
        <w:pStyle w:val="BodyTextMain"/>
        <w:rPr>
          <w:lang w:val="en-GB"/>
        </w:rPr>
      </w:pPr>
    </w:p>
    <w:p w14:paraId="3607254C" w14:textId="77777777" w:rsidR="003B4E14" w:rsidRPr="00964945" w:rsidRDefault="003B4E14" w:rsidP="00295D78">
      <w:pPr>
        <w:pStyle w:val="BodyTextMain"/>
        <w:rPr>
          <w:lang w:val="en-GB"/>
        </w:rPr>
      </w:pPr>
    </w:p>
    <w:p w14:paraId="3C106380" w14:textId="77777777" w:rsidR="000F0E22" w:rsidRPr="00964945" w:rsidRDefault="000F0E22" w:rsidP="003B4E14">
      <w:pPr>
        <w:pStyle w:val="Casehead1"/>
        <w:rPr>
          <w:lang w:val="en-GB"/>
        </w:rPr>
      </w:pPr>
      <w:r w:rsidRPr="00964945">
        <w:rPr>
          <w:lang w:val="en-GB"/>
        </w:rPr>
        <w:t>WATTMAN II: FIRST MARKET SHIFT</w:t>
      </w:r>
    </w:p>
    <w:p w14:paraId="4B2EAED3" w14:textId="77777777" w:rsidR="003B4E14" w:rsidRPr="00964945" w:rsidRDefault="003B4E14" w:rsidP="008D39A5">
      <w:pPr>
        <w:pStyle w:val="BodyTextMain"/>
        <w:rPr>
          <w:lang w:val="en-GB"/>
        </w:rPr>
      </w:pPr>
    </w:p>
    <w:p w14:paraId="5BC60841" w14:textId="1B047A26" w:rsidR="000F0E22" w:rsidRPr="00964945" w:rsidRDefault="000F0E22" w:rsidP="003B4E14">
      <w:pPr>
        <w:pStyle w:val="BodyTextMain"/>
        <w:rPr>
          <w:lang w:val="en-GB"/>
        </w:rPr>
      </w:pPr>
      <w:r w:rsidRPr="00964945">
        <w:rPr>
          <w:lang w:val="en-GB"/>
        </w:rPr>
        <w:t xml:space="preserve">In September 2014, </w:t>
      </w:r>
      <w:r w:rsidR="00182B32" w:rsidRPr="00964945">
        <w:rPr>
          <w:lang w:val="en-GB"/>
        </w:rPr>
        <w:t xml:space="preserve">the </w:t>
      </w:r>
      <w:r w:rsidRPr="00964945">
        <w:rPr>
          <w:lang w:val="en-GB"/>
        </w:rPr>
        <w:t xml:space="preserve">tech team led by Singh changed product focus and started working on sophisticated analytical models for optimizing energy consumption in large commercial buildings. In order to optimize </w:t>
      </w:r>
      <w:r w:rsidR="00182B32" w:rsidRPr="00964945">
        <w:rPr>
          <w:lang w:val="en-GB"/>
        </w:rPr>
        <w:t xml:space="preserve">the </w:t>
      </w:r>
      <w:r w:rsidRPr="00964945">
        <w:rPr>
          <w:lang w:val="en-GB"/>
        </w:rPr>
        <w:t>usage of air conditioning, the largest power consumption cent</w:t>
      </w:r>
      <w:r w:rsidR="005B2A67">
        <w:rPr>
          <w:lang w:val="en-GB"/>
        </w:rPr>
        <w:t>r</w:t>
      </w:r>
      <w:r w:rsidRPr="00964945">
        <w:rPr>
          <w:lang w:val="en-GB"/>
        </w:rPr>
        <w:t xml:space="preserve">e, </w:t>
      </w:r>
      <w:r w:rsidR="00182B32" w:rsidRPr="00964945">
        <w:rPr>
          <w:lang w:val="en-GB"/>
        </w:rPr>
        <w:t xml:space="preserve">a </w:t>
      </w:r>
      <w:r w:rsidRPr="00964945">
        <w:rPr>
          <w:lang w:val="en-GB"/>
        </w:rPr>
        <w:t xml:space="preserve">temperature sensing feature was introduced into </w:t>
      </w:r>
      <w:proofErr w:type="spellStart"/>
      <w:r w:rsidRPr="00964945">
        <w:rPr>
          <w:lang w:val="en-GB"/>
        </w:rPr>
        <w:t>WattMan</w:t>
      </w:r>
      <w:proofErr w:type="spellEnd"/>
      <w:r w:rsidR="000B1802" w:rsidRPr="00964945">
        <w:rPr>
          <w:lang w:val="en-GB"/>
        </w:rPr>
        <w:t xml:space="preserve"> </w:t>
      </w:r>
      <w:r w:rsidR="00182B32" w:rsidRPr="00964945">
        <w:rPr>
          <w:lang w:val="en-GB"/>
        </w:rPr>
        <w:t>I</w:t>
      </w:r>
      <w:r w:rsidRPr="00964945">
        <w:rPr>
          <w:lang w:val="en-GB"/>
        </w:rPr>
        <w:t>. Temperature sensors needed to be spread out through a building</w:t>
      </w:r>
      <w:r w:rsidR="00182B32" w:rsidRPr="00964945">
        <w:rPr>
          <w:lang w:val="en-GB"/>
        </w:rPr>
        <w:t>, s</w:t>
      </w:r>
      <w:r w:rsidRPr="00964945">
        <w:rPr>
          <w:lang w:val="en-GB"/>
        </w:rPr>
        <w:t xml:space="preserve">o </w:t>
      </w:r>
      <w:proofErr w:type="spellStart"/>
      <w:r w:rsidRPr="00964945">
        <w:rPr>
          <w:lang w:val="en-GB"/>
        </w:rPr>
        <w:t>Zenatix</w:t>
      </w:r>
      <w:proofErr w:type="spellEnd"/>
      <w:r w:rsidRPr="00964945">
        <w:rPr>
          <w:lang w:val="en-GB"/>
        </w:rPr>
        <w:t xml:space="preserve"> had to have </w:t>
      </w:r>
      <w:r w:rsidR="00182B32" w:rsidRPr="00964945">
        <w:rPr>
          <w:lang w:val="en-GB"/>
        </w:rPr>
        <w:t xml:space="preserve">a </w:t>
      </w:r>
      <w:proofErr w:type="spellStart"/>
      <w:r w:rsidRPr="00964945">
        <w:rPr>
          <w:lang w:val="en-GB"/>
        </w:rPr>
        <w:t>WiFi</w:t>
      </w:r>
      <w:proofErr w:type="spellEnd"/>
      <w:r w:rsidR="00182B32" w:rsidRPr="00964945">
        <w:rPr>
          <w:lang w:val="en-GB"/>
        </w:rPr>
        <w:t>-</w:t>
      </w:r>
      <w:r w:rsidRPr="00964945">
        <w:rPr>
          <w:lang w:val="en-GB"/>
        </w:rPr>
        <w:t>based temperature sensing system that could communicate wirelessly to</w:t>
      </w:r>
      <w:r w:rsidR="004B1956" w:rsidRPr="00964945">
        <w:rPr>
          <w:lang w:val="en-GB"/>
        </w:rPr>
        <w:t xml:space="preserve"> the</w:t>
      </w:r>
      <w:r w:rsidRPr="00964945">
        <w:rPr>
          <w:lang w:val="en-GB"/>
        </w:rPr>
        <w:t xml:space="preserve"> </w:t>
      </w:r>
      <w:proofErr w:type="spellStart"/>
      <w:r w:rsidRPr="00964945">
        <w:rPr>
          <w:lang w:val="en-GB"/>
        </w:rPr>
        <w:t>zSmart</w:t>
      </w:r>
      <w:proofErr w:type="spellEnd"/>
      <w:r w:rsidRPr="00964945">
        <w:rPr>
          <w:lang w:val="en-GB"/>
        </w:rPr>
        <w:t xml:space="preserve"> Controller, the gateway device.</w:t>
      </w:r>
    </w:p>
    <w:p w14:paraId="1111D01F" w14:textId="77777777" w:rsidR="00DF72F5" w:rsidRPr="00964945" w:rsidRDefault="00DF72F5" w:rsidP="003B4E14">
      <w:pPr>
        <w:pStyle w:val="BodyTextMain"/>
        <w:rPr>
          <w:lang w:val="en-GB"/>
        </w:rPr>
      </w:pPr>
    </w:p>
    <w:p w14:paraId="57378EE3" w14:textId="3845A0B7" w:rsidR="000F0E22" w:rsidRPr="00964945" w:rsidRDefault="000F0E22" w:rsidP="003B4E14">
      <w:pPr>
        <w:pStyle w:val="BodyTextMain"/>
        <w:rPr>
          <w:lang w:val="en-GB"/>
        </w:rPr>
      </w:pPr>
      <w:proofErr w:type="spellStart"/>
      <w:r w:rsidRPr="00964945">
        <w:rPr>
          <w:lang w:val="en-GB"/>
        </w:rPr>
        <w:t>Zenatix</w:t>
      </w:r>
      <w:proofErr w:type="spellEnd"/>
      <w:r w:rsidRPr="00964945">
        <w:rPr>
          <w:lang w:val="en-GB"/>
        </w:rPr>
        <w:t xml:space="preserve"> had been buying various sensors of</w:t>
      </w:r>
      <w:r w:rsidR="00E537E8" w:rsidRPr="00964945">
        <w:rPr>
          <w:lang w:val="en-GB"/>
        </w:rPr>
        <w:t>f</w:t>
      </w:r>
      <w:r w:rsidR="005B2A67">
        <w:rPr>
          <w:lang w:val="en-GB"/>
        </w:rPr>
        <w:t xml:space="preserve"> </w:t>
      </w:r>
      <w:r w:rsidRPr="00964945">
        <w:rPr>
          <w:lang w:val="en-GB"/>
        </w:rPr>
        <w:t>the</w:t>
      </w:r>
      <w:r w:rsidR="005B2A67">
        <w:rPr>
          <w:lang w:val="en-GB"/>
        </w:rPr>
        <w:t xml:space="preserve"> </w:t>
      </w:r>
      <w:r w:rsidRPr="00964945">
        <w:rPr>
          <w:lang w:val="en-GB"/>
        </w:rPr>
        <w:t xml:space="preserve">shelf since they were affordable; however, wireless temperature sensors were very expensive and would increase the cost of </w:t>
      </w:r>
      <w:r w:rsidR="00E537E8" w:rsidRPr="00964945">
        <w:rPr>
          <w:lang w:val="en-GB"/>
        </w:rPr>
        <w:t xml:space="preserve">the </w:t>
      </w:r>
      <w:r w:rsidRPr="00964945">
        <w:rPr>
          <w:lang w:val="en-GB"/>
        </w:rPr>
        <w:t xml:space="preserve">product. It was cheaper to develop </w:t>
      </w:r>
      <w:r w:rsidR="00E537E8" w:rsidRPr="00964945">
        <w:rPr>
          <w:lang w:val="en-GB"/>
        </w:rPr>
        <w:t>the technology</w:t>
      </w:r>
      <w:r w:rsidRPr="00964945">
        <w:rPr>
          <w:lang w:val="en-GB"/>
        </w:rPr>
        <w:t xml:space="preserve"> in-house</w:t>
      </w:r>
      <w:r w:rsidR="004B1956" w:rsidRPr="00964945">
        <w:rPr>
          <w:lang w:val="en-GB"/>
        </w:rPr>
        <w:t xml:space="preserve">, </w:t>
      </w:r>
      <w:r w:rsidR="00E537E8" w:rsidRPr="00964945">
        <w:rPr>
          <w:lang w:val="en-GB"/>
        </w:rPr>
        <w:t>so</w:t>
      </w:r>
      <w:r w:rsidRPr="00964945">
        <w:rPr>
          <w:lang w:val="en-GB"/>
        </w:rPr>
        <w:t xml:space="preserve"> </w:t>
      </w:r>
      <w:proofErr w:type="spellStart"/>
      <w:r w:rsidRPr="00964945">
        <w:rPr>
          <w:lang w:val="en-GB"/>
        </w:rPr>
        <w:t>Zenatix</w:t>
      </w:r>
      <w:proofErr w:type="spellEnd"/>
      <w:r w:rsidRPr="00964945">
        <w:rPr>
          <w:lang w:val="en-GB"/>
        </w:rPr>
        <w:t xml:space="preserve"> built a wireless sensor for their product.</w:t>
      </w:r>
    </w:p>
    <w:p w14:paraId="09717C2D" w14:textId="623357B5" w:rsidR="000F0E22" w:rsidRPr="00964945" w:rsidRDefault="004B1956" w:rsidP="003B4E14">
      <w:pPr>
        <w:pStyle w:val="BodyTextMain"/>
        <w:rPr>
          <w:lang w:val="en-GB"/>
        </w:rPr>
      </w:pPr>
      <w:r w:rsidRPr="00964945">
        <w:rPr>
          <w:lang w:val="en-GB"/>
        </w:rPr>
        <w:lastRenderedPageBreak/>
        <w:t>G</w:t>
      </w:r>
      <w:r w:rsidR="000F0E22" w:rsidRPr="00964945">
        <w:rPr>
          <w:lang w:val="en-GB"/>
        </w:rPr>
        <w:t xml:space="preserve">iven </w:t>
      </w:r>
      <w:r w:rsidRPr="00964945">
        <w:rPr>
          <w:lang w:val="en-GB"/>
        </w:rPr>
        <w:t xml:space="preserve">the </w:t>
      </w:r>
      <w:r w:rsidR="000F0E22" w:rsidRPr="00964945">
        <w:rPr>
          <w:lang w:val="en-GB"/>
        </w:rPr>
        <w:t>different dynamics and patterns of use</w:t>
      </w:r>
      <w:r w:rsidR="000B1802" w:rsidRPr="00964945">
        <w:rPr>
          <w:lang w:val="en-GB"/>
        </w:rPr>
        <w:t xml:space="preserve"> in l</w:t>
      </w:r>
      <w:r w:rsidR="000F0E22" w:rsidRPr="00964945">
        <w:rPr>
          <w:lang w:val="en-GB"/>
        </w:rPr>
        <w:t>arge commercial buildings</w:t>
      </w:r>
      <w:r w:rsidR="000B1802" w:rsidRPr="00964945">
        <w:rPr>
          <w:lang w:val="en-GB"/>
        </w:rPr>
        <w:t>, which</w:t>
      </w:r>
      <w:r w:rsidR="000F0E22" w:rsidRPr="00964945">
        <w:rPr>
          <w:lang w:val="en-GB"/>
        </w:rPr>
        <w:t xml:space="preserve"> typically operated on centralized air</w:t>
      </w:r>
      <w:r w:rsidRPr="00964945">
        <w:rPr>
          <w:lang w:val="en-GB"/>
        </w:rPr>
        <w:t>-</w:t>
      </w:r>
      <w:r w:rsidR="000F0E22" w:rsidRPr="00964945">
        <w:rPr>
          <w:lang w:val="en-GB"/>
        </w:rPr>
        <w:t>conditioning system</w:t>
      </w:r>
      <w:r w:rsidR="005B2A67">
        <w:rPr>
          <w:lang w:val="en-GB"/>
        </w:rPr>
        <w:t>s</w:t>
      </w:r>
      <w:r w:rsidRPr="00964945">
        <w:rPr>
          <w:lang w:val="en-GB"/>
        </w:rPr>
        <w:t xml:space="preserve">, the analytics in </w:t>
      </w:r>
      <w:proofErr w:type="spellStart"/>
      <w:r w:rsidRPr="00964945">
        <w:rPr>
          <w:lang w:val="en-GB"/>
        </w:rPr>
        <w:t>WattMan</w:t>
      </w:r>
      <w:proofErr w:type="spellEnd"/>
      <w:r w:rsidRPr="00964945">
        <w:rPr>
          <w:lang w:val="en-GB"/>
        </w:rPr>
        <w:t xml:space="preserve"> II had to be more sophisticated than the previous product version</w:t>
      </w:r>
      <w:r w:rsidR="000B1802" w:rsidRPr="00964945">
        <w:rPr>
          <w:lang w:val="en-GB"/>
        </w:rPr>
        <w:t>.</w:t>
      </w:r>
      <w:r w:rsidR="000F0E22" w:rsidRPr="00964945">
        <w:rPr>
          <w:lang w:val="en-GB"/>
        </w:rPr>
        <w:t xml:space="preserve"> </w:t>
      </w:r>
      <w:r w:rsidR="000B1802" w:rsidRPr="00964945">
        <w:rPr>
          <w:lang w:val="en-GB"/>
        </w:rPr>
        <w:t>The systems</w:t>
      </w:r>
      <w:r w:rsidR="000F0E22" w:rsidRPr="00964945">
        <w:rPr>
          <w:lang w:val="en-GB"/>
        </w:rPr>
        <w:t xml:space="preserve"> needed to be switched on before the start of working hours so that comfortable temperature levels were reached before the </w:t>
      </w:r>
      <w:r w:rsidR="000B1802" w:rsidRPr="00964945">
        <w:rPr>
          <w:lang w:val="en-GB"/>
        </w:rPr>
        <w:t>employees</w:t>
      </w:r>
      <w:r w:rsidRPr="00964945">
        <w:rPr>
          <w:lang w:val="en-GB"/>
        </w:rPr>
        <w:t xml:space="preserve"> and customers</w:t>
      </w:r>
      <w:r w:rsidR="000B1802" w:rsidRPr="00964945">
        <w:rPr>
          <w:lang w:val="en-GB"/>
        </w:rPr>
        <w:t xml:space="preserve"> arrived</w:t>
      </w:r>
      <w:r w:rsidR="000F0E22" w:rsidRPr="00964945">
        <w:rPr>
          <w:lang w:val="en-GB"/>
        </w:rPr>
        <w:t xml:space="preserve">. Typically, the facilities management team of a building switched on the air conditioning about two hours in advance. However, depending on weather conditions outside the building, the time taken by the air conditioner to cool the building varied. </w:t>
      </w:r>
      <w:proofErr w:type="spellStart"/>
      <w:r w:rsidR="000F0E22" w:rsidRPr="00964945">
        <w:rPr>
          <w:lang w:val="en-GB"/>
        </w:rPr>
        <w:t>WattMan</w:t>
      </w:r>
      <w:proofErr w:type="spellEnd"/>
      <w:r w:rsidR="000F0E22" w:rsidRPr="00964945">
        <w:rPr>
          <w:lang w:val="en-GB"/>
        </w:rPr>
        <w:t xml:space="preserve"> II was designed to factor in temperature data and weather conditions outside the building, and algorithms were developed to predict optimal start and stop times for the air</w:t>
      </w:r>
      <w:r w:rsidRPr="00964945">
        <w:rPr>
          <w:lang w:val="en-GB"/>
        </w:rPr>
        <w:t>-</w:t>
      </w:r>
      <w:r w:rsidR="000F0E22" w:rsidRPr="00964945">
        <w:rPr>
          <w:lang w:val="en-GB"/>
        </w:rPr>
        <w:t>conditioning system, leading to saving</w:t>
      </w:r>
      <w:r w:rsidR="000B1802" w:rsidRPr="00964945">
        <w:rPr>
          <w:lang w:val="en-GB"/>
        </w:rPr>
        <w:t>s</w:t>
      </w:r>
      <w:r w:rsidR="000F0E22" w:rsidRPr="00964945">
        <w:rPr>
          <w:lang w:val="en-GB"/>
        </w:rPr>
        <w:t xml:space="preserve"> in energy consumption.</w:t>
      </w:r>
    </w:p>
    <w:p w14:paraId="44204928" w14:textId="77777777" w:rsidR="00DF72F5" w:rsidRPr="00964945" w:rsidRDefault="00DF72F5" w:rsidP="003B4E14">
      <w:pPr>
        <w:pStyle w:val="BodyTextMain"/>
        <w:rPr>
          <w:lang w:val="en-GB"/>
        </w:rPr>
      </w:pPr>
    </w:p>
    <w:p w14:paraId="61B5786D" w14:textId="6B8378A9" w:rsidR="000F0E22" w:rsidRPr="00964945" w:rsidRDefault="000F0E22" w:rsidP="003B4E14">
      <w:pPr>
        <w:pStyle w:val="BodyTextMain"/>
        <w:rPr>
          <w:lang w:val="en-GB"/>
        </w:rPr>
      </w:pPr>
      <w:proofErr w:type="spellStart"/>
      <w:r w:rsidRPr="00964945">
        <w:rPr>
          <w:lang w:val="en-GB"/>
        </w:rPr>
        <w:t>WattMan</w:t>
      </w:r>
      <w:proofErr w:type="spellEnd"/>
      <w:r w:rsidRPr="00964945">
        <w:rPr>
          <w:lang w:val="en-GB"/>
        </w:rPr>
        <w:t xml:space="preserve"> II was also able to measure and report power consumption by </w:t>
      </w:r>
      <w:r w:rsidR="00770C46" w:rsidRPr="00964945">
        <w:rPr>
          <w:lang w:val="en-GB"/>
        </w:rPr>
        <w:t xml:space="preserve">the </w:t>
      </w:r>
      <w:r w:rsidRPr="00964945">
        <w:rPr>
          <w:lang w:val="en-GB"/>
        </w:rPr>
        <w:t xml:space="preserve">UPS system during night and non-operational hours. In addition, it was able to identify wasteful operations and diesel theft in the case of diesel generators. Overall, </w:t>
      </w:r>
      <w:proofErr w:type="spellStart"/>
      <w:r w:rsidRPr="00964945">
        <w:rPr>
          <w:lang w:val="en-GB"/>
        </w:rPr>
        <w:t>WattMan</w:t>
      </w:r>
      <w:proofErr w:type="spellEnd"/>
      <w:r w:rsidRPr="00964945">
        <w:rPr>
          <w:lang w:val="en-GB"/>
        </w:rPr>
        <w:t xml:space="preserve"> II was appropriately geared to optimize power consumption for commercial buildings </w:t>
      </w:r>
      <w:r w:rsidR="00FC72A0" w:rsidRPr="00964945">
        <w:rPr>
          <w:lang w:val="en-GB"/>
        </w:rPr>
        <w:t>(</w:t>
      </w:r>
      <w:r w:rsidRPr="00964945">
        <w:rPr>
          <w:lang w:val="en-GB"/>
        </w:rPr>
        <w:t>see Exhibit 6</w:t>
      </w:r>
      <w:r w:rsidR="00FC72A0" w:rsidRPr="00964945">
        <w:rPr>
          <w:lang w:val="en-GB"/>
        </w:rPr>
        <w:t>)</w:t>
      </w:r>
      <w:r w:rsidRPr="00964945">
        <w:rPr>
          <w:lang w:val="en-GB"/>
        </w:rPr>
        <w:t>.</w:t>
      </w:r>
    </w:p>
    <w:p w14:paraId="25A354AE" w14:textId="77777777" w:rsidR="00DF72F5" w:rsidRPr="00964945" w:rsidRDefault="00DF72F5" w:rsidP="003B4E14">
      <w:pPr>
        <w:pStyle w:val="BodyTextMain"/>
        <w:rPr>
          <w:lang w:val="en-GB"/>
        </w:rPr>
      </w:pPr>
    </w:p>
    <w:p w14:paraId="09D9E2A4" w14:textId="139333AA" w:rsidR="000F0E22" w:rsidRPr="00964945" w:rsidRDefault="000F0E22" w:rsidP="003B4E14">
      <w:pPr>
        <w:pStyle w:val="BodyTextMain"/>
        <w:rPr>
          <w:lang w:val="en-GB"/>
        </w:rPr>
      </w:pPr>
      <w:r w:rsidRPr="00964945">
        <w:rPr>
          <w:lang w:val="en-GB"/>
        </w:rPr>
        <w:t xml:space="preserve">With these additional features, </w:t>
      </w:r>
      <w:proofErr w:type="spellStart"/>
      <w:r w:rsidRPr="00964945">
        <w:rPr>
          <w:lang w:val="en-GB"/>
        </w:rPr>
        <w:t>Zenatix</w:t>
      </w:r>
      <w:proofErr w:type="spellEnd"/>
      <w:r w:rsidRPr="00964945">
        <w:rPr>
          <w:lang w:val="en-GB"/>
        </w:rPr>
        <w:t xml:space="preserve"> was able to </w:t>
      </w:r>
      <w:proofErr w:type="spellStart"/>
      <w:r w:rsidRPr="00964945">
        <w:rPr>
          <w:lang w:val="en-GB"/>
        </w:rPr>
        <w:t>onboard</w:t>
      </w:r>
      <w:proofErr w:type="spellEnd"/>
      <w:r w:rsidRPr="00964945">
        <w:rPr>
          <w:lang w:val="en-GB"/>
        </w:rPr>
        <w:t xml:space="preserve"> a handful of clients from a range of sectors that included telecom, automobile, pharmaceutical, education</w:t>
      </w:r>
      <w:r w:rsidR="00FC72A0" w:rsidRPr="00964945">
        <w:rPr>
          <w:lang w:val="en-GB"/>
        </w:rPr>
        <w:t>,</w:t>
      </w:r>
      <w:r w:rsidRPr="00964945">
        <w:rPr>
          <w:lang w:val="en-GB"/>
        </w:rPr>
        <w:t xml:space="preserve"> and consulting. The product was repeatable now, and it was merely a matter of making a sale. The market seemed to be promising</w:t>
      </w:r>
      <w:r w:rsidR="005B2A67">
        <w:rPr>
          <w:lang w:val="en-GB"/>
        </w:rPr>
        <w:t xml:space="preserve">; </w:t>
      </w:r>
      <w:proofErr w:type="spellStart"/>
      <w:r w:rsidR="000E609A" w:rsidRPr="00964945">
        <w:rPr>
          <w:lang w:val="en-GB"/>
        </w:rPr>
        <w:t>o</w:t>
      </w:r>
      <w:r w:rsidRPr="00964945">
        <w:rPr>
          <w:lang w:val="en-GB"/>
        </w:rPr>
        <w:t>nboarding</w:t>
      </w:r>
      <w:proofErr w:type="spellEnd"/>
      <w:r w:rsidRPr="00964945">
        <w:rPr>
          <w:lang w:val="en-GB"/>
        </w:rPr>
        <w:t xml:space="preserve"> of commercial building clients </w:t>
      </w:r>
      <w:r w:rsidR="00964945" w:rsidRPr="00964945">
        <w:rPr>
          <w:lang w:val="en-GB"/>
        </w:rPr>
        <w:t>signalled</w:t>
      </w:r>
      <w:r w:rsidRPr="00964945">
        <w:rPr>
          <w:lang w:val="en-GB"/>
        </w:rPr>
        <w:t xml:space="preserve"> market validation and helped </w:t>
      </w:r>
      <w:proofErr w:type="spellStart"/>
      <w:r w:rsidRPr="00964945">
        <w:rPr>
          <w:lang w:val="en-GB"/>
        </w:rPr>
        <w:t>Zenatix</w:t>
      </w:r>
      <w:proofErr w:type="spellEnd"/>
      <w:r w:rsidRPr="00964945">
        <w:rPr>
          <w:lang w:val="en-GB"/>
        </w:rPr>
        <w:t xml:space="preserve"> raise $200,000 from a group of angel investors in March 2015, followed by $300,000 in a seed round in September the same year.</w:t>
      </w:r>
    </w:p>
    <w:p w14:paraId="05F46630" w14:textId="77777777" w:rsidR="00DF72F5" w:rsidRPr="00964945" w:rsidRDefault="00DF72F5" w:rsidP="003B4E14">
      <w:pPr>
        <w:pStyle w:val="BodyTextMain"/>
        <w:rPr>
          <w:lang w:val="en-GB"/>
        </w:rPr>
      </w:pPr>
    </w:p>
    <w:p w14:paraId="3477FA20" w14:textId="1131C8B1" w:rsidR="000F0E22" w:rsidRPr="00964945" w:rsidRDefault="000F0E22" w:rsidP="00964945">
      <w:pPr>
        <w:pStyle w:val="BodyTextMain"/>
        <w:rPr>
          <w:lang w:val="en-GB"/>
        </w:rPr>
      </w:pPr>
      <w:r w:rsidRPr="00964945">
        <w:rPr>
          <w:lang w:val="en-GB"/>
        </w:rPr>
        <w:t xml:space="preserve">After </w:t>
      </w:r>
      <w:r w:rsidR="000E609A" w:rsidRPr="00964945">
        <w:rPr>
          <w:lang w:val="en-GB"/>
        </w:rPr>
        <w:t>taking on</w:t>
      </w:r>
      <w:r w:rsidRPr="00964945">
        <w:rPr>
          <w:lang w:val="en-GB"/>
        </w:rPr>
        <w:t xml:space="preserve"> a few clients, the sales team</w:t>
      </w:r>
      <w:r w:rsidR="005B2A67">
        <w:rPr>
          <w:lang w:val="en-GB"/>
        </w:rPr>
        <w:t>,</w:t>
      </w:r>
      <w:r w:rsidRPr="00964945">
        <w:rPr>
          <w:lang w:val="en-GB"/>
        </w:rPr>
        <w:t xml:space="preserve"> headed by </w:t>
      </w:r>
      <w:proofErr w:type="spellStart"/>
      <w:r w:rsidRPr="00964945">
        <w:rPr>
          <w:lang w:val="en-GB"/>
        </w:rPr>
        <w:t>Bhalla</w:t>
      </w:r>
      <w:proofErr w:type="spellEnd"/>
      <w:r w:rsidR="005B2A67">
        <w:rPr>
          <w:lang w:val="en-GB"/>
        </w:rPr>
        <w:t>,</w:t>
      </w:r>
      <w:r w:rsidRPr="00964945">
        <w:rPr>
          <w:lang w:val="en-GB"/>
        </w:rPr>
        <w:t xml:space="preserve"> realized that there was more than expected friction in making a sale. A client might have multiple buildings, each of which was an independent cost cent</w:t>
      </w:r>
      <w:r w:rsidR="005B2A67">
        <w:rPr>
          <w:lang w:val="en-GB"/>
        </w:rPr>
        <w:t>r</w:t>
      </w:r>
      <w:r w:rsidRPr="00964945">
        <w:rPr>
          <w:lang w:val="en-GB"/>
        </w:rPr>
        <w:t xml:space="preserve">e. Separate facility management teams </w:t>
      </w:r>
      <w:r w:rsidR="007D4F16" w:rsidRPr="00964945">
        <w:rPr>
          <w:lang w:val="en-GB"/>
        </w:rPr>
        <w:t xml:space="preserve">were </w:t>
      </w:r>
      <w:r w:rsidRPr="00964945">
        <w:rPr>
          <w:lang w:val="en-GB"/>
        </w:rPr>
        <w:t xml:space="preserve">responsible for monitoring electrical assets in a building in addition to upkeep and </w:t>
      </w:r>
      <w:r w:rsidR="00964945" w:rsidRPr="00964945">
        <w:rPr>
          <w:lang w:val="en-GB"/>
        </w:rPr>
        <w:t>maintenance</w:t>
      </w:r>
      <w:r w:rsidR="007D4F16" w:rsidRPr="00964945">
        <w:rPr>
          <w:lang w:val="en-GB"/>
        </w:rPr>
        <w:t xml:space="preserve"> of</w:t>
      </w:r>
      <w:r w:rsidRPr="00964945">
        <w:rPr>
          <w:lang w:val="en-GB"/>
        </w:rPr>
        <w:t xml:space="preserve"> other facilities. These teams had to be convinced of the value that </w:t>
      </w:r>
      <w:proofErr w:type="spellStart"/>
      <w:r w:rsidRPr="00964945">
        <w:rPr>
          <w:lang w:val="en-GB"/>
        </w:rPr>
        <w:t>WattMan</w:t>
      </w:r>
      <w:proofErr w:type="spellEnd"/>
      <w:r w:rsidR="00796E04" w:rsidRPr="00964945">
        <w:rPr>
          <w:lang w:val="en-GB"/>
        </w:rPr>
        <w:t xml:space="preserve"> </w:t>
      </w:r>
      <w:r w:rsidRPr="00964945">
        <w:rPr>
          <w:lang w:val="en-GB"/>
        </w:rPr>
        <w:t xml:space="preserve">II could deliver. </w:t>
      </w:r>
      <w:r w:rsidR="007D4F16" w:rsidRPr="00964945">
        <w:rPr>
          <w:lang w:val="en-GB"/>
        </w:rPr>
        <w:t>Because</w:t>
      </w:r>
      <w:r w:rsidRPr="00964945">
        <w:rPr>
          <w:lang w:val="en-GB"/>
        </w:rPr>
        <w:t xml:space="preserve"> </w:t>
      </w:r>
      <w:proofErr w:type="spellStart"/>
      <w:r w:rsidRPr="00964945">
        <w:rPr>
          <w:lang w:val="en-GB"/>
        </w:rPr>
        <w:t>WattMan</w:t>
      </w:r>
      <w:proofErr w:type="spellEnd"/>
      <w:r w:rsidRPr="00964945">
        <w:rPr>
          <w:lang w:val="en-GB"/>
        </w:rPr>
        <w:t xml:space="preserve"> II indirectly questioned the efficiency of the facility management team, managers were usually on the defensive. They would argue that their building was better managed than other buildings and </w:t>
      </w:r>
      <w:r w:rsidR="007D4F16" w:rsidRPr="00964945">
        <w:rPr>
          <w:lang w:val="en-GB"/>
        </w:rPr>
        <w:t xml:space="preserve">that </w:t>
      </w:r>
      <w:r w:rsidRPr="00964945">
        <w:rPr>
          <w:lang w:val="en-GB"/>
        </w:rPr>
        <w:t xml:space="preserve">no intervention was required. Each building was like a new customer that needed convincing and </w:t>
      </w:r>
      <w:r w:rsidR="00770C46" w:rsidRPr="00964945">
        <w:rPr>
          <w:lang w:val="en-GB"/>
        </w:rPr>
        <w:t>each</w:t>
      </w:r>
      <w:r w:rsidR="007D4F16" w:rsidRPr="00964945">
        <w:rPr>
          <w:lang w:val="en-GB"/>
        </w:rPr>
        <w:t xml:space="preserve"> </w:t>
      </w:r>
      <w:r w:rsidRPr="00964945">
        <w:rPr>
          <w:lang w:val="en-GB"/>
        </w:rPr>
        <w:t>had its own sale</w:t>
      </w:r>
      <w:r w:rsidR="007D4F16" w:rsidRPr="00964945">
        <w:rPr>
          <w:lang w:val="en-GB"/>
        </w:rPr>
        <w:t>s</w:t>
      </w:r>
      <w:r w:rsidRPr="00964945">
        <w:rPr>
          <w:lang w:val="en-GB"/>
        </w:rPr>
        <w:t xml:space="preserve"> cycle. The sales team was overwhelmed by the effort that they had to put in to secure an order.</w:t>
      </w:r>
      <w:r w:rsidR="00DF72F5" w:rsidRPr="00964945">
        <w:rPr>
          <w:lang w:val="en-GB"/>
        </w:rPr>
        <w:t xml:space="preserve"> </w:t>
      </w:r>
      <w:proofErr w:type="spellStart"/>
      <w:r w:rsidR="00DF72F5" w:rsidRPr="00964945">
        <w:rPr>
          <w:lang w:val="en-GB"/>
        </w:rPr>
        <w:t>Bhalla</w:t>
      </w:r>
      <w:proofErr w:type="spellEnd"/>
      <w:r w:rsidR="00DF72F5" w:rsidRPr="00964945">
        <w:rPr>
          <w:lang w:val="en-GB"/>
        </w:rPr>
        <w:t xml:space="preserve"> said,</w:t>
      </w:r>
      <w:r w:rsidR="008D233A" w:rsidRPr="00964945">
        <w:rPr>
          <w:iCs/>
          <w:color w:val="000000"/>
          <w:lang w:val="en-GB"/>
        </w:rPr>
        <w:t xml:space="preserve"> </w:t>
      </w:r>
      <w:r w:rsidR="007D4F16" w:rsidRPr="00964945">
        <w:rPr>
          <w:iCs/>
          <w:color w:val="000000"/>
          <w:lang w:val="en-GB"/>
        </w:rPr>
        <w:t>“</w:t>
      </w:r>
      <w:r w:rsidRPr="00964945">
        <w:rPr>
          <w:iCs/>
          <w:color w:val="000000"/>
          <w:lang w:val="en-GB"/>
        </w:rPr>
        <w:t>Every sale started from zero and would take its own sweet time to materialize. We did not have manpower and time for this kind of on</w:t>
      </w:r>
      <w:r w:rsidR="007D4F16" w:rsidRPr="00964945">
        <w:rPr>
          <w:iCs/>
          <w:color w:val="000000"/>
          <w:lang w:val="en-GB"/>
        </w:rPr>
        <w:t>-</w:t>
      </w:r>
      <w:r w:rsidRPr="00964945">
        <w:rPr>
          <w:iCs/>
          <w:color w:val="000000"/>
          <w:lang w:val="en-GB"/>
        </w:rPr>
        <w:t>the</w:t>
      </w:r>
      <w:r w:rsidR="007D4F16" w:rsidRPr="00964945">
        <w:rPr>
          <w:iCs/>
          <w:color w:val="000000"/>
          <w:lang w:val="en-GB"/>
        </w:rPr>
        <w:t>-</w:t>
      </w:r>
      <w:r w:rsidRPr="00964945">
        <w:rPr>
          <w:iCs/>
          <w:color w:val="000000"/>
          <w:lang w:val="en-GB"/>
        </w:rPr>
        <w:t>ground sale</w:t>
      </w:r>
      <w:r w:rsidR="007D4F16" w:rsidRPr="00964945">
        <w:rPr>
          <w:iCs/>
          <w:color w:val="000000"/>
          <w:lang w:val="en-GB"/>
        </w:rPr>
        <w:t>s</w:t>
      </w:r>
      <w:r w:rsidRPr="00964945">
        <w:rPr>
          <w:iCs/>
          <w:color w:val="000000"/>
          <w:lang w:val="en-GB"/>
        </w:rPr>
        <w:t xml:space="preserve"> effort. Honestly, we were running out of patience</w:t>
      </w:r>
      <w:r w:rsidR="00DF72F5" w:rsidRPr="00964945">
        <w:rPr>
          <w:iCs/>
          <w:color w:val="000000"/>
          <w:lang w:val="en-GB"/>
        </w:rPr>
        <w:t>.</w:t>
      </w:r>
      <w:r w:rsidR="007D4F16" w:rsidRPr="00964945">
        <w:rPr>
          <w:iCs/>
          <w:color w:val="000000"/>
          <w:lang w:val="en-GB"/>
        </w:rPr>
        <w:t>”</w:t>
      </w:r>
    </w:p>
    <w:p w14:paraId="77B5BF4A" w14:textId="77777777" w:rsidR="00DF72F5" w:rsidRPr="00964945" w:rsidRDefault="00DF72F5" w:rsidP="00DF72F5">
      <w:pPr>
        <w:pStyle w:val="BodyTextMain"/>
        <w:rPr>
          <w:lang w:val="en-GB"/>
        </w:rPr>
      </w:pPr>
    </w:p>
    <w:p w14:paraId="79C35A63" w14:textId="3DECF02A" w:rsidR="000F0E22" w:rsidRPr="00964945" w:rsidRDefault="000F0E22" w:rsidP="00DF72F5">
      <w:pPr>
        <w:pStyle w:val="BodyTextMain"/>
        <w:rPr>
          <w:lang w:val="en-GB"/>
        </w:rPr>
      </w:pPr>
      <w:r w:rsidRPr="00964945">
        <w:rPr>
          <w:lang w:val="en-GB"/>
        </w:rPr>
        <w:t xml:space="preserve">Another challenge that </w:t>
      </w:r>
      <w:proofErr w:type="spellStart"/>
      <w:r w:rsidRPr="00964945">
        <w:rPr>
          <w:lang w:val="en-GB"/>
        </w:rPr>
        <w:t>Zenatix</w:t>
      </w:r>
      <w:proofErr w:type="spellEnd"/>
      <w:r w:rsidRPr="00964945">
        <w:rPr>
          <w:lang w:val="en-GB"/>
        </w:rPr>
        <w:t xml:space="preserve"> faced was in converting analytical insights and operational advice into actionable features. While the analytics were becoming more and more sophisticated, reducing energy consumption was entirely dependent on action taken by staff on the ground. Based on </w:t>
      </w:r>
      <w:r w:rsidR="009B2BB8">
        <w:rPr>
          <w:lang w:val="en-GB"/>
        </w:rPr>
        <w:t xml:space="preserve">an </w:t>
      </w:r>
      <w:r w:rsidRPr="00964945">
        <w:rPr>
          <w:lang w:val="en-GB"/>
        </w:rPr>
        <w:t xml:space="preserve">advisory provided by </w:t>
      </w:r>
      <w:proofErr w:type="spellStart"/>
      <w:r w:rsidRPr="00964945">
        <w:rPr>
          <w:lang w:val="en-GB"/>
        </w:rPr>
        <w:t>Zenatix</w:t>
      </w:r>
      <w:proofErr w:type="spellEnd"/>
      <w:r w:rsidRPr="00964945">
        <w:rPr>
          <w:lang w:val="en-GB"/>
        </w:rPr>
        <w:t xml:space="preserve">, building staff had to switch on or off </w:t>
      </w:r>
      <w:r w:rsidR="009B2BB8">
        <w:rPr>
          <w:lang w:val="en-GB"/>
        </w:rPr>
        <w:t>one</w:t>
      </w:r>
      <w:r w:rsidR="009B2BB8" w:rsidRPr="00964945">
        <w:rPr>
          <w:lang w:val="en-GB"/>
        </w:rPr>
        <w:t xml:space="preserve"> </w:t>
      </w:r>
      <w:r w:rsidRPr="00964945">
        <w:rPr>
          <w:lang w:val="en-GB"/>
        </w:rPr>
        <w:t xml:space="preserve">system or </w:t>
      </w:r>
      <w:r w:rsidR="009B2BB8">
        <w:rPr>
          <w:lang w:val="en-GB"/>
        </w:rPr>
        <w:t>an</w:t>
      </w:r>
      <w:r w:rsidRPr="00964945">
        <w:rPr>
          <w:lang w:val="en-GB"/>
        </w:rPr>
        <w:t>other at different points in time. If the staff ignored this advice, the potential energy savings were never actually realized.</w:t>
      </w:r>
    </w:p>
    <w:p w14:paraId="12786DCD" w14:textId="77777777" w:rsidR="00DF72F5" w:rsidRPr="00964945" w:rsidRDefault="00DF72F5" w:rsidP="003B4E14">
      <w:pPr>
        <w:pStyle w:val="BodyTextMain"/>
        <w:rPr>
          <w:lang w:val="en-GB"/>
        </w:rPr>
      </w:pPr>
    </w:p>
    <w:p w14:paraId="311904F3" w14:textId="45C64822" w:rsidR="00DF72F5" w:rsidRPr="00964945" w:rsidRDefault="000F0E22" w:rsidP="003B4E14">
      <w:pPr>
        <w:pStyle w:val="BodyTextMain"/>
        <w:rPr>
          <w:lang w:val="en-GB"/>
        </w:rPr>
      </w:pPr>
      <w:r w:rsidRPr="00964945">
        <w:rPr>
          <w:lang w:val="en-GB"/>
        </w:rPr>
        <w:t>One of the commercial</w:t>
      </w:r>
      <w:r w:rsidR="009B2BB8">
        <w:rPr>
          <w:lang w:val="en-GB"/>
        </w:rPr>
        <w:t xml:space="preserve"> </w:t>
      </w:r>
      <w:r w:rsidRPr="00964945">
        <w:rPr>
          <w:lang w:val="en-GB"/>
        </w:rPr>
        <w:t>building client</w:t>
      </w:r>
      <w:r w:rsidR="00AC1016" w:rsidRPr="00964945">
        <w:rPr>
          <w:lang w:val="en-GB"/>
        </w:rPr>
        <w:t>s</w:t>
      </w:r>
      <w:r w:rsidRPr="00964945">
        <w:rPr>
          <w:lang w:val="en-GB"/>
        </w:rPr>
        <w:t xml:space="preserve"> of </w:t>
      </w:r>
      <w:proofErr w:type="spellStart"/>
      <w:r w:rsidRPr="00964945">
        <w:rPr>
          <w:lang w:val="en-GB"/>
        </w:rPr>
        <w:t>Zenatix</w:t>
      </w:r>
      <w:proofErr w:type="spellEnd"/>
      <w:r w:rsidRPr="00964945">
        <w:rPr>
          <w:lang w:val="en-GB"/>
        </w:rPr>
        <w:t xml:space="preserve"> was a restaurant chain that had outlets distributed across geographies. </w:t>
      </w:r>
      <w:r w:rsidR="0090571C" w:rsidRPr="00964945">
        <w:rPr>
          <w:lang w:val="en-GB"/>
        </w:rPr>
        <w:t>The</w:t>
      </w:r>
      <w:r w:rsidRPr="00964945">
        <w:rPr>
          <w:lang w:val="en-GB"/>
        </w:rPr>
        <w:t xml:space="preserve"> restaurant outlet was not very large, </w:t>
      </w:r>
      <w:r w:rsidR="0090571C" w:rsidRPr="00964945">
        <w:rPr>
          <w:lang w:val="en-GB"/>
        </w:rPr>
        <w:t xml:space="preserve">so </w:t>
      </w:r>
      <w:r w:rsidRPr="00964945">
        <w:rPr>
          <w:lang w:val="en-GB"/>
        </w:rPr>
        <w:t>there was no facilities management team in this case</w:t>
      </w:r>
      <w:r w:rsidR="00AC1016" w:rsidRPr="00964945">
        <w:rPr>
          <w:lang w:val="en-GB"/>
        </w:rPr>
        <w:t>,</w:t>
      </w:r>
      <w:r w:rsidRPr="00964945">
        <w:rPr>
          <w:lang w:val="en-GB"/>
        </w:rPr>
        <w:t xml:space="preserve"> and staff was not usually careful with </w:t>
      </w:r>
      <w:r w:rsidR="0090571C" w:rsidRPr="00964945">
        <w:rPr>
          <w:lang w:val="en-GB"/>
        </w:rPr>
        <w:t xml:space="preserve">their </w:t>
      </w:r>
      <w:r w:rsidRPr="00964945">
        <w:rPr>
          <w:lang w:val="en-GB"/>
        </w:rPr>
        <w:t>use of electrical assets. Typically, cleaning staff were the first one</w:t>
      </w:r>
      <w:r w:rsidR="0090571C" w:rsidRPr="00964945">
        <w:rPr>
          <w:lang w:val="en-GB"/>
        </w:rPr>
        <w:t>s</w:t>
      </w:r>
      <w:r w:rsidRPr="00964945">
        <w:rPr>
          <w:lang w:val="en-GB"/>
        </w:rPr>
        <w:t xml:space="preserve"> to arrive</w:t>
      </w:r>
      <w:r w:rsidR="009B2BB8">
        <w:rPr>
          <w:lang w:val="en-GB"/>
        </w:rPr>
        <w:t>,</w:t>
      </w:r>
      <w:r w:rsidRPr="00964945">
        <w:rPr>
          <w:lang w:val="en-GB"/>
        </w:rPr>
        <w:t xml:space="preserve"> at 8:00 a</w:t>
      </w:r>
      <w:r w:rsidR="00AC1016" w:rsidRPr="00964945">
        <w:rPr>
          <w:lang w:val="en-GB"/>
        </w:rPr>
        <w:t>.</w:t>
      </w:r>
      <w:r w:rsidRPr="00964945">
        <w:rPr>
          <w:lang w:val="en-GB"/>
        </w:rPr>
        <w:t>m</w:t>
      </w:r>
      <w:r w:rsidR="00AC1016" w:rsidRPr="00964945">
        <w:rPr>
          <w:lang w:val="en-GB"/>
        </w:rPr>
        <w:t>.</w:t>
      </w:r>
      <w:r w:rsidR="009B2BB8">
        <w:rPr>
          <w:lang w:val="en-GB"/>
        </w:rPr>
        <w:t>,</w:t>
      </w:r>
      <w:r w:rsidRPr="00964945">
        <w:rPr>
          <w:lang w:val="en-GB"/>
        </w:rPr>
        <w:t xml:space="preserve"> and </w:t>
      </w:r>
      <w:r w:rsidR="00AC1016" w:rsidRPr="00964945">
        <w:rPr>
          <w:lang w:val="en-GB"/>
        </w:rPr>
        <w:t xml:space="preserve">they </w:t>
      </w:r>
      <w:r w:rsidRPr="00964945">
        <w:rPr>
          <w:lang w:val="en-GB"/>
        </w:rPr>
        <w:t>switch</w:t>
      </w:r>
      <w:r w:rsidR="00AC1016" w:rsidRPr="00964945">
        <w:rPr>
          <w:lang w:val="en-GB"/>
        </w:rPr>
        <w:t>ed</w:t>
      </w:r>
      <w:r w:rsidRPr="00964945">
        <w:rPr>
          <w:lang w:val="en-GB"/>
        </w:rPr>
        <w:t xml:space="preserve"> on the air conditioning. However, the first customer</w:t>
      </w:r>
      <w:r w:rsidR="0090571C" w:rsidRPr="00964945">
        <w:rPr>
          <w:lang w:val="en-GB"/>
        </w:rPr>
        <w:t>s</w:t>
      </w:r>
      <w:r w:rsidRPr="00964945">
        <w:rPr>
          <w:lang w:val="en-GB"/>
        </w:rPr>
        <w:t xml:space="preserve"> would </w:t>
      </w:r>
      <w:r w:rsidR="0090571C" w:rsidRPr="00964945">
        <w:rPr>
          <w:lang w:val="en-GB"/>
        </w:rPr>
        <w:t>arrive</w:t>
      </w:r>
      <w:r w:rsidRPr="00964945">
        <w:rPr>
          <w:lang w:val="en-GB"/>
        </w:rPr>
        <w:t xml:space="preserve"> around 11:00 a</w:t>
      </w:r>
      <w:r w:rsidR="00AC1016" w:rsidRPr="00964945">
        <w:rPr>
          <w:lang w:val="en-GB"/>
        </w:rPr>
        <w:t>.</w:t>
      </w:r>
      <w:r w:rsidRPr="00964945">
        <w:rPr>
          <w:lang w:val="en-GB"/>
        </w:rPr>
        <w:t>m.</w:t>
      </w:r>
      <w:r w:rsidR="0090571C" w:rsidRPr="00964945">
        <w:rPr>
          <w:lang w:val="en-GB"/>
        </w:rPr>
        <w:t xml:space="preserve">, and </w:t>
      </w:r>
      <w:r w:rsidR="00AC1016" w:rsidRPr="00964945">
        <w:rPr>
          <w:lang w:val="en-GB"/>
        </w:rPr>
        <w:t>a</w:t>
      </w:r>
      <w:r w:rsidRPr="00964945">
        <w:rPr>
          <w:lang w:val="en-GB"/>
        </w:rPr>
        <w:t xml:space="preserve">t night, staff would forget to switch off electrical assets. </w:t>
      </w:r>
      <w:r w:rsidR="0090571C" w:rsidRPr="00964945">
        <w:rPr>
          <w:lang w:val="en-GB"/>
        </w:rPr>
        <w:t xml:space="preserve">It seemed that </w:t>
      </w:r>
      <w:r w:rsidR="009B2BB8">
        <w:rPr>
          <w:lang w:val="en-GB"/>
        </w:rPr>
        <w:t xml:space="preserve">the </w:t>
      </w:r>
      <w:r w:rsidR="0090571C" w:rsidRPr="00964945">
        <w:rPr>
          <w:lang w:val="en-GB"/>
        </w:rPr>
        <w:t>o</w:t>
      </w:r>
      <w:r w:rsidRPr="00964945">
        <w:rPr>
          <w:lang w:val="en-GB"/>
        </w:rPr>
        <w:t xml:space="preserve">wners had no knowledge or control over how </w:t>
      </w:r>
      <w:r w:rsidR="0090571C" w:rsidRPr="00964945">
        <w:rPr>
          <w:lang w:val="en-GB"/>
        </w:rPr>
        <w:t xml:space="preserve">the </w:t>
      </w:r>
      <w:r w:rsidRPr="00964945">
        <w:rPr>
          <w:lang w:val="en-GB"/>
        </w:rPr>
        <w:t>facilities were being used.</w:t>
      </w:r>
    </w:p>
    <w:p w14:paraId="566F9414" w14:textId="27DFAFF3" w:rsidR="000F0E22" w:rsidRPr="00964945" w:rsidRDefault="000F0E22" w:rsidP="003B4E14">
      <w:pPr>
        <w:pStyle w:val="BodyTextMain"/>
        <w:rPr>
          <w:lang w:val="en-GB"/>
        </w:rPr>
      </w:pPr>
      <w:r w:rsidRPr="00964945">
        <w:rPr>
          <w:lang w:val="en-GB"/>
        </w:rPr>
        <w:t xml:space="preserve"> </w:t>
      </w:r>
    </w:p>
    <w:p w14:paraId="1190B6E2" w14:textId="18049955" w:rsidR="000F0E22" w:rsidRPr="00964945" w:rsidRDefault="000F0E22" w:rsidP="003B4E14">
      <w:pPr>
        <w:pStyle w:val="BodyTextMain"/>
        <w:rPr>
          <w:spacing w:val="-2"/>
          <w:kern w:val="22"/>
          <w:lang w:val="en-GB"/>
        </w:rPr>
      </w:pPr>
      <w:proofErr w:type="spellStart"/>
      <w:r w:rsidRPr="00964945">
        <w:rPr>
          <w:spacing w:val="-2"/>
          <w:kern w:val="22"/>
          <w:lang w:val="en-GB"/>
        </w:rPr>
        <w:t>Zenatix</w:t>
      </w:r>
      <w:proofErr w:type="spellEnd"/>
      <w:r w:rsidRPr="00964945">
        <w:rPr>
          <w:spacing w:val="-2"/>
          <w:kern w:val="22"/>
          <w:lang w:val="en-GB"/>
        </w:rPr>
        <w:t xml:space="preserve"> realized that not only restaurants but all businesses that had small distributed sets of infrastructure or retail outlets across geographies a</w:t>
      </w:r>
      <w:r w:rsidR="00E64B00" w:rsidRPr="00964945">
        <w:rPr>
          <w:spacing w:val="-2"/>
          <w:kern w:val="22"/>
          <w:lang w:val="en-GB"/>
        </w:rPr>
        <w:t>lso</w:t>
      </w:r>
      <w:r w:rsidRPr="00964945">
        <w:rPr>
          <w:spacing w:val="-2"/>
          <w:kern w:val="22"/>
          <w:lang w:val="en-GB"/>
        </w:rPr>
        <w:t xml:space="preserve"> had no knowledge or control over how </w:t>
      </w:r>
      <w:r w:rsidR="009B2BB8">
        <w:rPr>
          <w:spacing w:val="-2"/>
          <w:kern w:val="22"/>
          <w:lang w:val="en-GB"/>
        </w:rPr>
        <w:t xml:space="preserve">their </w:t>
      </w:r>
      <w:r w:rsidRPr="00964945">
        <w:rPr>
          <w:spacing w:val="-2"/>
          <w:kern w:val="22"/>
          <w:lang w:val="en-GB"/>
        </w:rPr>
        <w:t>electrical assets were being used. This constituted a major sub-segment in the commercial</w:t>
      </w:r>
      <w:r w:rsidR="009B2BB8">
        <w:rPr>
          <w:spacing w:val="-2"/>
          <w:kern w:val="22"/>
          <w:lang w:val="en-GB"/>
        </w:rPr>
        <w:t xml:space="preserve"> </w:t>
      </w:r>
      <w:r w:rsidRPr="00964945">
        <w:rPr>
          <w:spacing w:val="-2"/>
          <w:kern w:val="22"/>
          <w:lang w:val="en-GB"/>
        </w:rPr>
        <w:t>building market. Energy consumption pattern</w:t>
      </w:r>
      <w:r w:rsidR="00E64B00" w:rsidRPr="00964945">
        <w:rPr>
          <w:spacing w:val="-2"/>
          <w:kern w:val="22"/>
          <w:lang w:val="en-GB"/>
        </w:rPr>
        <w:t>s</w:t>
      </w:r>
      <w:r w:rsidRPr="00964945">
        <w:rPr>
          <w:spacing w:val="-2"/>
          <w:kern w:val="22"/>
          <w:lang w:val="en-GB"/>
        </w:rPr>
        <w:t xml:space="preserve"> </w:t>
      </w:r>
      <w:r w:rsidRPr="00964945">
        <w:rPr>
          <w:spacing w:val="-2"/>
          <w:kern w:val="22"/>
          <w:lang w:val="en-GB"/>
        </w:rPr>
        <w:lastRenderedPageBreak/>
        <w:t xml:space="preserve">for this sub-segment </w:t>
      </w:r>
      <w:r w:rsidR="009B2BB8" w:rsidRPr="00964945">
        <w:rPr>
          <w:spacing w:val="-2"/>
          <w:kern w:val="22"/>
          <w:lang w:val="en-GB"/>
        </w:rPr>
        <w:t>w</w:t>
      </w:r>
      <w:r w:rsidR="009B2BB8">
        <w:rPr>
          <w:spacing w:val="-2"/>
          <w:kern w:val="22"/>
          <w:lang w:val="en-GB"/>
        </w:rPr>
        <w:t>ere</w:t>
      </w:r>
      <w:r w:rsidR="003C5056">
        <w:rPr>
          <w:spacing w:val="-2"/>
          <w:kern w:val="22"/>
          <w:lang w:val="en-GB"/>
        </w:rPr>
        <w:t xml:space="preserve"> </w:t>
      </w:r>
      <w:r w:rsidRPr="00964945">
        <w:rPr>
          <w:spacing w:val="-2"/>
          <w:kern w:val="22"/>
          <w:lang w:val="en-GB"/>
        </w:rPr>
        <w:t>similar as well</w:t>
      </w:r>
      <w:r w:rsidR="009B2BB8">
        <w:rPr>
          <w:spacing w:val="-2"/>
          <w:kern w:val="22"/>
          <w:lang w:val="en-GB"/>
        </w:rPr>
        <w:t>:</w:t>
      </w:r>
      <w:r w:rsidRPr="00964945">
        <w:rPr>
          <w:spacing w:val="-2"/>
          <w:kern w:val="22"/>
          <w:lang w:val="en-GB"/>
        </w:rPr>
        <w:t xml:space="preserve"> air conditioning</w:t>
      </w:r>
      <w:r w:rsidR="00E64B00" w:rsidRPr="00964945">
        <w:rPr>
          <w:spacing w:val="-2"/>
          <w:kern w:val="22"/>
          <w:lang w:val="en-GB"/>
        </w:rPr>
        <w:t xml:space="preserve"> systems</w:t>
      </w:r>
      <w:r w:rsidRPr="00964945">
        <w:rPr>
          <w:spacing w:val="-2"/>
          <w:kern w:val="22"/>
          <w:lang w:val="en-GB"/>
        </w:rPr>
        <w:t xml:space="preserve"> and diesel generator</w:t>
      </w:r>
      <w:r w:rsidR="00E64B00" w:rsidRPr="00964945">
        <w:rPr>
          <w:spacing w:val="-2"/>
          <w:kern w:val="22"/>
          <w:lang w:val="en-GB"/>
        </w:rPr>
        <w:t>s</w:t>
      </w:r>
      <w:r w:rsidRPr="00964945">
        <w:rPr>
          <w:spacing w:val="-2"/>
          <w:kern w:val="22"/>
          <w:lang w:val="en-GB"/>
        </w:rPr>
        <w:t xml:space="preserve"> consumed most of </w:t>
      </w:r>
      <w:r w:rsidR="00E64B00" w:rsidRPr="00964945">
        <w:rPr>
          <w:spacing w:val="-2"/>
          <w:kern w:val="22"/>
          <w:lang w:val="en-GB"/>
        </w:rPr>
        <w:t xml:space="preserve">the </w:t>
      </w:r>
      <w:r w:rsidRPr="00964945">
        <w:rPr>
          <w:spacing w:val="-2"/>
          <w:kern w:val="22"/>
          <w:lang w:val="en-GB"/>
        </w:rPr>
        <w:t xml:space="preserve">energy. Decisions pertaining to assets in retail outlets were taken by a central team. This meant that </w:t>
      </w:r>
      <w:proofErr w:type="spellStart"/>
      <w:r w:rsidRPr="00964945">
        <w:rPr>
          <w:spacing w:val="-2"/>
          <w:kern w:val="22"/>
          <w:lang w:val="en-GB"/>
        </w:rPr>
        <w:t>Zenatix</w:t>
      </w:r>
      <w:proofErr w:type="spellEnd"/>
      <w:r w:rsidRPr="00964945">
        <w:rPr>
          <w:spacing w:val="-2"/>
          <w:kern w:val="22"/>
          <w:lang w:val="en-GB"/>
        </w:rPr>
        <w:t xml:space="preserve"> needed to make one sale to the central operations head who could </w:t>
      </w:r>
      <w:r w:rsidR="00E64B00" w:rsidRPr="00964945">
        <w:rPr>
          <w:spacing w:val="-2"/>
          <w:kern w:val="22"/>
          <w:lang w:val="en-GB"/>
        </w:rPr>
        <w:t>m</w:t>
      </w:r>
      <w:r w:rsidRPr="00964945">
        <w:rPr>
          <w:spacing w:val="-2"/>
          <w:kern w:val="22"/>
          <w:lang w:val="en-GB"/>
        </w:rPr>
        <w:t>ake decision</w:t>
      </w:r>
      <w:r w:rsidR="00E64B00" w:rsidRPr="00964945">
        <w:rPr>
          <w:spacing w:val="-2"/>
          <w:kern w:val="22"/>
          <w:lang w:val="en-GB"/>
        </w:rPr>
        <w:t>s</w:t>
      </w:r>
      <w:r w:rsidRPr="00964945">
        <w:rPr>
          <w:spacing w:val="-2"/>
          <w:kern w:val="22"/>
          <w:lang w:val="en-GB"/>
        </w:rPr>
        <w:t xml:space="preserve"> for hundreds of outlets at on</w:t>
      </w:r>
      <w:r w:rsidR="00E64B00" w:rsidRPr="00964945">
        <w:rPr>
          <w:spacing w:val="-2"/>
          <w:kern w:val="22"/>
          <w:lang w:val="en-GB"/>
        </w:rPr>
        <w:t>c</w:t>
      </w:r>
      <w:r w:rsidRPr="00964945">
        <w:rPr>
          <w:spacing w:val="-2"/>
          <w:kern w:val="22"/>
          <w:lang w:val="en-GB"/>
        </w:rPr>
        <w:t xml:space="preserve">e. However, </w:t>
      </w:r>
      <w:proofErr w:type="spellStart"/>
      <w:r w:rsidRPr="00964945">
        <w:rPr>
          <w:spacing w:val="-2"/>
          <w:kern w:val="22"/>
          <w:lang w:val="en-GB"/>
        </w:rPr>
        <w:t>Zenatix</w:t>
      </w:r>
      <w:proofErr w:type="spellEnd"/>
      <w:r w:rsidRPr="00964945">
        <w:rPr>
          <w:spacing w:val="-2"/>
          <w:kern w:val="22"/>
          <w:lang w:val="en-GB"/>
        </w:rPr>
        <w:t xml:space="preserve"> had to eliminate the need to rely on ground staff to execute corrective actions based on </w:t>
      </w:r>
      <w:r w:rsidR="00604277" w:rsidRPr="00964945">
        <w:rPr>
          <w:spacing w:val="-2"/>
          <w:kern w:val="22"/>
          <w:lang w:val="en-GB"/>
        </w:rPr>
        <w:t xml:space="preserve">an </w:t>
      </w:r>
      <w:r w:rsidRPr="00964945">
        <w:rPr>
          <w:spacing w:val="-2"/>
          <w:kern w:val="22"/>
          <w:lang w:val="en-GB"/>
        </w:rPr>
        <w:t xml:space="preserve">advisory generated by </w:t>
      </w:r>
      <w:r w:rsidR="00604277" w:rsidRPr="00964945">
        <w:rPr>
          <w:spacing w:val="-2"/>
          <w:kern w:val="22"/>
          <w:lang w:val="en-GB"/>
        </w:rPr>
        <w:t xml:space="preserve">the </w:t>
      </w:r>
      <w:r w:rsidRPr="00964945">
        <w:rPr>
          <w:spacing w:val="-2"/>
          <w:kern w:val="22"/>
          <w:lang w:val="en-GB"/>
        </w:rPr>
        <w:t xml:space="preserve">data analytics team. If such a feature could be built into </w:t>
      </w:r>
      <w:proofErr w:type="spellStart"/>
      <w:r w:rsidRPr="00964945">
        <w:rPr>
          <w:spacing w:val="-2"/>
          <w:kern w:val="22"/>
          <w:lang w:val="en-GB"/>
        </w:rPr>
        <w:t>WattMan</w:t>
      </w:r>
      <w:proofErr w:type="spellEnd"/>
      <w:r w:rsidRPr="00964945">
        <w:rPr>
          <w:spacing w:val="-2"/>
          <w:kern w:val="22"/>
          <w:lang w:val="en-GB"/>
        </w:rPr>
        <w:t xml:space="preserve">, </w:t>
      </w:r>
      <w:proofErr w:type="spellStart"/>
      <w:r w:rsidRPr="00964945">
        <w:rPr>
          <w:spacing w:val="-2"/>
          <w:kern w:val="22"/>
          <w:lang w:val="en-GB"/>
        </w:rPr>
        <w:t>Zenatix</w:t>
      </w:r>
      <w:proofErr w:type="spellEnd"/>
      <w:r w:rsidRPr="00964945">
        <w:rPr>
          <w:spacing w:val="-2"/>
          <w:kern w:val="22"/>
          <w:lang w:val="en-GB"/>
        </w:rPr>
        <w:t xml:space="preserve"> would have a solid value proposition for owners of retail chains.</w:t>
      </w:r>
    </w:p>
    <w:p w14:paraId="4B6DD6AB" w14:textId="77777777" w:rsidR="00DF72F5" w:rsidRPr="00964945" w:rsidRDefault="00DF72F5" w:rsidP="003B4E14">
      <w:pPr>
        <w:pStyle w:val="BodyTextMain"/>
        <w:rPr>
          <w:lang w:val="en-GB"/>
        </w:rPr>
      </w:pPr>
    </w:p>
    <w:p w14:paraId="77C4B9FD" w14:textId="0F847F43" w:rsidR="000F0E22" w:rsidRPr="00964945" w:rsidRDefault="000F0E22" w:rsidP="003B4E14">
      <w:pPr>
        <w:pStyle w:val="BodyTextMain"/>
        <w:rPr>
          <w:lang w:val="en-GB"/>
        </w:rPr>
      </w:pPr>
      <w:r w:rsidRPr="00964945">
        <w:rPr>
          <w:lang w:val="en-GB"/>
        </w:rPr>
        <w:t>In Feb</w:t>
      </w:r>
      <w:r w:rsidR="009B2BB8">
        <w:rPr>
          <w:lang w:val="en-GB"/>
        </w:rPr>
        <w:t>ruary</w:t>
      </w:r>
      <w:r w:rsidRPr="00964945">
        <w:rPr>
          <w:lang w:val="en-GB"/>
        </w:rPr>
        <w:t xml:space="preserve"> 2016, after having worked with the commercial building clients for almost 18 months, </w:t>
      </w:r>
      <w:r w:rsidR="009B2BB8">
        <w:rPr>
          <w:lang w:val="en-GB"/>
        </w:rPr>
        <w:t xml:space="preserve">the </w:t>
      </w:r>
      <w:proofErr w:type="spellStart"/>
      <w:r w:rsidRPr="00964945">
        <w:rPr>
          <w:lang w:val="en-GB"/>
        </w:rPr>
        <w:t>Zenatix</w:t>
      </w:r>
      <w:proofErr w:type="spellEnd"/>
      <w:r w:rsidRPr="00964945">
        <w:rPr>
          <w:lang w:val="en-GB"/>
        </w:rPr>
        <w:t xml:space="preserve"> team decided to narrow the focus to retail chains such as banks, fashion brands</w:t>
      </w:r>
      <w:r w:rsidR="00191870" w:rsidRPr="00964945">
        <w:rPr>
          <w:lang w:val="en-GB"/>
        </w:rPr>
        <w:t>,</w:t>
      </w:r>
      <w:r w:rsidRPr="00964945">
        <w:rPr>
          <w:lang w:val="en-GB"/>
        </w:rPr>
        <w:t xml:space="preserve"> and restaurants.</w:t>
      </w:r>
    </w:p>
    <w:p w14:paraId="3AA5346E" w14:textId="77777777" w:rsidR="003B4E14" w:rsidRPr="00964945" w:rsidRDefault="003B4E14" w:rsidP="00295D78">
      <w:pPr>
        <w:pStyle w:val="BodyTextMain"/>
        <w:rPr>
          <w:lang w:val="en-GB"/>
        </w:rPr>
      </w:pPr>
    </w:p>
    <w:p w14:paraId="4FD12C58" w14:textId="77777777" w:rsidR="00DF72F5" w:rsidRPr="00964945" w:rsidRDefault="00DF72F5" w:rsidP="00295D78">
      <w:pPr>
        <w:pStyle w:val="BodyTextMain"/>
        <w:rPr>
          <w:lang w:val="en-GB"/>
        </w:rPr>
      </w:pPr>
    </w:p>
    <w:p w14:paraId="588A2AF4" w14:textId="77777777" w:rsidR="000F0E22" w:rsidRPr="00964945" w:rsidRDefault="000F0E22" w:rsidP="003B4E14">
      <w:pPr>
        <w:pStyle w:val="Casehead1"/>
        <w:rPr>
          <w:lang w:val="en-GB"/>
        </w:rPr>
      </w:pPr>
      <w:r w:rsidRPr="00964945">
        <w:rPr>
          <w:lang w:val="en-GB"/>
        </w:rPr>
        <w:t>WATTMAN III: SECOND MARKET SHIFT</w:t>
      </w:r>
    </w:p>
    <w:p w14:paraId="6ED93800" w14:textId="77777777" w:rsidR="003B4E14" w:rsidRPr="00964945" w:rsidRDefault="003B4E14" w:rsidP="008D39A5">
      <w:pPr>
        <w:pStyle w:val="BodyTextMain"/>
        <w:rPr>
          <w:lang w:val="en-GB"/>
        </w:rPr>
      </w:pPr>
    </w:p>
    <w:p w14:paraId="4151FDF8" w14:textId="037B0CC7" w:rsidR="00DF72F5" w:rsidRPr="00964945" w:rsidRDefault="000F0E22" w:rsidP="00DF72F5">
      <w:pPr>
        <w:pStyle w:val="BodyTextMain"/>
        <w:rPr>
          <w:lang w:val="en-GB"/>
        </w:rPr>
      </w:pPr>
      <w:r w:rsidRPr="00964945">
        <w:rPr>
          <w:lang w:val="en-GB"/>
        </w:rPr>
        <w:t xml:space="preserve">Over the next six months, Singh’s tech team had </w:t>
      </w:r>
      <w:r w:rsidR="003A5ACF" w:rsidRPr="00964945">
        <w:rPr>
          <w:lang w:val="en-GB"/>
        </w:rPr>
        <w:t xml:space="preserve">a </w:t>
      </w:r>
      <w:r w:rsidRPr="00964945">
        <w:rPr>
          <w:lang w:val="en-GB"/>
        </w:rPr>
        <w:t>single</w:t>
      </w:r>
      <w:r w:rsidR="003A5ACF" w:rsidRPr="00964945">
        <w:rPr>
          <w:lang w:val="en-GB"/>
        </w:rPr>
        <w:t>-</w:t>
      </w:r>
      <w:r w:rsidRPr="00964945">
        <w:rPr>
          <w:lang w:val="en-GB"/>
        </w:rPr>
        <w:t xml:space="preserve">point agenda: transform </w:t>
      </w:r>
      <w:proofErr w:type="spellStart"/>
      <w:r w:rsidRPr="00964945">
        <w:rPr>
          <w:lang w:val="en-GB"/>
        </w:rPr>
        <w:t>WattMan</w:t>
      </w:r>
      <w:proofErr w:type="spellEnd"/>
      <w:r w:rsidRPr="00964945">
        <w:rPr>
          <w:lang w:val="en-GB"/>
        </w:rPr>
        <w:t xml:space="preserve"> II for </w:t>
      </w:r>
      <w:r w:rsidR="00C1648C" w:rsidRPr="00964945">
        <w:rPr>
          <w:lang w:val="en-GB"/>
        </w:rPr>
        <w:t>retail</w:t>
      </w:r>
      <w:r w:rsidR="00C1648C">
        <w:rPr>
          <w:lang w:val="en-GB"/>
        </w:rPr>
        <w:t>-</w:t>
      </w:r>
      <w:r w:rsidRPr="00964945">
        <w:rPr>
          <w:lang w:val="en-GB"/>
        </w:rPr>
        <w:t>chain outlets by developing a control feature that could bring centralized visibility into operations and</w:t>
      </w:r>
      <w:r w:rsidR="003A5ACF" w:rsidRPr="00964945">
        <w:rPr>
          <w:lang w:val="en-GB"/>
        </w:rPr>
        <w:t xml:space="preserve"> so</w:t>
      </w:r>
      <w:r w:rsidRPr="00964945">
        <w:rPr>
          <w:lang w:val="en-GB"/>
        </w:rPr>
        <w:t xml:space="preserve"> avoid misuse of </w:t>
      </w:r>
      <w:r w:rsidR="003A5ACF" w:rsidRPr="00964945">
        <w:rPr>
          <w:lang w:val="en-GB"/>
        </w:rPr>
        <w:t xml:space="preserve">the </w:t>
      </w:r>
      <w:r w:rsidRPr="00964945">
        <w:rPr>
          <w:lang w:val="en-GB"/>
        </w:rPr>
        <w:t>facilities</w:t>
      </w:r>
      <w:r w:rsidR="003A5ACF" w:rsidRPr="00964945">
        <w:rPr>
          <w:lang w:val="en-GB"/>
        </w:rPr>
        <w:t>’ energy</w:t>
      </w:r>
      <w:r w:rsidRPr="00964945">
        <w:rPr>
          <w:lang w:val="en-GB"/>
        </w:rPr>
        <w:t>.</w:t>
      </w:r>
    </w:p>
    <w:p w14:paraId="020F39F1" w14:textId="77777777" w:rsidR="00DF72F5" w:rsidRPr="00964945" w:rsidRDefault="00DF72F5" w:rsidP="00DF72F5">
      <w:pPr>
        <w:pStyle w:val="BodyTextMain"/>
        <w:rPr>
          <w:lang w:val="en-GB"/>
        </w:rPr>
      </w:pPr>
    </w:p>
    <w:p w14:paraId="2EA78CB5" w14:textId="4F7FE380" w:rsidR="000F0E22" w:rsidRPr="00964945" w:rsidRDefault="000F0E22" w:rsidP="00DF72F5">
      <w:pPr>
        <w:pStyle w:val="BodyTextMain"/>
        <w:rPr>
          <w:lang w:val="en-GB"/>
        </w:rPr>
      </w:pPr>
      <w:r w:rsidRPr="00964945">
        <w:rPr>
          <w:lang w:val="en-GB"/>
        </w:rPr>
        <w:t>The electrical load at retail outlets was much smaller</w:t>
      </w:r>
      <w:r w:rsidR="003A5ACF" w:rsidRPr="00964945">
        <w:rPr>
          <w:lang w:val="en-GB"/>
        </w:rPr>
        <w:t xml:space="preserve"> c</w:t>
      </w:r>
      <w:r w:rsidRPr="00964945">
        <w:rPr>
          <w:lang w:val="en-GB"/>
        </w:rPr>
        <w:t>ompared to commercial building</w:t>
      </w:r>
      <w:r w:rsidR="009B2BB8">
        <w:rPr>
          <w:lang w:val="en-GB"/>
        </w:rPr>
        <w:t>s,</w:t>
      </w:r>
      <w:r w:rsidRPr="00964945">
        <w:rPr>
          <w:lang w:val="en-GB"/>
        </w:rPr>
        <w:t xml:space="preserve"> where air conditioning was controlled centrally</w:t>
      </w:r>
      <w:r w:rsidR="003A5ACF" w:rsidRPr="00964945">
        <w:rPr>
          <w:lang w:val="en-GB"/>
        </w:rPr>
        <w:t xml:space="preserve"> A</w:t>
      </w:r>
      <w:r w:rsidRPr="00964945">
        <w:rPr>
          <w:lang w:val="en-GB"/>
        </w:rPr>
        <w:t xml:space="preserve"> retail outlet </w:t>
      </w:r>
      <w:r w:rsidR="00772815" w:rsidRPr="00964945">
        <w:rPr>
          <w:lang w:val="en-GB"/>
        </w:rPr>
        <w:t>would have</w:t>
      </w:r>
      <w:r w:rsidRPr="00964945">
        <w:rPr>
          <w:lang w:val="en-GB"/>
        </w:rPr>
        <w:t xml:space="preserve"> </w:t>
      </w:r>
      <w:r w:rsidR="009B2BB8">
        <w:rPr>
          <w:lang w:val="en-GB"/>
        </w:rPr>
        <w:t xml:space="preserve">five to </w:t>
      </w:r>
      <w:r w:rsidR="003A5ACF" w:rsidRPr="00964945">
        <w:rPr>
          <w:lang w:val="en-GB"/>
        </w:rPr>
        <w:t>10</w:t>
      </w:r>
      <w:r w:rsidRPr="00964945">
        <w:rPr>
          <w:lang w:val="en-GB"/>
        </w:rPr>
        <w:t xml:space="preserve"> split air conditioners of smaller capacities. The</w:t>
      </w:r>
      <w:r w:rsidR="00772815" w:rsidRPr="00964945">
        <w:rPr>
          <w:lang w:val="en-GB"/>
        </w:rPr>
        <w:t xml:space="preserve"> tech team</w:t>
      </w:r>
      <w:r w:rsidRPr="00964945">
        <w:rPr>
          <w:lang w:val="en-GB"/>
        </w:rPr>
        <w:t xml:space="preserve"> found that developing an automated energy</w:t>
      </w:r>
      <w:r w:rsidR="00772815" w:rsidRPr="00964945">
        <w:rPr>
          <w:lang w:val="en-GB"/>
        </w:rPr>
        <w:t>-</w:t>
      </w:r>
      <w:r w:rsidRPr="00964945">
        <w:rPr>
          <w:lang w:val="en-GB"/>
        </w:rPr>
        <w:t xml:space="preserve">monitoring system was possible in this case. For instance, detecting a person sitting in a large space in a big building and accordingly controlling air conditioning was much </w:t>
      </w:r>
      <w:r w:rsidR="00772815" w:rsidRPr="00964945">
        <w:rPr>
          <w:lang w:val="en-GB"/>
        </w:rPr>
        <w:t>more difficult</w:t>
      </w:r>
      <w:r w:rsidRPr="00964945">
        <w:rPr>
          <w:lang w:val="en-GB"/>
        </w:rPr>
        <w:t xml:space="preserve"> than controlling air conditioning in a retail outlet based on time of day and </w:t>
      </w:r>
      <w:r w:rsidR="00772815" w:rsidRPr="00964945">
        <w:rPr>
          <w:lang w:val="en-GB"/>
        </w:rPr>
        <w:t xml:space="preserve">an </w:t>
      </w:r>
      <w:r w:rsidRPr="00964945">
        <w:rPr>
          <w:lang w:val="en-GB"/>
        </w:rPr>
        <w:t>approximate number of customers present.</w:t>
      </w:r>
    </w:p>
    <w:p w14:paraId="1D2E9504" w14:textId="77777777" w:rsidR="00DF72F5" w:rsidRPr="00964945" w:rsidRDefault="00DF72F5" w:rsidP="00DF72F5">
      <w:pPr>
        <w:pStyle w:val="BodyTextMain"/>
        <w:rPr>
          <w:lang w:val="en-GB"/>
        </w:rPr>
      </w:pPr>
    </w:p>
    <w:p w14:paraId="6CCDD537" w14:textId="78477273" w:rsidR="000F0E22" w:rsidRPr="00964945" w:rsidRDefault="000F0E22" w:rsidP="00DF72F5">
      <w:pPr>
        <w:pStyle w:val="BodyTextMain"/>
        <w:rPr>
          <w:lang w:val="en-GB"/>
        </w:rPr>
      </w:pPr>
      <w:r w:rsidRPr="00964945">
        <w:rPr>
          <w:lang w:val="en-GB"/>
        </w:rPr>
        <w:t xml:space="preserve">There was a need to build </w:t>
      </w:r>
      <w:r w:rsidR="00772815" w:rsidRPr="00964945">
        <w:rPr>
          <w:lang w:val="en-GB"/>
        </w:rPr>
        <w:t xml:space="preserve">a </w:t>
      </w:r>
      <w:r w:rsidRPr="00964945">
        <w:rPr>
          <w:lang w:val="en-GB"/>
        </w:rPr>
        <w:t xml:space="preserve">smarter gateway as well. </w:t>
      </w:r>
      <w:r w:rsidR="00772815" w:rsidRPr="00964945">
        <w:rPr>
          <w:lang w:val="en-GB"/>
        </w:rPr>
        <w:t>Because c</w:t>
      </w:r>
      <w:r w:rsidRPr="00964945">
        <w:rPr>
          <w:lang w:val="en-GB"/>
        </w:rPr>
        <w:t>onnectivity at the cloud level could have been unreliable, the gateway had to have the ability to control air conditioners and other electrical assets locally. They also had to bring down the cost of the product to justify small</w:t>
      </w:r>
      <w:r w:rsidR="00505A96" w:rsidRPr="00964945">
        <w:rPr>
          <w:lang w:val="en-GB"/>
        </w:rPr>
        <w:t>er costs</w:t>
      </w:r>
      <w:r w:rsidRPr="00964945">
        <w:rPr>
          <w:lang w:val="en-GB"/>
        </w:rPr>
        <w:t xml:space="preserve"> and </w:t>
      </w:r>
      <w:r w:rsidR="00505A96" w:rsidRPr="00964945">
        <w:rPr>
          <w:lang w:val="en-GB"/>
        </w:rPr>
        <w:t xml:space="preserve">more </w:t>
      </w:r>
      <w:r w:rsidRPr="00964945">
        <w:rPr>
          <w:lang w:val="en-GB"/>
        </w:rPr>
        <w:t xml:space="preserve">savings at retail outlets. The tech team also planned to use the collected data to perform predictive maintenance of mission-critical assets such as refrigeration units. Predicting </w:t>
      </w:r>
      <w:r w:rsidR="009B2BB8">
        <w:rPr>
          <w:lang w:val="en-GB"/>
        </w:rPr>
        <w:t xml:space="preserve">the </w:t>
      </w:r>
      <w:r w:rsidRPr="00964945">
        <w:rPr>
          <w:lang w:val="en-GB"/>
        </w:rPr>
        <w:t>failure of electrical assets and preventing and minimizing breakdown</w:t>
      </w:r>
      <w:r w:rsidR="009B2BB8">
        <w:rPr>
          <w:lang w:val="en-GB"/>
        </w:rPr>
        <w:t>s</w:t>
      </w:r>
      <w:r w:rsidRPr="00964945">
        <w:rPr>
          <w:lang w:val="en-GB"/>
        </w:rPr>
        <w:t xml:space="preserve"> would add significant value </w:t>
      </w:r>
      <w:r w:rsidR="009B2BB8">
        <w:rPr>
          <w:lang w:val="en-GB"/>
        </w:rPr>
        <w:t>for</w:t>
      </w:r>
      <w:r w:rsidR="009B2BB8" w:rsidRPr="00964945">
        <w:rPr>
          <w:lang w:val="en-GB"/>
        </w:rPr>
        <w:t xml:space="preserve"> </w:t>
      </w:r>
      <w:r w:rsidRPr="00964945">
        <w:rPr>
          <w:lang w:val="en-GB"/>
        </w:rPr>
        <w:t>retail</w:t>
      </w:r>
      <w:r w:rsidR="00CC442E" w:rsidRPr="00964945">
        <w:rPr>
          <w:lang w:val="en-GB"/>
        </w:rPr>
        <w:t>-</w:t>
      </w:r>
      <w:r w:rsidRPr="00964945">
        <w:rPr>
          <w:lang w:val="en-GB"/>
        </w:rPr>
        <w:t xml:space="preserve">chain clients. </w:t>
      </w:r>
    </w:p>
    <w:p w14:paraId="1F17725B" w14:textId="77777777" w:rsidR="00DF72F5" w:rsidRPr="00964945" w:rsidRDefault="00DF72F5" w:rsidP="00DF72F5">
      <w:pPr>
        <w:pStyle w:val="BodyTextMain"/>
        <w:rPr>
          <w:lang w:val="en-GB"/>
        </w:rPr>
      </w:pPr>
    </w:p>
    <w:p w14:paraId="2F799A8A" w14:textId="67FE9485" w:rsidR="000F0E22" w:rsidRPr="00964945" w:rsidRDefault="00B54AC3" w:rsidP="00DF72F5">
      <w:pPr>
        <w:pStyle w:val="BodyTextMain"/>
        <w:rPr>
          <w:lang w:val="en-GB"/>
        </w:rPr>
      </w:pPr>
      <w:r w:rsidRPr="00964945">
        <w:rPr>
          <w:lang w:val="en-GB"/>
        </w:rPr>
        <w:t>These abilities were</w:t>
      </w:r>
      <w:r w:rsidR="000F0E22" w:rsidRPr="00964945">
        <w:rPr>
          <w:lang w:val="en-GB"/>
        </w:rPr>
        <w:t xml:space="preserve"> possible only through an automated and remote</w:t>
      </w:r>
      <w:r w:rsidRPr="00964945">
        <w:rPr>
          <w:lang w:val="en-GB"/>
        </w:rPr>
        <w:t>-</w:t>
      </w:r>
      <w:r w:rsidR="000F0E22" w:rsidRPr="00964945">
        <w:rPr>
          <w:lang w:val="en-GB"/>
        </w:rPr>
        <w:t>control feature</w:t>
      </w:r>
      <w:r w:rsidRPr="00964945">
        <w:rPr>
          <w:lang w:val="en-GB"/>
        </w:rPr>
        <w:t>,</w:t>
      </w:r>
      <w:r w:rsidR="000F0E22" w:rsidRPr="00964945">
        <w:rPr>
          <w:lang w:val="en-GB"/>
        </w:rPr>
        <w:t xml:space="preserve"> and</w:t>
      </w:r>
      <w:r w:rsidR="00CC442E" w:rsidRPr="00964945">
        <w:rPr>
          <w:lang w:val="en-GB"/>
        </w:rPr>
        <w:t xml:space="preserve"> the</w:t>
      </w:r>
      <w:r w:rsidR="000F0E22" w:rsidRPr="00964945">
        <w:rPr>
          <w:lang w:val="en-GB"/>
        </w:rPr>
        <w:t xml:space="preserve"> tech team w</w:t>
      </w:r>
      <w:r w:rsidR="00CC442E" w:rsidRPr="00964945">
        <w:rPr>
          <w:lang w:val="en-GB"/>
        </w:rPr>
        <w:t>as</w:t>
      </w:r>
      <w:r w:rsidR="000F0E22" w:rsidRPr="00964945">
        <w:rPr>
          <w:lang w:val="en-GB"/>
        </w:rPr>
        <w:t xml:space="preserve"> </w:t>
      </w:r>
      <w:r w:rsidRPr="00964945">
        <w:rPr>
          <w:lang w:val="en-GB"/>
        </w:rPr>
        <w:t>working on this.</w:t>
      </w:r>
      <w:r w:rsidR="000F0E22" w:rsidRPr="00964945">
        <w:rPr>
          <w:lang w:val="en-GB"/>
        </w:rPr>
        <w:t xml:space="preserve"> While the team struggled with product development and made gradual progress, the sales team managed to </w:t>
      </w:r>
      <w:proofErr w:type="spellStart"/>
      <w:r w:rsidR="000F0E22" w:rsidRPr="00964945">
        <w:rPr>
          <w:lang w:val="en-GB"/>
        </w:rPr>
        <w:t>onboard</w:t>
      </w:r>
      <w:proofErr w:type="spellEnd"/>
      <w:r w:rsidR="000F0E22" w:rsidRPr="00964945">
        <w:rPr>
          <w:lang w:val="en-GB"/>
        </w:rPr>
        <w:t xml:space="preserve"> a major retail chain in September 2016. Seemingly, </w:t>
      </w:r>
      <w:proofErr w:type="spellStart"/>
      <w:r w:rsidR="000F0E22" w:rsidRPr="00964945">
        <w:rPr>
          <w:lang w:val="en-GB"/>
        </w:rPr>
        <w:t>onboarding</w:t>
      </w:r>
      <w:proofErr w:type="spellEnd"/>
      <w:r w:rsidR="000F0E22" w:rsidRPr="00964945">
        <w:rPr>
          <w:lang w:val="en-GB"/>
        </w:rPr>
        <w:t xml:space="preserve"> a retail</w:t>
      </w:r>
      <w:r w:rsidR="00CC442E" w:rsidRPr="00964945">
        <w:rPr>
          <w:lang w:val="en-GB"/>
        </w:rPr>
        <w:t>-</w:t>
      </w:r>
      <w:r w:rsidR="000F0E22" w:rsidRPr="00964945">
        <w:rPr>
          <w:lang w:val="en-GB"/>
        </w:rPr>
        <w:t xml:space="preserve">chain client was not difficult, and they received an order for 100 site installations of </w:t>
      </w:r>
      <w:r w:rsidR="00CC442E" w:rsidRPr="00964945">
        <w:rPr>
          <w:lang w:val="en-GB"/>
        </w:rPr>
        <w:t>a</w:t>
      </w:r>
      <w:r w:rsidR="000F0E22" w:rsidRPr="00964945">
        <w:rPr>
          <w:lang w:val="en-GB"/>
        </w:rPr>
        <w:t xml:space="preserve"> product that was still under development. Soon they were able to </w:t>
      </w:r>
      <w:proofErr w:type="spellStart"/>
      <w:r w:rsidR="000F0E22" w:rsidRPr="00964945">
        <w:rPr>
          <w:lang w:val="en-GB"/>
        </w:rPr>
        <w:t>onboard</w:t>
      </w:r>
      <w:proofErr w:type="spellEnd"/>
      <w:r w:rsidR="000F0E22" w:rsidRPr="00964945">
        <w:rPr>
          <w:lang w:val="en-GB"/>
        </w:rPr>
        <w:t xml:space="preserve"> more clients from </w:t>
      </w:r>
      <w:r w:rsidR="00405305">
        <w:rPr>
          <w:lang w:val="en-GB"/>
        </w:rPr>
        <w:t xml:space="preserve">the </w:t>
      </w:r>
      <w:r w:rsidR="000F0E22" w:rsidRPr="00964945">
        <w:rPr>
          <w:lang w:val="en-GB"/>
        </w:rPr>
        <w:t>restaurant, telecom, fashion, insurance</w:t>
      </w:r>
      <w:r w:rsidRPr="00964945">
        <w:rPr>
          <w:lang w:val="en-GB"/>
        </w:rPr>
        <w:t>,</w:t>
      </w:r>
      <w:r w:rsidR="000F0E22" w:rsidRPr="00964945">
        <w:rPr>
          <w:lang w:val="en-GB"/>
        </w:rPr>
        <w:t xml:space="preserve"> and banking sectors. There were still challenges on the technology side</w:t>
      </w:r>
      <w:r w:rsidRPr="00964945">
        <w:rPr>
          <w:lang w:val="en-GB"/>
        </w:rPr>
        <w:t>, however,</w:t>
      </w:r>
      <w:r w:rsidR="000F0E22" w:rsidRPr="00964945">
        <w:rPr>
          <w:lang w:val="en-GB"/>
        </w:rPr>
        <w:t xml:space="preserve"> that would take more time to resolve and stabilize.</w:t>
      </w:r>
    </w:p>
    <w:p w14:paraId="618AC481" w14:textId="77777777" w:rsidR="00DF72F5" w:rsidRPr="00964945" w:rsidRDefault="00DF72F5" w:rsidP="00DF72F5">
      <w:pPr>
        <w:pStyle w:val="BodyTextMain"/>
        <w:rPr>
          <w:lang w:val="en-GB"/>
        </w:rPr>
      </w:pPr>
    </w:p>
    <w:p w14:paraId="672A67D6" w14:textId="1717C8FD" w:rsidR="000F0E22" w:rsidRPr="00964945" w:rsidRDefault="000F0E22" w:rsidP="00DF72F5">
      <w:pPr>
        <w:pStyle w:val="BodyTextMain"/>
        <w:rPr>
          <w:lang w:val="en-GB"/>
        </w:rPr>
      </w:pPr>
      <w:r w:rsidRPr="00964945">
        <w:rPr>
          <w:lang w:val="en-GB"/>
        </w:rPr>
        <w:t xml:space="preserve">In October 2016, the tech team had a major breakthrough. </w:t>
      </w:r>
      <w:proofErr w:type="spellStart"/>
      <w:r w:rsidRPr="00964945">
        <w:rPr>
          <w:lang w:val="en-GB"/>
        </w:rPr>
        <w:t>WattMan</w:t>
      </w:r>
      <w:proofErr w:type="spellEnd"/>
      <w:r w:rsidRPr="00964945">
        <w:rPr>
          <w:lang w:val="en-GB"/>
        </w:rPr>
        <w:t xml:space="preserve"> II was upgraded</w:t>
      </w:r>
      <w:r w:rsidR="00C076E1" w:rsidRPr="00964945">
        <w:rPr>
          <w:lang w:val="en-GB"/>
        </w:rPr>
        <w:t xml:space="preserve"> </w:t>
      </w:r>
      <w:r w:rsidR="00405305">
        <w:rPr>
          <w:lang w:val="en-GB"/>
        </w:rPr>
        <w:t>to</w:t>
      </w:r>
      <w:r w:rsidR="00405305" w:rsidRPr="00964945">
        <w:rPr>
          <w:lang w:val="en-GB"/>
        </w:rPr>
        <w:t xml:space="preserve"> </w:t>
      </w:r>
      <w:proofErr w:type="spellStart"/>
      <w:r w:rsidR="003C5056" w:rsidRPr="00964945">
        <w:rPr>
          <w:lang w:val="en-GB"/>
        </w:rPr>
        <w:t>Watt</w:t>
      </w:r>
      <w:r w:rsidR="003C5056">
        <w:rPr>
          <w:lang w:val="en-GB"/>
        </w:rPr>
        <w:t>M</w:t>
      </w:r>
      <w:r w:rsidR="003C5056" w:rsidRPr="00964945">
        <w:rPr>
          <w:lang w:val="en-GB"/>
        </w:rPr>
        <w:t>an</w:t>
      </w:r>
      <w:proofErr w:type="spellEnd"/>
      <w:r w:rsidR="003C5056" w:rsidRPr="00964945">
        <w:rPr>
          <w:lang w:val="en-GB"/>
        </w:rPr>
        <w:t xml:space="preserve"> </w:t>
      </w:r>
      <w:r w:rsidR="00404DE1" w:rsidRPr="00964945">
        <w:rPr>
          <w:lang w:val="en-GB"/>
        </w:rPr>
        <w:t>III</w:t>
      </w:r>
      <w:r w:rsidR="00405305">
        <w:rPr>
          <w:lang w:val="en-GB"/>
        </w:rPr>
        <w:t xml:space="preserve">, which </w:t>
      </w:r>
      <w:r w:rsidRPr="00964945">
        <w:rPr>
          <w:lang w:val="en-GB"/>
        </w:rPr>
        <w:t>include</w:t>
      </w:r>
      <w:r w:rsidR="00405305">
        <w:rPr>
          <w:lang w:val="en-GB"/>
        </w:rPr>
        <w:t>d</w:t>
      </w:r>
      <w:r w:rsidRPr="00964945">
        <w:rPr>
          <w:lang w:val="en-GB"/>
        </w:rPr>
        <w:t xml:space="preserve"> an automated control feature. This feature enabled a retail</w:t>
      </w:r>
      <w:r w:rsidR="00C1648C">
        <w:rPr>
          <w:lang w:val="en-GB"/>
        </w:rPr>
        <w:t>-</w:t>
      </w:r>
      <w:r w:rsidRPr="00964945">
        <w:rPr>
          <w:lang w:val="en-GB"/>
        </w:rPr>
        <w:t xml:space="preserve">chain client to centrally ensure that the outlet was at a prescribed temperature by 9:00 </w:t>
      </w:r>
      <w:proofErr w:type="gramStart"/>
      <w:r w:rsidRPr="00964945">
        <w:rPr>
          <w:lang w:val="en-GB"/>
        </w:rPr>
        <w:t>a</w:t>
      </w:r>
      <w:r w:rsidR="00C076E1" w:rsidRPr="00964945">
        <w:rPr>
          <w:lang w:val="en-GB"/>
        </w:rPr>
        <w:t>.</w:t>
      </w:r>
      <w:r w:rsidRPr="00964945">
        <w:rPr>
          <w:lang w:val="en-GB"/>
        </w:rPr>
        <w:t>m.</w:t>
      </w:r>
      <w:r w:rsidR="00FF6C5D">
        <w:rPr>
          <w:lang w:val="en-GB"/>
        </w:rPr>
        <w:t>.</w:t>
      </w:r>
      <w:proofErr w:type="gramEnd"/>
      <w:r w:rsidRPr="00964945">
        <w:rPr>
          <w:lang w:val="en-GB"/>
        </w:rPr>
        <w:t xml:space="preserve"> Alternatively, if a section of </w:t>
      </w:r>
      <w:r w:rsidR="00405305">
        <w:rPr>
          <w:lang w:val="en-GB"/>
        </w:rPr>
        <w:t>a</w:t>
      </w:r>
      <w:r w:rsidR="00405305" w:rsidRPr="00964945">
        <w:rPr>
          <w:lang w:val="en-GB"/>
        </w:rPr>
        <w:t xml:space="preserve"> </w:t>
      </w:r>
      <w:r w:rsidRPr="00964945">
        <w:rPr>
          <w:lang w:val="en-GB"/>
        </w:rPr>
        <w:t xml:space="preserve">restaurant was not occupied, the air conditioners in that section could be switched off automatically to save energy </w:t>
      </w:r>
      <w:r w:rsidR="00C076E1" w:rsidRPr="00964945">
        <w:rPr>
          <w:lang w:val="en-GB"/>
        </w:rPr>
        <w:t xml:space="preserve">and </w:t>
      </w:r>
      <w:r w:rsidRPr="00964945">
        <w:rPr>
          <w:lang w:val="en-GB"/>
        </w:rPr>
        <w:t>cost. Such outlets had electrical assets that included air conditioners, UPS machines, exhaust fans, modems</w:t>
      </w:r>
      <w:r w:rsidR="00C076E1" w:rsidRPr="00964945">
        <w:rPr>
          <w:lang w:val="en-GB"/>
        </w:rPr>
        <w:t>,</w:t>
      </w:r>
      <w:r w:rsidRPr="00964945">
        <w:rPr>
          <w:lang w:val="en-GB"/>
        </w:rPr>
        <w:t xml:space="preserve"> and outdoor signage. All th</w:t>
      </w:r>
      <w:r w:rsidR="00C076E1" w:rsidRPr="00964945">
        <w:rPr>
          <w:lang w:val="en-GB"/>
        </w:rPr>
        <w:t>is</w:t>
      </w:r>
      <w:r w:rsidRPr="00964945">
        <w:rPr>
          <w:lang w:val="en-GB"/>
        </w:rPr>
        <w:t xml:space="preserve"> electrical equipment could be centrally controlled to optimize the usage and minimize the cost on energy bills. This was a game changer!</w:t>
      </w:r>
    </w:p>
    <w:p w14:paraId="57AEFAAF" w14:textId="77777777" w:rsidR="00D23487" w:rsidRPr="00964945" w:rsidRDefault="00D23487" w:rsidP="00DF72F5">
      <w:pPr>
        <w:pStyle w:val="BodyTextMain"/>
        <w:rPr>
          <w:lang w:val="en-GB"/>
        </w:rPr>
      </w:pPr>
    </w:p>
    <w:p w14:paraId="0FDC9AC1" w14:textId="36B8190F" w:rsidR="003B4E14" w:rsidRPr="00964945" w:rsidRDefault="000F0E22" w:rsidP="00DF72F5">
      <w:pPr>
        <w:pStyle w:val="BodyTextMain"/>
        <w:rPr>
          <w:iCs/>
          <w:lang w:val="en-GB"/>
        </w:rPr>
      </w:pPr>
      <w:r w:rsidRPr="00964945">
        <w:rPr>
          <w:lang w:val="en-GB"/>
        </w:rPr>
        <w:t xml:space="preserve">In </w:t>
      </w:r>
      <w:proofErr w:type="spellStart"/>
      <w:r w:rsidRPr="00964945">
        <w:rPr>
          <w:lang w:val="en-GB"/>
        </w:rPr>
        <w:t>WattMan</w:t>
      </w:r>
      <w:proofErr w:type="spellEnd"/>
      <w:r w:rsidRPr="00964945">
        <w:rPr>
          <w:lang w:val="en-GB"/>
        </w:rPr>
        <w:t xml:space="preserve"> III, </w:t>
      </w:r>
      <w:proofErr w:type="spellStart"/>
      <w:r w:rsidRPr="00964945">
        <w:rPr>
          <w:lang w:val="en-GB"/>
        </w:rPr>
        <w:t>Zenatix</w:t>
      </w:r>
      <w:proofErr w:type="spellEnd"/>
      <w:r w:rsidRPr="00964945">
        <w:rPr>
          <w:lang w:val="en-GB"/>
        </w:rPr>
        <w:t xml:space="preserve"> also added a feature </w:t>
      </w:r>
      <w:r w:rsidR="00405305" w:rsidRPr="00964945">
        <w:rPr>
          <w:lang w:val="en-GB"/>
        </w:rPr>
        <w:t>t</w:t>
      </w:r>
      <w:r w:rsidR="00405305">
        <w:rPr>
          <w:lang w:val="en-GB"/>
        </w:rPr>
        <w:t>hat</w:t>
      </w:r>
      <w:r w:rsidR="00405305" w:rsidRPr="00964945">
        <w:rPr>
          <w:lang w:val="en-GB"/>
        </w:rPr>
        <w:t xml:space="preserve"> </w:t>
      </w:r>
      <w:r w:rsidRPr="00964945">
        <w:rPr>
          <w:lang w:val="en-GB"/>
        </w:rPr>
        <w:t>predict</w:t>
      </w:r>
      <w:r w:rsidR="00405305">
        <w:rPr>
          <w:lang w:val="en-GB"/>
        </w:rPr>
        <w:t>ed</w:t>
      </w:r>
      <w:r w:rsidRPr="00964945">
        <w:rPr>
          <w:lang w:val="en-GB"/>
        </w:rPr>
        <w:t xml:space="preserve"> breakdown</w:t>
      </w:r>
      <w:r w:rsidR="00405305">
        <w:rPr>
          <w:lang w:val="en-GB"/>
        </w:rPr>
        <w:t>s</w:t>
      </w:r>
      <w:r w:rsidRPr="00964945">
        <w:rPr>
          <w:lang w:val="en-GB"/>
        </w:rPr>
        <w:t xml:space="preserve"> of electrical assets and indicate</w:t>
      </w:r>
      <w:r w:rsidR="00405305">
        <w:rPr>
          <w:lang w:val="en-GB"/>
        </w:rPr>
        <w:t>d</w:t>
      </w:r>
      <w:r w:rsidRPr="00964945">
        <w:rPr>
          <w:lang w:val="en-GB"/>
        </w:rPr>
        <w:t xml:space="preserve"> preventive maintenance that enhanced the value proposition further. Real</w:t>
      </w:r>
      <w:r w:rsidR="00C076E1" w:rsidRPr="00964945">
        <w:rPr>
          <w:lang w:val="en-GB"/>
        </w:rPr>
        <w:t>-</w:t>
      </w:r>
      <w:r w:rsidRPr="00964945">
        <w:rPr>
          <w:lang w:val="en-GB"/>
        </w:rPr>
        <w:t xml:space="preserve">time energy usage and </w:t>
      </w:r>
      <w:r w:rsidRPr="00964945">
        <w:rPr>
          <w:lang w:val="en-GB"/>
        </w:rPr>
        <w:lastRenderedPageBreak/>
        <w:t xml:space="preserve">temperature monitoring data was used to develop algorithms to predict when an electrical asset could potentially break down. To top it all, </w:t>
      </w:r>
      <w:proofErr w:type="spellStart"/>
      <w:r w:rsidRPr="00964945">
        <w:rPr>
          <w:lang w:val="en-GB"/>
        </w:rPr>
        <w:t>WattMan</w:t>
      </w:r>
      <w:proofErr w:type="spellEnd"/>
      <w:r w:rsidRPr="00964945">
        <w:rPr>
          <w:lang w:val="en-GB"/>
        </w:rPr>
        <w:t xml:space="preserve"> III could now work in offline mode in case of power failure or disconnection from the central control team</w:t>
      </w:r>
      <w:r w:rsidR="00C076E1" w:rsidRPr="00964945">
        <w:rPr>
          <w:lang w:val="en-GB"/>
        </w:rPr>
        <w:t>,</w:t>
      </w:r>
      <w:r w:rsidRPr="00964945">
        <w:rPr>
          <w:lang w:val="en-GB"/>
        </w:rPr>
        <w:t xml:space="preserve"> and </w:t>
      </w:r>
      <w:r w:rsidR="00C076E1" w:rsidRPr="00964945">
        <w:rPr>
          <w:lang w:val="en-GB"/>
        </w:rPr>
        <w:t xml:space="preserve">it </w:t>
      </w:r>
      <w:r w:rsidRPr="00964945">
        <w:rPr>
          <w:lang w:val="en-GB"/>
        </w:rPr>
        <w:t>was capable of supporting local decision</w:t>
      </w:r>
      <w:r w:rsidR="00405305">
        <w:rPr>
          <w:lang w:val="en-GB"/>
        </w:rPr>
        <w:t xml:space="preserve"> </w:t>
      </w:r>
      <w:r w:rsidRPr="00964945">
        <w:rPr>
          <w:lang w:val="en-GB"/>
        </w:rPr>
        <w:t>making based on predefined programming (see Exhibit 7).</w:t>
      </w:r>
      <w:r w:rsidR="00DF72F5" w:rsidRPr="00964945">
        <w:rPr>
          <w:lang w:val="en-GB"/>
        </w:rPr>
        <w:t xml:space="preserve"> Singh noted, “</w:t>
      </w:r>
      <w:r w:rsidRPr="00964945">
        <w:rPr>
          <w:iCs/>
          <w:lang w:val="en-GB"/>
        </w:rPr>
        <w:t xml:space="preserve">We were able to not just reduce costs by remotely controlling the usage, but also predict breakdowns based on performance data and hence contribute to clients’ </w:t>
      </w:r>
      <w:proofErr w:type="spellStart"/>
      <w:r w:rsidRPr="00964945">
        <w:rPr>
          <w:iCs/>
          <w:lang w:val="en-GB"/>
        </w:rPr>
        <w:t>topline</w:t>
      </w:r>
      <w:proofErr w:type="spellEnd"/>
      <w:r w:rsidRPr="00964945">
        <w:rPr>
          <w:iCs/>
          <w:lang w:val="en-GB"/>
        </w:rPr>
        <w:t xml:space="preserve"> by minimizing downtime</w:t>
      </w:r>
      <w:r w:rsidR="00DF72F5" w:rsidRPr="00964945">
        <w:rPr>
          <w:iCs/>
          <w:lang w:val="en-GB"/>
        </w:rPr>
        <w:t>.</w:t>
      </w:r>
      <w:r w:rsidRPr="00964945">
        <w:rPr>
          <w:iCs/>
          <w:lang w:val="en-GB"/>
        </w:rPr>
        <w:t>”</w:t>
      </w:r>
    </w:p>
    <w:p w14:paraId="007C4C59" w14:textId="77777777" w:rsidR="00DF72F5" w:rsidRPr="00964945" w:rsidRDefault="00DF72F5" w:rsidP="00295D78">
      <w:pPr>
        <w:pStyle w:val="BodyTextMain"/>
        <w:rPr>
          <w:lang w:val="en-GB"/>
        </w:rPr>
      </w:pPr>
    </w:p>
    <w:p w14:paraId="3B89B1DF" w14:textId="77777777" w:rsidR="00DF72F5" w:rsidRPr="00964945" w:rsidRDefault="00DF72F5" w:rsidP="00295D78">
      <w:pPr>
        <w:pStyle w:val="BodyTextMain"/>
        <w:rPr>
          <w:lang w:val="en-GB"/>
        </w:rPr>
      </w:pPr>
    </w:p>
    <w:p w14:paraId="1F635465" w14:textId="77777777" w:rsidR="000F0E22" w:rsidRPr="00964945" w:rsidRDefault="000F0E22" w:rsidP="003B4E14">
      <w:pPr>
        <w:pStyle w:val="Casehead1"/>
        <w:keepNext/>
        <w:rPr>
          <w:lang w:val="en-GB"/>
        </w:rPr>
      </w:pPr>
      <w:r w:rsidRPr="00964945">
        <w:rPr>
          <w:lang w:val="en-GB"/>
        </w:rPr>
        <w:t>BUSINESS MODEL</w:t>
      </w:r>
    </w:p>
    <w:p w14:paraId="1E464240" w14:textId="77777777" w:rsidR="003B4E14" w:rsidRPr="00964945" w:rsidRDefault="003B4E14" w:rsidP="008D39A5">
      <w:pPr>
        <w:pStyle w:val="BodyTextMain"/>
        <w:rPr>
          <w:lang w:val="en-GB"/>
        </w:rPr>
      </w:pPr>
    </w:p>
    <w:p w14:paraId="40D47D2A" w14:textId="221FC947" w:rsidR="000F0E22" w:rsidRPr="00964945" w:rsidRDefault="000F0E22" w:rsidP="00DF72F5">
      <w:pPr>
        <w:pStyle w:val="BodyTextMain"/>
        <w:rPr>
          <w:lang w:val="en-GB"/>
        </w:rPr>
      </w:pPr>
      <w:r w:rsidRPr="00964945">
        <w:rPr>
          <w:lang w:val="en-GB"/>
        </w:rPr>
        <w:t xml:space="preserve">The latest shift in target market presented promising prospects going forward. </w:t>
      </w:r>
      <w:proofErr w:type="spellStart"/>
      <w:r w:rsidRPr="00964945">
        <w:rPr>
          <w:lang w:val="en-GB"/>
        </w:rPr>
        <w:t>Zenatix</w:t>
      </w:r>
      <w:proofErr w:type="spellEnd"/>
      <w:r w:rsidRPr="00964945">
        <w:rPr>
          <w:lang w:val="en-GB"/>
        </w:rPr>
        <w:t xml:space="preserve"> did not need to reach out to large numbers of potential clients; it merely needed to capture a few clients that had a sizable number of outlets. Most clients initially wanted to sign up for paid pilot project</w:t>
      </w:r>
      <w:r w:rsidR="00405305">
        <w:rPr>
          <w:lang w:val="en-GB"/>
        </w:rPr>
        <w:t>s</w:t>
      </w:r>
      <w:r w:rsidRPr="00964945">
        <w:rPr>
          <w:lang w:val="en-GB"/>
        </w:rPr>
        <w:t xml:space="preserve"> in a few outlets to experience first-hand the benefits of the system before committing </w:t>
      </w:r>
      <w:r w:rsidR="00351B50" w:rsidRPr="00964945">
        <w:rPr>
          <w:lang w:val="en-GB"/>
        </w:rPr>
        <w:t>to</w:t>
      </w:r>
      <w:r w:rsidRPr="00964945">
        <w:rPr>
          <w:lang w:val="en-GB"/>
        </w:rPr>
        <w:t xml:space="preserve"> larger and longer contract</w:t>
      </w:r>
      <w:r w:rsidR="00405305">
        <w:rPr>
          <w:lang w:val="en-GB"/>
        </w:rPr>
        <w:t>s</w:t>
      </w:r>
      <w:r w:rsidRPr="00964945">
        <w:rPr>
          <w:lang w:val="en-GB"/>
        </w:rPr>
        <w:t xml:space="preserve">. In the pilot phase, </w:t>
      </w:r>
      <w:proofErr w:type="spellStart"/>
      <w:r w:rsidRPr="00964945">
        <w:rPr>
          <w:lang w:val="en-GB"/>
        </w:rPr>
        <w:t>Zenatix</w:t>
      </w:r>
      <w:proofErr w:type="spellEnd"/>
      <w:r w:rsidRPr="00964945">
        <w:rPr>
          <w:lang w:val="en-GB"/>
        </w:rPr>
        <w:t xml:space="preserve"> had to compromise on price in order to </w:t>
      </w:r>
      <w:proofErr w:type="spellStart"/>
      <w:r w:rsidRPr="00964945">
        <w:rPr>
          <w:lang w:val="en-GB"/>
        </w:rPr>
        <w:t>onboard</w:t>
      </w:r>
      <w:proofErr w:type="spellEnd"/>
      <w:r w:rsidRPr="00964945">
        <w:rPr>
          <w:lang w:val="en-GB"/>
        </w:rPr>
        <w:t xml:space="preserve"> the client</w:t>
      </w:r>
      <w:r w:rsidR="00405305">
        <w:rPr>
          <w:lang w:val="en-GB"/>
        </w:rPr>
        <w:t>s</w:t>
      </w:r>
      <w:r w:rsidRPr="00964945">
        <w:rPr>
          <w:lang w:val="en-GB"/>
        </w:rPr>
        <w:t>. However, Singh and team were confident that they could make this up with bigger and more profitable follow</w:t>
      </w:r>
      <w:r w:rsidR="00351B50" w:rsidRPr="00964945">
        <w:rPr>
          <w:lang w:val="en-GB"/>
        </w:rPr>
        <w:t>-</w:t>
      </w:r>
      <w:r w:rsidRPr="00964945">
        <w:rPr>
          <w:lang w:val="en-GB"/>
        </w:rPr>
        <w:t>up order</w:t>
      </w:r>
      <w:r w:rsidR="00405305">
        <w:rPr>
          <w:lang w:val="en-GB"/>
        </w:rPr>
        <w:t>s</w:t>
      </w:r>
      <w:r w:rsidRPr="00964945">
        <w:rPr>
          <w:lang w:val="en-GB"/>
        </w:rPr>
        <w:t>.</w:t>
      </w:r>
      <w:r w:rsidR="00DF72F5" w:rsidRPr="00964945">
        <w:rPr>
          <w:lang w:val="en-GB"/>
        </w:rPr>
        <w:t xml:space="preserve"> Singh explain</w:t>
      </w:r>
      <w:r w:rsidR="00291FAA" w:rsidRPr="00964945">
        <w:rPr>
          <w:lang w:val="en-GB"/>
        </w:rPr>
        <w:t>ed</w:t>
      </w:r>
      <w:r w:rsidR="00DF72F5" w:rsidRPr="00964945">
        <w:rPr>
          <w:lang w:val="en-GB"/>
        </w:rPr>
        <w:t>, “</w:t>
      </w:r>
      <w:r w:rsidRPr="00964945">
        <w:rPr>
          <w:iCs/>
          <w:color w:val="000000"/>
          <w:lang w:val="en-GB"/>
        </w:rPr>
        <w:t>Once clients experience the value in the proposition, they would not mind paying higher prices. At that time, our older clients would start compensating the acquisition cost of new clients.”</w:t>
      </w:r>
    </w:p>
    <w:p w14:paraId="1A61FCD4" w14:textId="77777777" w:rsidR="00DF72F5" w:rsidRPr="00964945" w:rsidRDefault="00DF72F5" w:rsidP="003B4E14">
      <w:pPr>
        <w:pStyle w:val="BodyTextMain"/>
        <w:rPr>
          <w:lang w:val="en-GB"/>
        </w:rPr>
      </w:pPr>
    </w:p>
    <w:p w14:paraId="32D29C2F" w14:textId="273D1E81" w:rsidR="000F0E22" w:rsidRPr="00964945" w:rsidRDefault="000F0E22" w:rsidP="003B4E14">
      <w:pPr>
        <w:pStyle w:val="BodyTextMain"/>
        <w:rPr>
          <w:lang w:val="en-GB"/>
        </w:rPr>
      </w:pPr>
      <w:proofErr w:type="spellStart"/>
      <w:r w:rsidRPr="00964945">
        <w:rPr>
          <w:lang w:val="en-GB"/>
        </w:rPr>
        <w:t>Zenatix</w:t>
      </w:r>
      <w:proofErr w:type="spellEnd"/>
      <w:r w:rsidRPr="00964945">
        <w:rPr>
          <w:lang w:val="en-GB"/>
        </w:rPr>
        <w:t xml:space="preserve"> had to find customers that had hundreds of outlets so that pilots were followed by sizeable follow-on installation orders for </w:t>
      </w:r>
      <w:proofErr w:type="spellStart"/>
      <w:r w:rsidRPr="00964945">
        <w:rPr>
          <w:lang w:val="en-GB"/>
        </w:rPr>
        <w:t>WattMan</w:t>
      </w:r>
      <w:proofErr w:type="spellEnd"/>
      <w:r w:rsidRPr="00964945">
        <w:rPr>
          <w:lang w:val="en-GB"/>
        </w:rPr>
        <w:t xml:space="preserve"> III. Revenue was completely dependent upon clients seeing value in the product during the pilot. It was estimated that </w:t>
      </w:r>
      <w:proofErr w:type="spellStart"/>
      <w:r w:rsidRPr="00964945">
        <w:rPr>
          <w:lang w:val="en-GB"/>
        </w:rPr>
        <w:t>WattMan</w:t>
      </w:r>
      <w:proofErr w:type="spellEnd"/>
      <w:r w:rsidRPr="00964945">
        <w:rPr>
          <w:lang w:val="en-GB"/>
        </w:rPr>
        <w:t xml:space="preserve"> III could save </w:t>
      </w:r>
      <w:r w:rsidR="00405305">
        <w:rPr>
          <w:lang w:val="en-GB"/>
        </w:rPr>
        <w:t xml:space="preserve">a </w:t>
      </w:r>
      <w:r w:rsidRPr="00964945">
        <w:rPr>
          <w:lang w:val="en-GB"/>
        </w:rPr>
        <w:t xml:space="preserve">minimum </w:t>
      </w:r>
      <w:r w:rsidR="00405305">
        <w:rPr>
          <w:lang w:val="en-GB"/>
        </w:rPr>
        <w:t xml:space="preserve">of </w:t>
      </w:r>
      <w:r w:rsidRPr="00964945">
        <w:rPr>
          <w:lang w:val="en-GB"/>
        </w:rPr>
        <w:t>8</w:t>
      </w:r>
      <w:r w:rsidR="00A83CD4" w:rsidRPr="00964945">
        <w:rPr>
          <w:lang w:val="en-GB"/>
        </w:rPr>
        <w:t>–</w:t>
      </w:r>
      <w:r w:rsidRPr="00964945">
        <w:rPr>
          <w:lang w:val="en-GB"/>
        </w:rPr>
        <w:t>10</w:t>
      </w:r>
      <w:r w:rsidR="00405305">
        <w:rPr>
          <w:lang w:val="en-GB"/>
        </w:rPr>
        <w:t xml:space="preserve"> per cent</w:t>
      </w:r>
      <w:r w:rsidR="00405305" w:rsidRPr="00964945">
        <w:rPr>
          <w:lang w:val="en-GB"/>
        </w:rPr>
        <w:t xml:space="preserve"> </w:t>
      </w:r>
      <w:r w:rsidRPr="00964945">
        <w:rPr>
          <w:lang w:val="en-GB"/>
        </w:rPr>
        <w:t>of energy cost</w:t>
      </w:r>
      <w:r w:rsidR="00405305">
        <w:rPr>
          <w:lang w:val="en-GB"/>
        </w:rPr>
        <w:t>,</w:t>
      </w:r>
      <w:r w:rsidRPr="00964945">
        <w:rPr>
          <w:lang w:val="en-GB"/>
        </w:rPr>
        <w:t xml:space="preserve"> and </w:t>
      </w:r>
      <w:proofErr w:type="spellStart"/>
      <w:r w:rsidRPr="00964945">
        <w:rPr>
          <w:lang w:val="en-GB"/>
        </w:rPr>
        <w:t>Zenatix</w:t>
      </w:r>
      <w:proofErr w:type="spellEnd"/>
      <w:r w:rsidRPr="00964945">
        <w:rPr>
          <w:lang w:val="en-GB"/>
        </w:rPr>
        <w:t xml:space="preserve"> was hoping that clients would be willing to share a part of the saving</w:t>
      </w:r>
      <w:r w:rsidR="00351B50" w:rsidRPr="00964945">
        <w:rPr>
          <w:lang w:val="en-GB"/>
        </w:rPr>
        <w:t>s</w:t>
      </w:r>
      <w:r w:rsidRPr="00964945">
        <w:rPr>
          <w:lang w:val="en-GB"/>
        </w:rPr>
        <w:t xml:space="preserve"> as </w:t>
      </w:r>
      <w:r w:rsidR="00351B50" w:rsidRPr="00964945">
        <w:rPr>
          <w:lang w:val="en-GB"/>
        </w:rPr>
        <w:t xml:space="preserve">a </w:t>
      </w:r>
      <w:r w:rsidRPr="00964945">
        <w:rPr>
          <w:lang w:val="en-GB"/>
        </w:rPr>
        <w:t xml:space="preserve">cost of installation and maintenance. </w:t>
      </w:r>
      <w:proofErr w:type="spellStart"/>
      <w:r w:rsidRPr="00964945">
        <w:rPr>
          <w:lang w:val="en-GB"/>
        </w:rPr>
        <w:t>Zenatix</w:t>
      </w:r>
      <w:proofErr w:type="spellEnd"/>
      <w:r w:rsidRPr="00964945">
        <w:rPr>
          <w:lang w:val="en-GB"/>
        </w:rPr>
        <w:t xml:space="preserve"> came up with two subscription models. The Capex </w:t>
      </w:r>
      <w:r w:rsidR="00405305">
        <w:rPr>
          <w:lang w:val="en-GB"/>
        </w:rPr>
        <w:t>m</w:t>
      </w:r>
      <w:r w:rsidR="00405305" w:rsidRPr="00964945">
        <w:rPr>
          <w:lang w:val="en-GB"/>
        </w:rPr>
        <w:t xml:space="preserve">odel </w:t>
      </w:r>
      <w:r w:rsidRPr="00964945">
        <w:rPr>
          <w:lang w:val="en-GB"/>
        </w:rPr>
        <w:t>required a client to pay up</w:t>
      </w:r>
      <w:r w:rsidR="00405305">
        <w:rPr>
          <w:lang w:val="en-GB"/>
        </w:rPr>
        <w:t>-</w:t>
      </w:r>
      <w:r w:rsidRPr="00964945">
        <w:rPr>
          <w:lang w:val="en-GB"/>
        </w:rPr>
        <w:t xml:space="preserve">front the cost of hardware and installation, followed by an annual subscription fee. </w:t>
      </w:r>
      <w:r w:rsidR="00351B50" w:rsidRPr="00964945">
        <w:rPr>
          <w:lang w:val="en-GB"/>
        </w:rPr>
        <w:t>I</w:t>
      </w:r>
      <w:r w:rsidRPr="00964945">
        <w:rPr>
          <w:lang w:val="en-GB"/>
        </w:rPr>
        <w:t xml:space="preserve">n the Capex-free </w:t>
      </w:r>
      <w:r w:rsidR="00405305">
        <w:rPr>
          <w:lang w:val="en-GB"/>
        </w:rPr>
        <w:t>m</w:t>
      </w:r>
      <w:r w:rsidR="00405305" w:rsidRPr="00964945">
        <w:rPr>
          <w:lang w:val="en-GB"/>
        </w:rPr>
        <w:t>odel</w:t>
      </w:r>
      <w:r w:rsidRPr="00964945">
        <w:rPr>
          <w:lang w:val="en-GB"/>
        </w:rPr>
        <w:t xml:space="preserve">, </w:t>
      </w:r>
      <w:r w:rsidR="00351B50" w:rsidRPr="00964945">
        <w:rPr>
          <w:lang w:val="en-GB"/>
        </w:rPr>
        <w:t xml:space="preserve">however, </w:t>
      </w:r>
      <w:r w:rsidRPr="00964945">
        <w:rPr>
          <w:lang w:val="en-GB"/>
        </w:rPr>
        <w:t>a client did not need to incur any up</w:t>
      </w:r>
      <w:r w:rsidR="00405305">
        <w:rPr>
          <w:lang w:val="en-GB"/>
        </w:rPr>
        <w:t>-</w:t>
      </w:r>
      <w:r w:rsidRPr="00964945">
        <w:rPr>
          <w:lang w:val="en-GB"/>
        </w:rPr>
        <w:t>front cost but had to pay a relatively higher annual subscription fee.</w:t>
      </w:r>
    </w:p>
    <w:p w14:paraId="54BE8E71" w14:textId="77777777" w:rsidR="000F0E22" w:rsidRPr="00964945" w:rsidRDefault="000F0E22" w:rsidP="003B4E14">
      <w:pPr>
        <w:pStyle w:val="BodyTextMain"/>
        <w:rPr>
          <w:lang w:val="en-GB"/>
        </w:rPr>
      </w:pPr>
    </w:p>
    <w:p w14:paraId="2D6B56F3" w14:textId="694E358C" w:rsidR="000F0E22" w:rsidRPr="00964945" w:rsidRDefault="000F0E22" w:rsidP="003B4E14">
      <w:pPr>
        <w:pStyle w:val="BodyTextMain"/>
        <w:rPr>
          <w:lang w:val="en-GB"/>
        </w:rPr>
      </w:pPr>
      <w:r w:rsidRPr="00964945">
        <w:rPr>
          <w:lang w:val="en-GB"/>
        </w:rPr>
        <w:t>Most clients were inclined to go for the Capex-free annual subscription model to avoid</w:t>
      </w:r>
      <w:r w:rsidR="00F00C13" w:rsidRPr="00964945">
        <w:rPr>
          <w:lang w:val="en-GB"/>
        </w:rPr>
        <w:t xml:space="preserve"> the</w:t>
      </w:r>
      <w:r w:rsidRPr="00964945">
        <w:rPr>
          <w:lang w:val="en-GB"/>
        </w:rPr>
        <w:t xml:space="preserve"> up</w:t>
      </w:r>
      <w:r w:rsidR="00405305">
        <w:rPr>
          <w:lang w:val="en-GB"/>
        </w:rPr>
        <w:t>-</w:t>
      </w:r>
      <w:r w:rsidRPr="00964945">
        <w:rPr>
          <w:lang w:val="en-GB"/>
        </w:rPr>
        <w:t>front cost</w:t>
      </w:r>
      <w:r w:rsidR="00F00C13" w:rsidRPr="00964945">
        <w:rPr>
          <w:lang w:val="en-GB"/>
        </w:rPr>
        <w:t>s</w:t>
      </w:r>
      <w:r w:rsidRPr="00964945">
        <w:rPr>
          <w:lang w:val="en-GB"/>
        </w:rPr>
        <w:t xml:space="preserve"> in case the pilot failed. In order to ensure inflows in the longer term, </w:t>
      </w:r>
      <w:proofErr w:type="spellStart"/>
      <w:r w:rsidRPr="00964945">
        <w:rPr>
          <w:lang w:val="en-GB"/>
        </w:rPr>
        <w:t>Zenatix</w:t>
      </w:r>
      <w:proofErr w:type="spellEnd"/>
      <w:r w:rsidRPr="00964945">
        <w:rPr>
          <w:lang w:val="en-GB"/>
        </w:rPr>
        <w:t xml:space="preserve"> planned to offer five</w:t>
      </w:r>
      <w:r w:rsidR="00F00C13" w:rsidRPr="00964945">
        <w:rPr>
          <w:lang w:val="en-GB"/>
        </w:rPr>
        <w:t>-</w:t>
      </w:r>
      <w:r w:rsidRPr="00964945">
        <w:rPr>
          <w:lang w:val="en-GB"/>
        </w:rPr>
        <w:t xml:space="preserve"> to seven</w:t>
      </w:r>
      <w:r w:rsidR="00F00C13" w:rsidRPr="00964945">
        <w:rPr>
          <w:lang w:val="en-GB"/>
        </w:rPr>
        <w:t>-</w:t>
      </w:r>
      <w:r w:rsidRPr="00964945">
        <w:rPr>
          <w:lang w:val="en-GB"/>
        </w:rPr>
        <w:t xml:space="preserve">year subscriptions. </w:t>
      </w:r>
      <w:r w:rsidR="00405305">
        <w:rPr>
          <w:lang w:val="en-GB"/>
        </w:rPr>
        <w:t xml:space="preserve">Some clients </w:t>
      </w:r>
      <w:r w:rsidRPr="00964945">
        <w:rPr>
          <w:lang w:val="en-GB"/>
        </w:rPr>
        <w:t xml:space="preserve">also </w:t>
      </w:r>
      <w:r w:rsidR="00405305">
        <w:rPr>
          <w:lang w:val="en-GB"/>
        </w:rPr>
        <w:t xml:space="preserve">had </w:t>
      </w:r>
      <w:r w:rsidRPr="00964945">
        <w:rPr>
          <w:lang w:val="en-GB"/>
        </w:rPr>
        <w:t xml:space="preserve">concerns around </w:t>
      </w:r>
      <w:r w:rsidR="00405305">
        <w:rPr>
          <w:lang w:val="en-GB"/>
        </w:rPr>
        <w:t xml:space="preserve">the </w:t>
      </w:r>
      <w:r w:rsidR="00964945" w:rsidRPr="00964945">
        <w:rPr>
          <w:lang w:val="en-GB"/>
        </w:rPr>
        <w:t>honouring</w:t>
      </w:r>
      <w:r w:rsidRPr="00964945">
        <w:rPr>
          <w:lang w:val="en-GB"/>
        </w:rPr>
        <w:t xml:space="preserve"> of long</w:t>
      </w:r>
      <w:r w:rsidR="00F00C13" w:rsidRPr="00964945">
        <w:rPr>
          <w:lang w:val="en-GB"/>
        </w:rPr>
        <w:t>-</w:t>
      </w:r>
      <w:r w:rsidRPr="00964945">
        <w:rPr>
          <w:lang w:val="en-GB"/>
        </w:rPr>
        <w:t>term subscription contracts, especially given the weak legal enforcement mechanisms in India. Even if such a default in subscription payments were to come about, a start</w:t>
      </w:r>
      <w:r w:rsidR="00405305">
        <w:rPr>
          <w:lang w:val="en-GB"/>
        </w:rPr>
        <w:t>-</w:t>
      </w:r>
      <w:r w:rsidRPr="00964945">
        <w:rPr>
          <w:lang w:val="en-GB"/>
        </w:rPr>
        <w:t xml:space="preserve">up at the stage of </w:t>
      </w:r>
      <w:proofErr w:type="spellStart"/>
      <w:r w:rsidRPr="00964945">
        <w:rPr>
          <w:lang w:val="en-GB"/>
        </w:rPr>
        <w:t>Zenatix</w:t>
      </w:r>
      <w:proofErr w:type="spellEnd"/>
      <w:r w:rsidRPr="00964945">
        <w:rPr>
          <w:lang w:val="en-GB"/>
        </w:rPr>
        <w:t xml:space="preserve"> would not want to waste resources pursuing redemption.</w:t>
      </w:r>
    </w:p>
    <w:p w14:paraId="10295432" w14:textId="77777777" w:rsidR="003B4E14" w:rsidRPr="00964945" w:rsidRDefault="003B4E14" w:rsidP="003B4E14">
      <w:pPr>
        <w:pStyle w:val="BodyTextMain"/>
        <w:rPr>
          <w:lang w:val="en-GB"/>
        </w:rPr>
      </w:pPr>
    </w:p>
    <w:p w14:paraId="09F37036" w14:textId="78DDCF80" w:rsidR="000F0E22" w:rsidRPr="00964945" w:rsidRDefault="000F0E22" w:rsidP="003B4E14">
      <w:pPr>
        <w:pStyle w:val="BodyTextMain"/>
        <w:rPr>
          <w:lang w:val="en-GB"/>
        </w:rPr>
      </w:pPr>
      <w:proofErr w:type="spellStart"/>
      <w:r w:rsidRPr="00964945">
        <w:rPr>
          <w:lang w:val="en-GB"/>
        </w:rPr>
        <w:t>Zenatix</w:t>
      </w:r>
      <w:proofErr w:type="spellEnd"/>
      <w:r w:rsidRPr="00964945">
        <w:rPr>
          <w:lang w:val="en-GB"/>
        </w:rPr>
        <w:t xml:space="preserve"> had contracted third</w:t>
      </w:r>
      <w:r w:rsidR="00A23456" w:rsidRPr="00964945">
        <w:rPr>
          <w:lang w:val="en-GB"/>
        </w:rPr>
        <w:t>-</w:t>
      </w:r>
      <w:r w:rsidRPr="00964945">
        <w:rPr>
          <w:lang w:val="en-GB"/>
        </w:rPr>
        <w:t>party vendors for on</w:t>
      </w:r>
      <w:r w:rsidR="00405305">
        <w:rPr>
          <w:lang w:val="en-GB"/>
        </w:rPr>
        <w:t>-</w:t>
      </w:r>
      <w:r w:rsidRPr="00964945">
        <w:rPr>
          <w:lang w:val="en-GB"/>
        </w:rPr>
        <w:t>site installations and maintenance. These vendors in turn hired front</w:t>
      </w:r>
      <w:r w:rsidR="00A23456" w:rsidRPr="00964945">
        <w:rPr>
          <w:lang w:val="en-GB"/>
        </w:rPr>
        <w:t>-</w:t>
      </w:r>
      <w:r w:rsidRPr="00964945">
        <w:rPr>
          <w:lang w:val="en-GB"/>
        </w:rPr>
        <w:t xml:space="preserve">line electricians or technicians who were trained to install the system. </w:t>
      </w:r>
      <w:r w:rsidR="00405305">
        <w:rPr>
          <w:lang w:val="en-GB"/>
        </w:rPr>
        <w:t>V</w:t>
      </w:r>
      <w:r w:rsidRPr="00964945">
        <w:rPr>
          <w:lang w:val="en-GB"/>
        </w:rPr>
        <w:t>endor</w:t>
      </w:r>
      <w:r w:rsidR="00405305">
        <w:rPr>
          <w:lang w:val="en-GB"/>
        </w:rPr>
        <w:t>s</w:t>
      </w:r>
      <w:r w:rsidRPr="00964945">
        <w:rPr>
          <w:lang w:val="en-GB"/>
        </w:rPr>
        <w:t xml:space="preserve"> typically covered </w:t>
      </w:r>
      <w:r w:rsidR="003C5056" w:rsidRPr="00964945">
        <w:rPr>
          <w:lang w:val="en-GB"/>
        </w:rPr>
        <w:t>territor</w:t>
      </w:r>
      <w:r w:rsidR="003C5056">
        <w:rPr>
          <w:lang w:val="en-GB"/>
        </w:rPr>
        <w:t>ies</w:t>
      </w:r>
      <w:r w:rsidR="003C5056" w:rsidRPr="00964945">
        <w:rPr>
          <w:lang w:val="en-GB"/>
        </w:rPr>
        <w:t xml:space="preserve"> </w:t>
      </w:r>
      <w:r w:rsidRPr="00964945">
        <w:rPr>
          <w:lang w:val="en-GB"/>
        </w:rPr>
        <w:t>of 200</w:t>
      </w:r>
      <w:r w:rsidR="00A83CD4" w:rsidRPr="00964945">
        <w:rPr>
          <w:lang w:val="en-GB"/>
        </w:rPr>
        <w:t>–</w:t>
      </w:r>
      <w:r w:rsidRPr="00964945">
        <w:rPr>
          <w:lang w:val="en-GB"/>
        </w:rPr>
        <w:t>500 kilomet</w:t>
      </w:r>
      <w:r w:rsidR="00405305">
        <w:rPr>
          <w:lang w:val="en-GB"/>
        </w:rPr>
        <w:t>r</w:t>
      </w:r>
      <w:r w:rsidRPr="00964945">
        <w:rPr>
          <w:lang w:val="en-GB"/>
        </w:rPr>
        <w:t xml:space="preserve">es around </w:t>
      </w:r>
      <w:r w:rsidR="00405305">
        <w:rPr>
          <w:lang w:val="en-GB"/>
        </w:rPr>
        <w:t>their</w:t>
      </w:r>
      <w:r w:rsidR="00405305" w:rsidRPr="00964945">
        <w:rPr>
          <w:lang w:val="en-GB"/>
        </w:rPr>
        <w:t xml:space="preserve"> </w:t>
      </w:r>
      <w:r w:rsidRPr="00964945">
        <w:rPr>
          <w:lang w:val="en-GB"/>
        </w:rPr>
        <w:t>base location</w:t>
      </w:r>
      <w:r w:rsidR="00405305">
        <w:rPr>
          <w:lang w:val="en-GB"/>
        </w:rPr>
        <w:t>s</w:t>
      </w:r>
      <w:r w:rsidRPr="00964945">
        <w:rPr>
          <w:lang w:val="en-GB"/>
        </w:rPr>
        <w:t xml:space="preserve">. </w:t>
      </w:r>
      <w:proofErr w:type="spellStart"/>
      <w:r w:rsidRPr="00964945">
        <w:rPr>
          <w:lang w:val="en-GB"/>
        </w:rPr>
        <w:t>Zenatix</w:t>
      </w:r>
      <w:proofErr w:type="spellEnd"/>
      <w:r w:rsidRPr="00964945">
        <w:rPr>
          <w:lang w:val="en-GB"/>
        </w:rPr>
        <w:t xml:space="preserve"> would ship the required devices to the vendor after getting a sense of on</w:t>
      </w:r>
      <w:r w:rsidR="00405305">
        <w:rPr>
          <w:lang w:val="en-GB"/>
        </w:rPr>
        <w:t>-</w:t>
      </w:r>
      <w:r w:rsidRPr="00964945">
        <w:rPr>
          <w:lang w:val="en-GB"/>
        </w:rPr>
        <w:t>site requirement through a site survey. A front-line team</w:t>
      </w:r>
      <w:r w:rsidR="00405305">
        <w:rPr>
          <w:lang w:val="en-GB"/>
        </w:rPr>
        <w:t>, which</w:t>
      </w:r>
      <w:r w:rsidRPr="00964945">
        <w:rPr>
          <w:lang w:val="en-GB"/>
        </w:rPr>
        <w:t xml:space="preserve"> typically included an electrician and a helper</w:t>
      </w:r>
      <w:r w:rsidR="00405305">
        <w:rPr>
          <w:lang w:val="en-GB"/>
        </w:rPr>
        <w:t>,</w:t>
      </w:r>
      <w:r w:rsidRPr="00964945">
        <w:rPr>
          <w:lang w:val="en-GB"/>
        </w:rPr>
        <w:t xml:space="preserve"> would visit the location and install </w:t>
      </w:r>
      <w:proofErr w:type="spellStart"/>
      <w:r w:rsidRPr="00964945">
        <w:rPr>
          <w:lang w:val="en-GB"/>
        </w:rPr>
        <w:t>WattMan</w:t>
      </w:r>
      <w:proofErr w:type="spellEnd"/>
      <w:r w:rsidRPr="00964945">
        <w:rPr>
          <w:lang w:val="en-GB"/>
        </w:rPr>
        <w:t xml:space="preserve"> III. An analyst sitting at </w:t>
      </w:r>
      <w:r w:rsidR="00405305">
        <w:rPr>
          <w:lang w:val="en-GB"/>
        </w:rPr>
        <w:t xml:space="preserve">the </w:t>
      </w:r>
      <w:proofErr w:type="spellStart"/>
      <w:r w:rsidRPr="00964945">
        <w:rPr>
          <w:lang w:val="en-GB"/>
        </w:rPr>
        <w:t>Zenatix</w:t>
      </w:r>
      <w:proofErr w:type="spellEnd"/>
      <w:r w:rsidRPr="00964945">
        <w:rPr>
          <w:lang w:val="en-GB"/>
        </w:rPr>
        <w:t xml:space="preserve"> office would then connect remotely to the installation, configure it</w:t>
      </w:r>
      <w:r w:rsidR="00A23456" w:rsidRPr="00964945">
        <w:rPr>
          <w:lang w:val="en-GB"/>
        </w:rPr>
        <w:t>,</w:t>
      </w:r>
      <w:r w:rsidRPr="00964945">
        <w:rPr>
          <w:lang w:val="en-GB"/>
        </w:rPr>
        <w:t xml:space="preserve"> and make it ready for deployment while the front-line team was still on site. </w:t>
      </w:r>
    </w:p>
    <w:p w14:paraId="1C8FCE4B" w14:textId="77777777" w:rsidR="003B4E14" w:rsidRPr="00964945" w:rsidRDefault="003B4E14" w:rsidP="003B4E14">
      <w:pPr>
        <w:pStyle w:val="BodyTextMain"/>
        <w:rPr>
          <w:lang w:val="en-GB"/>
        </w:rPr>
      </w:pPr>
    </w:p>
    <w:p w14:paraId="5B24897A" w14:textId="26D66982" w:rsidR="000F0E22" w:rsidRDefault="000F0E22" w:rsidP="003B4E14">
      <w:pPr>
        <w:pStyle w:val="BodyTextMain"/>
        <w:rPr>
          <w:lang w:val="en-GB"/>
        </w:rPr>
      </w:pPr>
      <w:r w:rsidRPr="00964945">
        <w:rPr>
          <w:lang w:val="en-GB"/>
        </w:rPr>
        <w:t>Front-line teams could carry out one or two installations per day</w:t>
      </w:r>
      <w:r w:rsidR="00405305">
        <w:rPr>
          <w:lang w:val="en-GB"/>
        </w:rPr>
        <w:t>,</w:t>
      </w:r>
      <w:r w:rsidRPr="00964945">
        <w:rPr>
          <w:lang w:val="en-GB"/>
        </w:rPr>
        <w:t xml:space="preserve"> depending upon </w:t>
      </w:r>
      <w:r w:rsidR="00405305">
        <w:rPr>
          <w:lang w:val="en-GB"/>
        </w:rPr>
        <w:t xml:space="preserve">the </w:t>
      </w:r>
      <w:r w:rsidRPr="00964945">
        <w:rPr>
          <w:lang w:val="en-GB"/>
        </w:rPr>
        <w:t>size of the site. In some cases, where client sites were very large, it took two days to complete the installation. For two weeks after the on</w:t>
      </w:r>
      <w:r w:rsidR="00C1648C">
        <w:rPr>
          <w:lang w:val="en-GB"/>
        </w:rPr>
        <w:t>-</w:t>
      </w:r>
      <w:r w:rsidRPr="00964945">
        <w:rPr>
          <w:lang w:val="en-GB"/>
        </w:rPr>
        <w:t xml:space="preserve">site installations, usage and performance of electrical assets were monitored in order to establish a baseline, after which </w:t>
      </w:r>
      <w:proofErr w:type="spellStart"/>
      <w:r w:rsidRPr="00964945">
        <w:rPr>
          <w:lang w:val="en-GB"/>
        </w:rPr>
        <w:t>Zenatix</w:t>
      </w:r>
      <w:proofErr w:type="spellEnd"/>
      <w:r w:rsidRPr="00964945">
        <w:rPr>
          <w:lang w:val="en-GB"/>
        </w:rPr>
        <w:t xml:space="preserve"> brought in control interventions and demonstrated incremental benefit.</w:t>
      </w:r>
    </w:p>
    <w:p w14:paraId="40E8EAB0" w14:textId="77777777" w:rsidR="00964945" w:rsidRPr="00964945" w:rsidRDefault="00964945" w:rsidP="003B4E14">
      <w:pPr>
        <w:pStyle w:val="BodyTextMain"/>
        <w:rPr>
          <w:lang w:val="en-GB"/>
        </w:rPr>
      </w:pPr>
    </w:p>
    <w:p w14:paraId="23BB0090" w14:textId="12DE2AAA" w:rsidR="000F0E22" w:rsidRPr="00964945" w:rsidRDefault="000F0E22" w:rsidP="003B4E14">
      <w:pPr>
        <w:pStyle w:val="BodyTextMain"/>
        <w:rPr>
          <w:lang w:val="en-GB"/>
        </w:rPr>
      </w:pPr>
      <w:r w:rsidRPr="00964945">
        <w:rPr>
          <w:lang w:val="en-GB"/>
        </w:rPr>
        <w:lastRenderedPageBreak/>
        <w:t xml:space="preserve">The </w:t>
      </w:r>
      <w:proofErr w:type="spellStart"/>
      <w:r w:rsidRPr="00964945">
        <w:rPr>
          <w:lang w:val="en-GB"/>
        </w:rPr>
        <w:t>Zenatix</w:t>
      </w:r>
      <w:proofErr w:type="spellEnd"/>
      <w:r w:rsidRPr="00964945">
        <w:rPr>
          <w:lang w:val="en-GB"/>
        </w:rPr>
        <w:t xml:space="preserve"> help</w:t>
      </w:r>
      <w:r w:rsidR="00405305">
        <w:rPr>
          <w:lang w:val="en-GB"/>
        </w:rPr>
        <w:t>-</w:t>
      </w:r>
      <w:r w:rsidRPr="00964945">
        <w:rPr>
          <w:lang w:val="en-GB"/>
        </w:rPr>
        <w:t>desk team took care of troubleshooting remotely. Every morning</w:t>
      </w:r>
      <w:r w:rsidR="00405305">
        <w:rPr>
          <w:lang w:val="en-GB"/>
        </w:rPr>
        <w:t>,</w:t>
      </w:r>
      <w:r w:rsidRPr="00964945">
        <w:rPr>
          <w:lang w:val="en-GB"/>
        </w:rPr>
        <w:t xml:space="preserve"> the team would get a proactive preventive maintenance report. For any complaints from the client site, the help</w:t>
      </w:r>
      <w:r w:rsidR="00405305">
        <w:rPr>
          <w:lang w:val="en-GB"/>
        </w:rPr>
        <w:t>-</w:t>
      </w:r>
      <w:r w:rsidRPr="00964945">
        <w:rPr>
          <w:lang w:val="en-GB"/>
        </w:rPr>
        <w:t xml:space="preserve">desk team would evaluate and resolve the problem. In case remote monitoring could not be performed for any reason, all installations at site had light indicators that would make it easy for the client to identify and report the problem over </w:t>
      </w:r>
      <w:r w:rsidR="00C80052" w:rsidRPr="00964945">
        <w:rPr>
          <w:lang w:val="en-GB"/>
        </w:rPr>
        <w:t xml:space="preserve">the </w:t>
      </w:r>
      <w:r w:rsidRPr="00964945">
        <w:rPr>
          <w:lang w:val="en-GB"/>
        </w:rPr>
        <w:t>telephone. For problems that could not be addressed remotely, the front-line team would react within 24 hours.</w:t>
      </w:r>
    </w:p>
    <w:p w14:paraId="69A8594D" w14:textId="77777777" w:rsidR="003B4E14" w:rsidRPr="00964945" w:rsidRDefault="003B4E14" w:rsidP="00295D78">
      <w:pPr>
        <w:pStyle w:val="BodyTextMain"/>
        <w:rPr>
          <w:lang w:val="en-GB"/>
        </w:rPr>
      </w:pPr>
    </w:p>
    <w:p w14:paraId="7A76C087" w14:textId="77777777" w:rsidR="003B4E14" w:rsidRPr="00964945" w:rsidRDefault="003B4E14" w:rsidP="00295D78">
      <w:pPr>
        <w:pStyle w:val="BodyTextMain"/>
        <w:rPr>
          <w:lang w:val="en-GB"/>
        </w:rPr>
      </w:pPr>
    </w:p>
    <w:p w14:paraId="581155B9" w14:textId="5622EDD7" w:rsidR="000F0E22" w:rsidRPr="00964945" w:rsidRDefault="000F0E22" w:rsidP="003B4E14">
      <w:pPr>
        <w:pStyle w:val="Casehead1"/>
        <w:keepNext/>
        <w:rPr>
          <w:lang w:val="en-GB"/>
        </w:rPr>
      </w:pPr>
      <w:r w:rsidRPr="00964945">
        <w:rPr>
          <w:lang w:val="en-GB"/>
        </w:rPr>
        <w:t>THE ALL-IMPORTANT PITCH: CONCERNS, CHALLENGES</w:t>
      </w:r>
      <w:r w:rsidR="0070519C" w:rsidRPr="00964945">
        <w:rPr>
          <w:lang w:val="en-GB"/>
        </w:rPr>
        <w:t>, and</w:t>
      </w:r>
      <w:r w:rsidRPr="00964945">
        <w:rPr>
          <w:lang w:val="en-GB"/>
        </w:rPr>
        <w:t xml:space="preserve"> OPPORTUNITIES</w:t>
      </w:r>
    </w:p>
    <w:p w14:paraId="38C4E7EA" w14:textId="77777777" w:rsidR="003B4E14" w:rsidRPr="00964945" w:rsidRDefault="003B4E14" w:rsidP="008D39A5">
      <w:pPr>
        <w:pStyle w:val="BodyTextMain"/>
        <w:rPr>
          <w:lang w:val="en-GB"/>
        </w:rPr>
      </w:pPr>
    </w:p>
    <w:p w14:paraId="2C128A00" w14:textId="4B87D8FC" w:rsidR="000F0E22" w:rsidRPr="00964945" w:rsidRDefault="000F0E22" w:rsidP="00DF72F5">
      <w:pPr>
        <w:pStyle w:val="BodyTextMain"/>
        <w:rPr>
          <w:lang w:val="en-GB"/>
        </w:rPr>
      </w:pPr>
      <w:r w:rsidRPr="00964945">
        <w:rPr>
          <w:lang w:val="en-GB"/>
        </w:rPr>
        <w:t xml:space="preserve">Having made three attempts at market discovery in last few months, </w:t>
      </w:r>
      <w:proofErr w:type="spellStart"/>
      <w:r w:rsidR="00405305" w:rsidRPr="00964945">
        <w:rPr>
          <w:lang w:val="en-GB"/>
        </w:rPr>
        <w:t>Zenatix</w:t>
      </w:r>
      <w:proofErr w:type="spellEnd"/>
      <w:r w:rsidR="00405305" w:rsidRPr="00964945">
        <w:rPr>
          <w:lang w:val="en-GB"/>
        </w:rPr>
        <w:t xml:space="preserve"> </w:t>
      </w:r>
      <w:r w:rsidR="00405305">
        <w:rPr>
          <w:lang w:val="en-GB"/>
        </w:rPr>
        <w:t xml:space="preserve">faced a tough ask in </w:t>
      </w:r>
      <w:r w:rsidRPr="00964945">
        <w:rPr>
          <w:lang w:val="en-GB"/>
        </w:rPr>
        <w:t xml:space="preserve">impressing investors. Singh and </w:t>
      </w:r>
      <w:r w:rsidR="0070519C" w:rsidRPr="00964945">
        <w:rPr>
          <w:lang w:val="en-GB"/>
        </w:rPr>
        <w:t xml:space="preserve">the </w:t>
      </w:r>
      <w:r w:rsidRPr="00964945">
        <w:rPr>
          <w:lang w:val="en-GB"/>
        </w:rPr>
        <w:t xml:space="preserve">team needed a convincing argument to showcase the potential and prospects </w:t>
      </w:r>
      <w:r w:rsidR="00405305">
        <w:rPr>
          <w:lang w:val="en-GB"/>
        </w:rPr>
        <w:t>of</w:t>
      </w:r>
      <w:r w:rsidR="00405305" w:rsidRPr="00964945">
        <w:rPr>
          <w:lang w:val="en-GB"/>
        </w:rPr>
        <w:t xml:space="preserve"> </w:t>
      </w:r>
      <w:r w:rsidRPr="00964945">
        <w:rPr>
          <w:lang w:val="en-GB"/>
        </w:rPr>
        <w:t xml:space="preserve">their latest target market. </w:t>
      </w:r>
    </w:p>
    <w:p w14:paraId="272B5E74" w14:textId="77777777" w:rsidR="00DF72F5" w:rsidRPr="00964945" w:rsidRDefault="00DF72F5" w:rsidP="00DF72F5">
      <w:pPr>
        <w:pStyle w:val="BodyTextMain"/>
        <w:rPr>
          <w:lang w:val="en-GB"/>
        </w:rPr>
      </w:pPr>
    </w:p>
    <w:p w14:paraId="5E44FC23" w14:textId="31497D5C" w:rsidR="000F0E22" w:rsidRPr="00964945" w:rsidRDefault="000F0E22" w:rsidP="00DF72F5">
      <w:pPr>
        <w:pStyle w:val="BodyTextMain"/>
        <w:rPr>
          <w:lang w:val="en-GB"/>
        </w:rPr>
      </w:pPr>
      <w:r w:rsidRPr="00964945">
        <w:rPr>
          <w:lang w:val="en-GB"/>
        </w:rPr>
        <w:t xml:space="preserve">In the past two months, all three founders had met various investors, but with no success. Given that growth in </w:t>
      </w:r>
      <w:r w:rsidR="00E56C16" w:rsidRPr="00964945">
        <w:rPr>
          <w:lang w:val="en-GB"/>
        </w:rPr>
        <w:t>business-to-business (</w:t>
      </w:r>
      <w:r w:rsidRPr="00964945">
        <w:rPr>
          <w:lang w:val="en-GB"/>
        </w:rPr>
        <w:t>B2B</w:t>
      </w:r>
      <w:r w:rsidR="00E56C16" w:rsidRPr="00964945">
        <w:rPr>
          <w:lang w:val="en-GB"/>
        </w:rPr>
        <w:t>)</w:t>
      </w:r>
      <w:r w:rsidR="00405305">
        <w:rPr>
          <w:lang w:val="en-GB"/>
        </w:rPr>
        <w:t xml:space="preserve"> companies</w:t>
      </w:r>
      <w:r w:rsidRPr="00964945">
        <w:rPr>
          <w:lang w:val="en-GB"/>
        </w:rPr>
        <w:t xml:space="preserve"> was slower when compared to </w:t>
      </w:r>
      <w:r w:rsidR="00071367" w:rsidRPr="00964945">
        <w:rPr>
          <w:lang w:val="en-GB"/>
        </w:rPr>
        <w:t>business-to-customer (</w:t>
      </w:r>
      <w:r w:rsidRPr="00964945">
        <w:rPr>
          <w:lang w:val="en-GB"/>
        </w:rPr>
        <w:t>B2C</w:t>
      </w:r>
      <w:r w:rsidR="00071367" w:rsidRPr="00964945">
        <w:rPr>
          <w:lang w:val="en-GB"/>
        </w:rPr>
        <w:t>)</w:t>
      </w:r>
      <w:r w:rsidRPr="00964945">
        <w:rPr>
          <w:lang w:val="en-GB"/>
        </w:rPr>
        <w:t xml:space="preserve"> companies, not many investment funds were actively looking for B2B investment avenues. There was no precedent of Indian B2B companies that </w:t>
      </w:r>
      <w:r w:rsidR="00405305">
        <w:rPr>
          <w:lang w:val="en-GB"/>
        </w:rPr>
        <w:t xml:space="preserve">had </w:t>
      </w:r>
      <w:r w:rsidR="00405305" w:rsidRPr="00964945">
        <w:rPr>
          <w:lang w:val="en-GB"/>
        </w:rPr>
        <w:t>gr</w:t>
      </w:r>
      <w:r w:rsidR="00405305">
        <w:rPr>
          <w:lang w:val="en-GB"/>
        </w:rPr>
        <w:t>o</w:t>
      </w:r>
      <w:r w:rsidR="00405305" w:rsidRPr="00964945">
        <w:rPr>
          <w:lang w:val="en-GB"/>
        </w:rPr>
        <w:t>w</w:t>
      </w:r>
      <w:r w:rsidR="00405305">
        <w:rPr>
          <w:lang w:val="en-GB"/>
        </w:rPr>
        <w:t>n</w:t>
      </w:r>
      <w:r w:rsidR="00405305" w:rsidRPr="00964945">
        <w:rPr>
          <w:lang w:val="en-GB"/>
        </w:rPr>
        <w:t xml:space="preserve"> </w:t>
      </w:r>
      <w:r w:rsidRPr="00964945">
        <w:rPr>
          <w:lang w:val="en-GB"/>
        </w:rPr>
        <w:t>by serving only Indian clients. As such, there was no benchmark for investors to compare against and gain confidence. In addition, the fact that hardware</w:t>
      </w:r>
      <w:r w:rsidR="00E56C16" w:rsidRPr="00964945">
        <w:rPr>
          <w:lang w:val="en-GB"/>
        </w:rPr>
        <w:t>-</w:t>
      </w:r>
      <w:r w:rsidRPr="00964945">
        <w:rPr>
          <w:lang w:val="en-GB"/>
        </w:rPr>
        <w:t>based products took time to stabilize made investors even more wary. They had to think about stability before scalability. Add to that the technical challenges in product development and deployment, as they had just entered a fresh market. This made raising funds at this time even more difficult</w:t>
      </w:r>
      <w:r w:rsidR="00E56C16" w:rsidRPr="00964945">
        <w:rPr>
          <w:lang w:val="en-GB"/>
        </w:rPr>
        <w:t>, and</w:t>
      </w:r>
      <w:r w:rsidR="00964945">
        <w:rPr>
          <w:lang w:val="en-GB"/>
        </w:rPr>
        <w:t xml:space="preserve"> </w:t>
      </w:r>
      <w:proofErr w:type="spellStart"/>
      <w:r w:rsidRPr="00964945">
        <w:rPr>
          <w:lang w:val="en-GB"/>
        </w:rPr>
        <w:t>Zenatix</w:t>
      </w:r>
      <w:proofErr w:type="spellEnd"/>
      <w:r w:rsidRPr="00964945">
        <w:rPr>
          <w:lang w:val="en-GB"/>
        </w:rPr>
        <w:t xml:space="preserve"> was going to run out of money in two to three months. They were also forced to think of raising debt through a non-banking financial corporation</w:t>
      </w:r>
      <w:r w:rsidR="002D4E92" w:rsidRPr="00964945">
        <w:rPr>
          <w:lang w:val="en-GB"/>
        </w:rPr>
        <w:t>—</w:t>
      </w:r>
      <w:r w:rsidRPr="00964945">
        <w:rPr>
          <w:lang w:val="en-GB"/>
        </w:rPr>
        <w:t xml:space="preserve">a financial institution with </w:t>
      </w:r>
      <w:r w:rsidR="00E56C16" w:rsidRPr="00964945">
        <w:rPr>
          <w:lang w:val="en-GB"/>
        </w:rPr>
        <w:t xml:space="preserve">a </w:t>
      </w:r>
      <w:r w:rsidRPr="00964945">
        <w:rPr>
          <w:lang w:val="en-GB"/>
        </w:rPr>
        <w:t>partial banking license restricting it from taking deposits</w:t>
      </w:r>
      <w:r w:rsidR="002D4E92" w:rsidRPr="00964945">
        <w:rPr>
          <w:lang w:val="en-GB"/>
        </w:rPr>
        <w:t>—</w:t>
      </w:r>
      <w:r w:rsidRPr="00964945">
        <w:rPr>
          <w:lang w:val="en-GB"/>
        </w:rPr>
        <w:t>to finance working capital needs in case investment did not come through soon.</w:t>
      </w:r>
    </w:p>
    <w:p w14:paraId="197B384B" w14:textId="77777777" w:rsidR="00DF72F5" w:rsidRPr="00964945" w:rsidRDefault="00DF72F5" w:rsidP="00DF72F5">
      <w:pPr>
        <w:pStyle w:val="BodyTextMain"/>
        <w:rPr>
          <w:lang w:val="en-GB"/>
        </w:rPr>
      </w:pPr>
    </w:p>
    <w:p w14:paraId="1789B843" w14:textId="1724D3B3" w:rsidR="000F0E22" w:rsidRPr="00964945" w:rsidRDefault="000F0E22" w:rsidP="00DF72F5">
      <w:pPr>
        <w:pStyle w:val="BodyTextMain"/>
        <w:rPr>
          <w:lang w:val="en-GB"/>
        </w:rPr>
      </w:pPr>
      <w:r w:rsidRPr="00964945">
        <w:rPr>
          <w:lang w:val="en-GB"/>
        </w:rPr>
        <w:t xml:space="preserve">Singh, however, was bullish on the new market discovery. Retail chains being a large market </w:t>
      </w:r>
      <w:r w:rsidR="00E56C16" w:rsidRPr="00964945">
        <w:rPr>
          <w:lang w:val="en-GB"/>
        </w:rPr>
        <w:t xml:space="preserve">within </w:t>
      </w:r>
      <w:r w:rsidRPr="00964945">
        <w:rPr>
          <w:lang w:val="en-GB"/>
        </w:rPr>
        <w:t xml:space="preserve">in India and outside, </w:t>
      </w:r>
      <w:proofErr w:type="spellStart"/>
      <w:r w:rsidRPr="00964945">
        <w:rPr>
          <w:lang w:val="en-GB"/>
        </w:rPr>
        <w:t>Zenatix</w:t>
      </w:r>
      <w:proofErr w:type="spellEnd"/>
      <w:r w:rsidRPr="00964945">
        <w:rPr>
          <w:lang w:val="en-GB"/>
        </w:rPr>
        <w:t xml:space="preserve"> could potentially scale up fast as soon as the technology stabilized. It seemed to be the right product</w:t>
      </w:r>
      <w:r w:rsidR="00C1648C">
        <w:rPr>
          <w:lang w:val="en-GB"/>
        </w:rPr>
        <w:t>–</w:t>
      </w:r>
      <w:r w:rsidRPr="00964945">
        <w:rPr>
          <w:lang w:val="en-GB"/>
        </w:rPr>
        <w:t xml:space="preserve">market fit. The latest control feature in </w:t>
      </w:r>
      <w:proofErr w:type="spellStart"/>
      <w:r w:rsidRPr="00964945">
        <w:rPr>
          <w:lang w:val="en-GB"/>
        </w:rPr>
        <w:t>WattMan</w:t>
      </w:r>
      <w:proofErr w:type="spellEnd"/>
      <w:r w:rsidRPr="00964945">
        <w:rPr>
          <w:lang w:val="en-GB"/>
        </w:rPr>
        <w:t xml:space="preserve"> III made it a fully closed loop system: monitoring, </w:t>
      </w:r>
      <w:proofErr w:type="spellStart"/>
      <w:r w:rsidRPr="00964945">
        <w:rPr>
          <w:lang w:val="en-GB"/>
        </w:rPr>
        <w:t>analyzing</w:t>
      </w:r>
      <w:proofErr w:type="spellEnd"/>
      <w:r w:rsidR="00E56C16" w:rsidRPr="00964945">
        <w:rPr>
          <w:lang w:val="en-GB"/>
        </w:rPr>
        <w:t>,</w:t>
      </w:r>
      <w:r w:rsidRPr="00964945">
        <w:rPr>
          <w:lang w:val="en-GB"/>
        </w:rPr>
        <w:t xml:space="preserve"> and automatic control. Savings in energy costs were estimated to be in the range of 8</w:t>
      </w:r>
      <w:r w:rsidR="002D4E92" w:rsidRPr="00964945">
        <w:rPr>
          <w:lang w:val="en-GB"/>
        </w:rPr>
        <w:t>–</w:t>
      </w:r>
      <w:r w:rsidRPr="00964945">
        <w:rPr>
          <w:lang w:val="en-GB"/>
        </w:rPr>
        <w:t>30</w:t>
      </w:r>
      <w:r w:rsidR="001A2487">
        <w:rPr>
          <w:lang w:val="en-GB"/>
        </w:rPr>
        <w:t xml:space="preserve"> per cent,</w:t>
      </w:r>
      <w:r w:rsidR="001A2487" w:rsidRPr="00964945">
        <w:rPr>
          <w:lang w:val="en-GB"/>
        </w:rPr>
        <w:t xml:space="preserve"> </w:t>
      </w:r>
      <w:r w:rsidRPr="00964945">
        <w:rPr>
          <w:lang w:val="en-GB"/>
        </w:rPr>
        <w:t xml:space="preserve">depending on how inefficient previous operations </w:t>
      </w:r>
      <w:r w:rsidR="001A2487">
        <w:rPr>
          <w:lang w:val="en-GB"/>
        </w:rPr>
        <w:t>had been</w:t>
      </w:r>
      <w:r w:rsidRPr="00964945">
        <w:rPr>
          <w:lang w:val="en-GB"/>
        </w:rPr>
        <w:t>. Real</w:t>
      </w:r>
      <w:r w:rsidR="00E56C16" w:rsidRPr="00964945">
        <w:rPr>
          <w:lang w:val="en-GB"/>
        </w:rPr>
        <w:t>-</w:t>
      </w:r>
      <w:r w:rsidRPr="00964945">
        <w:rPr>
          <w:lang w:val="en-GB"/>
        </w:rPr>
        <w:t xml:space="preserve">time monitoring across a large number of geographically distributed outlets provided centralized visibility that could help plug lots of </w:t>
      </w:r>
      <w:r w:rsidR="00E56C16" w:rsidRPr="00964945">
        <w:rPr>
          <w:lang w:val="en-GB"/>
        </w:rPr>
        <w:t xml:space="preserve">energy </w:t>
      </w:r>
      <w:r w:rsidRPr="00964945">
        <w:rPr>
          <w:lang w:val="en-GB"/>
        </w:rPr>
        <w:t>leakages that were previously unknown. Using data and artificial intelligence</w:t>
      </w:r>
      <w:r w:rsidR="001A2487">
        <w:rPr>
          <w:lang w:val="en-GB"/>
        </w:rPr>
        <w:t>–</w:t>
      </w:r>
      <w:r w:rsidRPr="00964945">
        <w:rPr>
          <w:lang w:val="en-GB"/>
        </w:rPr>
        <w:t>based analytics, predicting and preventing breakdowns and eliminating the need for front-line maintenance teams could reduce downtime by 80</w:t>
      </w:r>
      <w:r w:rsidR="002D4E92" w:rsidRPr="00964945">
        <w:rPr>
          <w:lang w:val="en-GB"/>
        </w:rPr>
        <w:t>–</w:t>
      </w:r>
      <w:r w:rsidRPr="00964945">
        <w:rPr>
          <w:lang w:val="en-GB"/>
        </w:rPr>
        <w:t>90</w:t>
      </w:r>
      <w:r w:rsidR="001A2487">
        <w:rPr>
          <w:lang w:val="en-GB"/>
        </w:rPr>
        <w:t xml:space="preserve"> per cent</w:t>
      </w:r>
      <w:r w:rsidR="001A2487" w:rsidRPr="00964945">
        <w:rPr>
          <w:lang w:val="en-GB"/>
        </w:rPr>
        <w:t xml:space="preserve">. </w:t>
      </w:r>
      <w:r w:rsidRPr="00964945">
        <w:rPr>
          <w:lang w:val="en-GB"/>
        </w:rPr>
        <w:t>This meant more business and hence additional revenue for clients.</w:t>
      </w:r>
    </w:p>
    <w:p w14:paraId="619B2F87" w14:textId="77777777" w:rsidR="00DF72F5" w:rsidRPr="00964945" w:rsidRDefault="00DF72F5" w:rsidP="00DF72F5">
      <w:pPr>
        <w:pStyle w:val="BodyTextMain"/>
        <w:rPr>
          <w:lang w:val="en-GB"/>
        </w:rPr>
      </w:pPr>
    </w:p>
    <w:p w14:paraId="45AC5F9C" w14:textId="21432889" w:rsidR="000F0E22" w:rsidRPr="00964945" w:rsidRDefault="000F0E22" w:rsidP="00964945">
      <w:pPr>
        <w:pStyle w:val="BodyTextMain"/>
        <w:rPr>
          <w:color w:val="000000"/>
          <w:lang w:val="en-GB"/>
        </w:rPr>
      </w:pPr>
      <w:r w:rsidRPr="00964945">
        <w:rPr>
          <w:lang w:val="en-GB"/>
        </w:rPr>
        <w:t xml:space="preserve">Singh was actually starting to believe that the application of their solution could be very wide and not just limited to energy saving. This could open up huge potential for </w:t>
      </w:r>
      <w:proofErr w:type="spellStart"/>
      <w:r w:rsidRPr="00964945">
        <w:rPr>
          <w:lang w:val="en-GB"/>
        </w:rPr>
        <w:t>Zenatix</w:t>
      </w:r>
      <w:proofErr w:type="spellEnd"/>
      <w:r w:rsidRPr="00964945">
        <w:rPr>
          <w:lang w:val="en-GB"/>
        </w:rPr>
        <w:t xml:space="preserve"> in </w:t>
      </w:r>
      <w:r w:rsidR="001A2487">
        <w:rPr>
          <w:lang w:val="en-GB"/>
        </w:rPr>
        <w:t xml:space="preserve">the </w:t>
      </w:r>
      <w:r w:rsidRPr="00964945">
        <w:rPr>
          <w:lang w:val="en-GB"/>
        </w:rPr>
        <w:t>future.</w:t>
      </w:r>
      <w:r w:rsidR="00291FAA" w:rsidRPr="00964945">
        <w:rPr>
          <w:lang w:val="en-GB"/>
        </w:rPr>
        <w:t xml:space="preserve"> Singh said,</w:t>
      </w:r>
      <w:r w:rsidR="008D233A" w:rsidRPr="00964945">
        <w:rPr>
          <w:color w:val="000000"/>
          <w:lang w:val="en-GB"/>
        </w:rPr>
        <w:t xml:space="preserve"> </w:t>
      </w:r>
      <w:r w:rsidR="00E56C16" w:rsidRPr="00964945">
        <w:rPr>
          <w:color w:val="000000"/>
          <w:lang w:val="en-GB"/>
        </w:rPr>
        <w:t>“</w:t>
      </w:r>
      <w:r w:rsidRPr="00964945">
        <w:rPr>
          <w:color w:val="000000"/>
          <w:lang w:val="en-GB"/>
        </w:rPr>
        <w:t xml:space="preserve">The broad theme was emerging to be </w:t>
      </w:r>
      <w:r w:rsidR="008D233A" w:rsidRPr="00964945">
        <w:rPr>
          <w:color w:val="000000"/>
          <w:lang w:val="en-GB"/>
        </w:rPr>
        <w:t xml:space="preserve">an </w:t>
      </w:r>
      <w:proofErr w:type="spellStart"/>
      <w:r w:rsidRPr="00964945">
        <w:rPr>
          <w:color w:val="000000"/>
          <w:lang w:val="en-GB"/>
        </w:rPr>
        <w:t>IoT</w:t>
      </w:r>
      <w:proofErr w:type="spellEnd"/>
      <w:r w:rsidRPr="00964945">
        <w:rPr>
          <w:color w:val="000000"/>
          <w:lang w:val="en-GB"/>
        </w:rPr>
        <w:t xml:space="preserve"> solution that automated manual procedures</w:t>
      </w:r>
      <w:r w:rsidR="001A2487">
        <w:rPr>
          <w:color w:val="000000"/>
          <w:lang w:val="en-GB"/>
        </w:rPr>
        <w:t>, n</w:t>
      </w:r>
      <w:r w:rsidRPr="00964945">
        <w:rPr>
          <w:color w:val="000000"/>
          <w:lang w:val="en-GB"/>
        </w:rPr>
        <w:t>ot just energy efficiency and monitoring of electrical assets</w:t>
      </w:r>
      <w:r w:rsidR="001A2487">
        <w:rPr>
          <w:color w:val="000000"/>
          <w:lang w:val="en-GB"/>
        </w:rPr>
        <w:t>. I</w:t>
      </w:r>
      <w:r w:rsidRPr="00964945">
        <w:rPr>
          <w:color w:val="000000"/>
          <w:lang w:val="en-GB"/>
        </w:rPr>
        <w:t xml:space="preserve">t could be expanded to </w:t>
      </w:r>
      <w:r w:rsidR="00CF5D28" w:rsidRPr="00964945">
        <w:rPr>
          <w:color w:val="000000"/>
          <w:lang w:val="en-GB"/>
        </w:rPr>
        <w:t>include any range</w:t>
      </w:r>
      <w:r w:rsidR="008D233A" w:rsidRPr="00964945">
        <w:rPr>
          <w:color w:val="000000"/>
          <w:lang w:val="en-GB"/>
        </w:rPr>
        <w:t>-</w:t>
      </w:r>
      <w:r w:rsidR="00CF5D28" w:rsidRPr="00964945">
        <w:rPr>
          <w:color w:val="000000"/>
          <w:lang w:val="en-GB"/>
        </w:rPr>
        <w:t>of</w:t>
      </w:r>
      <w:r w:rsidR="008D233A" w:rsidRPr="00964945">
        <w:rPr>
          <w:color w:val="000000"/>
          <w:lang w:val="en-GB"/>
        </w:rPr>
        <w:t>-</w:t>
      </w:r>
      <w:r w:rsidR="00CF5D28" w:rsidRPr="00964945">
        <w:rPr>
          <w:color w:val="000000"/>
          <w:lang w:val="en-GB"/>
        </w:rPr>
        <w:t>use cases.</w:t>
      </w:r>
      <w:r w:rsidR="00E56C16" w:rsidRPr="00964945">
        <w:rPr>
          <w:color w:val="000000"/>
          <w:lang w:val="en-GB"/>
        </w:rPr>
        <w:t>”</w:t>
      </w:r>
    </w:p>
    <w:p w14:paraId="182DCD5D" w14:textId="77777777" w:rsidR="00291FAA" w:rsidRPr="00964945" w:rsidRDefault="00291FAA" w:rsidP="00291FAA">
      <w:pPr>
        <w:pStyle w:val="BodyTextMain"/>
        <w:ind w:left="720"/>
        <w:rPr>
          <w:lang w:val="en-GB"/>
        </w:rPr>
      </w:pPr>
    </w:p>
    <w:p w14:paraId="2C183161" w14:textId="1E9CCF3A" w:rsidR="005A025E" w:rsidRPr="00964945" w:rsidRDefault="000F0E22" w:rsidP="00291FAA">
      <w:pPr>
        <w:pStyle w:val="BodyTextMain"/>
        <w:rPr>
          <w:color w:val="000000"/>
          <w:lang w:val="en-GB"/>
        </w:rPr>
      </w:pPr>
      <w:r w:rsidRPr="00964945">
        <w:rPr>
          <w:color w:val="000000"/>
          <w:lang w:val="en-GB"/>
        </w:rPr>
        <w:t xml:space="preserve">The </w:t>
      </w:r>
      <w:proofErr w:type="spellStart"/>
      <w:r w:rsidRPr="00964945">
        <w:rPr>
          <w:color w:val="000000"/>
          <w:lang w:val="en-GB"/>
        </w:rPr>
        <w:t>Zenatix</w:t>
      </w:r>
      <w:proofErr w:type="spellEnd"/>
      <w:r w:rsidRPr="00964945">
        <w:rPr>
          <w:color w:val="000000"/>
          <w:lang w:val="en-GB"/>
        </w:rPr>
        <w:t xml:space="preserve"> team was hoping that their story would work for investors </w:t>
      </w:r>
      <w:r w:rsidR="00E56C16" w:rsidRPr="00964945">
        <w:rPr>
          <w:color w:val="000000"/>
          <w:lang w:val="en-GB"/>
        </w:rPr>
        <w:t xml:space="preserve">the </w:t>
      </w:r>
      <w:r w:rsidRPr="00964945">
        <w:rPr>
          <w:color w:val="000000"/>
          <w:lang w:val="en-GB"/>
        </w:rPr>
        <w:t>next morning!</w:t>
      </w:r>
    </w:p>
    <w:p w14:paraId="0E718EC5" w14:textId="77777777" w:rsidR="005A025E" w:rsidRPr="00964945" w:rsidRDefault="005A025E">
      <w:pPr>
        <w:spacing w:after="200" w:line="276" w:lineRule="auto"/>
        <w:rPr>
          <w:color w:val="000000"/>
          <w:sz w:val="22"/>
          <w:szCs w:val="22"/>
          <w:lang w:val="en-GB"/>
        </w:rPr>
      </w:pPr>
      <w:r w:rsidRPr="00964945">
        <w:rPr>
          <w:color w:val="000000"/>
          <w:lang w:val="en-GB"/>
        </w:rPr>
        <w:br w:type="page"/>
      </w:r>
    </w:p>
    <w:p w14:paraId="3C7550D9" w14:textId="7ADA3418" w:rsidR="005A025E" w:rsidRPr="00964945" w:rsidRDefault="005A025E" w:rsidP="005A025E">
      <w:pPr>
        <w:pStyle w:val="ExhibitHeading"/>
        <w:rPr>
          <w:lang w:val="en-GB"/>
        </w:rPr>
      </w:pPr>
      <w:r w:rsidRPr="00964945">
        <w:rPr>
          <w:lang w:val="en-GB"/>
        </w:rPr>
        <w:lastRenderedPageBreak/>
        <w:t>EXHIBIT 1: BALANCE SHEET OF ZENATIX (IN INR 000’s)</w:t>
      </w:r>
    </w:p>
    <w:p w14:paraId="7DD3A11E" w14:textId="77777777" w:rsidR="005A025E" w:rsidRPr="00964945" w:rsidRDefault="005A025E" w:rsidP="005A025E">
      <w:pPr>
        <w:pStyle w:val="ExhibitHeading"/>
        <w:rPr>
          <w:color w:val="000000"/>
          <w:lang w:val="en-GB"/>
        </w:rPr>
      </w:pPr>
    </w:p>
    <w:tbl>
      <w:tblPr>
        <w:tblW w:w="47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720"/>
        <w:gridCol w:w="900"/>
        <w:gridCol w:w="900"/>
      </w:tblGrid>
      <w:tr w:rsidR="005A025E" w:rsidRPr="00964945" w14:paraId="100815D1" w14:textId="77777777" w:rsidTr="00E34698">
        <w:trPr>
          <w:trHeight w:val="315"/>
          <w:jc w:val="center"/>
        </w:trPr>
        <w:tc>
          <w:tcPr>
            <w:tcW w:w="2245" w:type="dxa"/>
            <w:shd w:val="clear" w:color="auto" w:fill="auto"/>
            <w:noWrap/>
            <w:vAlign w:val="center"/>
            <w:hideMark/>
          </w:tcPr>
          <w:p w14:paraId="7BAB623B" w14:textId="77777777" w:rsidR="005A025E" w:rsidRPr="00964945" w:rsidRDefault="005A025E" w:rsidP="00B668DE">
            <w:pPr>
              <w:pStyle w:val="ExhibitText"/>
              <w:rPr>
                <w:lang w:val="en-GB"/>
              </w:rPr>
            </w:pPr>
          </w:p>
        </w:tc>
        <w:tc>
          <w:tcPr>
            <w:tcW w:w="720" w:type="dxa"/>
            <w:shd w:val="clear" w:color="auto" w:fill="auto"/>
            <w:noWrap/>
            <w:vAlign w:val="center"/>
            <w:hideMark/>
          </w:tcPr>
          <w:p w14:paraId="78E4639F" w14:textId="77777777" w:rsidR="005A025E" w:rsidRPr="00964945" w:rsidRDefault="005A025E" w:rsidP="00B668DE">
            <w:pPr>
              <w:pStyle w:val="ExhibitText"/>
              <w:jc w:val="center"/>
              <w:rPr>
                <w:b/>
                <w:lang w:val="en-GB"/>
              </w:rPr>
            </w:pPr>
            <w:r w:rsidRPr="00964945">
              <w:rPr>
                <w:b/>
                <w:lang w:val="en-GB"/>
              </w:rPr>
              <w:t>2014</w:t>
            </w:r>
          </w:p>
        </w:tc>
        <w:tc>
          <w:tcPr>
            <w:tcW w:w="900" w:type="dxa"/>
            <w:shd w:val="clear" w:color="auto" w:fill="auto"/>
            <w:noWrap/>
            <w:vAlign w:val="center"/>
            <w:hideMark/>
          </w:tcPr>
          <w:p w14:paraId="6CCEC411" w14:textId="77777777" w:rsidR="005A025E" w:rsidRPr="00964945" w:rsidRDefault="005A025E" w:rsidP="00B668DE">
            <w:pPr>
              <w:pStyle w:val="ExhibitText"/>
              <w:jc w:val="center"/>
              <w:rPr>
                <w:b/>
                <w:lang w:val="en-GB"/>
              </w:rPr>
            </w:pPr>
            <w:r w:rsidRPr="00964945">
              <w:rPr>
                <w:b/>
                <w:lang w:val="en-GB"/>
              </w:rPr>
              <w:t>2015</w:t>
            </w:r>
          </w:p>
        </w:tc>
        <w:tc>
          <w:tcPr>
            <w:tcW w:w="900" w:type="dxa"/>
            <w:shd w:val="clear" w:color="auto" w:fill="auto"/>
            <w:noWrap/>
            <w:vAlign w:val="center"/>
            <w:hideMark/>
          </w:tcPr>
          <w:p w14:paraId="5344C360" w14:textId="77777777" w:rsidR="005A025E" w:rsidRPr="00964945" w:rsidRDefault="005A025E" w:rsidP="00B668DE">
            <w:pPr>
              <w:pStyle w:val="ExhibitText"/>
              <w:jc w:val="center"/>
              <w:rPr>
                <w:b/>
                <w:lang w:val="en-GB"/>
              </w:rPr>
            </w:pPr>
            <w:r w:rsidRPr="00964945">
              <w:rPr>
                <w:b/>
                <w:lang w:val="en-GB"/>
              </w:rPr>
              <w:t>2016</w:t>
            </w:r>
          </w:p>
        </w:tc>
      </w:tr>
      <w:tr w:rsidR="00B668DE" w:rsidRPr="00964945" w14:paraId="6BE1EACD" w14:textId="77777777" w:rsidTr="00E34698">
        <w:trPr>
          <w:trHeight w:val="315"/>
          <w:jc w:val="center"/>
        </w:trPr>
        <w:tc>
          <w:tcPr>
            <w:tcW w:w="4765" w:type="dxa"/>
            <w:gridSpan w:val="4"/>
            <w:shd w:val="clear" w:color="auto" w:fill="auto"/>
            <w:noWrap/>
            <w:vAlign w:val="center"/>
            <w:hideMark/>
          </w:tcPr>
          <w:p w14:paraId="2AD2966F" w14:textId="3F2DEAB0" w:rsidR="00B668DE" w:rsidRPr="00964945" w:rsidRDefault="00B668DE" w:rsidP="00A03291">
            <w:pPr>
              <w:pStyle w:val="ExhibitText"/>
              <w:rPr>
                <w:lang w:val="en-GB"/>
              </w:rPr>
            </w:pPr>
            <w:r w:rsidRPr="00964945">
              <w:rPr>
                <w:b/>
                <w:lang w:val="en-GB"/>
              </w:rPr>
              <w:t xml:space="preserve">Equities </w:t>
            </w:r>
            <w:r w:rsidR="00533D7F" w:rsidRPr="00964945">
              <w:rPr>
                <w:b/>
                <w:lang w:val="en-GB"/>
              </w:rPr>
              <w:t xml:space="preserve">and </w:t>
            </w:r>
            <w:r w:rsidR="001A2487">
              <w:rPr>
                <w:b/>
                <w:lang w:val="en-GB"/>
              </w:rPr>
              <w:t>L</w:t>
            </w:r>
            <w:r w:rsidR="001A2487" w:rsidRPr="00964945">
              <w:rPr>
                <w:b/>
                <w:lang w:val="en-GB"/>
              </w:rPr>
              <w:t>iabilities</w:t>
            </w:r>
          </w:p>
        </w:tc>
      </w:tr>
      <w:tr w:rsidR="005A025E" w:rsidRPr="00964945" w14:paraId="6D3C2245" w14:textId="77777777" w:rsidTr="00E34698">
        <w:trPr>
          <w:trHeight w:val="315"/>
          <w:jc w:val="center"/>
        </w:trPr>
        <w:tc>
          <w:tcPr>
            <w:tcW w:w="2245" w:type="dxa"/>
            <w:shd w:val="clear" w:color="auto" w:fill="auto"/>
            <w:noWrap/>
            <w:vAlign w:val="center"/>
            <w:hideMark/>
          </w:tcPr>
          <w:p w14:paraId="54F9A971" w14:textId="169CA57A" w:rsidR="005A025E" w:rsidRPr="00964945" w:rsidRDefault="005A025E" w:rsidP="00B668DE">
            <w:pPr>
              <w:pStyle w:val="ExhibitText"/>
              <w:jc w:val="left"/>
              <w:rPr>
                <w:lang w:val="en-GB"/>
              </w:rPr>
            </w:pPr>
            <w:r w:rsidRPr="00964945">
              <w:rPr>
                <w:lang w:val="en-GB"/>
              </w:rPr>
              <w:t xml:space="preserve">Shareholders’ </w:t>
            </w:r>
            <w:r w:rsidR="001A2487" w:rsidRPr="00964945">
              <w:rPr>
                <w:lang w:val="en-GB"/>
              </w:rPr>
              <w:t>Funds</w:t>
            </w:r>
          </w:p>
        </w:tc>
        <w:tc>
          <w:tcPr>
            <w:tcW w:w="720" w:type="dxa"/>
            <w:shd w:val="clear" w:color="auto" w:fill="auto"/>
            <w:noWrap/>
            <w:vAlign w:val="center"/>
            <w:hideMark/>
          </w:tcPr>
          <w:p w14:paraId="08E62E58" w14:textId="5F9138B4" w:rsidR="005A025E" w:rsidRPr="00964945" w:rsidRDefault="001A2487" w:rsidP="00B668DE">
            <w:pPr>
              <w:pStyle w:val="ExhibitText"/>
              <w:jc w:val="right"/>
              <w:rPr>
                <w:lang w:val="en-GB"/>
              </w:rPr>
            </w:pPr>
            <w:r>
              <w:rPr>
                <w:lang w:val="en-GB"/>
              </w:rPr>
              <w:t>−</w:t>
            </w:r>
            <w:r w:rsidR="005A025E" w:rsidRPr="00964945">
              <w:rPr>
                <w:lang w:val="en-GB"/>
              </w:rPr>
              <w:t>294</w:t>
            </w:r>
          </w:p>
        </w:tc>
        <w:tc>
          <w:tcPr>
            <w:tcW w:w="900" w:type="dxa"/>
            <w:shd w:val="clear" w:color="auto" w:fill="auto"/>
            <w:noWrap/>
            <w:vAlign w:val="center"/>
            <w:hideMark/>
          </w:tcPr>
          <w:p w14:paraId="018C94BA" w14:textId="61393844" w:rsidR="005A025E" w:rsidRPr="00964945" w:rsidRDefault="001A2487" w:rsidP="00B668DE">
            <w:pPr>
              <w:pStyle w:val="ExhibitText"/>
              <w:jc w:val="right"/>
              <w:rPr>
                <w:lang w:val="en-GB"/>
              </w:rPr>
            </w:pPr>
            <w:r>
              <w:rPr>
                <w:lang w:val="en-GB"/>
              </w:rPr>
              <w:t>−</w:t>
            </w:r>
            <w:r w:rsidR="005A025E" w:rsidRPr="00964945">
              <w:rPr>
                <w:lang w:val="en-GB"/>
              </w:rPr>
              <w:t>233</w:t>
            </w:r>
          </w:p>
        </w:tc>
        <w:tc>
          <w:tcPr>
            <w:tcW w:w="900" w:type="dxa"/>
            <w:shd w:val="clear" w:color="auto" w:fill="auto"/>
            <w:noWrap/>
            <w:vAlign w:val="center"/>
            <w:hideMark/>
          </w:tcPr>
          <w:p w14:paraId="0932643D" w14:textId="77777777" w:rsidR="005A025E" w:rsidRPr="00964945" w:rsidRDefault="005A025E" w:rsidP="00B668DE">
            <w:pPr>
              <w:pStyle w:val="ExhibitText"/>
              <w:jc w:val="right"/>
              <w:rPr>
                <w:lang w:val="en-GB"/>
              </w:rPr>
            </w:pPr>
            <w:r w:rsidRPr="00964945">
              <w:rPr>
                <w:lang w:val="en-GB"/>
              </w:rPr>
              <w:t>22,554</w:t>
            </w:r>
          </w:p>
        </w:tc>
      </w:tr>
      <w:tr w:rsidR="005A025E" w:rsidRPr="00964945" w14:paraId="1E5AFF0D" w14:textId="77777777" w:rsidTr="00E34698">
        <w:trPr>
          <w:trHeight w:val="315"/>
          <w:jc w:val="center"/>
        </w:trPr>
        <w:tc>
          <w:tcPr>
            <w:tcW w:w="2245" w:type="dxa"/>
            <w:shd w:val="clear" w:color="auto" w:fill="auto"/>
            <w:noWrap/>
            <w:vAlign w:val="center"/>
            <w:hideMark/>
          </w:tcPr>
          <w:p w14:paraId="36FB998E" w14:textId="7C6E9C16" w:rsidR="005A025E" w:rsidRPr="00964945" w:rsidRDefault="005A025E" w:rsidP="00B668DE">
            <w:pPr>
              <w:pStyle w:val="ExhibitText"/>
              <w:jc w:val="left"/>
              <w:rPr>
                <w:lang w:val="en-GB"/>
              </w:rPr>
            </w:pPr>
            <w:r w:rsidRPr="00964945">
              <w:rPr>
                <w:lang w:val="en-GB"/>
              </w:rPr>
              <w:t>Non</w:t>
            </w:r>
            <w:r w:rsidR="001A2487" w:rsidRPr="00964945">
              <w:rPr>
                <w:lang w:val="en-GB"/>
              </w:rPr>
              <w:t>-Current Liabilities</w:t>
            </w:r>
          </w:p>
        </w:tc>
        <w:tc>
          <w:tcPr>
            <w:tcW w:w="720" w:type="dxa"/>
            <w:shd w:val="clear" w:color="auto" w:fill="auto"/>
            <w:noWrap/>
            <w:vAlign w:val="center"/>
            <w:hideMark/>
          </w:tcPr>
          <w:p w14:paraId="6D3EAEC8" w14:textId="77777777" w:rsidR="005A025E" w:rsidRPr="00964945" w:rsidRDefault="005A025E" w:rsidP="00B668DE">
            <w:pPr>
              <w:pStyle w:val="ExhibitText"/>
              <w:jc w:val="right"/>
              <w:rPr>
                <w:lang w:val="en-GB"/>
              </w:rPr>
            </w:pPr>
            <w:r w:rsidRPr="00964945">
              <w:rPr>
                <w:lang w:val="en-GB"/>
              </w:rPr>
              <w:t>-</w:t>
            </w:r>
          </w:p>
        </w:tc>
        <w:tc>
          <w:tcPr>
            <w:tcW w:w="900" w:type="dxa"/>
            <w:shd w:val="clear" w:color="auto" w:fill="auto"/>
            <w:noWrap/>
            <w:vAlign w:val="center"/>
            <w:hideMark/>
          </w:tcPr>
          <w:p w14:paraId="18C41277" w14:textId="77777777" w:rsidR="005A025E" w:rsidRPr="00964945" w:rsidRDefault="005A025E" w:rsidP="00B668DE">
            <w:pPr>
              <w:pStyle w:val="ExhibitText"/>
              <w:jc w:val="right"/>
              <w:rPr>
                <w:lang w:val="en-GB"/>
              </w:rPr>
            </w:pPr>
            <w:r w:rsidRPr="00964945">
              <w:rPr>
                <w:lang w:val="en-GB"/>
              </w:rPr>
              <w:t>-</w:t>
            </w:r>
          </w:p>
        </w:tc>
        <w:tc>
          <w:tcPr>
            <w:tcW w:w="900" w:type="dxa"/>
            <w:shd w:val="clear" w:color="auto" w:fill="auto"/>
            <w:noWrap/>
            <w:vAlign w:val="center"/>
            <w:hideMark/>
          </w:tcPr>
          <w:p w14:paraId="3505109C" w14:textId="77777777" w:rsidR="005A025E" w:rsidRPr="00964945" w:rsidRDefault="005A025E" w:rsidP="00B668DE">
            <w:pPr>
              <w:pStyle w:val="ExhibitText"/>
              <w:jc w:val="right"/>
              <w:rPr>
                <w:lang w:val="en-GB"/>
              </w:rPr>
            </w:pPr>
            <w:r w:rsidRPr="00964945">
              <w:rPr>
                <w:lang w:val="en-GB"/>
              </w:rPr>
              <w:t>98</w:t>
            </w:r>
          </w:p>
        </w:tc>
      </w:tr>
      <w:tr w:rsidR="005A025E" w:rsidRPr="00964945" w14:paraId="7648E798" w14:textId="77777777" w:rsidTr="00E34698">
        <w:trPr>
          <w:trHeight w:val="315"/>
          <w:jc w:val="center"/>
        </w:trPr>
        <w:tc>
          <w:tcPr>
            <w:tcW w:w="2245" w:type="dxa"/>
            <w:shd w:val="clear" w:color="auto" w:fill="auto"/>
            <w:noWrap/>
            <w:vAlign w:val="center"/>
            <w:hideMark/>
          </w:tcPr>
          <w:p w14:paraId="23F7490D" w14:textId="1946FF31" w:rsidR="005A025E" w:rsidRPr="00964945" w:rsidRDefault="005A025E" w:rsidP="00B668DE">
            <w:pPr>
              <w:pStyle w:val="ExhibitText"/>
              <w:jc w:val="left"/>
              <w:rPr>
                <w:lang w:val="en-GB"/>
              </w:rPr>
            </w:pPr>
            <w:r w:rsidRPr="00964945">
              <w:rPr>
                <w:lang w:val="en-GB"/>
              </w:rPr>
              <w:t xml:space="preserve">Current </w:t>
            </w:r>
            <w:r w:rsidR="001A2487" w:rsidRPr="00964945">
              <w:rPr>
                <w:lang w:val="en-GB"/>
              </w:rPr>
              <w:t>Liabilities</w:t>
            </w:r>
          </w:p>
        </w:tc>
        <w:tc>
          <w:tcPr>
            <w:tcW w:w="720" w:type="dxa"/>
            <w:shd w:val="clear" w:color="auto" w:fill="auto"/>
            <w:noWrap/>
            <w:vAlign w:val="center"/>
            <w:hideMark/>
          </w:tcPr>
          <w:p w14:paraId="60BA3B75" w14:textId="77777777" w:rsidR="005A025E" w:rsidRPr="00964945" w:rsidRDefault="005A025E" w:rsidP="00B668DE">
            <w:pPr>
              <w:pStyle w:val="ExhibitText"/>
              <w:jc w:val="right"/>
              <w:rPr>
                <w:lang w:val="en-GB"/>
              </w:rPr>
            </w:pPr>
            <w:r w:rsidRPr="00964945">
              <w:rPr>
                <w:lang w:val="en-GB"/>
              </w:rPr>
              <w:t>494</w:t>
            </w:r>
          </w:p>
        </w:tc>
        <w:tc>
          <w:tcPr>
            <w:tcW w:w="900" w:type="dxa"/>
            <w:shd w:val="clear" w:color="auto" w:fill="auto"/>
            <w:noWrap/>
            <w:vAlign w:val="center"/>
            <w:hideMark/>
          </w:tcPr>
          <w:p w14:paraId="6387D922" w14:textId="77777777" w:rsidR="005A025E" w:rsidRPr="00964945" w:rsidRDefault="005A025E" w:rsidP="00B668DE">
            <w:pPr>
              <w:pStyle w:val="ExhibitText"/>
              <w:jc w:val="right"/>
              <w:rPr>
                <w:lang w:val="en-GB"/>
              </w:rPr>
            </w:pPr>
            <w:r w:rsidRPr="00964945">
              <w:rPr>
                <w:lang w:val="en-GB"/>
              </w:rPr>
              <w:t>2,893</w:t>
            </w:r>
          </w:p>
        </w:tc>
        <w:tc>
          <w:tcPr>
            <w:tcW w:w="900" w:type="dxa"/>
            <w:shd w:val="clear" w:color="auto" w:fill="auto"/>
            <w:noWrap/>
            <w:vAlign w:val="center"/>
            <w:hideMark/>
          </w:tcPr>
          <w:p w14:paraId="6DA1E130" w14:textId="77777777" w:rsidR="005A025E" w:rsidRPr="00964945" w:rsidRDefault="005A025E" w:rsidP="00B668DE">
            <w:pPr>
              <w:pStyle w:val="ExhibitText"/>
              <w:jc w:val="right"/>
              <w:rPr>
                <w:lang w:val="en-GB"/>
              </w:rPr>
            </w:pPr>
            <w:r w:rsidRPr="00964945">
              <w:rPr>
                <w:lang w:val="en-GB"/>
              </w:rPr>
              <w:t>3,575</w:t>
            </w:r>
          </w:p>
        </w:tc>
      </w:tr>
      <w:tr w:rsidR="005A025E" w:rsidRPr="00964945" w14:paraId="39F9E933" w14:textId="77777777" w:rsidTr="00E34698">
        <w:trPr>
          <w:trHeight w:val="315"/>
          <w:jc w:val="center"/>
        </w:trPr>
        <w:tc>
          <w:tcPr>
            <w:tcW w:w="2245" w:type="dxa"/>
            <w:shd w:val="clear" w:color="auto" w:fill="auto"/>
            <w:noWrap/>
            <w:vAlign w:val="center"/>
            <w:hideMark/>
          </w:tcPr>
          <w:p w14:paraId="65E9A77B" w14:textId="77777777" w:rsidR="005A025E" w:rsidRPr="00964945" w:rsidRDefault="005A025E" w:rsidP="00B668DE">
            <w:pPr>
              <w:pStyle w:val="ExhibitText"/>
              <w:jc w:val="left"/>
              <w:rPr>
                <w:b/>
                <w:lang w:val="en-GB"/>
              </w:rPr>
            </w:pPr>
            <w:r w:rsidRPr="00964945">
              <w:rPr>
                <w:b/>
                <w:lang w:val="en-GB"/>
              </w:rPr>
              <w:t>Total</w:t>
            </w:r>
          </w:p>
        </w:tc>
        <w:tc>
          <w:tcPr>
            <w:tcW w:w="720" w:type="dxa"/>
            <w:shd w:val="clear" w:color="auto" w:fill="auto"/>
            <w:noWrap/>
            <w:vAlign w:val="center"/>
            <w:hideMark/>
          </w:tcPr>
          <w:p w14:paraId="4FCAFDDD" w14:textId="77777777" w:rsidR="005A025E" w:rsidRPr="00964945" w:rsidRDefault="005A025E" w:rsidP="00B668DE">
            <w:pPr>
              <w:pStyle w:val="ExhibitText"/>
              <w:jc w:val="right"/>
              <w:rPr>
                <w:lang w:val="en-GB"/>
              </w:rPr>
            </w:pPr>
            <w:r w:rsidRPr="00964945">
              <w:rPr>
                <w:lang w:val="en-GB"/>
              </w:rPr>
              <w:t>199</w:t>
            </w:r>
          </w:p>
        </w:tc>
        <w:tc>
          <w:tcPr>
            <w:tcW w:w="900" w:type="dxa"/>
            <w:shd w:val="clear" w:color="auto" w:fill="auto"/>
            <w:noWrap/>
            <w:vAlign w:val="center"/>
            <w:hideMark/>
          </w:tcPr>
          <w:p w14:paraId="3979DB81" w14:textId="77777777" w:rsidR="005A025E" w:rsidRPr="00964945" w:rsidRDefault="005A025E" w:rsidP="00B668DE">
            <w:pPr>
              <w:pStyle w:val="ExhibitText"/>
              <w:jc w:val="right"/>
              <w:rPr>
                <w:lang w:val="en-GB"/>
              </w:rPr>
            </w:pPr>
            <w:r w:rsidRPr="00964945">
              <w:rPr>
                <w:lang w:val="en-GB"/>
              </w:rPr>
              <w:t>2,660</w:t>
            </w:r>
          </w:p>
        </w:tc>
        <w:tc>
          <w:tcPr>
            <w:tcW w:w="900" w:type="dxa"/>
            <w:shd w:val="clear" w:color="auto" w:fill="auto"/>
            <w:noWrap/>
            <w:vAlign w:val="center"/>
            <w:hideMark/>
          </w:tcPr>
          <w:p w14:paraId="12E6C400" w14:textId="77777777" w:rsidR="005A025E" w:rsidRPr="00964945" w:rsidRDefault="005A025E" w:rsidP="00B668DE">
            <w:pPr>
              <w:pStyle w:val="ExhibitText"/>
              <w:jc w:val="right"/>
              <w:rPr>
                <w:lang w:val="en-GB"/>
              </w:rPr>
            </w:pPr>
            <w:r w:rsidRPr="00964945">
              <w:rPr>
                <w:lang w:val="en-GB"/>
              </w:rPr>
              <w:t>26,227</w:t>
            </w:r>
          </w:p>
        </w:tc>
      </w:tr>
      <w:tr w:rsidR="00B668DE" w:rsidRPr="00964945" w14:paraId="5FD0DBCC" w14:textId="77777777" w:rsidTr="00E34698">
        <w:trPr>
          <w:trHeight w:val="315"/>
          <w:jc w:val="center"/>
        </w:trPr>
        <w:tc>
          <w:tcPr>
            <w:tcW w:w="4765" w:type="dxa"/>
            <w:gridSpan w:val="4"/>
            <w:shd w:val="clear" w:color="auto" w:fill="auto"/>
            <w:noWrap/>
            <w:vAlign w:val="center"/>
            <w:hideMark/>
          </w:tcPr>
          <w:p w14:paraId="362FB8CA" w14:textId="3AFF060E" w:rsidR="00B668DE" w:rsidRPr="00964945" w:rsidRDefault="00B668DE" w:rsidP="00B668DE">
            <w:pPr>
              <w:pStyle w:val="ExhibitText"/>
              <w:jc w:val="left"/>
              <w:rPr>
                <w:lang w:val="en-GB"/>
              </w:rPr>
            </w:pPr>
            <w:r w:rsidRPr="00964945">
              <w:rPr>
                <w:b/>
                <w:lang w:val="en-GB"/>
              </w:rPr>
              <w:t>Assets</w:t>
            </w:r>
          </w:p>
        </w:tc>
      </w:tr>
      <w:tr w:rsidR="005A025E" w:rsidRPr="00964945" w14:paraId="79CB4F4C" w14:textId="77777777" w:rsidTr="00E34698">
        <w:trPr>
          <w:trHeight w:val="315"/>
          <w:jc w:val="center"/>
        </w:trPr>
        <w:tc>
          <w:tcPr>
            <w:tcW w:w="2245" w:type="dxa"/>
            <w:shd w:val="clear" w:color="auto" w:fill="auto"/>
            <w:noWrap/>
            <w:vAlign w:val="center"/>
            <w:hideMark/>
          </w:tcPr>
          <w:p w14:paraId="6A8D1DB6" w14:textId="7F727479" w:rsidR="005A025E" w:rsidRPr="00964945" w:rsidRDefault="005A025E" w:rsidP="00B668DE">
            <w:pPr>
              <w:pStyle w:val="ExhibitText"/>
              <w:jc w:val="left"/>
              <w:rPr>
                <w:lang w:val="en-GB"/>
              </w:rPr>
            </w:pPr>
            <w:r w:rsidRPr="00964945">
              <w:rPr>
                <w:lang w:val="en-GB"/>
              </w:rPr>
              <w:t>Non</w:t>
            </w:r>
            <w:r w:rsidR="001A2487" w:rsidRPr="00964945">
              <w:rPr>
                <w:lang w:val="en-GB"/>
              </w:rPr>
              <w:t>-Current Assets</w:t>
            </w:r>
          </w:p>
        </w:tc>
        <w:tc>
          <w:tcPr>
            <w:tcW w:w="720" w:type="dxa"/>
            <w:shd w:val="clear" w:color="auto" w:fill="auto"/>
            <w:noWrap/>
            <w:vAlign w:val="center"/>
            <w:hideMark/>
          </w:tcPr>
          <w:p w14:paraId="42B9D1F1" w14:textId="77777777" w:rsidR="005A025E" w:rsidRPr="00964945" w:rsidRDefault="005A025E" w:rsidP="00B668DE">
            <w:pPr>
              <w:pStyle w:val="ExhibitText"/>
              <w:jc w:val="right"/>
              <w:rPr>
                <w:lang w:val="en-GB"/>
              </w:rPr>
            </w:pPr>
            <w:r w:rsidRPr="00964945">
              <w:rPr>
                <w:lang w:val="en-GB"/>
              </w:rPr>
              <w:t>100</w:t>
            </w:r>
          </w:p>
        </w:tc>
        <w:tc>
          <w:tcPr>
            <w:tcW w:w="900" w:type="dxa"/>
            <w:shd w:val="clear" w:color="auto" w:fill="auto"/>
            <w:noWrap/>
            <w:vAlign w:val="center"/>
            <w:hideMark/>
          </w:tcPr>
          <w:p w14:paraId="6DB7E9EF" w14:textId="77777777" w:rsidR="005A025E" w:rsidRPr="00964945" w:rsidRDefault="005A025E" w:rsidP="00B668DE">
            <w:pPr>
              <w:pStyle w:val="ExhibitText"/>
              <w:jc w:val="right"/>
              <w:rPr>
                <w:lang w:val="en-GB"/>
              </w:rPr>
            </w:pPr>
            <w:r w:rsidRPr="00964945">
              <w:rPr>
                <w:lang w:val="en-GB"/>
              </w:rPr>
              <w:t>117</w:t>
            </w:r>
          </w:p>
        </w:tc>
        <w:tc>
          <w:tcPr>
            <w:tcW w:w="900" w:type="dxa"/>
            <w:shd w:val="clear" w:color="auto" w:fill="auto"/>
            <w:noWrap/>
            <w:vAlign w:val="center"/>
            <w:hideMark/>
          </w:tcPr>
          <w:p w14:paraId="4396586E" w14:textId="77777777" w:rsidR="005A025E" w:rsidRPr="00964945" w:rsidRDefault="005A025E" w:rsidP="00B668DE">
            <w:pPr>
              <w:pStyle w:val="ExhibitText"/>
              <w:jc w:val="right"/>
              <w:rPr>
                <w:lang w:val="en-GB"/>
              </w:rPr>
            </w:pPr>
            <w:r w:rsidRPr="00964945">
              <w:rPr>
                <w:lang w:val="en-GB"/>
              </w:rPr>
              <w:t>874</w:t>
            </w:r>
          </w:p>
        </w:tc>
      </w:tr>
      <w:tr w:rsidR="005A025E" w:rsidRPr="00964945" w14:paraId="08A16254" w14:textId="77777777" w:rsidTr="00E34698">
        <w:trPr>
          <w:trHeight w:val="315"/>
          <w:jc w:val="center"/>
        </w:trPr>
        <w:tc>
          <w:tcPr>
            <w:tcW w:w="2245" w:type="dxa"/>
            <w:shd w:val="clear" w:color="auto" w:fill="auto"/>
            <w:noWrap/>
            <w:vAlign w:val="center"/>
            <w:hideMark/>
          </w:tcPr>
          <w:p w14:paraId="07AE0090" w14:textId="2EBEDDC9" w:rsidR="005A025E" w:rsidRPr="00964945" w:rsidRDefault="005A025E" w:rsidP="00B668DE">
            <w:pPr>
              <w:pStyle w:val="ExhibitText"/>
              <w:jc w:val="left"/>
              <w:rPr>
                <w:lang w:val="en-GB"/>
              </w:rPr>
            </w:pPr>
            <w:r w:rsidRPr="00964945">
              <w:rPr>
                <w:lang w:val="en-GB"/>
              </w:rPr>
              <w:t xml:space="preserve">Current </w:t>
            </w:r>
            <w:r w:rsidR="001A2487" w:rsidRPr="00964945">
              <w:rPr>
                <w:lang w:val="en-GB"/>
              </w:rPr>
              <w:t>Assets</w:t>
            </w:r>
          </w:p>
        </w:tc>
        <w:tc>
          <w:tcPr>
            <w:tcW w:w="720" w:type="dxa"/>
            <w:shd w:val="clear" w:color="auto" w:fill="auto"/>
            <w:noWrap/>
            <w:vAlign w:val="center"/>
            <w:hideMark/>
          </w:tcPr>
          <w:p w14:paraId="395841CB" w14:textId="77777777" w:rsidR="005A025E" w:rsidRPr="00964945" w:rsidRDefault="005A025E" w:rsidP="00B668DE">
            <w:pPr>
              <w:pStyle w:val="ExhibitText"/>
              <w:jc w:val="right"/>
              <w:rPr>
                <w:lang w:val="en-GB"/>
              </w:rPr>
            </w:pPr>
            <w:r w:rsidRPr="00964945">
              <w:rPr>
                <w:lang w:val="en-GB"/>
              </w:rPr>
              <w:t>99</w:t>
            </w:r>
          </w:p>
        </w:tc>
        <w:tc>
          <w:tcPr>
            <w:tcW w:w="900" w:type="dxa"/>
            <w:shd w:val="clear" w:color="auto" w:fill="auto"/>
            <w:noWrap/>
            <w:vAlign w:val="center"/>
            <w:hideMark/>
          </w:tcPr>
          <w:p w14:paraId="09E0EC68" w14:textId="77777777" w:rsidR="005A025E" w:rsidRPr="00964945" w:rsidRDefault="005A025E" w:rsidP="00B668DE">
            <w:pPr>
              <w:pStyle w:val="ExhibitText"/>
              <w:jc w:val="right"/>
              <w:rPr>
                <w:lang w:val="en-GB"/>
              </w:rPr>
            </w:pPr>
            <w:r w:rsidRPr="00964945">
              <w:rPr>
                <w:lang w:val="en-GB"/>
              </w:rPr>
              <w:t>2,543</w:t>
            </w:r>
          </w:p>
        </w:tc>
        <w:tc>
          <w:tcPr>
            <w:tcW w:w="900" w:type="dxa"/>
            <w:shd w:val="clear" w:color="auto" w:fill="auto"/>
            <w:noWrap/>
            <w:vAlign w:val="center"/>
            <w:hideMark/>
          </w:tcPr>
          <w:p w14:paraId="14D9F53A" w14:textId="77777777" w:rsidR="005A025E" w:rsidRPr="00964945" w:rsidRDefault="005A025E" w:rsidP="00B668DE">
            <w:pPr>
              <w:pStyle w:val="ExhibitText"/>
              <w:jc w:val="right"/>
              <w:rPr>
                <w:lang w:val="en-GB"/>
              </w:rPr>
            </w:pPr>
            <w:r w:rsidRPr="00964945">
              <w:rPr>
                <w:lang w:val="en-GB"/>
              </w:rPr>
              <w:t>25,354</w:t>
            </w:r>
          </w:p>
        </w:tc>
      </w:tr>
      <w:tr w:rsidR="005A025E" w:rsidRPr="00964945" w14:paraId="49548AA3" w14:textId="77777777" w:rsidTr="00E34698">
        <w:trPr>
          <w:trHeight w:val="315"/>
          <w:jc w:val="center"/>
        </w:trPr>
        <w:tc>
          <w:tcPr>
            <w:tcW w:w="2245" w:type="dxa"/>
            <w:shd w:val="clear" w:color="auto" w:fill="auto"/>
            <w:noWrap/>
            <w:vAlign w:val="center"/>
            <w:hideMark/>
          </w:tcPr>
          <w:p w14:paraId="3245E318" w14:textId="77777777" w:rsidR="005A025E" w:rsidRPr="00964945" w:rsidRDefault="005A025E" w:rsidP="00B668DE">
            <w:pPr>
              <w:pStyle w:val="ExhibitText"/>
              <w:jc w:val="left"/>
              <w:rPr>
                <w:b/>
                <w:lang w:val="en-GB"/>
              </w:rPr>
            </w:pPr>
            <w:r w:rsidRPr="00964945">
              <w:rPr>
                <w:b/>
                <w:lang w:val="en-GB"/>
              </w:rPr>
              <w:t>Total</w:t>
            </w:r>
          </w:p>
        </w:tc>
        <w:tc>
          <w:tcPr>
            <w:tcW w:w="720" w:type="dxa"/>
            <w:shd w:val="clear" w:color="auto" w:fill="auto"/>
            <w:noWrap/>
            <w:vAlign w:val="center"/>
            <w:hideMark/>
          </w:tcPr>
          <w:p w14:paraId="3E25DA7F" w14:textId="77777777" w:rsidR="005A025E" w:rsidRPr="00964945" w:rsidRDefault="005A025E" w:rsidP="00B668DE">
            <w:pPr>
              <w:pStyle w:val="ExhibitText"/>
              <w:jc w:val="right"/>
              <w:rPr>
                <w:lang w:val="en-GB"/>
              </w:rPr>
            </w:pPr>
            <w:r w:rsidRPr="00964945">
              <w:rPr>
                <w:lang w:val="en-GB"/>
              </w:rPr>
              <w:t>199</w:t>
            </w:r>
          </w:p>
        </w:tc>
        <w:tc>
          <w:tcPr>
            <w:tcW w:w="900" w:type="dxa"/>
            <w:shd w:val="clear" w:color="auto" w:fill="auto"/>
            <w:noWrap/>
            <w:vAlign w:val="center"/>
            <w:hideMark/>
          </w:tcPr>
          <w:p w14:paraId="4D3C1E9D" w14:textId="77777777" w:rsidR="005A025E" w:rsidRPr="00964945" w:rsidRDefault="005A025E" w:rsidP="00B668DE">
            <w:pPr>
              <w:pStyle w:val="ExhibitText"/>
              <w:jc w:val="right"/>
              <w:rPr>
                <w:lang w:val="en-GB"/>
              </w:rPr>
            </w:pPr>
            <w:r w:rsidRPr="00964945">
              <w:rPr>
                <w:lang w:val="en-GB"/>
              </w:rPr>
              <w:t>2,660</w:t>
            </w:r>
          </w:p>
        </w:tc>
        <w:tc>
          <w:tcPr>
            <w:tcW w:w="900" w:type="dxa"/>
            <w:shd w:val="clear" w:color="auto" w:fill="auto"/>
            <w:noWrap/>
            <w:vAlign w:val="center"/>
            <w:hideMark/>
          </w:tcPr>
          <w:p w14:paraId="166F5D21" w14:textId="77777777" w:rsidR="005A025E" w:rsidRPr="00964945" w:rsidRDefault="005A025E" w:rsidP="00B668DE">
            <w:pPr>
              <w:pStyle w:val="ExhibitText"/>
              <w:jc w:val="right"/>
              <w:rPr>
                <w:lang w:val="en-GB"/>
              </w:rPr>
            </w:pPr>
            <w:r w:rsidRPr="00964945">
              <w:rPr>
                <w:lang w:val="en-GB"/>
              </w:rPr>
              <w:t>26,227</w:t>
            </w:r>
          </w:p>
        </w:tc>
      </w:tr>
    </w:tbl>
    <w:p w14:paraId="5FFAD616" w14:textId="77777777" w:rsidR="007A11F8" w:rsidRPr="00964945" w:rsidRDefault="007A11F8" w:rsidP="005A6BBB">
      <w:pPr>
        <w:pStyle w:val="Footnote"/>
        <w:rPr>
          <w:lang w:val="en-GB"/>
        </w:rPr>
      </w:pPr>
    </w:p>
    <w:p w14:paraId="02977470" w14:textId="1C43DBF7" w:rsidR="007127B5" w:rsidRPr="00964945" w:rsidRDefault="008B6C52" w:rsidP="005A6BBB">
      <w:pPr>
        <w:pStyle w:val="Footnote"/>
        <w:rPr>
          <w:lang w:val="en-GB"/>
        </w:rPr>
      </w:pPr>
      <w:r w:rsidRPr="00964945">
        <w:rPr>
          <w:lang w:val="en-GB"/>
        </w:rPr>
        <w:t xml:space="preserve">Note: </w:t>
      </w:r>
      <w:r w:rsidR="007127B5" w:rsidRPr="00964945">
        <w:rPr>
          <w:lang w:val="en-GB"/>
        </w:rPr>
        <w:t xml:space="preserve">INR 1 = USD 0.0153 </w:t>
      </w:r>
      <w:r w:rsidR="00EE1646" w:rsidRPr="00964945">
        <w:rPr>
          <w:lang w:val="en-GB"/>
        </w:rPr>
        <w:t>(approx</w:t>
      </w:r>
      <w:r w:rsidR="00964945">
        <w:rPr>
          <w:lang w:val="en-GB"/>
        </w:rPr>
        <w:t>imately</w:t>
      </w:r>
      <w:r w:rsidR="00EE1646" w:rsidRPr="00964945">
        <w:rPr>
          <w:lang w:val="en-GB"/>
        </w:rPr>
        <w:t xml:space="preserve">) </w:t>
      </w:r>
      <w:r w:rsidR="007127B5" w:rsidRPr="00964945">
        <w:rPr>
          <w:lang w:val="en-GB"/>
        </w:rPr>
        <w:t>in 2016</w:t>
      </w:r>
      <w:r w:rsidR="007A11F8" w:rsidRPr="00964945">
        <w:rPr>
          <w:lang w:val="en-GB"/>
        </w:rPr>
        <w:t>.</w:t>
      </w:r>
    </w:p>
    <w:p w14:paraId="4B576C47" w14:textId="4C031EBA" w:rsidR="005A025E" w:rsidRPr="00964945" w:rsidRDefault="005A025E" w:rsidP="005A6BBB">
      <w:pPr>
        <w:pStyle w:val="Footnote"/>
        <w:rPr>
          <w:lang w:val="en-GB"/>
        </w:rPr>
      </w:pPr>
      <w:r w:rsidRPr="00964945">
        <w:rPr>
          <w:lang w:val="en-GB"/>
        </w:rPr>
        <w:t xml:space="preserve">Source: </w:t>
      </w:r>
      <w:proofErr w:type="spellStart"/>
      <w:r w:rsidRPr="00964945">
        <w:rPr>
          <w:lang w:val="en-GB"/>
        </w:rPr>
        <w:t>Zenatix</w:t>
      </w:r>
      <w:proofErr w:type="spellEnd"/>
      <w:r w:rsidR="00796E04" w:rsidRPr="00964945">
        <w:rPr>
          <w:lang w:val="en-GB"/>
        </w:rPr>
        <w:t>.</w:t>
      </w:r>
    </w:p>
    <w:p w14:paraId="7F83E36C" w14:textId="77777777" w:rsidR="005A6BBB" w:rsidRPr="00964945" w:rsidRDefault="005A6BBB" w:rsidP="005A6BBB">
      <w:pPr>
        <w:pStyle w:val="ExhibitText"/>
        <w:rPr>
          <w:lang w:val="en-GB"/>
        </w:rPr>
      </w:pPr>
    </w:p>
    <w:p w14:paraId="01B89163" w14:textId="77777777" w:rsidR="005A6BBB" w:rsidRPr="00964945" w:rsidRDefault="005A6BBB" w:rsidP="005A6BBB">
      <w:pPr>
        <w:pStyle w:val="ExhibitText"/>
        <w:rPr>
          <w:lang w:val="en-GB"/>
        </w:rPr>
      </w:pPr>
    </w:p>
    <w:p w14:paraId="73E1AA32" w14:textId="6B30719A" w:rsidR="005A025E" w:rsidRPr="00964945" w:rsidRDefault="005A025E" w:rsidP="005A025E">
      <w:pPr>
        <w:jc w:val="center"/>
        <w:rPr>
          <w:rFonts w:ascii="Arial" w:hAnsi="Arial" w:cs="Arial"/>
          <w:b/>
          <w:bCs/>
          <w:lang w:val="en-GB"/>
        </w:rPr>
      </w:pPr>
      <w:r w:rsidRPr="00964945">
        <w:rPr>
          <w:rFonts w:ascii="Arial" w:hAnsi="Arial" w:cs="Arial"/>
          <w:b/>
          <w:bCs/>
          <w:lang w:val="en-GB"/>
        </w:rPr>
        <w:t>EXHIBIT 2: INCOME STATEMENT OF ZENATIX (IN INR 000’s)</w:t>
      </w:r>
    </w:p>
    <w:p w14:paraId="71D62FE1" w14:textId="77777777" w:rsidR="00835F52" w:rsidRPr="00964945" w:rsidRDefault="00835F52" w:rsidP="005A025E">
      <w:pPr>
        <w:jc w:val="center"/>
        <w:rPr>
          <w:rFonts w:ascii="Arial" w:hAnsi="Arial" w:cs="Arial"/>
          <w:b/>
          <w:bCs/>
          <w:lang w:val="en-GB"/>
        </w:rPr>
      </w:pPr>
    </w:p>
    <w:tbl>
      <w:tblPr>
        <w:tblW w:w="53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5"/>
        <w:gridCol w:w="900"/>
        <w:gridCol w:w="900"/>
        <w:gridCol w:w="990"/>
      </w:tblGrid>
      <w:tr w:rsidR="001E6669" w:rsidRPr="00964945" w14:paraId="7579F140" w14:textId="77777777" w:rsidTr="00ED5007">
        <w:trPr>
          <w:trHeight w:val="315"/>
          <w:jc w:val="center"/>
        </w:trPr>
        <w:tc>
          <w:tcPr>
            <w:tcW w:w="2605" w:type="dxa"/>
            <w:shd w:val="clear" w:color="auto" w:fill="auto"/>
            <w:noWrap/>
            <w:vAlign w:val="center"/>
            <w:hideMark/>
          </w:tcPr>
          <w:p w14:paraId="334B282A" w14:textId="77777777" w:rsidR="005A025E" w:rsidRPr="00964945" w:rsidRDefault="005A025E" w:rsidP="005A6BBB">
            <w:pPr>
              <w:pStyle w:val="ExhibitText"/>
              <w:rPr>
                <w:lang w:val="en-GB"/>
              </w:rPr>
            </w:pPr>
          </w:p>
        </w:tc>
        <w:tc>
          <w:tcPr>
            <w:tcW w:w="900" w:type="dxa"/>
            <w:shd w:val="clear" w:color="auto" w:fill="auto"/>
            <w:noWrap/>
            <w:vAlign w:val="center"/>
            <w:hideMark/>
          </w:tcPr>
          <w:p w14:paraId="6550B197" w14:textId="77777777" w:rsidR="005A025E" w:rsidRPr="00964945" w:rsidRDefault="005A025E" w:rsidP="005A6BBB">
            <w:pPr>
              <w:pStyle w:val="ExhibitText"/>
              <w:jc w:val="center"/>
              <w:rPr>
                <w:b/>
                <w:lang w:val="en-GB"/>
              </w:rPr>
            </w:pPr>
            <w:r w:rsidRPr="00964945">
              <w:rPr>
                <w:b/>
                <w:lang w:val="en-GB"/>
              </w:rPr>
              <w:t>2014</w:t>
            </w:r>
          </w:p>
        </w:tc>
        <w:tc>
          <w:tcPr>
            <w:tcW w:w="900" w:type="dxa"/>
            <w:shd w:val="clear" w:color="auto" w:fill="auto"/>
            <w:noWrap/>
            <w:vAlign w:val="center"/>
            <w:hideMark/>
          </w:tcPr>
          <w:p w14:paraId="63B9E1FE" w14:textId="77777777" w:rsidR="005A025E" w:rsidRPr="00964945" w:rsidRDefault="005A025E" w:rsidP="005A6BBB">
            <w:pPr>
              <w:pStyle w:val="ExhibitText"/>
              <w:jc w:val="center"/>
              <w:rPr>
                <w:b/>
                <w:lang w:val="en-GB"/>
              </w:rPr>
            </w:pPr>
            <w:r w:rsidRPr="00964945">
              <w:rPr>
                <w:b/>
                <w:lang w:val="en-GB"/>
              </w:rPr>
              <w:t>2015</w:t>
            </w:r>
          </w:p>
        </w:tc>
        <w:tc>
          <w:tcPr>
            <w:tcW w:w="990" w:type="dxa"/>
            <w:shd w:val="clear" w:color="auto" w:fill="auto"/>
            <w:noWrap/>
            <w:vAlign w:val="center"/>
            <w:hideMark/>
          </w:tcPr>
          <w:p w14:paraId="6D1FBBF1" w14:textId="77777777" w:rsidR="005A025E" w:rsidRPr="00964945" w:rsidRDefault="005A025E" w:rsidP="005A6BBB">
            <w:pPr>
              <w:pStyle w:val="ExhibitText"/>
              <w:jc w:val="center"/>
              <w:rPr>
                <w:b/>
                <w:lang w:val="en-GB"/>
              </w:rPr>
            </w:pPr>
            <w:r w:rsidRPr="00964945">
              <w:rPr>
                <w:b/>
                <w:lang w:val="en-GB"/>
              </w:rPr>
              <w:t>2016</w:t>
            </w:r>
          </w:p>
        </w:tc>
      </w:tr>
      <w:tr w:rsidR="001E6669" w:rsidRPr="00964945" w14:paraId="2597E539" w14:textId="77777777" w:rsidTr="00ED5007">
        <w:trPr>
          <w:trHeight w:val="315"/>
          <w:jc w:val="center"/>
        </w:trPr>
        <w:tc>
          <w:tcPr>
            <w:tcW w:w="2605" w:type="dxa"/>
            <w:shd w:val="clear" w:color="auto" w:fill="auto"/>
            <w:noWrap/>
            <w:vAlign w:val="center"/>
            <w:hideMark/>
          </w:tcPr>
          <w:p w14:paraId="6229293F" w14:textId="77777777" w:rsidR="005A025E" w:rsidRPr="00964945" w:rsidRDefault="005A025E" w:rsidP="005A6BBB">
            <w:pPr>
              <w:pStyle w:val="ExhibitText"/>
              <w:rPr>
                <w:b/>
                <w:lang w:val="en-GB"/>
              </w:rPr>
            </w:pPr>
            <w:r w:rsidRPr="00964945">
              <w:rPr>
                <w:b/>
                <w:lang w:val="en-GB"/>
              </w:rPr>
              <w:t>Revenues</w:t>
            </w:r>
          </w:p>
        </w:tc>
        <w:tc>
          <w:tcPr>
            <w:tcW w:w="900" w:type="dxa"/>
            <w:shd w:val="clear" w:color="auto" w:fill="auto"/>
            <w:noWrap/>
            <w:vAlign w:val="center"/>
            <w:hideMark/>
          </w:tcPr>
          <w:p w14:paraId="60203F9C" w14:textId="6B1ED02A" w:rsidR="005A025E" w:rsidRPr="00964945" w:rsidRDefault="005A025E" w:rsidP="001E6669">
            <w:pPr>
              <w:pStyle w:val="ExhibitText"/>
              <w:jc w:val="right"/>
              <w:rPr>
                <w:lang w:val="en-GB"/>
              </w:rPr>
            </w:pPr>
            <w:r w:rsidRPr="00964945">
              <w:rPr>
                <w:lang w:val="en-GB"/>
              </w:rPr>
              <w:t>0</w:t>
            </w:r>
          </w:p>
        </w:tc>
        <w:tc>
          <w:tcPr>
            <w:tcW w:w="900" w:type="dxa"/>
            <w:shd w:val="clear" w:color="auto" w:fill="auto"/>
            <w:noWrap/>
            <w:vAlign w:val="center"/>
            <w:hideMark/>
          </w:tcPr>
          <w:p w14:paraId="503528D3" w14:textId="558EB772" w:rsidR="005A025E" w:rsidRPr="00964945" w:rsidRDefault="005A025E" w:rsidP="001E6669">
            <w:pPr>
              <w:pStyle w:val="ExhibitText"/>
              <w:jc w:val="right"/>
              <w:rPr>
                <w:lang w:val="en-GB"/>
              </w:rPr>
            </w:pPr>
            <w:r w:rsidRPr="00964945">
              <w:rPr>
                <w:lang w:val="en-GB"/>
              </w:rPr>
              <w:t>4,050</w:t>
            </w:r>
          </w:p>
        </w:tc>
        <w:tc>
          <w:tcPr>
            <w:tcW w:w="990" w:type="dxa"/>
            <w:shd w:val="clear" w:color="auto" w:fill="auto"/>
            <w:noWrap/>
            <w:vAlign w:val="center"/>
            <w:hideMark/>
          </w:tcPr>
          <w:p w14:paraId="226C08BC" w14:textId="7B11A057" w:rsidR="005A025E" w:rsidRPr="00964945" w:rsidRDefault="005A025E" w:rsidP="001E6669">
            <w:pPr>
              <w:pStyle w:val="ExhibitText"/>
              <w:jc w:val="right"/>
              <w:rPr>
                <w:lang w:val="en-GB"/>
              </w:rPr>
            </w:pPr>
            <w:r w:rsidRPr="00964945">
              <w:rPr>
                <w:lang w:val="en-GB"/>
              </w:rPr>
              <w:t>6,322</w:t>
            </w:r>
          </w:p>
        </w:tc>
      </w:tr>
      <w:tr w:rsidR="001E6669" w:rsidRPr="00964945" w14:paraId="5526058A" w14:textId="77777777" w:rsidTr="001E6669">
        <w:trPr>
          <w:trHeight w:val="315"/>
          <w:jc w:val="center"/>
        </w:trPr>
        <w:tc>
          <w:tcPr>
            <w:tcW w:w="5395" w:type="dxa"/>
            <w:gridSpan w:val="4"/>
            <w:shd w:val="clear" w:color="auto" w:fill="auto"/>
            <w:noWrap/>
            <w:vAlign w:val="center"/>
            <w:hideMark/>
          </w:tcPr>
          <w:p w14:paraId="7B49B15C" w14:textId="7BCBF046" w:rsidR="001E6669" w:rsidRPr="00964945" w:rsidRDefault="001E6669" w:rsidP="001E6669">
            <w:pPr>
              <w:pStyle w:val="ExhibitText"/>
              <w:jc w:val="left"/>
              <w:rPr>
                <w:b/>
                <w:lang w:val="en-GB"/>
              </w:rPr>
            </w:pPr>
            <w:r w:rsidRPr="00964945">
              <w:rPr>
                <w:b/>
                <w:lang w:val="en-GB"/>
              </w:rPr>
              <w:t>Expenses</w:t>
            </w:r>
          </w:p>
        </w:tc>
      </w:tr>
      <w:tr w:rsidR="001E6669" w:rsidRPr="00964945" w14:paraId="3689A7D5" w14:textId="77777777" w:rsidTr="00ED5007">
        <w:trPr>
          <w:trHeight w:val="315"/>
          <w:jc w:val="center"/>
        </w:trPr>
        <w:tc>
          <w:tcPr>
            <w:tcW w:w="2605" w:type="dxa"/>
            <w:shd w:val="clear" w:color="auto" w:fill="auto"/>
            <w:noWrap/>
            <w:vAlign w:val="center"/>
            <w:hideMark/>
          </w:tcPr>
          <w:p w14:paraId="2EAF675C" w14:textId="77777777" w:rsidR="005A025E" w:rsidRPr="00964945" w:rsidRDefault="005A025E" w:rsidP="005A6BBB">
            <w:pPr>
              <w:pStyle w:val="ExhibitText"/>
              <w:rPr>
                <w:lang w:val="en-GB"/>
              </w:rPr>
            </w:pPr>
            <w:r w:rsidRPr="00964945">
              <w:rPr>
                <w:lang w:val="en-GB"/>
              </w:rPr>
              <w:t>COGS</w:t>
            </w:r>
          </w:p>
        </w:tc>
        <w:tc>
          <w:tcPr>
            <w:tcW w:w="900" w:type="dxa"/>
            <w:shd w:val="clear" w:color="auto" w:fill="auto"/>
            <w:noWrap/>
            <w:vAlign w:val="center"/>
            <w:hideMark/>
          </w:tcPr>
          <w:p w14:paraId="1A1D014D" w14:textId="5472216E" w:rsidR="005A025E" w:rsidRPr="00964945" w:rsidRDefault="005A025E" w:rsidP="001E6669">
            <w:pPr>
              <w:pStyle w:val="ExhibitText"/>
              <w:jc w:val="right"/>
              <w:rPr>
                <w:lang w:val="en-GB"/>
              </w:rPr>
            </w:pPr>
            <w:r w:rsidRPr="00964945">
              <w:rPr>
                <w:lang w:val="en-GB"/>
              </w:rPr>
              <w:t>-</w:t>
            </w:r>
          </w:p>
        </w:tc>
        <w:tc>
          <w:tcPr>
            <w:tcW w:w="900" w:type="dxa"/>
            <w:shd w:val="clear" w:color="auto" w:fill="auto"/>
            <w:noWrap/>
            <w:vAlign w:val="center"/>
            <w:hideMark/>
          </w:tcPr>
          <w:p w14:paraId="65C7A862" w14:textId="01EB2BCD" w:rsidR="005A025E" w:rsidRPr="00964945" w:rsidRDefault="005A025E" w:rsidP="001E6669">
            <w:pPr>
              <w:pStyle w:val="ExhibitText"/>
              <w:jc w:val="right"/>
              <w:rPr>
                <w:lang w:val="en-GB"/>
              </w:rPr>
            </w:pPr>
            <w:r w:rsidRPr="00964945">
              <w:rPr>
                <w:lang w:val="en-GB"/>
              </w:rPr>
              <w:t>1,271</w:t>
            </w:r>
          </w:p>
        </w:tc>
        <w:tc>
          <w:tcPr>
            <w:tcW w:w="990" w:type="dxa"/>
            <w:shd w:val="clear" w:color="auto" w:fill="auto"/>
            <w:noWrap/>
            <w:vAlign w:val="center"/>
            <w:hideMark/>
          </w:tcPr>
          <w:p w14:paraId="3793A765" w14:textId="1E34C0DF" w:rsidR="005A025E" w:rsidRPr="00964945" w:rsidRDefault="005A025E" w:rsidP="001E6669">
            <w:pPr>
              <w:pStyle w:val="ExhibitText"/>
              <w:jc w:val="right"/>
              <w:rPr>
                <w:lang w:val="en-GB"/>
              </w:rPr>
            </w:pPr>
            <w:r w:rsidRPr="00964945">
              <w:rPr>
                <w:lang w:val="en-GB"/>
              </w:rPr>
              <w:t>3,031</w:t>
            </w:r>
          </w:p>
        </w:tc>
      </w:tr>
      <w:tr w:rsidR="001E6669" w:rsidRPr="00964945" w14:paraId="79DCF99C" w14:textId="77777777" w:rsidTr="00ED5007">
        <w:trPr>
          <w:trHeight w:val="315"/>
          <w:jc w:val="center"/>
        </w:trPr>
        <w:tc>
          <w:tcPr>
            <w:tcW w:w="2605" w:type="dxa"/>
            <w:shd w:val="clear" w:color="auto" w:fill="auto"/>
            <w:noWrap/>
            <w:vAlign w:val="center"/>
            <w:hideMark/>
          </w:tcPr>
          <w:p w14:paraId="59F85D8F" w14:textId="0798C465" w:rsidR="005A025E" w:rsidRPr="00964945" w:rsidRDefault="005A025E" w:rsidP="005A6BBB">
            <w:pPr>
              <w:pStyle w:val="ExhibitText"/>
              <w:jc w:val="left"/>
              <w:rPr>
                <w:lang w:val="en-GB"/>
              </w:rPr>
            </w:pPr>
            <w:r w:rsidRPr="00964945">
              <w:rPr>
                <w:lang w:val="en-GB"/>
              </w:rPr>
              <w:t>Employee</w:t>
            </w:r>
            <w:r w:rsidR="005A6BBB" w:rsidRPr="00964945">
              <w:rPr>
                <w:lang w:val="en-GB"/>
              </w:rPr>
              <w:t xml:space="preserve"> </w:t>
            </w:r>
            <w:r w:rsidR="001A2487" w:rsidRPr="00964945">
              <w:rPr>
                <w:lang w:val="en-GB"/>
              </w:rPr>
              <w:t>Benefit Expenses</w:t>
            </w:r>
          </w:p>
        </w:tc>
        <w:tc>
          <w:tcPr>
            <w:tcW w:w="900" w:type="dxa"/>
            <w:shd w:val="clear" w:color="auto" w:fill="auto"/>
            <w:noWrap/>
            <w:vAlign w:val="center"/>
            <w:hideMark/>
          </w:tcPr>
          <w:p w14:paraId="282A2638" w14:textId="3FE62BE6" w:rsidR="005A025E" w:rsidRPr="00964945" w:rsidRDefault="005A025E" w:rsidP="001E6669">
            <w:pPr>
              <w:pStyle w:val="ExhibitText"/>
              <w:jc w:val="right"/>
              <w:rPr>
                <w:lang w:val="en-GB"/>
              </w:rPr>
            </w:pPr>
            <w:r w:rsidRPr="00964945">
              <w:rPr>
                <w:lang w:val="en-GB"/>
              </w:rPr>
              <w:t>233</w:t>
            </w:r>
          </w:p>
        </w:tc>
        <w:tc>
          <w:tcPr>
            <w:tcW w:w="900" w:type="dxa"/>
            <w:shd w:val="clear" w:color="auto" w:fill="auto"/>
            <w:noWrap/>
            <w:vAlign w:val="center"/>
            <w:hideMark/>
          </w:tcPr>
          <w:p w14:paraId="74090211" w14:textId="2C90297B" w:rsidR="005A025E" w:rsidRPr="00964945" w:rsidRDefault="005A025E" w:rsidP="001E6669">
            <w:pPr>
              <w:pStyle w:val="ExhibitText"/>
              <w:jc w:val="right"/>
              <w:rPr>
                <w:lang w:val="en-GB"/>
              </w:rPr>
            </w:pPr>
            <w:r w:rsidRPr="00964945">
              <w:rPr>
                <w:lang w:val="en-GB"/>
              </w:rPr>
              <w:t>1,375</w:t>
            </w:r>
          </w:p>
        </w:tc>
        <w:tc>
          <w:tcPr>
            <w:tcW w:w="990" w:type="dxa"/>
            <w:shd w:val="clear" w:color="auto" w:fill="auto"/>
            <w:noWrap/>
            <w:vAlign w:val="center"/>
            <w:hideMark/>
          </w:tcPr>
          <w:p w14:paraId="18A12A35" w14:textId="1B9ACB41" w:rsidR="005A025E" w:rsidRPr="00964945" w:rsidRDefault="005A025E" w:rsidP="001E6669">
            <w:pPr>
              <w:pStyle w:val="ExhibitText"/>
              <w:jc w:val="right"/>
              <w:rPr>
                <w:lang w:val="en-GB"/>
              </w:rPr>
            </w:pPr>
            <w:r w:rsidRPr="00964945">
              <w:rPr>
                <w:lang w:val="en-GB"/>
              </w:rPr>
              <w:t>10,910</w:t>
            </w:r>
          </w:p>
        </w:tc>
      </w:tr>
      <w:tr w:rsidR="001E6669" w:rsidRPr="00964945" w14:paraId="01B120C6" w14:textId="77777777" w:rsidTr="00ED5007">
        <w:trPr>
          <w:trHeight w:val="315"/>
          <w:jc w:val="center"/>
        </w:trPr>
        <w:tc>
          <w:tcPr>
            <w:tcW w:w="2605" w:type="dxa"/>
            <w:shd w:val="clear" w:color="auto" w:fill="auto"/>
            <w:noWrap/>
            <w:vAlign w:val="center"/>
            <w:hideMark/>
          </w:tcPr>
          <w:p w14:paraId="2D60C504" w14:textId="12493D68" w:rsidR="005A025E" w:rsidRPr="00964945" w:rsidRDefault="005A025E" w:rsidP="005A6BBB">
            <w:pPr>
              <w:pStyle w:val="ExhibitText"/>
              <w:rPr>
                <w:lang w:val="en-GB"/>
              </w:rPr>
            </w:pPr>
            <w:r w:rsidRPr="00964945">
              <w:rPr>
                <w:lang w:val="en-GB"/>
              </w:rPr>
              <w:t xml:space="preserve">Other </w:t>
            </w:r>
            <w:r w:rsidR="001A2487" w:rsidRPr="00964945">
              <w:rPr>
                <w:lang w:val="en-GB"/>
              </w:rPr>
              <w:t>Expenses</w:t>
            </w:r>
          </w:p>
        </w:tc>
        <w:tc>
          <w:tcPr>
            <w:tcW w:w="900" w:type="dxa"/>
            <w:shd w:val="clear" w:color="auto" w:fill="auto"/>
            <w:noWrap/>
            <w:vAlign w:val="center"/>
            <w:hideMark/>
          </w:tcPr>
          <w:p w14:paraId="7473014B" w14:textId="2FA7FC90" w:rsidR="005A025E" w:rsidRPr="00964945" w:rsidRDefault="005A025E" w:rsidP="001E6669">
            <w:pPr>
              <w:pStyle w:val="ExhibitText"/>
              <w:jc w:val="right"/>
              <w:rPr>
                <w:lang w:val="en-GB"/>
              </w:rPr>
            </w:pPr>
            <w:r w:rsidRPr="00964945">
              <w:rPr>
                <w:lang w:val="en-GB"/>
              </w:rPr>
              <w:t>162</w:t>
            </w:r>
          </w:p>
        </w:tc>
        <w:tc>
          <w:tcPr>
            <w:tcW w:w="900" w:type="dxa"/>
            <w:shd w:val="clear" w:color="auto" w:fill="auto"/>
            <w:noWrap/>
            <w:vAlign w:val="center"/>
            <w:hideMark/>
          </w:tcPr>
          <w:p w14:paraId="7B058816" w14:textId="074C76AC" w:rsidR="005A025E" w:rsidRPr="00964945" w:rsidRDefault="005A025E" w:rsidP="001E6669">
            <w:pPr>
              <w:pStyle w:val="ExhibitText"/>
              <w:jc w:val="right"/>
              <w:rPr>
                <w:lang w:val="en-GB"/>
              </w:rPr>
            </w:pPr>
            <w:r w:rsidRPr="00964945">
              <w:rPr>
                <w:lang w:val="en-GB"/>
              </w:rPr>
              <w:t>1,360</w:t>
            </w:r>
          </w:p>
        </w:tc>
        <w:tc>
          <w:tcPr>
            <w:tcW w:w="990" w:type="dxa"/>
            <w:shd w:val="clear" w:color="auto" w:fill="auto"/>
            <w:noWrap/>
            <w:vAlign w:val="center"/>
            <w:hideMark/>
          </w:tcPr>
          <w:p w14:paraId="1E42BF49" w14:textId="64821E78" w:rsidR="005A025E" w:rsidRPr="00964945" w:rsidRDefault="005A025E" w:rsidP="001E6669">
            <w:pPr>
              <w:pStyle w:val="ExhibitText"/>
              <w:jc w:val="right"/>
              <w:rPr>
                <w:lang w:val="en-GB"/>
              </w:rPr>
            </w:pPr>
            <w:r w:rsidRPr="00964945">
              <w:rPr>
                <w:lang w:val="en-GB"/>
              </w:rPr>
              <w:t>5,267</w:t>
            </w:r>
          </w:p>
        </w:tc>
      </w:tr>
      <w:tr w:rsidR="001E6669" w:rsidRPr="00964945" w14:paraId="70AAA6BB" w14:textId="77777777" w:rsidTr="00ED5007">
        <w:trPr>
          <w:trHeight w:val="315"/>
          <w:jc w:val="center"/>
        </w:trPr>
        <w:tc>
          <w:tcPr>
            <w:tcW w:w="2605" w:type="dxa"/>
            <w:shd w:val="clear" w:color="auto" w:fill="auto"/>
            <w:noWrap/>
            <w:vAlign w:val="center"/>
            <w:hideMark/>
          </w:tcPr>
          <w:p w14:paraId="034309D3" w14:textId="552BE41B" w:rsidR="005A025E" w:rsidRPr="00964945" w:rsidRDefault="005A025E" w:rsidP="005A6BBB">
            <w:pPr>
              <w:pStyle w:val="ExhibitText"/>
              <w:rPr>
                <w:b/>
                <w:lang w:val="en-GB"/>
              </w:rPr>
            </w:pPr>
            <w:r w:rsidRPr="00964945">
              <w:rPr>
                <w:b/>
                <w:lang w:val="en-GB"/>
              </w:rPr>
              <w:t xml:space="preserve">Total </w:t>
            </w:r>
            <w:r w:rsidR="001A2487" w:rsidRPr="00964945">
              <w:rPr>
                <w:b/>
                <w:lang w:val="en-GB"/>
              </w:rPr>
              <w:t>Expenses</w:t>
            </w:r>
          </w:p>
        </w:tc>
        <w:tc>
          <w:tcPr>
            <w:tcW w:w="900" w:type="dxa"/>
            <w:shd w:val="clear" w:color="auto" w:fill="auto"/>
            <w:noWrap/>
            <w:vAlign w:val="center"/>
            <w:hideMark/>
          </w:tcPr>
          <w:p w14:paraId="3DDC987B" w14:textId="77777777" w:rsidR="005A025E" w:rsidRPr="00964945" w:rsidRDefault="005A025E" w:rsidP="001E6669">
            <w:pPr>
              <w:pStyle w:val="ExhibitText"/>
              <w:jc w:val="right"/>
              <w:rPr>
                <w:lang w:val="en-GB"/>
              </w:rPr>
            </w:pPr>
            <w:r w:rsidRPr="00964945">
              <w:rPr>
                <w:lang w:val="en-GB"/>
              </w:rPr>
              <w:t>395</w:t>
            </w:r>
          </w:p>
        </w:tc>
        <w:tc>
          <w:tcPr>
            <w:tcW w:w="900" w:type="dxa"/>
            <w:shd w:val="clear" w:color="auto" w:fill="auto"/>
            <w:noWrap/>
            <w:vAlign w:val="center"/>
            <w:hideMark/>
          </w:tcPr>
          <w:p w14:paraId="52D27354" w14:textId="77777777" w:rsidR="005A025E" w:rsidRPr="00964945" w:rsidRDefault="005A025E" w:rsidP="001E6669">
            <w:pPr>
              <w:pStyle w:val="ExhibitText"/>
              <w:jc w:val="right"/>
              <w:rPr>
                <w:lang w:val="en-GB"/>
              </w:rPr>
            </w:pPr>
            <w:r w:rsidRPr="00964945">
              <w:rPr>
                <w:lang w:val="en-GB"/>
              </w:rPr>
              <w:t>4,006</w:t>
            </w:r>
          </w:p>
        </w:tc>
        <w:tc>
          <w:tcPr>
            <w:tcW w:w="990" w:type="dxa"/>
            <w:shd w:val="clear" w:color="auto" w:fill="auto"/>
            <w:noWrap/>
            <w:vAlign w:val="center"/>
            <w:hideMark/>
          </w:tcPr>
          <w:p w14:paraId="6E9F4F1B" w14:textId="77777777" w:rsidR="005A025E" w:rsidRPr="00964945" w:rsidRDefault="005A025E" w:rsidP="001E6669">
            <w:pPr>
              <w:pStyle w:val="ExhibitText"/>
              <w:jc w:val="right"/>
              <w:rPr>
                <w:lang w:val="en-GB"/>
              </w:rPr>
            </w:pPr>
            <w:r w:rsidRPr="00964945">
              <w:rPr>
                <w:lang w:val="en-GB"/>
              </w:rPr>
              <w:t>19,208</w:t>
            </w:r>
          </w:p>
        </w:tc>
      </w:tr>
      <w:tr w:rsidR="001E6669" w:rsidRPr="00964945" w14:paraId="0F3F78AC" w14:textId="77777777" w:rsidTr="00ED5007">
        <w:trPr>
          <w:trHeight w:val="315"/>
          <w:jc w:val="center"/>
        </w:trPr>
        <w:tc>
          <w:tcPr>
            <w:tcW w:w="2605" w:type="dxa"/>
            <w:shd w:val="clear" w:color="auto" w:fill="auto"/>
            <w:noWrap/>
            <w:vAlign w:val="center"/>
            <w:hideMark/>
          </w:tcPr>
          <w:p w14:paraId="5DCB51BD" w14:textId="792B6CEA" w:rsidR="005A025E" w:rsidRPr="00964945" w:rsidRDefault="005A025E" w:rsidP="005A6BBB">
            <w:pPr>
              <w:pStyle w:val="ExhibitText"/>
              <w:rPr>
                <w:lang w:val="en-GB"/>
              </w:rPr>
            </w:pPr>
            <w:r w:rsidRPr="00964945">
              <w:rPr>
                <w:lang w:val="en-GB"/>
              </w:rPr>
              <w:t>Profits</w:t>
            </w:r>
            <w:r w:rsidR="001A2487" w:rsidRPr="00964945">
              <w:rPr>
                <w:lang w:val="en-GB"/>
              </w:rPr>
              <w:t>/</w:t>
            </w:r>
            <w:r w:rsidR="00533D7F" w:rsidRPr="00964945">
              <w:rPr>
                <w:lang w:val="en-GB"/>
              </w:rPr>
              <w:t>L</w:t>
            </w:r>
            <w:r w:rsidRPr="00964945">
              <w:rPr>
                <w:lang w:val="en-GB"/>
              </w:rPr>
              <w:t xml:space="preserve">oss </w:t>
            </w:r>
            <w:r w:rsidR="001A2487" w:rsidRPr="00964945">
              <w:rPr>
                <w:lang w:val="en-GB"/>
              </w:rPr>
              <w:t>Before Tax</w:t>
            </w:r>
          </w:p>
        </w:tc>
        <w:tc>
          <w:tcPr>
            <w:tcW w:w="900" w:type="dxa"/>
            <w:shd w:val="clear" w:color="auto" w:fill="auto"/>
            <w:noWrap/>
            <w:vAlign w:val="center"/>
            <w:hideMark/>
          </w:tcPr>
          <w:p w14:paraId="5C0B9899" w14:textId="3C83062D" w:rsidR="005A025E" w:rsidRPr="00964945" w:rsidRDefault="001A2487" w:rsidP="001E6669">
            <w:pPr>
              <w:pStyle w:val="ExhibitText"/>
              <w:jc w:val="right"/>
              <w:rPr>
                <w:lang w:val="en-GB"/>
              </w:rPr>
            </w:pPr>
            <w:r w:rsidRPr="001A2487">
              <w:rPr>
                <w:lang w:val="en-GB"/>
              </w:rPr>
              <w:t>−</w:t>
            </w:r>
            <w:r w:rsidR="005A025E" w:rsidRPr="00964945">
              <w:rPr>
                <w:lang w:val="en-GB"/>
              </w:rPr>
              <w:t>395</w:t>
            </w:r>
          </w:p>
        </w:tc>
        <w:tc>
          <w:tcPr>
            <w:tcW w:w="900" w:type="dxa"/>
            <w:shd w:val="clear" w:color="auto" w:fill="auto"/>
            <w:noWrap/>
            <w:vAlign w:val="center"/>
            <w:hideMark/>
          </w:tcPr>
          <w:p w14:paraId="43EA16B9" w14:textId="11FF8059" w:rsidR="005A025E" w:rsidRPr="00964945" w:rsidRDefault="005A025E" w:rsidP="001E6669">
            <w:pPr>
              <w:pStyle w:val="ExhibitText"/>
              <w:jc w:val="right"/>
              <w:rPr>
                <w:lang w:val="en-GB"/>
              </w:rPr>
            </w:pPr>
            <w:r w:rsidRPr="00964945">
              <w:rPr>
                <w:lang w:val="en-GB"/>
              </w:rPr>
              <w:t>45</w:t>
            </w:r>
          </w:p>
        </w:tc>
        <w:tc>
          <w:tcPr>
            <w:tcW w:w="990" w:type="dxa"/>
            <w:shd w:val="clear" w:color="auto" w:fill="auto"/>
            <w:noWrap/>
            <w:vAlign w:val="center"/>
            <w:hideMark/>
          </w:tcPr>
          <w:p w14:paraId="06769BB1" w14:textId="0990AF1D" w:rsidR="005A025E" w:rsidRPr="00964945" w:rsidRDefault="001A2487" w:rsidP="001E6669">
            <w:pPr>
              <w:pStyle w:val="ExhibitText"/>
              <w:jc w:val="right"/>
              <w:rPr>
                <w:color w:val="000000"/>
                <w:lang w:val="en-GB"/>
              </w:rPr>
            </w:pPr>
            <w:r w:rsidRPr="001A2487">
              <w:rPr>
                <w:color w:val="000000"/>
                <w:lang w:val="en-GB"/>
              </w:rPr>
              <w:t>−</w:t>
            </w:r>
            <w:r w:rsidR="00857831" w:rsidRPr="00964945">
              <w:rPr>
                <w:color w:val="000000"/>
                <w:lang w:val="en-GB"/>
              </w:rPr>
              <w:t>12</w:t>
            </w:r>
            <w:r>
              <w:rPr>
                <w:color w:val="000000"/>
                <w:lang w:val="en-GB"/>
              </w:rPr>
              <w:t>,</w:t>
            </w:r>
            <w:r w:rsidR="00857831" w:rsidRPr="00964945">
              <w:rPr>
                <w:color w:val="000000"/>
                <w:lang w:val="en-GB"/>
              </w:rPr>
              <w:t>886</w:t>
            </w:r>
          </w:p>
        </w:tc>
      </w:tr>
      <w:tr w:rsidR="001E6669" w:rsidRPr="00964945" w14:paraId="53FF8859" w14:textId="77777777" w:rsidTr="00ED5007">
        <w:trPr>
          <w:trHeight w:val="332"/>
          <w:jc w:val="center"/>
        </w:trPr>
        <w:tc>
          <w:tcPr>
            <w:tcW w:w="2605" w:type="dxa"/>
            <w:shd w:val="clear" w:color="auto" w:fill="auto"/>
            <w:noWrap/>
            <w:vAlign w:val="center"/>
            <w:hideMark/>
          </w:tcPr>
          <w:p w14:paraId="110507C6" w14:textId="6540B2A3" w:rsidR="005A025E" w:rsidRPr="00964945" w:rsidRDefault="005A025E" w:rsidP="00504763">
            <w:pPr>
              <w:pStyle w:val="ExhibitText"/>
              <w:rPr>
                <w:lang w:val="en-GB"/>
              </w:rPr>
            </w:pPr>
            <w:r w:rsidRPr="00964945">
              <w:rPr>
                <w:lang w:val="en-GB"/>
              </w:rPr>
              <w:t xml:space="preserve">Tax </w:t>
            </w:r>
            <w:r w:rsidR="001A2487" w:rsidRPr="00964945">
              <w:rPr>
                <w:lang w:val="en-GB"/>
              </w:rPr>
              <w:t>Expense</w:t>
            </w:r>
          </w:p>
        </w:tc>
        <w:tc>
          <w:tcPr>
            <w:tcW w:w="900" w:type="dxa"/>
            <w:shd w:val="clear" w:color="auto" w:fill="auto"/>
            <w:noWrap/>
            <w:vAlign w:val="center"/>
            <w:hideMark/>
          </w:tcPr>
          <w:p w14:paraId="0907EDA2" w14:textId="16939F09" w:rsidR="005A025E" w:rsidRPr="00964945" w:rsidRDefault="005A025E" w:rsidP="001E6669">
            <w:pPr>
              <w:pStyle w:val="ExhibitText"/>
              <w:jc w:val="right"/>
              <w:rPr>
                <w:lang w:val="en-GB"/>
              </w:rPr>
            </w:pPr>
            <w:r w:rsidRPr="00964945">
              <w:rPr>
                <w:lang w:val="en-GB"/>
              </w:rPr>
              <w:t>-</w:t>
            </w:r>
          </w:p>
        </w:tc>
        <w:tc>
          <w:tcPr>
            <w:tcW w:w="900" w:type="dxa"/>
            <w:shd w:val="clear" w:color="auto" w:fill="auto"/>
            <w:noWrap/>
            <w:vAlign w:val="center"/>
            <w:hideMark/>
          </w:tcPr>
          <w:p w14:paraId="103403E5" w14:textId="5C8781DC" w:rsidR="005A025E" w:rsidRPr="00964945" w:rsidRDefault="005A025E" w:rsidP="001E6669">
            <w:pPr>
              <w:pStyle w:val="ExhibitText"/>
              <w:jc w:val="right"/>
              <w:rPr>
                <w:lang w:val="en-GB"/>
              </w:rPr>
            </w:pPr>
            <w:r w:rsidRPr="00964945">
              <w:rPr>
                <w:lang w:val="en-GB"/>
              </w:rPr>
              <w:t>17</w:t>
            </w:r>
          </w:p>
        </w:tc>
        <w:tc>
          <w:tcPr>
            <w:tcW w:w="990" w:type="dxa"/>
            <w:shd w:val="clear" w:color="auto" w:fill="auto"/>
            <w:noWrap/>
            <w:vAlign w:val="center"/>
            <w:hideMark/>
          </w:tcPr>
          <w:p w14:paraId="368629D4" w14:textId="2B6FA55C" w:rsidR="005A025E" w:rsidRPr="00964945" w:rsidRDefault="00504763" w:rsidP="00504763">
            <w:pPr>
              <w:pStyle w:val="ExhibitText"/>
              <w:jc w:val="right"/>
              <w:rPr>
                <w:lang w:val="en-GB"/>
              </w:rPr>
            </w:pPr>
            <w:r w:rsidRPr="00964945">
              <w:rPr>
                <w:lang w:val="en-GB"/>
              </w:rPr>
              <w:t>-</w:t>
            </w:r>
          </w:p>
        </w:tc>
      </w:tr>
      <w:tr w:rsidR="001E6669" w:rsidRPr="00964945" w14:paraId="778F8922" w14:textId="77777777" w:rsidTr="00ED5007">
        <w:trPr>
          <w:trHeight w:val="315"/>
          <w:jc w:val="center"/>
        </w:trPr>
        <w:tc>
          <w:tcPr>
            <w:tcW w:w="2605" w:type="dxa"/>
            <w:shd w:val="clear" w:color="auto" w:fill="auto"/>
            <w:noWrap/>
            <w:vAlign w:val="center"/>
            <w:hideMark/>
          </w:tcPr>
          <w:p w14:paraId="0D1EB279" w14:textId="0C5538BD" w:rsidR="005A025E" w:rsidRPr="00964945" w:rsidRDefault="005A025E" w:rsidP="005A6BBB">
            <w:pPr>
              <w:pStyle w:val="ExhibitText"/>
              <w:rPr>
                <w:b/>
                <w:lang w:val="en-GB"/>
              </w:rPr>
            </w:pPr>
            <w:r w:rsidRPr="00964945">
              <w:rPr>
                <w:b/>
                <w:lang w:val="en-GB"/>
              </w:rPr>
              <w:t>Profit</w:t>
            </w:r>
            <w:r w:rsidR="001A2487" w:rsidRPr="00964945">
              <w:rPr>
                <w:b/>
                <w:lang w:val="en-GB"/>
              </w:rPr>
              <w:t>/</w:t>
            </w:r>
            <w:r w:rsidR="00533D7F" w:rsidRPr="00964945">
              <w:rPr>
                <w:b/>
                <w:lang w:val="en-GB"/>
              </w:rPr>
              <w:t>L</w:t>
            </w:r>
            <w:r w:rsidRPr="00964945">
              <w:rPr>
                <w:b/>
                <w:lang w:val="en-GB"/>
              </w:rPr>
              <w:t xml:space="preserve">oss </w:t>
            </w:r>
            <w:r w:rsidR="001A2487" w:rsidRPr="00964945">
              <w:rPr>
                <w:b/>
                <w:lang w:val="en-GB"/>
              </w:rPr>
              <w:t>After Tax</w:t>
            </w:r>
          </w:p>
        </w:tc>
        <w:tc>
          <w:tcPr>
            <w:tcW w:w="900" w:type="dxa"/>
            <w:shd w:val="clear" w:color="auto" w:fill="auto"/>
            <w:noWrap/>
            <w:vAlign w:val="center"/>
            <w:hideMark/>
          </w:tcPr>
          <w:p w14:paraId="6DB19443" w14:textId="0E9A98F2" w:rsidR="005A025E" w:rsidRPr="00964945" w:rsidRDefault="001A2487" w:rsidP="001E6669">
            <w:pPr>
              <w:pStyle w:val="ExhibitText"/>
              <w:jc w:val="right"/>
              <w:rPr>
                <w:lang w:val="en-GB"/>
              </w:rPr>
            </w:pPr>
            <w:r w:rsidRPr="001A2487">
              <w:rPr>
                <w:lang w:val="en-GB"/>
              </w:rPr>
              <w:t>−</w:t>
            </w:r>
            <w:r w:rsidR="005A025E" w:rsidRPr="00964945">
              <w:rPr>
                <w:lang w:val="en-GB"/>
              </w:rPr>
              <w:t>395</w:t>
            </w:r>
          </w:p>
        </w:tc>
        <w:tc>
          <w:tcPr>
            <w:tcW w:w="900" w:type="dxa"/>
            <w:shd w:val="clear" w:color="auto" w:fill="auto"/>
            <w:noWrap/>
            <w:vAlign w:val="center"/>
            <w:hideMark/>
          </w:tcPr>
          <w:p w14:paraId="5091B30B" w14:textId="628FA4EA" w:rsidR="005A025E" w:rsidRPr="00964945" w:rsidRDefault="005A025E" w:rsidP="001E6669">
            <w:pPr>
              <w:pStyle w:val="ExhibitText"/>
              <w:jc w:val="right"/>
              <w:rPr>
                <w:lang w:val="en-GB"/>
              </w:rPr>
            </w:pPr>
            <w:r w:rsidRPr="00964945">
              <w:rPr>
                <w:lang w:val="en-GB"/>
              </w:rPr>
              <w:t>61</w:t>
            </w:r>
          </w:p>
        </w:tc>
        <w:tc>
          <w:tcPr>
            <w:tcW w:w="990" w:type="dxa"/>
            <w:shd w:val="clear" w:color="auto" w:fill="auto"/>
            <w:noWrap/>
            <w:vAlign w:val="center"/>
            <w:hideMark/>
          </w:tcPr>
          <w:p w14:paraId="008E8BA2" w14:textId="5BEA323C" w:rsidR="005A025E" w:rsidRPr="00964945" w:rsidRDefault="001A2487" w:rsidP="00504763">
            <w:pPr>
              <w:pStyle w:val="ExhibitText"/>
              <w:jc w:val="right"/>
              <w:rPr>
                <w:lang w:val="en-GB"/>
              </w:rPr>
            </w:pPr>
            <w:r w:rsidRPr="001A2487">
              <w:rPr>
                <w:lang w:val="en-GB"/>
              </w:rPr>
              <w:t>−</w:t>
            </w:r>
            <w:r w:rsidR="00504763" w:rsidRPr="00964945">
              <w:rPr>
                <w:lang w:val="en-GB"/>
              </w:rPr>
              <w:t>12</w:t>
            </w:r>
            <w:r>
              <w:rPr>
                <w:lang w:val="en-GB"/>
              </w:rPr>
              <w:t>,</w:t>
            </w:r>
            <w:r w:rsidR="00504763" w:rsidRPr="00964945">
              <w:rPr>
                <w:lang w:val="en-GB"/>
              </w:rPr>
              <w:t>886</w:t>
            </w:r>
            <w:r w:rsidR="00857831" w:rsidRPr="00964945">
              <w:rPr>
                <w:lang w:val="en-GB"/>
              </w:rPr>
              <w:t xml:space="preserve"> </w:t>
            </w:r>
          </w:p>
        </w:tc>
      </w:tr>
    </w:tbl>
    <w:p w14:paraId="31B2549F" w14:textId="77777777" w:rsidR="00835F52" w:rsidRPr="00964945" w:rsidRDefault="00835F52" w:rsidP="00835F52">
      <w:pPr>
        <w:pStyle w:val="Footnote"/>
        <w:rPr>
          <w:lang w:val="en-GB"/>
        </w:rPr>
      </w:pPr>
    </w:p>
    <w:p w14:paraId="588CE1E6" w14:textId="2EBE9FB6" w:rsidR="005A025E" w:rsidRPr="00964945" w:rsidRDefault="005A025E" w:rsidP="00835F52">
      <w:pPr>
        <w:pStyle w:val="Footnote"/>
        <w:rPr>
          <w:lang w:val="en-GB"/>
        </w:rPr>
      </w:pPr>
      <w:r w:rsidRPr="00964945">
        <w:rPr>
          <w:lang w:val="en-GB"/>
        </w:rPr>
        <w:t xml:space="preserve">Source: </w:t>
      </w:r>
      <w:proofErr w:type="spellStart"/>
      <w:r w:rsidRPr="00964945">
        <w:rPr>
          <w:lang w:val="en-GB"/>
        </w:rPr>
        <w:t>Zenatix</w:t>
      </w:r>
      <w:proofErr w:type="spellEnd"/>
      <w:r w:rsidR="00796E04" w:rsidRPr="00964945">
        <w:rPr>
          <w:lang w:val="en-GB"/>
        </w:rPr>
        <w:t>.</w:t>
      </w:r>
    </w:p>
    <w:p w14:paraId="21653367" w14:textId="77777777" w:rsidR="00835F52" w:rsidRPr="00964945" w:rsidRDefault="00835F52" w:rsidP="00835F52">
      <w:pPr>
        <w:pStyle w:val="Footnote"/>
        <w:rPr>
          <w:lang w:val="en-GB"/>
        </w:rPr>
      </w:pPr>
    </w:p>
    <w:p w14:paraId="4271AF83" w14:textId="77777777" w:rsidR="00835F52" w:rsidRPr="00964945" w:rsidRDefault="00835F52" w:rsidP="00835F52">
      <w:pPr>
        <w:pStyle w:val="Footnote"/>
        <w:rPr>
          <w:lang w:val="en-GB"/>
        </w:rPr>
      </w:pPr>
    </w:p>
    <w:p w14:paraId="2FC3265F" w14:textId="77777777" w:rsidR="005A025E" w:rsidRPr="00964945" w:rsidRDefault="005A025E" w:rsidP="00ED5007">
      <w:pPr>
        <w:pStyle w:val="ExhibitHeading"/>
        <w:keepNext/>
        <w:keepLines/>
        <w:rPr>
          <w:lang w:val="en-GB"/>
        </w:rPr>
      </w:pPr>
      <w:r w:rsidRPr="00964945">
        <w:rPr>
          <w:lang w:val="en-GB"/>
        </w:rPr>
        <w:lastRenderedPageBreak/>
        <w:t>EXHIBIT 3: BRIEF PROFILES OF ZENATIX FOUNDERS</w:t>
      </w:r>
    </w:p>
    <w:p w14:paraId="2DF8E3DD" w14:textId="77777777" w:rsidR="00835F52" w:rsidRPr="00964945" w:rsidRDefault="00835F52" w:rsidP="00ED5007">
      <w:pPr>
        <w:pStyle w:val="Footnote"/>
        <w:keepNext/>
        <w:keepLines/>
        <w:rPr>
          <w:lang w:val="en-GB"/>
        </w:rPr>
      </w:pPr>
    </w:p>
    <w:p w14:paraId="6CA3E0FA" w14:textId="720BD664" w:rsidR="005A025E" w:rsidRPr="00964945" w:rsidRDefault="005A025E" w:rsidP="00ED5007">
      <w:pPr>
        <w:pStyle w:val="ExhibitText"/>
        <w:keepNext/>
        <w:keepLines/>
        <w:rPr>
          <w:rFonts w:eastAsiaTheme="minorHAnsi"/>
          <w:lang w:val="en-GB"/>
        </w:rPr>
      </w:pPr>
      <w:proofErr w:type="spellStart"/>
      <w:r w:rsidRPr="00964945">
        <w:rPr>
          <w:rFonts w:eastAsiaTheme="minorHAnsi"/>
          <w:lang w:val="en-GB"/>
        </w:rPr>
        <w:t>Amarjeet</w:t>
      </w:r>
      <w:proofErr w:type="spellEnd"/>
      <w:r w:rsidRPr="00964945">
        <w:rPr>
          <w:rFonts w:eastAsiaTheme="minorHAnsi"/>
          <w:lang w:val="en-GB"/>
        </w:rPr>
        <w:t xml:space="preserve"> Singh had </w:t>
      </w:r>
      <w:r w:rsidR="00FF6C5D">
        <w:rPr>
          <w:rFonts w:eastAsiaTheme="minorHAnsi"/>
          <w:lang w:val="en-GB"/>
        </w:rPr>
        <w:t>m</w:t>
      </w:r>
      <w:r w:rsidR="00FF6C5D" w:rsidRPr="00964945">
        <w:rPr>
          <w:rFonts w:eastAsiaTheme="minorHAnsi"/>
          <w:lang w:val="en-GB"/>
        </w:rPr>
        <w:t>aster</w:t>
      </w:r>
      <w:r w:rsidR="00FF6C5D">
        <w:rPr>
          <w:rFonts w:eastAsiaTheme="minorHAnsi"/>
          <w:lang w:val="en-GB"/>
        </w:rPr>
        <w:t>s</w:t>
      </w:r>
      <w:r w:rsidR="001A2487" w:rsidRPr="00964945">
        <w:rPr>
          <w:rFonts w:eastAsiaTheme="minorHAnsi"/>
          <w:lang w:val="en-GB"/>
        </w:rPr>
        <w:t xml:space="preserve"> </w:t>
      </w:r>
      <w:r w:rsidRPr="00964945">
        <w:rPr>
          <w:rFonts w:eastAsiaTheme="minorHAnsi"/>
          <w:lang w:val="en-GB"/>
        </w:rPr>
        <w:t xml:space="preserve">and </w:t>
      </w:r>
      <w:r w:rsidR="001A2487">
        <w:rPr>
          <w:rFonts w:eastAsiaTheme="minorHAnsi"/>
          <w:lang w:val="en-GB"/>
        </w:rPr>
        <w:t>d</w:t>
      </w:r>
      <w:r w:rsidR="001A2487" w:rsidRPr="00964945">
        <w:rPr>
          <w:rFonts w:eastAsiaTheme="minorHAnsi"/>
          <w:lang w:val="en-GB"/>
        </w:rPr>
        <w:t xml:space="preserve">octoral </w:t>
      </w:r>
      <w:r w:rsidR="001A2487">
        <w:rPr>
          <w:rFonts w:eastAsiaTheme="minorHAnsi"/>
          <w:lang w:val="en-GB"/>
        </w:rPr>
        <w:t>d</w:t>
      </w:r>
      <w:r w:rsidR="001A2487" w:rsidRPr="00964945">
        <w:rPr>
          <w:rFonts w:eastAsiaTheme="minorHAnsi"/>
          <w:lang w:val="en-GB"/>
        </w:rPr>
        <w:t xml:space="preserve">egrees </w:t>
      </w:r>
      <w:r w:rsidRPr="00964945">
        <w:rPr>
          <w:rFonts w:eastAsiaTheme="minorHAnsi"/>
          <w:lang w:val="en-GB"/>
        </w:rPr>
        <w:t xml:space="preserve">in </w:t>
      </w:r>
      <w:r w:rsidR="001A2487">
        <w:rPr>
          <w:rFonts w:eastAsiaTheme="minorHAnsi"/>
          <w:lang w:val="en-GB"/>
        </w:rPr>
        <w:t>e</w:t>
      </w:r>
      <w:r w:rsidR="001A2487" w:rsidRPr="00964945">
        <w:rPr>
          <w:rFonts w:eastAsiaTheme="minorHAnsi"/>
          <w:lang w:val="en-GB"/>
        </w:rPr>
        <w:t xml:space="preserve">lectrical </w:t>
      </w:r>
      <w:r w:rsidR="001A2487">
        <w:rPr>
          <w:rFonts w:eastAsiaTheme="minorHAnsi"/>
          <w:lang w:val="en-GB"/>
        </w:rPr>
        <w:t>e</w:t>
      </w:r>
      <w:r w:rsidR="001A2487" w:rsidRPr="00964945">
        <w:rPr>
          <w:rFonts w:eastAsiaTheme="minorHAnsi"/>
          <w:lang w:val="en-GB"/>
        </w:rPr>
        <w:t xml:space="preserve">ngineering </w:t>
      </w:r>
      <w:r w:rsidR="00D15761" w:rsidRPr="00964945">
        <w:rPr>
          <w:rFonts w:eastAsiaTheme="minorHAnsi"/>
          <w:lang w:val="en-GB"/>
        </w:rPr>
        <w:t>from</w:t>
      </w:r>
      <w:r w:rsidRPr="00964945">
        <w:rPr>
          <w:rFonts w:eastAsiaTheme="minorHAnsi"/>
          <w:lang w:val="en-GB"/>
        </w:rPr>
        <w:t xml:space="preserve"> </w:t>
      </w:r>
      <w:r w:rsidR="00351BBF" w:rsidRPr="00964945">
        <w:rPr>
          <w:rFonts w:eastAsiaTheme="minorHAnsi"/>
          <w:lang w:val="en-GB"/>
        </w:rPr>
        <w:t xml:space="preserve">the </w:t>
      </w:r>
      <w:r w:rsidRPr="00964945">
        <w:rPr>
          <w:rFonts w:eastAsiaTheme="minorHAnsi"/>
          <w:lang w:val="en-GB"/>
        </w:rPr>
        <w:t>University of California, Los Angeles</w:t>
      </w:r>
      <w:r w:rsidR="001A2487">
        <w:rPr>
          <w:rFonts w:eastAsiaTheme="minorHAnsi"/>
          <w:lang w:val="en-GB"/>
        </w:rPr>
        <w:t>,</w:t>
      </w:r>
      <w:r w:rsidRPr="00964945">
        <w:rPr>
          <w:rFonts w:eastAsiaTheme="minorHAnsi"/>
          <w:lang w:val="en-GB"/>
        </w:rPr>
        <w:t xml:space="preserve"> in </w:t>
      </w:r>
      <w:r w:rsidR="00351BBF" w:rsidRPr="00964945">
        <w:rPr>
          <w:rFonts w:eastAsiaTheme="minorHAnsi"/>
          <w:lang w:val="en-GB"/>
        </w:rPr>
        <w:t xml:space="preserve">the </w:t>
      </w:r>
      <w:r w:rsidR="001A2487" w:rsidRPr="00964945">
        <w:rPr>
          <w:rFonts w:eastAsiaTheme="minorHAnsi"/>
          <w:lang w:val="en-GB"/>
        </w:rPr>
        <w:t>U</w:t>
      </w:r>
      <w:r w:rsidR="001A2487">
        <w:rPr>
          <w:rFonts w:eastAsiaTheme="minorHAnsi"/>
          <w:lang w:val="en-GB"/>
        </w:rPr>
        <w:t>nited States</w:t>
      </w:r>
      <w:r w:rsidRPr="00964945">
        <w:rPr>
          <w:rFonts w:eastAsiaTheme="minorHAnsi"/>
          <w:lang w:val="en-GB"/>
        </w:rPr>
        <w:t xml:space="preserve">. He joined </w:t>
      </w:r>
      <w:r w:rsidR="00351BBF" w:rsidRPr="00964945">
        <w:rPr>
          <w:rFonts w:eastAsiaTheme="minorHAnsi"/>
          <w:lang w:val="en-GB"/>
        </w:rPr>
        <w:t xml:space="preserve">the </w:t>
      </w:r>
      <w:proofErr w:type="spellStart"/>
      <w:r w:rsidR="00E20DDB" w:rsidRPr="00E20DDB">
        <w:rPr>
          <w:rFonts w:eastAsiaTheme="minorHAnsi"/>
          <w:lang w:val="en-GB"/>
        </w:rPr>
        <w:t>Indraprastha</w:t>
      </w:r>
      <w:proofErr w:type="spellEnd"/>
      <w:r w:rsidR="00E20DDB" w:rsidRPr="00E20DDB">
        <w:rPr>
          <w:rFonts w:eastAsiaTheme="minorHAnsi"/>
          <w:lang w:val="en-GB"/>
        </w:rPr>
        <w:t xml:space="preserve"> Institute of Information Technology</w:t>
      </w:r>
      <w:r w:rsidR="00E20DDB">
        <w:rPr>
          <w:rFonts w:eastAsiaTheme="minorHAnsi"/>
          <w:lang w:val="en-GB"/>
        </w:rPr>
        <w:t>,</w:t>
      </w:r>
      <w:r w:rsidRPr="00964945">
        <w:rPr>
          <w:rFonts w:eastAsiaTheme="minorHAnsi"/>
          <w:lang w:val="en-GB"/>
        </w:rPr>
        <w:t xml:space="preserve"> Delhi</w:t>
      </w:r>
      <w:r w:rsidR="00E20DDB">
        <w:rPr>
          <w:rFonts w:eastAsiaTheme="minorHAnsi"/>
          <w:lang w:val="en-GB"/>
        </w:rPr>
        <w:t xml:space="preserve"> (IIITD)</w:t>
      </w:r>
      <w:r w:rsidRPr="00964945">
        <w:rPr>
          <w:rFonts w:eastAsiaTheme="minorHAnsi"/>
          <w:lang w:val="en-GB"/>
        </w:rPr>
        <w:t xml:space="preserve"> as </w:t>
      </w:r>
      <w:r w:rsidR="001A2487">
        <w:rPr>
          <w:rFonts w:eastAsiaTheme="minorHAnsi"/>
          <w:lang w:val="en-GB"/>
        </w:rPr>
        <w:t>a</w:t>
      </w:r>
      <w:r w:rsidR="001A2487" w:rsidRPr="00964945">
        <w:rPr>
          <w:rFonts w:eastAsiaTheme="minorHAnsi"/>
          <w:lang w:val="en-GB"/>
        </w:rPr>
        <w:t xml:space="preserve">ssistant </w:t>
      </w:r>
      <w:r w:rsidR="001A2487">
        <w:rPr>
          <w:rFonts w:eastAsiaTheme="minorHAnsi"/>
          <w:lang w:val="en-GB"/>
        </w:rPr>
        <w:t>p</w:t>
      </w:r>
      <w:r w:rsidR="001A2487" w:rsidRPr="00964945">
        <w:rPr>
          <w:rFonts w:eastAsiaTheme="minorHAnsi"/>
          <w:lang w:val="en-GB"/>
        </w:rPr>
        <w:t xml:space="preserve">rofessor </w:t>
      </w:r>
      <w:r w:rsidRPr="00964945">
        <w:rPr>
          <w:rFonts w:eastAsiaTheme="minorHAnsi"/>
          <w:lang w:val="en-GB"/>
        </w:rPr>
        <w:t xml:space="preserve">in </w:t>
      </w:r>
      <w:r w:rsidR="00351BBF" w:rsidRPr="00964945">
        <w:rPr>
          <w:rFonts w:eastAsiaTheme="minorHAnsi"/>
          <w:lang w:val="en-GB"/>
        </w:rPr>
        <w:t xml:space="preserve">the </w:t>
      </w:r>
      <w:r w:rsidRPr="00964945">
        <w:rPr>
          <w:rFonts w:eastAsiaTheme="minorHAnsi"/>
          <w:lang w:val="en-GB"/>
        </w:rPr>
        <w:t>Department of Electrical Engineering and Computer Science (</w:t>
      </w:r>
      <w:r w:rsidR="001A2487">
        <w:rPr>
          <w:rFonts w:eastAsiaTheme="minorHAnsi"/>
          <w:lang w:val="en-GB"/>
        </w:rPr>
        <w:t>j</w:t>
      </w:r>
      <w:r w:rsidR="001A2487" w:rsidRPr="00964945">
        <w:rPr>
          <w:rFonts w:eastAsiaTheme="minorHAnsi"/>
          <w:lang w:val="en-GB"/>
        </w:rPr>
        <w:t xml:space="preserve">oint </w:t>
      </w:r>
      <w:r w:rsidR="001A2487">
        <w:rPr>
          <w:rFonts w:eastAsiaTheme="minorHAnsi"/>
          <w:lang w:val="en-GB"/>
        </w:rPr>
        <w:t>a</w:t>
      </w:r>
      <w:r w:rsidR="001A2487" w:rsidRPr="00964945">
        <w:rPr>
          <w:rFonts w:eastAsiaTheme="minorHAnsi"/>
          <w:lang w:val="en-GB"/>
        </w:rPr>
        <w:t>ppointment</w:t>
      </w:r>
      <w:r w:rsidRPr="00964945">
        <w:rPr>
          <w:rFonts w:eastAsiaTheme="minorHAnsi"/>
          <w:lang w:val="en-GB"/>
        </w:rPr>
        <w:t xml:space="preserve">) in 2009. </w:t>
      </w:r>
    </w:p>
    <w:p w14:paraId="404A6516" w14:textId="77777777" w:rsidR="00835F52" w:rsidRPr="00964945" w:rsidRDefault="00835F52" w:rsidP="00ED5007">
      <w:pPr>
        <w:pStyle w:val="ExhibitText"/>
        <w:keepNext/>
        <w:keepLines/>
        <w:rPr>
          <w:rFonts w:eastAsiaTheme="minorHAnsi"/>
          <w:lang w:val="en-GB"/>
        </w:rPr>
      </w:pPr>
    </w:p>
    <w:p w14:paraId="65FAC82F" w14:textId="20A0E38E" w:rsidR="005A025E" w:rsidRPr="00964945" w:rsidRDefault="005A025E" w:rsidP="00ED5007">
      <w:pPr>
        <w:pStyle w:val="ExhibitText"/>
        <w:keepNext/>
        <w:keepLines/>
        <w:rPr>
          <w:rFonts w:eastAsiaTheme="minorHAnsi"/>
          <w:lang w:val="en-GB"/>
        </w:rPr>
      </w:pPr>
      <w:r w:rsidRPr="00964945">
        <w:rPr>
          <w:rFonts w:eastAsiaTheme="minorHAnsi"/>
          <w:lang w:val="en-GB"/>
        </w:rPr>
        <w:t xml:space="preserve">Vishal Bansal did a </w:t>
      </w:r>
      <w:r w:rsidR="001C6A37" w:rsidRPr="00964945">
        <w:rPr>
          <w:rFonts w:eastAsiaTheme="minorHAnsi"/>
          <w:lang w:val="en-GB"/>
        </w:rPr>
        <w:t>p</w:t>
      </w:r>
      <w:r w:rsidRPr="00964945">
        <w:rPr>
          <w:rFonts w:eastAsiaTheme="minorHAnsi"/>
          <w:lang w:val="en-GB"/>
        </w:rPr>
        <w:t>ost</w:t>
      </w:r>
      <w:r w:rsidR="001C6A37" w:rsidRPr="00964945">
        <w:rPr>
          <w:rFonts w:eastAsiaTheme="minorHAnsi"/>
          <w:lang w:val="en-GB"/>
        </w:rPr>
        <w:t>-g</w:t>
      </w:r>
      <w:r w:rsidRPr="00964945">
        <w:rPr>
          <w:rFonts w:eastAsiaTheme="minorHAnsi"/>
          <w:lang w:val="en-GB"/>
        </w:rPr>
        <w:t xml:space="preserve">raduate </w:t>
      </w:r>
      <w:r w:rsidR="001A2487">
        <w:rPr>
          <w:rFonts w:eastAsiaTheme="minorHAnsi"/>
          <w:lang w:val="en-GB"/>
        </w:rPr>
        <w:t>d</w:t>
      </w:r>
      <w:r w:rsidR="001A2487" w:rsidRPr="00964945">
        <w:rPr>
          <w:rFonts w:eastAsiaTheme="minorHAnsi"/>
          <w:lang w:val="en-GB"/>
        </w:rPr>
        <w:t xml:space="preserve">iploma </w:t>
      </w:r>
      <w:r w:rsidRPr="00964945">
        <w:rPr>
          <w:rFonts w:eastAsiaTheme="minorHAnsi"/>
          <w:lang w:val="en-GB"/>
        </w:rPr>
        <w:t xml:space="preserve">in </w:t>
      </w:r>
      <w:r w:rsidR="001A2487">
        <w:rPr>
          <w:rFonts w:eastAsiaTheme="minorHAnsi"/>
          <w:lang w:val="en-GB"/>
        </w:rPr>
        <w:t>b</w:t>
      </w:r>
      <w:r w:rsidR="001A2487" w:rsidRPr="00964945">
        <w:rPr>
          <w:rFonts w:eastAsiaTheme="minorHAnsi"/>
          <w:lang w:val="en-GB"/>
        </w:rPr>
        <w:t xml:space="preserve">usiness </w:t>
      </w:r>
      <w:r w:rsidR="001A2487">
        <w:rPr>
          <w:rFonts w:eastAsiaTheme="minorHAnsi"/>
          <w:lang w:val="en-GB"/>
        </w:rPr>
        <w:t>m</w:t>
      </w:r>
      <w:r w:rsidR="001A2487" w:rsidRPr="00964945">
        <w:rPr>
          <w:rFonts w:eastAsiaTheme="minorHAnsi"/>
          <w:lang w:val="en-GB"/>
        </w:rPr>
        <w:t xml:space="preserve">anagement </w:t>
      </w:r>
      <w:r w:rsidRPr="00964945">
        <w:rPr>
          <w:rFonts w:eastAsiaTheme="minorHAnsi"/>
          <w:lang w:val="en-GB"/>
        </w:rPr>
        <w:t>at</w:t>
      </w:r>
      <w:r w:rsidR="001C6A37" w:rsidRPr="00964945">
        <w:rPr>
          <w:rFonts w:eastAsiaTheme="minorHAnsi"/>
          <w:lang w:val="en-GB"/>
        </w:rPr>
        <w:t xml:space="preserve"> the</w:t>
      </w:r>
      <w:r w:rsidRPr="00964945">
        <w:rPr>
          <w:rFonts w:eastAsiaTheme="minorHAnsi"/>
          <w:lang w:val="en-GB"/>
        </w:rPr>
        <w:t xml:space="preserve"> Indian Institute of Management, Ahmadabad in 2007</w:t>
      </w:r>
      <w:r w:rsidR="001C6A37" w:rsidRPr="00964945">
        <w:rPr>
          <w:rFonts w:eastAsiaTheme="minorHAnsi"/>
          <w:lang w:val="en-GB"/>
        </w:rPr>
        <w:t>,</w:t>
      </w:r>
      <w:r w:rsidRPr="00964945">
        <w:rPr>
          <w:rFonts w:eastAsiaTheme="minorHAnsi"/>
          <w:lang w:val="en-GB"/>
        </w:rPr>
        <w:t xml:space="preserve"> and subsequently worked in the knowledge and asset</w:t>
      </w:r>
      <w:r w:rsidR="00D15761" w:rsidRPr="00964945">
        <w:rPr>
          <w:rFonts w:eastAsiaTheme="minorHAnsi"/>
          <w:lang w:val="en-GB"/>
        </w:rPr>
        <w:t>-</w:t>
      </w:r>
      <w:r w:rsidRPr="00964945">
        <w:rPr>
          <w:rFonts w:eastAsiaTheme="minorHAnsi"/>
          <w:lang w:val="en-GB"/>
        </w:rPr>
        <w:t xml:space="preserve">management industry in international positions until 2013. </w:t>
      </w:r>
    </w:p>
    <w:p w14:paraId="0114C1A1" w14:textId="77777777" w:rsidR="00835F52" w:rsidRPr="00964945" w:rsidRDefault="00835F52" w:rsidP="00ED5007">
      <w:pPr>
        <w:pStyle w:val="ExhibitText"/>
        <w:keepNext/>
        <w:keepLines/>
        <w:rPr>
          <w:rFonts w:eastAsiaTheme="minorHAnsi"/>
          <w:lang w:val="en-GB"/>
        </w:rPr>
      </w:pPr>
    </w:p>
    <w:p w14:paraId="60DEAC88" w14:textId="449EB0C9" w:rsidR="005A025E" w:rsidRPr="00964945" w:rsidRDefault="005A025E" w:rsidP="00ED5007">
      <w:pPr>
        <w:pStyle w:val="ExhibitText"/>
        <w:keepNext/>
        <w:keepLines/>
        <w:rPr>
          <w:rFonts w:eastAsiaTheme="minorHAnsi"/>
          <w:lang w:val="en-GB"/>
        </w:rPr>
      </w:pPr>
      <w:r w:rsidRPr="00964945">
        <w:rPr>
          <w:rFonts w:eastAsiaTheme="minorHAnsi"/>
          <w:lang w:val="en-GB"/>
        </w:rPr>
        <w:t xml:space="preserve">Rahul </w:t>
      </w:r>
      <w:proofErr w:type="spellStart"/>
      <w:r w:rsidRPr="00964945">
        <w:rPr>
          <w:rFonts w:eastAsiaTheme="minorHAnsi"/>
          <w:lang w:val="en-GB"/>
        </w:rPr>
        <w:t>Bhalla</w:t>
      </w:r>
      <w:proofErr w:type="spellEnd"/>
      <w:r w:rsidRPr="00964945">
        <w:rPr>
          <w:rFonts w:eastAsiaTheme="minorHAnsi"/>
          <w:lang w:val="en-GB"/>
        </w:rPr>
        <w:t xml:space="preserve"> worked in the domains of strategy, solutions, business development</w:t>
      </w:r>
      <w:r w:rsidR="001C6A37" w:rsidRPr="00964945">
        <w:rPr>
          <w:rFonts w:eastAsiaTheme="minorHAnsi"/>
          <w:lang w:val="en-GB"/>
        </w:rPr>
        <w:t>,</w:t>
      </w:r>
      <w:r w:rsidRPr="00964945">
        <w:rPr>
          <w:rFonts w:eastAsiaTheme="minorHAnsi"/>
          <w:lang w:val="en-GB"/>
        </w:rPr>
        <w:t xml:space="preserve"> and delivery of </w:t>
      </w:r>
      <w:r w:rsidR="001C6A37" w:rsidRPr="00964945">
        <w:rPr>
          <w:rFonts w:eastAsiaTheme="minorHAnsi"/>
          <w:lang w:val="en-GB"/>
        </w:rPr>
        <w:t>i</w:t>
      </w:r>
      <w:r w:rsidRPr="00964945">
        <w:rPr>
          <w:rFonts w:eastAsiaTheme="minorHAnsi"/>
          <w:lang w:val="en-GB"/>
        </w:rPr>
        <w:t xml:space="preserve">ntellectual </w:t>
      </w:r>
      <w:r w:rsidR="001C6A37" w:rsidRPr="00964945">
        <w:rPr>
          <w:rFonts w:eastAsiaTheme="minorHAnsi"/>
          <w:lang w:val="en-GB"/>
        </w:rPr>
        <w:t>p</w:t>
      </w:r>
      <w:r w:rsidRPr="00964945">
        <w:rPr>
          <w:rFonts w:eastAsiaTheme="minorHAnsi"/>
          <w:lang w:val="en-GB"/>
        </w:rPr>
        <w:t>roperty during 2002</w:t>
      </w:r>
      <w:r w:rsidR="00D15761" w:rsidRPr="00964945">
        <w:rPr>
          <w:lang w:val="en-GB"/>
        </w:rPr>
        <w:t>–</w:t>
      </w:r>
      <w:r w:rsidRPr="00964945">
        <w:rPr>
          <w:rFonts w:eastAsiaTheme="minorHAnsi"/>
          <w:lang w:val="en-GB"/>
        </w:rPr>
        <w:t>2013.</w:t>
      </w:r>
    </w:p>
    <w:p w14:paraId="5B5DCBE4" w14:textId="77777777" w:rsidR="00835F52" w:rsidRPr="00ED5007" w:rsidRDefault="00835F52" w:rsidP="00ED5007">
      <w:pPr>
        <w:pStyle w:val="Footnote"/>
        <w:keepNext/>
        <w:keepLines/>
      </w:pPr>
    </w:p>
    <w:p w14:paraId="598DC81A" w14:textId="42803D80" w:rsidR="005A025E" w:rsidRPr="00964945" w:rsidRDefault="005A025E" w:rsidP="00ED5007">
      <w:pPr>
        <w:pStyle w:val="Footnote"/>
        <w:keepNext/>
        <w:keepLines/>
        <w:rPr>
          <w:lang w:val="en-GB"/>
        </w:rPr>
      </w:pPr>
      <w:r w:rsidRPr="00964945">
        <w:rPr>
          <w:lang w:val="en-GB"/>
        </w:rPr>
        <w:t xml:space="preserve">Source: </w:t>
      </w:r>
      <w:proofErr w:type="spellStart"/>
      <w:r w:rsidRPr="00964945">
        <w:rPr>
          <w:lang w:val="en-GB"/>
        </w:rPr>
        <w:t>Zenatix</w:t>
      </w:r>
      <w:proofErr w:type="spellEnd"/>
      <w:r w:rsidR="00964945">
        <w:rPr>
          <w:lang w:val="en-GB"/>
        </w:rPr>
        <w:t>.</w:t>
      </w:r>
    </w:p>
    <w:p w14:paraId="1893269C" w14:textId="77777777" w:rsidR="001A2487" w:rsidRDefault="001A2487" w:rsidP="00835F52">
      <w:pPr>
        <w:pStyle w:val="ExhibitHeading"/>
        <w:rPr>
          <w:lang w:val="en-GB"/>
        </w:rPr>
      </w:pPr>
    </w:p>
    <w:p w14:paraId="603CE824" w14:textId="77777777" w:rsidR="001A2487" w:rsidRDefault="001A2487" w:rsidP="00835F52">
      <w:pPr>
        <w:pStyle w:val="ExhibitHeading"/>
        <w:rPr>
          <w:lang w:val="en-GB"/>
        </w:rPr>
      </w:pPr>
    </w:p>
    <w:p w14:paraId="301A8574" w14:textId="16F0E08B" w:rsidR="005A025E" w:rsidRPr="00964945" w:rsidRDefault="005A025E" w:rsidP="00835F52">
      <w:pPr>
        <w:pStyle w:val="ExhibitHeading"/>
        <w:rPr>
          <w:lang w:val="en-GB"/>
        </w:rPr>
      </w:pPr>
      <w:r w:rsidRPr="00964945">
        <w:rPr>
          <w:lang w:val="en-GB"/>
        </w:rPr>
        <w:t>EXHIBIT 4: THE</w:t>
      </w:r>
      <w:r w:rsidR="00B668DE" w:rsidRPr="00964945">
        <w:rPr>
          <w:lang w:val="en-GB"/>
        </w:rPr>
        <w:t xml:space="preserve"> </w:t>
      </w:r>
      <w:r w:rsidRPr="00964945">
        <w:rPr>
          <w:lang w:val="en-GB"/>
        </w:rPr>
        <w:t>ENERGY</w:t>
      </w:r>
      <w:r w:rsidR="00E37621" w:rsidRPr="00964945">
        <w:rPr>
          <w:lang w:val="en-GB"/>
        </w:rPr>
        <w:t>-</w:t>
      </w:r>
      <w:r w:rsidRPr="00964945">
        <w:rPr>
          <w:lang w:val="en-GB"/>
        </w:rPr>
        <w:t>EFFICIENCY MARKET IN INDIA</w:t>
      </w:r>
    </w:p>
    <w:p w14:paraId="78414970" w14:textId="77777777" w:rsidR="00835F52" w:rsidRPr="00964945" w:rsidRDefault="00835F52" w:rsidP="00835F52">
      <w:pPr>
        <w:pStyle w:val="ExhibitHeading"/>
        <w:rPr>
          <w:lang w:val="en-GB"/>
        </w:rPr>
      </w:pPr>
    </w:p>
    <w:p w14:paraId="047E8C29" w14:textId="5218D954" w:rsidR="005A025E" w:rsidRPr="00964945" w:rsidRDefault="005A025E" w:rsidP="00835F52">
      <w:pPr>
        <w:pStyle w:val="ExhibitText"/>
        <w:rPr>
          <w:rFonts w:eastAsiaTheme="minorHAnsi"/>
          <w:lang w:val="en-GB"/>
        </w:rPr>
      </w:pPr>
      <w:r w:rsidRPr="00964945">
        <w:rPr>
          <w:rFonts w:eastAsiaTheme="minorHAnsi"/>
          <w:lang w:val="en-GB"/>
        </w:rPr>
        <w:t>During 2002</w:t>
      </w:r>
      <w:r w:rsidR="00E37621" w:rsidRPr="00964945">
        <w:rPr>
          <w:lang w:val="en-GB"/>
        </w:rPr>
        <w:t>–</w:t>
      </w:r>
      <w:r w:rsidRPr="00964945">
        <w:rPr>
          <w:rFonts w:eastAsiaTheme="minorHAnsi"/>
          <w:lang w:val="en-GB"/>
        </w:rPr>
        <w:t xml:space="preserve">2007, the Tenth Five Year Plan of </w:t>
      </w:r>
      <w:r w:rsidR="001A2487">
        <w:rPr>
          <w:rFonts w:eastAsiaTheme="minorHAnsi"/>
          <w:lang w:val="en-GB"/>
        </w:rPr>
        <w:t xml:space="preserve">the </w:t>
      </w:r>
      <w:r w:rsidRPr="00964945">
        <w:rPr>
          <w:rFonts w:eastAsiaTheme="minorHAnsi"/>
          <w:lang w:val="en-GB"/>
        </w:rPr>
        <w:t xml:space="preserve">Indian planning commission, 877 </w:t>
      </w:r>
      <w:r w:rsidR="001A2487">
        <w:rPr>
          <w:rFonts w:eastAsiaTheme="minorHAnsi"/>
          <w:lang w:val="en-GB"/>
        </w:rPr>
        <w:t>megawatts (</w:t>
      </w:r>
      <w:r w:rsidRPr="00964945">
        <w:rPr>
          <w:rFonts w:eastAsiaTheme="minorHAnsi"/>
          <w:lang w:val="en-GB"/>
        </w:rPr>
        <w:t>MW</w:t>
      </w:r>
      <w:r w:rsidR="001A2487">
        <w:rPr>
          <w:rFonts w:eastAsiaTheme="minorHAnsi"/>
          <w:lang w:val="en-GB"/>
        </w:rPr>
        <w:t>)</w:t>
      </w:r>
      <w:r w:rsidRPr="00964945">
        <w:rPr>
          <w:rFonts w:eastAsiaTheme="minorHAnsi"/>
          <w:lang w:val="en-GB"/>
        </w:rPr>
        <w:t xml:space="preserve"> of energy was saved in India. For 2007</w:t>
      </w:r>
      <w:r w:rsidR="00E37621" w:rsidRPr="00964945">
        <w:rPr>
          <w:lang w:val="en-GB"/>
        </w:rPr>
        <w:t>–</w:t>
      </w:r>
      <w:r w:rsidRPr="00964945">
        <w:rPr>
          <w:rFonts w:eastAsiaTheme="minorHAnsi"/>
          <w:lang w:val="en-GB"/>
        </w:rPr>
        <w:t>2012, the Eleventh Five Year Plan, a target of 10,000 MW in savings was set. These targets were expected to increase in the coming five year plans</w:t>
      </w:r>
      <w:r w:rsidR="002E2AED">
        <w:rPr>
          <w:rFonts w:eastAsiaTheme="minorHAnsi"/>
          <w:lang w:val="en-GB"/>
        </w:rPr>
        <w:t>,</w:t>
      </w:r>
      <w:r w:rsidRPr="00964945">
        <w:rPr>
          <w:rFonts w:eastAsiaTheme="minorHAnsi"/>
          <w:lang w:val="en-GB"/>
        </w:rPr>
        <w:t xml:space="preserve"> signifying </w:t>
      </w:r>
      <w:r w:rsidR="002E2AED">
        <w:rPr>
          <w:rFonts w:eastAsiaTheme="minorHAnsi"/>
          <w:lang w:val="en-GB"/>
        </w:rPr>
        <w:t xml:space="preserve">the </w:t>
      </w:r>
      <w:r w:rsidRPr="00964945">
        <w:rPr>
          <w:rFonts w:eastAsiaTheme="minorHAnsi"/>
          <w:lang w:val="en-GB"/>
        </w:rPr>
        <w:t xml:space="preserve">importance laid on energy saving by the government. </w:t>
      </w:r>
    </w:p>
    <w:p w14:paraId="55AEB14A" w14:textId="77777777" w:rsidR="00835F52" w:rsidRPr="00964945" w:rsidRDefault="00835F52" w:rsidP="00835F52">
      <w:pPr>
        <w:pStyle w:val="ExhibitText"/>
        <w:rPr>
          <w:rFonts w:eastAsiaTheme="minorHAnsi"/>
          <w:lang w:val="en-GB"/>
        </w:rPr>
      </w:pPr>
    </w:p>
    <w:p w14:paraId="05D3AC48" w14:textId="78C2A9BB" w:rsidR="005A025E" w:rsidRPr="00964945" w:rsidRDefault="005A025E" w:rsidP="00835F52">
      <w:pPr>
        <w:pStyle w:val="ExhibitText"/>
        <w:rPr>
          <w:rFonts w:eastAsiaTheme="minorHAnsi"/>
          <w:lang w:val="en-GB"/>
        </w:rPr>
      </w:pPr>
      <w:r w:rsidRPr="00964945">
        <w:rPr>
          <w:rFonts w:eastAsiaTheme="minorHAnsi"/>
          <w:lang w:val="en-GB"/>
        </w:rPr>
        <w:t>The Bureau of Energy Efficiency (BEE), Government of India (</w:t>
      </w:r>
      <w:proofErr w:type="spellStart"/>
      <w:r w:rsidRPr="00964945">
        <w:rPr>
          <w:rFonts w:eastAsiaTheme="minorHAnsi"/>
          <w:lang w:val="en-GB"/>
        </w:rPr>
        <w:t>GoI</w:t>
      </w:r>
      <w:proofErr w:type="spellEnd"/>
      <w:r w:rsidRPr="00964945">
        <w:rPr>
          <w:rFonts w:eastAsiaTheme="minorHAnsi"/>
          <w:lang w:val="en-GB"/>
        </w:rPr>
        <w:t>), in its annual report for 2012</w:t>
      </w:r>
      <w:r w:rsidR="00E37621" w:rsidRPr="00964945">
        <w:rPr>
          <w:lang w:val="en-GB"/>
        </w:rPr>
        <w:t>–</w:t>
      </w:r>
      <w:r w:rsidRPr="00964945">
        <w:rPr>
          <w:rFonts w:eastAsiaTheme="minorHAnsi"/>
          <w:lang w:val="en-GB"/>
        </w:rPr>
        <w:t xml:space="preserve">13, noted that there was a potential to save </w:t>
      </w:r>
      <w:r w:rsidR="00964945" w:rsidRPr="00964945">
        <w:rPr>
          <w:rFonts w:eastAsiaTheme="minorHAnsi"/>
          <w:lang w:val="en-GB"/>
        </w:rPr>
        <w:t>up to</w:t>
      </w:r>
      <w:r w:rsidRPr="00964945">
        <w:rPr>
          <w:rFonts w:eastAsiaTheme="minorHAnsi"/>
          <w:lang w:val="en-GB"/>
        </w:rPr>
        <w:t xml:space="preserve"> 40</w:t>
      </w:r>
      <w:r w:rsidR="002E2AED">
        <w:rPr>
          <w:rFonts w:eastAsiaTheme="minorHAnsi"/>
          <w:lang w:val="en-GB"/>
        </w:rPr>
        <w:t xml:space="preserve"> per cent</w:t>
      </w:r>
      <w:r w:rsidR="002E2AED" w:rsidRPr="00964945">
        <w:rPr>
          <w:rFonts w:eastAsiaTheme="minorHAnsi"/>
          <w:lang w:val="en-GB"/>
        </w:rPr>
        <w:t xml:space="preserve"> </w:t>
      </w:r>
      <w:r w:rsidRPr="00964945">
        <w:rPr>
          <w:rFonts w:eastAsiaTheme="minorHAnsi"/>
          <w:lang w:val="en-GB"/>
        </w:rPr>
        <w:t>of energy usage in end uses such as lighting, cooling, ventilation</w:t>
      </w:r>
      <w:r w:rsidR="002E2AED">
        <w:rPr>
          <w:rFonts w:eastAsiaTheme="minorHAnsi"/>
          <w:lang w:val="en-GB"/>
        </w:rPr>
        <w:t>,</w:t>
      </w:r>
      <w:r w:rsidRPr="00964945">
        <w:rPr>
          <w:rFonts w:eastAsiaTheme="minorHAnsi"/>
          <w:lang w:val="en-GB"/>
        </w:rPr>
        <w:t xml:space="preserve"> and refrigeration. The bureau was backing </w:t>
      </w:r>
      <w:r w:rsidR="002E2AED">
        <w:rPr>
          <w:rFonts w:eastAsiaTheme="minorHAnsi"/>
          <w:lang w:val="en-GB"/>
        </w:rPr>
        <w:t>e</w:t>
      </w:r>
      <w:r w:rsidRPr="00964945">
        <w:rPr>
          <w:rFonts w:eastAsiaTheme="minorHAnsi"/>
          <w:lang w:val="en-GB"/>
        </w:rPr>
        <w:t xml:space="preserve">nergy </w:t>
      </w:r>
      <w:r w:rsidR="002E2AED">
        <w:rPr>
          <w:rFonts w:eastAsiaTheme="minorHAnsi"/>
          <w:lang w:val="en-GB"/>
        </w:rPr>
        <w:t>s</w:t>
      </w:r>
      <w:r w:rsidRPr="00964945">
        <w:rPr>
          <w:rFonts w:eastAsiaTheme="minorHAnsi"/>
          <w:lang w:val="en-GB"/>
        </w:rPr>
        <w:t xml:space="preserve">ervice </w:t>
      </w:r>
      <w:r w:rsidR="002E2AED">
        <w:rPr>
          <w:rFonts w:eastAsiaTheme="minorHAnsi"/>
          <w:lang w:val="en-GB"/>
        </w:rPr>
        <w:t>c</w:t>
      </w:r>
      <w:r w:rsidRPr="00964945">
        <w:rPr>
          <w:rFonts w:eastAsiaTheme="minorHAnsi"/>
          <w:lang w:val="en-GB"/>
        </w:rPr>
        <w:t>ompanies (ESCOs) as a mechanism to deliver energy</w:t>
      </w:r>
      <w:r w:rsidR="003C5056">
        <w:rPr>
          <w:rFonts w:eastAsiaTheme="minorHAnsi"/>
          <w:lang w:val="en-GB"/>
        </w:rPr>
        <w:t>-</w:t>
      </w:r>
      <w:r w:rsidRPr="00964945">
        <w:rPr>
          <w:rFonts w:eastAsiaTheme="minorHAnsi"/>
          <w:lang w:val="en-GB"/>
        </w:rPr>
        <w:t>efficiency services. ESCOs offered to industrial and commercial units a guaranteed savings model for energy savings that involved energy audits, recommendation</w:t>
      </w:r>
      <w:r w:rsidR="002E2AED">
        <w:rPr>
          <w:rFonts w:eastAsiaTheme="minorHAnsi"/>
          <w:lang w:val="en-GB"/>
        </w:rPr>
        <w:t>s,</w:t>
      </w:r>
      <w:r w:rsidRPr="00964945">
        <w:rPr>
          <w:rFonts w:eastAsiaTheme="minorHAnsi"/>
          <w:lang w:val="en-GB"/>
        </w:rPr>
        <w:t xml:space="preserve"> and implementation of solutions. The offerings included system design, retrofitting, implementation, financing, risk management</w:t>
      </w:r>
      <w:r w:rsidR="002E2AED">
        <w:rPr>
          <w:rFonts w:eastAsiaTheme="minorHAnsi"/>
          <w:lang w:val="en-GB"/>
        </w:rPr>
        <w:t>,</w:t>
      </w:r>
      <w:r w:rsidRPr="00964945">
        <w:rPr>
          <w:rFonts w:eastAsiaTheme="minorHAnsi"/>
          <w:lang w:val="en-GB"/>
        </w:rPr>
        <w:t xml:space="preserve"> and saving guarantee</w:t>
      </w:r>
      <w:r w:rsidR="002E2AED">
        <w:rPr>
          <w:rFonts w:eastAsiaTheme="minorHAnsi"/>
          <w:lang w:val="en-GB"/>
        </w:rPr>
        <w:t>s</w:t>
      </w:r>
      <w:r w:rsidRPr="00964945">
        <w:rPr>
          <w:rFonts w:eastAsiaTheme="minorHAnsi"/>
          <w:lang w:val="en-GB"/>
        </w:rPr>
        <w:t xml:space="preserve">. </w:t>
      </w:r>
    </w:p>
    <w:p w14:paraId="29D4393A" w14:textId="77777777" w:rsidR="00835F52" w:rsidRPr="00964945" w:rsidRDefault="00835F52" w:rsidP="00835F52">
      <w:pPr>
        <w:pStyle w:val="ExhibitText"/>
        <w:rPr>
          <w:rFonts w:eastAsiaTheme="minorHAnsi"/>
          <w:lang w:val="en-GB"/>
        </w:rPr>
      </w:pPr>
    </w:p>
    <w:p w14:paraId="24850027" w14:textId="45F8419C" w:rsidR="005A025E" w:rsidRDefault="005A025E" w:rsidP="00835F52">
      <w:pPr>
        <w:pStyle w:val="ExhibitText"/>
        <w:rPr>
          <w:rFonts w:eastAsiaTheme="minorHAnsi"/>
          <w:lang w:val="en-GB"/>
        </w:rPr>
      </w:pPr>
      <w:r w:rsidRPr="00964945">
        <w:rPr>
          <w:rFonts w:eastAsiaTheme="minorHAnsi"/>
          <w:lang w:val="en-GB"/>
        </w:rPr>
        <w:t xml:space="preserve">As of 2013, over </w:t>
      </w:r>
      <w:r w:rsidR="002E2AED">
        <w:rPr>
          <w:rFonts w:eastAsiaTheme="minorHAnsi"/>
          <w:lang w:val="en-GB"/>
        </w:rPr>
        <w:t>100</w:t>
      </w:r>
      <w:r w:rsidRPr="00964945">
        <w:rPr>
          <w:rFonts w:eastAsiaTheme="minorHAnsi"/>
          <w:lang w:val="en-GB"/>
        </w:rPr>
        <w:t xml:space="preserve"> ESCOs were empanelled by BEE. About 60</w:t>
      </w:r>
      <w:r w:rsidR="002E2AED">
        <w:rPr>
          <w:rFonts w:eastAsiaTheme="minorHAnsi"/>
          <w:lang w:val="en-GB"/>
        </w:rPr>
        <w:t xml:space="preserve"> per cent</w:t>
      </w:r>
      <w:r w:rsidR="002E2AED" w:rsidRPr="00964945">
        <w:rPr>
          <w:rFonts w:eastAsiaTheme="minorHAnsi"/>
          <w:lang w:val="en-GB"/>
        </w:rPr>
        <w:t xml:space="preserve"> </w:t>
      </w:r>
      <w:r w:rsidRPr="00964945">
        <w:rPr>
          <w:rFonts w:eastAsiaTheme="minorHAnsi"/>
          <w:lang w:val="en-GB"/>
        </w:rPr>
        <w:t xml:space="preserve">of </w:t>
      </w:r>
      <w:r w:rsidR="002E2AED">
        <w:rPr>
          <w:rFonts w:eastAsiaTheme="minorHAnsi"/>
          <w:lang w:val="en-GB"/>
        </w:rPr>
        <w:t xml:space="preserve">the </w:t>
      </w:r>
      <w:r w:rsidRPr="00964945">
        <w:rPr>
          <w:rFonts w:eastAsiaTheme="minorHAnsi"/>
          <w:lang w:val="en-GB"/>
        </w:rPr>
        <w:t>market of ESCOs comprised of industrial clients, followed by government</w:t>
      </w:r>
      <w:r w:rsidR="002E2AED">
        <w:rPr>
          <w:rFonts w:eastAsiaTheme="minorHAnsi"/>
          <w:lang w:val="en-GB"/>
        </w:rPr>
        <w:t>s and</w:t>
      </w:r>
      <w:r w:rsidRPr="00964945">
        <w:rPr>
          <w:rFonts w:eastAsiaTheme="minorHAnsi"/>
          <w:lang w:val="en-GB"/>
        </w:rPr>
        <w:t xml:space="preserve"> municipalities (24</w:t>
      </w:r>
      <w:r w:rsidR="002E2AED">
        <w:rPr>
          <w:rFonts w:eastAsiaTheme="minorHAnsi"/>
          <w:lang w:val="en-GB"/>
        </w:rPr>
        <w:t xml:space="preserve"> per cent</w:t>
      </w:r>
      <w:r w:rsidR="002E2AED" w:rsidRPr="00964945">
        <w:rPr>
          <w:rFonts w:eastAsiaTheme="minorHAnsi"/>
          <w:lang w:val="en-GB"/>
        </w:rPr>
        <w:t xml:space="preserve">), </w:t>
      </w:r>
      <w:r w:rsidRPr="00964945">
        <w:rPr>
          <w:rFonts w:eastAsiaTheme="minorHAnsi"/>
          <w:lang w:val="en-GB"/>
        </w:rPr>
        <w:t>commercial offices (9</w:t>
      </w:r>
      <w:r w:rsidR="002E2AED">
        <w:rPr>
          <w:rFonts w:eastAsiaTheme="minorHAnsi"/>
          <w:lang w:val="en-GB"/>
        </w:rPr>
        <w:t xml:space="preserve"> per cent</w:t>
      </w:r>
      <w:r w:rsidR="002E2AED" w:rsidRPr="00964945">
        <w:rPr>
          <w:rFonts w:eastAsiaTheme="minorHAnsi"/>
          <w:lang w:val="en-GB"/>
        </w:rPr>
        <w:t>)</w:t>
      </w:r>
      <w:r w:rsidR="002E2AED">
        <w:rPr>
          <w:rFonts w:eastAsiaTheme="minorHAnsi"/>
          <w:lang w:val="en-GB"/>
        </w:rPr>
        <w:t>,</w:t>
      </w:r>
      <w:r w:rsidR="002E2AED" w:rsidRPr="00964945">
        <w:rPr>
          <w:rFonts w:eastAsiaTheme="minorHAnsi"/>
          <w:lang w:val="en-GB"/>
        </w:rPr>
        <w:t xml:space="preserve"> </w:t>
      </w:r>
      <w:r w:rsidRPr="00964945">
        <w:rPr>
          <w:rFonts w:eastAsiaTheme="minorHAnsi"/>
          <w:lang w:val="en-GB"/>
        </w:rPr>
        <w:t>and others.</w:t>
      </w:r>
    </w:p>
    <w:p w14:paraId="59D518A7" w14:textId="77777777" w:rsidR="002E2AED" w:rsidRPr="00964945" w:rsidRDefault="002E2AED" w:rsidP="00835F52">
      <w:pPr>
        <w:pStyle w:val="ExhibitText"/>
        <w:rPr>
          <w:rFonts w:eastAsiaTheme="minorHAnsi"/>
          <w:lang w:val="en-GB"/>
        </w:rPr>
      </w:pPr>
    </w:p>
    <w:p w14:paraId="1D63A246" w14:textId="1071F2BC" w:rsidR="005A025E" w:rsidRPr="00964945" w:rsidRDefault="005A025E" w:rsidP="00835F52">
      <w:pPr>
        <w:pStyle w:val="ExhibitText"/>
        <w:rPr>
          <w:rFonts w:eastAsiaTheme="minorHAnsi"/>
          <w:lang w:val="en-GB"/>
        </w:rPr>
      </w:pPr>
      <w:r w:rsidRPr="00964945">
        <w:rPr>
          <w:rFonts w:eastAsiaTheme="minorHAnsi"/>
          <w:lang w:val="en-GB"/>
        </w:rPr>
        <w:t xml:space="preserve">According to a survey of ESCOs by </w:t>
      </w:r>
      <w:r w:rsidR="002E2AED">
        <w:rPr>
          <w:rFonts w:eastAsiaTheme="minorHAnsi"/>
          <w:lang w:val="en-GB"/>
        </w:rPr>
        <w:t>World Resources Institute,</w:t>
      </w:r>
      <w:r w:rsidRPr="00964945">
        <w:rPr>
          <w:rFonts w:eastAsiaTheme="minorHAnsi"/>
          <w:lang w:val="en-GB"/>
        </w:rPr>
        <w:t xml:space="preserve"> revenues of ESCOs grew by a compounded annual growth rate of over 95</w:t>
      </w:r>
      <w:r w:rsidR="002E2AED">
        <w:rPr>
          <w:rFonts w:eastAsiaTheme="minorHAnsi"/>
          <w:lang w:val="en-GB"/>
        </w:rPr>
        <w:t xml:space="preserve"> per cent</w:t>
      </w:r>
      <w:r w:rsidR="002E2AED" w:rsidRPr="00964945">
        <w:rPr>
          <w:rFonts w:eastAsiaTheme="minorHAnsi"/>
          <w:lang w:val="en-GB"/>
        </w:rPr>
        <w:t xml:space="preserve"> </w:t>
      </w:r>
      <w:r w:rsidRPr="00964945">
        <w:rPr>
          <w:rFonts w:eastAsiaTheme="minorHAnsi"/>
          <w:lang w:val="en-GB"/>
        </w:rPr>
        <w:t>during 2003</w:t>
      </w:r>
      <w:r w:rsidR="00E37621" w:rsidRPr="00964945">
        <w:rPr>
          <w:lang w:val="en-GB"/>
        </w:rPr>
        <w:t>–</w:t>
      </w:r>
      <w:r w:rsidRPr="00964945">
        <w:rPr>
          <w:rFonts w:eastAsiaTheme="minorHAnsi"/>
          <w:lang w:val="en-GB"/>
        </w:rPr>
        <w:t>2007. ESCOs were able to save 20</w:t>
      </w:r>
      <w:r w:rsidR="00E37621" w:rsidRPr="00964945">
        <w:rPr>
          <w:lang w:val="en-GB"/>
        </w:rPr>
        <w:t>–</w:t>
      </w:r>
      <w:r w:rsidRPr="00964945">
        <w:rPr>
          <w:rFonts w:eastAsiaTheme="minorHAnsi"/>
          <w:lang w:val="en-GB"/>
        </w:rPr>
        <w:t>25</w:t>
      </w:r>
      <w:r w:rsidR="002E2AED">
        <w:rPr>
          <w:rFonts w:eastAsiaTheme="minorHAnsi"/>
          <w:lang w:val="en-GB"/>
        </w:rPr>
        <w:t xml:space="preserve"> per cent</w:t>
      </w:r>
      <w:r w:rsidR="002E2AED" w:rsidRPr="00964945">
        <w:rPr>
          <w:rFonts w:eastAsiaTheme="minorHAnsi"/>
          <w:lang w:val="en-GB"/>
        </w:rPr>
        <w:t xml:space="preserve"> </w:t>
      </w:r>
      <w:r w:rsidRPr="00964945">
        <w:rPr>
          <w:rFonts w:eastAsiaTheme="minorHAnsi"/>
          <w:lang w:val="en-GB"/>
        </w:rPr>
        <w:t>of energy for clients during this period. It was also estimated that energy demand in India would increase by 60 per</w:t>
      </w:r>
      <w:r w:rsidR="002E2AED">
        <w:rPr>
          <w:rFonts w:eastAsiaTheme="minorHAnsi"/>
          <w:lang w:val="en-GB"/>
        </w:rPr>
        <w:t xml:space="preserve"> </w:t>
      </w:r>
      <w:r w:rsidRPr="00964945">
        <w:rPr>
          <w:rFonts w:eastAsiaTheme="minorHAnsi"/>
          <w:lang w:val="en-GB"/>
        </w:rPr>
        <w:t>cent between 2003 and 2016.</w:t>
      </w:r>
    </w:p>
    <w:p w14:paraId="4DA43BA3" w14:textId="77777777" w:rsidR="00835F52" w:rsidRPr="00964945" w:rsidRDefault="00835F52" w:rsidP="00835F52">
      <w:pPr>
        <w:pStyle w:val="Footnote"/>
        <w:rPr>
          <w:lang w:val="en-GB"/>
        </w:rPr>
      </w:pPr>
    </w:p>
    <w:p w14:paraId="1255238F" w14:textId="22DA0869" w:rsidR="005A025E" w:rsidRPr="00964945" w:rsidRDefault="005A025E" w:rsidP="001F52F0">
      <w:pPr>
        <w:pStyle w:val="Footnote"/>
        <w:rPr>
          <w:lang w:val="en-GB"/>
        </w:rPr>
      </w:pPr>
      <w:r w:rsidRPr="00964945">
        <w:rPr>
          <w:lang w:val="en-GB"/>
        </w:rPr>
        <w:t xml:space="preserve">Source: </w:t>
      </w:r>
      <w:r w:rsidR="002E2AED">
        <w:rPr>
          <w:lang w:val="en-GB"/>
        </w:rPr>
        <w:t xml:space="preserve">Adapted from </w:t>
      </w:r>
      <w:r w:rsidRPr="00964945">
        <w:rPr>
          <w:lang w:val="en-GB"/>
        </w:rPr>
        <w:t>Bureau of Energy Efficiency,</w:t>
      </w:r>
      <w:r w:rsidR="00650408" w:rsidRPr="00964945">
        <w:rPr>
          <w:lang w:val="en-GB"/>
        </w:rPr>
        <w:t xml:space="preserve"> </w:t>
      </w:r>
      <w:r w:rsidRPr="00ED5007">
        <w:rPr>
          <w:i/>
          <w:lang w:val="en-GB"/>
        </w:rPr>
        <w:t>Annual Report 2012</w:t>
      </w:r>
      <w:r w:rsidR="001A2487" w:rsidRPr="00ED5007">
        <w:rPr>
          <w:i/>
          <w:lang w:val="en-GB"/>
        </w:rPr>
        <w:t>–</w:t>
      </w:r>
      <w:r w:rsidRPr="00ED5007">
        <w:rPr>
          <w:i/>
          <w:lang w:val="en-GB"/>
        </w:rPr>
        <w:t>13</w:t>
      </w:r>
      <w:r w:rsidR="00650408" w:rsidRPr="00964945">
        <w:rPr>
          <w:lang w:val="en-GB"/>
        </w:rPr>
        <w:t xml:space="preserve">, </w:t>
      </w:r>
      <w:r w:rsidRPr="00964945">
        <w:rPr>
          <w:lang w:val="en-GB"/>
        </w:rPr>
        <w:t xml:space="preserve">Bureau of Energy Efficiency, India, 2013, accessed October 17, 2018, </w:t>
      </w:r>
      <w:hyperlink r:id="rId9" w:history="1">
        <w:r w:rsidRPr="00964945">
          <w:rPr>
            <w:lang w:val="en-GB"/>
          </w:rPr>
          <w:t>https://beeindia.gov.in/sites/default/files/Annual%20Report%20%202012-2013%20%282%29.pdf</w:t>
        </w:r>
      </w:hyperlink>
      <w:r w:rsidRPr="00964945">
        <w:rPr>
          <w:lang w:val="en-GB"/>
        </w:rPr>
        <w:t xml:space="preserve">; </w:t>
      </w:r>
      <w:r w:rsidR="002E2AED">
        <w:rPr>
          <w:lang w:val="en-GB"/>
        </w:rPr>
        <w:t xml:space="preserve">and </w:t>
      </w:r>
      <w:r w:rsidR="001A2487" w:rsidRPr="001A2487">
        <w:rPr>
          <w:lang w:val="en-GB"/>
        </w:rPr>
        <w:t xml:space="preserve">Ella </w:t>
      </w:r>
      <w:proofErr w:type="spellStart"/>
      <w:r w:rsidR="001A2487" w:rsidRPr="001A2487">
        <w:rPr>
          <w:lang w:val="en-GB"/>
        </w:rPr>
        <w:t>Aglipay</w:t>
      </w:r>
      <w:proofErr w:type="spellEnd"/>
      <w:r w:rsidR="001A2487" w:rsidRPr="001A2487">
        <w:rPr>
          <w:lang w:val="en-GB"/>
        </w:rPr>
        <w:t xml:space="preserve"> </w:t>
      </w:r>
      <w:proofErr w:type="spellStart"/>
      <w:r w:rsidR="001A2487" w:rsidRPr="001A2487">
        <w:rPr>
          <w:lang w:val="en-GB"/>
        </w:rPr>
        <w:t>Delio</w:t>
      </w:r>
      <w:proofErr w:type="spellEnd"/>
      <w:r w:rsidR="001A2487">
        <w:rPr>
          <w:lang w:val="en-GB"/>
        </w:rPr>
        <w:t xml:space="preserve">, </w:t>
      </w:r>
      <w:r w:rsidR="001A2487" w:rsidRPr="001A2487">
        <w:rPr>
          <w:lang w:val="en-GB"/>
        </w:rPr>
        <w:t>Saurabh Lal</w:t>
      </w:r>
      <w:r w:rsidR="001A2487">
        <w:rPr>
          <w:lang w:val="en-GB"/>
        </w:rPr>
        <w:t xml:space="preserve">, and </w:t>
      </w:r>
      <w:proofErr w:type="spellStart"/>
      <w:r w:rsidR="001A2487" w:rsidRPr="001A2487">
        <w:rPr>
          <w:lang w:val="en-GB"/>
        </w:rPr>
        <w:t>Chandan</w:t>
      </w:r>
      <w:proofErr w:type="spellEnd"/>
      <w:r w:rsidR="001A2487" w:rsidRPr="001A2487">
        <w:rPr>
          <w:lang w:val="en-GB"/>
        </w:rPr>
        <w:t xml:space="preserve"> Singh</w:t>
      </w:r>
      <w:r w:rsidRPr="00964945">
        <w:rPr>
          <w:lang w:val="en-GB"/>
        </w:rPr>
        <w:t xml:space="preserve">, </w:t>
      </w:r>
      <w:r w:rsidRPr="00ED5007">
        <w:rPr>
          <w:i/>
          <w:lang w:val="en-GB"/>
        </w:rPr>
        <w:t>Powering Up The Investment Potential of Energy Service Companies in India</w:t>
      </w:r>
      <w:r w:rsidR="00650408" w:rsidRPr="00964945">
        <w:rPr>
          <w:lang w:val="en-GB"/>
        </w:rPr>
        <w:t>,</w:t>
      </w:r>
      <w:r w:rsidRPr="00964945">
        <w:rPr>
          <w:lang w:val="en-GB"/>
        </w:rPr>
        <w:t xml:space="preserve"> World Resource</w:t>
      </w:r>
      <w:r w:rsidR="001A2487">
        <w:rPr>
          <w:lang w:val="en-GB"/>
        </w:rPr>
        <w:t>s</w:t>
      </w:r>
      <w:r w:rsidRPr="00964945">
        <w:rPr>
          <w:lang w:val="en-GB"/>
        </w:rPr>
        <w:t xml:space="preserve"> </w:t>
      </w:r>
      <w:r w:rsidR="005337FD" w:rsidRPr="00964945">
        <w:rPr>
          <w:lang w:val="en-GB"/>
        </w:rPr>
        <w:t>I</w:t>
      </w:r>
      <w:r w:rsidRPr="00964945">
        <w:rPr>
          <w:lang w:val="en-GB"/>
        </w:rPr>
        <w:t xml:space="preserve">nstitute, 2009, accessed October 17, 2018, </w:t>
      </w:r>
      <w:r w:rsidR="001F52F0" w:rsidRPr="00964945">
        <w:rPr>
          <w:lang w:val="en-GB"/>
        </w:rPr>
        <w:t>http://pdf.wri.org/powering_up_full_report.pdf</w:t>
      </w:r>
      <w:r w:rsidR="00796E04" w:rsidRPr="00964945">
        <w:rPr>
          <w:lang w:val="en-GB"/>
        </w:rPr>
        <w:t>.</w:t>
      </w:r>
    </w:p>
    <w:p w14:paraId="6741ED67" w14:textId="77777777" w:rsidR="005A025E" w:rsidRPr="00964945" w:rsidRDefault="005A025E" w:rsidP="008D39A5">
      <w:pPr>
        <w:pStyle w:val="ExhibitText"/>
        <w:rPr>
          <w:lang w:val="en-GB"/>
        </w:rPr>
      </w:pPr>
    </w:p>
    <w:p w14:paraId="3090C6B0" w14:textId="77777777" w:rsidR="00835F52" w:rsidRPr="00964945" w:rsidRDefault="00835F52" w:rsidP="008D39A5">
      <w:pPr>
        <w:pStyle w:val="ExhibitText"/>
        <w:rPr>
          <w:lang w:val="en-GB"/>
        </w:rPr>
      </w:pPr>
    </w:p>
    <w:p w14:paraId="673D7B0E" w14:textId="77777777" w:rsidR="005A025E" w:rsidRPr="00964945" w:rsidRDefault="005A025E" w:rsidP="00ED5007">
      <w:pPr>
        <w:pStyle w:val="ExhibitHeading"/>
        <w:keepNext/>
        <w:keepLines/>
        <w:rPr>
          <w:lang w:val="en-GB"/>
        </w:rPr>
      </w:pPr>
      <w:r w:rsidRPr="00964945">
        <w:rPr>
          <w:lang w:val="en-GB"/>
        </w:rPr>
        <w:lastRenderedPageBreak/>
        <w:t>EXHIBIT 5: FUNCTIONING OF WATTMAN I</w:t>
      </w:r>
    </w:p>
    <w:p w14:paraId="2D38CD32" w14:textId="77777777" w:rsidR="00835F52" w:rsidRPr="00964945" w:rsidRDefault="00835F52" w:rsidP="00ED5007">
      <w:pPr>
        <w:pStyle w:val="ExhibitHeading"/>
        <w:keepNext/>
        <w:keepLines/>
        <w:rPr>
          <w:lang w:val="en-GB"/>
        </w:rPr>
      </w:pPr>
    </w:p>
    <w:p w14:paraId="3CA6C4D8" w14:textId="0B189829" w:rsidR="005A025E" w:rsidRPr="00964945" w:rsidRDefault="00443F28" w:rsidP="00ED5007">
      <w:pPr>
        <w:keepNext/>
        <w:keepLines/>
        <w:jc w:val="center"/>
        <w:rPr>
          <w:color w:val="000000"/>
          <w:sz w:val="22"/>
          <w:szCs w:val="22"/>
          <w:lang w:val="en-GB"/>
        </w:rPr>
      </w:pPr>
      <w:r>
        <w:rPr>
          <w:noProof/>
          <w:lang w:val="en-CA" w:eastAsia="en-CA"/>
        </w:rPr>
        <w:drawing>
          <wp:inline distT="0" distB="0" distL="0" distR="0" wp14:anchorId="2C91F8AA" wp14:editId="07A9C3A4">
            <wp:extent cx="5468667" cy="31053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6305" cy="3109675"/>
                    </a:xfrm>
                    <a:prstGeom prst="rect">
                      <a:avLst/>
                    </a:prstGeom>
                  </pic:spPr>
                </pic:pic>
              </a:graphicData>
            </a:graphic>
          </wp:inline>
        </w:drawing>
      </w:r>
    </w:p>
    <w:p w14:paraId="0AF99BD4" w14:textId="77777777" w:rsidR="00835F52" w:rsidRDefault="00835F52" w:rsidP="00ED5007">
      <w:pPr>
        <w:pStyle w:val="Footnote"/>
        <w:keepNext/>
        <w:keepLines/>
        <w:rPr>
          <w:lang w:val="en-GB"/>
        </w:rPr>
      </w:pPr>
    </w:p>
    <w:p w14:paraId="1AC0888F" w14:textId="435B2F4E" w:rsidR="002E2AED" w:rsidRPr="00964945" w:rsidRDefault="002E2AED" w:rsidP="00ED5007">
      <w:pPr>
        <w:pStyle w:val="Footnote"/>
        <w:keepNext/>
        <w:keepLines/>
        <w:rPr>
          <w:lang w:val="en-GB"/>
        </w:rPr>
      </w:pPr>
      <w:r>
        <w:rPr>
          <w:lang w:val="en-GB"/>
        </w:rPr>
        <w:t xml:space="preserve">Notes: HVAC = heating, ventilation, and air conditioning; UPS = </w:t>
      </w:r>
      <w:r w:rsidRPr="002E2AED">
        <w:rPr>
          <w:lang w:val="en-GB"/>
        </w:rPr>
        <w:t>uninterruptible power supply</w:t>
      </w:r>
      <w:r>
        <w:rPr>
          <w:lang w:val="en-GB"/>
        </w:rPr>
        <w:t>; DG = di</w:t>
      </w:r>
      <w:r w:rsidR="007B7976">
        <w:rPr>
          <w:lang w:val="en-GB"/>
        </w:rPr>
        <w:t>esel</w:t>
      </w:r>
      <w:r>
        <w:rPr>
          <w:lang w:val="en-GB"/>
        </w:rPr>
        <w:t xml:space="preserve"> generation.</w:t>
      </w:r>
    </w:p>
    <w:p w14:paraId="64DA5680" w14:textId="5538E9D8" w:rsidR="005A025E" w:rsidRPr="00964945" w:rsidRDefault="005A025E" w:rsidP="00ED5007">
      <w:pPr>
        <w:pStyle w:val="Footnote"/>
        <w:keepNext/>
        <w:keepLines/>
        <w:rPr>
          <w:lang w:val="en-GB"/>
        </w:rPr>
      </w:pPr>
      <w:r w:rsidRPr="00964945">
        <w:rPr>
          <w:lang w:val="en-GB"/>
        </w:rPr>
        <w:t xml:space="preserve">Source: Created by </w:t>
      </w:r>
      <w:r w:rsidR="00650408" w:rsidRPr="00964945">
        <w:rPr>
          <w:lang w:val="en-GB"/>
        </w:rPr>
        <w:t xml:space="preserve">the case </w:t>
      </w:r>
      <w:r w:rsidRPr="00964945">
        <w:rPr>
          <w:lang w:val="en-GB"/>
        </w:rPr>
        <w:t xml:space="preserve">authors using inputs from </w:t>
      </w:r>
      <w:proofErr w:type="spellStart"/>
      <w:r w:rsidRPr="00964945">
        <w:rPr>
          <w:lang w:val="en-GB"/>
        </w:rPr>
        <w:t>Zenatix</w:t>
      </w:r>
      <w:proofErr w:type="spellEnd"/>
      <w:r w:rsidR="00796E04" w:rsidRPr="00964945">
        <w:rPr>
          <w:lang w:val="en-GB"/>
        </w:rPr>
        <w:t>.</w:t>
      </w:r>
    </w:p>
    <w:p w14:paraId="27356A02" w14:textId="759EC2CF" w:rsidR="005A025E" w:rsidRDefault="005A025E" w:rsidP="00FF6C5D">
      <w:pPr>
        <w:pStyle w:val="ExhibitText"/>
        <w:rPr>
          <w:lang w:val="en-GB"/>
        </w:rPr>
      </w:pPr>
    </w:p>
    <w:p w14:paraId="66A465D9" w14:textId="77777777" w:rsidR="00FF6C5D" w:rsidRPr="00964945" w:rsidRDefault="00FF6C5D" w:rsidP="00FF6C5D">
      <w:pPr>
        <w:pStyle w:val="ExhibitText"/>
        <w:rPr>
          <w:lang w:val="en-GB"/>
        </w:rPr>
      </w:pPr>
    </w:p>
    <w:p w14:paraId="47308BB8" w14:textId="77777777" w:rsidR="005A025E" w:rsidRPr="00964945" w:rsidRDefault="005A025E" w:rsidP="005A025E">
      <w:pPr>
        <w:pStyle w:val="ExhibitHeading"/>
        <w:rPr>
          <w:lang w:val="en-GB"/>
        </w:rPr>
      </w:pPr>
      <w:r w:rsidRPr="00964945">
        <w:rPr>
          <w:lang w:val="en-GB"/>
        </w:rPr>
        <w:t>EXHIBIT 6: FUNCTIONING OF WATTMAN II</w:t>
      </w:r>
    </w:p>
    <w:p w14:paraId="22454142" w14:textId="77777777" w:rsidR="005A025E" w:rsidRPr="00ED5007" w:rsidRDefault="005A025E" w:rsidP="00ED5007">
      <w:pPr>
        <w:pStyle w:val="Footnote"/>
        <w:rPr>
          <w:sz w:val="6"/>
          <w:szCs w:val="6"/>
          <w:lang w:val="en-GB"/>
        </w:rPr>
      </w:pPr>
    </w:p>
    <w:p w14:paraId="2C6CE624" w14:textId="11B28BF2" w:rsidR="005A025E" w:rsidRPr="00964945" w:rsidRDefault="00A03291" w:rsidP="005A025E">
      <w:pPr>
        <w:jc w:val="center"/>
        <w:rPr>
          <w:b/>
          <w:color w:val="000000"/>
          <w:sz w:val="22"/>
          <w:szCs w:val="22"/>
          <w:lang w:val="en-GB"/>
        </w:rPr>
      </w:pPr>
      <w:r>
        <w:rPr>
          <w:b/>
          <w:noProof/>
          <w:color w:val="000000"/>
          <w:sz w:val="22"/>
          <w:szCs w:val="22"/>
          <w:lang w:val="en-CA" w:eastAsia="en-CA"/>
        </w:rPr>
        <w:drawing>
          <wp:inline distT="0" distB="0" distL="0" distR="0" wp14:anchorId="74DE4CFC" wp14:editId="36EB58DB">
            <wp:extent cx="5349075" cy="2921023"/>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72782" cy="2933969"/>
                    </a:xfrm>
                    <a:prstGeom prst="rect">
                      <a:avLst/>
                    </a:prstGeom>
                    <a:noFill/>
                  </pic:spPr>
                </pic:pic>
              </a:graphicData>
            </a:graphic>
          </wp:inline>
        </w:drawing>
      </w:r>
    </w:p>
    <w:p w14:paraId="3E679AD8" w14:textId="77777777" w:rsidR="005A025E" w:rsidRPr="00964945" w:rsidRDefault="005A025E" w:rsidP="00ED5007">
      <w:pPr>
        <w:pStyle w:val="Footnote"/>
        <w:rPr>
          <w:lang w:val="en-GB"/>
        </w:rPr>
      </w:pPr>
    </w:p>
    <w:p w14:paraId="328685C5" w14:textId="04C64C71" w:rsidR="002E2AED" w:rsidRDefault="002E2AED" w:rsidP="00835F52">
      <w:pPr>
        <w:pStyle w:val="Footnote"/>
        <w:rPr>
          <w:lang w:val="en-GB"/>
        </w:rPr>
      </w:pPr>
      <w:r w:rsidRPr="002E2AED">
        <w:rPr>
          <w:lang w:val="en-GB"/>
        </w:rPr>
        <w:t>Notes: HVAC = heating, ventilation, and air conditioning; UPS = uninterruptible power supply; DG = di</w:t>
      </w:r>
      <w:r w:rsidR="007B7976">
        <w:rPr>
          <w:lang w:val="en-GB"/>
        </w:rPr>
        <w:t>esel</w:t>
      </w:r>
      <w:r w:rsidRPr="002E2AED">
        <w:rPr>
          <w:lang w:val="en-GB"/>
        </w:rPr>
        <w:t xml:space="preserve"> generation</w:t>
      </w:r>
      <w:r>
        <w:rPr>
          <w:lang w:val="en-GB"/>
        </w:rPr>
        <w:t>; AC = air conditioning; API = application programming interface</w:t>
      </w:r>
      <w:r w:rsidRPr="002E2AED">
        <w:rPr>
          <w:lang w:val="en-GB"/>
        </w:rPr>
        <w:t>.</w:t>
      </w:r>
    </w:p>
    <w:p w14:paraId="25E4B4E1" w14:textId="036FD7B1" w:rsidR="005A025E" w:rsidRPr="00964945" w:rsidRDefault="005A025E" w:rsidP="00835F52">
      <w:pPr>
        <w:pStyle w:val="Footnote"/>
        <w:rPr>
          <w:lang w:val="en-GB"/>
        </w:rPr>
      </w:pPr>
      <w:r w:rsidRPr="00964945">
        <w:rPr>
          <w:lang w:val="en-GB"/>
        </w:rPr>
        <w:t xml:space="preserve">Source: Created by </w:t>
      </w:r>
      <w:r w:rsidR="00650408" w:rsidRPr="00964945">
        <w:rPr>
          <w:lang w:val="en-GB"/>
        </w:rPr>
        <w:t xml:space="preserve">the case </w:t>
      </w:r>
      <w:r w:rsidRPr="00964945">
        <w:rPr>
          <w:lang w:val="en-GB"/>
        </w:rPr>
        <w:t xml:space="preserve">authors using inputs from </w:t>
      </w:r>
      <w:proofErr w:type="spellStart"/>
      <w:r w:rsidRPr="00964945">
        <w:rPr>
          <w:lang w:val="en-GB"/>
        </w:rPr>
        <w:t>Zenatix</w:t>
      </w:r>
      <w:proofErr w:type="spellEnd"/>
      <w:r w:rsidR="00796E04" w:rsidRPr="00964945">
        <w:rPr>
          <w:lang w:val="en-GB"/>
        </w:rPr>
        <w:t>.</w:t>
      </w:r>
    </w:p>
    <w:p w14:paraId="4734A107" w14:textId="77777777" w:rsidR="005A025E" w:rsidRDefault="005A025E" w:rsidP="005A025E">
      <w:pPr>
        <w:pStyle w:val="ExhibitText"/>
        <w:rPr>
          <w:lang w:val="en-GB"/>
        </w:rPr>
      </w:pPr>
    </w:p>
    <w:p w14:paraId="4BE43057" w14:textId="77777777" w:rsidR="00FF6C5D" w:rsidRPr="00964945" w:rsidRDefault="00FF6C5D" w:rsidP="005A025E">
      <w:pPr>
        <w:pStyle w:val="ExhibitText"/>
        <w:rPr>
          <w:lang w:val="en-GB"/>
        </w:rPr>
      </w:pPr>
    </w:p>
    <w:p w14:paraId="4502578A" w14:textId="77777777" w:rsidR="005A025E" w:rsidRPr="00964945" w:rsidRDefault="005A025E" w:rsidP="005A025E">
      <w:pPr>
        <w:pStyle w:val="ExhibitHeading"/>
        <w:rPr>
          <w:lang w:val="en-GB"/>
        </w:rPr>
      </w:pPr>
      <w:r w:rsidRPr="00964945">
        <w:rPr>
          <w:lang w:val="en-GB"/>
        </w:rPr>
        <w:lastRenderedPageBreak/>
        <w:t>EXHIBIT 7: FUNCTIONING OF WATTMAN III</w:t>
      </w:r>
    </w:p>
    <w:p w14:paraId="426D1CC7" w14:textId="77777777" w:rsidR="005A025E" w:rsidRPr="00ED5007" w:rsidRDefault="005A025E" w:rsidP="00FF6C5D">
      <w:pPr>
        <w:pStyle w:val="ExhibitText"/>
        <w:rPr>
          <w:lang w:val="en-GB"/>
        </w:rPr>
      </w:pPr>
    </w:p>
    <w:p w14:paraId="10F7405C" w14:textId="52728CC6" w:rsidR="005A025E" w:rsidRPr="00964945" w:rsidRDefault="00A03291" w:rsidP="005A025E">
      <w:pPr>
        <w:pStyle w:val="ExhibitText"/>
        <w:rPr>
          <w:lang w:val="en-GB"/>
        </w:rPr>
      </w:pPr>
      <w:r>
        <w:rPr>
          <w:noProof/>
          <w:lang w:val="en-CA" w:eastAsia="en-CA"/>
        </w:rPr>
        <w:drawing>
          <wp:inline distT="0" distB="0" distL="0" distR="0" wp14:anchorId="7C33841B" wp14:editId="24914C83">
            <wp:extent cx="5593900" cy="3491877"/>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27676" cy="3512961"/>
                    </a:xfrm>
                    <a:prstGeom prst="rect">
                      <a:avLst/>
                    </a:prstGeom>
                    <a:noFill/>
                  </pic:spPr>
                </pic:pic>
              </a:graphicData>
            </a:graphic>
          </wp:inline>
        </w:drawing>
      </w:r>
    </w:p>
    <w:p w14:paraId="43A075CA" w14:textId="77777777" w:rsidR="005A025E" w:rsidRPr="00964945" w:rsidRDefault="005A025E" w:rsidP="00ED5007">
      <w:pPr>
        <w:pStyle w:val="Footnote"/>
        <w:rPr>
          <w:lang w:val="en-GB"/>
        </w:rPr>
      </w:pPr>
    </w:p>
    <w:p w14:paraId="0FA9D884" w14:textId="0A8A4353" w:rsidR="00A03291" w:rsidRDefault="00A03291" w:rsidP="00A03291">
      <w:pPr>
        <w:pStyle w:val="Footnote"/>
        <w:rPr>
          <w:lang w:val="en-GB"/>
        </w:rPr>
      </w:pPr>
      <w:r w:rsidRPr="002E2AED">
        <w:rPr>
          <w:lang w:val="en-GB"/>
        </w:rPr>
        <w:t>Notes: HVAC = heating, ventilation, and air conditioning; UPS = uninterruptible power supply; DG = di</w:t>
      </w:r>
      <w:r w:rsidR="007B7976">
        <w:rPr>
          <w:lang w:val="en-GB"/>
        </w:rPr>
        <w:t>esel</w:t>
      </w:r>
      <w:r w:rsidRPr="002E2AED">
        <w:rPr>
          <w:lang w:val="en-GB"/>
        </w:rPr>
        <w:t xml:space="preserve"> generation</w:t>
      </w:r>
      <w:r>
        <w:rPr>
          <w:lang w:val="en-GB"/>
        </w:rPr>
        <w:t>; AC = air conditioning; API = application programming interface; AI = artificial intelligence; ML = machine learning</w:t>
      </w:r>
      <w:r w:rsidRPr="002E2AED">
        <w:rPr>
          <w:lang w:val="en-GB"/>
        </w:rPr>
        <w:t>.</w:t>
      </w:r>
    </w:p>
    <w:p w14:paraId="617F6B7B" w14:textId="66350EC5" w:rsidR="00B87DC0" w:rsidRPr="00964945" w:rsidRDefault="005A025E" w:rsidP="00ED5007">
      <w:pPr>
        <w:pStyle w:val="Footnote"/>
        <w:rPr>
          <w:lang w:val="en-GB"/>
        </w:rPr>
      </w:pPr>
      <w:r w:rsidRPr="00964945">
        <w:rPr>
          <w:lang w:val="en-GB"/>
        </w:rPr>
        <w:t>Source: Created by</w:t>
      </w:r>
      <w:r w:rsidR="00650408" w:rsidRPr="00964945">
        <w:rPr>
          <w:lang w:val="en-GB"/>
        </w:rPr>
        <w:t xml:space="preserve"> the case</w:t>
      </w:r>
      <w:r w:rsidRPr="00964945">
        <w:rPr>
          <w:lang w:val="en-GB"/>
        </w:rPr>
        <w:t xml:space="preserve"> authors using inputs from </w:t>
      </w:r>
      <w:proofErr w:type="spellStart"/>
      <w:r w:rsidRPr="00964945">
        <w:rPr>
          <w:lang w:val="en-GB"/>
        </w:rPr>
        <w:t>Zenatix</w:t>
      </w:r>
      <w:proofErr w:type="spellEnd"/>
      <w:r w:rsidR="00796E04" w:rsidRPr="00964945">
        <w:rPr>
          <w:lang w:val="en-GB"/>
        </w:rPr>
        <w:t>.</w:t>
      </w:r>
    </w:p>
    <w:sectPr w:rsidR="00B87DC0" w:rsidRPr="00964945" w:rsidSect="00751E0B">
      <w:headerReference w:type="default" r:id="rId13"/>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EE63CE" w16cid:durableId="207D9C9C"/>
  <w16cid:commentId w16cid:paraId="0A9A5D5F" w16cid:durableId="207D9C67"/>
  <w16cid:commentId w16cid:paraId="44513543" w16cid:durableId="207D9CCC"/>
  <w16cid:commentId w16cid:paraId="4249D8C3" w16cid:durableId="207D9C68"/>
  <w16cid:commentId w16cid:paraId="63DC92E9" w16cid:durableId="207D9CFA"/>
  <w16cid:commentId w16cid:paraId="0E36744A" w16cid:durableId="207D9C69"/>
  <w16cid:commentId w16cid:paraId="25689E9B" w16cid:durableId="207D9D31"/>
  <w16cid:commentId w16cid:paraId="770CD45B" w16cid:durableId="207D9C6A"/>
  <w16cid:commentId w16cid:paraId="7B16B97C" w16cid:durableId="207D9C6B"/>
  <w16cid:commentId w16cid:paraId="76F0E2FF" w16cid:durableId="207D9D4F"/>
  <w16cid:commentId w16cid:paraId="2C1B7F49" w16cid:durableId="207D9C6C"/>
  <w16cid:commentId w16cid:paraId="1661330B" w16cid:durableId="207D9D5A"/>
  <w16cid:commentId w16cid:paraId="21F009C6" w16cid:durableId="207D9C6D"/>
  <w16cid:commentId w16cid:paraId="37FF655D" w16cid:durableId="207D9D6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CB9E44" w14:textId="77777777" w:rsidR="005E1EE8" w:rsidRDefault="005E1EE8" w:rsidP="00D75295">
      <w:r>
        <w:separator/>
      </w:r>
    </w:p>
  </w:endnote>
  <w:endnote w:type="continuationSeparator" w:id="0">
    <w:p w14:paraId="4EEEF3BD" w14:textId="77777777" w:rsidR="005E1EE8" w:rsidRDefault="005E1EE8"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E958ED" w14:textId="77777777" w:rsidR="005E1EE8" w:rsidRDefault="005E1EE8" w:rsidP="00D75295">
      <w:r>
        <w:separator/>
      </w:r>
    </w:p>
  </w:footnote>
  <w:footnote w:type="continuationSeparator" w:id="0">
    <w:p w14:paraId="0DCCB232" w14:textId="77777777" w:rsidR="005E1EE8" w:rsidRDefault="005E1EE8" w:rsidP="00D75295">
      <w:r>
        <w:continuationSeparator/>
      </w:r>
    </w:p>
  </w:footnote>
  <w:footnote w:id="1">
    <w:p w14:paraId="2E036392" w14:textId="55BA7D85" w:rsidR="001A2487" w:rsidRDefault="001A2487" w:rsidP="00964945">
      <w:pPr>
        <w:pStyle w:val="Footnote"/>
      </w:pPr>
      <w:r>
        <w:rPr>
          <w:rStyle w:val="FootnoteReference"/>
        </w:rPr>
        <w:footnoteRef/>
      </w:r>
      <w:r>
        <w:t xml:space="preserve"> All dollar amounts are in USD unless otherwise specified.</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67142" w14:textId="23255574" w:rsidR="001A2487" w:rsidRPr="00C92CC4" w:rsidRDefault="001A248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E20DDB">
      <w:rPr>
        <w:rFonts w:ascii="Arial" w:hAnsi="Arial"/>
        <w:b/>
        <w:noProof/>
      </w:rPr>
      <w:t>11</w:t>
    </w:r>
    <w:r>
      <w:rPr>
        <w:rFonts w:ascii="Arial" w:hAnsi="Arial"/>
        <w:b/>
      </w:rPr>
      <w:fldChar w:fldCharType="end"/>
    </w:r>
    <w:r w:rsidR="00FF6C5D">
      <w:rPr>
        <w:rFonts w:ascii="Arial" w:hAnsi="Arial"/>
        <w:b/>
      </w:rPr>
      <w:tab/>
      <w:t>9B19A019</w:t>
    </w:r>
  </w:p>
  <w:p w14:paraId="2B53C0A0" w14:textId="77777777" w:rsidR="001A2487" w:rsidRDefault="001A2487" w:rsidP="00D13667">
    <w:pPr>
      <w:pStyle w:val="Header"/>
      <w:tabs>
        <w:tab w:val="clear" w:pos="4680"/>
      </w:tabs>
      <w:rPr>
        <w:sz w:val="18"/>
        <w:szCs w:val="18"/>
      </w:rPr>
    </w:pPr>
  </w:p>
  <w:p w14:paraId="47119730" w14:textId="77777777" w:rsidR="001A2487" w:rsidRPr="00C92CC4" w:rsidRDefault="001A2487"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1"/>
  </w:num>
  <w:num w:numId="9">
    <w:abstractNumId w:val="8"/>
  </w:num>
  <w:num w:numId="10">
    <w:abstractNumId w:val="1"/>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5222"/>
    <w:rsid w:val="00013360"/>
    <w:rsid w:val="00016759"/>
    <w:rsid w:val="00020DEA"/>
    <w:rsid w:val="000216CE"/>
    <w:rsid w:val="00024ED4"/>
    <w:rsid w:val="00025DC7"/>
    <w:rsid w:val="00035F09"/>
    <w:rsid w:val="00044ECC"/>
    <w:rsid w:val="000531D3"/>
    <w:rsid w:val="0005646B"/>
    <w:rsid w:val="000615D1"/>
    <w:rsid w:val="00071367"/>
    <w:rsid w:val="0008102D"/>
    <w:rsid w:val="00086B26"/>
    <w:rsid w:val="00094C0E"/>
    <w:rsid w:val="000A146D"/>
    <w:rsid w:val="000A1708"/>
    <w:rsid w:val="000B1802"/>
    <w:rsid w:val="000B45D6"/>
    <w:rsid w:val="000D2A2F"/>
    <w:rsid w:val="000D7091"/>
    <w:rsid w:val="000E03A2"/>
    <w:rsid w:val="000E3CCD"/>
    <w:rsid w:val="000E609A"/>
    <w:rsid w:val="000F01EA"/>
    <w:rsid w:val="000F0C22"/>
    <w:rsid w:val="000F0E22"/>
    <w:rsid w:val="000F6B09"/>
    <w:rsid w:val="000F6FDC"/>
    <w:rsid w:val="00104567"/>
    <w:rsid w:val="00104916"/>
    <w:rsid w:val="00104AA7"/>
    <w:rsid w:val="0012732D"/>
    <w:rsid w:val="00143F25"/>
    <w:rsid w:val="00152682"/>
    <w:rsid w:val="00154FC9"/>
    <w:rsid w:val="00182B32"/>
    <w:rsid w:val="001901C0"/>
    <w:rsid w:val="00191870"/>
    <w:rsid w:val="0019241A"/>
    <w:rsid w:val="00192A18"/>
    <w:rsid w:val="001A22D1"/>
    <w:rsid w:val="001A2465"/>
    <w:rsid w:val="001A2487"/>
    <w:rsid w:val="001A3EF1"/>
    <w:rsid w:val="001A752D"/>
    <w:rsid w:val="001A757E"/>
    <w:rsid w:val="001B5032"/>
    <w:rsid w:val="001B7C5C"/>
    <w:rsid w:val="001C6A37"/>
    <w:rsid w:val="001C7777"/>
    <w:rsid w:val="001D29E1"/>
    <w:rsid w:val="001D344B"/>
    <w:rsid w:val="001E364F"/>
    <w:rsid w:val="001E6669"/>
    <w:rsid w:val="001F4222"/>
    <w:rsid w:val="001F48B2"/>
    <w:rsid w:val="001F52F0"/>
    <w:rsid w:val="001F5F08"/>
    <w:rsid w:val="00203AA1"/>
    <w:rsid w:val="00213E98"/>
    <w:rsid w:val="00230150"/>
    <w:rsid w:val="0023081A"/>
    <w:rsid w:val="00233111"/>
    <w:rsid w:val="00247318"/>
    <w:rsid w:val="00265FA8"/>
    <w:rsid w:val="002727B3"/>
    <w:rsid w:val="00291FAA"/>
    <w:rsid w:val="00295D78"/>
    <w:rsid w:val="002B40FF"/>
    <w:rsid w:val="002C4E29"/>
    <w:rsid w:val="002D3C61"/>
    <w:rsid w:val="002D4E92"/>
    <w:rsid w:val="002E2AED"/>
    <w:rsid w:val="002F460C"/>
    <w:rsid w:val="002F48D6"/>
    <w:rsid w:val="003155A7"/>
    <w:rsid w:val="00317391"/>
    <w:rsid w:val="00326216"/>
    <w:rsid w:val="00336580"/>
    <w:rsid w:val="00351B50"/>
    <w:rsid w:val="00351BBF"/>
    <w:rsid w:val="00354899"/>
    <w:rsid w:val="00355FD6"/>
    <w:rsid w:val="00364A5C"/>
    <w:rsid w:val="00373FB1"/>
    <w:rsid w:val="00396C76"/>
    <w:rsid w:val="003A5ACF"/>
    <w:rsid w:val="003B0E50"/>
    <w:rsid w:val="003B30D8"/>
    <w:rsid w:val="003B4E14"/>
    <w:rsid w:val="003B7EF2"/>
    <w:rsid w:val="003C3FA4"/>
    <w:rsid w:val="003C5056"/>
    <w:rsid w:val="003D01A8"/>
    <w:rsid w:val="003D0BA1"/>
    <w:rsid w:val="003E364D"/>
    <w:rsid w:val="003F048F"/>
    <w:rsid w:val="003F2756"/>
    <w:rsid w:val="003F2B0C"/>
    <w:rsid w:val="00404DE1"/>
    <w:rsid w:val="00405305"/>
    <w:rsid w:val="004105B2"/>
    <w:rsid w:val="0041145A"/>
    <w:rsid w:val="00412900"/>
    <w:rsid w:val="004147DE"/>
    <w:rsid w:val="004221E4"/>
    <w:rsid w:val="00426B51"/>
    <w:rsid w:val="004273F8"/>
    <w:rsid w:val="004355A3"/>
    <w:rsid w:val="00443F28"/>
    <w:rsid w:val="00446546"/>
    <w:rsid w:val="00452769"/>
    <w:rsid w:val="00454FA7"/>
    <w:rsid w:val="0046323F"/>
    <w:rsid w:val="00465348"/>
    <w:rsid w:val="004979A5"/>
    <w:rsid w:val="004A25E0"/>
    <w:rsid w:val="004B1956"/>
    <w:rsid w:val="004B1CCB"/>
    <w:rsid w:val="004B632F"/>
    <w:rsid w:val="004D2D61"/>
    <w:rsid w:val="004D3FB1"/>
    <w:rsid w:val="004D4AE3"/>
    <w:rsid w:val="004D6F21"/>
    <w:rsid w:val="004D73A5"/>
    <w:rsid w:val="004E5525"/>
    <w:rsid w:val="00504763"/>
    <w:rsid w:val="00505A96"/>
    <w:rsid w:val="00510FE1"/>
    <w:rsid w:val="005160F1"/>
    <w:rsid w:val="00524F2F"/>
    <w:rsid w:val="00527E5C"/>
    <w:rsid w:val="00532CF5"/>
    <w:rsid w:val="005337FD"/>
    <w:rsid w:val="00533D7F"/>
    <w:rsid w:val="00547F62"/>
    <w:rsid w:val="005528CB"/>
    <w:rsid w:val="005631AF"/>
    <w:rsid w:val="00566771"/>
    <w:rsid w:val="00581E2E"/>
    <w:rsid w:val="00584F15"/>
    <w:rsid w:val="0059514B"/>
    <w:rsid w:val="005A025E"/>
    <w:rsid w:val="005A1B0F"/>
    <w:rsid w:val="005A378F"/>
    <w:rsid w:val="005A6BBB"/>
    <w:rsid w:val="005B0029"/>
    <w:rsid w:val="005B2A67"/>
    <w:rsid w:val="005B4CE6"/>
    <w:rsid w:val="005B5EFE"/>
    <w:rsid w:val="005D7BAE"/>
    <w:rsid w:val="005E1EE8"/>
    <w:rsid w:val="005F739D"/>
    <w:rsid w:val="00604277"/>
    <w:rsid w:val="00611990"/>
    <w:rsid w:val="0061618A"/>
    <w:rsid w:val="006163F7"/>
    <w:rsid w:val="00627C63"/>
    <w:rsid w:val="00632A07"/>
    <w:rsid w:val="0063350B"/>
    <w:rsid w:val="00650408"/>
    <w:rsid w:val="00652606"/>
    <w:rsid w:val="006851ED"/>
    <w:rsid w:val="006946EE"/>
    <w:rsid w:val="006A58A9"/>
    <w:rsid w:val="006A606D"/>
    <w:rsid w:val="006C0371"/>
    <w:rsid w:val="006C08B6"/>
    <w:rsid w:val="006C0B1A"/>
    <w:rsid w:val="006C6065"/>
    <w:rsid w:val="006C717E"/>
    <w:rsid w:val="006C7F9F"/>
    <w:rsid w:val="006E2F6D"/>
    <w:rsid w:val="006E58F6"/>
    <w:rsid w:val="006E77E1"/>
    <w:rsid w:val="006F131D"/>
    <w:rsid w:val="0070519C"/>
    <w:rsid w:val="00711642"/>
    <w:rsid w:val="007127B5"/>
    <w:rsid w:val="007507C6"/>
    <w:rsid w:val="00751E0B"/>
    <w:rsid w:val="00752BCD"/>
    <w:rsid w:val="00766DA1"/>
    <w:rsid w:val="00770C46"/>
    <w:rsid w:val="00772815"/>
    <w:rsid w:val="00780D94"/>
    <w:rsid w:val="007866A6"/>
    <w:rsid w:val="00796E04"/>
    <w:rsid w:val="007A11F8"/>
    <w:rsid w:val="007A130D"/>
    <w:rsid w:val="007B7976"/>
    <w:rsid w:val="007D1A2D"/>
    <w:rsid w:val="007D32E6"/>
    <w:rsid w:val="007D4102"/>
    <w:rsid w:val="007D4F16"/>
    <w:rsid w:val="007E231A"/>
    <w:rsid w:val="007E54A7"/>
    <w:rsid w:val="007F43B7"/>
    <w:rsid w:val="00821FFC"/>
    <w:rsid w:val="008271CA"/>
    <w:rsid w:val="008355D5"/>
    <w:rsid w:val="00835F52"/>
    <w:rsid w:val="008467D5"/>
    <w:rsid w:val="00851A51"/>
    <w:rsid w:val="00857831"/>
    <w:rsid w:val="008727A7"/>
    <w:rsid w:val="008A4DC4"/>
    <w:rsid w:val="008B438C"/>
    <w:rsid w:val="008B6C52"/>
    <w:rsid w:val="008D06CA"/>
    <w:rsid w:val="008D233A"/>
    <w:rsid w:val="008D39A5"/>
    <w:rsid w:val="008D3A46"/>
    <w:rsid w:val="008F2385"/>
    <w:rsid w:val="008F4338"/>
    <w:rsid w:val="0090571C"/>
    <w:rsid w:val="00905E71"/>
    <w:rsid w:val="009067A4"/>
    <w:rsid w:val="00917073"/>
    <w:rsid w:val="00930885"/>
    <w:rsid w:val="00933D68"/>
    <w:rsid w:val="009340DB"/>
    <w:rsid w:val="0094618C"/>
    <w:rsid w:val="00954C44"/>
    <w:rsid w:val="0095684B"/>
    <w:rsid w:val="00964945"/>
    <w:rsid w:val="00972498"/>
    <w:rsid w:val="0097481F"/>
    <w:rsid w:val="00974CC6"/>
    <w:rsid w:val="00976AD4"/>
    <w:rsid w:val="0098241A"/>
    <w:rsid w:val="00995547"/>
    <w:rsid w:val="009A312F"/>
    <w:rsid w:val="009A5348"/>
    <w:rsid w:val="009B0AB7"/>
    <w:rsid w:val="009B2BB8"/>
    <w:rsid w:val="009C76D5"/>
    <w:rsid w:val="009F7AA4"/>
    <w:rsid w:val="00A03291"/>
    <w:rsid w:val="00A0730D"/>
    <w:rsid w:val="00A10AD7"/>
    <w:rsid w:val="00A23456"/>
    <w:rsid w:val="00A323B0"/>
    <w:rsid w:val="00A5143F"/>
    <w:rsid w:val="00A559DB"/>
    <w:rsid w:val="00A569EA"/>
    <w:rsid w:val="00A676A0"/>
    <w:rsid w:val="00A83CD4"/>
    <w:rsid w:val="00A85210"/>
    <w:rsid w:val="00AC1016"/>
    <w:rsid w:val="00AF35FC"/>
    <w:rsid w:val="00AF5556"/>
    <w:rsid w:val="00B03639"/>
    <w:rsid w:val="00B0652A"/>
    <w:rsid w:val="00B40937"/>
    <w:rsid w:val="00B423EF"/>
    <w:rsid w:val="00B453DE"/>
    <w:rsid w:val="00B54AC3"/>
    <w:rsid w:val="00B62497"/>
    <w:rsid w:val="00B668DE"/>
    <w:rsid w:val="00B70676"/>
    <w:rsid w:val="00B72597"/>
    <w:rsid w:val="00B87DC0"/>
    <w:rsid w:val="00B901F9"/>
    <w:rsid w:val="00BB5254"/>
    <w:rsid w:val="00BC4D98"/>
    <w:rsid w:val="00BD6EFB"/>
    <w:rsid w:val="00BE3DF5"/>
    <w:rsid w:val="00BF5EAB"/>
    <w:rsid w:val="00C02410"/>
    <w:rsid w:val="00C076E1"/>
    <w:rsid w:val="00C1584D"/>
    <w:rsid w:val="00C15BE2"/>
    <w:rsid w:val="00C1648C"/>
    <w:rsid w:val="00C3447F"/>
    <w:rsid w:val="00C44714"/>
    <w:rsid w:val="00C67102"/>
    <w:rsid w:val="00C80052"/>
    <w:rsid w:val="00C81491"/>
    <w:rsid w:val="00C81676"/>
    <w:rsid w:val="00C85C5D"/>
    <w:rsid w:val="00C92CC4"/>
    <w:rsid w:val="00CA0AFB"/>
    <w:rsid w:val="00CA2CE1"/>
    <w:rsid w:val="00CA3976"/>
    <w:rsid w:val="00CA50E3"/>
    <w:rsid w:val="00CA757B"/>
    <w:rsid w:val="00CC1787"/>
    <w:rsid w:val="00CC182C"/>
    <w:rsid w:val="00CC442E"/>
    <w:rsid w:val="00CD0824"/>
    <w:rsid w:val="00CD2908"/>
    <w:rsid w:val="00CF5D28"/>
    <w:rsid w:val="00D03A82"/>
    <w:rsid w:val="00D13667"/>
    <w:rsid w:val="00D14488"/>
    <w:rsid w:val="00D15344"/>
    <w:rsid w:val="00D15761"/>
    <w:rsid w:val="00D220DD"/>
    <w:rsid w:val="00D23487"/>
    <w:rsid w:val="00D23F57"/>
    <w:rsid w:val="00D31BEC"/>
    <w:rsid w:val="00D63150"/>
    <w:rsid w:val="00D636BA"/>
    <w:rsid w:val="00D64A32"/>
    <w:rsid w:val="00D64EFC"/>
    <w:rsid w:val="00D75295"/>
    <w:rsid w:val="00D76CE9"/>
    <w:rsid w:val="00D802F8"/>
    <w:rsid w:val="00D97F12"/>
    <w:rsid w:val="00DA6095"/>
    <w:rsid w:val="00DB42E7"/>
    <w:rsid w:val="00DC09D8"/>
    <w:rsid w:val="00DE01A6"/>
    <w:rsid w:val="00DE7A98"/>
    <w:rsid w:val="00DF32C2"/>
    <w:rsid w:val="00DF72F5"/>
    <w:rsid w:val="00E01AC9"/>
    <w:rsid w:val="00E20DDB"/>
    <w:rsid w:val="00E261BA"/>
    <w:rsid w:val="00E311C2"/>
    <w:rsid w:val="00E34698"/>
    <w:rsid w:val="00E37621"/>
    <w:rsid w:val="00E471A7"/>
    <w:rsid w:val="00E475AB"/>
    <w:rsid w:val="00E537E8"/>
    <w:rsid w:val="00E56C16"/>
    <w:rsid w:val="00E635CF"/>
    <w:rsid w:val="00E64B00"/>
    <w:rsid w:val="00E73ADD"/>
    <w:rsid w:val="00EB1E3B"/>
    <w:rsid w:val="00EB51DD"/>
    <w:rsid w:val="00EC6E0A"/>
    <w:rsid w:val="00ED4E18"/>
    <w:rsid w:val="00ED5007"/>
    <w:rsid w:val="00ED7922"/>
    <w:rsid w:val="00EE02C4"/>
    <w:rsid w:val="00EE1646"/>
    <w:rsid w:val="00EE1F37"/>
    <w:rsid w:val="00F00C13"/>
    <w:rsid w:val="00F0159C"/>
    <w:rsid w:val="00F105B7"/>
    <w:rsid w:val="00F13220"/>
    <w:rsid w:val="00F17A21"/>
    <w:rsid w:val="00F27765"/>
    <w:rsid w:val="00F36FC2"/>
    <w:rsid w:val="00F37B27"/>
    <w:rsid w:val="00F46556"/>
    <w:rsid w:val="00F50E91"/>
    <w:rsid w:val="00F56799"/>
    <w:rsid w:val="00F57D29"/>
    <w:rsid w:val="00F60786"/>
    <w:rsid w:val="00F91BC7"/>
    <w:rsid w:val="00F96201"/>
    <w:rsid w:val="00FA1BBC"/>
    <w:rsid w:val="00FC72A0"/>
    <w:rsid w:val="00FD0568"/>
    <w:rsid w:val="00FD0B18"/>
    <w:rsid w:val="00FD2FAD"/>
    <w:rsid w:val="00FE048A"/>
    <w:rsid w:val="00FE714F"/>
    <w:rsid w:val="00FF6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UnresolvedMention1">
    <w:name w:val="Unresolved Mention1"/>
    <w:basedOn w:val="DefaultParagraphFont"/>
    <w:uiPriority w:val="99"/>
    <w:semiHidden/>
    <w:unhideWhenUsed/>
    <w:rsid w:val="000F0E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1976635761">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beeindia.gov.in/sites/default/files/Annual%20Report%20%202012-2013%20%282%29.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 dockstate="right" visibility="0" width="350" row="5">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B904B252-A029-466A-89FB-16A4014B9EB2}">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1D1093D7-17E0-451D-A986-0B1EC12D98C2}">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FFE3CE-2BF0-4F94-B81C-C8A66796B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4748</Words>
  <Characters>27070</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Martinali</dc:creator>
  <cp:keywords/>
  <cp:lastModifiedBy>Martinali, Sara</cp:lastModifiedBy>
  <cp:revision>4</cp:revision>
  <cp:lastPrinted>2019-02-22T18:55:00Z</cp:lastPrinted>
  <dcterms:created xsi:type="dcterms:W3CDTF">2019-05-09T14:57:00Z</dcterms:created>
  <dcterms:modified xsi:type="dcterms:W3CDTF">2019-05-21T11:41:00Z</dcterms:modified>
</cp:coreProperties>
</file>