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21996" w14:textId="77777777" w:rsidR="00387B8B" w:rsidRPr="00387B8B" w:rsidRDefault="00387B8B" w:rsidP="00387B8B">
      <w:pPr>
        <w:pBdr>
          <w:bottom w:val="single" w:sz="18" w:space="1" w:color="auto"/>
        </w:pBdr>
        <w:tabs>
          <w:tab w:val="left" w:pos="-1440"/>
          <w:tab w:val="left" w:pos="-720"/>
          <w:tab w:val="left" w:pos="1"/>
        </w:tabs>
        <w:jc w:val="both"/>
        <w:rPr>
          <w:rFonts w:ascii="Arial" w:hAnsi="Arial"/>
          <w:b/>
          <w:szCs w:val="20"/>
          <w:lang w:val="en-US"/>
        </w:rPr>
      </w:pPr>
      <w:r w:rsidRPr="00387B8B">
        <w:rPr>
          <w:rFonts w:ascii="Arial" w:hAnsi="Arial"/>
          <w:b/>
          <w:noProof/>
          <w:szCs w:val="20"/>
          <w:lang w:val="en-US"/>
        </w:rPr>
        <w:drawing>
          <wp:inline distT="0" distB="0" distL="0" distR="0" wp14:anchorId="517E5B8D" wp14:editId="778B1C5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43C89C6" w14:textId="6D642348" w:rsidR="00387B8B" w:rsidRPr="00387B8B" w:rsidRDefault="001878E4" w:rsidP="00387B8B">
      <w:pPr>
        <w:jc w:val="right"/>
        <w:rPr>
          <w:rFonts w:ascii="Arial" w:hAnsi="Arial"/>
          <w:b/>
          <w:caps/>
          <w:szCs w:val="20"/>
          <w:lang w:val="en-US"/>
        </w:rPr>
      </w:pPr>
      <w:r>
        <w:rPr>
          <w:rFonts w:ascii="Arial" w:hAnsi="Arial"/>
          <w:b/>
          <w:caps/>
          <w:szCs w:val="20"/>
          <w:lang w:val="en-US"/>
        </w:rPr>
        <w:t>9B19A020</w:t>
      </w:r>
    </w:p>
    <w:p w14:paraId="1A654C95" w14:textId="77777777" w:rsidR="00D75295" w:rsidRPr="00056191" w:rsidRDefault="00D75295" w:rsidP="00D75295">
      <w:pPr>
        <w:jc w:val="right"/>
        <w:rPr>
          <w:rFonts w:ascii="Arial" w:hAnsi="Arial"/>
          <w:b/>
          <w:sz w:val="28"/>
          <w:szCs w:val="28"/>
          <w:lang w:val="en-GB"/>
        </w:rPr>
      </w:pPr>
    </w:p>
    <w:p w14:paraId="3B37A8C6" w14:textId="77777777" w:rsidR="00013360" w:rsidRPr="00056191" w:rsidRDefault="00013360" w:rsidP="00D75295">
      <w:pPr>
        <w:jc w:val="right"/>
        <w:rPr>
          <w:rFonts w:ascii="Arial" w:hAnsi="Arial"/>
          <w:b/>
          <w:sz w:val="28"/>
          <w:szCs w:val="28"/>
          <w:lang w:val="en-GB"/>
        </w:rPr>
      </w:pPr>
    </w:p>
    <w:p w14:paraId="61529A0E" w14:textId="28EB05A9" w:rsidR="00013360" w:rsidRPr="00056191" w:rsidRDefault="0020586B" w:rsidP="00013360">
      <w:pPr>
        <w:pStyle w:val="CaseTitle"/>
        <w:spacing w:after="0" w:line="240" w:lineRule="auto"/>
        <w:rPr>
          <w:sz w:val="20"/>
          <w:szCs w:val="20"/>
          <w:lang w:val="en-GB"/>
        </w:rPr>
      </w:pPr>
      <w:r w:rsidRPr="00056191">
        <w:rPr>
          <w:sz w:val="26"/>
          <w:szCs w:val="24"/>
          <w:lang w:val="en-GB"/>
        </w:rPr>
        <w:t>Indraprastha</w:t>
      </w:r>
      <w:r w:rsidR="009D2E51">
        <w:rPr>
          <w:sz w:val="26"/>
          <w:szCs w:val="24"/>
          <w:lang w:val="en-GB"/>
        </w:rPr>
        <w:t xml:space="preserve"> </w:t>
      </w:r>
      <w:r w:rsidRPr="00056191">
        <w:rPr>
          <w:sz w:val="26"/>
          <w:szCs w:val="24"/>
          <w:lang w:val="en-GB"/>
        </w:rPr>
        <w:t>Gas</w:t>
      </w:r>
      <w:r w:rsidR="009D2E51">
        <w:rPr>
          <w:sz w:val="26"/>
          <w:szCs w:val="24"/>
          <w:lang w:val="en-GB"/>
        </w:rPr>
        <w:t xml:space="preserve"> </w:t>
      </w:r>
      <w:r w:rsidRPr="00056191">
        <w:rPr>
          <w:sz w:val="26"/>
          <w:szCs w:val="24"/>
          <w:lang w:val="en-GB"/>
        </w:rPr>
        <w:t xml:space="preserve">Limited: Overcoming the </w:t>
      </w:r>
      <w:r w:rsidR="00837805">
        <w:rPr>
          <w:sz w:val="26"/>
          <w:szCs w:val="24"/>
          <w:lang w:val="en-GB"/>
        </w:rPr>
        <w:t xml:space="preserve">Odd-even </w:t>
      </w:r>
      <w:r w:rsidRPr="00056191">
        <w:rPr>
          <w:sz w:val="26"/>
          <w:szCs w:val="24"/>
          <w:lang w:val="en-GB"/>
        </w:rPr>
        <w:t>challenge</w:t>
      </w:r>
    </w:p>
    <w:p w14:paraId="38ECFB08" w14:textId="77777777" w:rsidR="00CA3976" w:rsidRPr="00056191" w:rsidRDefault="00CA3976" w:rsidP="00013360">
      <w:pPr>
        <w:pStyle w:val="CaseTitle"/>
        <w:spacing w:after="0" w:line="240" w:lineRule="auto"/>
        <w:rPr>
          <w:sz w:val="20"/>
          <w:szCs w:val="20"/>
          <w:lang w:val="en-GB"/>
        </w:rPr>
      </w:pPr>
    </w:p>
    <w:p w14:paraId="7667239E" w14:textId="77777777" w:rsidR="00013360" w:rsidRPr="00056191" w:rsidRDefault="00013360" w:rsidP="00013360">
      <w:pPr>
        <w:pStyle w:val="CaseTitle"/>
        <w:spacing w:after="0" w:line="240" w:lineRule="auto"/>
        <w:rPr>
          <w:sz w:val="20"/>
          <w:szCs w:val="20"/>
          <w:lang w:val="en-GB"/>
        </w:rPr>
      </w:pPr>
    </w:p>
    <w:p w14:paraId="6DCE49B3" w14:textId="4144AB91" w:rsidR="00086B26" w:rsidRPr="00056191" w:rsidRDefault="0020586B" w:rsidP="00086B26">
      <w:pPr>
        <w:pStyle w:val="StyleCopyrightStatementAfter0ptBottomSinglesolidline1"/>
        <w:rPr>
          <w:lang w:val="en-GB"/>
        </w:rPr>
      </w:pPr>
      <w:r w:rsidRPr="00056191">
        <w:rPr>
          <w:lang w:val="en-GB"/>
        </w:rPr>
        <w:t>Amandeep Singh Narang, Vivek</w:t>
      </w:r>
      <w:r w:rsidR="00020D52">
        <w:rPr>
          <w:lang w:val="en-GB"/>
        </w:rPr>
        <w:t xml:space="preserve"> </w:t>
      </w:r>
      <w:r w:rsidRPr="00056191">
        <w:rPr>
          <w:lang w:val="en-GB"/>
        </w:rPr>
        <w:t>Pani</w:t>
      </w:r>
      <w:r w:rsidR="00020D52">
        <w:rPr>
          <w:lang w:val="en-GB"/>
        </w:rPr>
        <w:t xml:space="preserve"> </w:t>
      </w:r>
      <w:r w:rsidRPr="00056191">
        <w:rPr>
          <w:lang w:val="en-GB"/>
        </w:rPr>
        <w:t xml:space="preserve">Gumparthi, and </w:t>
      </w:r>
      <w:r w:rsidR="006043D9" w:rsidRPr="00056191">
        <w:rPr>
          <w:lang w:val="en-GB"/>
        </w:rPr>
        <w:t xml:space="preserve">Prof </w:t>
      </w:r>
      <w:r w:rsidRPr="00056191">
        <w:rPr>
          <w:lang w:val="en-GB"/>
        </w:rPr>
        <w:t>Somanth Chakrabarti</w:t>
      </w:r>
      <w:r w:rsidR="006043D9" w:rsidRPr="00056191">
        <w:rPr>
          <w:lang w:val="en-GB"/>
        </w:rPr>
        <w:t xml:space="preserve"> </w:t>
      </w:r>
      <w:r w:rsidR="00086B26" w:rsidRPr="0005619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DEE480C" w14:textId="77777777" w:rsidR="00086B26" w:rsidRPr="00056191" w:rsidRDefault="00086B26" w:rsidP="00086B26">
      <w:pPr>
        <w:pStyle w:val="StyleCopyrightStatementAfter0ptBottomSinglesolidline1"/>
        <w:rPr>
          <w:lang w:val="en-GB"/>
        </w:rPr>
      </w:pPr>
    </w:p>
    <w:p w14:paraId="3276B1A9" w14:textId="77777777" w:rsidR="00387B8B" w:rsidRPr="00A323B0" w:rsidRDefault="00387B8B" w:rsidP="00387B8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E8A6FAC" w14:textId="77777777" w:rsidR="00387B8B" w:rsidRPr="00A323B0" w:rsidRDefault="00387B8B" w:rsidP="00387B8B">
      <w:pPr>
        <w:pStyle w:val="StyleStyleCopyrightStatementAfter0ptBottomSinglesolid"/>
        <w:rPr>
          <w:rFonts w:cs="Arial"/>
          <w:szCs w:val="16"/>
        </w:rPr>
      </w:pPr>
    </w:p>
    <w:p w14:paraId="7F415B33" w14:textId="66690100" w:rsidR="00751E0B" w:rsidRPr="00056191" w:rsidRDefault="00387B8B" w:rsidP="00387B8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F36850">
        <w:rPr>
          <w:rFonts w:cs="Arial"/>
          <w:iCs w:val="0"/>
          <w:color w:val="auto"/>
          <w:szCs w:val="16"/>
        </w:rPr>
        <w:t>05-2</w:t>
      </w:r>
      <w:r w:rsidR="003E464B">
        <w:rPr>
          <w:rFonts w:cs="Arial"/>
          <w:iCs w:val="0"/>
          <w:color w:val="auto"/>
          <w:szCs w:val="16"/>
        </w:rPr>
        <w:t>7</w:t>
      </w:r>
    </w:p>
    <w:p w14:paraId="0954B78E" w14:textId="77777777" w:rsidR="00751E0B" w:rsidRPr="00056191" w:rsidRDefault="00751E0B" w:rsidP="00751E0B">
      <w:pPr>
        <w:pStyle w:val="StyleCopyrightStatementAfter0ptBottomSinglesolidline1"/>
        <w:rPr>
          <w:rFonts w:ascii="Times New Roman" w:hAnsi="Times New Roman"/>
          <w:sz w:val="20"/>
          <w:lang w:val="en-GB"/>
        </w:rPr>
      </w:pPr>
    </w:p>
    <w:p w14:paraId="1212782A" w14:textId="77777777" w:rsidR="00B87DC0" w:rsidRPr="00056191" w:rsidRDefault="00B87DC0" w:rsidP="004B632F">
      <w:pPr>
        <w:pStyle w:val="StyleCopyrightStatementAfter0ptBottomSinglesolidline1"/>
        <w:rPr>
          <w:rFonts w:ascii="Times New Roman" w:hAnsi="Times New Roman"/>
          <w:sz w:val="20"/>
          <w:lang w:val="en-GB"/>
        </w:rPr>
      </w:pPr>
    </w:p>
    <w:p w14:paraId="699891DC" w14:textId="6881AEEE" w:rsidR="00C26939" w:rsidRPr="006D2CEC" w:rsidRDefault="0020586B" w:rsidP="0020586B">
      <w:pPr>
        <w:pStyle w:val="BodyTextMain"/>
        <w:rPr>
          <w:spacing w:val="-2"/>
          <w:lang w:val="en-GB"/>
        </w:rPr>
      </w:pPr>
      <w:r w:rsidRPr="006D2CEC">
        <w:rPr>
          <w:spacing w:val="-2"/>
          <w:lang w:val="en-GB"/>
        </w:rPr>
        <w:t xml:space="preserve">On December 7, 2015, Ashim Batra, </w:t>
      </w:r>
      <w:r w:rsidR="00056191" w:rsidRPr="006D2CEC">
        <w:rPr>
          <w:spacing w:val="-2"/>
          <w:lang w:val="en-GB"/>
        </w:rPr>
        <w:t>the h</w:t>
      </w:r>
      <w:r w:rsidRPr="006D2CEC">
        <w:rPr>
          <w:spacing w:val="-2"/>
          <w:lang w:val="en-GB"/>
        </w:rPr>
        <w:t>ead</w:t>
      </w:r>
      <w:r w:rsidR="00056191" w:rsidRPr="006D2CEC">
        <w:rPr>
          <w:spacing w:val="-2"/>
          <w:lang w:val="en-GB"/>
        </w:rPr>
        <w:t xml:space="preserve"> of </w:t>
      </w:r>
      <w:r w:rsidRPr="006D2CEC">
        <w:rPr>
          <w:spacing w:val="-2"/>
          <w:lang w:val="en-GB"/>
        </w:rPr>
        <w:t>Marketing</w:t>
      </w:r>
      <w:r w:rsidR="00056191" w:rsidRPr="006D2CEC">
        <w:rPr>
          <w:spacing w:val="-2"/>
          <w:lang w:val="en-GB"/>
        </w:rPr>
        <w:t xml:space="preserve"> at</w:t>
      </w:r>
      <w:r w:rsidRPr="006D2CEC">
        <w:rPr>
          <w:spacing w:val="-2"/>
          <w:lang w:val="en-GB"/>
        </w:rPr>
        <w:t xml:space="preserve"> Indraprastha Gas Ltd. (IGL), headquartered in Delhi, India, was in a pensive mood. IGL was the sole supplier of </w:t>
      </w:r>
      <w:r w:rsidR="00056191" w:rsidRPr="006D2CEC">
        <w:rPr>
          <w:spacing w:val="-2"/>
          <w:lang w:val="en-GB"/>
        </w:rPr>
        <w:t>c</w:t>
      </w:r>
      <w:r w:rsidRPr="006D2CEC">
        <w:rPr>
          <w:spacing w:val="-2"/>
          <w:lang w:val="en-GB"/>
        </w:rPr>
        <w:t xml:space="preserve">ompressed </w:t>
      </w:r>
      <w:r w:rsidR="00056191" w:rsidRPr="006D2CEC">
        <w:rPr>
          <w:spacing w:val="-2"/>
          <w:lang w:val="en-GB"/>
        </w:rPr>
        <w:t>n</w:t>
      </w:r>
      <w:r w:rsidRPr="006D2CEC">
        <w:rPr>
          <w:spacing w:val="-2"/>
          <w:lang w:val="en-GB"/>
        </w:rPr>
        <w:t xml:space="preserve">atural </w:t>
      </w:r>
      <w:r w:rsidR="00056191" w:rsidRPr="006D2CEC">
        <w:rPr>
          <w:spacing w:val="-2"/>
          <w:lang w:val="en-GB"/>
        </w:rPr>
        <w:t>g</w:t>
      </w:r>
      <w:r w:rsidRPr="006D2CEC">
        <w:rPr>
          <w:spacing w:val="-2"/>
          <w:lang w:val="en-GB"/>
        </w:rPr>
        <w:t>as (CNG) in Delhi</w:t>
      </w:r>
      <w:r w:rsidR="00056191" w:rsidRPr="006D2CEC">
        <w:rPr>
          <w:spacing w:val="-2"/>
          <w:lang w:val="en-GB"/>
        </w:rPr>
        <w:t>,</w:t>
      </w:r>
      <w:r w:rsidRPr="006D2CEC">
        <w:rPr>
          <w:spacing w:val="-2"/>
          <w:lang w:val="en-GB"/>
        </w:rPr>
        <w:t xml:space="preserve"> the capital of India. The entire </w:t>
      </w:r>
      <w:r w:rsidR="00837805" w:rsidRPr="006D2CEC">
        <w:rPr>
          <w:spacing w:val="-2"/>
          <w:lang w:val="en-GB"/>
        </w:rPr>
        <w:t xml:space="preserve">IGL </w:t>
      </w:r>
      <w:r w:rsidRPr="006D2CEC">
        <w:rPr>
          <w:spacing w:val="-2"/>
          <w:lang w:val="en-GB"/>
        </w:rPr>
        <w:t xml:space="preserve">marketing team under </w:t>
      </w:r>
      <w:r w:rsidR="00056191" w:rsidRPr="006D2CEC">
        <w:rPr>
          <w:spacing w:val="-2"/>
          <w:lang w:val="en-GB"/>
        </w:rPr>
        <w:t xml:space="preserve">Batra’s </w:t>
      </w:r>
      <w:r w:rsidRPr="006D2CEC">
        <w:rPr>
          <w:spacing w:val="-2"/>
          <w:lang w:val="en-GB"/>
        </w:rPr>
        <w:t xml:space="preserve">leadership was busy chalking out a strategy to overcome a peculiar business problem. </w:t>
      </w:r>
      <w:r w:rsidR="00C26939" w:rsidRPr="006D2CEC">
        <w:rPr>
          <w:spacing w:val="-2"/>
          <w:lang w:val="en-GB"/>
        </w:rPr>
        <w:t>On December 4, 2015, t</w:t>
      </w:r>
      <w:r w:rsidRPr="006D2CEC">
        <w:rPr>
          <w:spacing w:val="-2"/>
          <w:lang w:val="en-GB"/>
        </w:rPr>
        <w:t>he Government of Delhi</w:t>
      </w:r>
      <w:r w:rsidR="00C26939" w:rsidRPr="006D2CEC">
        <w:rPr>
          <w:spacing w:val="-2"/>
          <w:lang w:val="en-GB"/>
        </w:rPr>
        <w:t xml:space="preserve"> </w:t>
      </w:r>
      <w:r w:rsidRPr="006D2CEC">
        <w:rPr>
          <w:spacing w:val="-2"/>
          <w:lang w:val="en-GB"/>
        </w:rPr>
        <w:t>had announced a radical step of introducing the odd-even scheme to overcome pollution and traffic congestion problems in Delhi.</w:t>
      </w:r>
      <w:r w:rsidR="00EC1AF8" w:rsidRPr="006D2CEC">
        <w:rPr>
          <w:spacing w:val="-2"/>
          <w:lang w:val="en-GB"/>
        </w:rPr>
        <w:t xml:space="preserve"> </w:t>
      </w:r>
      <w:r w:rsidRPr="006D2CEC">
        <w:rPr>
          <w:spacing w:val="-2"/>
          <w:lang w:val="en-GB"/>
        </w:rPr>
        <w:t>According</w:t>
      </w:r>
      <w:r w:rsidR="00C26939" w:rsidRPr="006D2CEC">
        <w:rPr>
          <w:spacing w:val="-2"/>
          <w:lang w:val="en-GB"/>
        </w:rPr>
        <w:t xml:space="preserve"> </w:t>
      </w:r>
      <w:r w:rsidRPr="006D2CEC">
        <w:rPr>
          <w:spacing w:val="-2"/>
          <w:lang w:val="en-GB"/>
        </w:rPr>
        <w:t xml:space="preserve">to the scheme, for the period from January </w:t>
      </w:r>
      <w:r w:rsidR="00C26939" w:rsidRPr="006D2CEC">
        <w:rPr>
          <w:spacing w:val="-2"/>
          <w:lang w:val="en-GB"/>
        </w:rPr>
        <w:t xml:space="preserve">1, </w:t>
      </w:r>
      <w:r w:rsidRPr="006D2CEC">
        <w:rPr>
          <w:spacing w:val="-2"/>
          <w:lang w:val="en-GB"/>
        </w:rPr>
        <w:t>2016</w:t>
      </w:r>
      <w:r w:rsidR="00C26939" w:rsidRPr="006D2CEC">
        <w:rPr>
          <w:spacing w:val="-2"/>
          <w:lang w:val="en-GB"/>
        </w:rPr>
        <w:t>,</w:t>
      </w:r>
      <w:r w:rsidRPr="006D2CEC">
        <w:rPr>
          <w:spacing w:val="-2"/>
          <w:lang w:val="en-GB"/>
        </w:rPr>
        <w:t xml:space="preserve"> to January </w:t>
      </w:r>
      <w:r w:rsidR="00C26939" w:rsidRPr="006D2CEC">
        <w:rPr>
          <w:spacing w:val="-2"/>
          <w:lang w:val="en-GB"/>
        </w:rPr>
        <w:t xml:space="preserve">15, </w:t>
      </w:r>
      <w:r w:rsidRPr="006D2CEC">
        <w:rPr>
          <w:spacing w:val="-2"/>
          <w:lang w:val="en-GB"/>
        </w:rPr>
        <w:t>2016, private vehicles</w:t>
      </w:r>
      <w:r w:rsidR="00C26939" w:rsidRPr="006D2CEC">
        <w:rPr>
          <w:spacing w:val="-2"/>
          <w:lang w:val="en-GB"/>
        </w:rPr>
        <w:t xml:space="preserve"> with licence plate numbers</w:t>
      </w:r>
      <w:r w:rsidRPr="006D2CEC">
        <w:rPr>
          <w:spacing w:val="-2"/>
          <w:lang w:val="en-GB"/>
        </w:rPr>
        <w:t xml:space="preserve"> </w:t>
      </w:r>
      <w:r w:rsidR="00C26939" w:rsidRPr="006D2CEC">
        <w:rPr>
          <w:spacing w:val="-2"/>
          <w:lang w:val="en-GB"/>
        </w:rPr>
        <w:t>end</w:t>
      </w:r>
      <w:r w:rsidR="00EC1AF8" w:rsidRPr="006D2CEC">
        <w:rPr>
          <w:spacing w:val="-2"/>
          <w:lang w:val="en-GB"/>
        </w:rPr>
        <w:t>ing</w:t>
      </w:r>
      <w:r w:rsidR="00C26939" w:rsidRPr="006D2CEC">
        <w:rPr>
          <w:spacing w:val="-2"/>
          <w:lang w:val="en-GB"/>
        </w:rPr>
        <w:t xml:space="preserve"> </w:t>
      </w:r>
      <w:r w:rsidR="00EC1AF8" w:rsidRPr="006D2CEC">
        <w:rPr>
          <w:spacing w:val="-2"/>
          <w:lang w:val="en-GB"/>
        </w:rPr>
        <w:t xml:space="preserve">in </w:t>
      </w:r>
      <w:r w:rsidRPr="006D2CEC">
        <w:rPr>
          <w:spacing w:val="-2"/>
          <w:lang w:val="en-GB"/>
        </w:rPr>
        <w:t xml:space="preserve">odd numbers </w:t>
      </w:r>
      <w:r w:rsidR="00837805" w:rsidRPr="006D2CEC">
        <w:rPr>
          <w:spacing w:val="-2"/>
          <w:lang w:val="en-GB"/>
        </w:rPr>
        <w:t xml:space="preserve">would </w:t>
      </w:r>
      <w:r w:rsidRPr="006D2CEC">
        <w:rPr>
          <w:spacing w:val="-2"/>
          <w:lang w:val="en-GB"/>
        </w:rPr>
        <w:t>be allowed to travel on the roads of Delhi on odd dates</w:t>
      </w:r>
      <w:r w:rsidR="00C26939" w:rsidRPr="006D2CEC">
        <w:rPr>
          <w:spacing w:val="-2"/>
          <w:lang w:val="en-GB"/>
        </w:rPr>
        <w:t>,</w:t>
      </w:r>
      <w:r w:rsidRPr="006D2CEC">
        <w:rPr>
          <w:spacing w:val="-2"/>
          <w:lang w:val="en-GB"/>
        </w:rPr>
        <w:t xml:space="preserve"> and those </w:t>
      </w:r>
      <w:r w:rsidR="00C26939" w:rsidRPr="006D2CEC">
        <w:rPr>
          <w:spacing w:val="-2"/>
          <w:lang w:val="en-GB"/>
        </w:rPr>
        <w:t xml:space="preserve">vehicles with licence plate numbers </w:t>
      </w:r>
      <w:r w:rsidRPr="006D2CEC">
        <w:rPr>
          <w:spacing w:val="-2"/>
          <w:lang w:val="en-GB"/>
        </w:rPr>
        <w:t xml:space="preserve">ending </w:t>
      </w:r>
      <w:r w:rsidR="00EC1AF8" w:rsidRPr="006D2CEC">
        <w:rPr>
          <w:spacing w:val="-2"/>
          <w:lang w:val="en-GB"/>
        </w:rPr>
        <w:t xml:space="preserve">in </w:t>
      </w:r>
      <w:r w:rsidRPr="006D2CEC">
        <w:rPr>
          <w:spacing w:val="-2"/>
          <w:lang w:val="en-GB"/>
        </w:rPr>
        <w:t xml:space="preserve">even numbers </w:t>
      </w:r>
      <w:r w:rsidR="00837805" w:rsidRPr="006D2CEC">
        <w:rPr>
          <w:spacing w:val="-2"/>
          <w:lang w:val="en-GB"/>
        </w:rPr>
        <w:t>would</w:t>
      </w:r>
      <w:r w:rsidRPr="006D2CEC">
        <w:rPr>
          <w:spacing w:val="-2"/>
          <w:lang w:val="en-GB"/>
        </w:rPr>
        <w:t xml:space="preserve"> be allowed </w:t>
      </w:r>
      <w:r w:rsidR="00837805" w:rsidRPr="006D2CEC">
        <w:rPr>
          <w:spacing w:val="-2"/>
          <w:lang w:val="en-GB"/>
        </w:rPr>
        <w:t xml:space="preserve">to travel </w:t>
      </w:r>
      <w:r w:rsidRPr="006D2CEC">
        <w:rPr>
          <w:spacing w:val="-2"/>
          <w:lang w:val="en-GB"/>
        </w:rPr>
        <w:t>on even dates. The announcement did not have</w:t>
      </w:r>
      <w:r w:rsidR="00C26939" w:rsidRPr="006D2CEC">
        <w:rPr>
          <w:spacing w:val="-2"/>
          <w:lang w:val="en-GB"/>
        </w:rPr>
        <w:t xml:space="preserve"> </w:t>
      </w:r>
      <w:r w:rsidRPr="006D2CEC">
        <w:rPr>
          <w:spacing w:val="-2"/>
          <w:lang w:val="en-GB"/>
        </w:rPr>
        <w:t xml:space="preserve">any exemption </w:t>
      </w:r>
      <w:r w:rsidR="00C26939" w:rsidRPr="006D2CEC">
        <w:rPr>
          <w:spacing w:val="-2"/>
          <w:lang w:val="en-GB"/>
        </w:rPr>
        <w:t xml:space="preserve">for </w:t>
      </w:r>
      <w:r w:rsidRPr="006D2CEC">
        <w:rPr>
          <w:spacing w:val="-2"/>
          <w:lang w:val="en-GB"/>
        </w:rPr>
        <w:t>vehicles running on clean fuels.</w:t>
      </w:r>
      <w:r w:rsidR="003E464B" w:rsidRPr="006D2CEC">
        <w:rPr>
          <w:rStyle w:val="FootnoteReference"/>
          <w:spacing w:val="-2"/>
          <w:shd w:val="clear" w:color="auto" w:fill="FFFFFF"/>
          <w:lang w:val="en-GB"/>
        </w:rPr>
        <w:footnoteReference w:id="1"/>
      </w:r>
    </w:p>
    <w:p w14:paraId="1D20A461" w14:textId="308E7C9D" w:rsidR="00C26939" w:rsidRPr="00F36850" w:rsidRDefault="00C26939" w:rsidP="0020586B">
      <w:pPr>
        <w:pStyle w:val="BodyTextMain"/>
        <w:rPr>
          <w:spacing w:val="-2"/>
          <w:sz w:val="20"/>
          <w:lang w:val="en-GB"/>
        </w:rPr>
      </w:pPr>
    </w:p>
    <w:p w14:paraId="084ECF98" w14:textId="402732DB" w:rsidR="0020586B" w:rsidRPr="00056191" w:rsidRDefault="0020586B" w:rsidP="0020586B">
      <w:pPr>
        <w:pStyle w:val="BodyTextMain"/>
        <w:rPr>
          <w:lang w:val="en-GB"/>
        </w:rPr>
      </w:pPr>
      <w:r w:rsidRPr="00056191">
        <w:rPr>
          <w:lang w:val="en-GB"/>
        </w:rPr>
        <w:t xml:space="preserve">CNG sales for </w:t>
      </w:r>
      <w:r w:rsidR="006D2CEC">
        <w:rPr>
          <w:lang w:val="en-GB"/>
        </w:rPr>
        <w:t>the private car segment</w:t>
      </w:r>
      <w:r w:rsidR="006D2CEC" w:rsidRPr="00056191">
        <w:rPr>
          <w:lang w:val="en-GB"/>
        </w:rPr>
        <w:t xml:space="preserve"> </w:t>
      </w:r>
      <w:r w:rsidRPr="00056191">
        <w:rPr>
          <w:lang w:val="en-GB"/>
        </w:rPr>
        <w:t>constituted nearly one</w:t>
      </w:r>
      <w:r w:rsidR="00C26939">
        <w:rPr>
          <w:lang w:val="en-GB"/>
        </w:rPr>
        <w:t>-</w:t>
      </w:r>
      <w:r w:rsidRPr="00056191">
        <w:rPr>
          <w:lang w:val="en-GB"/>
        </w:rPr>
        <w:t>third of</w:t>
      </w:r>
      <w:r w:rsidR="006D2CEC">
        <w:rPr>
          <w:lang w:val="en-GB"/>
        </w:rPr>
        <w:t xml:space="preserve"> its</w:t>
      </w:r>
      <w:r w:rsidRPr="00056191">
        <w:rPr>
          <w:lang w:val="en-GB"/>
        </w:rPr>
        <w:t xml:space="preserve"> total sales, </w:t>
      </w:r>
      <w:r w:rsidR="00EC1AF8">
        <w:rPr>
          <w:lang w:val="en-GB"/>
        </w:rPr>
        <w:t xml:space="preserve">and </w:t>
      </w:r>
      <w:r w:rsidRPr="00056191">
        <w:rPr>
          <w:lang w:val="en-GB"/>
        </w:rPr>
        <w:t xml:space="preserve">this announcement would </w:t>
      </w:r>
      <w:r w:rsidR="00C26939">
        <w:rPr>
          <w:lang w:val="en-GB"/>
        </w:rPr>
        <w:t xml:space="preserve">affect </w:t>
      </w:r>
      <w:r w:rsidRPr="00056191">
        <w:rPr>
          <w:lang w:val="en-GB"/>
        </w:rPr>
        <w:t>half of IGL’s CNG sales in the private car segment. The company was already facing a slow growth in CNG sales</w:t>
      </w:r>
      <w:r w:rsidR="00C26939">
        <w:rPr>
          <w:lang w:val="en-GB"/>
        </w:rPr>
        <w:t>,</w:t>
      </w:r>
      <w:r w:rsidRPr="00056191">
        <w:rPr>
          <w:lang w:val="en-GB"/>
        </w:rPr>
        <w:t xml:space="preserve"> and this announcement added to the woes of the marketing team (</w:t>
      </w:r>
      <w:r w:rsidR="00C26939">
        <w:rPr>
          <w:lang w:val="en-GB"/>
        </w:rPr>
        <w:t>see</w:t>
      </w:r>
      <w:r w:rsidR="00C26939" w:rsidRPr="00056191">
        <w:rPr>
          <w:lang w:val="en-GB"/>
        </w:rPr>
        <w:t xml:space="preserve"> </w:t>
      </w:r>
      <w:r w:rsidRPr="00056191">
        <w:rPr>
          <w:lang w:val="en-GB"/>
        </w:rPr>
        <w:t>Exhibit 1).</w:t>
      </w:r>
      <w:r w:rsidR="00C26939">
        <w:rPr>
          <w:lang w:val="en-GB"/>
        </w:rPr>
        <w:t xml:space="preserve"> Batra</w:t>
      </w:r>
      <w:r w:rsidR="00C26939" w:rsidRPr="00056191">
        <w:rPr>
          <w:lang w:val="en-GB"/>
        </w:rPr>
        <w:t xml:space="preserve"> </w:t>
      </w:r>
      <w:r w:rsidRPr="00056191">
        <w:rPr>
          <w:lang w:val="en-GB"/>
        </w:rPr>
        <w:t xml:space="preserve">was equally concerned about the long-term sustainability of </w:t>
      </w:r>
      <w:r w:rsidR="00C26939">
        <w:rPr>
          <w:lang w:val="en-GB"/>
        </w:rPr>
        <w:t>its</w:t>
      </w:r>
      <w:r w:rsidR="00C26939" w:rsidRPr="00056191">
        <w:rPr>
          <w:lang w:val="en-GB"/>
        </w:rPr>
        <w:t xml:space="preserve"> </w:t>
      </w:r>
      <w:r w:rsidRPr="00056191">
        <w:rPr>
          <w:lang w:val="en-GB"/>
        </w:rPr>
        <w:t>product</w:t>
      </w:r>
      <w:r w:rsidR="00C26939">
        <w:rPr>
          <w:lang w:val="en-GB"/>
        </w:rPr>
        <w:t>,</w:t>
      </w:r>
      <w:r w:rsidRPr="00056191">
        <w:rPr>
          <w:lang w:val="en-GB"/>
        </w:rPr>
        <w:t xml:space="preserve"> CNG, as the </w:t>
      </w:r>
      <w:r w:rsidR="00C26939" w:rsidRPr="00056191">
        <w:rPr>
          <w:lang w:val="en-GB"/>
        </w:rPr>
        <w:t xml:space="preserve">Government of Delhi </w:t>
      </w:r>
      <w:r w:rsidR="00C26939">
        <w:rPr>
          <w:lang w:val="en-GB"/>
        </w:rPr>
        <w:t xml:space="preserve">was expected to carry out the </w:t>
      </w:r>
      <w:r w:rsidRPr="00056191">
        <w:rPr>
          <w:lang w:val="en-GB"/>
        </w:rPr>
        <w:t xml:space="preserve">odd-even scheme on a regular basis (except </w:t>
      </w:r>
      <w:r w:rsidR="00837805">
        <w:rPr>
          <w:lang w:val="en-GB"/>
        </w:rPr>
        <w:t xml:space="preserve">on </w:t>
      </w:r>
      <w:r w:rsidRPr="00056191">
        <w:rPr>
          <w:lang w:val="en-GB"/>
        </w:rPr>
        <w:t>Sundays).</w:t>
      </w:r>
      <w:r w:rsidR="00C26939">
        <w:rPr>
          <w:lang w:val="en-GB"/>
        </w:rPr>
        <w:t xml:space="preserve"> Batra</w:t>
      </w:r>
      <w:r w:rsidR="00C26939" w:rsidRPr="00056191">
        <w:rPr>
          <w:lang w:val="en-GB"/>
        </w:rPr>
        <w:t xml:space="preserve"> </w:t>
      </w:r>
      <w:r w:rsidRPr="00056191">
        <w:rPr>
          <w:lang w:val="en-GB"/>
        </w:rPr>
        <w:t xml:space="preserve">also felt that this situation raised questions </w:t>
      </w:r>
      <w:r w:rsidR="00C26939">
        <w:rPr>
          <w:lang w:val="en-GB"/>
        </w:rPr>
        <w:t>regarding</w:t>
      </w:r>
      <w:r w:rsidR="00C26939" w:rsidRPr="00056191">
        <w:rPr>
          <w:lang w:val="en-GB"/>
        </w:rPr>
        <w:t xml:space="preserve"> </w:t>
      </w:r>
      <w:r w:rsidR="00837805">
        <w:rPr>
          <w:lang w:val="en-GB"/>
        </w:rPr>
        <w:t xml:space="preserve">how IGL’s </w:t>
      </w:r>
      <w:r w:rsidRPr="00056191">
        <w:rPr>
          <w:lang w:val="en-GB"/>
        </w:rPr>
        <w:t xml:space="preserve">stakeholders </w:t>
      </w:r>
      <w:r w:rsidR="00837805">
        <w:rPr>
          <w:lang w:val="en-GB"/>
        </w:rPr>
        <w:t>perceived</w:t>
      </w:r>
      <w:r w:rsidR="00837805" w:rsidRPr="00056191">
        <w:rPr>
          <w:lang w:val="en-GB"/>
        </w:rPr>
        <w:t xml:space="preserve"> </w:t>
      </w:r>
      <w:r w:rsidR="00837805">
        <w:rPr>
          <w:lang w:val="en-GB"/>
        </w:rPr>
        <w:t>the company’s</w:t>
      </w:r>
      <w:r w:rsidR="00837805" w:rsidRPr="00056191">
        <w:rPr>
          <w:lang w:val="en-GB"/>
        </w:rPr>
        <w:t xml:space="preserve"> </w:t>
      </w:r>
      <w:r w:rsidRPr="00056191">
        <w:rPr>
          <w:lang w:val="en-GB"/>
        </w:rPr>
        <w:t>value offering</w:t>
      </w:r>
      <w:r w:rsidR="00C26939">
        <w:rPr>
          <w:lang w:val="en-GB"/>
        </w:rPr>
        <w:t>—</w:t>
      </w:r>
      <w:r w:rsidRPr="00056191">
        <w:rPr>
          <w:lang w:val="en-GB"/>
        </w:rPr>
        <w:t>CNG.</w:t>
      </w:r>
      <w:r w:rsidR="00056191" w:rsidRPr="00056191">
        <w:rPr>
          <w:lang w:val="en-GB"/>
        </w:rPr>
        <w:t xml:space="preserve"> </w:t>
      </w:r>
      <w:r w:rsidR="00C26939">
        <w:rPr>
          <w:lang w:val="en-GB"/>
        </w:rPr>
        <w:t>D</w:t>
      </w:r>
      <w:r w:rsidRPr="00056191">
        <w:rPr>
          <w:lang w:val="en-GB"/>
        </w:rPr>
        <w:t xml:space="preserve">espite </w:t>
      </w:r>
      <w:r w:rsidR="00C26939">
        <w:rPr>
          <w:lang w:val="en-GB"/>
        </w:rPr>
        <w:t xml:space="preserve">CNG </w:t>
      </w:r>
      <w:r w:rsidRPr="00056191">
        <w:rPr>
          <w:lang w:val="en-GB"/>
        </w:rPr>
        <w:t xml:space="preserve">being a clean fuel, vehicles </w:t>
      </w:r>
      <w:r w:rsidR="00C26939">
        <w:rPr>
          <w:lang w:val="en-GB"/>
        </w:rPr>
        <w:t xml:space="preserve">that operated on CNG </w:t>
      </w:r>
      <w:r w:rsidRPr="00056191">
        <w:rPr>
          <w:lang w:val="en-GB"/>
        </w:rPr>
        <w:t xml:space="preserve">were being </w:t>
      </w:r>
      <w:r w:rsidR="00C26939">
        <w:rPr>
          <w:lang w:val="en-GB"/>
        </w:rPr>
        <w:t>regarded as the same</w:t>
      </w:r>
      <w:r w:rsidRPr="00056191">
        <w:rPr>
          <w:lang w:val="en-GB"/>
        </w:rPr>
        <w:t xml:space="preserve"> as </w:t>
      </w:r>
      <w:r w:rsidR="00C26939">
        <w:rPr>
          <w:lang w:val="en-GB"/>
        </w:rPr>
        <w:t xml:space="preserve">cars that ran on </w:t>
      </w:r>
      <w:r w:rsidRPr="00056191">
        <w:rPr>
          <w:lang w:val="en-GB"/>
        </w:rPr>
        <w:t>petrol and diesel. The team realized that the</w:t>
      </w:r>
      <w:r w:rsidR="00C26939">
        <w:rPr>
          <w:lang w:val="en-GB"/>
        </w:rPr>
        <w:t>y</w:t>
      </w:r>
      <w:r w:rsidRPr="00056191">
        <w:rPr>
          <w:lang w:val="en-GB"/>
        </w:rPr>
        <w:t xml:space="preserve"> need</w:t>
      </w:r>
      <w:r w:rsidR="00C26939">
        <w:rPr>
          <w:lang w:val="en-GB"/>
        </w:rPr>
        <w:t>ed</w:t>
      </w:r>
      <w:r w:rsidRPr="00056191">
        <w:rPr>
          <w:lang w:val="en-GB"/>
        </w:rPr>
        <w:t xml:space="preserve"> to act </w:t>
      </w:r>
      <w:r w:rsidR="00C26939">
        <w:rPr>
          <w:lang w:val="en-GB"/>
        </w:rPr>
        <w:t xml:space="preserve">quickly to </w:t>
      </w:r>
      <w:r w:rsidRPr="00056191">
        <w:rPr>
          <w:lang w:val="en-GB"/>
        </w:rPr>
        <w:t xml:space="preserve">contain the downfall in sales and </w:t>
      </w:r>
      <w:r w:rsidR="00C26939">
        <w:rPr>
          <w:lang w:val="en-GB"/>
        </w:rPr>
        <w:t>to</w:t>
      </w:r>
      <w:r w:rsidR="00C26939" w:rsidRPr="00056191">
        <w:rPr>
          <w:lang w:val="en-GB"/>
        </w:rPr>
        <w:t xml:space="preserve"> </w:t>
      </w:r>
      <w:r w:rsidRPr="00056191">
        <w:rPr>
          <w:lang w:val="en-GB"/>
        </w:rPr>
        <w:t>position CNG among policy</w:t>
      </w:r>
      <w:r w:rsidR="00C26939">
        <w:rPr>
          <w:lang w:val="en-GB"/>
        </w:rPr>
        <w:t>-</w:t>
      </w:r>
      <w:r w:rsidRPr="00056191">
        <w:rPr>
          <w:lang w:val="en-GB"/>
        </w:rPr>
        <w:t>makers as a clean fuel so that future policy decisions concerning the transport sector could take the right perspective.</w:t>
      </w:r>
    </w:p>
    <w:p w14:paraId="527EB017" w14:textId="77777777" w:rsidR="0020586B" w:rsidRPr="00056191" w:rsidRDefault="0020586B" w:rsidP="0020586B">
      <w:pPr>
        <w:pStyle w:val="BodyTextMain"/>
        <w:rPr>
          <w:color w:val="000000" w:themeColor="text1"/>
          <w:sz w:val="20"/>
          <w:lang w:val="en-GB"/>
        </w:rPr>
      </w:pPr>
    </w:p>
    <w:p w14:paraId="61365332" w14:textId="2FEB66AC" w:rsidR="003B4E7B" w:rsidRPr="006D2CEC" w:rsidRDefault="0020586B" w:rsidP="0020586B">
      <w:pPr>
        <w:pStyle w:val="BodyTextMain"/>
        <w:rPr>
          <w:spacing w:val="-2"/>
          <w:lang w:val="en-GB"/>
        </w:rPr>
      </w:pPr>
      <w:r w:rsidRPr="006D2CEC">
        <w:rPr>
          <w:spacing w:val="-2"/>
          <w:lang w:val="en-GB"/>
        </w:rPr>
        <w:t xml:space="preserve">IGL was a </w:t>
      </w:r>
      <w:r w:rsidR="003B4E7B" w:rsidRPr="006D2CEC">
        <w:rPr>
          <w:spacing w:val="-2"/>
          <w:lang w:val="en-GB"/>
        </w:rPr>
        <w:t>c</w:t>
      </w:r>
      <w:r w:rsidRPr="006D2CEC">
        <w:rPr>
          <w:spacing w:val="-2"/>
          <w:lang w:val="en-GB"/>
        </w:rPr>
        <w:t xml:space="preserve">ity </w:t>
      </w:r>
      <w:r w:rsidR="003B4E7B" w:rsidRPr="006D2CEC">
        <w:rPr>
          <w:spacing w:val="-2"/>
          <w:lang w:val="en-GB"/>
        </w:rPr>
        <w:t>g</w:t>
      </w:r>
      <w:r w:rsidRPr="006D2CEC">
        <w:rPr>
          <w:spacing w:val="-2"/>
          <w:lang w:val="en-GB"/>
        </w:rPr>
        <w:t xml:space="preserve">as </w:t>
      </w:r>
      <w:r w:rsidR="003B4E7B" w:rsidRPr="006D2CEC">
        <w:rPr>
          <w:spacing w:val="-2"/>
          <w:lang w:val="en-GB"/>
        </w:rPr>
        <w:t>d</w:t>
      </w:r>
      <w:r w:rsidRPr="006D2CEC">
        <w:rPr>
          <w:spacing w:val="-2"/>
          <w:lang w:val="en-GB"/>
        </w:rPr>
        <w:t xml:space="preserve">istribution (CGD) company incorporated in 1998. It supplied CNG to the transport sector and </w:t>
      </w:r>
      <w:r w:rsidR="003B4E7B" w:rsidRPr="006D2CEC">
        <w:rPr>
          <w:spacing w:val="-2"/>
          <w:lang w:val="en-GB"/>
        </w:rPr>
        <w:t>p</w:t>
      </w:r>
      <w:r w:rsidRPr="006D2CEC">
        <w:rPr>
          <w:spacing w:val="-2"/>
          <w:lang w:val="en-GB"/>
        </w:rPr>
        <w:t xml:space="preserve">iped </w:t>
      </w:r>
      <w:r w:rsidR="003B4E7B" w:rsidRPr="006D2CEC">
        <w:rPr>
          <w:spacing w:val="-2"/>
          <w:lang w:val="en-GB"/>
        </w:rPr>
        <w:t>n</w:t>
      </w:r>
      <w:r w:rsidRPr="006D2CEC">
        <w:rPr>
          <w:spacing w:val="-2"/>
          <w:lang w:val="en-GB"/>
        </w:rPr>
        <w:t xml:space="preserve">atural </w:t>
      </w:r>
      <w:r w:rsidR="003B4E7B" w:rsidRPr="006D2CEC">
        <w:rPr>
          <w:spacing w:val="-2"/>
          <w:lang w:val="en-GB"/>
        </w:rPr>
        <w:t>g</w:t>
      </w:r>
      <w:r w:rsidRPr="006D2CEC">
        <w:rPr>
          <w:spacing w:val="-2"/>
          <w:lang w:val="en-GB"/>
        </w:rPr>
        <w:t xml:space="preserve">as (PNG) </w:t>
      </w:r>
      <w:r w:rsidR="003B4E7B" w:rsidRPr="006D2CEC">
        <w:rPr>
          <w:spacing w:val="-2"/>
          <w:lang w:val="en-GB"/>
        </w:rPr>
        <w:t xml:space="preserve">initially </w:t>
      </w:r>
      <w:r w:rsidRPr="006D2CEC">
        <w:rPr>
          <w:spacing w:val="-2"/>
          <w:lang w:val="en-GB"/>
        </w:rPr>
        <w:t>to the domestic, industrial</w:t>
      </w:r>
      <w:r w:rsidR="003B4E7B" w:rsidRPr="006D2CEC">
        <w:rPr>
          <w:spacing w:val="-2"/>
          <w:lang w:val="en-GB"/>
        </w:rPr>
        <w:t>,</w:t>
      </w:r>
      <w:r w:rsidRPr="006D2CEC">
        <w:rPr>
          <w:spacing w:val="-2"/>
          <w:lang w:val="en-GB"/>
        </w:rPr>
        <w:t xml:space="preserve"> and commercial sectors in Delhi and</w:t>
      </w:r>
      <w:r w:rsidR="003B4E7B" w:rsidRPr="006D2CEC">
        <w:rPr>
          <w:spacing w:val="-2"/>
          <w:lang w:val="en-GB"/>
        </w:rPr>
        <w:t>, over the years,</w:t>
      </w:r>
      <w:r w:rsidRPr="006D2CEC">
        <w:rPr>
          <w:spacing w:val="-2"/>
          <w:lang w:val="en-GB"/>
        </w:rPr>
        <w:t xml:space="preserve"> gradually expanded to </w:t>
      </w:r>
      <w:r w:rsidR="00494EBE" w:rsidRPr="006D2CEC">
        <w:rPr>
          <w:spacing w:val="-2"/>
          <w:lang w:val="en-GB"/>
        </w:rPr>
        <w:t xml:space="preserve">the </w:t>
      </w:r>
      <w:r w:rsidRPr="006D2CEC">
        <w:rPr>
          <w:spacing w:val="-2"/>
          <w:lang w:val="en-GB"/>
        </w:rPr>
        <w:t>Delhi National Capital Territory (NCT)</w:t>
      </w:r>
      <w:r w:rsidR="003B4E7B" w:rsidRPr="006D2CEC">
        <w:rPr>
          <w:spacing w:val="-2"/>
          <w:lang w:val="en-GB"/>
        </w:rPr>
        <w:t>, which meant it also</w:t>
      </w:r>
      <w:r w:rsidRPr="006D2CEC">
        <w:rPr>
          <w:spacing w:val="-2"/>
          <w:lang w:val="en-GB"/>
        </w:rPr>
        <w:t xml:space="preserve"> </w:t>
      </w:r>
      <w:r w:rsidR="003B4E7B" w:rsidRPr="006D2CEC">
        <w:rPr>
          <w:spacing w:val="-2"/>
          <w:lang w:val="en-GB"/>
        </w:rPr>
        <w:t xml:space="preserve">covered </w:t>
      </w:r>
      <w:r w:rsidR="00837805" w:rsidRPr="006D2CEC">
        <w:rPr>
          <w:spacing w:val="-2"/>
          <w:lang w:val="en-GB"/>
        </w:rPr>
        <w:t xml:space="preserve">the </w:t>
      </w:r>
      <w:r w:rsidRPr="006D2CEC">
        <w:rPr>
          <w:spacing w:val="-2"/>
          <w:lang w:val="en-GB"/>
        </w:rPr>
        <w:t>additional nearby areas of Noida, Greater Noida</w:t>
      </w:r>
      <w:r w:rsidR="003B4E7B" w:rsidRPr="006D2CEC">
        <w:rPr>
          <w:spacing w:val="-2"/>
          <w:lang w:val="en-GB"/>
        </w:rPr>
        <w:t>,</w:t>
      </w:r>
      <w:r w:rsidRPr="006D2CEC">
        <w:rPr>
          <w:spacing w:val="-2"/>
          <w:lang w:val="en-GB"/>
        </w:rPr>
        <w:t xml:space="preserve"> and Ghaziabad. CNG was a safe, economical</w:t>
      </w:r>
      <w:r w:rsidR="003B4E7B" w:rsidRPr="006D2CEC">
        <w:rPr>
          <w:spacing w:val="-2"/>
          <w:lang w:val="en-GB"/>
        </w:rPr>
        <w:t>,</w:t>
      </w:r>
      <w:r w:rsidR="00CC17F5" w:rsidRPr="006D2CEC">
        <w:rPr>
          <w:spacing w:val="-2"/>
          <w:lang w:val="en-GB"/>
        </w:rPr>
        <w:t xml:space="preserve"> </w:t>
      </w:r>
      <w:r w:rsidR="005907DC" w:rsidRPr="006D2CEC">
        <w:rPr>
          <w:spacing w:val="-2"/>
          <w:lang w:val="en-GB"/>
        </w:rPr>
        <w:t>and environment-friendly fuel for the transport sector</w:t>
      </w:r>
      <w:r w:rsidR="008E53FA" w:rsidRPr="006D2CEC">
        <w:rPr>
          <w:spacing w:val="-2"/>
          <w:lang w:val="en-GB"/>
        </w:rPr>
        <w:t xml:space="preserve">. </w:t>
      </w:r>
      <w:r w:rsidR="003B4E7B" w:rsidRPr="006D2CEC">
        <w:rPr>
          <w:spacing w:val="-2"/>
          <w:lang w:val="en-GB"/>
        </w:rPr>
        <w:t>It</w:t>
      </w:r>
      <w:r w:rsidR="008E53FA" w:rsidRPr="006D2CEC">
        <w:rPr>
          <w:spacing w:val="-2"/>
          <w:lang w:val="en-GB"/>
        </w:rPr>
        <w:t xml:space="preserve"> was </w:t>
      </w:r>
      <w:r w:rsidR="003E464B">
        <w:rPr>
          <w:spacing w:val="-2"/>
          <w:lang w:val="en-GB"/>
        </w:rPr>
        <w:t xml:space="preserve">a </w:t>
      </w:r>
      <w:r w:rsidR="008E53FA" w:rsidRPr="006D2CEC">
        <w:rPr>
          <w:spacing w:val="-2"/>
          <w:lang w:val="en-GB"/>
        </w:rPr>
        <w:t>safe</w:t>
      </w:r>
      <w:r w:rsidR="003E464B">
        <w:rPr>
          <w:spacing w:val="-2"/>
          <w:lang w:val="en-GB"/>
        </w:rPr>
        <w:t>r</w:t>
      </w:r>
      <w:r w:rsidR="008E53FA" w:rsidRPr="006D2CEC">
        <w:rPr>
          <w:spacing w:val="-2"/>
          <w:lang w:val="en-GB"/>
        </w:rPr>
        <w:t xml:space="preserve"> fu</w:t>
      </w:r>
      <w:r w:rsidR="00535EA3" w:rsidRPr="006D2CEC">
        <w:rPr>
          <w:spacing w:val="-2"/>
          <w:lang w:val="en-GB"/>
        </w:rPr>
        <w:t>el</w:t>
      </w:r>
      <w:r w:rsidR="008E53FA" w:rsidRPr="006D2CEC">
        <w:rPr>
          <w:spacing w:val="-2"/>
          <w:lang w:val="en-GB"/>
        </w:rPr>
        <w:t xml:space="preserve"> because of its narrow </w:t>
      </w:r>
      <w:r w:rsidR="003B4E7B" w:rsidRPr="006D2CEC">
        <w:rPr>
          <w:spacing w:val="-2"/>
          <w:lang w:val="en-GB"/>
        </w:rPr>
        <w:t xml:space="preserve">range of </w:t>
      </w:r>
      <w:r w:rsidR="008E53FA" w:rsidRPr="006D2CEC">
        <w:rPr>
          <w:spacing w:val="-2"/>
          <w:lang w:val="en-GB"/>
        </w:rPr>
        <w:t xml:space="preserve">flammability. The low operational costs </w:t>
      </w:r>
      <w:r w:rsidR="003B4E7B" w:rsidRPr="006D2CEC">
        <w:rPr>
          <w:spacing w:val="-2"/>
          <w:lang w:val="en-GB"/>
        </w:rPr>
        <w:t xml:space="preserve">of CNG, </w:t>
      </w:r>
      <w:r w:rsidR="008E53FA" w:rsidRPr="006D2CEC">
        <w:rPr>
          <w:spacing w:val="-2"/>
          <w:lang w:val="en-GB"/>
        </w:rPr>
        <w:t xml:space="preserve">compared </w:t>
      </w:r>
      <w:r w:rsidR="003B4E7B" w:rsidRPr="006D2CEC">
        <w:rPr>
          <w:spacing w:val="-2"/>
          <w:lang w:val="en-GB"/>
        </w:rPr>
        <w:t xml:space="preserve">with </w:t>
      </w:r>
      <w:r w:rsidR="008E53FA" w:rsidRPr="006D2CEC">
        <w:rPr>
          <w:spacing w:val="-2"/>
          <w:lang w:val="en-GB"/>
        </w:rPr>
        <w:t xml:space="preserve">conventional </w:t>
      </w:r>
      <w:r w:rsidR="008E53FA" w:rsidRPr="006D2CEC">
        <w:rPr>
          <w:spacing w:val="-2"/>
          <w:lang w:val="en-GB"/>
        </w:rPr>
        <w:lastRenderedPageBreak/>
        <w:t>fuels (</w:t>
      </w:r>
      <w:r w:rsidR="003B4E7B" w:rsidRPr="006D2CEC">
        <w:rPr>
          <w:spacing w:val="-2"/>
          <w:lang w:val="en-GB"/>
        </w:rPr>
        <w:t xml:space="preserve">see </w:t>
      </w:r>
      <w:r w:rsidR="008E53FA" w:rsidRPr="006D2CEC">
        <w:rPr>
          <w:spacing w:val="-2"/>
          <w:lang w:val="en-GB"/>
        </w:rPr>
        <w:t>Exhibit 2)</w:t>
      </w:r>
      <w:r w:rsidR="00F7785B">
        <w:rPr>
          <w:spacing w:val="-2"/>
          <w:lang w:val="en-GB"/>
        </w:rPr>
        <w:t>,</w:t>
      </w:r>
      <w:r w:rsidR="008E53FA" w:rsidRPr="006D2CEC">
        <w:rPr>
          <w:spacing w:val="-2"/>
          <w:lang w:val="en-GB"/>
        </w:rPr>
        <w:t xml:space="preserve"> made it the most economical fuel to run transport in Delhi. </w:t>
      </w:r>
      <w:r w:rsidR="003B4E7B" w:rsidRPr="006D2CEC">
        <w:rPr>
          <w:spacing w:val="-2"/>
          <w:lang w:val="en-GB"/>
        </w:rPr>
        <w:t xml:space="preserve">CNG </w:t>
      </w:r>
      <w:r w:rsidR="008E53FA" w:rsidRPr="006D2CEC">
        <w:rPr>
          <w:spacing w:val="-2"/>
          <w:lang w:val="en-GB"/>
        </w:rPr>
        <w:t xml:space="preserve">was </w:t>
      </w:r>
      <w:r w:rsidR="003B4E7B" w:rsidRPr="006D2CEC">
        <w:rPr>
          <w:spacing w:val="-2"/>
          <w:lang w:val="en-GB"/>
        </w:rPr>
        <w:t xml:space="preserve">also </w:t>
      </w:r>
      <w:r w:rsidR="008E53FA" w:rsidRPr="006D2CEC">
        <w:rPr>
          <w:spacing w:val="-2"/>
          <w:lang w:val="en-GB"/>
        </w:rPr>
        <w:t xml:space="preserve">considered </w:t>
      </w:r>
      <w:r w:rsidR="003B4E7B" w:rsidRPr="006D2CEC">
        <w:rPr>
          <w:spacing w:val="-2"/>
          <w:lang w:val="en-GB"/>
        </w:rPr>
        <w:t xml:space="preserve">to be </w:t>
      </w:r>
      <w:r w:rsidR="008E53FA" w:rsidRPr="006D2CEC">
        <w:rPr>
          <w:spacing w:val="-2"/>
          <w:lang w:val="en-GB"/>
        </w:rPr>
        <w:t>an environment</w:t>
      </w:r>
      <w:r w:rsidR="003B4E7B" w:rsidRPr="006D2CEC">
        <w:rPr>
          <w:spacing w:val="-2"/>
          <w:lang w:val="en-GB"/>
        </w:rPr>
        <w:t>-</w:t>
      </w:r>
      <w:r w:rsidR="008E53FA" w:rsidRPr="006D2CEC">
        <w:rPr>
          <w:spacing w:val="-2"/>
          <w:lang w:val="en-GB"/>
        </w:rPr>
        <w:t>friendly fuel</w:t>
      </w:r>
      <w:r w:rsidR="00DF60EE" w:rsidRPr="006D2CEC">
        <w:rPr>
          <w:spacing w:val="-2"/>
          <w:lang w:val="en-GB"/>
        </w:rPr>
        <w:t xml:space="preserve"> (or green fuel)</w:t>
      </w:r>
      <w:r w:rsidR="008E53FA" w:rsidRPr="006D2CEC">
        <w:rPr>
          <w:spacing w:val="-2"/>
          <w:lang w:val="en-GB"/>
        </w:rPr>
        <w:t xml:space="preserve"> due to the absence of </w:t>
      </w:r>
      <w:r w:rsidR="003B4E7B" w:rsidRPr="006D2CEC">
        <w:rPr>
          <w:spacing w:val="-2"/>
          <w:lang w:val="en-GB"/>
        </w:rPr>
        <w:t>l</w:t>
      </w:r>
      <w:r w:rsidR="008E53FA" w:rsidRPr="006D2CEC">
        <w:rPr>
          <w:spacing w:val="-2"/>
          <w:lang w:val="en-GB"/>
        </w:rPr>
        <w:t xml:space="preserve">ead and </w:t>
      </w:r>
      <w:r w:rsidR="003B4E7B" w:rsidRPr="006D2CEC">
        <w:rPr>
          <w:spacing w:val="-2"/>
          <w:lang w:val="en-GB"/>
        </w:rPr>
        <w:t>s</w:t>
      </w:r>
      <w:r w:rsidR="008E53FA" w:rsidRPr="006D2CEC">
        <w:rPr>
          <w:spacing w:val="-2"/>
          <w:lang w:val="en-GB"/>
        </w:rPr>
        <w:t>ulphur</w:t>
      </w:r>
      <w:r w:rsidR="003B4E7B" w:rsidRPr="006D2CEC">
        <w:rPr>
          <w:spacing w:val="-2"/>
          <w:lang w:val="en-GB"/>
        </w:rPr>
        <w:t>, which</w:t>
      </w:r>
      <w:r w:rsidR="008E53FA" w:rsidRPr="006D2CEC">
        <w:rPr>
          <w:spacing w:val="-2"/>
          <w:lang w:val="en-GB"/>
        </w:rPr>
        <w:t xml:space="preserve"> also improved the life of spark plug</w:t>
      </w:r>
      <w:r w:rsidR="003B4E7B" w:rsidRPr="006D2CEC">
        <w:rPr>
          <w:spacing w:val="-2"/>
          <w:lang w:val="en-GB"/>
        </w:rPr>
        <w:t>s</w:t>
      </w:r>
      <w:r w:rsidR="008E53FA" w:rsidRPr="006D2CEC">
        <w:rPr>
          <w:spacing w:val="-2"/>
          <w:lang w:val="en-GB"/>
        </w:rPr>
        <w:t xml:space="preserve"> fitted in the vehicles.</w:t>
      </w:r>
      <w:r w:rsidRPr="006D2CEC">
        <w:rPr>
          <w:spacing w:val="-2"/>
          <w:lang w:val="en-GB"/>
        </w:rPr>
        <w:t xml:space="preserve"> It was replacing traditional fossil fuels </w:t>
      </w:r>
      <w:r w:rsidR="003B4E7B" w:rsidRPr="006D2CEC">
        <w:rPr>
          <w:spacing w:val="-2"/>
          <w:lang w:val="en-GB"/>
        </w:rPr>
        <w:t>such as</w:t>
      </w:r>
      <w:r w:rsidRPr="006D2CEC">
        <w:rPr>
          <w:spacing w:val="-2"/>
          <w:lang w:val="en-GB"/>
        </w:rPr>
        <w:t xml:space="preserve"> petrol and diesel. </w:t>
      </w:r>
    </w:p>
    <w:p w14:paraId="7C229421" w14:textId="77777777" w:rsidR="003B4E7B" w:rsidRPr="00387B8B" w:rsidRDefault="003B4E7B" w:rsidP="0020586B">
      <w:pPr>
        <w:pStyle w:val="BodyTextMain"/>
        <w:rPr>
          <w:spacing w:val="-2"/>
          <w:sz w:val="20"/>
          <w:lang w:val="en-GB"/>
        </w:rPr>
      </w:pPr>
    </w:p>
    <w:p w14:paraId="5599B690" w14:textId="2D59087F" w:rsidR="0020586B" w:rsidRPr="00387B8B" w:rsidRDefault="003B4E7B" w:rsidP="0020586B">
      <w:pPr>
        <w:pStyle w:val="BodyTextMain"/>
        <w:rPr>
          <w:lang w:val="en-GB"/>
        </w:rPr>
      </w:pPr>
      <w:r w:rsidRPr="00387B8B">
        <w:rPr>
          <w:lang w:val="en-GB"/>
        </w:rPr>
        <w:t xml:space="preserve">At the turn of the century, </w:t>
      </w:r>
      <w:r w:rsidR="0020586B" w:rsidRPr="00387B8B">
        <w:rPr>
          <w:lang w:val="en-GB"/>
        </w:rPr>
        <w:t xml:space="preserve">CNG had been introduced in Delhi due to the environmental concerns, </w:t>
      </w:r>
      <w:r w:rsidR="00D946C4" w:rsidRPr="00387B8B">
        <w:rPr>
          <w:lang w:val="en-GB"/>
        </w:rPr>
        <w:t xml:space="preserve">and </w:t>
      </w:r>
      <w:r w:rsidR="0020586B" w:rsidRPr="00387B8B">
        <w:rPr>
          <w:lang w:val="en-GB"/>
        </w:rPr>
        <w:t xml:space="preserve">the judiciary </w:t>
      </w:r>
      <w:r w:rsidR="00D946C4" w:rsidRPr="00387B8B">
        <w:rPr>
          <w:lang w:val="en-GB"/>
        </w:rPr>
        <w:t xml:space="preserve">had taken </w:t>
      </w:r>
      <w:r w:rsidR="0020586B" w:rsidRPr="00387B8B">
        <w:rPr>
          <w:lang w:val="en-GB"/>
        </w:rPr>
        <w:t>a firm stand on the concerns.</w:t>
      </w:r>
      <w:r w:rsidR="0020586B" w:rsidRPr="00387B8B">
        <w:rPr>
          <w:rStyle w:val="FootnoteReference"/>
          <w:shd w:val="clear" w:color="auto" w:fill="FFFFFF"/>
          <w:lang w:val="en-GB"/>
        </w:rPr>
        <w:footnoteReference w:id="2"/>
      </w:r>
      <w:r w:rsidRPr="00387B8B">
        <w:rPr>
          <w:lang w:val="en-GB"/>
        </w:rPr>
        <w:t xml:space="preserve"> </w:t>
      </w:r>
      <w:r w:rsidR="00D946C4" w:rsidRPr="00387B8B">
        <w:rPr>
          <w:lang w:val="en-GB"/>
        </w:rPr>
        <w:t xml:space="preserve">For example, </w:t>
      </w:r>
      <w:r w:rsidR="0020586B" w:rsidRPr="00387B8B">
        <w:rPr>
          <w:lang w:val="en-GB"/>
        </w:rPr>
        <w:t xml:space="preserve">the intervention of </w:t>
      </w:r>
      <w:r w:rsidR="00EC1AF8" w:rsidRPr="00387B8B">
        <w:rPr>
          <w:lang w:val="en-GB"/>
        </w:rPr>
        <w:t xml:space="preserve">the </w:t>
      </w:r>
      <w:r w:rsidR="0020586B" w:rsidRPr="00387B8B">
        <w:rPr>
          <w:lang w:val="en-GB"/>
        </w:rPr>
        <w:t>judiciary to counter alarming pollution levels in the national capital</w:t>
      </w:r>
      <w:r w:rsidR="00D946C4" w:rsidRPr="00387B8B">
        <w:rPr>
          <w:lang w:val="en-GB"/>
        </w:rPr>
        <w:t xml:space="preserve"> had led to the incorporation of IGL and the introduction of CNG as the fuel for public transport</w:t>
      </w:r>
      <w:r w:rsidR="0020586B" w:rsidRPr="00387B8B">
        <w:rPr>
          <w:lang w:val="en-GB"/>
        </w:rPr>
        <w:t xml:space="preserve">. </w:t>
      </w:r>
      <w:r w:rsidR="00EC1AF8" w:rsidRPr="00387B8B">
        <w:rPr>
          <w:lang w:val="en-GB"/>
        </w:rPr>
        <w:t xml:space="preserve">In response </w:t>
      </w:r>
      <w:r w:rsidR="0020586B" w:rsidRPr="00387B8B">
        <w:rPr>
          <w:lang w:val="en-GB"/>
        </w:rPr>
        <w:t xml:space="preserve">to a </w:t>
      </w:r>
      <w:r w:rsidR="00EC1AF8" w:rsidRPr="00387B8B">
        <w:rPr>
          <w:lang w:val="en-GB"/>
        </w:rPr>
        <w:t xml:space="preserve">public interest litigation </w:t>
      </w:r>
      <w:r w:rsidR="0020586B" w:rsidRPr="00387B8B">
        <w:rPr>
          <w:lang w:val="en-GB"/>
        </w:rPr>
        <w:t xml:space="preserve">filed by environment activist and lawyer M. C. Mehta in 1996, which alleged that emissions from vehicles were causing air pollution and posing serious health risks to the residents of Delhi, the Supreme Court of India in 1998 issued a directive calling for all buses, taxis, and three-wheelers </w:t>
      </w:r>
      <w:r w:rsidR="00837805" w:rsidRPr="00387B8B">
        <w:rPr>
          <w:lang w:val="en-GB"/>
        </w:rPr>
        <w:t xml:space="preserve">in Delhi </w:t>
      </w:r>
      <w:r w:rsidR="0020586B" w:rsidRPr="00387B8B">
        <w:rPr>
          <w:lang w:val="en-GB"/>
        </w:rPr>
        <w:t xml:space="preserve">to </w:t>
      </w:r>
      <w:r w:rsidR="00837805" w:rsidRPr="00387B8B">
        <w:rPr>
          <w:lang w:val="en-GB"/>
        </w:rPr>
        <w:t xml:space="preserve">convert to </w:t>
      </w:r>
      <w:r w:rsidR="0020586B" w:rsidRPr="00387B8B">
        <w:rPr>
          <w:lang w:val="en-GB"/>
        </w:rPr>
        <w:t xml:space="preserve">CNG. </w:t>
      </w:r>
      <w:r w:rsidR="00D946C4" w:rsidRPr="00387B8B">
        <w:rPr>
          <w:lang w:val="en-GB"/>
        </w:rPr>
        <w:t>Over the years, t</w:t>
      </w:r>
      <w:r w:rsidR="0020586B" w:rsidRPr="00387B8B">
        <w:rPr>
          <w:lang w:val="en-GB"/>
        </w:rPr>
        <w:t xml:space="preserve">he setting up of </w:t>
      </w:r>
      <w:r w:rsidR="00D946C4" w:rsidRPr="00387B8B">
        <w:rPr>
          <w:lang w:val="en-GB"/>
        </w:rPr>
        <w:t xml:space="preserve">a </w:t>
      </w:r>
      <w:r w:rsidR="0020586B" w:rsidRPr="00387B8B">
        <w:rPr>
          <w:lang w:val="en-GB"/>
        </w:rPr>
        <w:t>CNG refuel</w:t>
      </w:r>
      <w:r w:rsidR="00D946C4" w:rsidRPr="00387B8B">
        <w:rPr>
          <w:lang w:val="en-GB"/>
        </w:rPr>
        <w:t>l</w:t>
      </w:r>
      <w:r w:rsidR="0020586B" w:rsidRPr="00387B8B">
        <w:rPr>
          <w:lang w:val="en-GB"/>
        </w:rPr>
        <w:t xml:space="preserve">ing infrastructure by IGL and promotion of its usage in </w:t>
      </w:r>
      <w:r w:rsidR="00BB7C57">
        <w:rPr>
          <w:lang w:val="en-GB"/>
        </w:rPr>
        <w:t xml:space="preserve">the </w:t>
      </w:r>
      <w:r w:rsidR="0020586B" w:rsidRPr="00387B8B">
        <w:rPr>
          <w:lang w:val="en-GB"/>
        </w:rPr>
        <w:t xml:space="preserve">transport sector </w:t>
      </w:r>
      <w:r w:rsidR="00D946C4" w:rsidRPr="00387B8B">
        <w:rPr>
          <w:lang w:val="en-GB"/>
        </w:rPr>
        <w:t xml:space="preserve">had </w:t>
      </w:r>
      <w:r w:rsidR="0020586B" w:rsidRPr="00387B8B">
        <w:rPr>
          <w:lang w:val="en-GB"/>
        </w:rPr>
        <w:t>started to reduce and control the city’s pollution levels.</w:t>
      </w:r>
      <w:r w:rsidR="0020586B" w:rsidRPr="00387B8B">
        <w:rPr>
          <w:rStyle w:val="FootnoteReference"/>
          <w:shd w:val="clear" w:color="auto" w:fill="FFFFFF"/>
          <w:lang w:val="en-GB"/>
        </w:rPr>
        <w:footnoteReference w:id="3"/>
      </w:r>
      <w:r w:rsidR="00056191" w:rsidRPr="00387B8B">
        <w:rPr>
          <w:lang w:val="en-GB"/>
        </w:rPr>
        <w:t xml:space="preserve"> </w:t>
      </w:r>
      <w:r w:rsidR="0020586B" w:rsidRPr="00387B8B">
        <w:rPr>
          <w:lang w:val="en-GB"/>
        </w:rPr>
        <w:t>IGL had invested significantly to create a world-class CNG fuel</w:t>
      </w:r>
      <w:r w:rsidR="00D946C4" w:rsidRPr="00387B8B">
        <w:rPr>
          <w:lang w:val="en-GB"/>
        </w:rPr>
        <w:t>l</w:t>
      </w:r>
      <w:r w:rsidR="0020586B" w:rsidRPr="00387B8B">
        <w:rPr>
          <w:lang w:val="en-GB"/>
        </w:rPr>
        <w:t>ing infrastructure, which risk</w:t>
      </w:r>
      <w:r w:rsidR="00EC1AF8" w:rsidRPr="00387B8B">
        <w:rPr>
          <w:lang w:val="en-GB"/>
        </w:rPr>
        <w:t>ed</w:t>
      </w:r>
      <w:r w:rsidR="0020586B" w:rsidRPr="00387B8B">
        <w:rPr>
          <w:lang w:val="en-GB"/>
        </w:rPr>
        <w:t xml:space="preserve"> being underutilized during the odd-even scheme</w:t>
      </w:r>
      <w:r w:rsidR="00EC1AF8" w:rsidRPr="00387B8B">
        <w:rPr>
          <w:lang w:val="en-GB"/>
        </w:rPr>
        <w:t>,</w:t>
      </w:r>
      <w:r w:rsidR="0020586B" w:rsidRPr="00387B8B">
        <w:rPr>
          <w:lang w:val="en-GB"/>
        </w:rPr>
        <w:t xml:space="preserve"> as per the initial announcement from the Government of Delhi. It was embarrassing for an organization </w:t>
      </w:r>
      <w:r w:rsidR="00D946C4" w:rsidRPr="00387B8B">
        <w:rPr>
          <w:lang w:val="en-GB"/>
        </w:rPr>
        <w:t xml:space="preserve">such as </w:t>
      </w:r>
      <w:r w:rsidR="0020586B" w:rsidRPr="00387B8B">
        <w:rPr>
          <w:lang w:val="en-GB"/>
        </w:rPr>
        <w:t xml:space="preserve">IGL, which </w:t>
      </w:r>
      <w:r w:rsidR="00D946C4" w:rsidRPr="00387B8B">
        <w:rPr>
          <w:lang w:val="en-GB"/>
        </w:rPr>
        <w:t xml:space="preserve">had been </w:t>
      </w:r>
      <w:r w:rsidR="0020586B" w:rsidRPr="00387B8B">
        <w:rPr>
          <w:lang w:val="en-GB"/>
        </w:rPr>
        <w:t xml:space="preserve">built to overcome environmental issues, to lose out during the implementation of a policy initiative aimed at curbing environmental pollution. </w:t>
      </w:r>
    </w:p>
    <w:p w14:paraId="04FDA6D4" w14:textId="77777777" w:rsidR="0020586B" w:rsidRPr="00056191" w:rsidRDefault="0020586B" w:rsidP="0020586B">
      <w:pPr>
        <w:pStyle w:val="BodyTextMain"/>
        <w:rPr>
          <w:sz w:val="20"/>
          <w:lang w:val="en-GB"/>
        </w:rPr>
      </w:pPr>
    </w:p>
    <w:p w14:paraId="11F5D7CE" w14:textId="77777777" w:rsidR="0020586B" w:rsidRPr="00056191" w:rsidRDefault="0020586B" w:rsidP="0020586B">
      <w:pPr>
        <w:pStyle w:val="BodyTextMain"/>
        <w:rPr>
          <w:sz w:val="20"/>
          <w:lang w:val="en-GB"/>
        </w:rPr>
      </w:pPr>
    </w:p>
    <w:p w14:paraId="1F64A393" w14:textId="77777777" w:rsidR="0020586B" w:rsidRPr="00056191" w:rsidRDefault="0020586B" w:rsidP="0020586B">
      <w:pPr>
        <w:pStyle w:val="Casehead1"/>
        <w:rPr>
          <w:lang w:val="en-GB"/>
        </w:rPr>
      </w:pPr>
      <w:r w:rsidRPr="00056191">
        <w:rPr>
          <w:lang w:val="en-GB"/>
        </w:rPr>
        <w:t>The dilemma</w:t>
      </w:r>
    </w:p>
    <w:p w14:paraId="72E3F88B" w14:textId="77777777" w:rsidR="0020586B" w:rsidRPr="00056191" w:rsidRDefault="0020586B" w:rsidP="0020586B">
      <w:pPr>
        <w:pStyle w:val="BodyTextMain"/>
        <w:rPr>
          <w:sz w:val="20"/>
          <w:lang w:val="en-GB"/>
        </w:rPr>
      </w:pPr>
    </w:p>
    <w:p w14:paraId="2EC2EAE7" w14:textId="5BE5FE24" w:rsidR="00CB0AE0" w:rsidRDefault="001D0437" w:rsidP="0020586B">
      <w:pPr>
        <w:pStyle w:val="BodyTextMain"/>
        <w:rPr>
          <w:lang w:val="en-GB"/>
        </w:rPr>
      </w:pPr>
      <w:r>
        <w:rPr>
          <w:lang w:val="en-GB"/>
        </w:rPr>
        <w:t>Because</w:t>
      </w:r>
      <w:r w:rsidRPr="00056191">
        <w:rPr>
          <w:lang w:val="en-GB"/>
        </w:rPr>
        <w:t xml:space="preserve"> </w:t>
      </w:r>
      <w:r>
        <w:rPr>
          <w:lang w:val="en-GB"/>
        </w:rPr>
        <w:t>Delhi’s</w:t>
      </w:r>
      <w:r w:rsidRPr="00056191">
        <w:rPr>
          <w:lang w:val="en-GB"/>
        </w:rPr>
        <w:t xml:space="preserve"> </w:t>
      </w:r>
      <w:r w:rsidR="0020586B" w:rsidRPr="00056191">
        <w:rPr>
          <w:lang w:val="en-GB"/>
        </w:rPr>
        <w:t>pollution levels had reached disproportionate levels, the government had decided to implement the odd-even policy</w:t>
      </w:r>
      <w:r w:rsidR="00D946C4">
        <w:rPr>
          <w:lang w:val="en-GB"/>
        </w:rPr>
        <w:t>, which</w:t>
      </w:r>
      <w:r w:rsidR="0020586B" w:rsidRPr="00056191">
        <w:rPr>
          <w:lang w:val="en-GB"/>
        </w:rPr>
        <w:t xml:space="preserve"> was aimed at reducing the number of vehicles on the road to counter environmental pollution.</w:t>
      </w:r>
      <w:r w:rsidR="0020586B" w:rsidRPr="00056191">
        <w:rPr>
          <w:rStyle w:val="FootnoteReference"/>
          <w:shd w:val="clear" w:color="auto" w:fill="FFFFFF"/>
          <w:lang w:val="en-GB"/>
        </w:rPr>
        <w:footnoteReference w:id="4"/>
      </w:r>
      <w:r w:rsidR="00663F1A">
        <w:rPr>
          <w:lang w:val="en-GB"/>
        </w:rPr>
        <w:t xml:space="preserve"> </w:t>
      </w:r>
      <w:r w:rsidR="00615B45" w:rsidRPr="00056191">
        <w:rPr>
          <w:lang w:val="en-GB"/>
        </w:rPr>
        <w:t xml:space="preserve">This </w:t>
      </w:r>
      <w:r w:rsidR="00663F1A">
        <w:rPr>
          <w:lang w:val="en-GB"/>
        </w:rPr>
        <w:t xml:space="preserve">policy </w:t>
      </w:r>
      <w:r w:rsidR="00615B45" w:rsidRPr="00056191">
        <w:rPr>
          <w:lang w:val="en-GB"/>
        </w:rPr>
        <w:t xml:space="preserve">was not expected to be a temporary phenomenon but was slated to be a regular feature to </w:t>
      </w:r>
      <w:r w:rsidR="00663F1A">
        <w:rPr>
          <w:lang w:val="en-GB"/>
        </w:rPr>
        <w:t>decrease</w:t>
      </w:r>
      <w:r w:rsidR="00615B45" w:rsidRPr="00056191">
        <w:rPr>
          <w:lang w:val="en-GB"/>
        </w:rPr>
        <w:t xml:space="preserve"> </w:t>
      </w:r>
      <w:r w:rsidR="00EC1AF8">
        <w:rPr>
          <w:lang w:val="en-GB"/>
        </w:rPr>
        <w:t>Delhi’s</w:t>
      </w:r>
      <w:r w:rsidR="00EC1AF8" w:rsidRPr="00056191">
        <w:rPr>
          <w:lang w:val="en-GB"/>
        </w:rPr>
        <w:t xml:space="preserve"> </w:t>
      </w:r>
      <w:r w:rsidR="00615B45" w:rsidRPr="00056191">
        <w:rPr>
          <w:lang w:val="en-GB"/>
        </w:rPr>
        <w:t>pollution levels.</w:t>
      </w:r>
      <w:r w:rsidR="00615B45" w:rsidRPr="00056191">
        <w:rPr>
          <w:rStyle w:val="FootnoteReference"/>
          <w:shd w:val="clear" w:color="auto" w:fill="FFFFFF"/>
          <w:lang w:val="en-GB"/>
        </w:rPr>
        <w:footnoteReference w:id="5"/>
      </w:r>
      <w:r w:rsidR="00663F1A">
        <w:rPr>
          <w:lang w:val="en-GB"/>
        </w:rPr>
        <w:t xml:space="preserve"> </w:t>
      </w:r>
      <w:r w:rsidR="00B643E9" w:rsidRPr="00056191">
        <w:rPr>
          <w:lang w:val="en-GB"/>
        </w:rPr>
        <w:t>Many countries had introduced similar road</w:t>
      </w:r>
      <w:r w:rsidR="00663F1A">
        <w:rPr>
          <w:lang w:val="en-GB"/>
        </w:rPr>
        <w:t>-</w:t>
      </w:r>
      <w:r w:rsidR="00B643E9" w:rsidRPr="00056191">
        <w:rPr>
          <w:lang w:val="en-GB"/>
        </w:rPr>
        <w:t>rationing policies from time to time.</w:t>
      </w:r>
      <w:r w:rsidR="00663F1A">
        <w:rPr>
          <w:lang w:val="en-GB"/>
        </w:rPr>
        <w:t xml:space="preserve"> For example, in 2008, in an attempt to improve air quality before the Olympic Games, </w:t>
      </w:r>
      <w:r w:rsidR="00B643E9" w:rsidRPr="00056191">
        <w:rPr>
          <w:lang w:val="en-GB"/>
        </w:rPr>
        <w:t xml:space="preserve">Beijing, </w:t>
      </w:r>
      <w:r w:rsidR="00615B45" w:rsidRPr="00056191">
        <w:rPr>
          <w:lang w:val="en-GB"/>
        </w:rPr>
        <w:t xml:space="preserve">the </w:t>
      </w:r>
      <w:r w:rsidR="00B643E9" w:rsidRPr="00056191">
        <w:rPr>
          <w:lang w:val="en-GB"/>
        </w:rPr>
        <w:t>capital of China</w:t>
      </w:r>
      <w:r w:rsidR="00663F1A">
        <w:rPr>
          <w:lang w:val="en-GB"/>
        </w:rPr>
        <w:t>,</w:t>
      </w:r>
      <w:r w:rsidR="00B643E9" w:rsidRPr="00056191">
        <w:rPr>
          <w:lang w:val="en-GB"/>
        </w:rPr>
        <w:t xml:space="preserve"> had implemented </w:t>
      </w:r>
      <w:r w:rsidR="00663F1A">
        <w:rPr>
          <w:lang w:val="en-GB"/>
        </w:rPr>
        <w:t xml:space="preserve">a </w:t>
      </w:r>
      <w:r w:rsidR="00B643E9" w:rsidRPr="00056191">
        <w:rPr>
          <w:lang w:val="en-GB"/>
        </w:rPr>
        <w:t>road</w:t>
      </w:r>
      <w:r w:rsidR="00663F1A">
        <w:rPr>
          <w:lang w:val="en-GB"/>
        </w:rPr>
        <w:t>-</w:t>
      </w:r>
      <w:r w:rsidR="00B643E9" w:rsidRPr="00056191">
        <w:rPr>
          <w:lang w:val="en-GB"/>
        </w:rPr>
        <w:t>rationing scheme</w:t>
      </w:r>
      <w:r w:rsidR="009F4017" w:rsidRPr="00056191">
        <w:rPr>
          <w:lang w:val="en-GB"/>
        </w:rPr>
        <w:t xml:space="preserve"> based on the last digit of </w:t>
      </w:r>
      <w:r w:rsidR="00EC1AF8">
        <w:rPr>
          <w:lang w:val="en-GB"/>
        </w:rPr>
        <w:t>licence</w:t>
      </w:r>
      <w:r w:rsidR="009F4017" w:rsidRPr="00056191">
        <w:rPr>
          <w:lang w:val="en-GB"/>
        </w:rPr>
        <w:t xml:space="preserve"> plate</w:t>
      </w:r>
      <w:r w:rsidR="00EC1AF8">
        <w:rPr>
          <w:lang w:val="en-GB"/>
        </w:rPr>
        <w:t xml:space="preserve"> numbers</w:t>
      </w:r>
      <w:r w:rsidR="00B643E9" w:rsidRPr="00056191">
        <w:rPr>
          <w:lang w:val="en-GB"/>
        </w:rPr>
        <w:t>.</w:t>
      </w:r>
      <w:r w:rsidR="00865F01" w:rsidRPr="00056191">
        <w:rPr>
          <w:rStyle w:val="FootnoteReference"/>
          <w:lang w:val="en-GB"/>
        </w:rPr>
        <w:footnoteReference w:id="6"/>
      </w:r>
      <w:r w:rsidR="00865F01" w:rsidRPr="00056191">
        <w:rPr>
          <w:lang w:val="en-GB"/>
        </w:rPr>
        <w:t xml:space="preserve"> </w:t>
      </w:r>
      <w:r w:rsidR="00AD0155" w:rsidRPr="00056191">
        <w:rPr>
          <w:lang w:val="en-GB"/>
        </w:rPr>
        <w:t>Policy</w:t>
      </w:r>
      <w:r w:rsidR="00663F1A">
        <w:rPr>
          <w:lang w:val="en-GB"/>
        </w:rPr>
        <w:t>-</w:t>
      </w:r>
      <w:r w:rsidR="00AD0155" w:rsidRPr="00056191">
        <w:rPr>
          <w:lang w:val="en-GB"/>
        </w:rPr>
        <w:t>makers</w:t>
      </w:r>
      <w:r w:rsidR="00615B45" w:rsidRPr="00056191">
        <w:rPr>
          <w:lang w:val="en-GB"/>
        </w:rPr>
        <w:t xml:space="preserve"> there</w:t>
      </w:r>
      <w:r w:rsidR="00AD0155" w:rsidRPr="00056191">
        <w:rPr>
          <w:lang w:val="en-GB"/>
        </w:rPr>
        <w:t xml:space="preserve"> had strict</w:t>
      </w:r>
      <w:r w:rsidR="00663F1A">
        <w:rPr>
          <w:lang w:val="en-GB"/>
        </w:rPr>
        <w:t>ly</w:t>
      </w:r>
      <w:r w:rsidR="00AD0155" w:rsidRPr="00056191">
        <w:rPr>
          <w:lang w:val="en-GB"/>
        </w:rPr>
        <w:t xml:space="preserve"> for</w:t>
      </w:r>
      <w:r w:rsidR="00663F1A">
        <w:rPr>
          <w:lang w:val="en-GB"/>
        </w:rPr>
        <w:t>b</w:t>
      </w:r>
      <w:r w:rsidR="00BB7C57">
        <w:rPr>
          <w:lang w:val="en-GB"/>
        </w:rPr>
        <w:t>idden</w:t>
      </w:r>
      <w:r w:rsidR="00AD0155" w:rsidRPr="00056191">
        <w:rPr>
          <w:lang w:val="en-GB"/>
        </w:rPr>
        <w:t xml:space="preserve"> any exemptions.</w:t>
      </w:r>
      <w:r w:rsidR="00865F01" w:rsidRPr="00056191">
        <w:rPr>
          <w:rStyle w:val="FootnoteReference"/>
          <w:lang w:val="en-GB"/>
        </w:rPr>
        <w:footnoteReference w:id="7"/>
      </w:r>
      <w:r w:rsidR="00865F01" w:rsidRPr="00056191">
        <w:rPr>
          <w:lang w:val="en-GB"/>
        </w:rPr>
        <w:t xml:space="preserve"> </w:t>
      </w:r>
      <w:r w:rsidR="009F4017" w:rsidRPr="00056191">
        <w:rPr>
          <w:lang w:val="en-GB"/>
        </w:rPr>
        <w:t xml:space="preserve">Mexico </w:t>
      </w:r>
      <w:r w:rsidR="00615B45" w:rsidRPr="00056191">
        <w:rPr>
          <w:lang w:val="en-GB"/>
        </w:rPr>
        <w:t>C</w:t>
      </w:r>
      <w:r w:rsidR="009F4017" w:rsidRPr="00056191">
        <w:rPr>
          <w:lang w:val="en-GB"/>
        </w:rPr>
        <w:t>ity had also implemented a similar road</w:t>
      </w:r>
      <w:r w:rsidR="00663F1A">
        <w:rPr>
          <w:lang w:val="en-GB"/>
        </w:rPr>
        <w:t>-</w:t>
      </w:r>
      <w:r w:rsidR="009F4017" w:rsidRPr="00056191">
        <w:rPr>
          <w:lang w:val="en-GB"/>
        </w:rPr>
        <w:t xml:space="preserve">rationing policy in the </w:t>
      </w:r>
      <w:r w:rsidR="00663F1A">
        <w:rPr>
          <w:lang w:val="en-GB"/>
        </w:rPr>
        <w:t>19</w:t>
      </w:r>
      <w:r w:rsidR="00615B45" w:rsidRPr="00056191">
        <w:rPr>
          <w:lang w:val="en-GB"/>
        </w:rPr>
        <w:t>80s, where</w:t>
      </w:r>
      <w:r w:rsidR="00663F1A">
        <w:rPr>
          <w:lang w:val="en-GB"/>
        </w:rPr>
        <w:t>by</w:t>
      </w:r>
      <w:r w:rsidR="00615B45" w:rsidRPr="00056191">
        <w:rPr>
          <w:lang w:val="en-GB"/>
        </w:rPr>
        <w:t xml:space="preserve"> c</w:t>
      </w:r>
      <w:r w:rsidR="009F4017" w:rsidRPr="00056191">
        <w:rPr>
          <w:lang w:val="en-GB"/>
        </w:rPr>
        <w:t xml:space="preserve">ars were not allowed to </w:t>
      </w:r>
      <w:r w:rsidR="00663F1A">
        <w:rPr>
          <w:lang w:val="en-GB"/>
        </w:rPr>
        <w:t>be</w:t>
      </w:r>
      <w:r w:rsidR="00663F1A" w:rsidRPr="00056191">
        <w:rPr>
          <w:lang w:val="en-GB"/>
        </w:rPr>
        <w:t xml:space="preserve"> </w:t>
      </w:r>
      <w:r w:rsidR="009F4017" w:rsidRPr="00056191">
        <w:rPr>
          <w:lang w:val="en-GB"/>
        </w:rPr>
        <w:t xml:space="preserve">on the road on one weekday based on the number on their </w:t>
      </w:r>
      <w:r w:rsidR="00663F1A" w:rsidRPr="00056191">
        <w:rPr>
          <w:lang w:val="en-GB"/>
        </w:rPr>
        <w:t>licen</w:t>
      </w:r>
      <w:r w:rsidR="00663F1A">
        <w:rPr>
          <w:lang w:val="en-GB"/>
        </w:rPr>
        <w:t>c</w:t>
      </w:r>
      <w:r w:rsidR="00663F1A" w:rsidRPr="00056191">
        <w:rPr>
          <w:lang w:val="en-GB"/>
        </w:rPr>
        <w:t xml:space="preserve">e </w:t>
      </w:r>
      <w:r w:rsidR="009F4017" w:rsidRPr="00056191">
        <w:rPr>
          <w:lang w:val="en-GB"/>
        </w:rPr>
        <w:t>plates</w:t>
      </w:r>
      <w:r w:rsidR="00AD0155" w:rsidRPr="00056191">
        <w:rPr>
          <w:lang w:val="en-GB"/>
        </w:rPr>
        <w:t xml:space="preserve">. Bogota, </w:t>
      </w:r>
      <w:r w:rsidR="00663F1A">
        <w:rPr>
          <w:lang w:val="en-GB"/>
        </w:rPr>
        <w:t xml:space="preserve">the </w:t>
      </w:r>
      <w:r w:rsidR="00AD0155" w:rsidRPr="00056191">
        <w:rPr>
          <w:lang w:val="en-GB"/>
        </w:rPr>
        <w:t>capital of Col</w:t>
      </w:r>
      <w:r w:rsidR="00663F1A">
        <w:rPr>
          <w:lang w:val="en-GB"/>
        </w:rPr>
        <w:t>o</w:t>
      </w:r>
      <w:r w:rsidR="00AD0155" w:rsidRPr="00056191">
        <w:rPr>
          <w:lang w:val="en-GB"/>
        </w:rPr>
        <w:t>mbia had implemented a road</w:t>
      </w:r>
      <w:r w:rsidR="00663F1A">
        <w:rPr>
          <w:lang w:val="en-GB"/>
        </w:rPr>
        <w:t>-</w:t>
      </w:r>
      <w:r w:rsidR="00AD0155" w:rsidRPr="00056191">
        <w:rPr>
          <w:lang w:val="en-GB"/>
        </w:rPr>
        <w:t xml:space="preserve">rationing scheme called </w:t>
      </w:r>
      <w:r w:rsidR="00663F1A">
        <w:rPr>
          <w:lang w:val="en-GB"/>
        </w:rPr>
        <w:t>“</w:t>
      </w:r>
      <w:r w:rsidR="00AD0155" w:rsidRPr="00056191">
        <w:rPr>
          <w:lang w:val="en-GB"/>
        </w:rPr>
        <w:t>Pico Y Placa</w:t>
      </w:r>
      <w:r w:rsidR="00CB0AE0" w:rsidRPr="00056191">
        <w:rPr>
          <w:lang w:val="en-GB"/>
        </w:rPr>
        <w:t>,</w:t>
      </w:r>
      <w:r w:rsidR="00663F1A">
        <w:rPr>
          <w:lang w:val="en-GB"/>
        </w:rPr>
        <w:t>”</w:t>
      </w:r>
      <w:r w:rsidR="00CB0AE0" w:rsidRPr="00056191">
        <w:rPr>
          <w:lang w:val="en-GB"/>
        </w:rPr>
        <w:t xml:space="preserve"> where</w:t>
      </w:r>
      <w:r w:rsidR="00663F1A">
        <w:rPr>
          <w:lang w:val="en-GB"/>
        </w:rPr>
        <w:t>by</w:t>
      </w:r>
      <w:r w:rsidR="00AD0155" w:rsidRPr="00056191">
        <w:rPr>
          <w:lang w:val="en-GB"/>
        </w:rPr>
        <w:t xml:space="preserve"> vehicles were banned from roads during the peak hours of a day</w:t>
      </w:r>
      <w:r w:rsidR="00663F1A">
        <w:rPr>
          <w:lang w:val="en-GB"/>
        </w:rPr>
        <w:t>,</w:t>
      </w:r>
      <w:r w:rsidR="00AD0155" w:rsidRPr="00056191">
        <w:rPr>
          <w:lang w:val="en-GB"/>
        </w:rPr>
        <w:t xml:space="preserve"> and violators were fined up</w:t>
      </w:r>
      <w:r w:rsidR="00663F1A">
        <w:rPr>
          <w:lang w:val="en-GB"/>
        </w:rPr>
        <w:t xml:space="preserve"> </w:t>
      </w:r>
      <w:r w:rsidR="00AD0155" w:rsidRPr="00056191">
        <w:rPr>
          <w:lang w:val="en-GB"/>
        </w:rPr>
        <w:t>to 15</w:t>
      </w:r>
      <w:r w:rsidR="00663F1A">
        <w:rPr>
          <w:lang w:val="en-GB"/>
        </w:rPr>
        <w:t xml:space="preserve"> per cent</w:t>
      </w:r>
      <w:r w:rsidR="00AD0155" w:rsidRPr="00056191">
        <w:rPr>
          <w:lang w:val="en-GB"/>
        </w:rPr>
        <w:t xml:space="preserve"> of their </w:t>
      </w:r>
      <w:r w:rsidR="00B92FD9" w:rsidRPr="00056191">
        <w:rPr>
          <w:lang w:val="en-GB"/>
        </w:rPr>
        <w:t>daily minimum wage.</w:t>
      </w:r>
      <w:r w:rsidR="00663F1A">
        <w:rPr>
          <w:lang w:val="en-GB"/>
        </w:rPr>
        <w:t xml:space="preserve"> </w:t>
      </w:r>
      <w:r w:rsidR="00B92FD9" w:rsidRPr="00056191">
        <w:rPr>
          <w:lang w:val="en-GB"/>
        </w:rPr>
        <w:t>Paris, had also implemented road</w:t>
      </w:r>
      <w:r w:rsidR="00663F1A">
        <w:rPr>
          <w:lang w:val="en-GB"/>
        </w:rPr>
        <w:t>-</w:t>
      </w:r>
      <w:r w:rsidR="00B92FD9" w:rsidRPr="00056191">
        <w:rPr>
          <w:lang w:val="en-GB"/>
        </w:rPr>
        <w:t>rationing scheme</w:t>
      </w:r>
      <w:r w:rsidR="00BB7C57">
        <w:rPr>
          <w:lang w:val="en-GB"/>
        </w:rPr>
        <w:t>s</w:t>
      </w:r>
      <w:r w:rsidR="00B92FD9" w:rsidRPr="00056191">
        <w:rPr>
          <w:lang w:val="en-GB"/>
        </w:rPr>
        <w:t xml:space="preserve"> twice</w:t>
      </w:r>
      <w:r w:rsidR="00BB7C57">
        <w:rPr>
          <w:lang w:val="en-GB"/>
        </w:rPr>
        <w:t>—</w:t>
      </w:r>
      <w:r w:rsidR="00B92FD9" w:rsidRPr="00056191">
        <w:rPr>
          <w:lang w:val="en-GB"/>
        </w:rPr>
        <w:t>once in 1997 and the second time in 201</w:t>
      </w:r>
      <w:r w:rsidR="00A03B48" w:rsidRPr="00056191">
        <w:rPr>
          <w:lang w:val="en-GB"/>
        </w:rPr>
        <w:t>5</w:t>
      </w:r>
      <w:r w:rsidR="00B92FD9" w:rsidRPr="00056191">
        <w:rPr>
          <w:lang w:val="en-GB"/>
        </w:rPr>
        <w:t>. During th</w:t>
      </w:r>
      <w:r w:rsidR="00BB7C57">
        <w:rPr>
          <w:lang w:val="en-GB"/>
        </w:rPr>
        <w:t>e</w:t>
      </w:r>
      <w:r w:rsidR="00B92FD9" w:rsidRPr="00056191">
        <w:rPr>
          <w:lang w:val="en-GB"/>
        </w:rPr>
        <w:t>s</w:t>
      </w:r>
      <w:r w:rsidR="00BB7C57">
        <w:rPr>
          <w:lang w:val="en-GB"/>
        </w:rPr>
        <w:t>e</w:t>
      </w:r>
      <w:r w:rsidR="00B92FD9" w:rsidRPr="00056191">
        <w:rPr>
          <w:lang w:val="en-GB"/>
        </w:rPr>
        <w:t xml:space="preserve"> period</w:t>
      </w:r>
      <w:r w:rsidR="00BB7C57">
        <w:rPr>
          <w:lang w:val="en-GB"/>
        </w:rPr>
        <w:t>s</w:t>
      </w:r>
      <w:r w:rsidR="00B92FD9" w:rsidRPr="00056191">
        <w:rPr>
          <w:lang w:val="en-GB"/>
        </w:rPr>
        <w:t>, public transport</w:t>
      </w:r>
      <w:r w:rsidR="00CB0AE0" w:rsidRPr="00056191">
        <w:rPr>
          <w:lang w:val="en-GB"/>
        </w:rPr>
        <w:t xml:space="preserve">ation </w:t>
      </w:r>
      <w:r w:rsidR="00663F1A">
        <w:rPr>
          <w:lang w:val="en-GB"/>
        </w:rPr>
        <w:t xml:space="preserve">in Paris </w:t>
      </w:r>
      <w:r w:rsidR="00CB0AE0" w:rsidRPr="00056191">
        <w:rPr>
          <w:lang w:val="en-GB"/>
        </w:rPr>
        <w:t xml:space="preserve">was </w:t>
      </w:r>
      <w:r w:rsidR="00B92FD9" w:rsidRPr="00056191">
        <w:rPr>
          <w:lang w:val="en-GB"/>
        </w:rPr>
        <w:t>free.</w:t>
      </w:r>
      <w:r w:rsidR="00865F01" w:rsidRPr="00056191">
        <w:rPr>
          <w:rStyle w:val="FootnoteReference"/>
          <w:lang w:val="en-GB"/>
        </w:rPr>
        <w:footnoteReference w:id="8"/>
      </w:r>
    </w:p>
    <w:p w14:paraId="0F842BBF" w14:textId="77777777" w:rsidR="00387B8B" w:rsidRPr="00F36850" w:rsidRDefault="00387B8B" w:rsidP="0020586B">
      <w:pPr>
        <w:pStyle w:val="BodyTextMain"/>
        <w:rPr>
          <w:sz w:val="20"/>
          <w:lang w:val="en-GB"/>
        </w:rPr>
      </w:pPr>
    </w:p>
    <w:p w14:paraId="37967EEA" w14:textId="71E9D62D" w:rsidR="0020586B" w:rsidRPr="003E464B" w:rsidRDefault="0020586B" w:rsidP="007F099D">
      <w:pPr>
        <w:pStyle w:val="BodyTextMain"/>
        <w:rPr>
          <w:spacing w:val="-2"/>
          <w:lang w:val="en-CA"/>
        </w:rPr>
      </w:pPr>
      <w:r w:rsidRPr="003E464B">
        <w:rPr>
          <w:spacing w:val="-2"/>
          <w:lang w:val="en-GB"/>
        </w:rPr>
        <w:t xml:space="preserve">IGL management was concerned with </w:t>
      </w:r>
      <w:r w:rsidR="00663F1A" w:rsidRPr="003E464B">
        <w:rPr>
          <w:spacing w:val="-2"/>
          <w:lang w:val="en-GB"/>
        </w:rPr>
        <w:t xml:space="preserve">both </w:t>
      </w:r>
      <w:r w:rsidRPr="003E464B">
        <w:rPr>
          <w:spacing w:val="-2"/>
          <w:lang w:val="en-GB"/>
        </w:rPr>
        <w:t xml:space="preserve">the potential loss of </w:t>
      </w:r>
      <w:r w:rsidR="00663F1A" w:rsidRPr="003E464B">
        <w:rPr>
          <w:spacing w:val="-2"/>
          <w:lang w:val="en-GB"/>
        </w:rPr>
        <w:t xml:space="preserve">approximately </w:t>
      </w:r>
      <w:r w:rsidR="001D0437" w:rsidRPr="003E464B">
        <w:rPr>
          <w:spacing w:val="-2"/>
          <w:lang w:val="en-GB"/>
        </w:rPr>
        <w:t>one-six</w:t>
      </w:r>
      <w:r w:rsidRPr="003E464B">
        <w:rPr>
          <w:spacing w:val="-2"/>
          <w:lang w:val="en-GB"/>
        </w:rPr>
        <w:t xml:space="preserve">th of </w:t>
      </w:r>
      <w:r w:rsidR="00663F1A" w:rsidRPr="003E464B">
        <w:rPr>
          <w:spacing w:val="-2"/>
          <w:lang w:val="en-GB"/>
        </w:rPr>
        <w:t xml:space="preserve">the company’s </w:t>
      </w:r>
      <w:r w:rsidRPr="003E464B">
        <w:rPr>
          <w:spacing w:val="-2"/>
          <w:lang w:val="en-GB"/>
        </w:rPr>
        <w:t xml:space="preserve">total CNG sales </w:t>
      </w:r>
      <w:r w:rsidR="00663F1A" w:rsidRPr="003E464B">
        <w:rPr>
          <w:spacing w:val="-2"/>
          <w:lang w:val="en-GB"/>
        </w:rPr>
        <w:t xml:space="preserve">and </w:t>
      </w:r>
      <w:r w:rsidRPr="003E464B">
        <w:rPr>
          <w:spacing w:val="-2"/>
          <w:lang w:val="en-GB"/>
        </w:rPr>
        <w:t xml:space="preserve">the long-term sustainability of </w:t>
      </w:r>
      <w:r w:rsidR="003E464B" w:rsidRPr="003E464B">
        <w:rPr>
          <w:spacing w:val="-2"/>
          <w:lang w:val="en-GB"/>
        </w:rPr>
        <w:t xml:space="preserve">the </w:t>
      </w:r>
      <w:r w:rsidRPr="003E464B">
        <w:rPr>
          <w:spacing w:val="-2"/>
          <w:lang w:val="en-GB"/>
        </w:rPr>
        <w:t>product.</w:t>
      </w:r>
      <w:r w:rsidR="00663F1A" w:rsidRPr="003E464B">
        <w:rPr>
          <w:spacing w:val="-2"/>
          <w:lang w:val="en-GB"/>
        </w:rPr>
        <w:t xml:space="preserve"> </w:t>
      </w:r>
      <w:r w:rsidRPr="003E464B">
        <w:rPr>
          <w:spacing w:val="-2"/>
          <w:lang w:val="en-GB"/>
        </w:rPr>
        <w:t xml:space="preserve">As the proposed odd-even scheme was a clear threat to business continuity and long-term sustainability, </w:t>
      </w:r>
      <w:r w:rsidR="00663F1A" w:rsidRPr="003E464B">
        <w:rPr>
          <w:spacing w:val="-2"/>
          <w:lang w:val="en-GB"/>
        </w:rPr>
        <w:t xml:space="preserve">IGL’s </w:t>
      </w:r>
      <w:r w:rsidRPr="003E464B">
        <w:rPr>
          <w:spacing w:val="-2"/>
          <w:lang w:val="en-GB"/>
        </w:rPr>
        <w:t xml:space="preserve">top management </w:t>
      </w:r>
      <w:r w:rsidR="001D0437" w:rsidRPr="003E464B">
        <w:rPr>
          <w:spacing w:val="-2"/>
          <w:lang w:val="en-GB"/>
        </w:rPr>
        <w:t xml:space="preserve">sought </w:t>
      </w:r>
      <w:r w:rsidRPr="003E464B">
        <w:rPr>
          <w:spacing w:val="-2"/>
          <w:lang w:val="en-GB"/>
        </w:rPr>
        <w:lastRenderedPageBreak/>
        <w:t xml:space="preserve">viable solutions for this issue. The foremost objective of team IGL was to protect its potential loss of sales in </w:t>
      </w:r>
      <w:r w:rsidR="001D0437" w:rsidRPr="003E464B">
        <w:rPr>
          <w:spacing w:val="-2"/>
          <w:lang w:val="en-GB"/>
        </w:rPr>
        <w:t xml:space="preserve">the </w:t>
      </w:r>
      <w:r w:rsidRPr="003E464B">
        <w:rPr>
          <w:spacing w:val="-2"/>
          <w:lang w:val="en-GB"/>
        </w:rPr>
        <w:t xml:space="preserve">private car segment, during </w:t>
      </w:r>
      <w:r w:rsidR="00663F1A" w:rsidRPr="003E464B">
        <w:rPr>
          <w:spacing w:val="-2"/>
          <w:lang w:val="en-GB"/>
        </w:rPr>
        <w:t xml:space="preserve">the </w:t>
      </w:r>
      <w:r w:rsidRPr="003E464B">
        <w:rPr>
          <w:spacing w:val="-2"/>
          <w:lang w:val="en-GB"/>
        </w:rPr>
        <w:t>odd</w:t>
      </w:r>
      <w:r w:rsidR="00663F1A" w:rsidRPr="003E464B">
        <w:rPr>
          <w:spacing w:val="-2"/>
          <w:lang w:val="en-GB"/>
        </w:rPr>
        <w:t>-</w:t>
      </w:r>
      <w:r w:rsidRPr="003E464B">
        <w:rPr>
          <w:spacing w:val="-2"/>
          <w:lang w:val="en-GB"/>
        </w:rPr>
        <w:t>even period. The company was already facing the challenge of a decline in growth of CNG</w:t>
      </w:r>
      <w:r w:rsidR="00F7785B" w:rsidRPr="003E464B">
        <w:rPr>
          <w:spacing w:val="-2"/>
          <w:lang w:val="en-GB"/>
        </w:rPr>
        <w:t>.</w:t>
      </w:r>
      <w:r w:rsidRPr="003E464B">
        <w:rPr>
          <w:spacing w:val="-2"/>
          <w:lang w:val="en-GB"/>
        </w:rPr>
        <w:t xml:space="preserve"> </w:t>
      </w:r>
      <w:r w:rsidR="00F7785B" w:rsidRPr="003E464B">
        <w:rPr>
          <w:spacing w:val="-2"/>
          <w:lang w:val="en-GB"/>
        </w:rPr>
        <w:t>C</w:t>
      </w:r>
      <w:r w:rsidRPr="003E464B">
        <w:rPr>
          <w:spacing w:val="-2"/>
          <w:lang w:val="en-GB"/>
        </w:rPr>
        <w:t xml:space="preserve">ustomers preferred to buy diesel vehicles </w:t>
      </w:r>
      <w:r w:rsidR="00BB7C57" w:rsidRPr="003E464B">
        <w:rPr>
          <w:spacing w:val="-2"/>
          <w:lang w:val="en-GB"/>
        </w:rPr>
        <w:t>because of lower</w:t>
      </w:r>
      <w:r w:rsidR="00663F1A" w:rsidRPr="003E464B">
        <w:rPr>
          <w:spacing w:val="-2"/>
          <w:lang w:val="en-GB"/>
        </w:rPr>
        <w:t xml:space="preserve"> </w:t>
      </w:r>
      <w:r w:rsidRPr="003E464B">
        <w:rPr>
          <w:spacing w:val="-2"/>
          <w:lang w:val="en-GB"/>
        </w:rPr>
        <w:t>fuel running costs (</w:t>
      </w:r>
      <w:r w:rsidR="00663F1A" w:rsidRPr="003E464B">
        <w:rPr>
          <w:spacing w:val="-2"/>
          <w:lang w:val="en-GB"/>
        </w:rPr>
        <w:t xml:space="preserve">see </w:t>
      </w:r>
      <w:r w:rsidRPr="003E464B">
        <w:rPr>
          <w:spacing w:val="-2"/>
          <w:lang w:val="en-GB"/>
        </w:rPr>
        <w:t xml:space="preserve">Exhibit 2). In 2015, </w:t>
      </w:r>
      <w:r w:rsidR="00663F1A" w:rsidRPr="003E464B">
        <w:rPr>
          <w:spacing w:val="-2"/>
          <w:lang w:val="en-GB"/>
        </w:rPr>
        <w:t xml:space="preserve">IGL’s </w:t>
      </w:r>
      <w:r w:rsidRPr="003E464B">
        <w:rPr>
          <w:spacing w:val="-2"/>
          <w:lang w:val="en-GB"/>
        </w:rPr>
        <w:t xml:space="preserve">CNG sales were not </w:t>
      </w:r>
      <w:r w:rsidR="00663F1A" w:rsidRPr="003E464B">
        <w:rPr>
          <w:spacing w:val="-2"/>
          <w:lang w:val="en-GB"/>
        </w:rPr>
        <w:t>increasing</w:t>
      </w:r>
      <w:r w:rsidRPr="003E464B">
        <w:rPr>
          <w:spacing w:val="-2"/>
          <w:lang w:val="en-GB"/>
        </w:rPr>
        <w:t xml:space="preserve"> as desired. The slow growth was attributed to a lack of a significant advantage for the vehicle owners</w:t>
      </w:r>
      <w:r w:rsidR="00663F1A" w:rsidRPr="003E464B">
        <w:rPr>
          <w:spacing w:val="-2"/>
          <w:lang w:val="en-GB"/>
        </w:rPr>
        <w:t xml:space="preserve"> </w:t>
      </w:r>
      <w:r w:rsidRPr="003E464B">
        <w:rPr>
          <w:spacing w:val="-2"/>
          <w:lang w:val="en-GB"/>
        </w:rPr>
        <w:t xml:space="preserve">in running CNG vehicles as compared </w:t>
      </w:r>
      <w:r w:rsidR="00663F1A" w:rsidRPr="003E464B">
        <w:rPr>
          <w:spacing w:val="-2"/>
          <w:lang w:val="en-GB"/>
        </w:rPr>
        <w:t xml:space="preserve">with </w:t>
      </w:r>
      <w:r w:rsidRPr="003E464B">
        <w:rPr>
          <w:spacing w:val="-2"/>
          <w:lang w:val="en-GB"/>
        </w:rPr>
        <w:t>running diesel vehicles.</w:t>
      </w:r>
      <w:r w:rsidR="00056191" w:rsidRPr="003E464B">
        <w:rPr>
          <w:spacing w:val="-2"/>
          <w:lang w:val="en-GB"/>
        </w:rPr>
        <w:t xml:space="preserve"> </w:t>
      </w:r>
      <w:r w:rsidR="005D6B51" w:rsidRPr="003E464B">
        <w:rPr>
          <w:spacing w:val="-2"/>
          <w:lang w:val="en-GB"/>
        </w:rPr>
        <w:t xml:space="preserve">Due to these cost dynamics, IGL’s </w:t>
      </w:r>
      <w:r w:rsidRPr="003E464B">
        <w:rPr>
          <w:spacing w:val="-2"/>
          <w:lang w:val="en-GB"/>
        </w:rPr>
        <w:t>CNG sales were almost stagnant (</w:t>
      </w:r>
      <w:r w:rsidR="001D0437" w:rsidRPr="003E464B">
        <w:rPr>
          <w:spacing w:val="-2"/>
          <w:lang w:val="en-GB"/>
        </w:rPr>
        <w:t xml:space="preserve">i.e., had </w:t>
      </w:r>
      <w:r w:rsidRPr="003E464B">
        <w:rPr>
          <w:spacing w:val="-2"/>
          <w:lang w:val="en-GB"/>
        </w:rPr>
        <w:t xml:space="preserve">non-existent growth) in the previous two years. Additionally, due to technical reasons, diesel cars </w:t>
      </w:r>
      <w:r w:rsidR="00663F1A" w:rsidRPr="003E464B">
        <w:rPr>
          <w:spacing w:val="-2"/>
          <w:lang w:val="en-GB"/>
        </w:rPr>
        <w:t xml:space="preserve">(unlike petrol cars) </w:t>
      </w:r>
      <w:r w:rsidRPr="003E464B">
        <w:rPr>
          <w:spacing w:val="-2"/>
          <w:lang w:val="en-GB"/>
        </w:rPr>
        <w:t xml:space="preserve">could not be retrofitted with CNG kits, as they required significant modifications to their engines. Also, </w:t>
      </w:r>
      <w:r w:rsidR="007F099D" w:rsidRPr="003E464B">
        <w:rPr>
          <w:spacing w:val="-2"/>
          <w:lang w:val="en-GB"/>
        </w:rPr>
        <w:t xml:space="preserve">the </w:t>
      </w:r>
      <w:r w:rsidRPr="003E464B">
        <w:rPr>
          <w:spacing w:val="-2"/>
          <w:lang w:val="en-GB"/>
        </w:rPr>
        <w:t>gross turnover of the company had decreased by 6</w:t>
      </w:r>
      <w:r w:rsidR="00663F1A" w:rsidRPr="003E464B">
        <w:rPr>
          <w:spacing w:val="-2"/>
          <w:lang w:val="en-GB"/>
        </w:rPr>
        <w:t xml:space="preserve"> per cent </w:t>
      </w:r>
      <w:r w:rsidRPr="003E464B">
        <w:rPr>
          <w:spacing w:val="-2"/>
          <w:lang w:val="en-GB"/>
        </w:rPr>
        <w:t xml:space="preserve">from </w:t>
      </w:r>
      <w:r w:rsidR="00663F1A" w:rsidRPr="003E464B">
        <w:rPr>
          <w:rFonts w:ascii="Arial" w:hAnsi="Arial" w:cs="Arial"/>
          <w:color w:val="222222"/>
          <w:spacing w:val="-2"/>
          <w:sz w:val="20"/>
          <w:szCs w:val="20"/>
          <w:shd w:val="clear" w:color="auto" w:fill="FFFFFF"/>
          <w:lang w:val="en-CA"/>
        </w:rPr>
        <w:t>₹</w:t>
      </w:r>
      <w:r w:rsidRPr="003E464B">
        <w:rPr>
          <w:spacing w:val="-2"/>
          <w:lang w:val="en-GB"/>
        </w:rPr>
        <w:t>43.19 billion</w:t>
      </w:r>
      <w:r w:rsidR="001D0437" w:rsidRPr="003E464B">
        <w:rPr>
          <w:rStyle w:val="FootnoteReference"/>
          <w:spacing w:val="-2"/>
          <w:lang w:val="en-GB"/>
        </w:rPr>
        <w:footnoteReference w:id="9"/>
      </w:r>
      <w:r w:rsidRPr="003E464B">
        <w:rPr>
          <w:spacing w:val="-2"/>
          <w:lang w:val="en-GB"/>
        </w:rPr>
        <w:t xml:space="preserve"> in financial year </w:t>
      </w:r>
      <w:r w:rsidR="007F099D" w:rsidRPr="003E464B">
        <w:rPr>
          <w:spacing w:val="-2"/>
          <w:lang w:val="en-GB"/>
        </w:rPr>
        <w:t xml:space="preserve">(FY) </w:t>
      </w:r>
      <w:r w:rsidRPr="003E464B">
        <w:rPr>
          <w:spacing w:val="-2"/>
          <w:lang w:val="en-GB"/>
        </w:rPr>
        <w:t>2013</w:t>
      </w:r>
      <w:r w:rsidR="007F099D" w:rsidRPr="003E464B">
        <w:rPr>
          <w:spacing w:val="-2"/>
          <w:lang w:val="en-GB"/>
        </w:rPr>
        <w:t>–</w:t>
      </w:r>
      <w:r w:rsidRPr="003E464B">
        <w:rPr>
          <w:spacing w:val="-2"/>
          <w:lang w:val="en-GB"/>
        </w:rPr>
        <w:t xml:space="preserve">14 to </w:t>
      </w:r>
      <w:r w:rsidR="007F099D" w:rsidRPr="003E464B">
        <w:rPr>
          <w:rFonts w:ascii="Arial" w:hAnsi="Arial" w:cs="Arial"/>
          <w:color w:val="222222"/>
          <w:spacing w:val="-2"/>
          <w:sz w:val="20"/>
          <w:szCs w:val="20"/>
          <w:shd w:val="clear" w:color="auto" w:fill="FFFFFF"/>
          <w:lang w:val="en-CA"/>
        </w:rPr>
        <w:t>₹</w:t>
      </w:r>
      <w:r w:rsidRPr="003E464B">
        <w:rPr>
          <w:spacing w:val="-2"/>
          <w:lang w:val="en-GB"/>
        </w:rPr>
        <w:t xml:space="preserve">40.49 billion in </w:t>
      </w:r>
      <w:r w:rsidR="007F099D" w:rsidRPr="003E464B">
        <w:rPr>
          <w:spacing w:val="-2"/>
          <w:lang w:val="en-GB"/>
        </w:rPr>
        <w:t>FY</w:t>
      </w:r>
      <w:r w:rsidRPr="003E464B">
        <w:rPr>
          <w:spacing w:val="-2"/>
          <w:lang w:val="en-GB"/>
        </w:rPr>
        <w:t xml:space="preserve"> 2014</w:t>
      </w:r>
      <w:r w:rsidR="007F099D" w:rsidRPr="003E464B">
        <w:rPr>
          <w:spacing w:val="-2"/>
          <w:lang w:val="en-GB"/>
        </w:rPr>
        <w:t>–</w:t>
      </w:r>
      <w:r w:rsidRPr="003E464B">
        <w:rPr>
          <w:spacing w:val="-2"/>
          <w:lang w:val="en-GB"/>
        </w:rPr>
        <w:t>15</w:t>
      </w:r>
      <w:r w:rsidR="007F099D" w:rsidRPr="003E464B">
        <w:rPr>
          <w:spacing w:val="-2"/>
          <w:lang w:val="en-GB"/>
        </w:rPr>
        <w:t>,</w:t>
      </w:r>
      <w:r w:rsidRPr="003E464B">
        <w:rPr>
          <w:spacing w:val="-2"/>
          <w:lang w:val="en-GB"/>
        </w:rPr>
        <w:t xml:space="preserve"> mainly on account of </w:t>
      </w:r>
      <w:r w:rsidR="005D6B51" w:rsidRPr="003E464B">
        <w:rPr>
          <w:spacing w:val="-2"/>
          <w:lang w:val="en-GB"/>
        </w:rPr>
        <w:t xml:space="preserve">a </w:t>
      </w:r>
      <w:r w:rsidRPr="003E464B">
        <w:rPr>
          <w:spacing w:val="-2"/>
          <w:lang w:val="en-GB"/>
        </w:rPr>
        <w:t>substantial reduction in the selling price</w:t>
      </w:r>
      <w:r w:rsidR="007F099D" w:rsidRPr="003E464B">
        <w:rPr>
          <w:spacing w:val="-2"/>
          <w:lang w:val="en-GB"/>
        </w:rPr>
        <w:t>s</w:t>
      </w:r>
      <w:r w:rsidRPr="003E464B">
        <w:rPr>
          <w:spacing w:val="-2"/>
          <w:lang w:val="en-GB"/>
        </w:rPr>
        <w:t xml:space="preserve"> of CNG and PNG-Domestic due to </w:t>
      </w:r>
      <w:r w:rsidR="007F099D" w:rsidRPr="003E464B">
        <w:rPr>
          <w:spacing w:val="-2"/>
          <w:lang w:val="en-GB"/>
        </w:rPr>
        <w:t xml:space="preserve">the </w:t>
      </w:r>
      <w:r w:rsidRPr="003E464B">
        <w:rPr>
          <w:spacing w:val="-2"/>
          <w:lang w:val="en-GB"/>
        </w:rPr>
        <w:t xml:space="preserve">allocation of additional domestic gas to </w:t>
      </w:r>
      <w:r w:rsidR="007F099D" w:rsidRPr="003E464B">
        <w:rPr>
          <w:spacing w:val="-2"/>
          <w:lang w:val="en-GB"/>
        </w:rPr>
        <w:t xml:space="preserve">the </w:t>
      </w:r>
      <w:r w:rsidRPr="003E464B">
        <w:rPr>
          <w:spacing w:val="-2"/>
          <w:lang w:val="en-GB"/>
        </w:rPr>
        <w:t xml:space="preserve">CGD sector. </w:t>
      </w:r>
      <w:r w:rsidR="007F099D" w:rsidRPr="003E464B">
        <w:rPr>
          <w:spacing w:val="-2"/>
          <w:lang w:val="en-GB"/>
        </w:rPr>
        <w:t>The result was</w:t>
      </w:r>
      <w:r w:rsidRPr="003E464B">
        <w:rPr>
          <w:spacing w:val="-2"/>
          <w:lang w:val="en-GB"/>
        </w:rPr>
        <w:t xml:space="preserve"> a lower input cost of gas</w:t>
      </w:r>
      <w:r w:rsidR="007F099D" w:rsidRPr="003E464B">
        <w:rPr>
          <w:spacing w:val="-2"/>
          <w:lang w:val="en-GB"/>
        </w:rPr>
        <w:t>,</w:t>
      </w:r>
      <w:r w:rsidRPr="003E464B">
        <w:rPr>
          <w:spacing w:val="-2"/>
          <w:lang w:val="en-GB"/>
        </w:rPr>
        <w:t xml:space="preserve"> which was passed on to customers by reducing the selling price of CNG and PNG-Domestic.</w:t>
      </w:r>
      <w:r w:rsidRPr="003E464B">
        <w:rPr>
          <w:rStyle w:val="FootnoteReference"/>
          <w:spacing w:val="-2"/>
          <w:shd w:val="clear" w:color="auto" w:fill="FFFFFF"/>
          <w:lang w:val="en-GB"/>
        </w:rPr>
        <w:footnoteReference w:id="10"/>
      </w:r>
    </w:p>
    <w:p w14:paraId="238F981F" w14:textId="77777777" w:rsidR="0020586B" w:rsidRPr="003E464B" w:rsidRDefault="0020586B" w:rsidP="0020586B">
      <w:pPr>
        <w:pStyle w:val="BodyTextMain"/>
        <w:rPr>
          <w:spacing w:val="-4"/>
          <w:sz w:val="20"/>
          <w:lang w:val="en-GB"/>
        </w:rPr>
      </w:pPr>
    </w:p>
    <w:p w14:paraId="56CBB12E" w14:textId="19BC0E17" w:rsidR="0020586B" w:rsidRPr="003E464B" w:rsidRDefault="0020586B" w:rsidP="0020586B">
      <w:pPr>
        <w:pStyle w:val="BodyTextMain"/>
        <w:rPr>
          <w:spacing w:val="-4"/>
          <w:lang w:val="en-GB"/>
        </w:rPr>
      </w:pPr>
      <w:r w:rsidRPr="003E464B">
        <w:rPr>
          <w:spacing w:val="-4"/>
          <w:lang w:val="en-GB"/>
        </w:rPr>
        <w:t xml:space="preserve">The threat to </w:t>
      </w:r>
      <w:r w:rsidR="007F099D" w:rsidRPr="003E464B">
        <w:rPr>
          <w:spacing w:val="-4"/>
          <w:lang w:val="en-GB"/>
        </w:rPr>
        <w:t xml:space="preserve">IGL’s </w:t>
      </w:r>
      <w:r w:rsidRPr="003E464B">
        <w:rPr>
          <w:spacing w:val="-4"/>
          <w:lang w:val="en-GB"/>
        </w:rPr>
        <w:t xml:space="preserve">sales was immediate but the impending danger was regarding the weak positioning of CNG among its key stakeholders. The team felt that </w:t>
      </w:r>
      <w:r w:rsidR="007F099D" w:rsidRPr="003E464B">
        <w:rPr>
          <w:spacing w:val="-4"/>
          <w:lang w:val="en-GB"/>
        </w:rPr>
        <w:t xml:space="preserve">IGL’s </w:t>
      </w:r>
      <w:r w:rsidRPr="003E464B">
        <w:rPr>
          <w:spacing w:val="-4"/>
          <w:lang w:val="en-GB"/>
        </w:rPr>
        <w:t xml:space="preserve">key stakeholders of IGL </w:t>
      </w:r>
      <w:r w:rsidR="007F099D" w:rsidRPr="003E464B">
        <w:rPr>
          <w:spacing w:val="-4"/>
          <w:lang w:val="en-GB"/>
        </w:rPr>
        <w:t xml:space="preserve">needed </w:t>
      </w:r>
      <w:r w:rsidRPr="003E464B">
        <w:rPr>
          <w:spacing w:val="-4"/>
          <w:lang w:val="en-GB"/>
        </w:rPr>
        <w:t>to perceive CNG as a clean fuel</w:t>
      </w:r>
      <w:r w:rsidR="007F099D" w:rsidRPr="003E464B">
        <w:rPr>
          <w:spacing w:val="-4"/>
          <w:lang w:val="en-GB"/>
        </w:rPr>
        <w:t>,</w:t>
      </w:r>
      <w:r w:rsidRPr="003E464B">
        <w:rPr>
          <w:spacing w:val="-4"/>
          <w:lang w:val="en-GB"/>
        </w:rPr>
        <w:t xml:space="preserve"> </w:t>
      </w:r>
      <w:r w:rsidR="007F099D" w:rsidRPr="003E464B">
        <w:rPr>
          <w:spacing w:val="-4"/>
          <w:lang w:val="en-GB"/>
        </w:rPr>
        <w:t>which</w:t>
      </w:r>
      <w:r w:rsidRPr="003E464B">
        <w:rPr>
          <w:spacing w:val="-4"/>
          <w:lang w:val="en-GB"/>
        </w:rPr>
        <w:t xml:space="preserve"> emphasized that the team </w:t>
      </w:r>
      <w:r w:rsidR="007F099D" w:rsidRPr="003E464B">
        <w:rPr>
          <w:spacing w:val="-4"/>
          <w:lang w:val="en-GB"/>
        </w:rPr>
        <w:t xml:space="preserve">needed </w:t>
      </w:r>
      <w:r w:rsidRPr="003E464B">
        <w:rPr>
          <w:spacing w:val="-4"/>
          <w:lang w:val="en-GB"/>
        </w:rPr>
        <w:t xml:space="preserve">to work on the positioning of </w:t>
      </w:r>
      <w:r w:rsidR="005D6B51" w:rsidRPr="003E464B">
        <w:rPr>
          <w:spacing w:val="-4"/>
          <w:lang w:val="en-GB"/>
        </w:rPr>
        <w:t xml:space="preserve">IGL’s </w:t>
      </w:r>
      <w:r w:rsidRPr="003E464B">
        <w:rPr>
          <w:spacing w:val="-4"/>
          <w:lang w:val="en-GB"/>
        </w:rPr>
        <w:t>flagship offering (i.e.</w:t>
      </w:r>
      <w:r w:rsidR="007F099D" w:rsidRPr="003E464B">
        <w:rPr>
          <w:spacing w:val="-4"/>
          <w:lang w:val="en-GB"/>
        </w:rPr>
        <w:t>,</w:t>
      </w:r>
      <w:r w:rsidRPr="003E464B">
        <w:rPr>
          <w:spacing w:val="-4"/>
          <w:lang w:val="en-GB"/>
        </w:rPr>
        <w:t xml:space="preserve"> CNG).</w:t>
      </w:r>
    </w:p>
    <w:p w14:paraId="5F591C55" w14:textId="77777777" w:rsidR="0020586B" w:rsidRPr="00056191" w:rsidRDefault="0020586B" w:rsidP="0020586B">
      <w:pPr>
        <w:pStyle w:val="BodyTextMain"/>
        <w:rPr>
          <w:sz w:val="20"/>
          <w:lang w:val="en-GB"/>
        </w:rPr>
      </w:pPr>
    </w:p>
    <w:p w14:paraId="78A0D4EC" w14:textId="77777777" w:rsidR="00CC17F5" w:rsidRPr="00056191" w:rsidRDefault="00CC17F5" w:rsidP="0020586B">
      <w:pPr>
        <w:pStyle w:val="BodyTextMain"/>
        <w:rPr>
          <w:sz w:val="20"/>
          <w:lang w:val="en-GB"/>
        </w:rPr>
      </w:pPr>
    </w:p>
    <w:p w14:paraId="4D155F17" w14:textId="77777777" w:rsidR="0020586B" w:rsidRPr="00056191" w:rsidRDefault="0020586B" w:rsidP="0020586B">
      <w:pPr>
        <w:pStyle w:val="Casehead1"/>
        <w:rPr>
          <w:lang w:val="en-GB"/>
        </w:rPr>
      </w:pPr>
      <w:r w:rsidRPr="00056191">
        <w:rPr>
          <w:lang w:val="en-GB"/>
        </w:rPr>
        <w:t>Background</w:t>
      </w:r>
    </w:p>
    <w:p w14:paraId="47EDCAD9" w14:textId="77777777" w:rsidR="0020586B" w:rsidRPr="00056191" w:rsidRDefault="0020586B" w:rsidP="0020586B">
      <w:pPr>
        <w:pStyle w:val="BodyTextMain"/>
        <w:rPr>
          <w:sz w:val="20"/>
          <w:lang w:val="en-GB"/>
        </w:rPr>
      </w:pPr>
    </w:p>
    <w:p w14:paraId="088BCA57" w14:textId="31F30994" w:rsidR="0020586B" w:rsidRPr="00387B8B" w:rsidRDefault="0020586B" w:rsidP="0020586B">
      <w:pPr>
        <w:pStyle w:val="BodyTextMain"/>
        <w:rPr>
          <w:spacing w:val="-2"/>
          <w:lang w:val="en-GB"/>
        </w:rPr>
      </w:pPr>
      <w:r w:rsidRPr="00387B8B">
        <w:rPr>
          <w:spacing w:val="-2"/>
          <w:lang w:val="en-GB"/>
        </w:rPr>
        <w:t xml:space="preserve">In 1998, IGL was incorporated as a joint venture of two blue-chip </w:t>
      </w:r>
      <w:r w:rsidR="007F099D" w:rsidRPr="00387B8B">
        <w:rPr>
          <w:spacing w:val="-2"/>
          <w:lang w:val="en-GB"/>
        </w:rPr>
        <w:t>p</w:t>
      </w:r>
      <w:r w:rsidRPr="00387B8B">
        <w:rPr>
          <w:spacing w:val="-2"/>
          <w:lang w:val="en-GB"/>
        </w:rPr>
        <w:t xml:space="preserve">ublic </w:t>
      </w:r>
      <w:r w:rsidR="007F099D" w:rsidRPr="00387B8B">
        <w:rPr>
          <w:spacing w:val="-2"/>
          <w:lang w:val="en-GB"/>
        </w:rPr>
        <w:t>s</w:t>
      </w:r>
      <w:r w:rsidRPr="00387B8B">
        <w:rPr>
          <w:spacing w:val="-2"/>
          <w:lang w:val="en-GB"/>
        </w:rPr>
        <w:t xml:space="preserve">ector </w:t>
      </w:r>
      <w:r w:rsidR="007F099D" w:rsidRPr="00387B8B">
        <w:rPr>
          <w:spacing w:val="-2"/>
          <w:lang w:val="en-GB"/>
        </w:rPr>
        <w:t>u</w:t>
      </w:r>
      <w:r w:rsidRPr="00387B8B">
        <w:rPr>
          <w:spacing w:val="-2"/>
          <w:lang w:val="en-GB"/>
        </w:rPr>
        <w:t>nits</w:t>
      </w:r>
      <w:r w:rsidR="007F099D" w:rsidRPr="00387B8B">
        <w:rPr>
          <w:spacing w:val="-2"/>
          <w:lang w:val="en-GB"/>
        </w:rPr>
        <w:t>—</w:t>
      </w:r>
      <w:r w:rsidRPr="00387B8B">
        <w:rPr>
          <w:spacing w:val="-2"/>
          <w:lang w:val="en-GB"/>
        </w:rPr>
        <w:t xml:space="preserve">Gas Authority of (India) Ltd. (GAIL) and Bharat Petroleum Corporation Ltd. (BPCL) along with </w:t>
      </w:r>
      <w:r w:rsidR="007F099D" w:rsidRPr="00387B8B">
        <w:rPr>
          <w:spacing w:val="-2"/>
          <w:lang w:val="en-GB"/>
        </w:rPr>
        <w:t xml:space="preserve">the </w:t>
      </w:r>
      <w:r w:rsidRPr="00387B8B">
        <w:rPr>
          <w:spacing w:val="-2"/>
          <w:lang w:val="en-GB"/>
        </w:rPr>
        <w:t xml:space="preserve">participation of </w:t>
      </w:r>
      <w:r w:rsidR="007F099D" w:rsidRPr="00387B8B">
        <w:rPr>
          <w:spacing w:val="-2"/>
          <w:lang w:val="en-GB"/>
        </w:rPr>
        <w:t xml:space="preserve">the </w:t>
      </w:r>
      <w:r w:rsidRPr="00387B8B">
        <w:rPr>
          <w:spacing w:val="-2"/>
          <w:lang w:val="en-GB"/>
        </w:rPr>
        <w:t xml:space="preserve">Government of Delhi. </w:t>
      </w:r>
      <w:r w:rsidR="007F099D" w:rsidRPr="00387B8B">
        <w:rPr>
          <w:spacing w:val="-2"/>
          <w:lang w:val="en-GB"/>
        </w:rPr>
        <w:t xml:space="preserve">Over the years, IGL </w:t>
      </w:r>
      <w:r w:rsidRPr="00387B8B">
        <w:rPr>
          <w:spacing w:val="-2"/>
          <w:lang w:val="en-GB"/>
        </w:rPr>
        <w:t xml:space="preserve">had come a long way to become the largest CNG distribution company in India. The organization had started </w:t>
      </w:r>
      <w:r w:rsidR="007F099D" w:rsidRPr="00387B8B">
        <w:rPr>
          <w:spacing w:val="-2"/>
          <w:lang w:val="en-GB"/>
        </w:rPr>
        <w:t xml:space="preserve">in 1999 </w:t>
      </w:r>
      <w:r w:rsidRPr="00387B8B">
        <w:rPr>
          <w:spacing w:val="-2"/>
          <w:lang w:val="en-GB"/>
        </w:rPr>
        <w:t xml:space="preserve">with just </w:t>
      </w:r>
      <w:r w:rsidR="007F099D" w:rsidRPr="00387B8B">
        <w:rPr>
          <w:spacing w:val="-2"/>
          <w:lang w:val="en-GB"/>
        </w:rPr>
        <w:t xml:space="preserve">nine </w:t>
      </w:r>
      <w:r w:rsidRPr="00387B8B">
        <w:rPr>
          <w:spacing w:val="-2"/>
          <w:lang w:val="en-GB"/>
        </w:rPr>
        <w:t>CNG stations and 1</w:t>
      </w:r>
      <w:r w:rsidR="007F099D" w:rsidRPr="00387B8B">
        <w:rPr>
          <w:spacing w:val="-2"/>
          <w:lang w:val="en-GB"/>
        </w:rPr>
        <w:t>,</w:t>
      </w:r>
      <w:r w:rsidRPr="00387B8B">
        <w:rPr>
          <w:spacing w:val="-2"/>
          <w:lang w:val="en-GB"/>
        </w:rPr>
        <w:t xml:space="preserve">000 PNG consumers in Delhi. By December 2015, IGL had spread its operations with 340 CNG stations in </w:t>
      </w:r>
      <w:r w:rsidR="00494EBE" w:rsidRPr="00387B8B">
        <w:rPr>
          <w:spacing w:val="-2"/>
          <w:lang w:val="en-GB"/>
        </w:rPr>
        <w:t xml:space="preserve">the </w:t>
      </w:r>
      <w:r w:rsidRPr="00387B8B">
        <w:rPr>
          <w:spacing w:val="-2"/>
          <w:lang w:val="en-GB"/>
        </w:rPr>
        <w:t xml:space="preserve">Delhi NCT. </w:t>
      </w:r>
    </w:p>
    <w:p w14:paraId="75DE2778" w14:textId="77777777" w:rsidR="00BF09DD" w:rsidRPr="0050100F" w:rsidRDefault="00BF09DD" w:rsidP="0020586B">
      <w:pPr>
        <w:pStyle w:val="BodyTextMain"/>
        <w:rPr>
          <w:sz w:val="20"/>
          <w:lang w:val="en-GB"/>
        </w:rPr>
      </w:pPr>
    </w:p>
    <w:p w14:paraId="669D2BD0" w14:textId="6FE53DDE" w:rsidR="00CB0AE0" w:rsidRPr="003E464B" w:rsidRDefault="0020586B" w:rsidP="0020586B">
      <w:pPr>
        <w:pStyle w:val="BodyTextMain"/>
        <w:rPr>
          <w:spacing w:val="-2"/>
          <w:lang w:val="en-GB"/>
        </w:rPr>
      </w:pPr>
      <w:r w:rsidRPr="003E464B">
        <w:rPr>
          <w:spacing w:val="-2"/>
          <w:lang w:val="en-GB"/>
        </w:rPr>
        <w:t>Natural gas was the cleanest burning fossil fuel</w:t>
      </w:r>
      <w:r w:rsidR="007F099D" w:rsidRPr="003E464B">
        <w:rPr>
          <w:spacing w:val="-2"/>
          <w:lang w:val="en-GB"/>
        </w:rPr>
        <w:t>,</w:t>
      </w:r>
      <w:r w:rsidRPr="003E464B">
        <w:rPr>
          <w:spacing w:val="-2"/>
          <w:lang w:val="en-GB"/>
        </w:rPr>
        <w:t xml:space="preserve"> and its environmentally friendly characteristics made it </w:t>
      </w:r>
      <w:r w:rsidR="003E464B" w:rsidRPr="003E464B">
        <w:rPr>
          <w:spacing w:val="-2"/>
          <w:lang w:val="en-GB"/>
        </w:rPr>
        <w:t xml:space="preserve">very </w:t>
      </w:r>
      <w:r w:rsidRPr="003E464B">
        <w:rPr>
          <w:spacing w:val="-2"/>
          <w:lang w:val="en-GB"/>
        </w:rPr>
        <w:t>popular. IGL was playing an increasing role in the attainment</w:t>
      </w:r>
      <w:r w:rsidR="00CC17F5" w:rsidRPr="003E464B">
        <w:rPr>
          <w:spacing w:val="-2"/>
          <w:lang w:val="en-GB"/>
        </w:rPr>
        <w:t xml:space="preserve"> </w:t>
      </w:r>
      <w:r w:rsidRPr="003E464B">
        <w:rPr>
          <w:spacing w:val="-2"/>
          <w:lang w:val="en-GB"/>
        </w:rPr>
        <w:t xml:space="preserve">of </w:t>
      </w:r>
      <w:r w:rsidR="005D6B51" w:rsidRPr="003E464B">
        <w:rPr>
          <w:spacing w:val="-2"/>
          <w:lang w:val="en-GB"/>
        </w:rPr>
        <w:t xml:space="preserve">India’s </w:t>
      </w:r>
      <w:r w:rsidRPr="003E464B">
        <w:rPr>
          <w:spacing w:val="-2"/>
          <w:lang w:val="en-GB"/>
        </w:rPr>
        <w:t xml:space="preserve">national goals of a cleaner environment, energy security, and a more competitive economy. India was witnessing consistent growth in demand for energy resources. The primary energy mix of India was also set to alter because of the substitution of oil with natural gas, which was emerging as an essential component in the total energy basket. The share of natural gas was expected to increase significantly in the coming years. It was also expected that with an increase in allocation of domestic gas to CGD firms, the price differential </w:t>
      </w:r>
      <w:r w:rsidR="007F099D" w:rsidRPr="003E464B">
        <w:rPr>
          <w:spacing w:val="-2"/>
          <w:lang w:val="en-GB"/>
        </w:rPr>
        <w:t xml:space="preserve">between </w:t>
      </w:r>
      <w:r w:rsidRPr="003E464B">
        <w:rPr>
          <w:spacing w:val="-2"/>
          <w:lang w:val="en-GB"/>
        </w:rPr>
        <w:t xml:space="preserve">CNG </w:t>
      </w:r>
      <w:r w:rsidR="007F099D" w:rsidRPr="003E464B">
        <w:rPr>
          <w:spacing w:val="-2"/>
          <w:lang w:val="en-GB"/>
        </w:rPr>
        <w:t xml:space="preserve">and </w:t>
      </w:r>
      <w:r w:rsidRPr="003E464B">
        <w:rPr>
          <w:spacing w:val="-2"/>
          <w:lang w:val="en-GB"/>
        </w:rPr>
        <w:t>alternat</w:t>
      </w:r>
      <w:r w:rsidR="007F099D" w:rsidRPr="003E464B">
        <w:rPr>
          <w:spacing w:val="-2"/>
          <w:lang w:val="en-GB"/>
        </w:rPr>
        <w:t>iv</w:t>
      </w:r>
      <w:r w:rsidRPr="003E464B">
        <w:rPr>
          <w:spacing w:val="-2"/>
          <w:lang w:val="en-GB"/>
        </w:rPr>
        <w:t>e liquid fuel would continue to drive the conversion of petrol-driven private vehicles to CNG mode. The introduction of more CNG variant models by car manufacturers was also expected to add to CNG volumes.</w:t>
      </w:r>
      <w:r w:rsidRPr="003E464B">
        <w:rPr>
          <w:rStyle w:val="FootnoteReference"/>
          <w:spacing w:val="-2"/>
          <w:shd w:val="clear" w:color="auto" w:fill="FFFFFF"/>
          <w:lang w:val="en-GB"/>
        </w:rPr>
        <w:footnoteReference w:id="11"/>
      </w:r>
    </w:p>
    <w:p w14:paraId="36A6C944" w14:textId="77777777" w:rsidR="00CC17F5" w:rsidRPr="003E464B" w:rsidRDefault="00CC17F5" w:rsidP="0020586B">
      <w:pPr>
        <w:pStyle w:val="BodyTextMain"/>
        <w:rPr>
          <w:spacing w:val="-2"/>
          <w:sz w:val="20"/>
          <w:lang w:val="en-GB"/>
        </w:rPr>
      </w:pPr>
    </w:p>
    <w:p w14:paraId="37841576" w14:textId="77777777" w:rsidR="00CC17F5" w:rsidRPr="00F36850" w:rsidRDefault="00CC17F5" w:rsidP="0020586B">
      <w:pPr>
        <w:pStyle w:val="BodyTextMain"/>
        <w:rPr>
          <w:sz w:val="20"/>
          <w:lang w:val="en-GB"/>
        </w:rPr>
      </w:pPr>
    </w:p>
    <w:p w14:paraId="61382EF3" w14:textId="77777777" w:rsidR="00CB0AE0" w:rsidRPr="00056191" w:rsidRDefault="00CB0AE0" w:rsidP="00CC17F5">
      <w:pPr>
        <w:pStyle w:val="Casehead1"/>
        <w:rPr>
          <w:lang w:val="en-GB"/>
        </w:rPr>
      </w:pPr>
      <w:r w:rsidRPr="00056191">
        <w:rPr>
          <w:lang w:val="en-GB"/>
        </w:rPr>
        <w:t>IGL Business</w:t>
      </w:r>
    </w:p>
    <w:p w14:paraId="436E0D60" w14:textId="77777777" w:rsidR="00CB0AE0" w:rsidRPr="00F36850" w:rsidRDefault="00CB0AE0" w:rsidP="0020586B">
      <w:pPr>
        <w:pStyle w:val="BodyTextMain"/>
        <w:rPr>
          <w:sz w:val="20"/>
          <w:lang w:val="en-GB"/>
        </w:rPr>
      </w:pPr>
    </w:p>
    <w:p w14:paraId="7003E155" w14:textId="1D022704" w:rsidR="0020586B" w:rsidRDefault="00CB0AE0" w:rsidP="0020586B">
      <w:pPr>
        <w:pStyle w:val="BodyTextMain"/>
        <w:rPr>
          <w:lang w:val="en-GB"/>
        </w:rPr>
      </w:pPr>
      <w:r w:rsidRPr="00056191">
        <w:rPr>
          <w:lang w:val="en-GB"/>
        </w:rPr>
        <w:t xml:space="preserve">The anchor load in </w:t>
      </w:r>
      <w:r w:rsidR="005D6B51">
        <w:rPr>
          <w:lang w:val="en-GB"/>
        </w:rPr>
        <w:t>IGL’s</w:t>
      </w:r>
      <w:r w:rsidR="005D6B51" w:rsidRPr="00056191">
        <w:rPr>
          <w:lang w:val="en-GB"/>
        </w:rPr>
        <w:t xml:space="preserve"> </w:t>
      </w:r>
      <w:r w:rsidRPr="00056191">
        <w:rPr>
          <w:lang w:val="en-GB"/>
        </w:rPr>
        <w:t xml:space="preserve">business came from CNG, </w:t>
      </w:r>
      <w:r w:rsidR="005D6B51">
        <w:rPr>
          <w:lang w:val="en-GB"/>
        </w:rPr>
        <w:t xml:space="preserve">which </w:t>
      </w:r>
      <w:r w:rsidR="005D6B51" w:rsidRPr="00056191">
        <w:rPr>
          <w:lang w:val="en-GB"/>
        </w:rPr>
        <w:t>occup</w:t>
      </w:r>
      <w:r w:rsidR="005D6B51">
        <w:rPr>
          <w:lang w:val="en-GB"/>
        </w:rPr>
        <w:t>ied</w:t>
      </w:r>
      <w:r w:rsidR="005D6B51" w:rsidRPr="00056191">
        <w:rPr>
          <w:lang w:val="en-GB"/>
        </w:rPr>
        <w:t xml:space="preserve"> </w:t>
      </w:r>
      <w:r w:rsidRPr="00056191">
        <w:rPr>
          <w:lang w:val="en-GB"/>
        </w:rPr>
        <w:t>77</w:t>
      </w:r>
      <w:r w:rsidR="007F099D">
        <w:rPr>
          <w:lang w:val="en-GB"/>
        </w:rPr>
        <w:t xml:space="preserve"> per cent</w:t>
      </w:r>
      <w:r w:rsidR="007F099D" w:rsidRPr="00056191">
        <w:rPr>
          <w:lang w:val="en-GB"/>
        </w:rPr>
        <w:t xml:space="preserve"> </w:t>
      </w:r>
      <w:r w:rsidRPr="00056191">
        <w:rPr>
          <w:lang w:val="en-GB"/>
        </w:rPr>
        <w:t>of its total sales volume, making it a cornerstone for IGL. The PNG business contributed 17</w:t>
      </w:r>
      <w:r w:rsidR="007F099D">
        <w:rPr>
          <w:lang w:val="en-GB"/>
        </w:rPr>
        <w:t xml:space="preserve"> per cent</w:t>
      </w:r>
      <w:r w:rsidRPr="00056191">
        <w:rPr>
          <w:lang w:val="en-GB"/>
        </w:rPr>
        <w:t xml:space="preserve"> of total sales volume, of which 11</w:t>
      </w:r>
      <w:r w:rsidR="007F099D">
        <w:rPr>
          <w:lang w:val="en-GB"/>
        </w:rPr>
        <w:t xml:space="preserve"> per cent</w:t>
      </w:r>
      <w:r w:rsidRPr="00056191">
        <w:rPr>
          <w:lang w:val="en-GB"/>
        </w:rPr>
        <w:t xml:space="preserve"> came from supply</w:t>
      </w:r>
      <w:r w:rsidR="007F099D">
        <w:rPr>
          <w:lang w:val="en-GB"/>
        </w:rPr>
        <w:t>ing</w:t>
      </w:r>
      <w:r w:rsidRPr="00056191">
        <w:rPr>
          <w:lang w:val="en-GB"/>
        </w:rPr>
        <w:t xml:space="preserve"> industrial and commercial establishments, while domestic usage contributed 6</w:t>
      </w:r>
      <w:r w:rsidR="007F099D">
        <w:rPr>
          <w:lang w:val="en-GB"/>
        </w:rPr>
        <w:t xml:space="preserve"> per cent</w:t>
      </w:r>
      <w:r w:rsidRPr="00056191">
        <w:rPr>
          <w:lang w:val="en-GB"/>
        </w:rPr>
        <w:t xml:space="preserve"> of the sales volume.</w:t>
      </w:r>
      <w:r w:rsidR="007F099D">
        <w:rPr>
          <w:lang w:val="en-GB"/>
        </w:rPr>
        <w:t xml:space="preserve"> </w:t>
      </w:r>
      <w:r w:rsidR="00DF60EE" w:rsidRPr="00056191">
        <w:rPr>
          <w:lang w:val="en-GB"/>
        </w:rPr>
        <w:t>IGL also sold natural gas to other CGDs</w:t>
      </w:r>
      <w:r w:rsidR="00172439">
        <w:rPr>
          <w:lang w:val="en-GB"/>
        </w:rPr>
        <w:t>,</w:t>
      </w:r>
      <w:r w:rsidR="00DF60EE" w:rsidRPr="00056191">
        <w:rPr>
          <w:lang w:val="en-GB"/>
        </w:rPr>
        <w:t xml:space="preserve"> which amounted to 6</w:t>
      </w:r>
      <w:r w:rsidR="007F099D">
        <w:rPr>
          <w:lang w:val="en-GB"/>
        </w:rPr>
        <w:t xml:space="preserve"> per cent</w:t>
      </w:r>
      <w:r w:rsidR="00DF60EE" w:rsidRPr="00056191">
        <w:rPr>
          <w:lang w:val="en-GB"/>
        </w:rPr>
        <w:t xml:space="preserve"> of </w:t>
      </w:r>
      <w:r w:rsidR="005641F9">
        <w:rPr>
          <w:lang w:val="en-GB"/>
        </w:rPr>
        <w:t xml:space="preserve">the </w:t>
      </w:r>
      <w:r w:rsidR="00DF60EE" w:rsidRPr="00056191">
        <w:rPr>
          <w:lang w:val="en-GB"/>
        </w:rPr>
        <w:t>company’s total sales volume.</w:t>
      </w:r>
    </w:p>
    <w:p w14:paraId="41F5B2AA" w14:textId="77777777" w:rsidR="00387B8B" w:rsidRPr="00F36850" w:rsidRDefault="00387B8B" w:rsidP="0020586B">
      <w:pPr>
        <w:pStyle w:val="BodyTextMain"/>
        <w:rPr>
          <w:sz w:val="20"/>
          <w:lang w:val="en-GB"/>
        </w:rPr>
      </w:pPr>
    </w:p>
    <w:p w14:paraId="09D404F2" w14:textId="77777777" w:rsidR="00387B8B" w:rsidRPr="00056191" w:rsidRDefault="00387B8B" w:rsidP="0020586B">
      <w:pPr>
        <w:pStyle w:val="BodyTextMain"/>
        <w:rPr>
          <w:sz w:val="20"/>
          <w:lang w:val="en-GB"/>
        </w:rPr>
      </w:pPr>
    </w:p>
    <w:p w14:paraId="36FD88C4" w14:textId="77777777" w:rsidR="0020586B" w:rsidRDefault="0020586B" w:rsidP="00F00102">
      <w:pPr>
        <w:pStyle w:val="Casehead2"/>
      </w:pPr>
      <w:r w:rsidRPr="00056191">
        <w:t>Compressed Natural Gas Business</w:t>
      </w:r>
    </w:p>
    <w:p w14:paraId="377489AA" w14:textId="77777777" w:rsidR="007F099D" w:rsidRPr="00F36850" w:rsidRDefault="007F099D" w:rsidP="00F36850">
      <w:pPr>
        <w:pStyle w:val="BodyTextMain"/>
        <w:rPr>
          <w:sz w:val="20"/>
        </w:rPr>
      </w:pPr>
    </w:p>
    <w:p w14:paraId="0CD21D05" w14:textId="20AFDC95" w:rsidR="00CC17F5" w:rsidRPr="00056191" w:rsidRDefault="007F099D" w:rsidP="00CC17F5">
      <w:pPr>
        <w:pStyle w:val="BodyTextMain"/>
        <w:rPr>
          <w:lang w:val="en-GB"/>
        </w:rPr>
      </w:pPr>
      <w:r>
        <w:rPr>
          <w:lang w:val="en-GB"/>
        </w:rPr>
        <w:t>A</w:t>
      </w:r>
      <w:r w:rsidRPr="00056191">
        <w:rPr>
          <w:lang w:val="en-GB"/>
        </w:rPr>
        <w:t>s o</w:t>
      </w:r>
      <w:r>
        <w:rPr>
          <w:lang w:val="en-GB"/>
        </w:rPr>
        <w:t>f</w:t>
      </w:r>
      <w:r w:rsidRPr="00056191">
        <w:rPr>
          <w:lang w:val="en-GB"/>
        </w:rPr>
        <w:t xml:space="preserve"> March 31, 2015</w:t>
      </w:r>
      <w:r>
        <w:rPr>
          <w:lang w:val="en-GB"/>
        </w:rPr>
        <w:t>,</w:t>
      </w:r>
      <w:r w:rsidR="0020586B" w:rsidRPr="00056191">
        <w:rPr>
          <w:lang w:val="en-GB"/>
        </w:rPr>
        <w:t xml:space="preserve"> </w:t>
      </w:r>
      <w:r w:rsidR="0056771E">
        <w:rPr>
          <w:lang w:val="en-GB"/>
        </w:rPr>
        <w:t xml:space="preserve">more than 800,000 vehicles were </w:t>
      </w:r>
      <w:r w:rsidR="0020586B" w:rsidRPr="00056191">
        <w:rPr>
          <w:lang w:val="en-GB"/>
        </w:rPr>
        <w:t xml:space="preserve">estimated </w:t>
      </w:r>
      <w:r w:rsidR="0056771E">
        <w:rPr>
          <w:lang w:val="en-GB"/>
        </w:rPr>
        <w:t xml:space="preserve">to be </w:t>
      </w:r>
      <w:r w:rsidR="0020586B" w:rsidRPr="00056191">
        <w:rPr>
          <w:lang w:val="en-GB"/>
        </w:rPr>
        <w:t xml:space="preserve">running on CNG in </w:t>
      </w:r>
      <w:r w:rsidR="00494EBE">
        <w:rPr>
          <w:lang w:val="en-GB"/>
        </w:rPr>
        <w:t xml:space="preserve">the </w:t>
      </w:r>
      <w:r w:rsidR="0020586B" w:rsidRPr="00056191">
        <w:rPr>
          <w:lang w:val="en-GB"/>
        </w:rPr>
        <w:t>Delhi NCT</w:t>
      </w:r>
      <w:r>
        <w:rPr>
          <w:lang w:val="en-GB"/>
        </w:rPr>
        <w:t>,</w:t>
      </w:r>
      <w:r w:rsidR="0020586B" w:rsidRPr="00056191">
        <w:rPr>
          <w:lang w:val="en-GB"/>
        </w:rPr>
        <w:t xml:space="preserve"> including </w:t>
      </w:r>
      <w:r w:rsidR="0056771E">
        <w:rPr>
          <w:lang w:val="en-GB"/>
        </w:rPr>
        <w:t>approximately</w:t>
      </w:r>
      <w:r w:rsidR="0056771E" w:rsidRPr="00056191">
        <w:rPr>
          <w:lang w:val="en-GB"/>
        </w:rPr>
        <w:t xml:space="preserve"> </w:t>
      </w:r>
      <w:r w:rsidR="0020586B" w:rsidRPr="00056191">
        <w:rPr>
          <w:lang w:val="en-GB"/>
        </w:rPr>
        <w:t>550,000 private vehicles (</w:t>
      </w:r>
      <w:r>
        <w:rPr>
          <w:lang w:val="en-GB"/>
        </w:rPr>
        <w:t>see</w:t>
      </w:r>
      <w:r w:rsidRPr="00056191">
        <w:rPr>
          <w:lang w:val="en-GB"/>
        </w:rPr>
        <w:t xml:space="preserve"> </w:t>
      </w:r>
      <w:r w:rsidR="0020586B" w:rsidRPr="00056191">
        <w:rPr>
          <w:lang w:val="en-GB"/>
        </w:rPr>
        <w:t xml:space="preserve">Exhibit 3). During </w:t>
      </w:r>
      <w:r>
        <w:rPr>
          <w:lang w:val="en-GB"/>
        </w:rPr>
        <w:t xml:space="preserve">FY </w:t>
      </w:r>
      <w:r w:rsidR="0020586B" w:rsidRPr="00056191">
        <w:rPr>
          <w:lang w:val="en-GB"/>
        </w:rPr>
        <w:t>2014</w:t>
      </w:r>
      <w:r>
        <w:rPr>
          <w:lang w:val="en-GB"/>
        </w:rPr>
        <w:t>–</w:t>
      </w:r>
      <w:r w:rsidR="0020586B" w:rsidRPr="00056191">
        <w:rPr>
          <w:lang w:val="en-GB"/>
        </w:rPr>
        <w:t>15, IGL had augmented its CNG distribution infrastructure by enhancing the installed compression capacity</w:t>
      </w:r>
      <w:r w:rsidR="009556A2">
        <w:rPr>
          <w:lang w:val="en-GB"/>
        </w:rPr>
        <w:t>,</w:t>
      </w:r>
      <w:r w:rsidR="0020586B" w:rsidRPr="00056191">
        <w:rPr>
          <w:lang w:val="en-GB"/>
        </w:rPr>
        <w:t xml:space="preserve"> from 6.681 million </w:t>
      </w:r>
      <w:r w:rsidR="009556A2">
        <w:rPr>
          <w:lang w:val="en-GB"/>
        </w:rPr>
        <w:t>kilograms (</w:t>
      </w:r>
      <w:r w:rsidR="0056771E">
        <w:rPr>
          <w:lang w:val="en-GB"/>
        </w:rPr>
        <w:t>k</w:t>
      </w:r>
      <w:r w:rsidR="0020586B" w:rsidRPr="00056191">
        <w:rPr>
          <w:lang w:val="en-GB"/>
        </w:rPr>
        <w:t>g</w:t>
      </w:r>
      <w:r w:rsidR="009556A2">
        <w:rPr>
          <w:lang w:val="en-GB"/>
        </w:rPr>
        <w:t>)</w:t>
      </w:r>
      <w:r w:rsidR="0020586B" w:rsidRPr="00056191">
        <w:rPr>
          <w:lang w:val="en-GB"/>
        </w:rPr>
        <w:t xml:space="preserve">/day in March 2014 to 6.850 million </w:t>
      </w:r>
      <w:r w:rsidR="0056771E">
        <w:rPr>
          <w:lang w:val="en-GB"/>
        </w:rPr>
        <w:t>k</w:t>
      </w:r>
      <w:r w:rsidR="0020586B" w:rsidRPr="00056191">
        <w:rPr>
          <w:lang w:val="en-GB"/>
        </w:rPr>
        <w:t>g/day in March 2015.</w:t>
      </w:r>
      <w:r w:rsidR="0020586B" w:rsidRPr="00056191">
        <w:rPr>
          <w:rStyle w:val="FootnoteReference"/>
          <w:shd w:val="clear" w:color="auto" w:fill="FFFFFF"/>
          <w:lang w:val="en-GB"/>
        </w:rPr>
        <w:footnoteReference w:id="12"/>
      </w:r>
      <w:r w:rsidR="0020586B" w:rsidRPr="00056191">
        <w:rPr>
          <w:lang w:val="en-GB"/>
        </w:rPr>
        <w:t xml:space="preserve"> </w:t>
      </w:r>
      <w:r w:rsidR="009556A2">
        <w:rPr>
          <w:lang w:val="en-GB"/>
        </w:rPr>
        <w:t>O</w:t>
      </w:r>
      <w:r w:rsidR="009556A2" w:rsidRPr="00056191">
        <w:rPr>
          <w:lang w:val="en-GB"/>
        </w:rPr>
        <w:t>n March 31, 2015,</w:t>
      </w:r>
      <w:r w:rsidR="009556A2">
        <w:rPr>
          <w:lang w:val="en-GB"/>
        </w:rPr>
        <w:t xml:space="preserve"> t</w:t>
      </w:r>
      <w:r w:rsidR="0020586B" w:rsidRPr="00056191">
        <w:rPr>
          <w:lang w:val="en-GB"/>
        </w:rPr>
        <w:t xml:space="preserve">he total number of CNG stations was 326, which included 280 stations in Delhi and 46 stations in the remaining areas of </w:t>
      </w:r>
      <w:r w:rsidR="00494EBE">
        <w:rPr>
          <w:lang w:val="en-GB"/>
        </w:rPr>
        <w:t xml:space="preserve">the </w:t>
      </w:r>
      <w:r w:rsidR="0020586B" w:rsidRPr="00056191">
        <w:rPr>
          <w:lang w:val="en-GB"/>
        </w:rPr>
        <w:t>Delhi NCT.</w:t>
      </w:r>
    </w:p>
    <w:p w14:paraId="73B00F9F" w14:textId="77777777" w:rsidR="00CC17F5" w:rsidRPr="0050100F" w:rsidRDefault="00CC17F5" w:rsidP="00CC17F5">
      <w:pPr>
        <w:pStyle w:val="BodyTextMain"/>
        <w:rPr>
          <w:sz w:val="20"/>
          <w:lang w:val="en-GB"/>
        </w:rPr>
      </w:pPr>
    </w:p>
    <w:p w14:paraId="4454398D" w14:textId="77777777" w:rsidR="00CC17F5" w:rsidRPr="0050100F" w:rsidRDefault="00CC17F5" w:rsidP="00CC17F5">
      <w:pPr>
        <w:pStyle w:val="BodyTextMain"/>
        <w:rPr>
          <w:sz w:val="20"/>
          <w:lang w:val="en-GB"/>
        </w:rPr>
      </w:pPr>
    </w:p>
    <w:p w14:paraId="6E30BA8D" w14:textId="77777777" w:rsidR="0020586B" w:rsidRPr="00056191" w:rsidRDefault="0020586B" w:rsidP="00F00102">
      <w:pPr>
        <w:pStyle w:val="Casehead2"/>
      </w:pPr>
      <w:r w:rsidRPr="00056191">
        <w:t>Piped Natural Gas Business</w:t>
      </w:r>
    </w:p>
    <w:p w14:paraId="5E719561" w14:textId="77777777" w:rsidR="0020586B" w:rsidRPr="0050100F" w:rsidRDefault="0020586B" w:rsidP="00CC17F5">
      <w:pPr>
        <w:pStyle w:val="BodyTextMain"/>
        <w:rPr>
          <w:sz w:val="20"/>
          <w:lang w:val="en-GB"/>
        </w:rPr>
      </w:pPr>
    </w:p>
    <w:p w14:paraId="467C8247" w14:textId="03490326" w:rsidR="0020586B" w:rsidRPr="005641F9" w:rsidRDefault="0020586B" w:rsidP="0020586B">
      <w:pPr>
        <w:pStyle w:val="BodyTextMain"/>
        <w:rPr>
          <w:lang w:val="en-GB"/>
        </w:rPr>
      </w:pPr>
      <w:r w:rsidRPr="005641F9">
        <w:rPr>
          <w:lang w:val="en-GB"/>
        </w:rPr>
        <w:t xml:space="preserve">During </w:t>
      </w:r>
      <w:r w:rsidR="009556A2" w:rsidRPr="005641F9">
        <w:rPr>
          <w:lang w:val="en-GB"/>
        </w:rPr>
        <w:t>FY</w:t>
      </w:r>
      <w:r w:rsidRPr="005641F9">
        <w:rPr>
          <w:lang w:val="en-GB"/>
        </w:rPr>
        <w:t xml:space="preserve"> 2014</w:t>
      </w:r>
      <w:r w:rsidR="009556A2" w:rsidRPr="005641F9">
        <w:rPr>
          <w:lang w:val="en-GB"/>
        </w:rPr>
        <w:t>–</w:t>
      </w:r>
      <w:r w:rsidRPr="005641F9">
        <w:rPr>
          <w:lang w:val="en-GB"/>
        </w:rPr>
        <w:t xml:space="preserve">15, IGL provided 59,029 PNG connections in Delhi and another 42,256 PNG connections in the remaining areas of </w:t>
      </w:r>
      <w:r w:rsidR="00494EBE" w:rsidRPr="005641F9">
        <w:rPr>
          <w:lang w:val="en-GB"/>
        </w:rPr>
        <w:t xml:space="preserve">the </w:t>
      </w:r>
      <w:r w:rsidRPr="005641F9">
        <w:rPr>
          <w:lang w:val="en-GB"/>
        </w:rPr>
        <w:t xml:space="preserve">Delhi NCT. The total number of connections </w:t>
      </w:r>
      <w:r w:rsidR="009556A2" w:rsidRPr="005641F9">
        <w:rPr>
          <w:lang w:val="en-GB"/>
        </w:rPr>
        <w:t xml:space="preserve">increased </w:t>
      </w:r>
      <w:r w:rsidRPr="005641F9">
        <w:rPr>
          <w:lang w:val="en-GB"/>
        </w:rPr>
        <w:t>from 459,467 in March 2014 to 560,752 in March 2015.</w:t>
      </w:r>
      <w:r w:rsidRPr="005641F9">
        <w:rPr>
          <w:rStyle w:val="FootnoteReference"/>
          <w:shd w:val="clear" w:color="auto" w:fill="FFFFFF"/>
          <w:lang w:val="en-GB"/>
        </w:rPr>
        <w:footnoteReference w:id="13"/>
      </w:r>
      <w:r w:rsidR="00CC17F5" w:rsidRPr="005641F9">
        <w:rPr>
          <w:lang w:val="en-GB"/>
        </w:rPr>
        <w:t xml:space="preserve"> </w:t>
      </w:r>
      <w:r w:rsidRPr="005641F9">
        <w:rPr>
          <w:lang w:val="en-GB"/>
        </w:rPr>
        <w:t xml:space="preserve">It was noteworthy that IGL broke its own record of highest number of connections in </w:t>
      </w:r>
      <w:r w:rsidR="009556A2" w:rsidRPr="005641F9">
        <w:rPr>
          <w:lang w:val="en-GB"/>
        </w:rPr>
        <w:t>FY</w:t>
      </w:r>
      <w:r w:rsidRPr="005641F9">
        <w:rPr>
          <w:lang w:val="en-GB"/>
        </w:rPr>
        <w:t xml:space="preserve"> 2014</w:t>
      </w:r>
      <w:r w:rsidR="009556A2" w:rsidRPr="005641F9">
        <w:rPr>
          <w:lang w:val="en-GB"/>
        </w:rPr>
        <w:t>–</w:t>
      </w:r>
      <w:r w:rsidRPr="005641F9">
        <w:rPr>
          <w:lang w:val="en-GB"/>
        </w:rPr>
        <w:t>15 by providing 101,285 domestic PNG connections.</w:t>
      </w:r>
    </w:p>
    <w:p w14:paraId="319EC80B" w14:textId="77777777" w:rsidR="0020586B" w:rsidRPr="00056191" w:rsidRDefault="0020586B" w:rsidP="0020586B">
      <w:pPr>
        <w:pStyle w:val="BodyTextMain"/>
        <w:rPr>
          <w:sz w:val="20"/>
          <w:lang w:val="en-GB"/>
        </w:rPr>
      </w:pPr>
    </w:p>
    <w:p w14:paraId="336D1734" w14:textId="77777777" w:rsidR="0020586B" w:rsidRPr="00056191" w:rsidRDefault="0020586B" w:rsidP="0020586B">
      <w:pPr>
        <w:pStyle w:val="BodyTextMain"/>
        <w:rPr>
          <w:sz w:val="20"/>
          <w:lang w:val="en-GB"/>
        </w:rPr>
      </w:pPr>
    </w:p>
    <w:p w14:paraId="7B1FEB1F" w14:textId="5242C9B3" w:rsidR="0020586B" w:rsidRPr="00056191" w:rsidRDefault="0020586B" w:rsidP="00BC31D5">
      <w:pPr>
        <w:pStyle w:val="Casehead1"/>
        <w:rPr>
          <w:lang w:val="en-GB"/>
        </w:rPr>
      </w:pPr>
      <w:r w:rsidRPr="00056191">
        <w:rPr>
          <w:lang w:val="en-GB"/>
        </w:rPr>
        <w:t>Indraprastha</w:t>
      </w:r>
      <w:r w:rsidR="005A0B62">
        <w:rPr>
          <w:lang w:val="en-GB"/>
        </w:rPr>
        <w:t xml:space="preserve"> </w:t>
      </w:r>
      <w:r w:rsidRPr="00056191">
        <w:rPr>
          <w:lang w:val="en-GB"/>
        </w:rPr>
        <w:t>Gas Limited’s Vision</w:t>
      </w:r>
    </w:p>
    <w:p w14:paraId="128BFE2C" w14:textId="77777777" w:rsidR="0020586B" w:rsidRPr="00056191" w:rsidRDefault="0020586B" w:rsidP="00BC31D5">
      <w:pPr>
        <w:pStyle w:val="BodyTextMain"/>
        <w:rPr>
          <w:sz w:val="20"/>
          <w:lang w:val="en-GB"/>
        </w:rPr>
      </w:pPr>
    </w:p>
    <w:p w14:paraId="1FA2A5D8" w14:textId="4FC9DBFB" w:rsidR="0020586B" w:rsidRPr="00056191" w:rsidRDefault="0020586B" w:rsidP="00BC31D5">
      <w:pPr>
        <w:pStyle w:val="BodyTextMain"/>
        <w:rPr>
          <w:lang w:val="en-GB"/>
        </w:rPr>
      </w:pPr>
      <w:r w:rsidRPr="00056191">
        <w:rPr>
          <w:lang w:val="en-GB"/>
        </w:rPr>
        <w:t xml:space="preserve">IGL highlighted its vision </w:t>
      </w:r>
      <w:r w:rsidR="009556A2">
        <w:rPr>
          <w:lang w:val="en-GB"/>
        </w:rPr>
        <w:t>“</w:t>
      </w:r>
      <w:r w:rsidRPr="00056191">
        <w:rPr>
          <w:lang w:val="en-GB"/>
        </w:rPr>
        <w:t>to be the leading clean energy solutions provider, committed to stakeholder value enhancement, through operational excellence and customer satisfaction.</w:t>
      </w:r>
      <w:r w:rsidR="009556A2">
        <w:rPr>
          <w:lang w:val="en-GB"/>
        </w:rPr>
        <w:t>”</w:t>
      </w:r>
      <w:r w:rsidRPr="00056191">
        <w:rPr>
          <w:rStyle w:val="FootnoteReference"/>
          <w:shd w:val="clear" w:color="auto" w:fill="FFFFFF"/>
          <w:lang w:val="en-GB"/>
        </w:rPr>
        <w:footnoteReference w:id="14"/>
      </w:r>
      <w:r w:rsidR="00CC17F5" w:rsidRPr="00056191">
        <w:rPr>
          <w:lang w:val="en-GB"/>
        </w:rPr>
        <w:t xml:space="preserve"> </w:t>
      </w:r>
      <w:r w:rsidRPr="00056191">
        <w:rPr>
          <w:lang w:val="en-GB"/>
        </w:rPr>
        <w:t xml:space="preserve">This </w:t>
      </w:r>
      <w:r w:rsidR="009556A2">
        <w:rPr>
          <w:lang w:val="en-GB"/>
        </w:rPr>
        <w:t>v</w:t>
      </w:r>
      <w:r w:rsidRPr="00056191">
        <w:rPr>
          <w:lang w:val="en-GB"/>
        </w:rPr>
        <w:t>ision statement signified five significant attributes of the organization:</w:t>
      </w:r>
      <w:r w:rsidR="009556A2">
        <w:rPr>
          <w:lang w:val="en-GB"/>
        </w:rPr>
        <w:t xml:space="preserve"> (1) its commitment to the environment; (2) its offer of complete energy solutions, thereby going beyond offering CNG for transport and PNG for cooking; (3) the offering of enhanced value for stakeholders, including customers, shareholders, and employees; (4) a commitment to achieving excellence in its operations; and (5) providing satisfaction to its customers.</w:t>
      </w:r>
    </w:p>
    <w:p w14:paraId="7ED1412B" w14:textId="77777777" w:rsidR="0020586B" w:rsidRPr="00056191" w:rsidRDefault="0020586B" w:rsidP="0020586B">
      <w:pPr>
        <w:pStyle w:val="BodyTextMain"/>
        <w:rPr>
          <w:sz w:val="20"/>
          <w:lang w:val="en-GB"/>
        </w:rPr>
      </w:pPr>
    </w:p>
    <w:p w14:paraId="3CBDF8A5" w14:textId="77777777" w:rsidR="0020586B" w:rsidRPr="00056191" w:rsidRDefault="0020586B" w:rsidP="0020586B">
      <w:pPr>
        <w:pStyle w:val="BodyTextMain"/>
        <w:rPr>
          <w:sz w:val="20"/>
          <w:lang w:val="en-GB"/>
        </w:rPr>
      </w:pPr>
    </w:p>
    <w:p w14:paraId="5EF8ACAE" w14:textId="77777777" w:rsidR="0020586B" w:rsidRPr="00056191" w:rsidRDefault="0020586B" w:rsidP="0020586B">
      <w:pPr>
        <w:pStyle w:val="Casehead1"/>
        <w:rPr>
          <w:lang w:val="en-GB"/>
        </w:rPr>
      </w:pPr>
      <w:r w:rsidRPr="00056191">
        <w:rPr>
          <w:lang w:val="en-GB"/>
        </w:rPr>
        <w:t>The Growth Drivers for CNG</w:t>
      </w:r>
    </w:p>
    <w:p w14:paraId="050567C8" w14:textId="77777777" w:rsidR="0020586B" w:rsidRPr="00056191" w:rsidRDefault="0020586B" w:rsidP="0020586B">
      <w:pPr>
        <w:pStyle w:val="BodyTextMain"/>
        <w:rPr>
          <w:sz w:val="20"/>
          <w:lang w:val="en-GB"/>
        </w:rPr>
      </w:pPr>
    </w:p>
    <w:p w14:paraId="3B6B0B98" w14:textId="6D192C1D" w:rsidR="0020586B" w:rsidRPr="00056191" w:rsidRDefault="00AA78B6" w:rsidP="0020586B">
      <w:pPr>
        <w:pStyle w:val="BodyTextMain"/>
        <w:rPr>
          <w:lang w:val="en-GB"/>
        </w:rPr>
      </w:pPr>
      <w:r>
        <w:rPr>
          <w:lang w:val="en-GB"/>
        </w:rPr>
        <w:t xml:space="preserve">In FY 2014–15, </w:t>
      </w:r>
      <w:r w:rsidR="0020586B" w:rsidRPr="00056191">
        <w:rPr>
          <w:lang w:val="en-GB"/>
        </w:rPr>
        <w:t xml:space="preserve">CNG sales contributed </w:t>
      </w:r>
      <w:r>
        <w:rPr>
          <w:lang w:val="en-GB"/>
        </w:rPr>
        <w:t>approximately</w:t>
      </w:r>
      <w:r w:rsidRPr="00056191">
        <w:rPr>
          <w:lang w:val="en-GB"/>
        </w:rPr>
        <w:t xml:space="preserve"> </w:t>
      </w:r>
      <w:r w:rsidR="0020586B" w:rsidRPr="00056191">
        <w:rPr>
          <w:lang w:val="en-GB"/>
        </w:rPr>
        <w:t>77</w:t>
      </w:r>
      <w:r>
        <w:rPr>
          <w:lang w:val="en-GB"/>
        </w:rPr>
        <w:t xml:space="preserve"> per cent</w:t>
      </w:r>
      <w:r w:rsidR="0020586B" w:rsidRPr="00056191">
        <w:rPr>
          <w:lang w:val="en-GB"/>
        </w:rPr>
        <w:t xml:space="preserve"> </w:t>
      </w:r>
      <w:r>
        <w:rPr>
          <w:lang w:val="en-GB"/>
        </w:rPr>
        <w:t>to IGL’s</w:t>
      </w:r>
      <w:r w:rsidR="0020586B" w:rsidRPr="00056191">
        <w:rPr>
          <w:lang w:val="en-GB"/>
        </w:rPr>
        <w:t xml:space="preserve"> sales volume mix</w:t>
      </w:r>
      <w:r w:rsidR="00CB0AE0" w:rsidRPr="00056191">
        <w:rPr>
          <w:lang w:val="en-GB"/>
        </w:rPr>
        <w:t xml:space="preserve">. </w:t>
      </w:r>
      <w:r w:rsidR="0020586B" w:rsidRPr="00056191">
        <w:rPr>
          <w:lang w:val="en-GB"/>
        </w:rPr>
        <w:t xml:space="preserve">As growth in </w:t>
      </w:r>
      <w:r>
        <w:rPr>
          <w:lang w:val="en-GB"/>
        </w:rPr>
        <w:t xml:space="preserve">the </w:t>
      </w:r>
      <w:r w:rsidR="0020586B" w:rsidRPr="00056191">
        <w:rPr>
          <w:lang w:val="en-GB"/>
        </w:rPr>
        <w:t xml:space="preserve">public transport segment </w:t>
      </w:r>
      <w:r>
        <w:rPr>
          <w:lang w:val="en-GB"/>
        </w:rPr>
        <w:t>depended</w:t>
      </w:r>
      <w:r w:rsidRPr="00056191">
        <w:rPr>
          <w:lang w:val="en-GB"/>
        </w:rPr>
        <w:t xml:space="preserve"> </w:t>
      </w:r>
      <w:r w:rsidR="0020586B" w:rsidRPr="00056191">
        <w:rPr>
          <w:lang w:val="en-GB"/>
        </w:rPr>
        <w:t>mostly on the decisions of the government authorities, the private car segment had</w:t>
      </w:r>
      <w:r>
        <w:rPr>
          <w:lang w:val="en-GB"/>
        </w:rPr>
        <w:t>, over the years,</w:t>
      </w:r>
      <w:r w:rsidR="0020586B" w:rsidRPr="00056191">
        <w:rPr>
          <w:lang w:val="en-GB"/>
        </w:rPr>
        <w:t xml:space="preserve"> been the significant growth driver in the CNG segment. The number of private cars using CNG </w:t>
      </w:r>
      <w:r>
        <w:rPr>
          <w:lang w:val="en-GB"/>
        </w:rPr>
        <w:t xml:space="preserve">had risen </w:t>
      </w:r>
      <w:r w:rsidR="0020586B" w:rsidRPr="00056191">
        <w:rPr>
          <w:lang w:val="en-GB"/>
        </w:rPr>
        <w:t xml:space="preserve">steadily over the years, with savings of </w:t>
      </w:r>
      <w:r>
        <w:rPr>
          <w:lang w:val="en-GB"/>
        </w:rPr>
        <w:t>approximately</w:t>
      </w:r>
      <w:r w:rsidRPr="00056191">
        <w:rPr>
          <w:lang w:val="en-GB"/>
        </w:rPr>
        <w:t xml:space="preserve"> </w:t>
      </w:r>
      <w:r w:rsidR="0020586B" w:rsidRPr="00056191">
        <w:rPr>
          <w:lang w:val="en-GB"/>
        </w:rPr>
        <w:t>55</w:t>
      </w:r>
      <w:r>
        <w:rPr>
          <w:lang w:val="en-GB"/>
        </w:rPr>
        <w:t xml:space="preserve"> per cent</w:t>
      </w:r>
      <w:r w:rsidR="0020586B" w:rsidRPr="00056191">
        <w:rPr>
          <w:lang w:val="en-GB"/>
        </w:rPr>
        <w:t xml:space="preserve"> in running costs of CNG cars</w:t>
      </w:r>
      <w:r>
        <w:rPr>
          <w:lang w:val="en-GB"/>
        </w:rPr>
        <w:t>,</w:t>
      </w:r>
      <w:r w:rsidR="0020586B" w:rsidRPr="00056191">
        <w:rPr>
          <w:lang w:val="en-GB"/>
        </w:rPr>
        <w:t xml:space="preserve"> compared </w:t>
      </w:r>
      <w:r>
        <w:rPr>
          <w:lang w:val="en-GB"/>
        </w:rPr>
        <w:t>with</w:t>
      </w:r>
      <w:r w:rsidRPr="00056191">
        <w:rPr>
          <w:lang w:val="en-GB"/>
        </w:rPr>
        <w:t xml:space="preserve"> </w:t>
      </w:r>
      <w:r w:rsidR="0020586B" w:rsidRPr="00056191">
        <w:rPr>
          <w:lang w:val="en-GB"/>
        </w:rPr>
        <w:t xml:space="preserve">petrol </w:t>
      </w:r>
      <w:r>
        <w:rPr>
          <w:lang w:val="en-GB"/>
        </w:rPr>
        <w:t xml:space="preserve">vehicles </w:t>
      </w:r>
      <w:r w:rsidR="0020586B" w:rsidRPr="00056191">
        <w:rPr>
          <w:lang w:val="en-GB"/>
        </w:rPr>
        <w:t>(</w:t>
      </w:r>
      <w:r>
        <w:rPr>
          <w:lang w:val="en-GB"/>
        </w:rPr>
        <w:t>see</w:t>
      </w:r>
      <w:r w:rsidRPr="00056191">
        <w:rPr>
          <w:lang w:val="en-GB"/>
        </w:rPr>
        <w:t xml:space="preserve"> </w:t>
      </w:r>
      <w:r w:rsidR="0020586B" w:rsidRPr="00056191">
        <w:rPr>
          <w:lang w:val="en-GB"/>
        </w:rPr>
        <w:t xml:space="preserve">Exhibit 2). </w:t>
      </w:r>
      <w:r>
        <w:rPr>
          <w:lang w:val="en-GB"/>
        </w:rPr>
        <w:t>In FY 2014–15, t</w:t>
      </w:r>
      <w:r w:rsidR="0020586B" w:rsidRPr="00056191">
        <w:rPr>
          <w:lang w:val="en-GB"/>
        </w:rPr>
        <w:t>he operating cost</w:t>
      </w:r>
      <w:r>
        <w:rPr>
          <w:lang w:val="en-GB"/>
        </w:rPr>
        <w:t>s</w:t>
      </w:r>
      <w:r w:rsidR="0020586B" w:rsidRPr="00056191">
        <w:rPr>
          <w:lang w:val="en-GB"/>
        </w:rPr>
        <w:t xml:space="preserve"> of vehicles that ran on CNG was </w:t>
      </w:r>
      <w:r>
        <w:rPr>
          <w:lang w:val="en-GB"/>
        </w:rPr>
        <w:t>approximately</w:t>
      </w:r>
      <w:r w:rsidRPr="00056191">
        <w:rPr>
          <w:lang w:val="en-GB"/>
        </w:rPr>
        <w:t xml:space="preserve"> </w:t>
      </w:r>
      <w:r w:rsidR="0020586B" w:rsidRPr="00056191">
        <w:rPr>
          <w:lang w:val="en-GB"/>
        </w:rPr>
        <w:t>58</w:t>
      </w:r>
      <w:r>
        <w:rPr>
          <w:lang w:val="en-GB"/>
        </w:rPr>
        <w:t xml:space="preserve"> per cent</w:t>
      </w:r>
      <w:r w:rsidR="0020586B" w:rsidRPr="00056191">
        <w:rPr>
          <w:lang w:val="en-GB"/>
        </w:rPr>
        <w:t xml:space="preserve"> cheaper than </w:t>
      </w:r>
      <w:r>
        <w:rPr>
          <w:lang w:val="en-GB"/>
        </w:rPr>
        <w:t xml:space="preserve">vehicles </w:t>
      </w:r>
      <w:r w:rsidR="0020586B" w:rsidRPr="00056191">
        <w:rPr>
          <w:lang w:val="en-GB"/>
        </w:rPr>
        <w:t>that ran on petrol and 17</w:t>
      </w:r>
      <w:r>
        <w:rPr>
          <w:lang w:val="en-GB"/>
        </w:rPr>
        <w:t xml:space="preserve"> per cent</w:t>
      </w:r>
      <w:r w:rsidR="0020586B" w:rsidRPr="00056191">
        <w:rPr>
          <w:lang w:val="en-GB"/>
        </w:rPr>
        <w:t xml:space="preserve"> cheaper than </w:t>
      </w:r>
      <w:r>
        <w:rPr>
          <w:lang w:val="en-GB"/>
        </w:rPr>
        <w:t xml:space="preserve">vehicles </w:t>
      </w:r>
      <w:r w:rsidR="0020586B" w:rsidRPr="00056191">
        <w:rPr>
          <w:lang w:val="en-GB"/>
        </w:rPr>
        <w:t>that ran on diesel.</w:t>
      </w:r>
      <w:r w:rsidR="0020586B" w:rsidRPr="00056191">
        <w:rPr>
          <w:rStyle w:val="FootnoteReference"/>
          <w:shd w:val="clear" w:color="auto" w:fill="FFFFFF"/>
          <w:lang w:val="en-GB"/>
        </w:rPr>
        <w:footnoteReference w:id="15"/>
      </w:r>
    </w:p>
    <w:p w14:paraId="14A898F1" w14:textId="77777777" w:rsidR="0020586B" w:rsidRPr="00056191" w:rsidRDefault="0020586B" w:rsidP="0020586B">
      <w:pPr>
        <w:pStyle w:val="BodyTextMain"/>
        <w:rPr>
          <w:sz w:val="20"/>
          <w:lang w:val="en-GB"/>
        </w:rPr>
      </w:pPr>
    </w:p>
    <w:p w14:paraId="23001D69" w14:textId="769F7C59" w:rsidR="0020586B" w:rsidRDefault="0020586B" w:rsidP="0020586B">
      <w:pPr>
        <w:pStyle w:val="BodyTextMain"/>
        <w:rPr>
          <w:lang w:val="en-GB"/>
        </w:rPr>
      </w:pPr>
      <w:r w:rsidRPr="00056191">
        <w:rPr>
          <w:lang w:val="en-GB"/>
        </w:rPr>
        <w:t xml:space="preserve">After the mandatory conversion of public transport in Delhi to </w:t>
      </w:r>
      <w:r w:rsidR="00AA78B6">
        <w:rPr>
          <w:lang w:val="en-GB"/>
        </w:rPr>
        <w:t>“c</w:t>
      </w:r>
      <w:r w:rsidRPr="00056191">
        <w:rPr>
          <w:lang w:val="en-GB"/>
        </w:rPr>
        <w:t>lean fuel</w:t>
      </w:r>
      <w:r w:rsidR="00AA78B6">
        <w:rPr>
          <w:lang w:val="en-GB"/>
        </w:rPr>
        <w:t>”</w:t>
      </w:r>
      <w:r w:rsidRPr="00056191">
        <w:rPr>
          <w:lang w:val="en-GB"/>
        </w:rPr>
        <w:t xml:space="preserve"> in the early years of th</w:t>
      </w:r>
      <w:r w:rsidR="003A1D64">
        <w:rPr>
          <w:lang w:val="en-GB"/>
        </w:rPr>
        <w:t>e new</w:t>
      </w:r>
      <w:r w:rsidRPr="00056191">
        <w:rPr>
          <w:lang w:val="en-GB"/>
        </w:rPr>
        <w:t xml:space="preserve"> century, CNG caught the fancy of private car owners of the region due to </w:t>
      </w:r>
      <w:r w:rsidR="00AA78B6">
        <w:rPr>
          <w:lang w:val="en-GB"/>
        </w:rPr>
        <w:t xml:space="preserve">the </w:t>
      </w:r>
      <w:r w:rsidRPr="00056191">
        <w:rPr>
          <w:lang w:val="en-GB"/>
        </w:rPr>
        <w:t>favo</w:t>
      </w:r>
      <w:r w:rsidR="00AA78B6">
        <w:rPr>
          <w:lang w:val="en-GB"/>
        </w:rPr>
        <w:t>u</w:t>
      </w:r>
      <w:r w:rsidRPr="00056191">
        <w:rPr>
          <w:lang w:val="en-GB"/>
        </w:rPr>
        <w:t xml:space="preserve">rable cost economics and easy availability through </w:t>
      </w:r>
      <w:r w:rsidR="00AA78B6">
        <w:rPr>
          <w:lang w:val="en-GB"/>
        </w:rPr>
        <w:t xml:space="preserve">the </w:t>
      </w:r>
      <w:r w:rsidRPr="00056191">
        <w:rPr>
          <w:lang w:val="en-GB"/>
        </w:rPr>
        <w:t>refuel</w:t>
      </w:r>
      <w:r w:rsidR="00AA78B6">
        <w:rPr>
          <w:lang w:val="en-GB"/>
        </w:rPr>
        <w:t>l</w:t>
      </w:r>
      <w:r w:rsidRPr="00056191">
        <w:rPr>
          <w:lang w:val="en-GB"/>
        </w:rPr>
        <w:t xml:space="preserve">ing infrastructure set up by IGL across the length and breadth of </w:t>
      </w:r>
      <w:r w:rsidR="00494EBE">
        <w:rPr>
          <w:lang w:val="en-GB"/>
        </w:rPr>
        <w:t xml:space="preserve">the </w:t>
      </w:r>
      <w:r w:rsidRPr="00056191">
        <w:rPr>
          <w:lang w:val="en-GB"/>
        </w:rPr>
        <w:t>Delhi NCT (</w:t>
      </w:r>
      <w:r w:rsidR="00AA78B6">
        <w:rPr>
          <w:lang w:val="en-GB"/>
        </w:rPr>
        <w:t>see</w:t>
      </w:r>
      <w:r w:rsidR="00AA78B6" w:rsidRPr="00056191">
        <w:rPr>
          <w:lang w:val="en-GB"/>
        </w:rPr>
        <w:t xml:space="preserve"> </w:t>
      </w:r>
      <w:r w:rsidRPr="00056191">
        <w:rPr>
          <w:lang w:val="en-GB"/>
        </w:rPr>
        <w:t xml:space="preserve">Exhibit </w:t>
      </w:r>
      <w:r w:rsidR="001D72F7" w:rsidRPr="00056191">
        <w:rPr>
          <w:lang w:val="en-GB"/>
        </w:rPr>
        <w:t>4</w:t>
      </w:r>
      <w:r w:rsidRPr="00056191">
        <w:rPr>
          <w:lang w:val="en-GB"/>
        </w:rPr>
        <w:t xml:space="preserve">). </w:t>
      </w:r>
    </w:p>
    <w:p w14:paraId="0B88D40D" w14:textId="77777777" w:rsidR="003E464B" w:rsidRDefault="003E464B" w:rsidP="0020586B">
      <w:pPr>
        <w:pStyle w:val="BodyTextMain"/>
        <w:rPr>
          <w:lang w:val="en-GB"/>
        </w:rPr>
      </w:pPr>
    </w:p>
    <w:p w14:paraId="618F50A1" w14:textId="5F724F80" w:rsidR="00AD1924" w:rsidRPr="00056191" w:rsidRDefault="0020586B" w:rsidP="00CC17F5">
      <w:pPr>
        <w:pStyle w:val="BodyTextMain"/>
        <w:rPr>
          <w:spacing w:val="-2"/>
          <w:lang w:val="en-GB"/>
        </w:rPr>
      </w:pPr>
      <w:r w:rsidRPr="00056191">
        <w:rPr>
          <w:spacing w:val="-2"/>
          <w:lang w:val="en-GB"/>
        </w:rPr>
        <w:t>Safety and customer satisfaction were critical aspects of the business for any fuel company. IGL</w:t>
      </w:r>
      <w:r w:rsidR="00AA78B6">
        <w:rPr>
          <w:spacing w:val="-2"/>
          <w:lang w:val="en-GB"/>
        </w:rPr>
        <w:t>, therefore,</w:t>
      </w:r>
      <w:r w:rsidRPr="00056191">
        <w:rPr>
          <w:spacing w:val="-2"/>
          <w:lang w:val="en-GB"/>
        </w:rPr>
        <w:t xml:space="preserve"> made efforts to educate its customers about the safe use of fuel</w:t>
      </w:r>
      <w:r w:rsidR="00AA78B6">
        <w:rPr>
          <w:spacing w:val="-2"/>
          <w:lang w:val="en-GB"/>
        </w:rPr>
        <w:t>,</w:t>
      </w:r>
      <w:r w:rsidRPr="00056191">
        <w:rPr>
          <w:spacing w:val="-2"/>
          <w:lang w:val="en-GB"/>
        </w:rPr>
        <w:t xml:space="preserve"> including the need for </w:t>
      </w:r>
      <w:r w:rsidR="00AA78B6">
        <w:rPr>
          <w:spacing w:val="-2"/>
          <w:lang w:val="en-GB"/>
        </w:rPr>
        <w:t>hav</w:t>
      </w:r>
      <w:r w:rsidR="00AA78B6" w:rsidRPr="00056191">
        <w:rPr>
          <w:spacing w:val="-2"/>
          <w:lang w:val="en-GB"/>
        </w:rPr>
        <w:t xml:space="preserve">ing </w:t>
      </w:r>
      <w:r w:rsidR="00AA78B6">
        <w:rPr>
          <w:spacing w:val="-2"/>
          <w:lang w:val="en-GB"/>
        </w:rPr>
        <w:t xml:space="preserve">a </w:t>
      </w:r>
      <w:r w:rsidRPr="00056191">
        <w:rPr>
          <w:spacing w:val="-2"/>
          <w:lang w:val="en-GB"/>
        </w:rPr>
        <w:t xml:space="preserve">CNG retrofit done only at authorized workshops. IGL also tried to ensure that CNG cylinders </w:t>
      </w:r>
      <w:r w:rsidR="00AA78B6">
        <w:rPr>
          <w:spacing w:val="-2"/>
          <w:lang w:val="en-GB"/>
        </w:rPr>
        <w:t>were</w:t>
      </w:r>
      <w:r w:rsidR="00AA78B6" w:rsidRPr="00056191">
        <w:rPr>
          <w:spacing w:val="-2"/>
          <w:lang w:val="en-GB"/>
        </w:rPr>
        <w:t xml:space="preserve"> </w:t>
      </w:r>
      <w:r w:rsidRPr="00056191">
        <w:rPr>
          <w:spacing w:val="-2"/>
          <w:lang w:val="en-GB"/>
        </w:rPr>
        <w:t>hydro</w:t>
      </w:r>
      <w:r w:rsidR="00AA78B6">
        <w:rPr>
          <w:spacing w:val="-2"/>
          <w:lang w:val="en-GB"/>
        </w:rPr>
        <w:t>-</w:t>
      </w:r>
      <w:r w:rsidRPr="00056191">
        <w:rPr>
          <w:spacing w:val="-2"/>
          <w:lang w:val="en-GB"/>
        </w:rPr>
        <w:t>tested every three years</w:t>
      </w:r>
      <w:r w:rsidR="00AA78B6">
        <w:rPr>
          <w:spacing w:val="-2"/>
          <w:lang w:val="en-GB"/>
        </w:rPr>
        <w:t>,</w:t>
      </w:r>
      <w:r w:rsidRPr="00056191">
        <w:rPr>
          <w:spacing w:val="-2"/>
          <w:lang w:val="en-GB"/>
        </w:rPr>
        <w:t xml:space="preserve"> as mandated by Gas Cylinder Rules, 2014. The marketing team at IGL </w:t>
      </w:r>
      <w:r w:rsidR="00AA78B6">
        <w:rPr>
          <w:spacing w:val="-2"/>
          <w:lang w:val="en-GB"/>
        </w:rPr>
        <w:t xml:space="preserve">also </w:t>
      </w:r>
      <w:r w:rsidRPr="00056191">
        <w:rPr>
          <w:spacing w:val="-2"/>
          <w:lang w:val="en-GB"/>
        </w:rPr>
        <w:t xml:space="preserve">explored </w:t>
      </w:r>
      <w:r w:rsidR="00AA78B6">
        <w:rPr>
          <w:spacing w:val="-2"/>
          <w:lang w:val="en-GB"/>
        </w:rPr>
        <w:t xml:space="preserve">the </w:t>
      </w:r>
      <w:r w:rsidRPr="00056191">
        <w:rPr>
          <w:spacing w:val="-2"/>
          <w:lang w:val="en-GB"/>
        </w:rPr>
        <w:t xml:space="preserve">business potential of CNG </w:t>
      </w:r>
      <w:r w:rsidR="00AA78B6">
        <w:rPr>
          <w:spacing w:val="-2"/>
          <w:lang w:val="en-GB"/>
        </w:rPr>
        <w:t>for</w:t>
      </w:r>
      <w:r w:rsidR="00AA78B6" w:rsidRPr="00056191">
        <w:rPr>
          <w:spacing w:val="-2"/>
          <w:lang w:val="en-GB"/>
        </w:rPr>
        <w:t xml:space="preserve"> </w:t>
      </w:r>
      <w:r w:rsidRPr="00056191">
        <w:rPr>
          <w:spacing w:val="-2"/>
          <w:lang w:val="en-GB"/>
        </w:rPr>
        <w:t xml:space="preserve">two-wheelers. </w:t>
      </w:r>
      <w:r w:rsidR="00AA78B6">
        <w:rPr>
          <w:spacing w:val="-2"/>
          <w:lang w:val="en-GB"/>
        </w:rPr>
        <w:t>I</w:t>
      </w:r>
      <w:r w:rsidRPr="00056191">
        <w:rPr>
          <w:spacing w:val="-2"/>
          <w:lang w:val="en-GB"/>
        </w:rPr>
        <w:t xml:space="preserve">n collaboration with a renowned market player in Iran, </w:t>
      </w:r>
      <w:r w:rsidR="00AA78B6">
        <w:rPr>
          <w:spacing w:val="-2"/>
          <w:lang w:val="en-GB"/>
        </w:rPr>
        <w:t xml:space="preserve">IGL </w:t>
      </w:r>
      <w:r w:rsidRPr="00056191">
        <w:rPr>
          <w:spacing w:val="-2"/>
          <w:lang w:val="en-GB"/>
        </w:rPr>
        <w:t xml:space="preserve">introduced retrofitting CNG kits </w:t>
      </w:r>
      <w:r w:rsidR="00AA78B6">
        <w:rPr>
          <w:spacing w:val="-2"/>
          <w:lang w:val="en-GB"/>
        </w:rPr>
        <w:t>for</w:t>
      </w:r>
      <w:r w:rsidR="00AA78B6" w:rsidRPr="00056191">
        <w:rPr>
          <w:spacing w:val="-2"/>
          <w:lang w:val="en-GB"/>
        </w:rPr>
        <w:t xml:space="preserve"> </w:t>
      </w:r>
      <w:r w:rsidR="00AA78B6">
        <w:rPr>
          <w:spacing w:val="-2"/>
          <w:lang w:val="en-GB"/>
        </w:rPr>
        <w:t>two</w:t>
      </w:r>
      <w:r w:rsidRPr="00056191">
        <w:rPr>
          <w:spacing w:val="-2"/>
          <w:lang w:val="en-GB"/>
        </w:rPr>
        <w:t xml:space="preserve">-wheelers on a pilot basis. </w:t>
      </w:r>
    </w:p>
    <w:p w14:paraId="521517E3" w14:textId="77777777" w:rsidR="00DF60EE" w:rsidRPr="0050100F" w:rsidRDefault="00DF60EE" w:rsidP="00CC17F5">
      <w:pPr>
        <w:pStyle w:val="BodyTextMain"/>
        <w:rPr>
          <w:spacing w:val="-2"/>
          <w:sz w:val="20"/>
          <w:lang w:val="en-GB"/>
        </w:rPr>
      </w:pPr>
    </w:p>
    <w:p w14:paraId="0E4252C8" w14:textId="363A8C45" w:rsidR="0020586B" w:rsidRPr="00056191" w:rsidRDefault="0020586B" w:rsidP="0020586B">
      <w:pPr>
        <w:pStyle w:val="BodyTextMain"/>
        <w:rPr>
          <w:spacing w:val="-2"/>
          <w:lang w:val="en-GB"/>
        </w:rPr>
      </w:pPr>
      <w:r w:rsidRPr="00056191">
        <w:rPr>
          <w:spacing w:val="-2"/>
          <w:lang w:val="en-GB"/>
        </w:rPr>
        <w:t xml:space="preserve">The idea was that if this </w:t>
      </w:r>
      <w:r w:rsidR="00AA78B6">
        <w:rPr>
          <w:spacing w:val="-2"/>
          <w:lang w:val="en-GB"/>
        </w:rPr>
        <w:t xml:space="preserve">option </w:t>
      </w:r>
      <w:r w:rsidRPr="00056191">
        <w:rPr>
          <w:spacing w:val="-2"/>
          <w:lang w:val="en-GB"/>
        </w:rPr>
        <w:t>became sustainable, it would open new avenues of growth for the company. IGL</w:t>
      </w:r>
      <w:r w:rsidR="00AA78B6">
        <w:rPr>
          <w:spacing w:val="-2"/>
          <w:lang w:val="en-GB"/>
        </w:rPr>
        <w:t xml:space="preserve"> </w:t>
      </w:r>
      <w:r w:rsidRPr="00056191">
        <w:rPr>
          <w:spacing w:val="-2"/>
          <w:lang w:val="en-GB"/>
        </w:rPr>
        <w:t>had also participated in the</w:t>
      </w:r>
      <w:r w:rsidR="00AA78B6">
        <w:rPr>
          <w:spacing w:val="-2"/>
          <w:lang w:val="en-GB"/>
        </w:rPr>
        <w:t xml:space="preserve"> </w:t>
      </w:r>
      <w:r w:rsidRPr="00056191">
        <w:rPr>
          <w:spacing w:val="-2"/>
          <w:lang w:val="en-GB"/>
        </w:rPr>
        <w:t xml:space="preserve">bidding for new geographies, a process administered by </w:t>
      </w:r>
      <w:r w:rsidR="008F20AD">
        <w:rPr>
          <w:spacing w:val="-2"/>
          <w:lang w:val="en-GB"/>
        </w:rPr>
        <w:t>India’s</w:t>
      </w:r>
      <w:r w:rsidR="00AA78B6">
        <w:rPr>
          <w:spacing w:val="-2"/>
          <w:lang w:val="en-GB"/>
        </w:rPr>
        <w:t xml:space="preserve"> </w:t>
      </w:r>
      <w:r w:rsidRPr="00056191">
        <w:rPr>
          <w:spacing w:val="-2"/>
          <w:lang w:val="en-GB"/>
        </w:rPr>
        <w:t xml:space="preserve">Petroleum </w:t>
      </w:r>
      <w:r w:rsidR="008F20AD">
        <w:rPr>
          <w:spacing w:val="-2"/>
          <w:lang w:val="en-GB"/>
        </w:rPr>
        <w:t xml:space="preserve">and </w:t>
      </w:r>
      <w:r w:rsidRPr="00056191">
        <w:rPr>
          <w:spacing w:val="-2"/>
          <w:lang w:val="en-GB"/>
        </w:rPr>
        <w:t>Natural Gas Regulatory Board, and it had received a letter of intent for setting up a CGD network in nearby Rewari, Haryana (</w:t>
      </w:r>
      <w:r w:rsidR="00AA78B6">
        <w:rPr>
          <w:spacing w:val="-2"/>
          <w:lang w:val="en-GB"/>
        </w:rPr>
        <w:t>approximately</w:t>
      </w:r>
      <w:r w:rsidRPr="00056191">
        <w:rPr>
          <w:spacing w:val="-2"/>
          <w:lang w:val="en-GB"/>
        </w:rPr>
        <w:t xml:space="preserve"> 90 km from Delhi). The company had planned to continue to participate in the bidding for new geographies</w:t>
      </w:r>
      <w:r w:rsidR="00AA78B6">
        <w:rPr>
          <w:spacing w:val="-2"/>
          <w:lang w:val="en-GB"/>
        </w:rPr>
        <w:t>,</w:t>
      </w:r>
      <w:r w:rsidRPr="00056191">
        <w:rPr>
          <w:spacing w:val="-2"/>
          <w:lang w:val="en-GB"/>
        </w:rPr>
        <w:t xml:space="preserve"> which would lead</w:t>
      </w:r>
      <w:r w:rsidR="00AA78B6">
        <w:rPr>
          <w:spacing w:val="-2"/>
          <w:lang w:val="en-GB"/>
        </w:rPr>
        <w:t xml:space="preserve"> </w:t>
      </w:r>
      <w:r w:rsidRPr="00056191">
        <w:rPr>
          <w:spacing w:val="-2"/>
          <w:lang w:val="en-GB"/>
        </w:rPr>
        <w:t>to business expansion.</w:t>
      </w:r>
      <w:r w:rsidR="00AA78B6">
        <w:rPr>
          <w:spacing w:val="-2"/>
          <w:lang w:val="en-GB"/>
        </w:rPr>
        <w:t xml:space="preserve"> </w:t>
      </w:r>
      <w:r w:rsidRPr="00056191">
        <w:rPr>
          <w:spacing w:val="-2"/>
          <w:lang w:val="en-GB"/>
        </w:rPr>
        <w:t xml:space="preserve">In its presentation to the investors, IGL had put forward its growth strategy aimed at improving and augmenting CNG infrastructure and CNG stations in </w:t>
      </w:r>
      <w:r w:rsidR="00494EBE">
        <w:rPr>
          <w:spacing w:val="-2"/>
          <w:lang w:val="en-GB"/>
        </w:rPr>
        <w:t xml:space="preserve">the </w:t>
      </w:r>
      <w:r w:rsidRPr="00056191">
        <w:rPr>
          <w:spacing w:val="-2"/>
          <w:lang w:val="en-GB"/>
        </w:rPr>
        <w:t xml:space="preserve">Delhi NCT to meet the additional demand. The goal was to cater to the growing conversion of private cars to CNG and the improvement undergoing in the public transport systems. </w:t>
      </w:r>
    </w:p>
    <w:p w14:paraId="216E8B0A" w14:textId="77777777" w:rsidR="0020586B" w:rsidRPr="00056191" w:rsidRDefault="0020586B" w:rsidP="0020586B">
      <w:pPr>
        <w:pStyle w:val="BodyTextMain"/>
        <w:rPr>
          <w:spacing w:val="-2"/>
          <w:sz w:val="20"/>
          <w:lang w:val="en-GB"/>
        </w:rPr>
      </w:pPr>
    </w:p>
    <w:p w14:paraId="28D8C3F1" w14:textId="0470EACF" w:rsidR="003E10AE" w:rsidRPr="00056191" w:rsidRDefault="0020586B" w:rsidP="0020586B">
      <w:pPr>
        <w:pStyle w:val="BodyTextMain"/>
        <w:rPr>
          <w:spacing w:val="-4"/>
          <w:lang w:val="en-GB"/>
        </w:rPr>
      </w:pPr>
      <w:r w:rsidRPr="00056191">
        <w:rPr>
          <w:spacing w:val="-4"/>
          <w:lang w:val="en-GB"/>
        </w:rPr>
        <w:t>While IGL was making multi-pronged efforts to expand its business reach, the sudden announcement of the odd</w:t>
      </w:r>
      <w:r w:rsidR="00AA78B6">
        <w:rPr>
          <w:spacing w:val="-4"/>
          <w:lang w:val="en-GB"/>
        </w:rPr>
        <w:t>-</w:t>
      </w:r>
      <w:r w:rsidRPr="00056191">
        <w:rPr>
          <w:spacing w:val="-4"/>
          <w:lang w:val="en-GB"/>
        </w:rPr>
        <w:t xml:space="preserve">even policy put </w:t>
      </w:r>
      <w:r w:rsidR="00AA78B6">
        <w:rPr>
          <w:spacing w:val="-4"/>
          <w:lang w:val="en-GB"/>
        </w:rPr>
        <w:t>IGL’s</w:t>
      </w:r>
      <w:r w:rsidR="00AA78B6" w:rsidRPr="00056191">
        <w:rPr>
          <w:spacing w:val="-4"/>
          <w:lang w:val="en-GB"/>
        </w:rPr>
        <w:t xml:space="preserve"> </w:t>
      </w:r>
      <w:r w:rsidRPr="00056191">
        <w:rPr>
          <w:spacing w:val="-4"/>
          <w:lang w:val="en-GB"/>
        </w:rPr>
        <w:t xml:space="preserve">marketing team in a very </w:t>
      </w:r>
      <w:r w:rsidR="001D72F7" w:rsidRPr="00056191">
        <w:rPr>
          <w:spacing w:val="-4"/>
          <w:lang w:val="en-GB"/>
        </w:rPr>
        <w:t>delicate</w:t>
      </w:r>
      <w:r w:rsidR="00CC17F5" w:rsidRPr="00056191">
        <w:rPr>
          <w:spacing w:val="-4"/>
          <w:lang w:val="en-GB"/>
        </w:rPr>
        <w:t xml:space="preserve"> </w:t>
      </w:r>
      <w:r w:rsidRPr="00056191">
        <w:rPr>
          <w:spacing w:val="-4"/>
          <w:lang w:val="en-GB"/>
        </w:rPr>
        <w:t>situation. The team wanted to not only save the company from the crisis but also use this situation to its favo</w:t>
      </w:r>
      <w:r w:rsidR="00AA78B6">
        <w:rPr>
          <w:spacing w:val="-4"/>
          <w:lang w:val="en-GB"/>
        </w:rPr>
        <w:t>u</w:t>
      </w:r>
      <w:r w:rsidRPr="00056191">
        <w:rPr>
          <w:spacing w:val="-4"/>
          <w:lang w:val="en-GB"/>
        </w:rPr>
        <w:t>r and promote its clean fuels. The team firmly committed itself to follow the vision of the organization.</w:t>
      </w:r>
    </w:p>
    <w:p w14:paraId="5DFD929B" w14:textId="7AECAFBB" w:rsidR="00753ADA" w:rsidRDefault="00753ADA" w:rsidP="00753ADA">
      <w:pPr>
        <w:pStyle w:val="BodyTextMain"/>
      </w:pPr>
      <w:r>
        <w:rPr>
          <w:noProof/>
        </w:rPr>
        <mc:AlternateContent>
          <mc:Choice Requires="wps">
            <w:drawing>
              <wp:anchor distT="45720" distB="45720" distL="114300" distR="114300" simplePos="0" relativeHeight="251659264" behindDoc="0" locked="0" layoutInCell="1" allowOverlap="1" wp14:anchorId="57154777" wp14:editId="32B88C54">
                <wp:simplePos x="0" y="0"/>
                <wp:positionH relativeFrom="column">
                  <wp:posOffset>31115</wp:posOffset>
                </wp:positionH>
                <wp:positionV relativeFrom="paragraph">
                  <wp:posOffset>197099</wp:posOffset>
                </wp:positionV>
                <wp:extent cx="5828030" cy="1404620"/>
                <wp:effectExtent l="0" t="0" r="2032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14:paraId="11319D0E" w14:textId="67A60002" w:rsidR="00753ADA" w:rsidRDefault="00753ADA" w:rsidP="00753ADA">
                            <w:pPr>
                              <w:pStyle w:val="Footnote"/>
                              <w:jc w:val="center"/>
                            </w:pPr>
                            <w:r>
                              <w:t>Amandeep Singh Narang and Vivek Pani Gumparthi are doctoral scholars at Indian Institute of Management Kashipur. Professor Somnath Chakrabarti is an associate professor at Indian Institute of Management Kashipur.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154777" id="_x0000_t202" coordsize="21600,21600" o:spt="202" path="m,l,21600r21600,l21600,xe">
                <v:stroke joinstyle="miter"/>
                <v:path gradientshapeok="t" o:connecttype="rect"/>
              </v:shapetype>
              <v:shape id="Text Box 2" o:spid="_x0000_s1026" type="#_x0000_t202" style="position:absolute;left:0;text-align:left;margin-left:2.45pt;margin-top:15.5pt;width:45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4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">
                <v:textbox style="mso-fit-shape-to-text:t">
                  <w:txbxContent>
                    <w:p w14:paraId="11319D0E" w14:textId="67A60002" w:rsidR="00753ADA" w:rsidRDefault="00753ADA" w:rsidP="00753ADA">
                      <w:pPr>
                        <w:pStyle w:val="Footnote"/>
                        <w:jc w:val="center"/>
                      </w:pPr>
                      <w:r>
                        <w:t>Amandeep Singh Narang and Vivek Pani Gumparthi are doctoral scholars at Indian Institute of Management Kashipur. Professor Somnath Chakrabarti is an associate professor at Indian Institute of Management Kashipur.</w:t>
                      </w:r>
                    </w:p>
                  </w:txbxContent>
                </v:textbox>
                <w10:wrap type="square"/>
              </v:shape>
            </w:pict>
          </mc:Fallback>
        </mc:AlternateContent>
      </w:r>
    </w:p>
    <w:p w14:paraId="63EE294F" w14:textId="2DF43339" w:rsidR="00753ADA" w:rsidRDefault="00753ADA" w:rsidP="00753ADA">
      <w:pPr>
        <w:pStyle w:val="BodyTextMain"/>
      </w:pPr>
    </w:p>
    <w:p w14:paraId="42B3B635" w14:textId="125B29BF" w:rsidR="00753ADA" w:rsidRDefault="00753ADA" w:rsidP="00753ADA">
      <w:pPr>
        <w:pStyle w:val="BodyTextMain"/>
      </w:pPr>
    </w:p>
    <w:p w14:paraId="0361E86C" w14:textId="77777777" w:rsidR="00753ADA" w:rsidRDefault="00753ADA" w:rsidP="00753ADA">
      <w:pPr>
        <w:pStyle w:val="BodyTextMain"/>
      </w:pPr>
    </w:p>
    <w:p w14:paraId="5E1E308E" w14:textId="77777777" w:rsidR="00753ADA" w:rsidRDefault="00753ADA" w:rsidP="00753ADA">
      <w:pPr>
        <w:pStyle w:val="BodyTextMain"/>
      </w:pPr>
    </w:p>
    <w:p w14:paraId="47398FB4" w14:textId="77777777" w:rsidR="00753ADA" w:rsidRDefault="00753ADA" w:rsidP="00753ADA">
      <w:pPr>
        <w:pStyle w:val="BodyTextMain"/>
      </w:pPr>
    </w:p>
    <w:p w14:paraId="064AB73F" w14:textId="77777777" w:rsidR="00753ADA" w:rsidRDefault="00753ADA" w:rsidP="00753ADA">
      <w:pPr>
        <w:pStyle w:val="BodyTextMain"/>
      </w:pPr>
    </w:p>
    <w:p w14:paraId="7B64B0F8" w14:textId="77777777" w:rsidR="00753ADA" w:rsidRDefault="00753ADA" w:rsidP="00753ADA">
      <w:pPr>
        <w:pStyle w:val="BodyTextMain"/>
      </w:pPr>
    </w:p>
    <w:p w14:paraId="1EE1CF11" w14:textId="77777777" w:rsidR="003E10AE" w:rsidRPr="00056191" w:rsidRDefault="003E10AE">
      <w:pPr>
        <w:spacing w:after="200" w:line="276" w:lineRule="auto"/>
        <w:rPr>
          <w:spacing w:val="-4"/>
          <w:sz w:val="22"/>
          <w:szCs w:val="22"/>
          <w:lang w:val="en-GB"/>
        </w:rPr>
      </w:pPr>
      <w:r w:rsidRPr="00056191">
        <w:rPr>
          <w:spacing w:val="-4"/>
          <w:lang w:val="en-GB"/>
        </w:rPr>
        <w:br w:type="page"/>
      </w:r>
    </w:p>
    <w:p w14:paraId="57D182D6" w14:textId="6CEC4E3A" w:rsidR="003E10AE" w:rsidRPr="00056191" w:rsidRDefault="003E10AE" w:rsidP="003E10AE">
      <w:pPr>
        <w:pStyle w:val="ExhibitHeading"/>
        <w:rPr>
          <w:i/>
          <w:lang w:val="en-GB"/>
        </w:rPr>
      </w:pPr>
      <w:r w:rsidRPr="00056191">
        <w:rPr>
          <w:lang w:val="en-GB"/>
        </w:rPr>
        <w:t>Exhibit 1: Gas Sales in Delhi</w:t>
      </w:r>
      <w:r w:rsidR="00530E21">
        <w:rPr>
          <w:lang w:val="en-GB"/>
        </w:rPr>
        <w:t>’s</w:t>
      </w:r>
      <w:r w:rsidRPr="00056191">
        <w:rPr>
          <w:lang w:val="en-GB"/>
        </w:rPr>
        <w:t xml:space="preserve"> N</w:t>
      </w:r>
      <w:r w:rsidR="00530E21">
        <w:rPr>
          <w:lang w:val="en-GB"/>
        </w:rPr>
        <w:t xml:space="preserve">ational </w:t>
      </w:r>
      <w:r w:rsidRPr="00056191">
        <w:rPr>
          <w:lang w:val="en-GB"/>
        </w:rPr>
        <w:t>C</w:t>
      </w:r>
      <w:r w:rsidR="00530E21">
        <w:rPr>
          <w:lang w:val="en-GB"/>
        </w:rPr>
        <w:t>api</w:t>
      </w:r>
      <w:r w:rsidR="009D2E51">
        <w:rPr>
          <w:lang w:val="en-GB"/>
        </w:rPr>
        <w:t xml:space="preserve">tal </w:t>
      </w:r>
      <w:r w:rsidRPr="00056191">
        <w:rPr>
          <w:lang w:val="en-GB"/>
        </w:rPr>
        <w:t>T</w:t>
      </w:r>
      <w:r w:rsidR="009D2E51">
        <w:rPr>
          <w:lang w:val="en-GB"/>
        </w:rPr>
        <w:t>erritory</w:t>
      </w:r>
      <w:r w:rsidRPr="00056191">
        <w:rPr>
          <w:lang w:val="en-GB"/>
        </w:rPr>
        <w:t xml:space="preserve"> </w:t>
      </w:r>
      <w:bookmarkStart w:id="0" w:name="_GoBack"/>
      <w:bookmarkEnd w:id="0"/>
      <w:r w:rsidRPr="00F00102">
        <w:rPr>
          <w:lang w:val="en-GB"/>
        </w:rPr>
        <w:t>(in</w:t>
      </w:r>
      <w:r w:rsidR="009D2E51">
        <w:rPr>
          <w:lang w:val="en-GB"/>
        </w:rPr>
        <w:t xml:space="preserve"> </w:t>
      </w:r>
      <w:r w:rsidRPr="00F00102">
        <w:rPr>
          <w:lang w:val="en-GB"/>
        </w:rPr>
        <w:t>m</w:t>
      </w:r>
      <w:r w:rsidR="009D2E51">
        <w:rPr>
          <w:lang w:val="en-GB"/>
        </w:rPr>
        <w:t>illion</w:t>
      </w:r>
      <w:r w:rsidR="0056771E">
        <w:rPr>
          <w:lang w:val="en-GB"/>
        </w:rPr>
        <w:t>s</w:t>
      </w:r>
      <w:r w:rsidR="009D2E51">
        <w:rPr>
          <w:lang w:val="en-GB"/>
        </w:rPr>
        <w:t xml:space="preserve"> </w:t>
      </w:r>
      <w:r w:rsidR="0056771E">
        <w:rPr>
          <w:lang w:val="en-GB"/>
        </w:rPr>
        <w:t xml:space="preserve">of </w:t>
      </w:r>
      <w:r w:rsidRPr="00F00102">
        <w:rPr>
          <w:lang w:val="en-GB"/>
        </w:rPr>
        <w:t>s</w:t>
      </w:r>
      <w:r w:rsidR="009D2E51">
        <w:rPr>
          <w:lang w:val="en-GB"/>
        </w:rPr>
        <w:t xml:space="preserve">tandard </w:t>
      </w:r>
      <w:r w:rsidRPr="00F00102">
        <w:rPr>
          <w:lang w:val="en-GB"/>
        </w:rPr>
        <w:t>c</w:t>
      </w:r>
      <w:r w:rsidR="009D2E51">
        <w:rPr>
          <w:lang w:val="en-GB"/>
        </w:rPr>
        <w:t xml:space="preserve">ubic </w:t>
      </w:r>
      <w:r w:rsidRPr="00F00102">
        <w:rPr>
          <w:lang w:val="en-GB"/>
        </w:rPr>
        <w:t>m</w:t>
      </w:r>
      <w:r w:rsidR="009D2E51">
        <w:rPr>
          <w:lang w:val="en-GB"/>
        </w:rPr>
        <w:t>etres</w:t>
      </w:r>
      <w:r w:rsidRPr="00F00102">
        <w:rPr>
          <w:lang w:val="en-GB"/>
        </w:rPr>
        <w:t>)</w:t>
      </w:r>
    </w:p>
    <w:p w14:paraId="1B952668" w14:textId="77777777" w:rsidR="003E10AE" w:rsidRPr="00056191" w:rsidRDefault="003E10AE" w:rsidP="003E10AE">
      <w:pPr>
        <w:pStyle w:val="BodyTextMain"/>
        <w:rPr>
          <w:sz w:val="20"/>
          <w:lang w:val="en-GB"/>
        </w:rPr>
      </w:pP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976"/>
        <w:gridCol w:w="977"/>
        <w:gridCol w:w="976"/>
        <w:gridCol w:w="977"/>
        <w:gridCol w:w="977"/>
        <w:gridCol w:w="1535"/>
      </w:tblGrid>
      <w:tr w:rsidR="003E10AE" w:rsidRPr="005641F9" w14:paraId="461C9E66" w14:textId="77777777" w:rsidTr="00F36850">
        <w:trPr>
          <w:jc w:val="center"/>
        </w:trPr>
        <w:tc>
          <w:tcPr>
            <w:tcW w:w="2284" w:type="dxa"/>
            <w:shd w:val="clear" w:color="auto" w:fill="auto"/>
          </w:tcPr>
          <w:p w14:paraId="43EF3561" w14:textId="77777777" w:rsidR="003E10AE" w:rsidRPr="00F36850" w:rsidRDefault="003E10AE" w:rsidP="003E10AE">
            <w:pPr>
              <w:pStyle w:val="ExhibitText"/>
              <w:rPr>
                <w:b/>
                <w:sz w:val="18"/>
                <w:szCs w:val="18"/>
                <w:lang w:val="en-GB"/>
              </w:rPr>
            </w:pPr>
            <w:bookmarkStart w:id="1" w:name="_Hlk516820104"/>
          </w:p>
        </w:tc>
        <w:tc>
          <w:tcPr>
            <w:tcW w:w="976" w:type="dxa"/>
            <w:shd w:val="clear" w:color="auto" w:fill="auto"/>
            <w:vAlign w:val="center"/>
          </w:tcPr>
          <w:p w14:paraId="4ADF9CA9" w14:textId="500CCEE4" w:rsidR="003E10AE" w:rsidRPr="00F36850" w:rsidRDefault="003E10AE" w:rsidP="003E10AE">
            <w:pPr>
              <w:pStyle w:val="ExhibitText"/>
              <w:jc w:val="center"/>
              <w:rPr>
                <w:b/>
                <w:sz w:val="18"/>
                <w:szCs w:val="18"/>
                <w:lang w:val="en-GB"/>
              </w:rPr>
            </w:pPr>
            <w:r w:rsidRPr="00F36850">
              <w:rPr>
                <w:b/>
                <w:sz w:val="18"/>
                <w:szCs w:val="18"/>
                <w:lang w:val="en-GB"/>
              </w:rPr>
              <w:t xml:space="preserve">FY </w:t>
            </w:r>
            <w:r w:rsidR="009D2E51" w:rsidRPr="00F36850">
              <w:rPr>
                <w:b/>
                <w:sz w:val="18"/>
                <w:szCs w:val="18"/>
                <w:lang w:val="en-GB"/>
              </w:rPr>
              <w:t>20</w:t>
            </w:r>
            <w:r w:rsidRPr="00F36850">
              <w:rPr>
                <w:b/>
                <w:sz w:val="18"/>
                <w:szCs w:val="18"/>
                <w:lang w:val="en-GB"/>
              </w:rPr>
              <w:t>11</w:t>
            </w:r>
          </w:p>
        </w:tc>
        <w:tc>
          <w:tcPr>
            <w:tcW w:w="977" w:type="dxa"/>
            <w:shd w:val="clear" w:color="auto" w:fill="auto"/>
            <w:vAlign w:val="center"/>
          </w:tcPr>
          <w:p w14:paraId="7F89D1BD" w14:textId="183332CF" w:rsidR="003E10AE" w:rsidRPr="00F36850" w:rsidRDefault="003E10AE" w:rsidP="003E10AE">
            <w:pPr>
              <w:pStyle w:val="ExhibitText"/>
              <w:jc w:val="center"/>
              <w:rPr>
                <w:b/>
                <w:sz w:val="18"/>
                <w:szCs w:val="18"/>
                <w:lang w:val="en-GB"/>
              </w:rPr>
            </w:pPr>
            <w:r w:rsidRPr="00F36850">
              <w:rPr>
                <w:b/>
                <w:sz w:val="18"/>
                <w:szCs w:val="18"/>
                <w:lang w:val="en-GB"/>
              </w:rPr>
              <w:t xml:space="preserve">FY </w:t>
            </w:r>
            <w:r w:rsidR="009D2E51" w:rsidRPr="00F36850">
              <w:rPr>
                <w:b/>
                <w:sz w:val="18"/>
                <w:szCs w:val="18"/>
                <w:lang w:val="en-GB"/>
              </w:rPr>
              <w:t>20</w:t>
            </w:r>
            <w:r w:rsidRPr="00F36850">
              <w:rPr>
                <w:b/>
                <w:sz w:val="18"/>
                <w:szCs w:val="18"/>
                <w:lang w:val="en-GB"/>
              </w:rPr>
              <w:t>12</w:t>
            </w:r>
          </w:p>
        </w:tc>
        <w:tc>
          <w:tcPr>
            <w:tcW w:w="976" w:type="dxa"/>
            <w:shd w:val="clear" w:color="auto" w:fill="auto"/>
            <w:vAlign w:val="center"/>
          </w:tcPr>
          <w:p w14:paraId="65403166" w14:textId="2586F603" w:rsidR="003E10AE" w:rsidRPr="00F36850" w:rsidRDefault="003E10AE" w:rsidP="003E10AE">
            <w:pPr>
              <w:pStyle w:val="ExhibitText"/>
              <w:jc w:val="center"/>
              <w:rPr>
                <w:b/>
                <w:sz w:val="18"/>
                <w:szCs w:val="18"/>
                <w:lang w:val="en-GB"/>
              </w:rPr>
            </w:pPr>
            <w:r w:rsidRPr="00F36850">
              <w:rPr>
                <w:b/>
                <w:sz w:val="18"/>
                <w:szCs w:val="18"/>
                <w:lang w:val="en-GB"/>
              </w:rPr>
              <w:t xml:space="preserve">FY </w:t>
            </w:r>
            <w:r w:rsidR="009D2E51" w:rsidRPr="00F36850">
              <w:rPr>
                <w:b/>
                <w:sz w:val="18"/>
                <w:szCs w:val="18"/>
                <w:lang w:val="en-GB"/>
              </w:rPr>
              <w:t>20</w:t>
            </w:r>
            <w:r w:rsidRPr="00F36850">
              <w:rPr>
                <w:b/>
                <w:sz w:val="18"/>
                <w:szCs w:val="18"/>
                <w:lang w:val="en-GB"/>
              </w:rPr>
              <w:t>13</w:t>
            </w:r>
          </w:p>
        </w:tc>
        <w:tc>
          <w:tcPr>
            <w:tcW w:w="977" w:type="dxa"/>
            <w:shd w:val="clear" w:color="auto" w:fill="auto"/>
            <w:vAlign w:val="center"/>
          </w:tcPr>
          <w:p w14:paraId="6AB40C11" w14:textId="5A6528E9" w:rsidR="003E10AE" w:rsidRPr="00F36850" w:rsidRDefault="003E10AE" w:rsidP="003E10AE">
            <w:pPr>
              <w:pStyle w:val="ExhibitText"/>
              <w:jc w:val="center"/>
              <w:rPr>
                <w:b/>
                <w:sz w:val="18"/>
                <w:szCs w:val="18"/>
                <w:lang w:val="en-GB"/>
              </w:rPr>
            </w:pPr>
            <w:r w:rsidRPr="00F36850">
              <w:rPr>
                <w:b/>
                <w:sz w:val="18"/>
                <w:szCs w:val="18"/>
                <w:lang w:val="en-GB"/>
              </w:rPr>
              <w:t xml:space="preserve">FY </w:t>
            </w:r>
            <w:r w:rsidR="009D2E51" w:rsidRPr="00F36850">
              <w:rPr>
                <w:b/>
                <w:sz w:val="18"/>
                <w:szCs w:val="18"/>
                <w:lang w:val="en-GB"/>
              </w:rPr>
              <w:t>20</w:t>
            </w:r>
            <w:r w:rsidRPr="00F36850">
              <w:rPr>
                <w:b/>
                <w:sz w:val="18"/>
                <w:szCs w:val="18"/>
                <w:lang w:val="en-GB"/>
              </w:rPr>
              <w:t>14</w:t>
            </w:r>
          </w:p>
        </w:tc>
        <w:tc>
          <w:tcPr>
            <w:tcW w:w="977" w:type="dxa"/>
            <w:shd w:val="clear" w:color="auto" w:fill="auto"/>
            <w:vAlign w:val="center"/>
          </w:tcPr>
          <w:p w14:paraId="183FC53D" w14:textId="1F3411A5" w:rsidR="003E10AE" w:rsidRPr="00F36850" w:rsidRDefault="003E10AE" w:rsidP="003E10AE">
            <w:pPr>
              <w:pStyle w:val="ExhibitText"/>
              <w:jc w:val="center"/>
              <w:rPr>
                <w:b/>
                <w:sz w:val="18"/>
                <w:szCs w:val="18"/>
                <w:lang w:val="en-GB"/>
              </w:rPr>
            </w:pPr>
            <w:r w:rsidRPr="00F36850">
              <w:rPr>
                <w:b/>
                <w:sz w:val="18"/>
                <w:szCs w:val="18"/>
                <w:lang w:val="en-GB"/>
              </w:rPr>
              <w:t xml:space="preserve">FY </w:t>
            </w:r>
            <w:r w:rsidR="009D2E51" w:rsidRPr="00F36850">
              <w:rPr>
                <w:b/>
                <w:sz w:val="18"/>
                <w:szCs w:val="18"/>
                <w:lang w:val="en-GB"/>
              </w:rPr>
              <w:t>20</w:t>
            </w:r>
            <w:r w:rsidRPr="00F36850">
              <w:rPr>
                <w:b/>
                <w:sz w:val="18"/>
                <w:szCs w:val="18"/>
                <w:lang w:val="en-GB"/>
              </w:rPr>
              <w:t>15</w:t>
            </w:r>
          </w:p>
        </w:tc>
        <w:tc>
          <w:tcPr>
            <w:tcW w:w="1535" w:type="dxa"/>
            <w:shd w:val="clear" w:color="auto" w:fill="auto"/>
            <w:vAlign w:val="center"/>
          </w:tcPr>
          <w:p w14:paraId="617E7F90" w14:textId="77777777" w:rsidR="003E10AE" w:rsidRPr="00F36850" w:rsidRDefault="003E10AE" w:rsidP="003E10AE">
            <w:pPr>
              <w:pStyle w:val="ExhibitText"/>
              <w:jc w:val="center"/>
              <w:rPr>
                <w:b/>
                <w:sz w:val="18"/>
                <w:szCs w:val="18"/>
                <w:lang w:val="en-GB"/>
              </w:rPr>
            </w:pPr>
            <w:r w:rsidRPr="00F36850">
              <w:rPr>
                <w:b/>
                <w:sz w:val="18"/>
                <w:szCs w:val="18"/>
                <w:lang w:val="en-GB"/>
              </w:rPr>
              <w:t>CAGR</w:t>
            </w:r>
          </w:p>
          <w:p w14:paraId="4CF09F50" w14:textId="77777777" w:rsidR="003E10AE" w:rsidRPr="00F36850" w:rsidRDefault="003E10AE" w:rsidP="003E10AE">
            <w:pPr>
              <w:pStyle w:val="ExhibitText"/>
              <w:jc w:val="center"/>
              <w:rPr>
                <w:b/>
                <w:sz w:val="18"/>
                <w:szCs w:val="18"/>
                <w:lang w:val="en-GB"/>
              </w:rPr>
            </w:pPr>
            <w:r w:rsidRPr="00F36850">
              <w:rPr>
                <w:b/>
                <w:sz w:val="18"/>
                <w:szCs w:val="18"/>
                <w:lang w:val="en-GB"/>
              </w:rPr>
              <w:t>Last Five Years</w:t>
            </w:r>
          </w:p>
        </w:tc>
      </w:tr>
      <w:tr w:rsidR="003E10AE" w:rsidRPr="00056191" w14:paraId="0CC6C915" w14:textId="77777777" w:rsidTr="00F36850">
        <w:trPr>
          <w:jc w:val="center"/>
        </w:trPr>
        <w:tc>
          <w:tcPr>
            <w:tcW w:w="2284" w:type="dxa"/>
            <w:shd w:val="clear" w:color="auto" w:fill="auto"/>
          </w:tcPr>
          <w:p w14:paraId="52F57CD4" w14:textId="4A40FD83" w:rsidR="003E10AE" w:rsidRPr="00056191" w:rsidRDefault="003E10AE" w:rsidP="003E10AE">
            <w:pPr>
              <w:pStyle w:val="ExhibitText"/>
              <w:rPr>
                <w:sz w:val="18"/>
                <w:szCs w:val="18"/>
                <w:lang w:val="en-GB"/>
              </w:rPr>
            </w:pPr>
            <w:r w:rsidRPr="00056191">
              <w:rPr>
                <w:sz w:val="18"/>
                <w:szCs w:val="18"/>
                <w:lang w:val="en-GB"/>
              </w:rPr>
              <w:t>C</w:t>
            </w:r>
            <w:r w:rsidR="009D2E51">
              <w:rPr>
                <w:sz w:val="18"/>
                <w:szCs w:val="18"/>
                <w:lang w:val="en-GB"/>
              </w:rPr>
              <w:t xml:space="preserve">ompressed </w:t>
            </w:r>
            <w:r w:rsidRPr="00056191">
              <w:rPr>
                <w:sz w:val="18"/>
                <w:szCs w:val="18"/>
                <w:lang w:val="en-GB"/>
              </w:rPr>
              <w:t>N</w:t>
            </w:r>
            <w:r w:rsidR="009D2E51">
              <w:rPr>
                <w:sz w:val="18"/>
                <w:szCs w:val="18"/>
                <w:lang w:val="en-GB"/>
              </w:rPr>
              <w:t xml:space="preserve">atural </w:t>
            </w:r>
            <w:r w:rsidRPr="00056191">
              <w:rPr>
                <w:sz w:val="18"/>
                <w:szCs w:val="18"/>
                <w:lang w:val="en-GB"/>
              </w:rPr>
              <w:t>G</w:t>
            </w:r>
            <w:r w:rsidR="009D2E51">
              <w:rPr>
                <w:sz w:val="18"/>
                <w:szCs w:val="18"/>
                <w:lang w:val="en-GB"/>
              </w:rPr>
              <w:t>as</w:t>
            </w:r>
          </w:p>
        </w:tc>
        <w:tc>
          <w:tcPr>
            <w:tcW w:w="976" w:type="dxa"/>
            <w:shd w:val="clear" w:color="auto" w:fill="auto"/>
          </w:tcPr>
          <w:p w14:paraId="2EC2BFB0" w14:textId="77777777" w:rsidR="003E10AE" w:rsidRPr="00056191" w:rsidRDefault="003E10AE" w:rsidP="00F36850">
            <w:pPr>
              <w:pStyle w:val="ExhibitText"/>
              <w:tabs>
                <w:tab w:val="decimal" w:pos="507"/>
              </w:tabs>
              <w:jc w:val="right"/>
              <w:rPr>
                <w:sz w:val="18"/>
                <w:szCs w:val="18"/>
                <w:lang w:val="en-GB"/>
              </w:rPr>
            </w:pPr>
            <w:r w:rsidRPr="00056191">
              <w:rPr>
                <w:sz w:val="18"/>
                <w:szCs w:val="18"/>
                <w:lang w:val="en-GB"/>
              </w:rPr>
              <w:t>818</w:t>
            </w:r>
          </w:p>
        </w:tc>
        <w:tc>
          <w:tcPr>
            <w:tcW w:w="977" w:type="dxa"/>
            <w:shd w:val="clear" w:color="auto" w:fill="auto"/>
          </w:tcPr>
          <w:p w14:paraId="00408148" w14:textId="77777777" w:rsidR="003E10AE" w:rsidRPr="00056191" w:rsidRDefault="003E10AE" w:rsidP="00F36850">
            <w:pPr>
              <w:pStyle w:val="ExhibitText"/>
              <w:tabs>
                <w:tab w:val="decimal" w:pos="438"/>
              </w:tabs>
              <w:jc w:val="right"/>
              <w:rPr>
                <w:sz w:val="18"/>
                <w:szCs w:val="18"/>
                <w:lang w:val="en-GB"/>
              </w:rPr>
            </w:pPr>
            <w:r w:rsidRPr="00056191">
              <w:rPr>
                <w:sz w:val="18"/>
                <w:szCs w:val="18"/>
                <w:lang w:val="en-GB"/>
              </w:rPr>
              <w:t>936</w:t>
            </w:r>
          </w:p>
        </w:tc>
        <w:tc>
          <w:tcPr>
            <w:tcW w:w="976" w:type="dxa"/>
            <w:shd w:val="clear" w:color="auto" w:fill="auto"/>
          </w:tcPr>
          <w:p w14:paraId="45AC5F6D" w14:textId="14197510" w:rsidR="003E10AE" w:rsidRPr="00056191" w:rsidRDefault="003E10AE" w:rsidP="00F36850">
            <w:pPr>
              <w:pStyle w:val="ExhibitText"/>
              <w:tabs>
                <w:tab w:val="decimal" w:pos="502"/>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005</w:t>
            </w:r>
          </w:p>
        </w:tc>
        <w:tc>
          <w:tcPr>
            <w:tcW w:w="977" w:type="dxa"/>
            <w:shd w:val="clear" w:color="auto" w:fill="auto"/>
          </w:tcPr>
          <w:p w14:paraId="00D5C241" w14:textId="20E99F73" w:rsidR="003E10AE" w:rsidRPr="00056191" w:rsidRDefault="003E10AE" w:rsidP="00F36850">
            <w:pPr>
              <w:pStyle w:val="ExhibitText"/>
              <w:tabs>
                <w:tab w:val="decimal" w:pos="550"/>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028</w:t>
            </w:r>
          </w:p>
        </w:tc>
        <w:tc>
          <w:tcPr>
            <w:tcW w:w="977" w:type="dxa"/>
            <w:shd w:val="clear" w:color="auto" w:fill="auto"/>
          </w:tcPr>
          <w:p w14:paraId="2389D776" w14:textId="6619B4DF" w:rsidR="003E10AE" w:rsidRPr="00056191" w:rsidRDefault="003E10AE" w:rsidP="00F36850">
            <w:pPr>
              <w:pStyle w:val="ExhibitText"/>
              <w:tabs>
                <w:tab w:val="decimal" w:pos="551"/>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073</w:t>
            </w:r>
          </w:p>
        </w:tc>
        <w:tc>
          <w:tcPr>
            <w:tcW w:w="1535" w:type="dxa"/>
            <w:shd w:val="clear" w:color="auto" w:fill="auto"/>
          </w:tcPr>
          <w:p w14:paraId="7A1B84E9" w14:textId="77777777" w:rsidR="003E10AE" w:rsidRPr="00056191" w:rsidRDefault="003E10AE" w:rsidP="00F36850">
            <w:pPr>
              <w:pStyle w:val="ExhibitText"/>
              <w:tabs>
                <w:tab w:val="decimal" w:pos="749"/>
              </w:tabs>
              <w:jc w:val="right"/>
              <w:rPr>
                <w:sz w:val="18"/>
                <w:szCs w:val="18"/>
                <w:lang w:val="en-GB"/>
              </w:rPr>
            </w:pPr>
            <w:r w:rsidRPr="00056191">
              <w:rPr>
                <w:sz w:val="18"/>
                <w:szCs w:val="18"/>
                <w:lang w:val="en-GB"/>
              </w:rPr>
              <w:t>6%</w:t>
            </w:r>
          </w:p>
        </w:tc>
      </w:tr>
      <w:tr w:rsidR="003E10AE" w:rsidRPr="00056191" w14:paraId="7D082C0D" w14:textId="77777777" w:rsidTr="00F36850">
        <w:trPr>
          <w:jc w:val="center"/>
        </w:trPr>
        <w:tc>
          <w:tcPr>
            <w:tcW w:w="2284" w:type="dxa"/>
            <w:shd w:val="clear" w:color="auto" w:fill="auto"/>
          </w:tcPr>
          <w:p w14:paraId="411CF230" w14:textId="4F036AE0" w:rsidR="003E10AE" w:rsidRPr="00056191" w:rsidRDefault="003E10AE" w:rsidP="003E10AE">
            <w:pPr>
              <w:pStyle w:val="ExhibitText"/>
              <w:rPr>
                <w:sz w:val="18"/>
                <w:szCs w:val="18"/>
                <w:lang w:val="en-GB"/>
              </w:rPr>
            </w:pPr>
            <w:r w:rsidRPr="00056191">
              <w:rPr>
                <w:sz w:val="18"/>
                <w:szCs w:val="18"/>
                <w:lang w:val="en-GB"/>
              </w:rPr>
              <w:t>P</w:t>
            </w:r>
            <w:r w:rsidR="009D2E51">
              <w:rPr>
                <w:sz w:val="18"/>
                <w:szCs w:val="18"/>
                <w:lang w:val="en-GB"/>
              </w:rPr>
              <w:t xml:space="preserve">iped </w:t>
            </w:r>
            <w:r w:rsidRPr="00056191">
              <w:rPr>
                <w:sz w:val="18"/>
                <w:szCs w:val="18"/>
                <w:lang w:val="en-GB"/>
              </w:rPr>
              <w:t>N</w:t>
            </w:r>
            <w:r w:rsidR="009D2E51">
              <w:rPr>
                <w:sz w:val="18"/>
                <w:szCs w:val="18"/>
                <w:lang w:val="en-GB"/>
              </w:rPr>
              <w:t xml:space="preserve">atural </w:t>
            </w:r>
            <w:r w:rsidRPr="00056191">
              <w:rPr>
                <w:sz w:val="18"/>
                <w:szCs w:val="18"/>
                <w:lang w:val="en-GB"/>
              </w:rPr>
              <w:t>G</w:t>
            </w:r>
            <w:r w:rsidR="009D2E51">
              <w:rPr>
                <w:sz w:val="18"/>
                <w:szCs w:val="18"/>
                <w:lang w:val="en-GB"/>
              </w:rPr>
              <w:t>as</w:t>
            </w:r>
          </w:p>
        </w:tc>
        <w:tc>
          <w:tcPr>
            <w:tcW w:w="976" w:type="dxa"/>
            <w:shd w:val="clear" w:color="auto" w:fill="auto"/>
          </w:tcPr>
          <w:p w14:paraId="0E83E0D3" w14:textId="77777777" w:rsidR="003E10AE" w:rsidRPr="00056191" w:rsidRDefault="003E10AE" w:rsidP="00F36850">
            <w:pPr>
              <w:pStyle w:val="ExhibitText"/>
              <w:tabs>
                <w:tab w:val="decimal" w:pos="507"/>
              </w:tabs>
              <w:jc w:val="right"/>
              <w:rPr>
                <w:sz w:val="18"/>
                <w:szCs w:val="18"/>
                <w:lang w:val="en-GB"/>
              </w:rPr>
            </w:pPr>
            <w:r w:rsidRPr="00056191">
              <w:rPr>
                <w:sz w:val="18"/>
                <w:szCs w:val="18"/>
                <w:lang w:val="en-GB"/>
              </w:rPr>
              <w:t>180</w:t>
            </w:r>
          </w:p>
        </w:tc>
        <w:tc>
          <w:tcPr>
            <w:tcW w:w="977" w:type="dxa"/>
            <w:shd w:val="clear" w:color="auto" w:fill="auto"/>
          </w:tcPr>
          <w:p w14:paraId="7454B9C5" w14:textId="77777777" w:rsidR="003E10AE" w:rsidRPr="00056191" w:rsidRDefault="003E10AE" w:rsidP="00F36850">
            <w:pPr>
              <w:pStyle w:val="ExhibitText"/>
              <w:tabs>
                <w:tab w:val="decimal" w:pos="438"/>
              </w:tabs>
              <w:jc w:val="right"/>
              <w:rPr>
                <w:sz w:val="18"/>
                <w:szCs w:val="18"/>
                <w:lang w:val="en-GB"/>
              </w:rPr>
            </w:pPr>
            <w:r w:rsidRPr="00056191">
              <w:rPr>
                <w:sz w:val="18"/>
                <w:szCs w:val="18"/>
                <w:lang w:val="en-GB"/>
              </w:rPr>
              <w:t>282</w:t>
            </w:r>
          </w:p>
        </w:tc>
        <w:tc>
          <w:tcPr>
            <w:tcW w:w="976" w:type="dxa"/>
            <w:shd w:val="clear" w:color="auto" w:fill="auto"/>
          </w:tcPr>
          <w:p w14:paraId="7167A077" w14:textId="77777777" w:rsidR="003E10AE" w:rsidRPr="00056191" w:rsidRDefault="003E10AE" w:rsidP="00F36850">
            <w:pPr>
              <w:pStyle w:val="ExhibitText"/>
              <w:tabs>
                <w:tab w:val="decimal" w:pos="502"/>
              </w:tabs>
              <w:jc w:val="right"/>
              <w:rPr>
                <w:sz w:val="18"/>
                <w:szCs w:val="18"/>
                <w:lang w:val="en-GB"/>
              </w:rPr>
            </w:pPr>
            <w:r w:rsidRPr="00056191">
              <w:rPr>
                <w:sz w:val="18"/>
                <w:szCs w:val="18"/>
                <w:lang w:val="en-GB"/>
              </w:rPr>
              <w:t>333</w:t>
            </w:r>
          </w:p>
        </w:tc>
        <w:tc>
          <w:tcPr>
            <w:tcW w:w="977" w:type="dxa"/>
            <w:shd w:val="clear" w:color="auto" w:fill="auto"/>
          </w:tcPr>
          <w:p w14:paraId="2F83F6A2" w14:textId="77777777" w:rsidR="003E10AE" w:rsidRPr="00056191" w:rsidRDefault="003E10AE" w:rsidP="00F36850">
            <w:pPr>
              <w:pStyle w:val="ExhibitText"/>
              <w:tabs>
                <w:tab w:val="decimal" w:pos="550"/>
              </w:tabs>
              <w:jc w:val="right"/>
              <w:rPr>
                <w:sz w:val="18"/>
                <w:szCs w:val="18"/>
                <w:lang w:val="en-GB"/>
              </w:rPr>
            </w:pPr>
            <w:r w:rsidRPr="00056191">
              <w:rPr>
                <w:sz w:val="18"/>
                <w:szCs w:val="18"/>
                <w:lang w:val="en-GB"/>
              </w:rPr>
              <w:t>356</w:t>
            </w:r>
          </w:p>
        </w:tc>
        <w:tc>
          <w:tcPr>
            <w:tcW w:w="977" w:type="dxa"/>
            <w:shd w:val="clear" w:color="auto" w:fill="auto"/>
          </w:tcPr>
          <w:p w14:paraId="74997300" w14:textId="77777777" w:rsidR="003E10AE" w:rsidRPr="00056191" w:rsidRDefault="003E10AE" w:rsidP="00F36850">
            <w:pPr>
              <w:pStyle w:val="ExhibitText"/>
              <w:tabs>
                <w:tab w:val="decimal" w:pos="551"/>
              </w:tabs>
              <w:jc w:val="right"/>
              <w:rPr>
                <w:sz w:val="18"/>
                <w:szCs w:val="18"/>
                <w:lang w:val="en-GB"/>
              </w:rPr>
            </w:pPr>
            <w:r w:rsidRPr="00056191">
              <w:rPr>
                <w:sz w:val="18"/>
                <w:szCs w:val="18"/>
                <w:lang w:val="en-GB"/>
              </w:rPr>
              <w:t>330</w:t>
            </w:r>
          </w:p>
        </w:tc>
        <w:tc>
          <w:tcPr>
            <w:tcW w:w="1535" w:type="dxa"/>
            <w:shd w:val="clear" w:color="auto" w:fill="auto"/>
          </w:tcPr>
          <w:p w14:paraId="3DDDB226" w14:textId="77777777" w:rsidR="003E10AE" w:rsidRPr="00056191" w:rsidRDefault="003E10AE" w:rsidP="00F36850">
            <w:pPr>
              <w:pStyle w:val="ExhibitText"/>
              <w:tabs>
                <w:tab w:val="decimal" w:pos="749"/>
              </w:tabs>
              <w:jc w:val="right"/>
              <w:rPr>
                <w:sz w:val="18"/>
                <w:szCs w:val="18"/>
                <w:lang w:val="en-GB"/>
              </w:rPr>
            </w:pPr>
            <w:r w:rsidRPr="00056191">
              <w:rPr>
                <w:sz w:val="18"/>
                <w:szCs w:val="18"/>
                <w:lang w:val="en-GB"/>
              </w:rPr>
              <w:t>13%</w:t>
            </w:r>
          </w:p>
        </w:tc>
      </w:tr>
      <w:tr w:rsidR="003E10AE" w:rsidRPr="00056191" w14:paraId="69D7A3A8" w14:textId="77777777" w:rsidTr="00F36850">
        <w:trPr>
          <w:jc w:val="center"/>
        </w:trPr>
        <w:tc>
          <w:tcPr>
            <w:tcW w:w="2284" w:type="dxa"/>
            <w:shd w:val="clear" w:color="auto" w:fill="auto"/>
          </w:tcPr>
          <w:p w14:paraId="3D8EDD2B" w14:textId="7C04F6D5" w:rsidR="003E10AE" w:rsidRPr="00056191" w:rsidRDefault="003E10AE" w:rsidP="003E10AE">
            <w:pPr>
              <w:pStyle w:val="ExhibitText"/>
              <w:rPr>
                <w:sz w:val="18"/>
                <w:szCs w:val="18"/>
                <w:lang w:val="en-GB"/>
              </w:rPr>
            </w:pPr>
            <w:r w:rsidRPr="00056191">
              <w:rPr>
                <w:sz w:val="18"/>
                <w:szCs w:val="18"/>
                <w:lang w:val="en-GB"/>
              </w:rPr>
              <w:t>Total Sale</w:t>
            </w:r>
            <w:r w:rsidR="009D2E51">
              <w:rPr>
                <w:sz w:val="18"/>
                <w:szCs w:val="18"/>
                <w:lang w:val="en-GB"/>
              </w:rPr>
              <w:t>s</w:t>
            </w:r>
          </w:p>
        </w:tc>
        <w:tc>
          <w:tcPr>
            <w:tcW w:w="976" w:type="dxa"/>
            <w:shd w:val="clear" w:color="auto" w:fill="auto"/>
          </w:tcPr>
          <w:p w14:paraId="2CC78A92" w14:textId="77777777" w:rsidR="003E10AE" w:rsidRPr="00056191" w:rsidRDefault="003E10AE" w:rsidP="00F36850">
            <w:pPr>
              <w:pStyle w:val="ExhibitText"/>
              <w:tabs>
                <w:tab w:val="decimal" w:pos="507"/>
              </w:tabs>
              <w:jc w:val="right"/>
              <w:rPr>
                <w:sz w:val="18"/>
                <w:szCs w:val="18"/>
                <w:lang w:val="en-GB"/>
              </w:rPr>
            </w:pPr>
            <w:r w:rsidRPr="00056191">
              <w:rPr>
                <w:sz w:val="18"/>
                <w:szCs w:val="18"/>
                <w:lang w:val="en-GB"/>
              </w:rPr>
              <w:t>998</w:t>
            </w:r>
          </w:p>
        </w:tc>
        <w:tc>
          <w:tcPr>
            <w:tcW w:w="977" w:type="dxa"/>
            <w:shd w:val="clear" w:color="auto" w:fill="auto"/>
          </w:tcPr>
          <w:p w14:paraId="7E1BD59B" w14:textId="71732C12" w:rsidR="003E10AE" w:rsidRPr="00056191" w:rsidRDefault="003E10AE" w:rsidP="00F36850">
            <w:pPr>
              <w:pStyle w:val="ExhibitText"/>
              <w:tabs>
                <w:tab w:val="decimal" w:pos="438"/>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218</w:t>
            </w:r>
          </w:p>
        </w:tc>
        <w:tc>
          <w:tcPr>
            <w:tcW w:w="976" w:type="dxa"/>
            <w:shd w:val="clear" w:color="auto" w:fill="auto"/>
          </w:tcPr>
          <w:p w14:paraId="0CDEA1F5" w14:textId="0C0A2ED3" w:rsidR="003E10AE" w:rsidRPr="00056191" w:rsidRDefault="003E10AE" w:rsidP="00F36850">
            <w:pPr>
              <w:pStyle w:val="ExhibitText"/>
              <w:tabs>
                <w:tab w:val="decimal" w:pos="502"/>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338</w:t>
            </w:r>
          </w:p>
        </w:tc>
        <w:tc>
          <w:tcPr>
            <w:tcW w:w="977" w:type="dxa"/>
            <w:shd w:val="clear" w:color="auto" w:fill="auto"/>
          </w:tcPr>
          <w:p w14:paraId="53F7F737" w14:textId="071F3972" w:rsidR="003E10AE" w:rsidRPr="00056191" w:rsidRDefault="003E10AE" w:rsidP="00F36850">
            <w:pPr>
              <w:pStyle w:val="ExhibitText"/>
              <w:tabs>
                <w:tab w:val="decimal" w:pos="550"/>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384</w:t>
            </w:r>
          </w:p>
        </w:tc>
        <w:tc>
          <w:tcPr>
            <w:tcW w:w="977" w:type="dxa"/>
            <w:shd w:val="clear" w:color="auto" w:fill="auto"/>
          </w:tcPr>
          <w:p w14:paraId="6AD3D032" w14:textId="28906AD1" w:rsidR="003E10AE" w:rsidRPr="00056191" w:rsidRDefault="003E10AE" w:rsidP="00F36850">
            <w:pPr>
              <w:pStyle w:val="ExhibitText"/>
              <w:tabs>
                <w:tab w:val="decimal" w:pos="551"/>
              </w:tabs>
              <w:jc w:val="right"/>
              <w:rPr>
                <w:sz w:val="18"/>
                <w:szCs w:val="18"/>
                <w:lang w:val="en-GB"/>
              </w:rPr>
            </w:pPr>
            <w:r w:rsidRPr="00056191">
              <w:rPr>
                <w:sz w:val="18"/>
                <w:szCs w:val="18"/>
                <w:lang w:val="en-GB"/>
              </w:rPr>
              <w:t>1</w:t>
            </w:r>
            <w:r w:rsidR="009D2E51">
              <w:rPr>
                <w:sz w:val="18"/>
                <w:szCs w:val="18"/>
                <w:lang w:val="en-GB"/>
              </w:rPr>
              <w:t>,</w:t>
            </w:r>
            <w:r w:rsidRPr="00056191">
              <w:rPr>
                <w:sz w:val="18"/>
                <w:szCs w:val="18"/>
                <w:lang w:val="en-GB"/>
              </w:rPr>
              <w:t>403</w:t>
            </w:r>
          </w:p>
        </w:tc>
        <w:tc>
          <w:tcPr>
            <w:tcW w:w="1535" w:type="dxa"/>
            <w:shd w:val="clear" w:color="auto" w:fill="auto"/>
          </w:tcPr>
          <w:p w14:paraId="5AE6F87C" w14:textId="77777777" w:rsidR="003E10AE" w:rsidRPr="00056191" w:rsidRDefault="003E10AE" w:rsidP="00F36850">
            <w:pPr>
              <w:pStyle w:val="ExhibitText"/>
              <w:tabs>
                <w:tab w:val="decimal" w:pos="749"/>
              </w:tabs>
              <w:jc w:val="right"/>
              <w:rPr>
                <w:sz w:val="18"/>
                <w:szCs w:val="18"/>
                <w:lang w:val="en-GB"/>
              </w:rPr>
            </w:pPr>
            <w:r w:rsidRPr="00056191">
              <w:rPr>
                <w:sz w:val="18"/>
                <w:szCs w:val="18"/>
                <w:lang w:val="en-GB"/>
              </w:rPr>
              <w:t>7%</w:t>
            </w:r>
          </w:p>
        </w:tc>
      </w:tr>
      <w:tr w:rsidR="003E10AE" w:rsidRPr="00056191" w14:paraId="45A9D38D" w14:textId="77777777" w:rsidTr="00F36850">
        <w:trPr>
          <w:jc w:val="center"/>
        </w:trPr>
        <w:tc>
          <w:tcPr>
            <w:tcW w:w="2284" w:type="dxa"/>
            <w:shd w:val="clear" w:color="auto" w:fill="auto"/>
          </w:tcPr>
          <w:p w14:paraId="10AE527B" w14:textId="77777777" w:rsidR="003E10AE" w:rsidRPr="00056191" w:rsidRDefault="003E10AE" w:rsidP="003E10AE">
            <w:pPr>
              <w:pStyle w:val="ExhibitText"/>
              <w:rPr>
                <w:sz w:val="18"/>
                <w:szCs w:val="18"/>
                <w:lang w:val="en-GB"/>
              </w:rPr>
            </w:pPr>
            <w:r w:rsidRPr="00056191">
              <w:rPr>
                <w:sz w:val="18"/>
                <w:szCs w:val="18"/>
                <w:lang w:val="en-GB"/>
              </w:rPr>
              <w:t>Daily Average Sale</w:t>
            </w:r>
          </w:p>
        </w:tc>
        <w:tc>
          <w:tcPr>
            <w:tcW w:w="976" w:type="dxa"/>
            <w:shd w:val="clear" w:color="auto" w:fill="auto"/>
          </w:tcPr>
          <w:p w14:paraId="0A9EE21F" w14:textId="77777777" w:rsidR="003E10AE" w:rsidRPr="00056191" w:rsidRDefault="003E10AE" w:rsidP="00F36850">
            <w:pPr>
              <w:pStyle w:val="ExhibitText"/>
              <w:tabs>
                <w:tab w:val="decimal" w:pos="507"/>
              </w:tabs>
              <w:jc w:val="right"/>
              <w:rPr>
                <w:sz w:val="18"/>
                <w:szCs w:val="18"/>
                <w:lang w:val="en-GB"/>
              </w:rPr>
            </w:pPr>
            <w:r w:rsidRPr="00056191">
              <w:rPr>
                <w:sz w:val="18"/>
                <w:szCs w:val="18"/>
                <w:lang w:val="en-GB"/>
              </w:rPr>
              <w:t>2.73</w:t>
            </w:r>
          </w:p>
        </w:tc>
        <w:tc>
          <w:tcPr>
            <w:tcW w:w="977" w:type="dxa"/>
            <w:shd w:val="clear" w:color="auto" w:fill="auto"/>
          </w:tcPr>
          <w:p w14:paraId="0C5583E6" w14:textId="77777777" w:rsidR="003E10AE" w:rsidRPr="00056191" w:rsidRDefault="003E10AE" w:rsidP="00F36850">
            <w:pPr>
              <w:pStyle w:val="ExhibitText"/>
              <w:tabs>
                <w:tab w:val="decimal" w:pos="438"/>
              </w:tabs>
              <w:jc w:val="right"/>
              <w:rPr>
                <w:sz w:val="18"/>
                <w:szCs w:val="18"/>
                <w:lang w:val="en-GB"/>
              </w:rPr>
            </w:pPr>
            <w:r w:rsidRPr="00056191">
              <w:rPr>
                <w:sz w:val="18"/>
                <w:szCs w:val="18"/>
                <w:lang w:val="en-GB"/>
              </w:rPr>
              <w:t>3.34</w:t>
            </w:r>
          </w:p>
        </w:tc>
        <w:tc>
          <w:tcPr>
            <w:tcW w:w="976" w:type="dxa"/>
            <w:shd w:val="clear" w:color="auto" w:fill="auto"/>
          </w:tcPr>
          <w:p w14:paraId="47B1D0B7" w14:textId="77777777" w:rsidR="003E10AE" w:rsidRPr="00056191" w:rsidRDefault="003E10AE" w:rsidP="00F36850">
            <w:pPr>
              <w:pStyle w:val="ExhibitText"/>
              <w:tabs>
                <w:tab w:val="decimal" w:pos="502"/>
              </w:tabs>
              <w:jc w:val="right"/>
              <w:rPr>
                <w:sz w:val="18"/>
                <w:szCs w:val="18"/>
                <w:lang w:val="en-GB"/>
              </w:rPr>
            </w:pPr>
            <w:r w:rsidRPr="00056191">
              <w:rPr>
                <w:sz w:val="18"/>
                <w:szCs w:val="18"/>
                <w:lang w:val="en-GB"/>
              </w:rPr>
              <w:t>3.67</w:t>
            </w:r>
          </w:p>
        </w:tc>
        <w:tc>
          <w:tcPr>
            <w:tcW w:w="977" w:type="dxa"/>
            <w:shd w:val="clear" w:color="auto" w:fill="auto"/>
          </w:tcPr>
          <w:p w14:paraId="0BA0E53C" w14:textId="77777777" w:rsidR="003E10AE" w:rsidRPr="00056191" w:rsidRDefault="003E10AE" w:rsidP="00F36850">
            <w:pPr>
              <w:pStyle w:val="ExhibitText"/>
              <w:tabs>
                <w:tab w:val="decimal" w:pos="550"/>
              </w:tabs>
              <w:jc w:val="right"/>
              <w:rPr>
                <w:sz w:val="18"/>
                <w:szCs w:val="18"/>
                <w:lang w:val="en-GB"/>
              </w:rPr>
            </w:pPr>
            <w:r w:rsidRPr="00056191">
              <w:rPr>
                <w:sz w:val="18"/>
                <w:szCs w:val="18"/>
                <w:lang w:val="en-GB"/>
              </w:rPr>
              <w:t>3.79</w:t>
            </w:r>
          </w:p>
        </w:tc>
        <w:tc>
          <w:tcPr>
            <w:tcW w:w="977" w:type="dxa"/>
            <w:shd w:val="clear" w:color="auto" w:fill="auto"/>
          </w:tcPr>
          <w:p w14:paraId="3686DFBA" w14:textId="77777777" w:rsidR="003E10AE" w:rsidRPr="00056191" w:rsidRDefault="003E10AE" w:rsidP="00F36850">
            <w:pPr>
              <w:pStyle w:val="ExhibitText"/>
              <w:tabs>
                <w:tab w:val="decimal" w:pos="551"/>
              </w:tabs>
              <w:jc w:val="right"/>
              <w:rPr>
                <w:sz w:val="18"/>
                <w:szCs w:val="18"/>
                <w:lang w:val="en-GB"/>
              </w:rPr>
            </w:pPr>
            <w:r w:rsidRPr="00056191">
              <w:rPr>
                <w:sz w:val="18"/>
                <w:szCs w:val="18"/>
                <w:lang w:val="en-GB"/>
              </w:rPr>
              <w:t>3.84</w:t>
            </w:r>
          </w:p>
        </w:tc>
        <w:tc>
          <w:tcPr>
            <w:tcW w:w="1535" w:type="dxa"/>
            <w:shd w:val="clear" w:color="auto" w:fill="auto"/>
          </w:tcPr>
          <w:p w14:paraId="6F41AD7F" w14:textId="77777777" w:rsidR="003E10AE" w:rsidRPr="00056191" w:rsidRDefault="003E10AE" w:rsidP="00F36850">
            <w:pPr>
              <w:pStyle w:val="ExhibitText"/>
              <w:tabs>
                <w:tab w:val="decimal" w:pos="749"/>
              </w:tabs>
              <w:jc w:val="right"/>
              <w:rPr>
                <w:sz w:val="18"/>
                <w:szCs w:val="18"/>
                <w:lang w:val="en-GB"/>
              </w:rPr>
            </w:pPr>
            <w:r w:rsidRPr="00056191">
              <w:rPr>
                <w:sz w:val="18"/>
                <w:szCs w:val="18"/>
                <w:lang w:val="en-GB"/>
              </w:rPr>
              <w:t>7%</w:t>
            </w:r>
          </w:p>
        </w:tc>
      </w:tr>
      <w:bookmarkEnd w:id="1"/>
    </w:tbl>
    <w:p w14:paraId="1F25B027" w14:textId="557EF7F3" w:rsidR="003E10AE" w:rsidRDefault="003E10AE" w:rsidP="003E10AE">
      <w:pPr>
        <w:pStyle w:val="BodyTextMain"/>
        <w:rPr>
          <w:sz w:val="20"/>
          <w:lang w:val="en-GB"/>
        </w:rPr>
      </w:pPr>
    </w:p>
    <w:p w14:paraId="02FB1B4B" w14:textId="57936315" w:rsidR="009D2E51" w:rsidRPr="00567317" w:rsidRDefault="009D2E51" w:rsidP="003E10AE">
      <w:pPr>
        <w:pStyle w:val="BodyTextMain"/>
        <w:rPr>
          <w:rFonts w:ascii="Arial" w:hAnsi="Arial" w:cs="Arial"/>
          <w:sz w:val="17"/>
          <w:szCs w:val="17"/>
          <w:lang w:val="en-GB"/>
        </w:rPr>
      </w:pPr>
      <w:r w:rsidRPr="00567317">
        <w:rPr>
          <w:rFonts w:ascii="Arial" w:hAnsi="Arial" w:cs="Arial"/>
          <w:sz w:val="17"/>
          <w:szCs w:val="17"/>
          <w:lang w:val="en-GB"/>
        </w:rPr>
        <w:t>Note:</w:t>
      </w:r>
      <w:r>
        <w:rPr>
          <w:rFonts w:ascii="Arial" w:hAnsi="Arial" w:cs="Arial"/>
          <w:sz w:val="17"/>
          <w:szCs w:val="17"/>
          <w:lang w:val="en-GB"/>
        </w:rPr>
        <w:t xml:space="preserve"> FY = financial year; CAGR = compound annual growth rate</w:t>
      </w:r>
    </w:p>
    <w:p w14:paraId="48AC5EE1" w14:textId="00BFDF16" w:rsidR="0020586B" w:rsidRPr="00056191" w:rsidRDefault="003E10AE" w:rsidP="003E10AE">
      <w:pPr>
        <w:pStyle w:val="Footnote"/>
        <w:rPr>
          <w:lang w:val="en-GB"/>
        </w:rPr>
      </w:pPr>
      <w:r w:rsidRPr="00056191">
        <w:rPr>
          <w:lang w:val="en-GB"/>
        </w:rPr>
        <w:t>Source: I</w:t>
      </w:r>
      <w:r w:rsidR="009D2E51">
        <w:rPr>
          <w:lang w:val="en-GB"/>
        </w:rPr>
        <w:t xml:space="preserve">ndraprastha </w:t>
      </w:r>
      <w:r w:rsidRPr="00056191">
        <w:rPr>
          <w:lang w:val="en-GB"/>
        </w:rPr>
        <w:t>G</w:t>
      </w:r>
      <w:r w:rsidR="009D2E51">
        <w:rPr>
          <w:lang w:val="en-GB"/>
        </w:rPr>
        <w:t xml:space="preserve">as </w:t>
      </w:r>
      <w:r w:rsidRPr="00056191">
        <w:rPr>
          <w:lang w:val="en-GB"/>
        </w:rPr>
        <w:t>L</w:t>
      </w:r>
      <w:r w:rsidR="009D2E51">
        <w:rPr>
          <w:lang w:val="en-GB"/>
        </w:rPr>
        <w:t>imited</w:t>
      </w:r>
      <w:r w:rsidRPr="00056191">
        <w:rPr>
          <w:lang w:val="en-GB"/>
        </w:rPr>
        <w:t xml:space="preserve">, </w:t>
      </w:r>
      <w:r w:rsidRPr="00F36850">
        <w:rPr>
          <w:i/>
          <w:lang w:val="en-GB"/>
        </w:rPr>
        <w:t xml:space="preserve">IGL Investor </w:t>
      </w:r>
      <w:r w:rsidR="003A1D64" w:rsidRPr="00F36850">
        <w:rPr>
          <w:i/>
          <w:lang w:val="en-GB"/>
        </w:rPr>
        <w:t>P</w:t>
      </w:r>
      <w:r w:rsidRPr="00F36850">
        <w:rPr>
          <w:i/>
          <w:lang w:val="en-GB"/>
        </w:rPr>
        <w:t>resentation</w:t>
      </w:r>
      <w:r w:rsidR="009D2E51" w:rsidRPr="00F36850">
        <w:rPr>
          <w:i/>
          <w:lang w:val="en-GB"/>
        </w:rPr>
        <w:t>,</w:t>
      </w:r>
      <w:r w:rsidR="009D2E51">
        <w:rPr>
          <w:lang w:val="en-GB"/>
        </w:rPr>
        <w:t xml:space="preserve"> 7,</w:t>
      </w:r>
      <w:r w:rsidR="009D2E51" w:rsidRPr="00056191">
        <w:rPr>
          <w:lang w:val="en-GB"/>
        </w:rPr>
        <w:t xml:space="preserve"> </w:t>
      </w:r>
      <w:r w:rsidR="009D2E51">
        <w:rPr>
          <w:lang w:val="en-GB"/>
        </w:rPr>
        <w:t xml:space="preserve">May 28, 2015, </w:t>
      </w:r>
      <w:r w:rsidR="009D2E51" w:rsidRPr="00056191">
        <w:rPr>
          <w:lang w:val="en-GB"/>
        </w:rPr>
        <w:t>accessed June 19, 2018</w:t>
      </w:r>
      <w:r w:rsidR="003A1D64">
        <w:rPr>
          <w:lang w:val="en-GB"/>
        </w:rPr>
        <w:t>,</w:t>
      </w:r>
      <w:r w:rsidRPr="00056191">
        <w:rPr>
          <w:lang w:val="en-GB"/>
        </w:rPr>
        <w:t xml:space="preserve"> www.iglonline.net/english/Default.aspx?option=article&amp;type=single&amp;id=35&amp;mnuid=220&amp;prvtyp=site.</w:t>
      </w:r>
    </w:p>
    <w:p w14:paraId="17C0CC09" w14:textId="77777777" w:rsidR="003E10AE" w:rsidRPr="00056191" w:rsidRDefault="003E10AE" w:rsidP="003E10AE">
      <w:pPr>
        <w:pStyle w:val="BodyTextMain"/>
        <w:rPr>
          <w:sz w:val="20"/>
          <w:lang w:val="en-GB"/>
        </w:rPr>
      </w:pPr>
    </w:p>
    <w:p w14:paraId="5A603721" w14:textId="77777777" w:rsidR="003E10AE" w:rsidRPr="00056191" w:rsidRDefault="003E10AE" w:rsidP="003E10AE">
      <w:pPr>
        <w:pStyle w:val="BodyTextMain"/>
        <w:rPr>
          <w:sz w:val="20"/>
          <w:lang w:val="en-GB"/>
        </w:rPr>
      </w:pPr>
    </w:p>
    <w:p w14:paraId="382FE03B" w14:textId="7333AB46" w:rsidR="003E10AE" w:rsidRPr="00056191" w:rsidRDefault="003E10AE" w:rsidP="003E10AE">
      <w:pPr>
        <w:pStyle w:val="ExhibitHeading"/>
        <w:rPr>
          <w:lang w:val="en-GB"/>
        </w:rPr>
      </w:pPr>
      <w:r w:rsidRPr="00056191">
        <w:rPr>
          <w:lang w:val="en-GB"/>
        </w:rPr>
        <w:t>Exhibit 2: Cost Dynamics Petrol/Diesel v</w:t>
      </w:r>
      <w:r w:rsidR="009D2E51">
        <w:rPr>
          <w:lang w:val="en-GB"/>
        </w:rPr>
        <w:t>er</w:t>
      </w:r>
      <w:r w:rsidRPr="00056191">
        <w:rPr>
          <w:lang w:val="en-GB"/>
        </w:rPr>
        <w:t>s</w:t>
      </w:r>
      <w:r w:rsidR="009D2E51">
        <w:rPr>
          <w:lang w:val="en-GB"/>
        </w:rPr>
        <w:t>us</w:t>
      </w:r>
      <w:r w:rsidRPr="00056191">
        <w:rPr>
          <w:lang w:val="en-GB"/>
        </w:rPr>
        <w:t xml:space="preserve"> C</w:t>
      </w:r>
      <w:r w:rsidR="009D2E51">
        <w:rPr>
          <w:lang w:val="en-GB"/>
        </w:rPr>
        <w:t xml:space="preserve">ompressed </w:t>
      </w:r>
      <w:r w:rsidRPr="00056191">
        <w:rPr>
          <w:lang w:val="en-GB"/>
        </w:rPr>
        <w:t>N</w:t>
      </w:r>
      <w:r w:rsidR="009D2E51">
        <w:rPr>
          <w:lang w:val="en-GB"/>
        </w:rPr>
        <w:t xml:space="preserve">atural </w:t>
      </w:r>
      <w:r w:rsidRPr="00056191">
        <w:rPr>
          <w:lang w:val="en-GB"/>
        </w:rPr>
        <w:t>G</w:t>
      </w:r>
      <w:r w:rsidR="009D2E51">
        <w:rPr>
          <w:lang w:val="en-GB"/>
        </w:rPr>
        <w:t>as</w:t>
      </w:r>
      <w:r w:rsidRPr="00056191">
        <w:rPr>
          <w:lang w:val="en-GB"/>
        </w:rPr>
        <w:t xml:space="preserve"> (</w:t>
      </w:r>
      <w:r w:rsidRPr="00056191">
        <w:rPr>
          <w:rFonts w:cs="Calibri"/>
          <w:color w:val="000000"/>
          <w:lang w:val="en-GB"/>
        </w:rPr>
        <w:t>As on December</w:t>
      </w:r>
      <w:r w:rsidR="009D2E51">
        <w:rPr>
          <w:rFonts w:cs="Calibri"/>
          <w:color w:val="000000"/>
          <w:lang w:val="en-GB"/>
        </w:rPr>
        <w:t xml:space="preserve"> 1</w:t>
      </w:r>
      <w:r w:rsidRPr="00056191">
        <w:rPr>
          <w:rFonts w:cs="Calibri"/>
          <w:color w:val="000000"/>
          <w:lang w:val="en-GB"/>
        </w:rPr>
        <w:t>, 2015</w:t>
      </w:r>
      <w:r w:rsidR="009D2E51">
        <w:rPr>
          <w:rFonts w:cs="Calibri"/>
          <w:color w:val="000000"/>
          <w:lang w:val="en-GB"/>
        </w:rPr>
        <w:t>,</w:t>
      </w:r>
      <w:r w:rsidRPr="00056191">
        <w:rPr>
          <w:rFonts w:cs="Calibri"/>
          <w:color w:val="000000"/>
          <w:lang w:val="en-GB"/>
        </w:rPr>
        <w:t xml:space="preserve"> Midnight)</w:t>
      </w:r>
    </w:p>
    <w:p w14:paraId="1FB9F8D9" w14:textId="77777777" w:rsidR="003E10AE" w:rsidRPr="00056191" w:rsidRDefault="003E10AE" w:rsidP="003E10AE">
      <w:pPr>
        <w:pStyle w:val="ExhibitHeading"/>
        <w:rPr>
          <w:sz w:val="18"/>
          <w:lang w:val="en-GB"/>
        </w:rPr>
      </w:pPr>
    </w:p>
    <w:tbl>
      <w:tblPr>
        <w:tblW w:w="8526" w:type="dxa"/>
        <w:jc w:val="center"/>
        <w:tblLayout w:type="fixed"/>
        <w:tblLook w:val="04A0" w:firstRow="1" w:lastRow="0" w:firstColumn="1" w:lastColumn="0" w:noHBand="0" w:noVBand="1"/>
      </w:tblPr>
      <w:tblGrid>
        <w:gridCol w:w="1326"/>
        <w:gridCol w:w="1275"/>
        <w:gridCol w:w="990"/>
        <w:gridCol w:w="1065"/>
        <w:gridCol w:w="1273"/>
        <w:gridCol w:w="887"/>
        <w:gridCol w:w="900"/>
        <w:gridCol w:w="810"/>
      </w:tblGrid>
      <w:tr w:rsidR="006D2CEC" w:rsidRPr="005641F9" w14:paraId="5485B982" w14:textId="77777777" w:rsidTr="006D2CEC">
        <w:trPr>
          <w:trHeight w:val="50"/>
          <w:jc w:val="center"/>
        </w:trPr>
        <w:tc>
          <w:tcPr>
            <w:tcW w:w="4656" w:type="dxa"/>
            <w:gridSpan w:val="4"/>
            <w:tcBorders>
              <w:top w:val="single" w:sz="8" w:space="0" w:color="auto"/>
              <w:left w:val="single" w:sz="8" w:space="0" w:color="auto"/>
              <w:bottom w:val="nil"/>
              <w:right w:val="single" w:sz="8" w:space="0" w:color="000000"/>
            </w:tcBorders>
            <w:shd w:val="clear" w:color="auto" w:fill="auto"/>
            <w:vAlign w:val="center"/>
            <w:hideMark/>
          </w:tcPr>
          <w:p w14:paraId="713BF27A" w14:textId="5BDE06AA" w:rsidR="006D2CEC" w:rsidRPr="00F36850" w:rsidRDefault="006D2CEC" w:rsidP="003E10AE">
            <w:pPr>
              <w:pStyle w:val="ExhibitText"/>
              <w:jc w:val="center"/>
              <w:rPr>
                <w:b/>
                <w:sz w:val="18"/>
                <w:szCs w:val="18"/>
                <w:lang w:val="en-GB"/>
              </w:rPr>
            </w:pPr>
            <w:r w:rsidRPr="00F36850">
              <w:rPr>
                <w:b/>
                <w:sz w:val="18"/>
                <w:szCs w:val="18"/>
                <w:lang w:val="en-GB"/>
              </w:rPr>
              <w:t>Conventional Fuel</w:t>
            </w:r>
            <w:r w:rsidR="003A1D64" w:rsidRPr="00F36850">
              <w:rPr>
                <w:b/>
                <w:sz w:val="18"/>
                <w:szCs w:val="18"/>
                <w:lang w:val="en-GB"/>
              </w:rPr>
              <w:t>—</w:t>
            </w:r>
            <w:r w:rsidRPr="00F36850">
              <w:rPr>
                <w:b/>
                <w:sz w:val="18"/>
                <w:szCs w:val="18"/>
                <w:lang w:val="en-GB"/>
              </w:rPr>
              <w:t>Petrol/Diesel</w:t>
            </w:r>
          </w:p>
        </w:tc>
        <w:tc>
          <w:tcPr>
            <w:tcW w:w="3060" w:type="dxa"/>
            <w:gridSpan w:val="3"/>
            <w:tcBorders>
              <w:top w:val="single" w:sz="8" w:space="0" w:color="auto"/>
              <w:left w:val="nil"/>
              <w:bottom w:val="nil"/>
              <w:right w:val="single" w:sz="8" w:space="0" w:color="000000"/>
            </w:tcBorders>
            <w:shd w:val="clear" w:color="auto" w:fill="auto"/>
            <w:vAlign w:val="center"/>
          </w:tcPr>
          <w:p w14:paraId="23D21FDE" w14:textId="61722277" w:rsidR="006D2CEC" w:rsidRPr="00F36850" w:rsidRDefault="006D2CEC" w:rsidP="003E10AE">
            <w:pPr>
              <w:pStyle w:val="ExhibitText"/>
              <w:jc w:val="center"/>
              <w:rPr>
                <w:b/>
                <w:sz w:val="18"/>
                <w:szCs w:val="18"/>
                <w:lang w:val="en-GB"/>
              </w:rPr>
            </w:pPr>
            <w:r w:rsidRPr="00F36850">
              <w:rPr>
                <w:b/>
                <w:sz w:val="18"/>
                <w:szCs w:val="18"/>
                <w:lang w:val="en-GB"/>
              </w:rPr>
              <w:t>Compressed Natural Gas</w:t>
            </w:r>
          </w:p>
        </w:tc>
        <w:tc>
          <w:tcPr>
            <w:tcW w:w="810" w:type="dxa"/>
            <w:tcBorders>
              <w:top w:val="single" w:sz="8" w:space="0" w:color="auto"/>
              <w:left w:val="nil"/>
              <w:bottom w:val="nil"/>
              <w:right w:val="single" w:sz="8" w:space="0" w:color="000000"/>
            </w:tcBorders>
            <w:shd w:val="clear" w:color="auto" w:fill="auto"/>
            <w:vAlign w:val="center"/>
            <w:hideMark/>
          </w:tcPr>
          <w:p w14:paraId="4F1D50B4" w14:textId="77777777" w:rsidR="006D2CEC" w:rsidRPr="00F36850" w:rsidRDefault="006D2CEC" w:rsidP="003E10AE">
            <w:pPr>
              <w:pStyle w:val="ExhibitText"/>
              <w:jc w:val="center"/>
              <w:rPr>
                <w:b/>
                <w:sz w:val="18"/>
                <w:szCs w:val="18"/>
                <w:lang w:val="en-GB"/>
              </w:rPr>
            </w:pPr>
          </w:p>
        </w:tc>
      </w:tr>
      <w:tr w:rsidR="006D2CEC" w:rsidRPr="006D2CEC" w14:paraId="60BC9F43" w14:textId="77777777" w:rsidTr="006D2CEC">
        <w:trPr>
          <w:trHeight w:val="60"/>
          <w:jc w:val="center"/>
        </w:trPr>
        <w:tc>
          <w:tcPr>
            <w:tcW w:w="132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92A9DA0" w14:textId="77777777" w:rsidR="006D2CEC" w:rsidRPr="006D2CEC" w:rsidRDefault="006D2CEC" w:rsidP="003E10AE">
            <w:pPr>
              <w:pStyle w:val="ExhibitText"/>
              <w:rPr>
                <w:sz w:val="18"/>
                <w:szCs w:val="18"/>
                <w:lang w:val="en-GB"/>
              </w:rPr>
            </w:pPr>
            <w:r w:rsidRPr="006D2CEC">
              <w:rPr>
                <w:sz w:val="18"/>
                <w:szCs w:val="18"/>
                <w:lang w:val="en-GB"/>
              </w:rPr>
              <w:t>Vehicle Category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2EDBE17" w14:textId="77777777" w:rsidR="006D2CEC" w:rsidRPr="006D2CEC" w:rsidRDefault="006D2CEC" w:rsidP="003E10AE">
            <w:pPr>
              <w:pStyle w:val="ExhibitText"/>
              <w:rPr>
                <w:sz w:val="18"/>
                <w:szCs w:val="18"/>
                <w:lang w:val="en-GB"/>
              </w:rPr>
            </w:pPr>
            <w:r w:rsidRPr="006D2CEC">
              <w:rPr>
                <w:sz w:val="18"/>
                <w:szCs w:val="18"/>
                <w:lang w:val="en-GB"/>
              </w:rPr>
              <w:t>Approximate Mileage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5A276AF" w14:textId="203E864E" w:rsidR="006D2CEC" w:rsidRPr="006D2CEC" w:rsidRDefault="006D2CEC" w:rsidP="003E10AE">
            <w:pPr>
              <w:pStyle w:val="ExhibitText"/>
              <w:rPr>
                <w:sz w:val="18"/>
                <w:szCs w:val="18"/>
                <w:lang w:val="en-GB"/>
              </w:rPr>
            </w:pPr>
            <w:r w:rsidRPr="006D2CEC">
              <w:rPr>
                <w:sz w:val="18"/>
                <w:szCs w:val="18"/>
                <w:lang w:val="en-GB"/>
              </w:rPr>
              <w:t>Price of Fuel</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54AFFADA" w14:textId="19B32B24" w:rsidR="006D2CEC" w:rsidRPr="006D2CEC" w:rsidRDefault="006D2CEC" w:rsidP="003E10AE">
            <w:pPr>
              <w:pStyle w:val="ExhibitText"/>
              <w:rPr>
                <w:sz w:val="18"/>
                <w:szCs w:val="18"/>
                <w:lang w:val="en-GB"/>
              </w:rPr>
            </w:pPr>
            <w:r w:rsidRPr="006D2CEC">
              <w:rPr>
                <w:sz w:val="18"/>
                <w:szCs w:val="18"/>
                <w:lang w:val="en-GB"/>
              </w:rPr>
              <w:t>Cost of Running</w:t>
            </w:r>
          </w:p>
        </w:tc>
        <w:tc>
          <w:tcPr>
            <w:tcW w:w="1273" w:type="dxa"/>
            <w:tcBorders>
              <w:top w:val="single" w:sz="4" w:space="0" w:color="auto"/>
              <w:left w:val="nil"/>
              <w:bottom w:val="single" w:sz="4" w:space="0" w:color="auto"/>
              <w:right w:val="single" w:sz="4" w:space="0" w:color="auto"/>
            </w:tcBorders>
            <w:shd w:val="clear" w:color="auto" w:fill="auto"/>
            <w:vAlign w:val="center"/>
            <w:hideMark/>
          </w:tcPr>
          <w:p w14:paraId="7E3770E2" w14:textId="77777777" w:rsidR="006D2CEC" w:rsidRPr="006D2CEC" w:rsidRDefault="006D2CEC" w:rsidP="003E10AE">
            <w:pPr>
              <w:pStyle w:val="ExhibitText"/>
              <w:rPr>
                <w:sz w:val="18"/>
                <w:szCs w:val="18"/>
                <w:lang w:val="en-GB"/>
              </w:rPr>
            </w:pPr>
            <w:r w:rsidRPr="006D2CEC">
              <w:rPr>
                <w:sz w:val="18"/>
                <w:szCs w:val="18"/>
                <w:lang w:val="en-GB"/>
              </w:rPr>
              <w:t>Approximate Mileage</w:t>
            </w:r>
          </w:p>
        </w:tc>
        <w:tc>
          <w:tcPr>
            <w:tcW w:w="887" w:type="dxa"/>
            <w:tcBorders>
              <w:top w:val="single" w:sz="4" w:space="0" w:color="auto"/>
              <w:left w:val="nil"/>
              <w:bottom w:val="single" w:sz="4" w:space="0" w:color="auto"/>
              <w:right w:val="single" w:sz="4" w:space="0" w:color="auto"/>
            </w:tcBorders>
            <w:shd w:val="clear" w:color="auto" w:fill="auto"/>
            <w:vAlign w:val="center"/>
            <w:hideMark/>
          </w:tcPr>
          <w:p w14:paraId="2FF27953" w14:textId="77777777" w:rsidR="006D2CEC" w:rsidRPr="006D2CEC" w:rsidRDefault="006D2CEC" w:rsidP="003E10AE">
            <w:pPr>
              <w:pStyle w:val="ExhibitText"/>
              <w:rPr>
                <w:sz w:val="18"/>
                <w:szCs w:val="18"/>
                <w:lang w:val="en-GB"/>
              </w:rPr>
            </w:pPr>
            <w:r w:rsidRPr="006D2CEC">
              <w:rPr>
                <w:sz w:val="18"/>
                <w:szCs w:val="18"/>
                <w:lang w:val="en-GB"/>
              </w:rPr>
              <w:t>Price of Fuel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4253C4C" w14:textId="098ABE87" w:rsidR="006D2CEC" w:rsidRPr="006D2CEC" w:rsidRDefault="006D2CEC" w:rsidP="003E10AE">
            <w:pPr>
              <w:pStyle w:val="ExhibitText"/>
              <w:rPr>
                <w:sz w:val="18"/>
                <w:szCs w:val="18"/>
                <w:lang w:val="en-GB"/>
              </w:rPr>
            </w:pPr>
            <w:r w:rsidRPr="006D2CEC">
              <w:rPr>
                <w:sz w:val="18"/>
                <w:szCs w:val="18"/>
                <w:lang w:val="en-GB"/>
              </w:rPr>
              <w:t>Cost of Running</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386EC9A" w14:textId="6FB28006" w:rsidR="006D2CEC" w:rsidRPr="006D2CEC" w:rsidRDefault="006D2CEC" w:rsidP="003E10AE">
            <w:pPr>
              <w:pStyle w:val="ExhibitText"/>
              <w:rPr>
                <w:sz w:val="18"/>
                <w:szCs w:val="18"/>
                <w:lang w:val="en-GB"/>
              </w:rPr>
            </w:pPr>
            <w:r w:rsidRPr="006D2CEC">
              <w:rPr>
                <w:sz w:val="18"/>
                <w:szCs w:val="18"/>
                <w:lang w:val="en-GB"/>
              </w:rPr>
              <w:t xml:space="preserve">Cost </w:t>
            </w:r>
            <w:r w:rsidR="003A1D64">
              <w:rPr>
                <w:sz w:val="18"/>
                <w:szCs w:val="18"/>
                <w:lang w:val="en-GB"/>
              </w:rPr>
              <w:t>S</w:t>
            </w:r>
            <w:r w:rsidRPr="006D2CEC">
              <w:rPr>
                <w:sz w:val="18"/>
                <w:szCs w:val="18"/>
                <w:lang w:val="en-GB"/>
              </w:rPr>
              <w:t>aving with CNG</w:t>
            </w:r>
          </w:p>
        </w:tc>
      </w:tr>
      <w:tr w:rsidR="006D2CEC" w:rsidRPr="006D2CEC" w14:paraId="5311B6FF" w14:textId="77777777" w:rsidTr="006D2CEC">
        <w:trPr>
          <w:trHeight w:val="60"/>
          <w:jc w:val="center"/>
        </w:trPr>
        <w:tc>
          <w:tcPr>
            <w:tcW w:w="1326" w:type="dxa"/>
            <w:tcBorders>
              <w:top w:val="nil"/>
              <w:left w:val="single" w:sz="8" w:space="0" w:color="auto"/>
              <w:bottom w:val="single" w:sz="4" w:space="0" w:color="auto"/>
              <w:right w:val="single" w:sz="4" w:space="0" w:color="auto"/>
            </w:tcBorders>
            <w:shd w:val="clear" w:color="auto" w:fill="auto"/>
            <w:vAlign w:val="center"/>
            <w:hideMark/>
          </w:tcPr>
          <w:p w14:paraId="3F36A4C8" w14:textId="77777777" w:rsidR="006D2CEC" w:rsidRPr="006D2CEC" w:rsidRDefault="006D2CEC" w:rsidP="003E10AE">
            <w:pPr>
              <w:pStyle w:val="ExhibitText"/>
              <w:rPr>
                <w:sz w:val="18"/>
                <w:szCs w:val="18"/>
                <w:lang w:val="en-GB"/>
              </w:rPr>
            </w:pPr>
            <w:r w:rsidRPr="006D2CEC">
              <w:rPr>
                <w:sz w:val="18"/>
                <w:szCs w:val="18"/>
                <w:lang w:val="en-GB"/>
              </w:rPr>
              <w:t>Unit </w:t>
            </w:r>
          </w:p>
        </w:tc>
        <w:tc>
          <w:tcPr>
            <w:tcW w:w="1275" w:type="dxa"/>
            <w:tcBorders>
              <w:top w:val="nil"/>
              <w:left w:val="nil"/>
              <w:bottom w:val="single" w:sz="4" w:space="0" w:color="auto"/>
              <w:right w:val="single" w:sz="4" w:space="0" w:color="auto"/>
            </w:tcBorders>
            <w:shd w:val="clear" w:color="auto" w:fill="auto"/>
            <w:vAlign w:val="center"/>
            <w:hideMark/>
          </w:tcPr>
          <w:p w14:paraId="2E5C6586" w14:textId="05C8F934" w:rsidR="006D2CEC" w:rsidRPr="006D2CEC" w:rsidRDefault="006D2CEC" w:rsidP="00567317">
            <w:pPr>
              <w:pStyle w:val="ExhibitText"/>
              <w:jc w:val="center"/>
              <w:rPr>
                <w:sz w:val="18"/>
                <w:szCs w:val="18"/>
                <w:lang w:val="en-GB"/>
              </w:rPr>
            </w:pPr>
            <w:r w:rsidRPr="006D2CEC">
              <w:rPr>
                <w:sz w:val="18"/>
                <w:szCs w:val="18"/>
                <w:lang w:val="en-GB"/>
              </w:rPr>
              <w:t>km/litre</w:t>
            </w:r>
          </w:p>
        </w:tc>
        <w:tc>
          <w:tcPr>
            <w:tcW w:w="990" w:type="dxa"/>
            <w:tcBorders>
              <w:top w:val="nil"/>
              <w:left w:val="nil"/>
              <w:bottom w:val="single" w:sz="4" w:space="0" w:color="auto"/>
              <w:right w:val="single" w:sz="4" w:space="0" w:color="auto"/>
            </w:tcBorders>
            <w:shd w:val="clear" w:color="auto" w:fill="auto"/>
            <w:vAlign w:val="center"/>
            <w:hideMark/>
          </w:tcPr>
          <w:p w14:paraId="29AF897E" w14:textId="2B9C88F2" w:rsidR="006D2CEC" w:rsidRPr="006D2CEC" w:rsidRDefault="006D2CEC" w:rsidP="00567317">
            <w:pPr>
              <w:pStyle w:val="ExhibitText"/>
              <w:jc w:val="center"/>
              <w:rPr>
                <w:sz w:val="18"/>
                <w:szCs w:val="18"/>
                <w:lang w:val="en-GB"/>
              </w:rPr>
            </w:pPr>
            <w:r w:rsidRPr="006D2CEC">
              <w:rPr>
                <w:sz w:val="18"/>
                <w:szCs w:val="18"/>
                <w:lang w:val="en-GB"/>
              </w:rPr>
              <w:t>₹/litre</w:t>
            </w:r>
          </w:p>
        </w:tc>
        <w:tc>
          <w:tcPr>
            <w:tcW w:w="1065" w:type="dxa"/>
            <w:tcBorders>
              <w:top w:val="nil"/>
              <w:left w:val="nil"/>
              <w:bottom w:val="single" w:sz="4" w:space="0" w:color="auto"/>
              <w:right w:val="single" w:sz="4" w:space="0" w:color="auto"/>
            </w:tcBorders>
            <w:shd w:val="clear" w:color="auto" w:fill="auto"/>
            <w:vAlign w:val="center"/>
            <w:hideMark/>
          </w:tcPr>
          <w:p w14:paraId="4E3A6902" w14:textId="0AD2237B" w:rsidR="006D2CEC" w:rsidRPr="006D2CEC" w:rsidRDefault="006D2CEC" w:rsidP="00567317">
            <w:pPr>
              <w:pStyle w:val="ExhibitText"/>
              <w:jc w:val="center"/>
              <w:rPr>
                <w:sz w:val="18"/>
                <w:szCs w:val="18"/>
                <w:lang w:val="en-GB"/>
              </w:rPr>
            </w:pPr>
            <w:r w:rsidRPr="006D2CEC">
              <w:rPr>
                <w:sz w:val="18"/>
                <w:szCs w:val="18"/>
                <w:lang w:val="en-GB"/>
              </w:rPr>
              <w:t>₹/km</w:t>
            </w:r>
          </w:p>
        </w:tc>
        <w:tc>
          <w:tcPr>
            <w:tcW w:w="1273" w:type="dxa"/>
            <w:tcBorders>
              <w:top w:val="nil"/>
              <w:left w:val="nil"/>
              <w:bottom w:val="single" w:sz="4" w:space="0" w:color="auto"/>
              <w:right w:val="single" w:sz="4" w:space="0" w:color="auto"/>
            </w:tcBorders>
            <w:shd w:val="clear" w:color="auto" w:fill="auto"/>
            <w:vAlign w:val="center"/>
            <w:hideMark/>
          </w:tcPr>
          <w:p w14:paraId="31DB6172" w14:textId="55457FED" w:rsidR="006D2CEC" w:rsidRPr="006D2CEC" w:rsidRDefault="006D2CEC" w:rsidP="00567317">
            <w:pPr>
              <w:pStyle w:val="ExhibitText"/>
              <w:jc w:val="center"/>
              <w:rPr>
                <w:sz w:val="18"/>
                <w:szCs w:val="18"/>
                <w:lang w:val="en-GB"/>
              </w:rPr>
            </w:pPr>
            <w:r w:rsidRPr="006D2CEC">
              <w:rPr>
                <w:sz w:val="18"/>
                <w:szCs w:val="18"/>
                <w:lang w:val="en-GB"/>
              </w:rPr>
              <w:t>km/kg</w:t>
            </w:r>
          </w:p>
        </w:tc>
        <w:tc>
          <w:tcPr>
            <w:tcW w:w="887" w:type="dxa"/>
            <w:tcBorders>
              <w:top w:val="nil"/>
              <w:left w:val="nil"/>
              <w:bottom w:val="single" w:sz="4" w:space="0" w:color="auto"/>
              <w:right w:val="single" w:sz="4" w:space="0" w:color="auto"/>
            </w:tcBorders>
            <w:shd w:val="clear" w:color="auto" w:fill="auto"/>
            <w:vAlign w:val="center"/>
            <w:hideMark/>
          </w:tcPr>
          <w:p w14:paraId="48362596" w14:textId="2EBBB3A7" w:rsidR="006D2CEC" w:rsidRPr="006D2CEC" w:rsidRDefault="006D2CEC" w:rsidP="00567317">
            <w:pPr>
              <w:pStyle w:val="ExhibitText"/>
              <w:jc w:val="center"/>
              <w:rPr>
                <w:sz w:val="18"/>
                <w:szCs w:val="18"/>
                <w:lang w:val="en-GB"/>
              </w:rPr>
            </w:pPr>
            <w:r w:rsidRPr="006D2CEC">
              <w:rPr>
                <w:sz w:val="18"/>
                <w:szCs w:val="18"/>
                <w:lang w:val="en-GB"/>
              </w:rPr>
              <w:t>₹/kg</w:t>
            </w:r>
          </w:p>
        </w:tc>
        <w:tc>
          <w:tcPr>
            <w:tcW w:w="900" w:type="dxa"/>
            <w:tcBorders>
              <w:top w:val="nil"/>
              <w:left w:val="nil"/>
              <w:bottom w:val="single" w:sz="4" w:space="0" w:color="auto"/>
              <w:right w:val="single" w:sz="4" w:space="0" w:color="auto"/>
            </w:tcBorders>
            <w:shd w:val="clear" w:color="auto" w:fill="auto"/>
            <w:vAlign w:val="center"/>
            <w:hideMark/>
          </w:tcPr>
          <w:p w14:paraId="604CB6CB" w14:textId="0A411B27" w:rsidR="006D2CEC" w:rsidRPr="006D2CEC" w:rsidRDefault="006D2CEC" w:rsidP="00567317">
            <w:pPr>
              <w:pStyle w:val="ExhibitText"/>
              <w:jc w:val="center"/>
              <w:rPr>
                <w:sz w:val="18"/>
                <w:szCs w:val="18"/>
                <w:lang w:val="en-GB"/>
              </w:rPr>
            </w:pPr>
            <w:r w:rsidRPr="006D2CEC">
              <w:rPr>
                <w:sz w:val="18"/>
                <w:szCs w:val="18"/>
                <w:lang w:val="en-GB"/>
              </w:rPr>
              <w:t>₹/km</w:t>
            </w:r>
          </w:p>
        </w:tc>
        <w:tc>
          <w:tcPr>
            <w:tcW w:w="810" w:type="dxa"/>
            <w:tcBorders>
              <w:top w:val="nil"/>
              <w:left w:val="nil"/>
              <w:bottom w:val="single" w:sz="4" w:space="0" w:color="auto"/>
              <w:right w:val="single" w:sz="4" w:space="0" w:color="auto"/>
            </w:tcBorders>
            <w:shd w:val="clear" w:color="auto" w:fill="auto"/>
            <w:vAlign w:val="center"/>
            <w:hideMark/>
          </w:tcPr>
          <w:p w14:paraId="7A0D78A3" w14:textId="77777777" w:rsidR="006D2CEC" w:rsidRPr="006D2CEC" w:rsidRDefault="006D2CEC" w:rsidP="00567317">
            <w:pPr>
              <w:pStyle w:val="ExhibitText"/>
              <w:jc w:val="center"/>
              <w:rPr>
                <w:sz w:val="18"/>
                <w:szCs w:val="18"/>
                <w:lang w:val="en-GB"/>
              </w:rPr>
            </w:pPr>
            <w:r w:rsidRPr="006D2CEC">
              <w:rPr>
                <w:sz w:val="18"/>
                <w:szCs w:val="18"/>
                <w:lang w:val="en-GB"/>
              </w:rPr>
              <w:t>(%)</w:t>
            </w:r>
          </w:p>
        </w:tc>
      </w:tr>
      <w:tr w:rsidR="006D2CEC" w:rsidRPr="006D2CEC" w14:paraId="05CA0AD1" w14:textId="77777777" w:rsidTr="006D2CEC">
        <w:trPr>
          <w:trHeight w:val="60"/>
          <w:jc w:val="center"/>
        </w:trPr>
        <w:tc>
          <w:tcPr>
            <w:tcW w:w="1326" w:type="dxa"/>
            <w:tcBorders>
              <w:top w:val="nil"/>
              <w:left w:val="single" w:sz="8" w:space="0" w:color="auto"/>
              <w:bottom w:val="single" w:sz="4" w:space="0" w:color="auto"/>
              <w:right w:val="single" w:sz="4" w:space="0" w:color="auto"/>
            </w:tcBorders>
            <w:shd w:val="clear" w:color="auto" w:fill="auto"/>
            <w:vAlign w:val="center"/>
            <w:hideMark/>
          </w:tcPr>
          <w:p w14:paraId="69A64673" w14:textId="77777777" w:rsidR="006D2CEC" w:rsidRPr="006D2CEC" w:rsidRDefault="006D2CEC" w:rsidP="003E10AE">
            <w:pPr>
              <w:pStyle w:val="ExhibitText"/>
              <w:rPr>
                <w:sz w:val="18"/>
                <w:szCs w:val="18"/>
                <w:lang w:val="en-GB"/>
              </w:rPr>
            </w:pPr>
            <w:r w:rsidRPr="006D2CEC">
              <w:rPr>
                <w:sz w:val="18"/>
                <w:szCs w:val="18"/>
                <w:lang w:val="en-GB"/>
              </w:rPr>
              <w:t>Car (Petrol)</w:t>
            </w:r>
          </w:p>
        </w:tc>
        <w:tc>
          <w:tcPr>
            <w:tcW w:w="1275" w:type="dxa"/>
            <w:tcBorders>
              <w:top w:val="nil"/>
              <w:left w:val="nil"/>
              <w:bottom w:val="single" w:sz="4" w:space="0" w:color="auto"/>
              <w:right w:val="single" w:sz="4" w:space="0" w:color="auto"/>
            </w:tcBorders>
            <w:shd w:val="clear" w:color="auto" w:fill="auto"/>
            <w:vAlign w:val="center"/>
            <w:hideMark/>
          </w:tcPr>
          <w:p w14:paraId="2AE9A69C" w14:textId="77777777" w:rsidR="006D2CEC" w:rsidRPr="006D2CEC" w:rsidRDefault="006D2CEC" w:rsidP="00567317">
            <w:pPr>
              <w:pStyle w:val="ExhibitText"/>
              <w:tabs>
                <w:tab w:val="decimal" w:pos="548"/>
              </w:tabs>
              <w:rPr>
                <w:sz w:val="18"/>
                <w:szCs w:val="18"/>
                <w:lang w:val="en-GB"/>
              </w:rPr>
            </w:pPr>
            <w:r w:rsidRPr="006D2CEC">
              <w:rPr>
                <w:sz w:val="18"/>
                <w:szCs w:val="18"/>
                <w:lang w:val="en-GB"/>
              </w:rPr>
              <w:t>15</w:t>
            </w:r>
          </w:p>
        </w:tc>
        <w:tc>
          <w:tcPr>
            <w:tcW w:w="990" w:type="dxa"/>
            <w:tcBorders>
              <w:top w:val="nil"/>
              <w:left w:val="nil"/>
              <w:bottom w:val="single" w:sz="4" w:space="0" w:color="auto"/>
              <w:right w:val="single" w:sz="4" w:space="0" w:color="auto"/>
            </w:tcBorders>
            <w:shd w:val="clear" w:color="auto" w:fill="auto"/>
            <w:vAlign w:val="center"/>
            <w:hideMark/>
          </w:tcPr>
          <w:p w14:paraId="60A979AC" w14:textId="77777777" w:rsidR="006D2CEC" w:rsidRPr="006D2CEC" w:rsidRDefault="006D2CEC" w:rsidP="00567317">
            <w:pPr>
              <w:pStyle w:val="ExhibitText"/>
              <w:jc w:val="center"/>
              <w:rPr>
                <w:sz w:val="18"/>
                <w:szCs w:val="18"/>
                <w:lang w:val="en-GB"/>
              </w:rPr>
            </w:pPr>
            <w:r w:rsidRPr="006D2CEC">
              <w:rPr>
                <w:sz w:val="18"/>
                <w:szCs w:val="18"/>
                <w:lang w:val="en-GB"/>
              </w:rPr>
              <w:t>60.48</w:t>
            </w:r>
          </w:p>
        </w:tc>
        <w:tc>
          <w:tcPr>
            <w:tcW w:w="1065" w:type="dxa"/>
            <w:tcBorders>
              <w:top w:val="nil"/>
              <w:left w:val="nil"/>
              <w:bottom w:val="single" w:sz="4" w:space="0" w:color="auto"/>
              <w:right w:val="single" w:sz="4" w:space="0" w:color="auto"/>
            </w:tcBorders>
            <w:shd w:val="clear" w:color="auto" w:fill="auto"/>
            <w:vAlign w:val="center"/>
            <w:hideMark/>
          </w:tcPr>
          <w:p w14:paraId="60ADB4DE" w14:textId="77777777" w:rsidR="006D2CEC" w:rsidRPr="006D2CEC" w:rsidRDefault="006D2CEC" w:rsidP="00567317">
            <w:pPr>
              <w:pStyle w:val="ExhibitText"/>
              <w:jc w:val="center"/>
              <w:rPr>
                <w:sz w:val="18"/>
                <w:szCs w:val="18"/>
                <w:lang w:val="en-GB"/>
              </w:rPr>
            </w:pPr>
            <w:r w:rsidRPr="006D2CEC">
              <w:rPr>
                <w:sz w:val="18"/>
                <w:szCs w:val="18"/>
                <w:lang w:val="en-GB"/>
              </w:rPr>
              <w:t>4.03</w:t>
            </w:r>
          </w:p>
        </w:tc>
        <w:tc>
          <w:tcPr>
            <w:tcW w:w="1273" w:type="dxa"/>
            <w:tcBorders>
              <w:top w:val="nil"/>
              <w:left w:val="nil"/>
              <w:bottom w:val="single" w:sz="4" w:space="0" w:color="auto"/>
              <w:right w:val="single" w:sz="4" w:space="0" w:color="auto"/>
            </w:tcBorders>
            <w:shd w:val="clear" w:color="auto" w:fill="auto"/>
            <w:vAlign w:val="center"/>
            <w:hideMark/>
          </w:tcPr>
          <w:p w14:paraId="03008C62" w14:textId="77777777" w:rsidR="006D2CEC" w:rsidRPr="006D2CEC" w:rsidRDefault="006D2CEC" w:rsidP="00567317">
            <w:pPr>
              <w:pStyle w:val="ExhibitText"/>
              <w:tabs>
                <w:tab w:val="decimal" w:pos="632"/>
              </w:tabs>
              <w:rPr>
                <w:sz w:val="18"/>
                <w:szCs w:val="18"/>
                <w:lang w:val="en-GB"/>
              </w:rPr>
            </w:pPr>
            <w:r w:rsidRPr="006D2CEC">
              <w:rPr>
                <w:sz w:val="18"/>
                <w:szCs w:val="18"/>
                <w:lang w:val="en-GB"/>
              </w:rPr>
              <w:t>20.85</w:t>
            </w:r>
          </w:p>
        </w:tc>
        <w:tc>
          <w:tcPr>
            <w:tcW w:w="887" w:type="dxa"/>
            <w:tcBorders>
              <w:top w:val="nil"/>
              <w:left w:val="nil"/>
              <w:bottom w:val="single" w:sz="4" w:space="0" w:color="auto"/>
              <w:right w:val="single" w:sz="4" w:space="0" w:color="auto"/>
            </w:tcBorders>
            <w:shd w:val="clear" w:color="auto" w:fill="auto"/>
            <w:vAlign w:val="center"/>
            <w:hideMark/>
          </w:tcPr>
          <w:p w14:paraId="47163603" w14:textId="77777777" w:rsidR="006D2CEC" w:rsidRPr="006D2CEC" w:rsidRDefault="006D2CEC" w:rsidP="00567317">
            <w:pPr>
              <w:pStyle w:val="ExhibitText"/>
              <w:jc w:val="center"/>
              <w:rPr>
                <w:sz w:val="18"/>
                <w:szCs w:val="18"/>
                <w:lang w:val="en-GB"/>
              </w:rPr>
            </w:pPr>
            <w:r w:rsidRPr="006D2CEC">
              <w:rPr>
                <w:sz w:val="18"/>
                <w:szCs w:val="18"/>
                <w:lang w:val="en-GB"/>
              </w:rPr>
              <w:t>37.2</w:t>
            </w:r>
          </w:p>
        </w:tc>
        <w:tc>
          <w:tcPr>
            <w:tcW w:w="900" w:type="dxa"/>
            <w:tcBorders>
              <w:top w:val="nil"/>
              <w:left w:val="nil"/>
              <w:bottom w:val="single" w:sz="4" w:space="0" w:color="auto"/>
              <w:right w:val="single" w:sz="4" w:space="0" w:color="auto"/>
            </w:tcBorders>
            <w:shd w:val="clear" w:color="auto" w:fill="auto"/>
            <w:vAlign w:val="center"/>
            <w:hideMark/>
          </w:tcPr>
          <w:p w14:paraId="3A22E397" w14:textId="77777777" w:rsidR="006D2CEC" w:rsidRPr="006D2CEC" w:rsidRDefault="006D2CEC" w:rsidP="00567317">
            <w:pPr>
              <w:pStyle w:val="ExhibitText"/>
              <w:tabs>
                <w:tab w:val="decimal" w:pos="362"/>
              </w:tabs>
              <w:rPr>
                <w:sz w:val="18"/>
                <w:szCs w:val="18"/>
                <w:lang w:val="en-GB"/>
              </w:rPr>
            </w:pPr>
            <w:r w:rsidRPr="006D2CEC">
              <w:rPr>
                <w:sz w:val="18"/>
                <w:szCs w:val="18"/>
                <w:lang w:val="en-GB"/>
              </w:rPr>
              <w:t>1.78</w:t>
            </w:r>
          </w:p>
        </w:tc>
        <w:tc>
          <w:tcPr>
            <w:tcW w:w="810" w:type="dxa"/>
            <w:tcBorders>
              <w:top w:val="nil"/>
              <w:left w:val="nil"/>
              <w:bottom w:val="single" w:sz="4" w:space="0" w:color="auto"/>
              <w:right w:val="single" w:sz="4" w:space="0" w:color="auto"/>
            </w:tcBorders>
            <w:shd w:val="clear" w:color="auto" w:fill="auto"/>
            <w:vAlign w:val="center"/>
            <w:hideMark/>
          </w:tcPr>
          <w:p w14:paraId="6781E1CF" w14:textId="77777777" w:rsidR="006D2CEC" w:rsidRPr="006D2CEC" w:rsidRDefault="006D2CEC" w:rsidP="00567317">
            <w:pPr>
              <w:pStyle w:val="ExhibitText"/>
              <w:jc w:val="center"/>
              <w:rPr>
                <w:sz w:val="18"/>
                <w:szCs w:val="18"/>
                <w:lang w:val="en-GB"/>
              </w:rPr>
            </w:pPr>
            <w:r w:rsidRPr="006D2CEC">
              <w:rPr>
                <w:sz w:val="18"/>
                <w:szCs w:val="18"/>
                <w:lang w:val="en-GB"/>
              </w:rPr>
              <w:t>55.7</w:t>
            </w:r>
          </w:p>
        </w:tc>
      </w:tr>
      <w:tr w:rsidR="006D2CEC" w:rsidRPr="006D2CEC" w14:paraId="47BF3762" w14:textId="77777777" w:rsidTr="006D2CEC">
        <w:trPr>
          <w:trHeight w:val="300"/>
          <w:jc w:val="center"/>
        </w:trPr>
        <w:tc>
          <w:tcPr>
            <w:tcW w:w="1326" w:type="dxa"/>
            <w:tcBorders>
              <w:top w:val="nil"/>
              <w:left w:val="single" w:sz="8" w:space="0" w:color="auto"/>
              <w:bottom w:val="single" w:sz="4" w:space="0" w:color="auto"/>
              <w:right w:val="single" w:sz="4" w:space="0" w:color="auto"/>
            </w:tcBorders>
            <w:shd w:val="clear" w:color="auto" w:fill="auto"/>
            <w:vAlign w:val="center"/>
            <w:hideMark/>
          </w:tcPr>
          <w:p w14:paraId="330D992B" w14:textId="770D4CEE" w:rsidR="006D2CEC" w:rsidRPr="006D2CEC" w:rsidRDefault="006D2CEC" w:rsidP="003E10AE">
            <w:pPr>
              <w:pStyle w:val="ExhibitText"/>
              <w:rPr>
                <w:sz w:val="18"/>
                <w:szCs w:val="18"/>
                <w:lang w:val="en-GB"/>
              </w:rPr>
            </w:pPr>
            <w:r w:rsidRPr="006D2CEC">
              <w:rPr>
                <w:sz w:val="18"/>
                <w:szCs w:val="18"/>
                <w:lang w:val="en-GB"/>
              </w:rPr>
              <w:t xml:space="preserve">Auto </w:t>
            </w:r>
            <w:r w:rsidRPr="006D2CEC">
              <w:rPr>
                <w:rStyle w:val="CommentReference"/>
                <w:sz w:val="18"/>
                <w:szCs w:val="18"/>
              </w:rPr>
              <w:t xml:space="preserve">Rickshaw </w:t>
            </w:r>
            <w:r w:rsidRPr="006D2CEC">
              <w:rPr>
                <w:sz w:val="18"/>
                <w:szCs w:val="18"/>
                <w:lang w:val="en-GB"/>
              </w:rPr>
              <w:t>(Petrol)</w:t>
            </w:r>
          </w:p>
        </w:tc>
        <w:tc>
          <w:tcPr>
            <w:tcW w:w="1275" w:type="dxa"/>
            <w:tcBorders>
              <w:top w:val="nil"/>
              <w:left w:val="nil"/>
              <w:bottom w:val="single" w:sz="4" w:space="0" w:color="auto"/>
              <w:right w:val="single" w:sz="4" w:space="0" w:color="auto"/>
            </w:tcBorders>
            <w:shd w:val="clear" w:color="auto" w:fill="auto"/>
            <w:vAlign w:val="center"/>
            <w:hideMark/>
          </w:tcPr>
          <w:p w14:paraId="2BB9C4AA" w14:textId="77777777" w:rsidR="006D2CEC" w:rsidRPr="006D2CEC" w:rsidRDefault="006D2CEC" w:rsidP="00567317">
            <w:pPr>
              <w:pStyle w:val="ExhibitText"/>
              <w:tabs>
                <w:tab w:val="decimal" w:pos="548"/>
              </w:tabs>
              <w:rPr>
                <w:sz w:val="18"/>
                <w:szCs w:val="18"/>
                <w:lang w:val="en-GB"/>
              </w:rPr>
            </w:pPr>
            <w:r w:rsidRPr="006D2CEC">
              <w:rPr>
                <w:sz w:val="18"/>
                <w:szCs w:val="18"/>
                <w:lang w:val="en-GB"/>
              </w:rPr>
              <w:t>25</w:t>
            </w:r>
          </w:p>
        </w:tc>
        <w:tc>
          <w:tcPr>
            <w:tcW w:w="990" w:type="dxa"/>
            <w:tcBorders>
              <w:top w:val="nil"/>
              <w:left w:val="nil"/>
              <w:bottom w:val="single" w:sz="4" w:space="0" w:color="auto"/>
              <w:right w:val="single" w:sz="4" w:space="0" w:color="auto"/>
            </w:tcBorders>
            <w:shd w:val="clear" w:color="auto" w:fill="auto"/>
            <w:vAlign w:val="center"/>
            <w:hideMark/>
          </w:tcPr>
          <w:p w14:paraId="10BA7086" w14:textId="77777777" w:rsidR="006D2CEC" w:rsidRPr="006D2CEC" w:rsidRDefault="006D2CEC" w:rsidP="00567317">
            <w:pPr>
              <w:pStyle w:val="ExhibitText"/>
              <w:jc w:val="center"/>
              <w:rPr>
                <w:sz w:val="18"/>
                <w:szCs w:val="18"/>
                <w:lang w:val="en-GB"/>
              </w:rPr>
            </w:pPr>
            <w:r w:rsidRPr="006D2CEC">
              <w:rPr>
                <w:sz w:val="18"/>
                <w:szCs w:val="18"/>
                <w:lang w:val="en-GB"/>
              </w:rPr>
              <w:t>60.48</w:t>
            </w:r>
          </w:p>
        </w:tc>
        <w:tc>
          <w:tcPr>
            <w:tcW w:w="1065" w:type="dxa"/>
            <w:tcBorders>
              <w:top w:val="nil"/>
              <w:left w:val="nil"/>
              <w:bottom w:val="single" w:sz="4" w:space="0" w:color="auto"/>
              <w:right w:val="single" w:sz="4" w:space="0" w:color="auto"/>
            </w:tcBorders>
            <w:shd w:val="clear" w:color="auto" w:fill="auto"/>
            <w:vAlign w:val="center"/>
            <w:hideMark/>
          </w:tcPr>
          <w:p w14:paraId="5B7B7216" w14:textId="77777777" w:rsidR="006D2CEC" w:rsidRPr="006D2CEC" w:rsidRDefault="006D2CEC" w:rsidP="00567317">
            <w:pPr>
              <w:pStyle w:val="ExhibitText"/>
              <w:jc w:val="center"/>
              <w:rPr>
                <w:sz w:val="18"/>
                <w:szCs w:val="18"/>
                <w:lang w:val="en-GB"/>
              </w:rPr>
            </w:pPr>
            <w:r w:rsidRPr="006D2CEC">
              <w:rPr>
                <w:sz w:val="18"/>
                <w:szCs w:val="18"/>
                <w:lang w:val="en-GB"/>
              </w:rPr>
              <w:t>2.42</w:t>
            </w:r>
          </w:p>
        </w:tc>
        <w:tc>
          <w:tcPr>
            <w:tcW w:w="1273" w:type="dxa"/>
            <w:tcBorders>
              <w:top w:val="nil"/>
              <w:left w:val="nil"/>
              <w:bottom w:val="single" w:sz="4" w:space="0" w:color="auto"/>
              <w:right w:val="single" w:sz="4" w:space="0" w:color="auto"/>
            </w:tcBorders>
            <w:shd w:val="clear" w:color="auto" w:fill="auto"/>
            <w:vAlign w:val="center"/>
            <w:hideMark/>
          </w:tcPr>
          <w:p w14:paraId="29D492AE" w14:textId="77777777" w:rsidR="006D2CEC" w:rsidRPr="006D2CEC" w:rsidRDefault="006D2CEC" w:rsidP="00567317">
            <w:pPr>
              <w:pStyle w:val="ExhibitText"/>
              <w:tabs>
                <w:tab w:val="decimal" w:pos="632"/>
              </w:tabs>
              <w:rPr>
                <w:sz w:val="18"/>
                <w:szCs w:val="18"/>
                <w:lang w:val="en-GB"/>
              </w:rPr>
            </w:pPr>
            <w:r w:rsidRPr="006D2CEC">
              <w:rPr>
                <w:sz w:val="18"/>
                <w:szCs w:val="18"/>
                <w:lang w:val="en-GB"/>
              </w:rPr>
              <w:t>34.75</w:t>
            </w:r>
          </w:p>
        </w:tc>
        <w:tc>
          <w:tcPr>
            <w:tcW w:w="887" w:type="dxa"/>
            <w:tcBorders>
              <w:top w:val="nil"/>
              <w:left w:val="nil"/>
              <w:bottom w:val="single" w:sz="4" w:space="0" w:color="auto"/>
              <w:right w:val="single" w:sz="4" w:space="0" w:color="auto"/>
            </w:tcBorders>
            <w:shd w:val="clear" w:color="auto" w:fill="auto"/>
            <w:vAlign w:val="center"/>
            <w:hideMark/>
          </w:tcPr>
          <w:p w14:paraId="5B0BEB23" w14:textId="77777777" w:rsidR="006D2CEC" w:rsidRPr="006D2CEC" w:rsidRDefault="006D2CEC" w:rsidP="00567317">
            <w:pPr>
              <w:pStyle w:val="ExhibitText"/>
              <w:jc w:val="center"/>
              <w:rPr>
                <w:sz w:val="18"/>
                <w:szCs w:val="18"/>
                <w:lang w:val="en-GB"/>
              </w:rPr>
            </w:pPr>
            <w:r w:rsidRPr="006D2CEC">
              <w:rPr>
                <w:sz w:val="18"/>
                <w:szCs w:val="18"/>
                <w:lang w:val="en-GB"/>
              </w:rPr>
              <w:t>37.2</w:t>
            </w:r>
          </w:p>
        </w:tc>
        <w:tc>
          <w:tcPr>
            <w:tcW w:w="900" w:type="dxa"/>
            <w:tcBorders>
              <w:top w:val="nil"/>
              <w:left w:val="nil"/>
              <w:bottom w:val="single" w:sz="4" w:space="0" w:color="auto"/>
              <w:right w:val="single" w:sz="4" w:space="0" w:color="auto"/>
            </w:tcBorders>
            <w:shd w:val="clear" w:color="auto" w:fill="auto"/>
            <w:vAlign w:val="center"/>
            <w:hideMark/>
          </w:tcPr>
          <w:p w14:paraId="734873F4" w14:textId="77777777" w:rsidR="006D2CEC" w:rsidRPr="006D2CEC" w:rsidRDefault="006D2CEC" w:rsidP="00567317">
            <w:pPr>
              <w:pStyle w:val="ExhibitText"/>
              <w:tabs>
                <w:tab w:val="decimal" w:pos="362"/>
              </w:tabs>
              <w:rPr>
                <w:sz w:val="18"/>
                <w:szCs w:val="18"/>
                <w:lang w:val="en-GB"/>
              </w:rPr>
            </w:pPr>
            <w:r w:rsidRPr="006D2CEC">
              <w:rPr>
                <w:sz w:val="18"/>
                <w:szCs w:val="18"/>
                <w:lang w:val="en-GB"/>
              </w:rPr>
              <w:t>1.07</w:t>
            </w:r>
          </w:p>
        </w:tc>
        <w:tc>
          <w:tcPr>
            <w:tcW w:w="810" w:type="dxa"/>
            <w:tcBorders>
              <w:top w:val="nil"/>
              <w:left w:val="nil"/>
              <w:bottom w:val="single" w:sz="4" w:space="0" w:color="auto"/>
              <w:right w:val="single" w:sz="4" w:space="0" w:color="auto"/>
            </w:tcBorders>
            <w:shd w:val="clear" w:color="auto" w:fill="auto"/>
            <w:vAlign w:val="center"/>
            <w:hideMark/>
          </w:tcPr>
          <w:p w14:paraId="3D955A77" w14:textId="77777777" w:rsidR="006D2CEC" w:rsidRPr="006D2CEC" w:rsidRDefault="006D2CEC" w:rsidP="00567317">
            <w:pPr>
              <w:pStyle w:val="ExhibitText"/>
              <w:jc w:val="center"/>
              <w:rPr>
                <w:sz w:val="18"/>
                <w:szCs w:val="18"/>
                <w:lang w:val="en-GB"/>
              </w:rPr>
            </w:pPr>
            <w:r w:rsidRPr="006D2CEC">
              <w:rPr>
                <w:sz w:val="18"/>
                <w:szCs w:val="18"/>
                <w:lang w:val="en-GB"/>
              </w:rPr>
              <w:t>55.7</w:t>
            </w:r>
          </w:p>
        </w:tc>
      </w:tr>
      <w:tr w:rsidR="006D2CEC" w:rsidRPr="006D2CEC" w14:paraId="65233510" w14:textId="77777777" w:rsidTr="006D2CEC">
        <w:trPr>
          <w:trHeight w:val="315"/>
          <w:jc w:val="center"/>
        </w:trPr>
        <w:tc>
          <w:tcPr>
            <w:tcW w:w="1326" w:type="dxa"/>
            <w:tcBorders>
              <w:top w:val="nil"/>
              <w:left w:val="single" w:sz="8" w:space="0" w:color="auto"/>
              <w:bottom w:val="single" w:sz="8" w:space="0" w:color="auto"/>
              <w:right w:val="single" w:sz="4" w:space="0" w:color="auto"/>
            </w:tcBorders>
            <w:shd w:val="clear" w:color="auto" w:fill="auto"/>
            <w:vAlign w:val="center"/>
            <w:hideMark/>
          </w:tcPr>
          <w:p w14:paraId="0DBC7DB3" w14:textId="77777777" w:rsidR="006D2CEC" w:rsidRPr="006D2CEC" w:rsidRDefault="006D2CEC" w:rsidP="003E10AE">
            <w:pPr>
              <w:pStyle w:val="ExhibitText"/>
              <w:rPr>
                <w:sz w:val="18"/>
                <w:szCs w:val="18"/>
                <w:lang w:val="en-GB"/>
              </w:rPr>
            </w:pPr>
            <w:r w:rsidRPr="006D2CEC">
              <w:rPr>
                <w:sz w:val="18"/>
                <w:szCs w:val="18"/>
                <w:lang w:val="en-GB"/>
              </w:rPr>
              <w:t>Bus (Diesel)</w:t>
            </w:r>
          </w:p>
        </w:tc>
        <w:tc>
          <w:tcPr>
            <w:tcW w:w="1275" w:type="dxa"/>
            <w:tcBorders>
              <w:top w:val="nil"/>
              <w:left w:val="nil"/>
              <w:bottom w:val="single" w:sz="8" w:space="0" w:color="auto"/>
              <w:right w:val="single" w:sz="4" w:space="0" w:color="auto"/>
            </w:tcBorders>
            <w:shd w:val="clear" w:color="auto" w:fill="auto"/>
            <w:vAlign w:val="center"/>
            <w:hideMark/>
          </w:tcPr>
          <w:p w14:paraId="132F005D" w14:textId="77777777" w:rsidR="006D2CEC" w:rsidRPr="006D2CEC" w:rsidRDefault="006D2CEC" w:rsidP="00567317">
            <w:pPr>
              <w:pStyle w:val="ExhibitText"/>
              <w:tabs>
                <w:tab w:val="decimal" w:pos="548"/>
              </w:tabs>
              <w:rPr>
                <w:sz w:val="18"/>
                <w:szCs w:val="18"/>
                <w:lang w:val="en-GB"/>
              </w:rPr>
            </w:pPr>
            <w:r w:rsidRPr="006D2CEC">
              <w:rPr>
                <w:sz w:val="18"/>
                <w:szCs w:val="18"/>
                <w:lang w:val="en-GB"/>
              </w:rPr>
              <w:t>3.5</w:t>
            </w:r>
          </w:p>
        </w:tc>
        <w:tc>
          <w:tcPr>
            <w:tcW w:w="990" w:type="dxa"/>
            <w:tcBorders>
              <w:top w:val="nil"/>
              <w:left w:val="nil"/>
              <w:bottom w:val="single" w:sz="8" w:space="0" w:color="auto"/>
              <w:right w:val="single" w:sz="4" w:space="0" w:color="auto"/>
            </w:tcBorders>
            <w:shd w:val="clear" w:color="auto" w:fill="auto"/>
            <w:vAlign w:val="center"/>
            <w:hideMark/>
          </w:tcPr>
          <w:p w14:paraId="0D2DBC71" w14:textId="77777777" w:rsidR="006D2CEC" w:rsidRPr="006D2CEC" w:rsidRDefault="006D2CEC" w:rsidP="00567317">
            <w:pPr>
              <w:pStyle w:val="ExhibitText"/>
              <w:jc w:val="center"/>
              <w:rPr>
                <w:sz w:val="18"/>
                <w:szCs w:val="18"/>
                <w:lang w:val="en-GB"/>
              </w:rPr>
            </w:pPr>
            <w:r w:rsidRPr="006D2CEC">
              <w:rPr>
                <w:sz w:val="18"/>
                <w:szCs w:val="18"/>
                <w:lang w:val="en-GB"/>
              </w:rPr>
              <w:t>46.55</w:t>
            </w:r>
          </w:p>
        </w:tc>
        <w:tc>
          <w:tcPr>
            <w:tcW w:w="1065" w:type="dxa"/>
            <w:tcBorders>
              <w:top w:val="nil"/>
              <w:left w:val="nil"/>
              <w:bottom w:val="single" w:sz="8" w:space="0" w:color="auto"/>
              <w:right w:val="single" w:sz="4" w:space="0" w:color="auto"/>
            </w:tcBorders>
            <w:shd w:val="clear" w:color="auto" w:fill="auto"/>
            <w:vAlign w:val="center"/>
            <w:hideMark/>
          </w:tcPr>
          <w:p w14:paraId="2EA2E78F" w14:textId="77777777" w:rsidR="006D2CEC" w:rsidRPr="006D2CEC" w:rsidRDefault="006D2CEC" w:rsidP="00567317">
            <w:pPr>
              <w:pStyle w:val="ExhibitText"/>
              <w:jc w:val="center"/>
              <w:rPr>
                <w:sz w:val="18"/>
                <w:szCs w:val="18"/>
                <w:lang w:val="en-GB"/>
              </w:rPr>
            </w:pPr>
            <w:r w:rsidRPr="006D2CEC">
              <w:rPr>
                <w:sz w:val="18"/>
                <w:szCs w:val="18"/>
                <w:lang w:val="en-GB"/>
              </w:rPr>
              <w:t>13.3</w:t>
            </w:r>
          </w:p>
        </w:tc>
        <w:tc>
          <w:tcPr>
            <w:tcW w:w="1273" w:type="dxa"/>
            <w:tcBorders>
              <w:top w:val="nil"/>
              <w:left w:val="nil"/>
              <w:bottom w:val="single" w:sz="8" w:space="0" w:color="auto"/>
              <w:right w:val="single" w:sz="4" w:space="0" w:color="auto"/>
            </w:tcBorders>
            <w:shd w:val="clear" w:color="auto" w:fill="auto"/>
            <w:vAlign w:val="center"/>
            <w:hideMark/>
          </w:tcPr>
          <w:p w14:paraId="3A9A2EBE" w14:textId="77777777" w:rsidR="006D2CEC" w:rsidRPr="006D2CEC" w:rsidRDefault="006D2CEC" w:rsidP="00567317">
            <w:pPr>
              <w:pStyle w:val="ExhibitText"/>
              <w:tabs>
                <w:tab w:val="decimal" w:pos="632"/>
              </w:tabs>
              <w:rPr>
                <w:sz w:val="18"/>
                <w:szCs w:val="18"/>
                <w:lang w:val="en-GB"/>
              </w:rPr>
            </w:pPr>
            <w:r w:rsidRPr="006D2CEC">
              <w:rPr>
                <w:sz w:val="18"/>
                <w:szCs w:val="18"/>
                <w:lang w:val="en-GB"/>
              </w:rPr>
              <w:t>3.5</w:t>
            </w:r>
          </w:p>
        </w:tc>
        <w:tc>
          <w:tcPr>
            <w:tcW w:w="887" w:type="dxa"/>
            <w:tcBorders>
              <w:top w:val="nil"/>
              <w:left w:val="nil"/>
              <w:bottom w:val="single" w:sz="8" w:space="0" w:color="auto"/>
              <w:right w:val="single" w:sz="4" w:space="0" w:color="auto"/>
            </w:tcBorders>
            <w:shd w:val="clear" w:color="auto" w:fill="auto"/>
            <w:vAlign w:val="center"/>
            <w:hideMark/>
          </w:tcPr>
          <w:p w14:paraId="4800080A" w14:textId="77777777" w:rsidR="006D2CEC" w:rsidRPr="006D2CEC" w:rsidRDefault="006D2CEC" w:rsidP="00567317">
            <w:pPr>
              <w:pStyle w:val="ExhibitText"/>
              <w:jc w:val="center"/>
              <w:rPr>
                <w:sz w:val="18"/>
                <w:szCs w:val="18"/>
                <w:lang w:val="en-GB"/>
              </w:rPr>
            </w:pPr>
            <w:r w:rsidRPr="006D2CEC">
              <w:rPr>
                <w:sz w:val="18"/>
                <w:szCs w:val="18"/>
                <w:lang w:val="en-GB"/>
              </w:rPr>
              <w:t>37.2</w:t>
            </w:r>
          </w:p>
        </w:tc>
        <w:tc>
          <w:tcPr>
            <w:tcW w:w="900" w:type="dxa"/>
            <w:tcBorders>
              <w:top w:val="nil"/>
              <w:left w:val="nil"/>
              <w:bottom w:val="single" w:sz="8" w:space="0" w:color="auto"/>
              <w:right w:val="single" w:sz="4" w:space="0" w:color="auto"/>
            </w:tcBorders>
            <w:shd w:val="clear" w:color="auto" w:fill="auto"/>
            <w:vAlign w:val="center"/>
            <w:hideMark/>
          </w:tcPr>
          <w:p w14:paraId="44413961" w14:textId="77777777" w:rsidR="006D2CEC" w:rsidRPr="006D2CEC" w:rsidRDefault="006D2CEC" w:rsidP="00567317">
            <w:pPr>
              <w:pStyle w:val="ExhibitText"/>
              <w:tabs>
                <w:tab w:val="decimal" w:pos="362"/>
              </w:tabs>
              <w:rPr>
                <w:sz w:val="18"/>
                <w:szCs w:val="18"/>
                <w:lang w:val="en-GB"/>
              </w:rPr>
            </w:pPr>
            <w:r w:rsidRPr="006D2CEC">
              <w:rPr>
                <w:sz w:val="18"/>
                <w:szCs w:val="18"/>
                <w:lang w:val="en-GB"/>
              </w:rPr>
              <w:t>10.63</w:t>
            </w:r>
          </w:p>
        </w:tc>
        <w:tc>
          <w:tcPr>
            <w:tcW w:w="810" w:type="dxa"/>
            <w:tcBorders>
              <w:top w:val="nil"/>
              <w:left w:val="nil"/>
              <w:bottom w:val="single" w:sz="8" w:space="0" w:color="auto"/>
              <w:right w:val="single" w:sz="4" w:space="0" w:color="auto"/>
            </w:tcBorders>
            <w:shd w:val="clear" w:color="auto" w:fill="auto"/>
            <w:vAlign w:val="center"/>
            <w:hideMark/>
          </w:tcPr>
          <w:p w14:paraId="15431E99" w14:textId="77777777" w:rsidR="006D2CEC" w:rsidRPr="006D2CEC" w:rsidRDefault="006D2CEC" w:rsidP="00567317">
            <w:pPr>
              <w:pStyle w:val="ExhibitText"/>
              <w:jc w:val="center"/>
              <w:rPr>
                <w:sz w:val="18"/>
                <w:szCs w:val="18"/>
                <w:lang w:val="en-GB"/>
              </w:rPr>
            </w:pPr>
            <w:r w:rsidRPr="006D2CEC">
              <w:rPr>
                <w:sz w:val="18"/>
                <w:szCs w:val="18"/>
                <w:lang w:val="en-GB"/>
              </w:rPr>
              <w:t>20.1</w:t>
            </w:r>
          </w:p>
        </w:tc>
      </w:tr>
    </w:tbl>
    <w:p w14:paraId="12B795A2" w14:textId="77777777" w:rsidR="003E10AE" w:rsidRPr="00056191" w:rsidRDefault="003E10AE" w:rsidP="003E10AE">
      <w:pPr>
        <w:pStyle w:val="BodyTextMain"/>
        <w:rPr>
          <w:sz w:val="20"/>
          <w:lang w:val="en-GB"/>
        </w:rPr>
      </w:pPr>
    </w:p>
    <w:p w14:paraId="3A97B121" w14:textId="2DE64A6F" w:rsidR="009D2E51" w:rsidRPr="00567317" w:rsidRDefault="009D2E51" w:rsidP="00567317">
      <w:pPr>
        <w:pStyle w:val="Footnote"/>
        <w:rPr>
          <w:lang w:val="en-GB"/>
        </w:rPr>
      </w:pPr>
      <w:r>
        <w:rPr>
          <w:lang w:val="en-GB"/>
        </w:rPr>
        <w:t xml:space="preserve">Note: </w:t>
      </w:r>
      <w:r w:rsidR="0056771E">
        <w:rPr>
          <w:lang w:val="en-GB"/>
        </w:rPr>
        <w:t>CNG = compressed natural gas; k</w:t>
      </w:r>
      <w:r>
        <w:rPr>
          <w:lang w:val="en-GB"/>
        </w:rPr>
        <w:t xml:space="preserve">m = kilometres; </w:t>
      </w:r>
      <w:r w:rsidRPr="00567317">
        <w:rPr>
          <w:lang w:val="en-GB"/>
        </w:rPr>
        <w:t>₹</w:t>
      </w:r>
      <w:r w:rsidR="00206406">
        <w:rPr>
          <w:lang w:val="en-GB"/>
        </w:rPr>
        <w:t xml:space="preserve"> = INR = Indian rupee; US</w:t>
      </w:r>
      <w:r w:rsidR="00206406" w:rsidRPr="006D2CEC">
        <w:rPr>
          <w:lang w:val="en-GB"/>
        </w:rPr>
        <w:t>$1 = ₹</w:t>
      </w:r>
      <w:r w:rsidR="005A0B62" w:rsidRPr="006D2CEC">
        <w:rPr>
          <w:lang w:val="en-GB"/>
        </w:rPr>
        <w:t>66.51</w:t>
      </w:r>
      <w:r w:rsidR="00206406" w:rsidRPr="006D2CEC">
        <w:rPr>
          <w:lang w:val="en-GB"/>
        </w:rPr>
        <w:t xml:space="preserve"> on</w:t>
      </w:r>
      <w:r w:rsidR="00206406">
        <w:rPr>
          <w:lang w:val="en-GB"/>
        </w:rPr>
        <w:t xml:space="preserve"> December 1, 2015</w:t>
      </w:r>
      <w:r w:rsidR="0056771E">
        <w:rPr>
          <w:lang w:val="en-GB"/>
        </w:rPr>
        <w:t>; kg = kilogram</w:t>
      </w:r>
    </w:p>
    <w:p w14:paraId="27F43421" w14:textId="4607BE3B" w:rsidR="003E10AE" w:rsidRPr="00056191" w:rsidRDefault="003E10AE" w:rsidP="003E10AE">
      <w:pPr>
        <w:pStyle w:val="Footnote"/>
        <w:rPr>
          <w:lang w:val="en-GB"/>
        </w:rPr>
      </w:pPr>
      <w:r w:rsidRPr="00056191">
        <w:rPr>
          <w:lang w:val="en-GB"/>
        </w:rPr>
        <w:t>Source: I</w:t>
      </w:r>
      <w:r w:rsidR="009D2E51">
        <w:rPr>
          <w:lang w:val="en-GB"/>
        </w:rPr>
        <w:t xml:space="preserve">ndraprastha </w:t>
      </w:r>
      <w:r w:rsidRPr="00056191">
        <w:rPr>
          <w:lang w:val="en-GB"/>
        </w:rPr>
        <w:t>G</w:t>
      </w:r>
      <w:r w:rsidR="009D2E51">
        <w:rPr>
          <w:lang w:val="en-GB"/>
        </w:rPr>
        <w:t xml:space="preserve">as </w:t>
      </w:r>
      <w:r w:rsidRPr="00056191">
        <w:rPr>
          <w:lang w:val="en-GB"/>
        </w:rPr>
        <w:t>L</w:t>
      </w:r>
      <w:r w:rsidR="009D2E51">
        <w:rPr>
          <w:lang w:val="en-GB"/>
        </w:rPr>
        <w:t>imited</w:t>
      </w:r>
      <w:r w:rsidRPr="00056191">
        <w:rPr>
          <w:lang w:val="en-GB"/>
        </w:rPr>
        <w:t xml:space="preserve"> internal company records</w:t>
      </w:r>
      <w:r w:rsidR="009D2E51">
        <w:rPr>
          <w:lang w:val="en-GB"/>
        </w:rPr>
        <w:t>.</w:t>
      </w:r>
    </w:p>
    <w:p w14:paraId="5E80AC61" w14:textId="77777777" w:rsidR="003E10AE" w:rsidRPr="00056191" w:rsidRDefault="003E10AE" w:rsidP="003E10AE">
      <w:pPr>
        <w:pStyle w:val="Footnote"/>
        <w:rPr>
          <w:lang w:val="en-GB"/>
        </w:rPr>
      </w:pPr>
    </w:p>
    <w:p w14:paraId="0961EFA4" w14:textId="77777777" w:rsidR="003E10AE" w:rsidRPr="00056191" w:rsidRDefault="003E10AE" w:rsidP="003E10AE">
      <w:pPr>
        <w:pStyle w:val="Footnote"/>
        <w:rPr>
          <w:lang w:val="en-GB"/>
        </w:rPr>
      </w:pPr>
    </w:p>
    <w:p w14:paraId="0D33175C" w14:textId="77BEB903" w:rsidR="003E10AE" w:rsidRPr="00056191" w:rsidRDefault="003E10AE" w:rsidP="003E10AE">
      <w:pPr>
        <w:pStyle w:val="ExhibitHeading"/>
        <w:rPr>
          <w:lang w:val="en-GB"/>
        </w:rPr>
      </w:pPr>
      <w:r w:rsidRPr="00056191">
        <w:rPr>
          <w:lang w:val="en-GB"/>
        </w:rPr>
        <w:t xml:space="preserve">Exhibit 3: </w:t>
      </w:r>
      <w:r w:rsidR="00206406">
        <w:rPr>
          <w:lang w:val="en-GB"/>
        </w:rPr>
        <w:t>NUMBER</w:t>
      </w:r>
      <w:r w:rsidRPr="00056191">
        <w:rPr>
          <w:lang w:val="en-GB"/>
        </w:rPr>
        <w:t xml:space="preserve"> of C</w:t>
      </w:r>
      <w:r w:rsidR="00206406">
        <w:rPr>
          <w:lang w:val="en-GB"/>
        </w:rPr>
        <w:t xml:space="preserve">ompressed </w:t>
      </w:r>
      <w:r w:rsidRPr="00056191">
        <w:rPr>
          <w:lang w:val="en-GB"/>
        </w:rPr>
        <w:t>N</w:t>
      </w:r>
      <w:r w:rsidR="00206406">
        <w:rPr>
          <w:lang w:val="en-GB"/>
        </w:rPr>
        <w:t xml:space="preserve">atural </w:t>
      </w:r>
      <w:r w:rsidRPr="00056191">
        <w:rPr>
          <w:lang w:val="en-GB"/>
        </w:rPr>
        <w:t>G</w:t>
      </w:r>
      <w:r w:rsidR="00206406">
        <w:rPr>
          <w:lang w:val="en-GB"/>
        </w:rPr>
        <w:t>as-fuelled</w:t>
      </w:r>
      <w:r w:rsidRPr="00056191">
        <w:rPr>
          <w:lang w:val="en-GB"/>
        </w:rPr>
        <w:t xml:space="preserve"> Vehicles in Delhi</w:t>
      </w:r>
      <w:r w:rsidR="00206406">
        <w:rPr>
          <w:lang w:val="en-GB"/>
        </w:rPr>
        <w:t xml:space="preserve"> </w:t>
      </w:r>
      <w:r w:rsidRPr="00056191">
        <w:rPr>
          <w:lang w:val="en-GB"/>
        </w:rPr>
        <w:t>N</w:t>
      </w:r>
      <w:r w:rsidR="00206406">
        <w:rPr>
          <w:lang w:val="en-GB"/>
        </w:rPr>
        <w:t xml:space="preserve">ational </w:t>
      </w:r>
      <w:r w:rsidRPr="00056191">
        <w:rPr>
          <w:lang w:val="en-GB"/>
        </w:rPr>
        <w:t>C</w:t>
      </w:r>
      <w:r w:rsidR="00206406">
        <w:rPr>
          <w:lang w:val="en-GB"/>
        </w:rPr>
        <w:t xml:space="preserve">apital </w:t>
      </w:r>
      <w:r w:rsidRPr="00056191">
        <w:rPr>
          <w:lang w:val="en-GB"/>
        </w:rPr>
        <w:t>T</w:t>
      </w:r>
      <w:r w:rsidR="00206406">
        <w:rPr>
          <w:lang w:val="en-GB"/>
        </w:rPr>
        <w:t>erritory</w:t>
      </w:r>
      <w:r w:rsidR="00B74747">
        <w:rPr>
          <w:lang w:val="en-GB"/>
        </w:rPr>
        <w:t>, 2012–2015</w:t>
      </w:r>
      <w:r w:rsidRPr="00056191">
        <w:rPr>
          <w:lang w:val="en-GB"/>
        </w:rPr>
        <w:t xml:space="preserve"> </w:t>
      </w:r>
    </w:p>
    <w:p w14:paraId="7C13E169" w14:textId="77777777" w:rsidR="003E10AE" w:rsidRPr="00056191" w:rsidRDefault="003E10AE" w:rsidP="003E10AE">
      <w:pPr>
        <w:pStyle w:val="ExhibitHeading"/>
        <w:jc w:val="left"/>
        <w:rPr>
          <w:sz w:val="18"/>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2"/>
        <w:gridCol w:w="1391"/>
        <w:gridCol w:w="1391"/>
        <w:gridCol w:w="1392"/>
        <w:gridCol w:w="1391"/>
        <w:gridCol w:w="1392"/>
        <w:gridCol w:w="1101"/>
      </w:tblGrid>
      <w:tr w:rsidR="003E10AE" w:rsidRPr="00F36850" w14:paraId="2ED05C8E" w14:textId="77777777" w:rsidTr="00567317">
        <w:trPr>
          <w:jc w:val="center"/>
        </w:trPr>
        <w:tc>
          <w:tcPr>
            <w:tcW w:w="1292" w:type="dxa"/>
            <w:shd w:val="clear" w:color="auto" w:fill="auto"/>
          </w:tcPr>
          <w:p w14:paraId="21BB73CE" w14:textId="77777777" w:rsidR="003E10AE" w:rsidRPr="00F36850" w:rsidRDefault="003E10AE" w:rsidP="003E10AE">
            <w:pPr>
              <w:pStyle w:val="ExhibitHeading"/>
              <w:rPr>
                <w:sz w:val="18"/>
                <w:szCs w:val="18"/>
                <w:lang w:val="en-GB"/>
              </w:rPr>
            </w:pPr>
          </w:p>
        </w:tc>
        <w:tc>
          <w:tcPr>
            <w:tcW w:w="1391" w:type="dxa"/>
            <w:shd w:val="clear" w:color="auto" w:fill="auto"/>
          </w:tcPr>
          <w:p w14:paraId="2F5666A6" w14:textId="6ACC988E" w:rsidR="003E10AE" w:rsidRPr="00F36850" w:rsidRDefault="003E10AE" w:rsidP="003E10AE">
            <w:pPr>
              <w:pStyle w:val="ExhibitHeading"/>
              <w:rPr>
                <w:sz w:val="18"/>
                <w:szCs w:val="18"/>
                <w:lang w:val="en-GB"/>
              </w:rPr>
            </w:pPr>
            <w:r w:rsidRPr="00F36850">
              <w:rPr>
                <w:caps w:val="0"/>
                <w:sz w:val="18"/>
                <w:szCs w:val="18"/>
                <w:lang w:val="en-GB"/>
              </w:rPr>
              <w:t xml:space="preserve">March </w:t>
            </w:r>
            <w:r w:rsidR="00B74747" w:rsidRPr="00F36850">
              <w:rPr>
                <w:caps w:val="0"/>
                <w:sz w:val="18"/>
                <w:szCs w:val="18"/>
                <w:lang w:val="en-GB"/>
              </w:rPr>
              <w:t>20</w:t>
            </w:r>
            <w:r w:rsidRPr="00F36850">
              <w:rPr>
                <w:caps w:val="0"/>
                <w:sz w:val="18"/>
                <w:szCs w:val="18"/>
                <w:lang w:val="en-GB"/>
              </w:rPr>
              <w:t>12</w:t>
            </w:r>
          </w:p>
        </w:tc>
        <w:tc>
          <w:tcPr>
            <w:tcW w:w="1391" w:type="dxa"/>
            <w:shd w:val="clear" w:color="auto" w:fill="auto"/>
          </w:tcPr>
          <w:p w14:paraId="20ACCCB7" w14:textId="46057227" w:rsidR="003E10AE" w:rsidRPr="00F36850" w:rsidRDefault="003E10AE" w:rsidP="003E10AE">
            <w:pPr>
              <w:pStyle w:val="ExhibitHeading"/>
              <w:rPr>
                <w:sz w:val="18"/>
                <w:szCs w:val="18"/>
                <w:lang w:val="en-GB"/>
              </w:rPr>
            </w:pPr>
            <w:r w:rsidRPr="00F36850">
              <w:rPr>
                <w:caps w:val="0"/>
                <w:sz w:val="18"/>
                <w:szCs w:val="18"/>
                <w:lang w:val="en-GB"/>
              </w:rPr>
              <w:t xml:space="preserve">March </w:t>
            </w:r>
            <w:r w:rsidR="00B74747" w:rsidRPr="00F36850">
              <w:rPr>
                <w:caps w:val="0"/>
                <w:sz w:val="18"/>
                <w:szCs w:val="18"/>
                <w:lang w:val="en-GB"/>
              </w:rPr>
              <w:t>20</w:t>
            </w:r>
            <w:r w:rsidRPr="00F36850">
              <w:rPr>
                <w:caps w:val="0"/>
                <w:sz w:val="18"/>
                <w:szCs w:val="18"/>
                <w:lang w:val="en-GB"/>
              </w:rPr>
              <w:t>13</w:t>
            </w:r>
          </w:p>
        </w:tc>
        <w:tc>
          <w:tcPr>
            <w:tcW w:w="1392" w:type="dxa"/>
            <w:shd w:val="clear" w:color="auto" w:fill="auto"/>
          </w:tcPr>
          <w:p w14:paraId="20365D3A" w14:textId="59F911AA" w:rsidR="003E10AE" w:rsidRPr="00F36850" w:rsidRDefault="003E10AE" w:rsidP="003E10AE">
            <w:pPr>
              <w:pStyle w:val="ExhibitHeading"/>
              <w:rPr>
                <w:sz w:val="18"/>
                <w:szCs w:val="18"/>
                <w:lang w:val="en-GB"/>
              </w:rPr>
            </w:pPr>
            <w:r w:rsidRPr="00F36850">
              <w:rPr>
                <w:caps w:val="0"/>
                <w:sz w:val="18"/>
                <w:szCs w:val="18"/>
                <w:lang w:val="en-GB"/>
              </w:rPr>
              <w:t>March</w:t>
            </w:r>
            <w:r w:rsidR="00B74747" w:rsidRPr="00F36850">
              <w:rPr>
                <w:caps w:val="0"/>
                <w:sz w:val="18"/>
                <w:szCs w:val="18"/>
                <w:lang w:val="en-GB"/>
              </w:rPr>
              <w:t xml:space="preserve"> 20</w:t>
            </w:r>
            <w:r w:rsidRPr="00F36850">
              <w:rPr>
                <w:caps w:val="0"/>
                <w:sz w:val="18"/>
                <w:szCs w:val="18"/>
                <w:lang w:val="en-GB"/>
              </w:rPr>
              <w:t>14</w:t>
            </w:r>
          </w:p>
        </w:tc>
        <w:tc>
          <w:tcPr>
            <w:tcW w:w="1391" w:type="dxa"/>
            <w:shd w:val="clear" w:color="auto" w:fill="auto"/>
          </w:tcPr>
          <w:p w14:paraId="60A33E41" w14:textId="43279C3F" w:rsidR="003E10AE" w:rsidRPr="00F36850" w:rsidRDefault="003E10AE" w:rsidP="003E10AE">
            <w:pPr>
              <w:pStyle w:val="ExhibitHeading"/>
              <w:rPr>
                <w:sz w:val="18"/>
                <w:szCs w:val="18"/>
                <w:lang w:val="en-GB"/>
              </w:rPr>
            </w:pPr>
            <w:r w:rsidRPr="00F36850">
              <w:rPr>
                <w:caps w:val="0"/>
                <w:sz w:val="18"/>
                <w:szCs w:val="18"/>
                <w:lang w:val="en-GB"/>
              </w:rPr>
              <w:t>March</w:t>
            </w:r>
            <w:r w:rsidR="00B74747" w:rsidRPr="00F36850">
              <w:rPr>
                <w:caps w:val="0"/>
                <w:sz w:val="18"/>
                <w:szCs w:val="18"/>
                <w:lang w:val="en-GB"/>
              </w:rPr>
              <w:t xml:space="preserve"> 20</w:t>
            </w:r>
            <w:r w:rsidRPr="00F36850">
              <w:rPr>
                <w:caps w:val="0"/>
                <w:sz w:val="18"/>
                <w:szCs w:val="18"/>
                <w:lang w:val="en-GB"/>
              </w:rPr>
              <w:t>15</w:t>
            </w:r>
          </w:p>
        </w:tc>
        <w:tc>
          <w:tcPr>
            <w:tcW w:w="1392" w:type="dxa"/>
            <w:shd w:val="clear" w:color="auto" w:fill="auto"/>
          </w:tcPr>
          <w:p w14:paraId="719828B0" w14:textId="61A1EF88" w:rsidR="003E10AE" w:rsidRPr="00F36850" w:rsidRDefault="003E10AE" w:rsidP="003E10AE">
            <w:pPr>
              <w:pStyle w:val="ExhibitHeading"/>
              <w:rPr>
                <w:sz w:val="18"/>
                <w:szCs w:val="18"/>
                <w:lang w:val="en-GB"/>
              </w:rPr>
            </w:pPr>
            <w:r w:rsidRPr="00F36850">
              <w:rPr>
                <w:caps w:val="0"/>
                <w:sz w:val="18"/>
                <w:szCs w:val="18"/>
                <w:lang w:val="en-GB"/>
              </w:rPr>
              <w:t>June</w:t>
            </w:r>
            <w:r w:rsidR="00B74747" w:rsidRPr="00F36850">
              <w:rPr>
                <w:caps w:val="0"/>
                <w:sz w:val="18"/>
                <w:szCs w:val="18"/>
                <w:lang w:val="en-GB"/>
              </w:rPr>
              <w:t>20</w:t>
            </w:r>
            <w:r w:rsidRPr="00F36850">
              <w:rPr>
                <w:caps w:val="0"/>
                <w:sz w:val="18"/>
                <w:szCs w:val="18"/>
                <w:lang w:val="en-GB"/>
              </w:rPr>
              <w:t>15</w:t>
            </w:r>
          </w:p>
        </w:tc>
        <w:tc>
          <w:tcPr>
            <w:tcW w:w="1101" w:type="dxa"/>
            <w:shd w:val="clear" w:color="auto" w:fill="auto"/>
          </w:tcPr>
          <w:p w14:paraId="755DE969" w14:textId="6D84E168" w:rsidR="003E10AE" w:rsidRPr="00F36850" w:rsidRDefault="00B74747" w:rsidP="003E10AE">
            <w:pPr>
              <w:pStyle w:val="ExhibitHeading"/>
              <w:rPr>
                <w:sz w:val="18"/>
                <w:szCs w:val="18"/>
                <w:lang w:val="en-GB"/>
              </w:rPr>
            </w:pPr>
            <w:r w:rsidRPr="00F36850">
              <w:rPr>
                <w:caps w:val="0"/>
                <w:sz w:val="18"/>
                <w:szCs w:val="18"/>
                <w:lang w:val="en-GB"/>
              </w:rPr>
              <w:t>CAGR i</w:t>
            </w:r>
            <w:r w:rsidR="003E10AE" w:rsidRPr="00F36850">
              <w:rPr>
                <w:caps w:val="0"/>
                <w:sz w:val="18"/>
                <w:szCs w:val="18"/>
                <w:lang w:val="en-GB"/>
              </w:rPr>
              <w:t>n Last Five Years</w:t>
            </w:r>
          </w:p>
        </w:tc>
      </w:tr>
      <w:tr w:rsidR="003E10AE" w:rsidRPr="00F36850" w14:paraId="04080F01" w14:textId="77777777" w:rsidTr="00567317">
        <w:trPr>
          <w:jc w:val="center"/>
        </w:trPr>
        <w:tc>
          <w:tcPr>
            <w:tcW w:w="1292" w:type="dxa"/>
            <w:shd w:val="clear" w:color="auto" w:fill="auto"/>
          </w:tcPr>
          <w:p w14:paraId="0A7B6D5C" w14:textId="77777777" w:rsidR="003E10AE" w:rsidRPr="00F36850" w:rsidRDefault="003E10AE" w:rsidP="00567317">
            <w:pPr>
              <w:pStyle w:val="ExhibitHeading"/>
              <w:jc w:val="left"/>
              <w:rPr>
                <w:b w:val="0"/>
                <w:sz w:val="18"/>
                <w:szCs w:val="18"/>
                <w:lang w:val="en-GB"/>
              </w:rPr>
            </w:pPr>
            <w:r w:rsidRPr="00F36850">
              <w:rPr>
                <w:b w:val="0"/>
                <w:caps w:val="0"/>
                <w:sz w:val="18"/>
                <w:szCs w:val="18"/>
                <w:lang w:val="en-GB"/>
              </w:rPr>
              <w:t>Buses</w:t>
            </w:r>
          </w:p>
        </w:tc>
        <w:tc>
          <w:tcPr>
            <w:tcW w:w="1391" w:type="dxa"/>
            <w:shd w:val="clear" w:color="auto" w:fill="auto"/>
          </w:tcPr>
          <w:p w14:paraId="3C1F179F" w14:textId="311588B3" w:rsidR="003E10AE" w:rsidRPr="00F36850" w:rsidRDefault="003E10AE" w:rsidP="00567317">
            <w:pPr>
              <w:pStyle w:val="ExhibitHeading"/>
              <w:tabs>
                <w:tab w:val="decimal" w:pos="836"/>
              </w:tabs>
              <w:rPr>
                <w:b w:val="0"/>
                <w:sz w:val="18"/>
                <w:szCs w:val="18"/>
                <w:lang w:val="en-GB"/>
              </w:rPr>
            </w:pPr>
            <w:r w:rsidRPr="00F36850">
              <w:rPr>
                <w:b w:val="0"/>
                <w:caps w:val="0"/>
                <w:sz w:val="18"/>
                <w:szCs w:val="18"/>
                <w:lang w:val="en-GB"/>
              </w:rPr>
              <w:t>18</w:t>
            </w:r>
            <w:r w:rsidR="00206406" w:rsidRPr="00F36850">
              <w:rPr>
                <w:b w:val="0"/>
                <w:caps w:val="0"/>
                <w:sz w:val="18"/>
                <w:szCs w:val="18"/>
                <w:lang w:val="en-GB"/>
              </w:rPr>
              <w:t>,</w:t>
            </w:r>
            <w:r w:rsidRPr="00F36850">
              <w:rPr>
                <w:b w:val="0"/>
                <w:caps w:val="0"/>
                <w:sz w:val="18"/>
                <w:szCs w:val="18"/>
                <w:lang w:val="en-GB"/>
              </w:rPr>
              <w:t>839</w:t>
            </w:r>
          </w:p>
        </w:tc>
        <w:tc>
          <w:tcPr>
            <w:tcW w:w="1391" w:type="dxa"/>
            <w:shd w:val="clear" w:color="auto" w:fill="auto"/>
          </w:tcPr>
          <w:p w14:paraId="0FDA0741" w14:textId="1E09E726" w:rsidR="003E10AE" w:rsidRPr="00F36850" w:rsidRDefault="003E10AE" w:rsidP="00567317">
            <w:pPr>
              <w:pStyle w:val="ExhibitHeading"/>
              <w:tabs>
                <w:tab w:val="decimal" w:pos="900"/>
              </w:tabs>
              <w:rPr>
                <w:b w:val="0"/>
                <w:sz w:val="18"/>
                <w:szCs w:val="18"/>
                <w:lang w:val="en-GB"/>
              </w:rPr>
            </w:pPr>
            <w:r w:rsidRPr="00F36850">
              <w:rPr>
                <w:b w:val="0"/>
                <w:caps w:val="0"/>
                <w:sz w:val="18"/>
                <w:szCs w:val="18"/>
                <w:lang w:val="en-GB"/>
              </w:rPr>
              <w:t>18</w:t>
            </w:r>
            <w:r w:rsidR="00206406" w:rsidRPr="00F36850">
              <w:rPr>
                <w:b w:val="0"/>
                <w:caps w:val="0"/>
                <w:sz w:val="18"/>
                <w:szCs w:val="18"/>
                <w:lang w:val="en-GB"/>
              </w:rPr>
              <w:t>,</w:t>
            </w:r>
            <w:r w:rsidRPr="00F36850">
              <w:rPr>
                <w:b w:val="0"/>
                <w:caps w:val="0"/>
                <w:sz w:val="18"/>
                <w:szCs w:val="18"/>
                <w:lang w:val="en-GB"/>
              </w:rPr>
              <w:t>826</w:t>
            </w:r>
          </w:p>
        </w:tc>
        <w:tc>
          <w:tcPr>
            <w:tcW w:w="1392" w:type="dxa"/>
            <w:shd w:val="clear" w:color="auto" w:fill="auto"/>
          </w:tcPr>
          <w:p w14:paraId="3A550FF2" w14:textId="372660C6" w:rsidR="003E10AE" w:rsidRPr="00F36850" w:rsidRDefault="003E10AE" w:rsidP="00567317">
            <w:pPr>
              <w:pStyle w:val="ExhibitHeading"/>
              <w:tabs>
                <w:tab w:val="decimal" w:pos="915"/>
              </w:tabs>
              <w:rPr>
                <w:b w:val="0"/>
                <w:sz w:val="18"/>
                <w:szCs w:val="18"/>
                <w:lang w:val="en-GB"/>
              </w:rPr>
            </w:pPr>
            <w:r w:rsidRPr="00F36850">
              <w:rPr>
                <w:b w:val="0"/>
                <w:caps w:val="0"/>
                <w:sz w:val="18"/>
                <w:szCs w:val="18"/>
                <w:lang w:val="en-GB"/>
              </w:rPr>
              <w:t>19</w:t>
            </w:r>
            <w:r w:rsidR="00B74747" w:rsidRPr="00F36850">
              <w:rPr>
                <w:b w:val="0"/>
                <w:caps w:val="0"/>
                <w:sz w:val="18"/>
                <w:szCs w:val="18"/>
                <w:lang w:val="en-GB"/>
              </w:rPr>
              <w:t>,</w:t>
            </w:r>
            <w:r w:rsidRPr="00F36850">
              <w:rPr>
                <w:b w:val="0"/>
                <w:caps w:val="0"/>
                <w:sz w:val="18"/>
                <w:szCs w:val="18"/>
                <w:lang w:val="en-GB"/>
              </w:rPr>
              <w:t>566</w:t>
            </w:r>
          </w:p>
        </w:tc>
        <w:tc>
          <w:tcPr>
            <w:tcW w:w="1391" w:type="dxa"/>
            <w:shd w:val="clear" w:color="auto" w:fill="auto"/>
          </w:tcPr>
          <w:p w14:paraId="6C518DC1" w14:textId="3A77B6D3" w:rsidR="003E10AE" w:rsidRPr="00F36850" w:rsidRDefault="003E10AE" w:rsidP="00567317">
            <w:pPr>
              <w:pStyle w:val="ExhibitHeading"/>
              <w:tabs>
                <w:tab w:val="decimal" w:pos="879"/>
              </w:tabs>
              <w:rPr>
                <w:b w:val="0"/>
                <w:sz w:val="18"/>
                <w:szCs w:val="18"/>
                <w:lang w:val="en-GB"/>
              </w:rPr>
            </w:pPr>
            <w:r w:rsidRPr="00F36850">
              <w:rPr>
                <w:b w:val="0"/>
                <w:caps w:val="0"/>
                <w:sz w:val="18"/>
                <w:szCs w:val="18"/>
                <w:lang w:val="en-GB"/>
              </w:rPr>
              <w:t>19</w:t>
            </w:r>
            <w:r w:rsidR="00B74747" w:rsidRPr="00F36850">
              <w:rPr>
                <w:b w:val="0"/>
                <w:caps w:val="0"/>
                <w:sz w:val="18"/>
                <w:szCs w:val="18"/>
                <w:lang w:val="en-GB"/>
              </w:rPr>
              <w:t>,</w:t>
            </w:r>
            <w:r w:rsidRPr="00F36850">
              <w:rPr>
                <w:b w:val="0"/>
                <w:caps w:val="0"/>
                <w:sz w:val="18"/>
                <w:szCs w:val="18"/>
                <w:lang w:val="en-GB"/>
              </w:rPr>
              <w:t>421</w:t>
            </w:r>
          </w:p>
        </w:tc>
        <w:tc>
          <w:tcPr>
            <w:tcW w:w="1392" w:type="dxa"/>
            <w:shd w:val="clear" w:color="auto" w:fill="auto"/>
          </w:tcPr>
          <w:p w14:paraId="0FB812F6" w14:textId="5E27C9A5" w:rsidR="003E10AE" w:rsidRPr="00F36850" w:rsidRDefault="003E10AE" w:rsidP="00567317">
            <w:pPr>
              <w:pStyle w:val="ExhibitHeading"/>
              <w:tabs>
                <w:tab w:val="decimal" w:pos="858"/>
              </w:tabs>
              <w:rPr>
                <w:b w:val="0"/>
                <w:sz w:val="18"/>
                <w:szCs w:val="18"/>
                <w:lang w:val="en-GB"/>
              </w:rPr>
            </w:pPr>
            <w:r w:rsidRPr="00F36850">
              <w:rPr>
                <w:b w:val="0"/>
                <w:caps w:val="0"/>
                <w:sz w:val="18"/>
                <w:szCs w:val="18"/>
                <w:lang w:val="en-GB"/>
              </w:rPr>
              <w:t>19</w:t>
            </w:r>
            <w:r w:rsidR="00B74747" w:rsidRPr="00F36850">
              <w:rPr>
                <w:b w:val="0"/>
                <w:caps w:val="0"/>
                <w:sz w:val="18"/>
                <w:szCs w:val="18"/>
                <w:lang w:val="en-GB"/>
              </w:rPr>
              <w:t>,</w:t>
            </w:r>
            <w:r w:rsidRPr="00F36850">
              <w:rPr>
                <w:b w:val="0"/>
                <w:caps w:val="0"/>
                <w:sz w:val="18"/>
                <w:szCs w:val="18"/>
                <w:lang w:val="en-GB"/>
              </w:rPr>
              <w:t>639</w:t>
            </w:r>
          </w:p>
        </w:tc>
        <w:tc>
          <w:tcPr>
            <w:tcW w:w="1101" w:type="dxa"/>
            <w:shd w:val="clear" w:color="auto" w:fill="auto"/>
          </w:tcPr>
          <w:p w14:paraId="23BC25EF" w14:textId="77777777" w:rsidR="003E10AE" w:rsidRPr="00F36850" w:rsidRDefault="003E10AE" w:rsidP="00567317">
            <w:pPr>
              <w:pStyle w:val="ExhibitHeading"/>
              <w:tabs>
                <w:tab w:val="decimal" w:pos="571"/>
              </w:tabs>
              <w:jc w:val="left"/>
              <w:rPr>
                <w:b w:val="0"/>
                <w:sz w:val="18"/>
                <w:szCs w:val="18"/>
                <w:lang w:val="en-GB"/>
              </w:rPr>
            </w:pPr>
            <w:r w:rsidRPr="00F36850">
              <w:rPr>
                <w:b w:val="0"/>
                <w:caps w:val="0"/>
                <w:sz w:val="18"/>
                <w:szCs w:val="18"/>
                <w:lang w:val="en-GB"/>
              </w:rPr>
              <w:t>7%</w:t>
            </w:r>
          </w:p>
        </w:tc>
      </w:tr>
      <w:tr w:rsidR="003E10AE" w:rsidRPr="00F36850" w14:paraId="6D41E681" w14:textId="77777777" w:rsidTr="00567317">
        <w:trPr>
          <w:jc w:val="center"/>
        </w:trPr>
        <w:tc>
          <w:tcPr>
            <w:tcW w:w="1292" w:type="dxa"/>
            <w:shd w:val="clear" w:color="auto" w:fill="auto"/>
          </w:tcPr>
          <w:p w14:paraId="44345049" w14:textId="19DCC059" w:rsidR="003E10AE" w:rsidRPr="00F36850" w:rsidRDefault="003E10AE" w:rsidP="00567317">
            <w:pPr>
              <w:pStyle w:val="ExhibitHeading"/>
              <w:jc w:val="left"/>
              <w:rPr>
                <w:b w:val="0"/>
                <w:sz w:val="18"/>
                <w:szCs w:val="18"/>
                <w:lang w:val="en-GB"/>
              </w:rPr>
            </w:pPr>
            <w:r w:rsidRPr="00F36850">
              <w:rPr>
                <w:b w:val="0"/>
                <w:caps w:val="0"/>
                <w:sz w:val="18"/>
                <w:szCs w:val="18"/>
                <w:lang w:val="en-GB"/>
              </w:rPr>
              <w:t>Auto/</w:t>
            </w:r>
            <w:r w:rsidR="00206406" w:rsidRPr="00F36850">
              <w:rPr>
                <w:b w:val="0"/>
                <w:caps w:val="0"/>
                <w:sz w:val="18"/>
                <w:szCs w:val="18"/>
                <w:lang w:val="en-GB"/>
              </w:rPr>
              <w:t>LGV</w:t>
            </w:r>
          </w:p>
        </w:tc>
        <w:tc>
          <w:tcPr>
            <w:tcW w:w="1391" w:type="dxa"/>
            <w:shd w:val="clear" w:color="auto" w:fill="auto"/>
          </w:tcPr>
          <w:p w14:paraId="25F8DFD5" w14:textId="49DEF7E4" w:rsidR="003E10AE" w:rsidRPr="00F36850" w:rsidRDefault="003E10AE" w:rsidP="00567317">
            <w:pPr>
              <w:pStyle w:val="ExhibitHeading"/>
              <w:tabs>
                <w:tab w:val="decimal" w:pos="836"/>
              </w:tabs>
              <w:rPr>
                <w:b w:val="0"/>
                <w:sz w:val="18"/>
                <w:szCs w:val="18"/>
                <w:lang w:val="en-GB"/>
              </w:rPr>
            </w:pPr>
            <w:r w:rsidRPr="00F36850">
              <w:rPr>
                <w:b w:val="0"/>
                <w:caps w:val="0"/>
                <w:sz w:val="18"/>
                <w:szCs w:val="18"/>
                <w:lang w:val="en-GB"/>
              </w:rPr>
              <w:t>159</w:t>
            </w:r>
            <w:r w:rsidR="00206406" w:rsidRPr="00F36850">
              <w:rPr>
                <w:b w:val="0"/>
                <w:caps w:val="0"/>
                <w:sz w:val="18"/>
                <w:szCs w:val="18"/>
                <w:lang w:val="en-GB"/>
              </w:rPr>
              <w:t>,</w:t>
            </w:r>
            <w:r w:rsidRPr="00F36850">
              <w:rPr>
                <w:b w:val="0"/>
                <w:caps w:val="0"/>
                <w:sz w:val="18"/>
                <w:szCs w:val="18"/>
                <w:lang w:val="en-GB"/>
              </w:rPr>
              <w:t>123</w:t>
            </w:r>
          </w:p>
        </w:tc>
        <w:tc>
          <w:tcPr>
            <w:tcW w:w="1391" w:type="dxa"/>
            <w:shd w:val="clear" w:color="auto" w:fill="auto"/>
          </w:tcPr>
          <w:p w14:paraId="57AFA3A7" w14:textId="38204514" w:rsidR="003E10AE" w:rsidRPr="00F36850" w:rsidRDefault="003E10AE" w:rsidP="00567317">
            <w:pPr>
              <w:pStyle w:val="ExhibitHeading"/>
              <w:tabs>
                <w:tab w:val="decimal" w:pos="900"/>
              </w:tabs>
              <w:rPr>
                <w:b w:val="0"/>
                <w:sz w:val="18"/>
                <w:szCs w:val="18"/>
                <w:lang w:val="en-GB"/>
              </w:rPr>
            </w:pPr>
            <w:r w:rsidRPr="00F36850">
              <w:rPr>
                <w:b w:val="0"/>
                <w:caps w:val="0"/>
                <w:sz w:val="18"/>
                <w:szCs w:val="18"/>
                <w:lang w:val="en-GB"/>
              </w:rPr>
              <w:t>193</w:t>
            </w:r>
            <w:r w:rsidR="00206406" w:rsidRPr="00F36850">
              <w:rPr>
                <w:b w:val="0"/>
                <w:caps w:val="0"/>
                <w:sz w:val="18"/>
                <w:szCs w:val="18"/>
                <w:lang w:val="en-GB"/>
              </w:rPr>
              <w:t>,</w:t>
            </w:r>
            <w:r w:rsidRPr="00F36850">
              <w:rPr>
                <w:b w:val="0"/>
                <w:caps w:val="0"/>
                <w:sz w:val="18"/>
                <w:szCs w:val="18"/>
                <w:lang w:val="en-GB"/>
              </w:rPr>
              <w:t>852</w:t>
            </w:r>
          </w:p>
        </w:tc>
        <w:tc>
          <w:tcPr>
            <w:tcW w:w="1392" w:type="dxa"/>
            <w:shd w:val="clear" w:color="auto" w:fill="auto"/>
          </w:tcPr>
          <w:p w14:paraId="08261D21" w14:textId="5B7ED5DA" w:rsidR="003E10AE" w:rsidRPr="00F36850" w:rsidRDefault="003E10AE" w:rsidP="00567317">
            <w:pPr>
              <w:pStyle w:val="ExhibitHeading"/>
              <w:tabs>
                <w:tab w:val="decimal" w:pos="915"/>
              </w:tabs>
              <w:rPr>
                <w:b w:val="0"/>
                <w:sz w:val="18"/>
                <w:szCs w:val="18"/>
                <w:lang w:val="en-GB"/>
              </w:rPr>
            </w:pPr>
            <w:r w:rsidRPr="00F36850">
              <w:rPr>
                <w:b w:val="0"/>
                <w:caps w:val="0"/>
                <w:sz w:val="18"/>
                <w:szCs w:val="18"/>
                <w:lang w:val="en-GB"/>
              </w:rPr>
              <w:t>206</w:t>
            </w:r>
            <w:r w:rsidR="00B74747" w:rsidRPr="00F36850">
              <w:rPr>
                <w:b w:val="0"/>
                <w:caps w:val="0"/>
                <w:sz w:val="18"/>
                <w:szCs w:val="18"/>
                <w:lang w:val="en-GB"/>
              </w:rPr>
              <w:t>,</w:t>
            </w:r>
            <w:r w:rsidRPr="00F36850">
              <w:rPr>
                <w:b w:val="0"/>
                <w:caps w:val="0"/>
                <w:sz w:val="18"/>
                <w:szCs w:val="18"/>
                <w:lang w:val="en-GB"/>
              </w:rPr>
              <w:t>352</w:t>
            </w:r>
          </w:p>
        </w:tc>
        <w:tc>
          <w:tcPr>
            <w:tcW w:w="1391" w:type="dxa"/>
            <w:shd w:val="clear" w:color="auto" w:fill="auto"/>
          </w:tcPr>
          <w:p w14:paraId="39383E33" w14:textId="1E063105" w:rsidR="003E10AE" w:rsidRPr="00F36850" w:rsidRDefault="003E10AE" w:rsidP="00567317">
            <w:pPr>
              <w:pStyle w:val="ExhibitHeading"/>
              <w:tabs>
                <w:tab w:val="decimal" w:pos="879"/>
              </w:tabs>
              <w:rPr>
                <w:b w:val="0"/>
                <w:sz w:val="18"/>
                <w:szCs w:val="18"/>
                <w:lang w:val="en-GB"/>
              </w:rPr>
            </w:pPr>
            <w:r w:rsidRPr="00F36850">
              <w:rPr>
                <w:b w:val="0"/>
                <w:caps w:val="0"/>
                <w:sz w:val="18"/>
                <w:szCs w:val="18"/>
                <w:lang w:val="en-GB"/>
              </w:rPr>
              <w:t>228</w:t>
            </w:r>
            <w:r w:rsidR="00B74747" w:rsidRPr="00F36850">
              <w:rPr>
                <w:b w:val="0"/>
                <w:caps w:val="0"/>
                <w:sz w:val="18"/>
                <w:szCs w:val="18"/>
                <w:lang w:val="en-GB"/>
              </w:rPr>
              <w:t>,</w:t>
            </w:r>
            <w:r w:rsidRPr="00F36850">
              <w:rPr>
                <w:b w:val="0"/>
                <w:caps w:val="0"/>
                <w:sz w:val="18"/>
                <w:szCs w:val="18"/>
                <w:lang w:val="en-GB"/>
              </w:rPr>
              <w:t>002</w:t>
            </w:r>
          </w:p>
        </w:tc>
        <w:tc>
          <w:tcPr>
            <w:tcW w:w="1392" w:type="dxa"/>
            <w:shd w:val="clear" w:color="auto" w:fill="auto"/>
          </w:tcPr>
          <w:p w14:paraId="3DB701BF" w14:textId="16A6F7A4" w:rsidR="003E10AE" w:rsidRPr="00F36850" w:rsidRDefault="003E10AE" w:rsidP="00567317">
            <w:pPr>
              <w:pStyle w:val="ExhibitHeading"/>
              <w:tabs>
                <w:tab w:val="decimal" w:pos="858"/>
              </w:tabs>
              <w:rPr>
                <w:b w:val="0"/>
                <w:sz w:val="18"/>
                <w:szCs w:val="18"/>
                <w:lang w:val="en-GB"/>
              </w:rPr>
            </w:pPr>
            <w:r w:rsidRPr="00F36850">
              <w:rPr>
                <w:b w:val="0"/>
                <w:caps w:val="0"/>
                <w:sz w:val="18"/>
                <w:szCs w:val="18"/>
                <w:lang w:val="en-GB"/>
              </w:rPr>
              <w:t>233</w:t>
            </w:r>
            <w:r w:rsidR="00B74747" w:rsidRPr="00F36850">
              <w:rPr>
                <w:b w:val="0"/>
                <w:caps w:val="0"/>
                <w:sz w:val="18"/>
                <w:szCs w:val="18"/>
                <w:lang w:val="en-GB"/>
              </w:rPr>
              <w:t>,</w:t>
            </w:r>
            <w:r w:rsidRPr="00F36850">
              <w:rPr>
                <w:b w:val="0"/>
                <w:caps w:val="0"/>
                <w:sz w:val="18"/>
                <w:szCs w:val="18"/>
                <w:lang w:val="en-GB"/>
              </w:rPr>
              <w:t>072</w:t>
            </w:r>
          </w:p>
        </w:tc>
        <w:tc>
          <w:tcPr>
            <w:tcW w:w="1101" w:type="dxa"/>
            <w:shd w:val="clear" w:color="auto" w:fill="auto"/>
          </w:tcPr>
          <w:p w14:paraId="30CAC059" w14:textId="77777777" w:rsidR="003E10AE" w:rsidRPr="00F36850" w:rsidRDefault="003E10AE" w:rsidP="00567317">
            <w:pPr>
              <w:pStyle w:val="ExhibitHeading"/>
              <w:tabs>
                <w:tab w:val="decimal" w:pos="571"/>
              </w:tabs>
              <w:jc w:val="left"/>
              <w:rPr>
                <w:b w:val="0"/>
                <w:sz w:val="18"/>
                <w:szCs w:val="18"/>
                <w:lang w:val="en-GB"/>
              </w:rPr>
            </w:pPr>
            <w:r w:rsidRPr="00F36850">
              <w:rPr>
                <w:b w:val="0"/>
                <w:caps w:val="0"/>
                <w:sz w:val="18"/>
                <w:szCs w:val="18"/>
                <w:lang w:val="en-GB"/>
              </w:rPr>
              <w:t>16%</w:t>
            </w:r>
          </w:p>
        </w:tc>
      </w:tr>
      <w:tr w:rsidR="003E10AE" w:rsidRPr="00F36850" w14:paraId="4EB8E455" w14:textId="77777777" w:rsidTr="00567317">
        <w:trPr>
          <w:jc w:val="center"/>
        </w:trPr>
        <w:tc>
          <w:tcPr>
            <w:tcW w:w="1292" w:type="dxa"/>
            <w:shd w:val="clear" w:color="auto" w:fill="auto"/>
          </w:tcPr>
          <w:p w14:paraId="1434CA58" w14:textId="27C2CF21" w:rsidR="003E10AE" w:rsidRPr="00F36850" w:rsidRDefault="00206406" w:rsidP="00567317">
            <w:pPr>
              <w:pStyle w:val="ExhibitHeading"/>
              <w:jc w:val="left"/>
              <w:rPr>
                <w:b w:val="0"/>
                <w:sz w:val="18"/>
                <w:szCs w:val="18"/>
                <w:lang w:val="en-GB"/>
              </w:rPr>
            </w:pPr>
            <w:r w:rsidRPr="00F36850">
              <w:rPr>
                <w:b w:val="0"/>
                <w:caps w:val="0"/>
                <w:sz w:val="18"/>
                <w:szCs w:val="18"/>
                <w:lang w:val="en-GB"/>
              </w:rPr>
              <w:t>RTV</w:t>
            </w:r>
          </w:p>
        </w:tc>
        <w:tc>
          <w:tcPr>
            <w:tcW w:w="1391" w:type="dxa"/>
            <w:shd w:val="clear" w:color="auto" w:fill="auto"/>
          </w:tcPr>
          <w:p w14:paraId="48433F9A" w14:textId="5746A7A0" w:rsidR="003E10AE" w:rsidRPr="00F36850" w:rsidRDefault="003E10AE" w:rsidP="00567317">
            <w:pPr>
              <w:pStyle w:val="ExhibitHeading"/>
              <w:tabs>
                <w:tab w:val="decimal" w:pos="836"/>
              </w:tabs>
              <w:rPr>
                <w:b w:val="0"/>
                <w:sz w:val="18"/>
                <w:szCs w:val="18"/>
                <w:lang w:val="en-GB"/>
              </w:rPr>
            </w:pPr>
            <w:r w:rsidRPr="00F36850">
              <w:rPr>
                <w:b w:val="0"/>
                <w:caps w:val="0"/>
                <w:sz w:val="18"/>
                <w:szCs w:val="18"/>
                <w:lang w:val="en-GB"/>
              </w:rPr>
              <w:t>13</w:t>
            </w:r>
            <w:r w:rsidR="00206406" w:rsidRPr="00F36850">
              <w:rPr>
                <w:b w:val="0"/>
                <w:caps w:val="0"/>
                <w:sz w:val="18"/>
                <w:szCs w:val="18"/>
                <w:lang w:val="en-GB"/>
              </w:rPr>
              <w:t>,</w:t>
            </w:r>
            <w:r w:rsidRPr="00F36850">
              <w:rPr>
                <w:b w:val="0"/>
                <w:caps w:val="0"/>
                <w:sz w:val="18"/>
                <w:szCs w:val="18"/>
                <w:lang w:val="en-GB"/>
              </w:rPr>
              <w:t>307</w:t>
            </w:r>
          </w:p>
        </w:tc>
        <w:tc>
          <w:tcPr>
            <w:tcW w:w="1391" w:type="dxa"/>
            <w:shd w:val="clear" w:color="auto" w:fill="auto"/>
          </w:tcPr>
          <w:p w14:paraId="56EBC22C" w14:textId="1F3E88A1" w:rsidR="003E10AE" w:rsidRPr="00F36850" w:rsidRDefault="003E10AE" w:rsidP="00567317">
            <w:pPr>
              <w:pStyle w:val="ExhibitHeading"/>
              <w:tabs>
                <w:tab w:val="decimal" w:pos="900"/>
              </w:tabs>
              <w:rPr>
                <w:b w:val="0"/>
                <w:sz w:val="18"/>
                <w:szCs w:val="18"/>
                <w:lang w:val="en-GB"/>
              </w:rPr>
            </w:pPr>
            <w:r w:rsidRPr="00F36850">
              <w:rPr>
                <w:b w:val="0"/>
                <w:caps w:val="0"/>
                <w:sz w:val="18"/>
                <w:szCs w:val="18"/>
                <w:lang w:val="en-GB"/>
              </w:rPr>
              <w:t>14</w:t>
            </w:r>
            <w:r w:rsidR="00206406" w:rsidRPr="00F36850">
              <w:rPr>
                <w:b w:val="0"/>
                <w:caps w:val="0"/>
                <w:sz w:val="18"/>
                <w:szCs w:val="18"/>
                <w:lang w:val="en-GB"/>
              </w:rPr>
              <w:t>,</w:t>
            </w:r>
            <w:r w:rsidRPr="00F36850">
              <w:rPr>
                <w:b w:val="0"/>
                <w:caps w:val="0"/>
                <w:sz w:val="18"/>
                <w:szCs w:val="18"/>
                <w:lang w:val="en-GB"/>
              </w:rPr>
              <w:t>062</w:t>
            </w:r>
          </w:p>
        </w:tc>
        <w:tc>
          <w:tcPr>
            <w:tcW w:w="1392" w:type="dxa"/>
            <w:shd w:val="clear" w:color="auto" w:fill="auto"/>
          </w:tcPr>
          <w:p w14:paraId="2D84F9E9" w14:textId="71E9DD0C" w:rsidR="003E10AE" w:rsidRPr="00F36850" w:rsidRDefault="003E10AE" w:rsidP="00567317">
            <w:pPr>
              <w:pStyle w:val="ExhibitHeading"/>
              <w:tabs>
                <w:tab w:val="decimal" w:pos="915"/>
              </w:tabs>
              <w:rPr>
                <w:b w:val="0"/>
                <w:sz w:val="18"/>
                <w:szCs w:val="18"/>
                <w:lang w:val="en-GB"/>
              </w:rPr>
            </w:pPr>
            <w:r w:rsidRPr="00F36850">
              <w:rPr>
                <w:b w:val="0"/>
                <w:caps w:val="0"/>
                <w:sz w:val="18"/>
                <w:szCs w:val="18"/>
                <w:lang w:val="en-GB"/>
              </w:rPr>
              <w:t>14</w:t>
            </w:r>
            <w:r w:rsidR="00B74747" w:rsidRPr="00F36850">
              <w:rPr>
                <w:b w:val="0"/>
                <w:caps w:val="0"/>
                <w:sz w:val="18"/>
                <w:szCs w:val="18"/>
                <w:lang w:val="en-GB"/>
              </w:rPr>
              <w:t>,</w:t>
            </w:r>
            <w:r w:rsidRPr="00F36850">
              <w:rPr>
                <w:b w:val="0"/>
                <w:caps w:val="0"/>
                <w:sz w:val="18"/>
                <w:szCs w:val="18"/>
                <w:lang w:val="en-GB"/>
              </w:rPr>
              <w:t>039</w:t>
            </w:r>
          </w:p>
        </w:tc>
        <w:tc>
          <w:tcPr>
            <w:tcW w:w="1391" w:type="dxa"/>
            <w:shd w:val="clear" w:color="auto" w:fill="auto"/>
          </w:tcPr>
          <w:p w14:paraId="61743702" w14:textId="45A0CB83" w:rsidR="003E10AE" w:rsidRPr="00F36850" w:rsidRDefault="003E10AE" w:rsidP="00567317">
            <w:pPr>
              <w:pStyle w:val="ExhibitHeading"/>
              <w:tabs>
                <w:tab w:val="decimal" w:pos="879"/>
              </w:tabs>
              <w:rPr>
                <w:b w:val="0"/>
                <w:sz w:val="18"/>
                <w:szCs w:val="18"/>
                <w:lang w:val="en-GB"/>
              </w:rPr>
            </w:pPr>
            <w:r w:rsidRPr="00F36850">
              <w:rPr>
                <w:b w:val="0"/>
                <w:caps w:val="0"/>
                <w:sz w:val="18"/>
                <w:szCs w:val="18"/>
                <w:lang w:val="en-GB"/>
              </w:rPr>
              <w:t>13</w:t>
            </w:r>
            <w:r w:rsidR="00B74747" w:rsidRPr="00F36850">
              <w:rPr>
                <w:b w:val="0"/>
                <w:caps w:val="0"/>
                <w:sz w:val="18"/>
                <w:szCs w:val="18"/>
                <w:lang w:val="en-GB"/>
              </w:rPr>
              <w:t>,</w:t>
            </w:r>
            <w:r w:rsidRPr="00F36850">
              <w:rPr>
                <w:b w:val="0"/>
                <w:caps w:val="0"/>
                <w:sz w:val="18"/>
                <w:szCs w:val="18"/>
                <w:lang w:val="en-GB"/>
              </w:rPr>
              <w:t>538</w:t>
            </w:r>
          </w:p>
        </w:tc>
        <w:tc>
          <w:tcPr>
            <w:tcW w:w="1392" w:type="dxa"/>
            <w:shd w:val="clear" w:color="auto" w:fill="auto"/>
          </w:tcPr>
          <w:p w14:paraId="426F3FFD" w14:textId="66D65401" w:rsidR="003E10AE" w:rsidRPr="00F36850" w:rsidRDefault="003E10AE" w:rsidP="00567317">
            <w:pPr>
              <w:pStyle w:val="ExhibitHeading"/>
              <w:tabs>
                <w:tab w:val="decimal" w:pos="858"/>
              </w:tabs>
              <w:rPr>
                <w:b w:val="0"/>
                <w:sz w:val="18"/>
                <w:szCs w:val="18"/>
                <w:lang w:val="en-GB"/>
              </w:rPr>
            </w:pPr>
            <w:r w:rsidRPr="00F36850">
              <w:rPr>
                <w:b w:val="0"/>
                <w:caps w:val="0"/>
                <w:sz w:val="18"/>
                <w:szCs w:val="18"/>
                <w:lang w:val="en-GB"/>
              </w:rPr>
              <w:t>13</w:t>
            </w:r>
            <w:r w:rsidR="00B74747" w:rsidRPr="00F36850">
              <w:rPr>
                <w:b w:val="0"/>
                <w:caps w:val="0"/>
                <w:sz w:val="18"/>
                <w:szCs w:val="18"/>
                <w:lang w:val="en-GB"/>
              </w:rPr>
              <w:t>,</w:t>
            </w:r>
            <w:r w:rsidRPr="00F36850">
              <w:rPr>
                <w:b w:val="0"/>
                <w:caps w:val="0"/>
                <w:sz w:val="18"/>
                <w:szCs w:val="18"/>
                <w:lang w:val="en-GB"/>
              </w:rPr>
              <w:t>434</w:t>
            </w:r>
          </w:p>
        </w:tc>
        <w:tc>
          <w:tcPr>
            <w:tcW w:w="1101" w:type="dxa"/>
            <w:shd w:val="clear" w:color="auto" w:fill="auto"/>
          </w:tcPr>
          <w:p w14:paraId="40F694D7" w14:textId="77777777" w:rsidR="003E10AE" w:rsidRPr="00F36850" w:rsidRDefault="003E10AE" w:rsidP="00567317">
            <w:pPr>
              <w:pStyle w:val="ExhibitHeading"/>
              <w:tabs>
                <w:tab w:val="decimal" w:pos="571"/>
              </w:tabs>
              <w:jc w:val="left"/>
              <w:rPr>
                <w:b w:val="0"/>
                <w:sz w:val="18"/>
                <w:szCs w:val="18"/>
                <w:lang w:val="en-GB"/>
              </w:rPr>
            </w:pPr>
            <w:r w:rsidRPr="00F36850">
              <w:rPr>
                <w:b w:val="0"/>
                <w:caps w:val="0"/>
                <w:sz w:val="18"/>
                <w:szCs w:val="18"/>
                <w:lang w:val="en-GB"/>
              </w:rPr>
              <w:t>19%</w:t>
            </w:r>
          </w:p>
        </w:tc>
      </w:tr>
      <w:tr w:rsidR="003E10AE" w:rsidRPr="00F36850" w14:paraId="5CE82B01" w14:textId="77777777" w:rsidTr="00567317">
        <w:trPr>
          <w:jc w:val="center"/>
        </w:trPr>
        <w:tc>
          <w:tcPr>
            <w:tcW w:w="1292" w:type="dxa"/>
            <w:shd w:val="clear" w:color="auto" w:fill="auto"/>
          </w:tcPr>
          <w:p w14:paraId="261C5DC2" w14:textId="77777777" w:rsidR="003E10AE" w:rsidRPr="00F36850" w:rsidRDefault="003E10AE" w:rsidP="00567317">
            <w:pPr>
              <w:pStyle w:val="ExhibitHeading"/>
              <w:jc w:val="left"/>
              <w:rPr>
                <w:b w:val="0"/>
                <w:sz w:val="18"/>
                <w:szCs w:val="18"/>
                <w:lang w:val="en-GB"/>
              </w:rPr>
            </w:pPr>
            <w:r w:rsidRPr="00F36850">
              <w:rPr>
                <w:b w:val="0"/>
                <w:caps w:val="0"/>
                <w:sz w:val="18"/>
                <w:szCs w:val="18"/>
                <w:lang w:val="en-GB"/>
              </w:rPr>
              <w:t>Cars/Taxi</w:t>
            </w:r>
          </w:p>
        </w:tc>
        <w:tc>
          <w:tcPr>
            <w:tcW w:w="1391" w:type="dxa"/>
            <w:shd w:val="clear" w:color="auto" w:fill="auto"/>
          </w:tcPr>
          <w:p w14:paraId="29459CE4" w14:textId="067ABD94" w:rsidR="003E10AE" w:rsidRPr="00F36850" w:rsidRDefault="003E10AE" w:rsidP="00567317">
            <w:pPr>
              <w:pStyle w:val="ExhibitHeading"/>
              <w:tabs>
                <w:tab w:val="decimal" w:pos="836"/>
              </w:tabs>
              <w:rPr>
                <w:b w:val="0"/>
                <w:sz w:val="18"/>
                <w:szCs w:val="18"/>
                <w:lang w:val="en-GB"/>
              </w:rPr>
            </w:pPr>
            <w:r w:rsidRPr="00F36850">
              <w:rPr>
                <w:b w:val="0"/>
                <w:caps w:val="0"/>
                <w:sz w:val="18"/>
                <w:szCs w:val="18"/>
                <w:lang w:val="en-GB"/>
              </w:rPr>
              <w:t>359</w:t>
            </w:r>
            <w:r w:rsidR="00206406" w:rsidRPr="00F36850">
              <w:rPr>
                <w:b w:val="0"/>
                <w:caps w:val="0"/>
                <w:sz w:val="18"/>
                <w:szCs w:val="18"/>
                <w:lang w:val="en-GB"/>
              </w:rPr>
              <w:t>,</w:t>
            </w:r>
            <w:r w:rsidRPr="00F36850">
              <w:rPr>
                <w:b w:val="0"/>
                <w:caps w:val="0"/>
                <w:sz w:val="18"/>
                <w:szCs w:val="18"/>
                <w:lang w:val="en-GB"/>
              </w:rPr>
              <w:t>176</w:t>
            </w:r>
          </w:p>
        </w:tc>
        <w:tc>
          <w:tcPr>
            <w:tcW w:w="1391" w:type="dxa"/>
            <w:shd w:val="clear" w:color="auto" w:fill="auto"/>
          </w:tcPr>
          <w:p w14:paraId="6EA0A041" w14:textId="4D33D08F" w:rsidR="003E10AE" w:rsidRPr="00F36850" w:rsidRDefault="003E10AE" w:rsidP="00567317">
            <w:pPr>
              <w:pStyle w:val="ExhibitHeading"/>
              <w:tabs>
                <w:tab w:val="decimal" w:pos="900"/>
              </w:tabs>
              <w:rPr>
                <w:b w:val="0"/>
                <w:sz w:val="18"/>
                <w:szCs w:val="18"/>
                <w:lang w:val="en-GB"/>
              </w:rPr>
            </w:pPr>
            <w:r w:rsidRPr="00F36850">
              <w:rPr>
                <w:b w:val="0"/>
                <w:caps w:val="0"/>
                <w:sz w:val="18"/>
                <w:szCs w:val="18"/>
                <w:lang w:val="en-GB"/>
              </w:rPr>
              <w:t>460</w:t>
            </w:r>
            <w:r w:rsidR="00206406" w:rsidRPr="00F36850">
              <w:rPr>
                <w:b w:val="0"/>
                <w:caps w:val="0"/>
                <w:sz w:val="18"/>
                <w:szCs w:val="18"/>
                <w:lang w:val="en-GB"/>
              </w:rPr>
              <w:t>,</w:t>
            </w:r>
            <w:r w:rsidRPr="00F36850">
              <w:rPr>
                <w:b w:val="0"/>
                <w:caps w:val="0"/>
                <w:sz w:val="18"/>
                <w:szCs w:val="18"/>
                <w:lang w:val="en-GB"/>
              </w:rPr>
              <w:t>926</w:t>
            </w:r>
          </w:p>
        </w:tc>
        <w:tc>
          <w:tcPr>
            <w:tcW w:w="1392" w:type="dxa"/>
            <w:shd w:val="clear" w:color="auto" w:fill="auto"/>
          </w:tcPr>
          <w:p w14:paraId="2330DE1E" w14:textId="53912773" w:rsidR="003E10AE" w:rsidRPr="00F36850" w:rsidRDefault="003E10AE" w:rsidP="00567317">
            <w:pPr>
              <w:pStyle w:val="ExhibitHeading"/>
              <w:tabs>
                <w:tab w:val="decimal" w:pos="915"/>
              </w:tabs>
              <w:rPr>
                <w:b w:val="0"/>
                <w:sz w:val="18"/>
                <w:szCs w:val="18"/>
                <w:lang w:val="en-GB"/>
              </w:rPr>
            </w:pPr>
            <w:r w:rsidRPr="00F36850">
              <w:rPr>
                <w:b w:val="0"/>
                <w:caps w:val="0"/>
                <w:sz w:val="18"/>
                <w:szCs w:val="18"/>
                <w:lang w:val="en-GB"/>
              </w:rPr>
              <w:t>514</w:t>
            </w:r>
            <w:r w:rsidR="00B74747" w:rsidRPr="00F36850">
              <w:rPr>
                <w:b w:val="0"/>
                <w:caps w:val="0"/>
                <w:sz w:val="18"/>
                <w:szCs w:val="18"/>
                <w:lang w:val="en-GB"/>
              </w:rPr>
              <w:t>,</w:t>
            </w:r>
            <w:r w:rsidRPr="00F36850">
              <w:rPr>
                <w:b w:val="0"/>
                <w:caps w:val="0"/>
                <w:sz w:val="18"/>
                <w:szCs w:val="18"/>
                <w:lang w:val="en-GB"/>
              </w:rPr>
              <w:t>801</w:t>
            </w:r>
          </w:p>
        </w:tc>
        <w:tc>
          <w:tcPr>
            <w:tcW w:w="1391" w:type="dxa"/>
            <w:shd w:val="clear" w:color="auto" w:fill="auto"/>
          </w:tcPr>
          <w:p w14:paraId="24C5EC28" w14:textId="1665A631" w:rsidR="003E10AE" w:rsidRPr="00F36850" w:rsidRDefault="003E10AE" w:rsidP="00567317">
            <w:pPr>
              <w:pStyle w:val="ExhibitHeading"/>
              <w:tabs>
                <w:tab w:val="decimal" w:pos="879"/>
              </w:tabs>
              <w:rPr>
                <w:b w:val="0"/>
                <w:sz w:val="18"/>
                <w:szCs w:val="18"/>
                <w:lang w:val="en-GB"/>
              </w:rPr>
            </w:pPr>
            <w:r w:rsidRPr="00F36850">
              <w:rPr>
                <w:b w:val="0"/>
                <w:caps w:val="0"/>
                <w:sz w:val="18"/>
                <w:szCs w:val="18"/>
                <w:lang w:val="en-GB"/>
              </w:rPr>
              <w:t>556</w:t>
            </w:r>
            <w:r w:rsidR="00B74747" w:rsidRPr="00F36850">
              <w:rPr>
                <w:b w:val="0"/>
                <w:caps w:val="0"/>
                <w:sz w:val="18"/>
                <w:szCs w:val="18"/>
                <w:lang w:val="en-GB"/>
              </w:rPr>
              <w:t>,</w:t>
            </w:r>
            <w:r w:rsidRPr="00F36850">
              <w:rPr>
                <w:b w:val="0"/>
                <w:caps w:val="0"/>
                <w:sz w:val="18"/>
                <w:szCs w:val="18"/>
                <w:lang w:val="en-GB"/>
              </w:rPr>
              <w:t>156</w:t>
            </w:r>
          </w:p>
        </w:tc>
        <w:tc>
          <w:tcPr>
            <w:tcW w:w="1392" w:type="dxa"/>
            <w:shd w:val="clear" w:color="auto" w:fill="auto"/>
          </w:tcPr>
          <w:p w14:paraId="58018A67" w14:textId="3F415C6A" w:rsidR="003E10AE" w:rsidRPr="00F36850" w:rsidRDefault="003E10AE" w:rsidP="00567317">
            <w:pPr>
              <w:pStyle w:val="ExhibitHeading"/>
              <w:tabs>
                <w:tab w:val="decimal" w:pos="858"/>
              </w:tabs>
              <w:rPr>
                <w:b w:val="0"/>
                <w:sz w:val="18"/>
                <w:szCs w:val="18"/>
                <w:lang w:val="en-GB"/>
              </w:rPr>
            </w:pPr>
            <w:r w:rsidRPr="00F36850">
              <w:rPr>
                <w:b w:val="0"/>
                <w:caps w:val="0"/>
                <w:sz w:val="18"/>
                <w:szCs w:val="18"/>
                <w:lang w:val="en-GB"/>
              </w:rPr>
              <w:t>569</w:t>
            </w:r>
            <w:r w:rsidR="00B74747" w:rsidRPr="00F36850">
              <w:rPr>
                <w:b w:val="0"/>
                <w:caps w:val="0"/>
                <w:sz w:val="18"/>
                <w:szCs w:val="18"/>
                <w:lang w:val="en-GB"/>
              </w:rPr>
              <w:t>,</w:t>
            </w:r>
            <w:r w:rsidRPr="00F36850">
              <w:rPr>
                <w:b w:val="0"/>
                <w:caps w:val="0"/>
                <w:sz w:val="18"/>
                <w:szCs w:val="18"/>
                <w:lang w:val="en-GB"/>
              </w:rPr>
              <w:t>794</w:t>
            </w:r>
          </w:p>
        </w:tc>
        <w:tc>
          <w:tcPr>
            <w:tcW w:w="1101" w:type="dxa"/>
            <w:shd w:val="clear" w:color="auto" w:fill="auto"/>
          </w:tcPr>
          <w:p w14:paraId="4E278362" w14:textId="77777777" w:rsidR="003E10AE" w:rsidRPr="00F36850" w:rsidRDefault="003E10AE" w:rsidP="00567317">
            <w:pPr>
              <w:pStyle w:val="ExhibitHeading"/>
              <w:tabs>
                <w:tab w:val="decimal" w:pos="571"/>
              </w:tabs>
              <w:jc w:val="left"/>
              <w:rPr>
                <w:b w:val="0"/>
                <w:sz w:val="18"/>
                <w:szCs w:val="18"/>
                <w:lang w:val="en-GB"/>
              </w:rPr>
            </w:pPr>
            <w:r w:rsidRPr="00F36850">
              <w:rPr>
                <w:b w:val="0"/>
                <w:caps w:val="0"/>
                <w:sz w:val="18"/>
                <w:szCs w:val="18"/>
                <w:lang w:val="en-GB"/>
              </w:rPr>
              <w:t>21%</w:t>
            </w:r>
          </w:p>
        </w:tc>
      </w:tr>
      <w:tr w:rsidR="003E10AE" w:rsidRPr="00F36850" w14:paraId="18DFD4BB" w14:textId="77777777" w:rsidTr="00567317">
        <w:trPr>
          <w:jc w:val="center"/>
        </w:trPr>
        <w:tc>
          <w:tcPr>
            <w:tcW w:w="1292" w:type="dxa"/>
            <w:shd w:val="clear" w:color="auto" w:fill="auto"/>
          </w:tcPr>
          <w:p w14:paraId="51C6AE7D" w14:textId="77777777" w:rsidR="003E10AE" w:rsidRPr="00F36850" w:rsidRDefault="003E10AE" w:rsidP="00567317">
            <w:pPr>
              <w:pStyle w:val="ExhibitHeading"/>
              <w:jc w:val="left"/>
              <w:rPr>
                <w:b w:val="0"/>
                <w:sz w:val="18"/>
                <w:szCs w:val="18"/>
                <w:lang w:val="en-GB"/>
              </w:rPr>
            </w:pPr>
            <w:r w:rsidRPr="00F36850">
              <w:rPr>
                <w:b w:val="0"/>
                <w:caps w:val="0"/>
                <w:sz w:val="18"/>
                <w:szCs w:val="18"/>
                <w:lang w:val="en-GB"/>
              </w:rPr>
              <w:t xml:space="preserve">Total </w:t>
            </w:r>
          </w:p>
        </w:tc>
        <w:tc>
          <w:tcPr>
            <w:tcW w:w="1391" w:type="dxa"/>
            <w:shd w:val="clear" w:color="auto" w:fill="auto"/>
          </w:tcPr>
          <w:p w14:paraId="4E20C52E" w14:textId="667A792A" w:rsidR="003E10AE" w:rsidRPr="00F36850" w:rsidRDefault="003E10AE" w:rsidP="00387B8B">
            <w:pPr>
              <w:pStyle w:val="ExhibitHeading"/>
              <w:tabs>
                <w:tab w:val="decimal" w:pos="836"/>
              </w:tabs>
              <w:rPr>
                <w:b w:val="0"/>
                <w:sz w:val="18"/>
                <w:szCs w:val="18"/>
                <w:lang w:val="en-GB"/>
              </w:rPr>
            </w:pPr>
            <w:r w:rsidRPr="00F36850">
              <w:rPr>
                <w:b w:val="0"/>
                <w:caps w:val="0"/>
                <w:sz w:val="18"/>
                <w:szCs w:val="18"/>
                <w:lang w:val="en-GB"/>
              </w:rPr>
              <w:t>550</w:t>
            </w:r>
            <w:r w:rsidR="00206406" w:rsidRPr="00F36850">
              <w:rPr>
                <w:b w:val="0"/>
                <w:caps w:val="0"/>
                <w:sz w:val="18"/>
                <w:szCs w:val="18"/>
                <w:lang w:val="en-GB"/>
              </w:rPr>
              <w:t>,</w:t>
            </w:r>
            <w:r w:rsidR="00387B8B" w:rsidRPr="00F36850">
              <w:rPr>
                <w:b w:val="0"/>
                <w:caps w:val="0"/>
                <w:sz w:val="18"/>
                <w:szCs w:val="18"/>
                <w:lang w:val="en-GB"/>
              </w:rPr>
              <w:t>4</w:t>
            </w:r>
            <w:r w:rsidRPr="00F36850">
              <w:rPr>
                <w:b w:val="0"/>
                <w:caps w:val="0"/>
                <w:sz w:val="18"/>
                <w:szCs w:val="18"/>
                <w:lang w:val="en-GB"/>
              </w:rPr>
              <w:t>45</w:t>
            </w:r>
          </w:p>
        </w:tc>
        <w:tc>
          <w:tcPr>
            <w:tcW w:w="1391" w:type="dxa"/>
            <w:shd w:val="clear" w:color="auto" w:fill="auto"/>
          </w:tcPr>
          <w:p w14:paraId="5A395265" w14:textId="71C5537C" w:rsidR="003E10AE" w:rsidRPr="00F36850" w:rsidRDefault="003E10AE" w:rsidP="00387B8B">
            <w:pPr>
              <w:pStyle w:val="ExhibitHeading"/>
              <w:tabs>
                <w:tab w:val="decimal" w:pos="900"/>
              </w:tabs>
              <w:rPr>
                <w:b w:val="0"/>
                <w:sz w:val="18"/>
                <w:szCs w:val="18"/>
                <w:lang w:val="en-GB"/>
              </w:rPr>
            </w:pPr>
            <w:r w:rsidRPr="00F36850">
              <w:rPr>
                <w:b w:val="0"/>
                <w:caps w:val="0"/>
                <w:sz w:val="18"/>
                <w:szCs w:val="18"/>
                <w:lang w:val="en-GB"/>
              </w:rPr>
              <w:t>68</w:t>
            </w:r>
            <w:r w:rsidR="00387B8B" w:rsidRPr="00F36850">
              <w:rPr>
                <w:b w:val="0"/>
                <w:caps w:val="0"/>
                <w:sz w:val="18"/>
                <w:szCs w:val="18"/>
                <w:lang w:val="en-GB"/>
              </w:rPr>
              <w:t>7</w:t>
            </w:r>
            <w:r w:rsidR="00206406" w:rsidRPr="00F36850">
              <w:rPr>
                <w:b w:val="0"/>
                <w:caps w:val="0"/>
                <w:sz w:val="18"/>
                <w:szCs w:val="18"/>
                <w:lang w:val="en-GB"/>
              </w:rPr>
              <w:t>,</w:t>
            </w:r>
            <w:r w:rsidR="00387B8B" w:rsidRPr="00F36850">
              <w:rPr>
                <w:b w:val="0"/>
                <w:caps w:val="0"/>
                <w:sz w:val="18"/>
                <w:szCs w:val="18"/>
                <w:lang w:val="en-GB"/>
              </w:rPr>
              <w:t>6</w:t>
            </w:r>
            <w:r w:rsidRPr="00F36850">
              <w:rPr>
                <w:b w:val="0"/>
                <w:caps w:val="0"/>
                <w:sz w:val="18"/>
                <w:szCs w:val="18"/>
                <w:lang w:val="en-GB"/>
              </w:rPr>
              <w:t>66</w:t>
            </w:r>
          </w:p>
        </w:tc>
        <w:tc>
          <w:tcPr>
            <w:tcW w:w="1392" w:type="dxa"/>
            <w:shd w:val="clear" w:color="auto" w:fill="auto"/>
          </w:tcPr>
          <w:p w14:paraId="641AE0FA" w14:textId="703D24A1" w:rsidR="003E10AE" w:rsidRPr="00F36850" w:rsidRDefault="003E10AE" w:rsidP="00567317">
            <w:pPr>
              <w:pStyle w:val="ExhibitHeading"/>
              <w:tabs>
                <w:tab w:val="decimal" w:pos="915"/>
              </w:tabs>
              <w:rPr>
                <w:b w:val="0"/>
                <w:sz w:val="18"/>
                <w:szCs w:val="18"/>
                <w:lang w:val="en-GB"/>
              </w:rPr>
            </w:pPr>
            <w:r w:rsidRPr="00F36850">
              <w:rPr>
                <w:b w:val="0"/>
                <w:caps w:val="0"/>
                <w:sz w:val="18"/>
                <w:szCs w:val="18"/>
                <w:lang w:val="en-GB"/>
              </w:rPr>
              <w:t>754</w:t>
            </w:r>
            <w:r w:rsidR="00B74747" w:rsidRPr="00F36850">
              <w:rPr>
                <w:b w:val="0"/>
                <w:caps w:val="0"/>
                <w:sz w:val="18"/>
                <w:szCs w:val="18"/>
                <w:lang w:val="en-GB"/>
              </w:rPr>
              <w:t>,</w:t>
            </w:r>
            <w:r w:rsidRPr="00F36850">
              <w:rPr>
                <w:b w:val="0"/>
                <w:caps w:val="0"/>
                <w:sz w:val="18"/>
                <w:szCs w:val="18"/>
                <w:lang w:val="en-GB"/>
              </w:rPr>
              <w:t>758</w:t>
            </w:r>
          </w:p>
        </w:tc>
        <w:tc>
          <w:tcPr>
            <w:tcW w:w="1391" w:type="dxa"/>
            <w:shd w:val="clear" w:color="auto" w:fill="auto"/>
          </w:tcPr>
          <w:p w14:paraId="7635D36C" w14:textId="07101AA9" w:rsidR="003E10AE" w:rsidRPr="00F36850" w:rsidRDefault="003E10AE" w:rsidP="00567317">
            <w:pPr>
              <w:pStyle w:val="ExhibitHeading"/>
              <w:tabs>
                <w:tab w:val="decimal" w:pos="879"/>
              </w:tabs>
              <w:rPr>
                <w:b w:val="0"/>
                <w:sz w:val="18"/>
                <w:szCs w:val="18"/>
                <w:lang w:val="en-GB"/>
              </w:rPr>
            </w:pPr>
            <w:r w:rsidRPr="00F36850">
              <w:rPr>
                <w:b w:val="0"/>
                <w:caps w:val="0"/>
                <w:sz w:val="18"/>
                <w:szCs w:val="18"/>
                <w:lang w:val="en-GB"/>
              </w:rPr>
              <w:t>817</w:t>
            </w:r>
            <w:r w:rsidR="00B74747" w:rsidRPr="00F36850">
              <w:rPr>
                <w:b w:val="0"/>
                <w:caps w:val="0"/>
                <w:sz w:val="18"/>
                <w:szCs w:val="18"/>
                <w:lang w:val="en-GB"/>
              </w:rPr>
              <w:t>,</w:t>
            </w:r>
            <w:r w:rsidRPr="00F36850">
              <w:rPr>
                <w:b w:val="0"/>
                <w:caps w:val="0"/>
                <w:sz w:val="18"/>
                <w:szCs w:val="18"/>
                <w:lang w:val="en-GB"/>
              </w:rPr>
              <w:t>117</w:t>
            </w:r>
          </w:p>
        </w:tc>
        <w:tc>
          <w:tcPr>
            <w:tcW w:w="1392" w:type="dxa"/>
            <w:shd w:val="clear" w:color="auto" w:fill="auto"/>
          </w:tcPr>
          <w:p w14:paraId="09FCD910" w14:textId="14B4139A" w:rsidR="003E10AE" w:rsidRPr="00F36850" w:rsidRDefault="003E10AE" w:rsidP="00567317">
            <w:pPr>
              <w:pStyle w:val="ExhibitHeading"/>
              <w:tabs>
                <w:tab w:val="decimal" w:pos="858"/>
              </w:tabs>
              <w:rPr>
                <w:b w:val="0"/>
                <w:sz w:val="18"/>
                <w:szCs w:val="18"/>
                <w:lang w:val="en-GB"/>
              </w:rPr>
            </w:pPr>
            <w:r w:rsidRPr="00F36850">
              <w:rPr>
                <w:b w:val="0"/>
                <w:caps w:val="0"/>
                <w:sz w:val="18"/>
                <w:szCs w:val="18"/>
                <w:lang w:val="en-GB"/>
              </w:rPr>
              <w:t>835</w:t>
            </w:r>
            <w:r w:rsidR="00B74747" w:rsidRPr="00F36850">
              <w:rPr>
                <w:b w:val="0"/>
                <w:caps w:val="0"/>
                <w:sz w:val="18"/>
                <w:szCs w:val="18"/>
                <w:lang w:val="en-GB"/>
              </w:rPr>
              <w:t>,</w:t>
            </w:r>
            <w:r w:rsidRPr="00F36850">
              <w:rPr>
                <w:b w:val="0"/>
                <w:caps w:val="0"/>
                <w:sz w:val="18"/>
                <w:szCs w:val="18"/>
                <w:lang w:val="en-GB"/>
              </w:rPr>
              <w:t>939</w:t>
            </w:r>
          </w:p>
        </w:tc>
        <w:tc>
          <w:tcPr>
            <w:tcW w:w="1101" w:type="dxa"/>
            <w:shd w:val="clear" w:color="auto" w:fill="auto"/>
          </w:tcPr>
          <w:p w14:paraId="441FF3FC" w14:textId="77777777" w:rsidR="003E10AE" w:rsidRPr="00F36850" w:rsidRDefault="003E10AE" w:rsidP="00567317">
            <w:pPr>
              <w:pStyle w:val="ExhibitHeading"/>
              <w:tabs>
                <w:tab w:val="decimal" w:pos="571"/>
              </w:tabs>
              <w:jc w:val="left"/>
              <w:rPr>
                <w:b w:val="0"/>
                <w:sz w:val="18"/>
                <w:szCs w:val="18"/>
                <w:lang w:val="en-GB"/>
              </w:rPr>
            </w:pPr>
            <w:r w:rsidRPr="00F36850">
              <w:rPr>
                <w:b w:val="0"/>
                <w:caps w:val="0"/>
                <w:sz w:val="18"/>
                <w:szCs w:val="18"/>
                <w:lang w:val="en-GB"/>
              </w:rPr>
              <w:t>19%</w:t>
            </w:r>
          </w:p>
        </w:tc>
      </w:tr>
    </w:tbl>
    <w:p w14:paraId="5DF0B6AA" w14:textId="77777777" w:rsidR="00BC31D5" w:rsidRPr="00056191" w:rsidRDefault="00BC31D5" w:rsidP="00BC31D5">
      <w:pPr>
        <w:pStyle w:val="BodyTextMain"/>
        <w:rPr>
          <w:sz w:val="20"/>
          <w:lang w:val="en-GB"/>
        </w:rPr>
      </w:pPr>
    </w:p>
    <w:p w14:paraId="1D20D1FC" w14:textId="621A4F22" w:rsidR="00206406" w:rsidRDefault="00206406" w:rsidP="00BC31D5">
      <w:pPr>
        <w:pStyle w:val="Footnote"/>
        <w:rPr>
          <w:spacing w:val="-4"/>
          <w:lang w:val="en-GB"/>
        </w:rPr>
      </w:pPr>
      <w:r>
        <w:rPr>
          <w:spacing w:val="-4"/>
          <w:lang w:val="en-GB"/>
        </w:rPr>
        <w:t>Note: LGV = large good vehicle; RTV = rough terrain vehicle</w:t>
      </w:r>
      <w:r w:rsidR="00AB7B39">
        <w:rPr>
          <w:spacing w:val="-4"/>
          <w:lang w:val="en-GB"/>
        </w:rPr>
        <w:t>; CAGR = compound annual growth rate</w:t>
      </w:r>
    </w:p>
    <w:p w14:paraId="769C8274" w14:textId="6595D46B" w:rsidR="00BC31D5" w:rsidRPr="00056191" w:rsidRDefault="003E10AE" w:rsidP="00BC31D5">
      <w:pPr>
        <w:pStyle w:val="Footnote"/>
        <w:rPr>
          <w:spacing w:val="-4"/>
          <w:lang w:val="en-GB"/>
        </w:rPr>
      </w:pPr>
      <w:r w:rsidRPr="00056191">
        <w:rPr>
          <w:spacing w:val="-4"/>
          <w:lang w:val="en-GB"/>
        </w:rPr>
        <w:t xml:space="preserve">Source: </w:t>
      </w:r>
      <w:r w:rsidR="003A1D64" w:rsidRPr="00056191">
        <w:rPr>
          <w:lang w:val="en-GB"/>
        </w:rPr>
        <w:t>I</w:t>
      </w:r>
      <w:r w:rsidR="003A1D64">
        <w:rPr>
          <w:lang w:val="en-GB"/>
        </w:rPr>
        <w:t xml:space="preserve">ndraprastha </w:t>
      </w:r>
      <w:r w:rsidR="003A1D64" w:rsidRPr="00056191">
        <w:rPr>
          <w:lang w:val="en-GB"/>
        </w:rPr>
        <w:t>G</w:t>
      </w:r>
      <w:r w:rsidR="003A1D64">
        <w:rPr>
          <w:lang w:val="en-GB"/>
        </w:rPr>
        <w:t xml:space="preserve">as </w:t>
      </w:r>
      <w:r w:rsidR="003A1D64" w:rsidRPr="00056191">
        <w:rPr>
          <w:lang w:val="en-GB"/>
        </w:rPr>
        <w:t>L</w:t>
      </w:r>
      <w:r w:rsidR="003A1D64">
        <w:rPr>
          <w:lang w:val="en-GB"/>
        </w:rPr>
        <w:t>imited</w:t>
      </w:r>
      <w:r w:rsidRPr="00056191">
        <w:rPr>
          <w:spacing w:val="-4"/>
          <w:lang w:val="en-GB"/>
        </w:rPr>
        <w:t xml:space="preserve">, </w:t>
      </w:r>
      <w:r w:rsidRPr="00F36850">
        <w:rPr>
          <w:i/>
          <w:spacing w:val="-4"/>
          <w:lang w:val="en-GB"/>
        </w:rPr>
        <w:t xml:space="preserve">IGL Investor </w:t>
      </w:r>
      <w:r w:rsidR="007461DA" w:rsidRPr="00F36850">
        <w:rPr>
          <w:i/>
          <w:spacing w:val="-4"/>
          <w:lang w:val="en-GB"/>
        </w:rPr>
        <w:t>P</w:t>
      </w:r>
      <w:r w:rsidRPr="00F36850">
        <w:rPr>
          <w:i/>
          <w:spacing w:val="-4"/>
          <w:lang w:val="en-GB"/>
        </w:rPr>
        <w:t>resentation</w:t>
      </w:r>
      <w:r w:rsidR="007461DA" w:rsidRPr="00F36850">
        <w:rPr>
          <w:i/>
          <w:spacing w:val="-4"/>
          <w:lang w:val="en-GB"/>
        </w:rPr>
        <w:t>,</w:t>
      </w:r>
      <w:r w:rsidRPr="00056191">
        <w:rPr>
          <w:spacing w:val="-4"/>
          <w:lang w:val="en-GB"/>
        </w:rPr>
        <w:t xml:space="preserve"> </w:t>
      </w:r>
      <w:r w:rsidR="007461DA">
        <w:rPr>
          <w:spacing w:val="-4"/>
          <w:lang w:val="en-GB"/>
        </w:rPr>
        <w:t xml:space="preserve">August </w:t>
      </w:r>
      <w:r w:rsidR="007461DA" w:rsidRPr="00056191">
        <w:rPr>
          <w:spacing w:val="-4"/>
          <w:lang w:val="en-GB"/>
        </w:rPr>
        <w:t>26</w:t>
      </w:r>
      <w:r w:rsidR="007461DA">
        <w:rPr>
          <w:spacing w:val="-4"/>
          <w:lang w:val="en-GB"/>
        </w:rPr>
        <w:t xml:space="preserve">, </w:t>
      </w:r>
      <w:r w:rsidRPr="00056191">
        <w:rPr>
          <w:spacing w:val="-4"/>
          <w:lang w:val="en-GB"/>
        </w:rPr>
        <w:t xml:space="preserve">2015, </w:t>
      </w:r>
      <w:r w:rsidR="007461DA" w:rsidRPr="00056191">
        <w:rPr>
          <w:spacing w:val="-4"/>
          <w:lang w:val="en-GB"/>
        </w:rPr>
        <w:t xml:space="preserve">accessed June </w:t>
      </w:r>
      <w:r w:rsidR="007461DA">
        <w:rPr>
          <w:spacing w:val="-4"/>
          <w:lang w:val="en-GB"/>
        </w:rPr>
        <w:t xml:space="preserve">19, </w:t>
      </w:r>
      <w:r w:rsidR="007461DA" w:rsidRPr="00056191">
        <w:rPr>
          <w:spacing w:val="-4"/>
          <w:lang w:val="en-GB"/>
        </w:rPr>
        <w:t>2018</w:t>
      </w:r>
      <w:r w:rsidR="007461DA">
        <w:rPr>
          <w:spacing w:val="-4"/>
          <w:lang w:val="en-GB"/>
        </w:rPr>
        <w:t xml:space="preserve">, </w:t>
      </w:r>
      <w:r w:rsidR="00BC31D5" w:rsidRPr="00056191">
        <w:rPr>
          <w:spacing w:val="-4"/>
          <w:lang w:val="en-GB"/>
        </w:rPr>
        <w:t>www.iglonline.net//english/Default.aspx?option=article&amp;type=single&amp;id=35&amp;mnuid=220&amp;prvtyp=site.</w:t>
      </w:r>
    </w:p>
    <w:p w14:paraId="6D458F27" w14:textId="77777777" w:rsidR="00BC31D5" w:rsidRPr="00056191" w:rsidRDefault="00BC31D5" w:rsidP="00DA16EB">
      <w:pPr>
        <w:pStyle w:val="BodyTextMain"/>
        <w:rPr>
          <w:lang w:val="en-GB"/>
        </w:rPr>
      </w:pPr>
    </w:p>
    <w:p w14:paraId="2091C47B" w14:textId="77777777" w:rsidR="00DA16EB" w:rsidRPr="00056191" w:rsidRDefault="00DA16EB" w:rsidP="00DA16EB">
      <w:pPr>
        <w:pStyle w:val="BodyTextMain"/>
        <w:rPr>
          <w:lang w:val="en-GB"/>
        </w:rPr>
      </w:pPr>
    </w:p>
    <w:p w14:paraId="1581ED50" w14:textId="77777777" w:rsidR="00AB7B39" w:rsidRDefault="00AB7B39">
      <w:pPr>
        <w:spacing w:after="200" w:line="276" w:lineRule="auto"/>
        <w:rPr>
          <w:rFonts w:ascii="Arial" w:hAnsi="Arial" w:cs="Arial"/>
          <w:b/>
          <w:caps/>
          <w:sz w:val="20"/>
          <w:szCs w:val="20"/>
          <w:lang w:val="en-GB"/>
        </w:rPr>
      </w:pPr>
      <w:r>
        <w:rPr>
          <w:lang w:val="en-GB"/>
        </w:rPr>
        <w:br w:type="page"/>
      </w:r>
    </w:p>
    <w:p w14:paraId="132B5929" w14:textId="7DA747FF" w:rsidR="00BC31D5" w:rsidRPr="00056191" w:rsidRDefault="00BC31D5" w:rsidP="00BC31D5">
      <w:pPr>
        <w:pStyle w:val="ExhibitHeading"/>
        <w:rPr>
          <w:lang w:val="en-GB"/>
        </w:rPr>
      </w:pPr>
      <w:r w:rsidRPr="00056191">
        <w:rPr>
          <w:lang w:val="en-GB"/>
        </w:rPr>
        <w:t xml:space="preserve">Exhibit </w:t>
      </w:r>
      <w:r w:rsidR="001D72F7" w:rsidRPr="00056191">
        <w:rPr>
          <w:lang w:val="en-GB"/>
        </w:rPr>
        <w:t>4</w:t>
      </w:r>
      <w:r w:rsidRPr="00056191">
        <w:rPr>
          <w:lang w:val="en-GB"/>
        </w:rPr>
        <w:t>: C</w:t>
      </w:r>
      <w:r w:rsidR="00B74747">
        <w:rPr>
          <w:lang w:val="en-GB"/>
        </w:rPr>
        <w:t xml:space="preserve">ompressed </w:t>
      </w:r>
      <w:r w:rsidRPr="00056191">
        <w:rPr>
          <w:lang w:val="en-GB"/>
        </w:rPr>
        <w:t>N</w:t>
      </w:r>
      <w:r w:rsidR="00B74747">
        <w:rPr>
          <w:lang w:val="en-GB"/>
        </w:rPr>
        <w:t xml:space="preserve">atural </w:t>
      </w:r>
      <w:r w:rsidRPr="00056191">
        <w:rPr>
          <w:lang w:val="en-GB"/>
        </w:rPr>
        <w:t>G</w:t>
      </w:r>
      <w:r w:rsidR="00B74747">
        <w:rPr>
          <w:lang w:val="en-GB"/>
        </w:rPr>
        <w:t>as</w:t>
      </w:r>
      <w:r w:rsidRPr="00056191">
        <w:rPr>
          <w:lang w:val="en-GB"/>
        </w:rPr>
        <w:t xml:space="preserve"> Fuelling Infrastructure in Delhi N</w:t>
      </w:r>
      <w:r w:rsidR="00B74747">
        <w:rPr>
          <w:lang w:val="en-GB"/>
        </w:rPr>
        <w:t xml:space="preserve">ational </w:t>
      </w:r>
      <w:r w:rsidRPr="00056191">
        <w:rPr>
          <w:lang w:val="en-GB"/>
        </w:rPr>
        <w:t>C</w:t>
      </w:r>
      <w:r w:rsidR="00B74747">
        <w:rPr>
          <w:lang w:val="en-GB"/>
        </w:rPr>
        <w:t xml:space="preserve">apital </w:t>
      </w:r>
      <w:r w:rsidRPr="00056191">
        <w:rPr>
          <w:lang w:val="en-GB"/>
        </w:rPr>
        <w:t>T</w:t>
      </w:r>
      <w:r w:rsidR="00B74747">
        <w:rPr>
          <w:lang w:val="en-GB"/>
        </w:rPr>
        <w:t>erritory, 2011–2015</w:t>
      </w:r>
    </w:p>
    <w:p w14:paraId="01082F66" w14:textId="77777777" w:rsidR="00BC31D5" w:rsidRPr="00056191" w:rsidRDefault="00BC31D5" w:rsidP="00BC31D5">
      <w:pPr>
        <w:pStyle w:val="ExhibitHeading"/>
        <w:rPr>
          <w:lang w:val="en-GB"/>
        </w:rPr>
      </w:pP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2"/>
        <w:gridCol w:w="857"/>
        <w:gridCol w:w="856"/>
        <w:gridCol w:w="857"/>
        <w:gridCol w:w="856"/>
        <w:gridCol w:w="857"/>
        <w:gridCol w:w="838"/>
      </w:tblGrid>
      <w:tr w:rsidR="007461DA" w:rsidRPr="005641F9" w14:paraId="7597641D" w14:textId="77777777" w:rsidTr="007461DA">
        <w:trPr>
          <w:trHeight w:val="439"/>
          <w:jc w:val="center"/>
        </w:trPr>
        <w:tc>
          <w:tcPr>
            <w:tcW w:w="3992" w:type="dxa"/>
            <w:shd w:val="clear" w:color="auto" w:fill="auto"/>
          </w:tcPr>
          <w:p w14:paraId="320F03B1" w14:textId="77777777" w:rsidR="00387B8B" w:rsidRPr="00F36850" w:rsidRDefault="00387B8B" w:rsidP="00BC31D5">
            <w:pPr>
              <w:pStyle w:val="ExhibitText"/>
              <w:rPr>
                <w:b/>
                <w:sz w:val="18"/>
                <w:szCs w:val="18"/>
                <w:lang w:val="en-GB"/>
              </w:rPr>
            </w:pPr>
            <w:r w:rsidRPr="00F36850">
              <w:rPr>
                <w:b/>
                <w:sz w:val="18"/>
                <w:szCs w:val="18"/>
                <w:lang w:val="en-GB"/>
              </w:rPr>
              <w:t>Parameter</w:t>
            </w:r>
          </w:p>
        </w:tc>
        <w:tc>
          <w:tcPr>
            <w:tcW w:w="857" w:type="dxa"/>
            <w:shd w:val="clear" w:color="auto" w:fill="auto"/>
          </w:tcPr>
          <w:p w14:paraId="7121D76E" w14:textId="77777777" w:rsidR="00387B8B" w:rsidRPr="00F36850" w:rsidRDefault="00387B8B" w:rsidP="00DA16EB">
            <w:pPr>
              <w:pStyle w:val="ExhibitText"/>
              <w:rPr>
                <w:b/>
                <w:sz w:val="18"/>
                <w:szCs w:val="18"/>
                <w:lang w:val="en-GB"/>
              </w:rPr>
            </w:pPr>
            <w:r w:rsidRPr="00F36850">
              <w:rPr>
                <w:b/>
                <w:sz w:val="18"/>
                <w:szCs w:val="18"/>
                <w:lang w:val="en-GB"/>
              </w:rPr>
              <w:t>March 2011</w:t>
            </w:r>
          </w:p>
        </w:tc>
        <w:tc>
          <w:tcPr>
            <w:tcW w:w="856" w:type="dxa"/>
            <w:shd w:val="clear" w:color="auto" w:fill="auto"/>
          </w:tcPr>
          <w:p w14:paraId="3A52855E" w14:textId="77777777" w:rsidR="00387B8B" w:rsidRPr="00F36850" w:rsidRDefault="00387B8B" w:rsidP="00DA16EB">
            <w:pPr>
              <w:pStyle w:val="ExhibitText"/>
              <w:rPr>
                <w:b/>
                <w:sz w:val="18"/>
                <w:szCs w:val="18"/>
                <w:lang w:val="en-GB"/>
              </w:rPr>
            </w:pPr>
            <w:r w:rsidRPr="00F36850">
              <w:rPr>
                <w:b/>
                <w:sz w:val="18"/>
                <w:szCs w:val="18"/>
                <w:lang w:val="en-GB"/>
              </w:rPr>
              <w:t>March 2012</w:t>
            </w:r>
          </w:p>
        </w:tc>
        <w:tc>
          <w:tcPr>
            <w:tcW w:w="857" w:type="dxa"/>
            <w:shd w:val="clear" w:color="auto" w:fill="auto"/>
          </w:tcPr>
          <w:p w14:paraId="0AD346B0" w14:textId="77777777" w:rsidR="00387B8B" w:rsidRPr="00F36850" w:rsidRDefault="00387B8B" w:rsidP="00DA16EB">
            <w:pPr>
              <w:pStyle w:val="ExhibitText"/>
              <w:rPr>
                <w:b/>
                <w:sz w:val="18"/>
                <w:szCs w:val="18"/>
                <w:lang w:val="en-GB"/>
              </w:rPr>
            </w:pPr>
            <w:r w:rsidRPr="00F36850">
              <w:rPr>
                <w:b/>
                <w:sz w:val="18"/>
                <w:szCs w:val="18"/>
                <w:lang w:val="en-GB"/>
              </w:rPr>
              <w:t>March</w:t>
            </w:r>
          </w:p>
          <w:p w14:paraId="664B71C0" w14:textId="77777777" w:rsidR="00387B8B" w:rsidRPr="00F36850" w:rsidRDefault="00387B8B" w:rsidP="00DA16EB">
            <w:pPr>
              <w:pStyle w:val="ExhibitText"/>
              <w:rPr>
                <w:b/>
                <w:sz w:val="18"/>
                <w:szCs w:val="18"/>
                <w:lang w:val="en-GB"/>
              </w:rPr>
            </w:pPr>
            <w:r w:rsidRPr="00F36850">
              <w:rPr>
                <w:b/>
                <w:sz w:val="18"/>
                <w:szCs w:val="18"/>
                <w:lang w:val="en-GB"/>
              </w:rPr>
              <w:t>2013</w:t>
            </w:r>
          </w:p>
        </w:tc>
        <w:tc>
          <w:tcPr>
            <w:tcW w:w="856" w:type="dxa"/>
            <w:shd w:val="clear" w:color="auto" w:fill="auto"/>
          </w:tcPr>
          <w:p w14:paraId="7757CC35" w14:textId="77777777" w:rsidR="00387B8B" w:rsidRPr="00F36850" w:rsidRDefault="00387B8B" w:rsidP="00DA16EB">
            <w:pPr>
              <w:pStyle w:val="ExhibitText"/>
              <w:rPr>
                <w:b/>
                <w:sz w:val="18"/>
                <w:szCs w:val="18"/>
                <w:lang w:val="en-GB"/>
              </w:rPr>
            </w:pPr>
            <w:r w:rsidRPr="00F36850">
              <w:rPr>
                <w:b/>
                <w:sz w:val="18"/>
                <w:szCs w:val="18"/>
                <w:lang w:val="en-GB"/>
              </w:rPr>
              <w:t>March</w:t>
            </w:r>
          </w:p>
          <w:p w14:paraId="7E41F7F3" w14:textId="77777777" w:rsidR="00387B8B" w:rsidRPr="00F36850" w:rsidRDefault="00387B8B" w:rsidP="00DA16EB">
            <w:pPr>
              <w:pStyle w:val="ExhibitText"/>
              <w:rPr>
                <w:b/>
                <w:sz w:val="18"/>
                <w:szCs w:val="18"/>
                <w:lang w:val="en-GB"/>
              </w:rPr>
            </w:pPr>
            <w:r w:rsidRPr="00F36850">
              <w:rPr>
                <w:b/>
                <w:sz w:val="18"/>
                <w:szCs w:val="18"/>
                <w:lang w:val="en-GB"/>
              </w:rPr>
              <w:t>2014</w:t>
            </w:r>
          </w:p>
        </w:tc>
        <w:tc>
          <w:tcPr>
            <w:tcW w:w="857" w:type="dxa"/>
            <w:shd w:val="clear" w:color="auto" w:fill="auto"/>
          </w:tcPr>
          <w:p w14:paraId="43D2184B" w14:textId="77777777" w:rsidR="00387B8B" w:rsidRPr="00F36850" w:rsidRDefault="00387B8B" w:rsidP="00DA16EB">
            <w:pPr>
              <w:pStyle w:val="ExhibitText"/>
              <w:rPr>
                <w:b/>
                <w:sz w:val="18"/>
                <w:szCs w:val="18"/>
                <w:lang w:val="en-GB"/>
              </w:rPr>
            </w:pPr>
            <w:r w:rsidRPr="00F36850">
              <w:rPr>
                <w:b/>
                <w:sz w:val="18"/>
                <w:szCs w:val="18"/>
                <w:lang w:val="en-GB"/>
              </w:rPr>
              <w:t>March</w:t>
            </w:r>
          </w:p>
          <w:p w14:paraId="6DFAC830" w14:textId="77777777" w:rsidR="00387B8B" w:rsidRPr="00F36850" w:rsidRDefault="00387B8B" w:rsidP="00DA16EB">
            <w:pPr>
              <w:pStyle w:val="ExhibitText"/>
              <w:rPr>
                <w:b/>
                <w:sz w:val="18"/>
                <w:szCs w:val="18"/>
                <w:lang w:val="en-GB"/>
              </w:rPr>
            </w:pPr>
            <w:r w:rsidRPr="00F36850">
              <w:rPr>
                <w:b/>
                <w:sz w:val="18"/>
                <w:szCs w:val="18"/>
                <w:lang w:val="en-GB"/>
              </w:rPr>
              <w:t>2015</w:t>
            </w:r>
          </w:p>
        </w:tc>
        <w:tc>
          <w:tcPr>
            <w:tcW w:w="838" w:type="dxa"/>
            <w:shd w:val="clear" w:color="auto" w:fill="auto"/>
          </w:tcPr>
          <w:p w14:paraId="48DEDC90" w14:textId="77777777" w:rsidR="00387B8B" w:rsidRPr="00F36850" w:rsidRDefault="00387B8B" w:rsidP="00DA16EB">
            <w:pPr>
              <w:pStyle w:val="ExhibitText"/>
              <w:rPr>
                <w:b/>
                <w:sz w:val="18"/>
                <w:szCs w:val="18"/>
                <w:lang w:val="en-GB"/>
              </w:rPr>
            </w:pPr>
            <w:r w:rsidRPr="00F36850">
              <w:rPr>
                <w:b/>
                <w:sz w:val="18"/>
                <w:szCs w:val="18"/>
                <w:lang w:val="en-GB"/>
              </w:rPr>
              <w:t>June</w:t>
            </w:r>
          </w:p>
          <w:p w14:paraId="28C0555C" w14:textId="77777777" w:rsidR="00387B8B" w:rsidRPr="00F36850" w:rsidRDefault="00387B8B" w:rsidP="00DA16EB">
            <w:pPr>
              <w:pStyle w:val="ExhibitText"/>
              <w:rPr>
                <w:b/>
                <w:sz w:val="18"/>
                <w:szCs w:val="18"/>
                <w:lang w:val="en-GB"/>
              </w:rPr>
            </w:pPr>
            <w:r w:rsidRPr="00F36850">
              <w:rPr>
                <w:b/>
                <w:sz w:val="18"/>
                <w:szCs w:val="18"/>
                <w:lang w:val="en-GB"/>
              </w:rPr>
              <w:t>2015</w:t>
            </w:r>
          </w:p>
        </w:tc>
      </w:tr>
      <w:tr w:rsidR="007461DA" w:rsidRPr="00056191" w14:paraId="0F7CB65E" w14:textId="77777777" w:rsidTr="007461DA">
        <w:trPr>
          <w:trHeight w:val="229"/>
          <w:jc w:val="center"/>
        </w:trPr>
        <w:tc>
          <w:tcPr>
            <w:tcW w:w="3992" w:type="dxa"/>
            <w:shd w:val="clear" w:color="auto" w:fill="auto"/>
          </w:tcPr>
          <w:p w14:paraId="4BE8A77E" w14:textId="7790E02E" w:rsidR="00387B8B" w:rsidRPr="00056191" w:rsidRDefault="00387B8B" w:rsidP="00BC31D5">
            <w:pPr>
              <w:pStyle w:val="ExhibitText"/>
              <w:rPr>
                <w:sz w:val="18"/>
                <w:szCs w:val="18"/>
                <w:lang w:val="en-GB"/>
              </w:rPr>
            </w:pPr>
            <w:r w:rsidRPr="00056191">
              <w:rPr>
                <w:sz w:val="18"/>
                <w:szCs w:val="18"/>
                <w:lang w:val="en-GB"/>
              </w:rPr>
              <w:t>N</w:t>
            </w:r>
            <w:r>
              <w:rPr>
                <w:sz w:val="18"/>
                <w:szCs w:val="18"/>
                <w:lang w:val="en-GB"/>
              </w:rPr>
              <w:t>umber</w:t>
            </w:r>
            <w:r w:rsidRPr="00056191">
              <w:rPr>
                <w:sz w:val="18"/>
                <w:szCs w:val="18"/>
                <w:lang w:val="en-GB"/>
              </w:rPr>
              <w:t xml:space="preserve"> of CNG Stations</w:t>
            </w:r>
          </w:p>
        </w:tc>
        <w:tc>
          <w:tcPr>
            <w:tcW w:w="857" w:type="dxa"/>
            <w:shd w:val="clear" w:color="auto" w:fill="auto"/>
          </w:tcPr>
          <w:p w14:paraId="21D0A1CB" w14:textId="77777777" w:rsidR="00387B8B" w:rsidRPr="00056191" w:rsidRDefault="00387B8B" w:rsidP="00F36850">
            <w:pPr>
              <w:pStyle w:val="ExhibitText"/>
              <w:jc w:val="right"/>
              <w:rPr>
                <w:sz w:val="18"/>
                <w:szCs w:val="18"/>
                <w:lang w:val="en-GB"/>
              </w:rPr>
            </w:pPr>
            <w:r w:rsidRPr="00056191">
              <w:rPr>
                <w:sz w:val="18"/>
                <w:szCs w:val="18"/>
                <w:lang w:val="en-GB"/>
              </w:rPr>
              <w:t>278</w:t>
            </w:r>
          </w:p>
        </w:tc>
        <w:tc>
          <w:tcPr>
            <w:tcW w:w="856" w:type="dxa"/>
            <w:shd w:val="clear" w:color="auto" w:fill="auto"/>
          </w:tcPr>
          <w:p w14:paraId="5BDBBEFD" w14:textId="77777777" w:rsidR="00387B8B" w:rsidRPr="00056191" w:rsidRDefault="00387B8B" w:rsidP="00F36850">
            <w:pPr>
              <w:pStyle w:val="ExhibitText"/>
              <w:jc w:val="right"/>
              <w:rPr>
                <w:sz w:val="18"/>
                <w:szCs w:val="18"/>
                <w:lang w:val="en-GB"/>
              </w:rPr>
            </w:pPr>
            <w:r w:rsidRPr="00056191">
              <w:rPr>
                <w:sz w:val="18"/>
                <w:szCs w:val="18"/>
                <w:lang w:val="en-GB"/>
              </w:rPr>
              <w:t>308</w:t>
            </w:r>
          </w:p>
        </w:tc>
        <w:tc>
          <w:tcPr>
            <w:tcW w:w="857" w:type="dxa"/>
            <w:shd w:val="clear" w:color="auto" w:fill="auto"/>
          </w:tcPr>
          <w:p w14:paraId="183ACC60" w14:textId="77777777" w:rsidR="00387B8B" w:rsidRPr="00056191" w:rsidRDefault="00387B8B" w:rsidP="00F36850">
            <w:pPr>
              <w:pStyle w:val="ExhibitText"/>
              <w:jc w:val="right"/>
              <w:rPr>
                <w:sz w:val="18"/>
                <w:szCs w:val="18"/>
                <w:lang w:val="en-GB"/>
              </w:rPr>
            </w:pPr>
            <w:r w:rsidRPr="00056191">
              <w:rPr>
                <w:sz w:val="18"/>
                <w:szCs w:val="18"/>
                <w:lang w:val="en-GB"/>
              </w:rPr>
              <w:t>324</w:t>
            </w:r>
          </w:p>
        </w:tc>
        <w:tc>
          <w:tcPr>
            <w:tcW w:w="856" w:type="dxa"/>
            <w:shd w:val="clear" w:color="auto" w:fill="auto"/>
          </w:tcPr>
          <w:p w14:paraId="22BF37E6" w14:textId="77777777" w:rsidR="00387B8B" w:rsidRPr="00056191" w:rsidRDefault="00387B8B" w:rsidP="00F36850">
            <w:pPr>
              <w:pStyle w:val="ExhibitText"/>
              <w:jc w:val="right"/>
              <w:rPr>
                <w:sz w:val="18"/>
                <w:szCs w:val="18"/>
                <w:lang w:val="en-GB"/>
              </w:rPr>
            </w:pPr>
            <w:r w:rsidRPr="00056191">
              <w:rPr>
                <w:sz w:val="18"/>
                <w:szCs w:val="18"/>
                <w:lang w:val="en-GB"/>
              </w:rPr>
              <w:t>325</w:t>
            </w:r>
          </w:p>
        </w:tc>
        <w:tc>
          <w:tcPr>
            <w:tcW w:w="857" w:type="dxa"/>
            <w:shd w:val="clear" w:color="auto" w:fill="auto"/>
          </w:tcPr>
          <w:p w14:paraId="1CD02ECD" w14:textId="77777777" w:rsidR="00387B8B" w:rsidRPr="00056191" w:rsidRDefault="00387B8B" w:rsidP="00F36850">
            <w:pPr>
              <w:pStyle w:val="ExhibitText"/>
              <w:jc w:val="right"/>
              <w:rPr>
                <w:sz w:val="18"/>
                <w:szCs w:val="18"/>
                <w:lang w:val="en-GB"/>
              </w:rPr>
            </w:pPr>
            <w:r w:rsidRPr="00056191">
              <w:rPr>
                <w:sz w:val="18"/>
                <w:szCs w:val="18"/>
                <w:lang w:val="en-GB"/>
              </w:rPr>
              <w:t>326</w:t>
            </w:r>
          </w:p>
        </w:tc>
        <w:tc>
          <w:tcPr>
            <w:tcW w:w="838" w:type="dxa"/>
            <w:shd w:val="clear" w:color="auto" w:fill="auto"/>
          </w:tcPr>
          <w:p w14:paraId="79A02372" w14:textId="77777777" w:rsidR="00387B8B" w:rsidRPr="00056191" w:rsidRDefault="00387B8B" w:rsidP="00F36850">
            <w:pPr>
              <w:pStyle w:val="ExhibitText"/>
              <w:jc w:val="right"/>
              <w:rPr>
                <w:sz w:val="18"/>
                <w:szCs w:val="18"/>
                <w:lang w:val="en-GB"/>
              </w:rPr>
            </w:pPr>
            <w:r w:rsidRPr="00056191">
              <w:rPr>
                <w:sz w:val="18"/>
                <w:szCs w:val="18"/>
                <w:lang w:val="en-GB"/>
              </w:rPr>
              <w:t>326</w:t>
            </w:r>
          </w:p>
        </w:tc>
      </w:tr>
      <w:tr w:rsidR="007461DA" w:rsidRPr="00056191" w14:paraId="25FBA2DF" w14:textId="77777777" w:rsidTr="007461DA">
        <w:trPr>
          <w:trHeight w:val="220"/>
          <w:jc w:val="center"/>
        </w:trPr>
        <w:tc>
          <w:tcPr>
            <w:tcW w:w="3992" w:type="dxa"/>
            <w:shd w:val="clear" w:color="auto" w:fill="auto"/>
          </w:tcPr>
          <w:p w14:paraId="3E6CE1A1" w14:textId="1F25F7CE" w:rsidR="00387B8B" w:rsidRPr="00056191" w:rsidRDefault="00387B8B" w:rsidP="00BC31D5">
            <w:pPr>
              <w:pStyle w:val="ExhibitText"/>
              <w:rPr>
                <w:sz w:val="18"/>
                <w:szCs w:val="18"/>
                <w:lang w:val="en-GB"/>
              </w:rPr>
            </w:pPr>
            <w:r w:rsidRPr="00056191">
              <w:rPr>
                <w:sz w:val="18"/>
                <w:szCs w:val="18"/>
                <w:lang w:val="en-GB"/>
              </w:rPr>
              <w:t>Compression Capacity</w:t>
            </w:r>
            <w:r w:rsidR="005641F9">
              <w:rPr>
                <w:sz w:val="18"/>
                <w:szCs w:val="18"/>
                <w:lang w:val="en-GB"/>
              </w:rPr>
              <w:t xml:space="preserve"> </w:t>
            </w:r>
            <w:r w:rsidRPr="00056191">
              <w:rPr>
                <w:sz w:val="18"/>
                <w:szCs w:val="18"/>
                <w:lang w:val="en-GB"/>
              </w:rPr>
              <w:t xml:space="preserve">(Thousand </w:t>
            </w:r>
            <w:r>
              <w:rPr>
                <w:sz w:val="18"/>
                <w:szCs w:val="18"/>
                <w:lang w:val="en-GB"/>
              </w:rPr>
              <w:t>k</w:t>
            </w:r>
            <w:r w:rsidRPr="00056191">
              <w:rPr>
                <w:sz w:val="18"/>
                <w:szCs w:val="18"/>
                <w:lang w:val="en-GB"/>
              </w:rPr>
              <w:t>g/day)</w:t>
            </w:r>
          </w:p>
        </w:tc>
        <w:tc>
          <w:tcPr>
            <w:tcW w:w="857" w:type="dxa"/>
            <w:shd w:val="clear" w:color="auto" w:fill="auto"/>
          </w:tcPr>
          <w:p w14:paraId="3AB6723F" w14:textId="3C0B2752" w:rsidR="00387B8B" w:rsidRPr="00056191" w:rsidRDefault="00387B8B" w:rsidP="00F36850">
            <w:pPr>
              <w:pStyle w:val="ExhibitText"/>
              <w:jc w:val="right"/>
              <w:rPr>
                <w:sz w:val="18"/>
                <w:szCs w:val="18"/>
                <w:lang w:val="en-GB"/>
              </w:rPr>
            </w:pPr>
            <w:r w:rsidRPr="00056191">
              <w:rPr>
                <w:sz w:val="18"/>
                <w:szCs w:val="18"/>
                <w:lang w:val="en-GB"/>
              </w:rPr>
              <w:t>5</w:t>
            </w:r>
            <w:r>
              <w:rPr>
                <w:sz w:val="18"/>
                <w:szCs w:val="18"/>
                <w:lang w:val="en-GB"/>
              </w:rPr>
              <w:t>,</w:t>
            </w:r>
            <w:r w:rsidRPr="00056191">
              <w:rPr>
                <w:sz w:val="18"/>
                <w:szCs w:val="18"/>
                <w:lang w:val="en-GB"/>
              </w:rPr>
              <w:t>113</w:t>
            </w:r>
          </w:p>
        </w:tc>
        <w:tc>
          <w:tcPr>
            <w:tcW w:w="856" w:type="dxa"/>
            <w:shd w:val="clear" w:color="auto" w:fill="auto"/>
          </w:tcPr>
          <w:p w14:paraId="0449B195" w14:textId="7D3604B0" w:rsidR="00387B8B" w:rsidRPr="00056191" w:rsidRDefault="00387B8B" w:rsidP="00F36850">
            <w:pPr>
              <w:pStyle w:val="ExhibitText"/>
              <w:jc w:val="right"/>
              <w:rPr>
                <w:sz w:val="18"/>
                <w:szCs w:val="18"/>
                <w:lang w:val="en-GB"/>
              </w:rPr>
            </w:pPr>
            <w:r w:rsidRPr="00056191">
              <w:rPr>
                <w:sz w:val="18"/>
                <w:szCs w:val="18"/>
                <w:lang w:val="en-GB"/>
              </w:rPr>
              <w:t>5</w:t>
            </w:r>
            <w:r>
              <w:rPr>
                <w:sz w:val="18"/>
                <w:szCs w:val="18"/>
                <w:lang w:val="en-GB"/>
              </w:rPr>
              <w:t>,</w:t>
            </w:r>
            <w:r w:rsidRPr="00056191">
              <w:rPr>
                <w:sz w:val="18"/>
                <w:szCs w:val="18"/>
                <w:lang w:val="en-GB"/>
              </w:rPr>
              <w:t>956</w:t>
            </w:r>
          </w:p>
        </w:tc>
        <w:tc>
          <w:tcPr>
            <w:tcW w:w="857" w:type="dxa"/>
            <w:shd w:val="clear" w:color="auto" w:fill="auto"/>
          </w:tcPr>
          <w:p w14:paraId="1A2E5AAD" w14:textId="7E631B95" w:rsidR="00387B8B" w:rsidRPr="00056191" w:rsidRDefault="00387B8B" w:rsidP="00F36850">
            <w:pPr>
              <w:pStyle w:val="ExhibitText"/>
              <w:jc w:val="right"/>
              <w:rPr>
                <w:sz w:val="18"/>
                <w:szCs w:val="18"/>
                <w:lang w:val="en-GB"/>
              </w:rPr>
            </w:pPr>
            <w:r w:rsidRPr="00056191">
              <w:rPr>
                <w:sz w:val="18"/>
                <w:szCs w:val="18"/>
                <w:lang w:val="en-GB"/>
              </w:rPr>
              <w:t>6</w:t>
            </w:r>
            <w:r>
              <w:rPr>
                <w:sz w:val="18"/>
                <w:szCs w:val="18"/>
                <w:lang w:val="en-GB"/>
              </w:rPr>
              <w:t>,</w:t>
            </w:r>
            <w:r w:rsidRPr="00056191">
              <w:rPr>
                <w:sz w:val="18"/>
                <w:szCs w:val="18"/>
                <w:lang w:val="en-GB"/>
              </w:rPr>
              <w:t>383</w:t>
            </w:r>
          </w:p>
        </w:tc>
        <w:tc>
          <w:tcPr>
            <w:tcW w:w="856" w:type="dxa"/>
            <w:shd w:val="clear" w:color="auto" w:fill="auto"/>
          </w:tcPr>
          <w:p w14:paraId="7F596580" w14:textId="064FA061" w:rsidR="00387B8B" w:rsidRPr="00056191" w:rsidRDefault="00387B8B" w:rsidP="00F36850">
            <w:pPr>
              <w:pStyle w:val="ExhibitText"/>
              <w:jc w:val="right"/>
              <w:rPr>
                <w:sz w:val="18"/>
                <w:szCs w:val="18"/>
                <w:lang w:val="en-GB"/>
              </w:rPr>
            </w:pPr>
            <w:r w:rsidRPr="00056191">
              <w:rPr>
                <w:sz w:val="18"/>
                <w:szCs w:val="18"/>
                <w:lang w:val="en-GB"/>
              </w:rPr>
              <w:t>6</w:t>
            </w:r>
            <w:r>
              <w:rPr>
                <w:sz w:val="18"/>
                <w:szCs w:val="18"/>
                <w:lang w:val="en-GB"/>
              </w:rPr>
              <w:t>,</w:t>
            </w:r>
            <w:r w:rsidRPr="00056191">
              <w:rPr>
                <w:sz w:val="18"/>
                <w:szCs w:val="18"/>
                <w:lang w:val="en-GB"/>
              </w:rPr>
              <w:t>617</w:t>
            </w:r>
          </w:p>
        </w:tc>
        <w:tc>
          <w:tcPr>
            <w:tcW w:w="857" w:type="dxa"/>
            <w:shd w:val="clear" w:color="auto" w:fill="auto"/>
          </w:tcPr>
          <w:p w14:paraId="2397EAB8" w14:textId="0B779771" w:rsidR="00387B8B" w:rsidRPr="00056191" w:rsidRDefault="00387B8B" w:rsidP="00F36850">
            <w:pPr>
              <w:pStyle w:val="ExhibitText"/>
              <w:jc w:val="right"/>
              <w:rPr>
                <w:sz w:val="18"/>
                <w:szCs w:val="18"/>
                <w:lang w:val="en-GB"/>
              </w:rPr>
            </w:pPr>
            <w:r w:rsidRPr="00056191">
              <w:rPr>
                <w:sz w:val="18"/>
                <w:szCs w:val="18"/>
                <w:lang w:val="en-GB"/>
              </w:rPr>
              <w:t>6</w:t>
            </w:r>
            <w:r>
              <w:rPr>
                <w:sz w:val="18"/>
                <w:szCs w:val="18"/>
                <w:lang w:val="en-GB"/>
              </w:rPr>
              <w:t>,</w:t>
            </w:r>
            <w:r w:rsidRPr="00056191">
              <w:rPr>
                <w:sz w:val="18"/>
                <w:szCs w:val="18"/>
                <w:lang w:val="en-GB"/>
              </w:rPr>
              <w:t>849</w:t>
            </w:r>
          </w:p>
        </w:tc>
        <w:tc>
          <w:tcPr>
            <w:tcW w:w="838" w:type="dxa"/>
            <w:shd w:val="clear" w:color="auto" w:fill="auto"/>
          </w:tcPr>
          <w:p w14:paraId="16145B34" w14:textId="2C481613" w:rsidR="00387B8B" w:rsidRPr="00056191" w:rsidRDefault="00387B8B" w:rsidP="00F36850">
            <w:pPr>
              <w:pStyle w:val="ExhibitText"/>
              <w:jc w:val="right"/>
              <w:rPr>
                <w:sz w:val="18"/>
                <w:szCs w:val="18"/>
                <w:lang w:val="en-GB"/>
              </w:rPr>
            </w:pPr>
            <w:r w:rsidRPr="00056191">
              <w:rPr>
                <w:sz w:val="18"/>
                <w:szCs w:val="18"/>
                <w:lang w:val="en-GB"/>
              </w:rPr>
              <w:t>6</w:t>
            </w:r>
            <w:r>
              <w:rPr>
                <w:sz w:val="18"/>
                <w:szCs w:val="18"/>
                <w:lang w:val="en-GB"/>
              </w:rPr>
              <w:t>,</w:t>
            </w:r>
            <w:r w:rsidRPr="00056191">
              <w:rPr>
                <w:sz w:val="18"/>
                <w:szCs w:val="18"/>
                <w:lang w:val="en-GB"/>
              </w:rPr>
              <w:t>849</w:t>
            </w:r>
          </w:p>
        </w:tc>
      </w:tr>
      <w:tr w:rsidR="007461DA" w:rsidRPr="00056191" w14:paraId="5422B84B" w14:textId="77777777" w:rsidTr="007461DA">
        <w:trPr>
          <w:trHeight w:val="220"/>
          <w:jc w:val="center"/>
        </w:trPr>
        <w:tc>
          <w:tcPr>
            <w:tcW w:w="3992" w:type="dxa"/>
            <w:shd w:val="clear" w:color="auto" w:fill="auto"/>
          </w:tcPr>
          <w:p w14:paraId="41A41BB4" w14:textId="0EA06824" w:rsidR="00387B8B" w:rsidRPr="00056191" w:rsidRDefault="00387B8B" w:rsidP="00BC31D5">
            <w:pPr>
              <w:pStyle w:val="ExhibitText"/>
              <w:rPr>
                <w:sz w:val="18"/>
                <w:szCs w:val="18"/>
                <w:lang w:val="en-GB"/>
              </w:rPr>
            </w:pPr>
            <w:r w:rsidRPr="00056191">
              <w:rPr>
                <w:sz w:val="18"/>
                <w:szCs w:val="18"/>
                <w:lang w:val="en-GB"/>
              </w:rPr>
              <w:t>Average Daily CNG Sale</w:t>
            </w:r>
            <w:r w:rsidR="005641F9">
              <w:rPr>
                <w:sz w:val="18"/>
                <w:szCs w:val="18"/>
                <w:lang w:val="en-GB"/>
              </w:rPr>
              <w:t xml:space="preserve"> </w:t>
            </w:r>
            <w:r w:rsidRPr="00056191">
              <w:rPr>
                <w:sz w:val="18"/>
                <w:szCs w:val="18"/>
                <w:lang w:val="en-GB"/>
              </w:rPr>
              <w:t xml:space="preserve">(Thousand </w:t>
            </w:r>
            <w:r>
              <w:rPr>
                <w:sz w:val="18"/>
                <w:szCs w:val="18"/>
                <w:lang w:val="en-GB"/>
              </w:rPr>
              <w:t>k</w:t>
            </w:r>
            <w:r w:rsidRPr="00056191">
              <w:rPr>
                <w:sz w:val="18"/>
                <w:szCs w:val="18"/>
                <w:lang w:val="en-GB"/>
              </w:rPr>
              <w:t>g/day)</w:t>
            </w:r>
          </w:p>
        </w:tc>
        <w:tc>
          <w:tcPr>
            <w:tcW w:w="857" w:type="dxa"/>
            <w:shd w:val="clear" w:color="auto" w:fill="auto"/>
          </w:tcPr>
          <w:p w14:paraId="399058A1" w14:textId="59C13696" w:rsidR="00387B8B" w:rsidRPr="00056191" w:rsidRDefault="00387B8B" w:rsidP="00F36850">
            <w:pPr>
              <w:pStyle w:val="ExhibitText"/>
              <w:jc w:val="right"/>
              <w:rPr>
                <w:sz w:val="18"/>
                <w:szCs w:val="18"/>
                <w:lang w:val="en-GB"/>
              </w:rPr>
            </w:pPr>
            <w:r w:rsidRPr="00056191">
              <w:rPr>
                <w:sz w:val="18"/>
                <w:szCs w:val="18"/>
                <w:lang w:val="en-GB"/>
              </w:rPr>
              <w:t>1</w:t>
            </w:r>
            <w:r>
              <w:rPr>
                <w:sz w:val="18"/>
                <w:szCs w:val="18"/>
                <w:lang w:val="en-GB"/>
              </w:rPr>
              <w:t>,</w:t>
            </w:r>
            <w:r w:rsidRPr="00056191">
              <w:rPr>
                <w:sz w:val="18"/>
                <w:szCs w:val="18"/>
                <w:lang w:val="en-GB"/>
              </w:rPr>
              <w:t>671</w:t>
            </w:r>
          </w:p>
        </w:tc>
        <w:tc>
          <w:tcPr>
            <w:tcW w:w="856" w:type="dxa"/>
            <w:shd w:val="clear" w:color="auto" w:fill="auto"/>
          </w:tcPr>
          <w:p w14:paraId="71A4FD57" w14:textId="5D808407" w:rsidR="00387B8B" w:rsidRPr="00056191" w:rsidRDefault="00387B8B" w:rsidP="00F36850">
            <w:pPr>
              <w:pStyle w:val="ExhibitText"/>
              <w:jc w:val="right"/>
              <w:rPr>
                <w:sz w:val="18"/>
                <w:szCs w:val="18"/>
                <w:lang w:val="en-GB"/>
              </w:rPr>
            </w:pPr>
            <w:r w:rsidRPr="00056191">
              <w:rPr>
                <w:sz w:val="18"/>
                <w:szCs w:val="18"/>
                <w:lang w:val="en-GB"/>
              </w:rPr>
              <w:t>1</w:t>
            </w:r>
            <w:r>
              <w:rPr>
                <w:sz w:val="18"/>
                <w:szCs w:val="18"/>
                <w:lang w:val="en-GB"/>
              </w:rPr>
              <w:t>,</w:t>
            </w:r>
            <w:r w:rsidRPr="00056191">
              <w:rPr>
                <w:sz w:val="18"/>
                <w:szCs w:val="18"/>
                <w:lang w:val="en-GB"/>
              </w:rPr>
              <w:t>915</w:t>
            </w:r>
          </w:p>
        </w:tc>
        <w:tc>
          <w:tcPr>
            <w:tcW w:w="857" w:type="dxa"/>
            <w:shd w:val="clear" w:color="auto" w:fill="auto"/>
          </w:tcPr>
          <w:p w14:paraId="6197DF2D" w14:textId="133B5312" w:rsidR="00387B8B" w:rsidRPr="00056191" w:rsidRDefault="00387B8B" w:rsidP="00F36850">
            <w:pPr>
              <w:pStyle w:val="ExhibitText"/>
              <w:jc w:val="right"/>
              <w:rPr>
                <w:sz w:val="18"/>
                <w:szCs w:val="18"/>
                <w:lang w:val="en-GB"/>
              </w:rPr>
            </w:pPr>
            <w:r w:rsidRPr="00056191">
              <w:rPr>
                <w:sz w:val="18"/>
                <w:szCs w:val="18"/>
                <w:lang w:val="en-GB"/>
              </w:rPr>
              <w:t>2</w:t>
            </w:r>
            <w:r>
              <w:rPr>
                <w:sz w:val="18"/>
                <w:szCs w:val="18"/>
                <w:lang w:val="en-GB"/>
              </w:rPr>
              <w:t>,</w:t>
            </w:r>
            <w:r w:rsidRPr="00056191">
              <w:rPr>
                <w:sz w:val="18"/>
                <w:szCs w:val="18"/>
                <w:lang w:val="en-GB"/>
              </w:rPr>
              <w:t>072</w:t>
            </w:r>
          </w:p>
        </w:tc>
        <w:tc>
          <w:tcPr>
            <w:tcW w:w="856" w:type="dxa"/>
            <w:shd w:val="clear" w:color="auto" w:fill="auto"/>
          </w:tcPr>
          <w:p w14:paraId="1A59A2D5" w14:textId="4AF1D538" w:rsidR="00387B8B" w:rsidRPr="00056191" w:rsidRDefault="00387B8B" w:rsidP="00F36850">
            <w:pPr>
              <w:pStyle w:val="ExhibitText"/>
              <w:jc w:val="right"/>
              <w:rPr>
                <w:sz w:val="18"/>
                <w:szCs w:val="18"/>
                <w:lang w:val="en-GB"/>
              </w:rPr>
            </w:pPr>
            <w:r w:rsidRPr="00056191">
              <w:rPr>
                <w:sz w:val="18"/>
                <w:szCs w:val="18"/>
                <w:lang w:val="en-GB"/>
              </w:rPr>
              <w:t>2</w:t>
            </w:r>
            <w:r>
              <w:rPr>
                <w:sz w:val="18"/>
                <w:szCs w:val="18"/>
                <w:lang w:val="en-GB"/>
              </w:rPr>
              <w:t>,</w:t>
            </w:r>
            <w:r w:rsidRPr="00056191">
              <w:rPr>
                <w:sz w:val="18"/>
                <w:szCs w:val="18"/>
                <w:lang w:val="en-GB"/>
              </w:rPr>
              <w:t>120</w:t>
            </w:r>
          </w:p>
        </w:tc>
        <w:tc>
          <w:tcPr>
            <w:tcW w:w="857" w:type="dxa"/>
            <w:shd w:val="clear" w:color="auto" w:fill="auto"/>
          </w:tcPr>
          <w:p w14:paraId="7BC884EA" w14:textId="22E651E7" w:rsidR="00387B8B" w:rsidRPr="00056191" w:rsidRDefault="00387B8B" w:rsidP="00F36850">
            <w:pPr>
              <w:pStyle w:val="ExhibitText"/>
              <w:jc w:val="right"/>
              <w:rPr>
                <w:sz w:val="18"/>
                <w:szCs w:val="18"/>
                <w:lang w:val="en-GB"/>
              </w:rPr>
            </w:pPr>
            <w:r w:rsidRPr="00056191">
              <w:rPr>
                <w:sz w:val="18"/>
                <w:szCs w:val="18"/>
                <w:lang w:val="en-GB"/>
              </w:rPr>
              <w:t>2</w:t>
            </w:r>
            <w:r>
              <w:rPr>
                <w:sz w:val="18"/>
                <w:szCs w:val="18"/>
                <w:lang w:val="en-GB"/>
              </w:rPr>
              <w:t>,</w:t>
            </w:r>
            <w:r w:rsidRPr="00056191">
              <w:rPr>
                <w:sz w:val="18"/>
                <w:szCs w:val="18"/>
                <w:lang w:val="en-GB"/>
              </w:rPr>
              <w:t>207</w:t>
            </w:r>
          </w:p>
        </w:tc>
        <w:tc>
          <w:tcPr>
            <w:tcW w:w="838" w:type="dxa"/>
            <w:shd w:val="clear" w:color="auto" w:fill="auto"/>
          </w:tcPr>
          <w:p w14:paraId="56A00668" w14:textId="45A8291E" w:rsidR="00387B8B" w:rsidRPr="00056191" w:rsidRDefault="00387B8B" w:rsidP="00F36850">
            <w:pPr>
              <w:pStyle w:val="ExhibitText"/>
              <w:jc w:val="right"/>
              <w:rPr>
                <w:sz w:val="18"/>
                <w:szCs w:val="18"/>
                <w:lang w:val="en-GB"/>
              </w:rPr>
            </w:pPr>
            <w:r w:rsidRPr="00056191">
              <w:rPr>
                <w:sz w:val="18"/>
                <w:szCs w:val="18"/>
                <w:lang w:val="en-GB"/>
              </w:rPr>
              <w:t>2</w:t>
            </w:r>
            <w:r>
              <w:rPr>
                <w:sz w:val="18"/>
                <w:szCs w:val="18"/>
                <w:lang w:val="en-GB"/>
              </w:rPr>
              <w:t>,</w:t>
            </w:r>
            <w:r w:rsidRPr="00056191">
              <w:rPr>
                <w:sz w:val="18"/>
                <w:szCs w:val="18"/>
                <w:lang w:val="en-GB"/>
              </w:rPr>
              <w:t>220</w:t>
            </w:r>
          </w:p>
        </w:tc>
      </w:tr>
    </w:tbl>
    <w:p w14:paraId="53050065" w14:textId="61395F74" w:rsidR="00BC31D5" w:rsidRDefault="00BC31D5" w:rsidP="00BC31D5">
      <w:pPr>
        <w:pStyle w:val="BodyTextMain"/>
        <w:rPr>
          <w:lang w:val="en-GB"/>
        </w:rPr>
      </w:pP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859"/>
        <w:gridCol w:w="859"/>
        <w:gridCol w:w="860"/>
        <w:gridCol w:w="859"/>
        <w:gridCol w:w="859"/>
        <w:gridCol w:w="860"/>
      </w:tblGrid>
      <w:tr w:rsidR="00B74747" w:rsidRPr="005641F9" w14:paraId="2F18837B" w14:textId="77777777" w:rsidTr="00B74747">
        <w:trPr>
          <w:jc w:val="center"/>
        </w:trPr>
        <w:tc>
          <w:tcPr>
            <w:tcW w:w="3964" w:type="dxa"/>
            <w:shd w:val="clear" w:color="auto" w:fill="auto"/>
          </w:tcPr>
          <w:p w14:paraId="01DEEC14" w14:textId="1B8A30A7" w:rsidR="00B74747" w:rsidRPr="00F36850" w:rsidRDefault="00B74747" w:rsidP="005D6B51">
            <w:pPr>
              <w:pStyle w:val="ExhibitText"/>
              <w:rPr>
                <w:b/>
                <w:sz w:val="18"/>
                <w:szCs w:val="18"/>
                <w:lang w:val="en-GB"/>
              </w:rPr>
            </w:pPr>
            <w:r w:rsidRPr="00F36850">
              <w:rPr>
                <w:b/>
                <w:sz w:val="18"/>
                <w:szCs w:val="18"/>
                <w:lang w:val="en-GB"/>
              </w:rPr>
              <w:t>Parameter</w:t>
            </w:r>
          </w:p>
        </w:tc>
        <w:tc>
          <w:tcPr>
            <w:tcW w:w="859" w:type="dxa"/>
            <w:shd w:val="clear" w:color="auto" w:fill="auto"/>
          </w:tcPr>
          <w:p w14:paraId="60135DF5" w14:textId="77777777" w:rsidR="00B74747" w:rsidRPr="00F36850" w:rsidRDefault="00B74747" w:rsidP="005D6B51">
            <w:pPr>
              <w:pStyle w:val="ExhibitText"/>
              <w:rPr>
                <w:b/>
                <w:sz w:val="18"/>
                <w:szCs w:val="18"/>
                <w:lang w:val="en-GB"/>
              </w:rPr>
            </w:pPr>
            <w:r w:rsidRPr="00F36850">
              <w:rPr>
                <w:b/>
                <w:sz w:val="18"/>
                <w:szCs w:val="18"/>
                <w:lang w:val="en-GB"/>
              </w:rPr>
              <w:t>March 2011</w:t>
            </w:r>
          </w:p>
        </w:tc>
        <w:tc>
          <w:tcPr>
            <w:tcW w:w="859" w:type="dxa"/>
            <w:shd w:val="clear" w:color="auto" w:fill="auto"/>
          </w:tcPr>
          <w:p w14:paraId="62085DAA" w14:textId="77777777" w:rsidR="00B74747" w:rsidRPr="00F36850" w:rsidRDefault="00B74747" w:rsidP="005D6B51">
            <w:pPr>
              <w:pStyle w:val="ExhibitText"/>
              <w:rPr>
                <w:b/>
                <w:sz w:val="18"/>
                <w:szCs w:val="18"/>
                <w:lang w:val="en-GB"/>
              </w:rPr>
            </w:pPr>
            <w:r w:rsidRPr="00F36850">
              <w:rPr>
                <w:b/>
                <w:sz w:val="18"/>
                <w:szCs w:val="18"/>
                <w:lang w:val="en-GB"/>
              </w:rPr>
              <w:t>March 2012</w:t>
            </w:r>
          </w:p>
        </w:tc>
        <w:tc>
          <w:tcPr>
            <w:tcW w:w="860" w:type="dxa"/>
            <w:shd w:val="clear" w:color="auto" w:fill="auto"/>
          </w:tcPr>
          <w:p w14:paraId="75FE358C" w14:textId="77777777" w:rsidR="00B74747" w:rsidRPr="00F36850" w:rsidRDefault="00B74747" w:rsidP="005D6B51">
            <w:pPr>
              <w:pStyle w:val="ExhibitText"/>
              <w:rPr>
                <w:b/>
                <w:sz w:val="18"/>
                <w:szCs w:val="18"/>
                <w:lang w:val="en-GB"/>
              </w:rPr>
            </w:pPr>
            <w:r w:rsidRPr="00F36850">
              <w:rPr>
                <w:b/>
                <w:sz w:val="18"/>
                <w:szCs w:val="18"/>
                <w:lang w:val="en-GB"/>
              </w:rPr>
              <w:t>March</w:t>
            </w:r>
          </w:p>
          <w:p w14:paraId="34592030" w14:textId="77777777" w:rsidR="00B74747" w:rsidRPr="00F36850" w:rsidRDefault="00B74747" w:rsidP="005D6B51">
            <w:pPr>
              <w:pStyle w:val="ExhibitText"/>
              <w:rPr>
                <w:b/>
                <w:sz w:val="18"/>
                <w:szCs w:val="18"/>
                <w:lang w:val="en-GB"/>
              </w:rPr>
            </w:pPr>
            <w:r w:rsidRPr="00F36850">
              <w:rPr>
                <w:b/>
                <w:sz w:val="18"/>
                <w:szCs w:val="18"/>
                <w:lang w:val="en-GB"/>
              </w:rPr>
              <w:t>2013</w:t>
            </w:r>
          </w:p>
        </w:tc>
        <w:tc>
          <w:tcPr>
            <w:tcW w:w="859" w:type="dxa"/>
            <w:shd w:val="clear" w:color="auto" w:fill="auto"/>
          </w:tcPr>
          <w:p w14:paraId="5A34B3AB" w14:textId="77777777" w:rsidR="00B74747" w:rsidRPr="00F36850" w:rsidRDefault="00B74747" w:rsidP="005D6B51">
            <w:pPr>
              <w:pStyle w:val="ExhibitText"/>
              <w:rPr>
                <w:b/>
                <w:sz w:val="18"/>
                <w:szCs w:val="18"/>
                <w:lang w:val="en-GB"/>
              </w:rPr>
            </w:pPr>
            <w:r w:rsidRPr="00F36850">
              <w:rPr>
                <w:b/>
                <w:sz w:val="18"/>
                <w:szCs w:val="18"/>
                <w:lang w:val="en-GB"/>
              </w:rPr>
              <w:t>March</w:t>
            </w:r>
          </w:p>
          <w:p w14:paraId="32DD85FB" w14:textId="77777777" w:rsidR="00B74747" w:rsidRPr="00F36850" w:rsidRDefault="00B74747" w:rsidP="005D6B51">
            <w:pPr>
              <w:pStyle w:val="ExhibitText"/>
              <w:rPr>
                <w:b/>
                <w:sz w:val="18"/>
                <w:szCs w:val="18"/>
                <w:lang w:val="en-GB"/>
              </w:rPr>
            </w:pPr>
            <w:r w:rsidRPr="00F36850">
              <w:rPr>
                <w:b/>
                <w:sz w:val="18"/>
                <w:szCs w:val="18"/>
                <w:lang w:val="en-GB"/>
              </w:rPr>
              <w:t>2014</w:t>
            </w:r>
          </w:p>
        </w:tc>
        <w:tc>
          <w:tcPr>
            <w:tcW w:w="859" w:type="dxa"/>
            <w:shd w:val="clear" w:color="auto" w:fill="auto"/>
          </w:tcPr>
          <w:p w14:paraId="7769C65F" w14:textId="77777777" w:rsidR="00B74747" w:rsidRPr="00F36850" w:rsidRDefault="00B74747" w:rsidP="005D6B51">
            <w:pPr>
              <w:pStyle w:val="ExhibitText"/>
              <w:rPr>
                <w:b/>
                <w:sz w:val="18"/>
                <w:szCs w:val="18"/>
                <w:lang w:val="en-GB"/>
              </w:rPr>
            </w:pPr>
            <w:r w:rsidRPr="00F36850">
              <w:rPr>
                <w:b/>
                <w:sz w:val="18"/>
                <w:szCs w:val="18"/>
                <w:lang w:val="en-GB"/>
              </w:rPr>
              <w:t>March</w:t>
            </w:r>
          </w:p>
          <w:p w14:paraId="2FEC22B3" w14:textId="77777777" w:rsidR="00B74747" w:rsidRPr="00F36850" w:rsidRDefault="00B74747" w:rsidP="005D6B51">
            <w:pPr>
              <w:pStyle w:val="ExhibitText"/>
              <w:rPr>
                <w:b/>
                <w:sz w:val="18"/>
                <w:szCs w:val="18"/>
                <w:lang w:val="en-GB"/>
              </w:rPr>
            </w:pPr>
            <w:r w:rsidRPr="00F36850">
              <w:rPr>
                <w:b/>
                <w:sz w:val="18"/>
                <w:szCs w:val="18"/>
                <w:lang w:val="en-GB"/>
              </w:rPr>
              <w:t>2015</w:t>
            </w:r>
          </w:p>
        </w:tc>
        <w:tc>
          <w:tcPr>
            <w:tcW w:w="860" w:type="dxa"/>
            <w:shd w:val="clear" w:color="auto" w:fill="auto"/>
          </w:tcPr>
          <w:p w14:paraId="10FBEDFE" w14:textId="77777777" w:rsidR="00B74747" w:rsidRPr="00F36850" w:rsidRDefault="00B74747" w:rsidP="005D6B51">
            <w:pPr>
              <w:pStyle w:val="ExhibitText"/>
              <w:rPr>
                <w:b/>
                <w:sz w:val="18"/>
                <w:szCs w:val="18"/>
                <w:lang w:val="en-GB"/>
              </w:rPr>
            </w:pPr>
            <w:r w:rsidRPr="00F36850">
              <w:rPr>
                <w:b/>
                <w:sz w:val="18"/>
                <w:szCs w:val="18"/>
                <w:lang w:val="en-GB"/>
              </w:rPr>
              <w:t>June</w:t>
            </w:r>
          </w:p>
          <w:p w14:paraId="2BE5EF42" w14:textId="77777777" w:rsidR="00B74747" w:rsidRPr="00F36850" w:rsidRDefault="00B74747" w:rsidP="005D6B51">
            <w:pPr>
              <w:pStyle w:val="ExhibitText"/>
              <w:rPr>
                <w:b/>
                <w:sz w:val="18"/>
                <w:szCs w:val="18"/>
                <w:lang w:val="en-GB"/>
              </w:rPr>
            </w:pPr>
            <w:r w:rsidRPr="00F36850">
              <w:rPr>
                <w:b/>
                <w:sz w:val="18"/>
                <w:szCs w:val="18"/>
                <w:lang w:val="en-GB"/>
              </w:rPr>
              <w:t>2015</w:t>
            </w:r>
          </w:p>
        </w:tc>
      </w:tr>
      <w:tr w:rsidR="00B74747" w:rsidRPr="00056191" w14:paraId="3305B5EC" w14:textId="77777777" w:rsidTr="00B74747">
        <w:trPr>
          <w:jc w:val="center"/>
        </w:trPr>
        <w:tc>
          <w:tcPr>
            <w:tcW w:w="3964" w:type="dxa"/>
            <w:shd w:val="clear" w:color="auto" w:fill="auto"/>
          </w:tcPr>
          <w:p w14:paraId="6701ED6E" w14:textId="26EA92AF" w:rsidR="00B74747" w:rsidRPr="00056191" w:rsidRDefault="00B74747" w:rsidP="005D6B51">
            <w:pPr>
              <w:pStyle w:val="ExhibitText"/>
              <w:rPr>
                <w:sz w:val="18"/>
                <w:szCs w:val="18"/>
                <w:lang w:val="en-GB"/>
              </w:rPr>
            </w:pPr>
            <w:r w:rsidRPr="00056191">
              <w:rPr>
                <w:sz w:val="18"/>
                <w:szCs w:val="18"/>
                <w:lang w:val="en-GB"/>
              </w:rPr>
              <w:t>N</w:t>
            </w:r>
            <w:r>
              <w:rPr>
                <w:sz w:val="18"/>
                <w:szCs w:val="18"/>
                <w:lang w:val="en-GB"/>
              </w:rPr>
              <w:t>umber</w:t>
            </w:r>
            <w:r w:rsidRPr="00056191">
              <w:rPr>
                <w:sz w:val="18"/>
                <w:szCs w:val="18"/>
                <w:lang w:val="en-GB"/>
              </w:rPr>
              <w:t xml:space="preserve"> of CNG Stations</w:t>
            </w:r>
          </w:p>
        </w:tc>
        <w:tc>
          <w:tcPr>
            <w:tcW w:w="859" w:type="dxa"/>
            <w:shd w:val="clear" w:color="auto" w:fill="auto"/>
          </w:tcPr>
          <w:p w14:paraId="4FFE9397" w14:textId="77777777" w:rsidR="00B74747" w:rsidRPr="00056191" w:rsidRDefault="00B74747" w:rsidP="00567317">
            <w:pPr>
              <w:pStyle w:val="ExhibitText"/>
              <w:tabs>
                <w:tab w:val="decimal" w:pos="598"/>
              </w:tabs>
              <w:rPr>
                <w:sz w:val="18"/>
                <w:szCs w:val="18"/>
                <w:lang w:val="en-GB"/>
              </w:rPr>
            </w:pPr>
            <w:r w:rsidRPr="00056191">
              <w:rPr>
                <w:sz w:val="18"/>
                <w:szCs w:val="18"/>
                <w:lang w:val="en-GB"/>
              </w:rPr>
              <w:t>278</w:t>
            </w:r>
          </w:p>
        </w:tc>
        <w:tc>
          <w:tcPr>
            <w:tcW w:w="859" w:type="dxa"/>
            <w:shd w:val="clear" w:color="auto" w:fill="auto"/>
          </w:tcPr>
          <w:p w14:paraId="7470E0A5" w14:textId="77777777" w:rsidR="00B74747" w:rsidRPr="00056191" w:rsidRDefault="00B74747" w:rsidP="00567317">
            <w:pPr>
              <w:pStyle w:val="ExhibitText"/>
              <w:tabs>
                <w:tab w:val="decimal" w:pos="593"/>
              </w:tabs>
              <w:rPr>
                <w:sz w:val="18"/>
                <w:szCs w:val="18"/>
                <w:lang w:val="en-GB"/>
              </w:rPr>
            </w:pPr>
            <w:r w:rsidRPr="00056191">
              <w:rPr>
                <w:sz w:val="18"/>
                <w:szCs w:val="18"/>
                <w:lang w:val="en-GB"/>
              </w:rPr>
              <w:t>308</w:t>
            </w:r>
          </w:p>
        </w:tc>
        <w:tc>
          <w:tcPr>
            <w:tcW w:w="860" w:type="dxa"/>
            <w:shd w:val="clear" w:color="auto" w:fill="auto"/>
          </w:tcPr>
          <w:p w14:paraId="2966FD26" w14:textId="77777777" w:rsidR="00B74747" w:rsidRPr="00056191" w:rsidRDefault="00B74747" w:rsidP="00567317">
            <w:pPr>
              <w:pStyle w:val="ExhibitText"/>
              <w:tabs>
                <w:tab w:val="decimal" w:pos="587"/>
              </w:tabs>
              <w:rPr>
                <w:sz w:val="18"/>
                <w:szCs w:val="18"/>
                <w:lang w:val="en-GB"/>
              </w:rPr>
            </w:pPr>
            <w:r w:rsidRPr="00056191">
              <w:rPr>
                <w:sz w:val="18"/>
                <w:szCs w:val="18"/>
                <w:lang w:val="en-GB"/>
              </w:rPr>
              <w:t>324</w:t>
            </w:r>
          </w:p>
        </w:tc>
        <w:tc>
          <w:tcPr>
            <w:tcW w:w="859" w:type="dxa"/>
            <w:shd w:val="clear" w:color="auto" w:fill="auto"/>
          </w:tcPr>
          <w:p w14:paraId="6F0A6129" w14:textId="77777777" w:rsidR="00B74747" w:rsidRPr="00056191" w:rsidRDefault="00B74747" w:rsidP="00567317">
            <w:pPr>
              <w:pStyle w:val="ExhibitText"/>
              <w:tabs>
                <w:tab w:val="decimal" w:pos="574"/>
              </w:tabs>
              <w:rPr>
                <w:sz w:val="18"/>
                <w:szCs w:val="18"/>
                <w:lang w:val="en-GB"/>
              </w:rPr>
            </w:pPr>
            <w:r w:rsidRPr="00056191">
              <w:rPr>
                <w:sz w:val="18"/>
                <w:szCs w:val="18"/>
                <w:lang w:val="en-GB"/>
              </w:rPr>
              <w:t>325</w:t>
            </w:r>
          </w:p>
        </w:tc>
        <w:tc>
          <w:tcPr>
            <w:tcW w:w="859" w:type="dxa"/>
            <w:shd w:val="clear" w:color="auto" w:fill="auto"/>
          </w:tcPr>
          <w:p w14:paraId="7C3E513C" w14:textId="77777777" w:rsidR="00B74747" w:rsidRPr="00056191" w:rsidRDefault="00B74747" w:rsidP="00567317">
            <w:pPr>
              <w:pStyle w:val="ExhibitText"/>
              <w:tabs>
                <w:tab w:val="decimal" w:pos="568"/>
              </w:tabs>
              <w:rPr>
                <w:sz w:val="18"/>
                <w:szCs w:val="18"/>
                <w:lang w:val="en-GB"/>
              </w:rPr>
            </w:pPr>
            <w:r w:rsidRPr="00056191">
              <w:rPr>
                <w:sz w:val="18"/>
                <w:szCs w:val="18"/>
                <w:lang w:val="en-GB"/>
              </w:rPr>
              <w:t>326</w:t>
            </w:r>
          </w:p>
        </w:tc>
        <w:tc>
          <w:tcPr>
            <w:tcW w:w="860" w:type="dxa"/>
            <w:shd w:val="clear" w:color="auto" w:fill="auto"/>
          </w:tcPr>
          <w:p w14:paraId="7DBF6800" w14:textId="77777777" w:rsidR="00B74747" w:rsidRPr="00056191" w:rsidRDefault="00B74747" w:rsidP="00567317">
            <w:pPr>
              <w:pStyle w:val="ExhibitText"/>
              <w:tabs>
                <w:tab w:val="decimal" w:pos="555"/>
              </w:tabs>
              <w:rPr>
                <w:sz w:val="18"/>
                <w:szCs w:val="18"/>
                <w:lang w:val="en-GB"/>
              </w:rPr>
            </w:pPr>
            <w:r w:rsidRPr="00056191">
              <w:rPr>
                <w:sz w:val="18"/>
                <w:szCs w:val="18"/>
                <w:lang w:val="en-GB"/>
              </w:rPr>
              <w:t>326</w:t>
            </w:r>
          </w:p>
        </w:tc>
      </w:tr>
      <w:tr w:rsidR="00B74747" w:rsidRPr="00056191" w14:paraId="08EC3361" w14:textId="77777777" w:rsidTr="00B74747">
        <w:trPr>
          <w:jc w:val="center"/>
        </w:trPr>
        <w:tc>
          <w:tcPr>
            <w:tcW w:w="3964" w:type="dxa"/>
            <w:shd w:val="clear" w:color="auto" w:fill="auto"/>
          </w:tcPr>
          <w:p w14:paraId="71DF1440" w14:textId="4FF6E520" w:rsidR="00B74747" w:rsidRPr="00056191" w:rsidRDefault="00B74747" w:rsidP="005D6B51">
            <w:pPr>
              <w:pStyle w:val="ExhibitText"/>
              <w:rPr>
                <w:sz w:val="18"/>
                <w:szCs w:val="18"/>
                <w:lang w:val="en-GB"/>
              </w:rPr>
            </w:pPr>
            <w:r w:rsidRPr="00056191">
              <w:rPr>
                <w:sz w:val="18"/>
                <w:szCs w:val="18"/>
                <w:lang w:val="en-GB"/>
              </w:rPr>
              <w:t>Compression Capacity</w:t>
            </w:r>
            <w:r>
              <w:rPr>
                <w:sz w:val="18"/>
                <w:szCs w:val="18"/>
                <w:lang w:val="en-GB"/>
              </w:rPr>
              <w:t xml:space="preserve"> (</w:t>
            </w:r>
            <w:r w:rsidR="007461DA">
              <w:rPr>
                <w:sz w:val="18"/>
                <w:szCs w:val="18"/>
                <w:lang w:val="en-GB"/>
              </w:rPr>
              <w:t>T</w:t>
            </w:r>
            <w:r>
              <w:rPr>
                <w:sz w:val="18"/>
                <w:szCs w:val="18"/>
                <w:lang w:val="en-GB"/>
              </w:rPr>
              <w:t>housand kg/day)</w:t>
            </w:r>
          </w:p>
        </w:tc>
        <w:tc>
          <w:tcPr>
            <w:tcW w:w="859" w:type="dxa"/>
            <w:shd w:val="clear" w:color="auto" w:fill="auto"/>
          </w:tcPr>
          <w:p w14:paraId="1618BD2F" w14:textId="77777777" w:rsidR="00B74747" w:rsidRPr="00056191" w:rsidRDefault="00B74747" w:rsidP="00567317">
            <w:pPr>
              <w:pStyle w:val="ExhibitText"/>
              <w:tabs>
                <w:tab w:val="decimal" w:pos="598"/>
              </w:tabs>
              <w:rPr>
                <w:sz w:val="18"/>
                <w:szCs w:val="18"/>
                <w:lang w:val="en-GB"/>
              </w:rPr>
            </w:pPr>
            <w:r w:rsidRPr="00056191">
              <w:rPr>
                <w:sz w:val="18"/>
                <w:szCs w:val="18"/>
                <w:lang w:val="en-GB"/>
              </w:rPr>
              <w:t>5</w:t>
            </w:r>
            <w:r>
              <w:rPr>
                <w:sz w:val="18"/>
                <w:szCs w:val="18"/>
                <w:lang w:val="en-GB"/>
              </w:rPr>
              <w:t>,</w:t>
            </w:r>
            <w:r w:rsidRPr="00056191">
              <w:rPr>
                <w:sz w:val="18"/>
                <w:szCs w:val="18"/>
                <w:lang w:val="en-GB"/>
              </w:rPr>
              <w:t>113</w:t>
            </w:r>
          </w:p>
        </w:tc>
        <w:tc>
          <w:tcPr>
            <w:tcW w:w="859" w:type="dxa"/>
            <w:shd w:val="clear" w:color="auto" w:fill="auto"/>
          </w:tcPr>
          <w:p w14:paraId="4E1E7722" w14:textId="77777777" w:rsidR="00B74747" w:rsidRPr="00056191" w:rsidRDefault="00B74747" w:rsidP="00567317">
            <w:pPr>
              <w:pStyle w:val="ExhibitText"/>
              <w:tabs>
                <w:tab w:val="decimal" w:pos="593"/>
              </w:tabs>
              <w:rPr>
                <w:sz w:val="18"/>
                <w:szCs w:val="18"/>
                <w:lang w:val="en-GB"/>
              </w:rPr>
            </w:pPr>
            <w:r w:rsidRPr="00056191">
              <w:rPr>
                <w:sz w:val="18"/>
                <w:szCs w:val="18"/>
                <w:lang w:val="en-GB"/>
              </w:rPr>
              <w:t>5</w:t>
            </w:r>
            <w:r>
              <w:rPr>
                <w:sz w:val="18"/>
                <w:szCs w:val="18"/>
                <w:lang w:val="en-GB"/>
              </w:rPr>
              <w:t>,</w:t>
            </w:r>
            <w:r w:rsidRPr="00056191">
              <w:rPr>
                <w:sz w:val="18"/>
                <w:szCs w:val="18"/>
                <w:lang w:val="en-GB"/>
              </w:rPr>
              <w:t>956</w:t>
            </w:r>
          </w:p>
        </w:tc>
        <w:tc>
          <w:tcPr>
            <w:tcW w:w="860" w:type="dxa"/>
            <w:shd w:val="clear" w:color="auto" w:fill="auto"/>
          </w:tcPr>
          <w:p w14:paraId="01CD4300" w14:textId="77777777" w:rsidR="00B74747" w:rsidRPr="00056191" w:rsidRDefault="00B74747" w:rsidP="00567317">
            <w:pPr>
              <w:pStyle w:val="ExhibitText"/>
              <w:tabs>
                <w:tab w:val="decimal" w:pos="587"/>
              </w:tabs>
              <w:rPr>
                <w:sz w:val="18"/>
                <w:szCs w:val="18"/>
                <w:lang w:val="en-GB"/>
              </w:rPr>
            </w:pPr>
            <w:r w:rsidRPr="00056191">
              <w:rPr>
                <w:sz w:val="18"/>
                <w:szCs w:val="18"/>
                <w:lang w:val="en-GB"/>
              </w:rPr>
              <w:t>6</w:t>
            </w:r>
            <w:r>
              <w:rPr>
                <w:sz w:val="18"/>
                <w:szCs w:val="18"/>
                <w:lang w:val="en-GB"/>
              </w:rPr>
              <w:t>,</w:t>
            </w:r>
            <w:r w:rsidRPr="00056191">
              <w:rPr>
                <w:sz w:val="18"/>
                <w:szCs w:val="18"/>
                <w:lang w:val="en-GB"/>
              </w:rPr>
              <w:t>383</w:t>
            </w:r>
          </w:p>
        </w:tc>
        <w:tc>
          <w:tcPr>
            <w:tcW w:w="859" w:type="dxa"/>
            <w:shd w:val="clear" w:color="auto" w:fill="auto"/>
          </w:tcPr>
          <w:p w14:paraId="3A8FFCD7" w14:textId="77777777" w:rsidR="00B74747" w:rsidRPr="00056191" w:rsidRDefault="00B74747" w:rsidP="00567317">
            <w:pPr>
              <w:pStyle w:val="ExhibitText"/>
              <w:tabs>
                <w:tab w:val="decimal" w:pos="574"/>
              </w:tabs>
              <w:rPr>
                <w:sz w:val="18"/>
                <w:szCs w:val="18"/>
                <w:lang w:val="en-GB"/>
              </w:rPr>
            </w:pPr>
            <w:r w:rsidRPr="00056191">
              <w:rPr>
                <w:sz w:val="18"/>
                <w:szCs w:val="18"/>
                <w:lang w:val="en-GB"/>
              </w:rPr>
              <w:t>6</w:t>
            </w:r>
            <w:r>
              <w:rPr>
                <w:sz w:val="18"/>
                <w:szCs w:val="18"/>
                <w:lang w:val="en-GB"/>
              </w:rPr>
              <w:t>,</w:t>
            </w:r>
            <w:r w:rsidRPr="00056191">
              <w:rPr>
                <w:sz w:val="18"/>
                <w:szCs w:val="18"/>
                <w:lang w:val="en-GB"/>
              </w:rPr>
              <w:t>617</w:t>
            </w:r>
          </w:p>
        </w:tc>
        <w:tc>
          <w:tcPr>
            <w:tcW w:w="859" w:type="dxa"/>
            <w:shd w:val="clear" w:color="auto" w:fill="auto"/>
          </w:tcPr>
          <w:p w14:paraId="40E39388" w14:textId="77777777" w:rsidR="00B74747" w:rsidRPr="00056191" w:rsidRDefault="00B74747" w:rsidP="00567317">
            <w:pPr>
              <w:pStyle w:val="ExhibitText"/>
              <w:tabs>
                <w:tab w:val="decimal" w:pos="568"/>
              </w:tabs>
              <w:rPr>
                <w:sz w:val="18"/>
                <w:szCs w:val="18"/>
                <w:lang w:val="en-GB"/>
              </w:rPr>
            </w:pPr>
            <w:r w:rsidRPr="00056191">
              <w:rPr>
                <w:sz w:val="18"/>
                <w:szCs w:val="18"/>
                <w:lang w:val="en-GB"/>
              </w:rPr>
              <w:t>6</w:t>
            </w:r>
            <w:r>
              <w:rPr>
                <w:sz w:val="18"/>
                <w:szCs w:val="18"/>
                <w:lang w:val="en-GB"/>
              </w:rPr>
              <w:t>,</w:t>
            </w:r>
            <w:r w:rsidRPr="00056191">
              <w:rPr>
                <w:sz w:val="18"/>
                <w:szCs w:val="18"/>
                <w:lang w:val="en-GB"/>
              </w:rPr>
              <w:t>849</w:t>
            </w:r>
          </w:p>
        </w:tc>
        <w:tc>
          <w:tcPr>
            <w:tcW w:w="860" w:type="dxa"/>
            <w:shd w:val="clear" w:color="auto" w:fill="auto"/>
          </w:tcPr>
          <w:p w14:paraId="759FA790" w14:textId="77777777" w:rsidR="00B74747" w:rsidRPr="00056191" w:rsidRDefault="00B74747" w:rsidP="00567317">
            <w:pPr>
              <w:pStyle w:val="ExhibitText"/>
              <w:tabs>
                <w:tab w:val="decimal" w:pos="555"/>
              </w:tabs>
              <w:rPr>
                <w:sz w:val="18"/>
                <w:szCs w:val="18"/>
                <w:lang w:val="en-GB"/>
              </w:rPr>
            </w:pPr>
            <w:r w:rsidRPr="00056191">
              <w:rPr>
                <w:sz w:val="18"/>
                <w:szCs w:val="18"/>
                <w:lang w:val="en-GB"/>
              </w:rPr>
              <w:t>6</w:t>
            </w:r>
            <w:r>
              <w:rPr>
                <w:sz w:val="18"/>
                <w:szCs w:val="18"/>
                <w:lang w:val="en-GB"/>
              </w:rPr>
              <w:t>,</w:t>
            </w:r>
            <w:r w:rsidRPr="00056191">
              <w:rPr>
                <w:sz w:val="18"/>
                <w:szCs w:val="18"/>
                <w:lang w:val="en-GB"/>
              </w:rPr>
              <w:t>849</w:t>
            </w:r>
          </w:p>
        </w:tc>
      </w:tr>
      <w:tr w:rsidR="00B74747" w:rsidRPr="00056191" w14:paraId="47285EA6" w14:textId="77777777" w:rsidTr="00B74747">
        <w:trPr>
          <w:jc w:val="center"/>
        </w:trPr>
        <w:tc>
          <w:tcPr>
            <w:tcW w:w="3964" w:type="dxa"/>
            <w:shd w:val="clear" w:color="auto" w:fill="auto"/>
          </w:tcPr>
          <w:p w14:paraId="7126BD18" w14:textId="7B889289" w:rsidR="00B74747" w:rsidRPr="00056191" w:rsidRDefault="00B74747" w:rsidP="005D6B51">
            <w:pPr>
              <w:pStyle w:val="ExhibitText"/>
              <w:rPr>
                <w:sz w:val="18"/>
                <w:szCs w:val="18"/>
                <w:lang w:val="en-GB"/>
              </w:rPr>
            </w:pPr>
            <w:r w:rsidRPr="00056191">
              <w:rPr>
                <w:sz w:val="18"/>
                <w:szCs w:val="18"/>
                <w:lang w:val="en-GB"/>
              </w:rPr>
              <w:t>Average Daily CNG Sale</w:t>
            </w:r>
            <w:r>
              <w:rPr>
                <w:sz w:val="18"/>
                <w:szCs w:val="18"/>
                <w:lang w:val="en-GB"/>
              </w:rPr>
              <w:t xml:space="preserve"> (</w:t>
            </w:r>
            <w:r w:rsidR="007461DA">
              <w:rPr>
                <w:sz w:val="18"/>
                <w:szCs w:val="18"/>
                <w:lang w:val="en-GB"/>
              </w:rPr>
              <w:t>T</w:t>
            </w:r>
            <w:r>
              <w:rPr>
                <w:sz w:val="18"/>
                <w:szCs w:val="18"/>
                <w:lang w:val="en-GB"/>
              </w:rPr>
              <w:t>housand kg/day)</w:t>
            </w:r>
          </w:p>
        </w:tc>
        <w:tc>
          <w:tcPr>
            <w:tcW w:w="859" w:type="dxa"/>
            <w:shd w:val="clear" w:color="auto" w:fill="auto"/>
          </w:tcPr>
          <w:p w14:paraId="76314238" w14:textId="77777777" w:rsidR="00B74747" w:rsidRPr="00056191" w:rsidRDefault="00B74747" w:rsidP="00567317">
            <w:pPr>
              <w:pStyle w:val="ExhibitText"/>
              <w:tabs>
                <w:tab w:val="decimal" w:pos="598"/>
              </w:tabs>
              <w:rPr>
                <w:sz w:val="18"/>
                <w:szCs w:val="18"/>
                <w:lang w:val="en-GB"/>
              </w:rPr>
            </w:pPr>
            <w:r w:rsidRPr="00056191">
              <w:rPr>
                <w:sz w:val="18"/>
                <w:szCs w:val="18"/>
                <w:lang w:val="en-GB"/>
              </w:rPr>
              <w:t>1</w:t>
            </w:r>
            <w:r>
              <w:rPr>
                <w:sz w:val="18"/>
                <w:szCs w:val="18"/>
                <w:lang w:val="en-GB"/>
              </w:rPr>
              <w:t>,</w:t>
            </w:r>
            <w:r w:rsidRPr="00056191">
              <w:rPr>
                <w:sz w:val="18"/>
                <w:szCs w:val="18"/>
                <w:lang w:val="en-GB"/>
              </w:rPr>
              <w:t>671</w:t>
            </w:r>
          </w:p>
        </w:tc>
        <w:tc>
          <w:tcPr>
            <w:tcW w:w="859" w:type="dxa"/>
            <w:shd w:val="clear" w:color="auto" w:fill="auto"/>
          </w:tcPr>
          <w:p w14:paraId="5AC64BF6" w14:textId="77777777" w:rsidR="00B74747" w:rsidRPr="00056191" w:rsidRDefault="00B74747" w:rsidP="00567317">
            <w:pPr>
              <w:pStyle w:val="ExhibitText"/>
              <w:tabs>
                <w:tab w:val="decimal" w:pos="593"/>
              </w:tabs>
              <w:rPr>
                <w:sz w:val="18"/>
                <w:szCs w:val="18"/>
                <w:lang w:val="en-GB"/>
              </w:rPr>
            </w:pPr>
            <w:r w:rsidRPr="00056191">
              <w:rPr>
                <w:sz w:val="18"/>
                <w:szCs w:val="18"/>
                <w:lang w:val="en-GB"/>
              </w:rPr>
              <w:t>1</w:t>
            </w:r>
            <w:r>
              <w:rPr>
                <w:sz w:val="18"/>
                <w:szCs w:val="18"/>
                <w:lang w:val="en-GB"/>
              </w:rPr>
              <w:t>,</w:t>
            </w:r>
            <w:r w:rsidRPr="00056191">
              <w:rPr>
                <w:sz w:val="18"/>
                <w:szCs w:val="18"/>
                <w:lang w:val="en-GB"/>
              </w:rPr>
              <w:t>915</w:t>
            </w:r>
          </w:p>
        </w:tc>
        <w:tc>
          <w:tcPr>
            <w:tcW w:w="860" w:type="dxa"/>
            <w:shd w:val="clear" w:color="auto" w:fill="auto"/>
          </w:tcPr>
          <w:p w14:paraId="045D12AF" w14:textId="77777777" w:rsidR="00B74747" w:rsidRPr="00056191" w:rsidRDefault="00B74747" w:rsidP="00567317">
            <w:pPr>
              <w:pStyle w:val="ExhibitText"/>
              <w:tabs>
                <w:tab w:val="decimal" w:pos="587"/>
              </w:tabs>
              <w:rPr>
                <w:sz w:val="18"/>
                <w:szCs w:val="18"/>
                <w:lang w:val="en-GB"/>
              </w:rPr>
            </w:pPr>
            <w:r w:rsidRPr="00056191">
              <w:rPr>
                <w:sz w:val="18"/>
                <w:szCs w:val="18"/>
                <w:lang w:val="en-GB"/>
              </w:rPr>
              <w:t>2</w:t>
            </w:r>
            <w:r>
              <w:rPr>
                <w:sz w:val="18"/>
                <w:szCs w:val="18"/>
                <w:lang w:val="en-GB"/>
              </w:rPr>
              <w:t>,</w:t>
            </w:r>
            <w:r w:rsidRPr="00056191">
              <w:rPr>
                <w:sz w:val="18"/>
                <w:szCs w:val="18"/>
                <w:lang w:val="en-GB"/>
              </w:rPr>
              <w:t>072</w:t>
            </w:r>
          </w:p>
        </w:tc>
        <w:tc>
          <w:tcPr>
            <w:tcW w:w="859" w:type="dxa"/>
            <w:shd w:val="clear" w:color="auto" w:fill="auto"/>
          </w:tcPr>
          <w:p w14:paraId="01A26FC9" w14:textId="77777777" w:rsidR="00B74747" w:rsidRPr="00056191" w:rsidRDefault="00B74747" w:rsidP="00567317">
            <w:pPr>
              <w:pStyle w:val="ExhibitText"/>
              <w:tabs>
                <w:tab w:val="decimal" w:pos="574"/>
              </w:tabs>
              <w:rPr>
                <w:sz w:val="18"/>
                <w:szCs w:val="18"/>
                <w:lang w:val="en-GB"/>
              </w:rPr>
            </w:pPr>
            <w:r w:rsidRPr="00056191">
              <w:rPr>
                <w:sz w:val="18"/>
                <w:szCs w:val="18"/>
                <w:lang w:val="en-GB"/>
              </w:rPr>
              <w:t>2</w:t>
            </w:r>
            <w:r>
              <w:rPr>
                <w:sz w:val="18"/>
                <w:szCs w:val="18"/>
                <w:lang w:val="en-GB"/>
              </w:rPr>
              <w:t>,</w:t>
            </w:r>
            <w:r w:rsidRPr="00056191">
              <w:rPr>
                <w:sz w:val="18"/>
                <w:szCs w:val="18"/>
                <w:lang w:val="en-GB"/>
              </w:rPr>
              <w:t>120</w:t>
            </w:r>
          </w:p>
        </w:tc>
        <w:tc>
          <w:tcPr>
            <w:tcW w:w="859" w:type="dxa"/>
            <w:shd w:val="clear" w:color="auto" w:fill="auto"/>
          </w:tcPr>
          <w:p w14:paraId="4FA72BF0" w14:textId="77777777" w:rsidR="00B74747" w:rsidRPr="00056191" w:rsidRDefault="00B74747" w:rsidP="00567317">
            <w:pPr>
              <w:pStyle w:val="ExhibitText"/>
              <w:tabs>
                <w:tab w:val="decimal" w:pos="568"/>
              </w:tabs>
              <w:rPr>
                <w:sz w:val="18"/>
                <w:szCs w:val="18"/>
                <w:lang w:val="en-GB"/>
              </w:rPr>
            </w:pPr>
            <w:r w:rsidRPr="00056191">
              <w:rPr>
                <w:sz w:val="18"/>
                <w:szCs w:val="18"/>
                <w:lang w:val="en-GB"/>
              </w:rPr>
              <w:t>2</w:t>
            </w:r>
            <w:r>
              <w:rPr>
                <w:sz w:val="18"/>
                <w:szCs w:val="18"/>
                <w:lang w:val="en-GB"/>
              </w:rPr>
              <w:t>,</w:t>
            </w:r>
            <w:r w:rsidRPr="00056191">
              <w:rPr>
                <w:sz w:val="18"/>
                <w:szCs w:val="18"/>
                <w:lang w:val="en-GB"/>
              </w:rPr>
              <w:t>207</w:t>
            </w:r>
          </w:p>
        </w:tc>
        <w:tc>
          <w:tcPr>
            <w:tcW w:w="860" w:type="dxa"/>
            <w:shd w:val="clear" w:color="auto" w:fill="auto"/>
          </w:tcPr>
          <w:p w14:paraId="5B4D7FB0" w14:textId="77777777" w:rsidR="00B74747" w:rsidRPr="00056191" w:rsidRDefault="00B74747" w:rsidP="00567317">
            <w:pPr>
              <w:pStyle w:val="ExhibitText"/>
              <w:tabs>
                <w:tab w:val="decimal" w:pos="555"/>
              </w:tabs>
              <w:rPr>
                <w:sz w:val="18"/>
                <w:szCs w:val="18"/>
                <w:lang w:val="en-GB"/>
              </w:rPr>
            </w:pPr>
            <w:r w:rsidRPr="00056191">
              <w:rPr>
                <w:sz w:val="18"/>
                <w:szCs w:val="18"/>
                <w:lang w:val="en-GB"/>
              </w:rPr>
              <w:t>2</w:t>
            </w:r>
            <w:r>
              <w:rPr>
                <w:sz w:val="18"/>
                <w:szCs w:val="18"/>
                <w:lang w:val="en-GB"/>
              </w:rPr>
              <w:t>,</w:t>
            </w:r>
            <w:r w:rsidRPr="00056191">
              <w:rPr>
                <w:sz w:val="18"/>
                <w:szCs w:val="18"/>
                <w:lang w:val="en-GB"/>
              </w:rPr>
              <w:t>220</w:t>
            </w:r>
          </w:p>
        </w:tc>
      </w:tr>
    </w:tbl>
    <w:p w14:paraId="710FCE1D" w14:textId="7E9D300C" w:rsidR="00B74747" w:rsidRDefault="00B74747" w:rsidP="00BC31D5">
      <w:pPr>
        <w:pStyle w:val="BodyTextMain"/>
        <w:rPr>
          <w:lang w:val="en-GB"/>
        </w:rPr>
      </w:pPr>
    </w:p>
    <w:p w14:paraId="507AFF6C" w14:textId="4C6F4066" w:rsidR="00B74747" w:rsidRDefault="00B74747" w:rsidP="00BC31D5">
      <w:pPr>
        <w:pStyle w:val="Footnote"/>
        <w:rPr>
          <w:spacing w:val="-4"/>
          <w:lang w:val="en-GB"/>
        </w:rPr>
      </w:pPr>
      <w:r>
        <w:rPr>
          <w:spacing w:val="-4"/>
          <w:lang w:val="en-GB"/>
        </w:rPr>
        <w:t xml:space="preserve">Note: CNG = compressed natural gas; kg = kilograms </w:t>
      </w:r>
    </w:p>
    <w:p w14:paraId="01ECF2CB" w14:textId="416A87C8" w:rsidR="00BC31D5" w:rsidRPr="00056191" w:rsidRDefault="00BC31D5" w:rsidP="00BC31D5">
      <w:pPr>
        <w:pStyle w:val="Footnote"/>
        <w:rPr>
          <w:spacing w:val="-4"/>
          <w:lang w:val="en-GB"/>
        </w:rPr>
      </w:pPr>
      <w:r w:rsidRPr="00056191">
        <w:rPr>
          <w:spacing w:val="-4"/>
          <w:lang w:val="en-GB"/>
        </w:rPr>
        <w:t>Source: I</w:t>
      </w:r>
      <w:r w:rsidR="00E42050">
        <w:rPr>
          <w:lang w:val="en-GB"/>
        </w:rPr>
        <w:t xml:space="preserve">ndraprastha </w:t>
      </w:r>
      <w:r w:rsidRPr="00056191">
        <w:rPr>
          <w:spacing w:val="-4"/>
          <w:lang w:val="en-GB"/>
        </w:rPr>
        <w:t>G</w:t>
      </w:r>
      <w:r w:rsidR="00E42050">
        <w:rPr>
          <w:spacing w:val="-4"/>
          <w:lang w:val="en-GB"/>
        </w:rPr>
        <w:t xml:space="preserve">as </w:t>
      </w:r>
      <w:r w:rsidRPr="00056191">
        <w:rPr>
          <w:spacing w:val="-4"/>
          <w:lang w:val="en-GB"/>
        </w:rPr>
        <w:t>L</w:t>
      </w:r>
      <w:r w:rsidR="00E42050">
        <w:rPr>
          <w:spacing w:val="-4"/>
          <w:lang w:val="en-GB"/>
        </w:rPr>
        <w:t>imited</w:t>
      </w:r>
      <w:r w:rsidRPr="00056191">
        <w:rPr>
          <w:spacing w:val="-4"/>
          <w:lang w:val="en-GB"/>
        </w:rPr>
        <w:t xml:space="preserve">, </w:t>
      </w:r>
      <w:r w:rsidRPr="00F36850">
        <w:rPr>
          <w:i/>
          <w:spacing w:val="-4"/>
          <w:lang w:val="en-GB"/>
        </w:rPr>
        <w:t xml:space="preserve">IGL Investor </w:t>
      </w:r>
      <w:r w:rsidR="007461DA">
        <w:rPr>
          <w:i/>
          <w:spacing w:val="-4"/>
          <w:lang w:val="en-GB"/>
        </w:rPr>
        <w:t>P</w:t>
      </w:r>
      <w:r w:rsidRPr="00F36850">
        <w:rPr>
          <w:i/>
          <w:spacing w:val="-4"/>
          <w:lang w:val="en-GB"/>
        </w:rPr>
        <w:t>resentation</w:t>
      </w:r>
      <w:r w:rsidR="00E42050" w:rsidRPr="00F36850">
        <w:rPr>
          <w:i/>
          <w:spacing w:val="-4"/>
          <w:lang w:val="en-GB"/>
        </w:rPr>
        <w:t>,</w:t>
      </w:r>
      <w:r w:rsidRPr="00056191">
        <w:rPr>
          <w:spacing w:val="-4"/>
          <w:lang w:val="en-GB"/>
        </w:rPr>
        <w:t xml:space="preserve"> </w:t>
      </w:r>
      <w:r w:rsidR="00E42050">
        <w:rPr>
          <w:spacing w:val="-4"/>
          <w:lang w:val="en-GB"/>
        </w:rPr>
        <w:t xml:space="preserve">10, August </w:t>
      </w:r>
      <w:r w:rsidRPr="00056191">
        <w:rPr>
          <w:spacing w:val="-4"/>
          <w:lang w:val="en-GB"/>
        </w:rPr>
        <w:t>26</w:t>
      </w:r>
      <w:r w:rsidR="00E42050">
        <w:rPr>
          <w:spacing w:val="-4"/>
          <w:lang w:val="en-GB"/>
        </w:rPr>
        <w:t xml:space="preserve">, </w:t>
      </w:r>
      <w:r w:rsidRPr="00056191">
        <w:rPr>
          <w:spacing w:val="-4"/>
          <w:lang w:val="en-GB"/>
        </w:rPr>
        <w:t xml:space="preserve">2015, </w:t>
      </w:r>
      <w:r w:rsidR="00E42050">
        <w:rPr>
          <w:spacing w:val="-4"/>
          <w:lang w:val="en-GB"/>
        </w:rPr>
        <w:t xml:space="preserve">accessed June 19, 2018, </w:t>
      </w:r>
      <w:r w:rsidRPr="00056191">
        <w:rPr>
          <w:spacing w:val="-4"/>
          <w:lang w:val="en-GB"/>
        </w:rPr>
        <w:t>www.iglonline.net//english/Default.aspx?option=article&amp;type=single&amp;id=35&amp;mnuid=220&amp;prvtyp=site</w:t>
      </w:r>
      <w:r w:rsidR="00E42050">
        <w:rPr>
          <w:spacing w:val="-4"/>
          <w:lang w:val="en-GB"/>
        </w:rPr>
        <w:t>.</w:t>
      </w:r>
    </w:p>
    <w:sectPr w:rsidR="00BC31D5" w:rsidRPr="00056191"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6C3D8C" w16cid:durableId="2082B0F5"/>
  <w16cid:commentId w16cid:paraId="15F38578" w16cid:durableId="2082B2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D1BB4" w14:textId="77777777" w:rsidR="00743F73" w:rsidRDefault="00743F73" w:rsidP="00D75295">
      <w:r>
        <w:separator/>
      </w:r>
    </w:p>
  </w:endnote>
  <w:endnote w:type="continuationSeparator" w:id="0">
    <w:p w14:paraId="742BB9FE" w14:textId="77777777" w:rsidR="00743F73" w:rsidRDefault="00743F7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39B75" w14:textId="77777777" w:rsidR="00743F73" w:rsidRDefault="00743F73" w:rsidP="00D75295">
      <w:r>
        <w:separator/>
      </w:r>
    </w:p>
  </w:footnote>
  <w:footnote w:type="continuationSeparator" w:id="0">
    <w:p w14:paraId="1870CA0B" w14:textId="77777777" w:rsidR="00743F73" w:rsidRDefault="00743F73" w:rsidP="00D75295">
      <w:r>
        <w:continuationSeparator/>
      </w:r>
    </w:p>
  </w:footnote>
  <w:footnote w:id="1">
    <w:p w14:paraId="2EA62D4C" w14:textId="77777777" w:rsidR="003E464B" w:rsidRPr="0020586B" w:rsidRDefault="003E464B" w:rsidP="003E464B">
      <w:pPr>
        <w:pStyle w:val="Footnote"/>
      </w:pPr>
      <w:r w:rsidRPr="0020586B">
        <w:rPr>
          <w:rStyle w:val="FootnoteReference"/>
        </w:rPr>
        <w:footnoteRef/>
      </w:r>
      <w:r w:rsidRPr="0020586B">
        <w:t xml:space="preserve"> </w:t>
      </w:r>
      <w:r>
        <w:t>“</w:t>
      </w:r>
      <w:r w:rsidRPr="0020586B">
        <w:t xml:space="preserve">Delhi </w:t>
      </w:r>
      <w:r>
        <w:t>G</w:t>
      </w:r>
      <w:r w:rsidRPr="0020586B">
        <w:t xml:space="preserve">ovt </w:t>
      </w:r>
      <w:r>
        <w:t>S</w:t>
      </w:r>
      <w:r w:rsidRPr="0020586B">
        <w:t xml:space="preserve">ays </w:t>
      </w:r>
      <w:r>
        <w:t>O</w:t>
      </w:r>
      <w:r w:rsidRPr="0020586B">
        <w:t>dd-</w:t>
      </w:r>
      <w:r>
        <w:t>E</w:t>
      </w:r>
      <w:r w:rsidRPr="0020586B">
        <w:t xml:space="preserve">ven </w:t>
      </w:r>
      <w:r>
        <w:t>F</w:t>
      </w:r>
      <w:r w:rsidRPr="0020586B">
        <w:t>ormula from Jan 1</w:t>
      </w:r>
      <w:r>
        <w:t xml:space="preserve"> </w:t>
      </w:r>
      <w:r w:rsidRPr="0020586B">
        <w:t xml:space="preserve">on </w:t>
      </w:r>
      <w:r>
        <w:t>B</w:t>
      </w:r>
      <w:r w:rsidRPr="0020586B">
        <w:t xml:space="preserve">asis of </w:t>
      </w:r>
      <w:r>
        <w:t>D</w:t>
      </w:r>
      <w:r w:rsidRPr="0020586B">
        <w:t xml:space="preserve">ates, </w:t>
      </w:r>
      <w:r>
        <w:t>N</w:t>
      </w:r>
      <w:r w:rsidRPr="0020586B">
        <w:t xml:space="preserve">ot </w:t>
      </w:r>
      <w:r>
        <w:t>D</w:t>
      </w:r>
      <w:r w:rsidRPr="0020586B">
        <w:t>ays,</w:t>
      </w:r>
      <w:r>
        <w:t>”</w:t>
      </w:r>
      <w:r w:rsidRPr="0020586B">
        <w:t xml:space="preserve"> </w:t>
      </w:r>
      <w:r w:rsidRPr="00567317">
        <w:rPr>
          <w:i/>
        </w:rPr>
        <w:t>Hindustan Times</w:t>
      </w:r>
      <w:r w:rsidRPr="0020586B">
        <w:t xml:space="preserve">, December 8, 2015, </w:t>
      </w:r>
      <w:r>
        <w:t xml:space="preserve">accessed June 29, 2018, </w:t>
      </w:r>
      <w:r w:rsidRPr="003E10AE">
        <w:t>www.hindustantimes.com/cities/15-day-delhi-car-rationing-trial-from-january-1-formula-based-on-dates/story-olR8WpDzUqlMv2G1Ri4M3J.html</w:t>
      </w:r>
      <w:r>
        <w:t>.</w:t>
      </w:r>
    </w:p>
  </w:footnote>
  <w:footnote w:id="2">
    <w:p w14:paraId="29D56230" w14:textId="60C15B29" w:rsidR="003E464B" w:rsidRDefault="00050A9D" w:rsidP="00567317">
      <w:pPr>
        <w:pStyle w:val="Footnote"/>
      </w:pPr>
      <w:r w:rsidRPr="003E10AE">
        <w:rPr>
          <w:rStyle w:val="FootnoteReference"/>
        </w:rPr>
        <w:footnoteRef/>
      </w:r>
      <w:r>
        <w:t xml:space="preserve"> </w:t>
      </w:r>
      <w:r w:rsidRPr="00F7785B">
        <w:t xml:space="preserve">Supreme Court of India, </w:t>
      </w:r>
      <w:r w:rsidRPr="00F36850">
        <w:rPr>
          <w:i/>
        </w:rPr>
        <w:t xml:space="preserve">Supreme Court </w:t>
      </w:r>
      <w:r w:rsidR="00F7785B" w:rsidRPr="00F36850">
        <w:rPr>
          <w:i/>
        </w:rPr>
        <w:t>O</w:t>
      </w:r>
      <w:r w:rsidRPr="00F36850">
        <w:rPr>
          <w:i/>
        </w:rPr>
        <w:t xml:space="preserve">rder </w:t>
      </w:r>
      <w:r w:rsidR="00F7785B" w:rsidRPr="00F36850">
        <w:rPr>
          <w:i/>
        </w:rPr>
        <w:t>D</w:t>
      </w:r>
      <w:r w:rsidRPr="00F36850">
        <w:rPr>
          <w:i/>
        </w:rPr>
        <w:t xml:space="preserve">ated July 28, 1998, in the </w:t>
      </w:r>
      <w:r w:rsidR="00F7785B" w:rsidRPr="00F36850">
        <w:rPr>
          <w:i/>
        </w:rPr>
        <w:t>C</w:t>
      </w:r>
      <w:r w:rsidRPr="00F36850">
        <w:rPr>
          <w:i/>
        </w:rPr>
        <w:t xml:space="preserve">ase of M. C. Mehta versus Union of India &amp; Ors on </w:t>
      </w:r>
      <w:r w:rsidR="00F7785B" w:rsidRPr="00F36850">
        <w:rPr>
          <w:i/>
        </w:rPr>
        <w:t>V</w:t>
      </w:r>
      <w:r w:rsidRPr="00F36850">
        <w:rPr>
          <w:i/>
        </w:rPr>
        <w:t xml:space="preserve">ehicular </w:t>
      </w:r>
      <w:r w:rsidR="00F7785B" w:rsidRPr="00F36850">
        <w:rPr>
          <w:i/>
        </w:rPr>
        <w:t>P</w:t>
      </w:r>
      <w:r w:rsidRPr="00F36850">
        <w:rPr>
          <w:i/>
        </w:rPr>
        <w:t>ollution in Delhi</w:t>
      </w:r>
      <w:r w:rsidRPr="00F7785B">
        <w:t xml:space="preserve">, July 28, 1998, accessed June 19, 2018, </w:t>
      </w:r>
      <w:r w:rsidR="003E464B" w:rsidRPr="0050100F">
        <w:t>www.indiaenvironmentportal.org.in/</w:t>
      </w:r>
      <w:r w:rsidRPr="00F7785B">
        <w:t>files/file/28%</w:t>
      </w:r>
    </w:p>
    <w:p w14:paraId="19A574E8" w14:textId="7A24A772" w:rsidR="00050A9D" w:rsidRPr="0020586B" w:rsidRDefault="00050A9D" w:rsidP="00567317">
      <w:pPr>
        <w:pStyle w:val="Footnote"/>
      </w:pPr>
      <w:r w:rsidRPr="00F7785B">
        <w:t>20July%201998.pdf.</w:t>
      </w:r>
    </w:p>
  </w:footnote>
  <w:footnote w:id="3">
    <w:p w14:paraId="7B829875" w14:textId="63B96951" w:rsidR="00050A9D" w:rsidRPr="0020586B" w:rsidRDefault="00050A9D" w:rsidP="00567317">
      <w:pPr>
        <w:pStyle w:val="Footnote"/>
      </w:pPr>
      <w:r w:rsidRPr="003E10AE">
        <w:rPr>
          <w:rStyle w:val="FootnoteReference"/>
        </w:rPr>
        <w:footnoteRef/>
      </w:r>
      <w:r>
        <w:t xml:space="preserve"> Vinish </w:t>
      </w:r>
      <w:r w:rsidRPr="0020586B">
        <w:t xml:space="preserve">Kathuria, </w:t>
      </w:r>
      <w:r>
        <w:t>“</w:t>
      </w:r>
      <w:r w:rsidRPr="0020586B">
        <w:t xml:space="preserve">Impact of CNG on </w:t>
      </w:r>
      <w:r>
        <w:t>V</w:t>
      </w:r>
      <w:r w:rsidRPr="0020586B">
        <w:t xml:space="preserve">ehicular </w:t>
      </w:r>
      <w:r>
        <w:t>P</w:t>
      </w:r>
      <w:r w:rsidRPr="0020586B">
        <w:t xml:space="preserve">ollution in Delhi: </w:t>
      </w:r>
      <w:r>
        <w:t>A</w:t>
      </w:r>
      <w:r w:rsidRPr="0020586B">
        <w:t xml:space="preserve"> </w:t>
      </w:r>
      <w:r>
        <w:t>N</w:t>
      </w:r>
      <w:r w:rsidRPr="0020586B">
        <w:t>ote</w:t>
      </w:r>
      <w:r>
        <w:t>,”</w:t>
      </w:r>
      <w:r w:rsidRPr="0020586B">
        <w:t> </w:t>
      </w:r>
      <w:r w:rsidRPr="00567317">
        <w:rPr>
          <w:i/>
        </w:rPr>
        <w:t>Transportation Research Part D: Transport and Environment</w:t>
      </w:r>
      <w:r w:rsidR="0050100F">
        <w:rPr>
          <w:i/>
        </w:rPr>
        <w:t xml:space="preserve"> </w:t>
      </w:r>
      <w:r w:rsidRPr="0020586B">
        <w:t>9</w:t>
      </w:r>
      <w:r>
        <w:t xml:space="preserve">, no. </w:t>
      </w:r>
      <w:r w:rsidRPr="0020586B">
        <w:t>5</w:t>
      </w:r>
      <w:r>
        <w:t xml:space="preserve"> (2004):</w:t>
      </w:r>
      <w:r w:rsidRPr="0020586B">
        <w:t xml:space="preserve"> 409</w:t>
      </w:r>
      <w:r>
        <w:t>–</w:t>
      </w:r>
      <w:r w:rsidRPr="0020586B">
        <w:t>417.</w:t>
      </w:r>
    </w:p>
  </w:footnote>
  <w:footnote w:id="4">
    <w:p w14:paraId="5C1FB8D6" w14:textId="1EFD27A0" w:rsidR="00050A9D" w:rsidRPr="0020586B" w:rsidRDefault="00050A9D" w:rsidP="00567317">
      <w:pPr>
        <w:pStyle w:val="Footnote"/>
      </w:pPr>
      <w:r w:rsidRPr="003E10AE">
        <w:rPr>
          <w:rStyle w:val="FootnoteReference"/>
        </w:rPr>
        <w:footnoteRef/>
      </w:r>
      <w:r>
        <w:t xml:space="preserve"> “</w:t>
      </w:r>
      <w:r w:rsidRPr="0020586B">
        <w:t xml:space="preserve">Delhi </w:t>
      </w:r>
      <w:r>
        <w:t>G</w:t>
      </w:r>
      <w:r w:rsidRPr="0020586B">
        <w:t xml:space="preserve">ovt </w:t>
      </w:r>
      <w:r>
        <w:t>S</w:t>
      </w:r>
      <w:r w:rsidRPr="0020586B">
        <w:t xml:space="preserve">ays </w:t>
      </w:r>
      <w:r>
        <w:t>O</w:t>
      </w:r>
      <w:r w:rsidRPr="0020586B">
        <w:t>dd-</w:t>
      </w:r>
      <w:r>
        <w:t>E</w:t>
      </w:r>
      <w:r w:rsidRPr="0020586B">
        <w:t xml:space="preserve">ven </w:t>
      </w:r>
      <w:r>
        <w:t>F</w:t>
      </w:r>
      <w:r w:rsidRPr="0020586B">
        <w:t>ormula from Jan 1</w:t>
      </w:r>
      <w:r>
        <w:t xml:space="preserve"> </w:t>
      </w:r>
      <w:r w:rsidRPr="0020586B">
        <w:t xml:space="preserve">on </w:t>
      </w:r>
      <w:r>
        <w:t>B</w:t>
      </w:r>
      <w:r w:rsidRPr="0020586B">
        <w:t xml:space="preserve">asis of </w:t>
      </w:r>
      <w:r>
        <w:t>D</w:t>
      </w:r>
      <w:r w:rsidRPr="0020586B">
        <w:t xml:space="preserve">ates, </w:t>
      </w:r>
      <w:r>
        <w:t>N</w:t>
      </w:r>
      <w:r w:rsidRPr="0020586B">
        <w:t xml:space="preserve">ot </w:t>
      </w:r>
      <w:r>
        <w:t>D</w:t>
      </w:r>
      <w:r w:rsidRPr="0020586B">
        <w:t>ays,</w:t>
      </w:r>
      <w:r>
        <w:t xml:space="preserve">” op. cit. </w:t>
      </w:r>
    </w:p>
  </w:footnote>
  <w:footnote w:id="5">
    <w:p w14:paraId="4802DF28" w14:textId="70E5EEC7" w:rsidR="00050A9D" w:rsidRPr="00A03B48" w:rsidRDefault="00050A9D" w:rsidP="00567317">
      <w:pPr>
        <w:pStyle w:val="Footnote"/>
      </w:pPr>
      <w:r w:rsidRPr="00865F01">
        <w:rPr>
          <w:vertAlign w:val="superscript"/>
        </w:rPr>
        <w:footnoteRef/>
      </w:r>
      <w:r w:rsidRPr="00865F01">
        <w:rPr>
          <w:vertAlign w:val="superscript"/>
        </w:rPr>
        <w:t xml:space="preserve"> </w:t>
      </w:r>
      <w:r w:rsidRPr="0020586B">
        <w:t>Ibid</w:t>
      </w:r>
      <w:r>
        <w:t>.</w:t>
      </w:r>
      <w:r w:rsidRPr="00D946C4">
        <w:t xml:space="preserve"> </w:t>
      </w:r>
    </w:p>
  </w:footnote>
  <w:footnote w:id="6">
    <w:p w14:paraId="3137CD36" w14:textId="50693ACA" w:rsidR="00050A9D" w:rsidRPr="00387B8B" w:rsidRDefault="00050A9D" w:rsidP="00865F01">
      <w:pPr>
        <w:pStyle w:val="Footnote"/>
        <w:rPr>
          <w:spacing w:val="-4"/>
        </w:rPr>
      </w:pPr>
      <w:r>
        <w:rPr>
          <w:rStyle w:val="FootnoteReference"/>
        </w:rPr>
        <w:footnoteRef/>
      </w:r>
      <w:r>
        <w:t xml:space="preserve"> </w:t>
      </w:r>
      <w:r w:rsidRPr="00387B8B">
        <w:rPr>
          <w:spacing w:val="-4"/>
        </w:rPr>
        <w:t xml:space="preserve">Apurva, “How Beijing Does Odd and Even and Rations Its Roads Each Day,” </w:t>
      </w:r>
      <w:r w:rsidRPr="00387B8B">
        <w:rPr>
          <w:i/>
          <w:spacing w:val="-4"/>
        </w:rPr>
        <w:t>Indian Express</w:t>
      </w:r>
      <w:r w:rsidRPr="00387B8B">
        <w:rPr>
          <w:spacing w:val="-4"/>
        </w:rPr>
        <w:t>, November 23, 2017, accessed February 3, 2019, https://indianexpress.com/article/world/how-beijing-does-odd-and-even-and-rations-its-roads-each-day-4950379/.</w:t>
      </w:r>
    </w:p>
  </w:footnote>
  <w:footnote w:id="7">
    <w:p w14:paraId="44C855A0" w14:textId="40063756" w:rsidR="00050A9D" w:rsidRDefault="00050A9D" w:rsidP="00865F01">
      <w:pPr>
        <w:pStyle w:val="Footnote"/>
      </w:pPr>
      <w:r>
        <w:rPr>
          <w:rStyle w:val="FootnoteReference"/>
        </w:rPr>
        <w:footnoteRef/>
      </w:r>
      <w:r>
        <w:t xml:space="preserve"> Ritam Halder, “</w:t>
      </w:r>
      <w:r w:rsidRPr="00575158">
        <w:t xml:space="preserve">Need </w:t>
      </w:r>
      <w:r>
        <w:t>S</w:t>
      </w:r>
      <w:r w:rsidRPr="00575158">
        <w:t xml:space="preserve">trong </w:t>
      </w:r>
      <w:r>
        <w:t>M</w:t>
      </w:r>
      <w:r w:rsidRPr="00575158">
        <w:t xml:space="preserve">easures </w:t>
      </w:r>
      <w:r>
        <w:t>L</w:t>
      </w:r>
      <w:r w:rsidRPr="00575158">
        <w:t xml:space="preserve">ike Beijing, Paris for </w:t>
      </w:r>
      <w:r>
        <w:t>O</w:t>
      </w:r>
      <w:r w:rsidRPr="00575158">
        <w:t>dd-</w:t>
      </w:r>
      <w:r>
        <w:t>E</w:t>
      </w:r>
      <w:r w:rsidRPr="00575158">
        <w:t xml:space="preserve">ven </w:t>
      </w:r>
      <w:r>
        <w:t>D</w:t>
      </w:r>
      <w:r w:rsidRPr="00575158">
        <w:t xml:space="preserve">rive in Delhi, </w:t>
      </w:r>
      <w:r>
        <w:t>S</w:t>
      </w:r>
      <w:r w:rsidRPr="00575158">
        <w:t xml:space="preserve">ays SC </w:t>
      </w:r>
      <w:r>
        <w:t>P</w:t>
      </w:r>
      <w:r w:rsidRPr="00575158">
        <w:t>anel</w:t>
      </w:r>
      <w:r w:rsidRPr="00A03B48">
        <w:t>,</w:t>
      </w:r>
      <w:r>
        <w:t>”</w:t>
      </w:r>
      <w:r w:rsidRPr="00A03B48">
        <w:t xml:space="preserve"> </w:t>
      </w:r>
      <w:r w:rsidRPr="00567317">
        <w:rPr>
          <w:i/>
        </w:rPr>
        <w:t>Hindustan Times</w:t>
      </w:r>
      <w:r>
        <w:t xml:space="preserve">, </w:t>
      </w:r>
      <w:r w:rsidRPr="00A03B48">
        <w:t xml:space="preserve">December 28, 2017, </w:t>
      </w:r>
      <w:r>
        <w:t xml:space="preserve">accessed February 3, 2019, </w:t>
      </w:r>
      <w:r w:rsidRPr="00575158">
        <w:t>www.hindustantimes.com/delhi-news/need-strong-measures-like-beijing-paris-for-odd-even-in-delhi-says-sc-panel/story-3xRI3qr1HRebi4xF6ZpWpM.html</w:t>
      </w:r>
      <w:r>
        <w:t>.</w:t>
      </w:r>
    </w:p>
  </w:footnote>
  <w:footnote w:id="8">
    <w:p w14:paraId="5489C021" w14:textId="627F9EB9" w:rsidR="00050A9D" w:rsidRPr="006D2CEC" w:rsidRDefault="00050A9D" w:rsidP="00865F01">
      <w:pPr>
        <w:pStyle w:val="Footnote"/>
      </w:pPr>
      <w:r>
        <w:rPr>
          <w:rStyle w:val="FootnoteReference"/>
        </w:rPr>
        <w:footnoteRef/>
      </w:r>
      <w:r>
        <w:t xml:space="preserve"> “</w:t>
      </w:r>
      <w:r w:rsidRPr="00575158">
        <w:t xml:space="preserve">How </w:t>
      </w:r>
      <w:r>
        <w:t>O</w:t>
      </w:r>
      <w:r w:rsidRPr="00575158">
        <w:t xml:space="preserve">ther </w:t>
      </w:r>
      <w:r>
        <w:t>C</w:t>
      </w:r>
      <w:r w:rsidRPr="00575158">
        <w:t xml:space="preserve">ountries </w:t>
      </w:r>
      <w:r>
        <w:t>A</w:t>
      </w:r>
      <w:r w:rsidRPr="00575158">
        <w:t xml:space="preserve">re </w:t>
      </w:r>
      <w:r>
        <w:t>E</w:t>
      </w:r>
      <w:r w:rsidRPr="00575158">
        <w:t xml:space="preserve">xperimenting with </w:t>
      </w:r>
      <w:r>
        <w:t>O</w:t>
      </w:r>
      <w:r w:rsidRPr="00575158">
        <w:t>dd</w:t>
      </w:r>
      <w:r>
        <w:t>-E</w:t>
      </w:r>
      <w:r w:rsidRPr="00575158">
        <w:t xml:space="preserve">ven </w:t>
      </w:r>
      <w:r>
        <w:t>S</w:t>
      </w:r>
      <w:r w:rsidRPr="00575158">
        <w:t>ystem</w:t>
      </w:r>
      <w:r>
        <w:t xml:space="preserve">,” Down to Earth, December 31 2015, accessed February 3, 2015, </w:t>
      </w:r>
      <w:r w:rsidRPr="00CC17F5">
        <w:t>https://www.</w:t>
      </w:r>
      <w:r w:rsidRPr="006D2CEC">
        <w:t>downtoearth.org.in/news/air/how-other-countries-are-experimenting-with-odd-even-system-52261.</w:t>
      </w:r>
    </w:p>
  </w:footnote>
  <w:footnote w:id="9">
    <w:p w14:paraId="11EC23BB" w14:textId="4D92C789" w:rsidR="00050A9D" w:rsidRPr="00567317" w:rsidRDefault="00050A9D" w:rsidP="00567317">
      <w:pPr>
        <w:pStyle w:val="Footnote"/>
        <w:rPr>
          <w:lang w:val="en-CA"/>
        </w:rPr>
      </w:pPr>
      <w:r w:rsidRPr="006D2CEC">
        <w:rPr>
          <w:vertAlign w:val="superscript"/>
        </w:rPr>
        <w:footnoteRef/>
      </w:r>
      <w:r w:rsidRPr="006D2CEC">
        <w:rPr>
          <w:vertAlign w:val="superscript"/>
        </w:rPr>
        <w:t xml:space="preserve"> </w:t>
      </w:r>
      <w:r w:rsidRPr="006D2CEC">
        <w:t xml:space="preserve">₹ = INR = Indian rupee; </w:t>
      </w:r>
      <w:r w:rsidR="00172439">
        <w:t xml:space="preserve">all currency amounts are in ₹ unless otherwise specified; </w:t>
      </w:r>
      <w:r w:rsidRPr="006D2CEC">
        <w:t>US$1 = ₹</w:t>
      </w:r>
      <w:r w:rsidR="005A0B62" w:rsidRPr="006D2CEC">
        <w:t>66.75</w:t>
      </w:r>
      <w:r w:rsidRPr="006D2CEC">
        <w:t xml:space="preserve"> on</w:t>
      </w:r>
      <w:r w:rsidR="005A0B62" w:rsidRPr="006D2CEC">
        <w:t xml:space="preserve"> December</w:t>
      </w:r>
      <w:r w:rsidRPr="006D2CEC">
        <w:t xml:space="preserve"> </w:t>
      </w:r>
      <w:r w:rsidR="005A0B62" w:rsidRPr="006D2CEC">
        <w:t>7</w:t>
      </w:r>
      <w:r w:rsidRPr="006D2CEC">
        <w:t xml:space="preserve">, </w:t>
      </w:r>
      <w:r w:rsidR="005A0B62" w:rsidRPr="006D2CEC">
        <w:t>2015</w:t>
      </w:r>
      <w:r w:rsidR="006D2CEC" w:rsidRPr="006D2CEC">
        <w:t>.</w:t>
      </w:r>
    </w:p>
  </w:footnote>
  <w:footnote w:id="10">
    <w:p w14:paraId="439C8622" w14:textId="07FEC4DC" w:rsidR="00050A9D" w:rsidRPr="00CC17F5" w:rsidRDefault="00050A9D" w:rsidP="00CC17F5">
      <w:pPr>
        <w:pStyle w:val="Footnote"/>
      </w:pPr>
      <w:r w:rsidRPr="00CC17F5">
        <w:rPr>
          <w:rStyle w:val="FootnoteReference"/>
        </w:rPr>
        <w:footnoteRef/>
      </w:r>
      <w:r w:rsidRPr="00CC17F5">
        <w:t xml:space="preserve"> </w:t>
      </w:r>
      <w:r w:rsidR="00172439" w:rsidRPr="00172439">
        <w:t>Indraprastha Gas Ltd.</w:t>
      </w:r>
      <w:r w:rsidR="00172439">
        <w:t xml:space="preserve">, </w:t>
      </w:r>
      <w:r w:rsidRPr="00567317">
        <w:rPr>
          <w:i/>
        </w:rPr>
        <w:t>IGL Annual Report 2014–15</w:t>
      </w:r>
      <w:r w:rsidRPr="00CC17F5">
        <w:t xml:space="preserve">, </w:t>
      </w:r>
      <w:r>
        <w:t xml:space="preserve">5, </w:t>
      </w:r>
      <w:r w:rsidRPr="00CC17F5">
        <w:t xml:space="preserve">September 22, 2015, </w:t>
      </w:r>
      <w:r>
        <w:t xml:space="preserve">accessed June 26, 2018, </w:t>
      </w:r>
      <w:r w:rsidRPr="00CC17F5">
        <w:t>www.iglonline.net/english/5000_media/Investor_Relations/IGL_Annual_Report_2014-15.pdf.</w:t>
      </w:r>
    </w:p>
  </w:footnote>
  <w:footnote w:id="11">
    <w:p w14:paraId="66D29F84" w14:textId="4985BF93" w:rsidR="00050A9D" w:rsidRPr="0020586B" w:rsidRDefault="00050A9D" w:rsidP="00567317">
      <w:pPr>
        <w:pStyle w:val="Footnote"/>
      </w:pPr>
      <w:r w:rsidRPr="003E10AE">
        <w:rPr>
          <w:rStyle w:val="FootnoteReference"/>
        </w:rPr>
        <w:footnoteRef/>
      </w:r>
      <w:r>
        <w:t xml:space="preserve"> I</w:t>
      </w:r>
      <w:r w:rsidRPr="0020586B">
        <w:t>bid</w:t>
      </w:r>
      <w:r>
        <w:t>.</w:t>
      </w:r>
      <w:r w:rsidRPr="0020586B">
        <w:t>, 7</w:t>
      </w:r>
      <w:r>
        <w:t xml:space="preserve">. </w:t>
      </w:r>
    </w:p>
  </w:footnote>
  <w:footnote w:id="12">
    <w:p w14:paraId="393E6AA3" w14:textId="2B13425F" w:rsidR="00050A9D" w:rsidRPr="0020586B" w:rsidRDefault="00050A9D" w:rsidP="00567317">
      <w:pPr>
        <w:pStyle w:val="Footnote"/>
      </w:pPr>
      <w:r w:rsidRPr="003E10AE">
        <w:rPr>
          <w:rStyle w:val="FootnoteReference"/>
        </w:rPr>
        <w:footnoteRef/>
      </w:r>
      <w:r>
        <w:t xml:space="preserve"> I</w:t>
      </w:r>
      <w:r w:rsidRPr="0020586B">
        <w:t>bid</w:t>
      </w:r>
      <w:r>
        <w:t>.</w:t>
      </w:r>
      <w:r w:rsidRPr="0020586B">
        <w:t>, 5</w:t>
      </w:r>
      <w:r>
        <w:t xml:space="preserve">. </w:t>
      </w:r>
    </w:p>
  </w:footnote>
  <w:footnote w:id="13">
    <w:p w14:paraId="2A8DC755" w14:textId="1CE5F36E" w:rsidR="00050A9D" w:rsidRPr="0020586B" w:rsidRDefault="00050A9D" w:rsidP="00567317">
      <w:pPr>
        <w:pStyle w:val="Footnote"/>
      </w:pPr>
      <w:r w:rsidRPr="003E10AE">
        <w:rPr>
          <w:rStyle w:val="FootnoteReference"/>
        </w:rPr>
        <w:footnoteRef/>
      </w:r>
      <w:r>
        <w:t xml:space="preserve"> I</w:t>
      </w:r>
      <w:r w:rsidRPr="0020586B">
        <w:t>bid</w:t>
      </w:r>
      <w:r>
        <w:t>.</w:t>
      </w:r>
      <w:r w:rsidRPr="0020586B">
        <w:t>, 6</w:t>
      </w:r>
      <w:r>
        <w:t xml:space="preserve">. </w:t>
      </w:r>
    </w:p>
  </w:footnote>
  <w:footnote w:id="14">
    <w:p w14:paraId="595EDC14" w14:textId="6D913207" w:rsidR="003E464B" w:rsidRDefault="00050A9D" w:rsidP="00567317">
      <w:pPr>
        <w:pStyle w:val="Footnote"/>
      </w:pPr>
      <w:r w:rsidRPr="0020586B">
        <w:rPr>
          <w:rStyle w:val="FootnoteReference"/>
        </w:rPr>
        <w:footnoteRef/>
      </w:r>
      <w:r>
        <w:t xml:space="preserve"> “Mission and Vision,” </w:t>
      </w:r>
      <w:r w:rsidR="003A1D64" w:rsidRPr="003A1D64">
        <w:t>Indraprastha Gas Ltd.</w:t>
      </w:r>
      <w:r w:rsidRPr="0020586B">
        <w:t xml:space="preserve">, </w:t>
      </w:r>
      <w:r>
        <w:t xml:space="preserve">accessed June 18, 2018, </w:t>
      </w:r>
      <w:r w:rsidR="003E464B" w:rsidRPr="003E464B">
        <w:t>www.iglonline.net//english/Default.aspx?option</w:t>
      </w:r>
      <w:r w:rsidRPr="0020586B">
        <w:t>=</w:t>
      </w:r>
    </w:p>
    <w:p w14:paraId="1C24D2BC" w14:textId="23FA96F2" w:rsidR="00050A9D" w:rsidRPr="0020586B" w:rsidRDefault="00050A9D" w:rsidP="00567317">
      <w:pPr>
        <w:pStyle w:val="Footnote"/>
      </w:pPr>
      <w:r w:rsidRPr="0020586B">
        <w:t>article&amp;type=single&amp;id=11&amp;mnuid=32&amp;prvtyp=site18</w:t>
      </w:r>
      <w:r>
        <w:t>.</w:t>
      </w:r>
    </w:p>
  </w:footnote>
  <w:footnote w:id="15">
    <w:p w14:paraId="4BB53B61" w14:textId="6BA090E6" w:rsidR="00050A9D" w:rsidRPr="0020586B" w:rsidRDefault="00050A9D" w:rsidP="0020586B">
      <w:pPr>
        <w:pStyle w:val="Footnote"/>
        <w:jc w:val="left"/>
      </w:pPr>
      <w:r w:rsidRPr="0020586B">
        <w:rPr>
          <w:rStyle w:val="FootnoteReference"/>
        </w:rPr>
        <w:footnoteRef/>
      </w:r>
      <w:r>
        <w:t xml:space="preserve"> </w:t>
      </w:r>
      <w:r w:rsidR="003A1D64" w:rsidRPr="003A1D64">
        <w:t>Indraprastha Gas Ltd.</w:t>
      </w:r>
      <w:r w:rsidR="003A1D64">
        <w:t xml:space="preserve">, </w:t>
      </w:r>
      <w:r w:rsidRPr="00567317">
        <w:rPr>
          <w:i/>
        </w:rPr>
        <w:t>IGL Annual Report 2014</w:t>
      </w:r>
      <w:r>
        <w:rPr>
          <w:i/>
        </w:rPr>
        <w:t>–</w:t>
      </w:r>
      <w:r w:rsidRPr="00567317">
        <w:rPr>
          <w:i/>
        </w:rPr>
        <w:t>15</w:t>
      </w:r>
      <w:r w:rsidRPr="0020586B">
        <w:t xml:space="preserve">, </w:t>
      </w:r>
      <w:r>
        <w:t xml:space="preserve">op. cit., 43.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B58F8" w14:textId="3C86EED8" w:rsidR="00050A9D" w:rsidRPr="006D2CEC" w:rsidRDefault="00050A9D" w:rsidP="001C7777">
    <w:pPr>
      <w:pBdr>
        <w:bottom w:val="single" w:sz="18" w:space="1" w:color="auto"/>
      </w:pBdr>
      <w:tabs>
        <w:tab w:val="left" w:pos="-1440"/>
        <w:tab w:val="left" w:pos="-720"/>
        <w:tab w:val="right" w:pos="9360"/>
      </w:tabs>
      <w:rPr>
        <w:sz w:val="20"/>
        <w:szCs w:val="20"/>
      </w:rPr>
    </w:pPr>
    <w:r w:rsidRPr="006D2CEC">
      <w:rPr>
        <w:rFonts w:ascii="Arial" w:hAnsi="Arial"/>
        <w:b/>
        <w:sz w:val="20"/>
        <w:szCs w:val="20"/>
      </w:rPr>
      <w:t xml:space="preserve">Page </w:t>
    </w:r>
    <w:r w:rsidRPr="006D2CEC">
      <w:rPr>
        <w:rFonts w:ascii="Arial" w:hAnsi="Arial"/>
        <w:b/>
        <w:sz w:val="20"/>
        <w:szCs w:val="20"/>
      </w:rPr>
      <w:fldChar w:fldCharType="begin"/>
    </w:r>
    <w:r w:rsidRPr="006D2CEC">
      <w:rPr>
        <w:rFonts w:ascii="Arial" w:hAnsi="Arial"/>
        <w:b/>
        <w:sz w:val="20"/>
        <w:szCs w:val="20"/>
      </w:rPr>
      <w:instrText>PAGE</w:instrText>
    </w:r>
    <w:r w:rsidRPr="006D2CEC">
      <w:rPr>
        <w:rFonts w:ascii="Arial" w:hAnsi="Arial"/>
        <w:b/>
        <w:sz w:val="20"/>
        <w:szCs w:val="20"/>
      </w:rPr>
      <w:fldChar w:fldCharType="separate"/>
    </w:r>
    <w:r w:rsidR="0050100F">
      <w:rPr>
        <w:rFonts w:ascii="Arial" w:hAnsi="Arial"/>
        <w:b/>
        <w:noProof/>
        <w:sz w:val="20"/>
        <w:szCs w:val="20"/>
      </w:rPr>
      <w:t>2</w:t>
    </w:r>
    <w:r w:rsidRPr="006D2CEC">
      <w:rPr>
        <w:rFonts w:ascii="Arial" w:hAnsi="Arial"/>
        <w:b/>
        <w:sz w:val="20"/>
        <w:szCs w:val="20"/>
      </w:rPr>
      <w:fldChar w:fldCharType="end"/>
    </w:r>
    <w:r w:rsidRPr="006D2CEC">
      <w:rPr>
        <w:rFonts w:ascii="Arial" w:hAnsi="Arial"/>
        <w:b/>
        <w:sz w:val="20"/>
        <w:szCs w:val="20"/>
      </w:rPr>
      <w:tab/>
    </w:r>
    <w:r w:rsidR="001878E4">
      <w:rPr>
        <w:rFonts w:ascii="Arial" w:hAnsi="Arial"/>
        <w:b/>
        <w:sz w:val="20"/>
        <w:szCs w:val="20"/>
      </w:rPr>
      <w:t>9B19A020</w:t>
    </w:r>
  </w:p>
  <w:p w14:paraId="1870EF93" w14:textId="77777777" w:rsidR="00050A9D" w:rsidRDefault="00050A9D" w:rsidP="00D13667">
    <w:pPr>
      <w:pStyle w:val="Header"/>
      <w:tabs>
        <w:tab w:val="clear" w:pos="4680"/>
      </w:tabs>
      <w:rPr>
        <w:sz w:val="18"/>
        <w:szCs w:val="18"/>
      </w:rPr>
    </w:pPr>
  </w:p>
  <w:p w14:paraId="3FA386D6" w14:textId="77777777" w:rsidR="00050A9D" w:rsidRPr="00C92CC4" w:rsidRDefault="00050A9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037C4A"/>
    <w:multiLevelType w:val="hybridMultilevel"/>
    <w:tmpl w:val="FB6E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A83"/>
    <w:rsid w:val="000062CB"/>
    <w:rsid w:val="00013360"/>
    <w:rsid w:val="00016759"/>
    <w:rsid w:val="00020D52"/>
    <w:rsid w:val="000216CE"/>
    <w:rsid w:val="00024ED4"/>
    <w:rsid w:val="00025DC7"/>
    <w:rsid w:val="00035F09"/>
    <w:rsid w:val="00044ECC"/>
    <w:rsid w:val="00050A9D"/>
    <w:rsid w:val="000531D3"/>
    <w:rsid w:val="00056191"/>
    <w:rsid w:val="0005646B"/>
    <w:rsid w:val="0008102D"/>
    <w:rsid w:val="00086B26"/>
    <w:rsid w:val="00094C0E"/>
    <w:rsid w:val="000A146D"/>
    <w:rsid w:val="000C7AB3"/>
    <w:rsid w:val="000D2A2F"/>
    <w:rsid w:val="000D7091"/>
    <w:rsid w:val="000F0C22"/>
    <w:rsid w:val="000F6B09"/>
    <w:rsid w:val="000F6FDC"/>
    <w:rsid w:val="00104567"/>
    <w:rsid w:val="00104916"/>
    <w:rsid w:val="00104AA7"/>
    <w:rsid w:val="0012732D"/>
    <w:rsid w:val="00143F25"/>
    <w:rsid w:val="00152682"/>
    <w:rsid w:val="00154FC9"/>
    <w:rsid w:val="00172439"/>
    <w:rsid w:val="00173F67"/>
    <w:rsid w:val="001878E4"/>
    <w:rsid w:val="0019241A"/>
    <w:rsid w:val="00192A18"/>
    <w:rsid w:val="001A22D1"/>
    <w:rsid w:val="001A752D"/>
    <w:rsid w:val="001A757E"/>
    <w:rsid w:val="001B5032"/>
    <w:rsid w:val="001C7777"/>
    <w:rsid w:val="001D0437"/>
    <w:rsid w:val="001D344B"/>
    <w:rsid w:val="001D72F7"/>
    <w:rsid w:val="001E364F"/>
    <w:rsid w:val="001F4222"/>
    <w:rsid w:val="00203AA1"/>
    <w:rsid w:val="0020586B"/>
    <w:rsid w:val="00206406"/>
    <w:rsid w:val="00213E98"/>
    <w:rsid w:val="00230150"/>
    <w:rsid w:val="0023081A"/>
    <w:rsid w:val="00233111"/>
    <w:rsid w:val="00265FA8"/>
    <w:rsid w:val="002C4E29"/>
    <w:rsid w:val="002F460C"/>
    <w:rsid w:val="002F48D6"/>
    <w:rsid w:val="00317391"/>
    <w:rsid w:val="00326216"/>
    <w:rsid w:val="00336580"/>
    <w:rsid w:val="00354899"/>
    <w:rsid w:val="00355739"/>
    <w:rsid w:val="00355FD6"/>
    <w:rsid w:val="00357A45"/>
    <w:rsid w:val="00364A5C"/>
    <w:rsid w:val="00365343"/>
    <w:rsid w:val="00373FB1"/>
    <w:rsid w:val="00387B8B"/>
    <w:rsid w:val="00396C76"/>
    <w:rsid w:val="003A1D64"/>
    <w:rsid w:val="003B30D8"/>
    <w:rsid w:val="003B4E7B"/>
    <w:rsid w:val="003B7EF2"/>
    <w:rsid w:val="003C3FA4"/>
    <w:rsid w:val="003D0BA1"/>
    <w:rsid w:val="003D561E"/>
    <w:rsid w:val="003E10AE"/>
    <w:rsid w:val="003E464B"/>
    <w:rsid w:val="003F2B0C"/>
    <w:rsid w:val="004105B2"/>
    <w:rsid w:val="0041145A"/>
    <w:rsid w:val="00412900"/>
    <w:rsid w:val="004221E4"/>
    <w:rsid w:val="004273F8"/>
    <w:rsid w:val="004355A3"/>
    <w:rsid w:val="00446546"/>
    <w:rsid w:val="00452769"/>
    <w:rsid w:val="00454FA7"/>
    <w:rsid w:val="00465348"/>
    <w:rsid w:val="00494EBE"/>
    <w:rsid w:val="004979A5"/>
    <w:rsid w:val="004A25E0"/>
    <w:rsid w:val="004B1CCB"/>
    <w:rsid w:val="004B632F"/>
    <w:rsid w:val="004B7F80"/>
    <w:rsid w:val="004D3FB1"/>
    <w:rsid w:val="004D6F21"/>
    <w:rsid w:val="004D73A5"/>
    <w:rsid w:val="0050100F"/>
    <w:rsid w:val="005160F1"/>
    <w:rsid w:val="00520777"/>
    <w:rsid w:val="00524F2F"/>
    <w:rsid w:val="00527E5C"/>
    <w:rsid w:val="00530E21"/>
    <w:rsid w:val="00532CF5"/>
    <w:rsid w:val="00535EA3"/>
    <w:rsid w:val="005528CB"/>
    <w:rsid w:val="005641F9"/>
    <w:rsid w:val="00566771"/>
    <w:rsid w:val="00567317"/>
    <w:rsid w:val="0056771E"/>
    <w:rsid w:val="00581E2E"/>
    <w:rsid w:val="00584F15"/>
    <w:rsid w:val="005907DC"/>
    <w:rsid w:val="0059514B"/>
    <w:rsid w:val="005A0B62"/>
    <w:rsid w:val="005A1B0F"/>
    <w:rsid w:val="005B4CE6"/>
    <w:rsid w:val="005B5EFE"/>
    <w:rsid w:val="005D6B51"/>
    <w:rsid w:val="006043D9"/>
    <w:rsid w:val="00615B45"/>
    <w:rsid w:val="006163F7"/>
    <w:rsid w:val="0062712C"/>
    <w:rsid w:val="00627C63"/>
    <w:rsid w:val="0063350B"/>
    <w:rsid w:val="00652606"/>
    <w:rsid w:val="00663F1A"/>
    <w:rsid w:val="00676C97"/>
    <w:rsid w:val="006946EE"/>
    <w:rsid w:val="006A58A9"/>
    <w:rsid w:val="006A606D"/>
    <w:rsid w:val="006C0371"/>
    <w:rsid w:val="006C08B6"/>
    <w:rsid w:val="006C0B1A"/>
    <w:rsid w:val="006C6065"/>
    <w:rsid w:val="006C7F9F"/>
    <w:rsid w:val="006D2CEC"/>
    <w:rsid w:val="006E2F6D"/>
    <w:rsid w:val="006E3D7F"/>
    <w:rsid w:val="006E58F6"/>
    <w:rsid w:val="006E77E1"/>
    <w:rsid w:val="006F131D"/>
    <w:rsid w:val="007001CE"/>
    <w:rsid w:val="00711642"/>
    <w:rsid w:val="00743F73"/>
    <w:rsid w:val="007461DA"/>
    <w:rsid w:val="007507C6"/>
    <w:rsid w:val="00751E0B"/>
    <w:rsid w:val="00752BCD"/>
    <w:rsid w:val="00753ADA"/>
    <w:rsid w:val="00766DA1"/>
    <w:rsid w:val="00780D94"/>
    <w:rsid w:val="007866A6"/>
    <w:rsid w:val="007A130D"/>
    <w:rsid w:val="007D1A2D"/>
    <w:rsid w:val="007D32E6"/>
    <w:rsid w:val="007D4102"/>
    <w:rsid w:val="007E54A7"/>
    <w:rsid w:val="007F099D"/>
    <w:rsid w:val="007F43B7"/>
    <w:rsid w:val="00821FFC"/>
    <w:rsid w:val="008271CA"/>
    <w:rsid w:val="00837805"/>
    <w:rsid w:val="008467D5"/>
    <w:rsid w:val="00865F01"/>
    <w:rsid w:val="008A4DC4"/>
    <w:rsid w:val="008B438C"/>
    <w:rsid w:val="008D06CA"/>
    <w:rsid w:val="008D3A46"/>
    <w:rsid w:val="008E53FA"/>
    <w:rsid w:val="008F20AD"/>
    <w:rsid w:val="008F2385"/>
    <w:rsid w:val="009067A4"/>
    <w:rsid w:val="00930885"/>
    <w:rsid w:val="00933D68"/>
    <w:rsid w:val="009340DB"/>
    <w:rsid w:val="0094618C"/>
    <w:rsid w:val="009556A2"/>
    <w:rsid w:val="0095684B"/>
    <w:rsid w:val="00972498"/>
    <w:rsid w:val="0097481F"/>
    <w:rsid w:val="00974CC6"/>
    <w:rsid w:val="00976AD4"/>
    <w:rsid w:val="00994E1A"/>
    <w:rsid w:val="00995547"/>
    <w:rsid w:val="009A312F"/>
    <w:rsid w:val="009A5348"/>
    <w:rsid w:val="009B0AB7"/>
    <w:rsid w:val="009B3078"/>
    <w:rsid w:val="009B79A4"/>
    <w:rsid w:val="009C76D5"/>
    <w:rsid w:val="009D2E51"/>
    <w:rsid w:val="009F4017"/>
    <w:rsid w:val="009F7AA4"/>
    <w:rsid w:val="00A03B48"/>
    <w:rsid w:val="00A10AD7"/>
    <w:rsid w:val="00A23FD6"/>
    <w:rsid w:val="00A559DB"/>
    <w:rsid w:val="00A569EA"/>
    <w:rsid w:val="00A676A0"/>
    <w:rsid w:val="00AA78B6"/>
    <w:rsid w:val="00AB7B39"/>
    <w:rsid w:val="00AD0155"/>
    <w:rsid w:val="00AD1924"/>
    <w:rsid w:val="00AD5B12"/>
    <w:rsid w:val="00AF35FC"/>
    <w:rsid w:val="00AF5556"/>
    <w:rsid w:val="00B02FBF"/>
    <w:rsid w:val="00B03639"/>
    <w:rsid w:val="00B0652A"/>
    <w:rsid w:val="00B119CE"/>
    <w:rsid w:val="00B40937"/>
    <w:rsid w:val="00B423EF"/>
    <w:rsid w:val="00B453DE"/>
    <w:rsid w:val="00B45E5A"/>
    <w:rsid w:val="00B62497"/>
    <w:rsid w:val="00B643E9"/>
    <w:rsid w:val="00B72597"/>
    <w:rsid w:val="00B74747"/>
    <w:rsid w:val="00B87DC0"/>
    <w:rsid w:val="00B901F9"/>
    <w:rsid w:val="00B92FD9"/>
    <w:rsid w:val="00BB7C57"/>
    <w:rsid w:val="00BC31D5"/>
    <w:rsid w:val="00BC4D98"/>
    <w:rsid w:val="00BD6EFB"/>
    <w:rsid w:val="00BE3DF5"/>
    <w:rsid w:val="00BF09DD"/>
    <w:rsid w:val="00BF3A57"/>
    <w:rsid w:val="00BF5EAB"/>
    <w:rsid w:val="00C02410"/>
    <w:rsid w:val="00C100B5"/>
    <w:rsid w:val="00C1584D"/>
    <w:rsid w:val="00C15BE2"/>
    <w:rsid w:val="00C26939"/>
    <w:rsid w:val="00C3447F"/>
    <w:rsid w:val="00C44714"/>
    <w:rsid w:val="00C67102"/>
    <w:rsid w:val="00C81491"/>
    <w:rsid w:val="00C81676"/>
    <w:rsid w:val="00C85C5D"/>
    <w:rsid w:val="00C92CC4"/>
    <w:rsid w:val="00C93523"/>
    <w:rsid w:val="00CA0AFB"/>
    <w:rsid w:val="00CA2CE1"/>
    <w:rsid w:val="00CA3976"/>
    <w:rsid w:val="00CA50E3"/>
    <w:rsid w:val="00CA757B"/>
    <w:rsid w:val="00CB0AE0"/>
    <w:rsid w:val="00CC1787"/>
    <w:rsid w:val="00CC17F5"/>
    <w:rsid w:val="00CC182C"/>
    <w:rsid w:val="00CD0824"/>
    <w:rsid w:val="00CD2908"/>
    <w:rsid w:val="00CF2B7C"/>
    <w:rsid w:val="00CF679D"/>
    <w:rsid w:val="00D03A82"/>
    <w:rsid w:val="00D13667"/>
    <w:rsid w:val="00D15344"/>
    <w:rsid w:val="00D23F57"/>
    <w:rsid w:val="00D31BEC"/>
    <w:rsid w:val="00D63150"/>
    <w:rsid w:val="00D636BA"/>
    <w:rsid w:val="00D64A32"/>
    <w:rsid w:val="00D64EFC"/>
    <w:rsid w:val="00D75295"/>
    <w:rsid w:val="00D76CE9"/>
    <w:rsid w:val="00D946C4"/>
    <w:rsid w:val="00D97F12"/>
    <w:rsid w:val="00DA16EB"/>
    <w:rsid w:val="00DA6095"/>
    <w:rsid w:val="00DB42E7"/>
    <w:rsid w:val="00DC09D8"/>
    <w:rsid w:val="00DE01A6"/>
    <w:rsid w:val="00DE7A98"/>
    <w:rsid w:val="00DF32C2"/>
    <w:rsid w:val="00DF60EE"/>
    <w:rsid w:val="00E02EE1"/>
    <w:rsid w:val="00E42050"/>
    <w:rsid w:val="00E471A7"/>
    <w:rsid w:val="00E635CF"/>
    <w:rsid w:val="00EB1E3B"/>
    <w:rsid w:val="00EC1AF8"/>
    <w:rsid w:val="00EC6E0A"/>
    <w:rsid w:val="00ED4E18"/>
    <w:rsid w:val="00ED7922"/>
    <w:rsid w:val="00EE02C4"/>
    <w:rsid w:val="00EE1AB0"/>
    <w:rsid w:val="00EE1F37"/>
    <w:rsid w:val="00EF680C"/>
    <w:rsid w:val="00F00102"/>
    <w:rsid w:val="00F0159C"/>
    <w:rsid w:val="00F105B7"/>
    <w:rsid w:val="00F13220"/>
    <w:rsid w:val="00F17A21"/>
    <w:rsid w:val="00F36850"/>
    <w:rsid w:val="00F37B27"/>
    <w:rsid w:val="00F4524A"/>
    <w:rsid w:val="00F46556"/>
    <w:rsid w:val="00F50E91"/>
    <w:rsid w:val="00F56799"/>
    <w:rsid w:val="00F57D29"/>
    <w:rsid w:val="00F60786"/>
    <w:rsid w:val="00F7785B"/>
    <w:rsid w:val="00F91BC7"/>
    <w:rsid w:val="00F96201"/>
    <w:rsid w:val="00FA1BBC"/>
    <w:rsid w:val="00FD0B18"/>
    <w:rsid w:val="00FD2FAD"/>
    <w:rsid w:val="00FE714F"/>
    <w:rsid w:val="00FE74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7569B98"/>
  <w15:docId w15:val="{CDBB499F-9D53-4A21-89E6-E7B2855B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E51"/>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en-US"/>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 w:val="20"/>
      <w:szCs w:val="26"/>
      <w:lang w:val="en-US"/>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sz w:val="20"/>
      <w:szCs w:val="20"/>
      <w:lang w:val="en-US"/>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US"/>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US"/>
    </w:rPr>
  </w:style>
  <w:style w:type="paragraph" w:styleId="Heading7">
    <w:name w:val="heading 7"/>
    <w:basedOn w:val="Normal"/>
    <w:next w:val="Normal"/>
    <w:link w:val="Heading7Char"/>
    <w:qFormat/>
    <w:rsid w:val="004273F8"/>
    <w:pPr>
      <w:keepNext/>
      <w:outlineLvl w:val="6"/>
    </w:pPr>
    <w:rPr>
      <w:b/>
      <w:bCs/>
      <w:lang w:val="en-GB"/>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lang w:val="en-US"/>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US"/>
    </w:rPr>
  </w:style>
  <w:style w:type="paragraph" w:customStyle="1" w:styleId="BodyTextMain">
    <w:name w:val="Body Text Main"/>
    <w:basedOn w:val="Normal"/>
    <w:link w:val="BodyTextMainChar"/>
    <w:qFormat/>
    <w:rsid w:val="000F0C22"/>
    <w:pPr>
      <w:jc w:val="both"/>
    </w:pPr>
    <w:rPr>
      <w:sz w:val="22"/>
      <w:szCs w:val="22"/>
      <w:lang w:val="en-US"/>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rPr>
      <w:sz w:val="20"/>
      <w:szCs w:val="20"/>
      <w:lang w:val="en-US"/>
    </w:r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US"/>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US"/>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sz w:val="20"/>
      <w:szCs w:val="20"/>
      <w:lang w:val="en-US"/>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US"/>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sz w:val="20"/>
      <w:szCs w:val="20"/>
      <w:lang w:val="en-US"/>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US"/>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US"/>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US"/>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US" w:eastAsia="en-CA"/>
    </w:rPr>
  </w:style>
  <w:style w:type="paragraph" w:customStyle="1" w:styleId="casehead20">
    <w:name w:val="casehead2"/>
    <w:basedOn w:val="Normal"/>
    <w:next w:val="BodyText"/>
    <w:rsid w:val="001C7777"/>
    <w:rPr>
      <w:rFonts w:ascii="Arial" w:hAnsi="Arial"/>
      <w:b/>
      <w:sz w:val="20"/>
      <w:szCs w:val="20"/>
      <w:lang w:val="en-US"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sz w:val="20"/>
      <w:szCs w:val="20"/>
      <w:lang w:val="en-US"/>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lang w:val="en-US"/>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lang w:val="en-US"/>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US"/>
    </w:rPr>
  </w:style>
  <w:style w:type="character" w:customStyle="1" w:styleId="UnresolvedMention1">
    <w:name w:val="Unresolved Mention1"/>
    <w:basedOn w:val="DefaultParagraphFont"/>
    <w:uiPriority w:val="99"/>
    <w:semiHidden/>
    <w:unhideWhenUsed/>
    <w:rsid w:val="00A03B48"/>
    <w:rPr>
      <w:color w:val="605E5C"/>
      <w:shd w:val="clear" w:color="auto" w:fill="E1DFDD"/>
    </w:rPr>
  </w:style>
  <w:style w:type="character" w:customStyle="1" w:styleId="UnresolvedMention2">
    <w:name w:val="Unresolved Mention2"/>
    <w:basedOn w:val="DefaultParagraphFont"/>
    <w:uiPriority w:val="99"/>
    <w:semiHidden/>
    <w:unhideWhenUsed/>
    <w:rsid w:val="00D94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90902">
      <w:bodyDiv w:val="1"/>
      <w:marLeft w:val="0"/>
      <w:marRight w:val="0"/>
      <w:marTop w:val="0"/>
      <w:marBottom w:val="0"/>
      <w:divBdr>
        <w:top w:val="none" w:sz="0" w:space="0" w:color="auto"/>
        <w:left w:val="none" w:sz="0" w:space="0" w:color="auto"/>
        <w:bottom w:val="none" w:sz="0" w:space="0" w:color="auto"/>
        <w:right w:val="none" w:sz="0" w:space="0" w:color="auto"/>
      </w:divBdr>
    </w:div>
    <w:div w:id="137550062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0928595">
      <w:bodyDiv w:val="1"/>
      <w:marLeft w:val="0"/>
      <w:marRight w:val="0"/>
      <w:marTop w:val="0"/>
      <w:marBottom w:val="0"/>
      <w:divBdr>
        <w:top w:val="none" w:sz="0" w:space="0" w:color="auto"/>
        <w:left w:val="none" w:sz="0" w:space="0" w:color="auto"/>
        <w:bottom w:val="none" w:sz="0" w:space="0" w:color="auto"/>
        <w:right w:val="none" w:sz="0" w:space="0" w:color="auto"/>
      </w:divBdr>
    </w:div>
    <w:div w:id="1780835430">
      <w:bodyDiv w:val="1"/>
      <w:marLeft w:val="0"/>
      <w:marRight w:val="0"/>
      <w:marTop w:val="0"/>
      <w:marBottom w:val="0"/>
      <w:divBdr>
        <w:top w:val="none" w:sz="0" w:space="0" w:color="auto"/>
        <w:left w:val="none" w:sz="0" w:space="0" w:color="auto"/>
        <w:bottom w:val="none" w:sz="0" w:space="0" w:color="auto"/>
        <w:right w:val="none" w:sz="0" w:space="0" w:color="auto"/>
      </w:divBdr>
    </w:div>
    <w:div w:id="184157703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55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465A0-B196-4B93-98D2-B346C69D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2015-03-04T20:34:00Z</cp:lastPrinted>
  <dcterms:created xsi:type="dcterms:W3CDTF">2019-05-27T15:45:00Z</dcterms:created>
  <dcterms:modified xsi:type="dcterms:W3CDTF">2019-05-27T15:45:00Z</dcterms:modified>
</cp:coreProperties>
</file>