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A3C00" w14:textId="3E554C00" w:rsidR="00742364" w:rsidRPr="00084DB5" w:rsidRDefault="00084DB5" w:rsidP="00C02410">
      <w:pPr>
        <w:pBdr>
          <w:bottom w:val="single" w:sz="18" w:space="1" w:color="auto"/>
        </w:pBdr>
        <w:tabs>
          <w:tab w:val="left" w:pos="-1440"/>
          <w:tab w:val="left" w:pos="-720"/>
          <w:tab w:val="left" w:pos="1"/>
        </w:tabs>
        <w:jc w:val="both"/>
        <w:rPr>
          <w:rFonts w:ascii="Arial" w:hAnsi="Arial"/>
          <w:b/>
          <w:noProof/>
          <w:sz w:val="24"/>
          <w:lang w:val="en-CA" w:eastAsia="en-CA"/>
        </w:rPr>
      </w:pPr>
      <w:r w:rsidRPr="00084DB5">
        <w:rPr>
          <w:rFonts w:ascii="Arial" w:hAnsi="Arial"/>
          <w:b/>
          <w:noProof/>
          <w:sz w:val="24"/>
          <w:lang w:val="en-US"/>
        </w:rPr>
        <w:drawing>
          <wp:inline distT="0" distB="0" distL="0" distR="0" wp14:anchorId="1096DA25" wp14:editId="063B845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E057522" w14:textId="6554DF54" w:rsidR="00D75295" w:rsidRPr="00F67160" w:rsidRDefault="00DF085C" w:rsidP="00D75295">
      <w:pPr>
        <w:jc w:val="right"/>
        <w:rPr>
          <w:rFonts w:ascii="Arial" w:hAnsi="Arial"/>
          <w:b/>
          <w:sz w:val="24"/>
          <w:szCs w:val="24"/>
        </w:rPr>
      </w:pPr>
      <w:r>
        <w:rPr>
          <w:rFonts w:ascii="Arial" w:hAnsi="Arial"/>
          <w:b/>
          <w:sz w:val="24"/>
          <w:szCs w:val="24"/>
        </w:rPr>
        <w:t>9B19A027</w:t>
      </w:r>
    </w:p>
    <w:p w14:paraId="02524312" w14:textId="13B350A1" w:rsidR="001901C0" w:rsidRDefault="001901C0" w:rsidP="00D75295">
      <w:pPr>
        <w:jc w:val="right"/>
        <w:rPr>
          <w:rFonts w:ascii="Arial" w:hAnsi="Arial"/>
          <w:b/>
        </w:rPr>
      </w:pPr>
    </w:p>
    <w:p w14:paraId="6128F81E" w14:textId="77777777" w:rsidR="00F67160" w:rsidRPr="001901C0" w:rsidRDefault="00F67160" w:rsidP="00D75295">
      <w:pPr>
        <w:jc w:val="right"/>
        <w:rPr>
          <w:rFonts w:ascii="Arial" w:hAnsi="Arial"/>
          <w:b/>
        </w:rPr>
      </w:pPr>
    </w:p>
    <w:p w14:paraId="760CBC33" w14:textId="1BFE57F3" w:rsidR="00642717" w:rsidRPr="00642717" w:rsidRDefault="00642717" w:rsidP="00642717">
      <w:pPr>
        <w:pStyle w:val="CaseTitle"/>
        <w:spacing w:after="0" w:line="240" w:lineRule="auto"/>
      </w:pPr>
      <w:r w:rsidRPr="00642717">
        <w:t>Sun Quan Education Inc.</w:t>
      </w:r>
      <w:r w:rsidR="0003349D">
        <w:t xml:space="preserve">: </w:t>
      </w:r>
      <w:r w:rsidRPr="00642717">
        <w:t xml:space="preserve">How Far Can “We-Go”? </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144C418" w:rsidR="00086B26" w:rsidRPr="00287D6F" w:rsidRDefault="00107BF1" w:rsidP="00086B26">
      <w:pPr>
        <w:pStyle w:val="StyleCopyrightStatementAfter0ptBottomSinglesolidline1"/>
      </w:pPr>
      <w:proofErr w:type="spellStart"/>
      <w:r>
        <w:t>Yuanfang</w:t>
      </w:r>
      <w:proofErr w:type="spellEnd"/>
      <w:r>
        <w:t xml:space="preserve"> Lin</w:t>
      </w:r>
      <w:r w:rsidR="00ED7922" w:rsidRPr="002C151F">
        <w:rPr>
          <w:rFonts w:cs="Arial"/>
          <w:szCs w:val="16"/>
          <w:lang w:val="en-CA"/>
        </w:rPr>
        <w:t xml:space="preserve"> </w:t>
      </w:r>
      <w:r w:rsidR="00086B26" w:rsidRPr="002C151F">
        <w:t>wrote this case solely to provide material f</w:t>
      </w:r>
      <w:r w:rsidR="00D360A4">
        <w:t>or class discussion. The author</w:t>
      </w:r>
      <w:r w:rsidR="00086B26" w:rsidRPr="002C151F">
        <w:t xml:space="preserve"> do</w:t>
      </w:r>
      <w:r w:rsidR="00D360A4">
        <w:t>es</w:t>
      </w:r>
      <w:r w:rsidR="00086B26" w:rsidRPr="002C151F">
        <w:t xml:space="preserve"> not intend to illustrate either effective or ineffective handling of</w:t>
      </w:r>
      <w:r w:rsidR="00086B26" w:rsidRPr="00287D6F">
        <w:t xml:space="preserve"> a m</w:t>
      </w:r>
      <w:r w:rsidR="00D360A4">
        <w:t>anagerial situation. The author</w:t>
      </w:r>
      <w:r w:rsidR="00086B26" w:rsidRPr="00287D6F">
        <w:t xml:space="preserve"> may have disguised certain names and other identifying information to protect confidentiality.</w:t>
      </w:r>
    </w:p>
    <w:p w14:paraId="10D89D5F" w14:textId="50769D47" w:rsidR="00086B26" w:rsidRDefault="00086B26" w:rsidP="00086B26">
      <w:pPr>
        <w:pStyle w:val="StyleCopyrightStatementAfter0ptBottomSinglesolidline1"/>
      </w:pPr>
    </w:p>
    <w:p w14:paraId="2353EEC8" w14:textId="77777777" w:rsidR="00084DB5" w:rsidRDefault="00084DB5" w:rsidP="00084DB5">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5C19800" w14:textId="77777777" w:rsidR="00084DB5" w:rsidRDefault="00084DB5" w:rsidP="00084DB5">
      <w:pPr>
        <w:pStyle w:val="StyleStyleCopyrightStatementAfter0ptBottomSinglesolid"/>
        <w:rPr>
          <w:rFonts w:cs="Arial"/>
          <w:color w:val="FFFFFF" w:themeColor="background1"/>
          <w:szCs w:val="16"/>
        </w:rPr>
      </w:pPr>
    </w:p>
    <w:p w14:paraId="3922E14F" w14:textId="0FC4948B" w:rsidR="00751E0B" w:rsidRPr="00084DB5" w:rsidRDefault="00084DB5"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 xml:space="preserve">Version: </w:t>
      </w:r>
      <w:r w:rsidR="009C0590">
        <w:rPr>
          <w:rFonts w:cs="Arial"/>
          <w:iCs w:val="0"/>
          <w:color w:val="auto"/>
          <w:szCs w:val="16"/>
        </w:rPr>
        <w:t>2019-10</w:t>
      </w:r>
      <w:r w:rsidR="00D9188D">
        <w:rPr>
          <w:rFonts w:cs="Arial"/>
          <w:iCs w:val="0"/>
          <w:color w:val="auto"/>
          <w:szCs w:val="16"/>
        </w:rPr>
        <w:t>-</w:t>
      </w:r>
      <w:r w:rsidR="00742364">
        <w:rPr>
          <w:rFonts w:cs="Arial"/>
          <w:iCs w:val="0"/>
          <w:color w:val="auto"/>
          <w:szCs w:val="16"/>
        </w:rPr>
        <w:t>0</w:t>
      </w:r>
      <w:r w:rsidR="009C0590">
        <w:rPr>
          <w:rFonts w:cs="Arial"/>
          <w:iCs w:val="0"/>
          <w:color w:val="auto"/>
          <w:szCs w:val="16"/>
        </w:rPr>
        <w:t>7</w:t>
      </w:r>
      <w:bookmarkStart w:id="0" w:name="_GoBack"/>
      <w:bookmarkEnd w:id="0"/>
    </w:p>
    <w:p w14:paraId="0A2A54E4" w14:textId="77777777" w:rsidR="00751E0B" w:rsidRPr="00FE2737" w:rsidRDefault="00751E0B" w:rsidP="00751E0B">
      <w:pPr>
        <w:pStyle w:val="StyleCopyrightStatementAfter0ptBottomSinglesolidline1"/>
        <w:rPr>
          <w:rFonts w:ascii="Times New Roman" w:hAnsi="Times New Roman"/>
          <w:sz w:val="22"/>
        </w:rPr>
      </w:pPr>
    </w:p>
    <w:p w14:paraId="2C183161" w14:textId="77777777" w:rsidR="00B87DC0" w:rsidRPr="00FE2737" w:rsidRDefault="00B87DC0" w:rsidP="00FE2737">
      <w:pPr>
        <w:pStyle w:val="BodyTextMain"/>
      </w:pPr>
    </w:p>
    <w:p w14:paraId="09BB73FC" w14:textId="5FC2523D" w:rsidR="00E13065" w:rsidRDefault="00DA7F86" w:rsidP="00642717">
      <w:pPr>
        <w:pStyle w:val="BodyTextMain"/>
      </w:pPr>
      <w:r>
        <w:t>In</w:t>
      </w:r>
      <w:r w:rsidR="00642717" w:rsidRPr="00642717">
        <w:t xml:space="preserve"> January 2018, two years after opening </w:t>
      </w:r>
      <w:r w:rsidR="009638BA">
        <w:t>the Kitchener-</w:t>
      </w:r>
      <w:r w:rsidR="00642717" w:rsidRPr="00642717">
        <w:t xml:space="preserve">Waterloo </w:t>
      </w:r>
      <w:r>
        <w:t>We-GO</w:t>
      </w:r>
      <w:r w:rsidR="00642717" w:rsidRPr="00642717">
        <w:t xml:space="preserve"> Club, a business aim</w:t>
      </w:r>
      <w:r w:rsidR="009638BA">
        <w:t xml:space="preserve">ed at </w:t>
      </w:r>
      <w:r w:rsidR="00642717" w:rsidRPr="00642717">
        <w:t>promot</w:t>
      </w:r>
      <w:r w:rsidR="009638BA">
        <w:t>ing</w:t>
      </w:r>
      <w:r w:rsidR="00974623" w:rsidRPr="00974623">
        <w:t xml:space="preserve"> </w:t>
      </w:r>
      <w:r w:rsidR="00974623" w:rsidRPr="00642717">
        <w:t>education and training</w:t>
      </w:r>
      <w:r w:rsidR="00974623">
        <w:t xml:space="preserve"> </w:t>
      </w:r>
      <w:r w:rsidR="00AC45B9">
        <w:t>on</w:t>
      </w:r>
      <w:r w:rsidR="00642717" w:rsidRPr="00642717">
        <w:t xml:space="preserve"> the</w:t>
      </w:r>
      <w:r w:rsidR="00974623">
        <w:t xml:space="preserve"> game of</w:t>
      </w:r>
      <w:r w:rsidR="00642717" w:rsidRPr="00642717">
        <w:t xml:space="preserve"> Go in </w:t>
      </w:r>
      <w:r w:rsidR="009638BA">
        <w:t>S</w:t>
      </w:r>
      <w:r w:rsidR="00642717" w:rsidRPr="00642717">
        <w:t xml:space="preserve">outhern Ontario, </w:t>
      </w:r>
      <w:r w:rsidR="00E13065">
        <w:t>Sun</w:t>
      </w:r>
      <w:r w:rsidR="00A123BA">
        <w:t xml:space="preserve"> </w:t>
      </w:r>
      <w:r w:rsidR="00557EB7">
        <w:t xml:space="preserve">Quan </w:t>
      </w:r>
      <w:r w:rsidR="00642717" w:rsidRPr="00642717">
        <w:t xml:space="preserve">and his business partners organized the first </w:t>
      </w:r>
      <w:r>
        <w:t>We-GO</w:t>
      </w:r>
      <w:r w:rsidR="00642717" w:rsidRPr="00642717">
        <w:t xml:space="preserve"> Rating Competition acknowledged by </w:t>
      </w:r>
      <w:r w:rsidR="00D55D80">
        <w:t xml:space="preserve">the </w:t>
      </w:r>
      <w:r w:rsidR="00642717" w:rsidRPr="00642717">
        <w:t xml:space="preserve">Canadian Go Association (CGA). About 35 children and 30 adults registered and participated in the tournament, most of </w:t>
      </w:r>
      <w:r>
        <w:t>whom</w:t>
      </w:r>
      <w:r w:rsidR="00642717" w:rsidRPr="00642717">
        <w:t xml:space="preserve"> came from the Go classes of various levels offered by Sun’s </w:t>
      </w:r>
      <w:r>
        <w:t>We-GO</w:t>
      </w:r>
      <w:r w:rsidR="00642717" w:rsidRPr="00642717">
        <w:t xml:space="preserve"> </w:t>
      </w:r>
      <w:r w:rsidR="009638BA">
        <w:t>C</w:t>
      </w:r>
      <w:r w:rsidR="00642717" w:rsidRPr="00642717">
        <w:t xml:space="preserve">lub since 2016. About 10 children were </w:t>
      </w:r>
      <w:proofErr w:type="gramStart"/>
      <w:r w:rsidR="00642717" w:rsidRPr="00642717">
        <w:t>promoted</w:t>
      </w:r>
      <w:proofErr w:type="gramEnd"/>
      <w:r w:rsidR="00642717" w:rsidRPr="00642717">
        <w:t xml:space="preserve"> to </w:t>
      </w:r>
      <w:r w:rsidR="00681032">
        <w:t xml:space="preserve">a </w:t>
      </w:r>
      <w:r w:rsidR="00642717" w:rsidRPr="00642717">
        <w:t xml:space="preserve">higher grade after winning in the tournament. </w:t>
      </w:r>
    </w:p>
    <w:p w14:paraId="51D03EF1" w14:textId="77777777" w:rsidR="00E13065" w:rsidRDefault="00E13065" w:rsidP="00642717">
      <w:pPr>
        <w:pStyle w:val="BodyTextMain"/>
      </w:pPr>
    </w:p>
    <w:p w14:paraId="19F68CCC" w14:textId="15EC85F0" w:rsidR="00E13065" w:rsidRDefault="00E13065" w:rsidP="00642717">
      <w:pPr>
        <w:pStyle w:val="BodyTextMain"/>
      </w:pPr>
      <w:r>
        <w:t>In</w:t>
      </w:r>
      <w:r w:rsidR="00642717" w:rsidRPr="00642717">
        <w:t xml:space="preserve"> February 2018, </w:t>
      </w:r>
      <w:r>
        <w:t xml:space="preserve">as </w:t>
      </w:r>
      <w:r w:rsidR="00642717" w:rsidRPr="00642717">
        <w:t xml:space="preserve">Sun and </w:t>
      </w:r>
      <w:r>
        <w:t xml:space="preserve">his </w:t>
      </w:r>
      <w:r w:rsidR="00642717" w:rsidRPr="00642717">
        <w:t>friends celebrated the Chinese New Year day together</w:t>
      </w:r>
      <w:r>
        <w:t xml:space="preserve">, </w:t>
      </w:r>
      <w:r w:rsidR="00642717" w:rsidRPr="00642717">
        <w:t xml:space="preserve">they realized that the club needed an effective plan for the further marketing of Go, an intellectual product deeply rooted in </w:t>
      </w:r>
      <w:r w:rsidR="00A123BA">
        <w:t xml:space="preserve">Asian </w:t>
      </w:r>
      <w:r w:rsidR="00642717" w:rsidRPr="00642717">
        <w:t>culture, to the Kitchener</w:t>
      </w:r>
      <w:r>
        <w:t>-</w:t>
      </w:r>
      <w:r w:rsidR="00642717" w:rsidRPr="00642717">
        <w:t xml:space="preserve">Waterloo area of Ontario, Canada. </w:t>
      </w:r>
      <w:r>
        <w:t>Sun, p</w:t>
      </w:r>
      <w:r w:rsidRPr="006E6C31">
        <w:t>resident of Sun Quan Education Inc.</w:t>
      </w:r>
      <w:r>
        <w:t>,</w:t>
      </w:r>
      <w:r w:rsidRPr="006E6C31">
        <w:t xml:space="preserve"> described the club’s ongoing marketing objective</w:t>
      </w:r>
      <w:r>
        <w:t xml:space="preserve">: </w:t>
      </w:r>
    </w:p>
    <w:p w14:paraId="433FBB32" w14:textId="77777777" w:rsidR="00E13065" w:rsidRDefault="00E13065" w:rsidP="00642717">
      <w:pPr>
        <w:pStyle w:val="BodyTextMain"/>
      </w:pPr>
    </w:p>
    <w:p w14:paraId="625025F2" w14:textId="0E2D6FA8" w:rsidR="00E13065" w:rsidRDefault="00642717" w:rsidP="00885784">
      <w:pPr>
        <w:pStyle w:val="BodyTextMain"/>
        <w:ind w:left="720"/>
      </w:pPr>
      <w:r w:rsidRPr="006E6C31">
        <w:t>To further expand our customer base in Southern Ontario</w:t>
      </w:r>
      <w:r w:rsidR="00E13065">
        <w:t>,</w:t>
      </w:r>
      <w:r w:rsidRPr="006E6C31">
        <w:t xml:space="preserve"> we must continue to increase the awareness and interest of</w:t>
      </w:r>
      <w:r w:rsidR="00E13065">
        <w:t xml:space="preserve"> [the]</w:t>
      </w:r>
      <w:r w:rsidRPr="006E6C31">
        <w:t xml:space="preserve"> Go game</w:t>
      </w:r>
      <w:r w:rsidR="00E13065">
        <w:t xml:space="preserve">. </w:t>
      </w:r>
      <w:r w:rsidRPr="006E6C31">
        <w:t xml:space="preserve">We were considering </w:t>
      </w:r>
      <w:r w:rsidR="00E13065">
        <w:t xml:space="preserve">[promoting] </w:t>
      </w:r>
      <w:r w:rsidRPr="006E6C31">
        <w:t>‘Go’ to school</w:t>
      </w:r>
      <w:r w:rsidR="00E13065">
        <w:t>s</w:t>
      </w:r>
      <w:r w:rsidRPr="006E6C31">
        <w:t xml:space="preserve"> as the next market entry point, which meant actively seeking opportunities to cooperate with the curriculum or extracurricular programs of schools at different levels</w:t>
      </w:r>
      <w:r w:rsidRPr="00642717">
        <w:t>.</w:t>
      </w:r>
    </w:p>
    <w:p w14:paraId="40FA0C57" w14:textId="77777777" w:rsidR="00E13065" w:rsidRDefault="00E13065" w:rsidP="001622C0">
      <w:pPr>
        <w:pStyle w:val="BodyTextMain"/>
      </w:pPr>
    </w:p>
    <w:p w14:paraId="38DECF80" w14:textId="37CCA59B" w:rsidR="00642717" w:rsidRPr="00642717" w:rsidRDefault="00642717" w:rsidP="00A104FD">
      <w:pPr>
        <w:pStyle w:val="BodyTextMain"/>
        <w:rPr>
          <w:rFonts w:eastAsia="ヒラギノ角ゴ Pro W3"/>
        </w:rPr>
      </w:pPr>
      <w:r w:rsidRPr="00642717">
        <w:t xml:space="preserve">Was this the right direction for the company’s marketing plan? Or was there a better alternative? </w:t>
      </w:r>
    </w:p>
    <w:p w14:paraId="56CB23BC" w14:textId="77777777" w:rsidR="00642717" w:rsidRPr="00FE2737" w:rsidRDefault="00642717" w:rsidP="00FE2737">
      <w:pPr>
        <w:pStyle w:val="BodyTextMain"/>
        <w:rPr>
          <w:rFonts w:eastAsia="ヒラギノ角ゴ Pro W3"/>
        </w:rPr>
      </w:pPr>
    </w:p>
    <w:p w14:paraId="532A0C8A" w14:textId="77777777" w:rsidR="00642717" w:rsidRPr="00FE2737" w:rsidRDefault="00642717" w:rsidP="00FE2737">
      <w:pPr>
        <w:pStyle w:val="BodyTextMain"/>
        <w:rPr>
          <w:rFonts w:eastAsia="ヒラギノ角ゴ Pro W3"/>
        </w:rPr>
      </w:pPr>
    </w:p>
    <w:p w14:paraId="4A26D304" w14:textId="5FB15B36" w:rsidR="00642717" w:rsidRDefault="00642717" w:rsidP="00642717">
      <w:pPr>
        <w:pStyle w:val="Casehead1"/>
        <w:rPr>
          <w:rFonts w:eastAsia="ヒラギノ角ゴ Pro W3"/>
          <w:lang w:eastAsia="zh-CN"/>
        </w:rPr>
      </w:pPr>
      <w:r w:rsidRPr="00642717">
        <w:rPr>
          <w:rFonts w:eastAsia="ヒラギノ角ゴ Pro W3"/>
          <w:lang w:eastAsia="zh-CN"/>
        </w:rPr>
        <w:t xml:space="preserve">A BRIEF HISTORY OF </w:t>
      </w:r>
      <w:r w:rsidR="00E13065">
        <w:rPr>
          <w:rFonts w:eastAsia="ヒラギノ角ゴ Pro W3"/>
          <w:lang w:eastAsia="zh-CN"/>
        </w:rPr>
        <w:t xml:space="preserve">the </w:t>
      </w:r>
      <w:r w:rsidRPr="00642717">
        <w:rPr>
          <w:rFonts w:eastAsia="ヒラギノ角ゴ Pro W3"/>
          <w:lang w:eastAsia="zh-CN"/>
        </w:rPr>
        <w:t>GO GAME</w:t>
      </w:r>
    </w:p>
    <w:p w14:paraId="245FE8A0" w14:textId="77777777" w:rsidR="00642717" w:rsidRPr="00642717" w:rsidRDefault="00642717" w:rsidP="00FD54A1">
      <w:pPr>
        <w:pStyle w:val="BodyTextMain"/>
        <w:rPr>
          <w:rFonts w:eastAsia="ヒラギノ角ゴ Pro W3"/>
          <w:lang w:eastAsia="zh-CN"/>
        </w:rPr>
      </w:pPr>
    </w:p>
    <w:p w14:paraId="26AB5E67" w14:textId="7B30443B" w:rsidR="000E6AD0" w:rsidRDefault="00642717" w:rsidP="00642717">
      <w:pPr>
        <w:pStyle w:val="BodyTextMain"/>
        <w:rPr>
          <w:spacing w:val="-4"/>
          <w:lang w:eastAsia="zh-CN"/>
        </w:rPr>
      </w:pPr>
      <w:r w:rsidRPr="004F0C46">
        <w:rPr>
          <w:spacing w:val="-4"/>
          <w:lang w:eastAsia="zh-CN"/>
        </w:rPr>
        <w:t>Go</w:t>
      </w:r>
      <w:r w:rsidR="006A741B">
        <w:rPr>
          <w:spacing w:val="-4"/>
          <w:lang w:eastAsia="zh-CN"/>
        </w:rPr>
        <w:t xml:space="preserve"> </w:t>
      </w:r>
      <w:r w:rsidRPr="004F0C46">
        <w:rPr>
          <w:spacing w:val="-4"/>
          <w:lang w:eastAsia="zh-CN"/>
        </w:rPr>
        <w:t>was a board game played by two players with the intention of acquiring greater territory on the game board.</w:t>
      </w:r>
      <w:r w:rsidRPr="004F0C46">
        <w:rPr>
          <w:spacing w:val="-4"/>
          <w:vertAlign w:val="superscript"/>
          <w:lang w:eastAsia="zh-CN"/>
        </w:rPr>
        <w:footnoteReference w:id="2"/>
      </w:r>
      <w:r w:rsidRPr="004F0C46">
        <w:rPr>
          <w:spacing w:val="-4"/>
          <w:lang w:eastAsia="zh-CN"/>
        </w:rPr>
        <w:t xml:space="preserve"> </w:t>
      </w:r>
      <w:r w:rsidR="00A343ED">
        <w:rPr>
          <w:spacing w:val="-4"/>
          <w:lang w:eastAsia="zh-CN"/>
        </w:rPr>
        <w:t>C</w:t>
      </w:r>
      <w:r w:rsidR="00A343ED" w:rsidRPr="004F0C46">
        <w:rPr>
          <w:spacing w:val="-4"/>
          <w:lang w:eastAsia="zh-CN"/>
        </w:rPr>
        <w:t>onsidered the oldest board game played today</w:t>
      </w:r>
      <w:r w:rsidR="00A343ED">
        <w:rPr>
          <w:spacing w:val="-4"/>
          <w:lang w:eastAsia="zh-CN"/>
        </w:rPr>
        <w:t>, this</w:t>
      </w:r>
      <w:r w:rsidRPr="004F0C46">
        <w:rPr>
          <w:spacing w:val="-4"/>
          <w:lang w:eastAsia="zh-CN"/>
        </w:rPr>
        <w:t xml:space="preserve"> game was invented in ancient China more than 2,500 years ago with close tie</w:t>
      </w:r>
      <w:r w:rsidR="00A343ED">
        <w:rPr>
          <w:spacing w:val="-4"/>
          <w:lang w:eastAsia="zh-CN"/>
        </w:rPr>
        <w:t>s</w:t>
      </w:r>
      <w:r w:rsidRPr="004F0C46">
        <w:rPr>
          <w:spacing w:val="-4"/>
          <w:lang w:eastAsia="zh-CN"/>
        </w:rPr>
        <w:t xml:space="preserve"> to many aspects of ancient Chinese philosophy and ethics</w:t>
      </w:r>
      <w:r w:rsidR="00A343ED">
        <w:rPr>
          <w:spacing w:val="-4"/>
          <w:lang w:eastAsia="zh-CN"/>
        </w:rPr>
        <w:t>.</w:t>
      </w:r>
      <w:r w:rsidRPr="004F0C46">
        <w:rPr>
          <w:spacing w:val="-4"/>
          <w:lang w:eastAsia="zh-CN"/>
        </w:rPr>
        <w:t xml:space="preserve"> The game was introduced to Japan about 1,500 years ago</w:t>
      </w:r>
      <w:r w:rsidR="001622C0">
        <w:rPr>
          <w:spacing w:val="-4"/>
          <w:lang w:eastAsia="zh-CN"/>
        </w:rPr>
        <w:t xml:space="preserve">, </w:t>
      </w:r>
      <w:r w:rsidRPr="004F0C46">
        <w:rPr>
          <w:spacing w:val="-4"/>
          <w:lang w:eastAsia="zh-CN"/>
        </w:rPr>
        <w:t>went through significant development</w:t>
      </w:r>
      <w:r w:rsidR="001622C0">
        <w:rPr>
          <w:spacing w:val="-4"/>
          <w:lang w:eastAsia="zh-CN"/>
        </w:rPr>
        <w:t>,</w:t>
      </w:r>
      <w:r w:rsidRPr="004F0C46">
        <w:rPr>
          <w:spacing w:val="-4"/>
          <w:lang w:eastAsia="zh-CN"/>
        </w:rPr>
        <w:t xml:space="preserve"> and became one of the most popularly played strategy board games in East Asia. The game was brought to Europe and America by western trave</w:t>
      </w:r>
      <w:r w:rsidR="00611055">
        <w:rPr>
          <w:spacing w:val="-4"/>
          <w:lang w:eastAsia="zh-CN"/>
        </w:rPr>
        <w:t>l</w:t>
      </w:r>
      <w:r w:rsidRPr="004F0C46">
        <w:rPr>
          <w:spacing w:val="-4"/>
          <w:lang w:eastAsia="zh-CN"/>
        </w:rPr>
        <w:t xml:space="preserve">lers from Japan and </w:t>
      </w:r>
      <w:r w:rsidR="001622C0">
        <w:rPr>
          <w:spacing w:val="-4"/>
          <w:lang w:eastAsia="zh-CN"/>
        </w:rPr>
        <w:t xml:space="preserve">has </w:t>
      </w:r>
      <w:r w:rsidRPr="004F0C46">
        <w:rPr>
          <w:spacing w:val="-4"/>
          <w:lang w:eastAsia="zh-CN"/>
        </w:rPr>
        <w:t>slowly gain</w:t>
      </w:r>
      <w:r w:rsidR="001622C0">
        <w:rPr>
          <w:spacing w:val="-4"/>
          <w:lang w:eastAsia="zh-CN"/>
        </w:rPr>
        <w:t xml:space="preserve">ed </w:t>
      </w:r>
      <w:r w:rsidRPr="004F0C46">
        <w:rPr>
          <w:spacing w:val="-4"/>
          <w:lang w:eastAsia="zh-CN"/>
        </w:rPr>
        <w:t>popularity since</w:t>
      </w:r>
      <w:r w:rsidR="003C0F78">
        <w:rPr>
          <w:spacing w:val="-4"/>
          <w:lang w:eastAsia="zh-CN"/>
        </w:rPr>
        <w:t xml:space="preserve"> the</w:t>
      </w:r>
      <w:r w:rsidRPr="004F0C46">
        <w:rPr>
          <w:spacing w:val="-4"/>
          <w:lang w:eastAsia="zh-CN"/>
        </w:rPr>
        <w:t xml:space="preserve"> 1920s. </w:t>
      </w:r>
    </w:p>
    <w:p w14:paraId="4E7A139F" w14:textId="002EA92D" w:rsidR="00642717" w:rsidRPr="004F0C46" w:rsidRDefault="00642717" w:rsidP="00642717">
      <w:pPr>
        <w:pStyle w:val="BodyTextMain"/>
        <w:rPr>
          <w:rFonts w:eastAsia="ヒラギノ角ゴ Pro W3"/>
          <w:color w:val="000000"/>
          <w:spacing w:val="-4"/>
          <w:lang w:eastAsia="zh-CN"/>
        </w:rPr>
      </w:pPr>
      <w:r w:rsidRPr="004F0C46">
        <w:rPr>
          <w:spacing w:val="-4"/>
          <w:lang w:eastAsia="zh-CN"/>
        </w:rPr>
        <w:lastRenderedPageBreak/>
        <w:t>The International Go Federation (IGF) was founded in 1982 with only 29</w:t>
      </w:r>
      <w:r w:rsidRPr="004F0C46">
        <w:rPr>
          <w:rFonts w:eastAsia="ヒラギノ角ゴ Pro W3"/>
          <w:color w:val="000000"/>
          <w:spacing w:val="-4"/>
          <w:lang w:eastAsia="zh-CN"/>
        </w:rPr>
        <w:t xml:space="preserve"> countries as initial members. </w:t>
      </w:r>
      <w:r w:rsidR="0007137A">
        <w:rPr>
          <w:rFonts w:eastAsia="ヒラギノ角ゴ Pro W3"/>
          <w:color w:val="000000"/>
          <w:spacing w:val="-4"/>
          <w:lang w:eastAsia="zh-CN"/>
        </w:rPr>
        <w:t>By 2010,</w:t>
      </w:r>
      <w:r w:rsidRPr="004F0C46">
        <w:rPr>
          <w:rFonts w:eastAsia="ヒラギノ角ゴ Pro W3"/>
          <w:color w:val="000000"/>
          <w:spacing w:val="-4"/>
          <w:lang w:eastAsia="zh-CN"/>
        </w:rPr>
        <w:t xml:space="preserve"> more than 70 countr</w:t>
      </w:r>
      <w:r w:rsidR="0007137A">
        <w:rPr>
          <w:rFonts w:eastAsia="ヒラギノ角ゴ Pro W3"/>
          <w:color w:val="000000"/>
          <w:spacing w:val="-4"/>
          <w:lang w:eastAsia="zh-CN"/>
        </w:rPr>
        <w:t xml:space="preserve">ies </w:t>
      </w:r>
      <w:r w:rsidR="00AB47A8">
        <w:rPr>
          <w:rFonts w:eastAsia="ヒラギノ角ゴ Pro W3"/>
          <w:color w:val="000000"/>
          <w:spacing w:val="-4"/>
          <w:lang w:eastAsia="zh-CN"/>
        </w:rPr>
        <w:t>had</w:t>
      </w:r>
      <w:r w:rsidRPr="004F0C46">
        <w:rPr>
          <w:rFonts w:eastAsia="ヒラギノ角ゴ Pro W3"/>
          <w:color w:val="000000"/>
          <w:spacing w:val="-4"/>
          <w:lang w:eastAsia="zh-CN"/>
        </w:rPr>
        <w:t xml:space="preserve"> members within IGF.</w:t>
      </w:r>
      <w:r w:rsidRPr="004F0C46">
        <w:rPr>
          <w:rFonts w:eastAsia="ヒラギノ角ゴ Pro W3"/>
          <w:color w:val="000000"/>
          <w:spacing w:val="-4"/>
          <w:vertAlign w:val="superscript"/>
          <w:lang w:eastAsia="zh-CN"/>
        </w:rPr>
        <w:footnoteReference w:id="3"/>
      </w:r>
      <w:r w:rsidRPr="004F0C46">
        <w:rPr>
          <w:rFonts w:eastAsia="ヒラギノ角ゴ Pro W3"/>
          <w:color w:val="000000"/>
          <w:spacing w:val="-4"/>
          <w:lang w:eastAsia="zh-CN"/>
        </w:rPr>
        <w:t xml:space="preserve"> The game of Go came to Canada over 100 years ago from a number of different sources including Chinese students,</w:t>
      </w:r>
      <w:r w:rsidR="001622C0">
        <w:rPr>
          <w:rFonts w:eastAsia="ヒラギノ角ゴ Pro W3"/>
          <w:color w:val="000000"/>
          <w:spacing w:val="-4"/>
          <w:lang w:eastAsia="zh-CN"/>
        </w:rPr>
        <w:t xml:space="preserve"> and</w:t>
      </w:r>
      <w:r w:rsidRPr="004F0C46">
        <w:rPr>
          <w:rFonts w:eastAsia="ヒラギノ角ゴ Pro W3"/>
          <w:color w:val="000000"/>
          <w:spacing w:val="-4"/>
          <w:lang w:eastAsia="zh-CN"/>
        </w:rPr>
        <w:t xml:space="preserve"> Japanese and European immigrants. The CGA was the governing body for the game of Go</w:t>
      </w:r>
      <w:r w:rsidR="001622C0">
        <w:rPr>
          <w:rFonts w:eastAsia="ヒラギノ角ゴ Pro W3"/>
          <w:color w:val="000000"/>
          <w:spacing w:val="-4"/>
          <w:lang w:eastAsia="zh-CN"/>
        </w:rPr>
        <w:t xml:space="preserve"> </w:t>
      </w:r>
      <w:r w:rsidR="00534162" w:rsidRPr="004F0C46">
        <w:rPr>
          <w:rFonts w:eastAsia="ヒラギノ角ゴ Pro W3"/>
          <w:color w:val="000000"/>
          <w:spacing w:val="-4"/>
          <w:lang w:eastAsia="zh-CN"/>
        </w:rPr>
        <w:t xml:space="preserve">in Canada </w:t>
      </w:r>
      <w:r w:rsidR="001622C0">
        <w:rPr>
          <w:rFonts w:eastAsia="ヒラギノ角ゴ Pro W3"/>
          <w:color w:val="000000"/>
          <w:spacing w:val="-4"/>
          <w:lang w:eastAsia="zh-CN"/>
        </w:rPr>
        <w:t>and</w:t>
      </w:r>
      <w:r w:rsidRPr="004F0C46">
        <w:rPr>
          <w:rFonts w:eastAsia="ヒラギノ角ゴ Pro W3"/>
          <w:color w:val="000000"/>
          <w:spacing w:val="-4"/>
          <w:lang w:eastAsia="zh-CN"/>
        </w:rPr>
        <w:t xml:space="preserve"> was affiliated with the IGF in Tokyo</w:t>
      </w:r>
      <w:r w:rsidR="001622C0">
        <w:rPr>
          <w:rFonts w:eastAsia="ヒラギノ角ゴ Pro W3"/>
          <w:color w:val="000000"/>
          <w:spacing w:val="-4"/>
          <w:lang w:eastAsia="zh-CN"/>
        </w:rPr>
        <w:t>.</w:t>
      </w:r>
      <w:r w:rsidRPr="004F0C46">
        <w:rPr>
          <w:rFonts w:eastAsia="ヒラギノ角ゴ Pro W3"/>
          <w:color w:val="000000"/>
          <w:spacing w:val="-4"/>
          <w:vertAlign w:val="superscript"/>
          <w:lang w:eastAsia="zh-CN"/>
        </w:rPr>
        <w:footnoteReference w:id="4"/>
      </w:r>
      <w:r w:rsidRPr="004F0C46">
        <w:rPr>
          <w:rFonts w:eastAsia="ヒラギノ角ゴ Pro W3"/>
          <w:color w:val="000000"/>
          <w:spacing w:val="-4"/>
          <w:lang w:eastAsia="zh-CN"/>
        </w:rPr>
        <w:t xml:space="preserve"> According to </w:t>
      </w:r>
      <w:r w:rsidR="00AE659A">
        <w:rPr>
          <w:rFonts w:eastAsia="ヒラギノ角ゴ Pro W3"/>
          <w:color w:val="000000"/>
          <w:spacing w:val="-4"/>
          <w:lang w:eastAsia="zh-CN"/>
        </w:rPr>
        <w:t>Sun Quan</w:t>
      </w:r>
      <w:r w:rsidRPr="004F0C46">
        <w:rPr>
          <w:rFonts w:eastAsia="ヒラギノ角ゴ Pro W3"/>
          <w:color w:val="000000"/>
          <w:spacing w:val="-4"/>
          <w:lang w:eastAsia="zh-CN"/>
        </w:rPr>
        <w:t xml:space="preserve">, “As of December 2017, it </w:t>
      </w:r>
      <w:r w:rsidR="001622C0">
        <w:rPr>
          <w:rFonts w:eastAsia="ヒラギノ角ゴ Pro W3"/>
          <w:color w:val="000000"/>
          <w:spacing w:val="-4"/>
          <w:lang w:eastAsia="zh-CN"/>
        </w:rPr>
        <w:t xml:space="preserve">[the CGA] </w:t>
      </w:r>
      <w:r w:rsidRPr="004F0C46">
        <w:rPr>
          <w:rFonts w:eastAsia="ヒラギノ角ゴ Pro W3"/>
          <w:color w:val="000000"/>
          <w:spacing w:val="-4"/>
          <w:lang w:eastAsia="zh-CN"/>
        </w:rPr>
        <w:t>had almost 1600 registered members.”</w:t>
      </w:r>
    </w:p>
    <w:p w14:paraId="3C4FAC6E" w14:textId="77777777" w:rsidR="00642717" w:rsidRDefault="00642717" w:rsidP="00642717">
      <w:pPr>
        <w:pStyle w:val="BodyTextMain"/>
        <w:rPr>
          <w:rFonts w:eastAsia="ヒラギノ角ゴ Pro W3"/>
          <w:color w:val="000000"/>
          <w:lang w:eastAsia="zh-CN"/>
        </w:rPr>
      </w:pPr>
    </w:p>
    <w:p w14:paraId="294FFA00" w14:textId="77777777" w:rsidR="00642717" w:rsidRPr="00642717" w:rsidRDefault="00642717" w:rsidP="00642717">
      <w:pPr>
        <w:pStyle w:val="BodyTextMain"/>
        <w:rPr>
          <w:rFonts w:eastAsia="ヒラギノ角ゴ Pro W3"/>
          <w:color w:val="000000"/>
          <w:lang w:eastAsia="zh-CN"/>
        </w:rPr>
      </w:pPr>
    </w:p>
    <w:p w14:paraId="5796C07E" w14:textId="77777777" w:rsidR="00642717" w:rsidRPr="00642717" w:rsidRDefault="00642717" w:rsidP="00642717">
      <w:pPr>
        <w:pStyle w:val="Casehead1"/>
        <w:rPr>
          <w:rFonts w:eastAsia="ヒラギノ角ゴ Pro W3"/>
          <w:lang w:eastAsia="zh-CN"/>
        </w:rPr>
      </w:pPr>
      <w:r w:rsidRPr="00642717">
        <w:rPr>
          <w:rFonts w:eastAsia="ヒラギノ角ゴ Pro W3"/>
          <w:lang w:eastAsia="zh-CN"/>
        </w:rPr>
        <w:t xml:space="preserve">THE GO INDUSTRY </w:t>
      </w:r>
    </w:p>
    <w:p w14:paraId="14369B9E" w14:textId="77777777" w:rsidR="00A33DCE" w:rsidRDefault="00A33DCE" w:rsidP="00642717">
      <w:pPr>
        <w:pStyle w:val="BodyTextMain"/>
        <w:rPr>
          <w:rFonts w:eastAsia="ヒラギノ角ゴ Pro W3"/>
          <w:lang w:eastAsia="zh-CN"/>
        </w:rPr>
      </w:pPr>
    </w:p>
    <w:p w14:paraId="4D637505" w14:textId="191CCD9C" w:rsidR="00642717" w:rsidRDefault="00642717" w:rsidP="00642717">
      <w:pPr>
        <w:pStyle w:val="BodyTextMain"/>
        <w:rPr>
          <w:rFonts w:eastAsia="ヒラギノ角ゴ Pro W3"/>
          <w:lang w:val="en-CA" w:eastAsia="zh-CN"/>
        </w:rPr>
      </w:pPr>
      <w:r w:rsidRPr="00642717">
        <w:rPr>
          <w:rFonts w:eastAsia="ヒラギノ角ゴ Pro W3"/>
          <w:lang w:eastAsia="zh-CN"/>
        </w:rPr>
        <w:t>Go was considered one of the four academic and artistic accomplishments</w:t>
      </w:r>
      <w:r w:rsidRPr="00642717">
        <w:rPr>
          <w:rFonts w:eastAsia="ヒラギノ角ゴ Pro W3"/>
          <w:vertAlign w:val="superscript"/>
          <w:lang w:eastAsia="zh-CN"/>
        </w:rPr>
        <w:footnoteReference w:id="5"/>
      </w:r>
      <w:r w:rsidRPr="00642717">
        <w:rPr>
          <w:rFonts w:eastAsia="ヒラギノ角ゴ Pro W3"/>
          <w:lang w:eastAsia="zh-CN"/>
        </w:rPr>
        <w:t xml:space="preserve"> required of ancient Chinese scholarly gentleme</w:t>
      </w:r>
      <w:r w:rsidR="000E6AD0">
        <w:rPr>
          <w:rFonts w:eastAsia="ヒラギノ角ゴ Pro W3"/>
          <w:lang w:eastAsia="zh-CN"/>
        </w:rPr>
        <w:t>n—</w:t>
      </w:r>
      <w:r w:rsidRPr="00642717">
        <w:rPr>
          <w:rFonts w:eastAsia="ヒラギノ角ゴ Pro W3"/>
          <w:lang w:eastAsia="zh-CN"/>
        </w:rPr>
        <w:t>historical evidence for the game’s deep cultural root</w:t>
      </w:r>
      <w:r w:rsidR="003C0F78">
        <w:rPr>
          <w:rFonts w:eastAsia="ヒラギノ角ゴ Pro W3"/>
          <w:lang w:eastAsia="zh-CN"/>
        </w:rPr>
        <w:t>s</w:t>
      </w:r>
      <w:r w:rsidRPr="00642717">
        <w:rPr>
          <w:rFonts w:eastAsia="ヒラギノ角ゴ Pro W3"/>
          <w:lang w:eastAsia="zh-CN"/>
        </w:rPr>
        <w:t>. Meanwhile</w:t>
      </w:r>
      <w:r w:rsidR="00F23E79">
        <w:rPr>
          <w:rFonts w:eastAsia="ヒラギノ角ゴ Pro W3"/>
          <w:lang w:eastAsia="zh-CN"/>
        </w:rPr>
        <w:t>,</w:t>
      </w:r>
      <w:r w:rsidRPr="00642717">
        <w:rPr>
          <w:rFonts w:eastAsia="ヒラギノ角ゴ Pro W3"/>
          <w:lang w:eastAsia="zh-CN"/>
        </w:rPr>
        <w:t xml:space="preserve"> the competitive game format and the rich strategic implications also made </w:t>
      </w:r>
      <w:proofErr w:type="gramStart"/>
      <w:r w:rsidRPr="00642717">
        <w:rPr>
          <w:rFonts w:eastAsia="ヒラギノ角ゴ Pro W3"/>
          <w:lang w:eastAsia="zh-CN"/>
        </w:rPr>
        <w:t>Go</w:t>
      </w:r>
      <w:proofErr w:type="gramEnd"/>
      <w:r w:rsidRPr="00642717">
        <w:rPr>
          <w:rFonts w:eastAsia="ヒラギノ角ゴ Pro W3"/>
          <w:lang w:eastAsia="zh-CN"/>
        </w:rPr>
        <w:t xml:space="preserve"> a popular intellectual sport</w:t>
      </w:r>
      <w:r w:rsidR="00F23E79">
        <w:rPr>
          <w:rFonts w:eastAsia="ヒラギノ角ゴ Pro W3"/>
          <w:lang w:eastAsia="zh-CN"/>
        </w:rPr>
        <w:t>,</w:t>
      </w:r>
      <w:r w:rsidRPr="00642717">
        <w:rPr>
          <w:rFonts w:eastAsia="ヒラギノ角ゴ Pro W3"/>
          <w:lang w:eastAsia="zh-CN"/>
        </w:rPr>
        <w:t xml:space="preserve"> especially in China, Korea</w:t>
      </w:r>
      <w:r w:rsidR="000E6AD0">
        <w:rPr>
          <w:rFonts w:eastAsia="ヒラギノ角ゴ Pro W3"/>
          <w:lang w:eastAsia="zh-CN"/>
        </w:rPr>
        <w:t>,</w:t>
      </w:r>
      <w:r w:rsidRPr="00642717">
        <w:rPr>
          <w:rFonts w:eastAsia="ヒラギノ角ゴ Pro W3"/>
          <w:lang w:eastAsia="zh-CN"/>
        </w:rPr>
        <w:t xml:space="preserve"> and Japan. According to China </w:t>
      </w:r>
      <w:proofErr w:type="spellStart"/>
      <w:r w:rsidRPr="00642717">
        <w:rPr>
          <w:rFonts w:eastAsia="ヒラギノ角ゴ Pro W3"/>
          <w:lang w:eastAsia="zh-CN"/>
        </w:rPr>
        <w:t>Qiyuan</w:t>
      </w:r>
      <w:proofErr w:type="spellEnd"/>
      <w:r w:rsidRPr="00642717">
        <w:rPr>
          <w:rFonts w:eastAsia="ヒラギノ角ゴ Pro W3"/>
          <w:lang w:eastAsia="zh-CN"/>
        </w:rPr>
        <w:t xml:space="preserve">, the official agency responsible for board and card game organizations in China, the “Go Population” in China was nearly 30 million by June 2014, including 421 registered professional players </w:t>
      </w:r>
      <w:r w:rsidRPr="00642717">
        <w:rPr>
          <w:rFonts w:eastAsia="ヒラギノ角ゴ Pro W3"/>
          <w:lang w:val="en-CA" w:eastAsia="zh-CN"/>
        </w:rPr>
        <w:t xml:space="preserve">whose incomes primarily came from participating </w:t>
      </w:r>
      <w:r w:rsidR="003C0F78">
        <w:rPr>
          <w:rFonts w:eastAsia="ヒラギノ角ゴ Pro W3"/>
          <w:lang w:val="en-CA" w:eastAsia="zh-CN"/>
        </w:rPr>
        <w:t xml:space="preserve">in </w:t>
      </w:r>
      <w:r w:rsidRPr="00642717">
        <w:rPr>
          <w:rFonts w:eastAsia="ヒラギノ角ゴ Pro W3"/>
          <w:lang w:val="en-CA" w:eastAsia="zh-CN"/>
        </w:rPr>
        <w:t xml:space="preserve">international and domestic Go competitions and tournaments, as well as </w:t>
      </w:r>
      <w:r w:rsidRPr="00642717">
        <w:rPr>
          <w:rFonts w:eastAsia="ヒラギノ角ゴ Pro W3"/>
          <w:lang w:eastAsia="zh-CN"/>
        </w:rPr>
        <w:t>9.7 million amateur players. About 5 million youth were receiving Go education at various training institutions.</w:t>
      </w:r>
      <w:r w:rsidRPr="00642717">
        <w:rPr>
          <w:rFonts w:eastAsia="ヒラギノ角ゴ Pro W3"/>
          <w:vertAlign w:val="superscript"/>
          <w:lang w:eastAsia="zh-CN"/>
        </w:rPr>
        <w:footnoteReference w:id="6"/>
      </w:r>
      <w:r w:rsidRPr="00642717">
        <w:rPr>
          <w:rFonts w:eastAsia="ヒラギノ角ゴ Pro W3"/>
          <w:lang w:eastAsia="zh-CN"/>
        </w:rPr>
        <w:t xml:space="preserve"> In recent years</w:t>
      </w:r>
      <w:r w:rsidR="007B5F48">
        <w:rPr>
          <w:rFonts w:eastAsia="ヒラギノ角ゴ Pro W3"/>
          <w:lang w:eastAsia="zh-CN"/>
        </w:rPr>
        <w:t>,</w:t>
      </w:r>
      <w:r w:rsidRPr="00642717">
        <w:rPr>
          <w:rFonts w:eastAsia="ヒラギノ角ゴ Pro W3"/>
          <w:lang w:eastAsia="zh-CN"/>
        </w:rPr>
        <w:t xml:space="preserve"> the growth of </w:t>
      </w:r>
      <w:r w:rsidR="002402A4">
        <w:rPr>
          <w:rFonts w:eastAsia="ヒラギノ角ゴ Pro W3"/>
          <w:lang w:eastAsia="zh-CN"/>
        </w:rPr>
        <w:t xml:space="preserve">the </w:t>
      </w:r>
      <w:r w:rsidRPr="00642717">
        <w:rPr>
          <w:rFonts w:eastAsia="ヒラギノ角ゴ Pro W3"/>
          <w:lang w:eastAsia="zh-CN"/>
        </w:rPr>
        <w:t>Go population and industrialization in China surpassed Japan and Korea</w:t>
      </w:r>
      <w:r w:rsidR="00F23E79">
        <w:rPr>
          <w:rFonts w:eastAsia="ヒラギノ角ゴ Pro W3"/>
          <w:lang w:eastAsia="zh-CN"/>
        </w:rPr>
        <w:t>,</w:t>
      </w:r>
      <w:r w:rsidRPr="00642717">
        <w:rPr>
          <w:rFonts w:eastAsia="ヒラギノ角ゴ Pro W3"/>
          <w:lang w:eastAsia="zh-CN"/>
        </w:rPr>
        <w:t xml:space="preserve"> which were the leading countries during the last decade of </w:t>
      </w:r>
      <w:r w:rsidR="000E6AD0">
        <w:rPr>
          <w:rFonts w:eastAsia="ヒラギノ角ゴ Pro W3"/>
          <w:lang w:eastAsia="zh-CN"/>
        </w:rPr>
        <w:t xml:space="preserve">the </w:t>
      </w:r>
      <w:r w:rsidR="00F23E79">
        <w:rPr>
          <w:rFonts w:eastAsia="ヒラギノ角ゴ Pro W3"/>
          <w:lang w:eastAsia="zh-CN"/>
        </w:rPr>
        <w:t>21</w:t>
      </w:r>
      <w:r w:rsidR="000E6AD0">
        <w:rPr>
          <w:rFonts w:eastAsia="ヒラギノ角ゴ Pro W3"/>
          <w:lang w:eastAsia="zh-CN"/>
        </w:rPr>
        <w:t xml:space="preserve">st </w:t>
      </w:r>
      <w:r w:rsidRPr="00642717">
        <w:rPr>
          <w:rFonts w:eastAsia="ヒラギノ角ゴ Pro W3"/>
          <w:lang w:eastAsia="zh-CN"/>
        </w:rPr>
        <w:t xml:space="preserve">century. </w:t>
      </w:r>
      <w:r w:rsidRPr="00642717">
        <w:rPr>
          <w:rFonts w:eastAsia="ヒラギノ角ゴ Pro W3"/>
          <w:lang w:val="en-CA" w:eastAsia="zh-CN"/>
        </w:rPr>
        <w:t>The main components of</w:t>
      </w:r>
      <w:r w:rsidR="002402A4">
        <w:rPr>
          <w:rFonts w:eastAsia="ヒラギノ角ゴ Pro W3"/>
          <w:lang w:val="en-CA" w:eastAsia="zh-CN"/>
        </w:rPr>
        <w:t xml:space="preserve"> the</w:t>
      </w:r>
      <w:r w:rsidRPr="00642717">
        <w:rPr>
          <w:rFonts w:eastAsia="ヒラギノ角ゴ Pro W3"/>
          <w:lang w:val="en-CA" w:eastAsia="zh-CN"/>
        </w:rPr>
        <w:t xml:space="preserve"> Go industry could be divided into competition events (professional and amateur levels), training and education, and equipment supplies.  </w:t>
      </w:r>
    </w:p>
    <w:p w14:paraId="5A198D3F" w14:textId="77777777" w:rsidR="00642717" w:rsidRDefault="00642717" w:rsidP="00642717">
      <w:pPr>
        <w:pStyle w:val="BodyTextMain"/>
        <w:rPr>
          <w:rFonts w:eastAsia="ヒラギノ角ゴ Pro W3"/>
          <w:lang w:val="en-CA" w:eastAsia="zh-CN"/>
        </w:rPr>
      </w:pPr>
    </w:p>
    <w:p w14:paraId="214C80A8" w14:textId="77777777" w:rsidR="00642717" w:rsidRPr="00642717" w:rsidRDefault="00642717" w:rsidP="00642717">
      <w:pPr>
        <w:pStyle w:val="BodyTextMain"/>
        <w:rPr>
          <w:rFonts w:eastAsia="ヒラギノ角ゴ Pro W3"/>
          <w:lang w:val="en-CA" w:eastAsia="zh-CN"/>
        </w:rPr>
      </w:pPr>
    </w:p>
    <w:p w14:paraId="7B8D1316" w14:textId="77777777" w:rsidR="00642717" w:rsidRDefault="00642717" w:rsidP="00A33DCE">
      <w:pPr>
        <w:pStyle w:val="Casehead2"/>
        <w:rPr>
          <w:rFonts w:eastAsia="ヒラギノ角ゴ Pro W3"/>
          <w:lang w:eastAsia="zh-CN"/>
        </w:rPr>
      </w:pPr>
      <w:r w:rsidRPr="00642717">
        <w:rPr>
          <w:rFonts w:eastAsia="ヒラギノ角ゴ Pro W3"/>
          <w:lang w:eastAsia="zh-CN"/>
        </w:rPr>
        <w:t>Go Competition</w:t>
      </w:r>
    </w:p>
    <w:p w14:paraId="7EFB5700" w14:textId="77777777" w:rsidR="00642717" w:rsidRPr="00642717" w:rsidRDefault="00642717" w:rsidP="00642717">
      <w:pPr>
        <w:pStyle w:val="BodyTextMain"/>
        <w:rPr>
          <w:rFonts w:eastAsia="ヒラギノ角ゴ Pro W3"/>
          <w:lang w:val="en-CA" w:eastAsia="zh-CN"/>
        </w:rPr>
      </w:pPr>
    </w:p>
    <w:p w14:paraId="6E221DC3" w14:textId="3BF7EBFC" w:rsidR="00642717" w:rsidRDefault="00642717" w:rsidP="00642717">
      <w:pPr>
        <w:pStyle w:val="BodyTextMain"/>
        <w:rPr>
          <w:rFonts w:eastAsia="ヒラギノ角ゴ Pro W3"/>
          <w:color w:val="000000"/>
          <w:lang w:val="en-CA" w:eastAsia="zh-CN"/>
        </w:rPr>
      </w:pPr>
      <w:r w:rsidRPr="00642717">
        <w:rPr>
          <w:rFonts w:eastAsia="ヒラギノ角ゴ Pro W3"/>
          <w:color w:val="000000"/>
          <w:lang w:val="en-CA" w:eastAsia="zh-CN"/>
        </w:rPr>
        <w:t>Similar to tennis grand slam</w:t>
      </w:r>
      <w:r w:rsidR="002402A4">
        <w:rPr>
          <w:rFonts w:eastAsia="ヒラギノ角ゴ Pro W3"/>
          <w:color w:val="000000"/>
          <w:lang w:val="en-CA" w:eastAsia="zh-CN"/>
        </w:rPr>
        <w:t>s</w:t>
      </w:r>
      <w:r w:rsidRPr="00642717">
        <w:rPr>
          <w:rFonts w:eastAsia="ヒラギノ角ゴ Pro W3"/>
          <w:color w:val="000000"/>
          <w:lang w:val="en-CA" w:eastAsia="zh-CN"/>
        </w:rPr>
        <w:t xml:space="preserve"> or chess open tournaments, there were over 10 major international Go tournaments for professional players to compete</w:t>
      </w:r>
      <w:r w:rsidR="00534162">
        <w:rPr>
          <w:rFonts w:eastAsia="ヒラギノ角ゴ Pro W3"/>
          <w:color w:val="000000"/>
          <w:lang w:val="en-CA" w:eastAsia="zh-CN"/>
        </w:rPr>
        <w:t xml:space="preserve"> in</w:t>
      </w:r>
      <w:r w:rsidR="000E6AD0">
        <w:rPr>
          <w:rFonts w:eastAsia="ヒラギノ角ゴ Pro W3"/>
          <w:color w:val="000000"/>
          <w:lang w:val="en-CA" w:eastAsia="zh-CN"/>
        </w:rPr>
        <w:t>,</w:t>
      </w:r>
      <w:r w:rsidRPr="00642717">
        <w:rPr>
          <w:rFonts w:eastAsia="ヒラギノ角ゴ Pro W3"/>
          <w:color w:val="000000"/>
          <w:lang w:val="en-CA" w:eastAsia="zh-CN"/>
        </w:rPr>
        <w:t xml:space="preserve"> with</w:t>
      </w:r>
      <w:r w:rsidR="002402A4">
        <w:rPr>
          <w:rFonts w:eastAsia="ヒラギノ角ゴ Pro W3"/>
          <w:color w:val="000000"/>
          <w:lang w:val="en-CA" w:eastAsia="zh-CN"/>
        </w:rPr>
        <w:t xml:space="preserve"> the</w:t>
      </w:r>
      <w:r w:rsidRPr="00642717">
        <w:rPr>
          <w:rFonts w:eastAsia="ヒラギノ角ゴ Pro W3"/>
          <w:color w:val="000000"/>
          <w:lang w:val="en-CA" w:eastAsia="zh-CN"/>
        </w:rPr>
        <w:t xml:space="preserve"> champion awarded as </w:t>
      </w:r>
      <w:r w:rsidR="002402A4">
        <w:rPr>
          <w:rFonts w:eastAsia="ヒラギノ角ゴ Pro W3"/>
          <w:color w:val="000000"/>
          <w:lang w:val="en-CA" w:eastAsia="zh-CN"/>
        </w:rPr>
        <w:t>much</w:t>
      </w:r>
      <w:r w:rsidR="002402A4" w:rsidRPr="00642717">
        <w:rPr>
          <w:rFonts w:eastAsia="ヒラギノ角ゴ Pro W3"/>
          <w:color w:val="000000"/>
          <w:lang w:val="en-CA" w:eastAsia="zh-CN"/>
        </w:rPr>
        <w:t xml:space="preserve"> </w:t>
      </w:r>
      <w:r w:rsidRPr="00642717">
        <w:rPr>
          <w:rFonts w:eastAsia="ヒラギノ角ゴ Pro W3"/>
          <w:color w:val="000000"/>
          <w:lang w:val="en-CA" w:eastAsia="zh-CN"/>
        </w:rPr>
        <w:t xml:space="preserve">as </w:t>
      </w:r>
      <w:r w:rsidR="00AB47A8">
        <w:rPr>
          <w:rFonts w:eastAsia="ヒラギノ角ゴ Pro W3"/>
          <w:color w:val="000000"/>
          <w:lang w:val="en-CA" w:eastAsia="zh-CN"/>
        </w:rPr>
        <w:t>US</w:t>
      </w:r>
      <w:r w:rsidRPr="00642717">
        <w:rPr>
          <w:rFonts w:eastAsia="ヒラギノ角ゴ Pro W3"/>
          <w:color w:val="000000"/>
          <w:lang w:val="en-CA" w:eastAsia="zh-CN"/>
        </w:rPr>
        <w:t>$400,000.</w:t>
      </w:r>
      <w:r w:rsidRPr="00642717">
        <w:rPr>
          <w:rFonts w:eastAsia="ヒラギノ角ゴ Pro W3"/>
          <w:color w:val="000000"/>
          <w:vertAlign w:val="superscript"/>
          <w:lang w:val="en-CA" w:eastAsia="zh-CN"/>
        </w:rPr>
        <w:footnoteReference w:id="7"/>
      </w:r>
      <w:r w:rsidRPr="00642717">
        <w:rPr>
          <w:rFonts w:eastAsia="ヒラギノ角ゴ Pro W3"/>
          <w:color w:val="000000"/>
          <w:lang w:val="en-CA" w:eastAsia="zh-CN"/>
        </w:rPr>
        <w:t xml:space="preserve"> </w:t>
      </w:r>
      <w:r w:rsidR="00534162">
        <w:rPr>
          <w:rFonts w:eastAsia="ヒラギノ角ゴ Pro W3"/>
          <w:color w:val="000000"/>
          <w:lang w:val="en-CA" w:eastAsia="zh-CN"/>
        </w:rPr>
        <w:t xml:space="preserve">In the </w:t>
      </w:r>
      <w:r w:rsidRPr="00642717">
        <w:rPr>
          <w:rFonts w:eastAsia="ヒラギノ角ゴ Pro W3"/>
          <w:color w:val="000000"/>
          <w:lang w:val="en-CA" w:eastAsia="zh-CN"/>
        </w:rPr>
        <w:t>annual World Amateur Go Championship</w:t>
      </w:r>
      <w:r w:rsidR="00F23E79">
        <w:rPr>
          <w:rFonts w:eastAsia="ヒラギノ角ゴ Pro W3"/>
          <w:color w:val="000000"/>
          <w:lang w:val="en-CA" w:eastAsia="zh-CN"/>
        </w:rPr>
        <w:t>,</w:t>
      </w:r>
      <w:r w:rsidRPr="00642717">
        <w:rPr>
          <w:rFonts w:eastAsia="ヒラギノ角ゴ Pro W3"/>
          <w:color w:val="000000"/>
          <w:lang w:val="en-CA" w:eastAsia="zh-CN"/>
        </w:rPr>
        <w:t xml:space="preserve"> under the supervision of the IGF</w:t>
      </w:r>
      <w:r w:rsidR="00534162">
        <w:rPr>
          <w:rFonts w:eastAsia="ヒラギノ角ゴ Pro W3"/>
          <w:color w:val="000000"/>
          <w:lang w:val="en-CA" w:eastAsia="zh-CN"/>
        </w:rPr>
        <w:t xml:space="preserve">, </w:t>
      </w:r>
      <w:r w:rsidRPr="00642717">
        <w:rPr>
          <w:rFonts w:eastAsia="ヒラギノ角ゴ Pro W3"/>
          <w:color w:val="000000"/>
          <w:lang w:val="en-CA" w:eastAsia="zh-CN"/>
        </w:rPr>
        <w:t>amateur players from around the world competed for the official world amateur title.</w:t>
      </w:r>
      <w:r w:rsidRPr="00642717">
        <w:rPr>
          <w:rFonts w:eastAsia="ヒラギノ角ゴ Pro W3"/>
          <w:color w:val="000000"/>
          <w:vertAlign w:val="superscript"/>
          <w:lang w:val="en-CA" w:eastAsia="zh-CN"/>
        </w:rPr>
        <w:footnoteReference w:id="8"/>
      </w:r>
      <w:r w:rsidRPr="00642717">
        <w:rPr>
          <w:rFonts w:eastAsia="ヒラギノ角ゴ Pro W3"/>
          <w:color w:val="000000"/>
          <w:lang w:val="en-CA" w:eastAsia="zh-CN"/>
        </w:rPr>
        <w:t xml:space="preserve"> China, Japan</w:t>
      </w:r>
      <w:r w:rsidR="000E6AD0">
        <w:rPr>
          <w:rFonts w:eastAsia="ヒラギノ角ゴ Pro W3"/>
          <w:color w:val="000000"/>
          <w:lang w:val="en-CA" w:eastAsia="zh-CN"/>
        </w:rPr>
        <w:t>,</w:t>
      </w:r>
      <w:r w:rsidRPr="00642717">
        <w:rPr>
          <w:rFonts w:eastAsia="ヒラギノ角ゴ Pro W3"/>
          <w:color w:val="000000"/>
          <w:lang w:val="en-CA" w:eastAsia="zh-CN"/>
        </w:rPr>
        <w:t xml:space="preserve"> and Korea all had various domestic Go competition events open for professional or amateur players. Due to the popularity of </w:t>
      </w:r>
      <w:r w:rsidR="002402A4">
        <w:rPr>
          <w:rFonts w:eastAsia="ヒラギノ角ゴ Pro W3"/>
          <w:color w:val="000000"/>
          <w:lang w:val="en-CA" w:eastAsia="zh-CN"/>
        </w:rPr>
        <w:t xml:space="preserve">the game of </w:t>
      </w:r>
      <w:r w:rsidRPr="00642717">
        <w:rPr>
          <w:rFonts w:eastAsia="ヒラギノ角ゴ Pro W3"/>
          <w:color w:val="000000"/>
          <w:lang w:val="en-CA" w:eastAsia="zh-CN"/>
        </w:rPr>
        <w:t xml:space="preserve">Go in these countries, </w:t>
      </w:r>
      <w:r w:rsidR="007B5F48">
        <w:rPr>
          <w:rFonts w:eastAsia="ヒラギノ角ゴ Pro W3"/>
          <w:color w:val="000000"/>
          <w:lang w:val="en-CA" w:eastAsia="zh-CN"/>
        </w:rPr>
        <w:t>television</w:t>
      </w:r>
      <w:r w:rsidRPr="00642717">
        <w:rPr>
          <w:rFonts w:eastAsia="ヒラギノ角ゴ Pro W3"/>
          <w:color w:val="000000"/>
          <w:lang w:val="en-CA" w:eastAsia="zh-CN"/>
        </w:rPr>
        <w:t xml:space="preserve"> broadcast</w:t>
      </w:r>
      <w:r w:rsidR="00C534EE">
        <w:rPr>
          <w:rFonts w:eastAsia="ヒラギノ角ゴ Pro W3"/>
          <w:color w:val="000000"/>
          <w:lang w:val="en-CA" w:eastAsia="zh-CN"/>
        </w:rPr>
        <w:t>s</w:t>
      </w:r>
      <w:r w:rsidRPr="00642717">
        <w:rPr>
          <w:rFonts w:eastAsia="ヒラギノ角ゴ Pro W3"/>
          <w:color w:val="000000"/>
          <w:lang w:val="en-CA" w:eastAsia="zh-CN"/>
        </w:rPr>
        <w:t xml:space="preserve"> could reach audiences</w:t>
      </w:r>
      <w:r w:rsidR="000E6AD0">
        <w:rPr>
          <w:rFonts w:eastAsia="ヒラギノ角ゴ Pro W3"/>
          <w:color w:val="000000"/>
          <w:lang w:val="en-CA" w:eastAsia="zh-CN"/>
        </w:rPr>
        <w:t xml:space="preserve"> of</w:t>
      </w:r>
      <w:r w:rsidRPr="00642717">
        <w:rPr>
          <w:rFonts w:eastAsia="ヒラギノ角ゴ Pro W3"/>
          <w:color w:val="000000"/>
          <w:lang w:val="en-CA" w:eastAsia="zh-CN"/>
        </w:rPr>
        <w:t xml:space="preserve"> up to 1.5 million for an international game of high significance.</w:t>
      </w:r>
      <w:r w:rsidRPr="00642717">
        <w:rPr>
          <w:rFonts w:eastAsia="ヒラギノ角ゴ Pro W3"/>
          <w:color w:val="000000"/>
          <w:vertAlign w:val="superscript"/>
          <w:lang w:val="en-CA" w:eastAsia="zh-CN"/>
        </w:rPr>
        <w:footnoteReference w:id="9"/>
      </w:r>
      <w:r w:rsidRPr="00642717">
        <w:rPr>
          <w:rFonts w:eastAsia="ヒラギノ角ゴ Pro W3"/>
          <w:color w:val="000000"/>
          <w:lang w:val="en-CA" w:eastAsia="zh-CN"/>
        </w:rPr>
        <w:t xml:space="preserve"> </w:t>
      </w:r>
    </w:p>
    <w:p w14:paraId="0B459EE1" w14:textId="77777777" w:rsidR="00642717" w:rsidRDefault="00642717" w:rsidP="00642717">
      <w:pPr>
        <w:pStyle w:val="BodyTextMain"/>
        <w:rPr>
          <w:rFonts w:eastAsia="ヒラギノ角ゴ Pro W3"/>
          <w:color w:val="000000"/>
          <w:lang w:val="en-CA" w:eastAsia="zh-CN"/>
        </w:rPr>
      </w:pPr>
    </w:p>
    <w:p w14:paraId="08ECC53B" w14:textId="77777777" w:rsidR="00642717" w:rsidRPr="00642717" w:rsidRDefault="00642717" w:rsidP="00642717">
      <w:pPr>
        <w:pStyle w:val="BodyTextMain"/>
        <w:rPr>
          <w:rFonts w:eastAsia="ヒラギノ角ゴ Pro W3"/>
          <w:color w:val="000000"/>
          <w:lang w:val="en-CA" w:eastAsia="zh-CN"/>
        </w:rPr>
      </w:pPr>
    </w:p>
    <w:p w14:paraId="2DDCBBE6" w14:textId="77777777" w:rsidR="00642717" w:rsidRPr="00642717" w:rsidRDefault="00642717" w:rsidP="00885784">
      <w:pPr>
        <w:pStyle w:val="Casehead2"/>
        <w:keepNext/>
        <w:rPr>
          <w:rFonts w:eastAsia="ヒラギノ角ゴ Pro W3"/>
          <w:lang w:val="en-CA" w:eastAsia="zh-CN"/>
        </w:rPr>
      </w:pPr>
      <w:r w:rsidRPr="00642717">
        <w:rPr>
          <w:rFonts w:eastAsia="ヒラギノ角ゴ Pro W3"/>
          <w:lang w:eastAsia="zh-CN"/>
        </w:rPr>
        <w:t>Go Education</w:t>
      </w:r>
    </w:p>
    <w:p w14:paraId="0DFCBAF8" w14:textId="77777777" w:rsidR="00A33DCE" w:rsidRDefault="00A33DCE" w:rsidP="00885784">
      <w:pPr>
        <w:pStyle w:val="BodyTextMain"/>
        <w:keepNext/>
        <w:rPr>
          <w:rFonts w:eastAsia="ヒラギノ角ゴ Pro W3"/>
          <w:color w:val="000000"/>
          <w:lang w:val="en-CA" w:eastAsia="zh-CN"/>
        </w:rPr>
      </w:pPr>
    </w:p>
    <w:p w14:paraId="08213C5A" w14:textId="0932A470" w:rsidR="00642717" w:rsidRDefault="00642717" w:rsidP="00885784">
      <w:pPr>
        <w:pStyle w:val="BodyTextMain"/>
        <w:keepNext/>
        <w:rPr>
          <w:rFonts w:eastAsia="ヒラギノ角ゴ Pro W3"/>
          <w:color w:val="000000"/>
          <w:lang w:eastAsia="zh-CN"/>
        </w:rPr>
      </w:pPr>
      <w:r w:rsidRPr="00642717">
        <w:rPr>
          <w:rFonts w:eastAsia="ヒラギノ角ゴ Pro W3"/>
          <w:color w:val="000000"/>
          <w:lang w:val="en-CA" w:eastAsia="zh-CN"/>
        </w:rPr>
        <w:t>The simple rule</w:t>
      </w:r>
      <w:r w:rsidR="00C534EE">
        <w:rPr>
          <w:rFonts w:eastAsia="ヒラギノ角ゴ Pro W3"/>
          <w:color w:val="000000"/>
          <w:lang w:val="en-CA" w:eastAsia="zh-CN"/>
        </w:rPr>
        <w:t>s</w:t>
      </w:r>
      <w:r w:rsidRPr="00642717">
        <w:rPr>
          <w:rFonts w:eastAsia="ヒラギノ角ゴ Pro W3"/>
          <w:color w:val="000000"/>
          <w:lang w:val="en-CA" w:eastAsia="zh-CN"/>
        </w:rPr>
        <w:t>, complex strategic implication</w:t>
      </w:r>
      <w:r w:rsidR="000E6AD0">
        <w:rPr>
          <w:rFonts w:eastAsia="ヒラギノ角ゴ Pro W3"/>
          <w:color w:val="000000"/>
          <w:lang w:val="en-CA" w:eastAsia="zh-CN"/>
        </w:rPr>
        <w:t>,</w:t>
      </w:r>
      <w:r w:rsidRPr="00642717">
        <w:rPr>
          <w:rFonts w:eastAsia="ヒラギノ角ゴ Pro W3"/>
          <w:color w:val="000000"/>
          <w:lang w:val="en-CA" w:eastAsia="zh-CN"/>
        </w:rPr>
        <w:t xml:space="preserve"> and deep cultur</w:t>
      </w:r>
      <w:r w:rsidR="00FE1AE8">
        <w:rPr>
          <w:rFonts w:eastAsia="ヒラギノ角ゴ Pro W3"/>
          <w:color w:val="000000"/>
          <w:lang w:val="en-CA" w:eastAsia="zh-CN"/>
        </w:rPr>
        <w:t>al</w:t>
      </w:r>
      <w:r w:rsidRPr="00642717">
        <w:rPr>
          <w:rFonts w:eastAsia="ヒラギノ角ゴ Pro W3"/>
          <w:color w:val="000000"/>
          <w:lang w:val="en-CA" w:eastAsia="zh-CN"/>
        </w:rPr>
        <w:t xml:space="preserve"> root</w:t>
      </w:r>
      <w:r w:rsidR="00C534EE">
        <w:rPr>
          <w:rFonts w:eastAsia="ヒラギノ角ゴ Pro W3"/>
          <w:color w:val="000000"/>
          <w:lang w:val="en-CA" w:eastAsia="zh-CN"/>
        </w:rPr>
        <w:t>s</w:t>
      </w:r>
      <w:r w:rsidRPr="00642717">
        <w:rPr>
          <w:rFonts w:eastAsia="ヒラギノ角ゴ Pro W3"/>
          <w:color w:val="000000"/>
          <w:lang w:val="en-CA" w:eastAsia="zh-CN"/>
        </w:rPr>
        <w:t xml:space="preserve"> made </w:t>
      </w:r>
      <w:r w:rsidR="000E6AD0">
        <w:rPr>
          <w:rFonts w:eastAsia="ヒラギノ角ゴ Pro W3"/>
          <w:color w:val="000000"/>
          <w:lang w:val="en-CA" w:eastAsia="zh-CN"/>
        </w:rPr>
        <w:t xml:space="preserve">the </w:t>
      </w:r>
      <w:r w:rsidRPr="00642717">
        <w:rPr>
          <w:rFonts w:eastAsia="ヒラギノ角ゴ Pro W3"/>
          <w:color w:val="000000"/>
          <w:lang w:val="en-CA" w:eastAsia="zh-CN"/>
        </w:rPr>
        <w:t>Go game a popular choice for parents in China seeking early education</w:t>
      </w:r>
      <w:r w:rsidR="00534162">
        <w:rPr>
          <w:rFonts w:eastAsia="ヒラギノ角ゴ Pro W3"/>
          <w:color w:val="000000"/>
          <w:lang w:val="en-CA" w:eastAsia="zh-CN"/>
        </w:rPr>
        <w:t>al</w:t>
      </w:r>
      <w:r w:rsidRPr="00642717">
        <w:rPr>
          <w:rFonts w:eastAsia="ヒラギノ角ゴ Pro W3"/>
          <w:color w:val="000000"/>
          <w:lang w:val="en-CA" w:eastAsia="zh-CN"/>
        </w:rPr>
        <w:t xml:space="preserve"> options for </w:t>
      </w:r>
      <w:r w:rsidR="00725028">
        <w:rPr>
          <w:rFonts w:eastAsia="ヒラギノ角ゴ Pro W3"/>
          <w:color w:val="000000"/>
          <w:lang w:val="en-CA" w:eastAsia="zh-CN"/>
        </w:rPr>
        <w:t xml:space="preserve">their </w:t>
      </w:r>
      <w:r w:rsidRPr="00642717">
        <w:rPr>
          <w:rFonts w:eastAsia="ヒラギノ角ゴ Pro W3"/>
          <w:color w:val="000000"/>
          <w:lang w:val="en-CA" w:eastAsia="zh-CN"/>
        </w:rPr>
        <w:t xml:space="preserve">children’s </w:t>
      </w:r>
      <w:r w:rsidR="00534162" w:rsidRPr="00642717">
        <w:rPr>
          <w:rFonts w:eastAsia="ヒラギノ角ゴ Pro W3"/>
          <w:color w:val="000000"/>
          <w:lang w:val="en-CA" w:eastAsia="zh-CN"/>
        </w:rPr>
        <w:t>intell</w:t>
      </w:r>
      <w:r w:rsidR="00534162">
        <w:rPr>
          <w:rFonts w:eastAsia="ヒラギノ角ゴ Pro W3"/>
          <w:color w:val="000000"/>
          <w:lang w:val="en-CA" w:eastAsia="zh-CN"/>
        </w:rPr>
        <w:t>ectual</w:t>
      </w:r>
      <w:r w:rsidR="00534162" w:rsidRPr="00642717">
        <w:rPr>
          <w:rFonts w:eastAsia="ヒラギノ角ゴ Pro W3"/>
          <w:color w:val="000000"/>
          <w:lang w:val="en-CA" w:eastAsia="zh-CN"/>
        </w:rPr>
        <w:t xml:space="preserve"> </w:t>
      </w:r>
      <w:r w:rsidRPr="00642717">
        <w:rPr>
          <w:rFonts w:eastAsia="ヒラギノ角ゴ Pro W3"/>
          <w:color w:val="000000"/>
          <w:lang w:val="en-CA" w:eastAsia="zh-CN"/>
        </w:rPr>
        <w:t>development</w:t>
      </w:r>
      <w:r w:rsidR="00F23E79">
        <w:rPr>
          <w:rFonts w:eastAsia="ヒラギノ角ゴ Pro W3"/>
          <w:color w:val="000000"/>
          <w:lang w:val="en-CA" w:eastAsia="zh-CN"/>
        </w:rPr>
        <w:t>,</w:t>
      </w:r>
      <w:r w:rsidRPr="00642717">
        <w:rPr>
          <w:rFonts w:eastAsia="ヒラギノ角ゴ Pro W3"/>
          <w:color w:val="000000"/>
          <w:lang w:val="en-CA" w:eastAsia="zh-CN"/>
        </w:rPr>
        <w:t xml:space="preserve"> even if</w:t>
      </w:r>
      <w:r w:rsidR="00725028">
        <w:rPr>
          <w:rFonts w:eastAsia="ヒラギノ角ゴ Pro W3"/>
          <w:color w:val="000000"/>
          <w:lang w:val="en-CA" w:eastAsia="zh-CN"/>
        </w:rPr>
        <w:t xml:space="preserve"> they were</w:t>
      </w:r>
      <w:r w:rsidRPr="00642717">
        <w:rPr>
          <w:rFonts w:eastAsia="ヒラギノ角ゴ Pro W3"/>
          <w:color w:val="000000"/>
          <w:lang w:val="en-CA" w:eastAsia="zh-CN"/>
        </w:rPr>
        <w:t xml:space="preserve"> not planning to take the professional path later. </w:t>
      </w:r>
      <w:r w:rsidR="00FE00C7">
        <w:rPr>
          <w:rFonts w:eastAsia="ヒラギノ角ゴ Pro W3"/>
          <w:color w:val="000000"/>
          <w:lang w:val="en-CA" w:eastAsia="zh-CN"/>
        </w:rPr>
        <w:t>The ranking of Go skills was generally divided into beginner (</w:t>
      </w:r>
      <w:r w:rsidR="0010059F">
        <w:rPr>
          <w:rFonts w:eastAsia="ヒラギノ角ゴ Pro W3"/>
          <w:color w:val="000000"/>
          <w:lang w:val="en-CA" w:eastAsia="zh-CN"/>
        </w:rPr>
        <w:t xml:space="preserve">ranked from </w:t>
      </w:r>
      <w:r w:rsidR="00FE00C7">
        <w:rPr>
          <w:rFonts w:eastAsia="ヒラギノ角ゴ Pro W3"/>
          <w:color w:val="000000"/>
          <w:lang w:val="en-CA" w:eastAsia="zh-CN"/>
        </w:rPr>
        <w:t>1k</w:t>
      </w:r>
      <w:r w:rsidR="0010059F">
        <w:rPr>
          <w:rFonts w:eastAsia="ヒラギノ角ゴ Pro W3"/>
          <w:color w:val="000000"/>
          <w:lang w:val="en-CA" w:eastAsia="zh-CN"/>
        </w:rPr>
        <w:t xml:space="preserve"> to</w:t>
      </w:r>
      <w:r w:rsidR="00FE00C7">
        <w:rPr>
          <w:rFonts w:eastAsia="ヒラギノ角ゴ Pro W3"/>
          <w:color w:val="000000"/>
          <w:lang w:val="en-CA" w:eastAsia="zh-CN"/>
        </w:rPr>
        <w:t xml:space="preserve"> 25k), amateur (</w:t>
      </w:r>
      <w:r w:rsidR="0010059F">
        <w:rPr>
          <w:rFonts w:eastAsia="ヒラギノ角ゴ Pro W3"/>
          <w:color w:val="000000"/>
          <w:lang w:val="en-CA" w:eastAsia="zh-CN"/>
        </w:rPr>
        <w:t xml:space="preserve">ranked from </w:t>
      </w:r>
      <w:r w:rsidR="00FE00C7">
        <w:rPr>
          <w:rFonts w:eastAsia="ヒラギノ角ゴ Pro W3"/>
          <w:color w:val="000000"/>
          <w:lang w:val="en-CA" w:eastAsia="zh-CN"/>
        </w:rPr>
        <w:t xml:space="preserve">1d </w:t>
      </w:r>
      <w:r w:rsidR="0010059F">
        <w:rPr>
          <w:rFonts w:eastAsia="ヒラギノ角ゴ Pro W3"/>
          <w:color w:val="000000"/>
          <w:lang w:val="en-CA" w:eastAsia="zh-CN"/>
        </w:rPr>
        <w:t>to</w:t>
      </w:r>
      <w:r w:rsidR="00FE00C7">
        <w:rPr>
          <w:rFonts w:eastAsia="ヒラギノ角ゴ Pro W3"/>
          <w:color w:val="000000"/>
          <w:lang w:val="en-CA" w:eastAsia="zh-CN"/>
        </w:rPr>
        <w:t xml:space="preserve"> 7d)</w:t>
      </w:r>
      <w:r w:rsidR="00F23E79">
        <w:rPr>
          <w:rFonts w:eastAsia="ヒラギノ角ゴ Pro W3"/>
          <w:color w:val="000000"/>
          <w:lang w:val="en-CA" w:eastAsia="zh-CN"/>
        </w:rPr>
        <w:t>,</w:t>
      </w:r>
      <w:r w:rsidR="00FE00C7">
        <w:rPr>
          <w:rFonts w:eastAsia="ヒラギノ角ゴ Pro W3"/>
          <w:color w:val="000000"/>
          <w:lang w:val="en-CA" w:eastAsia="zh-CN"/>
        </w:rPr>
        <w:t xml:space="preserve"> and professional (</w:t>
      </w:r>
      <w:r w:rsidR="0010059F">
        <w:rPr>
          <w:rFonts w:eastAsia="ヒラギノ角ゴ Pro W3"/>
          <w:color w:val="000000"/>
          <w:lang w:val="en-CA" w:eastAsia="zh-CN"/>
        </w:rPr>
        <w:t xml:space="preserve">ranked from </w:t>
      </w:r>
      <w:r w:rsidR="00FE00C7">
        <w:rPr>
          <w:rFonts w:eastAsia="ヒラギノ角ゴ Pro W3"/>
          <w:color w:val="000000"/>
          <w:lang w:val="en-CA" w:eastAsia="zh-CN"/>
        </w:rPr>
        <w:t xml:space="preserve">1p </w:t>
      </w:r>
      <w:r w:rsidR="0010059F">
        <w:rPr>
          <w:rFonts w:eastAsia="ヒラギノ角ゴ Pro W3"/>
          <w:color w:val="000000"/>
          <w:lang w:val="en-CA" w:eastAsia="zh-CN"/>
        </w:rPr>
        <w:lastRenderedPageBreak/>
        <w:t>to</w:t>
      </w:r>
      <w:r w:rsidR="00FE00C7">
        <w:rPr>
          <w:rFonts w:eastAsia="ヒラギノ角ゴ Pro W3"/>
          <w:color w:val="000000"/>
          <w:lang w:val="en-CA" w:eastAsia="zh-CN"/>
        </w:rPr>
        <w:t xml:space="preserve"> 9p) categories</w:t>
      </w:r>
      <w:r w:rsidR="00FF2510">
        <w:rPr>
          <w:rFonts w:eastAsia="ヒラギノ角ゴ Pro W3"/>
          <w:color w:val="000000"/>
          <w:lang w:val="en-CA" w:eastAsia="zh-CN"/>
        </w:rPr>
        <w:t>. A</w:t>
      </w:r>
      <w:r w:rsidR="00FE00C7">
        <w:rPr>
          <w:rFonts w:eastAsia="ヒラギノ角ゴ Pro W3"/>
          <w:color w:val="000000"/>
          <w:lang w:val="en-CA" w:eastAsia="zh-CN"/>
        </w:rPr>
        <w:t xml:space="preserve"> larger number</w:t>
      </w:r>
      <w:r w:rsidR="00FF2510">
        <w:rPr>
          <w:rFonts w:eastAsia="ヒラギノ角ゴ Pro W3"/>
          <w:color w:val="000000"/>
          <w:lang w:val="en-CA" w:eastAsia="zh-CN"/>
        </w:rPr>
        <w:t xml:space="preserve"> next to an</w:t>
      </w:r>
      <w:r w:rsidR="0010059F">
        <w:rPr>
          <w:rFonts w:eastAsia="ヒラギノ角ゴ Pro W3"/>
          <w:color w:val="000000"/>
          <w:lang w:val="en-CA" w:eastAsia="zh-CN"/>
        </w:rPr>
        <w:t xml:space="preserve"> associated letter</w:t>
      </w:r>
      <w:r w:rsidR="00FE00C7">
        <w:rPr>
          <w:rFonts w:eastAsia="ヒラギノ角ゴ Pro W3"/>
          <w:color w:val="000000"/>
          <w:lang w:val="en-CA" w:eastAsia="zh-CN"/>
        </w:rPr>
        <w:t xml:space="preserve"> indicat</w:t>
      </w:r>
      <w:r w:rsidR="00FF2510">
        <w:rPr>
          <w:rFonts w:eastAsia="ヒラギノ角ゴ Pro W3"/>
          <w:color w:val="000000"/>
          <w:lang w:val="en-CA" w:eastAsia="zh-CN"/>
        </w:rPr>
        <w:t>ed a</w:t>
      </w:r>
      <w:r w:rsidR="00FE00C7">
        <w:rPr>
          <w:rFonts w:eastAsia="ヒラギノ角ゴ Pro W3"/>
          <w:color w:val="000000"/>
          <w:lang w:val="en-CA" w:eastAsia="zh-CN"/>
        </w:rPr>
        <w:t xml:space="preserve"> higher rank under th</w:t>
      </w:r>
      <w:r w:rsidR="00FF2510">
        <w:rPr>
          <w:rFonts w:eastAsia="ヒラギノ角ゴ Pro W3"/>
          <w:color w:val="000000"/>
          <w:lang w:val="en-CA" w:eastAsia="zh-CN"/>
        </w:rPr>
        <w:t>at</w:t>
      </w:r>
      <w:r w:rsidR="00FE00C7">
        <w:rPr>
          <w:rFonts w:eastAsia="ヒラギノ角ゴ Pro W3"/>
          <w:color w:val="000000"/>
          <w:lang w:val="en-CA" w:eastAsia="zh-CN"/>
        </w:rPr>
        <w:t xml:space="preserve"> corresponding category.</w:t>
      </w:r>
      <w:r w:rsidR="00473567">
        <w:rPr>
          <w:rStyle w:val="FootnoteReference"/>
          <w:rFonts w:eastAsia="ヒラギノ角ゴ Pro W3"/>
          <w:color w:val="000000"/>
          <w:lang w:val="en-CA" w:eastAsia="zh-CN"/>
        </w:rPr>
        <w:footnoteReference w:id="10"/>
      </w:r>
      <w:r w:rsidR="00FE00C7">
        <w:rPr>
          <w:rFonts w:eastAsia="ヒラギノ角ゴ Pro W3"/>
          <w:color w:val="000000"/>
          <w:lang w:val="en-CA" w:eastAsia="zh-CN"/>
        </w:rPr>
        <w:t xml:space="preserve"> While there was some variation across the world in amateur ranking, </w:t>
      </w:r>
      <w:r w:rsidR="00534162">
        <w:rPr>
          <w:rFonts w:eastAsia="ヒラギノ角ゴ Pro W3"/>
          <w:color w:val="000000"/>
          <w:lang w:val="en-CA" w:eastAsia="zh-CN"/>
        </w:rPr>
        <w:t>a</w:t>
      </w:r>
      <w:r w:rsidRPr="00642717">
        <w:rPr>
          <w:rFonts w:eastAsia="ヒラギノ角ゴ Pro W3"/>
          <w:color w:val="000000"/>
          <w:lang w:val="en-CA" w:eastAsia="zh-CN"/>
        </w:rPr>
        <w:t>ccording to the China Go Year Book, the number of players rec</w:t>
      </w:r>
      <w:r w:rsidR="00F46EF0">
        <w:rPr>
          <w:rFonts w:eastAsia="ヒラギノ角ゴ Pro W3"/>
          <w:color w:val="000000"/>
          <w:lang w:val="en-CA" w:eastAsia="zh-CN"/>
        </w:rPr>
        <w:t xml:space="preserve">eiving the ranks </w:t>
      </w:r>
      <w:r w:rsidR="00FF2510">
        <w:rPr>
          <w:rFonts w:eastAsia="ヒラギノ角ゴ Pro W3"/>
          <w:color w:val="000000"/>
          <w:lang w:val="en-CA" w:eastAsia="zh-CN"/>
        </w:rPr>
        <w:t>o</w:t>
      </w:r>
      <w:r w:rsidR="00F46EF0">
        <w:rPr>
          <w:rFonts w:eastAsia="ヒラギノ角ゴ Pro W3"/>
          <w:color w:val="000000"/>
          <w:lang w:val="en-CA" w:eastAsia="zh-CN"/>
        </w:rPr>
        <w:t>f 1d</w:t>
      </w:r>
      <w:r w:rsidR="00FF2510">
        <w:rPr>
          <w:rFonts w:eastAsia="ヒラギノ角ゴ Pro W3"/>
          <w:color w:val="000000"/>
          <w:lang w:val="en-CA" w:eastAsia="zh-CN"/>
        </w:rPr>
        <w:t>–</w:t>
      </w:r>
      <w:r w:rsidR="00F46EF0">
        <w:rPr>
          <w:rFonts w:eastAsia="ヒラギノ角ゴ Pro W3"/>
          <w:color w:val="000000"/>
          <w:lang w:val="en-CA" w:eastAsia="zh-CN"/>
        </w:rPr>
        <w:t>5d ha</w:t>
      </w:r>
      <w:r w:rsidR="00534162">
        <w:rPr>
          <w:rFonts w:eastAsia="ヒラギノ角ゴ Pro W3"/>
          <w:color w:val="000000"/>
          <w:lang w:val="en-CA" w:eastAsia="zh-CN"/>
        </w:rPr>
        <w:t>d</w:t>
      </w:r>
      <w:r w:rsidR="00F46EF0">
        <w:rPr>
          <w:rFonts w:eastAsia="ヒラギノ角ゴ Pro W3"/>
          <w:color w:val="000000"/>
          <w:lang w:val="en-CA" w:eastAsia="zh-CN"/>
        </w:rPr>
        <w:t xml:space="preserve"> </w:t>
      </w:r>
      <w:r w:rsidRPr="00642717">
        <w:rPr>
          <w:rFonts w:eastAsia="ヒラギノ角ゴ Pro W3"/>
          <w:color w:val="000000"/>
          <w:lang w:val="en-CA" w:eastAsia="zh-CN"/>
        </w:rPr>
        <w:t xml:space="preserve">grown </w:t>
      </w:r>
      <w:r w:rsidR="00725028">
        <w:rPr>
          <w:rFonts w:eastAsia="ヒラギノ角ゴ Pro W3"/>
          <w:color w:val="000000"/>
          <w:lang w:val="en-CA" w:eastAsia="zh-CN"/>
        </w:rPr>
        <w:t xml:space="preserve">an </w:t>
      </w:r>
      <w:r w:rsidRPr="00642717">
        <w:rPr>
          <w:rFonts w:eastAsia="ヒラギノ角ゴ Pro W3"/>
          <w:color w:val="000000"/>
          <w:lang w:val="en-CA" w:eastAsia="zh-CN"/>
        </w:rPr>
        <w:t>average of 30</w:t>
      </w:r>
      <w:r w:rsidR="00725028">
        <w:rPr>
          <w:rFonts w:eastAsia="ヒラギノ角ゴ Pro W3"/>
          <w:color w:val="000000"/>
          <w:lang w:val="en-CA" w:eastAsia="zh-CN"/>
        </w:rPr>
        <w:t xml:space="preserve"> per cent annually</w:t>
      </w:r>
      <w:r w:rsidRPr="00642717">
        <w:rPr>
          <w:rFonts w:eastAsia="ヒラギノ角ゴ Pro W3"/>
          <w:color w:val="000000"/>
          <w:lang w:val="en-CA" w:eastAsia="zh-CN"/>
        </w:rPr>
        <w:t xml:space="preserve"> since 2009. In 2015 alone, 200,000 certificates of Go ranking were issued in China.</w:t>
      </w:r>
      <w:r w:rsidRPr="00642717">
        <w:rPr>
          <w:rFonts w:eastAsia="ヒラギノ角ゴ Pro W3"/>
          <w:color w:val="000000"/>
          <w:vertAlign w:val="superscript"/>
          <w:lang w:val="en-CA" w:eastAsia="zh-CN"/>
        </w:rPr>
        <w:footnoteReference w:id="11"/>
      </w:r>
      <w:r w:rsidRPr="00642717">
        <w:rPr>
          <w:rFonts w:eastAsia="ヒラギノ角ゴ Pro W3"/>
          <w:color w:val="000000"/>
          <w:lang w:val="en-CA" w:eastAsia="zh-CN"/>
        </w:rPr>
        <w:t xml:space="preserve"> The situation was similar in Japan and Korea. Influenced by the media coverage between the artificial intelligen</w:t>
      </w:r>
      <w:r w:rsidR="00210D4C">
        <w:rPr>
          <w:rFonts w:eastAsia="ヒラギノ角ゴ Pro W3"/>
          <w:color w:val="000000"/>
          <w:lang w:val="en-CA" w:eastAsia="zh-CN"/>
        </w:rPr>
        <w:t>ce</w:t>
      </w:r>
      <w:r w:rsidRPr="00642717">
        <w:rPr>
          <w:rFonts w:eastAsia="ヒラギノ角ゴ Pro W3"/>
          <w:color w:val="000000"/>
          <w:lang w:val="en-CA" w:eastAsia="zh-CN"/>
        </w:rPr>
        <w:t xml:space="preserve"> Go software developed by Google</w:t>
      </w:r>
      <w:r w:rsidR="00725028">
        <w:rPr>
          <w:rFonts w:eastAsia="ヒラギノ角ゴ Pro W3"/>
          <w:color w:val="000000"/>
          <w:lang w:val="en-CA" w:eastAsia="zh-CN"/>
        </w:rPr>
        <w:t>—</w:t>
      </w:r>
      <w:r w:rsidRPr="00642717">
        <w:rPr>
          <w:rFonts w:eastAsia="ヒラギノ角ゴ Pro W3"/>
          <w:color w:val="000000"/>
          <w:lang w:val="en-CA" w:eastAsia="zh-CN"/>
        </w:rPr>
        <w:t>“Alpha Go”</w:t>
      </w:r>
      <w:r w:rsidR="00725028">
        <w:rPr>
          <w:rFonts w:eastAsia="ヒラギノ角ゴ Pro W3"/>
          <w:color w:val="000000"/>
          <w:lang w:val="en-CA" w:eastAsia="zh-CN"/>
        </w:rPr>
        <w:t>—</w:t>
      </w:r>
      <w:r w:rsidRPr="00642717">
        <w:rPr>
          <w:rFonts w:eastAsia="ヒラギノ角ゴ Pro W3"/>
          <w:color w:val="000000"/>
          <w:lang w:val="en-CA" w:eastAsia="zh-CN"/>
        </w:rPr>
        <w:t>and Korea’s top Go player</w:t>
      </w:r>
      <w:r w:rsidR="00725028">
        <w:rPr>
          <w:rFonts w:eastAsia="ヒラギノ角ゴ Pro W3"/>
          <w:color w:val="000000"/>
          <w:lang w:val="en-CA" w:eastAsia="zh-CN"/>
        </w:rPr>
        <w:t>,</w:t>
      </w:r>
      <w:r w:rsidRPr="00642717">
        <w:rPr>
          <w:rFonts w:eastAsia="ヒラギノ角ゴ Pro W3"/>
          <w:color w:val="000000"/>
          <w:lang w:val="en-CA" w:eastAsia="zh-CN"/>
        </w:rPr>
        <w:t xml:space="preserve"> </w:t>
      </w:r>
      <w:r w:rsidRPr="00642717">
        <w:rPr>
          <w:rFonts w:eastAsia="ヒラギノ角ゴ Pro W3"/>
          <w:color w:val="000000"/>
          <w:lang w:eastAsia="zh-CN"/>
        </w:rPr>
        <w:t>Lee Se-</w:t>
      </w:r>
      <w:proofErr w:type="spellStart"/>
      <w:r w:rsidRPr="00642717">
        <w:rPr>
          <w:rFonts w:eastAsia="ヒラギノ角ゴ Pro W3"/>
          <w:color w:val="000000"/>
          <w:lang w:eastAsia="zh-CN"/>
        </w:rPr>
        <w:t>dol</w:t>
      </w:r>
      <w:proofErr w:type="spellEnd"/>
      <w:r w:rsidRPr="00642717">
        <w:rPr>
          <w:rFonts w:eastAsia="ヒラギノ角ゴ Pro W3"/>
          <w:color w:val="000000"/>
          <w:lang w:eastAsia="zh-CN"/>
        </w:rPr>
        <w:t xml:space="preserve"> in March 2016, Go training institutions in Korea received over 100,000 student</w:t>
      </w:r>
      <w:r w:rsidR="00FA136F">
        <w:rPr>
          <w:rFonts w:eastAsia="ヒラギノ角ゴ Pro W3"/>
          <w:color w:val="000000"/>
          <w:lang w:eastAsia="zh-CN"/>
        </w:rPr>
        <w:t>s</w:t>
      </w:r>
      <w:r w:rsidRPr="00642717">
        <w:rPr>
          <w:rFonts w:eastAsia="ヒラギノ角ゴ Pro W3"/>
          <w:color w:val="000000"/>
          <w:lang w:eastAsia="zh-CN"/>
        </w:rPr>
        <w:t xml:space="preserve"> sign</w:t>
      </w:r>
      <w:r w:rsidR="00FA136F">
        <w:rPr>
          <w:rFonts w:eastAsia="ヒラギノ角ゴ Pro W3"/>
          <w:color w:val="000000"/>
          <w:lang w:eastAsia="zh-CN"/>
        </w:rPr>
        <w:t xml:space="preserve">ing </w:t>
      </w:r>
      <w:r w:rsidRPr="00642717">
        <w:rPr>
          <w:rFonts w:eastAsia="ヒラギノ角ゴ Pro W3"/>
          <w:color w:val="000000"/>
          <w:lang w:eastAsia="zh-CN"/>
        </w:rPr>
        <w:t>up nationwide within one week past the event.</w:t>
      </w:r>
      <w:r w:rsidRPr="00642717">
        <w:rPr>
          <w:rFonts w:eastAsia="ヒラギノ角ゴ Pro W3"/>
          <w:color w:val="000000"/>
          <w:vertAlign w:val="superscript"/>
          <w:lang w:eastAsia="zh-CN"/>
        </w:rPr>
        <w:footnoteReference w:id="12"/>
      </w:r>
      <w:r w:rsidRPr="00642717">
        <w:rPr>
          <w:rFonts w:eastAsia="ヒラギノ角ゴ Pro W3"/>
          <w:color w:val="000000"/>
          <w:lang w:eastAsia="zh-CN"/>
        </w:rPr>
        <w:t xml:space="preserve"> </w:t>
      </w:r>
      <w:r w:rsidR="000D71B2">
        <w:rPr>
          <w:rFonts w:eastAsia="ヒラギノ角ゴ Pro W3"/>
          <w:color w:val="000000"/>
          <w:lang w:eastAsia="zh-CN"/>
        </w:rPr>
        <w:t xml:space="preserve">The </w:t>
      </w:r>
      <w:r w:rsidRPr="00642717">
        <w:rPr>
          <w:rFonts w:eastAsia="ヒラギノ角ゴ Pro W3"/>
          <w:color w:val="000000"/>
          <w:lang w:eastAsia="zh-CN"/>
        </w:rPr>
        <w:t xml:space="preserve">China Industrial Information Network estimated the total market demand for Go training and education </w:t>
      </w:r>
      <w:r w:rsidR="00FA136F">
        <w:rPr>
          <w:rFonts w:eastAsia="ヒラギノ角ゴ Pro W3"/>
          <w:color w:val="000000"/>
          <w:lang w:eastAsia="zh-CN"/>
        </w:rPr>
        <w:t>a</w:t>
      </w:r>
      <w:r w:rsidR="00FF2510">
        <w:rPr>
          <w:rFonts w:eastAsia="ヒラギノ角ゴ Pro W3"/>
          <w:color w:val="000000"/>
          <w:lang w:eastAsia="zh-CN"/>
        </w:rPr>
        <w:t>t</w:t>
      </w:r>
      <w:r w:rsidRPr="00642717">
        <w:rPr>
          <w:rFonts w:eastAsia="ヒラギノ角ゴ Pro W3"/>
          <w:color w:val="000000"/>
          <w:lang w:eastAsia="zh-CN"/>
        </w:rPr>
        <w:t xml:space="preserve"> </w:t>
      </w:r>
      <w:r w:rsidR="00A104FD">
        <w:rPr>
          <w:rFonts w:eastAsia="ヒラギノ角ゴ Pro W3"/>
          <w:color w:val="000000"/>
          <w:lang w:eastAsia="zh-CN"/>
        </w:rPr>
        <w:t>CNY</w:t>
      </w:r>
      <w:r w:rsidR="00A104FD">
        <w:rPr>
          <w:rFonts w:ascii="Arial" w:hAnsi="Arial" w:cs="Arial"/>
          <w:color w:val="000000"/>
          <w:sz w:val="21"/>
          <w:szCs w:val="21"/>
        </w:rPr>
        <w:t>¥</w:t>
      </w:r>
      <w:r w:rsidRPr="00642717">
        <w:rPr>
          <w:rFonts w:eastAsia="ヒラギノ角ゴ Pro W3"/>
          <w:color w:val="000000"/>
          <w:lang w:eastAsia="zh-CN"/>
        </w:rPr>
        <w:t>25</w:t>
      </w:r>
      <w:r w:rsidR="00A104FD">
        <w:rPr>
          <w:rFonts w:eastAsia="ヒラギノ角ゴ Pro W3"/>
          <w:color w:val="000000"/>
          <w:lang w:eastAsia="zh-CN"/>
        </w:rPr>
        <w:t xml:space="preserve"> </w:t>
      </w:r>
      <w:r w:rsidRPr="00642717">
        <w:rPr>
          <w:rFonts w:eastAsia="ヒラギノ角ゴ Pro W3"/>
          <w:color w:val="000000"/>
          <w:lang w:eastAsia="zh-CN"/>
        </w:rPr>
        <w:t>billion</w:t>
      </w:r>
      <w:r w:rsidR="00A950BC">
        <w:rPr>
          <w:rStyle w:val="FootnoteReference"/>
          <w:rFonts w:eastAsia="ヒラギノ角ゴ Pro W3"/>
          <w:color w:val="000000"/>
          <w:lang w:eastAsia="zh-CN"/>
        </w:rPr>
        <w:footnoteReference w:id="13"/>
      </w:r>
      <w:r w:rsidRPr="00642717">
        <w:rPr>
          <w:rFonts w:eastAsia="ヒラギノ角ゴ Pro W3"/>
          <w:color w:val="000000"/>
          <w:lang w:eastAsia="zh-CN"/>
        </w:rPr>
        <w:t xml:space="preserve"> </w:t>
      </w:r>
      <w:r w:rsidR="00FF2510">
        <w:rPr>
          <w:rFonts w:eastAsia="ヒラギノ角ゴ Pro W3"/>
          <w:color w:val="000000"/>
          <w:lang w:eastAsia="zh-CN"/>
        </w:rPr>
        <w:t>(</w:t>
      </w:r>
      <w:r w:rsidRPr="00642717">
        <w:rPr>
          <w:rFonts w:eastAsia="ヒラギノ角ゴ Pro W3"/>
          <w:color w:val="000000"/>
          <w:lang w:eastAsia="zh-CN"/>
        </w:rPr>
        <w:t xml:space="preserve">roughly </w:t>
      </w:r>
      <w:r w:rsidR="0056539B">
        <w:rPr>
          <w:rFonts w:eastAsia="ヒラギノ角ゴ Pro W3"/>
          <w:color w:val="000000"/>
          <w:lang w:eastAsia="zh-CN"/>
        </w:rPr>
        <w:t>US</w:t>
      </w:r>
      <w:r w:rsidRPr="00642717">
        <w:rPr>
          <w:rFonts w:eastAsia="ヒラギノ角ゴ Pro W3"/>
          <w:color w:val="000000"/>
          <w:lang w:eastAsia="zh-CN"/>
        </w:rPr>
        <w:t>$</w:t>
      </w:r>
      <w:r w:rsidR="004C704E">
        <w:rPr>
          <w:rFonts w:eastAsia="ヒラギノ角ゴ Pro W3"/>
          <w:color w:val="000000"/>
          <w:lang w:eastAsia="zh-CN"/>
        </w:rPr>
        <w:t>3.6</w:t>
      </w:r>
      <w:r w:rsidR="004C704E" w:rsidRPr="00642717">
        <w:rPr>
          <w:rFonts w:eastAsia="ヒラギノ角ゴ Pro W3"/>
          <w:color w:val="000000"/>
          <w:lang w:eastAsia="zh-CN"/>
        </w:rPr>
        <w:t xml:space="preserve"> </w:t>
      </w:r>
      <w:r w:rsidRPr="00642717">
        <w:rPr>
          <w:rFonts w:eastAsia="ヒラギノ角ゴ Pro W3"/>
          <w:color w:val="000000"/>
          <w:lang w:eastAsia="zh-CN"/>
        </w:rPr>
        <w:t>billion</w:t>
      </w:r>
      <w:r w:rsidR="00FF2510">
        <w:rPr>
          <w:rFonts w:eastAsia="ヒラギノ角ゴ Pro W3"/>
          <w:color w:val="000000"/>
          <w:lang w:eastAsia="zh-CN"/>
        </w:rPr>
        <w:t>)</w:t>
      </w:r>
      <w:r w:rsidRPr="00642717">
        <w:rPr>
          <w:rFonts w:eastAsia="ヒラギノ角ゴ Pro W3"/>
          <w:color w:val="000000"/>
          <w:lang w:eastAsia="zh-CN"/>
        </w:rPr>
        <w:t>.</w:t>
      </w:r>
      <w:r w:rsidRPr="00642717">
        <w:rPr>
          <w:rFonts w:eastAsia="ヒラギノ角ゴ Pro W3"/>
          <w:color w:val="000000"/>
          <w:vertAlign w:val="superscript"/>
          <w:lang w:eastAsia="zh-CN"/>
        </w:rPr>
        <w:footnoteReference w:id="14"/>
      </w:r>
      <w:r w:rsidRPr="00642717">
        <w:rPr>
          <w:rFonts w:eastAsia="ヒラギノ角ゴ Pro W3"/>
          <w:color w:val="000000"/>
          <w:lang w:eastAsia="zh-CN"/>
        </w:rPr>
        <w:t xml:space="preserve"> </w:t>
      </w:r>
    </w:p>
    <w:p w14:paraId="453D17C3" w14:textId="77777777" w:rsidR="00812210" w:rsidRPr="00F67160" w:rsidRDefault="00812210" w:rsidP="00812210">
      <w:pPr>
        <w:pStyle w:val="BodyTextMain"/>
        <w:rPr>
          <w:rFonts w:eastAsia="ヒラギノ角ゴ Pro W3"/>
          <w:color w:val="000000"/>
          <w:sz w:val="18"/>
          <w:szCs w:val="18"/>
          <w:lang w:eastAsia="zh-CN"/>
        </w:rPr>
      </w:pPr>
    </w:p>
    <w:p w14:paraId="53C55F24" w14:textId="77777777" w:rsidR="00812210" w:rsidRPr="00F67160" w:rsidRDefault="00812210" w:rsidP="00812210">
      <w:pPr>
        <w:pStyle w:val="BodyTextMain"/>
        <w:rPr>
          <w:rFonts w:eastAsia="SimSun"/>
          <w:color w:val="000000"/>
          <w:sz w:val="18"/>
          <w:szCs w:val="18"/>
          <w:lang w:eastAsia="zh-CN"/>
        </w:rPr>
      </w:pPr>
    </w:p>
    <w:p w14:paraId="7E14FB58" w14:textId="645EBE1B" w:rsidR="00642717" w:rsidRPr="006854AF" w:rsidRDefault="00642717" w:rsidP="00A33DCE">
      <w:pPr>
        <w:pStyle w:val="Casehead2"/>
        <w:rPr>
          <w:rFonts w:eastAsia="ヒラギノ角ゴ Pro W3"/>
          <w:lang w:eastAsia="zh-CN"/>
        </w:rPr>
      </w:pPr>
      <w:r w:rsidRPr="00642717">
        <w:rPr>
          <w:rFonts w:eastAsia="ヒラギノ角ゴ Pro W3"/>
          <w:lang w:eastAsia="zh-CN"/>
        </w:rPr>
        <w:t>Go Equipment</w:t>
      </w:r>
      <w:r w:rsidR="001646C3">
        <w:rPr>
          <w:rFonts w:eastAsia="ヒラギノ角ゴ Pro W3"/>
          <w:lang w:eastAsia="zh-CN"/>
        </w:rPr>
        <w:t xml:space="preserve">  </w:t>
      </w:r>
    </w:p>
    <w:p w14:paraId="4A80A62B" w14:textId="77777777" w:rsidR="00812210" w:rsidRPr="00F67160" w:rsidRDefault="00812210" w:rsidP="00812210">
      <w:pPr>
        <w:pStyle w:val="BodyTextMain"/>
        <w:rPr>
          <w:rFonts w:eastAsia="ヒラギノ角ゴ Pro W3"/>
          <w:sz w:val="18"/>
          <w:szCs w:val="18"/>
          <w:lang w:val="en-CA" w:eastAsia="zh-CN"/>
        </w:rPr>
      </w:pPr>
    </w:p>
    <w:p w14:paraId="05FB5715" w14:textId="6956C620" w:rsidR="00642717" w:rsidRPr="00642717" w:rsidRDefault="00642717" w:rsidP="00812210">
      <w:pPr>
        <w:pStyle w:val="BodyTextMain"/>
        <w:rPr>
          <w:rFonts w:eastAsia="ヒラギノ角ゴ Pro W3"/>
          <w:color w:val="000000"/>
          <w:lang w:eastAsia="zh-CN"/>
        </w:rPr>
      </w:pPr>
      <w:r w:rsidRPr="00642717">
        <w:rPr>
          <w:rFonts w:eastAsia="ヒラギノ角ゴ Pro W3"/>
          <w:color w:val="000000"/>
          <w:lang w:eastAsia="zh-CN"/>
        </w:rPr>
        <w:t>Go equipment consisted of the objects needed to play the game between two opponents. The two essential pieces required to play a Go game were a game board with a 19</w:t>
      </w:r>
      <w:r w:rsidR="00FF2510">
        <w:rPr>
          <w:rFonts w:eastAsia="ヒラギノ角ゴ Pro W3"/>
          <w:color w:val="000000"/>
          <w:lang w:eastAsia="zh-CN"/>
        </w:rPr>
        <w:t xml:space="preserve"> </w:t>
      </w:r>
      <w:r w:rsidRPr="00642717">
        <w:rPr>
          <w:rFonts w:eastAsia="ヒラギノ角ゴ Pro W3"/>
          <w:color w:val="000000"/>
          <w:lang w:eastAsia="zh-CN"/>
        </w:rPr>
        <w:t>×</w:t>
      </w:r>
      <w:r w:rsidR="00FF2510">
        <w:rPr>
          <w:rFonts w:eastAsia="ヒラギノ角ゴ Pro W3"/>
          <w:color w:val="000000"/>
          <w:lang w:eastAsia="zh-CN"/>
        </w:rPr>
        <w:t xml:space="preserve"> </w:t>
      </w:r>
      <w:r w:rsidRPr="00642717">
        <w:rPr>
          <w:rFonts w:eastAsia="ヒラギノ角ゴ Pro W3"/>
          <w:color w:val="000000"/>
          <w:lang w:eastAsia="zh-CN"/>
        </w:rPr>
        <w:t>19 grid</w:t>
      </w:r>
      <w:r w:rsidR="00735669">
        <w:rPr>
          <w:rFonts w:eastAsia="ヒラギノ角ゴ Pro W3"/>
          <w:color w:val="000000"/>
          <w:lang w:eastAsia="zh-CN"/>
        </w:rPr>
        <w:t xml:space="preserve"> (even though </w:t>
      </w:r>
      <w:r w:rsidRPr="00FE2737">
        <w:rPr>
          <w:rFonts w:eastAsia="ヒラギノ角ゴ Pro W3"/>
          <w:color w:val="000000"/>
          <w:lang w:eastAsia="zh-CN"/>
        </w:rPr>
        <w:t>“Beginners typically started with smaller 9</w:t>
      </w:r>
      <w:r w:rsidR="00A950BC">
        <w:rPr>
          <w:rFonts w:eastAsia="ヒラギノ角ゴ Pro W3"/>
          <w:color w:val="000000"/>
          <w:lang w:eastAsia="zh-CN"/>
        </w:rPr>
        <w:t xml:space="preserve"> </w:t>
      </w:r>
      <w:r w:rsidRPr="00FE2737">
        <w:rPr>
          <w:rFonts w:eastAsia="ヒラギノ角ゴ Pro W3"/>
          <w:color w:val="000000"/>
          <w:lang w:eastAsia="zh-CN"/>
        </w:rPr>
        <w:t>×</w:t>
      </w:r>
      <w:r w:rsidR="00A950BC">
        <w:rPr>
          <w:rFonts w:eastAsia="ヒラギノ角ゴ Pro W3"/>
          <w:color w:val="000000"/>
          <w:lang w:eastAsia="zh-CN"/>
        </w:rPr>
        <w:t xml:space="preserve"> </w:t>
      </w:r>
      <w:r w:rsidRPr="00FE2737">
        <w:rPr>
          <w:rFonts w:eastAsia="ヒラギノ角ゴ Pro W3"/>
          <w:color w:val="000000"/>
          <w:lang w:eastAsia="zh-CN"/>
        </w:rPr>
        <w:t>9 and 13</w:t>
      </w:r>
      <w:r w:rsidR="00A950BC">
        <w:rPr>
          <w:rFonts w:eastAsia="ヒラギノ角ゴ Pro W3"/>
          <w:color w:val="000000"/>
          <w:lang w:eastAsia="zh-CN"/>
        </w:rPr>
        <w:t xml:space="preserve"> </w:t>
      </w:r>
      <w:r w:rsidRPr="00FE2737">
        <w:rPr>
          <w:rFonts w:eastAsia="ヒラギノ角ゴ Pro W3"/>
          <w:color w:val="000000"/>
          <w:lang w:eastAsia="zh-CN"/>
        </w:rPr>
        <w:t>×</w:t>
      </w:r>
      <w:r w:rsidR="00A950BC">
        <w:rPr>
          <w:rFonts w:eastAsia="ヒラギノ角ゴ Pro W3"/>
          <w:color w:val="000000"/>
          <w:lang w:eastAsia="zh-CN"/>
        </w:rPr>
        <w:t xml:space="preserve"> </w:t>
      </w:r>
      <w:r w:rsidRPr="00FE2737">
        <w:rPr>
          <w:rFonts w:eastAsia="ヒラギノ角ゴ Pro W3"/>
          <w:color w:val="000000"/>
          <w:lang w:eastAsia="zh-CN"/>
        </w:rPr>
        <w:t>13 board</w:t>
      </w:r>
      <w:r w:rsidR="00534162">
        <w:rPr>
          <w:rFonts w:eastAsia="ヒラギノ角ゴ Pro W3"/>
          <w:color w:val="000000"/>
          <w:lang w:eastAsia="zh-CN"/>
        </w:rPr>
        <w:t>[s]</w:t>
      </w:r>
      <w:r w:rsidRPr="00FE2737">
        <w:rPr>
          <w:rFonts w:eastAsia="ヒラギノ角ゴ Pro W3"/>
          <w:color w:val="000000"/>
          <w:lang w:eastAsia="zh-CN"/>
        </w:rPr>
        <w:t>,”</w:t>
      </w:r>
      <w:r w:rsidRPr="00642717">
        <w:rPr>
          <w:rFonts w:eastAsia="ヒラギノ角ゴ Pro W3"/>
          <w:color w:val="000000"/>
          <w:lang w:eastAsia="zh-CN"/>
        </w:rPr>
        <w:t xml:space="preserve"> according to Sun</w:t>
      </w:r>
      <w:r w:rsidR="00735669">
        <w:rPr>
          <w:rFonts w:eastAsia="ヒラギノ角ゴ Pro W3"/>
          <w:color w:val="000000"/>
          <w:lang w:eastAsia="zh-CN"/>
        </w:rPr>
        <w:t xml:space="preserve">) </w:t>
      </w:r>
      <w:r w:rsidRPr="00642717">
        <w:rPr>
          <w:rFonts w:eastAsia="ヒラギノ角ゴ Pro W3"/>
          <w:color w:val="000000"/>
          <w:lang w:eastAsia="zh-CN"/>
        </w:rPr>
        <w:t xml:space="preserve">and playing pieces called “stones” (a standard set contains 181 black stones and 180 white stones). Despite the simplicity of equipment, </w:t>
      </w:r>
      <w:r w:rsidR="00203F07">
        <w:rPr>
          <w:rFonts w:eastAsia="ヒラギノ角ゴ Pro W3"/>
          <w:color w:val="000000"/>
          <w:lang w:eastAsia="zh-CN"/>
        </w:rPr>
        <w:t>the quality of the products varied from basic to valuable</w:t>
      </w:r>
      <w:r w:rsidR="00A950BC">
        <w:rPr>
          <w:rFonts w:eastAsia="ヒラギノ角ゴ Pro W3"/>
          <w:color w:val="000000"/>
          <w:lang w:eastAsia="zh-CN"/>
        </w:rPr>
        <w:t>,</w:t>
      </w:r>
      <w:r w:rsidR="00203F07">
        <w:rPr>
          <w:rFonts w:eastAsia="ヒラギノ角ゴ Pro W3"/>
          <w:color w:val="000000"/>
          <w:lang w:eastAsia="zh-CN"/>
        </w:rPr>
        <w:t xml:space="preserve"> according to the raw material used</w:t>
      </w:r>
      <w:r w:rsidRPr="00642717">
        <w:rPr>
          <w:rFonts w:eastAsia="ヒラギノ角ゴ Pro W3"/>
          <w:color w:val="000000"/>
          <w:lang w:eastAsia="zh-CN"/>
        </w:rPr>
        <w:t>.</w:t>
      </w:r>
      <w:r w:rsidRPr="00642717">
        <w:rPr>
          <w:rFonts w:eastAsia="ヒラギノ角ゴ Pro W3"/>
          <w:color w:val="000000"/>
          <w:vertAlign w:val="superscript"/>
          <w:lang w:eastAsia="zh-CN"/>
        </w:rPr>
        <w:footnoteReference w:id="15"/>
      </w:r>
      <w:r w:rsidRPr="00642717">
        <w:rPr>
          <w:rFonts w:eastAsia="ヒラギノ角ゴ Pro W3"/>
          <w:color w:val="000000"/>
          <w:lang w:eastAsia="zh-CN"/>
        </w:rPr>
        <w:t xml:space="preserve"> </w:t>
      </w:r>
      <w:r w:rsidR="000D71B2">
        <w:rPr>
          <w:rFonts w:eastAsia="ヒラギノ角ゴ Pro W3"/>
          <w:color w:val="000000"/>
          <w:lang w:eastAsia="zh-CN"/>
        </w:rPr>
        <w:t>The g</w:t>
      </w:r>
      <w:r w:rsidRPr="00642717">
        <w:rPr>
          <w:rFonts w:eastAsia="ヒラギノ角ゴ Pro W3"/>
          <w:color w:val="000000"/>
          <w:lang w:eastAsia="zh-CN"/>
        </w:rPr>
        <w:t>ame board could be manufactured using material of plastic, stone, or highly valuable wood. Materials for playing pieces included plastic, porcelain, glass, and stones of different durability and appearance</w:t>
      </w:r>
      <w:r w:rsidR="00A950BC">
        <w:rPr>
          <w:rFonts w:eastAsia="ヒラギノ角ゴ Pro W3"/>
          <w:color w:val="000000"/>
          <w:lang w:eastAsia="zh-CN"/>
        </w:rPr>
        <w:t>,</w:t>
      </w:r>
      <w:r w:rsidRPr="00642717">
        <w:rPr>
          <w:rFonts w:eastAsia="ヒラギノ角ゴ Pro W3"/>
          <w:color w:val="000000"/>
          <w:lang w:eastAsia="zh-CN"/>
        </w:rPr>
        <w:t xml:space="preserve"> </w:t>
      </w:r>
      <w:r w:rsidR="00735669">
        <w:rPr>
          <w:rFonts w:eastAsia="ヒラギノ角ゴ Pro W3"/>
          <w:color w:val="000000"/>
          <w:lang w:eastAsia="zh-CN"/>
        </w:rPr>
        <w:t>and substantially different pricing</w:t>
      </w:r>
      <w:r w:rsidRPr="00642717">
        <w:rPr>
          <w:rFonts w:eastAsia="ヒラギノ角ゴ Pro W3"/>
          <w:color w:val="000000"/>
          <w:lang w:eastAsia="zh-CN"/>
        </w:rPr>
        <w:t xml:space="preserve"> ($10</w:t>
      </w:r>
      <w:r w:rsidR="00E44DAE">
        <w:rPr>
          <w:rFonts w:eastAsia="ヒラギノ角ゴ Pro W3"/>
          <w:color w:val="000000"/>
          <w:lang w:eastAsia="zh-CN"/>
        </w:rPr>
        <w:t xml:space="preserve"> to </w:t>
      </w:r>
      <w:r w:rsidRPr="00642717">
        <w:rPr>
          <w:rFonts w:eastAsia="ヒラギノ角ゴ Pro W3"/>
          <w:color w:val="000000"/>
          <w:lang w:eastAsia="zh-CN"/>
        </w:rPr>
        <w:t>over $200).</w:t>
      </w:r>
      <w:r w:rsidRPr="00642717">
        <w:rPr>
          <w:rFonts w:eastAsia="ヒラギノ角ゴ Pro W3"/>
          <w:color w:val="000000"/>
          <w:vertAlign w:val="superscript"/>
          <w:lang w:eastAsia="zh-CN"/>
        </w:rPr>
        <w:footnoteReference w:id="16"/>
      </w:r>
      <w:r w:rsidRPr="00642717">
        <w:rPr>
          <w:rFonts w:eastAsia="ヒラギノ角ゴ Pro W3"/>
          <w:color w:val="000000"/>
          <w:lang w:eastAsia="zh-CN"/>
        </w:rPr>
        <w:t xml:space="preserve"> Associated with the rising number of students seeking Go education</w:t>
      </w:r>
      <w:r w:rsidR="00E44DAE">
        <w:rPr>
          <w:rFonts w:eastAsia="ヒラギノ角ゴ Pro W3"/>
          <w:color w:val="000000"/>
          <w:lang w:eastAsia="zh-CN"/>
        </w:rPr>
        <w:t>,</w:t>
      </w:r>
      <w:r w:rsidRPr="00642717">
        <w:rPr>
          <w:rFonts w:eastAsia="ヒラギノ角ゴ Pro W3"/>
          <w:color w:val="000000"/>
          <w:lang w:eastAsia="zh-CN"/>
        </w:rPr>
        <w:t xml:space="preserve"> especially in East Asia, t</w:t>
      </w:r>
      <w:r w:rsidRPr="00642717">
        <w:rPr>
          <w:rFonts w:eastAsia="ヒラギノ角ゴ Pro W3"/>
          <w:lang w:eastAsia="zh-CN"/>
        </w:rPr>
        <w:t>here was also an increasing demand for qualified teachers, instructional books</w:t>
      </w:r>
      <w:r w:rsidR="00E44DAE">
        <w:rPr>
          <w:rFonts w:eastAsia="ヒラギノ角ゴ Pro W3"/>
          <w:lang w:eastAsia="zh-CN"/>
        </w:rPr>
        <w:t>,</w:t>
      </w:r>
      <w:r w:rsidRPr="00642717">
        <w:rPr>
          <w:rFonts w:eastAsia="ヒラギノ角ゴ Pro W3"/>
          <w:lang w:eastAsia="zh-CN"/>
        </w:rPr>
        <w:t xml:space="preserve"> and computerized software</w:t>
      </w:r>
      <w:r w:rsidR="00E44DAE">
        <w:rPr>
          <w:rFonts w:eastAsia="ヒラギノ角ゴ Pro W3"/>
          <w:lang w:eastAsia="zh-CN"/>
        </w:rPr>
        <w:t xml:space="preserve"> and</w:t>
      </w:r>
      <w:r w:rsidRPr="00642717">
        <w:rPr>
          <w:rFonts w:eastAsia="ヒラギノ角ゴ Pro W3"/>
          <w:lang w:eastAsia="zh-CN"/>
        </w:rPr>
        <w:t xml:space="preserve"> applications for Go play and education.</w:t>
      </w:r>
      <w:r w:rsidRPr="00642717">
        <w:rPr>
          <w:rFonts w:eastAsia="ヒラギノ角ゴ Pro W3"/>
          <w:vertAlign w:val="superscript"/>
          <w:lang w:eastAsia="zh-CN"/>
        </w:rPr>
        <w:footnoteReference w:id="17"/>
      </w:r>
      <w:r w:rsidRPr="00642717">
        <w:rPr>
          <w:rFonts w:eastAsia="ヒラギノ角ゴ Pro W3"/>
          <w:lang w:eastAsia="zh-CN"/>
        </w:rPr>
        <w:t xml:space="preserve"> </w:t>
      </w:r>
    </w:p>
    <w:p w14:paraId="16487AB4" w14:textId="77777777" w:rsidR="00642717" w:rsidRPr="00F67160" w:rsidRDefault="00642717" w:rsidP="00FD54A1">
      <w:pPr>
        <w:pStyle w:val="BodyTextMain"/>
        <w:rPr>
          <w:rFonts w:eastAsia="ヒラギノ角ゴ Pro W3"/>
          <w:sz w:val="18"/>
          <w:szCs w:val="18"/>
        </w:rPr>
      </w:pPr>
    </w:p>
    <w:p w14:paraId="4473933E" w14:textId="77777777" w:rsidR="00812210" w:rsidRPr="00F67160" w:rsidRDefault="00812210" w:rsidP="00FD54A1">
      <w:pPr>
        <w:pStyle w:val="BodyTextMain"/>
        <w:rPr>
          <w:rFonts w:eastAsia="ヒラギノ角ゴ Pro W3"/>
          <w:sz w:val="18"/>
          <w:szCs w:val="18"/>
        </w:rPr>
      </w:pPr>
    </w:p>
    <w:p w14:paraId="7597F619" w14:textId="15B90A6F" w:rsidR="00642717" w:rsidRDefault="00642717" w:rsidP="00885784">
      <w:pPr>
        <w:pStyle w:val="Casehead1"/>
        <w:keepNext/>
        <w:rPr>
          <w:rFonts w:eastAsia="ヒラギノ角ゴ Pro W3"/>
          <w:lang w:eastAsia="zh-CN"/>
        </w:rPr>
      </w:pPr>
      <w:r w:rsidRPr="00642717">
        <w:rPr>
          <w:rFonts w:eastAsia="ヒラギノ角ゴ Pro W3"/>
          <w:lang w:eastAsia="zh-CN"/>
        </w:rPr>
        <w:t>SUN QUAN EDUCATION INC</w:t>
      </w:r>
      <w:r w:rsidR="0094441E">
        <w:rPr>
          <w:rFonts w:eastAsia="ヒラギノ角ゴ Pro W3"/>
          <w:lang w:eastAsia="zh-CN"/>
        </w:rPr>
        <w:t>.</w:t>
      </w:r>
      <w:r w:rsidRPr="00642717">
        <w:rPr>
          <w:rFonts w:eastAsia="ヒラギノ角ゴ Pro W3"/>
          <w:lang w:eastAsia="zh-CN"/>
        </w:rPr>
        <w:t xml:space="preserve">  </w:t>
      </w:r>
    </w:p>
    <w:p w14:paraId="6044D78F" w14:textId="77777777" w:rsidR="00812210" w:rsidRPr="00F67160" w:rsidRDefault="00812210" w:rsidP="00885784">
      <w:pPr>
        <w:pStyle w:val="BodyTextMain"/>
        <w:keepNext/>
        <w:rPr>
          <w:rFonts w:eastAsia="ヒラギノ角ゴ Pro W3"/>
          <w:sz w:val="18"/>
          <w:szCs w:val="18"/>
          <w:lang w:eastAsia="zh-CN"/>
        </w:rPr>
      </w:pPr>
    </w:p>
    <w:p w14:paraId="61C90B73" w14:textId="09BDA083" w:rsidR="00642717" w:rsidRDefault="0094441E" w:rsidP="00885784">
      <w:pPr>
        <w:pStyle w:val="BodyTextMain"/>
        <w:keepNext/>
        <w:rPr>
          <w:rFonts w:eastAsia="ヒラギノ角ゴ Pro W3"/>
          <w:color w:val="000000"/>
          <w:lang w:eastAsia="zh-CN"/>
        </w:rPr>
      </w:pPr>
      <w:r>
        <w:rPr>
          <w:rFonts w:eastAsia="ヒラギノ角ゴ Pro W3"/>
          <w:color w:val="000000"/>
          <w:lang w:eastAsia="zh-CN"/>
        </w:rPr>
        <w:t>F</w:t>
      </w:r>
      <w:r w:rsidR="00642717" w:rsidRPr="00642717">
        <w:rPr>
          <w:rFonts w:eastAsia="ヒラギノ角ゴ Pro W3"/>
          <w:color w:val="000000"/>
          <w:lang w:eastAsia="zh-CN"/>
        </w:rPr>
        <w:t xml:space="preserve">rom a get-together place to play Go primarily for Chinese students and immigrants, Sun and his associates worked to build a solid business venture through the offering of Go education and training </w:t>
      </w:r>
      <w:r>
        <w:rPr>
          <w:rFonts w:eastAsia="ヒラギノ角ゴ Pro W3"/>
          <w:color w:val="000000"/>
          <w:lang w:eastAsia="zh-CN"/>
        </w:rPr>
        <w:t>in</w:t>
      </w:r>
      <w:r w:rsidR="00642717" w:rsidRPr="00642717">
        <w:rPr>
          <w:rFonts w:eastAsia="ヒラギノ角ゴ Pro W3"/>
          <w:color w:val="000000"/>
          <w:lang w:eastAsia="zh-CN"/>
        </w:rPr>
        <w:t xml:space="preserve"> the Kitchener-Waterloo area of </w:t>
      </w:r>
      <w:r w:rsidR="009638BA">
        <w:rPr>
          <w:rFonts w:eastAsia="ヒラギノ角ゴ Pro W3"/>
          <w:color w:val="000000"/>
          <w:lang w:eastAsia="zh-CN"/>
        </w:rPr>
        <w:t>S</w:t>
      </w:r>
      <w:r w:rsidR="00642717" w:rsidRPr="00642717">
        <w:rPr>
          <w:rFonts w:eastAsia="ヒラギノ角ゴ Pro W3"/>
          <w:color w:val="000000"/>
          <w:lang w:eastAsia="zh-CN"/>
        </w:rPr>
        <w:t xml:space="preserve">outhern Ontario. </w:t>
      </w:r>
    </w:p>
    <w:p w14:paraId="4C0E7DFD" w14:textId="77777777" w:rsidR="00812210" w:rsidRPr="00F67160" w:rsidRDefault="00812210" w:rsidP="00885784">
      <w:pPr>
        <w:pStyle w:val="BodyTextMain"/>
        <w:keepNext/>
        <w:rPr>
          <w:rFonts w:eastAsia="ヒラギノ角ゴ Pro W3"/>
          <w:color w:val="000000"/>
          <w:sz w:val="18"/>
          <w:szCs w:val="18"/>
          <w:lang w:eastAsia="zh-CN"/>
        </w:rPr>
      </w:pPr>
    </w:p>
    <w:p w14:paraId="6304221C" w14:textId="77777777" w:rsidR="00812210" w:rsidRPr="00F67160" w:rsidRDefault="00812210" w:rsidP="00812210">
      <w:pPr>
        <w:pStyle w:val="BodyTextMain"/>
        <w:rPr>
          <w:rFonts w:eastAsia="ヒラギノ角ゴ Pro W3"/>
          <w:color w:val="000000"/>
          <w:sz w:val="18"/>
          <w:szCs w:val="18"/>
          <w:lang w:eastAsia="zh-CN"/>
        </w:rPr>
      </w:pPr>
    </w:p>
    <w:p w14:paraId="78C92A0B" w14:textId="77777777" w:rsidR="00642717" w:rsidRPr="00A33DCE" w:rsidRDefault="00642717" w:rsidP="00A33DCE">
      <w:pPr>
        <w:pStyle w:val="Casehead2"/>
        <w:rPr>
          <w:rFonts w:eastAsia="ヒラギノ角ゴ Pro W3"/>
        </w:rPr>
      </w:pPr>
      <w:r w:rsidRPr="00A33DCE">
        <w:rPr>
          <w:rFonts w:eastAsia="ヒラギノ角ゴ Pro W3"/>
        </w:rPr>
        <w:t>Company Background</w:t>
      </w:r>
    </w:p>
    <w:p w14:paraId="218F0B0C" w14:textId="77777777" w:rsidR="00812210" w:rsidRPr="00F67160" w:rsidRDefault="00812210" w:rsidP="00812210">
      <w:pPr>
        <w:pStyle w:val="BodyTextMain"/>
        <w:rPr>
          <w:rFonts w:eastAsia="ヒラギノ角ゴ Pro W3"/>
          <w:sz w:val="18"/>
          <w:szCs w:val="18"/>
          <w:lang w:val="en-CA" w:eastAsia="zh-CN"/>
        </w:rPr>
      </w:pPr>
    </w:p>
    <w:p w14:paraId="585EDE15" w14:textId="66FD6B46" w:rsidR="00642717" w:rsidRDefault="00642717" w:rsidP="00812210">
      <w:pPr>
        <w:pStyle w:val="BodyTextMain"/>
        <w:rPr>
          <w:rFonts w:eastAsia="ヒラギノ角ゴ Pro W3"/>
          <w:color w:val="000000"/>
          <w:lang w:val="en-CA" w:eastAsia="zh-CN"/>
        </w:rPr>
      </w:pPr>
      <w:r w:rsidRPr="00642717">
        <w:rPr>
          <w:rFonts w:eastAsia="ヒラギノ角ゴ Pro W3"/>
          <w:color w:val="000000"/>
          <w:lang w:val="en-CA" w:eastAsia="zh-CN"/>
        </w:rPr>
        <w:t xml:space="preserve">Sun started receiving rigorous Go training at the age of 11 from the famous Go </w:t>
      </w:r>
      <w:r w:rsidR="00A950BC">
        <w:rPr>
          <w:rFonts w:eastAsia="ヒラギノ角ゴ Pro W3"/>
          <w:color w:val="000000"/>
          <w:lang w:val="en-CA" w:eastAsia="zh-CN"/>
        </w:rPr>
        <w:t>i</w:t>
      </w:r>
      <w:r w:rsidRPr="00642717">
        <w:rPr>
          <w:rFonts w:eastAsia="ヒラギノ角ゴ Pro W3"/>
          <w:color w:val="000000"/>
          <w:lang w:val="en-CA" w:eastAsia="zh-CN"/>
        </w:rPr>
        <w:t xml:space="preserve">nstitution Nie </w:t>
      </w:r>
      <w:proofErr w:type="spellStart"/>
      <w:r w:rsidR="006854AF">
        <w:rPr>
          <w:rFonts w:eastAsia="ヒラギノ角ゴ Pro W3"/>
          <w:color w:val="000000"/>
          <w:lang w:val="en-CA" w:eastAsia="zh-CN"/>
        </w:rPr>
        <w:t>Weiping</w:t>
      </w:r>
      <w:proofErr w:type="spellEnd"/>
      <w:r w:rsidR="006854AF">
        <w:rPr>
          <w:rFonts w:eastAsia="ヒラギノ角ゴ Pro W3"/>
          <w:color w:val="000000"/>
          <w:lang w:val="en-CA" w:eastAsia="zh-CN"/>
        </w:rPr>
        <w:t xml:space="preserve"> Go </w:t>
      </w:r>
      <w:r w:rsidRPr="00642717">
        <w:rPr>
          <w:rFonts w:eastAsia="ヒラギノ角ゴ Pro W3"/>
          <w:color w:val="000000"/>
          <w:lang w:val="en-CA" w:eastAsia="zh-CN"/>
        </w:rPr>
        <w:t xml:space="preserve">Dojo in Beijing. The institution was named after the most legendary Go player in modern China, </w:t>
      </w:r>
      <w:proofErr w:type="spellStart"/>
      <w:r w:rsidRPr="00642717">
        <w:rPr>
          <w:rFonts w:eastAsia="ヒラギノ角ゴ Pro W3"/>
          <w:color w:val="000000"/>
          <w:lang w:val="en-CA" w:eastAsia="zh-CN"/>
        </w:rPr>
        <w:t>Weiping</w:t>
      </w:r>
      <w:proofErr w:type="spellEnd"/>
      <w:r w:rsidRPr="00642717">
        <w:rPr>
          <w:rFonts w:eastAsia="ヒラギノ角ゴ Pro W3"/>
          <w:color w:val="000000"/>
          <w:lang w:val="en-CA" w:eastAsia="zh-CN"/>
        </w:rPr>
        <w:t xml:space="preserve"> Nie. The primary objective of this institution was to prepare young Go players for the entrance competition to be certified as professionals. Sun decided not to enter the professional path after training at </w:t>
      </w:r>
      <w:proofErr w:type="spellStart"/>
      <w:r w:rsidRPr="00642717">
        <w:rPr>
          <w:rFonts w:eastAsia="ヒラギノ角ゴ Pro W3"/>
          <w:color w:val="000000"/>
          <w:lang w:val="en-CA" w:eastAsia="zh-CN"/>
        </w:rPr>
        <w:t>Nei</w:t>
      </w:r>
      <w:proofErr w:type="spellEnd"/>
      <w:r w:rsidRPr="00642717">
        <w:rPr>
          <w:rFonts w:eastAsia="ヒラギノ角ゴ Pro W3"/>
          <w:color w:val="000000"/>
          <w:lang w:val="en-CA" w:eastAsia="zh-CN"/>
        </w:rPr>
        <w:t xml:space="preserve"> Dojo for </w:t>
      </w:r>
      <w:r w:rsidR="00A950BC">
        <w:rPr>
          <w:rFonts w:eastAsia="ヒラギノ角ゴ Pro W3"/>
          <w:color w:val="000000"/>
          <w:lang w:val="en-CA" w:eastAsia="zh-CN"/>
        </w:rPr>
        <w:t>five</w:t>
      </w:r>
      <w:r w:rsidRPr="00642717">
        <w:rPr>
          <w:rFonts w:eastAsia="ヒラギノ角ゴ Pro W3"/>
          <w:color w:val="000000"/>
          <w:lang w:val="en-CA" w:eastAsia="zh-CN"/>
        </w:rPr>
        <w:t xml:space="preserve"> years. In 2011</w:t>
      </w:r>
      <w:r w:rsidR="0043060B">
        <w:rPr>
          <w:rFonts w:eastAsia="ヒラギノ角ゴ Pro W3"/>
          <w:color w:val="000000"/>
          <w:lang w:val="en-CA" w:eastAsia="zh-CN"/>
        </w:rPr>
        <w:t>,</w:t>
      </w:r>
      <w:r w:rsidRPr="00642717">
        <w:rPr>
          <w:rFonts w:eastAsia="ヒラギノ角ゴ Pro W3"/>
          <w:color w:val="000000"/>
          <w:lang w:val="en-CA" w:eastAsia="zh-CN"/>
        </w:rPr>
        <w:t xml:space="preserve"> </w:t>
      </w:r>
      <w:r w:rsidR="00085DBB">
        <w:rPr>
          <w:rFonts w:eastAsia="ヒラギノ角ゴ Pro W3"/>
          <w:color w:val="000000"/>
          <w:lang w:val="en-CA" w:eastAsia="zh-CN"/>
        </w:rPr>
        <w:t>he</w:t>
      </w:r>
      <w:r w:rsidRPr="00642717">
        <w:rPr>
          <w:rFonts w:eastAsia="ヒラギノ角ゴ Pro W3"/>
          <w:color w:val="000000"/>
          <w:lang w:val="en-CA" w:eastAsia="zh-CN"/>
        </w:rPr>
        <w:t xml:space="preserve"> flew to Canada to study at St. David</w:t>
      </w:r>
      <w:r w:rsidR="0037124E">
        <w:rPr>
          <w:rFonts w:eastAsia="ヒラギノ角ゴ Pro W3"/>
          <w:color w:val="000000"/>
          <w:lang w:val="en-CA" w:eastAsia="zh-CN"/>
        </w:rPr>
        <w:t>’s</w:t>
      </w:r>
      <w:r w:rsidRPr="00642717">
        <w:rPr>
          <w:rFonts w:eastAsia="ヒラギノ角ゴ Pro W3"/>
          <w:color w:val="000000"/>
          <w:lang w:val="en-CA" w:eastAsia="zh-CN"/>
        </w:rPr>
        <w:t xml:space="preserve"> Catholic Secondary School. After graduating from high school, he studied </w:t>
      </w:r>
      <w:r w:rsidR="0094441E">
        <w:rPr>
          <w:rFonts w:eastAsia="ヒラギノ角ゴ Pro W3"/>
          <w:color w:val="000000"/>
          <w:lang w:val="en-CA" w:eastAsia="zh-CN"/>
        </w:rPr>
        <w:t>b</w:t>
      </w:r>
      <w:r w:rsidRPr="00642717">
        <w:rPr>
          <w:rFonts w:eastAsia="ヒラギノ角ゴ Pro W3"/>
          <w:color w:val="000000"/>
          <w:lang w:val="en-CA" w:eastAsia="zh-CN"/>
        </w:rPr>
        <w:t xml:space="preserve">usiness and </w:t>
      </w:r>
      <w:r w:rsidR="0094441E">
        <w:rPr>
          <w:rFonts w:eastAsia="ヒラギノ角ゴ Pro W3"/>
          <w:color w:val="000000"/>
          <w:lang w:val="en-CA" w:eastAsia="zh-CN"/>
        </w:rPr>
        <w:t>f</w:t>
      </w:r>
      <w:r w:rsidRPr="00642717">
        <w:rPr>
          <w:rFonts w:eastAsia="ヒラギノ角ゴ Pro W3"/>
          <w:color w:val="000000"/>
          <w:lang w:val="en-CA" w:eastAsia="zh-CN"/>
        </w:rPr>
        <w:t xml:space="preserve">inancial </w:t>
      </w:r>
      <w:r w:rsidR="0094441E">
        <w:rPr>
          <w:rFonts w:eastAsia="ヒラギノ角ゴ Pro W3"/>
          <w:color w:val="000000"/>
          <w:lang w:val="en-CA" w:eastAsia="zh-CN"/>
        </w:rPr>
        <w:t>m</w:t>
      </w:r>
      <w:r w:rsidRPr="00642717">
        <w:rPr>
          <w:rFonts w:eastAsia="ヒラギノ角ゴ Pro W3"/>
          <w:color w:val="000000"/>
          <w:lang w:val="en-CA" w:eastAsia="zh-CN"/>
        </w:rPr>
        <w:t>ath at Wilfrid Laurier University. In 2016</w:t>
      </w:r>
      <w:r w:rsidR="00A950BC">
        <w:rPr>
          <w:rFonts w:eastAsia="ヒラギノ角ゴ Pro W3"/>
          <w:color w:val="000000"/>
          <w:lang w:val="en-CA" w:eastAsia="zh-CN"/>
        </w:rPr>
        <w:t>,</w:t>
      </w:r>
      <w:r w:rsidRPr="00642717">
        <w:rPr>
          <w:rFonts w:eastAsia="ヒラギノ角ゴ Pro W3"/>
          <w:color w:val="000000"/>
          <w:lang w:val="en-CA" w:eastAsia="zh-CN"/>
        </w:rPr>
        <w:t xml:space="preserve"> he was admitted to the </w:t>
      </w:r>
      <w:r w:rsidR="006860CC">
        <w:rPr>
          <w:rFonts w:eastAsia="ヒラギノ角ゴ Pro W3"/>
          <w:color w:val="000000"/>
          <w:lang w:val="en-CA" w:eastAsia="zh-CN"/>
        </w:rPr>
        <w:t xml:space="preserve">School of Community Services at Conestoga College and </w:t>
      </w:r>
      <w:r w:rsidRPr="00642717">
        <w:rPr>
          <w:rFonts w:eastAsia="ヒラギノ角ゴ Pro W3"/>
          <w:color w:val="000000"/>
          <w:lang w:val="en-CA" w:eastAsia="zh-CN"/>
        </w:rPr>
        <w:t xml:space="preserve">graduated with a </w:t>
      </w:r>
      <w:r w:rsidR="006860CC">
        <w:rPr>
          <w:rFonts w:eastAsia="ヒラギノ角ゴ Pro W3"/>
          <w:color w:val="000000"/>
          <w:lang w:val="en-CA" w:eastAsia="zh-CN"/>
        </w:rPr>
        <w:t xml:space="preserve">diploma </w:t>
      </w:r>
      <w:r w:rsidR="008900A0">
        <w:rPr>
          <w:rFonts w:eastAsia="ヒラギノ角ゴ Pro W3"/>
          <w:color w:val="000000"/>
          <w:lang w:val="en-CA" w:eastAsia="zh-CN"/>
        </w:rPr>
        <w:t>in</w:t>
      </w:r>
      <w:r w:rsidR="006860CC">
        <w:rPr>
          <w:rFonts w:eastAsia="ヒラギノ角ゴ Pro W3"/>
          <w:color w:val="000000"/>
          <w:lang w:val="en-CA" w:eastAsia="zh-CN"/>
        </w:rPr>
        <w:t xml:space="preserve"> Early Childhood Education</w:t>
      </w:r>
      <w:r w:rsidRPr="00642717">
        <w:rPr>
          <w:rFonts w:eastAsia="ヒラギノ角ゴ Pro W3"/>
          <w:color w:val="000000"/>
          <w:lang w:val="en-CA" w:eastAsia="zh-CN"/>
        </w:rPr>
        <w:t xml:space="preserve"> in April 2017.</w:t>
      </w:r>
    </w:p>
    <w:p w14:paraId="3428170D" w14:textId="7883027F" w:rsidR="00560035" w:rsidRDefault="00642717" w:rsidP="00812210">
      <w:pPr>
        <w:pStyle w:val="BodyTextMain"/>
        <w:rPr>
          <w:rFonts w:eastAsia="ヒラギノ角ゴ Pro W3"/>
          <w:color w:val="000000"/>
          <w:lang w:val="en-CA" w:eastAsia="zh-CN"/>
        </w:rPr>
      </w:pPr>
      <w:r w:rsidRPr="00642717">
        <w:rPr>
          <w:rFonts w:eastAsia="ヒラギノ角ゴ Pro W3"/>
          <w:color w:val="000000"/>
          <w:lang w:val="en-CA" w:eastAsia="zh-CN"/>
        </w:rPr>
        <w:lastRenderedPageBreak/>
        <w:t xml:space="preserve">Although he did not choose the path of becoming a professional Go player, Sun firmly believed that he would enjoy a lifetime benefit from those early years of Go training. </w:t>
      </w:r>
      <w:r w:rsidR="00560035">
        <w:rPr>
          <w:rFonts w:eastAsia="ヒラギノ角ゴ Pro W3"/>
          <w:color w:val="000000"/>
          <w:lang w:val="en-CA" w:eastAsia="zh-CN"/>
        </w:rPr>
        <w:t>A</w:t>
      </w:r>
      <w:r w:rsidR="00560035" w:rsidRPr="00FE2737">
        <w:rPr>
          <w:rFonts w:eastAsia="ヒラギノ角ゴ Pro W3"/>
          <w:color w:val="000000"/>
          <w:lang w:val="en-CA" w:eastAsia="zh-CN"/>
        </w:rPr>
        <w:t>ccording to Sun, the 2016 champion of the Canadian Go Open Tournament,</w:t>
      </w:r>
      <w:r w:rsidR="00560035" w:rsidRPr="00642717">
        <w:rPr>
          <w:rFonts w:eastAsia="ヒラギノ角ゴ Pro W3"/>
          <w:color w:val="000000"/>
          <w:lang w:val="en-CA" w:eastAsia="zh-CN"/>
        </w:rPr>
        <w:t xml:space="preserve"> </w:t>
      </w:r>
    </w:p>
    <w:p w14:paraId="0F819F66" w14:textId="77777777" w:rsidR="00560035" w:rsidRDefault="00560035" w:rsidP="00812210">
      <w:pPr>
        <w:pStyle w:val="BodyTextMain"/>
        <w:rPr>
          <w:rFonts w:eastAsia="ヒラギノ角ゴ Pro W3"/>
          <w:color w:val="000000"/>
          <w:lang w:val="en-CA" w:eastAsia="zh-CN"/>
        </w:rPr>
      </w:pPr>
    </w:p>
    <w:p w14:paraId="20CFB618" w14:textId="0A1E4DFB" w:rsidR="00560035" w:rsidRDefault="00642717" w:rsidP="00885784">
      <w:pPr>
        <w:pStyle w:val="BodyTextMain"/>
        <w:ind w:left="720"/>
        <w:rPr>
          <w:rFonts w:eastAsia="ヒラギノ角ゴ Pro W3"/>
          <w:color w:val="000000"/>
          <w:lang w:val="en-CA" w:eastAsia="zh-CN"/>
        </w:rPr>
      </w:pPr>
      <w:r w:rsidRPr="00FE2737">
        <w:rPr>
          <w:rFonts w:eastAsia="ヒラギノ角ゴ Pro W3"/>
          <w:color w:val="000000"/>
          <w:lang w:val="en-CA" w:eastAsia="zh-CN"/>
        </w:rPr>
        <w:t>Learning to play Go could greatly help a person’s intelligence development. It help</w:t>
      </w:r>
      <w:r w:rsidR="0094441E">
        <w:rPr>
          <w:rFonts w:eastAsia="ヒラギノ角ゴ Pro W3"/>
          <w:color w:val="000000"/>
          <w:lang w:val="en-CA" w:eastAsia="zh-CN"/>
        </w:rPr>
        <w:t>s</w:t>
      </w:r>
      <w:r w:rsidRPr="00FE2737">
        <w:rPr>
          <w:rFonts w:eastAsia="ヒラギノ角ゴ Pro W3"/>
          <w:color w:val="000000"/>
          <w:lang w:val="en-CA" w:eastAsia="zh-CN"/>
        </w:rPr>
        <w:t xml:space="preserve"> a player improve the ability to concentrate, calculate, memorize</w:t>
      </w:r>
      <w:r w:rsidR="0094441E">
        <w:rPr>
          <w:rFonts w:eastAsia="ヒラギノ角ゴ Pro W3"/>
          <w:color w:val="000000"/>
          <w:lang w:val="en-CA" w:eastAsia="zh-CN"/>
        </w:rPr>
        <w:t>,</w:t>
      </w:r>
      <w:r w:rsidRPr="00FE2737">
        <w:rPr>
          <w:rFonts w:eastAsia="ヒラギノ角ゴ Pro W3"/>
          <w:color w:val="000000"/>
          <w:lang w:val="en-CA" w:eastAsia="zh-CN"/>
        </w:rPr>
        <w:t xml:space="preserve"> and most importantly, form a good sense of judgement</w:t>
      </w:r>
      <w:r w:rsidR="00560035">
        <w:rPr>
          <w:rFonts w:eastAsia="ヒラギノ角ゴ Pro W3"/>
          <w:color w:val="000000"/>
          <w:lang w:val="en-CA" w:eastAsia="zh-CN"/>
        </w:rPr>
        <w:t>.</w:t>
      </w:r>
      <w:r w:rsidR="002D089F">
        <w:rPr>
          <w:rFonts w:eastAsia="ヒラギノ角ゴ Pro W3"/>
          <w:color w:val="000000"/>
          <w:lang w:val="en-CA" w:eastAsia="zh-CN"/>
        </w:rPr>
        <w:t xml:space="preserve"> </w:t>
      </w:r>
      <w:r w:rsidR="00560035">
        <w:rPr>
          <w:rFonts w:eastAsia="ヒラギノ角ゴ Pro W3"/>
          <w:color w:val="000000"/>
          <w:lang w:val="en-CA" w:eastAsia="zh-CN"/>
        </w:rPr>
        <w:t>. . .</w:t>
      </w:r>
      <w:r w:rsidR="008900A0">
        <w:rPr>
          <w:rFonts w:eastAsia="ヒラギノ角ゴ Pro W3"/>
          <w:color w:val="000000"/>
          <w:lang w:val="en-CA" w:eastAsia="zh-CN"/>
        </w:rPr>
        <w:t xml:space="preserve"> </w:t>
      </w:r>
      <w:r w:rsidRPr="00FE2737">
        <w:rPr>
          <w:rFonts w:eastAsia="ヒラギノ角ゴ Pro W3"/>
          <w:color w:val="000000"/>
          <w:lang w:val="en-CA" w:eastAsia="zh-CN"/>
        </w:rPr>
        <w:t>You would never become a master in Go game if only playing by the book. The winning always came down to keep</w:t>
      </w:r>
      <w:r w:rsidR="0094441E">
        <w:rPr>
          <w:rFonts w:eastAsia="ヒラギノ角ゴ Pro W3"/>
          <w:color w:val="000000"/>
          <w:lang w:val="en-CA" w:eastAsia="zh-CN"/>
        </w:rPr>
        <w:t>ing</w:t>
      </w:r>
      <w:r w:rsidRPr="00FE2737">
        <w:rPr>
          <w:rFonts w:eastAsia="ヒラギノ角ゴ Pro W3"/>
          <w:color w:val="000000"/>
          <w:lang w:val="en-CA" w:eastAsia="zh-CN"/>
        </w:rPr>
        <w:t xml:space="preserve"> an open mind and be</w:t>
      </w:r>
      <w:r w:rsidR="0094441E">
        <w:rPr>
          <w:rFonts w:eastAsia="ヒラギノ角ゴ Pro W3"/>
          <w:color w:val="000000"/>
          <w:lang w:val="en-CA" w:eastAsia="zh-CN"/>
        </w:rPr>
        <w:t>ing</w:t>
      </w:r>
      <w:r w:rsidRPr="00FE2737">
        <w:rPr>
          <w:rFonts w:eastAsia="ヒラギノ角ゴ Pro W3"/>
          <w:color w:val="000000"/>
          <w:lang w:val="en-CA" w:eastAsia="zh-CN"/>
        </w:rPr>
        <w:t xml:space="preserve"> creative in designing, adjusting</w:t>
      </w:r>
      <w:r w:rsidR="0094441E">
        <w:rPr>
          <w:rFonts w:eastAsia="ヒラギノ角ゴ Pro W3"/>
          <w:color w:val="000000"/>
          <w:lang w:val="en-CA" w:eastAsia="zh-CN"/>
        </w:rPr>
        <w:t>,</w:t>
      </w:r>
      <w:r w:rsidRPr="00FE2737">
        <w:rPr>
          <w:rFonts w:eastAsia="ヒラギノ角ゴ Pro W3"/>
          <w:color w:val="000000"/>
          <w:lang w:val="en-CA" w:eastAsia="zh-CN"/>
        </w:rPr>
        <w:t xml:space="preserve"> and implementing </w:t>
      </w:r>
      <w:r w:rsidR="0037124E">
        <w:rPr>
          <w:rFonts w:eastAsia="ヒラギノ角ゴ Pro W3"/>
          <w:color w:val="000000"/>
          <w:lang w:val="en-CA" w:eastAsia="zh-CN"/>
        </w:rPr>
        <w:t xml:space="preserve">a </w:t>
      </w:r>
      <w:r w:rsidRPr="00FE2737">
        <w:rPr>
          <w:rFonts w:eastAsia="ヒラギノ角ゴ Pro W3"/>
          <w:color w:val="000000"/>
          <w:lang w:val="en-CA" w:eastAsia="zh-CN"/>
        </w:rPr>
        <w:t>strategic plan under different competitive scenarios, and to find your strength while taking advantage of the opponent’s weakness on the game board.</w:t>
      </w:r>
    </w:p>
    <w:p w14:paraId="3D328E77" w14:textId="77777777" w:rsidR="00560035" w:rsidRDefault="00560035" w:rsidP="00560035">
      <w:pPr>
        <w:pStyle w:val="BodyTextMain"/>
        <w:rPr>
          <w:rFonts w:eastAsia="ヒラギノ角ゴ Pro W3"/>
          <w:color w:val="000000"/>
          <w:lang w:val="en-CA" w:eastAsia="zh-CN"/>
        </w:rPr>
      </w:pPr>
    </w:p>
    <w:p w14:paraId="73DADF13" w14:textId="230957D7" w:rsidR="00560035" w:rsidRDefault="00642717" w:rsidP="00560035">
      <w:pPr>
        <w:pStyle w:val="BodyTextMain"/>
        <w:rPr>
          <w:rFonts w:eastAsia="ヒラギノ角ゴ Pro W3"/>
          <w:color w:val="000000"/>
          <w:lang w:val="en-CA" w:eastAsia="zh-CN"/>
        </w:rPr>
      </w:pPr>
      <w:r w:rsidRPr="00FE2737">
        <w:rPr>
          <w:rFonts w:eastAsia="ヒラギノ角ゴ Pro W3"/>
          <w:color w:val="000000"/>
          <w:lang w:val="en-CA" w:eastAsia="zh-CN"/>
        </w:rPr>
        <w:t>Sun also referred to the above strategic principle</w:t>
      </w:r>
      <w:r w:rsidR="0037124E">
        <w:rPr>
          <w:rFonts w:eastAsia="ヒラギノ角ゴ Pro W3"/>
          <w:color w:val="000000"/>
          <w:lang w:val="en-CA" w:eastAsia="zh-CN"/>
        </w:rPr>
        <w:t>s</w:t>
      </w:r>
      <w:r w:rsidRPr="00FE2737">
        <w:rPr>
          <w:rFonts w:eastAsia="ヒラギノ角ゴ Pro W3"/>
          <w:color w:val="000000"/>
          <w:lang w:val="en-CA" w:eastAsia="zh-CN"/>
        </w:rPr>
        <w:t xml:space="preserve"> of playing </w:t>
      </w:r>
      <w:proofErr w:type="gramStart"/>
      <w:r w:rsidRPr="00FE2737">
        <w:rPr>
          <w:rFonts w:eastAsia="ヒラギノ角ゴ Pro W3"/>
          <w:color w:val="000000"/>
          <w:lang w:val="en-CA" w:eastAsia="zh-CN"/>
        </w:rPr>
        <w:t>Go</w:t>
      </w:r>
      <w:proofErr w:type="gramEnd"/>
      <w:r w:rsidRPr="00FE2737">
        <w:rPr>
          <w:rFonts w:eastAsia="ヒラギノ角ゴ Pro W3"/>
          <w:color w:val="000000"/>
          <w:lang w:val="en-CA" w:eastAsia="zh-CN"/>
        </w:rPr>
        <w:t xml:space="preserve"> when explaining his business venture</w:t>
      </w:r>
      <w:r w:rsidR="008900A0">
        <w:rPr>
          <w:rFonts w:eastAsia="ヒラギノ角ゴ Pro W3"/>
          <w:color w:val="000000"/>
          <w:lang w:val="en-CA" w:eastAsia="zh-CN"/>
        </w:rPr>
        <w:t>,</w:t>
      </w:r>
      <w:r w:rsidRPr="00FE2737">
        <w:rPr>
          <w:rFonts w:eastAsia="ヒラギノ角ゴ Pro W3"/>
          <w:color w:val="000000"/>
          <w:lang w:val="en-CA" w:eastAsia="zh-CN"/>
        </w:rPr>
        <w:t xml:space="preserve"> which started off introducing Go game as an educational product in </w:t>
      </w:r>
      <w:r w:rsidR="0043060B">
        <w:rPr>
          <w:rFonts w:eastAsia="ヒラギノ角ゴ Pro W3"/>
          <w:color w:val="000000"/>
          <w:lang w:val="en-CA" w:eastAsia="zh-CN"/>
        </w:rPr>
        <w:t xml:space="preserve">the </w:t>
      </w:r>
      <w:r w:rsidRPr="00FE2737">
        <w:rPr>
          <w:rFonts w:eastAsia="ヒラギノ角ゴ Pro W3"/>
          <w:color w:val="000000"/>
          <w:lang w:val="en-CA" w:eastAsia="zh-CN"/>
        </w:rPr>
        <w:t>Kitchener</w:t>
      </w:r>
      <w:r w:rsidR="008900A0">
        <w:rPr>
          <w:rFonts w:eastAsia="ヒラギノ角ゴ Pro W3"/>
          <w:color w:val="000000"/>
          <w:lang w:val="en-CA" w:eastAsia="zh-CN"/>
        </w:rPr>
        <w:t>-</w:t>
      </w:r>
      <w:r w:rsidRPr="00FE2737">
        <w:rPr>
          <w:rFonts w:eastAsia="ヒラギノ角ゴ Pro W3"/>
          <w:color w:val="000000"/>
          <w:lang w:val="en-CA" w:eastAsia="zh-CN"/>
        </w:rPr>
        <w:t>Waterloo area</w:t>
      </w:r>
      <w:r w:rsidR="00560035">
        <w:rPr>
          <w:rFonts w:eastAsia="ヒラギノ角ゴ Pro W3"/>
          <w:color w:val="000000"/>
          <w:lang w:val="en-CA" w:eastAsia="zh-CN"/>
        </w:rPr>
        <w:t>:</w:t>
      </w:r>
      <w:r w:rsidRPr="00FE2737">
        <w:rPr>
          <w:rFonts w:eastAsia="ヒラギノ角ゴ Pro W3"/>
          <w:color w:val="000000"/>
          <w:lang w:val="en-CA" w:eastAsia="zh-CN"/>
        </w:rPr>
        <w:t xml:space="preserve"> </w:t>
      </w:r>
    </w:p>
    <w:p w14:paraId="287DDE96" w14:textId="77777777" w:rsidR="00560035" w:rsidRDefault="00560035" w:rsidP="00560035">
      <w:pPr>
        <w:pStyle w:val="BodyTextMain"/>
        <w:rPr>
          <w:rFonts w:eastAsia="ヒラギノ角ゴ Pro W3"/>
          <w:color w:val="000000"/>
          <w:lang w:val="en-CA" w:eastAsia="zh-CN"/>
        </w:rPr>
      </w:pPr>
    </w:p>
    <w:p w14:paraId="4A7AAFA8" w14:textId="4F114343" w:rsidR="00642717" w:rsidRPr="00F67160" w:rsidRDefault="00642717" w:rsidP="00885784">
      <w:pPr>
        <w:pStyle w:val="BodyTextMain"/>
        <w:ind w:left="720"/>
        <w:rPr>
          <w:rFonts w:eastAsia="ヒラギノ角ゴ Pro W3"/>
          <w:color w:val="000000"/>
          <w:spacing w:val="-4"/>
          <w:kern w:val="22"/>
          <w:lang w:val="en-CA" w:eastAsia="zh-CN"/>
        </w:rPr>
      </w:pPr>
      <w:r w:rsidRPr="00F67160">
        <w:rPr>
          <w:rFonts w:eastAsia="ヒラギノ角ゴ Pro W3"/>
          <w:color w:val="000000"/>
          <w:spacing w:val="-4"/>
          <w:kern w:val="22"/>
          <w:lang w:val="en-CA" w:eastAsia="zh-CN"/>
        </w:rPr>
        <w:t xml:space="preserve">I did not go through regular education path when I was a child. Instead I gave up regular school life to receive professional Go training for almost 10 years. Even after I decided not to choose the professional Go career path, I didn’t consider those years of Go training as a waste. Instead, I considered my rigorous Go training and skill level as my </w:t>
      </w:r>
      <w:r w:rsidR="00560035" w:rsidRPr="00F67160">
        <w:rPr>
          <w:rFonts w:eastAsia="ヒラギノ角ゴ Pro W3"/>
          <w:color w:val="000000"/>
          <w:spacing w:val="-4"/>
          <w:kern w:val="22"/>
          <w:lang w:val="en-CA" w:eastAsia="zh-CN"/>
        </w:rPr>
        <w:t>“s</w:t>
      </w:r>
      <w:r w:rsidRPr="00F67160">
        <w:rPr>
          <w:rFonts w:eastAsia="ヒラギノ角ゴ Pro W3"/>
          <w:color w:val="000000"/>
          <w:spacing w:val="-4"/>
          <w:kern w:val="22"/>
          <w:lang w:val="en-CA" w:eastAsia="zh-CN"/>
        </w:rPr>
        <w:t xml:space="preserve">trength” and utilized it as I planned for my life and career. And that was exactly how I started thinking about a business venture for Go education in Canada! </w:t>
      </w:r>
    </w:p>
    <w:p w14:paraId="035886B8" w14:textId="77777777" w:rsidR="00812210" w:rsidRPr="00DF085C" w:rsidRDefault="00812210" w:rsidP="00812210">
      <w:pPr>
        <w:pStyle w:val="BodyTextMain"/>
        <w:rPr>
          <w:rFonts w:eastAsia="ヒラギノ角ゴ Pro W3"/>
          <w:color w:val="000000"/>
          <w:sz w:val="18"/>
          <w:szCs w:val="18"/>
          <w:lang w:val="en-CA" w:eastAsia="zh-CN"/>
        </w:rPr>
      </w:pPr>
    </w:p>
    <w:p w14:paraId="503D49A5" w14:textId="77777777" w:rsidR="006E6ECA" w:rsidRPr="00DF085C" w:rsidRDefault="00642717" w:rsidP="00812210">
      <w:pPr>
        <w:pStyle w:val="BodyTextMain"/>
        <w:rPr>
          <w:rFonts w:eastAsia="ヒラギノ角ゴ Pro W3"/>
          <w:color w:val="000000"/>
          <w:spacing w:val="-2"/>
          <w:kern w:val="22"/>
          <w:lang w:val="en-CA" w:eastAsia="zh-CN"/>
        </w:rPr>
      </w:pPr>
      <w:r w:rsidRPr="00DF085C">
        <w:rPr>
          <w:rFonts w:eastAsia="ヒラギノ角ゴ Pro W3"/>
          <w:color w:val="000000"/>
          <w:spacing w:val="-2"/>
          <w:kern w:val="22"/>
          <w:lang w:val="en-CA" w:eastAsia="zh-CN"/>
        </w:rPr>
        <w:t xml:space="preserve">Sun took the first </w:t>
      </w:r>
      <w:r w:rsidR="0043060B" w:rsidRPr="00DF085C">
        <w:rPr>
          <w:rFonts w:eastAsia="ヒラギノ角ゴ Pro W3"/>
          <w:color w:val="000000"/>
          <w:spacing w:val="-2"/>
          <w:kern w:val="22"/>
          <w:lang w:val="en-CA" w:eastAsia="zh-CN"/>
        </w:rPr>
        <w:t>step</w:t>
      </w:r>
      <w:r w:rsidRPr="00DF085C">
        <w:rPr>
          <w:rFonts w:eastAsia="ヒラギノ角ゴ Pro W3"/>
          <w:color w:val="000000"/>
          <w:spacing w:val="-2"/>
          <w:kern w:val="22"/>
          <w:lang w:val="en-CA" w:eastAsia="zh-CN"/>
        </w:rPr>
        <w:t xml:space="preserve"> of “test market</w:t>
      </w:r>
      <w:r w:rsidR="0043060B" w:rsidRPr="00DF085C">
        <w:rPr>
          <w:rFonts w:eastAsia="ヒラギノ角ゴ Pro W3"/>
          <w:color w:val="000000"/>
          <w:spacing w:val="-2"/>
          <w:kern w:val="22"/>
          <w:lang w:val="en-CA" w:eastAsia="zh-CN"/>
        </w:rPr>
        <w:t>ing</w:t>
      </w:r>
      <w:r w:rsidRPr="00DF085C">
        <w:rPr>
          <w:rFonts w:eastAsia="ヒラギノ角ゴ Pro W3"/>
          <w:color w:val="000000"/>
          <w:spacing w:val="-2"/>
          <w:kern w:val="22"/>
          <w:lang w:val="en-CA" w:eastAsia="zh-CN"/>
        </w:rPr>
        <w:t>” in 2014 by posting online advertisements (e.g.</w:t>
      </w:r>
      <w:r w:rsidR="00560035" w:rsidRPr="00DF085C">
        <w:rPr>
          <w:rFonts w:eastAsia="ヒラギノ角ゴ Pro W3"/>
          <w:color w:val="000000"/>
          <w:spacing w:val="-2"/>
          <w:kern w:val="22"/>
          <w:lang w:val="en-CA" w:eastAsia="zh-CN"/>
        </w:rPr>
        <w:t>,</w:t>
      </w:r>
      <w:r w:rsidRPr="00DF085C">
        <w:rPr>
          <w:rFonts w:eastAsia="ヒラギノ角ゴ Pro W3"/>
          <w:color w:val="000000"/>
          <w:spacing w:val="-2"/>
          <w:kern w:val="22"/>
          <w:lang w:val="en-CA" w:eastAsia="zh-CN"/>
        </w:rPr>
        <w:t xml:space="preserve"> </w:t>
      </w:r>
      <w:r w:rsidR="003B557D" w:rsidRPr="00DF085C">
        <w:rPr>
          <w:rFonts w:eastAsia="ヒラギノ角ゴ Pro W3"/>
          <w:color w:val="000000"/>
          <w:spacing w:val="-2"/>
          <w:kern w:val="22"/>
          <w:lang w:val="en-CA" w:eastAsia="zh-CN"/>
        </w:rPr>
        <w:t>WeChat</w:t>
      </w:r>
      <w:r w:rsidRPr="00DF085C">
        <w:rPr>
          <w:rFonts w:eastAsia="ヒラギノ角ゴ Pro W3"/>
          <w:color w:val="000000"/>
          <w:spacing w:val="-2"/>
          <w:kern w:val="22"/>
          <w:lang w:val="en-CA" w:eastAsia="zh-CN"/>
        </w:rPr>
        <w:t>, Kijiji) offering private tutoring services to potential Go players in the region. The speed of responses w</w:t>
      </w:r>
      <w:r w:rsidR="00560035" w:rsidRPr="00DF085C">
        <w:rPr>
          <w:rFonts w:eastAsia="ヒラギノ角ゴ Pro W3"/>
          <w:color w:val="000000"/>
          <w:spacing w:val="-2"/>
          <w:kern w:val="22"/>
          <w:lang w:val="en-CA" w:eastAsia="zh-CN"/>
        </w:rPr>
        <w:t>as</w:t>
      </w:r>
      <w:r w:rsidRPr="00DF085C">
        <w:rPr>
          <w:rFonts w:eastAsia="ヒラギノ角ゴ Pro W3"/>
          <w:color w:val="000000"/>
          <w:spacing w:val="-2"/>
          <w:kern w:val="22"/>
          <w:lang w:val="en-CA" w:eastAsia="zh-CN"/>
        </w:rPr>
        <w:t xml:space="preserve"> surprisingly high</w:t>
      </w:r>
      <w:r w:rsidR="00CE1605" w:rsidRPr="00DF085C">
        <w:rPr>
          <w:rFonts w:eastAsia="ヒラギノ角ゴ Pro W3"/>
          <w:color w:val="000000"/>
          <w:spacing w:val="-2"/>
          <w:kern w:val="22"/>
          <w:lang w:val="en-CA" w:eastAsia="zh-CN"/>
        </w:rPr>
        <w:t>,</w:t>
      </w:r>
      <w:r w:rsidRPr="00DF085C">
        <w:rPr>
          <w:rFonts w:eastAsia="ヒラギノ角ゴ Pro W3"/>
          <w:color w:val="000000"/>
          <w:spacing w:val="-2"/>
          <w:kern w:val="22"/>
          <w:lang w:val="en-CA" w:eastAsia="zh-CN"/>
        </w:rPr>
        <w:t xml:space="preserve"> as Sun recalled, “I was surprised that within 7 minutes after I posted an informal tutoring ad in a WeChat group, I received</w:t>
      </w:r>
      <w:r w:rsidR="00560035" w:rsidRPr="00DF085C">
        <w:rPr>
          <w:rFonts w:eastAsia="ヒラギノ角ゴ Pro W3"/>
          <w:color w:val="000000"/>
          <w:spacing w:val="-2"/>
          <w:kern w:val="22"/>
          <w:lang w:val="en-CA" w:eastAsia="zh-CN"/>
        </w:rPr>
        <w:t xml:space="preserve"> three</w:t>
      </w:r>
      <w:r w:rsidRPr="00DF085C">
        <w:rPr>
          <w:rFonts w:eastAsia="ヒラギノ角ゴ Pro W3"/>
          <w:color w:val="000000"/>
          <w:spacing w:val="-2"/>
          <w:kern w:val="22"/>
          <w:lang w:val="en-CA" w:eastAsia="zh-CN"/>
        </w:rPr>
        <w:t xml:space="preserve"> phone calls, with each caller mentioning that there were </w:t>
      </w:r>
      <w:r w:rsidR="00560035" w:rsidRPr="00DF085C">
        <w:rPr>
          <w:rFonts w:eastAsia="ヒラギノ角ゴ Pro W3"/>
          <w:color w:val="000000"/>
          <w:spacing w:val="-2"/>
          <w:kern w:val="22"/>
          <w:lang w:val="en-CA" w:eastAsia="zh-CN"/>
        </w:rPr>
        <w:t>two to three</w:t>
      </w:r>
      <w:r w:rsidRPr="00DF085C">
        <w:rPr>
          <w:rFonts w:eastAsia="ヒラギノ角ゴ Pro W3"/>
          <w:color w:val="000000"/>
          <w:spacing w:val="-2"/>
          <w:kern w:val="22"/>
          <w:lang w:val="en-CA" w:eastAsia="zh-CN"/>
        </w:rPr>
        <w:t xml:space="preserve"> children interested in learning to play </w:t>
      </w:r>
      <w:proofErr w:type="gramStart"/>
      <w:r w:rsidRPr="00DF085C">
        <w:rPr>
          <w:rFonts w:eastAsia="ヒラギノ角ゴ Pro W3"/>
          <w:color w:val="000000"/>
          <w:spacing w:val="-2"/>
          <w:kern w:val="22"/>
          <w:lang w:val="en-CA" w:eastAsia="zh-CN"/>
        </w:rPr>
        <w:t>Go</w:t>
      </w:r>
      <w:proofErr w:type="gramEnd"/>
      <w:r w:rsidRPr="00DF085C">
        <w:rPr>
          <w:rFonts w:eastAsia="ヒラギノ角ゴ Pro W3"/>
          <w:color w:val="000000"/>
          <w:spacing w:val="-2"/>
          <w:kern w:val="22"/>
          <w:lang w:val="en-CA" w:eastAsia="zh-CN"/>
        </w:rPr>
        <w:t>.” By 2015</w:t>
      </w:r>
      <w:r w:rsidR="00560035" w:rsidRPr="00DF085C">
        <w:rPr>
          <w:rFonts w:eastAsia="ヒラギノ角ゴ Pro W3"/>
          <w:color w:val="000000"/>
          <w:spacing w:val="-2"/>
          <w:kern w:val="22"/>
          <w:lang w:val="en-CA" w:eastAsia="zh-CN"/>
        </w:rPr>
        <w:t>,</w:t>
      </w:r>
      <w:r w:rsidRPr="00DF085C">
        <w:rPr>
          <w:rFonts w:eastAsia="ヒラギノ角ゴ Pro W3"/>
          <w:color w:val="000000"/>
          <w:spacing w:val="-2"/>
          <w:kern w:val="22"/>
          <w:lang w:val="en-CA" w:eastAsia="zh-CN"/>
        </w:rPr>
        <w:t xml:space="preserve"> Sun’s regular Go tutoring clients included </w:t>
      </w:r>
      <w:r w:rsidR="00560035" w:rsidRPr="00DF085C">
        <w:rPr>
          <w:rFonts w:eastAsia="ヒラギノ角ゴ Pro W3"/>
          <w:color w:val="000000"/>
          <w:spacing w:val="-2"/>
          <w:kern w:val="22"/>
          <w:lang w:val="en-CA" w:eastAsia="zh-CN"/>
        </w:rPr>
        <w:t>seven</w:t>
      </w:r>
      <w:r w:rsidRPr="00DF085C">
        <w:rPr>
          <w:rFonts w:eastAsia="ヒラギノ角ゴ Pro W3"/>
          <w:color w:val="000000"/>
          <w:spacing w:val="-2"/>
          <w:kern w:val="22"/>
          <w:lang w:val="en-CA" w:eastAsia="zh-CN"/>
        </w:rPr>
        <w:t xml:space="preserve"> families with single</w:t>
      </w:r>
      <w:r w:rsidR="00560035" w:rsidRPr="00DF085C">
        <w:rPr>
          <w:rFonts w:eastAsia="ヒラギノ角ゴ Pro W3"/>
          <w:color w:val="000000"/>
          <w:spacing w:val="-2"/>
          <w:kern w:val="22"/>
          <w:lang w:val="en-CA" w:eastAsia="zh-CN"/>
        </w:rPr>
        <w:t xml:space="preserve"> or</w:t>
      </w:r>
      <w:r w:rsidRPr="00DF085C">
        <w:rPr>
          <w:rFonts w:eastAsia="ヒラギノ角ゴ Pro W3"/>
          <w:color w:val="000000"/>
          <w:spacing w:val="-2"/>
          <w:kern w:val="22"/>
          <w:lang w:val="en-CA" w:eastAsia="zh-CN"/>
        </w:rPr>
        <w:t xml:space="preserve"> multiple children. The “Go-Club” idea was developed in 2016 as more tutoring class inquir</w:t>
      </w:r>
      <w:r w:rsidR="00560035" w:rsidRPr="00DF085C">
        <w:rPr>
          <w:rFonts w:eastAsia="ヒラギノ角ゴ Pro W3"/>
          <w:color w:val="000000"/>
          <w:spacing w:val="-2"/>
          <w:kern w:val="22"/>
          <w:lang w:val="en-CA" w:eastAsia="zh-CN"/>
        </w:rPr>
        <w:t>i</w:t>
      </w:r>
      <w:r w:rsidRPr="00DF085C">
        <w:rPr>
          <w:rFonts w:eastAsia="ヒラギノ角ゴ Pro W3"/>
          <w:color w:val="000000"/>
          <w:spacing w:val="-2"/>
          <w:kern w:val="22"/>
          <w:lang w:val="en-CA" w:eastAsia="zh-CN"/>
        </w:rPr>
        <w:t xml:space="preserve">es came in. </w:t>
      </w:r>
    </w:p>
    <w:p w14:paraId="3FF48152" w14:textId="77777777" w:rsidR="006E6ECA" w:rsidRPr="00DF085C" w:rsidRDefault="006E6ECA" w:rsidP="00812210">
      <w:pPr>
        <w:pStyle w:val="BodyTextMain"/>
        <w:rPr>
          <w:rFonts w:eastAsia="ヒラギノ角ゴ Pro W3"/>
          <w:color w:val="000000"/>
          <w:sz w:val="18"/>
          <w:szCs w:val="18"/>
          <w:lang w:val="en-CA" w:eastAsia="zh-CN"/>
        </w:rPr>
      </w:pPr>
    </w:p>
    <w:p w14:paraId="5FB1ACAD" w14:textId="387B8CCD" w:rsidR="00642717" w:rsidRDefault="00642717" w:rsidP="00812210">
      <w:pPr>
        <w:pStyle w:val="BodyTextMain"/>
        <w:rPr>
          <w:rFonts w:eastAsia="ヒラギノ角ゴ Pro W3"/>
          <w:color w:val="000000"/>
          <w:lang w:val="en-CA" w:eastAsia="zh-CN"/>
        </w:rPr>
      </w:pPr>
      <w:r w:rsidRPr="00FE2737">
        <w:rPr>
          <w:rFonts w:eastAsia="ヒラギノ角ゴ Pro W3"/>
          <w:color w:val="000000"/>
          <w:lang w:val="en-CA" w:eastAsia="zh-CN"/>
        </w:rPr>
        <w:t xml:space="preserve">Working with </w:t>
      </w:r>
      <w:r w:rsidR="00560035">
        <w:rPr>
          <w:rFonts w:eastAsia="ヒラギノ角ゴ Pro W3"/>
          <w:color w:val="000000"/>
          <w:lang w:val="en-CA" w:eastAsia="zh-CN"/>
        </w:rPr>
        <w:t>five</w:t>
      </w:r>
      <w:r w:rsidRPr="00FE2737">
        <w:rPr>
          <w:rFonts w:eastAsia="ヒラギノ角ゴ Pro W3"/>
          <w:color w:val="000000"/>
          <w:lang w:val="en-CA" w:eastAsia="zh-CN"/>
        </w:rPr>
        <w:t xml:space="preserve"> assistants who later became Sun’s business partners, the Waterloo </w:t>
      </w:r>
      <w:r w:rsidR="00DA7F86">
        <w:rPr>
          <w:rFonts w:eastAsia="ヒラギノ角ゴ Pro W3"/>
          <w:color w:val="000000"/>
          <w:lang w:val="en-CA" w:eastAsia="zh-CN"/>
        </w:rPr>
        <w:t>We-GO</w:t>
      </w:r>
      <w:r w:rsidRPr="00FE2737">
        <w:rPr>
          <w:rFonts w:eastAsia="ヒラギノ角ゴ Pro W3"/>
          <w:color w:val="000000"/>
          <w:lang w:val="en-CA" w:eastAsia="zh-CN"/>
        </w:rPr>
        <w:t xml:space="preserve"> </w:t>
      </w:r>
      <w:r w:rsidR="00D30C79">
        <w:rPr>
          <w:rFonts w:eastAsia="ヒラギノ角ゴ Pro W3"/>
          <w:color w:val="000000"/>
          <w:lang w:val="en-CA" w:eastAsia="zh-CN"/>
        </w:rPr>
        <w:t>C</w:t>
      </w:r>
      <w:r w:rsidRPr="00FE2737">
        <w:rPr>
          <w:rFonts w:eastAsia="ヒラギノ角ゴ Pro W3"/>
          <w:color w:val="000000"/>
          <w:lang w:val="en-CA" w:eastAsia="zh-CN"/>
        </w:rPr>
        <w:t>lub</w:t>
      </w:r>
      <w:r w:rsidRPr="00FE2737">
        <w:rPr>
          <w:rFonts w:eastAsia="ヒラギノ角ゴ Pro W3"/>
          <w:color w:val="000000"/>
          <w:vertAlign w:val="superscript"/>
          <w:lang w:val="en-CA" w:eastAsia="zh-CN"/>
        </w:rPr>
        <w:footnoteReference w:id="18"/>
      </w:r>
      <w:r w:rsidRPr="00FE2737">
        <w:rPr>
          <w:rFonts w:eastAsia="ヒラギノ角ゴ Pro W3"/>
          <w:color w:val="000000"/>
          <w:lang w:val="en-CA" w:eastAsia="zh-CN"/>
        </w:rPr>
        <w:t xml:space="preserve"> h</w:t>
      </w:r>
      <w:r w:rsidR="006E6ECA">
        <w:rPr>
          <w:rFonts w:eastAsia="ヒラギノ角ゴ Pro W3"/>
          <w:color w:val="000000"/>
          <w:lang w:val="en-CA" w:eastAsia="zh-CN"/>
        </w:rPr>
        <w:t>el</w:t>
      </w:r>
      <w:r w:rsidRPr="00FE2737">
        <w:rPr>
          <w:rFonts w:eastAsia="ヒラギノ角ゴ Pro W3"/>
          <w:color w:val="000000"/>
          <w:lang w:val="en-CA" w:eastAsia="zh-CN"/>
        </w:rPr>
        <w:t xml:space="preserve">d a trial opening during </w:t>
      </w:r>
      <w:r w:rsidR="00EC57FA">
        <w:rPr>
          <w:rFonts w:eastAsia="ヒラギノ角ゴ Pro W3"/>
          <w:color w:val="000000"/>
          <w:lang w:val="en-CA" w:eastAsia="zh-CN"/>
        </w:rPr>
        <w:t xml:space="preserve">the </w:t>
      </w:r>
      <w:r w:rsidRPr="00FE2737">
        <w:rPr>
          <w:rFonts w:eastAsia="ヒラギノ角ゴ Pro W3"/>
          <w:color w:val="000000"/>
          <w:lang w:val="en-CA" w:eastAsia="zh-CN"/>
        </w:rPr>
        <w:t>first half of 2016 (January–June)</w:t>
      </w:r>
      <w:r w:rsidR="006E6ECA">
        <w:rPr>
          <w:rFonts w:eastAsia="ヒラギノ角ゴ Pro W3"/>
          <w:color w:val="000000"/>
          <w:lang w:val="en-CA" w:eastAsia="zh-CN"/>
        </w:rPr>
        <w:t>,</w:t>
      </w:r>
      <w:r w:rsidRPr="00FE2737">
        <w:rPr>
          <w:rFonts w:eastAsia="ヒラギノ角ゴ Pro W3"/>
          <w:color w:val="000000"/>
          <w:lang w:val="en-CA" w:eastAsia="zh-CN"/>
        </w:rPr>
        <w:t xml:space="preserve"> where free Go classes were offered and open house activities were organized. The admission and membership system </w:t>
      </w:r>
      <w:r w:rsidRPr="00FE2737">
        <w:rPr>
          <w:rFonts w:eastAsia="ヒラギノ角ゴ Pro W3"/>
          <w:color w:val="000000"/>
          <w:lang w:eastAsia="zh-CN"/>
        </w:rPr>
        <w:t>(</w:t>
      </w:r>
      <w:r w:rsidR="00185E77">
        <w:rPr>
          <w:rFonts w:eastAsia="ヒラギノ角ゴ Pro W3"/>
          <w:color w:val="000000"/>
          <w:lang w:eastAsia="zh-CN"/>
        </w:rPr>
        <w:t xml:space="preserve">see </w:t>
      </w:r>
      <w:r w:rsidRPr="00FE2737">
        <w:rPr>
          <w:rFonts w:eastAsia="ヒラギノ角ゴ Pro W3"/>
          <w:color w:val="000000"/>
          <w:lang w:eastAsia="zh-CN"/>
        </w:rPr>
        <w:t xml:space="preserve">Exhibit 1) </w:t>
      </w:r>
      <w:r w:rsidRPr="00FE2737">
        <w:rPr>
          <w:rFonts w:eastAsia="ヒラギノ角ゴ Pro W3"/>
          <w:color w:val="000000"/>
          <w:lang w:val="en-CA" w:eastAsia="zh-CN"/>
        </w:rPr>
        <w:t>officially started in September 2016</w:t>
      </w:r>
      <w:r w:rsidR="006E6ECA">
        <w:rPr>
          <w:rFonts w:eastAsia="ヒラギノ角ゴ Pro W3"/>
          <w:color w:val="000000"/>
          <w:lang w:val="en-CA" w:eastAsia="zh-CN"/>
        </w:rPr>
        <w:t>,</w:t>
      </w:r>
      <w:r w:rsidRPr="00FE2737">
        <w:rPr>
          <w:rFonts w:eastAsia="ヒラギノ角ゴ Pro W3"/>
          <w:color w:val="000000"/>
          <w:lang w:val="en-CA" w:eastAsia="zh-CN"/>
        </w:rPr>
        <w:t xml:space="preserve"> corresponding to the </w:t>
      </w:r>
      <w:r w:rsidR="00940F84">
        <w:rPr>
          <w:rFonts w:eastAsia="ヒラギノ角ゴ Pro W3"/>
          <w:color w:val="000000"/>
          <w:lang w:val="en-CA" w:eastAsia="zh-CN"/>
        </w:rPr>
        <w:t>f</w:t>
      </w:r>
      <w:r w:rsidRPr="00FE2737">
        <w:rPr>
          <w:rFonts w:eastAsia="ヒラギノ角ゴ Pro W3"/>
          <w:color w:val="000000"/>
          <w:lang w:val="en-CA" w:eastAsia="zh-CN"/>
        </w:rPr>
        <w:t>all 2016 semester of universities</w:t>
      </w:r>
      <w:r w:rsidR="00560035">
        <w:rPr>
          <w:rFonts w:eastAsia="ヒラギノ角ゴ Pro W3"/>
          <w:color w:val="000000"/>
          <w:lang w:val="en-CA" w:eastAsia="zh-CN"/>
        </w:rPr>
        <w:t xml:space="preserve"> and</w:t>
      </w:r>
      <w:r w:rsidRPr="00FE2737">
        <w:rPr>
          <w:rFonts w:eastAsia="ヒラギノ角ゴ Pro W3"/>
          <w:color w:val="000000"/>
          <w:lang w:val="en-CA" w:eastAsia="zh-CN"/>
        </w:rPr>
        <w:t xml:space="preserve"> colleges,</w:t>
      </w:r>
      <w:r w:rsidR="00560035">
        <w:rPr>
          <w:rFonts w:eastAsia="ヒラギノ角ゴ Pro W3"/>
          <w:color w:val="000000"/>
          <w:lang w:val="en-CA" w:eastAsia="zh-CN"/>
        </w:rPr>
        <w:t xml:space="preserve"> and </w:t>
      </w:r>
      <w:r w:rsidRPr="00FE2737">
        <w:rPr>
          <w:rFonts w:eastAsia="ヒラギノ角ゴ Pro W3"/>
          <w:color w:val="000000"/>
          <w:lang w:val="en-CA" w:eastAsia="zh-CN"/>
        </w:rPr>
        <w:t xml:space="preserve">secondary and primary schools </w:t>
      </w:r>
      <w:r w:rsidR="00560035">
        <w:rPr>
          <w:rFonts w:eastAsia="ヒラギノ角ゴ Pro W3"/>
          <w:color w:val="000000"/>
          <w:lang w:val="en-CA" w:eastAsia="zh-CN"/>
        </w:rPr>
        <w:t>in the</w:t>
      </w:r>
      <w:r w:rsidRPr="00FE2737">
        <w:rPr>
          <w:rFonts w:eastAsia="ヒラギノ角ゴ Pro W3"/>
          <w:color w:val="000000"/>
          <w:lang w:val="en-CA" w:eastAsia="zh-CN"/>
        </w:rPr>
        <w:t xml:space="preserve"> Kitchener-Waterloo area. Initial enrollment included 35 children from different age groups</w:t>
      </w:r>
      <w:r w:rsidRPr="00FE2737">
        <w:rPr>
          <w:rFonts w:eastAsia="ヒラギノ角ゴ Pro W3"/>
          <w:lang w:eastAsia="zh-CN"/>
        </w:rPr>
        <w:t xml:space="preserve">. </w:t>
      </w:r>
      <w:r w:rsidRPr="00FE2737">
        <w:rPr>
          <w:rFonts w:eastAsia="ヒラギノ角ゴ Pro W3"/>
          <w:color w:val="000000"/>
          <w:lang w:val="en-CA" w:eastAsia="zh-CN"/>
        </w:rPr>
        <w:t xml:space="preserve">By the end of 2017, the </w:t>
      </w:r>
      <w:r w:rsidR="0043060B">
        <w:rPr>
          <w:rFonts w:eastAsia="ヒラギノ角ゴ Pro W3"/>
          <w:color w:val="000000"/>
          <w:lang w:val="en-CA" w:eastAsia="zh-CN"/>
        </w:rPr>
        <w:t>Kitchener-</w:t>
      </w:r>
      <w:r w:rsidRPr="00FE2737">
        <w:rPr>
          <w:rFonts w:eastAsia="ヒラギノ角ゴ Pro W3"/>
          <w:color w:val="000000"/>
          <w:lang w:val="en-CA" w:eastAsia="zh-CN"/>
        </w:rPr>
        <w:t xml:space="preserve">Waterloo </w:t>
      </w:r>
      <w:r w:rsidR="00DA7F86">
        <w:rPr>
          <w:rFonts w:eastAsia="ヒラギノ角ゴ Pro W3"/>
          <w:color w:val="000000"/>
          <w:lang w:val="en-CA" w:eastAsia="zh-CN"/>
        </w:rPr>
        <w:t>We-GO</w:t>
      </w:r>
      <w:r w:rsidRPr="00FE2737">
        <w:rPr>
          <w:rFonts w:eastAsia="ヒラギノ角ゴ Pro W3"/>
          <w:color w:val="000000"/>
          <w:lang w:val="en-CA" w:eastAsia="zh-CN"/>
        </w:rPr>
        <w:t xml:space="preserve"> </w:t>
      </w:r>
      <w:r w:rsidR="00D30C79">
        <w:rPr>
          <w:rFonts w:eastAsia="ヒラギノ角ゴ Pro W3"/>
          <w:color w:val="000000"/>
          <w:lang w:val="en-CA" w:eastAsia="zh-CN"/>
        </w:rPr>
        <w:t>C</w:t>
      </w:r>
      <w:r w:rsidRPr="00FE2737">
        <w:rPr>
          <w:rFonts w:eastAsia="ヒラギノ角ゴ Pro W3"/>
          <w:color w:val="000000"/>
          <w:lang w:val="en-CA" w:eastAsia="zh-CN"/>
        </w:rPr>
        <w:t xml:space="preserve">lub, as a </w:t>
      </w:r>
      <w:r w:rsidR="00630F0C">
        <w:rPr>
          <w:rFonts w:eastAsia="ヒラギノ角ゴ Pro W3"/>
          <w:color w:val="000000"/>
          <w:lang w:val="en-CA" w:eastAsia="zh-CN"/>
        </w:rPr>
        <w:t>b</w:t>
      </w:r>
      <w:r w:rsidRPr="00FE2737">
        <w:rPr>
          <w:rFonts w:eastAsia="ヒラギノ角ゴ Pro W3"/>
          <w:color w:val="000000"/>
          <w:lang w:val="en-CA" w:eastAsia="zh-CN"/>
        </w:rPr>
        <w:t xml:space="preserve">usiness unit of Sun Quan Education Inc., held </w:t>
      </w:r>
      <w:r w:rsidR="00560035">
        <w:rPr>
          <w:rFonts w:eastAsia="ヒラギノ角ゴ Pro W3"/>
          <w:color w:val="000000"/>
          <w:lang w:val="en-CA" w:eastAsia="zh-CN"/>
        </w:rPr>
        <w:t>three</w:t>
      </w:r>
      <w:r w:rsidRPr="00FE2737">
        <w:rPr>
          <w:rFonts w:eastAsia="ヒラギノ角ゴ Pro W3"/>
          <w:color w:val="000000"/>
          <w:lang w:val="en-CA" w:eastAsia="zh-CN"/>
        </w:rPr>
        <w:t xml:space="preserve"> </w:t>
      </w:r>
      <w:r w:rsidR="00630F0C">
        <w:rPr>
          <w:rFonts w:eastAsia="ヒラギノ角ゴ Pro W3"/>
          <w:color w:val="000000"/>
          <w:lang w:val="en-CA" w:eastAsia="zh-CN"/>
        </w:rPr>
        <w:t>service</w:t>
      </w:r>
      <w:r w:rsidRPr="00FE2737">
        <w:rPr>
          <w:rFonts w:eastAsia="ヒラギノ角ゴ Pro W3"/>
          <w:color w:val="000000"/>
          <w:lang w:val="en-CA" w:eastAsia="zh-CN"/>
        </w:rPr>
        <w:t xml:space="preserve"> cycles (</w:t>
      </w:r>
      <w:r w:rsidR="00940F84">
        <w:rPr>
          <w:rFonts w:eastAsia="ヒラギノ角ゴ Pro W3"/>
          <w:color w:val="000000"/>
          <w:lang w:val="en-CA" w:eastAsia="zh-CN"/>
        </w:rPr>
        <w:t>w</w:t>
      </w:r>
      <w:r w:rsidRPr="00FE2737">
        <w:rPr>
          <w:rFonts w:eastAsia="ヒラギノ角ゴ Pro W3"/>
          <w:color w:val="000000"/>
          <w:lang w:val="en-CA" w:eastAsia="zh-CN"/>
        </w:rPr>
        <w:t xml:space="preserve">inter 2017, </w:t>
      </w:r>
      <w:r w:rsidR="00940F84">
        <w:rPr>
          <w:rFonts w:eastAsia="ヒラギノ角ゴ Pro W3"/>
          <w:color w:val="000000"/>
          <w:lang w:val="en-CA" w:eastAsia="zh-CN"/>
        </w:rPr>
        <w:t>s</w:t>
      </w:r>
      <w:r w:rsidRPr="00FE2737">
        <w:rPr>
          <w:rFonts w:eastAsia="ヒラギノ角ゴ Pro W3"/>
          <w:color w:val="000000"/>
          <w:lang w:val="en-CA" w:eastAsia="zh-CN"/>
        </w:rPr>
        <w:t>pring 2017</w:t>
      </w:r>
      <w:r w:rsidR="00560035">
        <w:rPr>
          <w:rFonts w:eastAsia="ヒラギノ角ゴ Pro W3"/>
          <w:color w:val="000000"/>
          <w:lang w:val="en-CA" w:eastAsia="zh-CN"/>
        </w:rPr>
        <w:t>,</w:t>
      </w:r>
      <w:r w:rsidRPr="00FE2737">
        <w:rPr>
          <w:rFonts w:eastAsia="ヒラギノ角ゴ Pro W3"/>
          <w:color w:val="000000"/>
          <w:lang w:val="en-CA" w:eastAsia="zh-CN"/>
        </w:rPr>
        <w:t xml:space="preserve"> and </w:t>
      </w:r>
      <w:r w:rsidR="00940F84">
        <w:rPr>
          <w:rFonts w:eastAsia="ヒラギノ角ゴ Pro W3"/>
          <w:color w:val="000000"/>
          <w:lang w:val="en-CA" w:eastAsia="zh-CN"/>
        </w:rPr>
        <w:t>f</w:t>
      </w:r>
      <w:r w:rsidRPr="00FE2737">
        <w:rPr>
          <w:rFonts w:eastAsia="ヒラギノ角ゴ Pro W3"/>
          <w:color w:val="000000"/>
          <w:lang w:val="en-CA" w:eastAsia="zh-CN"/>
        </w:rPr>
        <w:t>all 2017)</w:t>
      </w:r>
      <w:r w:rsidR="006E6ECA">
        <w:rPr>
          <w:rFonts w:eastAsia="ヒラギノ角ゴ Pro W3"/>
          <w:color w:val="000000"/>
          <w:lang w:val="en-CA" w:eastAsia="zh-CN"/>
        </w:rPr>
        <w:t>,</w:t>
      </w:r>
      <w:r w:rsidRPr="00FE2737">
        <w:rPr>
          <w:rFonts w:eastAsia="ヒラギノ角ゴ Pro W3"/>
          <w:color w:val="000000"/>
          <w:lang w:val="en-CA" w:eastAsia="zh-CN"/>
        </w:rPr>
        <w:t xml:space="preserve"> corresponding to the local post-secondary school</w:t>
      </w:r>
      <w:r w:rsidR="00560035">
        <w:rPr>
          <w:rFonts w:eastAsia="ヒラギノ角ゴ Pro W3"/>
          <w:color w:val="000000"/>
          <w:lang w:val="en-CA" w:eastAsia="zh-CN"/>
        </w:rPr>
        <w:t>-</w:t>
      </w:r>
      <w:r w:rsidRPr="00FE2737">
        <w:rPr>
          <w:rFonts w:eastAsia="ヒラギノ角ゴ Pro W3"/>
          <w:color w:val="000000"/>
          <w:lang w:val="en-CA" w:eastAsia="zh-CN"/>
        </w:rPr>
        <w:t>year calendar. The enrol</w:t>
      </w:r>
      <w:r w:rsidRPr="00642717">
        <w:rPr>
          <w:rFonts w:eastAsia="ヒラギノ角ゴ Pro W3"/>
          <w:color w:val="000000"/>
          <w:lang w:val="en-CA" w:eastAsia="zh-CN"/>
        </w:rPr>
        <w:t xml:space="preserve">lment size </w:t>
      </w:r>
      <w:r w:rsidR="00630F0C">
        <w:rPr>
          <w:rFonts w:eastAsia="ヒラギノ角ゴ Pro W3"/>
          <w:color w:val="000000"/>
          <w:lang w:val="en-CA" w:eastAsia="zh-CN"/>
        </w:rPr>
        <w:t xml:space="preserve">increased to 42 in </w:t>
      </w:r>
      <w:r w:rsidR="00940F84">
        <w:rPr>
          <w:rFonts w:eastAsia="ヒラギノ角ゴ Pro W3"/>
          <w:color w:val="000000"/>
          <w:lang w:val="en-CA" w:eastAsia="zh-CN"/>
        </w:rPr>
        <w:t>w</w:t>
      </w:r>
      <w:r w:rsidR="00630F0C">
        <w:rPr>
          <w:rFonts w:eastAsia="ヒラギノ角ゴ Pro W3"/>
          <w:color w:val="000000"/>
          <w:lang w:val="en-CA" w:eastAsia="zh-CN"/>
        </w:rPr>
        <w:t xml:space="preserve">inter </w:t>
      </w:r>
      <w:r w:rsidRPr="00642717">
        <w:rPr>
          <w:rFonts w:eastAsia="ヒラギノ角ゴ Pro W3"/>
          <w:color w:val="000000"/>
          <w:lang w:val="en-CA" w:eastAsia="zh-CN"/>
        </w:rPr>
        <w:t>2017</w:t>
      </w:r>
      <w:r w:rsidR="00630F0C">
        <w:rPr>
          <w:rFonts w:eastAsia="ヒラギノ角ゴ Pro W3"/>
          <w:color w:val="000000"/>
          <w:lang w:val="en-CA" w:eastAsia="zh-CN"/>
        </w:rPr>
        <w:t>. In addition to the “beginner lessons</w:t>
      </w:r>
      <w:r w:rsidR="00185E77">
        <w:rPr>
          <w:rFonts w:eastAsia="ヒラギノ角ゴ Pro W3"/>
          <w:color w:val="000000"/>
          <w:lang w:val="en-CA" w:eastAsia="zh-CN"/>
        </w:rPr>
        <w:t>,</w:t>
      </w:r>
      <w:r w:rsidR="00630F0C">
        <w:rPr>
          <w:rFonts w:eastAsia="ヒラギノ角ゴ Pro W3"/>
          <w:color w:val="000000"/>
          <w:lang w:val="en-CA" w:eastAsia="zh-CN"/>
        </w:rPr>
        <w:t xml:space="preserve">” included as </w:t>
      </w:r>
      <w:r w:rsidR="00560035">
        <w:rPr>
          <w:rFonts w:eastAsia="ヒラギノ角ゴ Pro W3"/>
          <w:color w:val="000000"/>
          <w:lang w:val="en-CA" w:eastAsia="zh-CN"/>
        </w:rPr>
        <w:t>a</w:t>
      </w:r>
      <w:r w:rsidR="00630F0C">
        <w:rPr>
          <w:rFonts w:eastAsia="ヒラギノ角ゴ Pro W3"/>
          <w:color w:val="000000"/>
          <w:lang w:val="en-CA" w:eastAsia="zh-CN"/>
        </w:rPr>
        <w:t xml:space="preserve"> membership benefit</w:t>
      </w:r>
      <w:r w:rsidR="00185E77">
        <w:rPr>
          <w:rFonts w:eastAsia="ヒラギノ角ゴ Pro W3"/>
          <w:color w:val="000000"/>
          <w:lang w:val="en-CA" w:eastAsia="zh-CN"/>
        </w:rPr>
        <w:t xml:space="preserve"> (</w:t>
      </w:r>
      <w:r w:rsidR="00560035">
        <w:rPr>
          <w:rFonts w:eastAsia="ヒラギノ角ゴ Pro W3"/>
          <w:color w:val="000000"/>
          <w:lang w:val="en-CA" w:eastAsia="zh-CN"/>
        </w:rPr>
        <w:t xml:space="preserve">see </w:t>
      </w:r>
      <w:r w:rsidR="00630F0C">
        <w:rPr>
          <w:rFonts w:eastAsia="ヒラギノ角ゴ Pro W3"/>
          <w:color w:val="000000"/>
          <w:lang w:val="en-CA" w:eastAsia="zh-CN"/>
        </w:rPr>
        <w:t xml:space="preserve">Exhibit 1), the club </w:t>
      </w:r>
      <w:r w:rsidR="00560035">
        <w:rPr>
          <w:rFonts w:eastAsia="ヒラギノ角ゴ Pro W3"/>
          <w:color w:val="000000"/>
          <w:lang w:val="en-CA" w:eastAsia="zh-CN"/>
        </w:rPr>
        <w:t>offered</w:t>
      </w:r>
      <w:r w:rsidR="00775550">
        <w:rPr>
          <w:rFonts w:eastAsia="ヒラギノ角ゴ Pro W3"/>
          <w:color w:val="000000"/>
          <w:lang w:val="en-CA" w:eastAsia="zh-CN"/>
        </w:rPr>
        <w:t xml:space="preserve"> training</w:t>
      </w:r>
      <w:r w:rsidR="00630F0C" w:rsidRPr="00642717">
        <w:rPr>
          <w:rFonts w:eastAsia="ヒラギノ角ゴ Pro W3"/>
          <w:color w:val="000000"/>
          <w:lang w:val="en-CA" w:eastAsia="zh-CN"/>
        </w:rPr>
        <w:t xml:space="preserve"> sessions</w:t>
      </w:r>
      <w:r w:rsidR="00630F0C">
        <w:rPr>
          <w:rFonts w:eastAsia="ヒラギノ角ゴ Pro W3"/>
          <w:color w:val="000000"/>
          <w:lang w:val="en-CA" w:eastAsia="zh-CN"/>
        </w:rPr>
        <w:t xml:space="preserve"> </w:t>
      </w:r>
      <w:r w:rsidR="00185E77">
        <w:rPr>
          <w:rFonts w:eastAsia="ヒラギノ角ゴ Pro W3"/>
          <w:color w:val="000000"/>
          <w:lang w:val="en-CA" w:eastAsia="zh-CN"/>
        </w:rPr>
        <w:t>from b</w:t>
      </w:r>
      <w:r w:rsidR="00185E77" w:rsidRPr="00FE2737">
        <w:rPr>
          <w:rFonts w:eastAsia="ヒラギノ角ゴ Pro W3"/>
          <w:color w:val="000000"/>
          <w:lang w:val="en-CA" w:eastAsia="zh-CN"/>
        </w:rPr>
        <w:t>asic</w:t>
      </w:r>
      <w:r w:rsidR="00185E77">
        <w:rPr>
          <w:rFonts w:eastAsia="ヒラギノ角ゴ Pro W3"/>
          <w:color w:val="000000"/>
          <w:lang w:val="en-CA" w:eastAsia="zh-CN"/>
        </w:rPr>
        <w:t xml:space="preserve"> to i</w:t>
      </w:r>
      <w:r w:rsidR="00185E77" w:rsidRPr="00FE2737">
        <w:rPr>
          <w:rFonts w:eastAsia="ヒラギノ角ゴ Pro W3"/>
          <w:color w:val="000000"/>
          <w:lang w:val="en-CA" w:eastAsia="zh-CN"/>
        </w:rPr>
        <w:t>ntermedia</w:t>
      </w:r>
      <w:r w:rsidR="00185E77">
        <w:rPr>
          <w:rFonts w:eastAsia="ヒラギノ角ゴ Pro W3"/>
          <w:color w:val="000000"/>
          <w:lang w:val="en-CA" w:eastAsia="zh-CN"/>
        </w:rPr>
        <w:t>te</w:t>
      </w:r>
      <w:r w:rsidR="006E6ECA">
        <w:rPr>
          <w:rFonts w:eastAsia="ヒラギノ角ゴ Pro W3"/>
          <w:color w:val="000000"/>
          <w:lang w:val="en-CA" w:eastAsia="zh-CN"/>
        </w:rPr>
        <w:t>,</w:t>
      </w:r>
      <w:r w:rsidR="00185E77" w:rsidRPr="00FE2737">
        <w:rPr>
          <w:rFonts w:eastAsia="ヒラギノ角ゴ Pro W3"/>
          <w:color w:val="000000"/>
          <w:lang w:val="en-CA" w:eastAsia="zh-CN"/>
        </w:rPr>
        <w:t xml:space="preserve"> </w:t>
      </w:r>
      <w:r w:rsidR="00630F0C">
        <w:rPr>
          <w:rFonts w:eastAsia="ヒラギノ角ゴ Pro W3"/>
          <w:color w:val="000000"/>
          <w:lang w:val="en-CA" w:eastAsia="zh-CN"/>
        </w:rPr>
        <w:t>with term prices</w:t>
      </w:r>
      <w:r w:rsidR="00630F0C" w:rsidRPr="00FE2737">
        <w:rPr>
          <w:rFonts w:eastAsia="ヒラギノ角ゴ Pro W3"/>
          <w:color w:val="000000"/>
          <w:lang w:val="en-CA" w:eastAsia="zh-CN"/>
        </w:rPr>
        <w:t xml:space="preserve"> </w:t>
      </w:r>
      <w:r w:rsidR="006E6ECA">
        <w:rPr>
          <w:rFonts w:eastAsia="ヒラギノ角ゴ Pro W3"/>
          <w:color w:val="000000"/>
          <w:lang w:val="en-CA" w:eastAsia="zh-CN"/>
        </w:rPr>
        <w:t xml:space="preserve">of </w:t>
      </w:r>
      <w:r w:rsidR="00630F0C" w:rsidRPr="00FE2737">
        <w:rPr>
          <w:rFonts w:eastAsia="ヒラギノ角ゴ Pro W3"/>
          <w:color w:val="000000"/>
          <w:lang w:val="en-CA" w:eastAsia="zh-CN"/>
        </w:rPr>
        <w:t xml:space="preserve">$225, $330, </w:t>
      </w:r>
      <w:r w:rsidR="006E6ECA">
        <w:rPr>
          <w:rFonts w:eastAsia="ヒラギノ角ゴ Pro W3"/>
          <w:color w:val="000000"/>
          <w:lang w:val="en-CA" w:eastAsia="zh-CN"/>
        </w:rPr>
        <w:t xml:space="preserve">and </w:t>
      </w:r>
      <w:r w:rsidR="00630F0C" w:rsidRPr="00FE2737">
        <w:rPr>
          <w:rFonts w:eastAsia="ヒラギノ角ゴ Pro W3"/>
          <w:color w:val="000000"/>
          <w:lang w:val="en-CA" w:eastAsia="zh-CN"/>
        </w:rPr>
        <w:t>$375, respectively.</w:t>
      </w:r>
      <w:r w:rsidR="00630F0C">
        <w:rPr>
          <w:rFonts w:eastAsia="ヒラギノ角ゴ Pro W3"/>
          <w:color w:val="000000"/>
          <w:lang w:val="en-CA" w:eastAsia="zh-CN"/>
        </w:rPr>
        <w:t xml:space="preserve"> These classes </w:t>
      </w:r>
      <w:r w:rsidR="00560035">
        <w:rPr>
          <w:rFonts w:eastAsia="ヒラギノ角ゴ Pro W3"/>
          <w:color w:val="000000"/>
          <w:lang w:val="en-CA" w:eastAsia="zh-CN"/>
        </w:rPr>
        <w:t xml:space="preserve">were </w:t>
      </w:r>
      <w:r w:rsidR="00630F0C">
        <w:rPr>
          <w:rFonts w:eastAsia="ヒラギノ角ゴ Pro W3"/>
          <w:color w:val="000000"/>
          <w:lang w:val="en-CA" w:eastAsia="zh-CN"/>
        </w:rPr>
        <w:t xml:space="preserve">aimed </w:t>
      </w:r>
      <w:r w:rsidR="00560035">
        <w:rPr>
          <w:rFonts w:eastAsia="ヒラギノ角ゴ Pro W3"/>
          <w:color w:val="000000"/>
          <w:lang w:val="en-CA" w:eastAsia="zh-CN"/>
        </w:rPr>
        <w:t>at</w:t>
      </w:r>
      <w:r w:rsidR="00630F0C">
        <w:rPr>
          <w:rFonts w:eastAsia="ヒラギノ角ゴ Pro W3"/>
          <w:color w:val="000000"/>
          <w:lang w:val="en-CA" w:eastAsia="zh-CN"/>
        </w:rPr>
        <w:t xml:space="preserve"> customers who had some basic knowledge of the Go game.</w:t>
      </w:r>
      <w:r w:rsidRPr="00642717">
        <w:rPr>
          <w:rFonts w:eastAsia="ヒラギノ角ゴ Pro W3"/>
          <w:color w:val="000000"/>
          <w:lang w:val="en-CA" w:eastAsia="zh-CN"/>
        </w:rPr>
        <w:t xml:space="preserve"> </w:t>
      </w:r>
    </w:p>
    <w:p w14:paraId="63B7419D" w14:textId="77777777" w:rsidR="00812210" w:rsidRPr="00DF085C" w:rsidRDefault="00812210" w:rsidP="00812210">
      <w:pPr>
        <w:pStyle w:val="BodyTextMain"/>
        <w:rPr>
          <w:rFonts w:eastAsia="ヒラギノ角ゴ Pro W3"/>
          <w:color w:val="000000"/>
          <w:sz w:val="18"/>
          <w:szCs w:val="18"/>
          <w:lang w:val="en-CA" w:eastAsia="zh-CN"/>
        </w:rPr>
      </w:pPr>
    </w:p>
    <w:p w14:paraId="67B1E640" w14:textId="77777777" w:rsidR="00711CA2" w:rsidRPr="00DF085C" w:rsidRDefault="00711CA2" w:rsidP="00812210">
      <w:pPr>
        <w:pStyle w:val="BodyTextMain"/>
        <w:rPr>
          <w:rFonts w:eastAsia="ヒラギノ角ゴ Pro W3"/>
          <w:color w:val="000000"/>
          <w:sz w:val="18"/>
          <w:szCs w:val="18"/>
          <w:lang w:val="en-CA" w:eastAsia="zh-CN"/>
        </w:rPr>
      </w:pPr>
    </w:p>
    <w:p w14:paraId="3E3A5139" w14:textId="76D56910" w:rsidR="00642717" w:rsidRPr="00642717" w:rsidRDefault="00DA7F86" w:rsidP="00812210">
      <w:pPr>
        <w:pStyle w:val="Casehead2"/>
        <w:rPr>
          <w:rFonts w:eastAsia="ヒラギノ角ゴ Pro W3"/>
          <w:lang w:val="en-CA" w:eastAsia="zh-CN"/>
        </w:rPr>
      </w:pPr>
      <w:r>
        <w:rPr>
          <w:rFonts w:eastAsia="ヒラギノ角ゴ Pro W3"/>
          <w:lang w:eastAsia="zh-CN"/>
        </w:rPr>
        <w:t>We-GO</w:t>
      </w:r>
      <w:r w:rsidR="00642717" w:rsidRPr="00642717">
        <w:rPr>
          <w:rFonts w:eastAsia="ヒラギノ角ゴ Pro W3"/>
          <w:lang w:eastAsia="zh-CN"/>
        </w:rPr>
        <w:t xml:space="preserve"> Club’s Marketing Effort (2017</w:t>
      </w:r>
      <w:r w:rsidR="006E6ECA">
        <w:rPr>
          <w:rFonts w:eastAsia="ヒラギノ角ゴ Pro W3"/>
          <w:lang w:eastAsia="zh-CN"/>
        </w:rPr>
        <w:t>–</w:t>
      </w:r>
      <w:r w:rsidR="00642717" w:rsidRPr="00642717">
        <w:rPr>
          <w:rFonts w:eastAsia="ヒラギノ角ゴ Pro W3"/>
          <w:lang w:eastAsia="zh-CN"/>
        </w:rPr>
        <w:t>18)</w:t>
      </w:r>
    </w:p>
    <w:p w14:paraId="4DD1B151" w14:textId="77777777" w:rsidR="00A85B0A" w:rsidRPr="00DF085C" w:rsidRDefault="00A85B0A" w:rsidP="00812210">
      <w:pPr>
        <w:pStyle w:val="BodyTextMain"/>
        <w:rPr>
          <w:rFonts w:eastAsia="ヒラギノ角ゴ Pro W3"/>
          <w:sz w:val="18"/>
          <w:szCs w:val="18"/>
          <w:lang w:val="en-CA" w:eastAsia="zh-CN"/>
        </w:rPr>
      </w:pPr>
    </w:p>
    <w:p w14:paraId="7C768678" w14:textId="4B0AFE19" w:rsidR="009638BA" w:rsidRDefault="00642717" w:rsidP="00812210">
      <w:pPr>
        <w:pStyle w:val="BodyTextMain"/>
        <w:rPr>
          <w:rFonts w:eastAsia="ヒラギノ角ゴ Pro W3"/>
          <w:lang w:val="en-CA" w:eastAsia="zh-CN"/>
        </w:rPr>
      </w:pPr>
      <w:r w:rsidRPr="00642717">
        <w:rPr>
          <w:rFonts w:eastAsia="ヒラギノ角ゴ Pro W3"/>
          <w:lang w:val="en-CA" w:eastAsia="zh-CN"/>
        </w:rPr>
        <w:t xml:space="preserve">Sun and his business partners were going over the profile of existing customers. A vast proportion of children currently in the </w:t>
      </w:r>
      <w:r w:rsidR="00447A26">
        <w:rPr>
          <w:rFonts w:eastAsia="ヒラギノ角ゴ Pro W3"/>
          <w:lang w:val="en-CA" w:eastAsia="zh-CN"/>
        </w:rPr>
        <w:t>c</w:t>
      </w:r>
      <w:r w:rsidRPr="00642717">
        <w:rPr>
          <w:rFonts w:eastAsia="ヒラギノ角ゴ Pro W3"/>
          <w:lang w:val="en-CA" w:eastAsia="zh-CN"/>
        </w:rPr>
        <w:t xml:space="preserve">lub’s various levels of paid classes came from </w:t>
      </w:r>
      <w:r w:rsidR="001D039C">
        <w:rPr>
          <w:rFonts w:eastAsia="ヒラギノ角ゴ Pro W3"/>
          <w:lang w:val="en-CA" w:eastAsia="zh-CN"/>
        </w:rPr>
        <w:t>Chinese</w:t>
      </w:r>
      <w:r w:rsidRPr="00642717">
        <w:rPr>
          <w:rFonts w:eastAsia="ヒラギノ角ゴ Pro W3"/>
          <w:lang w:val="en-CA" w:eastAsia="zh-CN"/>
        </w:rPr>
        <w:t xml:space="preserve"> families. Most of the</w:t>
      </w:r>
      <w:r w:rsidR="00447A26">
        <w:rPr>
          <w:rFonts w:eastAsia="ヒラギノ角ゴ Pro W3"/>
          <w:lang w:val="en-CA" w:eastAsia="zh-CN"/>
        </w:rPr>
        <w:t>ir</w:t>
      </w:r>
      <w:r w:rsidRPr="00642717">
        <w:rPr>
          <w:rFonts w:eastAsia="ヒラギノ角ゴ Pro W3"/>
          <w:lang w:val="en-CA" w:eastAsia="zh-CN"/>
        </w:rPr>
        <w:t xml:space="preserve"> parents </w:t>
      </w:r>
      <w:r w:rsidR="00447A26">
        <w:rPr>
          <w:rFonts w:eastAsia="ヒラギノ角ゴ Pro W3"/>
          <w:lang w:val="en-CA" w:eastAsia="zh-CN"/>
        </w:rPr>
        <w:t xml:space="preserve">had </w:t>
      </w:r>
      <w:r w:rsidRPr="00642717">
        <w:rPr>
          <w:rFonts w:eastAsia="ヒラギノ角ゴ Pro W3"/>
          <w:lang w:val="en-CA" w:eastAsia="zh-CN"/>
        </w:rPr>
        <w:t>immigrated to Canada as student</w:t>
      </w:r>
      <w:r w:rsidR="00823AF5">
        <w:rPr>
          <w:rFonts w:eastAsia="ヒラギノ角ゴ Pro W3"/>
          <w:lang w:val="en-CA" w:eastAsia="zh-CN"/>
        </w:rPr>
        <w:t>s</w:t>
      </w:r>
      <w:r w:rsidRPr="00642717">
        <w:rPr>
          <w:rFonts w:eastAsia="ヒラギノ角ゴ Pro W3"/>
          <w:lang w:val="en-CA" w:eastAsia="zh-CN"/>
        </w:rPr>
        <w:t xml:space="preserve"> or young professionals and later settled down in </w:t>
      </w:r>
      <w:r w:rsidR="00447A26">
        <w:rPr>
          <w:rFonts w:eastAsia="ヒラギノ角ゴ Pro W3"/>
          <w:lang w:val="en-CA" w:eastAsia="zh-CN"/>
        </w:rPr>
        <w:t xml:space="preserve">the </w:t>
      </w:r>
      <w:r w:rsidRPr="00642717">
        <w:rPr>
          <w:rFonts w:eastAsia="ヒラギノ角ゴ Pro W3"/>
          <w:lang w:val="en-CA" w:eastAsia="zh-CN"/>
        </w:rPr>
        <w:t>Kitchener</w:t>
      </w:r>
      <w:r w:rsidR="00447A26">
        <w:rPr>
          <w:rFonts w:eastAsia="ヒラギノ角ゴ Pro W3"/>
          <w:lang w:val="en-CA" w:eastAsia="zh-CN"/>
        </w:rPr>
        <w:t>-</w:t>
      </w:r>
      <w:r w:rsidRPr="00642717">
        <w:rPr>
          <w:rFonts w:eastAsia="ヒラギノ角ゴ Pro W3"/>
          <w:lang w:val="en-CA" w:eastAsia="zh-CN"/>
        </w:rPr>
        <w:t xml:space="preserve">Waterloo region. Those parents were all willing to </w:t>
      </w:r>
      <w:r w:rsidR="00823AF5">
        <w:rPr>
          <w:rFonts w:eastAsia="ヒラギノ角ゴ Pro W3"/>
          <w:lang w:val="en-CA" w:eastAsia="zh-CN"/>
        </w:rPr>
        <w:t>work</w:t>
      </w:r>
      <w:r w:rsidRPr="00642717">
        <w:rPr>
          <w:rFonts w:eastAsia="ヒラギノ角ゴ Pro W3"/>
          <w:lang w:val="en-CA" w:eastAsia="zh-CN"/>
        </w:rPr>
        <w:t xml:space="preserve"> to help their children’s </w:t>
      </w:r>
      <w:r w:rsidR="00823AF5" w:rsidRPr="00642717">
        <w:rPr>
          <w:rFonts w:eastAsia="ヒラギノ角ゴ Pro W3"/>
          <w:lang w:val="en-CA" w:eastAsia="zh-CN"/>
        </w:rPr>
        <w:t>intell</w:t>
      </w:r>
      <w:r w:rsidR="00823AF5">
        <w:rPr>
          <w:rFonts w:eastAsia="ヒラギノ角ゴ Pro W3"/>
          <w:lang w:val="en-CA" w:eastAsia="zh-CN"/>
        </w:rPr>
        <w:t>ectual</w:t>
      </w:r>
      <w:r w:rsidR="00823AF5" w:rsidRPr="00642717">
        <w:rPr>
          <w:rFonts w:eastAsia="ヒラギノ角ゴ Pro W3"/>
          <w:lang w:val="en-CA" w:eastAsia="zh-CN"/>
        </w:rPr>
        <w:t xml:space="preserve"> </w:t>
      </w:r>
      <w:r w:rsidRPr="00642717">
        <w:rPr>
          <w:rFonts w:eastAsia="ヒラギノ角ゴ Pro W3"/>
          <w:lang w:val="en-CA" w:eastAsia="zh-CN"/>
        </w:rPr>
        <w:t>development.</w:t>
      </w:r>
      <w:r w:rsidR="001D039C">
        <w:rPr>
          <w:rFonts w:eastAsia="ヒラギノ角ゴ Pro W3"/>
          <w:lang w:val="en-CA" w:eastAsia="zh-CN"/>
        </w:rPr>
        <w:t xml:space="preserve"> Furthermore, learning to play Go</w:t>
      </w:r>
      <w:r w:rsidR="00940F84">
        <w:rPr>
          <w:rFonts w:eastAsia="ヒラギノ角ゴ Pro W3"/>
          <w:lang w:val="en-CA" w:eastAsia="zh-CN"/>
        </w:rPr>
        <w:t xml:space="preserve"> also</w:t>
      </w:r>
      <w:r w:rsidR="001D039C">
        <w:rPr>
          <w:rFonts w:eastAsia="ヒラギノ角ゴ Pro W3"/>
          <w:lang w:val="en-CA" w:eastAsia="zh-CN"/>
        </w:rPr>
        <w:t xml:space="preserve"> provided another opportunity for their kids to have an appreciation </w:t>
      </w:r>
      <w:r w:rsidR="00C8731F">
        <w:rPr>
          <w:rFonts w:eastAsia="ヒラギノ角ゴ Pro W3"/>
          <w:lang w:val="en-CA" w:eastAsia="zh-CN"/>
        </w:rPr>
        <w:t>for</w:t>
      </w:r>
      <w:r w:rsidR="001D039C">
        <w:rPr>
          <w:rFonts w:eastAsia="ヒラギノ角ゴ Pro W3"/>
          <w:lang w:val="en-CA" w:eastAsia="zh-CN"/>
        </w:rPr>
        <w:t xml:space="preserve"> the cultural background of their family.</w:t>
      </w:r>
      <w:r w:rsidR="009638BA">
        <w:rPr>
          <w:rFonts w:eastAsia="ヒラギノ角ゴ Pro W3"/>
          <w:lang w:val="en-CA" w:eastAsia="zh-CN"/>
        </w:rPr>
        <w:t xml:space="preserve"> A father whose son was taking the beginner lessons from the We-GO Club said,</w:t>
      </w:r>
    </w:p>
    <w:p w14:paraId="43A362CF" w14:textId="742C8DC9" w:rsidR="009638BA" w:rsidRPr="00F67160" w:rsidRDefault="0067631E" w:rsidP="00885784">
      <w:pPr>
        <w:pStyle w:val="BodyTextMain"/>
        <w:ind w:left="720"/>
        <w:rPr>
          <w:rFonts w:eastAsia="ヒラギノ角ゴ Pro W3"/>
          <w:spacing w:val="-2"/>
          <w:kern w:val="22"/>
          <w:lang w:val="en-CA" w:eastAsia="zh-CN"/>
        </w:rPr>
      </w:pPr>
      <w:r w:rsidRPr="00F67160">
        <w:rPr>
          <w:rFonts w:eastAsia="ヒラギノ角ゴ Pro W3"/>
          <w:spacing w:val="-2"/>
          <w:kern w:val="22"/>
          <w:lang w:val="en-CA" w:eastAsia="zh-CN"/>
        </w:rPr>
        <w:lastRenderedPageBreak/>
        <w:t xml:space="preserve">Almost all our friends from the Chinese community in this region sent their children to Chinese language schools over </w:t>
      </w:r>
      <w:r w:rsidR="009638BA" w:rsidRPr="00F67160">
        <w:rPr>
          <w:rFonts w:eastAsia="ヒラギノ角ゴ Pro W3"/>
          <w:spacing w:val="-2"/>
          <w:kern w:val="22"/>
          <w:lang w:val="en-CA" w:eastAsia="zh-CN"/>
        </w:rPr>
        <w:t xml:space="preserve">the </w:t>
      </w:r>
      <w:r w:rsidRPr="00F67160">
        <w:rPr>
          <w:rFonts w:eastAsia="ヒラギノ角ゴ Pro W3"/>
          <w:spacing w:val="-2"/>
          <w:kern w:val="22"/>
          <w:lang w:val="en-CA" w:eastAsia="zh-CN"/>
        </w:rPr>
        <w:t>weekend</w:t>
      </w:r>
      <w:r w:rsidR="009638BA" w:rsidRPr="00F67160">
        <w:rPr>
          <w:rFonts w:eastAsia="ヒラギノ角ゴ Pro W3"/>
          <w:spacing w:val="-2"/>
          <w:kern w:val="22"/>
          <w:lang w:val="en-CA" w:eastAsia="zh-CN"/>
        </w:rPr>
        <w:t xml:space="preserve">. </w:t>
      </w:r>
      <w:r w:rsidR="006E6ECA">
        <w:rPr>
          <w:rFonts w:eastAsia="ヒラギノ角ゴ Pro W3"/>
          <w:spacing w:val="-2"/>
          <w:kern w:val="22"/>
          <w:lang w:val="en-CA" w:eastAsia="zh-CN"/>
        </w:rPr>
        <w:t xml:space="preserve">. . . </w:t>
      </w:r>
      <w:r w:rsidRPr="00F67160">
        <w:rPr>
          <w:rFonts w:eastAsia="ヒラギノ角ゴ Pro W3"/>
          <w:spacing w:val="-2"/>
          <w:kern w:val="22"/>
          <w:lang w:val="en-CA" w:eastAsia="zh-CN"/>
        </w:rPr>
        <w:t xml:space="preserve">Most of our children were born in Canada where English was the first language they learned to speak. We hoped that learning to speak </w:t>
      </w:r>
      <w:r w:rsidR="009638BA" w:rsidRPr="00F67160">
        <w:rPr>
          <w:rFonts w:eastAsia="ヒラギノ角ゴ Pro W3"/>
          <w:spacing w:val="-2"/>
          <w:kern w:val="22"/>
          <w:lang w:val="en-CA" w:eastAsia="zh-CN"/>
        </w:rPr>
        <w:t>M</w:t>
      </w:r>
      <w:r w:rsidRPr="00F67160">
        <w:rPr>
          <w:rFonts w:eastAsia="ヒラギノ角ゴ Pro W3"/>
          <w:spacing w:val="-2"/>
          <w:kern w:val="22"/>
          <w:lang w:val="en-CA" w:eastAsia="zh-CN"/>
        </w:rPr>
        <w:t xml:space="preserve">andarin would help them understand and </w:t>
      </w:r>
      <w:r w:rsidR="00C057A9" w:rsidRPr="00F67160">
        <w:rPr>
          <w:rFonts w:eastAsia="ヒラギノ角ゴ Pro W3"/>
          <w:spacing w:val="-2"/>
          <w:kern w:val="22"/>
          <w:lang w:val="en-CA" w:eastAsia="zh-CN"/>
        </w:rPr>
        <w:t xml:space="preserve">connect with </w:t>
      </w:r>
      <w:r w:rsidR="00940F84" w:rsidRPr="00F67160">
        <w:rPr>
          <w:rFonts w:eastAsia="ヒラギノ角ゴ Pro W3"/>
          <w:spacing w:val="-2"/>
          <w:kern w:val="22"/>
          <w:lang w:val="en-CA" w:eastAsia="zh-CN"/>
        </w:rPr>
        <w:t xml:space="preserve">[their] </w:t>
      </w:r>
      <w:r w:rsidR="00C057A9" w:rsidRPr="00F67160">
        <w:rPr>
          <w:rFonts w:eastAsia="ヒラギノ角ゴ Pro W3"/>
          <w:spacing w:val="-2"/>
          <w:kern w:val="22"/>
          <w:lang w:val="en-CA" w:eastAsia="zh-CN"/>
        </w:rPr>
        <w:t xml:space="preserve">family heritage from a culture different from North America. Yet many of them did not </w:t>
      </w:r>
      <w:r w:rsidR="005E0AE3" w:rsidRPr="00F67160">
        <w:rPr>
          <w:rFonts w:eastAsia="ヒラギノ角ゴ Pro W3"/>
          <w:spacing w:val="-2"/>
          <w:kern w:val="22"/>
          <w:lang w:val="en-CA" w:eastAsia="zh-CN"/>
        </w:rPr>
        <w:t>like</w:t>
      </w:r>
      <w:r w:rsidR="00C057A9" w:rsidRPr="00F67160">
        <w:rPr>
          <w:rFonts w:eastAsia="ヒラギノ角ゴ Pro W3"/>
          <w:spacing w:val="-2"/>
          <w:kern w:val="22"/>
          <w:lang w:val="en-CA" w:eastAsia="zh-CN"/>
        </w:rPr>
        <w:t xml:space="preserve"> </w:t>
      </w:r>
      <w:r w:rsidR="00940F84" w:rsidRPr="00F67160">
        <w:rPr>
          <w:rFonts w:eastAsia="ヒラギノ角ゴ Pro W3"/>
          <w:spacing w:val="-2"/>
          <w:kern w:val="22"/>
          <w:lang w:val="en-CA" w:eastAsia="zh-CN"/>
        </w:rPr>
        <w:t xml:space="preserve">[to] </w:t>
      </w:r>
      <w:r w:rsidR="00C057A9" w:rsidRPr="00F67160">
        <w:rPr>
          <w:rFonts w:eastAsia="ヒラギノ角ゴ Pro W3"/>
          <w:spacing w:val="-2"/>
          <w:kern w:val="22"/>
          <w:lang w:val="en-CA" w:eastAsia="zh-CN"/>
        </w:rPr>
        <w:t>tak</w:t>
      </w:r>
      <w:r w:rsidR="009638BA" w:rsidRPr="00F67160">
        <w:rPr>
          <w:rFonts w:eastAsia="ヒラギノ角ゴ Pro W3"/>
          <w:spacing w:val="-2"/>
          <w:kern w:val="22"/>
          <w:lang w:val="en-CA" w:eastAsia="zh-CN"/>
        </w:rPr>
        <w:t>e</w:t>
      </w:r>
      <w:r w:rsidR="00C057A9" w:rsidRPr="00F67160">
        <w:rPr>
          <w:rFonts w:eastAsia="ヒラギノ角ゴ Pro W3"/>
          <w:spacing w:val="-2"/>
          <w:kern w:val="22"/>
          <w:lang w:val="en-CA" w:eastAsia="zh-CN"/>
        </w:rPr>
        <w:t xml:space="preserve"> language lessons over </w:t>
      </w:r>
      <w:r w:rsidR="009638BA" w:rsidRPr="00F67160">
        <w:rPr>
          <w:rFonts w:eastAsia="ヒラギノ角ゴ Pro W3"/>
          <w:spacing w:val="-2"/>
          <w:kern w:val="22"/>
          <w:lang w:val="en-CA" w:eastAsia="zh-CN"/>
        </w:rPr>
        <w:t xml:space="preserve">the </w:t>
      </w:r>
      <w:r w:rsidR="00C057A9" w:rsidRPr="00F67160">
        <w:rPr>
          <w:rFonts w:eastAsia="ヒラギノ角ゴ Pro W3"/>
          <w:spacing w:val="-2"/>
          <w:kern w:val="22"/>
          <w:lang w:val="en-CA" w:eastAsia="zh-CN"/>
        </w:rPr>
        <w:t xml:space="preserve">weekend. But they were </w:t>
      </w:r>
      <w:r w:rsidR="00B837F7" w:rsidRPr="00F67160">
        <w:rPr>
          <w:rFonts w:eastAsia="ヒラギノ角ゴ Pro W3"/>
          <w:spacing w:val="-2"/>
          <w:kern w:val="22"/>
          <w:lang w:val="en-CA" w:eastAsia="zh-CN"/>
        </w:rPr>
        <w:t>very</w:t>
      </w:r>
      <w:r w:rsidR="00C057A9" w:rsidRPr="00F67160">
        <w:rPr>
          <w:rFonts w:eastAsia="ヒラギノ角ゴ Pro W3"/>
          <w:spacing w:val="-2"/>
          <w:kern w:val="22"/>
          <w:lang w:val="en-CA" w:eastAsia="zh-CN"/>
        </w:rPr>
        <w:t xml:space="preserve"> interested in learning to play a new board game </w:t>
      </w:r>
      <w:r w:rsidR="009638BA" w:rsidRPr="00F67160">
        <w:rPr>
          <w:rFonts w:eastAsia="ヒラギノ角ゴ Pro W3"/>
          <w:spacing w:val="-2"/>
          <w:kern w:val="22"/>
          <w:lang w:val="en-CA" w:eastAsia="zh-CN"/>
        </w:rPr>
        <w:t xml:space="preserve">[that] </w:t>
      </w:r>
      <w:r w:rsidR="00C057A9" w:rsidRPr="00F67160">
        <w:rPr>
          <w:rFonts w:eastAsia="ヒラギノ角ゴ Pro W3"/>
          <w:spacing w:val="-2"/>
          <w:kern w:val="22"/>
          <w:lang w:val="en-CA" w:eastAsia="zh-CN"/>
        </w:rPr>
        <w:t xml:space="preserve">originated in China, and we pleasantly found that the kids were all willing to engage in conversation </w:t>
      </w:r>
      <w:r w:rsidR="005E0AE3" w:rsidRPr="00F67160">
        <w:rPr>
          <w:rFonts w:eastAsia="ヒラギノ角ゴ Pro W3"/>
          <w:spacing w:val="-2"/>
          <w:kern w:val="22"/>
          <w:lang w:val="en-CA" w:eastAsia="zh-CN"/>
        </w:rPr>
        <w:t xml:space="preserve">using </w:t>
      </w:r>
      <w:r w:rsidR="009638BA" w:rsidRPr="00F67160">
        <w:rPr>
          <w:rFonts w:eastAsia="ヒラギノ角ゴ Pro W3"/>
          <w:spacing w:val="-2"/>
          <w:kern w:val="22"/>
          <w:lang w:val="en-CA" w:eastAsia="zh-CN"/>
        </w:rPr>
        <w:t>M</w:t>
      </w:r>
      <w:r w:rsidR="005E0AE3" w:rsidRPr="00F67160">
        <w:rPr>
          <w:rFonts w:eastAsia="ヒラギノ角ゴ Pro W3"/>
          <w:spacing w:val="-2"/>
          <w:kern w:val="22"/>
          <w:lang w:val="en-CA" w:eastAsia="zh-CN"/>
        </w:rPr>
        <w:t>andarin</w:t>
      </w:r>
      <w:r w:rsidR="00C057A9" w:rsidRPr="00F67160">
        <w:rPr>
          <w:rFonts w:eastAsia="ヒラギノ角ゴ Pro W3"/>
          <w:spacing w:val="-2"/>
          <w:kern w:val="22"/>
          <w:lang w:val="en-CA" w:eastAsia="zh-CN"/>
        </w:rPr>
        <w:t xml:space="preserve"> with their Go teachers! </w:t>
      </w:r>
    </w:p>
    <w:p w14:paraId="4D165C1E" w14:textId="77777777" w:rsidR="009638BA" w:rsidRPr="00F67160" w:rsidRDefault="009638BA" w:rsidP="009638BA">
      <w:pPr>
        <w:pStyle w:val="BodyTextMain"/>
        <w:rPr>
          <w:rFonts w:eastAsia="ヒラギノ角ゴ Pro W3"/>
          <w:sz w:val="18"/>
          <w:szCs w:val="18"/>
          <w:lang w:val="en-CA" w:eastAsia="zh-CN"/>
        </w:rPr>
      </w:pPr>
    </w:p>
    <w:p w14:paraId="35DD2D20" w14:textId="6C484556" w:rsidR="00C057A9" w:rsidRDefault="00C057A9" w:rsidP="009638BA">
      <w:pPr>
        <w:pStyle w:val="BodyTextMain"/>
        <w:rPr>
          <w:rFonts w:eastAsia="ヒラギノ角ゴ Pro W3"/>
          <w:lang w:val="en-CA" w:eastAsia="zh-CN"/>
        </w:rPr>
      </w:pPr>
      <w:r>
        <w:rPr>
          <w:rFonts w:eastAsia="ヒラギノ角ゴ Pro W3"/>
          <w:lang w:val="en-CA" w:eastAsia="zh-CN"/>
        </w:rPr>
        <w:t xml:space="preserve">Given the </w:t>
      </w:r>
      <w:r w:rsidR="006E6ECA">
        <w:rPr>
          <w:rFonts w:eastAsia="ヒラギノ角ゴ Pro W3"/>
          <w:lang w:val="en-CA" w:eastAsia="zh-CN"/>
        </w:rPr>
        <w:t xml:space="preserve">current </w:t>
      </w:r>
      <w:r>
        <w:rPr>
          <w:rFonts w:eastAsia="ヒラギノ角ゴ Pro W3"/>
          <w:lang w:val="en-CA" w:eastAsia="zh-CN"/>
        </w:rPr>
        <w:t xml:space="preserve">popularity of </w:t>
      </w:r>
      <w:r w:rsidR="009638BA">
        <w:rPr>
          <w:rFonts w:eastAsia="ヒラギノ角ゴ Pro W3"/>
          <w:lang w:val="en-CA" w:eastAsia="zh-CN"/>
        </w:rPr>
        <w:t xml:space="preserve">the </w:t>
      </w:r>
      <w:r>
        <w:rPr>
          <w:rFonts w:eastAsia="ヒラギノ角ゴ Pro W3"/>
          <w:lang w:val="en-CA" w:eastAsia="zh-CN"/>
        </w:rPr>
        <w:t>Go game in China, Japan</w:t>
      </w:r>
      <w:r w:rsidR="006E6ECA">
        <w:rPr>
          <w:rFonts w:eastAsia="ヒラギノ角ゴ Pro W3"/>
          <w:lang w:val="en-CA" w:eastAsia="zh-CN"/>
        </w:rPr>
        <w:t>,</w:t>
      </w:r>
      <w:r>
        <w:rPr>
          <w:rFonts w:eastAsia="ヒラギノ角ゴ Pro W3"/>
          <w:lang w:val="en-CA" w:eastAsia="zh-CN"/>
        </w:rPr>
        <w:t xml:space="preserve"> and Korea, </w:t>
      </w:r>
      <w:r w:rsidR="00F2795B">
        <w:rPr>
          <w:rFonts w:eastAsia="ヒラギノ角ゴ Pro W3"/>
          <w:lang w:val="en-CA" w:eastAsia="zh-CN"/>
        </w:rPr>
        <w:t xml:space="preserve">Sun </w:t>
      </w:r>
      <w:r>
        <w:rPr>
          <w:rFonts w:eastAsia="ヒラギノ角ゴ Pro W3"/>
          <w:lang w:val="en-CA" w:eastAsia="zh-CN"/>
        </w:rPr>
        <w:t>believed that the cultural aspects of Go could help further expand the market to draw in more customers whose original families</w:t>
      </w:r>
      <w:r w:rsidR="00955E2C">
        <w:rPr>
          <w:rFonts w:eastAsia="ヒラギノ角ゴ Pro W3"/>
          <w:lang w:val="en-CA" w:eastAsia="zh-CN"/>
        </w:rPr>
        <w:t xml:space="preserve"> </w:t>
      </w:r>
      <w:r w:rsidR="003B557D">
        <w:rPr>
          <w:rFonts w:eastAsia="ヒラギノ角ゴ Pro W3"/>
          <w:lang w:val="en-CA" w:eastAsia="zh-CN"/>
        </w:rPr>
        <w:t>emigrated</w:t>
      </w:r>
      <w:r>
        <w:rPr>
          <w:rFonts w:eastAsia="ヒラギノ角ゴ Pro W3"/>
          <w:lang w:val="en-CA" w:eastAsia="zh-CN"/>
        </w:rPr>
        <w:t xml:space="preserve"> from those Asian countries</w:t>
      </w:r>
      <w:r w:rsidR="00B70B67">
        <w:rPr>
          <w:rFonts w:eastAsia="ヒラギノ角ゴ Pro W3"/>
          <w:lang w:val="en-CA" w:eastAsia="zh-CN"/>
        </w:rPr>
        <w:t xml:space="preserve"> </w:t>
      </w:r>
      <w:r w:rsidR="00B70B67" w:rsidRPr="00FE2737">
        <w:rPr>
          <w:rFonts w:eastAsia="ヒラギノ角ゴ Pro W3"/>
          <w:color w:val="000000"/>
          <w:lang w:eastAsia="zh-CN"/>
        </w:rPr>
        <w:t>(</w:t>
      </w:r>
      <w:r w:rsidR="009638BA">
        <w:rPr>
          <w:rFonts w:eastAsia="ヒラギノ角ゴ Pro W3"/>
          <w:color w:val="000000"/>
          <w:lang w:eastAsia="zh-CN"/>
        </w:rPr>
        <w:t xml:space="preserve">see </w:t>
      </w:r>
      <w:r w:rsidR="00B70B67" w:rsidRPr="00FE2737">
        <w:rPr>
          <w:rFonts w:eastAsia="ヒラギノ角ゴ Pro W3"/>
          <w:color w:val="000000"/>
          <w:lang w:eastAsia="zh-CN"/>
        </w:rPr>
        <w:t xml:space="preserve">Exhibit </w:t>
      </w:r>
      <w:r w:rsidR="00B70B67">
        <w:rPr>
          <w:rFonts w:eastAsia="ヒラギノ角ゴ Pro W3"/>
          <w:color w:val="000000"/>
          <w:lang w:eastAsia="zh-CN"/>
        </w:rPr>
        <w:t>2</w:t>
      </w:r>
      <w:r w:rsidR="00B70B67" w:rsidRPr="00FE2737">
        <w:rPr>
          <w:rFonts w:eastAsia="ヒラギノ角ゴ Pro W3"/>
          <w:color w:val="000000"/>
          <w:lang w:eastAsia="zh-CN"/>
        </w:rPr>
        <w:t>)</w:t>
      </w:r>
      <w:r>
        <w:rPr>
          <w:rFonts w:eastAsia="ヒラギノ角ゴ Pro W3"/>
          <w:lang w:val="en-CA" w:eastAsia="zh-CN"/>
        </w:rPr>
        <w:t xml:space="preserve">. </w:t>
      </w:r>
    </w:p>
    <w:p w14:paraId="0C5DDE1E" w14:textId="77777777" w:rsidR="0067631E" w:rsidRPr="00F67160" w:rsidRDefault="0067631E" w:rsidP="00812210">
      <w:pPr>
        <w:pStyle w:val="BodyTextMain"/>
        <w:rPr>
          <w:rFonts w:eastAsia="ヒラギノ角ゴ Pro W3"/>
          <w:sz w:val="18"/>
          <w:szCs w:val="18"/>
          <w:lang w:val="en-CA" w:eastAsia="zh-CN"/>
        </w:rPr>
      </w:pPr>
    </w:p>
    <w:p w14:paraId="2A145A6D" w14:textId="35E3DEDD" w:rsidR="005C5DB7" w:rsidRDefault="00642717" w:rsidP="00812210">
      <w:pPr>
        <w:pStyle w:val="BodyTextMain"/>
        <w:rPr>
          <w:rFonts w:eastAsia="ヒラギノ角ゴ Pro W3"/>
          <w:lang w:val="en-CA" w:eastAsia="zh-CN"/>
        </w:rPr>
      </w:pPr>
      <w:r w:rsidRPr="00642717">
        <w:rPr>
          <w:rFonts w:eastAsia="ヒラギノ角ゴ Pro W3"/>
          <w:lang w:val="en-CA" w:eastAsia="zh-CN"/>
        </w:rPr>
        <w:t xml:space="preserve">However, </w:t>
      </w:r>
      <w:r w:rsidR="00F2795B">
        <w:rPr>
          <w:rFonts w:eastAsia="ヒラギノ角ゴ Pro W3"/>
          <w:lang w:val="en-CA" w:eastAsia="zh-CN"/>
        </w:rPr>
        <w:t xml:space="preserve">Sun also realized that </w:t>
      </w:r>
      <w:proofErr w:type="gramStart"/>
      <w:r w:rsidRPr="00642717">
        <w:rPr>
          <w:rFonts w:eastAsia="ヒラギノ角ゴ Pro W3"/>
          <w:lang w:val="en-CA" w:eastAsia="zh-CN"/>
        </w:rPr>
        <w:t>Go</w:t>
      </w:r>
      <w:proofErr w:type="gramEnd"/>
      <w:r w:rsidRPr="00642717">
        <w:rPr>
          <w:rFonts w:eastAsia="ヒラギノ角ゴ Pro W3"/>
          <w:lang w:val="en-CA" w:eastAsia="zh-CN"/>
        </w:rPr>
        <w:t xml:space="preserve"> was </w:t>
      </w:r>
      <w:r w:rsidR="009638BA">
        <w:rPr>
          <w:rFonts w:eastAsia="ヒラギノ角ゴ Pro W3"/>
          <w:lang w:val="en-CA" w:eastAsia="zh-CN"/>
        </w:rPr>
        <w:t>a relatively</w:t>
      </w:r>
      <w:r w:rsidRPr="00642717">
        <w:rPr>
          <w:rFonts w:eastAsia="ヒラギノ角ゴ Pro W3"/>
          <w:lang w:val="en-CA" w:eastAsia="zh-CN"/>
        </w:rPr>
        <w:t xml:space="preserve"> late addition to a Canadian child’s extracurricul</w:t>
      </w:r>
      <w:r w:rsidR="005C5DB7">
        <w:rPr>
          <w:rFonts w:eastAsia="ヒラギノ角ゴ Pro W3"/>
          <w:lang w:val="en-CA" w:eastAsia="zh-CN"/>
        </w:rPr>
        <w:t>ar</w:t>
      </w:r>
      <w:r w:rsidRPr="00642717">
        <w:rPr>
          <w:rFonts w:eastAsia="ヒラギノ角ゴ Pro W3"/>
          <w:lang w:val="en-CA" w:eastAsia="zh-CN"/>
        </w:rPr>
        <w:t xml:space="preserve"> activity options. </w:t>
      </w:r>
      <w:r w:rsidR="005C5DB7">
        <w:rPr>
          <w:rFonts w:eastAsia="ヒラギノ角ゴ Pro W3"/>
          <w:lang w:val="en-CA" w:eastAsia="zh-CN"/>
        </w:rPr>
        <w:t>R</w:t>
      </w:r>
      <w:r w:rsidR="005C5DB7" w:rsidRPr="00FE2737">
        <w:rPr>
          <w:rFonts w:eastAsia="ヒラギノ角ゴ Pro W3"/>
          <w:lang w:val="en-CA" w:eastAsia="zh-CN"/>
        </w:rPr>
        <w:t>egarding the challenges on increasing class enrollments,</w:t>
      </w:r>
      <w:r w:rsidR="005C5DB7" w:rsidRPr="005C5DB7">
        <w:rPr>
          <w:rFonts w:eastAsia="ヒラギノ角ゴ Pro W3"/>
          <w:lang w:val="en-CA" w:eastAsia="zh-CN"/>
        </w:rPr>
        <w:t xml:space="preserve"> </w:t>
      </w:r>
      <w:r w:rsidR="005C5DB7">
        <w:rPr>
          <w:rFonts w:eastAsia="ヒラギノ角ゴ Pro W3"/>
          <w:lang w:val="en-CA" w:eastAsia="zh-CN"/>
        </w:rPr>
        <w:t xml:space="preserve">Sun </w:t>
      </w:r>
      <w:r w:rsidR="005C5DB7" w:rsidRPr="00FE2737">
        <w:rPr>
          <w:rFonts w:eastAsia="ヒラギノ角ゴ Pro W3"/>
          <w:lang w:val="en-CA" w:eastAsia="zh-CN"/>
        </w:rPr>
        <w:t>said</w:t>
      </w:r>
      <w:r w:rsidR="005C5DB7">
        <w:rPr>
          <w:rFonts w:eastAsia="ヒラギノ角ゴ Pro W3"/>
          <w:lang w:val="en-CA" w:eastAsia="zh-CN"/>
        </w:rPr>
        <w:t>,</w:t>
      </w:r>
      <w:r w:rsidR="005C5DB7" w:rsidRPr="00FE2737">
        <w:rPr>
          <w:rFonts w:eastAsia="ヒラギノ角ゴ Pro W3"/>
          <w:lang w:val="en-CA" w:eastAsia="zh-CN"/>
        </w:rPr>
        <w:t xml:space="preserve"> </w:t>
      </w:r>
    </w:p>
    <w:p w14:paraId="023E947E" w14:textId="77777777" w:rsidR="005C5DB7" w:rsidRPr="00F67160" w:rsidRDefault="005C5DB7" w:rsidP="00812210">
      <w:pPr>
        <w:pStyle w:val="BodyTextMain"/>
        <w:rPr>
          <w:rFonts w:eastAsia="ヒラギノ角ゴ Pro W3"/>
          <w:sz w:val="18"/>
          <w:szCs w:val="18"/>
          <w:lang w:val="en-CA" w:eastAsia="zh-CN"/>
        </w:rPr>
      </w:pPr>
    </w:p>
    <w:p w14:paraId="51D6912E" w14:textId="6415843E" w:rsidR="005C5DB7" w:rsidRDefault="00642717" w:rsidP="00885784">
      <w:pPr>
        <w:pStyle w:val="BodyTextMain"/>
        <w:ind w:left="720"/>
        <w:rPr>
          <w:rFonts w:eastAsia="ヒラギノ角ゴ Pro W3"/>
          <w:lang w:val="en-CA" w:eastAsia="zh-CN"/>
        </w:rPr>
      </w:pPr>
      <w:r w:rsidRPr="00FE2737">
        <w:rPr>
          <w:rFonts w:eastAsia="ヒラギノ角ゴ Pro W3"/>
          <w:lang w:val="en-CA" w:eastAsia="zh-CN"/>
        </w:rPr>
        <w:t xml:space="preserve">Besides </w:t>
      </w:r>
      <w:r w:rsidR="005C5DB7">
        <w:rPr>
          <w:rFonts w:eastAsia="ヒラギノ角ゴ Pro W3"/>
          <w:lang w:val="en-CA" w:eastAsia="zh-CN"/>
        </w:rPr>
        <w:t xml:space="preserve">[the] </w:t>
      </w:r>
      <w:r w:rsidRPr="00FE2737">
        <w:rPr>
          <w:rFonts w:eastAsia="ヒラギノ角ゴ Pro W3"/>
          <w:lang w:val="en-CA" w:eastAsia="zh-CN"/>
        </w:rPr>
        <w:t>monetary factor, we were also competing with other extracurricul</w:t>
      </w:r>
      <w:r w:rsidR="005C5DB7">
        <w:rPr>
          <w:rFonts w:eastAsia="ヒラギノ角ゴ Pro W3"/>
          <w:lang w:val="en-CA" w:eastAsia="zh-CN"/>
        </w:rPr>
        <w:t>ar</w:t>
      </w:r>
      <w:r w:rsidRPr="00FE2737">
        <w:rPr>
          <w:rFonts w:eastAsia="ヒラギノ角ゴ Pro W3"/>
          <w:lang w:val="en-CA" w:eastAsia="zh-CN"/>
        </w:rPr>
        <w:t xml:space="preserve"> activities to get a spot on a child’s weekly agenda</w:t>
      </w:r>
      <w:r w:rsidR="005C5DB7">
        <w:rPr>
          <w:rFonts w:eastAsia="ヒラギノ角ゴ Pro W3"/>
          <w:lang w:val="en-CA" w:eastAsia="zh-CN"/>
        </w:rPr>
        <w:t>. . .</w:t>
      </w:r>
      <w:r w:rsidR="002D089F">
        <w:rPr>
          <w:rFonts w:eastAsia="ヒラギノ角ゴ Pro W3"/>
          <w:lang w:val="en-CA" w:eastAsia="zh-CN"/>
        </w:rPr>
        <w:t xml:space="preserve"> . </w:t>
      </w:r>
      <w:r w:rsidRPr="00FE2737">
        <w:rPr>
          <w:rFonts w:eastAsia="ヒラギノ角ゴ Pro W3"/>
          <w:lang w:val="en-CA" w:eastAsia="zh-CN"/>
        </w:rPr>
        <w:t xml:space="preserve">We just had one student who completed </w:t>
      </w:r>
      <w:r w:rsidR="005C5DB7">
        <w:rPr>
          <w:rFonts w:eastAsia="ヒラギノ角ゴ Pro W3"/>
          <w:lang w:val="en-CA" w:eastAsia="zh-CN"/>
        </w:rPr>
        <w:t xml:space="preserve">[his] </w:t>
      </w:r>
      <w:r w:rsidRPr="00FE2737">
        <w:rPr>
          <w:rFonts w:eastAsia="ヒラギノ角ゴ Pro W3"/>
          <w:lang w:val="en-CA" w:eastAsia="zh-CN"/>
        </w:rPr>
        <w:t xml:space="preserve">first </w:t>
      </w:r>
      <w:r w:rsidR="005C5DB7">
        <w:rPr>
          <w:rFonts w:eastAsia="ヒラギノ角ゴ Pro W3"/>
          <w:lang w:val="en-CA" w:eastAsia="zh-CN"/>
        </w:rPr>
        <w:t>b</w:t>
      </w:r>
      <w:r w:rsidRPr="00FE2737">
        <w:rPr>
          <w:rFonts w:eastAsia="ヒラギノ角ゴ Pro W3"/>
          <w:lang w:val="en-CA" w:eastAsia="zh-CN"/>
        </w:rPr>
        <w:t>eginner class series yet decided not to continue the Go class this term as he already had a tight weekly after-school schedule including lessons on piano, figure skating</w:t>
      </w:r>
      <w:r w:rsidR="005C5DB7">
        <w:rPr>
          <w:rFonts w:eastAsia="ヒラギノ角ゴ Pro W3"/>
          <w:lang w:val="en-CA" w:eastAsia="zh-CN"/>
        </w:rPr>
        <w:t>,</w:t>
      </w:r>
      <w:r w:rsidRPr="00FE2737">
        <w:rPr>
          <w:rFonts w:eastAsia="ヒラギノ角ゴ Pro W3"/>
          <w:lang w:val="en-CA" w:eastAsia="zh-CN"/>
        </w:rPr>
        <w:t xml:space="preserve"> and karate!</w:t>
      </w:r>
    </w:p>
    <w:p w14:paraId="4104E046" w14:textId="77777777" w:rsidR="005C5DB7" w:rsidRPr="00F67160" w:rsidRDefault="005C5DB7" w:rsidP="005C5DB7">
      <w:pPr>
        <w:pStyle w:val="BodyTextMain"/>
        <w:rPr>
          <w:rFonts w:eastAsia="ヒラギノ角ゴ Pro W3"/>
          <w:sz w:val="18"/>
          <w:szCs w:val="18"/>
          <w:lang w:val="en-CA" w:eastAsia="zh-CN"/>
        </w:rPr>
      </w:pPr>
    </w:p>
    <w:p w14:paraId="5E4AD285" w14:textId="77B20EF3" w:rsidR="00642717" w:rsidRPr="00F67160" w:rsidRDefault="00BB73B6" w:rsidP="005C5DB7">
      <w:pPr>
        <w:pStyle w:val="BodyTextMain"/>
        <w:rPr>
          <w:rFonts w:eastAsia="ヒラギノ角ゴ Pro W3"/>
          <w:spacing w:val="-2"/>
          <w:kern w:val="22"/>
          <w:lang w:val="en-CA" w:eastAsia="zh-CN"/>
        </w:rPr>
      </w:pPr>
      <w:r w:rsidRPr="00F67160">
        <w:rPr>
          <w:rFonts w:eastAsia="ヒラギノ角ゴ Pro W3"/>
          <w:spacing w:val="-2"/>
          <w:kern w:val="22"/>
          <w:lang w:val="en-CA" w:eastAsia="zh-CN"/>
        </w:rPr>
        <w:t xml:space="preserve">One session of Go class per week could be </w:t>
      </w:r>
      <w:r w:rsidR="004A3B46" w:rsidRPr="00F67160">
        <w:rPr>
          <w:rFonts w:eastAsia="ヒラギノ角ゴ Pro W3"/>
          <w:spacing w:val="-2"/>
          <w:kern w:val="22"/>
          <w:lang w:val="en-CA" w:eastAsia="zh-CN"/>
        </w:rPr>
        <w:t>accepted by parents</w:t>
      </w:r>
      <w:r w:rsidRPr="00F67160">
        <w:rPr>
          <w:rFonts w:eastAsia="ヒラギノ角ゴ Pro W3"/>
          <w:spacing w:val="-2"/>
          <w:kern w:val="22"/>
          <w:lang w:val="en-CA" w:eastAsia="zh-CN"/>
        </w:rPr>
        <w:t xml:space="preserve"> as a good complement to a child’s weekly sports activities (e.g.</w:t>
      </w:r>
      <w:r w:rsidR="005C5DB7" w:rsidRPr="00F67160">
        <w:rPr>
          <w:rFonts w:eastAsia="ヒラギノ角ゴ Pro W3"/>
          <w:spacing w:val="-2"/>
          <w:kern w:val="22"/>
          <w:lang w:val="en-CA" w:eastAsia="zh-CN"/>
        </w:rPr>
        <w:t>,</w:t>
      </w:r>
      <w:r w:rsidRPr="00F67160">
        <w:rPr>
          <w:rFonts w:eastAsia="ヒラギノ角ゴ Pro W3"/>
          <w:spacing w:val="-2"/>
          <w:kern w:val="22"/>
          <w:lang w:val="en-CA" w:eastAsia="zh-CN"/>
        </w:rPr>
        <w:t xml:space="preserve"> hockey, skating,</w:t>
      </w:r>
      <w:r w:rsidR="005C5DB7" w:rsidRPr="00F67160">
        <w:rPr>
          <w:rFonts w:eastAsia="ヒラギノ角ゴ Pro W3"/>
          <w:spacing w:val="-2"/>
          <w:kern w:val="22"/>
          <w:lang w:val="en-CA" w:eastAsia="zh-CN"/>
        </w:rPr>
        <w:t xml:space="preserve"> or</w:t>
      </w:r>
      <w:r w:rsidRPr="00F67160">
        <w:rPr>
          <w:rFonts w:eastAsia="ヒラギノ角ゴ Pro W3"/>
          <w:spacing w:val="-2"/>
          <w:kern w:val="22"/>
          <w:lang w:val="en-CA" w:eastAsia="zh-CN"/>
        </w:rPr>
        <w:t xml:space="preserve"> soccer), yet it still needed to </w:t>
      </w:r>
      <w:r w:rsidR="004A3B46" w:rsidRPr="00F67160">
        <w:rPr>
          <w:rFonts w:eastAsia="ヒラギノ角ゴ Pro W3"/>
          <w:spacing w:val="-2"/>
          <w:kern w:val="22"/>
          <w:lang w:val="en-CA" w:eastAsia="zh-CN"/>
        </w:rPr>
        <w:t>justify</w:t>
      </w:r>
      <w:r w:rsidRPr="00F67160">
        <w:rPr>
          <w:rFonts w:eastAsia="ヒラギノ角ゴ Pro W3"/>
          <w:spacing w:val="-2"/>
          <w:kern w:val="22"/>
          <w:lang w:val="en-CA" w:eastAsia="zh-CN"/>
        </w:rPr>
        <w:t xml:space="preserve"> its substitutability </w:t>
      </w:r>
      <w:r w:rsidR="005C5DB7" w:rsidRPr="00F67160">
        <w:rPr>
          <w:rFonts w:eastAsia="ヒラギノ角ゴ Pro W3"/>
          <w:spacing w:val="-2"/>
          <w:kern w:val="22"/>
          <w:lang w:val="en-CA" w:eastAsia="zh-CN"/>
        </w:rPr>
        <w:t xml:space="preserve">for </w:t>
      </w:r>
      <w:r w:rsidRPr="00F67160">
        <w:rPr>
          <w:rFonts w:eastAsia="ヒラギノ角ゴ Pro W3"/>
          <w:spacing w:val="-2"/>
          <w:kern w:val="22"/>
          <w:lang w:val="en-CA" w:eastAsia="zh-CN"/>
        </w:rPr>
        <w:t>other art</w:t>
      </w:r>
      <w:r w:rsidR="005C5DB7" w:rsidRPr="00F67160">
        <w:rPr>
          <w:rFonts w:eastAsia="ヒラギノ角ゴ Pro W3"/>
          <w:spacing w:val="-2"/>
          <w:kern w:val="22"/>
          <w:lang w:val="en-CA" w:eastAsia="zh-CN"/>
        </w:rPr>
        <w:t xml:space="preserve"> or</w:t>
      </w:r>
      <w:r w:rsidRPr="00F67160">
        <w:rPr>
          <w:rFonts w:eastAsia="ヒラギノ角ゴ Pro W3"/>
          <w:spacing w:val="-2"/>
          <w:kern w:val="22"/>
          <w:lang w:val="en-CA" w:eastAsia="zh-CN"/>
        </w:rPr>
        <w:t xml:space="preserve"> intellectual lessons (e.g.</w:t>
      </w:r>
      <w:r w:rsidR="005C5DB7" w:rsidRPr="00F67160">
        <w:rPr>
          <w:rFonts w:eastAsia="ヒラギノ角ゴ Pro W3"/>
          <w:spacing w:val="-2"/>
          <w:kern w:val="22"/>
          <w:lang w:val="en-CA" w:eastAsia="zh-CN"/>
        </w:rPr>
        <w:t>,</w:t>
      </w:r>
      <w:r w:rsidRPr="00F67160">
        <w:rPr>
          <w:rFonts w:eastAsia="ヒラギノ角ゴ Pro W3"/>
          <w:spacing w:val="-2"/>
          <w:kern w:val="22"/>
          <w:lang w:val="en-CA" w:eastAsia="zh-CN"/>
        </w:rPr>
        <w:t xml:space="preserve"> chess, piano, </w:t>
      </w:r>
      <w:r w:rsidR="005C5DB7" w:rsidRPr="00F67160">
        <w:rPr>
          <w:rFonts w:eastAsia="ヒラギノ角ゴ Pro W3"/>
          <w:spacing w:val="-2"/>
          <w:kern w:val="22"/>
          <w:lang w:val="en-CA" w:eastAsia="zh-CN"/>
        </w:rPr>
        <w:t xml:space="preserve">or </w:t>
      </w:r>
      <w:r w:rsidRPr="00F67160">
        <w:rPr>
          <w:rFonts w:eastAsia="ヒラギノ角ゴ Pro W3"/>
          <w:spacing w:val="-2"/>
          <w:kern w:val="22"/>
          <w:lang w:val="en-CA" w:eastAsia="zh-CN"/>
        </w:rPr>
        <w:t>STEM</w:t>
      </w:r>
      <w:r w:rsidR="00DF6B0F" w:rsidRPr="00F67160">
        <w:rPr>
          <w:rFonts w:eastAsia="ヒラギノ角ゴ Pro W3"/>
          <w:spacing w:val="-2"/>
          <w:kern w:val="22"/>
          <w:lang w:val="en-CA" w:eastAsia="zh-CN"/>
        </w:rPr>
        <w:t xml:space="preserve"> [science, technology, engineering, and mathematics]</w:t>
      </w:r>
      <w:r w:rsidRPr="00F67160">
        <w:rPr>
          <w:rFonts w:eastAsia="ヒラギノ角ゴ Pro W3"/>
          <w:spacing w:val="-2"/>
          <w:kern w:val="22"/>
          <w:lang w:val="en-CA" w:eastAsia="zh-CN"/>
        </w:rPr>
        <w:t>)</w:t>
      </w:r>
      <w:r w:rsidR="00DF6B0F" w:rsidRPr="00F67160">
        <w:rPr>
          <w:rFonts w:eastAsia="ヒラギノ角ゴ Pro W3"/>
          <w:spacing w:val="-2"/>
          <w:kern w:val="22"/>
          <w:lang w:val="en-CA" w:eastAsia="zh-CN"/>
        </w:rPr>
        <w:t>.</w:t>
      </w:r>
      <w:r w:rsidRPr="00F67160">
        <w:rPr>
          <w:rFonts w:eastAsia="ヒラギノ角ゴ Pro W3"/>
          <w:spacing w:val="-2"/>
          <w:kern w:val="22"/>
          <w:lang w:val="en-CA" w:eastAsia="zh-CN"/>
        </w:rPr>
        <w:t xml:space="preserve"> </w:t>
      </w:r>
      <w:r w:rsidR="00642717" w:rsidRPr="00F67160">
        <w:rPr>
          <w:rFonts w:eastAsia="ヒラギノ角ゴ Pro W3"/>
          <w:spacing w:val="-2"/>
          <w:kern w:val="22"/>
          <w:lang w:val="en-CA" w:eastAsia="zh-CN"/>
        </w:rPr>
        <w:t xml:space="preserve">The ultimate success of Sun Quan Education Inc.’s business adventure </w:t>
      </w:r>
      <w:r w:rsidR="000444D0" w:rsidRPr="00F67160">
        <w:rPr>
          <w:rFonts w:eastAsia="ヒラギノ角ゴ Pro W3"/>
          <w:spacing w:val="-2"/>
          <w:kern w:val="22"/>
          <w:lang w:val="en-CA" w:eastAsia="zh-CN"/>
        </w:rPr>
        <w:t>depend</w:t>
      </w:r>
      <w:r w:rsidR="00DF6B0F" w:rsidRPr="00F67160">
        <w:rPr>
          <w:rFonts w:eastAsia="ヒラギノ角ゴ Pro W3"/>
          <w:spacing w:val="-2"/>
          <w:kern w:val="22"/>
          <w:lang w:val="en-CA" w:eastAsia="zh-CN"/>
        </w:rPr>
        <w:t>ed</w:t>
      </w:r>
      <w:r w:rsidR="00642717" w:rsidRPr="00F67160">
        <w:rPr>
          <w:rFonts w:eastAsia="ヒラギノ角ゴ Pro W3"/>
          <w:spacing w:val="-2"/>
          <w:kern w:val="22"/>
          <w:lang w:val="en-CA" w:eastAsia="zh-CN"/>
        </w:rPr>
        <w:t xml:space="preserve"> on the feasibility and success of expanding the </w:t>
      </w:r>
      <w:r w:rsidR="00DA7F86" w:rsidRPr="00F67160">
        <w:rPr>
          <w:rFonts w:eastAsia="ヒラギノ角ゴ Pro W3"/>
          <w:spacing w:val="-2"/>
          <w:kern w:val="22"/>
          <w:lang w:val="en-CA" w:eastAsia="zh-CN"/>
        </w:rPr>
        <w:t>We-GO</w:t>
      </w:r>
      <w:r w:rsidR="00642717" w:rsidRPr="00F67160">
        <w:rPr>
          <w:rFonts w:eastAsia="ヒラギノ角ゴ Pro W3"/>
          <w:spacing w:val="-2"/>
          <w:kern w:val="22"/>
          <w:lang w:val="en-CA" w:eastAsia="zh-CN"/>
        </w:rPr>
        <w:t xml:space="preserve"> </w:t>
      </w:r>
      <w:r w:rsidR="009638BA" w:rsidRPr="00F67160">
        <w:rPr>
          <w:rFonts w:eastAsia="ヒラギノ角ゴ Pro W3"/>
          <w:spacing w:val="-2"/>
          <w:kern w:val="22"/>
          <w:lang w:val="en-CA" w:eastAsia="zh-CN"/>
        </w:rPr>
        <w:t>C</w:t>
      </w:r>
      <w:r w:rsidR="00642717" w:rsidRPr="00F67160">
        <w:rPr>
          <w:rFonts w:eastAsia="ヒラギノ角ゴ Pro W3"/>
          <w:spacing w:val="-2"/>
          <w:kern w:val="22"/>
          <w:lang w:val="en-CA" w:eastAsia="zh-CN"/>
        </w:rPr>
        <w:t xml:space="preserve">lub’s customer base beyond the particular demographic group. </w:t>
      </w:r>
    </w:p>
    <w:p w14:paraId="6AB9B4D2" w14:textId="77777777" w:rsidR="00812210" w:rsidRPr="00F67160" w:rsidRDefault="00812210" w:rsidP="00812210">
      <w:pPr>
        <w:pStyle w:val="BodyTextMain"/>
        <w:rPr>
          <w:rFonts w:eastAsia="ヒラギノ角ゴ Pro W3"/>
          <w:sz w:val="18"/>
          <w:szCs w:val="18"/>
          <w:lang w:val="en-CA" w:eastAsia="zh-CN"/>
        </w:rPr>
      </w:pPr>
    </w:p>
    <w:p w14:paraId="585033ED" w14:textId="2B98F50C" w:rsidR="00917643" w:rsidRDefault="00642717" w:rsidP="00812210">
      <w:pPr>
        <w:pStyle w:val="BodyTextMain"/>
        <w:rPr>
          <w:rFonts w:eastAsia="ヒラギノ角ゴ Pro W3"/>
          <w:lang w:val="en-CA" w:eastAsia="zh-CN"/>
        </w:rPr>
      </w:pPr>
      <w:r w:rsidRPr="00642717">
        <w:rPr>
          <w:rFonts w:eastAsia="ヒラギノ角ゴ Pro W3"/>
          <w:lang w:val="en-CA" w:eastAsia="zh-CN"/>
        </w:rPr>
        <w:t xml:space="preserve">One possible market development proposed by Sun was to make </w:t>
      </w:r>
      <w:proofErr w:type="gramStart"/>
      <w:r w:rsidRPr="00642717">
        <w:rPr>
          <w:rFonts w:eastAsia="ヒラギノ角ゴ Pro W3"/>
          <w:lang w:val="en-CA" w:eastAsia="zh-CN"/>
        </w:rPr>
        <w:t>Go</w:t>
      </w:r>
      <w:proofErr w:type="gramEnd"/>
      <w:r w:rsidRPr="00642717">
        <w:rPr>
          <w:rFonts w:eastAsia="ヒラギノ角ゴ Pro W3"/>
          <w:lang w:val="en-CA" w:eastAsia="zh-CN"/>
        </w:rPr>
        <w:t xml:space="preserve"> a standard curriculum item for public schools. This was an idea i</w:t>
      </w:r>
      <w:r w:rsidRPr="00FE2737">
        <w:rPr>
          <w:rFonts w:eastAsia="ヒラギノ角ゴ Pro W3"/>
          <w:lang w:val="en-CA" w:eastAsia="zh-CN"/>
        </w:rPr>
        <w:t>nspired by the Chess Institute of Canada</w:t>
      </w:r>
      <w:r w:rsidR="006E6FC1">
        <w:rPr>
          <w:rFonts w:eastAsia="ヒラギノ角ゴ Pro W3"/>
          <w:lang w:val="en-CA" w:eastAsia="zh-CN"/>
        </w:rPr>
        <w:t>,</w:t>
      </w:r>
      <w:r w:rsidRPr="00FE2737">
        <w:rPr>
          <w:rFonts w:eastAsia="ヒラギノ角ゴ Pro W3"/>
          <w:lang w:val="en-CA" w:eastAsia="zh-CN"/>
        </w:rPr>
        <w:t xml:space="preserve"> wh</w:t>
      </w:r>
      <w:r w:rsidR="0046517E">
        <w:rPr>
          <w:rFonts w:eastAsia="ヒラギノ角ゴ Pro W3"/>
          <w:lang w:val="en-CA" w:eastAsia="zh-CN"/>
        </w:rPr>
        <w:t>ich</w:t>
      </w:r>
      <w:r w:rsidRPr="00FE2737">
        <w:rPr>
          <w:rFonts w:eastAsia="ヒラギノ角ゴ Pro W3"/>
          <w:lang w:val="en-CA" w:eastAsia="zh-CN"/>
        </w:rPr>
        <w:t xml:space="preserve"> offered specialized chess curriculum classes in both elementary schools (</w:t>
      </w:r>
      <w:r w:rsidR="00746A8F">
        <w:rPr>
          <w:rFonts w:eastAsia="ヒラギノ角ゴ Pro W3"/>
          <w:lang w:val="en-CA" w:eastAsia="zh-CN"/>
        </w:rPr>
        <w:t>k</w:t>
      </w:r>
      <w:r w:rsidRPr="00FE2737">
        <w:rPr>
          <w:rFonts w:eastAsia="ヒラギノ角ゴ Pro W3"/>
          <w:lang w:val="en-CA" w:eastAsia="zh-CN"/>
        </w:rPr>
        <w:t>indergarten to Grade 6) and middle and high schools (Grades 7 to 12).</w:t>
      </w:r>
      <w:r w:rsidRPr="00FE2737">
        <w:rPr>
          <w:rFonts w:eastAsia="ヒラギノ角ゴ Pro W3"/>
          <w:vertAlign w:val="superscript"/>
          <w:lang w:val="en-CA" w:eastAsia="zh-CN"/>
        </w:rPr>
        <w:footnoteReference w:id="19"/>
      </w:r>
      <w:r w:rsidRPr="00FE2737">
        <w:rPr>
          <w:rFonts w:eastAsia="ヒラギノ角ゴ Pro W3"/>
          <w:lang w:val="en-CA" w:eastAsia="zh-CN"/>
        </w:rPr>
        <w:t xml:space="preserve"> Sun believed that the demand for Go instruction offered by his club would receive a </w:t>
      </w:r>
      <w:r w:rsidR="0046517E">
        <w:rPr>
          <w:rFonts w:eastAsia="ヒラギノ角ゴ Pro W3"/>
          <w:lang w:val="en-CA" w:eastAsia="zh-CN"/>
        </w:rPr>
        <w:t>significant</w:t>
      </w:r>
      <w:r w:rsidRPr="00FE2737">
        <w:rPr>
          <w:rFonts w:eastAsia="ヒラギノ角ゴ Pro W3"/>
          <w:lang w:val="en-CA" w:eastAsia="zh-CN"/>
        </w:rPr>
        <w:t xml:space="preserve"> boost if Go became a curriculum class </w:t>
      </w:r>
      <w:r w:rsidR="0046517E">
        <w:rPr>
          <w:rFonts w:eastAsia="ヒラギノ角ゴ Pro W3"/>
          <w:lang w:val="en-CA" w:eastAsia="zh-CN"/>
        </w:rPr>
        <w:t>as</w:t>
      </w:r>
      <w:r w:rsidRPr="00FE2737">
        <w:rPr>
          <w:rFonts w:eastAsia="ヒラギノ角ゴ Pro W3"/>
          <w:lang w:val="en-CA" w:eastAsia="zh-CN"/>
        </w:rPr>
        <w:t xml:space="preserve"> part of a mandatory program delivered within regular class time</w:t>
      </w:r>
      <w:r w:rsidR="0001290A">
        <w:rPr>
          <w:rFonts w:eastAsia="ヒラギノ角ゴ Pro W3"/>
          <w:lang w:val="en-CA" w:eastAsia="zh-CN"/>
        </w:rPr>
        <w:t xml:space="preserve"> (</w:t>
      </w:r>
      <w:r w:rsidR="00746A8F">
        <w:rPr>
          <w:rFonts w:eastAsia="ヒラギノ角ゴ Pro W3"/>
          <w:lang w:val="en-CA" w:eastAsia="zh-CN"/>
        </w:rPr>
        <w:t xml:space="preserve">see </w:t>
      </w:r>
      <w:r w:rsidR="00EE3388" w:rsidRPr="00FE2737">
        <w:rPr>
          <w:rFonts w:eastAsia="ヒラギノ角ゴ Pro W3"/>
          <w:color w:val="000000"/>
          <w:lang w:eastAsia="zh-CN"/>
        </w:rPr>
        <w:t xml:space="preserve">Exhibit </w:t>
      </w:r>
      <w:r w:rsidR="00EE3388">
        <w:rPr>
          <w:rFonts w:eastAsia="ヒラギノ角ゴ Pro W3"/>
          <w:color w:val="000000"/>
          <w:lang w:eastAsia="zh-CN"/>
        </w:rPr>
        <w:t>3</w:t>
      </w:r>
      <w:r w:rsidR="0001290A">
        <w:rPr>
          <w:rFonts w:eastAsia="ヒラギノ角ゴ Pro W3"/>
          <w:lang w:val="en-CA" w:eastAsia="zh-CN"/>
        </w:rPr>
        <w:t>)</w:t>
      </w:r>
      <w:r w:rsidRPr="00FE2737">
        <w:rPr>
          <w:rFonts w:eastAsia="ヒラギノ角ゴ Pro W3"/>
          <w:lang w:val="en-CA" w:eastAsia="zh-CN"/>
        </w:rPr>
        <w:t xml:space="preserve">. Sun took some initiative in creating the awareness and interest for students in the elementary schools </w:t>
      </w:r>
      <w:r w:rsidR="00746A8F">
        <w:rPr>
          <w:rFonts w:eastAsia="ヒラギノ角ゴ Pro W3"/>
          <w:lang w:val="en-CA" w:eastAsia="zh-CN"/>
        </w:rPr>
        <w:t xml:space="preserve">in the </w:t>
      </w:r>
      <w:r w:rsidRPr="00FE2737">
        <w:rPr>
          <w:rFonts w:eastAsia="ヒラギノ角ゴ Pro W3"/>
          <w:lang w:val="en-CA" w:eastAsia="zh-CN"/>
        </w:rPr>
        <w:t>Kitchener</w:t>
      </w:r>
      <w:r w:rsidR="00746A8F">
        <w:rPr>
          <w:rFonts w:eastAsia="ヒラギノ角ゴ Pro W3"/>
          <w:lang w:val="en-CA" w:eastAsia="zh-CN"/>
        </w:rPr>
        <w:t>-</w:t>
      </w:r>
      <w:r w:rsidRPr="00FE2737">
        <w:rPr>
          <w:rFonts w:eastAsia="ヒラギノ角ゴ Pro W3"/>
          <w:lang w:val="en-CA" w:eastAsia="zh-CN"/>
        </w:rPr>
        <w:t xml:space="preserve">Waterloo area. </w:t>
      </w:r>
    </w:p>
    <w:p w14:paraId="48EDC250" w14:textId="77777777" w:rsidR="00917643" w:rsidRPr="00F67160" w:rsidRDefault="00917643" w:rsidP="00812210">
      <w:pPr>
        <w:pStyle w:val="BodyTextMain"/>
        <w:rPr>
          <w:rFonts w:eastAsia="ヒラギノ角ゴ Pro W3"/>
          <w:sz w:val="18"/>
          <w:szCs w:val="18"/>
          <w:lang w:val="en-CA" w:eastAsia="zh-CN"/>
        </w:rPr>
      </w:pPr>
    </w:p>
    <w:p w14:paraId="6EDD19C5" w14:textId="09C1FD58" w:rsidR="00746A8F" w:rsidRDefault="00642717" w:rsidP="00812210">
      <w:pPr>
        <w:pStyle w:val="BodyTextMain"/>
        <w:rPr>
          <w:rFonts w:eastAsia="ヒラギノ角ゴ Pro W3"/>
          <w:spacing w:val="-2"/>
          <w:kern w:val="22"/>
          <w:lang w:val="en-CA" w:eastAsia="zh-CN"/>
        </w:rPr>
      </w:pPr>
      <w:r w:rsidRPr="00F67160">
        <w:rPr>
          <w:rFonts w:eastAsia="ヒラギノ角ゴ Pro W3"/>
          <w:spacing w:val="-2"/>
          <w:kern w:val="22"/>
          <w:lang w:val="en-CA" w:eastAsia="zh-CN"/>
        </w:rPr>
        <w:t xml:space="preserve">Part of his early </w:t>
      </w:r>
      <w:r w:rsidR="00917643" w:rsidRPr="00F67160">
        <w:rPr>
          <w:rFonts w:eastAsia="ヒラギノ角ゴ Pro W3"/>
          <w:spacing w:val="-2"/>
          <w:kern w:val="22"/>
          <w:lang w:val="en-CA" w:eastAsia="zh-CN"/>
        </w:rPr>
        <w:t xml:space="preserve">childhood </w:t>
      </w:r>
      <w:r w:rsidRPr="00F67160">
        <w:rPr>
          <w:rFonts w:eastAsia="ヒラギノ角ゴ Pro W3"/>
          <w:spacing w:val="-2"/>
          <w:kern w:val="22"/>
          <w:lang w:val="en-CA" w:eastAsia="zh-CN"/>
        </w:rPr>
        <w:t xml:space="preserve">education </w:t>
      </w:r>
      <w:r w:rsidR="00917643" w:rsidRPr="00F67160">
        <w:rPr>
          <w:rFonts w:eastAsia="ヒラギノ角ゴ Pro W3"/>
          <w:spacing w:val="-2"/>
          <w:kern w:val="22"/>
          <w:lang w:val="en-CA" w:eastAsia="zh-CN"/>
        </w:rPr>
        <w:t>program</w:t>
      </w:r>
      <w:r w:rsidRPr="00F67160">
        <w:rPr>
          <w:rFonts w:eastAsia="ヒラギノ角ゴ Pro W3"/>
          <w:spacing w:val="-2"/>
          <w:kern w:val="22"/>
          <w:lang w:val="en-CA" w:eastAsia="zh-CN"/>
        </w:rPr>
        <w:t xml:space="preserve"> at Conestoga College involved internship</w:t>
      </w:r>
      <w:r w:rsidR="007879DE" w:rsidRPr="00F67160">
        <w:rPr>
          <w:rFonts w:eastAsia="ヒラギノ角ゴ Pro W3"/>
          <w:spacing w:val="-2"/>
          <w:kern w:val="22"/>
          <w:lang w:val="en-CA" w:eastAsia="zh-CN"/>
        </w:rPr>
        <w:t>s</w:t>
      </w:r>
      <w:r w:rsidRPr="00F67160">
        <w:rPr>
          <w:rFonts w:eastAsia="ヒラギノ角ゴ Pro W3"/>
          <w:spacing w:val="-2"/>
          <w:kern w:val="22"/>
          <w:lang w:val="en-CA" w:eastAsia="zh-CN"/>
        </w:rPr>
        <w:t xml:space="preserve"> at designated public schools </w:t>
      </w:r>
      <w:r w:rsidR="00746A8F" w:rsidRPr="00F67160">
        <w:rPr>
          <w:rFonts w:eastAsia="ヒラギノ角ゴ Pro W3"/>
          <w:spacing w:val="-2"/>
          <w:kern w:val="22"/>
          <w:lang w:val="en-CA" w:eastAsia="zh-CN"/>
        </w:rPr>
        <w:t>in</w:t>
      </w:r>
      <w:r w:rsidRPr="00F67160">
        <w:rPr>
          <w:rFonts w:eastAsia="ヒラギノ角ゴ Pro W3"/>
          <w:spacing w:val="-2"/>
          <w:kern w:val="22"/>
          <w:lang w:val="en-CA" w:eastAsia="zh-CN"/>
        </w:rPr>
        <w:t xml:space="preserve"> Waterloo. When he worked as</w:t>
      </w:r>
      <w:r w:rsidR="007879DE" w:rsidRPr="00F67160">
        <w:rPr>
          <w:rFonts w:eastAsia="ヒラギノ角ゴ Pro W3"/>
          <w:spacing w:val="-2"/>
          <w:kern w:val="22"/>
          <w:lang w:val="en-CA" w:eastAsia="zh-CN"/>
        </w:rPr>
        <w:t xml:space="preserve"> a</w:t>
      </w:r>
      <w:r w:rsidRPr="00F67160">
        <w:rPr>
          <w:rFonts w:eastAsia="ヒラギノ角ゴ Pro W3"/>
          <w:spacing w:val="-2"/>
          <w:kern w:val="22"/>
          <w:lang w:val="en-CA" w:eastAsia="zh-CN"/>
        </w:rPr>
        <w:t xml:space="preserve"> supply teacher for students in the after-school program, Sun always took the opportunity to introduce students </w:t>
      </w:r>
      <w:r w:rsidR="00DB5C32" w:rsidRPr="00F67160">
        <w:rPr>
          <w:rFonts w:eastAsia="ヒラギノ角ゴ Pro W3"/>
          <w:spacing w:val="-2"/>
          <w:kern w:val="22"/>
          <w:lang w:val="en-CA" w:eastAsia="zh-CN"/>
        </w:rPr>
        <w:t xml:space="preserve">to </w:t>
      </w:r>
      <w:r w:rsidR="0046517E" w:rsidRPr="00F67160">
        <w:rPr>
          <w:rFonts w:eastAsia="ヒラギノ角ゴ Pro W3"/>
          <w:spacing w:val="-2"/>
          <w:kern w:val="22"/>
          <w:lang w:val="en-CA" w:eastAsia="zh-CN"/>
        </w:rPr>
        <w:t>this</w:t>
      </w:r>
      <w:r w:rsidRPr="00F67160">
        <w:rPr>
          <w:rFonts w:eastAsia="ヒラギノ角ゴ Pro W3"/>
          <w:spacing w:val="-2"/>
          <w:kern w:val="22"/>
          <w:lang w:val="en-CA" w:eastAsia="zh-CN"/>
        </w:rPr>
        <w:t xml:space="preserve"> new game called Go and explained its unique format and competitive mechanism to </w:t>
      </w:r>
      <w:r w:rsidR="00DB2D37" w:rsidRPr="00F67160">
        <w:rPr>
          <w:rFonts w:eastAsia="ヒラギノ角ゴ Pro W3"/>
          <w:spacing w:val="-2"/>
          <w:kern w:val="22"/>
          <w:lang w:val="en-CA" w:eastAsia="zh-CN"/>
        </w:rPr>
        <w:t>get students</w:t>
      </w:r>
      <w:r w:rsidR="00DB5C32" w:rsidRPr="00F67160">
        <w:rPr>
          <w:rFonts w:eastAsia="ヒラギノ角ゴ Pro W3"/>
          <w:spacing w:val="-2"/>
          <w:kern w:val="22"/>
          <w:lang w:val="en-CA" w:eastAsia="zh-CN"/>
        </w:rPr>
        <w:t xml:space="preserve"> to try the game</w:t>
      </w:r>
      <w:r w:rsidRPr="00F67160">
        <w:rPr>
          <w:rFonts w:eastAsia="ヒラギノ角ゴ Pro W3"/>
          <w:spacing w:val="-2"/>
          <w:kern w:val="22"/>
          <w:lang w:val="en-CA" w:eastAsia="zh-CN"/>
        </w:rPr>
        <w:t xml:space="preserve">. Upon graduation, Sun continued </w:t>
      </w:r>
      <w:r w:rsidR="00BD2DA3" w:rsidRPr="00F67160">
        <w:rPr>
          <w:rFonts w:eastAsia="ヒラギノ角ゴ Pro W3"/>
          <w:spacing w:val="-2"/>
          <w:kern w:val="22"/>
          <w:lang w:val="en-CA" w:eastAsia="zh-CN"/>
        </w:rPr>
        <w:t>to</w:t>
      </w:r>
      <w:r w:rsidRPr="00F67160">
        <w:rPr>
          <w:rFonts w:eastAsia="ヒラギノ角ゴ Pro W3"/>
          <w:spacing w:val="-2"/>
          <w:kern w:val="22"/>
          <w:lang w:val="en-CA" w:eastAsia="zh-CN"/>
        </w:rPr>
        <w:t xml:space="preserve"> research the potential and </w:t>
      </w:r>
      <w:r w:rsidR="00BD2DA3" w:rsidRPr="00F67160">
        <w:rPr>
          <w:rFonts w:eastAsia="ヒラギノ角ゴ Pro W3"/>
          <w:spacing w:val="-2"/>
          <w:kern w:val="22"/>
          <w:lang w:val="en-CA" w:eastAsia="zh-CN"/>
        </w:rPr>
        <w:t xml:space="preserve">the </w:t>
      </w:r>
      <w:r w:rsidRPr="00F67160">
        <w:rPr>
          <w:rFonts w:eastAsia="ヒラギノ角ゴ Pro W3"/>
          <w:spacing w:val="-2"/>
          <w:kern w:val="22"/>
          <w:lang w:val="en-CA" w:eastAsia="zh-CN"/>
        </w:rPr>
        <w:t>procedure</w:t>
      </w:r>
      <w:r w:rsidR="00BD2DA3" w:rsidRPr="00F67160">
        <w:rPr>
          <w:rFonts w:eastAsia="ヒラギノ角ゴ Pro W3"/>
          <w:spacing w:val="-2"/>
          <w:kern w:val="22"/>
          <w:lang w:val="en-CA" w:eastAsia="zh-CN"/>
        </w:rPr>
        <w:t>s necessary to</w:t>
      </w:r>
      <w:r w:rsidRPr="00F67160">
        <w:rPr>
          <w:rFonts w:eastAsia="ヒラギノ角ゴ Pro W3"/>
          <w:spacing w:val="-2"/>
          <w:kern w:val="22"/>
          <w:lang w:val="en-CA" w:eastAsia="zh-CN"/>
        </w:rPr>
        <w:t xml:space="preserve"> </w:t>
      </w:r>
      <w:r w:rsidR="00BD2DA3" w:rsidRPr="00F67160">
        <w:rPr>
          <w:rFonts w:eastAsia="ヒラギノ角ゴ Pro W3"/>
          <w:spacing w:val="-2"/>
          <w:kern w:val="22"/>
          <w:lang w:val="en-CA" w:eastAsia="zh-CN"/>
        </w:rPr>
        <w:t xml:space="preserve">have </w:t>
      </w:r>
      <w:r w:rsidRPr="00F67160">
        <w:rPr>
          <w:rFonts w:eastAsia="ヒラギノ角ゴ Pro W3"/>
          <w:spacing w:val="-2"/>
          <w:kern w:val="22"/>
          <w:lang w:val="en-CA" w:eastAsia="zh-CN"/>
        </w:rPr>
        <w:t xml:space="preserve">Go offered </w:t>
      </w:r>
      <w:r w:rsidR="000270A9" w:rsidRPr="00F67160">
        <w:rPr>
          <w:rFonts w:eastAsia="ヒラギノ角ゴ Pro W3"/>
          <w:spacing w:val="-2"/>
          <w:kern w:val="22"/>
          <w:lang w:val="en-CA" w:eastAsia="zh-CN"/>
        </w:rPr>
        <w:t xml:space="preserve">as a curriculum class </w:t>
      </w:r>
      <w:r w:rsidRPr="00F67160">
        <w:rPr>
          <w:rFonts w:eastAsia="ヒラギノ角ゴ Pro W3"/>
          <w:spacing w:val="-2"/>
          <w:kern w:val="22"/>
          <w:lang w:val="en-CA" w:eastAsia="zh-CN"/>
        </w:rPr>
        <w:t xml:space="preserve">by the </w:t>
      </w:r>
      <w:r w:rsidR="000270A9" w:rsidRPr="00F67160">
        <w:rPr>
          <w:rFonts w:eastAsia="ヒラギノ角ゴ Pro W3"/>
          <w:spacing w:val="-2"/>
          <w:kern w:val="22"/>
          <w:lang w:val="en-CA" w:eastAsia="zh-CN"/>
        </w:rPr>
        <w:t>W</w:t>
      </w:r>
      <w:r w:rsidRPr="00F67160">
        <w:rPr>
          <w:rFonts w:eastAsia="ヒラギノ角ゴ Pro W3"/>
          <w:spacing w:val="-2"/>
          <w:kern w:val="22"/>
          <w:lang w:val="en-CA" w:eastAsia="zh-CN"/>
        </w:rPr>
        <w:t xml:space="preserve">aterloo </w:t>
      </w:r>
      <w:r w:rsidR="003304D8" w:rsidRPr="00F67160">
        <w:rPr>
          <w:rFonts w:eastAsia="ヒラギノ角ゴ Pro W3"/>
          <w:spacing w:val="-2"/>
          <w:kern w:val="22"/>
          <w:lang w:val="en-CA" w:eastAsia="zh-CN"/>
        </w:rPr>
        <w:t>Region District School Board</w:t>
      </w:r>
      <w:r w:rsidRPr="00F67160">
        <w:rPr>
          <w:rFonts w:eastAsia="ヒラギノ角ゴ Pro W3"/>
          <w:spacing w:val="-2"/>
          <w:kern w:val="22"/>
          <w:lang w:val="en-CA" w:eastAsia="zh-CN"/>
        </w:rPr>
        <w:t>.</w:t>
      </w:r>
      <w:r w:rsidR="00022C43" w:rsidRPr="00F67160">
        <w:rPr>
          <w:rFonts w:eastAsia="ヒラギノ角ゴ Pro W3"/>
          <w:spacing w:val="-2"/>
          <w:kern w:val="22"/>
          <w:lang w:val="en-CA" w:eastAsia="zh-CN"/>
        </w:rPr>
        <w:t xml:space="preserve"> </w:t>
      </w:r>
      <w:r w:rsidR="000270A9" w:rsidRPr="00F67160">
        <w:rPr>
          <w:rFonts w:eastAsia="ヒラギノ角ゴ Pro W3"/>
          <w:spacing w:val="-2"/>
          <w:kern w:val="22"/>
          <w:lang w:val="en-CA" w:eastAsia="zh-CN"/>
        </w:rPr>
        <w:t>These kind</w:t>
      </w:r>
      <w:r w:rsidR="00746A8F" w:rsidRPr="00F67160">
        <w:rPr>
          <w:rFonts w:eastAsia="ヒラギノ角ゴ Pro W3"/>
          <w:spacing w:val="-2"/>
          <w:kern w:val="22"/>
          <w:lang w:val="en-CA" w:eastAsia="zh-CN"/>
        </w:rPr>
        <w:t>s</w:t>
      </w:r>
      <w:r w:rsidR="000270A9" w:rsidRPr="00F67160">
        <w:rPr>
          <w:rFonts w:eastAsia="ヒラギノ角ゴ Pro W3"/>
          <w:spacing w:val="-2"/>
          <w:kern w:val="22"/>
          <w:lang w:val="en-CA" w:eastAsia="zh-CN"/>
        </w:rPr>
        <w:t xml:space="preserve"> of curriculum classes could be financed by any combination of parent councils, school budgets</w:t>
      </w:r>
      <w:r w:rsidR="00746A8F" w:rsidRPr="00F67160">
        <w:rPr>
          <w:rFonts w:eastAsia="ヒラギノ角ゴ Pro W3"/>
          <w:spacing w:val="-2"/>
          <w:kern w:val="22"/>
          <w:lang w:val="en-CA" w:eastAsia="zh-CN"/>
        </w:rPr>
        <w:t>,</w:t>
      </w:r>
      <w:r w:rsidR="000270A9" w:rsidRPr="00F67160">
        <w:rPr>
          <w:rFonts w:eastAsia="ヒラギノ角ゴ Pro W3"/>
          <w:spacing w:val="-2"/>
          <w:kern w:val="22"/>
          <w:lang w:val="en-CA" w:eastAsia="zh-CN"/>
        </w:rPr>
        <w:t xml:space="preserve"> and additional outside sponsorships and subsidies.</w:t>
      </w:r>
      <w:r w:rsidR="00D6696D" w:rsidRPr="00F67160">
        <w:rPr>
          <w:rStyle w:val="FootnoteReference"/>
          <w:rFonts w:eastAsia="ヒラギノ角ゴ Pro W3"/>
          <w:spacing w:val="-2"/>
          <w:kern w:val="22"/>
          <w:lang w:val="en-CA" w:eastAsia="zh-CN"/>
        </w:rPr>
        <w:footnoteReference w:id="20"/>
      </w:r>
      <w:r w:rsidR="000270A9" w:rsidRPr="00F67160">
        <w:rPr>
          <w:rFonts w:eastAsia="ヒラギノ角ゴ Pro W3"/>
          <w:spacing w:val="-2"/>
          <w:kern w:val="22"/>
          <w:lang w:val="en-CA" w:eastAsia="zh-CN"/>
        </w:rPr>
        <w:t xml:space="preserve"> </w:t>
      </w:r>
      <w:r w:rsidR="00504400" w:rsidRPr="00F67160">
        <w:rPr>
          <w:rFonts w:eastAsia="ヒラギノ角ゴ Pro W3"/>
          <w:spacing w:val="-2"/>
          <w:kern w:val="22"/>
          <w:lang w:val="en-CA" w:eastAsia="zh-CN"/>
        </w:rPr>
        <w:t xml:space="preserve">However, the recent changes to Ontario’s education funding </w:t>
      </w:r>
      <w:r w:rsidR="001A6A39" w:rsidRPr="00F67160">
        <w:rPr>
          <w:rFonts w:eastAsia="ヒラギノ角ゴ Pro W3"/>
          <w:spacing w:val="-2"/>
          <w:kern w:val="22"/>
          <w:lang w:val="en-CA" w:eastAsia="zh-CN"/>
        </w:rPr>
        <w:t>indicated a potentially</w:t>
      </w:r>
      <w:r w:rsidR="00504400" w:rsidRPr="00F67160">
        <w:rPr>
          <w:rFonts w:eastAsia="ヒラギノ角ゴ Pro W3"/>
          <w:spacing w:val="-2"/>
          <w:kern w:val="22"/>
          <w:lang w:val="en-CA" w:eastAsia="zh-CN"/>
        </w:rPr>
        <w:t xml:space="preserve"> longer process in pursu</w:t>
      </w:r>
      <w:r w:rsidR="00746A8F" w:rsidRPr="00F67160">
        <w:rPr>
          <w:rFonts w:eastAsia="ヒラギノ角ゴ Pro W3"/>
          <w:spacing w:val="-2"/>
          <w:kern w:val="22"/>
          <w:lang w:val="en-CA" w:eastAsia="zh-CN"/>
        </w:rPr>
        <w:t>ing</w:t>
      </w:r>
      <w:r w:rsidR="00504400" w:rsidRPr="00F67160">
        <w:rPr>
          <w:rFonts w:eastAsia="ヒラギノ角ゴ Pro W3"/>
          <w:spacing w:val="-2"/>
          <w:kern w:val="22"/>
          <w:lang w:val="en-CA" w:eastAsia="zh-CN"/>
        </w:rPr>
        <w:t xml:space="preserve"> this market development.</w:t>
      </w:r>
      <w:r w:rsidR="00227AAE" w:rsidRPr="00F67160">
        <w:rPr>
          <w:rStyle w:val="FootnoteReference"/>
          <w:rFonts w:eastAsia="ヒラギノ角ゴ Pro W3"/>
          <w:spacing w:val="-2"/>
          <w:kern w:val="22"/>
          <w:lang w:val="en-CA" w:eastAsia="zh-CN"/>
        </w:rPr>
        <w:footnoteReference w:id="21"/>
      </w:r>
      <w:r w:rsidR="00504400" w:rsidRPr="00F67160">
        <w:rPr>
          <w:rFonts w:eastAsia="ヒラギノ角ゴ Pro W3"/>
          <w:spacing w:val="-2"/>
          <w:kern w:val="22"/>
          <w:lang w:val="en-CA" w:eastAsia="zh-CN"/>
        </w:rPr>
        <w:t xml:space="preserve"> </w:t>
      </w:r>
      <w:r w:rsidRPr="00F67160">
        <w:rPr>
          <w:rFonts w:eastAsia="ヒラギノ角ゴ Pro W3"/>
          <w:spacing w:val="-2"/>
          <w:kern w:val="22"/>
          <w:lang w:val="en-CA" w:eastAsia="zh-CN"/>
        </w:rPr>
        <w:t xml:space="preserve">Another venue currently explored by Sun was </w:t>
      </w:r>
      <w:r w:rsidR="009E772D" w:rsidRPr="00F67160">
        <w:rPr>
          <w:rFonts w:eastAsia="ヒラギノ角ゴ Pro W3"/>
          <w:spacing w:val="-2"/>
          <w:kern w:val="22"/>
          <w:lang w:val="en-CA" w:eastAsia="zh-CN"/>
        </w:rPr>
        <w:t>a</w:t>
      </w:r>
      <w:r w:rsidRPr="00F67160">
        <w:rPr>
          <w:rFonts w:eastAsia="ヒラギノ角ゴ Pro W3"/>
          <w:spacing w:val="-2"/>
          <w:kern w:val="22"/>
          <w:lang w:val="en-CA" w:eastAsia="zh-CN"/>
        </w:rPr>
        <w:t xml:space="preserve"> partnership opportunity with other tutoring or private educational service providers</w:t>
      </w:r>
      <w:r w:rsidR="006E6FC1">
        <w:rPr>
          <w:rFonts w:eastAsia="ヒラギノ角ゴ Pro W3"/>
          <w:spacing w:val="-2"/>
          <w:kern w:val="22"/>
          <w:lang w:val="en-CA" w:eastAsia="zh-CN"/>
        </w:rPr>
        <w:t>,</w:t>
      </w:r>
      <w:r w:rsidRPr="00F67160">
        <w:rPr>
          <w:rFonts w:eastAsia="ヒラギノ角ゴ Pro W3"/>
          <w:spacing w:val="-2"/>
          <w:kern w:val="22"/>
          <w:lang w:val="en-CA" w:eastAsia="zh-CN"/>
        </w:rPr>
        <w:t xml:space="preserve"> offering a variety of educational products (e.g.</w:t>
      </w:r>
      <w:r w:rsidR="00746A8F" w:rsidRPr="00F67160">
        <w:rPr>
          <w:rFonts w:eastAsia="ヒラギノ角ゴ Pro W3"/>
          <w:spacing w:val="-2"/>
          <w:kern w:val="22"/>
          <w:lang w:val="en-CA" w:eastAsia="zh-CN"/>
        </w:rPr>
        <w:t>,</w:t>
      </w:r>
      <w:r w:rsidRPr="00F67160">
        <w:rPr>
          <w:rFonts w:eastAsia="ヒラギノ角ゴ Pro W3"/>
          <w:spacing w:val="-2"/>
          <w:kern w:val="22"/>
          <w:lang w:val="en-CA" w:eastAsia="zh-CN"/>
        </w:rPr>
        <w:t xml:space="preserve"> French, </w:t>
      </w:r>
      <w:r w:rsidR="00746A8F" w:rsidRPr="00F67160">
        <w:rPr>
          <w:rFonts w:eastAsia="ヒラギノ角ゴ Pro W3"/>
          <w:spacing w:val="-2"/>
          <w:kern w:val="22"/>
          <w:lang w:val="en-CA" w:eastAsia="zh-CN"/>
        </w:rPr>
        <w:t>m</w:t>
      </w:r>
      <w:r w:rsidRPr="00F67160">
        <w:rPr>
          <w:rFonts w:eastAsia="ヒラギノ角ゴ Pro W3"/>
          <w:spacing w:val="-2"/>
          <w:kern w:val="22"/>
          <w:lang w:val="en-CA" w:eastAsia="zh-CN"/>
        </w:rPr>
        <w:t xml:space="preserve">athematics, </w:t>
      </w:r>
      <w:r w:rsidR="00746A8F" w:rsidRPr="00F67160">
        <w:rPr>
          <w:rFonts w:eastAsia="ヒラギノ角ゴ Pro W3"/>
          <w:spacing w:val="-2"/>
          <w:kern w:val="22"/>
          <w:lang w:val="en-CA" w:eastAsia="zh-CN"/>
        </w:rPr>
        <w:t>m</w:t>
      </w:r>
      <w:r w:rsidRPr="00F67160">
        <w:rPr>
          <w:rFonts w:eastAsia="ヒラギノ角ゴ Pro W3"/>
          <w:spacing w:val="-2"/>
          <w:kern w:val="22"/>
          <w:lang w:val="en-CA" w:eastAsia="zh-CN"/>
        </w:rPr>
        <w:t>usic) for children at different school ages. Meanwhile</w:t>
      </w:r>
      <w:r w:rsidR="006E6FC1">
        <w:rPr>
          <w:rFonts w:eastAsia="ヒラギノ角ゴ Pro W3"/>
          <w:spacing w:val="-2"/>
          <w:kern w:val="22"/>
          <w:lang w:val="en-CA" w:eastAsia="zh-CN"/>
        </w:rPr>
        <w:t>,</w:t>
      </w:r>
      <w:r w:rsidRPr="00F67160">
        <w:rPr>
          <w:rFonts w:eastAsia="ヒラギノ角ゴ Pro W3"/>
          <w:spacing w:val="-2"/>
          <w:kern w:val="22"/>
          <w:lang w:val="en-CA" w:eastAsia="zh-CN"/>
        </w:rPr>
        <w:t xml:space="preserve"> </w:t>
      </w:r>
      <w:r w:rsidR="00746A8F" w:rsidRPr="00F67160">
        <w:rPr>
          <w:rFonts w:eastAsia="ヒラギノ角ゴ Pro W3"/>
          <w:spacing w:val="-2"/>
          <w:kern w:val="22"/>
          <w:lang w:val="en-CA" w:eastAsia="zh-CN"/>
        </w:rPr>
        <w:t xml:space="preserve">the </w:t>
      </w:r>
      <w:r w:rsidR="00DA7F86" w:rsidRPr="00F67160">
        <w:rPr>
          <w:rFonts w:eastAsia="ヒラギノ角ゴ Pro W3"/>
          <w:spacing w:val="-2"/>
          <w:kern w:val="22"/>
          <w:lang w:val="en-CA" w:eastAsia="zh-CN"/>
        </w:rPr>
        <w:t>We-GO</w:t>
      </w:r>
      <w:r w:rsidRPr="00F67160">
        <w:rPr>
          <w:rFonts w:eastAsia="ヒラギノ角ゴ Pro W3"/>
          <w:spacing w:val="-2"/>
          <w:kern w:val="22"/>
          <w:lang w:val="en-CA" w:eastAsia="zh-CN"/>
        </w:rPr>
        <w:t xml:space="preserve"> </w:t>
      </w:r>
      <w:r w:rsidR="009638BA" w:rsidRPr="00F67160">
        <w:rPr>
          <w:rFonts w:eastAsia="ヒラギノ角ゴ Pro W3"/>
          <w:spacing w:val="-2"/>
          <w:kern w:val="22"/>
          <w:lang w:val="en-CA" w:eastAsia="zh-CN"/>
        </w:rPr>
        <w:t>C</w:t>
      </w:r>
      <w:r w:rsidRPr="00F67160">
        <w:rPr>
          <w:rFonts w:eastAsia="ヒラギノ角ゴ Pro W3"/>
          <w:spacing w:val="-2"/>
          <w:kern w:val="22"/>
          <w:lang w:val="en-CA" w:eastAsia="zh-CN"/>
        </w:rPr>
        <w:t>lub</w:t>
      </w:r>
      <w:r w:rsidR="00746A8F" w:rsidRPr="00F67160">
        <w:rPr>
          <w:rFonts w:eastAsia="ヒラギノ角ゴ Pro W3"/>
          <w:spacing w:val="-2"/>
          <w:kern w:val="22"/>
          <w:lang w:val="en-CA" w:eastAsia="zh-CN"/>
        </w:rPr>
        <w:t xml:space="preserve"> had</w:t>
      </w:r>
      <w:r w:rsidRPr="00F67160">
        <w:rPr>
          <w:rFonts w:eastAsia="ヒラギノ角ゴ Pro W3"/>
          <w:spacing w:val="-2"/>
          <w:kern w:val="22"/>
          <w:lang w:val="en-CA" w:eastAsia="zh-CN"/>
        </w:rPr>
        <w:t xml:space="preserve"> already started the preparation of teaching resources for the potential market development. </w:t>
      </w:r>
      <w:r w:rsidR="003721DB" w:rsidRPr="00F67160">
        <w:rPr>
          <w:rFonts w:eastAsia="ヒラギノ角ゴ Pro W3"/>
          <w:spacing w:val="-2"/>
          <w:kern w:val="22"/>
          <w:lang w:val="en-CA" w:eastAsia="zh-CN"/>
        </w:rPr>
        <w:t>Sun explained,</w:t>
      </w:r>
    </w:p>
    <w:p w14:paraId="484ED060" w14:textId="13E38B86" w:rsidR="00642717" w:rsidRPr="00642717" w:rsidRDefault="00642717" w:rsidP="00885784">
      <w:pPr>
        <w:pStyle w:val="BodyTextMain"/>
        <w:ind w:left="720"/>
        <w:rPr>
          <w:rFonts w:eastAsia="ヒラギノ角ゴ Pro W3"/>
          <w:lang w:val="en-CA" w:eastAsia="zh-CN"/>
        </w:rPr>
      </w:pPr>
      <w:r w:rsidRPr="00FE2737">
        <w:rPr>
          <w:rFonts w:eastAsia="ヒラギノ角ゴ Pro W3"/>
          <w:lang w:val="en-CA" w:eastAsia="zh-CN"/>
        </w:rPr>
        <w:lastRenderedPageBreak/>
        <w:t xml:space="preserve">In general we decided to take </w:t>
      </w:r>
      <w:r w:rsidR="00746A8F">
        <w:rPr>
          <w:rFonts w:eastAsia="ヒラギノ角ゴ Pro W3"/>
          <w:lang w:val="en-CA" w:eastAsia="zh-CN"/>
        </w:rPr>
        <w:t>three</w:t>
      </w:r>
      <w:r w:rsidRPr="00FE2737">
        <w:rPr>
          <w:rFonts w:eastAsia="ヒラギノ角ゴ Pro W3"/>
          <w:lang w:val="en-CA" w:eastAsia="zh-CN"/>
        </w:rPr>
        <w:t xml:space="preserve"> steps in resource preparation: First</w:t>
      </w:r>
      <w:r w:rsidR="0046517E">
        <w:rPr>
          <w:rFonts w:eastAsia="ヒラギノ角ゴ Pro W3"/>
          <w:lang w:val="en-CA" w:eastAsia="zh-CN"/>
        </w:rPr>
        <w:t>,</w:t>
      </w:r>
      <w:r w:rsidRPr="00FE2737">
        <w:rPr>
          <w:rFonts w:eastAsia="ヒラギノ角ゴ Pro W3"/>
          <w:lang w:val="en-CA" w:eastAsia="zh-CN"/>
        </w:rPr>
        <w:t xml:space="preserve"> to complete a full English version of</w:t>
      </w:r>
      <w:r w:rsidR="009E772D">
        <w:rPr>
          <w:rFonts w:eastAsia="ヒラギノ角ゴ Pro W3"/>
          <w:lang w:val="en-CA" w:eastAsia="zh-CN"/>
        </w:rPr>
        <w:t xml:space="preserve"> the</w:t>
      </w:r>
      <w:r w:rsidRPr="00FE2737">
        <w:rPr>
          <w:rFonts w:eastAsia="ヒラギノ角ゴ Pro W3"/>
          <w:lang w:val="en-CA" w:eastAsia="zh-CN"/>
        </w:rPr>
        <w:t xml:space="preserve"> Go lecture material</w:t>
      </w:r>
      <w:r w:rsidR="0046517E">
        <w:rPr>
          <w:rFonts w:eastAsia="ヒラギノ角ゴ Pro W3"/>
          <w:lang w:val="en-CA" w:eastAsia="zh-CN"/>
        </w:rPr>
        <w:t>;</w:t>
      </w:r>
      <w:r w:rsidRPr="00FE2737">
        <w:rPr>
          <w:rFonts w:eastAsia="ヒラギノ角ゴ Pro W3"/>
          <w:lang w:val="en-CA" w:eastAsia="zh-CN"/>
        </w:rPr>
        <w:t xml:space="preserve"> next</w:t>
      </w:r>
      <w:r w:rsidR="0046517E">
        <w:rPr>
          <w:rFonts w:eastAsia="ヒラギノ角ゴ Pro W3"/>
          <w:lang w:val="en-CA" w:eastAsia="zh-CN"/>
        </w:rPr>
        <w:t>, to</w:t>
      </w:r>
      <w:r w:rsidRPr="00FE2737">
        <w:rPr>
          <w:rFonts w:eastAsia="ヒラギノ角ゴ Pro W3"/>
          <w:lang w:val="en-CA" w:eastAsia="zh-CN"/>
        </w:rPr>
        <w:t xml:space="preserve"> train qualified Go teachers for intro-level Go class instruction in English. The last step would be the presentation and instruction of </w:t>
      </w:r>
      <w:r w:rsidR="00746A8F">
        <w:rPr>
          <w:rFonts w:eastAsia="ヒラギノ角ゴ Pro W3"/>
          <w:lang w:val="en-CA" w:eastAsia="zh-CN"/>
        </w:rPr>
        <w:t xml:space="preserve">[the] </w:t>
      </w:r>
      <w:r w:rsidRPr="00FE2737">
        <w:rPr>
          <w:rFonts w:eastAsia="ヒラギノ角ゴ Pro W3"/>
          <w:lang w:val="en-CA" w:eastAsia="zh-CN"/>
        </w:rPr>
        <w:t>Go game at different school levels and class settings to seek addition to the school class curriculum.</w:t>
      </w:r>
      <w:r w:rsidRPr="00642717">
        <w:rPr>
          <w:rFonts w:eastAsia="ヒラギノ角ゴ Pro W3"/>
          <w:lang w:val="en-CA" w:eastAsia="zh-CN"/>
        </w:rPr>
        <w:t xml:space="preserve"> </w:t>
      </w:r>
    </w:p>
    <w:p w14:paraId="129CC620" w14:textId="77777777" w:rsidR="00642717" w:rsidRDefault="00642717" w:rsidP="00812210">
      <w:pPr>
        <w:pStyle w:val="BodyTextMain"/>
        <w:rPr>
          <w:rFonts w:eastAsia="ヒラギノ角ゴ Pro W3"/>
          <w:lang w:val="en-CA" w:eastAsia="zh-CN"/>
        </w:rPr>
      </w:pPr>
    </w:p>
    <w:p w14:paraId="618679A4" w14:textId="77777777" w:rsidR="00A85B0A" w:rsidRPr="00642717" w:rsidRDefault="00A85B0A" w:rsidP="00812210">
      <w:pPr>
        <w:pStyle w:val="BodyTextMain"/>
        <w:rPr>
          <w:rFonts w:eastAsia="ヒラギノ角ゴ Pro W3"/>
          <w:lang w:val="en-CA" w:eastAsia="zh-CN"/>
        </w:rPr>
      </w:pPr>
    </w:p>
    <w:p w14:paraId="23696589" w14:textId="6B0F19F7" w:rsidR="00642717" w:rsidRDefault="00642717" w:rsidP="00A85B0A">
      <w:pPr>
        <w:pStyle w:val="Casehead1"/>
        <w:rPr>
          <w:rFonts w:eastAsia="ヒラギノ角ゴ Pro W3"/>
          <w:lang w:eastAsia="zh-CN"/>
        </w:rPr>
      </w:pPr>
      <w:r w:rsidRPr="00642717">
        <w:rPr>
          <w:rFonts w:eastAsia="ヒラギノ角ゴ Pro W3"/>
          <w:lang w:eastAsia="zh-CN"/>
        </w:rPr>
        <w:t>MOVING FORWARD</w:t>
      </w:r>
    </w:p>
    <w:p w14:paraId="008C55F5" w14:textId="77777777" w:rsidR="00A85B0A" w:rsidRPr="00642717" w:rsidRDefault="00A85B0A" w:rsidP="00A85B0A">
      <w:pPr>
        <w:pStyle w:val="BodyTextMain"/>
        <w:rPr>
          <w:rFonts w:eastAsia="ヒラギノ角ゴ Pro W3"/>
          <w:lang w:val="en-CA" w:eastAsia="zh-CN"/>
        </w:rPr>
      </w:pPr>
    </w:p>
    <w:p w14:paraId="1D68FD2E" w14:textId="2A256430" w:rsidR="00642717" w:rsidRPr="00FE2737" w:rsidRDefault="00642717" w:rsidP="00A85B0A">
      <w:pPr>
        <w:pStyle w:val="BodyTextMain"/>
        <w:rPr>
          <w:rFonts w:eastAsia="ヒラギノ角ゴ Pro W3"/>
          <w:color w:val="000000"/>
          <w:lang w:val="en-CA" w:eastAsia="zh-CN"/>
        </w:rPr>
      </w:pPr>
      <w:r w:rsidRPr="00642717">
        <w:rPr>
          <w:rFonts w:eastAsia="ヒラギノ角ゴ Pro W3"/>
          <w:color w:val="000000"/>
          <w:lang w:val="en-CA" w:eastAsia="zh-CN"/>
        </w:rPr>
        <w:t xml:space="preserve">On January 6, 2018, </w:t>
      </w:r>
      <w:r w:rsidR="00EE4D31">
        <w:rPr>
          <w:rFonts w:eastAsia="ヒラギノ角ゴ Pro W3"/>
          <w:color w:val="000000"/>
          <w:lang w:val="en-CA" w:eastAsia="zh-CN"/>
        </w:rPr>
        <w:t xml:space="preserve">the </w:t>
      </w:r>
      <w:r w:rsidR="00DA7F86">
        <w:rPr>
          <w:rFonts w:eastAsia="ヒラギノ角ゴ Pro W3"/>
          <w:color w:val="000000"/>
          <w:lang w:val="en-CA" w:eastAsia="zh-CN"/>
        </w:rPr>
        <w:t>We-GO</w:t>
      </w:r>
      <w:r w:rsidRPr="00642717">
        <w:rPr>
          <w:rFonts w:eastAsia="ヒラギノ角ゴ Pro W3"/>
          <w:color w:val="000000"/>
          <w:lang w:val="en-CA" w:eastAsia="zh-CN"/>
        </w:rPr>
        <w:t xml:space="preserve"> </w:t>
      </w:r>
      <w:r w:rsidR="009638BA">
        <w:rPr>
          <w:rFonts w:eastAsia="ヒラギノ角ゴ Pro W3"/>
          <w:color w:val="000000"/>
          <w:lang w:val="en-CA" w:eastAsia="zh-CN"/>
        </w:rPr>
        <w:t>C</w:t>
      </w:r>
      <w:r w:rsidRPr="00642717">
        <w:rPr>
          <w:rFonts w:eastAsia="ヒラギノ角ゴ Pro W3"/>
          <w:color w:val="000000"/>
          <w:lang w:val="en-CA" w:eastAsia="zh-CN"/>
        </w:rPr>
        <w:t xml:space="preserve">lub hosted the first </w:t>
      </w:r>
      <w:r w:rsidR="00DA7F86">
        <w:rPr>
          <w:rFonts w:eastAsia="ヒラギノ角ゴ Pro W3"/>
          <w:color w:val="000000"/>
          <w:lang w:val="en-CA" w:eastAsia="zh-CN"/>
        </w:rPr>
        <w:t>We-GO</w:t>
      </w:r>
      <w:r w:rsidRPr="00642717">
        <w:rPr>
          <w:rFonts w:eastAsia="ヒラギノ角ゴ Pro W3"/>
          <w:color w:val="000000"/>
          <w:lang w:val="en-CA" w:eastAsia="zh-CN"/>
        </w:rPr>
        <w:t xml:space="preserve"> Open Competition event</w:t>
      </w:r>
      <w:r w:rsidRPr="00642717">
        <w:rPr>
          <w:rFonts w:eastAsia="ヒラギノ角ゴ Pro W3"/>
          <w:color w:val="000000"/>
          <w:vertAlign w:val="superscript"/>
          <w:lang w:val="en-CA" w:eastAsia="zh-CN"/>
        </w:rPr>
        <w:footnoteReference w:id="22"/>
      </w:r>
      <w:r w:rsidRPr="00642717">
        <w:rPr>
          <w:rFonts w:eastAsia="ヒラギノ角ゴ Pro W3"/>
          <w:color w:val="000000"/>
          <w:lang w:val="en-CA" w:eastAsia="zh-CN"/>
        </w:rPr>
        <w:t xml:space="preserve"> at R</w:t>
      </w:r>
      <w:r w:rsidR="006E6FC1">
        <w:rPr>
          <w:rFonts w:eastAsia="ヒラギノ角ゴ Pro W3"/>
          <w:color w:val="000000"/>
          <w:lang w:val="en-CA" w:eastAsia="zh-CN"/>
        </w:rPr>
        <w:t>IM</w:t>
      </w:r>
      <w:r w:rsidRPr="00642717">
        <w:rPr>
          <w:rFonts w:eastAsia="ヒラギノ角ゴ Pro W3"/>
          <w:color w:val="000000"/>
          <w:lang w:val="en-CA" w:eastAsia="zh-CN"/>
        </w:rPr>
        <w:t xml:space="preserve"> Park, </w:t>
      </w:r>
      <w:r w:rsidR="006E6FC1">
        <w:rPr>
          <w:rFonts w:eastAsia="ヒラギノ角ゴ Pro W3"/>
          <w:color w:val="000000"/>
          <w:lang w:val="en-CA" w:eastAsia="zh-CN"/>
        </w:rPr>
        <w:t xml:space="preserve">in </w:t>
      </w:r>
      <w:r w:rsidRPr="00642717">
        <w:rPr>
          <w:rFonts w:eastAsia="ヒラギノ角ゴ Pro W3"/>
          <w:color w:val="000000"/>
          <w:lang w:val="en-CA" w:eastAsia="zh-CN"/>
        </w:rPr>
        <w:t>Waterloo, Ontario. The competition was divided into adult</w:t>
      </w:r>
      <w:r w:rsidR="00303266">
        <w:rPr>
          <w:rFonts w:eastAsia="ヒラギノ角ゴ Pro W3"/>
          <w:color w:val="000000"/>
          <w:lang w:val="en-CA" w:eastAsia="zh-CN"/>
        </w:rPr>
        <w:t>s</w:t>
      </w:r>
      <w:r w:rsidR="000572FA">
        <w:rPr>
          <w:rFonts w:eastAsia="ヒラギノ角ゴ Pro W3"/>
          <w:color w:val="000000"/>
          <w:lang w:val="en-CA" w:eastAsia="zh-CN"/>
        </w:rPr>
        <w:t>’</w:t>
      </w:r>
      <w:r w:rsidRPr="00642717">
        <w:rPr>
          <w:rFonts w:eastAsia="ヒラギノ角ゴ Pro W3"/>
          <w:color w:val="000000"/>
          <w:lang w:val="en-CA" w:eastAsia="zh-CN"/>
        </w:rPr>
        <w:t xml:space="preserve"> and children’s group</w:t>
      </w:r>
      <w:r w:rsidR="000572FA">
        <w:rPr>
          <w:rFonts w:eastAsia="ヒラギノ角ゴ Pro W3"/>
          <w:color w:val="000000"/>
          <w:lang w:val="en-CA" w:eastAsia="zh-CN"/>
        </w:rPr>
        <w:t>s</w:t>
      </w:r>
      <w:r w:rsidR="006E6FC1">
        <w:rPr>
          <w:rFonts w:eastAsia="ヒラギノ角ゴ Pro W3"/>
          <w:color w:val="000000"/>
          <w:lang w:val="en-CA" w:eastAsia="zh-CN"/>
        </w:rPr>
        <w:t>,</w:t>
      </w:r>
      <w:r w:rsidRPr="00642717">
        <w:rPr>
          <w:rFonts w:eastAsia="ヒラギノ角ゴ Pro W3"/>
          <w:color w:val="000000"/>
          <w:lang w:val="en-CA" w:eastAsia="zh-CN"/>
        </w:rPr>
        <w:t xml:space="preserve"> where the latter competition was used for rating certification acknowledged by CGA. About 30 adults and 35 children participated in the one-day event</w:t>
      </w:r>
      <w:r w:rsidR="006E6FC1">
        <w:rPr>
          <w:rFonts w:eastAsia="ヒラギノ角ゴ Pro W3"/>
          <w:color w:val="000000"/>
          <w:lang w:val="en-CA" w:eastAsia="zh-CN"/>
        </w:rPr>
        <w:t>,</w:t>
      </w:r>
      <w:r w:rsidRPr="00642717">
        <w:rPr>
          <w:rFonts w:eastAsia="ヒラギノ角ゴ Pro W3"/>
          <w:color w:val="000000"/>
          <w:lang w:val="en-CA" w:eastAsia="zh-CN"/>
        </w:rPr>
        <w:t xml:space="preserve"> involving </w:t>
      </w:r>
      <w:r w:rsidR="001558F5">
        <w:rPr>
          <w:rFonts w:eastAsia="ヒラギノ角ゴ Pro W3"/>
          <w:color w:val="000000"/>
          <w:lang w:val="en-CA" w:eastAsia="zh-CN"/>
        </w:rPr>
        <w:t xml:space="preserve">a </w:t>
      </w:r>
      <w:r w:rsidRPr="00642717">
        <w:rPr>
          <w:rFonts w:eastAsia="ヒラギノ角ゴ Pro W3"/>
          <w:color w:val="000000"/>
          <w:lang w:val="en-CA" w:eastAsia="zh-CN"/>
        </w:rPr>
        <w:t xml:space="preserve">competition of </w:t>
      </w:r>
      <w:r w:rsidR="00EE4D31">
        <w:rPr>
          <w:rFonts w:eastAsia="ヒラギノ角ゴ Pro W3"/>
          <w:color w:val="000000"/>
          <w:lang w:val="en-CA" w:eastAsia="zh-CN"/>
        </w:rPr>
        <w:t>five</w:t>
      </w:r>
      <w:r w:rsidRPr="00642717">
        <w:rPr>
          <w:rFonts w:eastAsia="ヒラギノ角ゴ Pro W3"/>
          <w:color w:val="000000"/>
          <w:lang w:val="en-CA" w:eastAsia="zh-CN"/>
        </w:rPr>
        <w:t xml:space="preserve"> rounds. Sun and his partners</w:t>
      </w:r>
      <w:r w:rsidR="00EE4D31">
        <w:rPr>
          <w:rFonts w:eastAsia="ヒラギノ角ゴ Pro W3"/>
          <w:color w:val="000000"/>
          <w:lang w:val="en-CA" w:eastAsia="zh-CN"/>
        </w:rPr>
        <w:t xml:space="preserve"> conducted an </w:t>
      </w:r>
      <w:r w:rsidRPr="00642717">
        <w:rPr>
          <w:rFonts w:eastAsia="ヒラギノ角ゴ Pro W3"/>
          <w:color w:val="000000"/>
          <w:lang w:val="en-CA" w:eastAsia="zh-CN"/>
        </w:rPr>
        <w:t xml:space="preserve">intensive broadcast </w:t>
      </w:r>
      <w:r w:rsidR="00EE4D31">
        <w:rPr>
          <w:rFonts w:eastAsia="ヒラギノ角ゴ Pro W3"/>
          <w:color w:val="000000"/>
          <w:lang w:val="en-CA" w:eastAsia="zh-CN"/>
        </w:rPr>
        <w:t xml:space="preserve">campaign </w:t>
      </w:r>
      <w:r w:rsidRPr="00642717">
        <w:rPr>
          <w:rFonts w:eastAsia="ヒラギノ角ゴ Pro W3"/>
          <w:color w:val="000000"/>
          <w:lang w:val="en-CA" w:eastAsia="zh-CN"/>
        </w:rPr>
        <w:t>before, during</w:t>
      </w:r>
      <w:r w:rsidR="00EE4D31">
        <w:rPr>
          <w:rFonts w:eastAsia="ヒラギノ角ゴ Pro W3"/>
          <w:color w:val="000000"/>
          <w:lang w:val="en-CA" w:eastAsia="zh-CN"/>
        </w:rPr>
        <w:t>,</w:t>
      </w:r>
      <w:r w:rsidRPr="00642717">
        <w:rPr>
          <w:rFonts w:eastAsia="ヒラギノ角ゴ Pro W3"/>
          <w:color w:val="000000"/>
          <w:lang w:val="en-CA" w:eastAsia="zh-CN"/>
        </w:rPr>
        <w:t xml:space="preserve"> and </w:t>
      </w:r>
      <w:r w:rsidR="00EE4D31">
        <w:rPr>
          <w:rFonts w:eastAsia="ヒラギノ角ゴ Pro W3"/>
          <w:color w:val="000000"/>
          <w:lang w:val="en-CA" w:eastAsia="zh-CN"/>
        </w:rPr>
        <w:t>after the</w:t>
      </w:r>
      <w:r w:rsidRPr="00642717">
        <w:rPr>
          <w:rFonts w:eastAsia="ヒラギノ角ゴ Pro W3"/>
          <w:color w:val="000000"/>
          <w:lang w:val="en-CA" w:eastAsia="zh-CN"/>
        </w:rPr>
        <w:t xml:space="preserve"> event on WeChat, the most widely used social media platform in Chin</w:t>
      </w:r>
      <w:r w:rsidR="001558F5">
        <w:rPr>
          <w:rFonts w:eastAsia="ヒラギノ角ゴ Pro W3"/>
          <w:color w:val="000000"/>
          <w:lang w:val="en-CA" w:eastAsia="zh-CN"/>
        </w:rPr>
        <w:t>e</w:t>
      </w:r>
      <w:r w:rsidRPr="00642717">
        <w:rPr>
          <w:rFonts w:eastAsia="ヒラギノ角ゴ Pro W3"/>
          <w:color w:val="000000"/>
          <w:lang w:val="en-CA" w:eastAsia="zh-CN"/>
        </w:rPr>
        <w:t xml:space="preserve">se. </w:t>
      </w:r>
      <w:r w:rsidR="00D36F15">
        <w:rPr>
          <w:rFonts w:eastAsia="ヒラギノ角ゴ Pro W3"/>
          <w:color w:val="000000"/>
          <w:lang w:val="en-CA" w:eastAsia="zh-CN"/>
        </w:rPr>
        <w:t>According to Sun, t</w:t>
      </w:r>
      <w:r w:rsidR="009735BC">
        <w:rPr>
          <w:rFonts w:eastAsia="ヒラギノ角ゴ Pro W3"/>
          <w:color w:val="000000"/>
          <w:lang w:val="en-CA" w:eastAsia="zh-CN"/>
        </w:rPr>
        <w:t>he net operation expense for host</w:t>
      </w:r>
      <w:r w:rsidR="00EE4D31">
        <w:rPr>
          <w:rFonts w:eastAsia="ヒラギノ角ゴ Pro W3"/>
          <w:color w:val="000000"/>
          <w:lang w:val="en-CA" w:eastAsia="zh-CN"/>
        </w:rPr>
        <w:t>ing</w:t>
      </w:r>
      <w:r w:rsidR="009735BC">
        <w:rPr>
          <w:rFonts w:eastAsia="ヒラギノ角ゴ Pro W3"/>
          <w:color w:val="000000"/>
          <w:lang w:val="en-CA" w:eastAsia="zh-CN"/>
        </w:rPr>
        <w:t xml:space="preserve"> the event was about $1,500</w:t>
      </w:r>
      <w:r w:rsidR="006E6FC1">
        <w:rPr>
          <w:rFonts w:eastAsia="ヒラギノ角ゴ Pro W3"/>
          <w:color w:val="000000"/>
          <w:lang w:val="en-CA" w:eastAsia="zh-CN"/>
        </w:rPr>
        <w:t>,</w:t>
      </w:r>
      <w:r w:rsidR="009735BC">
        <w:rPr>
          <w:rFonts w:eastAsia="ヒラギノ角ゴ Pro W3"/>
          <w:color w:val="000000"/>
          <w:lang w:val="en-CA" w:eastAsia="zh-CN"/>
        </w:rPr>
        <w:t xml:space="preserve"> after </w:t>
      </w:r>
      <w:r w:rsidR="00D36F15">
        <w:rPr>
          <w:rFonts w:eastAsia="ヒラギノ角ゴ Pro W3"/>
          <w:color w:val="000000"/>
          <w:lang w:val="en-CA" w:eastAsia="zh-CN"/>
        </w:rPr>
        <w:t xml:space="preserve">deducting </w:t>
      </w:r>
      <w:r w:rsidR="009735BC">
        <w:rPr>
          <w:rFonts w:eastAsia="ヒラギノ角ゴ Pro W3"/>
          <w:color w:val="000000"/>
          <w:lang w:val="en-CA" w:eastAsia="zh-CN"/>
        </w:rPr>
        <w:t xml:space="preserve">registration fees </w:t>
      </w:r>
      <w:r w:rsidR="006E6FC1">
        <w:rPr>
          <w:rFonts w:eastAsia="ヒラギノ角ゴ Pro W3"/>
          <w:color w:val="000000"/>
          <w:lang w:val="en-CA" w:eastAsia="zh-CN"/>
        </w:rPr>
        <w:t xml:space="preserve">of </w:t>
      </w:r>
      <w:r w:rsidR="009735BC">
        <w:rPr>
          <w:rFonts w:eastAsia="ヒラギノ角ゴ Pro W3"/>
          <w:color w:val="000000"/>
          <w:lang w:val="en-CA" w:eastAsia="zh-CN"/>
        </w:rPr>
        <w:t>$30 per participant. The expenses included room rental</w:t>
      </w:r>
      <w:r w:rsidRPr="00642717">
        <w:rPr>
          <w:rFonts w:eastAsia="ヒラギノ角ゴ Pro W3"/>
          <w:color w:val="000000"/>
          <w:lang w:val="en-CA" w:eastAsia="zh-CN"/>
        </w:rPr>
        <w:t xml:space="preserve">, </w:t>
      </w:r>
      <w:r w:rsidR="009735BC">
        <w:rPr>
          <w:rFonts w:eastAsia="ヒラギノ角ゴ Pro W3"/>
          <w:color w:val="000000"/>
          <w:lang w:val="en-CA" w:eastAsia="zh-CN"/>
        </w:rPr>
        <w:t>certification, award</w:t>
      </w:r>
      <w:r w:rsidR="00EE4D31">
        <w:rPr>
          <w:rFonts w:eastAsia="ヒラギノ角ゴ Pro W3"/>
          <w:color w:val="000000"/>
          <w:lang w:val="en-CA" w:eastAsia="zh-CN"/>
        </w:rPr>
        <w:t>s</w:t>
      </w:r>
      <w:r w:rsidR="009735BC">
        <w:rPr>
          <w:rFonts w:eastAsia="ヒラギノ角ゴ Pro W3"/>
          <w:color w:val="000000"/>
          <w:lang w:val="en-CA" w:eastAsia="zh-CN"/>
        </w:rPr>
        <w:t xml:space="preserve">, </w:t>
      </w:r>
      <w:r w:rsidRPr="00642717">
        <w:rPr>
          <w:rFonts w:eastAsia="ヒラギノ角ゴ Pro W3"/>
          <w:color w:val="000000"/>
          <w:lang w:val="en-CA" w:eastAsia="zh-CN"/>
        </w:rPr>
        <w:t>prize</w:t>
      </w:r>
      <w:r w:rsidR="00EE4D31">
        <w:rPr>
          <w:rFonts w:eastAsia="ヒラギノ角ゴ Pro W3"/>
          <w:color w:val="000000"/>
          <w:lang w:val="en-CA" w:eastAsia="zh-CN"/>
        </w:rPr>
        <w:t>s</w:t>
      </w:r>
      <w:r w:rsidRPr="00642717">
        <w:rPr>
          <w:rFonts w:eastAsia="ヒラギノ角ゴ Pro W3"/>
          <w:color w:val="000000"/>
          <w:lang w:val="en-CA" w:eastAsia="zh-CN"/>
        </w:rPr>
        <w:t>, and other adminis</w:t>
      </w:r>
      <w:r w:rsidR="009735BC">
        <w:rPr>
          <w:rFonts w:eastAsia="ヒラギノ角ゴ Pro W3"/>
          <w:color w:val="000000"/>
          <w:lang w:val="en-CA" w:eastAsia="zh-CN"/>
        </w:rPr>
        <w:t>trative costs</w:t>
      </w:r>
      <w:r w:rsidRPr="00642717">
        <w:rPr>
          <w:rFonts w:eastAsia="ヒラギノ角ゴ Pro W3"/>
          <w:color w:val="000000"/>
          <w:lang w:val="en-CA" w:eastAsia="zh-CN"/>
        </w:rPr>
        <w:t>. The club believed that the successful host</w:t>
      </w:r>
      <w:r w:rsidR="006E6FC1">
        <w:rPr>
          <w:rFonts w:eastAsia="ヒラギノ角ゴ Pro W3"/>
          <w:color w:val="000000"/>
          <w:lang w:val="en-CA" w:eastAsia="zh-CN"/>
        </w:rPr>
        <w:t>ing</w:t>
      </w:r>
      <w:r w:rsidRPr="00642717">
        <w:rPr>
          <w:rFonts w:eastAsia="ヒラギノ角ゴ Pro W3"/>
          <w:color w:val="000000"/>
          <w:lang w:val="en-CA" w:eastAsia="zh-CN"/>
        </w:rPr>
        <w:t xml:space="preserve"> of this competition event </w:t>
      </w:r>
      <w:r w:rsidR="006E6FC1">
        <w:rPr>
          <w:rFonts w:eastAsia="ヒラギノ角ゴ Pro W3"/>
          <w:color w:val="000000"/>
          <w:lang w:val="en-CA" w:eastAsia="zh-CN"/>
        </w:rPr>
        <w:t xml:space="preserve">would </w:t>
      </w:r>
      <w:r w:rsidRPr="00642717">
        <w:rPr>
          <w:rFonts w:eastAsia="ヒラギノ角ゴ Pro W3"/>
          <w:color w:val="000000"/>
          <w:lang w:val="en-CA" w:eastAsia="zh-CN"/>
        </w:rPr>
        <w:t xml:space="preserve">greatly increase awareness of </w:t>
      </w:r>
      <w:r w:rsidR="006E6FC1">
        <w:rPr>
          <w:rFonts w:eastAsia="ヒラギノ角ゴ Pro W3"/>
          <w:color w:val="000000"/>
          <w:lang w:val="en-CA" w:eastAsia="zh-CN"/>
        </w:rPr>
        <w:t xml:space="preserve">the </w:t>
      </w:r>
      <w:r w:rsidR="00DA7F86">
        <w:rPr>
          <w:rFonts w:eastAsia="ヒラギノ角ゴ Pro W3"/>
          <w:color w:val="000000"/>
          <w:lang w:val="en-CA" w:eastAsia="zh-CN"/>
        </w:rPr>
        <w:t>We-GO</w:t>
      </w:r>
      <w:r w:rsidRPr="00642717">
        <w:rPr>
          <w:rFonts w:eastAsia="ヒラギノ角ゴ Pro W3"/>
          <w:color w:val="000000"/>
          <w:lang w:val="en-CA" w:eastAsia="zh-CN"/>
        </w:rPr>
        <w:t xml:space="preserve"> </w:t>
      </w:r>
      <w:r w:rsidR="009638BA">
        <w:rPr>
          <w:rFonts w:eastAsia="ヒラギノ角ゴ Pro W3"/>
          <w:color w:val="000000"/>
          <w:lang w:val="en-CA" w:eastAsia="zh-CN"/>
        </w:rPr>
        <w:t>C</w:t>
      </w:r>
      <w:r w:rsidRPr="00642717">
        <w:rPr>
          <w:rFonts w:eastAsia="ヒラギノ角ゴ Pro W3"/>
          <w:color w:val="000000"/>
          <w:lang w:val="en-CA" w:eastAsia="zh-CN"/>
        </w:rPr>
        <w:t>lub and would help bring more customer and business opportunities to the company. “</w:t>
      </w:r>
      <w:r w:rsidRPr="00FE2737">
        <w:rPr>
          <w:rFonts w:eastAsia="ヒラギノ角ゴ Pro W3"/>
          <w:color w:val="000000"/>
          <w:lang w:val="en-CA" w:eastAsia="zh-CN"/>
        </w:rPr>
        <w:t>We still considered the Go market in Canada a blue ocean</w:t>
      </w:r>
      <w:r w:rsidR="00EE4D31">
        <w:rPr>
          <w:rFonts w:eastAsia="ヒラギノ角ゴ Pro W3"/>
          <w:color w:val="000000"/>
          <w:lang w:val="en-CA" w:eastAsia="zh-CN"/>
        </w:rPr>
        <w:t>,</w:t>
      </w:r>
      <w:r w:rsidRPr="00FE2737">
        <w:rPr>
          <w:rFonts w:eastAsia="ヒラギノ角ゴ Pro W3"/>
          <w:color w:val="000000"/>
          <w:vertAlign w:val="superscript"/>
          <w:lang w:val="en-CA" w:eastAsia="zh-CN"/>
        </w:rPr>
        <w:footnoteReference w:id="23"/>
      </w:r>
      <w:r w:rsidRPr="00FE2737">
        <w:rPr>
          <w:rFonts w:eastAsia="ヒラギノ角ゴ Pro W3"/>
          <w:color w:val="000000"/>
          <w:lang w:val="en-CA" w:eastAsia="zh-CN"/>
        </w:rPr>
        <w:t xml:space="preserve"> which represented great business potential and many opportunities,” stated Sun, “but we needed a clearly designed marketing plan to ‘Go’ further.” </w:t>
      </w:r>
    </w:p>
    <w:p w14:paraId="61531B6C" w14:textId="7060000F" w:rsidR="005B0EC9" w:rsidRDefault="005B0EC9">
      <w:pPr>
        <w:spacing w:after="200" w:line="276" w:lineRule="auto"/>
        <w:rPr>
          <w:sz w:val="22"/>
          <w:szCs w:val="22"/>
        </w:rPr>
      </w:pPr>
      <w:r>
        <w:br w:type="page"/>
      </w:r>
    </w:p>
    <w:p w14:paraId="2A5F4FE3" w14:textId="09DACD7B" w:rsidR="00536401" w:rsidRDefault="00536401" w:rsidP="00536401">
      <w:pPr>
        <w:pStyle w:val="ExhibitHeading"/>
        <w:rPr>
          <w:rFonts w:eastAsia="ヒラギノ角ゴ Pro W3"/>
          <w:lang w:val="en-CA" w:eastAsia="zh-CN"/>
        </w:rPr>
      </w:pPr>
      <w:r w:rsidRPr="00536401">
        <w:rPr>
          <w:rFonts w:eastAsia="ヒラギノ角ゴ Pro W3"/>
          <w:lang w:val="en-CA" w:eastAsia="zh-CN"/>
        </w:rPr>
        <w:lastRenderedPageBreak/>
        <w:t xml:space="preserve">Exhibit 1: </w:t>
      </w:r>
      <w:r w:rsidR="00DA7F86">
        <w:rPr>
          <w:rFonts w:eastAsia="ヒラギノ角ゴ Pro W3"/>
          <w:lang w:val="en-CA" w:eastAsia="zh-CN"/>
        </w:rPr>
        <w:t>We-GO</w:t>
      </w:r>
      <w:r w:rsidRPr="00536401">
        <w:rPr>
          <w:rFonts w:eastAsia="ヒラギノ角ゴ Pro W3"/>
          <w:lang w:val="en-CA" w:eastAsia="zh-CN"/>
        </w:rPr>
        <w:t xml:space="preserve"> Club Fall 2016 (September</w:t>
      </w:r>
      <w:r w:rsidR="00510FE4">
        <w:rPr>
          <w:rFonts w:eastAsia="ヒラギノ角ゴ Pro W3"/>
          <w:lang w:val="en-CA" w:eastAsia="zh-CN"/>
        </w:rPr>
        <w:t>–</w:t>
      </w:r>
      <w:r w:rsidRPr="00536401">
        <w:rPr>
          <w:rFonts w:eastAsia="ヒラギノ角ゴ Pro W3"/>
          <w:lang w:val="en-CA" w:eastAsia="zh-CN"/>
        </w:rPr>
        <w:t>December) Membership Price Chart</w:t>
      </w:r>
    </w:p>
    <w:p w14:paraId="1A0FC340" w14:textId="77777777" w:rsidR="00536401" w:rsidRPr="00447C3F" w:rsidRDefault="00536401" w:rsidP="001E0FB3">
      <w:pPr>
        <w:pStyle w:val="ExhibitText"/>
        <w:rPr>
          <w:rFonts w:eastAsia="ヒラギノ角ゴ Pro W3"/>
          <w:sz w:val="12"/>
          <w:szCs w:val="12"/>
          <w:lang w:val="en-CA" w:eastAsia="zh-CN"/>
        </w:rPr>
      </w:pP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775"/>
        <w:gridCol w:w="3060"/>
      </w:tblGrid>
      <w:tr w:rsidR="00536401" w:rsidRPr="00447C3F" w14:paraId="3957634E" w14:textId="77777777" w:rsidTr="00447C3F">
        <w:trPr>
          <w:trHeight w:val="170"/>
          <w:jc w:val="center"/>
        </w:trPr>
        <w:tc>
          <w:tcPr>
            <w:tcW w:w="2430" w:type="dxa"/>
            <w:shd w:val="clear" w:color="auto" w:fill="auto"/>
            <w:vAlign w:val="center"/>
            <w:hideMark/>
          </w:tcPr>
          <w:p w14:paraId="258885EB" w14:textId="77813F6E" w:rsidR="00536401" w:rsidRPr="00447C3F" w:rsidRDefault="00DA7F86" w:rsidP="00F67160">
            <w:pPr>
              <w:pStyle w:val="ExhibitText"/>
              <w:jc w:val="center"/>
              <w:rPr>
                <w:b/>
                <w:sz w:val="19"/>
                <w:szCs w:val="19"/>
                <w:lang w:val="en-CA" w:eastAsia="zh-CN"/>
              </w:rPr>
            </w:pPr>
            <w:r w:rsidRPr="00447C3F">
              <w:rPr>
                <w:b/>
                <w:noProof/>
                <w:sz w:val="19"/>
                <w:szCs w:val="19"/>
              </w:rPr>
              <w:t>W</w:t>
            </w:r>
            <w:r w:rsidR="009F3B34" w:rsidRPr="00447C3F">
              <w:rPr>
                <w:b/>
                <w:noProof/>
                <w:sz w:val="19"/>
                <w:szCs w:val="19"/>
              </w:rPr>
              <w:t>e</w:t>
            </w:r>
            <w:r w:rsidRPr="00447C3F">
              <w:rPr>
                <w:b/>
                <w:noProof/>
                <w:sz w:val="19"/>
                <w:szCs w:val="19"/>
              </w:rPr>
              <w:t>-GO</w:t>
            </w:r>
          </w:p>
        </w:tc>
        <w:tc>
          <w:tcPr>
            <w:tcW w:w="3775" w:type="dxa"/>
            <w:shd w:val="clear" w:color="auto" w:fill="auto"/>
            <w:vAlign w:val="center"/>
            <w:hideMark/>
          </w:tcPr>
          <w:p w14:paraId="018642AB" w14:textId="05EE09B5" w:rsidR="00536401" w:rsidRPr="00447C3F" w:rsidRDefault="00536401" w:rsidP="00F67160">
            <w:pPr>
              <w:pStyle w:val="ExhibitText"/>
              <w:jc w:val="center"/>
              <w:rPr>
                <w:b/>
                <w:sz w:val="19"/>
                <w:szCs w:val="19"/>
                <w:lang w:val="en-CA" w:eastAsia="zh-CN"/>
              </w:rPr>
            </w:pPr>
            <w:r w:rsidRPr="00447C3F">
              <w:rPr>
                <w:b/>
                <w:sz w:val="19"/>
                <w:szCs w:val="19"/>
                <w:lang w:val="en-CA" w:eastAsia="zh-CN"/>
              </w:rPr>
              <w:t>Entire Term</w:t>
            </w:r>
            <w:r w:rsidR="00F67160" w:rsidRPr="00447C3F">
              <w:rPr>
                <w:b/>
                <w:sz w:val="19"/>
                <w:szCs w:val="19"/>
                <w:lang w:val="en-CA" w:eastAsia="zh-CN"/>
              </w:rPr>
              <w:t xml:space="preserve"> </w:t>
            </w:r>
            <w:r w:rsidRPr="00447C3F">
              <w:rPr>
                <w:b/>
                <w:sz w:val="19"/>
                <w:szCs w:val="19"/>
                <w:lang w:val="en-CA" w:eastAsia="zh-CN"/>
              </w:rPr>
              <w:t>(15 weekly meetings)</w:t>
            </w:r>
          </w:p>
        </w:tc>
        <w:tc>
          <w:tcPr>
            <w:tcW w:w="3060" w:type="dxa"/>
            <w:shd w:val="clear" w:color="auto" w:fill="auto"/>
            <w:vAlign w:val="center"/>
            <w:hideMark/>
          </w:tcPr>
          <w:p w14:paraId="16B859BD" w14:textId="21473DC2" w:rsidR="00536401" w:rsidRPr="00447C3F" w:rsidRDefault="00536401" w:rsidP="00F67160">
            <w:pPr>
              <w:pStyle w:val="ExhibitText"/>
              <w:jc w:val="center"/>
              <w:rPr>
                <w:b/>
                <w:sz w:val="19"/>
                <w:szCs w:val="19"/>
                <w:lang w:val="en-CA" w:eastAsia="zh-CN"/>
              </w:rPr>
            </w:pPr>
            <w:r w:rsidRPr="00447C3F">
              <w:rPr>
                <w:b/>
                <w:sz w:val="19"/>
                <w:szCs w:val="19"/>
                <w:lang w:val="en-CA" w:eastAsia="zh-CN"/>
              </w:rPr>
              <w:t>Drop In</w:t>
            </w:r>
            <w:r w:rsidR="00F67160" w:rsidRPr="00447C3F">
              <w:rPr>
                <w:b/>
                <w:sz w:val="19"/>
                <w:szCs w:val="19"/>
                <w:lang w:val="en-CA" w:eastAsia="zh-CN"/>
              </w:rPr>
              <w:t xml:space="preserve"> </w:t>
            </w:r>
            <w:r w:rsidRPr="00447C3F">
              <w:rPr>
                <w:b/>
                <w:sz w:val="19"/>
                <w:szCs w:val="19"/>
                <w:lang w:val="en-CA" w:eastAsia="zh-CN"/>
              </w:rPr>
              <w:t>(Per-Meeting)</w:t>
            </w:r>
          </w:p>
        </w:tc>
      </w:tr>
      <w:tr w:rsidR="00536401" w:rsidRPr="00447C3F" w14:paraId="1811CAA4" w14:textId="77777777" w:rsidTr="00447C3F">
        <w:trPr>
          <w:trHeight w:val="71"/>
          <w:jc w:val="center"/>
        </w:trPr>
        <w:tc>
          <w:tcPr>
            <w:tcW w:w="2430" w:type="dxa"/>
            <w:shd w:val="clear" w:color="auto" w:fill="auto"/>
            <w:noWrap/>
            <w:vAlign w:val="center"/>
            <w:hideMark/>
          </w:tcPr>
          <w:p w14:paraId="68897CCA" w14:textId="346B4F6E" w:rsidR="00536401" w:rsidRPr="00447C3F" w:rsidRDefault="00536401" w:rsidP="00DF085C">
            <w:pPr>
              <w:pStyle w:val="ExhibitText"/>
              <w:jc w:val="left"/>
              <w:rPr>
                <w:sz w:val="19"/>
                <w:szCs w:val="19"/>
                <w:lang w:val="en-CA" w:eastAsia="zh-CN"/>
              </w:rPr>
            </w:pPr>
            <w:r w:rsidRPr="00447C3F">
              <w:rPr>
                <w:sz w:val="19"/>
                <w:szCs w:val="19"/>
                <w:lang w:val="en-CA" w:eastAsia="zh-CN"/>
              </w:rPr>
              <w:t>Family (up to 3 persons)</w:t>
            </w:r>
          </w:p>
        </w:tc>
        <w:tc>
          <w:tcPr>
            <w:tcW w:w="3775" w:type="dxa"/>
            <w:shd w:val="clear" w:color="auto" w:fill="auto"/>
            <w:noWrap/>
            <w:vAlign w:val="center"/>
            <w:hideMark/>
          </w:tcPr>
          <w:p w14:paraId="7D85449E"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$100</w:t>
            </w:r>
          </w:p>
        </w:tc>
        <w:tc>
          <w:tcPr>
            <w:tcW w:w="3060" w:type="dxa"/>
            <w:shd w:val="clear" w:color="auto" w:fill="auto"/>
            <w:noWrap/>
            <w:vAlign w:val="center"/>
            <w:hideMark/>
          </w:tcPr>
          <w:p w14:paraId="7CA66F89"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$10</w:t>
            </w:r>
          </w:p>
        </w:tc>
      </w:tr>
      <w:tr w:rsidR="00536401" w:rsidRPr="00447C3F" w14:paraId="07F72CC0" w14:textId="77777777" w:rsidTr="00447C3F">
        <w:trPr>
          <w:trHeight w:val="98"/>
          <w:jc w:val="center"/>
        </w:trPr>
        <w:tc>
          <w:tcPr>
            <w:tcW w:w="2430" w:type="dxa"/>
            <w:shd w:val="clear" w:color="auto" w:fill="auto"/>
            <w:noWrap/>
            <w:vAlign w:val="center"/>
            <w:hideMark/>
          </w:tcPr>
          <w:p w14:paraId="7D97B065"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Individual</w:t>
            </w:r>
          </w:p>
        </w:tc>
        <w:tc>
          <w:tcPr>
            <w:tcW w:w="3775" w:type="dxa"/>
            <w:shd w:val="clear" w:color="auto" w:fill="auto"/>
            <w:noWrap/>
            <w:vAlign w:val="center"/>
            <w:hideMark/>
          </w:tcPr>
          <w:p w14:paraId="3F570316"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$60</w:t>
            </w:r>
          </w:p>
        </w:tc>
        <w:tc>
          <w:tcPr>
            <w:tcW w:w="3060" w:type="dxa"/>
            <w:shd w:val="clear" w:color="auto" w:fill="auto"/>
            <w:noWrap/>
            <w:vAlign w:val="center"/>
            <w:hideMark/>
          </w:tcPr>
          <w:p w14:paraId="081E2828"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$6</w:t>
            </w:r>
          </w:p>
        </w:tc>
      </w:tr>
      <w:tr w:rsidR="00536401" w:rsidRPr="00447C3F" w14:paraId="758C9004" w14:textId="77777777" w:rsidTr="00447C3F">
        <w:trPr>
          <w:trHeight w:val="56"/>
          <w:jc w:val="center"/>
        </w:trPr>
        <w:tc>
          <w:tcPr>
            <w:tcW w:w="2430" w:type="dxa"/>
            <w:shd w:val="clear" w:color="auto" w:fill="auto"/>
            <w:noWrap/>
            <w:vAlign w:val="center"/>
            <w:hideMark/>
          </w:tcPr>
          <w:p w14:paraId="307C674A" w14:textId="13D2FB2B"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Additional </w:t>
            </w:r>
            <w:r w:rsidR="00DD3882" w:rsidRPr="00447C3F">
              <w:rPr>
                <w:sz w:val="19"/>
                <w:szCs w:val="19"/>
                <w:lang w:val="en-CA" w:eastAsia="zh-CN"/>
              </w:rPr>
              <w:t>g</w:t>
            </w:r>
            <w:r w:rsidRPr="00447C3F">
              <w:rPr>
                <w:sz w:val="19"/>
                <w:szCs w:val="19"/>
                <w:lang w:val="en-CA" w:eastAsia="zh-CN"/>
              </w:rPr>
              <w:t>uest</w:t>
            </w:r>
          </w:p>
        </w:tc>
        <w:tc>
          <w:tcPr>
            <w:tcW w:w="3775" w:type="dxa"/>
            <w:shd w:val="clear" w:color="auto" w:fill="auto"/>
            <w:noWrap/>
            <w:vAlign w:val="center"/>
            <w:hideMark/>
          </w:tcPr>
          <w:p w14:paraId="2F935BCC"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$10</w:t>
            </w:r>
          </w:p>
        </w:tc>
        <w:tc>
          <w:tcPr>
            <w:tcW w:w="3060" w:type="dxa"/>
            <w:shd w:val="clear" w:color="auto" w:fill="auto"/>
            <w:noWrap/>
            <w:vAlign w:val="center"/>
            <w:hideMark/>
          </w:tcPr>
          <w:p w14:paraId="433579C0"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$3</w:t>
            </w:r>
          </w:p>
        </w:tc>
      </w:tr>
      <w:tr w:rsidR="00536401" w:rsidRPr="00447C3F" w14:paraId="0835775C" w14:textId="77777777" w:rsidTr="00447C3F">
        <w:trPr>
          <w:trHeight w:val="71"/>
          <w:jc w:val="center"/>
        </w:trPr>
        <w:tc>
          <w:tcPr>
            <w:tcW w:w="2430" w:type="dxa"/>
            <w:shd w:val="clear" w:color="auto" w:fill="auto"/>
            <w:noWrap/>
            <w:vAlign w:val="center"/>
            <w:hideMark/>
          </w:tcPr>
          <w:p w14:paraId="2C7DDE6B"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Benefits</w:t>
            </w:r>
          </w:p>
        </w:tc>
        <w:tc>
          <w:tcPr>
            <w:tcW w:w="3775" w:type="dxa"/>
            <w:shd w:val="clear" w:color="auto" w:fill="auto"/>
            <w:vAlign w:val="center"/>
            <w:hideMark/>
          </w:tcPr>
          <w:p w14:paraId="73CA772D"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Beginner lessons</w:t>
            </w:r>
          </w:p>
        </w:tc>
        <w:tc>
          <w:tcPr>
            <w:tcW w:w="3060" w:type="dxa"/>
            <w:shd w:val="clear" w:color="auto" w:fill="auto"/>
            <w:vAlign w:val="center"/>
            <w:hideMark/>
          </w:tcPr>
          <w:p w14:paraId="394ADE0D"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Beginner lessons</w:t>
            </w:r>
          </w:p>
        </w:tc>
      </w:tr>
      <w:tr w:rsidR="00536401" w:rsidRPr="00447C3F" w14:paraId="17449DE1" w14:textId="77777777" w:rsidTr="00447C3F">
        <w:trPr>
          <w:trHeight w:val="56"/>
          <w:jc w:val="center"/>
        </w:trPr>
        <w:tc>
          <w:tcPr>
            <w:tcW w:w="2430" w:type="dxa"/>
            <w:shd w:val="clear" w:color="auto" w:fill="auto"/>
            <w:noWrap/>
            <w:vAlign w:val="center"/>
            <w:hideMark/>
          </w:tcPr>
          <w:p w14:paraId="0630C7B6"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c>
          <w:tcPr>
            <w:tcW w:w="3775" w:type="dxa"/>
            <w:shd w:val="clear" w:color="auto" w:fill="auto"/>
            <w:vAlign w:val="center"/>
            <w:hideMark/>
          </w:tcPr>
          <w:p w14:paraId="186A48F1" w14:textId="5FE986BB"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Free </w:t>
            </w:r>
            <w:r w:rsidR="00DD3882" w:rsidRPr="00447C3F">
              <w:rPr>
                <w:sz w:val="19"/>
                <w:szCs w:val="19"/>
                <w:lang w:val="en-CA" w:eastAsia="zh-CN"/>
              </w:rPr>
              <w:t>c</w:t>
            </w:r>
            <w:r w:rsidRPr="00447C3F">
              <w:rPr>
                <w:sz w:val="19"/>
                <w:szCs w:val="19"/>
                <w:lang w:val="en-CA" w:eastAsia="zh-CN"/>
              </w:rPr>
              <w:t xml:space="preserve">lub </w:t>
            </w:r>
            <w:r w:rsidR="00DD3882" w:rsidRPr="00447C3F">
              <w:rPr>
                <w:sz w:val="19"/>
                <w:szCs w:val="19"/>
                <w:lang w:val="en-CA" w:eastAsia="zh-CN"/>
              </w:rPr>
              <w:t>h</w:t>
            </w:r>
            <w:r w:rsidRPr="00447C3F">
              <w:rPr>
                <w:sz w:val="19"/>
                <w:szCs w:val="19"/>
                <w:lang w:val="en-CA" w:eastAsia="zh-CN"/>
              </w:rPr>
              <w:t>andouts</w:t>
            </w:r>
            <w:r w:rsidR="00FA13B8" w:rsidRPr="00447C3F">
              <w:rPr>
                <w:sz w:val="19"/>
                <w:szCs w:val="19"/>
                <w:lang w:val="en-CA" w:eastAsia="zh-CN"/>
              </w:rPr>
              <w:t xml:space="preserve"> </w:t>
            </w:r>
          </w:p>
        </w:tc>
        <w:tc>
          <w:tcPr>
            <w:tcW w:w="3060" w:type="dxa"/>
            <w:shd w:val="clear" w:color="auto" w:fill="auto"/>
            <w:vAlign w:val="center"/>
            <w:hideMark/>
          </w:tcPr>
          <w:p w14:paraId="407D0564" w14:textId="39EFDBE8"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Free </w:t>
            </w:r>
            <w:r w:rsidR="00DD3882" w:rsidRPr="00447C3F">
              <w:rPr>
                <w:sz w:val="19"/>
                <w:szCs w:val="19"/>
                <w:lang w:val="en-CA" w:eastAsia="zh-CN"/>
              </w:rPr>
              <w:t>c</w:t>
            </w:r>
            <w:r w:rsidRPr="00447C3F">
              <w:rPr>
                <w:sz w:val="19"/>
                <w:szCs w:val="19"/>
                <w:lang w:val="en-CA" w:eastAsia="zh-CN"/>
              </w:rPr>
              <w:t xml:space="preserve">lub </w:t>
            </w:r>
            <w:r w:rsidR="00DD3882" w:rsidRPr="00447C3F">
              <w:rPr>
                <w:sz w:val="19"/>
                <w:szCs w:val="19"/>
                <w:lang w:val="en-CA" w:eastAsia="zh-CN"/>
              </w:rPr>
              <w:t>h</w:t>
            </w:r>
            <w:r w:rsidRPr="00447C3F">
              <w:rPr>
                <w:sz w:val="19"/>
                <w:szCs w:val="19"/>
                <w:lang w:val="en-CA" w:eastAsia="zh-CN"/>
              </w:rPr>
              <w:t>andouts</w:t>
            </w:r>
            <w:r w:rsidR="00FA13B8" w:rsidRPr="00447C3F">
              <w:rPr>
                <w:sz w:val="19"/>
                <w:szCs w:val="19"/>
                <w:lang w:val="en-CA" w:eastAsia="zh-CN"/>
              </w:rPr>
              <w:t xml:space="preserve"> </w:t>
            </w:r>
          </w:p>
        </w:tc>
      </w:tr>
      <w:tr w:rsidR="00536401" w:rsidRPr="00447C3F" w14:paraId="0B9AC40D" w14:textId="77777777" w:rsidTr="00447C3F">
        <w:trPr>
          <w:trHeight w:val="56"/>
          <w:jc w:val="center"/>
        </w:trPr>
        <w:tc>
          <w:tcPr>
            <w:tcW w:w="2430" w:type="dxa"/>
            <w:shd w:val="clear" w:color="auto" w:fill="auto"/>
            <w:noWrap/>
            <w:vAlign w:val="center"/>
            <w:hideMark/>
          </w:tcPr>
          <w:p w14:paraId="3E697E54"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c>
          <w:tcPr>
            <w:tcW w:w="3775" w:type="dxa"/>
            <w:shd w:val="clear" w:color="auto" w:fill="auto"/>
            <w:vAlign w:val="center"/>
            <w:hideMark/>
          </w:tcPr>
          <w:p w14:paraId="70204231" w14:textId="41D415D1"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Fruits and </w:t>
            </w:r>
            <w:r w:rsidR="00DD3882" w:rsidRPr="00447C3F">
              <w:rPr>
                <w:sz w:val="19"/>
                <w:szCs w:val="19"/>
                <w:lang w:val="en-CA" w:eastAsia="zh-CN"/>
              </w:rPr>
              <w:t>s</w:t>
            </w:r>
            <w:r w:rsidRPr="00447C3F">
              <w:rPr>
                <w:sz w:val="19"/>
                <w:szCs w:val="19"/>
                <w:lang w:val="en-CA" w:eastAsia="zh-CN"/>
              </w:rPr>
              <w:t>nacks</w:t>
            </w:r>
            <w:r w:rsidR="00F70924" w:rsidRPr="00447C3F">
              <w:rPr>
                <w:sz w:val="19"/>
                <w:szCs w:val="19"/>
                <w:lang w:val="en-CA" w:eastAsia="zh-CN"/>
              </w:rPr>
              <w:t xml:space="preserve"> </w:t>
            </w:r>
          </w:p>
        </w:tc>
        <w:tc>
          <w:tcPr>
            <w:tcW w:w="3060" w:type="dxa"/>
            <w:shd w:val="clear" w:color="auto" w:fill="auto"/>
            <w:vAlign w:val="center"/>
            <w:hideMark/>
          </w:tcPr>
          <w:p w14:paraId="20983E4D" w14:textId="0055D828"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Fruits and </w:t>
            </w:r>
            <w:r w:rsidR="00DD3882" w:rsidRPr="00447C3F">
              <w:rPr>
                <w:sz w:val="19"/>
                <w:szCs w:val="19"/>
                <w:lang w:val="en-CA" w:eastAsia="zh-CN"/>
              </w:rPr>
              <w:t>s</w:t>
            </w:r>
            <w:r w:rsidRPr="00447C3F">
              <w:rPr>
                <w:sz w:val="19"/>
                <w:szCs w:val="19"/>
                <w:lang w:val="en-CA" w:eastAsia="zh-CN"/>
              </w:rPr>
              <w:t>nacks</w:t>
            </w:r>
            <w:r w:rsidR="001754E6" w:rsidRPr="00447C3F">
              <w:rPr>
                <w:sz w:val="19"/>
                <w:szCs w:val="19"/>
                <w:lang w:val="en-CA" w:eastAsia="zh-CN"/>
              </w:rPr>
              <w:t xml:space="preserve"> </w:t>
            </w:r>
          </w:p>
        </w:tc>
      </w:tr>
      <w:tr w:rsidR="00536401" w:rsidRPr="00447C3F" w14:paraId="0337DF8A" w14:textId="77777777" w:rsidTr="00447C3F">
        <w:trPr>
          <w:trHeight w:val="341"/>
          <w:jc w:val="center"/>
        </w:trPr>
        <w:tc>
          <w:tcPr>
            <w:tcW w:w="2430" w:type="dxa"/>
            <w:shd w:val="clear" w:color="auto" w:fill="auto"/>
            <w:noWrap/>
            <w:vAlign w:val="center"/>
            <w:hideMark/>
          </w:tcPr>
          <w:p w14:paraId="4B5FE36A"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c>
          <w:tcPr>
            <w:tcW w:w="3775" w:type="dxa"/>
            <w:shd w:val="clear" w:color="auto" w:fill="auto"/>
            <w:vAlign w:val="center"/>
            <w:hideMark/>
          </w:tcPr>
          <w:p w14:paraId="38A4384B" w14:textId="0569E627"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Instruction and </w:t>
            </w:r>
            <w:r w:rsidR="00DD3882" w:rsidRPr="00447C3F">
              <w:rPr>
                <w:sz w:val="19"/>
                <w:szCs w:val="19"/>
                <w:lang w:val="en-CA" w:eastAsia="zh-CN"/>
              </w:rPr>
              <w:t>g</w:t>
            </w:r>
            <w:r w:rsidRPr="00447C3F">
              <w:rPr>
                <w:sz w:val="19"/>
                <w:szCs w:val="19"/>
                <w:lang w:val="en-CA" w:eastAsia="zh-CN"/>
              </w:rPr>
              <w:t xml:space="preserve">ame </w:t>
            </w:r>
            <w:r w:rsidR="00DD3882" w:rsidRPr="00447C3F">
              <w:rPr>
                <w:sz w:val="19"/>
                <w:szCs w:val="19"/>
                <w:lang w:val="en-CA" w:eastAsia="zh-CN"/>
              </w:rPr>
              <w:t>r</w:t>
            </w:r>
            <w:r w:rsidRPr="00447C3F">
              <w:rPr>
                <w:sz w:val="19"/>
                <w:szCs w:val="19"/>
                <w:lang w:val="en-CA" w:eastAsia="zh-CN"/>
              </w:rPr>
              <w:t>eview by club coaches during free play</w:t>
            </w:r>
          </w:p>
        </w:tc>
        <w:tc>
          <w:tcPr>
            <w:tcW w:w="3060" w:type="dxa"/>
            <w:shd w:val="clear" w:color="auto" w:fill="auto"/>
            <w:vAlign w:val="center"/>
            <w:hideMark/>
          </w:tcPr>
          <w:p w14:paraId="0F106679" w14:textId="37EDFDD7" w:rsidR="00536401" w:rsidRPr="00447C3F" w:rsidRDefault="00536401" w:rsidP="00DF085C">
            <w:pPr>
              <w:pStyle w:val="ExhibitText"/>
              <w:jc w:val="left"/>
              <w:rPr>
                <w:sz w:val="19"/>
                <w:szCs w:val="19"/>
                <w:lang w:val="en-CA" w:eastAsia="zh-CN"/>
              </w:rPr>
            </w:pPr>
            <w:r w:rsidRPr="00447C3F">
              <w:rPr>
                <w:sz w:val="19"/>
                <w:szCs w:val="19"/>
                <w:lang w:val="en-CA" w:eastAsia="zh-CN"/>
              </w:rPr>
              <w:t xml:space="preserve">Instruction and </w:t>
            </w:r>
            <w:r w:rsidR="00DD3882" w:rsidRPr="00447C3F">
              <w:rPr>
                <w:sz w:val="19"/>
                <w:szCs w:val="19"/>
                <w:lang w:val="en-CA" w:eastAsia="zh-CN"/>
              </w:rPr>
              <w:t>g</w:t>
            </w:r>
            <w:r w:rsidRPr="00447C3F">
              <w:rPr>
                <w:sz w:val="19"/>
                <w:szCs w:val="19"/>
                <w:lang w:val="en-CA" w:eastAsia="zh-CN"/>
              </w:rPr>
              <w:t xml:space="preserve">ame </w:t>
            </w:r>
            <w:r w:rsidR="00DD3882" w:rsidRPr="00447C3F">
              <w:rPr>
                <w:sz w:val="19"/>
                <w:szCs w:val="19"/>
                <w:lang w:val="en-CA" w:eastAsia="zh-CN"/>
              </w:rPr>
              <w:t>r</w:t>
            </w:r>
            <w:r w:rsidRPr="00447C3F">
              <w:rPr>
                <w:sz w:val="19"/>
                <w:szCs w:val="19"/>
                <w:lang w:val="en-CA" w:eastAsia="zh-CN"/>
              </w:rPr>
              <w:t>eview by club coaches during free play</w:t>
            </w:r>
          </w:p>
        </w:tc>
      </w:tr>
      <w:tr w:rsidR="00536401" w:rsidRPr="00447C3F" w14:paraId="759D5E6D" w14:textId="77777777" w:rsidTr="00447C3F">
        <w:trPr>
          <w:trHeight w:val="224"/>
          <w:jc w:val="center"/>
        </w:trPr>
        <w:tc>
          <w:tcPr>
            <w:tcW w:w="2430" w:type="dxa"/>
            <w:shd w:val="clear" w:color="auto" w:fill="auto"/>
            <w:noWrap/>
            <w:vAlign w:val="center"/>
            <w:hideMark/>
          </w:tcPr>
          <w:p w14:paraId="118771B9"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c>
          <w:tcPr>
            <w:tcW w:w="3775" w:type="dxa"/>
            <w:shd w:val="clear" w:color="auto" w:fill="auto"/>
            <w:vAlign w:val="center"/>
            <w:hideMark/>
          </w:tcPr>
          <w:p w14:paraId="14228FB8"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Opportunity to play with visiting professional players</w:t>
            </w:r>
          </w:p>
        </w:tc>
        <w:tc>
          <w:tcPr>
            <w:tcW w:w="3060" w:type="dxa"/>
            <w:shd w:val="clear" w:color="auto" w:fill="auto"/>
            <w:noWrap/>
            <w:vAlign w:val="center"/>
            <w:hideMark/>
          </w:tcPr>
          <w:p w14:paraId="0CF0313B"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r>
      <w:tr w:rsidR="00536401" w:rsidRPr="00447C3F" w14:paraId="6CB76DE9" w14:textId="77777777" w:rsidTr="00447C3F">
        <w:trPr>
          <w:trHeight w:val="56"/>
          <w:jc w:val="center"/>
        </w:trPr>
        <w:tc>
          <w:tcPr>
            <w:tcW w:w="2430" w:type="dxa"/>
            <w:shd w:val="clear" w:color="auto" w:fill="auto"/>
            <w:noWrap/>
            <w:vAlign w:val="center"/>
            <w:hideMark/>
          </w:tcPr>
          <w:p w14:paraId="313C6C11"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c>
          <w:tcPr>
            <w:tcW w:w="3775" w:type="dxa"/>
            <w:shd w:val="clear" w:color="auto" w:fill="auto"/>
            <w:vAlign w:val="center"/>
            <w:hideMark/>
          </w:tcPr>
          <w:p w14:paraId="760A9460"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Access private tutoring</w:t>
            </w:r>
          </w:p>
        </w:tc>
        <w:tc>
          <w:tcPr>
            <w:tcW w:w="3060" w:type="dxa"/>
            <w:shd w:val="clear" w:color="auto" w:fill="auto"/>
            <w:noWrap/>
            <w:vAlign w:val="center"/>
            <w:hideMark/>
          </w:tcPr>
          <w:p w14:paraId="0EEB1CAA" w14:textId="77777777" w:rsidR="00536401" w:rsidRPr="00447C3F" w:rsidRDefault="00536401" w:rsidP="00DF085C">
            <w:pPr>
              <w:pStyle w:val="ExhibitText"/>
              <w:jc w:val="left"/>
              <w:rPr>
                <w:sz w:val="19"/>
                <w:szCs w:val="19"/>
                <w:lang w:val="en-CA" w:eastAsia="zh-CN"/>
              </w:rPr>
            </w:pPr>
            <w:r w:rsidRPr="00447C3F">
              <w:rPr>
                <w:sz w:val="19"/>
                <w:szCs w:val="19"/>
                <w:lang w:val="en-CA" w:eastAsia="zh-CN"/>
              </w:rPr>
              <w:t> </w:t>
            </w:r>
          </w:p>
        </w:tc>
      </w:tr>
    </w:tbl>
    <w:p w14:paraId="135D5645" w14:textId="77777777" w:rsidR="0092384D" w:rsidRPr="00447C3F" w:rsidRDefault="0092384D" w:rsidP="001E0FB3">
      <w:pPr>
        <w:pStyle w:val="ExhibitText"/>
        <w:rPr>
          <w:rFonts w:eastAsia="ヒラギノ角ゴ Pro W3"/>
          <w:sz w:val="12"/>
          <w:szCs w:val="12"/>
          <w:lang w:val="en-CA" w:eastAsia="zh-CN"/>
        </w:rPr>
      </w:pPr>
    </w:p>
    <w:p w14:paraId="540080C6" w14:textId="0D41D600" w:rsidR="00536401" w:rsidRPr="004F0C46" w:rsidRDefault="00FE2737" w:rsidP="00536401">
      <w:pPr>
        <w:pStyle w:val="Footnote"/>
        <w:rPr>
          <w:rFonts w:eastAsia="SimSun"/>
          <w:lang w:eastAsia="zh-CN"/>
        </w:rPr>
      </w:pPr>
      <w:r w:rsidRPr="004F0C46">
        <w:rPr>
          <w:rFonts w:eastAsia="ヒラギノ角ゴ Pro W3"/>
          <w:lang w:val="en-CA" w:eastAsia="zh-CN"/>
        </w:rPr>
        <w:t xml:space="preserve">Source: </w:t>
      </w:r>
      <w:r w:rsidR="00536401" w:rsidRPr="004F0C46">
        <w:rPr>
          <w:rFonts w:eastAsia="ヒラギノ角ゴ Pro W3"/>
          <w:lang w:val="en-CA" w:eastAsia="zh-CN"/>
        </w:rPr>
        <w:t xml:space="preserve">Data and </w:t>
      </w:r>
      <w:r w:rsidR="00646A2A">
        <w:rPr>
          <w:rFonts w:eastAsia="ヒラギノ角ゴ Pro W3"/>
          <w:lang w:val="en-CA" w:eastAsia="zh-CN"/>
        </w:rPr>
        <w:t>i</w:t>
      </w:r>
      <w:r w:rsidR="00536401" w:rsidRPr="004F0C46">
        <w:rPr>
          <w:rFonts w:eastAsia="ヒラギノ角ゴ Pro W3"/>
          <w:lang w:val="en-CA" w:eastAsia="zh-CN"/>
        </w:rPr>
        <w:t xml:space="preserve">nformation provided by </w:t>
      </w:r>
      <w:r w:rsidR="00FD01D1">
        <w:rPr>
          <w:rFonts w:eastAsia="ヒラギノ角ゴ Pro W3"/>
          <w:lang w:val="en-CA" w:eastAsia="zh-CN"/>
        </w:rPr>
        <w:t xml:space="preserve">Sun </w:t>
      </w:r>
      <w:r w:rsidR="007902B1">
        <w:rPr>
          <w:rFonts w:eastAsia="ヒラギノ角ゴ Pro W3"/>
          <w:lang w:val="en-CA" w:eastAsia="zh-CN"/>
        </w:rPr>
        <w:t>Q</w:t>
      </w:r>
      <w:r w:rsidR="00FD01D1">
        <w:rPr>
          <w:rFonts w:eastAsia="ヒラギノ角ゴ Pro W3"/>
          <w:lang w:val="en-CA" w:eastAsia="zh-CN"/>
        </w:rPr>
        <w:t>uan</w:t>
      </w:r>
      <w:r w:rsidR="00536401" w:rsidRPr="004F0C46">
        <w:rPr>
          <w:rFonts w:eastAsia="ヒラギノ角ゴ Pro W3"/>
          <w:lang w:val="en-CA" w:eastAsia="zh-CN"/>
        </w:rPr>
        <w:t>, President of Sun Quan Education Inc.</w:t>
      </w:r>
      <w:r w:rsidR="00646A2A">
        <w:rPr>
          <w:rFonts w:eastAsia="ヒラギノ角ゴ Pro W3"/>
          <w:lang w:val="en-CA" w:eastAsia="zh-CN"/>
        </w:rPr>
        <w:t xml:space="preserve">; </w:t>
      </w:r>
      <w:r w:rsidR="00D511BC">
        <w:rPr>
          <w:rFonts w:eastAsia="ヒラギノ角ゴ Pro W3"/>
          <w:lang w:eastAsia="zh-CN"/>
        </w:rPr>
        <w:t>the printing cost for club handout</w:t>
      </w:r>
      <w:r w:rsidR="00510FE4">
        <w:rPr>
          <w:rFonts w:eastAsia="ヒラギノ角ゴ Pro W3"/>
          <w:lang w:eastAsia="zh-CN"/>
        </w:rPr>
        <w:t>s</w:t>
      </w:r>
      <w:r w:rsidR="00D511BC">
        <w:rPr>
          <w:rFonts w:eastAsia="ヒラギノ角ゴ Pro W3"/>
          <w:lang w:eastAsia="zh-CN"/>
        </w:rPr>
        <w:t xml:space="preserve"> averaged </w:t>
      </w:r>
      <w:r w:rsidR="00DD3882">
        <w:rPr>
          <w:rFonts w:eastAsia="ヒラギノ角ゴ Pro W3"/>
          <w:lang w:eastAsia="zh-CN"/>
        </w:rPr>
        <w:t>CA</w:t>
      </w:r>
      <w:r w:rsidR="00D511BC">
        <w:rPr>
          <w:rFonts w:eastAsia="ヒラギノ角ゴ Pro W3"/>
          <w:lang w:eastAsia="zh-CN"/>
        </w:rPr>
        <w:t>$0.</w:t>
      </w:r>
      <w:r w:rsidR="00C9644E">
        <w:rPr>
          <w:rFonts w:eastAsia="ヒラギノ角ゴ Pro W3"/>
          <w:lang w:eastAsia="zh-CN"/>
        </w:rPr>
        <w:t>10</w:t>
      </w:r>
      <w:r w:rsidR="00DD3882">
        <w:rPr>
          <w:rFonts w:eastAsia="ヒラギノ角ゴ Pro W3"/>
          <w:lang w:eastAsia="zh-CN"/>
        </w:rPr>
        <w:t xml:space="preserve"> per</w:t>
      </w:r>
      <w:r w:rsidR="00D511BC">
        <w:rPr>
          <w:rFonts w:eastAsia="ヒラギノ角ゴ Pro W3"/>
          <w:lang w:eastAsia="zh-CN"/>
        </w:rPr>
        <w:t xml:space="preserve"> copy</w:t>
      </w:r>
      <w:r w:rsidR="00510FE4">
        <w:rPr>
          <w:rFonts w:eastAsia="ヒラギノ角ゴ Pro W3"/>
          <w:lang w:eastAsia="zh-CN"/>
        </w:rPr>
        <w:t xml:space="preserve">; cost for </w:t>
      </w:r>
      <w:r w:rsidR="00D511BC">
        <w:rPr>
          <w:rFonts w:eastAsia="ヒラギノ角ゴ Pro W3"/>
          <w:lang w:eastAsia="zh-CN"/>
        </w:rPr>
        <w:t xml:space="preserve">fruits and snacks averaged </w:t>
      </w:r>
      <w:r w:rsidR="00DD3882">
        <w:rPr>
          <w:rFonts w:eastAsia="ヒラギノ角ゴ Pro W3"/>
          <w:lang w:eastAsia="zh-CN"/>
        </w:rPr>
        <w:t>CA</w:t>
      </w:r>
      <w:r w:rsidR="00D511BC">
        <w:rPr>
          <w:rFonts w:eastAsia="ヒラギノ角ゴ Pro W3"/>
          <w:lang w:eastAsia="zh-CN"/>
        </w:rPr>
        <w:t>$</w:t>
      </w:r>
      <w:r w:rsidR="00ED0EB5">
        <w:rPr>
          <w:rFonts w:eastAsia="ヒラギノ角ゴ Pro W3"/>
          <w:lang w:eastAsia="zh-CN"/>
        </w:rPr>
        <w:t>2</w:t>
      </w:r>
      <w:r w:rsidR="00DD3882">
        <w:rPr>
          <w:rFonts w:eastAsia="ヒラギノ角ゴ Pro W3"/>
          <w:lang w:eastAsia="zh-CN"/>
        </w:rPr>
        <w:t xml:space="preserve"> per </w:t>
      </w:r>
      <w:r w:rsidR="00ED0EB5">
        <w:rPr>
          <w:rFonts w:eastAsia="ヒラギノ角ゴ Pro W3"/>
          <w:lang w:eastAsia="zh-CN"/>
        </w:rPr>
        <w:t>person</w:t>
      </w:r>
      <w:r w:rsidR="00ED0EB5" w:rsidRPr="00471554">
        <w:rPr>
          <w:rFonts w:eastAsia="ヒラギノ角ゴ Pro W3"/>
        </w:rPr>
        <w:t>.</w:t>
      </w:r>
      <w:r w:rsidR="00ED0EB5">
        <w:rPr>
          <w:rFonts w:eastAsia="ヒラギノ角ゴ Pro W3"/>
          <w:lang w:eastAsia="zh-CN"/>
        </w:rPr>
        <w:t xml:space="preserve"> </w:t>
      </w:r>
    </w:p>
    <w:p w14:paraId="0BBB4A3C" w14:textId="1714B7D5" w:rsidR="00597A46" w:rsidRPr="00447C3F" w:rsidRDefault="00597A46" w:rsidP="00D9188D">
      <w:pPr>
        <w:pStyle w:val="ExhibitText"/>
        <w:rPr>
          <w:sz w:val="12"/>
          <w:szCs w:val="12"/>
        </w:rPr>
      </w:pPr>
    </w:p>
    <w:p w14:paraId="10DD155D" w14:textId="77777777" w:rsidR="00D9188D" w:rsidRPr="00447C3F" w:rsidRDefault="00D9188D" w:rsidP="00D9188D">
      <w:pPr>
        <w:pStyle w:val="ExhibitText"/>
        <w:rPr>
          <w:sz w:val="12"/>
          <w:szCs w:val="12"/>
        </w:rPr>
      </w:pPr>
    </w:p>
    <w:p w14:paraId="2119CF83" w14:textId="325EC717" w:rsidR="00A00080" w:rsidRDefault="00A00080" w:rsidP="00A00080">
      <w:pPr>
        <w:pStyle w:val="ExhibitHeading"/>
        <w:rPr>
          <w:rFonts w:eastAsia="ヒラギノ角ゴ Pro W3"/>
          <w:lang w:val="en-CA" w:eastAsia="zh-CN"/>
        </w:rPr>
      </w:pPr>
      <w:r w:rsidRPr="00536401">
        <w:rPr>
          <w:rFonts w:eastAsia="ヒラギノ角ゴ Pro W3"/>
          <w:lang w:val="en-CA" w:eastAsia="zh-CN"/>
        </w:rPr>
        <w:t xml:space="preserve">Exhibit </w:t>
      </w:r>
      <w:r>
        <w:rPr>
          <w:rFonts w:eastAsia="ヒラギノ角ゴ Pro W3"/>
          <w:lang w:val="en-CA" w:eastAsia="zh-CN"/>
        </w:rPr>
        <w:t>2</w:t>
      </w:r>
      <w:r w:rsidRPr="00536401">
        <w:rPr>
          <w:rFonts w:eastAsia="ヒラギノ角ゴ Pro W3"/>
          <w:lang w:val="en-CA" w:eastAsia="zh-CN"/>
        </w:rPr>
        <w:t xml:space="preserve">: </w:t>
      </w:r>
      <w:r w:rsidR="00A34A10">
        <w:rPr>
          <w:rFonts w:eastAsia="ヒラギノ角ゴ Pro W3"/>
          <w:lang w:val="en-CA" w:eastAsia="zh-CN"/>
        </w:rPr>
        <w:t>Size of potential Customer Base from “Go-Popular” Country Origins</w:t>
      </w:r>
    </w:p>
    <w:p w14:paraId="6112A7CC" w14:textId="77777777" w:rsidR="00A00080" w:rsidRPr="00447C3F" w:rsidRDefault="00A00080" w:rsidP="00A00080">
      <w:pPr>
        <w:pStyle w:val="ExhibitHeading"/>
        <w:jc w:val="both"/>
        <w:rPr>
          <w:rFonts w:eastAsia="ヒラギノ角ゴ Pro W3"/>
          <w:sz w:val="12"/>
          <w:szCs w:val="12"/>
          <w:lang w:val="en-CA" w:eastAsia="zh-CN"/>
        </w:rPr>
      </w:pPr>
    </w:p>
    <w:tbl>
      <w:tblPr>
        <w:tblW w:w="8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1577"/>
        <w:gridCol w:w="3048"/>
      </w:tblGrid>
      <w:tr w:rsidR="00F67160" w:rsidRPr="00447C3F" w14:paraId="67E082C5" w14:textId="77777777" w:rsidTr="00447C3F">
        <w:trPr>
          <w:trHeight w:val="56"/>
          <w:jc w:val="center"/>
        </w:trPr>
        <w:tc>
          <w:tcPr>
            <w:tcW w:w="8005" w:type="dxa"/>
            <w:gridSpan w:val="3"/>
            <w:shd w:val="clear" w:color="auto" w:fill="auto"/>
            <w:noWrap/>
            <w:vAlign w:val="bottom"/>
          </w:tcPr>
          <w:p w14:paraId="6A876953" w14:textId="07CEC637" w:rsidR="00F67160" w:rsidRPr="00447C3F" w:rsidRDefault="00F67160" w:rsidP="00510FE4">
            <w:pPr>
              <w:jc w:val="center"/>
              <w:rPr>
                <w:rFonts w:ascii="Arial" w:hAnsi="Arial" w:cs="Arial"/>
                <w:b/>
                <w:color w:val="000000"/>
                <w:sz w:val="19"/>
                <w:szCs w:val="19"/>
                <w:lang w:val="en-CA" w:eastAsia="zh-CN"/>
              </w:rPr>
            </w:pPr>
            <w:r w:rsidRPr="00447C3F">
              <w:rPr>
                <w:rFonts w:ascii="Arial" w:eastAsia="ヒラギノ角ゴ Pro W3" w:hAnsi="Arial" w:cs="Arial"/>
                <w:b/>
                <w:sz w:val="19"/>
                <w:szCs w:val="19"/>
                <w:lang w:val="en-CA" w:eastAsia="zh-CN"/>
              </w:rPr>
              <w:t>2016 Census Profile, Kitchener-Cambridge-Waterloo (Metropolitan Area), Ontario</w:t>
            </w:r>
          </w:p>
        </w:tc>
      </w:tr>
      <w:tr w:rsidR="00F67160" w:rsidRPr="00447C3F" w14:paraId="6A32BE18" w14:textId="77777777" w:rsidTr="00447C3F">
        <w:trPr>
          <w:trHeight w:val="89"/>
          <w:jc w:val="center"/>
        </w:trPr>
        <w:tc>
          <w:tcPr>
            <w:tcW w:w="3380" w:type="dxa"/>
            <w:shd w:val="clear" w:color="auto" w:fill="auto"/>
            <w:noWrap/>
            <w:vAlign w:val="bottom"/>
            <w:hideMark/>
          </w:tcPr>
          <w:p w14:paraId="7C31C4DC" w14:textId="77777777" w:rsidR="00F67160" w:rsidRPr="00447C3F" w:rsidRDefault="00F67160" w:rsidP="00CC09AB">
            <w:pPr>
              <w:rPr>
                <w:rFonts w:ascii="Arial" w:hAnsi="Arial" w:cs="Arial"/>
                <w:color w:val="000000"/>
                <w:sz w:val="19"/>
                <w:szCs w:val="19"/>
                <w:lang w:val="en-CA" w:eastAsia="zh-CN"/>
              </w:rPr>
            </w:pPr>
            <w:r w:rsidRPr="00447C3F">
              <w:rPr>
                <w:rFonts w:ascii="Arial" w:hAnsi="Arial" w:cs="Arial"/>
                <w:color w:val="000000"/>
                <w:sz w:val="19"/>
                <w:szCs w:val="19"/>
                <w:lang w:val="en-CA" w:eastAsia="zh-CN"/>
              </w:rPr>
              <w:t> </w:t>
            </w:r>
          </w:p>
        </w:tc>
        <w:tc>
          <w:tcPr>
            <w:tcW w:w="1577" w:type="dxa"/>
            <w:shd w:val="clear" w:color="auto" w:fill="auto"/>
            <w:noWrap/>
            <w:vAlign w:val="bottom"/>
            <w:hideMark/>
          </w:tcPr>
          <w:p w14:paraId="4BE84786" w14:textId="31BB8003" w:rsidR="00F67160" w:rsidRPr="00447C3F" w:rsidRDefault="00DD3882" w:rsidP="00CC09AB">
            <w:pPr>
              <w:rPr>
                <w:rFonts w:ascii="Arial" w:hAnsi="Arial" w:cs="Arial"/>
                <w:color w:val="000000"/>
                <w:sz w:val="19"/>
                <w:szCs w:val="19"/>
                <w:lang w:val="en-CA" w:eastAsia="zh-CN"/>
              </w:rPr>
            </w:pPr>
            <w:r w:rsidRPr="00447C3F">
              <w:rPr>
                <w:rFonts w:ascii="Arial" w:hAnsi="Arial" w:cs="Arial"/>
                <w:color w:val="000000"/>
                <w:sz w:val="19"/>
                <w:szCs w:val="19"/>
                <w:lang w:val="en-CA" w:eastAsia="zh-CN"/>
              </w:rPr>
              <w:t xml:space="preserve"> </w:t>
            </w:r>
          </w:p>
        </w:tc>
        <w:tc>
          <w:tcPr>
            <w:tcW w:w="3048" w:type="dxa"/>
            <w:shd w:val="clear" w:color="auto" w:fill="auto"/>
            <w:noWrap/>
            <w:vAlign w:val="bottom"/>
            <w:hideMark/>
          </w:tcPr>
          <w:p w14:paraId="290CC6C8" w14:textId="012ACDE8" w:rsidR="00F67160" w:rsidRPr="00742364" w:rsidRDefault="00F67160" w:rsidP="00CC09AB">
            <w:pPr>
              <w:rPr>
                <w:rFonts w:ascii="Arial" w:hAnsi="Arial" w:cs="Arial"/>
                <w:b/>
                <w:color w:val="000000"/>
                <w:sz w:val="19"/>
                <w:szCs w:val="19"/>
                <w:lang w:val="en-CA" w:eastAsia="zh-CN"/>
              </w:rPr>
            </w:pPr>
            <w:r w:rsidRPr="00742364">
              <w:rPr>
                <w:rFonts w:ascii="Arial" w:hAnsi="Arial" w:cs="Arial"/>
                <w:b/>
                <w:color w:val="000000"/>
                <w:sz w:val="19"/>
                <w:szCs w:val="19"/>
                <w:lang w:val="en-CA" w:eastAsia="zh-CN"/>
              </w:rPr>
              <w:t xml:space="preserve">Percentage </w:t>
            </w:r>
            <w:r w:rsidR="00DD3882" w:rsidRPr="00742364">
              <w:rPr>
                <w:rFonts w:ascii="Arial" w:hAnsi="Arial" w:cs="Arial"/>
                <w:b/>
                <w:color w:val="000000"/>
                <w:sz w:val="19"/>
                <w:szCs w:val="19"/>
                <w:lang w:val="en-CA" w:eastAsia="zh-CN"/>
              </w:rPr>
              <w:t>of</w:t>
            </w:r>
            <w:r w:rsidRPr="00742364">
              <w:rPr>
                <w:rFonts w:ascii="Arial" w:hAnsi="Arial" w:cs="Arial"/>
                <w:b/>
                <w:color w:val="000000"/>
                <w:sz w:val="19"/>
                <w:szCs w:val="19"/>
                <w:lang w:val="en-CA" w:eastAsia="zh-CN"/>
              </w:rPr>
              <w:t xml:space="preserve"> Total Population</w:t>
            </w:r>
          </w:p>
        </w:tc>
      </w:tr>
      <w:tr w:rsidR="00F67160" w:rsidRPr="00447C3F" w14:paraId="7C3F1D09" w14:textId="77777777" w:rsidTr="00447C3F">
        <w:trPr>
          <w:trHeight w:val="56"/>
          <w:jc w:val="center"/>
        </w:trPr>
        <w:tc>
          <w:tcPr>
            <w:tcW w:w="3380" w:type="dxa"/>
            <w:shd w:val="clear" w:color="auto" w:fill="auto"/>
            <w:noWrap/>
            <w:vAlign w:val="center"/>
            <w:hideMark/>
          </w:tcPr>
          <w:p w14:paraId="37B39DF3" w14:textId="6229F673"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 xml:space="preserve">Total </w:t>
            </w:r>
            <w:r w:rsidR="00DD3882" w:rsidRPr="00447C3F">
              <w:rPr>
                <w:rFonts w:ascii="Arial" w:hAnsi="Arial" w:cs="Arial"/>
                <w:color w:val="000000"/>
                <w:sz w:val="19"/>
                <w:szCs w:val="19"/>
                <w:lang w:val="en-CA" w:eastAsia="zh-CN"/>
              </w:rPr>
              <w:t>p</w:t>
            </w:r>
            <w:r w:rsidRPr="00447C3F">
              <w:rPr>
                <w:rFonts w:ascii="Arial" w:hAnsi="Arial" w:cs="Arial"/>
                <w:color w:val="000000"/>
                <w:sz w:val="19"/>
                <w:szCs w:val="19"/>
                <w:lang w:val="en-CA" w:eastAsia="zh-CN"/>
              </w:rPr>
              <w:t>opulation</w:t>
            </w:r>
          </w:p>
        </w:tc>
        <w:tc>
          <w:tcPr>
            <w:tcW w:w="1577" w:type="dxa"/>
            <w:shd w:val="clear" w:color="auto" w:fill="auto"/>
            <w:noWrap/>
            <w:vAlign w:val="bottom"/>
            <w:hideMark/>
          </w:tcPr>
          <w:p w14:paraId="42B12F98"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516,085</w:t>
            </w:r>
          </w:p>
        </w:tc>
        <w:tc>
          <w:tcPr>
            <w:tcW w:w="3048" w:type="dxa"/>
            <w:shd w:val="clear" w:color="auto" w:fill="auto"/>
            <w:noWrap/>
            <w:vAlign w:val="bottom"/>
            <w:hideMark/>
          </w:tcPr>
          <w:p w14:paraId="227BA394" w14:textId="77777777" w:rsidR="00F67160" w:rsidRPr="00447C3F" w:rsidRDefault="00F67160" w:rsidP="00CC09AB">
            <w:pPr>
              <w:rPr>
                <w:rFonts w:ascii="Arial" w:hAnsi="Arial" w:cs="Arial"/>
                <w:color w:val="000000"/>
                <w:sz w:val="19"/>
                <w:szCs w:val="19"/>
                <w:lang w:val="en-CA" w:eastAsia="zh-CN"/>
              </w:rPr>
            </w:pPr>
            <w:r w:rsidRPr="00447C3F">
              <w:rPr>
                <w:rFonts w:ascii="Arial" w:hAnsi="Arial" w:cs="Arial"/>
                <w:color w:val="000000"/>
                <w:sz w:val="19"/>
                <w:szCs w:val="19"/>
                <w:lang w:val="en-CA" w:eastAsia="zh-CN"/>
              </w:rPr>
              <w:t> </w:t>
            </w:r>
          </w:p>
        </w:tc>
      </w:tr>
      <w:tr w:rsidR="00F67160" w:rsidRPr="00447C3F" w14:paraId="11E048D3" w14:textId="77777777" w:rsidTr="00447C3F">
        <w:trPr>
          <w:trHeight w:val="56"/>
          <w:jc w:val="center"/>
        </w:trPr>
        <w:tc>
          <w:tcPr>
            <w:tcW w:w="3380" w:type="dxa"/>
            <w:shd w:val="clear" w:color="auto" w:fill="auto"/>
            <w:noWrap/>
            <w:vAlign w:val="center"/>
            <w:hideMark/>
          </w:tcPr>
          <w:p w14:paraId="1C49CBEC" w14:textId="6A6D52BE"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Asian origins</w:t>
            </w:r>
          </w:p>
        </w:tc>
        <w:tc>
          <w:tcPr>
            <w:tcW w:w="1577" w:type="dxa"/>
            <w:shd w:val="clear" w:color="auto" w:fill="auto"/>
            <w:noWrap/>
            <w:vAlign w:val="bottom"/>
            <w:hideMark/>
          </w:tcPr>
          <w:p w14:paraId="448CF188"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77,160</w:t>
            </w:r>
          </w:p>
        </w:tc>
        <w:tc>
          <w:tcPr>
            <w:tcW w:w="3048" w:type="dxa"/>
            <w:shd w:val="clear" w:color="auto" w:fill="auto"/>
            <w:noWrap/>
            <w:vAlign w:val="bottom"/>
            <w:hideMark/>
          </w:tcPr>
          <w:p w14:paraId="6E1AB6B6"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15.0%</w:t>
            </w:r>
          </w:p>
        </w:tc>
      </w:tr>
      <w:tr w:rsidR="00F67160" w:rsidRPr="00447C3F" w14:paraId="6AE72241" w14:textId="77777777" w:rsidTr="00447C3F">
        <w:trPr>
          <w:trHeight w:val="134"/>
          <w:jc w:val="center"/>
        </w:trPr>
        <w:tc>
          <w:tcPr>
            <w:tcW w:w="3380" w:type="dxa"/>
            <w:shd w:val="clear" w:color="auto" w:fill="auto"/>
            <w:noWrap/>
            <w:vAlign w:val="center"/>
            <w:hideMark/>
          </w:tcPr>
          <w:p w14:paraId="64567EEC" w14:textId="40A48F2E"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East and Southeast Asian origins</w:t>
            </w:r>
          </w:p>
        </w:tc>
        <w:tc>
          <w:tcPr>
            <w:tcW w:w="1577" w:type="dxa"/>
            <w:shd w:val="clear" w:color="auto" w:fill="auto"/>
            <w:noWrap/>
            <w:vAlign w:val="bottom"/>
            <w:hideMark/>
          </w:tcPr>
          <w:p w14:paraId="4B1E46C9"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33,915</w:t>
            </w:r>
          </w:p>
        </w:tc>
        <w:tc>
          <w:tcPr>
            <w:tcW w:w="3048" w:type="dxa"/>
            <w:shd w:val="clear" w:color="auto" w:fill="auto"/>
            <w:noWrap/>
            <w:vAlign w:val="bottom"/>
            <w:hideMark/>
          </w:tcPr>
          <w:p w14:paraId="638E7338"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6.6%</w:t>
            </w:r>
          </w:p>
        </w:tc>
      </w:tr>
      <w:tr w:rsidR="00F67160" w:rsidRPr="00447C3F" w14:paraId="33924D9F" w14:textId="77777777" w:rsidTr="00447C3F">
        <w:trPr>
          <w:trHeight w:val="56"/>
          <w:jc w:val="center"/>
        </w:trPr>
        <w:tc>
          <w:tcPr>
            <w:tcW w:w="3380" w:type="dxa"/>
            <w:shd w:val="clear" w:color="auto" w:fill="auto"/>
            <w:noWrap/>
            <w:vAlign w:val="center"/>
            <w:hideMark/>
          </w:tcPr>
          <w:p w14:paraId="4019FB91" w14:textId="5DBFEC79"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Chinese</w:t>
            </w:r>
          </w:p>
        </w:tc>
        <w:tc>
          <w:tcPr>
            <w:tcW w:w="1577" w:type="dxa"/>
            <w:shd w:val="clear" w:color="auto" w:fill="auto"/>
            <w:noWrap/>
            <w:vAlign w:val="bottom"/>
            <w:hideMark/>
          </w:tcPr>
          <w:p w14:paraId="62295BEE"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18,680</w:t>
            </w:r>
          </w:p>
        </w:tc>
        <w:tc>
          <w:tcPr>
            <w:tcW w:w="3048" w:type="dxa"/>
            <w:shd w:val="clear" w:color="auto" w:fill="auto"/>
            <w:noWrap/>
            <w:vAlign w:val="bottom"/>
            <w:hideMark/>
          </w:tcPr>
          <w:p w14:paraId="67B8B205"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3.6%</w:t>
            </w:r>
          </w:p>
        </w:tc>
      </w:tr>
      <w:tr w:rsidR="00F67160" w:rsidRPr="00447C3F" w14:paraId="46C4BA18" w14:textId="77777777" w:rsidTr="00447C3F">
        <w:trPr>
          <w:trHeight w:val="56"/>
          <w:jc w:val="center"/>
        </w:trPr>
        <w:tc>
          <w:tcPr>
            <w:tcW w:w="3380" w:type="dxa"/>
            <w:shd w:val="clear" w:color="auto" w:fill="auto"/>
            <w:noWrap/>
            <w:vAlign w:val="center"/>
            <w:hideMark/>
          </w:tcPr>
          <w:p w14:paraId="0EB8A482" w14:textId="050D40F8"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Japanese</w:t>
            </w:r>
          </w:p>
        </w:tc>
        <w:tc>
          <w:tcPr>
            <w:tcW w:w="1577" w:type="dxa"/>
            <w:shd w:val="clear" w:color="auto" w:fill="auto"/>
            <w:noWrap/>
            <w:vAlign w:val="bottom"/>
            <w:hideMark/>
          </w:tcPr>
          <w:p w14:paraId="770178D9"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1,025</w:t>
            </w:r>
          </w:p>
        </w:tc>
        <w:tc>
          <w:tcPr>
            <w:tcW w:w="3048" w:type="dxa"/>
            <w:shd w:val="clear" w:color="auto" w:fill="auto"/>
            <w:noWrap/>
            <w:vAlign w:val="bottom"/>
            <w:hideMark/>
          </w:tcPr>
          <w:p w14:paraId="0E8606EF"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0.2%</w:t>
            </w:r>
          </w:p>
        </w:tc>
      </w:tr>
      <w:tr w:rsidR="00F67160" w:rsidRPr="00447C3F" w14:paraId="7B46C08E" w14:textId="77777777" w:rsidTr="00447C3F">
        <w:trPr>
          <w:trHeight w:val="71"/>
          <w:jc w:val="center"/>
        </w:trPr>
        <w:tc>
          <w:tcPr>
            <w:tcW w:w="3380" w:type="dxa"/>
            <w:shd w:val="clear" w:color="auto" w:fill="auto"/>
            <w:noWrap/>
            <w:vAlign w:val="center"/>
            <w:hideMark/>
          </w:tcPr>
          <w:p w14:paraId="0423F833" w14:textId="5066AB44"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Korean</w:t>
            </w:r>
          </w:p>
        </w:tc>
        <w:tc>
          <w:tcPr>
            <w:tcW w:w="1577" w:type="dxa"/>
            <w:shd w:val="clear" w:color="auto" w:fill="auto"/>
            <w:noWrap/>
            <w:vAlign w:val="bottom"/>
            <w:hideMark/>
          </w:tcPr>
          <w:p w14:paraId="4BC87431"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2,570</w:t>
            </w:r>
          </w:p>
        </w:tc>
        <w:tc>
          <w:tcPr>
            <w:tcW w:w="3048" w:type="dxa"/>
            <w:shd w:val="clear" w:color="auto" w:fill="auto"/>
            <w:noWrap/>
            <w:vAlign w:val="bottom"/>
            <w:hideMark/>
          </w:tcPr>
          <w:p w14:paraId="641E58EF"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0.5%</w:t>
            </w:r>
          </w:p>
        </w:tc>
      </w:tr>
      <w:tr w:rsidR="00F67160" w:rsidRPr="00447C3F" w14:paraId="716FFC42" w14:textId="77777777" w:rsidTr="00447C3F">
        <w:trPr>
          <w:trHeight w:val="107"/>
          <w:jc w:val="center"/>
        </w:trPr>
        <w:tc>
          <w:tcPr>
            <w:tcW w:w="3380" w:type="dxa"/>
            <w:shd w:val="clear" w:color="auto" w:fill="auto"/>
            <w:noWrap/>
            <w:vAlign w:val="center"/>
            <w:hideMark/>
          </w:tcPr>
          <w:p w14:paraId="645611D4" w14:textId="7EE08A51"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 xml:space="preserve">Immigrant </w:t>
            </w:r>
            <w:r w:rsidR="00DD3882" w:rsidRPr="00447C3F">
              <w:rPr>
                <w:rFonts w:ascii="Arial" w:hAnsi="Arial" w:cs="Arial"/>
                <w:color w:val="000000"/>
                <w:sz w:val="19"/>
                <w:szCs w:val="19"/>
                <w:lang w:val="en-CA" w:eastAsia="zh-CN"/>
              </w:rPr>
              <w:t>p</w:t>
            </w:r>
            <w:r w:rsidRPr="00447C3F">
              <w:rPr>
                <w:rFonts w:ascii="Arial" w:hAnsi="Arial" w:cs="Arial"/>
                <w:color w:val="000000"/>
                <w:sz w:val="19"/>
                <w:szCs w:val="19"/>
                <w:lang w:val="en-CA" w:eastAsia="zh-CN"/>
              </w:rPr>
              <w:t>opulation</w:t>
            </w:r>
          </w:p>
        </w:tc>
        <w:tc>
          <w:tcPr>
            <w:tcW w:w="1577" w:type="dxa"/>
            <w:shd w:val="clear" w:color="auto" w:fill="auto"/>
            <w:noWrap/>
            <w:vAlign w:val="bottom"/>
            <w:hideMark/>
          </w:tcPr>
          <w:p w14:paraId="1BB519B3"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118,615</w:t>
            </w:r>
          </w:p>
        </w:tc>
        <w:tc>
          <w:tcPr>
            <w:tcW w:w="3048" w:type="dxa"/>
            <w:shd w:val="clear" w:color="auto" w:fill="auto"/>
            <w:noWrap/>
            <w:vAlign w:val="bottom"/>
            <w:hideMark/>
          </w:tcPr>
          <w:p w14:paraId="0DA7979C"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23.0%</w:t>
            </w:r>
          </w:p>
        </w:tc>
      </w:tr>
      <w:tr w:rsidR="00F67160" w:rsidRPr="00447C3F" w14:paraId="36EAB9E8" w14:textId="77777777" w:rsidTr="00447C3F">
        <w:trPr>
          <w:trHeight w:val="56"/>
          <w:jc w:val="center"/>
        </w:trPr>
        <w:tc>
          <w:tcPr>
            <w:tcW w:w="3380" w:type="dxa"/>
            <w:shd w:val="clear" w:color="auto" w:fill="auto"/>
            <w:noWrap/>
            <w:vAlign w:val="center"/>
            <w:hideMark/>
          </w:tcPr>
          <w:p w14:paraId="702D5FD8" w14:textId="6642343B"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Under 5 years</w:t>
            </w:r>
          </w:p>
        </w:tc>
        <w:tc>
          <w:tcPr>
            <w:tcW w:w="1577" w:type="dxa"/>
            <w:shd w:val="clear" w:color="auto" w:fill="auto"/>
            <w:noWrap/>
            <w:vAlign w:val="bottom"/>
            <w:hideMark/>
          </w:tcPr>
          <w:p w14:paraId="25B24AC6"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13,700</w:t>
            </w:r>
          </w:p>
        </w:tc>
        <w:tc>
          <w:tcPr>
            <w:tcW w:w="3048" w:type="dxa"/>
            <w:shd w:val="clear" w:color="auto" w:fill="auto"/>
            <w:noWrap/>
            <w:vAlign w:val="bottom"/>
            <w:hideMark/>
          </w:tcPr>
          <w:p w14:paraId="43EB5A0F"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2.7%</w:t>
            </w:r>
          </w:p>
        </w:tc>
      </w:tr>
      <w:tr w:rsidR="00F67160" w:rsidRPr="00447C3F" w14:paraId="7BA3DE37" w14:textId="77777777" w:rsidTr="00447C3F">
        <w:trPr>
          <w:trHeight w:val="56"/>
          <w:jc w:val="center"/>
        </w:trPr>
        <w:tc>
          <w:tcPr>
            <w:tcW w:w="3380" w:type="dxa"/>
            <w:shd w:val="clear" w:color="auto" w:fill="auto"/>
            <w:noWrap/>
            <w:vAlign w:val="center"/>
            <w:hideMark/>
          </w:tcPr>
          <w:p w14:paraId="65EAC58E" w14:textId="60225463"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5 to 14 years</w:t>
            </w:r>
          </w:p>
        </w:tc>
        <w:tc>
          <w:tcPr>
            <w:tcW w:w="1577" w:type="dxa"/>
            <w:shd w:val="clear" w:color="auto" w:fill="auto"/>
            <w:noWrap/>
            <w:vAlign w:val="bottom"/>
            <w:hideMark/>
          </w:tcPr>
          <w:p w14:paraId="606A5501"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23,895</w:t>
            </w:r>
          </w:p>
        </w:tc>
        <w:tc>
          <w:tcPr>
            <w:tcW w:w="3048" w:type="dxa"/>
            <w:shd w:val="clear" w:color="auto" w:fill="auto"/>
            <w:noWrap/>
            <w:vAlign w:val="bottom"/>
            <w:hideMark/>
          </w:tcPr>
          <w:p w14:paraId="6A4BDE81"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4.6%</w:t>
            </w:r>
          </w:p>
        </w:tc>
      </w:tr>
      <w:tr w:rsidR="00F67160" w:rsidRPr="00447C3F" w14:paraId="589B90F7" w14:textId="77777777" w:rsidTr="00DF085C">
        <w:trPr>
          <w:trHeight w:val="71"/>
          <w:jc w:val="center"/>
        </w:trPr>
        <w:tc>
          <w:tcPr>
            <w:tcW w:w="3380" w:type="dxa"/>
            <w:shd w:val="clear" w:color="auto" w:fill="auto"/>
            <w:noWrap/>
            <w:vAlign w:val="center"/>
            <w:hideMark/>
          </w:tcPr>
          <w:p w14:paraId="5890DEA3" w14:textId="521AD37E"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15 to 24 years</w:t>
            </w:r>
          </w:p>
        </w:tc>
        <w:tc>
          <w:tcPr>
            <w:tcW w:w="1577" w:type="dxa"/>
            <w:shd w:val="clear" w:color="auto" w:fill="auto"/>
            <w:noWrap/>
            <w:vAlign w:val="bottom"/>
            <w:hideMark/>
          </w:tcPr>
          <w:p w14:paraId="21C7ACBD"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25,560</w:t>
            </w:r>
          </w:p>
        </w:tc>
        <w:tc>
          <w:tcPr>
            <w:tcW w:w="3048" w:type="dxa"/>
            <w:shd w:val="clear" w:color="auto" w:fill="auto"/>
            <w:noWrap/>
            <w:vAlign w:val="bottom"/>
            <w:hideMark/>
          </w:tcPr>
          <w:p w14:paraId="043AA368"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5.0%</w:t>
            </w:r>
          </w:p>
        </w:tc>
      </w:tr>
      <w:tr w:rsidR="00F67160" w:rsidRPr="00447C3F" w14:paraId="1772723F" w14:textId="77777777" w:rsidTr="00DF085C">
        <w:trPr>
          <w:trHeight w:val="107"/>
          <w:jc w:val="center"/>
        </w:trPr>
        <w:tc>
          <w:tcPr>
            <w:tcW w:w="3380" w:type="dxa"/>
            <w:shd w:val="clear" w:color="auto" w:fill="auto"/>
            <w:noWrap/>
            <w:vAlign w:val="center"/>
            <w:hideMark/>
          </w:tcPr>
          <w:p w14:paraId="631538CF" w14:textId="2305B24D"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25 to 44 years</w:t>
            </w:r>
          </w:p>
        </w:tc>
        <w:tc>
          <w:tcPr>
            <w:tcW w:w="1577" w:type="dxa"/>
            <w:shd w:val="clear" w:color="auto" w:fill="auto"/>
            <w:noWrap/>
            <w:vAlign w:val="bottom"/>
            <w:hideMark/>
          </w:tcPr>
          <w:p w14:paraId="3B4A2A1B"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47,195</w:t>
            </w:r>
          </w:p>
        </w:tc>
        <w:tc>
          <w:tcPr>
            <w:tcW w:w="3048" w:type="dxa"/>
            <w:shd w:val="clear" w:color="auto" w:fill="auto"/>
            <w:noWrap/>
            <w:vAlign w:val="bottom"/>
            <w:hideMark/>
          </w:tcPr>
          <w:p w14:paraId="273E2DDE"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9.1%</w:t>
            </w:r>
          </w:p>
        </w:tc>
      </w:tr>
      <w:tr w:rsidR="00F67160" w:rsidRPr="00447C3F" w14:paraId="4A141447" w14:textId="77777777" w:rsidTr="00DF085C">
        <w:trPr>
          <w:trHeight w:val="56"/>
          <w:jc w:val="center"/>
        </w:trPr>
        <w:tc>
          <w:tcPr>
            <w:tcW w:w="3380" w:type="dxa"/>
            <w:shd w:val="clear" w:color="auto" w:fill="auto"/>
            <w:noWrap/>
            <w:vAlign w:val="center"/>
            <w:hideMark/>
          </w:tcPr>
          <w:p w14:paraId="1C959123" w14:textId="4FC06539"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45 years and over</w:t>
            </w:r>
          </w:p>
        </w:tc>
        <w:tc>
          <w:tcPr>
            <w:tcW w:w="1577" w:type="dxa"/>
            <w:shd w:val="clear" w:color="auto" w:fill="auto"/>
            <w:noWrap/>
            <w:vAlign w:val="bottom"/>
            <w:hideMark/>
          </w:tcPr>
          <w:p w14:paraId="29EC4AD9"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8,265</w:t>
            </w:r>
          </w:p>
        </w:tc>
        <w:tc>
          <w:tcPr>
            <w:tcW w:w="3048" w:type="dxa"/>
            <w:shd w:val="clear" w:color="auto" w:fill="auto"/>
            <w:noWrap/>
            <w:vAlign w:val="bottom"/>
            <w:hideMark/>
          </w:tcPr>
          <w:p w14:paraId="690042EB"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1.6%</w:t>
            </w:r>
          </w:p>
        </w:tc>
      </w:tr>
      <w:tr w:rsidR="00F67160" w:rsidRPr="00447C3F" w14:paraId="13BC7176" w14:textId="77777777" w:rsidTr="00DF085C">
        <w:trPr>
          <w:trHeight w:val="160"/>
          <w:jc w:val="center"/>
        </w:trPr>
        <w:tc>
          <w:tcPr>
            <w:tcW w:w="3380" w:type="dxa"/>
            <w:shd w:val="clear" w:color="auto" w:fill="auto"/>
            <w:noWrap/>
            <w:vAlign w:val="center"/>
            <w:hideMark/>
          </w:tcPr>
          <w:p w14:paraId="7F5AB8A3" w14:textId="095C1B2B"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 xml:space="preserve">Immigrant by </w:t>
            </w:r>
            <w:r w:rsidR="00DD3882" w:rsidRPr="00447C3F">
              <w:rPr>
                <w:rFonts w:ascii="Arial" w:hAnsi="Arial" w:cs="Arial"/>
                <w:color w:val="000000"/>
                <w:sz w:val="19"/>
                <w:szCs w:val="19"/>
                <w:lang w:val="en-CA" w:eastAsia="zh-CN"/>
              </w:rPr>
              <w:t>p</w:t>
            </w:r>
            <w:r w:rsidRPr="00447C3F">
              <w:rPr>
                <w:rFonts w:ascii="Arial" w:hAnsi="Arial" w:cs="Arial"/>
                <w:color w:val="000000"/>
                <w:sz w:val="19"/>
                <w:szCs w:val="19"/>
                <w:lang w:val="en-CA" w:eastAsia="zh-CN"/>
              </w:rPr>
              <w:t xml:space="preserve">lace of </w:t>
            </w:r>
            <w:r w:rsidR="00DD3882" w:rsidRPr="00447C3F">
              <w:rPr>
                <w:rFonts w:ascii="Arial" w:hAnsi="Arial" w:cs="Arial"/>
                <w:color w:val="000000"/>
                <w:sz w:val="19"/>
                <w:szCs w:val="19"/>
                <w:lang w:val="en-CA" w:eastAsia="zh-CN"/>
              </w:rPr>
              <w:t>b</w:t>
            </w:r>
            <w:r w:rsidRPr="00447C3F">
              <w:rPr>
                <w:rFonts w:ascii="Arial" w:hAnsi="Arial" w:cs="Arial"/>
                <w:color w:val="000000"/>
                <w:sz w:val="19"/>
                <w:szCs w:val="19"/>
                <w:lang w:val="en-CA" w:eastAsia="zh-CN"/>
              </w:rPr>
              <w:t>irth</w:t>
            </w:r>
          </w:p>
        </w:tc>
        <w:tc>
          <w:tcPr>
            <w:tcW w:w="1577" w:type="dxa"/>
            <w:shd w:val="clear" w:color="auto" w:fill="auto"/>
            <w:noWrap/>
            <w:vAlign w:val="bottom"/>
            <w:hideMark/>
          </w:tcPr>
          <w:p w14:paraId="45E78C57"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 </w:t>
            </w:r>
          </w:p>
        </w:tc>
        <w:tc>
          <w:tcPr>
            <w:tcW w:w="3048" w:type="dxa"/>
            <w:shd w:val="clear" w:color="auto" w:fill="auto"/>
            <w:noWrap/>
            <w:vAlign w:val="bottom"/>
            <w:hideMark/>
          </w:tcPr>
          <w:p w14:paraId="5EFFBB2C" w14:textId="17592E8D" w:rsidR="00F67160" w:rsidRPr="00447C3F" w:rsidRDefault="00F67160" w:rsidP="00DD3882">
            <w:pPr>
              <w:jc w:val="center"/>
              <w:rPr>
                <w:rFonts w:ascii="Arial" w:hAnsi="Arial" w:cs="Arial"/>
                <w:color w:val="000000"/>
                <w:sz w:val="19"/>
                <w:szCs w:val="19"/>
                <w:lang w:val="en-CA" w:eastAsia="zh-CN"/>
              </w:rPr>
            </w:pPr>
          </w:p>
        </w:tc>
      </w:tr>
      <w:tr w:rsidR="00F67160" w:rsidRPr="00447C3F" w14:paraId="24F491A7" w14:textId="77777777" w:rsidTr="00DF085C">
        <w:trPr>
          <w:trHeight w:val="56"/>
          <w:jc w:val="center"/>
        </w:trPr>
        <w:tc>
          <w:tcPr>
            <w:tcW w:w="3380" w:type="dxa"/>
            <w:shd w:val="clear" w:color="auto" w:fill="auto"/>
            <w:noWrap/>
            <w:vAlign w:val="center"/>
            <w:hideMark/>
          </w:tcPr>
          <w:p w14:paraId="3F59739D" w14:textId="201AE16E"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China</w:t>
            </w:r>
          </w:p>
        </w:tc>
        <w:tc>
          <w:tcPr>
            <w:tcW w:w="1577" w:type="dxa"/>
            <w:shd w:val="clear" w:color="auto" w:fill="auto"/>
            <w:noWrap/>
            <w:vAlign w:val="bottom"/>
            <w:hideMark/>
          </w:tcPr>
          <w:p w14:paraId="729684BC"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6,380</w:t>
            </w:r>
          </w:p>
        </w:tc>
        <w:tc>
          <w:tcPr>
            <w:tcW w:w="3048" w:type="dxa"/>
            <w:shd w:val="clear" w:color="auto" w:fill="auto"/>
            <w:noWrap/>
            <w:vAlign w:val="bottom"/>
            <w:hideMark/>
          </w:tcPr>
          <w:p w14:paraId="136F03E1"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1.2%</w:t>
            </w:r>
          </w:p>
        </w:tc>
      </w:tr>
      <w:tr w:rsidR="00F67160" w:rsidRPr="00447C3F" w14:paraId="5E04BCA6" w14:textId="77777777" w:rsidTr="00447C3F">
        <w:trPr>
          <w:trHeight w:val="143"/>
          <w:jc w:val="center"/>
        </w:trPr>
        <w:tc>
          <w:tcPr>
            <w:tcW w:w="3380" w:type="dxa"/>
            <w:shd w:val="clear" w:color="auto" w:fill="auto"/>
            <w:noWrap/>
            <w:vAlign w:val="center"/>
            <w:hideMark/>
          </w:tcPr>
          <w:p w14:paraId="55846F03" w14:textId="68D93859"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Japan</w:t>
            </w:r>
          </w:p>
        </w:tc>
        <w:tc>
          <w:tcPr>
            <w:tcW w:w="1577" w:type="dxa"/>
            <w:shd w:val="clear" w:color="auto" w:fill="auto"/>
            <w:noWrap/>
            <w:vAlign w:val="bottom"/>
            <w:hideMark/>
          </w:tcPr>
          <w:p w14:paraId="236C4872"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150</w:t>
            </w:r>
          </w:p>
        </w:tc>
        <w:tc>
          <w:tcPr>
            <w:tcW w:w="3048" w:type="dxa"/>
            <w:shd w:val="clear" w:color="auto" w:fill="auto"/>
            <w:noWrap/>
            <w:vAlign w:val="bottom"/>
            <w:hideMark/>
          </w:tcPr>
          <w:p w14:paraId="0C240C9E"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0.0%</w:t>
            </w:r>
          </w:p>
        </w:tc>
      </w:tr>
      <w:tr w:rsidR="00F67160" w:rsidRPr="00447C3F" w14:paraId="260D5B72" w14:textId="77777777" w:rsidTr="00447C3F">
        <w:trPr>
          <w:trHeight w:val="179"/>
          <w:jc w:val="center"/>
        </w:trPr>
        <w:tc>
          <w:tcPr>
            <w:tcW w:w="3380" w:type="dxa"/>
            <w:shd w:val="clear" w:color="auto" w:fill="auto"/>
            <w:noWrap/>
            <w:vAlign w:val="center"/>
            <w:hideMark/>
          </w:tcPr>
          <w:p w14:paraId="76C60F6F" w14:textId="0FBB2C6A" w:rsidR="00F67160" w:rsidRPr="00447C3F" w:rsidRDefault="00F67160" w:rsidP="00F67160">
            <w:pPr>
              <w:rPr>
                <w:rFonts w:ascii="Arial" w:hAnsi="Arial" w:cs="Arial"/>
                <w:color w:val="000000"/>
                <w:sz w:val="19"/>
                <w:szCs w:val="19"/>
                <w:lang w:val="en-CA" w:eastAsia="zh-CN"/>
              </w:rPr>
            </w:pPr>
            <w:r w:rsidRPr="00447C3F">
              <w:rPr>
                <w:rFonts w:ascii="Arial" w:hAnsi="Arial" w:cs="Arial"/>
                <w:color w:val="000000"/>
                <w:sz w:val="19"/>
                <w:szCs w:val="19"/>
                <w:lang w:val="en-CA" w:eastAsia="zh-CN"/>
              </w:rPr>
              <w:t>Korea; South</w:t>
            </w:r>
          </w:p>
        </w:tc>
        <w:tc>
          <w:tcPr>
            <w:tcW w:w="1577" w:type="dxa"/>
            <w:shd w:val="clear" w:color="auto" w:fill="auto"/>
            <w:noWrap/>
            <w:vAlign w:val="bottom"/>
            <w:hideMark/>
          </w:tcPr>
          <w:p w14:paraId="028EFB85" w14:textId="77777777" w:rsidR="00F67160" w:rsidRPr="00447C3F" w:rsidRDefault="00F67160" w:rsidP="00DD3882">
            <w:pPr>
              <w:jc w:val="right"/>
              <w:rPr>
                <w:rFonts w:ascii="Arial" w:hAnsi="Arial" w:cs="Arial"/>
                <w:color w:val="000000"/>
                <w:sz w:val="19"/>
                <w:szCs w:val="19"/>
                <w:lang w:val="en-CA" w:eastAsia="zh-CN"/>
              </w:rPr>
            </w:pPr>
            <w:r w:rsidRPr="00447C3F">
              <w:rPr>
                <w:rFonts w:ascii="Arial" w:hAnsi="Arial" w:cs="Arial"/>
                <w:color w:val="000000"/>
                <w:sz w:val="19"/>
                <w:szCs w:val="19"/>
                <w:lang w:val="en-CA" w:eastAsia="zh-CN"/>
              </w:rPr>
              <w:t>1,460</w:t>
            </w:r>
          </w:p>
        </w:tc>
        <w:tc>
          <w:tcPr>
            <w:tcW w:w="3048" w:type="dxa"/>
            <w:shd w:val="clear" w:color="auto" w:fill="auto"/>
            <w:noWrap/>
            <w:vAlign w:val="bottom"/>
            <w:hideMark/>
          </w:tcPr>
          <w:p w14:paraId="4253DB35" w14:textId="77777777" w:rsidR="00F67160" w:rsidRPr="00447C3F" w:rsidRDefault="00F67160" w:rsidP="00DD3882">
            <w:pPr>
              <w:jc w:val="center"/>
              <w:rPr>
                <w:rFonts w:ascii="Arial" w:hAnsi="Arial" w:cs="Arial"/>
                <w:color w:val="000000"/>
                <w:sz w:val="19"/>
                <w:szCs w:val="19"/>
                <w:lang w:val="en-CA" w:eastAsia="zh-CN"/>
              </w:rPr>
            </w:pPr>
            <w:r w:rsidRPr="00447C3F">
              <w:rPr>
                <w:rFonts w:ascii="Arial" w:hAnsi="Arial" w:cs="Arial"/>
                <w:color w:val="000000"/>
                <w:sz w:val="19"/>
                <w:szCs w:val="19"/>
                <w:lang w:val="en-CA" w:eastAsia="zh-CN"/>
              </w:rPr>
              <w:t>0.3%</w:t>
            </w:r>
          </w:p>
        </w:tc>
      </w:tr>
    </w:tbl>
    <w:p w14:paraId="240E0950" w14:textId="77777777" w:rsidR="00A00080" w:rsidRPr="00447C3F" w:rsidRDefault="00A00080" w:rsidP="00A00080">
      <w:pPr>
        <w:pStyle w:val="ExhibitHeading"/>
        <w:jc w:val="both"/>
        <w:rPr>
          <w:rFonts w:eastAsia="ヒラギノ角ゴ Pro W3"/>
          <w:sz w:val="12"/>
          <w:szCs w:val="12"/>
          <w:lang w:val="en-CA" w:eastAsia="zh-CN"/>
        </w:rPr>
      </w:pPr>
    </w:p>
    <w:p w14:paraId="4BAE1B36" w14:textId="1132E5B7" w:rsidR="00B23132" w:rsidRDefault="00A00080" w:rsidP="00D9188D">
      <w:pPr>
        <w:pStyle w:val="Footnote"/>
        <w:rPr>
          <w:lang w:val="en-CA"/>
        </w:rPr>
      </w:pPr>
      <w:r w:rsidRPr="00D9188D">
        <w:rPr>
          <w:rFonts w:eastAsia="ヒラギノ角ゴ Pro W3"/>
        </w:rPr>
        <w:t xml:space="preserve">Source: </w:t>
      </w:r>
      <w:r w:rsidR="00646A2A">
        <w:rPr>
          <w:rFonts w:eastAsia="ヒラギノ角ゴ Pro W3"/>
        </w:rPr>
        <w:t>“Census Profile, 2016 Census: Kitchener-Cambridge-Waterloo [Census Metropolitan Area], Ontario and Ontario [Province],” St</w:t>
      </w:r>
      <w:r w:rsidR="00597A46" w:rsidRPr="00D9188D">
        <w:rPr>
          <w:rFonts w:eastAsia="ヒラギノ角ゴ Pro W3"/>
        </w:rPr>
        <w:t>atistics Canada</w:t>
      </w:r>
      <w:r w:rsidR="00646A2A">
        <w:rPr>
          <w:rFonts w:eastAsia="ヒラギノ角ゴ Pro W3"/>
        </w:rPr>
        <w:t>, last updated April 3, 2019,</w:t>
      </w:r>
      <w:r w:rsidR="00597A46" w:rsidRPr="00D9188D">
        <w:rPr>
          <w:rFonts w:eastAsia="ヒラギノ角ゴ Pro W3"/>
        </w:rPr>
        <w:t xml:space="preserve"> accessed </w:t>
      </w:r>
      <w:r w:rsidR="00597A46" w:rsidRPr="00F67160">
        <w:rPr>
          <w:rFonts w:eastAsia="ヒラギノ角ゴ Pro W3"/>
        </w:rPr>
        <w:t xml:space="preserve">April 20, 2019, </w:t>
      </w:r>
      <w:hyperlink r:id="rId9" w:history="1">
        <w:r w:rsidR="00742364">
          <w:rPr>
            <w:rStyle w:val="Hyperlink"/>
            <w:rFonts w:eastAsia="ヒラギノ角ゴ Pro W3"/>
            <w:color w:val="auto"/>
            <w:u w:val="none"/>
          </w:rPr>
          <w:t>www</w:t>
        </w:r>
        <w:r w:rsidR="00F67160" w:rsidRPr="00F67160">
          <w:rPr>
            <w:rStyle w:val="Hyperlink"/>
            <w:rFonts w:eastAsia="ヒラギノ角ゴ Pro W3"/>
            <w:color w:val="auto"/>
            <w:u w:val="none"/>
          </w:rPr>
          <w:t>12.statcan.gc.ca/census-recensement/2016/dp-pd/prof/details/page.cfm?Lang=E&amp;Geo1=CMACA&amp;Code1=541&amp;Geo2=PR&amp;Code2=35&amp;Data=Count&amp; SearchText=kitchener&amp;SearchType=Begins&amp;SearchPR=01&amp;B1=Ethnic%20origin&amp;TABID=1</w:t>
        </w:r>
      </w:hyperlink>
      <w:r w:rsidR="00646A2A" w:rsidRPr="00F67160">
        <w:rPr>
          <w:rStyle w:val="Hyperlink"/>
          <w:rFonts w:eastAsia="ヒラギノ角ゴ Pro W3"/>
          <w:color w:val="auto"/>
          <w:u w:val="none"/>
        </w:rPr>
        <w:t>.</w:t>
      </w:r>
      <w:r w:rsidR="00597A46" w:rsidRPr="00F67160">
        <w:rPr>
          <w:rFonts w:eastAsia="ヒラギノ角ゴ Pro W3"/>
        </w:rPr>
        <w:t xml:space="preserve"> </w:t>
      </w:r>
    </w:p>
    <w:p w14:paraId="14FC667C" w14:textId="649D3AE7" w:rsidR="00447C3F" w:rsidRPr="00447C3F" w:rsidRDefault="00447C3F" w:rsidP="00D9188D">
      <w:pPr>
        <w:pStyle w:val="Footnote"/>
        <w:rPr>
          <w:sz w:val="12"/>
          <w:szCs w:val="12"/>
          <w:lang w:val="en-CA"/>
        </w:rPr>
      </w:pPr>
    </w:p>
    <w:p w14:paraId="7EE99C69" w14:textId="77777777" w:rsidR="00447C3F" w:rsidRPr="00447C3F" w:rsidRDefault="00447C3F" w:rsidP="00D9188D">
      <w:pPr>
        <w:pStyle w:val="Footnote"/>
        <w:rPr>
          <w:rFonts w:eastAsia="ヒラギノ角ゴ Pro W3"/>
          <w:sz w:val="12"/>
          <w:szCs w:val="12"/>
        </w:rPr>
      </w:pPr>
    </w:p>
    <w:p w14:paraId="2C707BAE" w14:textId="0A650827" w:rsidR="00B23132" w:rsidRDefault="00B23132" w:rsidP="00B23132">
      <w:pPr>
        <w:pStyle w:val="ExhibitHeading"/>
        <w:rPr>
          <w:rFonts w:eastAsia="ヒラギノ角ゴ Pro W3"/>
          <w:lang w:val="en-CA" w:eastAsia="zh-CN"/>
        </w:rPr>
      </w:pPr>
      <w:r w:rsidRPr="00536401">
        <w:rPr>
          <w:rFonts w:eastAsia="ヒラギノ角ゴ Pro W3"/>
          <w:lang w:val="en-CA" w:eastAsia="zh-CN"/>
        </w:rPr>
        <w:t xml:space="preserve">Exhibit </w:t>
      </w:r>
      <w:r>
        <w:rPr>
          <w:rFonts w:eastAsia="ヒラギノ角ゴ Pro W3"/>
          <w:lang w:val="en-CA" w:eastAsia="zh-CN"/>
        </w:rPr>
        <w:t>3</w:t>
      </w:r>
      <w:r w:rsidRPr="00536401">
        <w:rPr>
          <w:rFonts w:eastAsia="ヒラギノ角ゴ Pro W3"/>
          <w:lang w:val="en-CA" w:eastAsia="zh-CN"/>
        </w:rPr>
        <w:t xml:space="preserve">: </w:t>
      </w:r>
      <w:r>
        <w:rPr>
          <w:rFonts w:eastAsia="ヒラギノ角ゴ Pro W3"/>
          <w:lang w:val="en-CA" w:eastAsia="zh-CN"/>
        </w:rPr>
        <w:t>Waterloo District School Board Enrollment Data</w:t>
      </w:r>
    </w:p>
    <w:p w14:paraId="2E158390" w14:textId="77777777" w:rsidR="00B23132" w:rsidRPr="00447C3F" w:rsidRDefault="00B23132" w:rsidP="00B23132">
      <w:pPr>
        <w:pStyle w:val="ExhibitHeading"/>
        <w:rPr>
          <w:rFonts w:eastAsia="ヒラギノ角ゴ Pro W3"/>
          <w:sz w:val="12"/>
          <w:szCs w:val="12"/>
          <w:lang w:val="en-CA" w:eastAsia="zh-CN"/>
        </w:rPr>
      </w:pPr>
    </w:p>
    <w:tbl>
      <w:tblPr>
        <w:tblStyle w:val="TableGrid"/>
        <w:tblW w:w="0" w:type="auto"/>
        <w:jc w:val="center"/>
        <w:tblLook w:val="04A0" w:firstRow="1" w:lastRow="0" w:firstColumn="1" w:lastColumn="0" w:noHBand="0" w:noVBand="1"/>
      </w:tblPr>
      <w:tblGrid>
        <w:gridCol w:w="3685"/>
        <w:gridCol w:w="1170"/>
        <w:gridCol w:w="2937"/>
      </w:tblGrid>
      <w:tr w:rsidR="00B23132" w:rsidRPr="00447C3F" w14:paraId="20F615DB" w14:textId="77777777" w:rsidTr="00447C3F">
        <w:trPr>
          <w:trHeight w:val="56"/>
          <w:jc w:val="center"/>
        </w:trPr>
        <w:tc>
          <w:tcPr>
            <w:tcW w:w="3685" w:type="dxa"/>
            <w:noWrap/>
            <w:hideMark/>
          </w:tcPr>
          <w:p w14:paraId="682A0D96" w14:textId="4AF87595" w:rsidR="00B23132" w:rsidRPr="00447C3F" w:rsidRDefault="003A70D9" w:rsidP="00B23132">
            <w:pPr>
              <w:pStyle w:val="ExhibitHeading"/>
              <w:rPr>
                <w:rFonts w:eastAsia="ヒラギノ角ゴ Pro W3"/>
                <w:sz w:val="19"/>
                <w:szCs w:val="19"/>
                <w:lang w:eastAsia="zh-CN"/>
              </w:rPr>
            </w:pPr>
            <w:r w:rsidRPr="00447C3F">
              <w:rPr>
                <w:rFonts w:eastAsia="ヒラギノ角ゴ Pro W3"/>
                <w:caps w:val="0"/>
                <w:sz w:val="19"/>
                <w:szCs w:val="19"/>
                <w:lang w:eastAsia="zh-CN"/>
              </w:rPr>
              <w:t> </w:t>
            </w:r>
          </w:p>
        </w:tc>
        <w:tc>
          <w:tcPr>
            <w:tcW w:w="1170" w:type="dxa"/>
            <w:noWrap/>
            <w:hideMark/>
          </w:tcPr>
          <w:p w14:paraId="30581C3E" w14:textId="2D8AE423" w:rsidR="00B23132" w:rsidRPr="00447C3F" w:rsidRDefault="00B23132" w:rsidP="00B23132">
            <w:pPr>
              <w:pStyle w:val="ExhibitHeading"/>
              <w:rPr>
                <w:rFonts w:eastAsia="ヒラギノ角ゴ Pro W3"/>
                <w:sz w:val="19"/>
                <w:szCs w:val="19"/>
                <w:lang w:eastAsia="zh-CN"/>
              </w:rPr>
            </w:pPr>
          </w:p>
        </w:tc>
        <w:tc>
          <w:tcPr>
            <w:tcW w:w="2937" w:type="dxa"/>
            <w:noWrap/>
            <w:hideMark/>
          </w:tcPr>
          <w:p w14:paraId="3F404DD1" w14:textId="2548BE78" w:rsidR="00B23132" w:rsidRPr="00447C3F" w:rsidRDefault="00DD3882" w:rsidP="00B23132">
            <w:pPr>
              <w:pStyle w:val="ExhibitHeading"/>
              <w:rPr>
                <w:rFonts w:eastAsia="ヒラギノ角ゴ Pro W3"/>
                <w:sz w:val="19"/>
                <w:szCs w:val="19"/>
                <w:lang w:eastAsia="zh-CN"/>
              </w:rPr>
            </w:pPr>
            <w:r w:rsidRPr="00447C3F">
              <w:rPr>
                <w:rFonts w:eastAsia="ヒラギノ角ゴ Pro W3"/>
                <w:b w:val="0"/>
                <w:caps w:val="0"/>
                <w:sz w:val="19"/>
                <w:szCs w:val="19"/>
                <w:lang w:eastAsia="zh-CN"/>
              </w:rPr>
              <w:t xml:space="preserve">Percentage of Total Students </w:t>
            </w:r>
            <w:r w:rsidR="003A70D9" w:rsidRPr="00447C3F">
              <w:rPr>
                <w:rFonts w:eastAsia="ヒラギノ角ゴ Pro W3"/>
                <w:caps w:val="0"/>
                <w:sz w:val="19"/>
                <w:szCs w:val="19"/>
                <w:lang w:eastAsia="zh-CN"/>
              </w:rPr>
              <w:t> </w:t>
            </w:r>
          </w:p>
        </w:tc>
      </w:tr>
      <w:tr w:rsidR="00B23132" w:rsidRPr="00447C3F" w14:paraId="458BC45C" w14:textId="77777777" w:rsidTr="00447C3F">
        <w:trPr>
          <w:trHeight w:val="71"/>
          <w:jc w:val="center"/>
        </w:trPr>
        <w:tc>
          <w:tcPr>
            <w:tcW w:w="3685" w:type="dxa"/>
            <w:noWrap/>
            <w:vAlign w:val="center"/>
            <w:hideMark/>
          </w:tcPr>
          <w:p w14:paraId="1BB13E9D" w14:textId="1162FD1F"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Total Students</w:t>
            </w:r>
          </w:p>
        </w:tc>
        <w:tc>
          <w:tcPr>
            <w:tcW w:w="1170" w:type="dxa"/>
            <w:noWrap/>
            <w:hideMark/>
          </w:tcPr>
          <w:p w14:paraId="79BBCE85" w14:textId="2D3E77CD"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63,924</w:t>
            </w:r>
          </w:p>
        </w:tc>
        <w:tc>
          <w:tcPr>
            <w:tcW w:w="2937" w:type="dxa"/>
            <w:noWrap/>
            <w:hideMark/>
          </w:tcPr>
          <w:p w14:paraId="34EEBB14" w14:textId="597781AC"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 </w:t>
            </w:r>
          </w:p>
        </w:tc>
      </w:tr>
      <w:tr w:rsidR="00B23132" w:rsidRPr="00447C3F" w14:paraId="726B7970" w14:textId="77777777" w:rsidTr="00447C3F">
        <w:trPr>
          <w:trHeight w:val="56"/>
          <w:jc w:val="center"/>
        </w:trPr>
        <w:tc>
          <w:tcPr>
            <w:tcW w:w="3685" w:type="dxa"/>
            <w:noWrap/>
            <w:vAlign w:val="center"/>
            <w:hideMark/>
          </w:tcPr>
          <w:p w14:paraId="1DF8CBF3" w14:textId="5F61D17B"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Elementary</w:t>
            </w:r>
          </w:p>
        </w:tc>
        <w:tc>
          <w:tcPr>
            <w:tcW w:w="1170" w:type="dxa"/>
            <w:noWrap/>
            <w:hideMark/>
          </w:tcPr>
          <w:p w14:paraId="6CB4EA8A" w14:textId="19328150"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44,070</w:t>
            </w:r>
          </w:p>
        </w:tc>
        <w:tc>
          <w:tcPr>
            <w:tcW w:w="2937" w:type="dxa"/>
            <w:noWrap/>
            <w:vAlign w:val="center"/>
            <w:hideMark/>
          </w:tcPr>
          <w:p w14:paraId="739691FD" w14:textId="3C19D677"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68.9%</w:t>
            </w:r>
          </w:p>
        </w:tc>
      </w:tr>
      <w:tr w:rsidR="00B23132" w:rsidRPr="00447C3F" w14:paraId="2EDCEC59" w14:textId="77777777" w:rsidTr="00447C3F">
        <w:trPr>
          <w:trHeight w:val="56"/>
          <w:jc w:val="center"/>
        </w:trPr>
        <w:tc>
          <w:tcPr>
            <w:tcW w:w="3685" w:type="dxa"/>
            <w:noWrap/>
            <w:vAlign w:val="center"/>
            <w:hideMark/>
          </w:tcPr>
          <w:p w14:paraId="201EB87F" w14:textId="2619D267"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 xml:space="preserve">Secondary </w:t>
            </w:r>
          </w:p>
        </w:tc>
        <w:tc>
          <w:tcPr>
            <w:tcW w:w="1170" w:type="dxa"/>
            <w:noWrap/>
            <w:hideMark/>
          </w:tcPr>
          <w:p w14:paraId="5598AEE3" w14:textId="7711050C"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19,854</w:t>
            </w:r>
          </w:p>
        </w:tc>
        <w:tc>
          <w:tcPr>
            <w:tcW w:w="2937" w:type="dxa"/>
            <w:noWrap/>
            <w:vAlign w:val="center"/>
            <w:hideMark/>
          </w:tcPr>
          <w:p w14:paraId="5D7A10A2" w14:textId="58A60772"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31.1%</w:t>
            </w:r>
          </w:p>
        </w:tc>
      </w:tr>
      <w:tr w:rsidR="00B23132" w:rsidRPr="00447C3F" w14:paraId="4DBE1AAC" w14:textId="77777777" w:rsidTr="00447C3F">
        <w:trPr>
          <w:trHeight w:val="56"/>
          <w:jc w:val="center"/>
        </w:trPr>
        <w:tc>
          <w:tcPr>
            <w:tcW w:w="3685" w:type="dxa"/>
            <w:noWrap/>
            <w:vAlign w:val="center"/>
            <w:hideMark/>
          </w:tcPr>
          <w:p w14:paraId="6C63CF79" w14:textId="20ED1FE7"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First Language Not English Or French</w:t>
            </w:r>
          </w:p>
        </w:tc>
        <w:tc>
          <w:tcPr>
            <w:tcW w:w="1170" w:type="dxa"/>
            <w:noWrap/>
            <w:hideMark/>
          </w:tcPr>
          <w:p w14:paraId="4C1B3730" w14:textId="44E2B98E"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19,679</w:t>
            </w:r>
          </w:p>
        </w:tc>
        <w:tc>
          <w:tcPr>
            <w:tcW w:w="2937" w:type="dxa"/>
            <w:noWrap/>
            <w:vAlign w:val="center"/>
            <w:hideMark/>
          </w:tcPr>
          <w:p w14:paraId="4B210B5F" w14:textId="37413CFB"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30.8%</w:t>
            </w:r>
          </w:p>
        </w:tc>
      </w:tr>
      <w:tr w:rsidR="00B23132" w:rsidRPr="00447C3F" w14:paraId="31F6AE73" w14:textId="77777777" w:rsidTr="00447C3F">
        <w:trPr>
          <w:trHeight w:val="125"/>
          <w:jc w:val="center"/>
        </w:trPr>
        <w:tc>
          <w:tcPr>
            <w:tcW w:w="3685" w:type="dxa"/>
            <w:noWrap/>
            <w:vAlign w:val="center"/>
            <w:hideMark/>
          </w:tcPr>
          <w:p w14:paraId="11120630" w14:textId="7C7A6C94"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Enrolled In Extended Day Program</w:t>
            </w:r>
          </w:p>
        </w:tc>
        <w:tc>
          <w:tcPr>
            <w:tcW w:w="1170" w:type="dxa"/>
            <w:noWrap/>
            <w:hideMark/>
          </w:tcPr>
          <w:p w14:paraId="7B8420C6" w14:textId="0D1BEBA3"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3,041</w:t>
            </w:r>
          </w:p>
        </w:tc>
        <w:tc>
          <w:tcPr>
            <w:tcW w:w="2937" w:type="dxa"/>
            <w:noWrap/>
            <w:vAlign w:val="center"/>
            <w:hideMark/>
          </w:tcPr>
          <w:p w14:paraId="16EA34C2" w14:textId="7C50BD6F"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4.8%</w:t>
            </w:r>
          </w:p>
        </w:tc>
      </w:tr>
      <w:tr w:rsidR="00B23132" w:rsidRPr="00447C3F" w14:paraId="512B62BF" w14:textId="77777777" w:rsidTr="00447C3F">
        <w:trPr>
          <w:trHeight w:val="62"/>
          <w:jc w:val="center"/>
        </w:trPr>
        <w:tc>
          <w:tcPr>
            <w:tcW w:w="3685" w:type="dxa"/>
            <w:noWrap/>
            <w:vAlign w:val="center"/>
            <w:hideMark/>
          </w:tcPr>
          <w:p w14:paraId="33562A48" w14:textId="685EF9DD"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Total Schools</w:t>
            </w:r>
          </w:p>
        </w:tc>
        <w:tc>
          <w:tcPr>
            <w:tcW w:w="1170" w:type="dxa"/>
            <w:noWrap/>
            <w:hideMark/>
          </w:tcPr>
          <w:p w14:paraId="0BA0EA58" w14:textId="27487BC9"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121</w:t>
            </w:r>
          </w:p>
        </w:tc>
        <w:tc>
          <w:tcPr>
            <w:tcW w:w="2937" w:type="dxa"/>
            <w:noWrap/>
            <w:vAlign w:val="center"/>
            <w:hideMark/>
          </w:tcPr>
          <w:p w14:paraId="374AF1CF" w14:textId="19D277B1" w:rsidR="00B23132" w:rsidRPr="00447C3F" w:rsidRDefault="00B23132" w:rsidP="003A70D9">
            <w:pPr>
              <w:pStyle w:val="ExhibitHeading"/>
              <w:rPr>
                <w:rFonts w:eastAsia="ヒラギノ角ゴ Pro W3"/>
                <w:b w:val="0"/>
                <w:sz w:val="19"/>
                <w:szCs w:val="19"/>
                <w:lang w:eastAsia="zh-CN"/>
              </w:rPr>
            </w:pPr>
          </w:p>
        </w:tc>
      </w:tr>
      <w:tr w:rsidR="00B23132" w:rsidRPr="00447C3F" w14:paraId="1D97371C" w14:textId="77777777" w:rsidTr="00447C3F">
        <w:trPr>
          <w:trHeight w:val="56"/>
          <w:jc w:val="center"/>
        </w:trPr>
        <w:tc>
          <w:tcPr>
            <w:tcW w:w="3685" w:type="dxa"/>
            <w:noWrap/>
            <w:vAlign w:val="center"/>
            <w:hideMark/>
          </w:tcPr>
          <w:p w14:paraId="08781D58" w14:textId="415C0F73"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Elementary Schools</w:t>
            </w:r>
          </w:p>
        </w:tc>
        <w:tc>
          <w:tcPr>
            <w:tcW w:w="1170" w:type="dxa"/>
            <w:noWrap/>
            <w:hideMark/>
          </w:tcPr>
          <w:p w14:paraId="030A784A" w14:textId="66A77A44"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105</w:t>
            </w:r>
          </w:p>
        </w:tc>
        <w:tc>
          <w:tcPr>
            <w:tcW w:w="2937" w:type="dxa"/>
            <w:noWrap/>
            <w:vAlign w:val="center"/>
            <w:hideMark/>
          </w:tcPr>
          <w:p w14:paraId="43B54EA7" w14:textId="11EDED0B"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86.8%</w:t>
            </w:r>
          </w:p>
        </w:tc>
      </w:tr>
      <w:tr w:rsidR="00B23132" w:rsidRPr="00447C3F" w14:paraId="0A810609" w14:textId="77777777" w:rsidTr="00447C3F">
        <w:trPr>
          <w:trHeight w:val="56"/>
          <w:jc w:val="center"/>
        </w:trPr>
        <w:tc>
          <w:tcPr>
            <w:tcW w:w="3685" w:type="dxa"/>
            <w:noWrap/>
            <w:vAlign w:val="center"/>
            <w:hideMark/>
          </w:tcPr>
          <w:p w14:paraId="4D2A00DE" w14:textId="204D7261" w:rsidR="00B23132" w:rsidRPr="00447C3F" w:rsidRDefault="003A70D9" w:rsidP="003A70D9">
            <w:pPr>
              <w:pStyle w:val="ExhibitHeading"/>
              <w:jc w:val="left"/>
              <w:rPr>
                <w:rFonts w:eastAsia="ヒラギノ角ゴ Pro W3"/>
                <w:b w:val="0"/>
                <w:sz w:val="19"/>
                <w:szCs w:val="19"/>
                <w:lang w:eastAsia="zh-CN"/>
              </w:rPr>
            </w:pPr>
            <w:r w:rsidRPr="00447C3F">
              <w:rPr>
                <w:rFonts w:eastAsia="ヒラギノ角ゴ Pro W3"/>
                <w:b w:val="0"/>
                <w:caps w:val="0"/>
                <w:sz w:val="19"/>
                <w:szCs w:val="19"/>
                <w:lang w:eastAsia="zh-CN"/>
              </w:rPr>
              <w:t>Secondary Schools</w:t>
            </w:r>
          </w:p>
        </w:tc>
        <w:tc>
          <w:tcPr>
            <w:tcW w:w="1170" w:type="dxa"/>
            <w:noWrap/>
            <w:hideMark/>
          </w:tcPr>
          <w:p w14:paraId="5F701A5D" w14:textId="1AA2217A" w:rsidR="00B23132" w:rsidRPr="00447C3F" w:rsidRDefault="003A70D9" w:rsidP="00B23132">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16</w:t>
            </w:r>
          </w:p>
        </w:tc>
        <w:tc>
          <w:tcPr>
            <w:tcW w:w="2937" w:type="dxa"/>
            <w:noWrap/>
            <w:vAlign w:val="center"/>
            <w:hideMark/>
          </w:tcPr>
          <w:p w14:paraId="6AB05A31" w14:textId="26E3F8EB" w:rsidR="00B23132" w:rsidRPr="00447C3F" w:rsidRDefault="003A70D9" w:rsidP="003A70D9">
            <w:pPr>
              <w:pStyle w:val="ExhibitHeading"/>
              <w:rPr>
                <w:rFonts w:eastAsia="ヒラギノ角ゴ Pro W3"/>
                <w:b w:val="0"/>
                <w:sz w:val="19"/>
                <w:szCs w:val="19"/>
                <w:lang w:eastAsia="zh-CN"/>
              </w:rPr>
            </w:pPr>
            <w:r w:rsidRPr="00447C3F">
              <w:rPr>
                <w:rFonts w:eastAsia="ヒラギノ角ゴ Pro W3"/>
                <w:b w:val="0"/>
                <w:caps w:val="0"/>
                <w:sz w:val="19"/>
                <w:szCs w:val="19"/>
                <w:lang w:eastAsia="zh-CN"/>
              </w:rPr>
              <w:t>13.2%</w:t>
            </w:r>
          </w:p>
        </w:tc>
      </w:tr>
    </w:tbl>
    <w:p w14:paraId="60F675AA" w14:textId="77777777" w:rsidR="00B23132" w:rsidRPr="00447C3F" w:rsidRDefault="00B23132" w:rsidP="00B23132">
      <w:pPr>
        <w:pStyle w:val="ExhibitHeading"/>
        <w:rPr>
          <w:rFonts w:eastAsia="ヒラギノ角ゴ Pro W3"/>
          <w:sz w:val="12"/>
          <w:szCs w:val="12"/>
          <w:lang w:val="en-CA" w:eastAsia="zh-CN"/>
        </w:rPr>
      </w:pPr>
    </w:p>
    <w:p w14:paraId="015B73A7" w14:textId="12D35C7C" w:rsidR="00597A46" w:rsidRPr="00D9188D" w:rsidRDefault="00C63843" w:rsidP="00A85B0A">
      <w:pPr>
        <w:pStyle w:val="BodyTextMain"/>
        <w:rPr>
          <w:rStyle w:val="FootnoteChar"/>
          <w:rFonts w:eastAsia="ヒラギノ角ゴ Pro W3"/>
        </w:rPr>
      </w:pPr>
      <w:r w:rsidRPr="00A00080">
        <w:rPr>
          <w:rFonts w:ascii="Arial" w:eastAsia="ヒラギノ角ゴ Pro W3" w:hAnsi="Arial" w:cs="Arial"/>
          <w:sz w:val="17"/>
          <w:szCs w:val="17"/>
          <w:lang w:val="en-CA" w:eastAsia="zh-CN"/>
        </w:rPr>
        <w:t xml:space="preserve">Source: </w:t>
      </w:r>
      <w:r w:rsidR="00806459">
        <w:rPr>
          <w:rFonts w:ascii="Arial" w:eastAsia="ヒラギノ角ゴ Pro W3" w:hAnsi="Arial" w:cs="Arial"/>
          <w:sz w:val="17"/>
          <w:szCs w:val="17"/>
          <w:lang w:val="en-CA" w:eastAsia="zh-CN"/>
        </w:rPr>
        <w:t>“By the Numbers: Trustees Approve a Balanced Budget for the 2018–2019 School Year,” Waterloo District School Board,</w:t>
      </w:r>
      <w:r w:rsidR="004344BB">
        <w:rPr>
          <w:rStyle w:val="FootnoteChar"/>
          <w:rFonts w:eastAsia="ヒラギノ角ゴ Pro W3"/>
        </w:rPr>
        <w:t xml:space="preserve"> January 28, 2019, </w:t>
      </w:r>
      <w:r w:rsidRPr="00D9188D">
        <w:rPr>
          <w:rStyle w:val="FootnoteChar"/>
          <w:rFonts w:eastAsia="ヒラギノ角ゴ Pro W3"/>
        </w:rPr>
        <w:t xml:space="preserve">accessed April 20, 2019, </w:t>
      </w:r>
      <w:hyperlink r:id="rId10" w:history="1">
        <w:r w:rsidRPr="00D9188D">
          <w:rPr>
            <w:rStyle w:val="FootnoteChar"/>
            <w:rFonts w:eastAsia="ヒラギノ角ゴ Pro W3"/>
          </w:rPr>
          <w:t>https://report.wrdsb.ca/by-the-numbers/</w:t>
        </w:r>
      </w:hyperlink>
      <w:r w:rsidR="00D9188D">
        <w:rPr>
          <w:rStyle w:val="FootnoteChar"/>
          <w:lang w:eastAsia="zh-CN"/>
        </w:rPr>
        <w:t>.</w:t>
      </w:r>
    </w:p>
    <w:sectPr w:rsidR="00597A46" w:rsidRPr="00D9188D"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21C6C5" w16cid:durableId="20B86F71"/>
  <w16cid:commentId w16cid:paraId="5BB6AC86" w16cid:durableId="20B75285"/>
  <w16cid:commentId w16cid:paraId="1522A318" w16cid:durableId="20B870F1"/>
  <w16cid:commentId w16cid:paraId="447420BE" w16cid:durableId="20B7525F"/>
  <w16cid:commentId w16cid:paraId="082DEAFC" w16cid:durableId="20B751E2"/>
  <w16cid:commentId w16cid:paraId="7A8E1826" w16cid:durableId="20B871EA"/>
  <w16cid:commentId w16cid:paraId="458E16ED" w16cid:durableId="20B751B6"/>
  <w16cid:commentId w16cid:paraId="21544716" w16cid:durableId="20B74F6B"/>
  <w16cid:commentId w16cid:paraId="72807FDC" w16cid:durableId="20B75144"/>
  <w16cid:commentId w16cid:paraId="09E2C637" w16cid:durableId="20B750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79558" w14:textId="77777777" w:rsidR="00670AB5" w:rsidRDefault="00670AB5" w:rsidP="00D75295">
      <w:r>
        <w:separator/>
      </w:r>
    </w:p>
  </w:endnote>
  <w:endnote w:type="continuationSeparator" w:id="0">
    <w:p w14:paraId="3228FED6" w14:textId="77777777" w:rsidR="00670AB5" w:rsidRDefault="00670AB5" w:rsidP="00D75295">
      <w:r>
        <w:continuationSeparator/>
      </w:r>
    </w:p>
  </w:endnote>
  <w:endnote w:type="continuationNotice" w:id="1">
    <w:p w14:paraId="4DA44BF2" w14:textId="77777777" w:rsidR="00670AB5" w:rsidRDefault="00670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 w:name="ヒラギノ角ゴ Pro W3">
    <w:altName w:val="Calibri"/>
    <w:charset w:val="4E"/>
    <w:family w:val="auto"/>
    <w:pitch w:val="variable"/>
    <w:sig w:usb0="00000000" w:usb1="7AC7FFFF" w:usb2="00000012" w:usb3="00000000" w:csb0="0002000D"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31678" w14:textId="77777777" w:rsidR="00670AB5" w:rsidRDefault="00670AB5" w:rsidP="00D75295">
      <w:r>
        <w:separator/>
      </w:r>
    </w:p>
  </w:footnote>
  <w:footnote w:type="continuationSeparator" w:id="0">
    <w:p w14:paraId="12B56C22" w14:textId="77777777" w:rsidR="00670AB5" w:rsidRDefault="00670AB5" w:rsidP="00D75295">
      <w:r>
        <w:continuationSeparator/>
      </w:r>
    </w:p>
  </w:footnote>
  <w:footnote w:type="continuationNotice" w:id="1">
    <w:p w14:paraId="48525471" w14:textId="77777777" w:rsidR="00670AB5" w:rsidRDefault="00670AB5"/>
  </w:footnote>
  <w:footnote w:id="2">
    <w:p w14:paraId="5FC5A154" w14:textId="09AAB1F4" w:rsidR="00806459" w:rsidRPr="00DF085C" w:rsidRDefault="00806459" w:rsidP="00F06D20">
      <w:pPr>
        <w:pStyle w:val="Footnote"/>
        <w:rPr>
          <w:spacing w:val="-6"/>
          <w:kern w:val="17"/>
        </w:rPr>
      </w:pPr>
      <w:r w:rsidRPr="00DF085C">
        <w:rPr>
          <w:rStyle w:val="FootnoteReference"/>
          <w:spacing w:val="-6"/>
          <w:kern w:val="17"/>
        </w:rPr>
        <w:footnoteRef/>
      </w:r>
      <w:r w:rsidRPr="00DF085C">
        <w:rPr>
          <w:spacing w:val="-6"/>
          <w:kern w:val="17"/>
        </w:rPr>
        <w:t xml:space="preserve"> “About Go,” The International Go Federation, July 3, 2010, accessed February 18, 2019, www.intergofed.org/about-go/about-go.html. </w:t>
      </w:r>
    </w:p>
  </w:footnote>
  <w:footnote w:id="3">
    <w:p w14:paraId="3BCB08A1" w14:textId="70E6F81D" w:rsidR="00806459" w:rsidRPr="002D246E" w:rsidRDefault="00806459" w:rsidP="00F06D20">
      <w:pPr>
        <w:pStyle w:val="Footnote"/>
      </w:pPr>
      <w:r w:rsidRPr="00885784">
        <w:rPr>
          <w:rStyle w:val="FootnoteReference"/>
        </w:rPr>
        <w:footnoteRef/>
      </w:r>
      <w:r>
        <w:t xml:space="preserve"> </w:t>
      </w:r>
      <w:r w:rsidRPr="002D246E">
        <w:t>“</w:t>
      </w:r>
      <w:r>
        <w:t>History of G</w:t>
      </w:r>
      <w:r w:rsidRPr="002D246E">
        <w:t>o</w:t>
      </w:r>
      <w:r>
        <w:t>,</w:t>
      </w:r>
      <w:r w:rsidRPr="002D246E">
        <w:t xml:space="preserve">” </w:t>
      </w:r>
      <w:r>
        <w:t xml:space="preserve">The </w:t>
      </w:r>
      <w:r w:rsidRPr="002D246E">
        <w:t>International Go Federation,</w:t>
      </w:r>
      <w:r>
        <w:t xml:space="preserve"> June 3, 2010,</w:t>
      </w:r>
      <w:r w:rsidRPr="002D246E">
        <w:t xml:space="preserve"> accessed February 18, 2019, </w:t>
      </w:r>
      <w:r w:rsidRPr="0092384D">
        <w:t>www.intergofed.org/about-go/history-of-go.html</w:t>
      </w:r>
      <w:r>
        <w:t>.</w:t>
      </w:r>
      <w:r w:rsidRPr="002D246E">
        <w:t xml:space="preserve"> </w:t>
      </w:r>
    </w:p>
  </w:footnote>
  <w:footnote w:id="4">
    <w:p w14:paraId="7716DEA7" w14:textId="7E998A6B" w:rsidR="00806459" w:rsidRPr="00F67160" w:rsidRDefault="00806459" w:rsidP="00F06D20">
      <w:pPr>
        <w:pStyle w:val="Footnote"/>
        <w:rPr>
          <w:spacing w:val="-4"/>
          <w:kern w:val="17"/>
        </w:rPr>
      </w:pPr>
      <w:r w:rsidRPr="00F67160">
        <w:rPr>
          <w:rStyle w:val="FootnoteReference"/>
          <w:spacing w:val="-4"/>
          <w:kern w:val="17"/>
        </w:rPr>
        <w:footnoteRef/>
      </w:r>
      <w:r w:rsidRPr="00F67160">
        <w:rPr>
          <w:spacing w:val="-4"/>
          <w:kern w:val="17"/>
        </w:rPr>
        <w:t xml:space="preserve"> Chuck Elliott, “About the CGA,” Canadian Go Association, accessed February 18, 2019, http://info.go-canada.org/about-the-cga/. </w:t>
      </w:r>
    </w:p>
  </w:footnote>
  <w:footnote w:id="5">
    <w:p w14:paraId="4368A886" w14:textId="37B7CCE7" w:rsidR="00806459" w:rsidRPr="00B26A67" w:rsidRDefault="00806459" w:rsidP="00F06D20">
      <w:pPr>
        <w:pStyle w:val="Footnote"/>
      </w:pPr>
      <w:r w:rsidRPr="00885784">
        <w:rPr>
          <w:rStyle w:val="FootnoteReference"/>
        </w:rPr>
        <w:footnoteRef/>
      </w:r>
      <w:r>
        <w:t xml:space="preserve"> </w:t>
      </w:r>
      <w:r w:rsidRPr="00B26A67">
        <w:t>“Four Arts,</w:t>
      </w:r>
      <w:r>
        <w:t xml:space="preserve">” </w:t>
      </w:r>
      <w:r w:rsidRPr="00B26A67">
        <w:t>China Online Museum,</w:t>
      </w:r>
      <w:r>
        <w:t xml:space="preserve"> accessed December 3</w:t>
      </w:r>
      <w:r w:rsidRPr="00B26A67">
        <w:t xml:space="preserve">, 2018, </w:t>
      </w:r>
      <w:r w:rsidRPr="0092384D">
        <w:t>www.comuseum.com/culture/four-arts/</w:t>
      </w:r>
      <w:r>
        <w:t>.</w:t>
      </w:r>
      <w:r w:rsidRPr="00B26A67">
        <w:t xml:space="preserve"> </w:t>
      </w:r>
    </w:p>
  </w:footnote>
  <w:footnote w:id="6">
    <w:p w14:paraId="21160043" w14:textId="2A353CB5" w:rsidR="00806459" w:rsidRPr="009B7F0F" w:rsidRDefault="00806459" w:rsidP="00F06D20">
      <w:pPr>
        <w:pStyle w:val="Footnote"/>
        <w:rPr>
          <w:lang w:eastAsia="zh-CN"/>
        </w:rPr>
      </w:pPr>
      <w:r w:rsidRPr="00885784">
        <w:rPr>
          <w:rStyle w:val="FootnoteReference"/>
        </w:rPr>
        <w:footnoteRef/>
      </w:r>
      <w:r w:rsidRPr="009B7F0F">
        <w:rPr>
          <w:lang w:eastAsia="zh-CN"/>
        </w:rPr>
        <w:t xml:space="preserve"> </w:t>
      </w:r>
      <w:r w:rsidR="00305724">
        <w:rPr>
          <w:lang w:eastAsia="zh-CN"/>
        </w:rPr>
        <w:t>“</w:t>
      </w:r>
      <w:r w:rsidR="00C6236C">
        <w:t xml:space="preserve">2016 China Go Training Market Status Analysis and Development Trend Forecast [in Chinese],” China Industry Information Network Channel, </w:t>
      </w:r>
      <w:r w:rsidR="00C6236C" w:rsidRPr="0092384D">
        <w:t xml:space="preserve">September 18, 2016, accessed December 3, 2018, </w:t>
      </w:r>
      <w:r w:rsidR="00C6236C" w:rsidRPr="0092384D">
        <w:rPr>
          <w:rStyle w:val="Hyperlink"/>
          <w:color w:val="auto"/>
          <w:u w:val="none"/>
        </w:rPr>
        <w:t>www.chyxx.com/industry/201609/449398.html</w:t>
      </w:r>
      <w:r w:rsidR="00C6236C">
        <w:rPr>
          <w:rStyle w:val="Hyperlink"/>
          <w:color w:val="auto"/>
          <w:u w:val="none"/>
        </w:rPr>
        <w:t>.</w:t>
      </w:r>
      <w:r w:rsidR="00C6236C" w:rsidRPr="0092384D">
        <w:t xml:space="preserve"> </w:t>
      </w:r>
    </w:p>
  </w:footnote>
  <w:footnote w:id="7">
    <w:p w14:paraId="6414CD2D" w14:textId="5EB7908F" w:rsidR="00806459" w:rsidRPr="00DF085C" w:rsidRDefault="00806459" w:rsidP="00F06D20">
      <w:pPr>
        <w:pStyle w:val="Footnote"/>
        <w:rPr>
          <w:spacing w:val="-6"/>
          <w:kern w:val="17"/>
        </w:rPr>
      </w:pPr>
      <w:r w:rsidRPr="00DF085C">
        <w:rPr>
          <w:rStyle w:val="FootnoteReference"/>
          <w:spacing w:val="-6"/>
          <w:kern w:val="17"/>
        </w:rPr>
        <w:footnoteRef/>
      </w:r>
      <w:r w:rsidRPr="00DF085C">
        <w:rPr>
          <w:spacing w:val="-6"/>
          <w:kern w:val="17"/>
        </w:rPr>
        <w:t xml:space="preserve"> “List of Professional Go Tournaments,” Wikipedia: The Free </w:t>
      </w:r>
      <w:proofErr w:type="spellStart"/>
      <w:r w:rsidRPr="00DF085C">
        <w:rPr>
          <w:spacing w:val="-6"/>
          <w:kern w:val="17"/>
        </w:rPr>
        <w:t>Encyclopedia</w:t>
      </w:r>
      <w:proofErr w:type="spellEnd"/>
      <w:r w:rsidRPr="00DF085C">
        <w:rPr>
          <w:spacing w:val="-6"/>
          <w:kern w:val="17"/>
        </w:rPr>
        <w:t xml:space="preserve">, last updated April 10, 2019, accessed December 3, 2018, </w:t>
      </w:r>
      <w:r w:rsidR="00AB47A8" w:rsidRPr="00DF085C">
        <w:rPr>
          <w:spacing w:val="-6"/>
          <w:kern w:val="17"/>
        </w:rPr>
        <w:t>https://en.wikipedia.org/wiki/List_of_professional_Go_tournaments; all currency amounts are in US$ unless otherwise specified</w:t>
      </w:r>
      <w:r w:rsidRPr="00DF085C">
        <w:rPr>
          <w:spacing w:val="-6"/>
          <w:kern w:val="17"/>
        </w:rPr>
        <w:t xml:space="preserve">. </w:t>
      </w:r>
    </w:p>
  </w:footnote>
  <w:footnote w:id="8">
    <w:p w14:paraId="0D101217" w14:textId="63E14CE7" w:rsidR="00806459" w:rsidRPr="009B7F0F" w:rsidRDefault="00806459" w:rsidP="00F06D20">
      <w:pPr>
        <w:pStyle w:val="Footnote"/>
      </w:pPr>
      <w:r w:rsidRPr="00885784">
        <w:rPr>
          <w:rStyle w:val="FootnoteReference"/>
        </w:rPr>
        <w:footnoteRef/>
      </w:r>
      <w:r w:rsidRPr="009B7F0F">
        <w:t xml:space="preserve"> “World Amateur Go Championship,” Wikipedia</w:t>
      </w:r>
      <w:r>
        <w:t>: Th</w:t>
      </w:r>
      <w:r w:rsidRPr="009B7F0F">
        <w:t xml:space="preserve">e </w:t>
      </w:r>
      <w:r>
        <w:t>F</w:t>
      </w:r>
      <w:r w:rsidRPr="009B7F0F">
        <w:t xml:space="preserve">ree </w:t>
      </w:r>
      <w:proofErr w:type="spellStart"/>
      <w:r>
        <w:t>E</w:t>
      </w:r>
      <w:r w:rsidRPr="009B7F0F">
        <w:t>ncyclopedia</w:t>
      </w:r>
      <w:proofErr w:type="spellEnd"/>
      <w:r w:rsidRPr="009B7F0F">
        <w:t xml:space="preserve">, </w:t>
      </w:r>
      <w:r>
        <w:t xml:space="preserve">last updated March 17, 2019, </w:t>
      </w:r>
      <w:r w:rsidRPr="009B7F0F">
        <w:t xml:space="preserve">accessed </w:t>
      </w:r>
      <w:r>
        <w:t xml:space="preserve">December </w:t>
      </w:r>
      <w:r w:rsidRPr="009B7F0F">
        <w:t xml:space="preserve">3, 2018, </w:t>
      </w:r>
      <w:r w:rsidRPr="0092384D">
        <w:t>https://en.wikipedia.org/wiki/World_Amateur_Go_Championship</w:t>
      </w:r>
      <w:r>
        <w:t xml:space="preserve">. </w:t>
      </w:r>
    </w:p>
  </w:footnote>
  <w:footnote w:id="9">
    <w:p w14:paraId="3C92AE8F" w14:textId="445EF04D" w:rsidR="00806459" w:rsidRPr="00351C93" w:rsidRDefault="00806459" w:rsidP="00F06D20">
      <w:pPr>
        <w:pStyle w:val="Footnote"/>
      </w:pPr>
      <w:r>
        <w:rPr>
          <w:rStyle w:val="FootnoteReference"/>
        </w:rPr>
        <w:footnoteRef/>
      </w:r>
      <w:r>
        <w:t xml:space="preserve"> </w:t>
      </w:r>
      <w:r w:rsidR="005D3D99">
        <w:t>Peng,</w:t>
      </w:r>
      <w:r>
        <w:rPr>
          <w:rFonts w:eastAsia="Microsoft YaHei"/>
          <w:lang w:eastAsia="zh-CN"/>
        </w:rPr>
        <w:t xml:space="preserve"> “</w:t>
      </w:r>
      <w:proofErr w:type="spellStart"/>
      <w:r>
        <w:rPr>
          <w:rFonts w:eastAsia="Microsoft YaHei"/>
          <w:lang w:eastAsia="zh-CN"/>
        </w:rPr>
        <w:t>Ke</w:t>
      </w:r>
      <w:proofErr w:type="spellEnd"/>
      <w:r>
        <w:rPr>
          <w:rFonts w:eastAsia="Microsoft YaHei"/>
          <w:lang w:eastAsia="zh-CN"/>
        </w:rPr>
        <w:t xml:space="preserve"> </w:t>
      </w:r>
      <w:proofErr w:type="spellStart"/>
      <w:r>
        <w:rPr>
          <w:rFonts w:eastAsia="Microsoft YaHei"/>
          <w:lang w:eastAsia="zh-CN"/>
        </w:rPr>
        <w:t>Jie’s</w:t>
      </w:r>
      <w:proofErr w:type="spellEnd"/>
      <w:r>
        <w:rPr>
          <w:rFonts w:eastAsia="Microsoft YaHei"/>
          <w:lang w:eastAsia="zh-CN"/>
        </w:rPr>
        <w:t xml:space="preserve"> Final </w:t>
      </w:r>
      <w:proofErr w:type="spellStart"/>
      <w:r>
        <w:rPr>
          <w:rFonts w:eastAsia="Microsoft YaHei"/>
          <w:lang w:eastAsia="zh-CN"/>
        </w:rPr>
        <w:t>Recod</w:t>
      </w:r>
      <w:proofErr w:type="spellEnd"/>
      <w:r>
        <w:rPr>
          <w:rFonts w:eastAsia="Microsoft YaHei"/>
          <w:lang w:eastAsia="zh-CN"/>
        </w:rPr>
        <w:t xml:space="preserve"> of Playing Chess </w:t>
      </w:r>
      <w:r w:rsidR="00AB47A8">
        <w:rPr>
          <w:rFonts w:eastAsia="Microsoft YaHei"/>
          <w:lang w:eastAsia="zh-CN"/>
        </w:rPr>
        <w:t>I</w:t>
      </w:r>
      <w:r>
        <w:rPr>
          <w:rFonts w:eastAsia="Microsoft YaHei"/>
          <w:lang w:eastAsia="zh-CN"/>
        </w:rPr>
        <w:t xml:space="preserve">s Comparable to [in Chinese],” </w:t>
      </w:r>
      <w:proofErr w:type="spellStart"/>
      <w:r>
        <w:rPr>
          <w:rFonts w:eastAsia="Microsoft YaHei"/>
          <w:lang w:eastAsia="zh-CN"/>
        </w:rPr>
        <w:t>Sina</w:t>
      </w:r>
      <w:proofErr w:type="spellEnd"/>
      <w:r>
        <w:rPr>
          <w:rFonts w:eastAsia="Microsoft YaHei"/>
          <w:lang w:eastAsia="zh-CN"/>
        </w:rPr>
        <w:t xml:space="preserve"> Sports,</w:t>
      </w:r>
      <w:r w:rsidRPr="009B7F0F">
        <w:rPr>
          <w:rFonts w:eastAsia="Microsoft YaHei"/>
          <w:lang w:eastAsia="zh-CN"/>
        </w:rPr>
        <w:t xml:space="preserve"> </w:t>
      </w:r>
      <w:r>
        <w:rPr>
          <w:rFonts w:eastAsia="Microsoft YaHei"/>
          <w:lang w:eastAsia="zh-CN"/>
        </w:rPr>
        <w:t>January 12</w:t>
      </w:r>
      <w:r w:rsidRPr="009B7F0F">
        <w:rPr>
          <w:rFonts w:eastAsia="Microsoft YaHei"/>
          <w:lang w:eastAsia="zh-CN"/>
        </w:rPr>
        <w:t xml:space="preserve">, 2016, accessed </w:t>
      </w:r>
      <w:r>
        <w:rPr>
          <w:rFonts w:eastAsia="Microsoft YaHei"/>
          <w:lang w:eastAsia="zh-CN"/>
        </w:rPr>
        <w:t xml:space="preserve">December </w:t>
      </w:r>
      <w:r w:rsidRPr="009B7F0F">
        <w:rPr>
          <w:rFonts w:eastAsia="Microsoft YaHei"/>
          <w:lang w:eastAsia="zh-CN"/>
        </w:rPr>
        <w:t xml:space="preserve">3, 2018, </w:t>
      </w:r>
      <w:r w:rsidRPr="0092384D">
        <w:rPr>
          <w:rFonts w:eastAsia="Microsoft YaHei"/>
          <w:lang w:eastAsia="zh-CN"/>
        </w:rPr>
        <w:t>http://sports.sina.com.cn/go/2016-01-12/doc-ifxnkkuy7964488.shtml</w:t>
      </w:r>
      <w:r>
        <w:rPr>
          <w:rFonts w:eastAsia="Microsoft YaHei"/>
          <w:lang w:eastAsia="zh-CN"/>
        </w:rPr>
        <w:t xml:space="preserve">. </w:t>
      </w:r>
    </w:p>
  </w:footnote>
  <w:footnote w:id="10">
    <w:p w14:paraId="16708FCB" w14:textId="09358ECC" w:rsidR="00F67160" w:rsidRPr="00F67160" w:rsidRDefault="00806459">
      <w:pPr>
        <w:pStyle w:val="FootnoteText"/>
        <w:rPr>
          <w:rFonts w:ascii="Arial" w:hAnsi="Arial" w:cs="Arial"/>
          <w:sz w:val="17"/>
          <w:szCs w:val="17"/>
        </w:rPr>
      </w:pPr>
      <w:r w:rsidRPr="00885784">
        <w:rPr>
          <w:rStyle w:val="FootnoteReference"/>
          <w:rFonts w:ascii="Arial" w:hAnsi="Arial" w:cs="Arial"/>
          <w:sz w:val="17"/>
          <w:szCs w:val="17"/>
        </w:rPr>
        <w:footnoteRef/>
      </w:r>
      <w:r w:rsidRPr="00885784">
        <w:rPr>
          <w:rFonts w:ascii="Arial" w:hAnsi="Arial" w:cs="Arial"/>
        </w:rPr>
        <w:t xml:space="preserve"> </w:t>
      </w:r>
      <w:r w:rsidRPr="00885784">
        <w:rPr>
          <w:rFonts w:ascii="Arial" w:hAnsi="Arial" w:cs="Arial"/>
          <w:sz w:val="17"/>
          <w:szCs w:val="17"/>
        </w:rPr>
        <w:t>“Go ‘Segment’ ‘Level’ Introduction,</w:t>
      </w:r>
      <w:r>
        <w:rPr>
          <w:rFonts w:ascii="Arial" w:hAnsi="Arial" w:cs="Arial"/>
          <w:sz w:val="17"/>
          <w:szCs w:val="17"/>
        </w:rPr>
        <w:t>”</w:t>
      </w:r>
      <w:r w:rsidRPr="00885784">
        <w:rPr>
          <w:rFonts w:ascii="Arial" w:hAnsi="Arial" w:cs="Arial"/>
          <w:sz w:val="17"/>
          <w:szCs w:val="17"/>
        </w:rPr>
        <w:t xml:space="preserve"> </w:t>
      </w:r>
      <w:r w:rsidRPr="00DE0A91">
        <w:rPr>
          <w:rFonts w:ascii="Arial" w:hAnsi="Arial" w:cs="Arial"/>
          <w:sz w:val="17"/>
          <w:szCs w:val="17"/>
        </w:rPr>
        <w:t>W</w:t>
      </w:r>
      <w:r w:rsidR="00AB47A8">
        <w:rPr>
          <w:rFonts w:ascii="Arial" w:hAnsi="Arial" w:cs="Arial"/>
          <w:sz w:val="17"/>
          <w:szCs w:val="17"/>
        </w:rPr>
        <w:t>e</w:t>
      </w:r>
      <w:r w:rsidRPr="00DE0A91">
        <w:rPr>
          <w:rFonts w:ascii="Arial" w:hAnsi="Arial" w:cs="Arial"/>
          <w:sz w:val="17"/>
          <w:szCs w:val="17"/>
        </w:rPr>
        <w:t>-GO,</w:t>
      </w:r>
      <w:r>
        <w:rPr>
          <w:rFonts w:ascii="Arial" w:hAnsi="Arial" w:cs="Arial"/>
          <w:sz w:val="17"/>
          <w:szCs w:val="17"/>
        </w:rPr>
        <w:t xml:space="preserve"> </w:t>
      </w:r>
      <w:r w:rsidRPr="00DE0A91">
        <w:rPr>
          <w:rFonts w:ascii="Arial" w:hAnsi="Arial" w:cs="Arial"/>
          <w:sz w:val="17"/>
          <w:szCs w:val="17"/>
        </w:rPr>
        <w:t>November</w:t>
      </w:r>
      <w:r>
        <w:rPr>
          <w:rFonts w:ascii="Arial" w:hAnsi="Arial" w:cs="Arial"/>
          <w:sz w:val="17"/>
          <w:szCs w:val="17"/>
        </w:rPr>
        <w:t xml:space="preserve"> 9, 2017, </w:t>
      </w:r>
      <w:r w:rsidRPr="00473567">
        <w:rPr>
          <w:rFonts w:ascii="Arial" w:hAnsi="Arial" w:cs="Arial"/>
          <w:sz w:val="17"/>
          <w:szCs w:val="17"/>
        </w:rPr>
        <w:t xml:space="preserve">accessed </w:t>
      </w:r>
      <w:r>
        <w:rPr>
          <w:rFonts w:ascii="Arial" w:hAnsi="Arial" w:cs="Arial"/>
          <w:sz w:val="17"/>
          <w:szCs w:val="17"/>
        </w:rPr>
        <w:t>April 20</w:t>
      </w:r>
      <w:r w:rsidRPr="00F67160">
        <w:rPr>
          <w:rFonts w:ascii="Arial" w:hAnsi="Arial" w:cs="Arial"/>
          <w:sz w:val="17"/>
          <w:szCs w:val="17"/>
        </w:rPr>
        <w:t xml:space="preserve">, 2019, </w:t>
      </w:r>
      <w:r w:rsidR="00F67160" w:rsidRPr="00AB47A8">
        <w:rPr>
          <w:rStyle w:val="Hyperlink"/>
          <w:rFonts w:ascii="Arial" w:hAnsi="Arial" w:cs="Arial"/>
          <w:color w:val="auto"/>
          <w:sz w:val="17"/>
          <w:szCs w:val="17"/>
          <w:u w:val="none"/>
        </w:rPr>
        <w:t>www.wego-</w:t>
      </w:r>
      <w:r w:rsidR="00F67160" w:rsidRPr="00F67160">
        <w:rPr>
          <w:rFonts w:ascii="Arial" w:hAnsi="Arial" w:cs="Arial"/>
          <w:sz w:val="17"/>
          <w:szCs w:val="17"/>
        </w:rPr>
        <w:t>club.com/2017/11/%</w:t>
      </w:r>
    </w:p>
    <w:p w14:paraId="6A73D4F7" w14:textId="775DB6CD" w:rsidR="00806459" w:rsidRPr="00473567" w:rsidRDefault="00806459">
      <w:pPr>
        <w:pStyle w:val="FootnoteText"/>
      </w:pPr>
      <w:r w:rsidRPr="00F67160">
        <w:rPr>
          <w:rFonts w:ascii="Arial" w:hAnsi="Arial" w:cs="Arial"/>
          <w:sz w:val="17"/>
          <w:szCs w:val="17"/>
        </w:rPr>
        <w:t>E5%9B%B4%E6%A3%8B%E6%AE%B5%E4%BD%8D%E7%BA%A7%E4%BD%8D%E4</w:t>
      </w:r>
      <w:r w:rsidRPr="00BA59BE">
        <w:rPr>
          <w:rFonts w:ascii="Arial" w:hAnsi="Arial" w:cs="Arial"/>
          <w:sz w:val="17"/>
          <w:szCs w:val="17"/>
        </w:rPr>
        <w:t>%BB%8B%E7%BB%8D/</w:t>
      </w:r>
      <w:r>
        <w:rPr>
          <w:rFonts w:ascii="Arial" w:hAnsi="Arial" w:cs="Arial"/>
          <w:sz w:val="17"/>
          <w:szCs w:val="17"/>
        </w:rPr>
        <w:t xml:space="preserve">. </w:t>
      </w:r>
    </w:p>
  </w:footnote>
  <w:footnote w:id="11">
    <w:p w14:paraId="623F723F" w14:textId="66B3CCE6" w:rsidR="00806459" w:rsidRPr="00905002" w:rsidRDefault="00806459" w:rsidP="00F06D20">
      <w:pPr>
        <w:pStyle w:val="Footnote"/>
        <w:rPr>
          <w:rFonts w:ascii="Times New Roman" w:hAnsi="Times New Roman"/>
        </w:rPr>
      </w:pPr>
      <w:r w:rsidRPr="00885784">
        <w:rPr>
          <w:rStyle w:val="FootnoteReference"/>
        </w:rPr>
        <w:footnoteRef/>
      </w:r>
      <w:r w:rsidRPr="00905002">
        <w:rPr>
          <w:rFonts w:ascii="Times New Roman" w:hAnsi="Times New Roman"/>
        </w:rPr>
        <w:t xml:space="preserve"> </w:t>
      </w:r>
      <w:r w:rsidRPr="00885784">
        <w:t xml:space="preserve">Zhang </w:t>
      </w:r>
      <w:proofErr w:type="spellStart"/>
      <w:r w:rsidRPr="00885784">
        <w:t>Qiong</w:t>
      </w:r>
      <w:proofErr w:type="spellEnd"/>
      <w:r w:rsidRPr="00885784">
        <w:t>, “</w:t>
      </w:r>
      <w:r>
        <w:t xml:space="preserve">Zhu </w:t>
      </w:r>
      <w:proofErr w:type="spellStart"/>
      <w:r>
        <w:t>Yanshuo</w:t>
      </w:r>
      <w:proofErr w:type="spellEnd"/>
      <w:r>
        <w:t xml:space="preserve">: The Professionalization Field of the Go Industry Needs to </w:t>
      </w:r>
      <w:r w:rsidR="00AB47A8">
        <w:t>B</w:t>
      </w:r>
      <w:r>
        <w:t xml:space="preserve">e Refurbished [in Chinese],” </w:t>
      </w:r>
      <w:proofErr w:type="spellStart"/>
      <w:r>
        <w:t>Sina</w:t>
      </w:r>
      <w:proofErr w:type="spellEnd"/>
      <w:r>
        <w:t xml:space="preserve">, </w:t>
      </w:r>
      <w:r w:rsidRPr="00DE0A91">
        <w:t>February 13, 2017, accessed December 3, 2018, http://</w:t>
      </w:r>
      <w:r w:rsidRPr="0092384D">
        <w:t>sports.sina.com.cn/go/2017-02-13/doc-ifyamkzq1272804.shtml</w:t>
      </w:r>
      <w:r>
        <w:t>.</w:t>
      </w:r>
      <w:r w:rsidRPr="00905002">
        <w:rPr>
          <w:rFonts w:ascii="Times New Roman" w:hAnsi="Times New Roman"/>
        </w:rPr>
        <w:t xml:space="preserve"> </w:t>
      </w:r>
    </w:p>
  </w:footnote>
  <w:footnote w:id="12">
    <w:p w14:paraId="370ED3F9" w14:textId="6B4C3D3D" w:rsidR="00806459" w:rsidRPr="0092384D" w:rsidRDefault="00806459" w:rsidP="0092384D">
      <w:pPr>
        <w:pStyle w:val="Footnote"/>
      </w:pPr>
      <w:r w:rsidRPr="00885784">
        <w:rPr>
          <w:rStyle w:val="FootnoteReference"/>
        </w:rPr>
        <w:footnoteRef/>
      </w:r>
      <w:r w:rsidRPr="00905002">
        <w:rPr>
          <w:rFonts w:ascii="Times New Roman" w:hAnsi="Times New Roman"/>
        </w:rPr>
        <w:t xml:space="preserve"> </w:t>
      </w:r>
      <w:r>
        <w:t xml:space="preserve">Deng </w:t>
      </w:r>
      <w:proofErr w:type="spellStart"/>
      <w:r>
        <w:t>Feifei</w:t>
      </w:r>
      <w:proofErr w:type="spellEnd"/>
      <w:r>
        <w:t xml:space="preserve">, “The ‘Human-Machine War’ Ended: The Pride of the Chess Player, the Future of the Game [in Chinese],” </w:t>
      </w:r>
      <w:r w:rsidRPr="00DE0A91">
        <w:t>People.cn, March 18, 2016, accessed December 3, 2018,</w:t>
      </w:r>
      <w:r w:rsidRPr="0092384D">
        <w:t xml:space="preserve"> </w:t>
      </w:r>
      <w:r w:rsidRPr="0092384D">
        <w:rPr>
          <w:rStyle w:val="Hyperlink"/>
          <w:color w:val="auto"/>
          <w:u w:val="none"/>
        </w:rPr>
        <w:t>http://sports.people.com.cn/n1/2016/0318/c22155-28208882.html</w:t>
      </w:r>
      <w:r w:rsidRPr="0092384D">
        <w:t xml:space="preserve"> </w:t>
      </w:r>
    </w:p>
  </w:footnote>
  <w:footnote w:id="13">
    <w:p w14:paraId="0F7A40B7" w14:textId="15EE85C2" w:rsidR="00A950BC" w:rsidRPr="00067310" w:rsidRDefault="00A950BC">
      <w:pPr>
        <w:pStyle w:val="FootnoteText"/>
        <w:rPr>
          <w:rFonts w:ascii="Arial" w:hAnsi="Arial" w:cs="Arial"/>
          <w:sz w:val="17"/>
          <w:szCs w:val="17"/>
          <w:lang w:val="en-CA"/>
        </w:rPr>
      </w:pPr>
      <w:r w:rsidRPr="00067310">
        <w:rPr>
          <w:rStyle w:val="FootnoteReference"/>
          <w:rFonts w:ascii="Arial" w:hAnsi="Arial" w:cs="Arial"/>
          <w:sz w:val="17"/>
          <w:szCs w:val="17"/>
        </w:rPr>
        <w:footnoteRef/>
      </w:r>
      <w:r w:rsidRPr="00067310">
        <w:rPr>
          <w:rFonts w:ascii="Arial" w:hAnsi="Arial" w:cs="Arial"/>
          <w:sz w:val="17"/>
          <w:szCs w:val="17"/>
        </w:rPr>
        <w:t xml:space="preserve"> </w:t>
      </w:r>
      <w:r w:rsidRPr="00067310">
        <w:rPr>
          <w:rFonts w:ascii="Arial" w:hAnsi="Arial" w:cs="Arial"/>
          <w:sz w:val="17"/>
          <w:szCs w:val="17"/>
          <w:lang w:val="en-CA"/>
        </w:rPr>
        <w:t xml:space="preserve">¥ = RMT = Chinese </w:t>
      </w:r>
      <w:r>
        <w:rPr>
          <w:rFonts w:ascii="Arial" w:hAnsi="Arial" w:cs="Arial"/>
          <w:sz w:val="17"/>
          <w:szCs w:val="17"/>
          <w:lang w:val="en-CA"/>
        </w:rPr>
        <w:t xml:space="preserve">yuan </w:t>
      </w:r>
      <w:proofErr w:type="spellStart"/>
      <w:r w:rsidRPr="00067310">
        <w:rPr>
          <w:rFonts w:ascii="Arial" w:hAnsi="Arial" w:cs="Arial"/>
          <w:sz w:val="17"/>
          <w:szCs w:val="17"/>
          <w:lang w:val="en-CA"/>
        </w:rPr>
        <w:t>renminbi</w:t>
      </w:r>
      <w:proofErr w:type="spellEnd"/>
      <w:r w:rsidRPr="00067310">
        <w:rPr>
          <w:rFonts w:ascii="Arial" w:hAnsi="Arial" w:cs="Arial"/>
          <w:sz w:val="17"/>
          <w:szCs w:val="17"/>
          <w:lang w:val="en-CA"/>
        </w:rPr>
        <w:t>; US$1 = ¥6.</w:t>
      </w:r>
      <w:r>
        <w:rPr>
          <w:rFonts w:ascii="Arial" w:hAnsi="Arial" w:cs="Arial"/>
          <w:sz w:val="17"/>
          <w:szCs w:val="17"/>
          <w:lang w:val="en-CA"/>
        </w:rPr>
        <w:t>50</w:t>
      </w:r>
      <w:r w:rsidRPr="00067310">
        <w:rPr>
          <w:rFonts w:ascii="Arial" w:hAnsi="Arial" w:cs="Arial"/>
          <w:sz w:val="17"/>
          <w:szCs w:val="17"/>
          <w:lang w:val="en-CA"/>
        </w:rPr>
        <w:t xml:space="preserve"> on January 1, 2018.</w:t>
      </w:r>
    </w:p>
  </w:footnote>
  <w:footnote w:id="14">
    <w:p w14:paraId="4EE6BF50" w14:textId="4E7A77EB" w:rsidR="00806459" w:rsidRPr="0092384D" w:rsidRDefault="00806459" w:rsidP="0092384D">
      <w:pPr>
        <w:pStyle w:val="Footnote"/>
      </w:pPr>
      <w:r w:rsidRPr="0092384D">
        <w:rPr>
          <w:rStyle w:val="FootnoteReference"/>
        </w:rPr>
        <w:footnoteRef/>
      </w:r>
      <w:r w:rsidRPr="0092384D">
        <w:t xml:space="preserve"> </w:t>
      </w:r>
      <w:r w:rsidR="00305724">
        <w:t>“2016 Chin</w:t>
      </w:r>
      <w:r w:rsidR="00F67160">
        <w:t>a Go Training Market,” op. cit.</w:t>
      </w:r>
    </w:p>
  </w:footnote>
  <w:footnote w:id="15">
    <w:p w14:paraId="05464153" w14:textId="0FB78163" w:rsidR="00806459" w:rsidRPr="0092384D" w:rsidRDefault="00806459" w:rsidP="00F06D20">
      <w:pPr>
        <w:pStyle w:val="Footnote"/>
      </w:pPr>
      <w:r w:rsidRPr="0092384D">
        <w:rPr>
          <w:rStyle w:val="FootnoteReference"/>
        </w:rPr>
        <w:footnoteRef/>
      </w:r>
      <w:r>
        <w:t xml:space="preserve"> “Go Equipment,” </w:t>
      </w:r>
      <w:proofErr w:type="spellStart"/>
      <w:r>
        <w:t>K</w:t>
      </w:r>
      <w:r w:rsidRPr="0092384D">
        <w:t>iseido</w:t>
      </w:r>
      <w:proofErr w:type="spellEnd"/>
      <w:r w:rsidRPr="0092384D">
        <w:t>, acc</w:t>
      </w:r>
      <w:r>
        <w:t xml:space="preserve">essed February 18, 2019, </w:t>
      </w:r>
      <w:r w:rsidRPr="0092384D">
        <w:t>www.kiseidopublishing.com/go_equipment.htm</w:t>
      </w:r>
      <w:r>
        <w:t>.</w:t>
      </w:r>
      <w:r w:rsidRPr="0092384D">
        <w:t xml:space="preserve"> </w:t>
      </w:r>
    </w:p>
  </w:footnote>
  <w:footnote w:id="16">
    <w:p w14:paraId="7344B7C9" w14:textId="6362FF6E" w:rsidR="00806459" w:rsidRPr="00F85CAF" w:rsidRDefault="00806459" w:rsidP="00F06D20">
      <w:pPr>
        <w:pStyle w:val="Footnote"/>
      </w:pPr>
      <w:r w:rsidRPr="00360B2D">
        <w:rPr>
          <w:rStyle w:val="FootnoteReference"/>
        </w:rPr>
        <w:footnoteRef/>
      </w:r>
      <w:r w:rsidRPr="0092384D">
        <w:t xml:space="preserve"> </w:t>
      </w:r>
      <w:r>
        <w:t>“</w:t>
      </w:r>
      <w:proofErr w:type="spellStart"/>
      <w:r w:rsidRPr="0092384D">
        <w:t>Weiqi</w:t>
      </w:r>
      <w:proofErr w:type="spellEnd"/>
      <w:r>
        <w:t xml:space="preserve"> Sets for Sale,”</w:t>
      </w:r>
      <w:r w:rsidRPr="0092384D">
        <w:t xml:space="preserve"> </w:t>
      </w:r>
      <w:proofErr w:type="spellStart"/>
      <w:r w:rsidRPr="0092384D">
        <w:t>Weiqi</w:t>
      </w:r>
      <w:proofErr w:type="spellEnd"/>
      <w:r>
        <w:t xml:space="preserve"> </w:t>
      </w:r>
      <w:r w:rsidRPr="0092384D">
        <w:t>to</w:t>
      </w:r>
      <w:r>
        <w:t xml:space="preserve"> </w:t>
      </w:r>
      <w:r w:rsidRPr="0092384D">
        <w:t>Go</w:t>
      </w:r>
      <w:r>
        <w:t xml:space="preserve">: A Learning Place [blog], </w:t>
      </w:r>
      <w:r w:rsidRPr="0092384D">
        <w:t xml:space="preserve">accessed December 3, 2018, </w:t>
      </w:r>
      <w:r w:rsidRPr="00AB47A8">
        <w:rPr>
          <w:rStyle w:val="Hyperlink"/>
          <w:color w:val="auto"/>
          <w:u w:val="none"/>
        </w:rPr>
        <w:t>https://weiqi-to-go.net/weiqi-sets/</w:t>
      </w:r>
      <w:r w:rsidRPr="00F85CAF">
        <w:t xml:space="preserve">. </w:t>
      </w:r>
    </w:p>
  </w:footnote>
  <w:footnote w:id="17">
    <w:p w14:paraId="2E4B816C" w14:textId="4BFD55A9" w:rsidR="00806459" w:rsidRPr="00905002" w:rsidRDefault="00806459" w:rsidP="00F06D20">
      <w:pPr>
        <w:pStyle w:val="Footnote"/>
        <w:rPr>
          <w:rFonts w:ascii="Times New Roman" w:hAnsi="Times New Roman"/>
        </w:rPr>
      </w:pPr>
      <w:r w:rsidRPr="0092384D">
        <w:rPr>
          <w:rStyle w:val="FootnoteReference"/>
        </w:rPr>
        <w:footnoteRef/>
      </w:r>
      <w:r w:rsidRPr="0092384D">
        <w:t xml:space="preserve"> “</w:t>
      </w:r>
      <w:r>
        <w:t xml:space="preserve">Go Software: </w:t>
      </w:r>
      <w:r w:rsidRPr="0092384D">
        <w:t>Software that Plays Go</w:t>
      </w:r>
      <w:r>
        <w:t>,</w:t>
      </w:r>
      <w:r w:rsidRPr="0092384D">
        <w:t>” American Go Association, acc</w:t>
      </w:r>
      <w:r>
        <w:t xml:space="preserve">essed December 3, 2018, </w:t>
      </w:r>
      <w:r w:rsidRPr="0092384D">
        <w:t>www.usgo.org/go-software/</w:t>
      </w:r>
      <w:r>
        <w:t>.</w:t>
      </w:r>
    </w:p>
  </w:footnote>
  <w:footnote w:id="18">
    <w:p w14:paraId="21B0D930" w14:textId="01DCF885" w:rsidR="00806459" w:rsidRPr="00F8681A" w:rsidRDefault="00806459" w:rsidP="00F06D20">
      <w:pPr>
        <w:pStyle w:val="Footnote"/>
        <w:rPr>
          <w:lang w:val="en-CA"/>
        </w:rPr>
      </w:pPr>
      <w:r w:rsidRPr="00885784">
        <w:rPr>
          <w:rStyle w:val="FootnoteReference"/>
        </w:rPr>
        <w:footnoteRef/>
      </w:r>
      <w:r w:rsidRPr="00F8681A">
        <w:t xml:space="preserve"> </w:t>
      </w:r>
      <w:r>
        <w:t>“Welcome to We-GO Cl</w:t>
      </w:r>
      <w:r w:rsidRPr="0092384D">
        <w:t>ub</w:t>
      </w:r>
      <w:r>
        <w:t xml:space="preserve">: What We Do,” We-GO, </w:t>
      </w:r>
      <w:r w:rsidRPr="0092384D">
        <w:t>ac</w:t>
      </w:r>
      <w:r>
        <w:t xml:space="preserve">cessed December 3, 2018, </w:t>
      </w:r>
      <w:r w:rsidRPr="0092384D">
        <w:t>www.wego-club.com/</w:t>
      </w:r>
      <w:r>
        <w:t>.</w:t>
      </w:r>
    </w:p>
  </w:footnote>
  <w:footnote w:id="19">
    <w:p w14:paraId="53731399" w14:textId="0C6925AC" w:rsidR="00806459" w:rsidRPr="00DF085C" w:rsidRDefault="00806459" w:rsidP="00D9188D">
      <w:pPr>
        <w:pStyle w:val="Footnote"/>
        <w:rPr>
          <w:spacing w:val="-6"/>
          <w:kern w:val="17"/>
        </w:rPr>
      </w:pPr>
      <w:r w:rsidRPr="00DF085C">
        <w:rPr>
          <w:rStyle w:val="FootnoteReference"/>
          <w:spacing w:val="-6"/>
          <w:kern w:val="17"/>
        </w:rPr>
        <w:footnoteRef/>
      </w:r>
      <w:r w:rsidRPr="00DF085C">
        <w:rPr>
          <w:spacing w:val="-6"/>
          <w:kern w:val="17"/>
        </w:rPr>
        <w:t xml:space="preserve"> “Our Curriculum,” Chess Institute of Canada, accessed December 3, 2018, </w:t>
      </w:r>
      <w:r w:rsidR="00742364">
        <w:rPr>
          <w:spacing w:val="-6"/>
          <w:kern w:val="17"/>
        </w:rPr>
        <w:t>www</w:t>
      </w:r>
      <w:r w:rsidRPr="00DF085C">
        <w:rPr>
          <w:spacing w:val="-6"/>
          <w:kern w:val="17"/>
        </w:rPr>
        <w:t>.chessinstitute.ca/programs/our-curriculum/</w:t>
      </w:r>
      <w:r w:rsidRPr="00DF085C">
        <w:rPr>
          <w:rStyle w:val="Hyperlink"/>
          <w:color w:val="auto"/>
          <w:spacing w:val="-6"/>
          <w:kern w:val="17"/>
          <w:u w:val="none"/>
        </w:rPr>
        <w:t xml:space="preserve">. </w:t>
      </w:r>
    </w:p>
  </w:footnote>
  <w:footnote w:id="20">
    <w:p w14:paraId="1D39F823" w14:textId="29A0F2E2" w:rsidR="00806459" w:rsidRPr="00F67160" w:rsidRDefault="00806459" w:rsidP="00D9188D">
      <w:pPr>
        <w:pStyle w:val="Footnote"/>
        <w:rPr>
          <w:spacing w:val="-6"/>
          <w:kern w:val="17"/>
        </w:rPr>
      </w:pPr>
      <w:r w:rsidRPr="00F67160">
        <w:rPr>
          <w:rStyle w:val="FootnoteReference"/>
          <w:spacing w:val="-6"/>
          <w:kern w:val="17"/>
        </w:rPr>
        <w:footnoteRef/>
      </w:r>
      <w:r w:rsidRPr="00F67160">
        <w:rPr>
          <w:spacing w:val="-6"/>
          <w:kern w:val="17"/>
        </w:rPr>
        <w:t xml:space="preserve"> “Curriculum Classes,” Chess Institute of Canada, accessed April 20, 2019, </w:t>
      </w:r>
      <w:r w:rsidRPr="00AB47A8">
        <w:rPr>
          <w:rStyle w:val="Hyperlink"/>
          <w:color w:val="auto"/>
          <w:spacing w:val="-6"/>
          <w:kern w:val="17"/>
          <w:u w:val="none"/>
        </w:rPr>
        <w:t>www.chessinstitute.ca/programs/curriculum-classes</w:t>
      </w:r>
      <w:r w:rsidRPr="00F67160">
        <w:rPr>
          <w:rStyle w:val="Hyperlink"/>
          <w:color w:val="auto"/>
          <w:spacing w:val="-6"/>
          <w:kern w:val="17"/>
          <w:u w:val="none"/>
        </w:rPr>
        <w:t>.</w:t>
      </w:r>
    </w:p>
  </w:footnote>
  <w:footnote w:id="21">
    <w:p w14:paraId="64198A86" w14:textId="59724DC9" w:rsidR="00806459" w:rsidRPr="00D9188D" w:rsidRDefault="00806459" w:rsidP="00D9188D">
      <w:pPr>
        <w:pStyle w:val="Footnote"/>
      </w:pPr>
      <w:r w:rsidRPr="00D9188D">
        <w:rPr>
          <w:rStyle w:val="FootnoteReference"/>
        </w:rPr>
        <w:footnoteRef/>
      </w:r>
      <w:r>
        <w:t xml:space="preserve"> </w:t>
      </w:r>
      <w:r w:rsidRPr="00D9188D">
        <w:t xml:space="preserve">“Changes to Ontario </w:t>
      </w:r>
      <w:r>
        <w:t>E</w:t>
      </w:r>
      <w:r w:rsidRPr="00D9188D">
        <w:t xml:space="preserve">ducation </w:t>
      </w:r>
      <w:r>
        <w:t>F</w:t>
      </w:r>
      <w:r w:rsidRPr="00D9188D">
        <w:t xml:space="preserve">unding and </w:t>
      </w:r>
      <w:r>
        <w:t>P</w:t>
      </w:r>
      <w:r w:rsidRPr="00D9188D">
        <w:t xml:space="preserve">olicy </w:t>
      </w:r>
      <w:r w:rsidR="006E6FC1">
        <w:t>W</w:t>
      </w:r>
      <w:r w:rsidRPr="00D9188D">
        <w:t xml:space="preserve">ill </w:t>
      </w:r>
      <w:r w:rsidR="006E6FC1">
        <w:t>H</w:t>
      </w:r>
      <w:r w:rsidRPr="00D9188D">
        <w:t xml:space="preserve">ave a </w:t>
      </w:r>
      <w:r>
        <w:t>L</w:t>
      </w:r>
      <w:r w:rsidRPr="00D9188D">
        <w:t xml:space="preserve">ong-term </w:t>
      </w:r>
      <w:r>
        <w:t>I</w:t>
      </w:r>
      <w:r w:rsidRPr="00D9188D">
        <w:t>mpact</w:t>
      </w:r>
      <w:r>
        <w:t>,</w:t>
      </w:r>
      <w:r w:rsidRPr="00D9188D">
        <w:t>” People</w:t>
      </w:r>
      <w:r>
        <w:t xml:space="preserve"> </w:t>
      </w:r>
      <w:r w:rsidRPr="00D9188D">
        <w:t>for</w:t>
      </w:r>
      <w:r>
        <w:t xml:space="preserve"> </w:t>
      </w:r>
      <w:r w:rsidR="006E6FC1">
        <w:t>E</w:t>
      </w:r>
      <w:r w:rsidRPr="00D9188D">
        <w:t>ducation</w:t>
      </w:r>
      <w:r>
        <w:t xml:space="preserve">: Public Education. Public Good, March 19, 2019, </w:t>
      </w:r>
      <w:r w:rsidRPr="00D9188D">
        <w:t xml:space="preserve">accessed April 20, 2019, </w:t>
      </w:r>
      <w:r w:rsidRPr="00AB47A8">
        <w:rPr>
          <w:rStyle w:val="Hyperlink"/>
          <w:color w:val="auto"/>
          <w:u w:val="none"/>
        </w:rPr>
        <w:t>https://peopleforeducation.ca/our-work/changes-to-ontario-education-funding-and-policy-will-have-a-long-term-impact/</w:t>
      </w:r>
      <w:r>
        <w:rPr>
          <w:rStyle w:val="Hyperlink"/>
          <w:color w:val="auto"/>
          <w:u w:val="none"/>
        </w:rPr>
        <w:t>.</w:t>
      </w:r>
    </w:p>
  </w:footnote>
  <w:footnote w:id="22">
    <w:p w14:paraId="00C3AF19" w14:textId="41B6F37A" w:rsidR="00806459" w:rsidRPr="009D1136" w:rsidRDefault="00806459" w:rsidP="00F06D20">
      <w:pPr>
        <w:pStyle w:val="Footnote"/>
        <w:rPr>
          <w:lang w:val="en-CA"/>
        </w:rPr>
      </w:pPr>
      <w:r w:rsidRPr="00885784">
        <w:rPr>
          <w:rStyle w:val="FootnoteReference"/>
        </w:rPr>
        <w:footnoteRef/>
      </w:r>
      <w:r w:rsidRPr="009D1136">
        <w:t xml:space="preserve"> </w:t>
      </w:r>
      <w:r>
        <w:t>“2018 We-GO Open</w:t>
      </w:r>
      <w:r w:rsidRPr="009D1136">
        <w:t>,</w:t>
      </w:r>
      <w:r>
        <w:t xml:space="preserve">” </w:t>
      </w:r>
      <w:r w:rsidR="00DD3882">
        <w:t xml:space="preserve">We-GO Club, </w:t>
      </w:r>
      <w:r>
        <w:t xml:space="preserve">January 14, 2018, </w:t>
      </w:r>
      <w:r w:rsidRPr="009D1136">
        <w:t xml:space="preserve">accessed </w:t>
      </w:r>
      <w:r>
        <w:t xml:space="preserve">December 3, 2018, </w:t>
      </w:r>
      <w:r w:rsidRPr="0092384D">
        <w:t>www.wego-club.com/2018/01/2018-</w:t>
      </w:r>
      <w:r>
        <w:t>We-GO</w:t>
      </w:r>
      <w:r w:rsidRPr="0092384D">
        <w:t>-open/</w:t>
      </w:r>
      <w:r>
        <w:t>.</w:t>
      </w:r>
    </w:p>
  </w:footnote>
  <w:footnote w:id="23">
    <w:p w14:paraId="6E2115BD" w14:textId="111F09D7" w:rsidR="00806459" w:rsidRPr="00BC780F" w:rsidRDefault="00806459" w:rsidP="00F06D20">
      <w:pPr>
        <w:pStyle w:val="Footnote"/>
        <w:rPr>
          <w:lang w:val="en-CA"/>
        </w:rPr>
      </w:pPr>
      <w:r w:rsidRPr="00885784">
        <w:rPr>
          <w:rStyle w:val="FootnoteReference"/>
          <w:color w:val="000000"/>
        </w:rPr>
        <w:footnoteRef/>
      </w:r>
      <w:r w:rsidR="005D3D99">
        <w:rPr>
          <w:color w:val="000000"/>
        </w:rPr>
        <w:t xml:space="preserve"> </w:t>
      </w:r>
      <w:r w:rsidRPr="00642717">
        <w:rPr>
          <w:color w:val="000000"/>
          <w:shd w:val="clear" w:color="auto" w:fill="FFFFFF"/>
        </w:rPr>
        <w:t>W. Chan Kim and Ren</w:t>
      </w:r>
      <w:r>
        <w:rPr>
          <w:color w:val="000000"/>
          <w:shd w:val="clear" w:color="auto" w:fill="FFFFFF"/>
        </w:rPr>
        <w:t>é</w:t>
      </w:r>
      <w:r w:rsidRPr="00642717">
        <w:rPr>
          <w:color w:val="000000"/>
          <w:shd w:val="clear" w:color="auto" w:fill="FFFFFF"/>
        </w:rPr>
        <w:t xml:space="preserve">e Mauborgne, </w:t>
      </w:r>
      <w:r w:rsidRPr="00885784">
        <w:rPr>
          <w:i/>
          <w:color w:val="000000"/>
          <w:shd w:val="clear" w:color="auto" w:fill="FFFFFF"/>
        </w:rPr>
        <w:t>Blue Ocean Strategy</w:t>
      </w:r>
      <w:r>
        <w:rPr>
          <w:i/>
          <w:color w:val="000000"/>
          <w:shd w:val="clear" w:color="auto" w:fill="FFFFFF"/>
        </w:rPr>
        <w:t xml:space="preserve">: How to Create Uncontested Market Space and Make Competition Irrelevant, </w:t>
      </w:r>
      <w:r w:rsidRPr="00642717">
        <w:rPr>
          <w:color w:val="000000"/>
          <w:shd w:val="clear" w:color="auto" w:fill="FFFFFF"/>
        </w:rPr>
        <w:t>1</w:t>
      </w:r>
      <w:r w:rsidRPr="00885784">
        <w:rPr>
          <w:color w:val="000000"/>
          <w:shd w:val="clear" w:color="auto" w:fill="FFFFFF"/>
        </w:rPr>
        <w:t>st</w:t>
      </w:r>
      <w:r w:rsidRPr="00360B2D">
        <w:rPr>
          <w:color w:val="000000"/>
          <w:shd w:val="clear" w:color="auto" w:fill="FFFFFF"/>
        </w:rPr>
        <w:t xml:space="preserve"> </w:t>
      </w:r>
      <w:r>
        <w:rPr>
          <w:color w:val="000000"/>
          <w:shd w:val="clear" w:color="auto" w:fill="FFFFFF"/>
        </w:rPr>
        <w:t>ed.</w:t>
      </w:r>
      <w:r w:rsidRPr="00642717">
        <w:rPr>
          <w:color w:val="000000"/>
          <w:shd w:val="clear" w:color="auto" w:fill="FFFFFF"/>
        </w:rPr>
        <w:t xml:space="preserve"> (</w:t>
      </w:r>
      <w:r w:rsidR="00DD3882">
        <w:rPr>
          <w:color w:val="000000"/>
          <w:shd w:val="clear" w:color="auto" w:fill="FFFFFF"/>
        </w:rPr>
        <w:t>Boston, MA</w:t>
      </w:r>
      <w:r>
        <w:rPr>
          <w:color w:val="000000"/>
          <w:shd w:val="clear" w:color="auto" w:fill="FFFFFF"/>
        </w:rPr>
        <w:t xml:space="preserve">: Harvard Business School Press, </w:t>
      </w:r>
      <w:r w:rsidRPr="00642717">
        <w:rPr>
          <w:color w:val="000000"/>
          <w:shd w:val="clear" w:color="auto" w:fill="FFFFFF"/>
        </w:rPr>
        <w:t>2005).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EC0CA09" w:rsidR="00806459" w:rsidRPr="00C92CC4" w:rsidRDefault="0080645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0590">
      <w:rPr>
        <w:rFonts w:ascii="Arial" w:hAnsi="Arial"/>
        <w:b/>
        <w:noProof/>
      </w:rPr>
      <w:t>7</w:t>
    </w:r>
    <w:r>
      <w:rPr>
        <w:rFonts w:ascii="Arial" w:hAnsi="Arial"/>
        <w:b/>
      </w:rPr>
      <w:fldChar w:fldCharType="end"/>
    </w:r>
    <w:r>
      <w:rPr>
        <w:rFonts w:ascii="Arial" w:hAnsi="Arial"/>
        <w:b/>
      </w:rPr>
      <w:tab/>
    </w:r>
    <w:r w:rsidR="00DF085C">
      <w:rPr>
        <w:rFonts w:ascii="Arial" w:hAnsi="Arial"/>
        <w:b/>
      </w:rPr>
      <w:t>9B19A027</w:t>
    </w:r>
  </w:p>
  <w:p w14:paraId="2B53C0A0" w14:textId="77777777" w:rsidR="00806459" w:rsidRDefault="00806459" w:rsidP="00D13667">
    <w:pPr>
      <w:pStyle w:val="Header"/>
      <w:tabs>
        <w:tab w:val="clear" w:pos="4680"/>
      </w:tabs>
      <w:rPr>
        <w:sz w:val="18"/>
        <w:szCs w:val="18"/>
      </w:rPr>
    </w:pPr>
  </w:p>
  <w:p w14:paraId="47119730" w14:textId="77777777" w:rsidR="00806459" w:rsidRPr="00C92CC4" w:rsidRDefault="0080645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9EC"/>
    <w:rsid w:val="0000676C"/>
    <w:rsid w:val="0001192D"/>
    <w:rsid w:val="0001290A"/>
    <w:rsid w:val="00013360"/>
    <w:rsid w:val="00016288"/>
    <w:rsid w:val="00016759"/>
    <w:rsid w:val="000216CE"/>
    <w:rsid w:val="000224CD"/>
    <w:rsid w:val="00022C43"/>
    <w:rsid w:val="00024ED4"/>
    <w:rsid w:val="00025DC7"/>
    <w:rsid w:val="000270A9"/>
    <w:rsid w:val="0003349D"/>
    <w:rsid w:val="00035F09"/>
    <w:rsid w:val="00043152"/>
    <w:rsid w:val="000444D0"/>
    <w:rsid w:val="00044ECC"/>
    <w:rsid w:val="000531D3"/>
    <w:rsid w:val="0005646B"/>
    <w:rsid w:val="000572FA"/>
    <w:rsid w:val="000615D1"/>
    <w:rsid w:val="00067310"/>
    <w:rsid w:val="0007137A"/>
    <w:rsid w:val="00074A50"/>
    <w:rsid w:val="0008102D"/>
    <w:rsid w:val="00084DB5"/>
    <w:rsid w:val="00085DBB"/>
    <w:rsid w:val="00086B26"/>
    <w:rsid w:val="00094C0E"/>
    <w:rsid w:val="000A146D"/>
    <w:rsid w:val="000B5185"/>
    <w:rsid w:val="000D2A2F"/>
    <w:rsid w:val="000D7091"/>
    <w:rsid w:val="000D71B2"/>
    <w:rsid w:val="000E38D3"/>
    <w:rsid w:val="000E6AD0"/>
    <w:rsid w:val="000F0C22"/>
    <w:rsid w:val="000F6B09"/>
    <w:rsid w:val="000F6FDC"/>
    <w:rsid w:val="0010059F"/>
    <w:rsid w:val="00104567"/>
    <w:rsid w:val="00104916"/>
    <w:rsid w:val="00104AA7"/>
    <w:rsid w:val="00106CEB"/>
    <w:rsid w:val="00107BF1"/>
    <w:rsid w:val="0012732D"/>
    <w:rsid w:val="001401E1"/>
    <w:rsid w:val="00143F25"/>
    <w:rsid w:val="00146683"/>
    <w:rsid w:val="00152682"/>
    <w:rsid w:val="00154FC9"/>
    <w:rsid w:val="001558F5"/>
    <w:rsid w:val="001622C0"/>
    <w:rsid w:val="001646C3"/>
    <w:rsid w:val="001678D2"/>
    <w:rsid w:val="001754E6"/>
    <w:rsid w:val="00185E77"/>
    <w:rsid w:val="001901C0"/>
    <w:rsid w:val="0019241A"/>
    <w:rsid w:val="00192A18"/>
    <w:rsid w:val="001A22D1"/>
    <w:rsid w:val="001A6A39"/>
    <w:rsid w:val="001A6F97"/>
    <w:rsid w:val="001A752D"/>
    <w:rsid w:val="001A757E"/>
    <w:rsid w:val="001B5032"/>
    <w:rsid w:val="001C7777"/>
    <w:rsid w:val="001D039C"/>
    <w:rsid w:val="001D1FB5"/>
    <w:rsid w:val="001D344B"/>
    <w:rsid w:val="001E0FB3"/>
    <w:rsid w:val="001E364F"/>
    <w:rsid w:val="001F4222"/>
    <w:rsid w:val="00203AA1"/>
    <w:rsid w:val="00203F07"/>
    <w:rsid w:val="00210D4C"/>
    <w:rsid w:val="00213E98"/>
    <w:rsid w:val="00227AAE"/>
    <w:rsid w:val="00230150"/>
    <w:rsid w:val="0023081A"/>
    <w:rsid w:val="00232D01"/>
    <w:rsid w:val="00233111"/>
    <w:rsid w:val="002402A4"/>
    <w:rsid w:val="00265FA8"/>
    <w:rsid w:val="00274636"/>
    <w:rsid w:val="00280E6F"/>
    <w:rsid w:val="002B40FF"/>
    <w:rsid w:val="002C151F"/>
    <w:rsid w:val="002C4E29"/>
    <w:rsid w:val="002D089F"/>
    <w:rsid w:val="002F460C"/>
    <w:rsid w:val="002F48D6"/>
    <w:rsid w:val="00303266"/>
    <w:rsid w:val="00305724"/>
    <w:rsid w:val="0031129F"/>
    <w:rsid w:val="00317391"/>
    <w:rsid w:val="00326216"/>
    <w:rsid w:val="003304D8"/>
    <w:rsid w:val="00336580"/>
    <w:rsid w:val="00346F25"/>
    <w:rsid w:val="00354899"/>
    <w:rsid w:val="00355DCA"/>
    <w:rsid w:val="00355FD6"/>
    <w:rsid w:val="00360B2D"/>
    <w:rsid w:val="00364A5C"/>
    <w:rsid w:val="0037124E"/>
    <w:rsid w:val="003721DB"/>
    <w:rsid w:val="00373FB1"/>
    <w:rsid w:val="00396C76"/>
    <w:rsid w:val="003A6315"/>
    <w:rsid w:val="003A70D9"/>
    <w:rsid w:val="003B30D8"/>
    <w:rsid w:val="003B557D"/>
    <w:rsid w:val="003B7EF2"/>
    <w:rsid w:val="003C0F78"/>
    <w:rsid w:val="003C3FA4"/>
    <w:rsid w:val="003D0BA1"/>
    <w:rsid w:val="003D45FC"/>
    <w:rsid w:val="003F2B0C"/>
    <w:rsid w:val="003F35AC"/>
    <w:rsid w:val="003F6DC2"/>
    <w:rsid w:val="00401821"/>
    <w:rsid w:val="004105B2"/>
    <w:rsid w:val="0041145A"/>
    <w:rsid w:val="00412900"/>
    <w:rsid w:val="00416E50"/>
    <w:rsid w:val="004221E4"/>
    <w:rsid w:val="004273F8"/>
    <w:rsid w:val="00430111"/>
    <w:rsid w:val="0043060B"/>
    <w:rsid w:val="00431542"/>
    <w:rsid w:val="004319F4"/>
    <w:rsid w:val="00431BA6"/>
    <w:rsid w:val="004344BB"/>
    <w:rsid w:val="00434554"/>
    <w:rsid w:val="004355A3"/>
    <w:rsid w:val="00446546"/>
    <w:rsid w:val="00447A26"/>
    <w:rsid w:val="00447C3F"/>
    <w:rsid w:val="00452769"/>
    <w:rsid w:val="00454FA7"/>
    <w:rsid w:val="0046517E"/>
    <w:rsid w:val="00465348"/>
    <w:rsid w:val="00471554"/>
    <w:rsid w:val="00472CA0"/>
    <w:rsid w:val="00473567"/>
    <w:rsid w:val="004979A5"/>
    <w:rsid w:val="004A25E0"/>
    <w:rsid w:val="004A3B46"/>
    <w:rsid w:val="004A3C28"/>
    <w:rsid w:val="004B1CCB"/>
    <w:rsid w:val="004B326D"/>
    <w:rsid w:val="004B632F"/>
    <w:rsid w:val="004B76A2"/>
    <w:rsid w:val="004C08D4"/>
    <w:rsid w:val="004C704E"/>
    <w:rsid w:val="004D3FB1"/>
    <w:rsid w:val="004D6F21"/>
    <w:rsid w:val="004D73A5"/>
    <w:rsid w:val="004E1DBD"/>
    <w:rsid w:val="004F0C46"/>
    <w:rsid w:val="00504400"/>
    <w:rsid w:val="00510FE4"/>
    <w:rsid w:val="005160F1"/>
    <w:rsid w:val="00521C9E"/>
    <w:rsid w:val="00524F2F"/>
    <w:rsid w:val="0052602D"/>
    <w:rsid w:val="00527E5C"/>
    <w:rsid w:val="00532CF5"/>
    <w:rsid w:val="00534162"/>
    <w:rsid w:val="00536401"/>
    <w:rsid w:val="005528CB"/>
    <w:rsid w:val="00552D51"/>
    <w:rsid w:val="00555283"/>
    <w:rsid w:val="00557EB7"/>
    <w:rsid w:val="00560035"/>
    <w:rsid w:val="0056539B"/>
    <w:rsid w:val="00566771"/>
    <w:rsid w:val="00570BE4"/>
    <w:rsid w:val="00572B48"/>
    <w:rsid w:val="00581E2E"/>
    <w:rsid w:val="00583618"/>
    <w:rsid w:val="00584F15"/>
    <w:rsid w:val="00587CBC"/>
    <w:rsid w:val="0059514B"/>
    <w:rsid w:val="00597A46"/>
    <w:rsid w:val="005A1B0F"/>
    <w:rsid w:val="005A46AD"/>
    <w:rsid w:val="005B0EC9"/>
    <w:rsid w:val="005B3ADC"/>
    <w:rsid w:val="005B4CE6"/>
    <w:rsid w:val="005B5EFE"/>
    <w:rsid w:val="005C5DB7"/>
    <w:rsid w:val="005D3D99"/>
    <w:rsid w:val="005E0AE3"/>
    <w:rsid w:val="00611055"/>
    <w:rsid w:val="006163F7"/>
    <w:rsid w:val="00627C63"/>
    <w:rsid w:val="00630F0C"/>
    <w:rsid w:val="00632FF6"/>
    <w:rsid w:val="0063350B"/>
    <w:rsid w:val="00642717"/>
    <w:rsid w:val="00646A2A"/>
    <w:rsid w:val="00651EFF"/>
    <w:rsid w:val="00652606"/>
    <w:rsid w:val="006531B7"/>
    <w:rsid w:val="006636EE"/>
    <w:rsid w:val="00670AB5"/>
    <w:rsid w:val="0067631E"/>
    <w:rsid w:val="0067700A"/>
    <w:rsid w:val="00681032"/>
    <w:rsid w:val="006854AF"/>
    <w:rsid w:val="006860CC"/>
    <w:rsid w:val="006946EE"/>
    <w:rsid w:val="006953AF"/>
    <w:rsid w:val="006A58A9"/>
    <w:rsid w:val="006A606D"/>
    <w:rsid w:val="006A741B"/>
    <w:rsid w:val="006C0371"/>
    <w:rsid w:val="006C08B6"/>
    <w:rsid w:val="006C0B1A"/>
    <w:rsid w:val="006C6065"/>
    <w:rsid w:val="006C7F9F"/>
    <w:rsid w:val="006E2F6D"/>
    <w:rsid w:val="006E40BB"/>
    <w:rsid w:val="006E58F6"/>
    <w:rsid w:val="006E6C31"/>
    <w:rsid w:val="006E6ECA"/>
    <w:rsid w:val="006E6FC1"/>
    <w:rsid w:val="006E77E1"/>
    <w:rsid w:val="006F131D"/>
    <w:rsid w:val="00711642"/>
    <w:rsid w:val="00711CA2"/>
    <w:rsid w:val="00725028"/>
    <w:rsid w:val="00735669"/>
    <w:rsid w:val="00735AEF"/>
    <w:rsid w:val="00742364"/>
    <w:rsid w:val="00746A8F"/>
    <w:rsid w:val="007507C6"/>
    <w:rsid w:val="00751E0B"/>
    <w:rsid w:val="00752BCD"/>
    <w:rsid w:val="00766DA1"/>
    <w:rsid w:val="00775550"/>
    <w:rsid w:val="00780D94"/>
    <w:rsid w:val="007866A6"/>
    <w:rsid w:val="007879DE"/>
    <w:rsid w:val="007902B1"/>
    <w:rsid w:val="00791B4C"/>
    <w:rsid w:val="007934AD"/>
    <w:rsid w:val="00795DA0"/>
    <w:rsid w:val="00795EE3"/>
    <w:rsid w:val="007A130D"/>
    <w:rsid w:val="007B5F48"/>
    <w:rsid w:val="007D1A2D"/>
    <w:rsid w:val="007D32E6"/>
    <w:rsid w:val="007D4102"/>
    <w:rsid w:val="007E54A7"/>
    <w:rsid w:val="007F0971"/>
    <w:rsid w:val="007F43B7"/>
    <w:rsid w:val="00806459"/>
    <w:rsid w:val="00810355"/>
    <w:rsid w:val="00812210"/>
    <w:rsid w:val="00812F8E"/>
    <w:rsid w:val="00821FFC"/>
    <w:rsid w:val="00823543"/>
    <w:rsid w:val="00823AF5"/>
    <w:rsid w:val="008271CA"/>
    <w:rsid w:val="008467D5"/>
    <w:rsid w:val="00851BF2"/>
    <w:rsid w:val="0086132B"/>
    <w:rsid w:val="008750BE"/>
    <w:rsid w:val="00885784"/>
    <w:rsid w:val="008900A0"/>
    <w:rsid w:val="008A4DC4"/>
    <w:rsid w:val="008B438C"/>
    <w:rsid w:val="008D06CA"/>
    <w:rsid w:val="008D3A46"/>
    <w:rsid w:val="008E5FE9"/>
    <w:rsid w:val="008F2385"/>
    <w:rsid w:val="009067A4"/>
    <w:rsid w:val="00917643"/>
    <w:rsid w:val="0092384D"/>
    <w:rsid w:val="00930885"/>
    <w:rsid w:val="00933D68"/>
    <w:rsid w:val="009340DB"/>
    <w:rsid w:val="00940F84"/>
    <w:rsid w:val="0094441E"/>
    <w:rsid w:val="0094618C"/>
    <w:rsid w:val="00955E2C"/>
    <w:rsid w:val="0095684B"/>
    <w:rsid w:val="009638BA"/>
    <w:rsid w:val="00967AB7"/>
    <w:rsid w:val="00972498"/>
    <w:rsid w:val="009735BC"/>
    <w:rsid w:val="00974623"/>
    <w:rsid w:val="0097481F"/>
    <w:rsid w:val="00974CC6"/>
    <w:rsid w:val="00976AD4"/>
    <w:rsid w:val="00995547"/>
    <w:rsid w:val="009A312F"/>
    <w:rsid w:val="009A5348"/>
    <w:rsid w:val="009A726B"/>
    <w:rsid w:val="009B0AB7"/>
    <w:rsid w:val="009C0590"/>
    <w:rsid w:val="009C76D5"/>
    <w:rsid w:val="009E32BC"/>
    <w:rsid w:val="009E772D"/>
    <w:rsid w:val="009F3B34"/>
    <w:rsid w:val="009F7AA4"/>
    <w:rsid w:val="00A00080"/>
    <w:rsid w:val="00A104FD"/>
    <w:rsid w:val="00A10AD7"/>
    <w:rsid w:val="00A123BA"/>
    <w:rsid w:val="00A21F7C"/>
    <w:rsid w:val="00A323B0"/>
    <w:rsid w:val="00A33DCE"/>
    <w:rsid w:val="00A343ED"/>
    <w:rsid w:val="00A34A10"/>
    <w:rsid w:val="00A355EA"/>
    <w:rsid w:val="00A559DB"/>
    <w:rsid w:val="00A569EA"/>
    <w:rsid w:val="00A676A0"/>
    <w:rsid w:val="00A85B0A"/>
    <w:rsid w:val="00A875CB"/>
    <w:rsid w:val="00A93318"/>
    <w:rsid w:val="00A950BC"/>
    <w:rsid w:val="00AB47A8"/>
    <w:rsid w:val="00AC2A39"/>
    <w:rsid w:val="00AC45B9"/>
    <w:rsid w:val="00AE659A"/>
    <w:rsid w:val="00AF35FC"/>
    <w:rsid w:val="00AF5556"/>
    <w:rsid w:val="00B03639"/>
    <w:rsid w:val="00B0652A"/>
    <w:rsid w:val="00B23132"/>
    <w:rsid w:val="00B259F3"/>
    <w:rsid w:val="00B40937"/>
    <w:rsid w:val="00B423EF"/>
    <w:rsid w:val="00B43CDF"/>
    <w:rsid w:val="00B453DE"/>
    <w:rsid w:val="00B62497"/>
    <w:rsid w:val="00B70B67"/>
    <w:rsid w:val="00B72597"/>
    <w:rsid w:val="00B837F7"/>
    <w:rsid w:val="00B87DC0"/>
    <w:rsid w:val="00B901F9"/>
    <w:rsid w:val="00BA59BE"/>
    <w:rsid w:val="00BB6488"/>
    <w:rsid w:val="00BB73B6"/>
    <w:rsid w:val="00BC4D98"/>
    <w:rsid w:val="00BD2DA3"/>
    <w:rsid w:val="00BD6EFB"/>
    <w:rsid w:val="00BE3DF5"/>
    <w:rsid w:val="00BF5EAB"/>
    <w:rsid w:val="00C02410"/>
    <w:rsid w:val="00C057A9"/>
    <w:rsid w:val="00C1584D"/>
    <w:rsid w:val="00C15BE2"/>
    <w:rsid w:val="00C3447F"/>
    <w:rsid w:val="00C44714"/>
    <w:rsid w:val="00C52922"/>
    <w:rsid w:val="00C534EE"/>
    <w:rsid w:val="00C6236C"/>
    <w:rsid w:val="00C63843"/>
    <w:rsid w:val="00C67102"/>
    <w:rsid w:val="00C81491"/>
    <w:rsid w:val="00C81676"/>
    <w:rsid w:val="00C85C5D"/>
    <w:rsid w:val="00C8731F"/>
    <w:rsid w:val="00C92CC4"/>
    <w:rsid w:val="00C9644E"/>
    <w:rsid w:val="00CA0AFB"/>
    <w:rsid w:val="00CA2CE1"/>
    <w:rsid w:val="00CA3976"/>
    <w:rsid w:val="00CA50E3"/>
    <w:rsid w:val="00CA757B"/>
    <w:rsid w:val="00CB62AC"/>
    <w:rsid w:val="00CC09AB"/>
    <w:rsid w:val="00CC1787"/>
    <w:rsid w:val="00CC182C"/>
    <w:rsid w:val="00CD0824"/>
    <w:rsid w:val="00CD2908"/>
    <w:rsid w:val="00CD30B3"/>
    <w:rsid w:val="00CE1605"/>
    <w:rsid w:val="00D03A82"/>
    <w:rsid w:val="00D13667"/>
    <w:rsid w:val="00D15344"/>
    <w:rsid w:val="00D229F9"/>
    <w:rsid w:val="00D23F57"/>
    <w:rsid w:val="00D30C79"/>
    <w:rsid w:val="00D31BEC"/>
    <w:rsid w:val="00D33FDA"/>
    <w:rsid w:val="00D360A4"/>
    <w:rsid w:val="00D36F15"/>
    <w:rsid w:val="00D511BC"/>
    <w:rsid w:val="00D55D80"/>
    <w:rsid w:val="00D6032E"/>
    <w:rsid w:val="00D63150"/>
    <w:rsid w:val="00D636BA"/>
    <w:rsid w:val="00D64A32"/>
    <w:rsid w:val="00D64EFC"/>
    <w:rsid w:val="00D6696D"/>
    <w:rsid w:val="00D75295"/>
    <w:rsid w:val="00D76CE9"/>
    <w:rsid w:val="00D9188D"/>
    <w:rsid w:val="00D97F12"/>
    <w:rsid w:val="00DA6095"/>
    <w:rsid w:val="00DA7F86"/>
    <w:rsid w:val="00DB2D37"/>
    <w:rsid w:val="00DB42E7"/>
    <w:rsid w:val="00DB450B"/>
    <w:rsid w:val="00DB5C32"/>
    <w:rsid w:val="00DC09D8"/>
    <w:rsid w:val="00DC3C13"/>
    <w:rsid w:val="00DD3882"/>
    <w:rsid w:val="00DE01A6"/>
    <w:rsid w:val="00DE0A91"/>
    <w:rsid w:val="00DE7A98"/>
    <w:rsid w:val="00DF085C"/>
    <w:rsid w:val="00DF32C2"/>
    <w:rsid w:val="00DF6B0F"/>
    <w:rsid w:val="00E015A4"/>
    <w:rsid w:val="00E13065"/>
    <w:rsid w:val="00E22388"/>
    <w:rsid w:val="00E44DAE"/>
    <w:rsid w:val="00E471A7"/>
    <w:rsid w:val="00E57FE7"/>
    <w:rsid w:val="00E6076A"/>
    <w:rsid w:val="00E635CF"/>
    <w:rsid w:val="00E81D5D"/>
    <w:rsid w:val="00EA10AC"/>
    <w:rsid w:val="00EB1E3B"/>
    <w:rsid w:val="00EC57FA"/>
    <w:rsid w:val="00EC5BCA"/>
    <w:rsid w:val="00EC6E0A"/>
    <w:rsid w:val="00ED0EB5"/>
    <w:rsid w:val="00ED4E18"/>
    <w:rsid w:val="00ED7922"/>
    <w:rsid w:val="00EE02C4"/>
    <w:rsid w:val="00EE1F37"/>
    <w:rsid w:val="00EE3388"/>
    <w:rsid w:val="00EE4D31"/>
    <w:rsid w:val="00F0159C"/>
    <w:rsid w:val="00F04BA6"/>
    <w:rsid w:val="00F06D20"/>
    <w:rsid w:val="00F105B7"/>
    <w:rsid w:val="00F10AF1"/>
    <w:rsid w:val="00F13220"/>
    <w:rsid w:val="00F14645"/>
    <w:rsid w:val="00F17A21"/>
    <w:rsid w:val="00F23E79"/>
    <w:rsid w:val="00F2795B"/>
    <w:rsid w:val="00F34E71"/>
    <w:rsid w:val="00F36FC2"/>
    <w:rsid w:val="00F37B27"/>
    <w:rsid w:val="00F46556"/>
    <w:rsid w:val="00F46EF0"/>
    <w:rsid w:val="00F50E91"/>
    <w:rsid w:val="00F56799"/>
    <w:rsid w:val="00F57D29"/>
    <w:rsid w:val="00F60786"/>
    <w:rsid w:val="00F6623F"/>
    <w:rsid w:val="00F67160"/>
    <w:rsid w:val="00F70924"/>
    <w:rsid w:val="00F85CAF"/>
    <w:rsid w:val="00F91BC7"/>
    <w:rsid w:val="00F9280B"/>
    <w:rsid w:val="00F94A3E"/>
    <w:rsid w:val="00F96201"/>
    <w:rsid w:val="00FA136F"/>
    <w:rsid w:val="00FA13B8"/>
    <w:rsid w:val="00FA1BBC"/>
    <w:rsid w:val="00FD01D1"/>
    <w:rsid w:val="00FD0B18"/>
    <w:rsid w:val="00FD2FAD"/>
    <w:rsid w:val="00FD54A1"/>
    <w:rsid w:val="00FE00C7"/>
    <w:rsid w:val="00FE1AE8"/>
    <w:rsid w:val="00FE2737"/>
    <w:rsid w:val="00FE714F"/>
    <w:rsid w:val="00FE7FEF"/>
    <w:rsid w:val="00FF2510"/>
    <w:rsid w:val="00FF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EB622D33-6A6A-4421-A07C-AC7B24AD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5F5F5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6E6E6E"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
    <w:name w:val="Unresolved Mention"/>
    <w:basedOn w:val="DefaultParagraphFont"/>
    <w:uiPriority w:val="99"/>
    <w:semiHidden/>
    <w:unhideWhenUsed/>
    <w:rsid w:val="00AB47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58273">
      <w:bodyDiv w:val="1"/>
      <w:marLeft w:val="0"/>
      <w:marRight w:val="0"/>
      <w:marTop w:val="0"/>
      <w:marBottom w:val="0"/>
      <w:divBdr>
        <w:top w:val="none" w:sz="0" w:space="0" w:color="auto"/>
        <w:left w:val="none" w:sz="0" w:space="0" w:color="auto"/>
        <w:bottom w:val="none" w:sz="0" w:space="0" w:color="auto"/>
        <w:right w:val="none" w:sz="0" w:space="0" w:color="auto"/>
      </w:divBdr>
    </w:div>
    <w:div w:id="111748309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8134105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0098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ort.wrdsb.ca/by-the-numbers/" TargetMode="External"/><Relationship Id="rId4" Type="http://schemas.openxmlformats.org/officeDocument/2006/relationships/settings" Target="settings.xml"/><Relationship Id="rId9" Type="http://schemas.openxmlformats.org/officeDocument/2006/relationships/hyperlink" Target="https://www12.statcan.gc.ca/census-recensement/2016/dp-pd/prof/details/page.cfm?Lang=E&amp;Geo1=CMACA&amp;Code1=541&amp;Geo2=PR&amp;Code2=35&amp;Data=Count&amp;%20SearchText=kitchener&amp;SearchType=Begins&amp;SearchPR=01&amp;B1=Ethnic%20origin&amp;TABID=1"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CEA2-5684-47E1-B4FB-ED7DEA4A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Shareef, Huma</cp:lastModifiedBy>
  <cp:revision>4</cp:revision>
  <cp:lastPrinted>2015-03-04T20:34:00Z</cp:lastPrinted>
  <dcterms:created xsi:type="dcterms:W3CDTF">2019-07-04T19:13:00Z</dcterms:created>
  <dcterms:modified xsi:type="dcterms:W3CDTF">2019-10-07T14:41:00Z</dcterms:modified>
</cp:coreProperties>
</file>