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587C2" w14:textId="77777777" w:rsidR="00AF4EE1" w:rsidRPr="00AF4EE1" w:rsidRDefault="00AF4EE1" w:rsidP="00AF4EE1">
      <w:pPr>
        <w:pBdr>
          <w:bottom w:val="single" w:sz="18" w:space="1" w:color="auto"/>
        </w:pBdr>
        <w:tabs>
          <w:tab w:val="left" w:pos="-1440"/>
          <w:tab w:val="left" w:pos="-720"/>
          <w:tab w:val="left" w:pos="1"/>
        </w:tabs>
        <w:jc w:val="both"/>
        <w:rPr>
          <w:rFonts w:ascii="Arial" w:hAnsi="Arial"/>
          <w:b/>
          <w:sz w:val="24"/>
          <w:lang w:val="en-US"/>
        </w:rPr>
      </w:pPr>
      <w:r w:rsidRPr="00AF4EE1">
        <w:rPr>
          <w:rFonts w:ascii="Arial" w:hAnsi="Arial"/>
          <w:b/>
          <w:noProof/>
          <w:sz w:val="24"/>
          <w:lang w:val="en-CA" w:eastAsia="en-CA"/>
        </w:rPr>
        <w:drawing>
          <wp:inline distT="0" distB="0" distL="0" distR="0" wp14:anchorId="05B0A087" wp14:editId="640B005B">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0F5EDCD" w14:textId="46AF44E4" w:rsidR="00AF4EE1" w:rsidRPr="00AF4EE1" w:rsidRDefault="001944C4" w:rsidP="00AF4EE1">
      <w:pPr>
        <w:jc w:val="right"/>
        <w:rPr>
          <w:rFonts w:ascii="Arial" w:hAnsi="Arial"/>
          <w:b/>
          <w:caps/>
          <w:sz w:val="24"/>
          <w:lang w:val="en-US"/>
        </w:rPr>
      </w:pPr>
      <w:r>
        <w:rPr>
          <w:rFonts w:ascii="Arial" w:hAnsi="Arial"/>
          <w:b/>
          <w:caps/>
          <w:sz w:val="24"/>
          <w:lang w:val="en-US"/>
        </w:rPr>
        <w:t>9B19A039</w:t>
      </w:r>
    </w:p>
    <w:p w14:paraId="1FD221CE" w14:textId="77777777" w:rsidR="0063435C" w:rsidRPr="0063435C" w:rsidRDefault="0063435C" w:rsidP="0063435C">
      <w:pPr>
        <w:jc w:val="right"/>
        <w:rPr>
          <w:rFonts w:ascii="Arial" w:hAnsi="Arial"/>
          <w:b/>
          <w:lang w:val="en-US"/>
        </w:rPr>
      </w:pPr>
    </w:p>
    <w:p w14:paraId="02524312" w14:textId="77777777" w:rsidR="001901C0" w:rsidRPr="001901C0" w:rsidRDefault="001901C0" w:rsidP="00D75295">
      <w:pPr>
        <w:jc w:val="right"/>
        <w:rPr>
          <w:rFonts w:ascii="Arial" w:hAnsi="Arial"/>
          <w:b/>
        </w:rPr>
      </w:pPr>
    </w:p>
    <w:p w14:paraId="2F03D26A" w14:textId="4D4C4170" w:rsidR="00013360" w:rsidRDefault="00D1174C" w:rsidP="00E46F60">
      <w:pPr>
        <w:pStyle w:val="CaseTitle"/>
        <w:spacing w:after="0" w:line="240" w:lineRule="auto"/>
        <w:rPr>
          <w:sz w:val="20"/>
          <w:szCs w:val="20"/>
        </w:rPr>
      </w:pPr>
      <w:r w:rsidRPr="00D1174C">
        <w:t>OPERA PHILADELPHIA: SEGMENTATION STRATEGIES FOR CHANGING MARKETS</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79D4B1B1" w:rsidR="00086B26" w:rsidRPr="00287D6F" w:rsidRDefault="00D1174C" w:rsidP="00086B26">
      <w:pPr>
        <w:pStyle w:val="StyleCopyrightStatementAfter0ptBottomSinglesolidline1"/>
      </w:pPr>
      <w:r w:rsidRPr="00D1174C">
        <w:t xml:space="preserve">Professors Dennis Paris, Jean Wilcox, Amy Lavin, Sheri Lambert wrote this case </w:t>
      </w:r>
      <w:r w:rsidR="00086B26" w:rsidRPr="00287D6F">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639D1372" w14:textId="77777777" w:rsidR="00AF4EE1" w:rsidRPr="00AF4EE1" w:rsidRDefault="00AF4EE1" w:rsidP="00AF4EE1">
      <w:pPr>
        <w:tabs>
          <w:tab w:val="right" w:pos="9360"/>
        </w:tabs>
        <w:autoSpaceDE w:val="0"/>
        <w:autoSpaceDN w:val="0"/>
        <w:adjustRightInd w:val="0"/>
        <w:jc w:val="both"/>
        <w:textAlignment w:val="center"/>
        <w:rPr>
          <w:rFonts w:ascii="Arial" w:hAnsi="Arial" w:cs="Arial"/>
          <w:i/>
          <w:iCs/>
          <w:color w:val="000000"/>
          <w:sz w:val="16"/>
          <w:szCs w:val="16"/>
          <w:lang w:val="en-US"/>
        </w:rPr>
      </w:pPr>
      <w:r w:rsidRPr="00AF4EE1">
        <w:rPr>
          <w:rFonts w:ascii="Arial" w:hAnsi="Arial" w:cs="Arial"/>
          <w:i/>
          <w:iCs/>
          <w:color w:val="000000"/>
          <w:sz w:val="16"/>
          <w:szCs w:val="16"/>
          <w:lang w:val="en-US"/>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AF4EE1">
        <w:rPr>
          <w:rFonts w:ascii="Arial" w:hAnsi="Arial" w:cs="Arial"/>
          <w:i/>
          <w:iCs/>
          <w:color w:val="FFFFFF" w:themeColor="background1"/>
          <w:sz w:val="16"/>
          <w:szCs w:val="16"/>
          <w:lang w:val="en-US"/>
        </w:rPr>
        <w:t>i1v2e5y5pubs</w:t>
      </w:r>
    </w:p>
    <w:p w14:paraId="1BFFF43A" w14:textId="77777777" w:rsidR="00AF4EE1" w:rsidRPr="00AF4EE1" w:rsidRDefault="00AF4EE1" w:rsidP="00AF4EE1">
      <w:pPr>
        <w:tabs>
          <w:tab w:val="right" w:pos="9360"/>
        </w:tabs>
        <w:autoSpaceDE w:val="0"/>
        <w:autoSpaceDN w:val="0"/>
        <w:adjustRightInd w:val="0"/>
        <w:jc w:val="both"/>
        <w:textAlignment w:val="center"/>
        <w:rPr>
          <w:rFonts w:ascii="Arial" w:hAnsi="Arial" w:cs="Arial"/>
          <w:i/>
          <w:iCs/>
          <w:color w:val="000000"/>
          <w:sz w:val="16"/>
          <w:szCs w:val="16"/>
          <w:lang w:val="en-US"/>
        </w:rPr>
      </w:pPr>
    </w:p>
    <w:p w14:paraId="3922E14F" w14:textId="32845FF4" w:rsidR="00751E0B" w:rsidRPr="00AF4EE1" w:rsidRDefault="00AF4EE1" w:rsidP="00AF4EE1">
      <w:pPr>
        <w:pStyle w:val="StyleStyleCopyrightStatementAfter0ptBottomSinglesolid"/>
        <w:rPr>
          <w:rFonts w:cs="Arial"/>
          <w:szCs w:val="16"/>
        </w:rPr>
      </w:pPr>
      <w:r w:rsidRPr="00AF4EE1">
        <w:rPr>
          <w:rFonts w:cs="Arial"/>
          <w:iCs w:val="0"/>
          <w:color w:val="auto"/>
          <w:szCs w:val="16"/>
          <w:lang w:val="en-US"/>
        </w:rPr>
        <w:t>Copyright © 20</w:t>
      </w:r>
      <w:r>
        <w:rPr>
          <w:rFonts w:cs="Arial"/>
          <w:iCs w:val="0"/>
          <w:color w:val="auto"/>
          <w:szCs w:val="16"/>
          <w:lang w:val="en-US"/>
        </w:rPr>
        <w:t>19</w:t>
      </w:r>
      <w:r w:rsidRPr="00AF4EE1">
        <w:rPr>
          <w:rFonts w:cs="Arial"/>
          <w:iCs w:val="0"/>
          <w:color w:val="auto"/>
          <w:szCs w:val="16"/>
          <w:lang w:val="en-US"/>
        </w:rPr>
        <w:t xml:space="preserve">, </w:t>
      </w:r>
      <w:r w:rsidRPr="00AF4EE1">
        <w:rPr>
          <w:rFonts w:cs="Arial"/>
          <w:iCs w:val="0"/>
          <w:color w:val="auto"/>
          <w:szCs w:val="16"/>
          <w:lang w:val="en-CA"/>
        </w:rPr>
        <w:t>Ivey Business School Foundation</w:t>
      </w:r>
      <w:r w:rsidRPr="00AF4EE1">
        <w:rPr>
          <w:rFonts w:cs="Arial"/>
          <w:iCs w:val="0"/>
          <w:color w:val="auto"/>
          <w:szCs w:val="16"/>
          <w:lang w:val="en-CA"/>
        </w:rPr>
        <w:tab/>
      </w:r>
      <w:r w:rsidRPr="00AF4EE1">
        <w:rPr>
          <w:rFonts w:cs="Arial"/>
          <w:iCs w:val="0"/>
          <w:color w:val="auto"/>
          <w:szCs w:val="16"/>
          <w:lang w:val="en-US"/>
        </w:rPr>
        <w:t xml:space="preserve">Version: </w:t>
      </w:r>
      <w:r w:rsidR="00C9322D">
        <w:rPr>
          <w:rFonts w:cs="Arial"/>
          <w:iCs w:val="0"/>
          <w:color w:val="auto"/>
          <w:szCs w:val="16"/>
          <w:lang w:val="en-US"/>
        </w:rPr>
        <w:t>2020-</w:t>
      </w:r>
      <w:r w:rsidR="004D5151">
        <w:rPr>
          <w:rFonts w:cs="Arial"/>
          <w:iCs w:val="0"/>
          <w:color w:val="auto"/>
          <w:szCs w:val="16"/>
          <w:lang w:val="en-US"/>
        </w:rPr>
        <w:t>09-28</w:t>
      </w:r>
      <w:bookmarkStart w:id="0" w:name="_GoBack"/>
      <w:bookmarkEnd w:id="0"/>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9892BC4" w:rsidR="00B87DC0" w:rsidRPr="006F4154" w:rsidRDefault="00B87DC0" w:rsidP="00D1174C">
      <w:pPr>
        <w:pStyle w:val="BodyTextMain"/>
        <w:rPr>
          <w:sz w:val="20"/>
        </w:rPr>
      </w:pPr>
    </w:p>
    <w:p w14:paraId="14B12087" w14:textId="2CA44B58" w:rsidR="00D1174C" w:rsidRDefault="00D415E3" w:rsidP="00D1174C">
      <w:pPr>
        <w:pStyle w:val="BodyTextMain"/>
      </w:pPr>
      <w:r>
        <w:t>In his new position as g</w:t>
      </w:r>
      <w:r w:rsidRPr="00291E5D">
        <w:t xml:space="preserve">eneral </w:t>
      </w:r>
      <w:r>
        <w:t>d</w:t>
      </w:r>
      <w:r w:rsidRPr="00291E5D">
        <w:t xml:space="preserve">irector </w:t>
      </w:r>
      <w:r>
        <w:t xml:space="preserve">of </w:t>
      </w:r>
      <w:r w:rsidRPr="00291E5D">
        <w:t>Opera Philadelphia</w:t>
      </w:r>
      <w:r>
        <w:t xml:space="preserve">, </w:t>
      </w:r>
      <w:r w:rsidRPr="00291E5D">
        <w:t>David Devan</w:t>
      </w:r>
      <w:r>
        <w:t xml:space="preserve"> </w:t>
      </w:r>
      <w:r w:rsidR="00D1174C" w:rsidRPr="00291E5D">
        <w:t>decided that a serious assessment of market preferences and behavio</w:t>
      </w:r>
      <w:r>
        <w:t>u</w:t>
      </w:r>
      <w:r w:rsidR="00D1174C" w:rsidRPr="00291E5D">
        <w:t xml:space="preserve">rs was necessary to overhaul </w:t>
      </w:r>
      <w:r w:rsidR="002D29D1">
        <w:t xml:space="preserve">the </w:t>
      </w:r>
      <w:r w:rsidR="00D1174C" w:rsidRPr="00291E5D">
        <w:t>Opera’s go-to-market strategy. Between 2010 and 201</w:t>
      </w:r>
      <w:r w:rsidR="00544CD3">
        <w:t>4</w:t>
      </w:r>
      <w:r>
        <w:t>,</w:t>
      </w:r>
      <w:r w:rsidR="00D1174C" w:rsidRPr="00291E5D">
        <w:t xml:space="preserve"> the Opera </w:t>
      </w:r>
      <w:r w:rsidR="00AC0404">
        <w:t xml:space="preserve">had </w:t>
      </w:r>
      <w:r w:rsidR="00D1174C" w:rsidRPr="00291E5D">
        <w:t>experienced a steep decline in household (HH) subscriber and single</w:t>
      </w:r>
      <w:r>
        <w:t>-</w:t>
      </w:r>
      <w:r w:rsidR="00D1174C" w:rsidRPr="00291E5D">
        <w:t xml:space="preserve">ticket buyers coupled with severe </w:t>
      </w:r>
      <w:r w:rsidR="00D1174C">
        <w:t>revenue fluctuations.</w:t>
      </w:r>
      <w:r w:rsidR="00544CD3">
        <w:t xml:space="preserve"> </w:t>
      </w:r>
      <w:r w:rsidR="00AC0404">
        <w:t>A</w:t>
      </w:r>
      <w:r w:rsidR="00544CD3">
        <w:t xml:space="preserve"> further decline was </w:t>
      </w:r>
      <w:r w:rsidR="0033494A">
        <w:t xml:space="preserve">on the horizon </w:t>
      </w:r>
      <w:r w:rsidR="00544CD3">
        <w:t xml:space="preserve">for </w:t>
      </w:r>
      <w:r w:rsidR="0033494A">
        <w:t>the start of the 2015</w:t>
      </w:r>
      <w:r w:rsidR="00397687">
        <w:t>–2016</w:t>
      </w:r>
      <w:r w:rsidR="0033494A">
        <w:t xml:space="preserve"> season with </w:t>
      </w:r>
      <w:r w:rsidR="00544CD3">
        <w:t>both HH cohorts.</w:t>
      </w:r>
      <w:r w:rsidR="00F17F40">
        <w:t xml:space="preserve"> </w:t>
      </w:r>
    </w:p>
    <w:p w14:paraId="5B0AF7E5" w14:textId="77777777" w:rsidR="00D1174C" w:rsidRPr="006F4154" w:rsidRDefault="00D1174C" w:rsidP="00D1174C">
      <w:pPr>
        <w:pStyle w:val="BodyTextMain"/>
        <w:rPr>
          <w:sz w:val="20"/>
        </w:rPr>
      </w:pPr>
    </w:p>
    <w:p w14:paraId="6A399F9A" w14:textId="4DD1D432" w:rsidR="00D1174C" w:rsidRPr="00291E5D" w:rsidRDefault="00D1174C" w:rsidP="00D1174C">
      <w:pPr>
        <w:pStyle w:val="BodyTextMain"/>
      </w:pPr>
      <w:r w:rsidRPr="00291E5D">
        <w:t xml:space="preserve">Devan turned to his </w:t>
      </w:r>
      <w:r w:rsidR="00AC0404">
        <w:t>m</w:t>
      </w:r>
      <w:r w:rsidRPr="00291E5D">
        <w:t>arketing team</w:t>
      </w:r>
      <w:r w:rsidR="00E43E3B">
        <w:t>,</w:t>
      </w:r>
      <w:r w:rsidRPr="00291E5D">
        <w:t xml:space="preserve"> led by Ryan Lewis</w:t>
      </w:r>
      <w:r w:rsidR="00E43E3B">
        <w:t>,</w:t>
      </w:r>
      <w:r w:rsidRPr="00291E5D">
        <w:t xml:space="preserve"> to manage this crucial research</w:t>
      </w:r>
      <w:r w:rsidR="00A308F7">
        <w:t>-</w:t>
      </w:r>
      <w:r w:rsidRPr="00291E5D">
        <w:t xml:space="preserve"> and strategy</w:t>
      </w:r>
      <w:r w:rsidR="00A308F7">
        <w:t>-</w:t>
      </w:r>
      <w:r w:rsidRPr="00291E5D">
        <w:t xml:space="preserve"> development initiative. Devan was convinced that an innovative strategy was required to first stabilize the subscriber base while attracting new single</w:t>
      </w:r>
      <w:r w:rsidR="00AC0404">
        <w:t>-</w:t>
      </w:r>
      <w:r w:rsidRPr="00291E5D">
        <w:t xml:space="preserve">ticket buyer markets. He also felt that a slight misstep in repositioning </w:t>
      </w:r>
      <w:r w:rsidR="00795770">
        <w:t>t</w:t>
      </w:r>
      <w:r w:rsidRPr="00291E5D">
        <w:t xml:space="preserve">he Opera could easily result in further loss of </w:t>
      </w:r>
      <w:r w:rsidR="00795770">
        <w:t>its</w:t>
      </w:r>
      <w:r w:rsidRPr="00291E5D">
        <w:t xml:space="preserve"> remaining subscribers</w:t>
      </w:r>
      <w:r w:rsidR="00F45A1E">
        <w:t>—</w:t>
      </w:r>
      <w:r w:rsidRPr="00291E5D">
        <w:t>many of whom were also loyal donors.</w:t>
      </w:r>
    </w:p>
    <w:p w14:paraId="6ED2710C" w14:textId="77777777" w:rsidR="00D1174C" w:rsidRPr="006F4154" w:rsidRDefault="00D1174C" w:rsidP="00D1174C">
      <w:pPr>
        <w:pStyle w:val="BodyTextMain"/>
        <w:rPr>
          <w:sz w:val="20"/>
        </w:rPr>
      </w:pPr>
    </w:p>
    <w:p w14:paraId="3FACB881" w14:textId="7457CE95" w:rsidR="00D1174C" w:rsidRPr="00291E5D" w:rsidRDefault="00AC0404" w:rsidP="00D1174C">
      <w:pPr>
        <w:pStyle w:val="BodyTextMain"/>
      </w:pPr>
      <w:r>
        <w:t>B</w:t>
      </w:r>
      <w:r w:rsidRPr="00291E5D">
        <w:t xml:space="preserve">y </w:t>
      </w:r>
      <w:r w:rsidR="003D0667">
        <w:t>August</w:t>
      </w:r>
      <w:r w:rsidRPr="00291E5D">
        <w:t xml:space="preserve"> 201</w:t>
      </w:r>
      <w:r w:rsidR="00E46F60">
        <w:t>4</w:t>
      </w:r>
      <w:r>
        <w:t>,</w:t>
      </w:r>
      <w:r w:rsidR="00397687" w:rsidRPr="00397687">
        <w:t xml:space="preserve"> </w:t>
      </w:r>
      <w:r w:rsidR="00397687" w:rsidRPr="00291E5D">
        <w:t xml:space="preserve">Devan </w:t>
      </w:r>
      <w:r w:rsidR="00397687">
        <w:t>had to</w:t>
      </w:r>
      <w:r w:rsidR="00397687" w:rsidRPr="00291E5D">
        <w:t xml:space="preserve"> </w:t>
      </w:r>
      <w:r w:rsidR="00397687">
        <w:t xml:space="preserve">assure the </w:t>
      </w:r>
      <w:r w:rsidR="00397687" w:rsidRPr="00291E5D">
        <w:t>research</w:t>
      </w:r>
      <w:r w:rsidR="00397687">
        <w:t xml:space="preserve"> was finalized</w:t>
      </w:r>
      <w:r w:rsidR="00397687" w:rsidRPr="00291E5D">
        <w:t>, decide</w:t>
      </w:r>
      <w:r w:rsidR="00397687">
        <w:t xml:space="preserve"> on,</w:t>
      </w:r>
      <w:r w:rsidR="00397687" w:rsidRPr="00291E5D">
        <w:t xml:space="preserve"> and present to the </w:t>
      </w:r>
      <w:r w:rsidR="00397687">
        <w:t>b</w:t>
      </w:r>
      <w:r w:rsidR="00397687" w:rsidRPr="00291E5D">
        <w:t>oard a new segmentation</w:t>
      </w:r>
      <w:r w:rsidR="00397687">
        <w:t xml:space="preserve"> </w:t>
      </w:r>
      <w:r>
        <w:t>with a</w:t>
      </w:r>
      <w:r w:rsidR="00D1174C" w:rsidRPr="00291E5D">
        <w:t xml:space="preserve"> targeting and positioning strategy </w:t>
      </w:r>
      <w:r>
        <w:t>that would increase</w:t>
      </w:r>
      <w:r w:rsidR="00D1174C" w:rsidRPr="00291E5D">
        <w:t xml:space="preserve"> the following season’s revenues. With only a few months remaining, research results were still coming in. Time was not </w:t>
      </w:r>
      <w:r w:rsidR="00397687">
        <w:t>Lewis</w:t>
      </w:r>
      <w:r w:rsidR="00D1174C" w:rsidRPr="00291E5D">
        <w:t>’s friend</w:t>
      </w:r>
      <w:r w:rsidR="00D4574B">
        <w:t>.</w:t>
      </w:r>
      <w:r w:rsidR="00D1174C" w:rsidRPr="00291E5D">
        <w:t xml:space="preserve"> </w:t>
      </w:r>
    </w:p>
    <w:p w14:paraId="602EF35F" w14:textId="3F5D79F4" w:rsidR="00D1174C" w:rsidRPr="006F4154" w:rsidRDefault="00D1174C" w:rsidP="00D1174C">
      <w:pPr>
        <w:pStyle w:val="BodyTextMain"/>
        <w:rPr>
          <w:sz w:val="20"/>
        </w:rPr>
      </w:pPr>
    </w:p>
    <w:p w14:paraId="001C4D0D" w14:textId="77777777" w:rsidR="00D1174C" w:rsidRPr="006F4154" w:rsidRDefault="00D1174C" w:rsidP="00D1174C">
      <w:pPr>
        <w:pStyle w:val="BodyTextMain"/>
        <w:rPr>
          <w:sz w:val="20"/>
        </w:rPr>
      </w:pPr>
    </w:p>
    <w:p w14:paraId="043B5A6F" w14:textId="733EAB55" w:rsidR="00D1174C" w:rsidRPr="00291E5D" w:rsidRDefault="00D1174C" w:rsidP="00D1174C">
      <w:pPr>
        <w:pStyle w:val="Casehead1"/>
      </w:pPr>
      <w:r w:rsidRPr="00291E5D">
        <w:t>OPERA PHILADELPHIA</w:t>
      </w:r>
    </w:p>
    <w:p w14:paraId="533FD117" w14:textId="77777777" w:rsidR="00D1174C" w:rsidRPr="006F4154" w:rsidRDefault="00D1174C" w:rsidP="00D1174C">
      <w:pPr>
        <w:pStyle w:val="BodyTextMain"/>
        <w:rPr>
          <w:sz w:val="20"/>
        </w:rPr>
      </w:pPr>
    </w:p>
    <w:p w14:paraId="7408FC68" w14:textId="52C5AF3F" w:rsidR="00D1174C" w:rsidRDefault="00D1174C" w:rsidP="00D1174C">
      <w:pPr>
        <w:pStyle w:val="BodyTextMain"/>
      </w:pPr>
      <w:r w:rsidRPr="00291E5D">
        <w:t>Founded in 1975</w:t>
      </w:r>
      <w:r w:rsidR="00AC0404">
        <w:t>,</w:t>
      </w:r>
      <w:r w:rsidRPr="00291E5D">
        <w:t xml:space="preserve"> Opera Philadelphia ha</w:t>
      </w:r>
      <w:r>
        <w:t>d</w:t>
      </w:r>
      <w:r w:rsidRPr="00291E5D">
        <w:t xml:space="preserve"> survived as a performing arts organization that offered traditional opera performances to traditionally minded audiences. </w:t>
      </w:r>
      <w:r w:rsidR="00DF06F9">
        <w:t xml:space="preserve">The </w:t>
      </w:r>
      <w:r w:rsidRPr="00291E5D">
        <w:t>Opera list</w:t>
      </w:r>
      <w:r>
        <w:t>ed</w:t>
      </w:r>
      <w:r w:rsidRPr="00291E5D">
        <w:t xml:space="preserve"> itself as an American </w:t>
      </w:r>
      <w:r w:rsidR="001D1914">
        <w:t>o</w:t>
      </w:r>
      <w:r w:rsidRPr="00291E5D">
        <w:t xml:space="preserve">pera </w:t>
      </w:r>
      <w:r w:rsidR="001D1914">
        <w:t>c</w:t>
      </w:r>
      <w:r w:rsidRPr="00291E5D">
        <w:t>ompany and the only company in Philadelphia that produce</w:t>
      </w:r>
      <w:r>
        <w:t>d</w:t>
      </w:r>
      <w:r w:rsidRPr="00291E5D">
        <w:t xml:space="preserve"> grand opera. </w:t>
      </w:r>
      <w:r w:rsidR="00AC0404">
        <w:t>It</w:t>
      </w:r>
      <w:r w:rsidRPr="00291E5D">
        <w:t xml:space="preserve"> also position</w:t>
      </w:r>
      <w:r>
        <w:t>ed</w:t>
      </w:r>
      <w:r w:rsidRPr="00291E5D">
        <w:t xml:space="preserve"> </w:t>
      </w:r>
      <w:r w:rsidR="00AC0404">
        <w:t>itself</w:t>
      </w:r>
      <w:r w:rsidRPr="00291E5D">
        <w:t xml:space="preserve"> as committed to embracing innovation and developing opera for the 21st century. The primary venue for Opera Philadelphia</w:t>
      </w:r>
      <w:r w:rsidR="0032510F">
        <w:t xml:space="preserve"> </w:t>
      </w:r>
      <w:r>
        <w:t>was</w:t>
      </w:r>
      <w:r w:rsidRPr="00291E5D">
        <w:t xml:space="preserve"> the Academy of Music</w:t>
      </w:r>
      <w:r w:rsidR="00026AA2">
        <w:t>,</w:t>
      </w:r>
      <w:r w:rsidR="00AC0404">
        <w:t xml:space="preserve"> which was </w:t>
      </w:r>
      <w:r w:rsidRPr="00291E5D">
        <w:t>considered one of the most treasured and legendary theat</w:t>
      </w:r>
      <w:r w:rsidR="00AC0404">
        <w:t>r</w:t>
      </w:r>
      <w:r w:rsidRPr="00291E5D">
        <w:t>es in the world, over 150 years old, stunning</w:t>
      </w:r>
      <w:r w:rsidR="00AC0404">
        <w:t>,</w:t>
      </w:r>
      <w:r w:rsidRPr="00291E5D">
        <w:t xml:space="preserve"> and opulent.</w:t>
      </w:r>
    </w:p>
    <w:p w14:paraId="4521D3B9" w14:textId="77777777" w:rsidR="00D1174C" w:rsidRPr="006F4154" w:rsidRDefault="00D1174C" w:rsidP="00D1174C">
      <w:pPr>
        <w:pStyle w:val="BodyTextMain"/>
        <w:rPr>
          <w:sz w:val="20"/>
        </w:rPr>
      </w:pPr>
    </w:p>
    <w:p w14:paraId="17C828CE" w14:textId="27DC6F6A" w:rsidR="00D1174C" w:rsidRDefault="00D1174C" w:rsidP="00D1174C">
      <w:pPr>
        <w:pStyle w:val="BodyTextMain"/>
      </w:pPr>
      <w:r w:rsidRPr="00291E5D">
        <w:t>Opera Philadelphia’s successful productions depend</w:t>
      </w:r>
      <w:r>
        <w:t>ed</w:t>
      </w:r>
      <w:r w:rsidRPr="00291E5D">
        <w:t xml:space="preserve"> on its upstream relationships </w:t>
      </w:r>
      <w:r w:rsidR="00AC0404">
        <w:t xml:space="preserve">with </w:t>
      </w:r>
      <w:r w:rsidRPr="00291E5D">
        <w:t>grant providers and set designers as well as numerous downstream partners</w:t>
      </w:r>
      <w:r w:rsidR="009337F2">
        <w:t>,</w:t>
      </w:r>
      <w:r w:rsidRPr="00291E5D">
        <w:t xml:space="preserve"> including venues such as the Academy of Music and the Perelman Theater, part of the Kimmel Center for the Performing Arts. </w:t>
      </w:r>
      <w:r w:rsidR="00DF06F9">
        <w:t xml:space="preserve">The </w:t>
      </w:r>
      <w:r w:rsidRPr="00291E5D">
        <w:t>Opera not only r</w:t>
      </w:r>
      <w:r>
        <w:t>a</w:t>
      </w:r>
      <w:r w:rsidRPr="00291E5D">
        <w:t>n regular season performances but</w:t>
      </w:r>
      <w:r w:rsidR="00AC0404">
        <w:t xml:space="preserve"> also</w:t>
      </w:r>
      <w:r w:rsidRPr="00291E5D">
        <w:t xml:space="preserve"> ha</w:t>
      </w:r>
      <w:r>
        <w:t>d</w:t>
      </w:r>
      <w:r w:rsidRPr="00291E5D">
        <w:t xml:space="preserve"> developed a practice of creating new operatic works, many through partnerships such as that with</w:t>
      </w:r>
      <w:r w:rsidR="00374BC9">
        <w:t xml:space="preserve"> </w:t>
      </w:r>
      <w:r w:rsidRPr="00291E5D">
        <w:t xml:space="preserve">Art Sanctuary of Philadelphia. Together, </w:t>
      </w:r>
      <w:r w:rsidR="00397687">
        <w:t>the Opera’s</w:t>
      </w:r>
      <w:r w:rsidRPr="00291E5D">
        <w:t xml:space="preserve"> work with </w:t>
      </w:r>
      <w:r w:rsidRPr="00291E5D">
        <w:lastRenderedPageBreak/>
        <w:t xml:space="preserve">Philadelphia students helped inspire the creation of </w:t>
      </w:r>
      <w:r w:rsidRPr="00291E5D">
        <w:rPr>
          <w:i/>
        </w:rPr>
        <w:t>We Shall Not Be Moved</w:t>
      </w:r>
      <w:r w:rsidRPr="00291E5D">
        <w:t>, “combining a classical music style with hip-hop to create a compe</w:t>
      </w:r>
      <w:r>
        <w:t>lling new operatic experience.”</w:t>
      </w:r>
    </w:p>
    <w:p w14:paraId="0F4621CD" w14:textId="77777777" w:rsidR="00D1174C" w:rsidRPr="006F4154" w:rsidRDefault="00D1174C" w:rsidP="00D1174C">
      <w:pPr>
        <w:pStyle w:val="BodyTextMain"/>
        <w:rPr>
          <w:sz w:val="20"/>
        </w:rPr>
      </w:pPr>
    </w:p>
    <w:p w14:paraId="74D22699" w14:textId="3C6AE95E" w:rsidR="00D1174C" w:rsidRPr="00291E5D" w:rsidRDefault="00397687" w:rsidP="00D1174C">
      <w:pPr>
        <w:pStyle w:val="BodyTextMain"/>
      </w:pPr>
      <w:r w:rsidRPr="00291E5D">
        <w:t>Additional past partners include</w:t>
      </w:r>
      <w:r>
        <w:t>d</w:t>
      </w:r>
      <w:r w:rsidRPr="00291E5D">
        <w:t xml:space="preserve"> the Philadelphia Orchestra as well as the Barnes Foundation and </w:t>
      </w:r>
      <w:r>
        <w:t xml:space="preserve">the </w:t>
      </w:r>
      <w:r w:rsidRPr="00291E5D">
        <w:t>Philadelphia Museum of Art</w:t>
      </w:r>
      <w:r>
        <w:t>, who collaborated to</w:t>
      </w:r>
      <w:r w:rsidRPr="00291E5D">
        <w:t xml:space="preserve"> incorporat</w:t>
      </w:r>
      <w:r>
        <w:t>e</w:t>
      </w:r>
      <w:r w:rsidRPr="00291E5D">
        <w:t xml:space="preserve"> Impressionist</w:t>
      </w:r>
      <w:r>
        <w:t xml:space="preserve"> </w:t>
      </w:r>
      <w:r w:rsidRPr="00291E5D">
        <w:t xml:space="preserve">masterpieces into a production of </w:t>
      </w:r>
      <w:r w:rsidRPr="00291E5D">
        <w:rPr>
          <w:i/>
        </w:rPr>
        <w:t>La bohème</w:t>
      </w:r>
      <w:r w:rsidRPr="00291E5D">
        <w:t xml:space="preserve"> and broadcast the performance for free onto high-definition screens</w:t>
      </w:r>
      <w:r>
        <w:t>.</w:t>
      </w:r>
    </w:p>
    <w:p w14:paraId="3BFB69C9" w14:textId="77777777" w:rsidR="00D1174C" w:rsidRPr="006F4154" w:rsidRDefault="00D1174C" w:rsidP="00D1174C">
      <w:pPr>
        <w:pStyle w:val="BodyTextMain"/>
        <w:rPr>
          <w:sz w:val="20"/>
        </w:rPr>
      </w:pPr>
    </w:p>
    <w:p w14:paraId="3D1FAB87" w14:textId="361C0632" w:rsidR="00D1174C" w:rsidRPr="00291E5D" w:rsidRDefault="00D1174C" w:rsidP="00D1174C">
      <w:pPr>
        <w:pStyle w:val="BodyTextMain"/>
      </w:pPr>
      <w:r w:rsidRPr="00291E5D">
        <w:t>In 2010</w:t>
      </w:r>
      <w:r w:rsidR="00B766A9">
        <w:t>,</w:t>
      </w:r>
      <w:r w:rsidRPr="00291E5D">
        <w:t xml:space="preserve"> Opera Philadelphia’s mission was to “deliver outstanding productions of traditional repertoire often presenting these operas in innovative and technologically creative ways, and to underwrite and produce new and exciting operatic works that appeal</w:t>
      </w:r>
      <w:r>
        <w:t>ed</w:t>
      </w:r>
      <w:r w:rsidRPr="00291E5D">
        <w:t xml:space="preserve"> to a socially and culturally diverse audience</w:t>
      </w:r>
      <w:r w:rsidR="00B766A9">
        <w:t>.</w:t>
      </w:r>
      <w:r w:rsidRPr="00291E5D">
        <w:t xml:space="preserve">” </w:t>
      </w:r>
      <w:r w:rsidR="00DF06F9">
        <w:t xml:space="preserve">The </w:t>
      </w:r>
      <w:r w:rsidRPr="00291E5D">
        <w:t xml:space="preserve">Opera’s mission also included identifying rising young talent and developing educational programs that </w:t>
      </w:r>
      <w:r w:rsidR="00B766A9">
        <w:t>were</w:t>
      </w:r>
      <w:r w:rsidRPr="00291E5D">
        <w:t xml:space="preserve"> geared toward introducing the rich heritage of opera to the multicultural Philadelphia region.</w:t>
      </w:r>
    </w:p>
    <w:p w14:paraId="76B14D2F" w14:textId="77777777" w:rsidR="00D1174C" w:rsidRPr="006F4154" w:rsidRDefault="00D1174C" w:rsidP="00D1174C">
      <w:pPr>
        <w:pStyle w:val="BodyTextMain"/>
        <w:rPr>
          <w:sz w:val="20"/>
        </w:rPr>
      </w:pPr>
    </w:p>
    <w:p w14:paraId="03041BE9" w14:textId="2D3C189A" w:rsidR="00D1174C" w:rsidRDefault="00D1174C" w:rsidP="00D1174C">
      <w:pPr>
        <w:pStyle w:val="BodyTextMain"/>
      </w:pPr>
      <w:r w:rsidRPr="00B973B5">
        <w:t xml:space="preserve">Despite Opera Philadelphia’s mission, total revenues fluctuated dramatically over the course of several seasons (see Exhibit 1). With these fluctuations in revenue, Devan and Lewis set out to understand </w:t>
      </w:r>
      <w:r w:rsidR="00B766A9" w:rsidRPr="00B973B5">
        <w:t xml:space="preserve">changing </w:t>
      </w:r>
      <w:r w:rsidRPr="00AB3E40">
        <w:t>market behavio</w:t>
      </w:r>
      <w:r w:rsidR="00B766A9" w:rsidRPr="00AB3E40">
        <w:t>u</w:t>
      </w:r>
      <w:r w:rsidRPr="00AB3E40">
        <w:t>rs and value perceptions of Opera Philadelph</w:t>
      </w:r>
      <w:r w:rsidRPr="00624832">
        <w:t xml:space="preserve">ia. The critical objective was to develop a fresh strategy </w:t>
      </w:r>
      <w:r w:rsidR="00B766A9" w:rsidRPr="00B973B5">
        <w:t>specifically targeting evolving tastes for opera performance in</w:t>
      </w:r>
      <w:r w:rsidRPr="00B973B5">
        <w:t xml:space="preserve"> Philadelphia and its surrounding geographic</w:t>
      </w:r>
      <w:r w:rsidR="006B2BC0">
        <w:t>al</w:t>
      </w:r>
      <w:r w:rsidRPr="00B973B5">
        <w:t xml:space="preserve"> area</w:t>
      </w:r>
      <w:r w:rsidR="00B766A9" w:rsidRPr="00B973B5">
        <w:t>.</w:t>
      </w:r>
    </w:p>
    <w:p w14:paraId="0E3BD7B1" w14:textId="7D74BFBF" w:rsidR="00D1174C" w:rsidRPr="006F4154" w:rsidRDefault="00D1174C" w:rsidP="00D1174C">
      <w:pPr>
        <w:pStyle w:val="BodyTextMain"/>
        <w:rPr>
          <w:sz w:val="20"/>
        </w:rPr>
      </w:pPr>
    </w:p>
    <w:p w14:paraId="4FAF6028" w14:textId="1DE83458" w:rsidR="00D1174C" w:rsidRPr="00291E5D" w:rsidRDefault="00D1174C" w:rsidP="00D1174C">
      <w:pPr>
        <w:pStyle w:val="BodyTextMain"/>
      </w:pPr>
      <w:r w:rsidRPr="00291E5D">
        <w:t xml:space="preserve">Opera Philadelphia </w:t>
      </w:r>
      <w:r w:rsidR="00B766A9">
        <w:t>had to</w:t>
      </w:r>
      <w:r w:rsidRPr="00291E5D">
        <w:t xml:space="preserve"> determine</w:t>
      </w:r>
      <w:r w:rsidR="00B766A9">
        <w:t xml:space="preserve"> whether it needed to </w:t>
      </w:r>
      <w:r w:rsidRPr="00291E5D">
        <w:t>revise its segmentation and positioning strategy as well as make adjustments to its product</w:t>
      </w:r>
      <w:r w:rsidR="00651256">
        <w:t xml:space="preserve"> (e.g., </w:t>
      </w:r>
      <w:r w:rsidRPr="00291E5D">
        <w:t>its seasonal model, opera compositions, talent, production aesthetic</w:t>
      </w:r>
      <w:r w:rsidR="00B766A9">
        <w:t xml:space="preserve"> and </w:t>
      </w:r>
      <w:r w:rsidRPr="00291E5D">
        <w:t>set design</w:t>
      </w:r>
      <w:r w:rsidR="00B766A9">
        <w:t>,</w:t>
      </w:r>
      <w:r w:rsidRPr="00291E5D">
        <w:t xml:space="preserve"> and other experiential elements </w:t>
      </w:r>
      <w:r w:rsidR="00B766A9">
        <w:t>for</w:t>
      </w:r>
      <w:r w:rsidRPr="00291E5D">
        <w:t xml:space="preserve"> the audience</w:t>
      </w:r>
      <w:r w:rsidR="00651256">
        <w:t>)</w:t>
      </w:r>
      <w:r w:rsidRPr="00291E5D">
        <w:t xml:space="preserve">. This new strategy also had to protect and prevent further loss of </w:t>
      </w:r>
      <w:r w:rsidR="004F732E">
        <w:t>the Opera’s</w:t>
      </w:r>
      <w:r w:rsidR="004F732E" w:rsidRPr="00291E5D">
        <w:t xml:space="preserve"> </w:t>
      </w:r>
      <w:r w:rsidRPr="00291E5D">
        <w:t>existing subscription audience.</w:t>
      </w:r>
    </w:p>
    <w:p w14:paraId="1608C650" w14:textId="24B64A50" w:rsidR="00D1174C" w:rsidRPr="006F4154" w:rsidRDefault="00D1174C" w:rsidP="00D1174C">
      <w:pPr>
        <w:pStyle w:val="BodyTextMain"/>
        <w:rPr>
          <w:sz w:val="20"/>
        </w:rPr>
      </w:pPr>
    </w:p>
    <w:p w14:paraId="004DB469" w14:textId="77777777" w:rsidR="00D1174C" w:rsidRPr="006F4154" w:rsidRDefault="00D1174C" w:rsidP="00D1174C">
      <w:pPr>
        <w:pStyle w:val="BodyTextMain"/>
        <w:rPr>
          <w:sz w:val="20"/>
        </w:rPr>
      </w:pPr>
    </w:p>
    <w:p w14:paraId="69ACA521" w14:textId="77777777" w:rsidR="00D1174C" w:rsidRPr="00291E5D" w:rsidRDefault="00D1174C" w:rsidP="00D1174C">
      <w:pPr>
        <w:pStyle w:val="Casehead1"/>
      </w:pPr>
      <w:r w:rsidRPr="00291E5D">
        <w:t>GENERAL DIRECTOR and MARKETING MANAGEMENT TEAM</w:t>
      </w:r>
    </w:p>
    <w:p w14:paraId="34542C6A" w14:textId="77777777" w:rsidR="00D1174C" w:rsidRPr="006F4154" w:rsidRDefault="00D1174C" w:rsidP="006F4154">
      <w:pPr>
        <w:pStyle w:val="BodyTextMain"/>
        <w:rPr>
          <w:sz w:val="20"/>
        </w:rPr>
      </w:pPr>
    </w:p>
    <w:p w14:paraId="6D657904" w14:textId="3EF0512E" w:rsidR="000C5C59" w:rsidRDefault="00D1174C" w:rsidP="00D1174C">
      <w:pPr>
        <w:pStyle w:val="BodyTextMain"/>
      </w:pPr>
      <w:r w:rsidRPr="00291E5D">
        <w:rPr>
          <w:b/>
        </w:rPr>
        <w:t xml:space="preserve">General Director </w:t>
      </w:r>
      <w:r w:rsidR="004F732E">
        <w:rPr>
          <w:b/>
        </w:rPr>
        <w:t>and</w:t>
      </w:r>
      <w:r w:rsidR="004F732E" w:rsidRPr="00291E5D">
        <w:rPr>
          <w:b/>
        </w:rPr>
        <w:t xml:space="preserve"> </w:t>
      </w:r>
      <w:r w:rsidRPr="00291E5D">
        <w:rPr>
          <w:b/>
        </w:rPr>
        <w:t xml:space="preserve">President: </w:t>
      </w:r>
      <w:r w:rsidRPr="00291E5D">
        <w:t xml:space="preserve">David B. Devan joined Opera Philadelphia in January 2006 and was appointed </w:t>
      </w:r>
      <w:r w:rsidR="000C5C59">
        <w:t>g</w:t>
      </w:r>
      <w:r w:rsidRPr="00291E5D">
        <w:t xml:space="preserve">eneral </w:t>
      </w:r>
      <w:r w:rsidR="000C5C59">
        <w:t>d</w:t>
      </w:r>
      <w:r w:rsidRPr="00291E5D">
        <w:t xml:space="preserve">irector of the company in 2011. Since his arrival, </w:t>
      </w:r>
      <w:r w:rsidR="002A7392">
        <w:t>Devan</w:t>
      </w:r>
      <w:r w:rsidR="002A7392" w:rsidRPr="00291E5D">
        <w:t xml:space="preserve"> </w:t>
      </w:r>
      <w:r w:rsidRPr="00291E5D">
        <w:t>ha</w:t>
      </w:r>
      <w:r w:rsidR="000C5C59">
        <w:t>d</w:t>
      </w:r>
      <w:r w:rsidRPr="00291E5D">
        <w:t xml:space="preserve"> guided the company through a transformative period of innovation that led </w:t>
      </w:r>
      <w:r w:rsidRPr="00291E5D">
        <w:rPr>
          <w:i/>
        </w:rPr>
        <w:t>Opera News</w:t>
      </w:r>
      <w:r w:rsidRPr="00291E5D">
        <w:t xml:space="preserve"> to describe </w:t>
      </w:r>
      <w:r w:rsidR="002A7392">
        <w:t>the Opera</w:t>
      </w:r>
      <w:r w:rsidR="002A7392" w:rsidRPr="00291E5D">
        <w:t xml:space="preserve"> </w:t>
      </w:r>
      <w:r w:rsidRPr="00291E5D">
        <w:t xml:space="preserve">as “one of the leading instigators of new work in the country.” </w:t>
      </w:r>
    </w:p>
    <w:p w14:paraId="0604E071" w14:textId="77777777" w:rsidR="000C5C59" w:rsidRPr="006F4154" w:rsidRDefault="000C5C59" w:rsidP="00D1174C">
      <w:pPr>
        <w:pStyle w:val="BodyTextMain"/>
        <w:rPr>
          <w:sz w:val="20"/>
        </w:rPr>
      </w:pPr>
    </w:p>
    <w:p w14:paraId="0422F15F" w14:textId="2DD34EB1" w:rsidR="000C5C59" w:rsidRDefault="00D1174C" w:rsidP="00C067D8">
      <w:pPr>
        <w:pStyle w:val="BodyTextMain"/>
      </w:pPr>
      <w:r w:rsidRPr="00291E5D">
        <w:t>Under his leadership and artistic vision, Opera Philadelphia ha</w:t>
      </w:r>
      <w:r w:rsidR="000C5C59">
        <w:t>d</w:t>
      </w:r>
      <w:r w:rsidRPr="00291E5D">
        <w:t xml:space="preserve"> grown to become a company of international stature and a favo</w:t>
      </w:r>
      <w:r w:rsidR="007A1FC0">
        <w:t>u</w:t>
      </w:r>
      <w:r w:rsidRPr="00291E5D">
        <w:t xml:space="preserve">rite co-producing partner with companies all over the globe, developing fresh productions of classic works as well as premieres written by today’s leading composers. </w:t>
      </w:r>
    </w:p>
    <w:p w14:paraId="4EEB7AE8" w14:textId="77777777" w:rsidR="000C5C59" w:rsidRPr="00AF4EE1" w:rsidRDefault="000C5C59" w:rsidP="00AF4EE1">
      <w:pPr>
        <w:pStyle w:val="BodyTextMain"/>
      </w:pPr>
    </w:p>
    <w:p w14:paraId="1F47DA6D" w14:textId="2F6BF28E" w:rsidR="00D1174C" w:rsidRDefault="00D1174C" w:rsidP="00C24C48">
      <w:pPr>
        <w:pStyle w:val="BodyTextMain"/>
      </w:pPr>
      <w:r w:rsidRPr="00291E5D">
        <w:t>Devan ha</w:t>
      </w:r>
      <w:r w:rsidR="000C5C59">
        <w:t>d</w:t>
      </w:r>
      <w:r w:rsidRPr="00291E5D">
        <w:t xml:space="preserve"> 29 years of experience with the Canadian Opera Company, Pacific Opera Victoria</w:t>
      </w:r>
      <w:r w:rsidR="000C5C59">
        <w:t>,</w:t>
      </w:r>
      <w:r w:rsidRPr="00291E5D">
        <w:t xml:space="preserve"> and Opera Philadelphia.</w:t>
      </w:r>
    </w:p>
    <w:p w14:paraId="7BE60729" w14:textId="77777777" w:rsidR="00D1174C" w:rsidRPr="006F4154" w:rsidRDefault="00D1174C" w:rsidP="00D1174C">
      <w:pPr>
        <w:pStyle w:val="BodyTextMain"/>
        <w:rPr>
          <w:sz w:val="20"/>
        </w:rPr>
      </w:pPr>
    </w:p>
    <w:p w14:paraId="22934F9B" w14:textId="337BDE01" w:rsidR="00D1174C" w:rsidRPr="00291E5D" w:rsidRDefault="00D1174C" w:rsidP="00D1174C">
      <w:pPr>
        <w:pStyle w:val="BodyTextMain"/>
      </w:pPr>
      <w:r w:rsidRPr="00291E5D">
        <w:rPr>
          <w:b/>
        </w:rPr>
        <w:t>Vice</w:t>
      </w:r>
      <w:r w:rsidR="006F4154">
        <w:rPr>
          <w:b/>
        </w:rPr>
        <w:t>-</w:t>
      </w:r>
      <w:r w:rsidRPr="00291E5D">
        <w:rPr>
          <w:b/>
        </w:rPr>
        <w:t xml:space="preserve">President of Marketing: </w:t>
      </w:r>
      <w:r w:rsidRPr="00291E5D">
        <w:t xml:space="preserve">Ryan Lewis joined Opera Philadelphia in October 2012 </w:t>
      </w:r>
      <w:r>
        <w:t>with</w:t>
      </w:r>
      <w:r w:rsidRPr="00291E5D">
        <w:t xml:space="preserve"> over </w:t>
      </w:r>
      <w:r w:rsidR="000C5C59">
        <w:t>15</w:t>
      </w:r>
      <w:r w:rsidRPr="00291E5D">
        <w:t xml:space="preserve"> years of professional experience in the opera industry. He </w:t>
      </w:r>
      <w:r>
        <w:t>was</w:t>
      </w:r>
      <w:r w:rsidRPr="00291E5D">
        <w:t xml:space="preserve"> responsible for planning and executing multi-channel advertising and sales campaigns as well as leading consumer research and guest experience initiatives. He previously served in marketing leadership positions at the John F. Kennedy Center for the Performing Arts and </w:t>
      </w:r>
      <w:r w:rsidR="00C24C48">
        <w:t xml:space="preserve">the </w:t>
      </w:r>
      <w:r w:rsidRPr="00291E5D">
        <w:t xml:space="preserve">Washington National Opera. Lewis </w:t>
      </w:r>
      <w:r w:rsidR="00C24C48">
        <w:t xml:space="preserve">had </w:t>
      </w:r>
      <w:r w:rsidRPr="00291E5D">
        <w:t>a degree in vocal performance from the University of Maryland-College Park.</w:t>
      </w:r>
    </w:p>
    <w:p w14:paraId="15098DCC" w14:textId="77777777" w:rsidR="00D1174C" w:rsidRPr="006F4154" w:rsidRDefault="00D1174C" w:rsidP="00D1174C">
      <w:pPr>
        <w:pStyle w:val="BodyTextMain"/>
        <w:rPr>
          <w:sz w:val="20"/>
        </w:rPr>
      </w:pPr>
    </w:p>
    <w:p w14:paraId="0861B625" w14:textId="54750B8F" w:rsidR="00D1174C" w:rsidRPr="00291E5D" w:rsidRDefault="00D1174C" w:rsidP="00D1174C">
      <w:pPr>
        <w:pStyle w:val="BodyTextMain"/>
      </w:pPr>
      <w:r w:rsidRPr="00291E5D">
        <w:rPr>
          <w:b/>
        </w:rPr>
        <w:t xml:space="preserve">Marketing Manager: </w:t>
      </w:r>
      <w:r w:rsidRPr="00291E5D">
        <w:t xml:space="preserve">Karina Kacala joined Opera Philadelphia in 2014 and </w:t>
      </w:r>
      <w:r>
        <w:t>was</w:t>
      </w:r>
      <w:r w:rsidRPr="00291E5D">
        <w:t xml:space="preserve"> responsible for creating single</w:t>
      </w:r>
      <w:r w:rsidR="009F006D">
        <w:t>-</w:t>
      </w:r>
      <w:r w:rsidRPr="00291E5D">
        <w:t xml:space="preserve">ticket promotions and sales efforts to increase revenue, attendance, and audience engagement. </w:t>
      </w:r>
      <w:r w:rsidR="005C29DF">
        <w:t>Kacala</w:t>
      </w:r>
      <w:r w:rsidR="005C29DF" w:rsidRPr="00291E5D">
        <w:t xml:space="preserve"> </w:t>
      </w:r>
      <w:r w:rsidRPr="00291E5D">
        <w:t>manage</w:t>
      </w:r>
      <w:r>
        <w:t>d</w:t>
      </w:r>
      <w:r w:rsidRPr="00291E5D">
        <w:t xml:space="preserve"> a variety of marketing functions as well as launching and overseeing VIVACE, Opera Philadelphia's community for young professionals. Prior to joining Opera Philadelphia, she directed </w:t>
      </w:r>
      <w:r w:rsidRPr="00291E5D">
        <w:lastRenderedPageBreak/>
        <w:t>marketing and communications on a full-time and consulting basis for a diverse array of Philadelphia organizations</w:t>
      </w:r>
      <w:r w:rsidR="0088125F">
        <w:t>,</w:t>
      </w:r>
      <w:r w:rsidRPr="00291E5D">
        <w:t xml:space="preserve"> including First Person Arts and Shakespeare in Clark Park.</w:t>
      </w:r>
    </w:p>
    <w:p w14:paraId="27954BD6" w14:textId="77777777" w:rsidR="00D1174C" w:rsidRPr="006F4154" w:rsidRDefault="00D1174C" w:rsidP="00D1174C">
      <w:pPr>
        <w:pStyle w:val="BodyTextMain"/>
        <w:rPr>
          <w:sz w:val="20"/>
        </w:rPr>
      </w:pPr>
    </w:p>
    <w:p w14:paraId="2090C530" w14:textId="77777777" w:rsidR="00D1174C" w:rsidRPr="006F4154" w:rsidRDefault="00D1174C" w:rsidP="00D1174C">
      <w:pPr>
        <w:pStyle w:val="BodyTextMain"/>
        <w:rPr>
          <w:sz w:val="20"/>
        </w:rPr>
      </w:pPr>
    </w:p>
    <w:p w14:paraId="258B1288" w14:textId="34C910A8" w:rsidR="00D1174C" w:rsidRPr="00291E5D" w:rsidRDefault="00D1174C" w:rsidP="00D1174C">
      <w:pPr>
        <w:pStyle w:val="Casehead1"/>
      </w:pPr>
      <w:r w:rsidRPr="00291E5D">
        <w:t>INDUSTRY</w:t>
      </w:r>
    </w:p>
    <w:p w14:paraId="62EF07E9" w14:textId="77777777" w:rsidR="00D1174C" w:rsidRPr="006F4154" w:rsidRDefault="00D1174C" w:rsidP="00D1174C">
      <w:pPr>
        <w:pStyle w:val="BodyTextMain"/>
        <w:rPr>
          <w:sz w:val="20"/>
        </w:rPr>
      </w:pPr>
    </w:p>
    <w:p w14:paraId="766935F5" w14:textId="7BE84749" w:rsidR="00D1174C" w:rsidRPr="00D1174C" w:rsidRDefault="00D1174C" w:rsidP="00D1174C">
      <w:pPr>
        <w:pStyle w:val="BodyTextMain"/>
      </w:pPr>
      <w:r w:rsidRPr="00291E5D">
        <w:t xml:space="preserve">Opera </w:t>
      </w:r>
      <w:r>
        <w:t>was</w:t>
      </w:r>
      <w:r w:rsidRPr="00291E5D">
        <w:t xml:space="preserve"> defined by a prevailing notion as “a drama set to music and made up of vocal pieces with orchestral accompaniment and orchestral overtures</w:t>
      </w:r>
      <w:r w:rsidR="00C85FF2">
        <w:t>.</w:t>
      </w:r>
      <w:r w:rsidRPr="00D1174C">
        <w:t>”</w:t>
      </w:r>
      <w:r w:rsidRPr="00946575">
        <w:rPr>
          <w:rStyle w:val="FootnoteReference"/>
        </w:rPr>
        <w:footnoteReference w:id="1"/>
      </w:r>
      <w:r w:rsidR="00D11E67">
        <w:t xml:space="preserve"> </w:t>
      </w:r>
      <w:r w:rsidRPr="00D1174C">
        <w:t xml:space="preserve">Opera </w:t>
      </w:r>
      <w:r w:rsidR="009F006D">
        <w:t>had been</w:t>
      </w:r>
      <w:r w:rsidRPr="00D1174C">
        <w:t xml:space="preserve"> considered an art form since the late 1500s and had evolved and changed as new composers join</w:t>
      </w:r>
      <w:r w:rsidR="009F006D">
        <w:t>ed</w:t>
      </w:r>
      <w:r w:rsidRPr="00D1174C">
        <w:t xml:space="preserve"> the field. During the first half of the 20</w:t>
      </w:r>
      <w:r w:rsidRPr="00E46F60">
        <w:t>th</w:t>
      </w:r>
      <w:r w:rsidRPr="00D1174C">
        <w:t xml:space="preserve"> </w:t>
      </w:r>
      <w:r w:rsidR="009F006D">
        <w:t>c</w:t>
      </w:r>
      <w:r w:rsidRPr="00D1174C">
        <w:t>entury</w:t>
      </w:r>
      <w:r w:rsidR="009F006D">
        <w:t>,</w:t>
      </w:r>
      <w:r w:rsidRPr="00D1174C">
        <w:t xml:space="preserve"> opera was dominated by works from the previous </w:t>
      </w:r>
      <w:r w:rsidR="009F006D">
        <w:t xml:space="preserve">300 </w:t>
      </w:r>
      <w:r w:rsidRPr="00D1174C">
        <w:t>years. In the second half of the 20</w:t>
      </w:r>
      <w:r w:rsidRPr="00E46F60">
        <w:t>th</w:t>
      </w:r>
      <w:r w:rsidRPr="00D1174C">
        <w:t xml:space="preserve"> </w:t>
      </w:r>
      <w:r w:rsidR="009F006D">
        <w:t>c</w:t>
      </w:r>
      <w:r w:rsidRPr="00D1174C">
        <w:t>entury, the opera industry, through new composers, began to transition to more contemporary works. Changes included more innovative scores, dramas that connected more intimately with audiences</w:t>
      </w:r>
      <w:r w:rsidR="009F006D">
        <w:t>,</w:t>
      </w:r>
      <w:r w:rsidRPr="00D1174C">
        <w:t xml:space="preserve"> and a reduction in orchestra size.</w:t>
      </w:r>
      <w:r w:rsidRPr="00946575">
        <w:rPr>
          <w:rStyle w:val="FootnoteReference"/>
        </w:rPr>
        <w:footnoteReference w:id="2"/>
      </w:r>
      <w:r w:rsidRPr="00D1174C">
        <w:t xml:space="preserve"> </w:t>
      </w:r>
    </w:p>
    <w:p w14:paraId="2ECA5511" w14:textId="77777777" w:rsidR="00D1174C" w:rsidRPr="006F4154" w:rsidRDefault="00D1174C" w:rsidP="00D1174C">
      <w:pPr>
        <w:pStyle w:val="BodyTextMain"/>
        <w:rPr>
          <w:sz w:val="20"/>
        </w:rPr>
      </w:pPr>
    </w:p>
    <w:p w14:paraId="744FC2EA" w14:textId="10A495E6" w:rsidR="00512365" w:rsidRDefault="00D1174C" w:rsidP="00D1174C">
      <w:pPr>
        <w:pStyle w:val="BodyTextMain"/>
      </w:pPr>
      <w:r w:rsidRPr="00D1174C">
        <w:t>Opera companies and theat</w:t>
      </w:r>
      <w:r w:rsidR="00416839">
        <w:t>r</w:t>
      </w:r>
      <w:r w:rsidRPr="00D1174C">
        <w:t xml:space="preserve">es were finding many challenges </w:t>
      </w:r>
      <w:r w:rsidR="00DD4B26">
        <w:t xml:space="preserve">in </w:t>
      </w:r>
      <w:r w:rsidRPr="00D1174C">
        <w:t xml:space="preserve">marketing to audiences. According to an interview commentary with </w:t>
      </w:r>
      <w:r w:rsidR="00416839">
        <w:t xml:space="preserve">the </w:t>
      </w:r>
      <w:r w:rsidRPr="00D1174C">
        <w:t xml:space="preserve">Washington National Opera, some </w:t>
      </w:r>
      <w:r w:rsidR="00416839">
        <w:t xml:space="preserve">people </w:t>
      </w:r>
      <w:r w:rsidRPr="00D1174C">
        <w:t xml:space="preserve">considered the opera society to be elitist and closed as well as alienating due to </w:t>
      </w:r>
      <w:r w:rsidR="00416839">
        <w:t>its</w:t>
      </w:r>
      <w:r w:rsidRPr="00D1174C">
        <w:t xml:space="preserve"> performances in foreign languages.</w:t>
      </w:r>
      <w:r w:rsidRPr="00946575">
        <w:rPr>
          <w:rStyle w:val="FootnoteReference"/>
        </w:rPr>
        <w:footnoteReference w:id="3"/>
      </w:r>
      <w:r w:rsidRPr="00D1174C">
        <w:t xml:space="preserve"> Potential attendees were also uncomfortable with an art form perceived as being for the wealthy.</w:t>
      </w:r>
      <w:r w:rsidRPr="00946575">
        <w:rPr>
          <w:rStyle w:val="FootnoteReference"/>
        </w:rPr>
        <w:footnoteReference w:id="4"/>
      </w:r>
      <w:r w:rsidR="00512365">
        <w:t xml:space="preserve"> </w:t>
      </w:r>
      <w:r w:rsidRPr="00D1174C">
        <w:t>The opera industry had also experienced significant reductions in U.S. attendance. There were 8.8</w:t>
      </w:r>
      <w:r w:rsidR="00D143C1">
        <w:t xml:space="preserve"> million</w:t>
      </w:r>
      <w:r w:rsidRPr="00D1174C">
        <w:t xml:space="preserve"> opera attendees in 2008 versus 13.3 </w:t>
      </w:r>
      <w:r w:rsidR="00FF6674">
        <w:t xml:space="preserve">million </w:t>
      </w:r>
      <w:r w:rsidRPr="00D1174C">
        <w:t xml:space="preserve">in 2002. Additional research revealed that </w:t>
      </w:r>
      <w:r w:rsidR="00D143C1">
        <w:t>o</w:t>
      </w:r>
      <w:r w:rsidRPr="00D1174C">
        <w:t>pera had the smallest participation rate for any performing art form attended live.</w:t>
      </w:r>
      <w:r w:rsidRPr="00946575">
        <w:rPr>
          <w:rStyle w:val="FootnoteReference"/>
        </w:rPr>
        <w:footnoteReference w:id="5"/>
      </w:r>
      <w:r w:rsidRPr="00D1174C">
        <w:t xml:space="preserve"> </w:t>
      </w:r>
    </w:p>
    <w:p w14:paraId="0F5ADA45" w14:textId="77777777" w:rsidR="00512365" w:rsidRDefault="00512365" w:rsidP="00D1174C">
      <w:pPr>
        <w:pStyle w:val="BodyTextMain"/>
      </w:pPr>
    </w:p>
    <w:p w14:paraId="5086C7D9" w14:textId="6FCD9B0A" w:rsidR="00D1174C" w:rsidRPr="006F4154" w:rsidRDefault="00D143C1" w:rsidP="00D1174C">
      <w:pPr>
        <w:pStyle w:val="BodyTextMain"/>
        <w:rPr>
          <w:spacing w:val="-2"/>
        </w:rPr>
      </w:pPr>
      <w:r>
        <w:t>Many factors con</w:t>
      </w:r>
      <w:r w:rsidR="00D1174C" w:rsidRPr="00D1174C">
        <w:t>tribut</w:t>
      </w:r>
      <w:r>
        <w:t>ed</w:t>
      </w:r>
      <w:r w:rsidR="00D1174C" w:rsidRPr="00D1174C">
        <w:t xml:space="preserve"> to the market’s waning preference for opera music </w:t>
      </w:r>
      <w:r w:rsidR="001B57D2">
        <w:t>and</w:t>
      </w:r>
      <w:r w:rsidR="00D1174C" w:rsidRPr="00D1174C">
        <w:t xml:space="preserve"> the continuing attrition in opera attendance</w:t>
      </w:r>
      <w:r w:rsidR="00F20BC9">
        <w:t xml:space="preserve">: </w:t>
      </w:r>
      <w:r w:rsidR="00D1174C" w:rsidRPr="00D1174C">
        <w:t xml:space="preserve">a desire for other types of performances, </w:t>
      </w:r>
      <w:r>
        <w:t xml:space="preserve">expensive </w:t>
      </w:r>
      <w:r w:rsidR="00D1174C" w:rsidRPr="00D1174C">
        <w:t>tickets, audience</w:t>
      </w:r>
      <w:r>
        <w:t>s</w:t>
      </w:r>
      <w:r w:rsidR="00D1174C" w:rsidRPr="00D1174C">
        <w:t xml:space="preserve"> struggling with language, performance length</w:t>
      </w:r>
      <w:r>
        <w:t>,</w:t>
      </w:r>
      <w:r w:rsidR="00D1174C" w:rsidRPr="00D1174C">
        <w:t xml:space="preserve"> and the traditional perception of other audience members </w:t>
      </w:r>
      <w:r>
        <w:t>being</w:t>
      </w:r>
      <w:r w:rsidR="00D1174C" w:rsidRPr="00D1174C">
        <w:t xml:space="preserve"> too </w:t>
      </w:r>
      <w:r w:rsidR="00F20BC9">
        <w:t>“</w:t>
      </w:r>
      <w:r w:rsidR="00D1174C" w:rsidRPr="00D1174C">
        <w:t>upper crust.</w:t>
      </w:r>
      <w:r w:rsidR="004F0165">
        <w:t>”</w:t>
      </w:r>
      <w:r w:rsidR="00D1174C" w:rsidRPr="00946575">
        <w:rPr>
          <w:rStyle w:val="FootnoteReference"/>
        </w:rPr>
        <w:footnoteReference w:id="6"/>
      </w:r>
      <w:r w:rsidR="00DB7E1E">
        <w:rPr>
          <w:spacing w:val="-2"/>
        </w:rPr>
        <w:t xml:space="preserve"> </w:t>
      </w:r>
      <w:r w:rsidR="00D1174C" w:rsidRPr="006F4154">
        <w:rPr>
          <w:spacing w:val="-2"/>
        </w:rPr>
        <w:t>Also, from Opera Philadelphia’s perspective</w:t>
      </w:r>
      <w:r w:rsidRPr="006F4154">
        <w:rPr>
          <w:spacing w:val="-2"/>
        </w:rPr>
        <w:t>,</w:t>
      </w:r>
      <w:r w:rsidR="00D1174C" w:rsidRPr="006F4154">
        <w:rPr>
          <w:spacing w:val="-2"/>
        </w:rPr>
        <w:t xml:space="preserve"> while subscribers were vital and shrinking as a base, the traditional subscriber model had lost its appeal with new and younger audiences</w:t>
      </w:r>
      <w:r w:rsidR="00DB7E1E">
        <w:rPr>
          <w:spacing w:val="-2"/>
        </w:rPr>
        <w:t>; for them,</w:t>
      </w:r>
      <w:r w:rsidR="00D1174C" w:rsidRPr="006F4154">
        <w:rPr>
          <w:spacing w:val="-2"/>
        </w:rPr>
        <w:t xml:space="preserve"> the routine of attending a performance on the same day of the week and sitting in the same seats w</w:t>
      </w:r>
      <w:r w:rsidRPr="006F4154">
        <w:rPr>
          <w:spacing w:val="-2"/>
        </w:rPr>
        <w:t>as</w:t>
      </w:r>
      <w:r w:rsidR="00D1174C" w:rsidRPr="006F4154">
        <w:rPr>
          <w:spacing w:val="-2"/>
        </w:rPr>
        <w:t xml:space="preserve"> no longer as desirable.</w:t>
      </w:r>
      <w:r w:rsidR="00D1174C" w:rsidRPr="006F4154" w:rsidDel="00422189">
        <w:rPr>
          <w:spacing w:val="-2"/>
        </w:rPr>
        <w:t xml:space="preserve"> </w:t>
      </w:r>
    </w:p>
    <w:p w14:paraId="7878105C" w14:textId="77777777" w:rsidR="00D1174C" w:rsidRPr="00C1632D" w:rsidRDefault="00D1174C" w:rsidP="00D1174C">
      <w:pPr>
        <w:pStyle w:val="BodyTextMain"/>
        <w:rPr>
          <w:sz w:val="20"/>
        </w:rPr>
      </w:pPr>
    </w:p>
    <w:p w14:paraId="6CA32283" w14:textId="6D36E770" w:rsidR="00D1174C" w:rsidRDefault="00D1174C" w:rsidP="00D1174C">
      <w:pPr>
        <w:pStyle w:val="BodyTextMain"/>
      </w:pPr>
      <w:r w:rsidRPr="00291E5D">
        <w:t>The opera industry also f</w:t>
      </w:r>
      <w:r>
        <w:t>ound</w:t>
      </w:r>
      <w:r w:rsidRPr="00291E5D">
        <w:t xml:space="preserve"> itself faced with change that </w:t>
      </w:r>
      <w:r>
        <w:t>was</w:t>
      </w:r>
      <w:r w:rsidRPr="00291E5D">
        <w:t xml:space="preserve"> influenced by contemporary cultures that </w:t>
      </w:r>
      <w:r>
        <w:t>were</w:t>
      </w:r>
      <w:r w:rsidRPr="00291E5D">
        <w:t xml:space="preserve"> sensitive to inclusion</w:t>
      </w:r>
      <w:r w:rsidR="00001D66">
        <w:t>;</w:t>
      </w:r>
      <w:r w:rsidRPr="00291E5D">
        <w:t xml:space="preserve"> for example</w:t>
      </w:r>
      <w:r w:rsidR="00001D66">
        <w:t>,</w:t>
      </w:r>
      <w:r w:rsidRPr="00291E5D">
        <w:t xml:space="preserve"> the Minnesota Opera d</w:t>
      </w:r>
      <w:r>
        <w:t>id</w:t>
      </w:r>
      <w:r w:rsidRPr="00291E5D">
        <w:t xml:space="preserve"> not close its casting until there </w:t>
      </w:r>
      <w:r>
        <w:t>was</w:t>
      </w:r>
      <w:r w:rsidRPr="00291E5D">
        <w:t xml:space="preserve"> gender and colo</w:t>
      </w:r>
      <w:r w:rsidR="00001D66">
        <w:t>u</w:t>
      </w:r>
      <w:r w:rsidRPr="00291E5D">
        <w:t>r diversity in the pool.</w:t>
      </w:r>
      <w:r w:rsidRPr="00946575">
        <w:rPr>
          <w:rStyle w:val="FootnoteReference"/>
        </w:rPr>
        <w:footnoteReference w:id="7"/>
      </w:r>
      <w:r w:rsidRPr="00291E5D">
        <w:t xml:space="preserve"> New technology such as the </w:t>
      </w:r>
      <w:r w:rsidR="00001D66">
        <w:t>I</w:t>
      </w:r>
      <w:r w:rsidRPr="00291E5D">
        <w:t xml:space="preserve">nternet and e-commerce along with shifting preferences </w:t>
      </w:r>
      <w:r>
        <w:t>also began</w:t>
      </w:r>
      <w:r w:rsidRPr="00291E5D">
        <w:t xml:space="preserve"> to make waves in the industry of live events and performing arts.</w:t>
      </w:r>
      <w:r w:rsidRPr="00946575">
        <w:rPr>
          <w:rStyle w:val="FootnoteReference"/>
        </w:rPr>
        <w:footnoteReference w:id="8"/>
      </w:r>
      <w:r w:rsidRPr="00291E5D">
        <w:t xml:space="preserve"> These changing dynamics </w:t>
      </w:r>
      <w:r w:rsidR="00001D66">
        <w:t xml:space="preserve">had an </w:t>
      </w:r>
      <w:r>
        <w:t>impact</w:t>
      </w:r>
      <w:r w:rsidR="00001D66">
        <w:t xml:space="preserve"> on</w:t>
      </w:r>
      <w:r w:rsidRPr="00291E5D">
        <w:t xml:space="preserve"> the patterns and ways through which audiences consume</w:t>
      </w:r>
      <w:r>
        <w:t>d</w:t>
      </w:r>
      <w:r w:rsidRPr="00291E5D">
        <w:t xml:space="preserve"> live content ranging from plays and concerts to sporting events. These changes </w:t>
      </w:r>
      <w:r w:rsidR="00001D66">
        <w:t>could</w:t>
      </w:r>
      <w:r w:rsidRPr="00291E5D">
        <w:t xml:space="preserve"> be described more broadly </w:t>
      </w:r>
      <w:r w:rsidR="005E263C">
        <w:t xml:space="preserve">as </w:t>
      </w:r>
      <w:r w:rsidRPr="00291E5D">
        <w:t>geographic</w:t>
      </w:r>
      <w:r w:rsidR="00F11208">
        <w:t>al</w:t>
      </w:r>
      <w:r w:rsidRPr="00291E5D">
        <w:t>, technolog</w:t>
      </w:r>
      <w:r w:rsidR="00001D66">
        <w:t>ical,</w:t>
      </w:r>
      <w:r w:rsidRPr="00291E5D">
        <w:t xml:space="preserve"> and preferen</w:t>
      </w:r>
      <w:r w:rsidR="0075358C">
        <w:t>tial</w:t>
      </w:r>
      <w:r w:rsidRPr="00291E5D">
        <w:t xml:space="preserve">. All three areas </w:t>
      </w:r>
      <w:r>
        <w:t>were</w:t>
      </w:r>
      <w:r w:rsidRPr="00291E5D">
        <w:t xml:space="preserve"> important when considering long-term strategic planning for live event venues in major metropolitan areas.</w:t>
      </w:r>
    </w:p>
    <w:p w14:paraId="38187ECD" w14:textId="77777777" w:rsidR="00D1174C" w:rsidRPr="00C1632D" w:rsidRDefault="00D1174C" w:rsidP="00D1174C">
      <w:pPr>
        <w:pStyle w:val="BodyTextMain"/>
        <w:rPr>
          <w:sz w:val="20"/>
        </w:rPr>
      </w:pPr>
    </w:p>
    <w:p w14:paraId="496FF666" w14:textId="5AE9215C" w:rsidR="00D1174C" w:rsidRPr="00291E5D" w:rsidRDefault="0075358C" w:rsidP="00D1174C">
      <w:pPr>
        <w:pStyle w:val="BodyTextMain"/>
      </w:pPr>
      <w:r>
        <w:lastRenderedPageBreak/>
        <w:t xml:space="preserve">Another factor </w:t>
      </w:r>
      <w:r w:rsidR="00D1174C">
        <w:t>was</w:t>
      </w:r>
      <w:r w:rsidR="00D1174C" w:rsidRPr="00291E5D">
        <w:t xml:space="preserve"> </w:t>
      </w:r>
      <w:r>
        <w:t xml:space="preserve">the </w:t>
      </w:r>
      <w:r w:rsidR="00D1174C" w:rsidRPr="00291E5D">
        <w:t xml:space="preserve">supplier power in the industry, where a demand for more innovative and contemporary performances in opera may </w:t>
      </w:r>
      <w:r w:rsidR="00D1174C">
        <w:t xml:space="preserve">have </w:t>
      </w:r>
      <w:r w:rsidR="00D1174C" w:rsidRPr="00291E5D">
        <w:t>elevate</w:t>
      </w:r>
      <w:r w:rsidR="00D1174C">
        <w:t>d</w:t>
      </w:r>
      <w:r w:rsidR="00D1174C" w:rsidRPr="00291E5D">
        <w:t xml:space="preserve"> the value and cost of composers, directors</w:t>
      </w:r>
      <w:r>
        <w:t>,</w:t>
      </w:r>
      <w:r w:rsidR="00D1174C" w:rsidRPr="00291E5D">
        <w:t xml:space="preserve"> and performers who ha</w:t>
      </w:r>
      <w:r w:rsidR="00D1174C">
        <w:t>d</w:t>
      </w:r>
      <w:r w:rsidR="00D1174C" w:rsidRPr="00291E5D">
        <w:t xml:space="preserve"> a reputation for understanding the evolving markets.</w:t>
      </w:r>
    </w:p>
    <w:p w14:paraId="107498B0" w14:textId="77777777" w:rsidR="00D1174C" w:rsidRPr="00C1632D" w:rsidRDefault="00D1174C" w:rsidP="00D1174C">
      <w:pPr>
        <w:pStyle w:val="BodyTextMain"/>
        <w:rPr>
          <w:sz w:val="20"/>
        </w:rPr>
      </w:pPr>
    </w:p>
    <w:p w14:paraId="674C75CD" w14:textId="5C667896" w:rsidR="00D1174C" w:rsidRDefault="00D1174C" w:rsidP="00D1174C">
      <w:pPr>
        <w:pStyle w:val="BodyTextMain"/>
      </w:pPr>
      <w:bookmarkStart w:id="1" w:name="_Hlk15037067"/>
      <w:r w:rsidRPr="00624832">
        <w:t xml:space="preserve">And finally, </w:t>
      </w:r>
      <w:r w:rsidR="00141FA6">
        <w:t>because</w:t>
      </w:r>
      <w:r w:rsidR="00141FA6" w:rsidRPr="00624832">
        <w:t xml:space="preserve"> </w:t>
      </w:r>
      <w:r w:rsidRPr="00624832">
        <w:t>many prominent opera companies were located in or near major U.S. metropolitan areas</w:t>
      </w:r>
      <w:bookmarkEnd w:id="1"/>
      <w:r w:rsidRPr="00624832">
        <w:t xml:space="preserve">, the dynamic nature of the suburban job market had driven more people toward cities. Especially in the </w:t>
      </w:r>
      <w:r w:rsidR="00006480">
        <w:t>n</w:t>
      </w:r>
      <w:r w:rsidRPr="00624832">
        <w:t>orth</w:t>
      </w:r>
      <w:r w:rsidR="00EF5309">
        <w:t>-</w:t>
      </w:r>
      <w:r w:rsidR="0075358C" w:rsidRPr="00624832">
        <w:t>eastern</w:t>
      </w:r>
      <w:r w:rsidRPr="00624832">
        <w:t xml:space="preserve"> </w:t>
      </w:r>
      <w:r w:rsidR="0075358C" w:rsidRPr="00624832">
        <w:t>United States</w:t>
      </w:r>
      <w:r w:rsidRPr="00624832">
        <w:t xml:space="preserve">, the country </w:t>
      </w:r>
      <w:r w:rsidR="0075358C" w:rsidRPr="00624832">
        <w:t xml:space="preserve">had </w:t>
      </w:r>
      <w:r w:rsidRPr="00624832">
        <w:t>experienced a recent wave of young people</w:t>
      </w:r>
      <w:r w:rsidR="0075358C" w:rsidRPr="00624832">
        <w:t>—</w:t>
      </w:r>
      <w:r w:rsidRPr="00624832">
        <w:t>mainly college graduates</w:t>
      </w:r>
      <w:r w:rsidR="0075358C" w:rsidRPr="00624832">
        <w:t>—</w:t>
      </w:r>
      <w:r w:rsidRPr="00624832">
        <w:t xml:space="preserve">moving into major cities in search of lucrative work or graduate education not found in their home town. </w:t>
      </w:r>
      <w:bookmarkStart w:id="2" w:name="_Hlk15037248"/>
      <w:r w:rsidRPr="00624832">
        <w:t xml:space="preserve">This </w:t>
      </w:r>
      <w:r w:rsidR="0075358C" w:rsidRPr="00624832">
        <w:t xml:space="preserve">change </w:t>
      </w:r>
      <w:r w:rsidRPr="00624832">
        <w:t xml:space="preserve">had caused an increase in the number of persons with disposable income in these areas. </w:t>
      </w:r>
      <w:bookmarkEnd w:id="2"/>
      <w:r w:rsidR="00AC31BC" w:rsidRPr="00624832">
        <w:t xml:space="preserve">Logic dictated that live event venues </w:t>
      </w:r>
      <w:r w:rsidR="00AC31BC">
        <w:t>could</w:t>
      </w:r>
      <w:r w:rsidR="00AC31BC" w:rsidRPr="00624832">
        <w:t xml:space="preserve"> capitalize on this influx by marketing more carefully toward these young adults</w:t>
      </w:r>
      <w:r w:rsidR="00AC31BC">
        <w:t>.</w:t>
      </w:r>
    </w:p>
    <w:p w14:paraId="2DF9E9B4" w14:textId="4DB4FA5A" w:rsidR="00D1174C" w:rsidRPr="00C1632D" w:rsidRDefault="00D1174C" w:rsidP="00D1174C">
      <w:pPr>
        <w:pStyle w:val="BodyTextMain"/>
        <w:rPr>
          <w:sz w:val="20"/>
        </w:rPr>
      </w:pPr>
    </w:p>
    <w:p w14:paraId="32F52936" w14:textId="77777777" w:rsidR="00D1174C" w:rsidRPr="00C1632D" w:rsidRDefault="00D1174C" w:rsidP="00D1174C">
      <w:pPr>
        <w:pStyle w:val="BodyTextMain"/>
        <w:rPr>
          <w:sz w:val="20"/>
        </w:rPr>
      </w:pPr>
    </w:p>
    <w:p w14:paraId="7B503600" w14:textId="77777777" w:rsidR="00D1174C" w:rsidRPr="00291E5D" w:rsidRDefault="00D1174C" w:rsidP="00D1174C">
      <w:pPr>
        <w:pStyle w:val="Casehead1"/>
      </w:pPr>
      <w:r w:rsidRPr="00291E5D">
        <w:t>COMPETITIVE ANALYSIS</w:t>
      </w:r>
    </w:p>
    <w:p w14:paraId="309B9622" w14:textId="77777777" w:rsidR="00D1174C" w:rsidRPr="00C1632D" w:rsidRDefault="00D1174C" w:rsidP="00D1174C">
      <w:pPr>
        <w:pStyle w:val="BodyTextMain"/>
        <w:rPr>
          <w:sz w:val="18"/>
        </w:rPr>
      </w:pPr>
    </w:p>
    <w:p w14:paraId="4F3499DB" w14:textId="1583F750" w:rsidR="00D1174C" w:rsidRDefault="00D1174C" w:rsidP="00D1174C">
      <w:pPr>
        <w:pStyle w:val="BodyTextMain"/>
      </w:pPr>
      <w:r w:rsidRPr="00291E5D">
        <w:t>Philadelphia, Pennsylvania</w:t>
      </w:r>
      <w:r w:rsidR="008419BE">
        <w:t>,</w:t>
      </w:r>
      <w:r w:rsidRPr="00291E5D">
        <w:t xml:space="preserve"> </w:t>
      </w:r>
      <w:r>
        <w:t>was</w:t>
      </w:r>
      <w:r w:rsidRPr="00291E5D">
        <w:t xml:space="preserve"> a cultural hub and ha</w:t>
      </w:r>
      <w:r>
        <w:t>d</w:t>
      </w:r>
      <w:r w:rsidRPr="00291E5D">
        <w:t xml:space="preserve"> a high concentration of performing arts substitutes in a relatively small radius, each serving various niches and segments.</w:t>
      </w:r>
      <w:r w:rsidR="0075358C">
        <w:t xml:space="preserve"> T</w:t>
      </w:r>
      <w:r w:rsidRPr="00291E5D">
        <w:t xml:space="preserve">he city of Philadelphia alone </w:t>
      </w:r>
      <w:r w:rsidR="0075358C">
        <w:t xml:space="preserve">had </w:t>
      </w:r>
      <w:r w:rsidRPr="00291E5D">
        <w:t>at least four performing and teaching institutions that position</w:t>
      </w:r>
      <w:r w:rsidR="0075358C">
        <w:t>ed</w:t>
      </w:r>
      <w:r w:rsidRPr="00291E5D">
        <w:t xml:space="preserve"> themselves as opera companies</w:t>
      </w:r>
      <w:r w:rsidR="0075358C">
        <w:t>:</w:t>
      </w:r>
      <w:r w:rsidRPr="00291E5D">
        <w:t xml:space="preserve"> Opera Philadelphia, Center City Opera, </w:t>
      </w:r>
      <w:r w:rsidR="0075358C">
        <w:t xml:space="preserve">the </w:t>
      </w:r>
      <w:r w:rsidRPr="00291E5D">
        <w:t>Academy of Vocal Arts</w:t>
      </w:r>
      <w:r w:rsidR="0075358C">
        <w:t>,</w:t>
      </w:r>
      <w:r w:rsidRPr="00291E5D">
        <w:t xml:space="preserve"> and the Curtis Opera Theatre</w:t>
      </w:r>
      <w:r>
        <w:t>.</w:t>
      </w:r>
    </w:p>
    <w:p w14:paraId="7CD33F62" w14:textId="77777777" w:rsidR="00D1174C" w:rsidRPr="00C1632D" w:rsidRDefault="00D1174C" w:rsidP="00D1174C">
      <w:pPr>
        <w:pStyle w:val="BodyTextMain"/>
        <w:rPr>
          <w:sz w:val="20"/>
        </w:rPr>
      </w:pPr>
    </w:p>
    <w:p w14:paraId="2FFF4A24" w14:textId="62C46BD0" w:rsidR="00D1174C" w:rsidRPr="00291E5D" w:rsidRDefault="00D1174C" w:rsidP="00D1174C">
      <w:pPr>
        <w:pStyle w:val="BodyTextMain"/>
      </w:pPr>
      <w:r w:rsidRPr="00291E5D">
        <w:t>Opera Philadelphia’s unique geographic</w:t>
      </w:r>
      <w:r w:rsidR="008419BE">
        <w:t>al</w:t>
      </w:r>
      <w:r w:rsidRPr="00291E5D">
        <w:t xml:space="preserve"> location </w:t>
      </w:r>
      <w:r>
        <w:t>was</w:t>
      </w:r>
      <w:r w:rsidRPr="00291E5D">
        <w:t xml:space="preserve"> considered a benefit as well as a challenge given New York City</w:t>
      </w:r>
      <w:r w:rsidR="00CE16D6">
        <w:t>, just</w:t>
      </w:r>
      <w:r w:rsidRPr="00291E5D">
        <w:t xml:space="preserve"> roughly 97 miles to the north</w:t>
      </w:r>
      <w:r w:rsidR="00CE16D6">
        <w:t>,</w:t>
      </w:r>
      <w:r w:rsidRPr="00291E5D">
        <w:t xml:space="preserve"> </w:t>
      </w:r>
      <w:r>
        <w:t>was</w:t>
      </w:r>
      <w:r w:rsidRPr="00291E5D">
        <w:t xml:space="preserve"> a performing arts mecca and home to several prominent opera companies such as </w:t>
      </w:r>
      <w:r w:rsidR="00210685">
        <w:t>t</w:t>
      </w:r>
      <w:r w:rsidRPr="00291E5D">
        <w:t xml:space="preserve">he Metropolitan Opera, </w:t>
      </w:r>
      <w:r w:rsidR="0075358C">
        <w:t xml:space="preserve">the </w:t>
      </w:r>
      <w:r w:rsidRPr="00291E5D">
        <w:t xml:space="preserve">Center for Contemporary Opera, </w:t>
      </w:r>
      <w:r w:rsidR="0075358C">
        <w:t xml:space="preserve">the </w:t>
      </w:r>
      <w:r w:rsidRPr="00291E5D">
        <w:t>New York City Opera</w:t>
      </w:r>
      <w:r w:rsidR="0075358C">
        <w:t>,</w:t>
      </w:r>
      <w:r w:rsidRPr="00291E5D">
        <w:t xml:space="preserve"> and several others. New York City </w:t>
      </w:r>
      <w:r>
        <w:t>was</w:t>
      </w:r>
      <w:r w:rsidRPr="00291E5D">
        <w:t xml:space="preserve"> also a major destination for shopping and dining. Baltimore</w:t>
      </w:r>
      <w:r w:rsidR="00B2141E">
        <w:t>,</w:t>
      </w:r>
      <w:r w:rsidRPr="00291E5D">
        <w:t xml:space="preserve"> roughly 105 miles to the south</w:t>
      </w:r>
      <w:r w:rsidR="00B2141E">
        <w:t>,</w:t>
      </w:r>
      <w:r w:rsidRPr="00291E5D">
        <w:t xml:space="preserve"> </w:t>
      </w:r>
      <w:r>
        <w:t>was</w:t>
      </w:r>
      <w:r w:rsidRPr="00291E5D">
        <w:t xml:space="preserve"> home to the Baltimore Concert Opera.</w:t>
      </w:r>
    </w:p>
    <w:p w14:paraId="69E26A44" w14:textId="77777777" w:rsidR="00D1174C" w:rsidRPr="00C1632D" w:rsidRDefault="00D1174C" w:rsidP="00D1174C">
      <w:pPr>
        <w:pStyle w:val="BodyTextMain"/>
        <w:rPr>
          <w:sz w:val="20"/>
        </w:rPr>
      </w:pPr>
    </w:p>
    <w:p w14:paraId="6FCC09E9" w14:textId="6BD41535" w:rsidR="00D1174C" w:rsidRPr="00291E5D" w:rsidRDefault="00D1174C" w:rsidP="00D1174C">
      <w:pPr>
        <w:pStyle w:val="BodyTextMain"/>
      </w:pPr>
      <w:r w:rsidRPr="00291E5D">
        <w:t>Opera Philadelphia also had to consider the market effect of smaller opera companies regionally producing edgy and less expensive performances. And</w:t>
      </w:r>
      <w:r w:rsidR="0075358C">
        <w:t>,</w:t>
      </w:r>
      <w:r w:rsidRPr="00291E5D">
        <w:t xml:space="preserve"> while not exact substitutes, other local Philadelphia performing arts and concert venues (</w:t>
      </w:r>
      <w:r w:rsidR="00AC31BC">
        <w:t xml:space="preserve">e.g., </w:t>
      </w:r>
      <w:r w:rsidR="007C7803">
        <w:t>t</w:t>
      </w:r>
      <w:r w:rsidRPr="00291E5D">
        <w:t xml:space="preserve">he Mann Center for Performing Arts, </w:t>
      </w:r>
      <w:r w:rsidR="007C7803">
        <w:t>t</w:t>
      </w:r>
      <w:r w:rsidRPr="00291E5D">
        <w:t>he Electric Factory</w:t>
      </w:r>
      <w:r w:rsidR="0075358C">
        <w:t>,</w:t>
      </w:r>
      <w:r w:rsidRPr="00291E5D">
        <w:t xml:space="preserve"> and Union Transfer) </w:t>
      </w:r>
      <w:r>
        <w:t>were</w:t>
      </w:r>
      <w:r w:rsidRPr="00291E5D">
        <w:t xml:space="preserve"> also competing for the market’s free time. </w:t>
      </w:r>
      <w:r w:rsidR="00AC31BC">
        <w:t xml:space="preserve">Kacala noted, </w:t>
      </w:r>
      <w:r w:rsidRPr="00291E5D">
        <w:t xml:space="preserve">“These venues may </w:t>
      </w:r>
      <w:r>
        <w:t xml:space="preserve">have </w:t>
      </w:r>
      <w:r w:rsidRPr="00291E5D">
        <w:t>appeal</w:t>
      </w:r>
      <w:r>
        <w:t>ed</w:t>
      </w:r>
      <w:r w:rsidRPr="00291E5D">
        <w:t xml:space="preserve"> highly to a younger segment also targeted by the Opera through VIVACE, an age 21</w:t>
      </w:r>
      <w:r w:rsidR="0075358C">
        <w:t>–</w:t>
      </w:r>
      <w:r w:rsidRPr="00291E5D">
        <w:t>45 professional community and program that offer</w:t>
      </w:r>
      <w:r>
        <w:t>ed</w:t>
      </w:r>
      <w:r w:rsidRPr="00291E5D">
        <w:t xml:space="preserve"> access to a curated suite of exclusive events</w:t>
      </w:r>
      <w:r w:rsidR="0075358C">
        <w:t>.</w:t>
      </w:r>
      <w:r w:rsidRPr="00291E5D">
        <w:t>”</w:t>
      </w:r>
    </w:p>
    <w:p w14:paraId="13FC7B3E" w14:textId="64B21185" w:rsidR="00D1174C" w:rsidRDefault="00D1174C" w:rsidP="00D1174C">
      <w:pPr>
        <w:pStyle w:val="BodyTextMain"/>
        <w:rPr>
          <w:sz w:val="20"/>
        </w:rPr>
      </w:pPr>
    </w:p>
    <w:p w14:paraId="1E571A06" w14:textId="77777777" w:rsidR="00C1632D" w:rsidRPr="00C1632D" w:rsidRDefault="00C1632D" w:rsidP="00D1174C">
      <w:pPr>
        <w:pStyle w:val="BodyTextMain"/>
        <w:rPr>
          <w:sz w:val="20"/>
        </w:rPr>
      </w:pPr>
    </w:p>
    <w:p w14:paraId="01A530C0" w14:textId="2C28862A" w:rsidR="00D1174C" w:rsidRPr="00291E5D" w:rsidRDefault="00D1174C" w:rsidP="00D1174C">
      <w:pPr>
        <w:pStyle w:val="Casehead1"/>
      </w:pPr>
      <w:r w:rsidRPr="00291E5D">
        <w:t xml:space="preserve">OPERA PHILADELPHIA and ITS MARKET CHALLENGES </w:t>
      </w:r>
    </w:p>
    <w:p w14:paraId="6122A37E" w14:textId="77777777" w:rsidR="00D1174C" w:rsidRPr="00C1632D" w:rsidRDefault="00D1174C" w:rsidP="00D1174C">
      <w:pPr>
        <w:pStyle w:val="BodyTextMain"/>
        <w:rPr>
          <w:sz w:val="20"/>
        </w:rPr>
      </w:pPr>
    </w:p>
    <w:p w14:paraId="394BE807" w14:textId="1D9E5EE4" w:rsidR="00D1174C" w:rsidRPr="00AF4EE1" w:rsidRDefault="00D1174C" w:rsidP="00D1174C">
      <w:pPr>
        <w:pStyle w:val="BodyTextMain"/>
        <w:rPr>
          <w:spacing w:val="-4"/>
        </w:rPr>
      </w:pPr>
      <w:r w:rsidRPr="00AF4EE1">
        <w:rPr>
          <w:spacing w:val="-4"/>
        </w:rPr>
        <w:t xml:space="preserve">Between </w:t>
      </w:r>
      <w:r w:rsidR="00AC31BC" w:rsidRPr="00AF4EE1">
        <w:rPr>
          <w:spacing w:val="-4"/>
        </w:rPr>
        <w:t xml:space="preserve">the </w:t>
      </w:r>
      <w:r w:rsidRPr="00AF4EE1">
        <w:rPr>
          <w:spacing w:val="-4"/>
        </w:rPr>
        <w:t>2010</w:t>
      </w:r>
      <w:r w:rsidR="00AC31BC" w:rsidRPr="00AF4EE1">
        <w:rPr>
          <w:spacing w:val="-4"/>
        </w:rPr>
        <w:t>–2011</w:t>
      </w:r>
      <w:r w:rsidRPr="00AF4EE1">
        <w:rPr>
          <w:spacing w:val="-4"/>
        </w:rPr>
        <w:t xml:space="preserve"> and 2015</w:t>
      </w:r>
      <w:r w:rsidR="00AC31BC" w:rsidRPr="00AF4EE1">
        <w:rPr>
          <w:spacing w:val="-4"/>
        </w:rPr>
        <w:t>–2016 seasons</w:t>
      </w:r>
      <w:r w:rsidRPr="00AF4EE1">
        <w:rPr>
          <w:spacing w:val="-4"/>
        </w:rPr>
        <w:t xml:space="preserve">, </w:t>
      </w:r>
      <w:r w:rsidR="00970051" w:rsidRPr="00AF4EE1">
        <w:rPr>
          <w:spacing w:val="-4"/>
        </w:rPr>
        <w:t xml:space="preserve">Opera Philadelphia </w:t>
      </w:r>
      <w:r w:rsidRPr="00AF4EE1">
        <w:rPr>
          <w:spacing w:val="-4"/>
        </w:rPr>
        <w:t xml:space="preserve">lost </w:t>
      </w:r>
      <w:r w:rsidR="00AC31BC" w:rsidRPr="00AF4EE1">
        <w:rPr>
          <w:spacing w:val="-4"/>
        </w:rPr>
        <w:t xml:space="preserve">a significant volume of its subscriber HHs </w:t>
      </w:r>
      <w:r w:rsidRPr="00AF4EE1">
        <w:rPr>
          <w:spacing w:val="-4"/>
        </w:rPr>
        <w:t xml:space="preserve">and felt that the trend would only continue to </w:t>
      </w:r>
      <w:r w:rsidR="00BA2FB0" w:rsidRPr="00AF4EE1">
        <w:rPr>
          <w:spacing w:val="-4"/>
        </w:rPr>
        <w:t>w</w:t>
      </w:r>
      <w:r w:rsidRPr="00AF4EE1">
        <w:rPr>
          <w:spacing w:val="-4"/>
        </w:rPr>
        <w:t>orse</w:t>
      </w:r>
      <w:r w:rsidR="00BA2FB0" w:rsidRPr="00AF4EE1">
        <w:rPr>
          <w:spacing w:val="-4"/>
        </w:rPr>
        <w:t>n</w:t>
      </w:r>
      <w:r w:rsidRPr="00AF4EE1">
        <w:rPr>
          <w:spacing w:val="-4"/>
        </w:rPr>
        <w:t xml:space="preserve"> (</w:t>
      </w:r>
      <w:r w:rsidR="00B02B54" w:rsidRPr="00AF4EE1">
        <w:rPr>
          <w:spacing w:val="-4"/>
        </w:rPr>
        <w:t xml:space="preserve">see </w:t>
      </w:r>
      <w:r w:rsidRPr="00AF4EE1">
        <w:rPr>
          <w:spacing w:val="-4"/>
        </w:rPr>
        <w:t>Exhibits 2A</w:t>
      </w:r>
      <w:r w:rsidR="001C605E" w:rsidRPr="00AF4EE1">
        <w:rPr>
          <w:spacing w:val="-4"/>
        </w:rPr>
        <w:t xml:space="preserve"> and 2</w:t>
      </w:r>
      <w:r w:rsidRPr="00AF4EE1">
        <w:rPr>
          <w:spacing w:val="-4"/>
        </w:rPr>
        <w:t xml:space="preserve">B). Lewis said, “For each subscriber HH that we lost, the Opera would have to replace them with at least </w:t>
      </w:r>
      <w:r w:rsidR="008F3C05" w:rsidRPr="00AF4EE1">
        <w:rPr>
          <w:spacing w:val="-4"/>
        </w:rPr>
        <w:t xml:space="preserve">three </w:t>
      </w:r>
      <w:r w:rsidRPr="00AF4EE1">
        <w:rPr>
          <w:spacing w:val="-4"/>
        </w:rPr>
        <w:t>new single</w:t>
      </w:r>
      <w:r w:rsidR="001C605E" w:rsidRPr="00AF4EE1">
        <w:rPr>
          <w:spacing w:val="-4"/>
        </w:rPr>
        <w:t>-</w:t>
      </w:r>
      <w:r w:rsidRPr="00AF4EE1">
        <w:rPr>
          <w:spacing w:val="-4"/>
        </w:rPr>
        <w:t>ticket buyer HHs. And the retention rate of single</w:t>
      </w:r>
      <w:r w:rsidR="001C605E" w:rsidRPr="00AF4EE1">
        <w:rPr>
          <w:spacing w:val="-4"/>
        </w:rPr>
        <w:t>-</w:t>
      </w:r>
      <w:r w:rsidRPr="00AF4EE1">
        <w:rPr>
          <w:spacing w:val="-4"/>
        </w:rPr>
        <w:t>ticket buyer HH</w:t>
      </w:r>
      <w:r w:rsidR="001C605E" w:rsidRPr="00AF4EE1">
        <w:rPr>
          <w:spacing w:val="-4"/>
        </w:rPr>
        <w:t>s</w:t>
      </w:r>
      <w:r w:rsidRPr="00AF4EE1">
        <w:rPr>
          <w:spacing w:val="-4"/>
        </w:rPr>
        <w:t xml:space="preserve"> was only 9</w:t>
      </w:r>
      <w:r w:rsidR="008F3C05" w:rsidRPr="00AF4EE1">
        <w:rPr>
          <w:spacing w:val="-4"/>
        </w:rPr>
        <w:t>–</w:t>
      </w:r>
      <w:r w:rsidRPr="00AF4EE1">
        <w:rPr>
          <w:spacing w:val="-4"/>
        </w:rPr>
        <w:t>10</w:t>
      </w:r>
      <w:r w:rsidR="001C605E" w:rsidRPr="00AF4EE1">
        <w:rPr>
          <w:spacing w:val="-4"/>
        </w:rPr>
        <w:t xml:space="preserve"> per cent</w:t>
      </w:r>
      <w:r w:rsidRPr="00AF4EE1">
        <w:rPr>
          <w:spacing w:val="-4"/>
        </w:rPr>
        <w:t xml:space="preserve"> after the first year.”</w:t>
      </w:r>
    </w:p>
    <w:p w14:paraId="444D2C19" w14:textId="77777777" w:rsidR="00D1174C" w:rsidRPr="00C1632D" w:rsidRDefault="00D1174C" w:rsidP="00D1174C">
      <w:pPr>
        <w:pStyle w:val="BodyTextMain"/>
        <w:rPr>
          <w:sz w:val="20"/>
        </w:rPr>
      </w:pPr>
    </w:p>
    <w:p w14:paraId="301129D0" w14:textId="60DBDA53" w:rsidR="00D1174C" w:rsidRPr="00A308F7" w:rsidRDefault="00D1174C" w:rsidP="00D1174C">
      <w:pPr>
        <w:pStyle w:val="BodyTextMain"/>
        <w:rPr>
          <w:spacing w:val="-2"/>
        </w:rPr>
      </w:pPr>
      <w:r w:rsidRPr="00A308F7">
        <w:rPr>
          <w:spacing w:val="-2"/>
        </w:rPr>
        <w:t>What Devan set out to accomplish by hiring Lewis was to recognize marketing as a critical partner in market analysis and strategy development. Determining who Opera Philadelphia’s customers were, how they behaved</w:t>
      </w:r>
      <w:r w:rsidR="00B02B54" w:rsidRPr="00A308F7">
        <w:rPr>
          <w:spacing w:val="-2"/>
        </w:rPr>
        <w:t>,</w:t>
      </w:r>
      <w:r w:rsidRPr="00A308F7">
        <w:rPr>
          <w:spacing w:val="-2"/>
        </w:rPr>
        <w:t xml:space="preserve"> and what they truly valued were the most critical research objectives. The outcome of Lewis’</w:t>
      </w:r>
      <w:r w:rsidR="00D535A9" w:rsidRPr="00A308F7">
        <w:rPr>
          <w:spacing w:val="-2"/>
        </w:rPr>
        <w:t>s</w:t>
      </w:r>
      <w:r w:rsidRPr="00A308F7">
        <w:rPr>
          <w:spacing w:val="-2"/>
        </w:rPr>
        <w:t xml:space="preserve"> research would enable Devan and the remainder of Opera Philadelphia’s leadership to develop a fresh approach to strategy segmentation, targeting</w:t>
      </w:r>
      <w:r w:rsidR="00D535A9" w:rsidRPr="00A308F7">
        <w:rPr>
          <w:spacing w:val="-2"/>
        </w:rPr>
        <w:t>,</w:t>
      </w:r>
      <w:r w:rsidRPr="00A308F7">
        <w:rPr>
          <w:spacing w:val="-2"/>
        </w:rPr>
        <w:t xml:space="preserve"> and positioning along with a new seasonal performance model that offered a variety of educational and social events considered valuable by its target markets. </w:t>
      </w:r>
    </w:p>
    <w:p w14:paraId="2A290B8A" w14:textId="77777777" w:rsidR="00C9322D" w:rsidRDefault="00C9322D" w:rsidP="00D1174C">
      <w:pPr>
        <w:pStyle w:val="BodyTextMain"/>
      </w:pPr>
    </w:p>
    <w:p w14:paraId="1D7DEAA1" w14:textId="6C87A099" w:rsidR="00D1174C" w:rsidRPr="00291E5D" w:rsidRDefault="00D1174C" w:rsidP="00D1174C">
      <w:pPr>
        <w:pStyle w:val="BodyTextMain"/>
      </w:pPr>
      <w:r w:rsidRPr="00291E5D">
        <w:t>The market research and strategy agencies of Cicero</w:t>
      </w:r>
      <w:r w:rsidR="00D535A9">
        <w:t xml:space="preserve"> Group</w:t>
      </w:r>
      <w:r w:rsidRPr="00291E5D">
        <w:t xml:space="preserve"> and MoStrategy</w:t>
      </w:r>
      <w:r w:rsidR="00D535A9">
        <w:t xml:space="preserve"> LLC</w:t>
      </w:r>
      <w:r w:rsidRPr="00291E5D">
        <w:t xml:space="preserve"> were hired to assist with research planning, implementation, analysis</w:t>
      </w:r>
      <w:r w:rsidR="00D535A9">
        <w:t>,</w:t>
      </w:r>
      <w:r w:rsidRPr="00291E5D">
        <w:t xml:space="preserve"> and determining strategic implications. The research had considerable depth and uncovered who Opera Philadelphia’s customers currently were, how they felt about </w:t>
      </w:r>
      <w:r w:rsidRPr="00291E5D">
        <w:lastRenderedPageBreak/>
        <w:t xml:space="preserve">the </w:t>
      </w:r>
      <w:r w:rsidR="00D535A9">
        <w:t>o</w:t>
      </w:r>
      <w:r w:rsidRPr="00291E5D">
        <w:t xml:space="preserve">pera, </w:t>
      </w:r>
      <w:r w:rsidR="004B4F97">
        <w:t xml:space="preserve">and </w:t>
      </w:r>
      <w:r w:rsidRPr="00291E5D">
        <w:t>what influenced their behavio</w:t>
      </w:r>
      <w:r w:rsidR="00D535A9">
        <w:t>u</w:t>
      </w:r>
      <w:r w:rsidRPr="00291E5D">
        <w:t>r</w:t>
      </w:r>
      <w:r w:rsidR="00FD1E01">
        <w:t>.</w:t>
      </w:r>
      <w:r w:rsidRPr="00291E5D">
        <w:t xml:space="preserve"> The research also identified </w:t>
      </w:r>
      <w:r w:rsidR="00FD1E01" w:rsidRPr="00291E5D">
        <w:t xml:space="preserve">new potential target markets </w:t>
      </w:r>
      <w:r w:rsidR="00FD1E01">
        <w:t xml:space="preserve">and </w:t>
      </w:r>
      <w:r w:rsidRPr="00291E5D">
        <w:t xml:space="preserve">segments in which Opera Philadelphia should not invest. </w:t>
      </w:r>
    </w:p>
    <w:p w14:paraId="28704E6A" w14:textId="77777777" w:rsidR="00D1174C" w:rsidRPr="00C1632D" w:rsidRDefault="00D1174C" w:rsidP="00D1174C">
      <w:pPr>
        <w:pStyle w:val="BodyTextMain"/>
        <w:rPr>
          <w:sz w:val="20"/>
        </w:rPr>
      </w:pPr>
    </w:p>
    <w:p w14:paraId="029EE2B5" w14:textId="1C96D1DC" w:rsidR="00D1174C" w:rsidRPr="00291E5D" w:rsidRDefault="00D1174C" w:rsidP="00D1174C">
      <w:pPr>
        <w:pStyle w:val="BodyTextMain"/>
      </w:pPr>
      <w:r w:rsidRPr="00291E5D">
        <w:t>In a patron</w:t>
      </w:r>
      <w:r w:rsidR="00D535A9">
        <w:t xml:space="preserve"> or </w:t>
      </w:r>
      <w:r w:rsidRPr="00291E5D">
        <w:t>customer retention study conducted in 2013 by Opera Philadelphia, two groups were identified as single ticket buyers and subscribers. These groups were further segmented between active and lapsed (those that have not purchased or renewed in more than two years). Differences were found between gender and life stages</w:t>
      </w:r>
      <w:r w:rsidR="0093106E">
        <w:t>,</w:t>
      </w:r>
      <w:r w:rsidRPr="00291E5D">
        <w:t xml:space="preserve"> and clues </w:t>
      </w:r>
      <w:r w:rsidR="00D535A9">
        <w:t>were revealed about</w:t>
      </w:r>
      <w:r w:rsidRPr="00291E5D">
        <w:t xml:space="preserve"> lapsed subscription holders</w:t>
      </w:r>
      <w:r w:rsidR="00D535A9">
        <w:t xml:space="preserve"> </w:t>
      </w:r>
      <w:r w:rsidRPr="00291E5D">
        <w:t>(see Exhibits 3 and 4)</w:t>
      </w:r>
      <w:r w:rsidR="00D535A9">
        <w:t>.</w:t>
      </w:r>
    </w:p>
    <w:p w14:paraId="51927304" w14:textId="77777777" w:rsidR="00D1174C" w:rsidRPr="00C1632D" w:rsidRDefault="00D1174C" w:rsidP="00D1174C">
      <w:pPr>
        <w:pStyle w:val="BodyTextMain"/>
        <w:rPr>
          <w:sz w:val="20"/>
        </w:rPr>
      </w:pPr>
    </w:p>
    <w:p w14:paraId="246BE06B" w14:textId="0B59F723" w:rsidR="00D1174C" w:rsidRDefault="00D1174C" w:rsidP="00D1174C">
      <w:pPr>
        <w:pStyle w:val="BodyTextMain"/>
      </w:pPr>
      <w:r w:rsidRPr="00291E5D">
        <w:t>Using a MaxDiff analysis, Cicero</w:t>
      </w:r>
      <w:r w:rsidR="0093106E">
        <w:t xml:space="preserve"> Group</w:t>
      </w:r>
      <w:r w:rsidRPr="00291E5D">
        <w:t xml:space="preserve"> tested 17 potential attributes that could apply to any entertainment form to determine preferences that </w:t>
      </w:r>
      <w:r>
        <w:t>were</w:t>
      </w:r>
      <w:r w:rsidRPr="00291E5D">
        <w:t xml:space="preserve"> most important to Opera Philadelphia patrons when selecting their entertainment (see Exhibit 5)</w:t>
      </w:r>
      <w:r w:rsidR="000712D0">
        <w:t>.</w:t>
      </w:r>
      <w:r w:rsidRPr="00291E5D">
        <w:t xml:space="preserve"> Behavio</w:t>
      </w:r>
      <w:r w:rsidR="000712D0">
        <w:t>u</w:t>
      </w:r>
      <w:r w:rsidRPr="00291E5D">
        <w:t xml:space="preserve">ral differences that were researched between lapsed and active ticket buyers and subscribers revealed a potential segment opportunity that </w:t>
      </w:r>
      <w:r>
        <w:t>was</w:t>
      </w:r>
      <w:r w:rsidRPr="00291E5D">
        <w:t xml:space="preserve"> interested in trying opera (see Exhibit 6</w:t>
      </w:r>
      <w:r>
        <w:t>)</w:t>
      </w:r>
      <w:r w:rsidR="00105BDC">
        <w:t>.</w:t>
      </w:r>
    </w:p>
    <w:p w14:paraId="052AF620" w14:textId="77777777" w:rsidR="00D1174C" w:rsidRPr="00C1632D" w:rsidRDefault="00D1174C" w:rsidP="00D1174C">
      <w:pPr>
        <w:pStyle w:val="BodyTextMain"/>
        <w:rPr>
          <w:sz w:val="20"/>
        </w:rPr>
      </w:pPr>
    </w:p>
    <w:p w14:paraId="598D3839" w14:textId="06E4117B" w:rsidR="00D1174C" w:rsidRPr="00291E5D" w:rsidRDefault="00D1174C" w:rsidP="00D1174C">
      <w:pPr>
        <w:pStyle w:val="BodyTextMain"/>
      </w:pPr>
      <w:r w:rsidRPr="00291E5D">
        <w:t>While research also indicated that dissatisfaction was not a primary driver of attrition, data did reveal perceptions about why Opera Philadelphia ha</w:t>
      </w:r>
      <w:r w:rsidR="000712D0">
        <w:t>d</w:t>
      </w:r>
      <w:r w:rsidRPr="00291E5D">
        <w:t xml:space="preserve"> </w:t>
      </w:r>
      <w:r w:rsidR="000712D0">
        <w:t>become</w:t>
      </w:r>
      <w:r w:rsidRPr="00291E5D">
        <w:t xml:space="preserve"> better and worse</w:t>
      </w:r>
      <w:r w:rsidR="00DF14CC">
        <w:t>.</w:t>
      </w:r>
      <w:r w:rsidR="000712D0">
        <w:t xml:space="preserve"> </w:t>
      </w:r>
      <w:r w:rsidR="00DF14CC">
        <w:t>R</w:t>
      </w:r>
      <w:r w:rsidR="000712D0">
        <w:t>easons for</w:t>
      </w:r>
      <w:r w:rsidRPr="00291E5D">
        <w:t xml:space="preserve"> patrons leaving Opera Philadelphia were revealing to Devan and his team (see Exhibits 7</w:t>
      </w:r>
      <w:r w:rsidR="000712D0">
        <w:t xml:space="preserve"> and</w:t>
      </w:r>
      <w:r w:rsidRPr="00291E5D">
        <w:t xml:space="preserve"> 8)</w:t>
      </w:r>
      <w:r w:rsidR="000712D0">
        <w:t>.</w:t>
      </w:r>
    </w:p>
    <w:p w14:paraId="55302AAE" w14:textId="2E0F1B7F" w:rsidR="00D1174C" w:rsidRPr="00C1632D" w:rsidRDefault="00D1174C" w:rsidP="00D1174C">
      <w:pPr>
        <w:pStyle w:val="BodyTextMain"/>
        <w:rPr>
          <w:sz w:val="20"/>
        </w:rPr>
      </w:pPr>
    </w:p>
    <w:p w14:paraId="19B2BAE6" w14:textId="57B14B9C" w:rsidR="00D1174C" w:rsidRPr="00291E5D" w:rsidRDefault="00D1174C" w:rsidP="00D1174C">
      <w:pPr>
        <w:pStyle w:val="BodyTextMain"/>
      </w:pPr>
      <w:r w:rsidRPr="00291E5D">
        <w:t xml:space="preserve">This round of research also tested a hypothetical concept of holding an opera festival that might attract new markets who </w:t>
      </w:r>
      <w:r w:rsidR="000712D0">
        <w:t>were</w:t>
      </w:r>
      <w:r w:rsidRPr="00291E5D">
        <w:t xml:space="preserve"> interested in trying out the opera experience. The objective would be to later convert festival goers to active multi-ticket buyers and subscribers (see Exhibit 9)</w:t>
      </w:r>
      <w:r w:rsidR="000712D0">
        <w:t>.</w:t>
      </w:r>
    </w:p>
    <w:p w14:paraId="6F4078A8" w14:textId="77777777" w:rsidR="00D1174C" w:rsidRPr="00C1632D" w:rsidRDefault="00D1174C" w:rsidP="00D1174C">
      <w:pPr>
        <w:pStyle w:val="BodyTextMain"/>
        <w:rPr>
          <w:sz w:val="20"/>
        </w:rPr>
      </w:pPr>
    </w:p>
    <w:p w14:paraId="78B8DB60" w14:textId="0E766655" w:rsidR="00D1174C" w:rsidRPr="00291E5D" w:rsidRDefault="00D1174C" w:rsidP="00D1174C">
      <w:pPr>
        <w:pStyle w:val="BodyTextMain"/>
      </w:pPr>
      <w:r w:rsidRPr="00291E5D">
        <w:t xml:space="preserve">Given the importance of time, one option from this research </w:t>
      </w:r>
      <w:r>
        <w:t xml:space="preserve">was </w:t>
      </w:r>
      <w:r w:rsidRPr="00291E5D">
        <w:t>to quickly move forward with a marketing campaign that target</w:t>
      </w:r>
      <w:r>
        <w:t>ed</w:t>
      </w:r>
      <w:r w:rsidRPr="00291E5D">
        <w:t xml:space="preserve"> active versus lapsed ticket buyers. </w:t>
      </w:r>
      <w:r>
        <w:t>Was</w:t>
      </w:r>
      <w:r w:rsidRPr="00291E5D">
        <w:t xml:space="preserve"> it possible that creative messaging alone to lapsed ticket buyers reminding them of the upcoming performance season would do the trick? </w:t>
      </w:r>
    </w:p>
    <w:p w14:paraId="66C4D933" w14:textId="18DEE679" w:rsidR="00D1174C" w:rsidRPr="00C1632D" w:rsidRDefault="00D1174C" w:rsidP="00D1174C">
      <w:pPr>
        <w:pStyle w:val="BodyTextMain"/>
        <w:rPr>
          <w:sz w:val="20"/>
        </w:rPr>
      </w:pPr>
    </w:p>
    <w:p w14:paraId="3A3C7E08" w14:textId="77777777" w:rsidR="00D1174C" w:rsidRPr="00C1632D" w:rsidRDefault="00D1174C" w:rsidP="00D1174C">
      <w:pPr>
        <w:pStyle w:val="BodyTextMain"/>
        <w:rPr>
          <w:sz w:val="20"/>
        </w:rPr>
      </w:pPr>
    </w:p>
    <w:p w14:paraId="28CD65F3" w14:textId="77777777" w:rsidR="00D1174C" w:rsidRPr="00291E5D" w:rsidRDefault="00D1174C" w:rsidP="00A36F3C">
      <w:pPr>
        <w:pStyle w:val="Casehead1"/>
      </w:pPr>
      <w:r w:rsidRPr="00291E5D">
        <w:t>IMPORTANCE OF SEGMENTATION TO OPERA PHILADELPHIA</w:t>
      </w:r>
    </w:p>
    <w:p w14:paraId="152EB645" w14:textId="77777777" w:rsidR="00D1174C" w:rsidRPr="00C1632D" w:rsidRDefault="00D1174C" w:rsidP="00A36F3C">
      <w:pPr>
        <w:pStyle w:val="BodyTextMain"/>
        <w:keepNext/>
        <w:rPr>
          <w:sz w:val="20"/>
        </w:rPr>
      </w:pPr>
    </w:p>
    <w:p w14:paraId="6ACCEEBF" w14:textId="7A95B628" w:rsidR="00D1174C" w:rsidRDefault="00D1174C" w:rsidP="004443D8">
      <w:pPr>
        <w:pStyle w:val="BodyTextMain"/>
      </w:pPr>
      <w:r w:rsidRPr="00291E5D">
        <w:t>The clock was running and clearly weighed heavily on Devan and Lewis’</w:t>
      </w:r>
      <w:r w:rsidR="00574DAD">
        <w:t>s</w:t>
      </w:r>
      <w:r w:rsidRPr="00291E5D">
        <w:t xml:space="preserve"> decision to act</w:t>
      </w:r>
      <w:r w:rsidR="00574DAD">
        <w:t xml:space="preserve">; </w:t>
      </w:r>
      <w:r w:rsidRPr="00291E5D">
        <w:t>however</w:t>
      </w:r>
      <w:r w:rsidR="00574DAD">
        <w:t>,</w:t>
      </w:r>
      <w:r w:rsidRPr="00291E5D">
        <w:t xml:space="preserve"> they were tempted to pursue an even more precise definition of who their existing and potential customers</w:t>
      </w:r>
      <w:r w:rsidR="00574DAD">
        <w:t xml:space="preserve"> were</w:t>
      </w:r>
      <w:r w:rsidR="002D3964">
        <w:t xml:space="preserve">, </w:t>
      </w:r>
      <w:r w:rsidRPr="00291E5D">
        <w:t>how they thought, how they felt about themselves, what they valued</w:t>
      </w:r>
      <w:r w:rsidR="00574DAD">
        <w:t>,</w:t>
      </w:r>
      <w:r w:rsidRPr="00291E5D">
        <w:t xml:space="preserve"> and what they looked like</w:t>
      </w:r>
      <w:r w:rsidR="00B12AB3">
        <w:t>.</w:t>
      </w:r>
      <w:r w:rsidRPr="00291E5D">
        <w:t xml:space="preserve"> Essentially, they wanted to know what turned them on not only about opera, but about life itself.</w:t>
      </w:r>
    </w:p>
    <w:p w14:paraId="08EB7146" w14:textId="77777777" w:rsidR="00D1174C" w:rsidRPr="00C1632D" w:rsidRDefault="00D1174C" w:rsidP="00D1174C">
      <w:pPr>
        <w:pStyle w:val="BodyTextMain"/>
        <w:rPr>
          <w:sz w:val="20"/>
        </w:rPr>
      </w:pPr>
    </w:p>
    <w:p w14:paraId="7446CE93" w14:textId="7D6991CE" w:rsidR="008A60AC" w:rsidRDefault="00205659" w:rsidP="00D1174C">
      <w:pPr>
        <w:pStyle w:val="BodyTextMain"/>
      </w:pPr>
      <w:r>
        <w:t xml:space="preserve">The question was whether </w:t>
      </w:r>
      <w:r w:rsidR="00D1174C" w:rsidRPr="00291E5D">
        <w:t xml:space="preserve">Devan </w:t>
      </w:r>
      <w:r w:rsidR="00AC31BC">
        <w:rPr>
          <w:rStyle w:val="CommentReference"/>
          <w:sz w:val="22"/>
          <w:szCs w:val="22"/>
        </w:rPr>
        <w:t>allow</w:t>
      </w:r>
      <w:r w:rsidR="00D1174C" w:rsidRPr="00291E5D">
        <w:t xml:space="preserve"> the additional time to </w:t>
      </w:r>
      <w:r w:rsidR="004153EC">
        <w:t>gather more details about</w:t>
      </w:r>
      <w:r w:rsidR="00D1174C" w:rsidRPr="00291E5D">
        <w:t xml:space="preserve"> ticket buyer and subscriber profiles</w:t>
      </w:r>
      <w:r>
        <w:t>.</w:t>
      </w:r>
      <w:r w:rsidR="00D1174C" w:rsidRPr="00291E5D">
        <w:t xml:space="preserve"> </w:t>
      </w:r>
      <w:r w:rsidR="00E7235B">
        <w:t xml:space="preserve">The added research could do little more than </w:t>
      </w:r>
      <w:r w:rsidR="00D1174C" w:rsidRPr="00291E5D">
        <w:t>allow more time to pass while contribution and program revenue decline</w:t>
      </w:r>
      <w:r w:rsidR="0019078F">
        <w:t>d</w:t>
      </w:r>
      <w:r w:rsidR="00AC31BC">
        <w:t>.</w:t>
      </w:r>
      <w:r w:rsidR="0019078F">
        <w:t xml:space="preserve"> W</w:t>
      </w:r>
      <w:r w:rsidR="00D1174C" w:rsidRPr="00291E5D">
        <w:t xml:space="preserve">ith </w:t>
      </w:r>
      <w:r w:rsidR="00D1174C">
        <w:t xml:space="preserve">a </w:t>
      </w:r>
      <w:r w:rsidR="00574DAD">
        <w:t>second</w:t>
      </w:r>
      <w:r w:rsidR="00D1174C">
        <w:t xml:space="preserve"> </w:t>
      </w:r>
      <w:r w:rsidR="00D1174C" w:rsidRPr="00291E5D">
        <w:t xml:space="preserve">round of research, </w:t>
      </w:r>
      <w:r w:rsidR="0019078F">
        <w:t>management</w:t>
      </w:r>
      <w:r w:rsidR="00D1174C" w:rsidRPr="00291E5D">
        <w:t xml:space="preserve"> could get to a level of understanding that </w:t>
      </w:r>
      <w:r w:rsidR="00B15870">
        <w:t xml:space="preserve">would </w:t>
      </w:r>
      <w:r w:rsidR="00D1174C" w:rsidRPr="00291E5D">
        <w:t>allow</w:t>
      </w:r>
      <w:r w:rsidR="00B15870">
        <w:t xml:space="preserve"> the Opera</w:t>
      </w:r>
      <w:r w:rsidR="00D1174C" w:rsidRPr="00291E5D">
        <w:t xml:space="preserve"> to more finely tune </w:t>
      </w:r>
      <w:r w:rsidR="00EC4E85">
        <w:t>its</w:t>
      </w:r>
      <w:r w:rsidR="00EC4E85" w:rsidRPr="00291E5D">
        <w:t xml:space="preserve"> </w:t>
      </w:r>
      <w:r w:rsidR="00D1174C" w:rsidRPr="00291E5D">
        <w:t>seasonal approach to performances, programming</w:t>
      </w:r>
      <w:r w:rsidR="00574DAD">
        <w:t>,</w:t>
      </w:r>
      <w:r w:rsidR="00D1174C" w:rsidRPr="00291E5D">
        <w:t xml:space="preserve"> and marketing</w:t>
      </w:r>
      <w:r w:rsidR="00574DAD">
        <w:t>—</w:t>
      </w:r>
      <w:r w:rsidR="00D1174C" w:rsidRPr="00291E5D">
        <w:t>and with much greater confidence</w:t>
      </w:r>
      <w:r w:rsidR="00B12AB3">
        <w:t>,</w:t>
      </w:r>
      <w:r w:rsidR="00574DAD">
        <w:t xml:space="preserve"> </w:t>
      </w:r>
      <w:r w:rsidR="00EC4E85">
        <w:t>management</w:t>
      </w:r>
      <w:r w:rsidR="00574DAD" w:rsidRPr="00291E5D">
        <w:t xml:space="preserve"> thought</w:t>
      </w:r>
      <w:r w:rsidR="00D1174C" w:rsidRPr="00291E5D">
        <w:t xml:space="preserve">. </w:t>
      </w:r>
    </w:p>
    <w:p w14:paraId="6C9580A3" w14:textId="77777777" w:rsidR="008A60AC" w:rsidRDefault="008A60AC" w:rsidP="00D1174C">
      <w:pPr>
        <w:pStyle w:val="BodyTextMain"/>
      </w:pPr>
    </w:p>
    <w:p w14:paraId="5BB8FECC" w14:textId="4FA141CE" w:rsidR="00D1174C" w:rsidRDefault="0019078F" w:rsidP="00D1174C">
      <w:pPr>
        <w:pStyle w:val="BodyTextMain"/>
      </w:pPr>
      <w:r>
        <w:t>Devan</w:t>
      </w:r>
      <w:r w:rsidR="00D1174C" w:rsidRPr="00291E5D">
        <w:t xml:space="preserve"> decided to dive deeper</w:t>
      </w:r>
      <w:r w:rsidR="0079049A">
        <w:t>,</w:t>
      </w:r>
      <w:r w:rsidR="00D1174C" w:rsidRPr="00291E5D">
        <w:t xml:space="preserve"> and again</w:t>
      </w:r>
      <w:r w:rsidR="00574DAD">
        <w:t>,</w:t>
      </w:r>
      <w:r w:rsidR="00D1174C" w:rsidRPr="00291E5D">
        <w:t xml:space="preserve"> with the help of Cicero </w:t>
      </w:r>
      <w:r w:rsidR="00FB5E60">
        <w:t xml:space="preserve">Group </w:t>
      </w:r>
      <w:r w:rsidR="00D1174C" w:rsidRPr="00291E5D">
        <w:t>and MoStrategy</w:t>
      </w:r>
      <w:r w:rsidR="00FB5E60">
        <w:t>,</w:t>
      </w:r>
      <w:r w:rsidR="00D1174C" w:rsidRPr="00291E5D">
        <w:t xml:space="preserve"> </w:t>
      </w:r>
      <w:r w:rsidR="0079049A">
        <w:t xml:space="preserve">they could </w:t>
      </w:r>
      <w:r w:rsidR="00D1174C" w:rsidRPr="00291E5D">
        <w:t xml:space="preserve">learn exactly who the Opera’s customer segments </w:t>
      </w:r>
      <w:r w:rsidR="0079049A">
        <w:t>were</w:t>
      </w:r>
      <w:r w:rsidR="00D1174C" w:rsidRPr="00291E5D">
        <w:t xml:space="preserve"> and could be. One of Opera Philadelphia’s objectives was to position its brand so that it resonated with </w:t>
      </w:r>
      <w:r w:rsidR="0079049A">
        <w:t>its</w:t>
      </w:r>
      <w:r w:rsidR="00D1174C" w:rsidRPr="00291E5D">
        <w:t xml:space="preserve"> target segments.</w:t>
      </w:r>
    </w:p>
    <w:p w14:paraId="233CE5B2" w14:textId="77777777" w:rsidR="003F2DDD" w:rsidRPr="00291E5D" w:rsidRDefault="003F2DDD" w:rsidP="00D1174C">
      <w:pPr>
        <w:pStyle w:val="BodyTextMain"/>
      </w:pPr>
    </w:p>
    <w:p w14:paraId="6313B3D2" w14:textId="7D78A46E" w:rsidR="00D1174C" w:rsidRPr="00C1632D" w:rsidRDefault="00D1174C" w:rsidP="00EF72DE">
      <w:pPr>
        <w:pStyle w:val="BodyTextMain"/>
      </w:pPr>
      <w:r w:rsidRPr="00C1632D">
        <w:t>Roughly 2</w:t>
      </w:r>
      <w:r w:rsidR="004C0329">
        <w:t>,</w:t>
      </w:r>
      <w:r w:rsidRPr="00C1632D">
        <w:t xml:space="preserve">000 research subjects were surveyed in 2014 </w:t>
      </w:r>
      <w:r w:rsidR="0079049A" w:rsidRPr="00C1632D">
        <w:t xml:space="preserve">over an area </w:t>
      </w:r>
      <w:r w:rsidRPr="00C1632D">
        <w:t xml:space="preserve">that spanned the </w:t>
      </w:r>
      <w:r w:rsidR="0079049A" w:rsidRPr="00C1632D">
        <w:t>n</w:t>
      </w:r>
      <w:r w:rsidRPr="00C1632D">
        <w:t xml:space="preserve">ortheast </w:t>
      </w:r>
      <w:r w:rsidR="0079049A" w:rsidRPr="00C1632D">
        <w:t>c</w:t>
      </w:r>
      <w:r w:rsidRPr="00C1632D">
        <w:t>orridor from Washington, D</w:t>
      </w:r>
      <w:r w:rsidR="00B12AB3" w:rsidRPr="00C1632D">
        <w:t>.</w:t>
      </w:r>
      <w:r w:rsidRPr="00C1632D">
        <w:t>C</w:t>
      </w:r>
      <w:r w:rsidR="00B12AB3" w:rsidRPr="00C1632D">
        <w:t>.</w:t>
      </w:r>
      <w:r w:rsidR="008B3043">
        <w:t>,</w:t>
      </w:r>
      <w:r w:rsidRPr="00C1632D">
        <w:t xml:space="preserve"> to Boston. By analyzing relationships between various segmentation variables among even richer data, it was discovered that eight uniquely defined segments existed (see </w:t>
      </w:r>
      <w:r w:rsidR="00C9328D" w:rsidRPr="00C1632D">
        <w:t xml:space="preserve">Opera Philadelphia Survey Data: “Segmentation Strategies </w:t>
      </w:r>
      <w:r w:rsidR="00C67FDD" w:rsidRPr="00C1632D">
        <w:t>f</w:t>
      </w:r>
      <w:r w:rsidR="00C9328D" w:rsidRPr="00C1632D">
        <w:t xml:space="preserve">or Changing Markets,” Ivey product number </w:t>
      </w:r>
      <w:r w:rsidR="001944C4">
        <w:t>7B19A039</w:t>
      </w:r>
      <w:r w:rsidRPr="00C1632D">
        <w:t>).</w:t>
      </w:r>
    </w:p>
    <w:p w14:paraId="32B66F30" w14:textId="77777777" w:rsidR="00D1174C" w:rsidRPr="00C1632D" w:rsidRDefault="00D1174C" w:rsidP="00D1174C">
      <w:pPr>
        <w:pStyle w:val="BodyTextMain"/>
        <w:rPr>
          <w:sz w:val="20"/>
        </w:rPr>
      </w:pPr>
    </w:p>
    <w:p w14:paraId="05E665B8" w14:textId="5B26273F" w:rsidR="00D1174C" w:rsidRPr="00291E5D" w:rsidRDefault="00D1174C" w:rsidP="00D1174C">
      <w:pPr>
        <w:pStyle w:val="BodyTextMain"/>
      </w:pPr>
      <w:r w:rsidRPr="00291E5D">
        <w:lastRenderedPageBreak/>
        <w:t>More concise profiles were developed and each w</w:t>
      </w:r>
      <w:r w:rsidR="009107FB">
        <w:t>as</w:t>
      </w:r>
      <w:r w:rsidRPr="00291E5D">
        <w:t xml:space="preserve"> personified. With this level of detail</w:t>
      </w:r>
      <w:r w:rsidR="009107FB">
        <w:t>,</w:t>
      </w:r>
      <w:r w:rsidRPr="00291E5D">
        <w:t xml:space="preserve"> Opera Philadelphia believed it could adjust </w:t>
      </w:r>
      <w:r w:rsidR="009107FB">
        <w:t>its</w:t>
      </w:r>
      <w:r w:rsidRPr="00291E5D">
        <w:t xml:space="preserve"> seasonal model to appeal to </w:t>
      </w:r>
      <w:r w:rsidR="009107FB">
        <w:t>o</w:t>
      </w:r>
      <w:r w:rsidRPr="00291E5D">
        <w:t xml:space="preserve">pera </w:t>
      </w:r>
      <w:r w:rsidR="0053510E">
        <w:t>enthusiasts</w:t>
      </w:r>
      <w:r w:rsidR="0053510E" w:rsidRPr="00291E5D">
        <w:t xml:space="preserve"> </w:t>
      </w:r>
      <w:r w:rsidR="009107FB">
        <w:t xml:space="preserve">and </w:t>
      </w:r>
      <w:r w:rsidRPr="00291E5D">
        <w:t xml:space="preserve">attract more casual </w:t>
      </w:r>
      <w:r w:rsidR="009107FB">
        <w:t>a</w:t>
      </w:r>
      <w:r w:rsidRPr="00291E5D">
        <w:t>ttenders</w:t>
      </w:r>
      <w:r w:rsidR="009107FB">
        <w:t xml:space="preserve">. </w:t>
      </w:r>
      <w:r w:rsidR="00C61AD7">
        <w:t xml:space="preserve">Considerations for the Opera included whether </w:t>
      </w:r>
      <w:r w:rsidR="009107FB">
        <w:t xml:space="preserve">it </w:t>
      </w:r>
      <w:r w:rsidR="00C61AD7">
        <w:t xml:space="preserve">could </w:t>
      </w:r>
      <w:r w:rsidR="009107FB">
        <w:t>p</w:t>
      </w:r>
      <w:r w:rsidRPr="00291E5D">
        <w:t>ossibly add more affordable seating to attract those seeking a discount</w:t>
      </w:r>
      <w:r w:rsidR="009107FB">
        <w:t xml:space="preserve"> or </w:t>
      </w:r>
      <w:r w:rsidRPr="00291E5D">
        <w:t xml:space="preserve">adjust marketing communications and event tactics with appeal across all </w:t>
      </w:r>
      <w:r w:rsidR="009107FB">
        <w:t>eight</w:t>
      </w:r>
      <w:r w:rsidRPr="00291E5D">
        <w:t xml:space="preserve"> segments</w:t>
      </w:r>
      <w:r w:rsidR="0079145E">
        <w:t>.</w:t>
      </w:r>
      <w:r w:rsidRPr="00291E5D">
        <w:t xml:space="preserve"> </w:t>
      </w:r>
      <w:r w:rsidR="0079145E">
        <w:t xml:space="preserve">There was also the question of whether </w:t>
      </w:r>
      <w:r w:rsidRPr="00291E5D">
        <w:t xml:space="preserve">a slightly different communication to each </w:t>
      </w:r>
      <w:r w:rsidR="0079145E">
        <w:t xml:space="preserve">segment would </w:t>
      </w:r>
      <w:r w:rsidRPr="00291E5D">
        <w:t>be more effective</w:t>
      </w:r>
      <w:r w:rsidR="0079145E">
        <w:t>.</w:t>
      </w:r>
      <w:r w:rsidR="00F17F40">
        <w:t xml:space="preserve"> </w:t>
      </w:r>
    </w:p>
    <w:p w14:paraId="72D902EE" w14:textId="686E8251" w:rsidR="00D1174C" w:rsidRPr="00C1632D" w:rsidRDefault="00D1174C" w:rsidP="00D1174C">
      <w:pPr>
        <w:pStyle w:val="BodyTextMain"/>
        <w:rPr>
          <w:sz w:val="20"/>
        </w:rPr>
      </w:pPr>
    </w:p>
    <w:p w14:paraId="728A510A" w14:textId="77777777" w:rsidR="00D1174C" w:rsidRPr="00C1632D" w:rsidRDefault="00D1174C" w:rsidP="00D1174C">
      <w:pPr>
        <w:pStyle w:val="BodyTextMain"/>
        <w:rPr>
          <w:sz w:val="20"/>
        </w:rPr>
      </w:pPr>
    </w:p>
    <w:p w14:paraId="0A52626B" w14:textId="77670090" w:rsidR="00D1174C" w:rsidRPr="00291E5D" w:rsidRDefault="00D1174C" w:rsidP="00105BDC">
      <w:pPr>
        <w:pStyle w:val="Casehead1"/>
      </w:pPr>
      <w:r w:rsidRPr="00291E5D">
        <w:t>TARGETING and POSITIONING</w:t>
      </w:r>
      <w:r w:rsidR="009107FB">
        <w:t>—</w:t>
      </w:r>
      <w:r w:rsidRPr="00291E5D">
        <w:t>NOW EVEN MORE IMPORTANT TO OPERA PHILAD</w:t>
      </w:r>
      <w:r w:rsidR="009107FB">
        <w:t>e</w:t>
      </w:r>
      <w:r w:rsidRPr="00291E5D">
        <w:t>LPHIA</w:t>
      </w:r>
    </w:p>
    <w:p w14:paraId="33BB47DF" w14:textId="77777777" w:rsidR="00D1174C" w:rsidRPr="00C1632D" w:rsidRDefault="00D1174C" w:rsidP="00105BDC">
      <w:pPr>
        <w:pStyle w:val="BodyTextMain"/>
        <w:keepNext/>
        <w:rPr>
          <w:sz w:val="20"/>
        </w:rPr>
      </w:pPr>
    </w:p>
    <w:p w14:paraId="15966363" w14:textId="7D495AB5" w:rsidR="00D1174C" w:rsidRDefault="00D1174C" w:rsidP="00413142">
      <w:pPr>
        <w:pStyle w:val="BodyTextMain"/>
      </w:pPr>
      <w:r w:rsidRPr="00291E5D">
        <w:t>Questions needed to be answered with confidence</w:t>
      </w:r>
      <w:r w:rsidR="00680774">
        <w:t>.</w:t>
      </w:r>
      <w:r w:rsidRPr="00291E5D">
        <w:t xml:space="preserve"> Who </w:t>
      </w:r>
      <w:r>
        <w:t>w</w:t>
      </w:r>
      <w:r w:rsidR="009107FB">
        <w:t>ere</w:t>
      </w:r>
      <w:r w:rsidRPr="00291E5D">
        <w:t xml:space="preserve"> Opera Philadelphia’s potential patron base an</w:t>
      </w:r>
      <w:r w:rsidR="009107FB">
        <w:t xml:space="preserve">d who had </w:t>
      </w:r>
      <w:r w:rsidR="00680774">
        <w:t xml:space="preserve">the Opera </w:t>
      </w:r>
      <w:r w:rsidRPr="00291E5D">
        <w:t xml:space="preserve">not yet reached? How </w:t>
      </w:r>
      <w:r w:rsidR="009107FB">
        <w:t>could it</w:t>
      </w:r>
      <w:r w:rsidRPr="00291E5D">
        <w:t xml:space="preserve"> best construct </w:t>
      </w:r>
      <w:r w:rsidR="009107FB">
        <w:t>a</w:t>
      </w:r>
      <w:r w:rsidRPr="00291E5D">
        <w:t xml:space="preserve"> seasonal model during the </w:t>
      </w:r>
      <w:r w:rsidR="009107FB">
        <w:t>f</w:t>
      </w:r>
      <w:r w:rsidRPr="00291E5D">
        <w:t xml:space="preserve">all, </w:t>
      </w:r>
      <w:r w:rsidR="009107FB">
        <w:t>w</w:t>
      </w:r>
      <w:r w:rsidRPr="00291E5D">
        <w:t>inter</w:t>
      </w:r>
      <w:r w:rsidR="009107FB">
        <w:t>,</w:t>
      </w:r>
      <w:r w:rsidRPr="00291E5D">
        <w:t xml:space="preserve"> and </w:t>
      </w:r>
      <w:r w:rsidR="009107FB">
        <w:t>s</w:t>
      </w:r>
      <w:r w:rsidRPr="00291E5D">
        <w:t xml:space="preserve">pring? How </w:t>
      </w:r>
      <w:r w:rsidR="009107FB">
        <w:t>would it</w:t>
      </w:r>
      <w:r w:rsidRPr="00291E5D">
        <w:t xml:space="preserve"> most effectively market the various performances and events to each target segment</w:t>
      </w:r>
      <w:r w:rsidR="009107FB">
        <w:t>,</w:t>
      </w:r>
      <w:r w:rsidRPr="00291E5D">
        <w:t xml:space="preserve"> and what communication channels and messaging would be most effective? Which segments </w:t>
      </w:r>
      <w:r>
        <w:t>were</w:t>
      </w:r>
      <w:r w:rsidRPr="00291E5D">
        <w:t xml:space="preserve"> most likely to become donors to Opera Philadelphia?</w:t>
      </w:r>
    </w:p>
    <w:p w14:paraId="58408770" w14:textId="77777777" w:rsidR="00D1174C" w:rsidRPr="00C1632D" w:rsidRDefault="00D1174C" w:rsidP="00D1174C">
      <w:pPr>
        <w:pStyle w:val="BodyTextMain"/>
        <w:rPr>
          <w:sz w:val="20"/>
        </w:rPr>
      </w:pPr>
    </w:p>
    <w:p w14:paraId="456F8F80" w14:textId="0979E2BA" w:rsidR="00D1174C" w:rsidRPr="00291E5D" w:rsidRDefault="00D1174C" w:rsidP="00D1174C">
      <w:pPr>
        <w:pStyle w:val="BodyTextMain"/>
      </w:pPr>
      <w:r w:rsidRPr="00291E5D">
        <w:t xml:space="preserve">“Analysis </w:t>
      </w:r>
      <w:r w:rsidR="009107FB">
        <w:t>p</w:t>
      </w:r>
      <w:r w:rsidRPr="00291E5D">
        <w:t xml:space="preserve">aralysis” </w:t>
      </w:r>
      <w:r>
        <w:t>was</w:t>
      </w:r>
      <w:r w:rsidRPr="00291E5D">
        <w:t xml:space="preserve"> a term frequently used with the pressures of time and business performance. When </w:t>
      </w:r>
      <w:r>
        <w:t>was</w:t>
      </w:r>
      <w:r w:rsidRPr="00291E5D">
        <w:t xml:space="preserve"> it the right time to move on? What other strategic insights </w:t>
      </w:r>
      <w:r>
        <w:t>were</w:t>
      </w:r>
      <w:r w:rsidRPr="00291E5D">
        <w:t xml:space="preserve"> necessary given what </w:t>
      </w:r>
      <w:r w:rsidR="009107FB">
        <w:t>the Opera</w:t>
      </w:r>
      <w:r w:rsidRPr="00291E5D">
        <w:t xml:space="preserve"> already kn</w:t>
      </w:r>
      <w:r>
        <w:t>e</w:t>
      </w:r>
      <w:r w:rsidRPr="00291E5D">
        <w:t>w? Devan and Lewis studied the data and recommendations made by Cicero</w:t>
      </w:r>
      <w:r w:rsidR="00026270">
        <w:t xml:space="preserve"> Group</w:t>
      </w:r>
      <w:r w:rsidRPr="00291E5D">
        <w:t xml:space="preserve"> and MoStrategy. D</w:t>
      </w:r>
      <w:r>
        <w:t>id</w:t>
      </w:r>
      <w:r w:rsidRPr="00291E5D">
        <w:t xml:space="preserve"> </w:t>
      </w:r>
      <w:r w:rsidR="00026270">
        <w:t xml:space="preserve">they </w:t>
      </w:r>
      <w:r w:rsidRPr="00291E5D">
        <w:t xml:space="preserve">really need to go through the ranking of the </w:t>
      </w:r>
      <w:r w:rsidR="00026270">
        <w:t>eight</w:t>
      </w:r>
      <w:r w:rsidRPr="00291E5D">
        <w:t xml:space="preserve"> segments? </w:t>
      </w:r>
      <w:r>
        <w:t>Was</w:t>
      </w:r>
      <w:r w:rsidRPr="00291E5D">
        <w:t xml:space="preserve"> this </w:t>
      </w:r>
      <w:r w:rsidR="00C26D5A">
        <w:t>“</w:t>
      </w:r>
      <w:r w:rsidRPr="00291E5D">
        <w:t>nice-to-know</w:t>
      </w:r>
      <w:r w:rsidR="00C26D5A">
        <w:t>” information</w:t>
      </w:r>
      <w:r w:rsidRPr="00291E5D">
        <w:t xml:space="preserve"> or would it greatly influence </w:t>
      </w:r>
      <w:r w:rsidR="00026270">
        <w:t>the</w:t>
      </w:r>
      <w:r w:rsidRPr="00291E5D">
        <w:t xml:space="preserve"> final strategy and planning decisions? </w:t>
      </w:r>
    </w:p>
    <w:p w14:paraId="16137AEF" w14:textId="77777777" w:rsidR="00D1174C" w:rsidRPr="00C1632D" w:rsidRDefault="00D1174C" w:rsidP="00D1174C">
      <w:pPr>
        <w:pStyle w:val="BodyTextMain"/>
        <w:rPr>
          <w:sz w:val="20"/>
        </w:rPr>
      </w:pPr>
    </w:p>
    <w:p w14:paraId="63E106BA" w14:textId="70ECC20A" w:rsidR="00D1174C" w:rsidRPr="00291E5D" w:rsidRDefault="00D1174C" w:rsidP="00D1174C">
      <w:pPr>
        <w:pStyle w:val="BodyTextMain"/>
      </w:pPr>
      <w:r>
        <w:t>Was</w:t>
      </w:r>
      <w:r w:rsidRPr="00291E5D">
        <w:t xml:space="preserve"> there a way to determine which of the </w:t>
      </w:r>
      <w:r w:rsidR="00026270">
        <w:t>eight</w:t>
      </w:r>
      <w:r w:rsidRPr="00291E5D">
        <w:t xml:space="preserve"> segments </w:t>
      </w:r>
      <w:r w:rsidR="00026270">
        <w:t>were</w:t>
      </w:r>
      <w:r w:rsidRPr="00291E5D">
        <w:t xml:space="preserve"> viable targets for an </w:t>
      </w:r>
      <w:r w:rsidR="00917B49">
        <w:t>o</w:t>
      </w:r>
      <w:r w:rsidRPr="00291E5D">
        <w:t xml:space="preserve">pera </w:t>
      </w:r>
      <w:r w:rsidR="00917B49">
        <w:t>f</w:t>
      </w:r>
      <w:r w:rsidRPr="00291E5D">
        <w:t xml:space="preserve">estival if this were a decision? Would knowing how each segment felt about </w:t>
      </w:r>
      <w:r w:rsidR="00026270">
        <w:t>“</w:t>
      </w:r>
      <w:r w:rsidRPr="00291E5D">
        <w:t>opera engagement</w:t>
      </w:r>
      <w:r w:rsidR="00026270">
        <w:t>”</w:t>
      </w:r>
      <w:r w:rsidRPr="00291E5D">
        <w:t xml:space="preserve"> versus the level of </w:t>
      </w:r>
      <w:r w:rsidR="00026270">
        <w:t>“</w:t>
      </w:r>
      <w:r w:rsidRPr="00291E5D">
        <w:t>festival interest</w:t>
      </w:r>
      <w:r w:rsidR="00026270">
        <w:t>”</w:t>
      </w:r>
      <w:r w:rsidRPr="00291E5D">
        <w:t xml:space="preserve"> influence the Opera’s strategy decisions? Would mapping each segment against these </w:t>
      </w:r>
      <w:r w:rsidR="00026270">
        <w:t>two</w:t>
      </w:r>
      <w:r w:rsidRPr="00291E5D">
        <w:t xml:space="preserve"> dimensions reveal who Opera Philadelphia should target?</w:t>
      </w:r>
    </w:p>
    <w:p w14:paraId="18ECDC2B" w14:textId="77777777" w:rsidR="00D1174C" w:rsidRPr="00C1632D" w:rsidRDefault="00D1174C" w:rsidP="00D1174C">
      <w:pPr>
        <w:pStyle w:val="BodyTextMain"/>
        <w:rPr>
          <w:sz w:val="20"/>
        </w:rPr>
      </w:pPr>
    </w:p>
    <w:p w14:paraId="4ACBF69F" w14:textId="4262C971" w:rsidR="00D1174C" w:rsidRPr="00291E5D" w:rsidRDefault="00D1174C" w:rsidP="00D1174C">
      <w:pPr>
        <w:pStyle w:val="BodyTextMain"/>
      </w:pPr>
      <w:r w:rsidRPr="00291E5D">
        <w:t>Devan’s decision to spend time and money on analyzing which of the segments to target and how best to position Opera Philadelphia’s</w:t>
      </w:r>
      <w:r w:rsidRPr="00291E5D" w:rsidDel="00B34BB4">
        <w:t xml:space="preserve"> </w:t>
      </w:r>
      <w:r w:rsidRPr="00291E5D">
        <w:t xml:space="preserve">brand to each must also yield direction as to who the primary target </w:t>
      </w:r>
      <w:r>
        <w:t>was</w:t>
      </w:r>
      <w:r w:rsidRPr="00291E5D">
        <w:t>. He believed that there was enough evidence in the data to consider several strategy options such as repositioning the Opera’s brand</w:t>
      </w:r>
      <w:r w:rsidR="00026270">
        <w:t xml:space="preserve"> and </w:t>
      </w:r>
      <w:r w:rsidRPr="00291E5D">
        <w:t>chang</w:t>
      </w:r>
      <w:r w:rsidR="00026270">
        <w:t>ing</w:t>
      </w:r>
      <w:r w:rsidRPr="00291E5D">
        <w:t xml:space="preserve"> its performance and seasonal programming while maintaining the loyalty of its core patron base.</w:t>
      </w:r>
    </w:p>
    <w:p w14:paraId="4CF67A9C" w14:textId="77777777" w:rsidR="00D1174C" w:rsidRPr="00C1632D" w:rsidRDefault="00D1174C" w:rsidP="00D1174C">
      <w:pPr>
        <w:pStyle w:val="BodyTextMain"/>
        <w:rPr>
          <w:sz w:val="20"/>
        </w:rPr>
      </w:pPr>
    </w:p>
    <w:p w14:paraId="6B768EB3" w14:textId="77777777" w:rsidR="00B12AB3" w:rsidRDefault="00D1174C" w:rsidP="00EF72DE">
      <w:pPr>
        <w:pStyle w:val="BodyTextMain"/>
      </w:pPr>
      <w:r w:rsidRPr="00291E5D">
        <w:t>A final analysis of Opera Philadelphia’s targeting and positioning had to be completed. They needed to understand</w:t>
      </w:r>
      <w:r w:rsidR="00026270">
        <w:t xml:space="preserve"> the following:</w:t>
      </w:r>
    </w:p>
    <w:p w14:paraId="0DC0FE91" w14:textId="3FAF12BD" w:rsidR="00D1174C" w:rsidRPr="00C1632D" w:rsidRDefault="00D1174C" w:rsidP="00D1174C">
      <w:pPr>
        <w:pStyle w:val="BodyTextMain"/>
        <w:rPr>
          <w:sz w:val="20"/>
        </w:rPr>
      </w:pPr>
    </w:p>
    <w:p w14:paraId="3FF2BB1F" w14:textId="4BF9D621" w:rsidR="00D1174C" w:rsidRDefault="00D1174C" w:rsidP="005E61D7">
      <w:pPr>
        <w:pStyle w:val="BodyTextMain"/>
        <w:numPr>
          <w:ilvl w:val="0"/>
          <w:numId w:val="14"/>
        </w:numPr>
      </w:pPr>
      <w:r w:rsidRPr="00291E5D">
        <w:t>To which segment d</w:t>
      </w:r>
      <w:r>
        <w:t>id</w:t>
      </w:r>
      <w:r w:rsidRPr="00291E5D">
        <w:t xml:space="preserve"> Opera Philadelphia’s</w:t>
      </w:r>
      <w:r w:rsidRPr="00291E5D" w:rsidDel="00974725">
        <w:t xml:space="preserve"> </w:t>
      </w:r>
      <w:r w:rsidRPr="00291E5D">
        <w:t xml:space="preserve">brand speak the strongest? What </w:t>
      </w:r>
      <w:r>
        <w:t>was</w:t>
      </w:r>
      <w:r w:rsidRPr="00291E5D">
        <w:t xml:space="preserve"> the profile and persona of this segment? Where should Opera Philadelphia </w:t>
      </w:r>
      <w:r>
        <w:t xml:space="preserve">have </w:t>
      </w:r>
      <w:r w:rsidRPr="00291E5D">
        <w:t>look</w:t>
      </w:r>
      <w:r>
        <w:t>ed</w:t>
      </w:r>
      <w:r w:rsidRPr="00291E5D">
        <w:t xml:space="preserve"> to reach this segment?</w:t>
      </w:r>
    </w:p>
    <w:p w14:paraId="5E0161D0" w14:textId="298859D7" w:rsidR="00D1174C" w:rsidRPr="00291E5D" w:rsidRDefault="00D1174C" w:rsidP="005E61D7">
      <w:pPr>
        <w:pStyle w:val="BodyTextMain"/>
        <w:numPr>
          <w:ilvl w:val="0"/>
          <w:numId w:val="14"/>
        </w:numPr>
      </w:pPr>
      <w:r w:rsidRPr="00291E5D">
        <w:t>How should the remaining target segments be profiled and personified? What type of programming, quality levels, events</w:t>
      </w:r>
      <w:r w:rsidR="00026270">
        <w:t>,</w:t>
      </w:r>
      <w:r w:rsidRPr="00291E5D">
        <w:t xml:space="preserve"> and marketing pitches might</w:t>
      </w:r>
      <w:r>
        <w:t xml:space="preserve"> have</w:t>
      </w:r>
      <w:r w:rsidRPr="00291E5D">
        <w:t xml:space="preserve"> be</w:t>
      </w:r>
      <w:r>
        <w:t>en</w:t>
      </w:r>
      <w:r w:rsidRPr="00291E5D">
        <w:t xml:space="preserve"> considered for these segments?</w:t>
      </w:r>
    </w:p>
    <w:p w14:paraId="76124253" w14:textId="77777777" w:rsidR="00D1174C" w:rsidRPr="00291E5D" w:rsidRDefault="00D1174C" w:rsidP="005E61D7">
      <w:pPr>
        <w:pStyle w:val="BodyTextMain"/>
        <w:numPr>
          <w:ilvl w:val="0"/>
          <w:numId w:val="14"/>
        </w:numPr>
      </w:pPr>
      <w:r w:rsidRPr="00291E5D">
        <w:t xml:space="preserve">Which segments </w:t>
      </w:r>
      <w:r>
        <w:t>were</w:t>
      </w:r>
      <w:r w:rsidRPr="00291E5D">
        <w:t xml:space="preserve"> most sensitive to price and the perception of elitism?</w:t>
      </w:r>
    </w:p>
    <w:p w14:paraId="35875B38" w14:textId="77777777" w:rsidR="00D1174C" w:rsidRPr="00291E5D" w:rsidRDefault="00D1174C" w:rsidP="005E61D7">
      <w:pPr>
        <w:pStyle w:val="BodyTextMain"/>
        <w:numPr>
          <w:ilvl w:val="0"/>
          <w:numId w:val="14"/>
        </w:numPr>
      </w:pPr>
      <w:r>
        <w:t>Were</w:t>
      </w:r>
      <w:r w:rsidRPr="00291E5D">
        <w:t xml:space="preserve"> there any segments that Opera Philadelphia should not make efforts to target? </w:t>
      </w:r>
    </w:p>
    <w:p w14:paraId="24C350EE" w14:textId="79A3478B" w:rsidR="00D1174C" w:rsidRPr="00291E5D" w:rsidRDefault="00D1174C" w:rsidP="005E61D7">
      <w:pPr>
        <w:pStyle w:val="BodyTextMain"/>
        <w:numPr>
          <w:ilvl w:val="0"/>
          <w:numId w:val="14"/>
        </w:numPr>
      </w:pPr>
      <w:r w:rsidRPr="00291E5D">
        <w:t>Finally, should Opera Philadelphia</w:t>
      </w:r>
      <w:r w:rsidRPr="00291E5D" w:rsidDel="00BC3998">
        <w:t xml:space="preserve"> </w:t>
      </w:r>
      <w:r w:rsidRPr="00291E5D">
        <w:t xml:space="preserve">run a </w:t>
      </w:r>
      <w:r w:rsidR="00026270">
        <w:t>f</w:t>
      </w:r>
      <w:r w:rsidRPr="00291E5D">
        <w:t>estival? When and what other seasonal and product</w:t>
      </w:r>
      <w:r w:rsidR="00026270">
        <w:t xml:space="preserve"> or </w:t>
      </w:r>
      <w:r w:rsidRPr="00291E5D">
        <w:t xml:space="preserve">performance and event options should </w:t>
      </w:r>
      <w:r w:rsidR="00B12AB3">
        <w:t>it</w:t>
      </w:r>
      <w:r w:rsidRPr="00291E5D">
        <w:t xml:space="preserve"> </w:t>
      </w:r>
      <w:r>
        <w:t xml:space="preserve">have </w:t>
      </w:r>
      <w:r w:rsidRPr="00291E5D">
        <w:t>consider</w:t>
      </w:r>
      <w:r>
        <w:t>ed</w:t>
      </w:r>
      <w:r w:rsidRPr="00291E5D">
        <w:t>?</w:t>
      </w:r>
    </w:p>
    <w:p w14:paraId="74048F47" w14:textId="1D19659E" w:rsidR="00D1174C" w:rsidRPr="00C1632D" w:rsidRDefault="00D1174C" w:rsidP="00D1174C">
      <w:pPr>
        <w:pStyle w:val="BodyTextMain"/>
        <w:rPr>
          <w:sz w:val="20"/>
        </w:rPr>
      </w:pPr>
    </w:p>
    <w:p w14:paraId="725C22A8" w14:textId="77777777" w:rsidR="005E61D7" w:rsidRPr="00C1632D" w:rsidRDefault="005E61D7" w:rsidP="00D1174C">
      <w:pPr>
        <w:pStyle w:val="BodyTextMain"/>
        <w:rPr>
          <w:sz w:val="20"/>
        </w:rPr>
      </w:pPr>
    </w:p>
    <w:p w14:paraId="6DF9884F" w14:textId="18D40AEE" w:rsidR="00D1174C" w:rsidRPr="00291E5D" w:rsidRDefault="00D1174C" w:rsidP="005E61D7">
      <w:pPr>
        <w:pStyle w:val="Casehead1"/>
      </w:pPr>
      <w:r w:rsidRPr="00291E5D">
        <w:t>CONSIDERATIONS</w:t>
      </w:r>
    </w:p>
    <w:p w14:paraId="6DE9A2A3" w14:textId="77777777" w:rsidR="005E61D7" w:rsidRPr="00C1632D" w:rsidRDefault="005E61D7" w:rsidP="00413142">
      <w:pPr>
        <w:pStyle w:val="BodyTextMain"/>
        <w:keepNext/>
        <w:rPr>
          <w:sz w:val="20"/>
        </w:rPr>
      </w:pPr>
    </w:p>
    <w:p w14:paraId="18EF1FBC" w14:textId="19A688C0" w:rsidR="00D1174C" w:rsidRDefault="00D1174C" w:rsidP="00D1174C">
      <w:pPr>
        <w:pStyle w:val="BodyTextMain"/>
      </w:pPr>
      <w:r w:rsidRPr="00291E5D">
        <w:t>Devan contemplated his options including recommendations by Lewis on the basis of Cicero</w:t>
      </w:r>
      <w:r w:rsidR="00026270">
        <w:t xml:space="preserve"> Group</w:t>
      </w:r>
      <w:r w:rsidRPr="00291E5D">
        <w:t xml:space="preserve"> and MoStrategy’s research outcomes. </w:t>
      </w:r>
    </w:p>
    <w:p w14:paraId="28A12B77" w14:textId="6A4725D4" w:rsidR="00D1174C" w:rsidRPr="00291E5D" w:rsidRDefault="00D1174C" w:rsidP="00D1174C">
      <w:pPr>
        <w:pStyle w:val="BodyTextMain"/>
      </w:pPr>
      <w:r w:rsidRPr="00291E5D">
        <w:rPr>
          <w:u w:val="single"/>
        </w:rPr>
        <w:lastRenderedPageBreak/>
        <w:t>Option #1</w:t>
      </w:r>
      <w:r w:rsidRPr="00291E5D">
        <w:t xml:space="preserve">: A modified strategy might </w:t>
      </w:r>
      <w:r>
        <w:t xml:space="preserve">be to </w:t>
      </w:r>
      <w:r w:rsidRPr="00291E5D">
        <w:t xml:space="preserve">get the job done at minimal cost. </w:t>
      </w:r>
      <w:r w:rsidR="00026270">
        <w:t xml:space="preserve">This option would </w:t>
      </w:r>
      <w:r w:rsidRPr="00291E5D">
        <w:t>cast a wide net across all segments, economizing on a simple adjustment to seasonal performance selections at the Academy of Music while executing a standardized approach to marketing and communications.</w:t>
      </w:r>
      <w:r w:rsidR="00026270">
        <w:t xml:space="preserve"> Although the opera </w:t>
      </w:r>
      <w:r w:rsidR="00222D3F">
        <w:t>enthusiasts</w:t>
      </w:r>
      <w:r w:rsidR="00222D3F" w:rsidRPr="00291E5D">
        <w:t xml:space="preserve"> </w:t>
      </w:r>
      <w:r w:rsidR="00026270" w:rsidRPr="00291E5D">
        <w:t>would likely appreciate more “A” title performances</w:t>
      </w:r>
      <w:r w:rsidR="00026270">
        <w:t xml:space="preserve">, the </w:t>
      </w:r>
      <w:r w:rsidRPr="00291E5D">
        <w:t xml:space="preserve">repertoire </w:t>
      </w:r>
      <w:r>
        <w:t>w</w:t>
      </w:r>
      <w:r w:rsidR="00026270">
        <w:t xml:space="preserve">ould be </w:t>
      </w:r>
      <w:r w:rsidRPr="00291E5D">
        <w:t xml:space="preserve">somewhat limited. </w:t>
      </w:r>
    </w:p>
    <w:p w14:paraId="0A345FCF" w14:textId="2FD8AB8F" w:rsidR="005E61D7" w:rsidRPr="00C1632D" w:rsidRDefault="005E61D7" w:rsidP="00D1174C">
      <w:pPr>
        <w:pStyle w:val="BodyTextMain"/>
        <w:rPr>
          <w:sz w:val="20"/>
          <w:u w:val="single"/>
        </w:rPr>
      </w:pPr>
    </w:p>
    <w:p w14:paraId="4A0D4899" w14:textId="0DDA4321" w:rsidR="00D1174C" w:rsidRPr="00291E5D" w:rsidRDefault="00D1174C" w:rsidP="00D1174C">
      <w:pPr>
        <w:pStyle w:val="BodyTextMain"/>
      </w:pPr>
      <w:r w:rsidRPr="00291E5D">
        <w:rPr>
          <w:u w:val="single"/>
        </w:rPr>
        <w:t>Option #2</w:t>
      </w:r>
      <w:r w:rsidRPr="00291E5D">
        <w:t xml:space="preserve">: Another strategy might </w:t>
      </w:r>
      <w:r>
        <w:t>be</w:t>
      </w:r>
      <w:r w:rsidRPr="00291E5D">
        <w:t xml:space="preserve"> to adjust programming, venues, events</w:t>
      </w:r>
      <w:r w:rsidR="00026270">
        <w:t>,</w:t>
      </w:r>
      <w:r w:rsidRPr="00291E5D">
        <w:t xml:space="preserve"> and pricing in a way that align</w:t>
      </w:r>
      <w:r>
        <w:t>ed</w:t>
      </w:r>
      <w:r w:rsidRPr="00291E5D">
        <w:t xml:space="preserve"> with each target segment. </w:t>
      </w:r>
      <w:r w:rsidR="00F74B2C">
        <w:t>In this scenario, w</w:t>
      </w:r>
      <w:r w:rsidRPr="00291E5D">
        <w:t>hile maintaining VIVACE, marketing would</w:t>
      </w:r>
      <w:r w:rsidR="00F73E85">
        <w:t xml:space="preserve"> </w:t>
      </w:r>
      <w:r w:rsidRPr="00291E5D">
        <w:t>include treatments that consider</w:t>
      </w:r>
      <w:r w:rsidR="00F73E85">
        <w:t>ed</w:t>
      </w:r>
      <w:r w:rsidRPr="00291E5D">
        <w:t xml:space="preserve"> each target uniquely</w:t>
      </w:r>
      <w:r w:rsidR="00F73E85">
        <w:t xml:space="preserve"> and </w:t>
      </w:r>
      <w:r w:rsidR="00B65400">
        <w:t xml:space="preserve">considered whether </w:t>
      </w:r>
      <w:r w:rsidRPr="00291E5D">
        <w:t xml:space="preserve">touring productions and musicals </w:t>
      </w:r>
      <w:r w:rsidR="00CB7E69">
        <w:t xml:space="preserve">could be added </w:t>
      </w:r>
      <w:r w:rsidRPr="00291E5D">
        <w:t>to the season along with broadcast productions. While other venues r</w:t>
      </w:r>
      <w:r>
        <w:t>a</w:t>
      </w:r>
      <w:r w:rsidRPr="00291E5D">
        <w:t xml:space="preserve">n musicals, many of these tactics would </w:t>
      </w:r>
      <w:r>
        <w:t>be</w:t>
      </w:r>
      <w:r w:rsidRPr="00291E5D">
        <w:t xml:space="preserve"> expensive</w:t>
      </w:r>
      <w:r w:rsidR="00F73E85">
        <w:t>,</w:t>
      </w:r>
      <w:r w:rsidRPr="00291E5D">
        <w:t xml:space="preserve"> and an exclusivity agreement with the Metropolitan Opera </w:t>
      </w:r>
      <w:r w:rsidR="00FB3406">
        <w:t>prevented other opera companies from</w:t>
      </w:r>
      <w:r w:rsidRPr="00291E5D">
        <w:t xml:space="preserve"> broadcasting in movie theat</w:t>
      </w:r>
      <w:r w:rsidR="00F73E85">
        <w:t>r</w:t>
      </w:r>
      <w:r w:rsidRPr="00291E5D">
        <w:t>es.</w:t>
      </w:r>
      <w:r w:rsidR="00F17F40">
        <w:t xml:space="preserve"> </w:t>
      </w:r>
    </w:p>
    <w:p w14:paraId="5AD2EBCC" w14:textId="77777777" w:rsidR="005E61D7" w:rsidRPr="00C1632D" w:rsidRDefault="005E61D7" w:rsidP="00D1174C">
      <w:pPr>
        <w:pStyle w:val="BodyTextMain"/>
        <w:rPr>
          <w:sz w:val="20"/>
          <w:u w:val="single"/>
        </w:rPr>
      </w:pPr>
    </w:p>
    <w:p w14:paraId="7AA703A6" w14:textId="3815BBB8" w:rsidR="00D1174C" w:rsidRPr="00291E5D" w:rsidRDefault="00D1174C" w:rsidP="00D1174C">
      <w:pPr>
        <w:pStyle w:val="BodyTextMain"/>
      </w:pPr>
      <w:r w:rsidRPr="00291E5D">
        <w:rPr>
          <w:u w:val="single"/>
        </w:rPr>
        <w:t>Option #3</w:t>
      </w:r>
      <w:r w:rsidRPr="00291E5D">
        <w:t>: A</w:t>
      </w:r>
      <w:r w:rsidR="00F73E85">
        <w:t xml:space="preserve"> final </w:t>
      </w:r>
      <w:r w:rsidRPr="00291E5D">
        <w:t xml:space="preserve">strategy could </w:t>
      </w:r>
      <w:r>
        <w:t xml:space="preserve">be </w:t>
      </w:r>
      <w:r w:rsidRPr="00291E5D">
        <w:t xml:space="preserve">to add an </w:t>
      </w:r>
      <w:r w:rsidR="00BD174F">
        <w:t>o</w:t>
      </w:r>
      <w:r w:rsidRPr="00291E5D">
        <w:t xml:space="preserve">pera </w:t>
      </w:r>
      <w:r w:rsidR="00BD174F">
        <w:t>f</w:t>
      </w:r>
      <w:r w:rsidRPr="00291E5D">
        <w:t>estival as part of a new seasonal model</w:t>
      </w:r>
      <w:r w:rsidR="00F73E85">
        <w:t xml:space="preserve">; this option </w:t>
      </w:r>
      <w:r w:rsidRPr="00291E5D">
        <w:t xml:space="preserve">would be complex and </w:t>
      </w:r>
      <w:r w:rsidR="00F73E85">
        <w:t xml:space="preserve">could possibly </w:t>
      </w:r>
      <w:r w:rsidRPr="00291E5D">
        <w:t>risk</w:t>
      </w:r>
      <w:r w:rsidR="00F73E85">
        <w:t xml:space="preserve"> </w:t>
      </w:r>
      <w:r w:rsidRPr="00291E5D">
        <w:t>distracting Opera Philadelphia’s</w:t>
      </w:r>
      <w:r w:rsidRPr="00291E5D" w:rsidDel="00974725">
        <w:t xml:space="preserve"> </w:t>
      </w:r>
      <w:r w:rsidRPr="00291E5D">
        <w:t xml:space="preserve">management team from the work that </w:t>
      </w:r>
      <w:r>
        <w:t>went</w:t>
      </w:r>
      <w:r w:rsidRPr="00291E5D">
        <w:t xml:space="preserve"> into planning and implementing a traditional season. Would including a </w:t>
      </w:r>
      <w:r w:rsidR="006521AE">
        <w:t>f</w:t>
      </w:r>
      <w:r w:rsidRPr="00291E5D">
        <w:t xml:space="preserve">estival either at the beginning of </w:t>
      </w:r>
      <w:r w:rsidR="00F73E85">
        <w:t>f</w:t>
      </w:r>
      <w:r w:rsidRPr="00291E5D">
        <w:t xml:space="preserve">all or in the following </w:t>
      </w:r>
      <w:r w:rsidR="00F73E85">
        <w:t>s</w:t>
      </w:r>
      <w:r w:rsidRPr="00291E5D">
        <w:t>pring generate trial</w:t>
      </w:r>
      <w:r w:rsidR="00F73E85">
        <w:t>-</w:t>
      </w:r>
      <w:r w:rsidRPr="00291E5D">
        <w:t>and</w:t>
      </w:r>
      <w:r w:rsidR="00F73E85">
        <w:t>-</w:t>
      </w:r>
      <w:r w:rsidRPr="00291E5D">
        <w:t>lead attenders to consider regular season performances? Would this option attract a broader audience</w:t>
      </w:r>
      <w:r w:rsidR="006521AE">
        <w:t>,</w:t>
      </w:r>
      <w:r w:rsidRPr="00291E5D">
        <w:t xml:space="preserve"> including prospects from outside the Philadelphia market?</w:t>
      </w:r>
    </w:p>
    <w:p w14:paraId="7443F0FC" w14:textId="4C5E9E66" w:rsidR="00D1174C" w:rsidRPr="00C1632D" w:rsidRDefault="00D1174C" w:rsidP="005E61D7">
      <w:pPr>
        <w:pStyle w:val="BodyTextMain"/>
        <w:rPr>
          <w:sz w:val="20"/>
        </w:rPr>
      </w:pPr>
    </w:p>
    <w:p w14:paraId="64EF958E" w14:textId="77777777" w:rsidR="005E61D7" w:rsidRPr="00C1632D" w:rsidRDefault="005E61D7" w:rsidP="005E61D7">
      <w:pPr>
        <w:pStyle w:val="BodyTextMain"/>
        <w:rPr>
          <w:sz w:val="20"/>
        </w:rPr>
      </w:pPr>
    </w:p>
    <w:p w14:paraId="6D80F326" w14:textId="77777777" w:rsidR="00D1174C" w:rsidRPr="00291E5D" w:rsidRDefault="00D1174C" w:rsidP="00105BDC">
      <w:pPr>
        <w:pStyle w:val="Casehead1"/>
      </w:pPr>
      <w:r w:rsidRPr="00291E5D">
        <w:t>THE DECISION</w:t>
      </w:r>
    </w:p>
    <w:p w14:paraId="3985E72B" w14:textId="77777777" w:rsidR="005E61D7" w:rsidRPr="00C1632D" w:rsidRDefault="005E61D7" w:rsidP="00105BDC">
      <w:pPr>
        <w:pStyle w:val="BodyTextMain"/>
        <w:keepNext/>
        <w:rPr>
          <w:sz w:val="20"/>
        </w:rPr>
      </w:pPr>
    </w:p>
    <w:p w14:paraId="06FCDF89" w14:textId="4B5C4050" w:rsidR="00D1174C" w:rsidRDefault="00D1174C" w:rsidP="00413142">
      <w:pPr>
        <w:pStyle w:val="BodyTextMain"/>
      </w:pPr>
      <w:r w:rsidRPr="00291E5D">
        <w:t>Opera Philadelphia had endured a roller coaster ride of revenue fluctuations</w:t>
      </w:r>
      <w:r w:rsidR="00F73E85">
        <w:t>,</w:t>
      </w:r>
      <w:r w:rsidRPr="00291E5D">
        <w:t xml:space="preserve"> and Devan needed to present a strategy to the </w:t>
      </w:r>
      <w:r w:rsidR="00F73E85">
        <w:t>b</w:t>
      </w:r>
      <w:r w:rsidRPr="00291E5D">
        <w:t>oard without further delay</w:t>
      </w:r>
      <w:r w:rsidR="005E61D7">
        <w:t>.</w:t>
      </w:r>
    </w:p>
    <w:p w14:paraId="51BBA524" w14:textId="7525DF6F" w:rsidR="005E61D7" w:rsidRPr="00C1632D" w:rsidRDefault="005E61D7" w:rsidP="00413142">
      <w:pPr>
        <w:pStyle w:val="BodyTextMain"/>
        <w:rPr>
          <w:sz w:val="20"/>
        </w:rPr>
      </w:pPr>
    </w:p>
    <w:p w14:paraId="2E183F72" w14:textId="24BCBED0" w:rsidR="00D1174C" w:rsidRPr="00291E5D" w:rsidRDefault="00D1174C" w:rsidP="00F71F99">
      <w:pPr>
        <w:pStyle w:val="BodyTextMain"/>
      </w:pPr>
      <w:r w:rsidRPr="00291E5D">
        <w:t xml:space="preserve">Now that segments were well-defined and targets identified by his </w:t>
      </w:r>
      <w:r w:rsidR="00F73E85">
        <w:t>m</w:t>
      </w:r>
      <w:r w:rsidRPr="00291E5D">
        <w:t xml:space="preserve">arketing team, Devan had several options to consider. </w:t>
      </w:r>
      <w:r>
        <w:t xml:space="preserve">Should the Opera </w:t>
      </w:r>
      <w:r w:rsidRPr="00291E5D">
        <w:t>select a less complex strategy that enable</w:t>
      </w:r>
      <w:r>
        <w:t>d</w:t>
      </w:r>
      <w:r w:rsidRPr="00291E5D">
        <w:t xml:space="preserve"> a quick implementation at minimal cost or </w:t>
      </w:r>
      <w:r>
        <w:t>was</w:t>
      </w:r>
      <w:r w:rsidRPr="00291E5D">
        <w:t xml:space="preserve"> a more complex solution necessary? </w:t>
      </w:r>
    </w:p>
    <w:p w14:paraId="79308B32" w14:textId="77777777" w:rsidR="005E61D7" w:rsidRPr="00C1632D" w:rsidRDefault="005E61D7" w:rsidP="00D1174C">
      <w:pPr>
        <w:pStyle w:val="BodyTextMain"/>
        <w:rPr>
          <w:sz w:val="20"/>
        </w:rPr>
      </w:pPr>
    </w:p>
    <w:p w14:paraId="7346C67D" w14:textId="3F6B99CE" w:rsidR="001A3BCA" w:rsidRDefault="00D1174C" w:rsidP="00D1174C">
      <w:pPr>
        <w:pStyle w:val="BodyTextMain"/>
      </w:pPr>
      <w:r w:rsidRPr="00291E5D">
        <w:t>Opera Philadelphia’s leadership realized that the answer was in the data that led to the latest round of segmentation, targeting</w:t>
      </w:r>
      <w:r w:rsidR="00F73E85">
        <w:t>,</w:t>
      </w:r>
      <w:r w:rsidRPr="00291E5D">
        <w:t xml:space="preserve"> and positioning</w:t>
      </w:r>
      <w:r w:rsidR="00FC1C87">
        <w:t>.</w:t>
      </w:r>
      <w:r w:rsidRPr="00291E5D">
        <w:t xml:space="preserve"> The decision would lead to the creation and ratification of a new </w:t>
      </w:r>
      <w:r w:rsidR="00D460AF">
        <w:t>b</w:t>
      </w:r>
      <w:r w:rsidRPr="00291E5D">
        <w:t xml:space="preserve">usiness </w:t>
      </w:r>
      <w:r w:rsidR="00D460AF">
        <w:t>p</w:t>
      </w:r>
      <w:r w:rsidRPr="00291E5D">
        <w:t>lan</w:t>
      </w:r>
      <w:r w:rsidR="006C0926">
        <w:t xml:space="preserve"> </w:t>
      </w:r>
      <w:r w:rsidRPr="00291E5D">
        <w:t xml:space="preserve">along with provisional budgets for </w:t>
      </w:r>
      <w:r w:rsidR="00D460AF">
        <w:t>fiscal year</w:t>
      </w:r>
      <w:r w:rsidR="00746FDD">
        <w:t>s</w:t>
      </w:r>
      <w:r w:rsidR="00D460AF">
        <w:t xml:space="preserve"> 2016–19</w:t>
      </w:r>
      <w:r w:rsidRPr="00291E5D">
        <w:t>.</w:t>
      </w:r>
    </w:p>
    <w:p w14:paraId="37FCA72B" w14:textId="3138F2E2" w:rsidR="001A3BCA" w:rsidRDefault="0019078F" w:rsidP="0019078F">
      <w:pPr>
        <w:pStyle w:val="BodyTextMain"/>
      </w:pPr>
      <w:r>
        <w:rPr>
          <w:noProof/>
          <w:lang w:val="en-CA" w:eastAsia="en-CA"/>
        </w:rPr>
        <mc:AlternateContent>
          <mc:Choice Requires="wps">
            <w:drawing>
              <wp:anchor distT="45720" distB="45720" distL="114300" distR="114300" simplePos="0" relativeHeight="251659264" behindDoc="0" locked="0" layoutInCell="1" allowOverlap="1" wp14:anchorId="67001B53" wp14:editId="74AFC8CD">
                <wp:simplePos x="0" y="0"/>
                <wp:positionH relativeFrom="column">
                  <wp:posOffset>38100</wp:posOffset>
                </wp:positionH>
                <wp:positionV relativeFrom="paragraph">
                  <wp:posOffset>116840</wp:posOffset>
                </wp:positionV>
                <wp:extent cx="582930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solidFill>
                            <a:srgbClr val="000000"/>
                          </a:solidFill>
                          <a:miter lim="800000"/>
                          <a:headEnd/>
                          <a:tailEnd/>
                        </a:ln>
                      </wps:spPr>
                      <wps:txbx>
                        <w:txbxContent>
                          <w:p w14:paraId="5E527A37" w14:textId="6B00590A" w:rsidR="0019078F" w:rsidRPr="0019078F" w:rsidRDefault="0019078F" w:rsidP="00D544C3">
                            <w:pPr>
                              <w:pStyle w:val="Footnote"/>
                              <w:jc w:val="center"/>
                            </w:pPr>
                            <w:r w:rsidRPr="0019078F">
                              <w:t>The authors would like to thank graduate research assistants Cara Blouin and Alexandra Safir for their assistance in preparing this case.</w:t>
                            </w:r>
                          </w:p>
                          <w:p w14:paraId="1D2778BC" w14:textId="77777777" w:rsidR="0019078F" w:rsidRPr="0019078F" w:rsidRDefault="0019078F" w:rsidP="00D544C3">
                            <w:pPr>
                              <w:pStyle w:val="Footnote"/>
                              <w:jc w:val="center"/>
                            </w:pPr>
                          </w:p>
                          <w:p w14:paraId="09EA1FBA" w14:textId="43535EC2" w:rsidR="0019078F" w:rsidRDefault="0019078F" w:rsidP="00D544C3">
                            <w:pPr>
                              <w:pStyle w:val="Footnote"/>
                              <w:jc w:val="center"/>
                            </w:pPr>
                            <w:r w:rsidRPr="0019078F">
                              <w:t>The authors would also like to acknowledge Opera Philadelphia’s steadfast support that enabled writing this business case, which is rich with research outcomes and data from which students can learn. Opera Philadelphia truly embraced the author’s objective to educate college students on the importance of segmentation and understanding changing markets.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001B53" id="_x0000_t202" coordsize="21600,21600" o:spt="202" path="m,l,21600r21600,l21600,xe">
                <v:stroke joinstyle="miter"/>
                <v:path gradientshapeok="t" o:connecttype="rect"/>
              </v:shapetype>
              <v:shape id="Text Box 2" o:spid="_x0000_s1026" type="#_x0000_t202" style="position:absolute;left:0;text-align:left;margin-left:3pt;margin-top:9.2pt;width:45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">
                <v:textbox style="mso-fit-shape-to-text:t">
                  <w:txbxContent>
                    <w:p w14:paraId="5E527A37" w14:textId="6B00590A" w:rsidR="0019078F" w:rsidRPr="0019078F" w:rsidRDefault="0019078F" w:rsidP="00D544C3">
                      <w:pPr>
                        <w:pStyle w:val="Footnote"/>
                        <w:jc w:val="center"/>
                      </w:pPr>
                      <w:r w:rsidRPr="0019078F">
                        <w:t>The authors would like to thank graduate research assistants Cara Blouin and Alexandra Safir for their assistance in preparing this case.</w:t>
                      </w:r>
                    </w:p>
                    <w:p w14:paraId="1D2778BC" w14:textId="77777777" w:rsidR="0019078F" w:rsidRPr="0019078F" w:rsidRDefault="0019078F" w:rsidP="00D544C3">
                      <w:pPr>
                        <w:pStyle w:val="Footnote"/>
                        <w:jc w:val="center"/>
                      </w:pPr>
                    </w:p>
                    <w:p w14:paraId="09EA1FBA" w14:textId="43535EC2" w:rsidR="0019078F" w:rsidRDefault="0019078F" w:rsidP="00D544C3">
                      <w:pPr>
                        <w:pStyle w:val="Footnote"/>
                        <w:jc w:val="center"/>
                      </w:pPr>
                      <w:r w:rsidRPr="0019078F">
                        <w:t>The authors would also like to acknowledge Opera Philadelphia’s steadfast support that enabled writing this business case, which is rich with research outcomes and data from which students can learn. Opera Philadelphia truly embraced the author’s objective to educate college students on the importance of segmentation and understanding changing markets.</w:t>
                      </w:r>
                    </w:p>
                  </w:txbxContent>
                </v:textbox>
                <w10:wrap type="square"/>
              </v:shape>
            </w:pict>
          </mc:Fallback>
        </mc:AlternateContent>
      </w:r>
      <w:r w:rsidR="001A3BCA">
        <w:br w:type="page"/>
      </w:r>
    </w:p>
    <w:p w14:paraId="1E60E9CD" w14:textId="3C3BABE0" w:rsidR="00D1174C" w:rsidRDefault="005E61D7" w:rsidP="005E61D7">
      <w:pPr>
        <w:pStyle w:val="ExhibitHeading"/>
      </w:pPr>
      <w:r w:rsidRPr="005E61D7">
        <w:lastRenderedPageBreak/>
        <w:t>Exhibit 1: OPERA PHILADELPHIA REVENUE ANALYSIS</w:t>
      </w:r>
      <w:r w:rsidR="00D90FF3">
        <w:t xml:space="preserve"> (in USD)</w:t>
      </w:r>
    </w:p>
    <w:p w14:paraId="7A68B257" w14:textId="1325821C" w:rsidR="005E61D7" w:rsidRPr="005E61D7" w:rsidRDefault="005E61D7" w:rsidP="00413142">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8"/>
        <w:gridCol w:w="1353"/>
        <w:gridCol w:w="1352"/>
        <w:gridCol w:w="1352"/>
        <w:gridCol w:w="1352"/>
        <w:gridCol w:w="1353"/>
      </w:tblGrid>
      <w:tr w:rsidR="005E61D7" w:rsidRPr="005E61D7" w14:paraId="02B69ECC" w14:textId="77777777" w:rsidTr="00CD7044">
        <w:trPr>
          <w:trHeight w:val="288"/>
          <w:jc w:val="center"/>
        </w:trPr>
        <w:tc>
          <w:tcPr>
            <w:tcW w:w="2594" w:type="dxa"/>
            <w:tcBorders>
              <w:top w:val="single" w:sz="4" w:space="0" w:color="auto"/>
              <w:bottom w:val="single" w:sz="12" w:space="0" w:color="auto"/>
            </w:tcBorders>
            <w:noWrap/>
            <w:vAlign w:val="center"/>
            <w:hideMark/>
          </w:tcPr>
          <w:p w14:paraId="0BE38D07" w14:textId="12B143CA" w:rsidR="005E61D7" w:rsidRPr="005E61D7" w:rsidRDefault="005E61D7" w:rsidP="00CD7044">
            <w:pPr>
              <w:pStyle w:val="ExhibitText"/>
              <w:jc w:val="left"/>
              <w:rPr>
                <w:b/>
                <w:sz w:val="18"/>
                <w:szCs w:val="18"/>
              </w:rPr>
            </w:pPr>
            <w:r w:rsidRPr="005E61D7">
              <w:rPr>
                <w:b/>
                <w:sz w:val="18"/>
                <w:szCs w:val="18"/>
              </w:rPr>
              <w:t>Annual Forms 990</w:t>
            </w:r>
            <w:r w:rsidR="003D7337">
              <w:rPr>
                <w:b/>
                <w:sz w:val="18"/>
                <w:szCs w:val="18"/>
              </w:rPr>
              <w:t>*</w:t>
            </w:r>
          </w:p>
        </w:tc>
        <w:tc>
          <w:tcPr>
            <w:tcW w:w="1351" w:type="dxa"/>
            <w:tcBorders>
              <w:top w:val="single" w:sz="4" w:space="0" w:color="auto"/>
              <w:bottom w:val="single" w:sz="12" w:space="0" w:color="auto"/>
            </w:tcBorders>
            <w:noWrap/>
            <w:vAlign w:val="center"/>
            <w:hideMark/>
          </w:tcPr>
          <w:p w14:paraId="33A5EE4E" w14:textId="4FADC88F" w:rsidR="005E61D7" w:rsidRPr="005E61D7" w:rsidRDefault="005E61D7" w:rsidP="00CD7044">
            <w:pPr>
              <w:pStyle w:val="ExhibitText"/>
              <w:jc w:val="right"/>
              <w:rPr>
                <w:b/>
                <w:sz w:val="18"/>
                <w:szCs w:val="18"/>
              </w:rPr>
            </w:pPr>
            <w:r w:rsidRPr="005E61D7">
              <w:rPr>
                <w:b/>
                <w:sz w:val="18"/>
                <w:szCs w:val="18"/>
              </w:rPr>
              <w:t>2009</w:t>
            </w:r>
            <w:r w:rsidR="002E2F90">
              <w:rPr>
                <w:b/>
                <w:sz w:val="18"/>
                <w:szCs w:val="18"/>
              </w:rPr>
              <w:t>–</w:t>
            </w:r>
            <w:r w:rsidRPr="005E61D7">
              <w:rPr>
                <w:b/>
                <w:sz w:val="18"/>
                <w:szCs w:val="18"/>
              </w:rPr>
              <w:t>2010</w:t>
            </w:r>
          </w:p>
        </w:tc>
        <w:tc>
          <w:tcPr>
            <w:tcW w:w="1351" w:type="dxa"/>
            <w:tcBorders>
              <w:top w:val="single" w:sz="4" w:space="0" w:color="auto"/>
              <w:bottom w:val="single" w:sz="12" w:space="0" w:color="auto"/>
            </w:tcBorders>
            <w:noWrap/>
            <w:vAlign w:val="center"/>
            <w:hideMark/>
          </w:tcPr>
          <w:p w14:paraId="7FB3F8FA" w14:textId="23904B25" w:rsidR="005E61D7" w:rsidRPr="005E61D7" w:rsidRDefault="005E61D7" w:rsidP="00CD7044">
            <w:pPr>
              <w:pStyle w:val="ExhibitText"/>
              <w:jc w:val="right"/>
              <w:rPr>
                <w:b/>
                <w:sz w:val="18"/>
                <w:szCs w:val="18"/>
              </w:rPr>
            </w:pPr>
            <w:r w:rsidRPr="005E61D7">
              <w:rPr>
                <w:b/>
                <w:sz w:val="18"/>
                <w:szCs w:val="18"/>
              </w:rPr>
              <w:t>2010</w:t>
            </w:r>
            <w:r w:rsidR="002E2F90">
              <w:rPr>
                <w:b/>
                <w:sz w:val="18"/>
                <w:szCs w:val="18"/>
              </w:rPr>
              <w:t>–</w:t>
            </w:r>
            <w:r w:rsidRPr="005E61D7">
              <w:rPr>
                <w:b/>
                <w:sz w:val="18"/>
                <w:szCs w:val="18"/>
              </w:rPr>
              <w:t>2011</w:t>
            </w:r>
          </w:p>
        </w:tc>
        <w:tc>
          <w:tcPr>
            <w:tcW w:w="1351" w:type="dxa"/>
            <w:tcBorders>
              <w:top w:val="single" w:sz="4" w:space="0" w:color="auto"/>
              <w:bottom w:val="single" w:sz="12" w:space="0" w:color="auto"/>
            </w:tcBorders>
            <w:noWrap/>
            <w:vAlign w:val="center"/>
            <w:hideMark/>
          </w:tcPr>
          <w:p w14:paraId="36639C70" w14:textId="27591F78" w:rsidR="005E61D7" w:rsidRPr="005E61D7" w:rsidRDefault="005E61D7" w:rsidP="00CD7044">
            <w:pPr>
              <w:pStyle w:val="ExhibitText"/>
              <w:jc w:val="right"/>
              <w:rPr>
                <w:b/>
                <w:sz w:val="18"/>
                <w:szCs w:val="18"/>
              </w:rPr>
            </w:pPr>
            <w:r w:rsidRPr="005E61D7">
              <w:rPr>
                <w:b/>
                <w:sz w:val="18"/>
                <w:szCs w:val="18"/>
              </w:rPr>
              <w:t>2011</w:t>
            </w:r>
            <w:r w:rsidR="002E2F90">
              <w:rPr>
                <w:b/>
                <w:sz w:val="18"/>
                <w:szCs w:val="18"/>
              </w:rPr>
              <w:t>–</w:t>
            </w:r>
            <w:r w:rsidRPr="005E61D7">
              <w:rPr>
                <w:b/>
                <w:sz w:val="18"/>
                <w:szCs w:val="18"/>
              </w:rPr>
              <w:t>2012</w:t>
            </w:r>
          </w:p>
        </w:tc>
        <w:tc>
          <w:tcPr>
            <w:tcW w:w="1351" w:type="dxa"/>
            <w:tcBorders>
              <w:top w:val="single" w:sz="4" w:space="0" w:color="auto"/>
              <w:bottom w:val="single" w:sz="12" w:space="0" w:color="auto"/>
            </w:tcBorders>
            <w:noWrap/>
            <w:vAlign w:val="center"/>
            <w:hideMark/>
          </w:tcPr>
          <w:p w14:paraId="267533DB" w14:textId="00B99BD5" w:rsidR="005E61D7" w:rsidRPr="005E61D7" w:rsidRDefault="005E61D7" w:rsidP="00CD7044">
            <w:pPr>
              <w:pStyle w:val="ExhibitText"/>
              <w:jc w:val="right"/>
              <w:rPr>
                <w:b/>
                <w:sz w:val="18"/>
                <w:szCs w:val="18"/>
              </w:rPr>
            </w:pPr>
            <w:r w:rsidRPr="005E61D7">
              <w:rPr>
                <w:b/>
                <w:sz w:val="18"/>
                <w:szCs w:val="18"/>
              </w:rPr>
              <w:t>2012</w:t>
            </w:r>
            <w:r w:rsidR="002E2F90">
              <w:rPr>
                <w:b/>
                <w:sz w:val="18"/>
                <w:szCs w:val="18"/>
              </w:rPr>
              <w:t>–</w:t>
            </w:r>
            <w:r w:rsidRPr="005E61D7">
              <w:rPr>
                <w:b/>
                <w:sz w:val="18"/>
                <w:szCs w:val="18"/>
              </w:rPr>
              <w:t>2013</w:t>
            </w:r>
          </w:p>
        </w:tc>
        <w:tc>
          <w:tcPr>
            <w:tcW w:w="1352" w:type="dxa"/>
            <w:tcBorders>
              <w:top w:val="single" w:sz="4" w:space="0" w:color="auto"/>
              <w:bottom w:val="single" w:sz="12" w:space="0" w:color="auto"/>
            </w:tcBorders>
            <w:noWrap/>
            <w:vAlign w:val="center"/>
            <w:hideMark/>
          </w:tcPr>
          <w:p w14:paraId="795310C0" w14:textId="2B529218" w:rsidR="005E61D7" w:rsidRPr="005E61D7" w:rsidRDefault="005E61D7" w:rsidP="00CD7044">
            <w:pPr>
              <w:pStyle w:val="ExhibitText"/>
              <w:jc w:val="right"/>
              <w:rPr>
                <w:b/>
                <w:sz w:val="18"/>
                <w:szCs w:val="18"/>
              </w:rPr>
            </w:pPr>
            <w:r w:rsidRPr="005E61D7">
              <w:rPr>
                <w:b/>
                <w:sz w:val="18"/>
                <w:szCs w:val="18"/>
              </w:rPr>
              <w:t>2013</w:t>
            </w:r>
            <w:r w:rsidR="002E2F90">
              <w:rPr>
                <w:b/>
                <w:sz w:val="18"/>
                <w:szCs w:val="18"/>
              </w:rPr>
              <w:t>–</w:t>
            </w:r>
            <w:r w:rsidRPr="005E61D7">
              <w:rPr>
                <w:b/>
                <w:sz w:val="18"/>
                <w:szCs w:val="18"/>
              </w:rPr>
              <w:t>2014</w:t>
            </w:r>
          </w:p>
        </w:tc>
      </w:tr>
      <w:tr w:rsidR="005E61D7" w:rsidRPr="005E61D7" w14:paraId="006181DD" w14:textId="77777777" w:rsidTr="00CD7044">
        <w:trPr>
          <w:trHeight w:val="288"/>
          <w:jc w:val="center"/>
        </w:trPr>
        <w:tc>
          <w:tcPr>
            <w:tcW w:w="2594" w:type="dxa"/>
            <w:tcBorders>
              <w:top w:val="single" w:sz="12" w:space="0" w:color="auto"/>
            </w:tcBorders>
            <w:noWrap/>
            <w:vAlign w:val="center"/>
            <w:hideMark/>
          </w:tcPr>
          <w:p w14:paraId="32F6B421" w14:textId="77777777" w:rsidR="005E61D7" w:rsidRPr="005E61D7" w:rsidRDefault="005E61D7" w:rsidP="00CD7044">
            <w:pPr>
              <w:pStyle w:val="ExhibitText"/>
              <w:jc w:val="left"/>
              <w:rPr>
                <w:b/>
                <w:sz w:val="18"/>
                <w:szCs w:val="18"/>
              </w:rPr>
            </w:pPr>
            <w:r w:rsidRPr="005E61D7">
              <w:rPr>
                <w:b/>
                <w:sz w:val="18"/>
                <w:szCs w:val="18"/>
              </w:rPr>
              <w:t>Revenue</w:t>
            </w:r>
          </w:p>
        </w:tc>
        <w:tc>
          <w:tcPr>
            <w:tcW w:w="1351" w:type="dxa"/>
            <w:tcBorders>
              <w:top w:val="single" w:sz="12" w:space="0" w:color="auto"/>
            </w:tcBorders>
            <w:noWrap/>
            <w:vAlign w:val="center"/>
            <w:hideMark/>
          </w:tcPr>
          <w:p w14:paraId="3D691C6C" w14:textId="5B971BF0" w:rsidR="005E61D7" w:rsidRPr="005E61D7" w:rsidRDefault="005E61D7" w:rsidP="00CD7044">
            <w:pPr>
              <w:pStyle w:val="ExhibitText"/>
              <w:jc w:val="right"/>
              <w:rPr>
                <w:sz w:val="18"/>
                <w:szCs w:val="18"/>
              </w:rPr>
            </w:pPr>
          </w:p>
        </w:tc>
        <w:tc>
          <w:tcPr>
            <w:tcW w:w="1351" w:type="dxa"/>
            <w:tcBorders>
              <w:top w:val="single" w:sz="12" w:space="0" w:color="auto"/>
            </w:tcBorders>
            <w:noWrap/>
            <w:vAlign w:val="center"/>
            <w:hideMark/>
          </w:tcPr>
          <w:p w14:paraId="04744231" w14:textId="4F179F5A" w:rsidR="005E61D7" w:rsidRPr="005E61D7" w:rsidRDefault="005E61D7" w:rsidP="00CD7044">
            <w:pPr>
              <w:pStyle w:val="ExhibitText"/>
              <w:jc w:val="right"/>
              <w:rPr>
                <w:sz w:val="18"/>
                <w:szCs w:val="18"/>
              </w:rPr>
            </w:pPr>
          </w:p>
        </w:tc>
        <w:tc>
          <w:tcPr>
            <w:tcW w:w="1351" w:type="dxa"/>
            <w:tcBorders>
              <w:top w:val="single" w:sz="12" w:space="0" w:color="auto"/>
            </w:tcBorders>
            <w:noWrap/>
            <w:vAlign w:val="center"/>
            <w:hideMark/>
          </w:tcPr>
          <w:p w14:paraId="7B1BF4F0" w14:textId="58491F61" w:rsidR="005E61D7" w:rsidRPr="005E61D7" w:rsidRDefault="005E61D7" w:rsidP="00CD7044">
            <w:pPr>
              <w:pStyle w:val="ExhibitText"/>
              <w:jc w:val="right"/>
              <w:rPr>
                <w:sz w:val="18"/>
                <w:szCs w:val="18"/>
              </w:rPr>
            </w:pPr>
          </w:p>
        </w:tc>
        <w:tc>
          <w:tcPr>
            <w:tcW w:w="1351" w:type="dxa"/>
            <w:tcBorders>
              <w:top w:val="single" w:sz="12" w:space="0" w:color="auto"/>
            </w:tcBorders>
            <w:noWrap/>
            <w:vAlign w:val="center"/>
            <w:hideMark/>
          </w:tcPr>
          <w:p w14:paraId="7A90A2A8" w14:textId="0845A45C" w:rsidR="005E61D7" w:rsidRPr="005E61D7" w:rsidRDefault="005E61D7" w:rsidP="00CD7044">
            <w:pPr>
              <w:pStyle w:val="ExhibitText"/>
              <w:jc w:val="right"/>
              <w:rPr>
                <w:sz w:val="18"/>
                <w:szCs w:val="18"/>
              </w:rPr>
            </w:pPr>
          </w:p>
        </w:tc>
        <w:tc>
          <w:tcPr>
            <w:tcW w:w="1352" w:type="dxa"/>
            <w:tcBorders>
              <w:top w:val="single" w:sz="12" w:space="0" w:color="auto"/>
            </w:tcBorders>
            <w:noWrap/>
            <w:vAlign w:val="center"/>
            <w:hideMark/>
          </w:tcPr>
          <w:p w14:paraId="19BCF075" w14:textId="72BF01E9" w:rsidR="005E61D7" w:rsidRPr="005E61D7" w:rsidRDefault="005E61D7" w:rsidP="00CD7044">
            <w:pPr>
              <w:pStyle w:val="ExhibitText"/>
              <w:jc w:val="right"/>
              <w:rPr>
                <w:sz w:val="18"/>
                <w:szCs w:val="18"/>
              </w:rPr>
            </w:pPr>
          </w:p>
        </w:tc>
      </w:tr>
      <w:tr w:rsidR="005E61D7" w:rsidRPr="005E61D7" w14:paraId="2789AC48" w14:textId="77777777" w:rsidTr="00CD7044">
        <w:trPr>
          <w:trHeight w:val="288"/>
          <w:jc w:val="center"/>
        </w:trPr>
        <w:tc>
          <w:tcPr>
            <w:tcW w:w="2594" w:type="dxa"/>
            <w:noWrap/>
            <w:vAlign w:val="center"/>
            <w:hideMark/>
          </w:tcPr>
          <w:p w14:paraId="37BFA818" w14:textId="77777777" w:rsidR="005E61D7" w:rsidRPr="005E61D7" w:rsidRDefault="005E61D7" w:rsidP="00CD7044">
            <w:pPr>
              <w:pStyle w:val="ExhibitText"/>
              <w:jc w:val="left"/>
              <w:rPr>
                <w:b/>
                <w:sz w:val="18"/>
                <w:szCs w:val="18"/>
              </w:rPr>
            </w:pPr>
            <w:r w:rsidRPr="005E61D7">
              <w:rPr>
                <w:b/>
                <w:sz w:val="18"/>
                <w:szCs w:val="18"/>
              </w:rPr>
              <w:t>Contributions</w:t>
            </w:r>
          </w:p>
        </w:tc>
        <w:tc>
          <w:tcPr>
            <w:tcW w:w="1351" w:type="dxa"/>
            <w:noWrap/>
            <w:vAlign w:val="center"/>
            <w:hideMark/>
          </w:tcPr>
          <w:p w14:paraId="4EA06C06" w14:textId="1EB802C4" w:rsidR="005E61D7" w:rsidRPr="005E61D7" w:rsidRDefault="005E61D7" w:rsidP="00CD7044">
            <w:pPr>
              <w:pStyle w:val="ExhibitText"/>
              <w:jc w:val="right"/>
              <w:rPr>
                <w:sz w:val="18"/>
                <w:szCs w:val="18"/>
              </w:rPr>
            </w:pPr>
            <w:r w:rsidRPr="005E61D7">
              <w:rPr>
                <w:sz w:val="18"/>
                <w:szCs w:val="18"/>
              </w:rPr>
              <w:t>$4,184,712</w:t>
            </w:r>
          </w:p>
        </w:tc>
        <w:tc>
          <w:tcPr>
            <w:tcW w:w="1351" w:type="dxa"/>
            <w:noWrap/>
            <w:vAlign w:val="center"/>
            <w:hideMark/>
          </w:tcPr>
          <w:p w14:paraId="7B5CF918" w14:textId="1BFC2071" w:rsidR="005E61D7" w:rsidRPr="005E61D7" w:rsidRDefault="005E61D7" w:rsidP="00CD7044">
            <w:pPr>
              <w:pStyle w:val="ExhibitText"/>
              <w:jc w:val="right"/>
              <w:rPr>
                <w:sz w:val="18"/>
                <w:szCs w:val="18"/>
              </w:rPr>
            </w:pPr>
            <w:r w:rsidRPr="005E61D7">
              <w:rPr>
                <w:sz w:val="18"/>
                <w:szCs w:val="18"/>
              </w:rPr>
              <w:t>$9,766,866</w:t>
            </w:r>
          </w:p>
        </w:tc>
        <w:tc>
          <w:tcPr>
            <w:tcW w:w="1351" w:type="dxa"/>
            <w:noWrap/>
            <w:vAlign w:val="center"/>
            <w:hideMark/>
          </w:tcPr>
          <w:p w14:paraId="38CD0288" w14:textId="26F5FBC0" w:rsidR="005E61D7" w:rsidRPr="005E61D7" w:rsidRDefault="005E61D7" w:rsidP="00CD7044">
            <w:pPr>
              <w:pStyle w:val="ExhibitText"/>
              <w:jc w:val="right"/>
              <w:rPr>
                <w:sz w:val="18"/>
                <w:szCs w:val="18"/>
              </w:rPr>
            </w:pPr>
            <w:r w:rsidRPr="005E61D7">
              <w:rPr>
                <w:sz w:val="18"/>
                <w:szCs w:val="18"/>
              </w:rPr>
              <w:t>$9,645,480</w:t>
            </w:r>
          </w:p>
        </w:tc>
        <w:tc>
          <w:tcPr>
            <w:tcW w:w="1351" w:type="dxa"/>
            <w:noWrap/>
            <w:vAlign w:val="center"/>
            <w:hideMark/>
          </w:tcPr>
          <w:p w14:paraId="2BE6FC24" w14:textId="7CF46841" w:rsidR="005E61D7" w:rsidRPr="005E61D7" w:rsidRDefault="005E61D7" w:rsidP="00CD7044">
            <w:pPr>
              <w:pStyle w:val="ExhibitText"/>
              <w:jc w:val="right"/>
              <w:rPr>
                <w:sz w:val="18"/>
                <w:szCs w:val="18"/>
              </w:rPr>
            </w:pPr>
            <w:r w:rsidRPr="005E61D7">
              <w:rPr>
                <w:sz w:val="18"/>
                <w:szCs w:val="18"/>
              </w:rPr>
              <w:t>$7,596,066</w:t>
            </w:r>
          </w:p>
        </w:tc>
        <w:tc>
          <w:tcPr>
            <w:tcW w:w="1352" w:type="dxa"/>
            <w:noWrap/>
            <w:vAlign w:val="center"/>
            <w:hideMark/>
          </w:tcPr>
          <w:p w14:paraId="5763B7A9" w14:textId="04B3118B" w:rsidR="005E61D7" w:rsidRPr="005E61D7" w:rsidRDefault="005E61D7" w:rsidP="00CD7044">
            <w:pPr>
              <w:pStyle w:val="ExhibitText"/>
              <w:jc w:val="right"/>
              <w:rPr>
                <w:sz w:val="18"/>
                <w:szCs w:val="18"/>
              </w:rPr>
            </w:pPr>
            <w:r w:rsidRPr="005E61D7">
              <w:rPr>
                <w:sz w:val="18"/>
                <w:szCs w:val="18"/>
              </w:rPr>
              <w:t>$7,424,834</w:t>
            </w:r>
          </w:p>
        </w:tc>
      </w:tr>
      <w:tr w:rsidR="005E61D7" w:rsidRPr="005E61D7" w14:paraId="29125853" w14:textId="77777777" w:rsidTr="00CD7044">
        <w:trPr>
          <w:trHeight w:val="288"/>
          <w:jc w:val="center"/>
        </w:trPr>
        <w:tc>
          <w:tcPr>
            <w:tcW w:w="2594" w:type="dxa"/>
            <w:noWrap/>
            <w:vAlign w:val="center"/>
            <w:hideMark/>
          </w:tcPr>
          <w:p w14:paraId="67A3107C" w14:textId="645A6BF6" w:rsidR="005E61D7" w:rsidRPr="005E61D7" w:rsidRDefault="005E61D7" w:rsidP="00CD7044">
            <w:pPr>
              <w:pStyle w:val="ExhibitText"/>
              <w:jc w:val="left"/>
              <w:rPr>
                <w:b/>
                <w:sz w:val="18"/>
                <w:szCs w:val="18"/>
              </w:rPr>
            </w:pPr>
            <w:r w:rsidRPr="005E61D7">
              <w:rPr>
                <w:b/>
                <w:sz w:val="18"/>
                <w:szCs w:val="18"/>
              </w:rPr>
              <w:t xml:space="preserve">Program </w:t>
            </w:r>
            <w:r w:rsidR="00544CD3" w:rsidRPr="005E61D7">
              <w:rPr>
                <w:b/>
                <w:sz w:val="18"/>
                <w:szCs w:val="18"/>
              </w:rPr>
              <w:t>Services</w:t>
            </w:r>
          </w:p>
        </w:tc>
        <w:tc>
          <w:tcPr>
            <w:tcW w:w="1351" w:type="dxa"/>
            <w:noWrap/>
            <w:vAlign w:val="center"/>
            <w:hideMark/>
          </w:tcPr>
          <w:p w14:paraId="75BC4613" w14:textId="0438ED25" w:rsidR="005E61D7" w:rsidRPr="005E61D7" w:rsidRDefault="005E61D7" w:rsidP="00CD7044">
            <w:pPr>
              <w:pStyle w:val="ExhibitText"/>
              <w:jc w:val="right"/>
              <w:rPr>
                <w:sz w:val="18"/>
                <w:szCs w:val="18"/>
              </w:rPr>
            </w:pPr>
            <w:r w:rsidRPr="005E61D7">
              <w:rPr>
                <w:sz w:val="18"/>
                <w:szCs w:val="18"/>
              </w:rPr>
              <w:t>$2,384,843</w:t>
            </w:r>
          </w:p>
        </w:tc>
        <w:tc>
          <w:tcPr>
            <w:tcW w:w="1351" w:type="dxa"/>
            <w:noWrap/>
            <w:vAlign w:val="center"/>
            <w:hideMark/>
          </w:tcPr>
          <w:p w14:paraId="52D94FB8" w14:textId="7F5ABFA5" w:rsidR="005E61D7" w:rsidRPr="005E61D7" w:rsidRDefault="005E61D7" w:rsidP="00CD7044">
            <w:pPr>
              <w:pStyle w:val="ExhibitText"/>
              <w:jc w:val="right"/>
              <w:rPr>
                <w:sz w:val="18"/>
                <w:szCs w:val="18"/>
              </w:rPr>
            </w:pPr>
            <w:r w:rsidRPr="005E61D7">
              <w:rPr>
                <w:sz w:val="18"/>
                <w:szCs w:val="18"/>
              </w:rPr>
              <w:t>$2,470,918</w:t>
            </w:r>
          </w:p>
        </w:tc>
        <w:tc>
          <w:tcPr>
            <w:tcW w:w="1351" w:type="dxa"/>
            <w:noWrap/>
            <w:vAlign w:val="center"/>
            <w:hideMark/>
          </w:tcPr>
          <w:p w14:paraId="75D439C1" w14:textId="7E64662A" w:rsidR="005E61D7" w:rsidRPr="005E61D7" w:rsidRDefault="005E61D7" w:rsidP="00CD7044">
            <w:pPr>
              <w:pStyle w:val="ExhibitText"/>
              <w:jc w:val="right"/>
              <w:rPr>
                <w:sz w:val="18"/>
                <w:szCs w:val="18"/>
              </w:rPr>
            </w:pPr>
            <w:r w:rsidRPr="005E61D7">
              <w:rPr>
                <w:sz w:val="18"/>
                <w:szCs w:val="18"/>
              </w:rPr>
              <w:t>$2,330,530</w:t>
            </w:r>
          </w:p>
        </w:tc>
        <w:tc>
          <w:tcPr>
            <w:tcW w:w="1351" w:type="dxa"/>
            <w:noWrap/>
            <w:vAlign w:val="center"/>
            <w:hideMark/>
          </w:tcPr>
          <w:p w14:paraId="69B8A13D" w14:textId="02645D71" w:rsidR="005E61D7" w:rsidRPr="005E61D7" w:rsidRDefault="005E61D7" w:rsidP="00CD7044">
            <w:pPr>
              <w:pStyle w:val="ExhibitText"/>
              <w:jc w:val="right"/>
              <w:rPr>
                <w:sz w:val="18"/>
                <w:szCs w:val="18"/>
              </w:rPr>
            </w:pPr>
            <w:r w:rsidRPr="005E61D7">
              <w:rPr>
                <w:sz w:val="18"/>
                <w:szCs w:val="18"/>
              </w:rPr>
              <w:t>$2,585,162</w:t>
            </w:r>
          </w:p>
        </w:tc>
        <w:tc>
          <w:tcPr>
            <w:tcW w:w="1352" w:type="dxa"/>
            <w:noWrap/>
            <w:vAlign w:val="center"/>
            <w:hideMark/>
          </w:tcPr>
          <w:p w14:paraId="6B0E9260" w14:textId="6F86BA42" w:rsidR="005E61D7" w:rsidRPr="005E61D7" w:rsidRDefault="005E61D7" w:rsidP="00CD7044">
            <w:pPr>
              <w:pStyle w:val="ExhibitText"/>
              <w:jc w:val="right"/>
              <w:rPr>
                <w:sz w:val="18"/>
                <w:szCs w:val="18"/>
              </w:rPr>
            </w:pPr>
            <w:r w:rsidRPr="005E61D7">
              <w:rPr>
                <w:sz w:val="18"/>
                <w:szCs w:val="18"/>
              </w:rPr>
              <w:t>$2,243,808</w:t>
            </w:r>
          </w:p>
        </w:tc>
      </w:tr>
      <w:tr w:rsidR="005E61D7" w:rsidRPr="005E61D7" w14:paraId="64529086" w14:textId="77777777" w:rsidTr="00CD7044">
        <w:trPr>
          <w:trHeight w:val="288"/>
          <w:jc w:val="center"/>
        </w:trPr>
        <w:tc>
          <w:tcPr>
            <w:tcW w:w="2594" w:type="dxa"/>
            <w:noWrap/>
            <w:vAlign w:val="center"/>
            <w:hideMark/>
          </w:tcPr>
          <w:p w14:paraId="3FD32DE9" w14:textId="77777777" w:rsidR="005E61D7" w:rsidRPr="005E61D7" w:rsidRDefault="005E61D7" w:rsidP="00CD7044">
            <w:pPr>
              <w:pStyle w:val="ExhibitText"/>
              <w:jc w:val="left"/>
              <w:rPr>
                <w:b/>
                <w:sz w:val="18"/>
                <w:szCs w:val="18"/>
              </w:rPr>
            </w:pPr>
            <w:r w:rsidRPr="005E61D7">
              <w:rPr>
                <w:b/>
                <w:sz w:val="18"/>
                <w:szCs w:val="18"/>
              </w:rPr>
              <w:t>Total Revenue</w:t>
            </w:r>
          </w:p>
        </w:tc>
        <w:tc>
          <w:tcPr>
            <w:tcW w:w="1351" w:type="dxa"/>
            <w:noWrap/>
            <w:vAlign w:val="center"/>
            <w:hideMark/>
          </w:tcPr>
          <w:p w14:paraId="2395219B" w14:textId="66063139" w:rsidR="005E61D7" w:rsidRPr="005E61D7" w:rsidRDefault="005E61D7" w:rsidP="00CD7044">
            <w:pPr>
              <w:pStyle w:val="ExhibitText"/>
              <w:jc w:val="right"/>
              <w:rPr>
                <w:sz w:val="18"/>
                <w:szCs w:val="18"/>
              </w:rPr>
            </w:pPr>
            <w:r w:rsidRPr="005E61D7">
              <w:rPr>
                <w:sz w:val="18"/>
                <w:szCs w:val="18"/>
              </w:rPr>
              <w:t>$6,569,555</w:t>
            </w:r>
          </w:p>
        </w:tc>
        <w:tc>
          <w:tcPr>
            <w:tcW w:w="1351" w:type="dxa"/>
            <w:noWrap/>
            <w:vAlign w:val="center"/>
            <w:hideMark/>
          </w:tcPr>
          <w:p w14:paraId="2B37089B" w14:textId="6FD66CE2" w:rsidR="005E61D7" w:rsidRPr="005E61D7" w:rsidRDefault="005E61D7" w:rsidP="00CD7044">
            <w:pPr>
              <w:pStyle w:val="ExhibitText"/>
              <w:jc w:val="right"/>
              <w:rPr>
                <w:sz w:val="18"/>
                <w:szCs w:val="18"/>
              </w:rPr>
            </w:pPr>
            <w:r w:rsidRPr="005E61D7">
              <w:rPr>
                <w:sz w:val="18"/>
                <w:szCs w:val="18"/>
              </w:rPr>
              <w:t>$12,237,784</w:t>
            </w:r>
          </w:p>
        </w:tc>
        <w:tc>
          <w:tcPr>
            <w:tcW w:w="1351" w:type="dxa"/>
            <w:noWrap/>
            <w:vAlign w:val="center"/>
            <w:hideMark/>
          </w:tcPr>
          <w:p w14:paraId="7951FF37" w14:textId="588EC224" w:rsidR="005E61D7" w:rsidRPr="005E61D7" w:rsidRDefault="005E61D7" w:rsidP="00CD7044">
            <w:pPr>
              <w:pStyle w:val="ExhibitText"/>
              <w:jc w:val="right"/>
              <w:rPr>
                <w:sz w:val="18"/>
                <w:szCs w:val="18"/>
              </w:rPr>
            </w:pPr>
            <w:r w:rsidRPr="005E61D7">
              <w:rPr>
                <w:sz w:val="18"/>
                <w:szCs w:val="18"/>
              </w:rPr>
              <w:t>$11,976,010</w:t>
            </w:r>
          </w:p>
        </w:tc>
        <w:tc>
          <w:tcPr>
            <w:tcW w:w="1351" w:type="dxa"/>
            <w:noWrap/>
            <w:vAlign w:val="center"/>
            <w:hideMark/>
          </w:tcPr>
          <w:p w14:paraId="59B8EA2C" w14:textId="6CC54DB2" w:rsidR="005E61D7" w:rsidRPr="005E61D7" w:rsidRDefault="005E61D7" w:rsidP="00CD7044">
            <w:pPr>
              <w:pStyle w:val="ExhibitText"/>
              <w:jc w:val="right"/>
              <w:rPr>
                <w:sz w:val="18"/>
                <w:szCs w:val="18"/>
              </w:rPr>
            </w:pPr>
            <w:r w:rsidRPr="005E61D7">
              <w:rPr>
                <w:sz w:val="18"/>
                <w:szCs w:val="18"/>
              </w:rPr>
              <w:t>$10,181,228</w:t>
            </w:r>
          </w:p>
        </w:tc>
        <w:tc>
          <w:tcPr>
            <w:tcW w:w="1352" w:type="dxa"/>
            <w:noWrap/>
            <w:vAlign w:val="center"/>
            <w:hideMark/>
          </w:tcPr>
          <w:p w14:paraId="25FC8A4E" w14:textId="5F828ABD" w:rsidR="005E61D7" w:rsidRPr="005E61D7" w:rsidRDefault="005E61D7" w:rsidP="00CD7044">
            <w:pPr>
              <w:pStyle w:val="ExhibitText"/>
              <w:jc w:val="right"/>
              <w:rPr>
                <w:sz w:val="18"/>
                <w:szCs w:val="18"/>
              </w:rPr>
            </w:pPr>
            <w:r w:rsidRPr="005E61D7">
              <w:rPr>
                <w:sz w:val="18"/>
                <w:szCs w:val="18"/>
              </w:rPr>
              <w:t>$9,668,642</w:t>
            </w:r>
          </w:p>
        </w:tc>
      </w:tr>
      <w:tr w:rsidR="005E61D7" w:rsidRPr="005E61D7" w14:paraId="31C1EF79" w14:textId="77777777" w:rsidTr="00CD7044">
        <w:trPr>
          <w:trHeight w:val="288"/>
          <w:jc w:val="center"/>
        </w:trPr>
        <w:tc>
          <w:tcPr>
            <w:tcW w:w="2594" w:type="dxa"/>
            <w:noWrap/>
            <w:vAlign w:val="center"/>
            <w:hideMark/>
          </w:tcPr>
          <w:p w14:paraId="4E7F5BBD" w14:textId="0D00C38B" w:rsidR="005E61D7" w:rsidRPr="005E61D7" w:rsidRDefault="005E61D7" w:rsidP="00CD7044">
            <w:pPr>
              <w:pStyle w:val="ExhibitText"/>
              <w:jc w:val="left"/>
              <w:rPr>
                <w:b/>
                <w:sz w:val="18"/>
                <w:szCs w:val="18"/>
              </w:rPr>
            </w:pPr>
            <w:r w:rsidRPr="005E61D7">
              <w:rPr>
                <w:b/>
                <w:sz w:val="18"/>
                <w:szCs w:val="18"/>
              </w:rPr>
              <w:t xml:space="preserve">Total </w:t>
            </w:r>
            <w:r w:rsidR="00544CD3" w:rsidRPr="005E61D7">
              <w:rPr>
                <w:b/>
                <w:sz w:val="18"/>
                <w:szCs w:val="18"/>
              </w:rPr>
              <w:t>Revenue</w:t>
            </w:r>
            <w:r w:rsidRPr="005E61D7">
              <w:rPr>
                <w:b/>
                <w:sz w:val="18"/>
                <w:szCs w:val="18"/>
              </w:rPr>
              <w:t xml:space="preserve"> </w:t>
            </w:r>
            <w:r w:rsidR="00544CD3" w:rsidRPr="005E61D7">
              <w:rPr>
                <w:b/>
                <w:sz w:val="18"/>
                <w:szCs w:val="18"/>
              </w:rPr>
              <w:t>Variance</w:t>
            </w:r>
          </w:p>
        </w:tc>
        <w:tc>
          <w:tcPr>
            <w:tcW w:w="1351" w:type="dxa"/>
            <w:noWrap/>
            <w:vAlign w:val="center"/>
            <w:hideMark/>
          </w:tcPr>
          <w:p w14:paraId="06EF538E" w14:textId="24B93318" w:rsidR="005E61D7" w:rsidRPr="005E61D7" w:rsidRDefault="005E61D7" w:rsidP="00CD7044">
            <w:pPr>
              <w:pStyle w:val="ExhibitText"/>
              <w:jc w:val="right"/>
              <w:rPr>
                <w:sz w:val="18"/>
                <w:szCs w:val="18"/>
              </w:rPr>
            </w:pPr>
          </w:p>
        </w:tc>
        <w:tc>
          <w:tcPr>
            <w:tcW w:w="1351" w:type="dxa"/>
            <w:noWrap/>
            <w:vAlign w:val="center"/>
            <w:hideMark/>
          </w:tcPr>
          <w:p w14:paraId="266525A9" w14:textId="77777777" w:rsidR="005E61D7" w:rsidRPr="005E61D7" w:rsidRDefault="005E61D7" w:rsidP="00CD7044">
            <w:pPr>
              <w:pStyle w:val="ExhibitText"/>
              <w:jc w:val="right"/>
              <w:rPr>
                <w:sz w:val="18"/>
                <w:szCs w:val="18"/>
              </w:rPr>
            </w:pPr>
            <w:r w:rsidRPr="005E61D7">
              <w:rPr>
                <w:sz w:val="18"/>
                <w:szCs w:val="18"/>
              </w:rPr>
              <w:t>86%</w:t>
            </w:r>
          </w:p>
        </w:tc>
        <w:tc>
          <w:tcPr>
            <w:tcW w:w="1351" w:type="dxa"/>
            <w:noWrap/>
            <w:vAlign w:val="center"/>
            <w:hideMark/>
          </w:tcPr>
          <w:p w14:paraId="11628B48" w14:textId="22D71EA4" w:rsidR="005E61D7" w:rsidRPr="005E61D7" w:rsidRDefault="004B506B" w:rsidP="00CD7044">
            <w:pPr>
              <w:pStyle w:val="ExhibitText"/>
              <w:jc w:val="right"/>
              <w:rPr>
                <w:sz w:val="18"/>
                <w:szCs w:val="18"/>
              </w:rPr>
            </w:pPr>
            <w:r>
              <w:rPr>
                <w:sz w:val="18"/>
                <w:szCs w:val="18"/>
              </w:rPr>
              <w:t>−</w:t>
            </w:r>
            <w:r w:rsidR="005E61D7" w:rsidRPr="005E61D7">
              <w:rPr>
                <w:sz w:val="18"/>
                <w:szCs w:val="18"/>
              </w:rPr>
              <w:t>2%</w:t>
            </w:r>
          </w:p>
        </w:tc>
        <w:tc>
          <w:tcPr>
            <w:tcW w:w="1351" w:type="dxa"/>
            <w:noWrap/>
            <w:vAlign w:val="center"/>
            <w:hideMark/>
          </w:tcPr>
          <w:p w14:paraId="0C85F631" w14:textId="6DFD19C7" w:rsidR="005E61D7" w:rsidRPr="005E61D7" w:rsidRDefault="004B506B" w:rsidP="00CD7044">
            <w:pPr>
              <w:pStyle w:val="ExhibitText"/>
              <w:jc w:val="right"/>
              <w:rPr>
                <w:sz w:val="18"/>
                <w:szCs w:val="18"/>
              </w:rPr>
            </w:pPr>
            <w:r>
              <w:rPr>
                <w:sz w:val="18"/>
                <w:szCs w:val="18"/>
              </w:rPr>
              <w:t>−</w:t>
            </w:r>
            <w:r w:rsidR="005E61D7" w:rsidRPr="005E61D7">
              <w:rPr>
                <w:sz w:val="18"/>
                <w:szCs w:val="18"/>
              </w:rPr>
              <w:t>15%</w:t>
            </w:r>
          </w:p>
        </w:tc>
        <w:tc>
          <w:tcPr>
            <w:tcW w:w="1352" w:type="dxa"/>
            <w:noWrap/>
            <w:vAlign w:val="center"/>
            <w:hideMark/>
          </w:tcPr>
          <w:p w14:paraId="0A426FA6" w14:textId="566D6F25" w:rsidR="005E61D7" w:rsidRPr="005E61D7" w:rsidRDefault="00C9322D" w:rsidP="00CD7044">
            <w:pPr>
              <w:pStyle w:val="ExhibitText"/>
              <w:jc w:val="right"/>
              <w:rPr>
                <w:sz w:val="18"/>
                <w:szCs w:val="18"/>
              </w:rPr>
            </w:pPr>
            <w:r>
              <w:rPr>
                <w:sz w:val="18"/>
                <w:szCs w:val="18"/>
              </w:rPr>
              <w:t>−</w:t>
            </w:r>
            <w:r w:rsidR="005E61D7" w:rsidRPr="005E61D7">
              <w:rPr>
                <w:sz w:val="18"/>
                <w:szCs w:val="18"/>
              </w:rPr>
              <w:t>5%</w:t>
            </w:r>
          </w:p>
        </w:tc>
      </w:tr>
    </w:tbl>
    <w:p w14:paraId="20FD2E56" w14:textId="11152755" w:rsidR="005E61D7" w:rsidRPr="005E61D7" w:rsidRDefault="005E61D7" w:rsidP="00413142">
      <w:pPr>
        <w:pStyle w:val="ExhibitText"/>
      </w:pPr>
    </w:p>
    <w:p w14:paraId="34DA72DC" w14:textId="3BBA0E70" w:rsidR="003D7337" w:rsidRDefault="00747535" w:rsidP="003D7337">
      <w:pPr>
        <w:pStyle w:val="Footnote"/>
        <w:rPr>
          <w:shd w:val="clear" w:color="auto" w:fill="FFFFFF"/>
        </w:rPr>
      </w:pPr>
      <w:r>
        <w:t xml:space="preserve">Note: </w:t>
      </w:r>
      <w:r w:rsidR="002E2F90">
        <w:t xml:space="preserve">= </w:t>
      </w:r>
      <w:r w:rsidR="003D7337">
        <w:rPr>
          <w:shd w:val="clear" w:color="auto" w:fill="FFFFFF"/>
        </w:rPr>
        <w:t xml:space="preserve">Tax-exempt organizations and nonexempt charitable trusts organizations file </w:t>
      </w:r>
      <w:r w:rsidR="003D7337">
        <w:t xml:space="preserve">Form 990 </w:t>
      </w:r>
      <w:r w:rsidR="003D7337">
        <w:rPr>
          <w:shd w:val="clear" w:color="auto" w:fill="FFFFFF"/>
        </w:rPr>
        <w:t>to provide required financial information to the IRS. “</w:t>
      </w:r>
      <w:r w:rsidR="003D7337" w:rsidRPr="003D7337">
        <w:rPr>
          <w:bCs/>
          <w:shd w:val="clear" w:color="auto" w:fill="FFFFFF"/>
          <w:lang w:val="en-CA"/>
        </w:rPr>
        <w:t>About Form 990, Return of Organization Exempt from Income Tax</w:t>
      </w:r>
      <w:r w:rsidR="003D7337">
        <w:rPr>
          <w:bCs/>
          <w:shd w:val="clear" w:color="auto" w:fill="FFFFFF"/>
          <w:lang w:val="en-CA"/>
        </w:rPr>
        <w:t xml:space="preserve">,” IRS, accessed August 14, 2019, </w:t>
      </w:r>
    </w:p>
    <w:p w14:paraId="3B75213D" w14:textId="11C82989" w:rsidR="003D7337" w:rsidRDefault="003D7337" w:rsidP="003D7337">
      <w:pPr>
        <w:pStyle w:val="Footnote"/>
      </w:pPr>
      <w:r w:rsidRPr="003D7337">
        <w:t>https://www.irs.gov/forms-pubs/about-form-990</w:t>
      </w:r>
      <w:r>
        <w:t>.</w:t>
      </w:r>
    </w:p>
    <w:p w14:paraId="65E03491" w14:textId="3F56D6D7" w:rsidR="005E61D7" w:rsidRPr="00C67FDD" w:rsidRDefault="005E61D7" w:rsidP="00413142">
      <w:pPr>
        <w:pStyle w:val="ExhibitText"/>
      </w:pPr>
    </w:p>
    <w:p w14:paraId="017CD784" w14:textId="2EFE54F0" w:rsidR="005E61D7" w:rsidRPr="00C67FDD" w:rsidRDefault="005E61D7" w:rsidP="00413142">
      <w:pPr>
        <w:pStyle w:val="ExhibitText"/>
      </w:pPr>
    </w:p>
    <w:p w14:paraId="6E0D5360" w14:textId="3A8343AE" w:rsidR="005E61D7" w:rsidRDefault="005E61D7" w:rsidP="00896A87">
      <w:pPr>
        <w:pStyle w:val="ExhibitHeading"/>
        <w:keepNext w:val="0"/>
      </w:pPr>
      <w:r w:rsidRPr="005C3564">
        <w:t>EXHIBIT</w:t>
      </w:r>
      <w:r w:rsidR="001C605E">
        <w:t>s</w:t>
      </w:r>
      <w:r>
        <w:t xml:space="preserve"> </w:t>
      </w:r>
      <w:r w:rsidRPr="005C3564">
        <w:t xml:space="preserve">2A </w:t>
      </w:r>
      <w:r>
        <w:t>and</w:t>
      </w:r>
      <w:r w:rsidRPr="005C3564">
        <w:t xml:space="preserve"> 2B: SUBSCRIBER AND SINGLE</w:t>
      </w:r>
      <w:r w:rsidR="00327CB8">
        <w:t>-</w:t>
      </w:r>
      <w:r w:rsidRPr="005C3564">
        <w:t>TICKET BUYER HOUSEHOLDS (HH)</w:t>
      </w:r>
    </w:p>
    <w:p w14:paraId="1BDB19FA" w14:textId="6D07ECA5" w:rsidR="005E61D7" w:rsidRDefault="005E61D7" w:rsidP="00413142">
      <w:pPr>
        <w:pStyle w:val="ExhibitText"/>
      </w:pPr>
    </w:p>
    <w:p w14:paraId="640E6270" w14:textId="6B43A042" w:rsidR="00C67FDD" w:rsidRDefault="00C67FDD" w:rsidP="00C67FDD">
      <w:pPr>
        <w:pStyle w:val="Casehead2"/>
        <w:numPr>
          <w:ilvl w:val="0"/>
          <w:numId w:val="15"/>
        </w:numPr>
      </w:pPr>
      <w:r>
        <w:t>Churn: HH Subscriber by Cohort</w:t>
      </w:r>
    </w:p>
    <w:p w14:paraId="03FC0C5C" w14:textId="77777777" w:rsidR="00C67FDD" w:rsidRDefault="00C67FDD" w:rsidP="00413142">
      <w:pPr>
        <w:pStyle w:val="ExhibitText"/>
      </w:pPr>
    </w:p>
    <w:p w14:paraId="2D015939" w14:textId="3BA6A971" w:rsidR="00C67FDD" w:rsidRDefault="00C67FDD" w:rsidP="00413142">
      <w:pPr>
        <w:pStyle w:val="ExhibitText"/>
        <w:jc w:val="center"/>
      </w:pPr>
      <w:r>
        <w:rPr>
          <w:noProof/>
          <w:lang w:val="en-CA" w:eastAsia="en-CA"/>
        </w:rPr>
        <w:drawing>
          <wp:inline distT="0" distB="0" distL="0" distR="0" wp14:anchorId="03BF2FFE" wp14:editId="3C0CCA77">
            <wp:extent cx="6042660" cy="4905955"/>
            <wp:effectExtent l="0" t="0" r="15240" b="9525"/>
            <wp:docPr id="2" name="Chart 2">
              <a:extLst xmlns:a="http://schemas.openxmlformats.org/drawingml/2006/main">
                <a:ext uri="{FF2B5EF4-FFF2-40B4-BE49-F238E27FC236}">
                  <a16:creationId xmlns:a16="http://schemas.microsoft.com/office/drawing/2014/main" id="{E424DFE6-9E04-4506-BA11-D2C9771F22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A7DE84" w14:textId="6DD8AD49" w:rsidR="00C67FDD" w:rsidRDefault="00C67FDD" w:rsidP="00413142">
      <w:pPr>
        <w:pStyle w:val="ExhibitText"/>
      </w:pPr>
    </w:p>
    <w:p w14:paraId="31875788" w14:textId="5362EE12" w:rsidR="00C67FDD" w:rsidRDefault="00C67FDD" w:rsidP="008B2E40">
      <w:pPr>
        <w:pStyle w:val="ExhibitHeading"/>
      </w:pPr>
      <w:r>
        <w:lastRenderedPageBreak/>
        <w:t>Exhibit 2: Continued</w:t>
      </w:r>
    </w:p>
    <w:p w14:paraId="68A66DFE" w14:textId="77777777" w:rsidR="00C67FDD" w:rsidRDefault="00C67FDD" w:rsidP="00413142">
      <w:pPr>
        <w:pStyle w:val="ExhibitText"/>
      </w:pPr>
    </w:p>
    <w:p w14:paraId="7C966609" w14:textId="09091EBD" w:rsidR="00C67FDD" w:rsidRDefault="00C67FDD" w:rsidP="00C67FDD">
      <w:pPr>
        <w:pStyle w:val="Casehead2"/>
        <w:numPr>
          <w:ilvl w:val="0"/>
          <w:numId w:val="15"/>
        </w:numPr>
      </w:pPr>
      <w:r>
        <w:t>Churn: HH Single Ticket Buyer by Cohort</w:t>
      </w:r>
    </w:p>
    <w:p w14:paraId="69F435FA" w14:textId="77777777" w:rsidR="00C67FDD" w:rsidRPr="005E61D7" w:rsidRDefault="00C67FDD" w:rsidP="00413142">
      <w:pPr>
        <w:pStyle w:val="ExhibitText"/>
      </w:pPr>
    </w:p>
    <w:p w14:paraId="2520BD15" w14:textId="3ED0600D" w:rsidR="005E61D7" w:rsidRPr="005E61D7" w:rsidRDefault="00C67FDD" w:rsidP="00413142">
      <w:pPr>
        <w:pStyle w:val="ExhibitText"/>
        <w:jc w:val="center"/>
        <w:rPr>
          <w:sz w:val="16"/>
        </w:rPr>
      </w:pPr>
      <w:r>
        <w:rPr>
          <w:noProof/>
          <w:lang w:val="en-CA" w:eastAsia="en-CA"/>
        </w:rPr>
        <w:drawing>
          <wp:inline distT="0" distB="0" distL="0" distR="0" wp14:anchorId="5B019927" wp14:editId="66ED9021">
            <wp:extent cx="5925185" cy="4057650"/>
            <wp:effectExtent l="0" t="0" r="184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16117F" w14:textId="63E2BB89" w:rsidR="005E61D7" w:rsidRDefault="005E61D7" w:rsidP="00413142">
      <w:pPr>
        <w:pStyle w:val="ExhibitText"/>
      </w:pPr>
    </w:p>
    <w:p w14:paraId="2EC454A5" w14:textId="190C40B7" w:rsidR="005E61D7" w:rsidRPr="005E61D7" w:rsidRDefault="00B12AB3" w:rsidP="005E61D7">
      <w:pPr>
        <w:pStyle w:val="Footnote"/>
      </w:pPr>
      <w:r>
        <w:t xml:space="preserve">Note: </w:t>
      </w:r>
      <w:r w:rsidR="000A6BA9">
        <w:t>Chart (A)</w:t>
      </w:r>
      <w:r w:rsidR="005E61D7" w:rsidRPr="005E61D7">
        <w:t xml:space="preserve"> shows the loyal subscriber base (long-time aggregate subs</w:t>
      </w:r>
      <w:r w:rsidR="00960D13">
        <w:t>criptions</w:t>
      </w:r>
      <w:r w:rsidR="005E61D7" w:rsidRPr="005E61D7">
        <w:t xml:space="preserve"> pre-2010 represented by the solid line) that also make</w:t>
      </w:r>
      <w:r w:rsidR="00C4422B">
        <w:t>s</w:t>
      </w:r>
      <w:r w:rsidR="005E61D7" w:rsidRPr="005E61D7">
        <w:t xml:space="preserve"> up a significant portion of Opera</w:t>
      </w:r>
      <w:r w:rsidR="000C7ABB">
        <w:t xml:space="preserve"> Philadelphia</w:t>
      </w:r>
      <w:r w:rsidR="005E61D7" w:rsidRPr="005E61D7">
        <w:t>’s contributed revenue base (from individual gifts). Each remaining style line reflects a starting point that represents the initial and subsequent years of HH subscribers</w:t>
      </w:r>
      <w:r w:rsidR="00E16F01">
        <w:t xml:space="preserve">. Similarly, in </w:t>
      </w:r>
      <w:r w:rsidR="000A6BA9">
        <w:t>Chart (B),</w:t>
      </w:r>
      <w:r w:rsidR="00E16F01">
        <w:t xml:space="preserve"> the line furthest left shows the long-time aggregate of single ticket buyers. Each remaining line reflects the initial and subsequent years of single ticket buyers.</w:t>
      </w:r>
      <w:r w:rsidR="005E61D7" w:rsidRPr="005E61D7">
        <w:t xml:space="preserve"> </w:t>
      </w:r>
    </w:p>
    <w:p w14:paraId="7712F244" w14:textId="5B4737D1" w:rsidR="005E61D7" w:rsidRDefault="005E61D7" w:rsidP="005E61D7">
      <w:pPr>
        <w:pStyle w:val="Footnote"/>
      </w:pPr>
      <w:r w:rsidRPr="005E61D7">
        <w:t>Source:</w:t>
      </w:r>
      <w:r w:rsidR="00A36F3C">
        <w:t xml:space="preserve"> Company files.</w:t>
      </w:r>
    </w:p>
    <w:p w14:paraId="5635336D" w14:textId="77777777" w:rsidR="00413142" w:rsidRDefault="00413142" w:rsidP="005E61D7">
      <w:pPr>
        <w:pStyle w:val="Footnote"/>
      </w:pPr>
    </w:p>
    <w:p w14:paraId="749AE321" w14:textId="77777777" w:rsidR="005E61D7" w:rsidRDefault="005E61D7" w:rsidP="005E61D7">
      <w:pPr>
        <w:pStyle w:val="Footnote"/>
        <w:sectPr w:rsidR="005E61D7" w:rsidSect="00AE07DC">
          <w:headerReference w:type="default" r:id="rId11"/>
          <w:pgSz w:w="12240" w:h="15840" w:code="1"/>
          <w:pgMar w:top="1080" w:right="1440" w:bottom="1440" w:left="1440" w:header="1080" w:footer="720" w:gutter="0"/>
          <w:cols w:space="720"/>
          <w:titlePg/>
          <w:docGrid w:linePitch="360"/>
        </w:sectPr>
      </w:pPr>
    </w:p>
    <w:p w14:paraId="2FEC8109" w14:textId="1B96E497" w:rsidR="005E61D7" w:rsidRDefault="005E61D7" w:rsidP="005E61D7">
      <w:pPr>
        <w:pStyle w:val="ExhibitHeading"/>
      </w:pPr>
      <w:r w:rsidRPr="005C3564">
        <w:lastRenderedPageBreak/>
        <w:t>EXHIBIT 3: Demographics Results</w:t>
      </w:r>
      <w:r w:rsidR="00761892">
        <w:t>—</w:t>
      </w:r>
      <w:r w:rsidRPr="005C3564">
        <w:t xml:space="preserve">Gender, </w:t>
      </w:r>
      <w:r w:rsidR="008003E5">
        <w:t>number</w:t>
      </w:r>
      <w:r w:rsidRPr="005C3564">
        <w:t xml:space="preserve"> in Household, Age</w:t>
      </w:r>
    </w:p>
    <w:p w14:paraId="1AC34F98" w14:textId="6F82923F" w:rsidR="00761892" w:rsidRPr="00761892" w:rsidRDefault="00761892" w:rsidP="00413142">
      <w:pPr>
        <w:pStyle w:val="ExhibitText"/>
      </w:pPr>
    </w:p>
    <w:p w14:paraId="4EFDA272" w14:textId="34A57F78" w:rsidR="00761892" w:rsidRDefault="00761892" w:rsidP="0088285C">
      <w:pPr>
        <w:pStyle w:val="ExhibitText"/>
        <w:jc w:val="center"/>
      </w:pPr>
      <w:r>
        <w:rPr>
          <w:noProof/>
          <w:lang w:val="en-CA" w:eastAsia="en-CA"/>
        </w:rPr>
        <w:drawing>
          <wp:inline distT="0" distB="0" distL="0" distR="0" wp14:anchorId="7F100F23" wp14:editId="2E37B805">
            <wp:extent cx="8030817" cy="2399950"/>
            <wp:effectExtent l="0" t="0" r="889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58775" cy="2408305"/>
                    </a:xfrm>
                    <a:prstGeom prst="rect">
                      <a:avLst/>
                    </a:prstGeom>
                  </pic:spPr>
                </pic:pic>
              </a:graphicData>
            </a:graphic>
          </wp:inline>
        </w:drawing>
      </w:r>
    </w:p>
    <w:p w14:paraId="4C17FD14" w14:textId="2D5C3FC4" w:rsidR="00761892" w:rsidRPr="00761892" w:rsidRDefault="00761892" w:rsidP="00413142">
      <w:pPr>
        <w:pStyle w:val="ExhibitText"/>
      </w:pPr>
    </w:p>
    <w:p w14:paraId="47070A49" w14:textId="6023FEA3" w:rsidR="00761892" w:rsidRPr="00761892" w:rsidRDefault="00A36F3C" w:rsidP="00A36F3C">
      <w:pPr>
        <w:pStyle w:val="Footnote"/>
      </w:pPr>
      <w:r>
        <w:t>Source: Company files.</w:t>
      </w:r>
    </w:p>
    <w:p w14:paraId="422C9408" w14:textId="6ABA7B94" w:rsidR="00761892" w:rsidRDefault="00761892" w:rsidP="00761892">
      <w:pPr>
        <w:pStyle w:val="ExhibitHeading"/>
      </w:pPr>
      <w:r w:rsidRPr="005C3564">
        <w:t>EXHIBIT 4: Demographics Results</w:t>
      </w:r>
      <w:r w:rsidR="008003E5">
        <w:t>—</w:t>
      </w:r>
      <w:r w:rsidRPr="005C3564">
        <w:t>Education, Income</w:t>
      </w:r>
    </w:p>
    <w:p w14:paraId="4D5C4DF2" w14:textId="60608507" w:rsidR="00761892" w:rsidRDefault="00761892" w:rsidP="0088285C">
      <w:pPr>
        <w:pStyle w:val="ExhibitText"/>
      </w:pPr>
    </w:p>
    <w:p w14:paraId="71DC41CB" w14:textId="61460675" w:rsidR="00761892" w:rsidRDefault="00761892" w:rsidP="0088285C">
      <w:pPr>
        <w:pStyle w:val="ExhibitText"/>
        <w:jc w:val="center"/>
      </w:pPr>
      <w:r>
        <w:rPr>
          <w:noProof/>
          <w:lang w:val="en-CA" w:eastAsia="en-CA"/>
        </w:rPr>
        <w:drawing>
          <wp:inline distT="0" distB="0" distL="0" distR="0" wp14:anchorId="597F2E52" wp14:editId="0CB01008">
            <wp:extent cx="7909560" cy="2161092"/>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09560" cy="2161092"/>
                    </a:xfrm>
                    <a:prstGeom prst="rect">
                      <a:avLst/>
                    </a:prstGeom>
                  </pic:spPr>
                </pic:pic>
              </a:graphicData>
            </a:graphic>
          </wp:inline>
        </w:drawing>
      </w:r>
    </w:p>
    <w:p w14:paraId="0C099BAD" w14:textId="77777777" w:rsidR="0088285C" w:rsidRDefault="0088285C" w:rsidP="0088285C">
      <w:pPr>
        <w:pStyle w:val="ExhibitText"/>
      </w:pPr>
    </w:p>
    <w:p w14:paraId="2437A8AD" w14:textId="7C8B6E0B" w:rsidR="00761892" w:rsidRDefault="00A36F3C" w:rsidP="0088285C">
      <w:pPr>
        <w:pStyle w:val="Footnote"/>
        <w:rPr>
          <w:b/>
          <w:caps/>
        </w:rPr>
      </w:pPr>
      <w:r>
        <w:t>Source: Company files.</w:t>
      </w:r>
      <w:r w:rsidR="00761892">
        <w:br w:type="page"/>
      </w:r>
    </w:p>
    <w:p w14:paraId="1037B62D" w14:textId="77777777" w:rsidR="00761892" w:rsidRDefault="00761892" w:rsidP="00761892">
      <w:pPr>
        <w:pStyle w:val="ExhibitHeading"/>
        <w:sectPr w:rsidR="00761892" w:rsidSect="005E61D7">
          <w:headerReference w:type="default" r:id="rId14"/>
          <w:pgSz w:w="15840" w:h="12240" w:orient="landscape" w:code="1"/>
          <w:pgMar w:top="1440" w:right="1440" w:bottom="1440" w:left="1440" w:header="1080" w:footer="720" w:gutter="0"/>
          <w:cols w:space="720"/>
          <w:docGrid w:linePitch="360"/>
        </w:sectPr>
      </w:pPr>
    </w:p>
    <w:p w14:paraId="57234A59" w14:textId="77777777" w:rsidR="00C910B1" w:rsidRDefault="00761892" w:rsidP="00761892">
      <w:pPr>
        <w:pStyle w:val="ExhibitHeading"/>
      </w:pPr>
      <w:r w:rsidRPr="00761892">
        <w:lastRenderedPageBreak/>
        <w:t>EXHIBIT 5: Most Preferred Attributes of Entertainment</w:t>
      </w:r>
      <w:r>
        <w:t xml:space="preserve"> </w:t>
      </w:r>
    </w:p>
    <w:p w14:paraId="353D79C1" w14:textId="35DF6B47" w:rsidR="00761892" w:rsidRDefault="00761892" w:rsidP="00761892">
      <w:pPr>
        <w:pStyle w:val="ExhibitHeading"/>
      </w:pPr>
      <w:r>
        <w:t>(</w:t>
      </w:r>
      <w:r w:rsidRPr="00761892">
        <w:t>Share of Preference, n=854</w:t>
      </w:r>
      <w:r>
        <w:t>)</w:t>
      </w:r>
    </w:p>
    <w:p w14:paraId="7BFDEE6B" w14:textId="6D282F08" w:rsidR="00761892" w:rsidRDefault="00761892" w:rsidP="0088285C">
      <w:pPr>
        <w:pStyle w:val="ExhibitText"/>
      </w:pPr>
    </w:p>
    <w:tbl>
      <w:tblPr>
        <w:tblStyle w:val="TableGri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
        <w:gridCol w:w="4842"/>
        <w:gridCol w:w="809"/>
        <w:gridCol w:w="809"/>
        <w:gridCol w:w="810"/>
        <w:gridCol w:w="809"/>
        <w:gridCol w:w="810"/>
      </w:tblGrid>
      <w:tr w:rsidR="00761892" w:rsidRPr="00761892" w14:paraId="7476B842" w14:textId="77777777" w:rsidTr="00FB7CFA">
        <w:trPr>
          <w:trHeight w:val="288"/>
          <w:jc w:val="center"/>
        </w:trPr>
        <w:tc>
          <w:tcPr>
            <w:tcW w:w="5313" w:type="dxa"/>
            <w:gridSpan w:val="2"/>
            <w:tcBorders>
              <w:top w:val="single" w:sz="4" w:space="0" w:color="auto"/>
              <w:bottom w:val="single" w:sz="12" w:space="0" w:color="auto"/>
            </w:tcBorders>
            <w:noWrap/>
            <w:vAlign w:val="center"/>
            <w:hideMark/>
          </w:tcPr>
          <w:p w14:paraId="34BF8368" w14:textId="77777777" w:rsidR="00761892" w:rsidRPr="00761892" w:rsidRDefault="00761892" w:rsidP="00FB7CFA">
            <w:pPr>
              <w:rPr>
                <w:rFonts w:ascii="Arial" w:hAnsi="Arial" w:cs="Arial"/>
                <w:b/>
                <w:bCs/>
                <w:color w:val="000000"/>
                <w:lang w:val="en-CA" w:eastAsia="en-CA"/>
              </w:rPr>
            </w:pPr>
            <w:r w:rsidRPr="00761892">
              <w:rPr>
                <w:rFonts w:ascii="Arial" w:hAnsi="Arial" w:cs="Arial"/>
                <w:b/>
                <w:bCs/>
                <w:color w:val="000000"/>
                <w:lang w:val="en-CA" w:eastAsia="en-CA"/>
              </w:rPr>
              <w:t>ATTRIBUTES</w:t>
            </w:r>
          </w:p>
        </w:tc>
        <w:tc>
          <w:tcPr>
            <w:tcW w:w="809" w:type="dxa"/>
            <w:tcBorders>
              <w:top w:val="single" w:sz="4" w:space="0" w:color="auto"/>
              <w:bottom w:val="single" w:sz="12" w:space="0" w:color="auto"/>
            </w:tcBorders>
            <w:noWrap/>
            <w:vAlign w:val="center"/>
            <w:hideMark/>
          </w:tcPr>
          <w:p w14:paraId="3220EB59" w14:textId="77777777" w:rsidR="00761892" w:rsidRPr="00761892" w:rsidRDefault="00761892" w:rsidP="009B50CF">
            <w:pPr>
              <w:jc w:val="right"/>
              <w:rPr>
                <w:rFonts w:ascii="Arial" w:hAnsi="Arial" w:cs="Arial"/>
                <w:b/>
                <w:bCs/>
                <w:color w:val="000000"/>
                <w:lang w:val="en-CA" w:eastAsia="en-CA"/>
              </w:rPr>
            </w:pPr>
            <w:r w:rsidRPr="00761892">
              <w:rPr>
                <w:rFonts w:ascii="Arial" w:hAnsi="Arial" w:cs="Arial"/>
                <w:b/>
                <w:bCs/>
                <w:color w:val="000000"/>
                <w:lang w:val="en-CA" w:eastAsia="en-CA"/>
              </w:rPr>
              <w:t>ALL</w:t>
            </w:r>
          </w:p>
        </w:tc>
        <w:tc>
          <w:tcPr>
            <w:tcW w:w="809" w:type="dxa"/>
            <w:tcBorders>
              <w:top w:val="single" w:sz="4" w:space="0" w:color="auto"/>
              <w:bottom w:val="single" w:sz="12" w:space="0" w:color="auto"/>
            </w:tcBorders>
            <w:noWrap/>
            <w:vAlign w:val="center"/>
            <w:hideMark/>
          </w:tcPr>
          <w:p w14:paraId="33F18282" w14:textId="77777777" w:rsidR="00761892" w:rsidRPr="00761892" w:rsidRDefault="00761892" w:rsidP="009B50CF">
            <w:pPr>
              <w:jc w:val="right"/>
              <w:rPr>
                <w:rFonts w:ascii="Arial" w:hAnsi="Arial" w:cs="Arial"/>
                <w:b/>
                <w:bCs/>
                <w:color w:val="000000"/>
                <w:lang w:val="en-CA" w:eastAsia="en-CA"/>
              </w:rPr>
            </w:pPr>
            <w:r w:rsidRPr="00761892">
              <w:rPr>
                <w:rFonts w:ascii="Arial" w:hAnsi="Arial" w:cs="Arial"/>
                <w:b/>
                <w:bCs/>
                <w:color w:val="000000"/>
                <w:lang w:val="en-CA" w:eastAsia="en-CA"/>
              </w:rPr>
              <w:t>ASTB</w:t>
            </w:r>
          </w:p>
        </w:tc>
        <w:tc>
          <w:tcPr>
            <w:tcW w:w="810" w:type="dxa"/>
            <w:tcBorders>
              <w:top w:val="single" w:sz="4" w:space="0" w:color="auto"/>
              <w:bottom w:val="single" w:sz="12" w:space="0" w:color="auto"/>
            </w:tcBorders>
            <w:noWrap/>
            <w:vAlign w:val="center"/>
            <w:hideMark/>
          </w:tcPr>
          <w:p w14:paraId="53289283" w14:textId="77777777" w:rsidR="00761892" w:rsidRPr="00761892" w:rsidRDefault="00761892" w:rsidP="009B50CF">
            <w:pPr>
              <w:jc w:val="right"/>
              <w:rPr>
                <w:rFonts w:ascii="Arial" w:hAnsi="Arial" w:cs="Arial"/>
                <w:b/>
                <w:bCs/>
                <w:color w:val="000000"/>
                <w:lang w:val="en-CA" w:eastAsia="en-CA"/>
              </w:rPr>
            </w:pPr>
            <w:r w:rsidRPr="00761892">
              <w:rPr>
                <w:rFonts w:ascii="Arial" w:hAnsi="Arial" w:cs="Arial"/>
                <w:b/>
                <w:bCs/>
                <w:color w:val="000000"/>
                <w:lang w:val="en-CA" w:eastAsia="en-CA"/>
              </w:rPr>
              <w:t>LSTB</w:t>
            </w:r>
          </w:p>
        </w:tc>
        <w:tc>
          <w:tcPr>
            <w:tcW w:w="809" w:type="dxa"/>
            <w:tcBorders>
              <w:top w:val="single" w:sz="4" w:space="0" w:color="auto"/>
              <w:bottom w:val="single" w:sz="12" w:space="0" w:color="auto"/>
            </w:tcBorders>
            <w:noWrap/>
            <w:vAlign w:val="center"/>
            <w:hideMark/>
          </w:tcPr>
          <w:p w14:paraId="56898AE6" w14:textId="77777777" w:rsidR="00761892" w:rsidRPr="00761892" w:rsidRDefault="00761892" w:rsidP="009B50CF">
            <w:pPr>
              <w:jc w:val="right"/>
              <w:rPr>
                <w:rFonts w:ascii="Arial" w:hAnsi="Arial" w:cs="Arial"/>
                <w:b/>
                <w:bCs/>
                <w:color w:val="000000"/>
                <w:lang w:val="en-CA" w:eastAsia="en-CA"/>
              </w:rPr>
            </w:pPr>
            <w:r w:rsidRPr="00761892">
              <w:rPr>
                <w:rFonts w:ascii="Arial" w:hAnsi="Arial" w:cs="Arial"/>
                <w:b/>
                <w:bCs/>
                <w:color w:val="000000"/>
                <w:lang w:val="en-CA" w:eastAsia="en-CA"/>
              </w:rPr>
              <w:t>AS</w:t>
            </w:r>
          </w:p>
        </w:tc>
        <w:tc>
          <w:tcPr>
            <w:tcW w:w="810" w:type="dxa"/>
            <w:tcBorders>
              <w:top w:val="single" w:sz="4" w:space="0" w:color="auto"/>
              <w:bottom w:val="single" w:sz="12" w:space="0" w:color="auto"/>
            </w:tcBorders>
            <w:noWrap/>
            <w:vAlign w:val="center"/>
            <w:hideMark/>
          </w:tcPr>
          <w:p w14:paraId="75A27530" w14:textId="77777777" w:rsidR="00761892" w:rsidRPr="00761892" w:rsidRDefault="00761892" w:rsidP="009B50CF">
            <w:pPr>
              <w:jc w:val="right"/>
              <w:rPr>
                <w:rFonts w:ascii="Arial" w:hAnsi="Arial" w:cs="Arial"/>
                <w:b/>
                <w:bCs/>
                <w:color w:val="000000"/>
                <w:lang w:val="en-CA" w:eastAsia="en-CA"/>
              </w:rPr>
            </w:pPr>
            <w:r w:rsidRPr="00761892">
              <w:rPr>
                <w:rFonts w:ascii="Arial" w:hAnsi="Arial" w:cs="Arial"/>
                <w:b/>
                <w:bCs/>
                <w:color w:val="000000"/>
                <w:lang w:val="en-CA" w:eastAsia="en-CA"/>
              </w:rPr>
              <w:t>LS</w:t>
            </w:r>
          </w:p>
        </w:tc>
      </w:tr>
      <w:tr w:rsidR="00761892" w:rsidRPr="009B50CF" w14:paraId="5AF4DD4E" w14:textId="77777777" w:rsidTr="00FB7CFA">
        <w:trPr>
          <w:trHeight w:val="288"/>
          <w:jc w:val="center"/>
        </w:trPr>
        <w:tc>
          <w:tcPr>
            <w:tcW w:w="5313" w:type="dxa"/>
            <w:gridSpan w:val="2"/>
            <w:tcBorders>
              <w:top w:val="single" w:sz="12" w:space="0" w:color="auto"/>
              <w:bottom w:val="dotted" w:sz="4" w:space="0" w:color="auto"/>
            </w:tcBorders>
            <w:noWrap/>
            <w:vAlign w:val="center"/>
            <w:hideMark/>
          </w:tcPr>
          <w:p w14:paraId="0987A5B4" w14:textId="77777777" w:rsidR="00761892" w:rsidRPr="009B50CF" w:rsidRDefault="00761892" w:rsidP="00FB7CFA">
            <w:pPr>
              <w:rPr>
                <w:rFonts w:ascii="Arial" w:hAnsi="Arial" w:cs="Arial"/>
                <w:b/>
                <w:bCs/>
                <w:color w:val="000000"/>
                <w:lang w:val="en-CA" w:eastAsia="en-CA"/>
              </w:rPr>
            </w:pPr>
            <w:r w:rsidRPr="009B50CF">
              <w:rPr>
                <w:rFonts w:ascii="Arial" w:hAnsi="Arial" w:cs="Arial"/>
                <w:b/>
                <w:bCs/>
                <w:color w:val="000000"/>
                <w:lang w:val="en-CA" w:eastAsia="en-CA"/>
              </w:rPr>
              <w:t>Artistry</w:t>
            </w:r>
          </w:p>
        </w:tc>
        <w:tc>
          <w:tcPr>
            <w:tcW w:w="809" w:type="dxa"/>
            <w:tcBorders>
              <w:top w:val="single" w:sz="12" w:space="0" w:color="auto"/>
              <w:bottom w:val="dotted" w:sz="4" w:space="0" w:color="auto"/>
            </w:tcBorders>
            <w:noWrap/>
            <w:vAlign w:val="center"/>
            <w:hideMark/>
          </w:tcPr>
          <w:p w14:paraId="33ECA942"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43%</w:t>
            </w:r>
          </w:p>
        </w:tc>
        <w:tc>
          <w:tcPr>
            <w:tcW w:w="809" w:type="dxa"/>
            <w:tcBorders>
              <w:top w:val="single" w:sz="12" w:space="0" w:color="auto"/>
              <w:bottom w:val="dotted" w:sz="4" w:space="0" w:color="auto"/>
            </w:tcBorders>
            <w:noWrap/>
            <w:vAlign w:val="center"/>
            <w:hideMark/>
          </w:tcPr>
          <w:p w14:paraId="19260BAA"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39%</w:t>
            </w:r>
          </w:p>
        </w:tc>
        <w:tc>
          <w:tcPr>
            <w:tcW w:w="810" w:type="dxa"/>
            <w:tcBorders>
              <w:top w:val="single" w:sz="12" w:space="0" w:color="auto"/>
              <w:bottom w:val="dotted" w:sz="4" w:space="0" w:color="auto"/>
            </w:tcBorders>
            <w:noWrap/>
            <w:vAlign w:val="center"/>
            <w:hideMark/>
          </w:tcPr>
          <w:p w14:paraId="639A458F"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42%</w:t>
            </w:r>
          </w:p>
        </w:tc>
        <w:tc>
          <w:tcPr>
            <w:tcW w:w="809" w:type="dxa"/>
            <w:tcBorders>
              <w:top w:val="single" w:sz="12" w:space="0" w:color="auto"/>
              <w:bottom w:val="dotted" w:sz="4" w:space="0" w:color="auto"/>
            </w:tcBorders>
            <w:noWrap/>
            <w:vAlign w:val="center"/>
            <w:hideMark/>
          </w:tcPr>
          <w:p w14:paraId="306B5FC2"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48%</w:t>
            </w:r>
          </w:p>
        </w:tc>
        <w:tc>
          <w:tcPr>
            <w:tcW w:w="810" w:type="dxa"/>
            <w:tcBorders>
              <w:top w:val="single" w:sz="12" w:space="0" w:color="auto"/>
              <w:bottom w:val="dotted" w:sz="4" w:space="0" w:color="auto"/>
            </w:tcBorders>
            <w:noWrap/>
            <w:vAlign w:val="center"/>
            <w:hideMark/>
          </w:tcPr>
          <w:p w14:paraId="22456308"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47%</w:t>
            </w:r>
          </w:p>
        </w:tc>
      </w:tr>
      <w:tr w:rsidR="00761892" w:rsidRPr="00761892" w14:paraId="6E6BB36C" w14:textId="77777777" w:rsidTr="00FB7CFA">
        <w:trPr>
          <w:trHeight w:val="288"/>
          <w:jc w:val="center"/>
        </w:trPr>
        <w:tc>
          <w:tcPr>
            <w:tcW w:w="471" w:type="dxa"/>
            <w:tcBorders>
              <w:top w:val="dotted" w:sz="4" w:space="0" w:color="auto"/>
              <w:bottom w:val="nil"/>
            </w:tcBorders>
            <w:noWrap/>
            <w:vAlign w:val="center"/>
            <w:hideMark/>
          </w:tcPr>
          <w:p w14:paraId="7EDAEA66"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1</w:t>
            </w:r>
          </w:p>
        </w:tc>
        <w:tc>
          <w:tcPr>
            <w:tcW w:w="4842" w:type="dxa"/>
            <w:tcBorders>
              <w:top w:val="dotted" w:sz="4" w:space="0" w:color="auto"/>
              <w:bottom w:val="nil"/>
            </w:tcBorders>
            <w:noWrap/>
            <w:vAlign w:val="center"/>
            <w:hideMark/>
          </w:tcPr>
          <w:p w14:paraId="2F5F4EEE" w14:textId="38E97A1C"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 xml:space="preserve">Features </w:t>
            </w:r>
            <w:r w:rsidR="00D460AF">
              <w:rPr>
                <w:rFonts w:ascii="Arial" w:hAnsi="Arial" w:cs="Arial"/>
                <w:color w:val="000000"/>
                <w:lang w:val="en-CA" w:eastAsia="en-CA"/>
              </w:rPr>
              <w:t>e</w:t>
            </w:r>
            <w:r w:rsidRPr="00761892">
              <w:rPr>
                <w:rFonts w:ascii="Arial" w:hAnsi="Arial" w:cs="Arial"/>
                <w:color w:val="000000"/>
                <w:lang w:val="en-CA" w:eastAsia="en-CA"/>
              </w:rPr>
              <w:t>xceptional talent/production quality</w:t>
            </w:r>
          </w:p>
        </w:tc>
        <w:tc>
          <w:tcPr>
            <w:tcW w:w="809" w:type="dxa"/>
            <w:tcBorders>
              <w:top w:val="dotted" w:sz="4" w:space="0" w:color="auto"/>
              <w:bottom w:val="nil"/>
            </w:tcBorders>
            <w:noWrap/>
            <w:vAlign w:val="center"/>
            <w:hideMark/>
          </w:tcPr>
          <w:p w14:paraId="7663CE4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41%</w:t>
            </w:r>
          </w:p>
        </w:tc>
        <w:tc>
          <w:tcPr>
            <w:tcW w:w="809" w:type="dxa"/>
            <w:tcBorders>
              <w:top w:val="dotted" w:sz="4" w:space="0" w:color="auto"/>
              <w:bottom w:val="nil"/>
            </w:tcBorders>
            <w:noWrap/>
            <w:vAlign w:val="center"/>
            <w:hideMark/>
          </w:tcPr>
          <w:p w14:paraId="6DEEA256"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38%</w:t>
            </w:r>
          </w:p>
        </w:tc>
        <w:tc>
          <w:tcPr>
            <w:tcW w:w="810" w:type="dxa"/>
            <w:tcBorders>
              <w:top w:val="dotted" w:sz="4" w:space="0" w:color="auto"/>
              <w:bottom w:val="nil"/>
            </w:tcBorders>
            <w:noWrap/>
            <w:vAlign w:val="center"/>
            <w:hideMark/>
          </w:tcPr>
          <w:p w14:paraId="76D69DF9"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40%</w:t>
            </w:r>
          </w:p>
        </w:tc>
        <w:tc>
          <w:tcPr>
            <w:tcW w:w="809" w:type="dxa"/>
            <w:tcBorders>
              <w:top w:val="dotted" w:sz="4" w:space="0" w:color="auto"/>
              <w:bottom w:val="nil"/>
            </w:tcBorders>
            <w:noWrap/>
            <w:vAlign w:val="center"/>
            <w:hideMark/>
          </w:tcPr>
          <w:p w14:paraId="2277467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46%</w:t>
            </w:r>
          </w:p>
        </w:tc>
        <w:tc>
          <w:tcPr>
            <w:tcW w:w="810" w:type="dxa"/>
            <w:tcBorders>
              <w:top w:val="dotted" w:sz="4" w:space="0" w:color="auto"/>
              <w:bottom w:val="nil"/>
            </w:tcBorders>
            <w:noWrap/>
            <w:vAlign w:val="center"/>
            <w:hideMark/>
          </w:tcPr>
          <w:p w14:paraId="54D79B3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45%</w:t>
            </w:r>
          </w:p>
        </w:tc>
      </w:tr>
      <w:tr w:rsidR="00761892" w:rsidRPr="00761892" w14:paraId="40A20736" w14:textId="77777777" w:rsidTr="00FB7CFA">
        <w:trPr>
          <w:trHeight w:val="288"/>
          <w:jc w:val="center"/>
        </w:trPr>
        <w:tc>
          <w:tcPr>
            <w:tcW w:w="471" w:type="dxa"/>
            <w:tcBorders>
              <w:top w:val="nil"/>
              <w:bottom w:val="single" w:sz="4" w:space="0" w:color="auto"/>
            </w:tcBorders>
            <w:noWrap/>
            <w:vAlign w:val="center"/>
            <w:hideMark/>
          </w:tcPr>
          <w:p w14:paraId="34CF39E2"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2</w:t>
            </w:r>
          </w:p>
        </w:tc>
        <w:tc>
          <w:tcPr>
            <w:tcW w:w="4842" w:type="dxa"/>
            <w:tcBorders>
              <w:top w:val="nil"/>
              <w:bottom w:val="single" w:sz="4" w:space="0" w:color="auto"/>
            </w:tcBorders>
            <w:noWrap/>
            <w:vAlign w:val="center"/>
            <w:hideMark/>
          </w:tcPr>
          <w:p w14:paraId="0CEC727D"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Features well-known talent</w:t>
            </w:r>
          </w:p>
        </w:tc>
        <w:tc>
          <w:tcPr>
            <w:tcW w:w="809" w:type="dxa"/>
            <w:tcBorders>
              <w:top w:val="nil"/>
              <w:bottom w:val="single" w:sz="4" w:space="0" w:color="auto"/>
            </w:tcBorders>
            <w:noWrap/>
            <w:vAlign w:val="center"/>
            <w:hideMark/>
          </w:tcPr>
          <w:p w14:paraId="65F0E1A7"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09" w:type="dxa"/>
            <w:tcBorders>
              <w:top w:val="nil"/>
              <w:bottom w:val="single" w:sz="4" w:space="0" w:color="auto"/>
            </w:tcBorders>
            <w:noWrap/>
            <w:vAlign w:val="center"/>
            <w:hideMark/>
          </w:tcPr>
          <w:p w14:paraId="650D9F01"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top w:val="nil"/>
              <w:bottom w:val="single" w:sz="4" w:space="0" w:color="auto"/>
            </w:tcBorders>
            <w:noWrap/>
            <w:vAlign w:val="center"/>
            <w:hideMark/>
          </w:tcPr>
          <w:p w14:paraId="5699D350"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09" w:type="dxa"/>
            <w:tcBorders>
              <w:top w:val="nil"/>
              <w:bottom w:val="single" w:sz="4" w:space="0" w:color="auto"/>
            </w:tcBorders>
            <w:noWrap/>
            <w:vAlign w:val="center"/>
            <w:hideMark/>
          </w:tcPr>
          <w:p w14:paraId="664C77C1"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10" w:type="dxa"/>
            <w:tcBorders>
              <w:top w:val="nil"/>
              <w:bottom w:val="single" w:sz="4" w:space="0" w:color="auto"/>
            </w:tcBorders>
            <w:noWrap/>
            <w:vAlign w:val="center"/>
            <w:hideMark/>
          </w:tcPr>
          <w:p w14:paraId="1E9B2332"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r>
      <w:tr w:rsidR="00761892" w:rsidRPr="009B50CF" w14:paraId="54FE777C" w14:textId="77777777" w:rsidTr="00FB7CFA">
        <w:trPr>
          <w:trHeight w:val="288"/>
          <w:jc w:val="center"/>
        </w:trPr>
        <w:tc>
          <w:tcPr>
            <w:tcW w:w="5313" w:type="dxa"/>
            <w:gridSpan w:val="2"/>
            <w:tcBorders>
              <w:top w:val="single" w:sz="4" w:space="0" w:color="auto"/>
              <w:bottom w:val="dotted" w:sz="4" w:space="0" w:color="auto"/>
            </w:tcBorders>
            <w:noWrap/>
            <w:vAlign w:val="center"/>
            <w:hideMark/>
          </w:tcPr>
          <w:p w14:paraId="22FB787D" w14:textId="77777777" w:rsidR="00761892" w:rsidRPr="009B50CF" w:rsidRDefault="00761892" w:rsidP="00FB7CFA">
            <w:pPr>
              <w:rPr>
                <w:rFonts w:ascii="Arial" w:hAnsi="Arial" w:cs="Arial"/>
                <w:b/>
                <w:bCs/>
                <w:color w:val="000000"/>
                <w:lang w:val="en-CA" w:eastAsia="en-CA"/>
              </w:rPr>
            </w:pPr>
            <w:r w:rsidRPr="009B50CF">
              <w:rPr>
                <w:rFonts w:ascii="Arial" w:hAnsi="Arial" w:cs="Arial"/>
                <w:b/>
                <w:bCs/>
                <w:color w:val="000000"/>
                <w:lang w:val="en-CA" w:eastAsia="en-CA"/>
              </w:rPr>
              <w:t>Status</w:t>
            </w:r>
          </w:p>
        </w:tc>
        <w:tc>
          <w:tcPr>
            <w:tcW w:w="809" w:type="dxa"/>
            <w:tcBorders>
              <w:top w:val="single" w:sz="4" w:space="0" w:color="auto"/>
              <w:bottom w:val="dotted" w:sz="4" w:space="0" w:color="auto"/>
            </w:tcBorders>
            <w:noWrap/>
            <w:vAlign w:val="center"/>
            <w:hideMark/>
          </w:tcPr>
          <w:p w14:paraId="244A0D08"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17%</w:t>
            </w:r>
          </w:p>
        </w:tc>
        <w:tc>
          <w:tcPr>
            <w:tcW w:w="809" w:type="dxa"/>
            <w:tcBorders>
              <w:top w:val="single" w:sz="4" w:space="0" w:color="auto"/>
              <w:bottom w:val="dotted" w:sz="4" w:space="0" w:color="auto"/>
            </w:tcBorders>
            <w:noWrap/>
            <w:vAlign w:val="center"/>
            <w:hideMark/>
          </w:tcPr>
          <w:p w14:paraId="47E2B988"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15%</w:t>
            </w:r>
          </w:p>
        </w:tc>
        <w:tc>
          <w:tcPr>
            <w:tcW w:w="810" w:type="dxa"/>
            <w:tcBorders>
              <w:top w:val="single" w:sz="4" w:space="0" w:color="auto"/>
              <w:bottom w:val="dotted" w:sz="4" w:space="0" w:color="auto"/>
            </w:tcBorders>
            <w:noWrap/>
            <w:vAlign w:val="center"/>
            <w:hideMark/>
          </w:tcPr>
          <w:p w14:paraId="5FF47723"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18%</w:t>
            </w:r>
          </w:p>
        </w:tc>
        <w:tc>
          <w:tcPr>
            <w:tcW w:w="809" w:type="dxa"/>
            <w:tcBorders>
              <w:top w:val="single" w:sz="4" w:space="0" w:color="auto"/>
              <w:bottom w:val="dotted" w:sz="4" w:space="0" w:color="auto"/>
            </w:tcBorders>
            <w:noWrap/>
            <w:vAlign w:val="center"/>
            <w:hideMark/>
          </w:tcPr>
          <w:p w14:paraId="408B66A9"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20%</w:t>
            </w:r>
          </w:p>
        </w:tc>
        <w:tc>
          <w:tcPr>
            <w:tcW w:w="810" w:type="dxa"/>
            <w:tcBorders>
              <w:top w:val="single" w:sz="4" w:space="0" w:color="auto"/>
              <w:bottom w:val="dotted" w:sz="4" w:space="0" w:color="auto"/>
            </w:tcBorders>
            <w:noWrap/>
            <w:vAlign w:val="center"/>
            <w:hideMark/>
          </w:tcPr>
          <w:p w14:paraId="3EEE3F48"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24%</w:t>
            </w:r>
          </w:p>
        </w:tc>
      </w:tr>
      <w:tr w:rsidR="00761892" w:rsidRPr="00761892" w14:paraId="4093C263" w14:textId="77777777" w:rsidTr="00FB7CFA">
        <w:trPr>
          <w:trHeight w:val="288"/>
          <w:jc w:val="center"/>
        </w:trPr>
        <w:tc>
          <w:tcPr>
            <w:tcW w:w="471" w:type="dxa"/>
            <w:tcBorders>
              <w:top w:val="dotted" w:sz="4" w:space="0" w:color="auto"/>
            </w:tcBorders>
            <w:noWrap/>
            <w:vAlign w:val="center"/>
            <w:hideMark/>
          </w:tcPr>
          <w:p w14:paraId="413AB114"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3</w:t>
            </w:r>
          </w:p>
        </w:tc>
        <w:tc>
          <w:tcPr>
            <w:tcW w:w="4842" w:type="dxa"/>
            <w:tcBorders>
              <w:top w:val="dotted" w:sz="4" w:space="0" w:color="auto"/>
            </w:tcBorders>
            <w:noWrap/>
            <w:vAlign w:val="center"/>
            <w:hideMark/>
          </w:tcPr>
          <w:p w14:paraId="03A82EBA"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Provides a premium experience</w:t>
            </w:r>
          </w:p>
        </w:tc>
        <w:tc>
          <w:tcPr>
            <w:tcW w:w="809" w:type="dxa"/>
            <w:tcBorders>
              <w:top w:val="dotted" w:sz="4" w:space="0" w:color="auto"/>
            </w:tcBorders>
            <w:noWrap/>
            <w:vAlign w:val="center"/>
            <w:hideMark/>
          </w:tcPr>
          <w:p w14:paraId="66153C9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13%</w:t>
            </w:r>
          </w:p>
        </w:tc>
        <w:tc>
          <w:tcPr>
            <w:tcW w:w="809" w:type="dxa"/>
            <w:tcBorders>
              <w:top w:val="dotted" w:sz="4" w:space="0" w:color="auto"/>
            </w:tcBorders>
            <w:noWrap/>
            <w:vAlign w:val="center"/>
            <w:hideMark/>
          </w:tcPr>
          <w:p w14:paraId="57C2F880"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10%</w:t>
            </w:r>
          </w:p>
        </w:tc>
        <w:tc>
          <w:tcPr>
            <w:tcW w:w="810" w:type="dxa"/>
            <w:tcBorders>
              <w:top w:val="dotted" w:sz="4" w:space="0" w:color="auto"/>
            </w:tcBorders>
            <w:noWrap/>
            <w:vAlign w:val="center"/>
            <w:hideMark/>
          </w:tcPr>
          <w:p w14:paraId="6DC41971"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13%</w:t>
            </w:r>
          </w:p>
        </w:tc>
        <w:tc>
          <w:tcPr>
            <w:tcW w:w="809" w:type="dxa"/>
            <w:tcBorders>
              <w:top w:val="dotted" w:sz="4" w:space="0" w:color="auto"/>
            </w:tcBorders>
            <w:noWrap/>
            <w:vAlign w:val="center"/>
            <w:hideMark/>
          </w:tcPr>
          <w:p w14:paraId="1711072E"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16%</w:t>
            </w:r>
          </w:p>
        </w:tc>
        <w:tc>
          <w:tcPr>
            <w:tcW w:w="810" w:type="dxa"/>
            <w:tcBorders>
              <w:top w:val="dotted" w:sz="4" w:space="0" w:color="auto"/>
            </w:tcBorders>
            <w:noWrap/>
            <w:vAlign w:val="center"/>
            <w:hideMark/>
          </w:tcPr>
          <w:p w14:paraId="034D1E65"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22%</w:t>
            </w:r>
          </w:p>
        </w:tc>
      </w:tr>
      <w:tr w:rsidR="00761892" w:rsidRPr="00761892" w14:paraId="1A129704" w14:textId="77777777" w:rsidTr="00FB7CFA">
        <w:trPr>
          <w:trHeight w:val="288"/>
          <w:jc w:val="center"/>
        </w:trPr>
        <w:tc>
          <w:tcPr>
            <w:tcW w:w="471" w:type="dxa"/>
            <w:noWrap/>
            <w:vAlign w:val="center"/>
            <w:hideMark/>
          </w:tcPr>
          <w:p w14:paraId="7F95248F"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4</w:t>
            </w:r>
          </w:p>
        </w:tc>
        <w:tc>
          <w:tcPr>
            <w:tcW w:w="4842" w:type="dxa"/>
            <w:noWrap/>
            <w:vAlign w:val="center"/>
            <w:hideMark/>
          </w:tcPr>
          <w:p w14:paraId="17A87591"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Makes me feel cultured</w:t>
            </w:r>
          </w:p>
        </w:tc>
        <w:tc>
          <w:tcPr>
            <w:tcW w:w="809" w:type="dxa"/>
            <w:noWrap/>
            <w:vAlign w:val="center"/>
            <w:hideMark/>
          </w:tcPr>
          <w:p w14:paraId="34B2F9A4"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c>
          <w:tcPr>
            <w:tcW w:w="809" w:type="dxa"/>
            <w:noWrap/>
            <w:vAlign w:val="center"/>
            <w:hideMark/>
          </w:tcPr>
          <w:p w14:paraId="511FEABC"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c>
          <w:tcPr>
            <w:tcW w:w="810" w:type="dxa"/>
            <w:noWrap/>
            <w:vAlign w:val="center"/>
            <w:hideMark/>
          </w:tcPr>
          <w:p w14:paraId="507D0630"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4%</w:t>
            </w:r>
          </w:p>
        </w:tc>
        <w:tc>
          <w:tcPr>
            <w:tcW w:w="809" w:type="dxa"/>
            <w:noWrap/>
            <w:vAlign w:val="center"/>
            <w:hideMark/>
          </w:tcPr>
          <w:p w14:paraId="67633BB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10" w:type="dxa"/>
            <w:noWrap/>
            <w:vAlign w:val="center"/>
            <w:hideMark/>
          </w:tcPr>
          <w:p w14:paraId="64F80632"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r>
      <w:tr w:rsidR="00761892" w:rsidRPr="00761892" w14:paraId="447AA729" w14:textId="77777777" w:rsidTr="00FB7CFA">
        <w:trPr>
          <w:trHeight w:val="288"/>
          <w:jc w:val="center"/>
        </w:trPr>
        <w:tc>
          <w:tcPr>
            <w:tcW w:w="471" w:type="dxa"/>
            <w:tcBorders>
              <w:bottom w:val="nil"/>
            </w:tcBorders>
            <w:noWrap/>
            <w:vAlign w:val="center"/>
            <w:hideMark/>
          </w:tcPr>
          <w:p w14:paraId="563828AD"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5</w:t>
            </w:r>
          </w:p>
        </w:tc>
        <w:tc>
          <w:tcPr>
            <w:tcW w:w="4842" w:type="dxa"/>
            <w:tcBorders>
              <w:bottom w:val="nil"/>
            </w:tcBorders>
            <w:noWrap/>
            <w:vAlign w:val="center"/>
            <w:hideMark/>
          </w:tcPr>
          <w:p w14:paraId="437D65D7"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Is something I'm proud to tell my friends/colleagues about</w:t>
            </w:r>
          </w:p>
        </w:tc>
        <w:tc>
          <w:tcPr>
            <w:tcW w:w="809" w:type="dxa"/>
            <w:tcBorders>
              <w:bottom w:val="nil"/>
            </w:tcBorders>
            <w:noWrap/>
            <w:vAlign w:val="center"/>
            <w:hideMark/>
          </w:tcPr>
          <w:p w14:paraId="3CB8BFA6"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09" w:type="dxa"/>
            <w:tcBorders>
              <w:bottom w:val="nil"/>
            </w:tcBorders>
            <w:noWrap/>
            <w:vAlign w:val="center"/>
            <w:hideMark/>
          </w:tcPr>
          <w:p w14:paraId="169D1547"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10" w:type="dxa"/>
            <w:tcBorders>
              <w:bottom w:val="nil"/>
            </w:tcBorders>
            <w:noWrap/>
            <w:vAlign w:val="center"/>
            <w:hideMark/>
          </w:tcPr>
          <w:p w14:paraId="234613B2"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bottom w:val="nil"/>
            </w:tcBorders>
            <w:noWrap/>
            <w:vAlign w:val="center"/>
            <w:hideMark/>
          </w:tcPr>
          <w:p w14:paraId="526E5167"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bottom w:val="nil"/>
            </w:tcBorders>
            <w:noWrap/>
            <w:vAlign w:val="center"/>
            <w:hideMark/>
          </w:tcPr>
          <w:p w14:paraId="6D35D008"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r>
      <w:tr w:rsidR="00761892" w:rsidRPr="00761892" w14:paraId="635FA04A" w14:textId="77777777" w:rsidTr="00FB7CFA">
        <w:trPr>
          <w:trHeight w:val="288"/>
          <w:jc w:val="center"/>
        </w:trPr>
        <w:tc>
          <w:tcPr>
            <w:tcW w:w="471" w:type="dxa"/>
            <w:tcBorders>
              <w:top w:val="nil"/>
              <w:bottom w:val="single" w:sz="4" w:space="0" w:color="auto"/>
            </w:tcBorders>
            <w:noWrap/>
            <w:vAlign w:val="center"/>
            <w:hideMark/>
          </w:tcPr>
          <w:p w14:paraId="306BAB3C"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6</w:t>
            </w:r>
          </w:p>
        </w:tc>
        <w:tc>
          <w:tcPr>
            <w:tcW w:w="4842" w:type="dxa"/>
            <w:tcBorders>
              <w:top w:val="nil"/>
              <w:bottom w:val="single" w:sz="4" w:space="0" w:color="auto"/>
            </w:tcBorders>
            <w:noWrap/>
            <w:vAlign w:val="center"/>
            <w:hideMark/>
          </w:tcPr>
          <w:p w14:paraId="2D94E062" w14:textId="44E57EFC"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Provides an op</w:t>
            </w:r>
            <w:r>
              <w:rPr>
                <w:rFonts w:ascii="Arial" w:hAnsi="Arial" w:cs="Arial"/>
                <w:color w:val="000000"/>
                <w:lang w:val="en-CA" w:eastAsia="en-CA"/>
              </w:rPr>
              <w:t>port</w:t>
            </w:r>
            <w:r w:rsidRPr="00761892">
              <w:rPr>
                <w:rFonts w:ascii="Arial" w:hAnsi="Arial" w:cs="Arial"/>
                <w:color w:val="000000"/>
                <w:lang w:val="en-CA" w:eastAsia="en-CA"/>
              </w:rPr>
              <w:t>unity to "see and be seen"</w:t>
            </w:r>
          </w:p>
        </w:tc>
        <w:tc>
          <w:tcPr>
            <w:tcW w:w="809" w:type="dxa"/>
            <w:tcBorders>
              <w:top w:val="nil"/>
              <w:bottom w:val="single" w:sz="4" w:space="0" w:color="auto"/>
            </w:tcBorders>
            <w:noWrap/>
            <w:vAlign w:val="center"/>
            <w:hideMark/>
          </w:tcPr>
          <w:p w14:paraId="4370E34C"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c>
          <w:tcPr>
            <w:tcW w:w="809" w:type="dxa"/>
            <w:tcBorders>
              <w:top w:val="nil"/>
              <w:bottom w:val="single" w:sz="4" w:space="0" w:color="auto"/>
            </w:tcBorders>
            <w:noWrap/>
            <w:vAlign w:val="center"/>
            <w:hideMark/>
          </w:tcPr>
          <w:p w14:paraId="5CCCB053"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c>
          <w:tcPr>
            <w:tcW w:w="810" w:type="dxa"/>
            <w:tcBorders>
              <w:top w:val="nil"/>
              <w:bottom w:val="single" w:sz="4" w:space="0" w:color="auto"/>
            </w:tcBorders>
            <w:noWrap/>
            <w:vAlign w:val="center"/>
            <w:hideMark/>
          </w:tcPr>
          <w:p w14:paraId="33955890"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c>
          <w:tcPr>
            <w:tcW w:w="809" w:type="dxa"/>
            <w:tcBorders>
              <w:top w:val="nil"/>
              <w:bottom w:val="single" w:sz="4" w:space="0" w:color="auto"/>
            </w:tcBorders>
            <w:noWrap/>
            <w:vAlign w:val="center"/>
            <w:hideMark/>
          </w:tcPr>
          <w:p w14:paraId="0373622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c>
          <w:tcPr>
            <w:tcW w:w="810" w:type="dxa"/>
            <w:tcBorders>
              <w:top w:val="nil"/>
              <w:bottom w:val="single" w:sz="4" w:space="0" w:color="auto"/>
            </w:tcBorders>
            <w:noWrap/>
            <w:vAlign w:val="center"/>
            <w:hideMark/>
          </w:tcPr>
          <w:p w14:paraId="7C8A5EB1"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r>
      <w:tr w:rsidR="00761892" w:rsidRPr="009B50CF" w14:paraId="44C6D68B" w14:textId="77777777" w:rsidTr="00FB7CFA">
        <w:trPr>
          <w:trHeight w:val="288"/>
          <w:jc w:val="center"/>
        </w:trPr>
        <w:tc>
          <w:tcPr>
            <w:tcW w:w="5313" w:type="dxa"/>
            <w:gridSpan w:val="2"/>
            <w:tcBorders>
              <w:top w:val="single" w:sz="4" w:space="0" w:color="auto"/>
              <w:bottom w:val="dotted" w:sz="4" w:space="0" w:color="auto"/>
            </w:tcBorders>
            <w:noWrap/>
            <w:vAlign w:val="center"/>
            <w:hideMark/>
          </w:tcPr>
          <w:p w14:paraId="6695179D" w14:textId="77777777" w:rsidR="00761892" w:rsidRPr="009B50CF" w:rsidRDefault="00761892" w:rsidP="00FB7CFA">
            <w:pPr>
              <w:rPr>
                <w:rFonts w:ascii="Arial" w:hAnsi="Arial" w:cs="Arial"/>
                <w:b/>
                <w:bCs/>
                <w:color w:val="000000"/>
                <w:lang w:val="en-CA" w:eastAsia="en-CA"/>
              </w:rPr>
            </w:pPr>
            <w:r w:rsidRPr="009B50CF">
              <w:rPr>
                <w:rFonts w:ascii="Arial" w:hAnsi="Arial" w:cs="Arial"/>
                <w:b/>
                <w:bCs/>
                <w:color w:val="000000"/>
                <w:lang w:val="en-CA" w:eastAsia="en-CA"/>
              </w:rPr>
              <w:t>Price</w:t>
            </w:r>
          </w:p>
        </w:tc>
        <w:tc>
          <w:tcPr>
            <w:tcW w:w="809" w:type="dxa"/>
            <w:tcBorders>
              <w:top w:val="single" w:sz="4" w:space="0" w:color="auto"/>
              <w:bottom w:val="dotted" w:sz="4" w:space="0" w:color="auto"/>
            </w:tcBorders>
            <w:noWrap/>
            <w:vAlign w:val="center"/>
            <w:hideMark/>
          </w:tcPr>
          <w:p w14:paraId="00B7CEFC"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15%</w:t>
            </w:r>
          </w:p>
        </w:tc>
        <w:tc>
          <w:tcPr>
            <w:tcW w:w="809" w:type="dxa"/>
            <w:tcBorders>
              <w:top w:val="single" w:sz="4" w:space="0" w:color="auto"/>
              <w:bottom w:val="dotted" w:sz="4" w:space="0" w:color="auto"/>
            </w:tcBorders>
            <w:noWrap/>
            <w:vAlign w:val="center"/>
            <w:hideMark/>
          </w:tcPr>
          <w:p w14:paraId="268C5112"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19%</w:t>
            </w:r>
          </w:p>
        </w:tc>
        <w:tc>
          <w:tcPr>
            <w:tcW w:w="810" w:type="dxa"/>
            <w:tcBorders>
              <w:top w:val="single" w:sz="4" w:space="0" w:color="auto"/>
              <w:bottom w:val="dotted" w:sz="4" w:space="0" w:color="auto"/>
            </w:tcBorders>
            <w:noWrap/>
            <w:vAlign w:val="center"/>
            <w:hideMark/>
          </w:tcPr>
          <w:p w14:paraId="700EE9DE"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14%</w:t>
            </w:r>
          </w:p>
        </w:tc>
        <w:tc>
          <w:tcPr>
            <w:tcW w:w="809" w:type="dxa"/>
            <w:tcBorders>
              <w:top w:val="single" w:sz="4" w:space="0" w:color="auto"/>
              <w:bottom w:val="dotted" w:sz="4" w:space="0" w:color="auto"/>
            </w:tcBorders>
            <w:noWrap/>
            <w:vAlign w:val="center"/>
            <w:hideMark/>
          </w:tcPr>
          <w:p w14:paraId="072ED630"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10%</w:t>
            </w:r>
          </w:p>
        </w:tc>
        <w:tc>
          <w:tcPr>
            <w:tcW w:w="810" w:type="dxa"/>
            <w:tcBorders>
              <w:top w:val="single" w:sz="4" w:space="0" w:color="auto"/>
              <w:bottom w:val="dotted" w:sz="4" w:space="0" w:color="auto"/>
            </w:tcBorders>
            <w:noWrap/>
            <w:vAlign w:val="center"/>
            <w:hideMark/>
          </w:tcPr>
          <w:p w14:paraId="2ADB93EE"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12%</w:t>
            </w:r>
          </w:p>
        </w:tc>
      </w:tr>
      <w:tr w:rsidR="00761892" w:rsidRPr="00761892" w14:paraId="2D1BBD01" w14:textId="77777777" w:rsidTr="00FB7CFA">
        <w:trPr>
          <w:trHeight w:val="288"/>
          <w:jc w:val="center"/>
        </w:trPr>
        <w:tc>
          <w:tcPr>
            <w:tcW w:w="471" w:type="dxa"/>
            <w:tcBorders>
              <w:top w:val="dotted" w:sz="4" w:space="0" w:color="auto"/>
              <w:bottom w:val="nil"/>
            </w:tcBorders>
            <w:noWrap/>
            <w:vAlign w:val="center"/>
            <w:hideMark/>
          </w:tcPr>
          <w:p w14:paraId="1B217E78"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7</w:t>
            </w:r>
          </w:p>
        </w:tc>
        <w:tc>
          <w:tcPr>
            <w:tcW w:w="4842" w:type="dxa"/>
            <w:tcBorders>
              <w:top w:val="dotted" w:sz="4" w:space="0" w:color="auto"/>
              <w:bottom w:val="nil"/>
            </w:tcBorders>
            <w:noWrap/>
            <w:vAlign w:val="center"/>
            <w:hideMark/>
          </w:tcPr>
          <w:p w14:paraId="6EFD919D"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Overall good value for the money</w:t>
            </w:r>
          </w:p>
        </w:tc>
        <w:tc>
          <w:tcPr>
            <w:tcW w:w="809" w:type="dxa"/>
            <w:tcBorders>
              <w:top w:val="dotted" w:sz="4" w:space="0" w:color="auto"/>
              <w:bottom w:val="nil"/>
            </w:tcBorders>
            <w:noWrap/>
            <w:vAlign w:val="center"/>
            <w:hideMark/>
          </w:tcPr>
          <w:p w14:paraId="10C833F1"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14%</w:t>
            </w:r>
          </w:p>
        </w:tc>
        <w:tc>
          <w:tcPr>
            <w:tcW w:w="809" w:type="dxa"/>
            <w:tcBorders>
              <w:top w:val="dotted" w:sz="4" w:space="0" w:color="auto"/>
              <w:bottom w:val="nil"/>
            </w:tcBorders>
            <w:noWrap/>
            <w:vAlign w:val="center"/>
            <w:hideMark/>
          </w:tcPr>
          <w:p w14:paraId="6B7D5A6C"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17%</w:t>
            </w:r>
          </w:p>
        </w:tc>
        <w:tc>
          <w:tcPr>
            <w:tcW w:w="810" w:type="dxa"/>
            <w:tcBorders>
              <w:top w:val="dotted" w:sz="4" w:space="0" w:color="auto"/>
              <w:bottom w:val="nil"/>
            </w:tcBorders>
            <w:noWrap/>
            <w:vAlign w:val="center"/>
            <w:hideMark/>
          </w:tcPr>
          <w:p w14:paraId="4302D214"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13%</w:t>
            </w:r>
          </w:p>
        </w:tc>
        <w:tc>
          <w:tcPr>
            <w:tcW w:w="809" w:type="dxa"/>
            <w:tcBorders>
              <w:top w:val="dotted" w:sz="4" w:space="0" w:color="auto"/>
              <w:bottom w:val="nil"/>
            </w:tcBorders>
            <w:noWrap/>
            <w:vAlign w:val="center"/>
            <w:hideMark/>
          </w:tcPr>
          <w:p w14:paraId="5E421205"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10%</w:t>
            </w:r>
          </w:p>
        </w:tc>
        <w:tc>
          <w:tcPr>
            <w:tcW w:w="810" w:type="dxa"/>
            <w:tcBorders>
              <w:top w:val="dotted" w:sz="4" w:space="0" w:color="auto"/>
              <w:bottom w:val="nil"/>
            </w:tcBorders>
            <w:noWrap/>
            <w:vAlign w:val="center"/>
            <w:hideMark/>
          </w:tcPr>
          <w:p w14:paraId="27BA31F8"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11%</w:t>
            </w:r>
          </w:p>
        </w:tc>
      </w:tr>
      <w:tr w:rsidR="00761892" w:rsidRPr="00761892" w14:paraId="0BAF5CB7" w14:textId="77777777" w:rsidTr="00FB7CFA">
        <w:trPr>
          <w:trHeight w:val="288"/>
          <w:jc w:val="center"/>
        </w:trPr>
        <w:tc>
          <w:tcPr>
            <w:tcW w:w="471" w:type="dxa"/>
            <w:tcBorders>
              <w:top w:val="nil"/>
              <w:bottom w:val="single" w:sz="4" w:space="0" w:color="auto"/>
            </w:tcBorders>
            <w:noWrap/>
            <w:vAlign w:val="center"/>
            <w:hideMark/>
          </w:tcPr>
          <w:p w14:paraId="1C2E94E6"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8</w:t>
            </w:r>
          </w:p>
        </w:tc>
        <w:tc>
          <w:tcPr>
            <w:tcW w:w="4842" w:type="dxa"/>
            <w:tcBorders>
              <w:top w:val="nil"/>
              <w:bottom w:val="single" w:sz="4" w:space="0" w:color="auto"/>
            </w:tcBorders>
            <w:noWrap/>
            <w:vAlign w:val="center"/>
            <w:hideMark/>
          </w:tcPr>
          <w:p w14:paraId="4213049C"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Lowest price</w:t>
            </w:r>
          </w:p>
        </w:tc>
        <w:tc>
          <w:tcPr>
            <w:tcW w:w="809" w:type="dxa"/>
            <w:tcBorders>
              <w:top w:val="nil"/>
              <w:bottom w:val="single" w:sz="4" w:space="0" w:color="auto"/>
            </w:tcBorders>
            <w:noWrap/>
            <w:vAlign w:val="center"/>
            <w:hideMark/>
          </w:tcPr>
          <w:p w14:paraId="6EA4B254"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top w:val="nil"/>
              <w:bottom w:val="single" w:sz="4" w:space="0" w:color="auto"/>
            </w:tcBorders>
            <w:noWrap/>
            <w:vAlign w:val="center"/>
            <w:hideMark/>
          </w:tcPr>
          <w:p w14:paraId="3F5A42A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10" w:type="dxa"/>
            <w:tcBorders>
              <w:top w:val="nil"/>
              <w:bottom w:val="single" w:sz="4" w:space="0" w:color="auto"/>
            </w:tcBorders>
            <w:noWrap/>
            <w:vAlign w:val="center"/>
            <w:hideMark/>
          </w:tcPr>
          <w:p w14:paraId="04BC613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top w:val="nil"/>
              <w:bottom w:val="single" w:sz="4" w:space="0" w:color="auto"/>
            </w:tcBorders>
            <w:noWrap/>
            <w:vAlign w:val="center"/>
            <w:hideMark/>
          </w:tcPr>
          <w:p w14:paraId="49EAD65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top w:val="nil"/>
              <w:bottom w:val="single" w:sz="4" w:space="0" w:color="auto"/>
            </w:tcBorders>
            <w:noWrap/>
            <w:vAlign w:val="center"/>
            <w:hideMark/>
          </w:tcPr>
          <w:p w14:paraId="512ECE5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r>
      <w:tr w:rsidR="00761892" w:rsidRPr="009B50CF" w14:paraId="1BEF5113" w14:textId="77777777" w:rsidTr="00FB7CFA">
        <w:trPr>
          <w:trHeight w:val="288"/>
          <w:jc w:val="center"/>
        </w:trPr>
        <w:tc>
          <w:tcPr>
            <w:tcW w:w="5313" w:type="dxa"/>
            <w:gridSpan w:val="2"/>
            <w:tcBorders>
              <w:top w:val="single" w:sz="4" w:space="0" w:color="auto"/>
              <w:bottom w:val="dotted" w:sz="4" w:space="0" w:color="auto"/>
            </w:tcBorders>
            <w:noWrap/>
            <w:vAlign w:val="center"/>
            <w:hideMark/>
          </w:tcPr>
          <w:p w14:paraId="6184A248" w14:textId="77777777" w:rsidR="00761892" w:rsidRPr="009B50CF" w:rsidRDefault="00761892" w:rsidP="00FB7CFA">
            <w:pPr>
              <w:rPr>
                <w:rFonts w:ascii="Arial" w:hAnsi="Arial" w:cs="Arial"/>
                <w:b/>
                <w:bCs/>
                <w:color w:val="000000"/>
                <w:lang w:val="en-CA" w:eastAsia="en-CA"/>
              </w:rPr>
            </w:pPr>
            <w:r w:rsidRPr="009B50CF">
              <w:rPr>
                <w:rFonts w:ascii="Arial" w:hAnsi="Arial" w:cs="Arial"/>
                <w:b/>
                <w:bCs/>
                <w:color w:val="000000"/>
                <w:lang w:val="en-CA" w:eastAsia="en-CA"/>
              </w:rPr>
              <w:t>Conservative</w:t>
            </w:r>
          </w:p>
        </w:tc>
        <w:tc>
          <w:tcPr>
            <w:tcW w:w="809" w:type="dxa"/>
            <w:tcBorders>
              <w:top w:val="single" w:sz="4" w:space="0" w:color="auto"/>
              <w:bottom w:val="dotted" w:sz="4" w:space="0" w:color="auto"/>
            </w:tcBorders>
            <w:noWrap/>
            <w:vAlign w:val="center"/>
            <w:hideMark/>
          </w:tcPr>
          <w:p w14:paraId="3852A123"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11%</w:t>
            </w:r>
          </w:p>
        </w:tc>
        <w:tc>
          <w:tcPr>
            <w:tcW w:w="809" w:type="dxa"/>
            <w:tcBorders>
              <w:top w:val="single" w:sz="4" w:space="0" w:color="auto"/>
              <w:bottom w:val="dotted" w:sz="4" w:space="0" w:color="auto"/>
            </w:tcBorders>
            <w:noWrap/>
            <w:vAlign w:val="center"/>
            <w:hideMark/>
          </w:tcPr>
          <w:p w14:paraId="54FC94A7"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11%</w:t>
            </w:r>
          </w:p>
        </w:tc>
        <w:tc>
          <w:tcPr>
            <w:tcW w:w="810" w:type="dxa"/>
            <w:tcBorders>
              <w:top w:val="single" w:sz="4" w:space="0" w:color="auto"/>
              <w:bottom w:val="dotted" w:sz="4" w:space="0" w:color="auto"/>
            </w:tcBorders>
            <w:noWrap/>
            <w:vAlign w:val="center"/>
            <w:hideMark/>
          </w:tcPr>
          <w:p w14:paraId="78DFBBCE"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12%</w:t>
            </w:r>
          </w:p>
        </w:tc>
        <w:tc>
          <w:tcPr>
            <w:tcW w:w="809" w:type="dxa"/>
            <w:tcBorders>
              <w:top w:val="single" w:sz="4" w:space="0" w:color="auto"/>
              <w:bottom w:val="dotted" w:sz="4" w:space="0" w:color="auto"/>
            </w:tcBorders>
            <w:noWrap/>
            <w:vAlign w:val="center"/>
            <w:hideMark/>
          </w:tcPr>
          <w:p w14:paraId="3A34D8AE"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11%</w:t>
            </w:r>
          </w:p>
        </w:tc>
        <w:tc>
          <w:tcPr>
            <w:tcW w:w="810" w:type="dxa"/>
            <w:tcBorders>
              <w:top w:val="single" w:sz="4" w:space="0" w:color="auto"/>
              <w:bottom w:val="dotted" w:sz="4" w:space="0" w:color="auto"/>
            </w:tcBorders>
            <w:noWrap/>
            <w:vAlign w:val="center"/>
            <w:hideMark/>
          </w:tcPr>
          <w:p w14:paraId="18695505"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7%</w:t>
            </w:r>
          </w:p>
        </w:tc>
      </w:tr>
      <w:tr w:rsidR="00761892" w:rsidRPr="00761892" w14:paraId="3A267649" w14:textId="77777777" w:rsidTr="00FB7CFA">
        <w:trPr>
          <w:trHeight w:val="288"/>
          <w:jc w:val="center"/>
        </w:trPr>
        <w:tc>
          <w:tcPr>
            <w:tcW w:w="471" w:type="dxa"/>
            <w:tcBorders>
              <w:top w:val="dotted" w:sz="4" w:space="0" w:color="auto"/>
              <w:bottom w:val="nil"/>
            </w:tcBorders>
            <w:noWrap/>
            <w:vAlign w:val="center"/>
            <w:hideMark/>
          </w:tcPr>
          <w:p w14:paraId="4705F87B"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9</w:t>
            </w:r>
          </w:p>
        </w:tc>
        <w:tc>
          <w:tcPr>
            <w:tcW w:w="4842" w:type="dxa"/>
            <w:tcBorders>
              <w:top w:val="dotted" w:sz="4" w:space="0" w:color="auto"/>
              <w:bottom w:val="nil"/>
            </w:tcBorders>
            <w:noWrap/>
            <w:vAlign w:val="center"/>
            <w:hideMark/>
          </w:tcPr>
          <w:p w14:paraId="4B1A5176"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Preserves our cultural and/or artistic heritage</w:t>
            </w:r>
          </w:p>
        </w:tc>
        <w:tc>
          <w:tcPr>
            <w:tcW w:w="809" w:type="dxa"/>
            <w:tcBorders>
              <w:top w:val="dotted" w:sz="4" w:space="0" w:color="auto"/>
              <w:bottom w:val="nil"/>
            </w:tcBorders>
            <w:noWrap/>
            <w:vAlign w:val="center"/>
            <w:hideMark/>
          </w:tcPr>
          <w:p w14:paraId="4BB40058"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10%</w:t>
            </w:r>
          </w:p>
        </w:tc>
        <w:tc>
          <w:tcPr>
            <w:tcW w:w="809" w:type="dxa"/>
            <w:tcBorders>
              <w:top w:val="dotted" w:sz="4" w:space="0" w:color="auto"/>
              <w:bottom w:val="nil"/>
            </w:tcBorders>
            <w:noWrap/>
            <w:vAlign w:val="center"/>
            <w:hideMark/>
          </w:tcPr>
          <w:p w14:paraId="537E2010"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10%</w:t>
            </w:r>
          </w:p>
        </w:tc>
        <w:tc>
          <w:tcPr>
            <w:tcW w:w="810" w:type="dxa"/>
            <w:tcBorders>
              <w:top w:val="dotted" w:sz="4" w:space="0" w:color="auto"/>
              <w:bottom w:val="nil"/>
            </w:tcBorders>
            <w:noWrap/>
            <w:vAlign w:val="center"/>
            <w:hideMark/>
          </w:tcPr>
          <w:p w14:paraId="28A0D577"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11%</w:t>
            </w:r>
          </w:p>
        </w:tc>
        <w:tc>
          <w:tcPr>
            <w:tcW w:w="809" w:type="dxa"/>
            <w:tcBorders>
              <w:top w:val="dotted" w:sz="4" w:space="0" w:color="auto"/>
              <w:bottom w:val="nil"/>
            </w:tcBorders>
            <w:noWrap/>
            <w:vAlign w:val="center"/>
            <w:hideMark/>
          </w:tcPr>
          <w:p w14:paraId="3D29ECEE"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10%</w:t>
            </w:r>
          </w:p>
        </w:tc>
        <w:tc>
          <w:tcPr>
            <w:tcW w:w="810" w:type="dxa"/>
            <w:tcBorders>
              <w:top w:val="dotted" w:sz="4" w:space="0" w:color="auto"/>
              <w:bottom w:val="nil"/>
            </w:tcBorders>
            <w:noWrap/>
            <w:vAlign w:val="center"/>
            <w:hideMark/>
          </w:tcPr>
          <w:p w14:paraId="0C7330DE"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7%</w:t>
            </w:r>
          </w:p>
        </w:tc>
      </w:tr>
      <w:tr w:rsidR="00761892" w:rsidRPr="00761892" w14:paraId="088F6E28" w14:textId="77777777" w:rsidTr="00FB7CFA">
        <w:trPr>
          <w:trHeight w:val="288"/>
          <w:jc w:val="center"/>
        </w:trPr>
        <w:tc>
          <w:tcPr>
            <w:tcW w:w="471" w:type="dxa"/>
            <w:tcBorders>
              <w:top w:val="nil"/>
              <w:bottom w:val="single" w:sz="4" w:space="0" w:color="auto"/>
            </w:tcBorders>
            <w:noWrap/>
            <w:vAlign w:val="center"/>
            <w:hideMark/>
          </w:tcPr>
          <w:p w14:paraId="7094ACDA"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10</w:t>
            </w:r>
          </w:p>
        </w:tc>
        <w:tc>
          <w:tcPr>
            <w:tcW w:w="4842" w:type="dxa"/>
            <w:tcBorders>
              <w:top w:val="nil"/>
              <w:bottom w:val="single" w:sz="4" w:space="0" w:color="auto"/>
            </w:tcBorders>
            <w:noWrap/>
            <w:vAlign w:val="center"/>
            <w:hideMark/>
          </w:tcPr>
          <w:p w14:paraId="12B81B56" w14:textId="320C4979"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Is family</w:t>
            </w:r>
            <w:r w:rsidR="00D460AF">
              <w:rPr>
                <w:rFonts w:ascii="Arial" w:hAnsi="Arial" w:cs="Arial"/>
                <w:color w:val="000000"/>
                <w:lang w:val="en-CA" w:eastAsia="en-CA"/>
              </w:rPr>
              <w:t>-</w:t>
            </w:r>
            <w:r w:rsidRPr="00761892">
              <w:rPr>
                <w:rFonts w:ascii="Arial" w:hAnsi="Arial" w:cs="Arial"/>
                <w:color w:val="000000"/>
                <w:lang w:val="en-CA" w:eastAsia="en-CA"/>
              </w:rPr>
              <w:t>friendly</w:t>
            </w:r>
          </w:p>
        </w:tc>
        <w:tc>
          <w:tcPr>
            <w:tcW w:w="809" w:type="dxa"/>
            <w:tcBorders>
              <w:top w:val="nil"/>
              <w:bottom w:val="single" w:sz="4" w:space="0" w:color="auto"/>
            </w:tcBorders>
            <w:noWrap/>
            <w:vAlign w:val="center"/>
            <w:hideMark/>
          </w:tcPr>
          <w:p w14:paraId="3BFD7AB3"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top w:val="nil"/>
              <w:bottom w:val="single" w:sz="4" w:space="0" w:color="auto"/>
            </w:tcBorders>
            <w:noWrap/>
            <w:vAlign w:val="center"/>
            <w:hideMark/>
          </w:tcPr>
          <w:p w14:paraId="0658F14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top w:val="nil"/>
              <w:bottom w:val="single" w:sz="4" w:space="0" w:color="auto"/>
            </w:tcBorders>
            <w:noWrap/>
            <w:vAlign w:val="center"/>
            <w:hideMark/>
          </w:tcPr>
          <w:p w14:paraId="1D2E13B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top w:val="nil"/>
              <w:bottom w:val="single" w:sz="4" w:space="0" w:color="auto"/>
            </w:tcBorders>
            <w:noWrap/>
            <w:vAlign w:val="center"/>
            <w:hideMark/>
          </w:tcPr>
          <w:p w14:paraId="0BB7B0F9"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top w:val="nil"/>
              <w:bottom w:val="single" w:sz="4" w:space="0" w:color="auto"/>
            </w:tcBorders>
            <w:noWrap/>
            <w:vAlign w:val="center"/>
            <w:hideMark/>
          </w:tcPr>
          <w:p w14:paraId="210CF13D"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r>
      <w:tr w:rsidR="00761892" w:rsidRPr="009B50CF" w14:paraId="6FA47408" w14:textId="77777777" w:rsidTr="00FB7CFA">
        <w:trPr>
          <w:trHeight w:val="288"/>
          <w:jc w:val="center"/>
        </w:trPr>
        <w:tc>
          <w:tcPr>
            <w:tcW w:w="5313" w:type="dxa"/>
            <w:gridSpan w:val="2"/>
            <w:tcBorders>
              <w:top w:val="single" w:sz="4" w:space="0" w:color="auto"/>
              <w:bottom w:val="dotted" w:sz="4" w:space="0" w:color="auto"/>
            </w:tcBorders>
            <w:noWrap/>
            <w:vAlign w:val="center"/>
            <w:hideMark/>
          </w:tcPr>
          <w:p w14:paraId="0181A277" w14:textId="77777777" w:rsidR="00761892" w:rsidRPr="009B50CF" w:rsidRDefault="00761892" w:rsidP="00FB7CFA">
            <w:pPr>
              <w:rPr>
                <w:rFonts w:ascii="Arial" w:hAnsi="Arial" w:cs="Arial"/>
                <w:b/>
                <w:bCs/>
                <w:color w:val="000000"/>
                <w:lang w:val="en-CA" w:eastAsia="en-CA"/>
              </w:rPr>
            </w:pPr>
            <w:r w:rsidRPr="009B50CF">
              <w:rPr>
                <w:rFonts w:ascii="Arial" w:hAnsi="Arial" w:cs="Arial"/>
                <w:b/>
                <w:bCs/>
                <w:color w:val="000000"/>
                <w:lang w:val="en-CA" w:eastAsia="en-CA"/>
              </w:rPr>
              <w:t>Edgy</w:t>
            </w:r>
          </w:p>
        </w:tc>
        <w:tc>
          <w:tcPr>
            <w:tcW w:w="809" w:type="dxa"/>
            <w:tcBorders>
              <w:top w:val="single" w:sz="4" w:space="0" w:color="auto"/>
              <w:bottom w:val="dotted" w:sz="4" w:space="0" w:color="auto"/>
            </w:tcBorders>
            <w:noWrap/>
            <w:vAlign w:val="center"/>
            <w:hideMark/>
          </w:tcPr>
          <w:p w14:paraId="65426FF7"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7%</w:t>
            </w:r>
          </w:p>
        </w:tc>
        <w:tc>
          <w:tcPr>
            <w:tcW w:w="809" w:type="dxa"/>
            <w:tcBorders>
              <w:top w:val="single" w:sz="4" w:space="0" w:color="auto"/>
              <w:bottom w:val="dotted" w:sz="4" w:space="0" w:color="auto"/>
            </w:tcBorders>
            <w:noWrap/>
            <w:vAlign w:val="center"/>
            <w:hideMark/>
          </w:tcPr>
          <w:p w14:paraId="40CE5489"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8%</w:t>
            </w:r>
          </w:p>
        </w:tc>
        <w:tc>
          <w:tcPr>
            <w:tcW w:w="810" w:type="dxa"/>
            <w:tcBorders>
              <w:top w:val="single" w:sz="4" w:space="0" w:color="auto"/>
              <w:bottom w:val="dotted" w:sz="4" w:space="0" w:color="auto"/>
            </w:tcBorders>
            <w:noWrap/>
            <w:vAlign w:val="center"/>
            <w:hideMark/>
          </w:tcPr>
          <w:p w14:paraId="468DF019"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7%</w:t>
            </w:r>
          </w:p>
        </w:tc>
        <w:tc>
          <w:tcPr>
            <w:tcW w:w="809" w:type="dxa"/>
            <w:tcBorders>
              <w:top w:val="single" w:sz="4" w:space="0" w:color="auto"/>
              <w:bottom w:val="dotted" w:sz="4" w:space="0" w:color="auto"/>
            </w:tcBorders>
            <w:noWrap/>
            <w:vAlign w:val="center"/>
            <w:hideMark/>
          </w:tcPr>
          <w:p w14:paraId="4E40D13D"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5%</w:t>
            </w:r>
          </w:p>
        </w:tc>
        <w:tc>
          <w:tcPr>
            <w:tcW w:w="810" w:type="dxa"/>
            <w:tcBorders>
              <w:top w:val="single" w:sz="4" w:space="0" w:color="auto"/>
              <w:bottom w:val="dotted" w:sz="4" w:space="0" w:color="auto"/>
            </w:tcBorders>
            <w:noWrap/>
            <w:vAlign w:val="center"/>
            <w:hideMark/>
          </w:tcPr>
          <w:p w14:paraId="27A7E90E"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4%</w:t>
            </w:r>
          </w:p>
        </w:tc>
      </w:tr>
      <w:tr w:rsidR="00761892" w:rsidRPr="00761892" w14:paraId="6E660F78" w14:textId="77777777" w:rsidTr="00FB7CFA">
        <w:trPr>
          <w:trHeight w:val="288"/>
          <w:jc w:val="center"/>
        </w:trPr>
        <w:tc>
          <w:tcPr>
            <w:tcW w:w="471" w:type="dxa"/>
            <w:tcBorders>
              <w:top w:val="dotted" w:sz="4" w:space="0" w:color="auto"/>
              <w:bottom w:val="nil"/>
            </w:tcBorders>
            <w:noWrap/>
            <w:vAlign w:val="center"/>
            <w:hideMark/>
          </w:tcPr>
          <w:p w14:paraId="13044EB8"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11</w:t>
            </w:r>
          </w:p>
        </w:tc>
        <w:tc>
          <w:tcPr>
            <w:tcW w:w="4842" w:type="dxa"/>
            <w:tcBorders>
              <w:top w:val="dotted" w:sz="4" w:space="0" w:color="auto"/>
              <w:bottom w:val="nil"/>
            </w:tcBorders>
            <w:noWrap/>
            <w:vAlign w:val="center"/>
            <w:hideMark/>
          </w:tcPr>
          <w:p w14:paraId="274CAD68"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Is "edgy" or pushes boundaries</w:t>
            </w:r>
          </w:p>
        </w:tc>
        <w:tc>
          <w:tcPr>
            <w:tcW w:w="809" w:type="dxa"/>
            <w:tcBorders>
              <w:top w:val="dotted" w:sz="4" w:space="0" w:color="auto"/>
              <w:bottom w:val="nil"/>
            </w:tcBorders>
            <w:noWrap/>
            <w:vAlign w:val="center"/>
            <w:hideMark/>
          </w:tcPr>
          <w:p w14:paraId="43A529FA"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4%</w:t>
            </w:r>
          </w:p>
        </w:tc>
        <w:tc>
          <w:tcPr>
            <w:tcW w:w="809" w:type="dxa"/>
            <w:tcBorders>
              <w:top w:val="dotted" w:sz="4" w:space="0" w:color="auto"/>
              <w:bottom w:val="nil"/>
            </w:tcBorders>
            <w:noWrap/>
            <w:vAlign w:val="center"/>
            <w:hideMark/>
          </w:tcPr>
          <w:p w14:paraId="32482254"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5%</w:t>
            </w:r>
          </w:p>
        </w:tc>
        <w:tc>
          <w:tcPr>
            <w:tcW w:w="810" w:type="dxa"/>
            <w:tcBorders>
              <w:top w:val="dotted" w:sz="4" w:space="0" w:color="auto"/>
              <w:bottom w:val="nil"/>
            </w:tcBorders>
            <w:noWrap/>
            <w:vAlign w:val="center"/>
            <w:hideMark/>
          </w:tcPr>
          <w:p w14:paraId="1459C76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5%</w:t>
            </w:r>
          </w:p>
        </w:tc>
        <w:tc>
          <w:tcPr>
            <w:tcW w:w="809" w:type="dxa"/>
            <w:tcBorders>
              <w:top w:val="dotted" w:sz="4" w:space="0" w:color="auto"/>
              <w:bottom w:val="nil"/>
            </w:tcBorders>
            <w:noWrap/>
            <w:vAlign w:val="center"/>
            <w:hideMark/>
          </w:tcPr>
          <w:p w14:paraId="5344BBC6"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c>
          <w:tcPr>
            <w:tcW w:w="810" w:type="dxa"/>
            <w:tcBorders>
              <w:top w:val="dotted" w:sz="4" w:space="0" w:color="auto"/>
              <w:bottom w:val="nil"/>
            </w:tcBorders>
            <w:noWrap/>
            <w:vAlign w:val="center"/>
            <w:hideMark/>
          </w:tcPr>
          <w:p w14:paraId="0EE47B97"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r>
      <w:tr w:rsidR="00761892" w:rsidRPr="00761892" w14:paraId="7E018B4F" w14:textId="77777777" w:rsidTr="00FB7CFA">
        <w:trPr>
          <w:trHeight w:val="288"/>
          <w:jc w:val="center"/>
        </w:trPr>
        <w:tc>
          <w:tcPr>
            <w:tcW w:w="471" w:type="dxa"/>
            <w:tcBorders>
              <w:top w:val="nil"/>
              <w:bottom w:val="single" w:sz="4" w:space="0" w:color="auto"/>
            </w:tcBorders>
            <w:noWrap/>
            <w:vAlign w:val="center"/>
            <w:hideMark/>
          </w:tcPr>
          <w:p w14:paraId="5C6C5099"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12</w:t>
            </w:r>
          </w:p>
        </w:tc>
        <w:tc>
          <w:tcPr>
            <w:tcW w:w="4842" w:type="dxa"/>
            <w:tcBorders>
              <w:top w:val="nil"/>
              <w:bottom w:val="single" w:sz="4" w:space="0" w:color="auto"/>
            </w:tcBorders>
            <w:noWrap/>
            <w:vAlign w:val="center"/>
            <w:hideMark/>
          </w:tcPr>
          <w:p w14:paraId="425CEDE6"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Title or content I am familiar with</w:t>
            </w:r>
          </w:p>
        </w:tc>
        <w:tc>
          <w:tcPr>
            <w:tcW w:w="809" w:type="dxa"/>
            <w:tcBorders>
              <w:top w:val="nil"/>
              <w:bottom w:val="single" w:sz="4" w:space="0" w:color="auto"/>
            </w:tcBorders>
            <w:noWrap/>
            <w:vAlign w:val="center"/>
            <w:hideMark/>
          </w:tcPr>
          <w:p w14:paraId="021F751D"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09" w:type="dxa"/>
            <w:tcBorders>
              <w:top w:val="nil"/>
              <w:bottom w:val="single" w:sz="4" w:space="0" w:color="auto"/>
            </w:tcBorders>
            <w:noWrap/>
            <w:vAlign w:val="center"/>
            <w:hideMark/>
          </w:tcPr>
          <w:p w14:paraId="0BDC83E0"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c>
          <w:tcPr>
            <w:tcW w:w="810" w:type="dxa"/>
            <w:tcBorders>
              <w:top w:val="nil"/>
              <w:bottom w:val="single" w:sz="4" w:space="0" w:color="auto"/>
            </w:tcBorders>
            <w:noWrap/>
            <w:vAlign w:val="center"/>
            <w:hideMark/>
          </w:tcPr>
          <w:p w14:paraId="25BBCD8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top w:val="nil"/>
              <w:bottom w:val="single" w:sz="4" w:space="0" w:color="auto"/>
            </w:tcBorders>
            <w:noWrap/>
            <w:vAlign w:val="center"/>
            <w:hideMark/>
          </w:tcPr>
          <w:p w14:paraId="30C91B90"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10" w:type="dxa"/>
            <w:tcBorders>
              <w:top w:val="nil"/>
              <w:bottom w:val="single" w:sz="4" w:space="0" w:color="auto"/>
            </w:tcBorders>
            <w:noWrap/>
            <w:vAlign w:val="center"/>
            <w:hideMark/>
          </w:tcPr>
          <w:p w14:paraId="2E33383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r>
      <w:tr w:rsidR="00761892" w:rsidRPr="009B50CF" w14:paraId="1BE03777" w14:textId="77777777" w:rsidTr="00FB7CFA">
        <w:trPr>
          <w:trHeight w:val="288"/>
          <w:jc w:val="center"/>
        </w:trPr>
        <w:tc>
          <w:tcPr>
            <w:tcW w:w="5313" w:type="dxa"/>
            <w:gridSpan w:val="2"/>
            <w:tcBorders>
              <w:top w:val="single" w:sz="4" w:space="0" w:color="auto"/>
              <w:bottom w:val="dotted" w:sz="4" w:space="0" w:color="auto"/>
            </w:tcBorders>
            <w:noWrap/>
            <w:vAlign w:val="center"/>
            <w:hideMark/>
          </w:tcPr>
          <w:p w14:paraId="1C4A43A9" w14:textId="77777777" w:rsidR="00761892" w:rsidRPr="009B50CF" w:rsidRDefault="00761892" w:rsidP="00FB7CFA">
            <w:pPr>
              <w:rPr>
                <w:rFonts w:ascii="Arial" w:hAnsi="Arial" w:cs="Arial"/>
                <w:b/>
                <w:bCs/>
                <w:color w:val="000000"/>
                <w:lang w:val="en-CA" w:eastAsia="en-CA"/>
              </w:rPr>
            </w:pPr>
            <w:r w:rsidRPr="009B50CF">
              <w:rPr>
                <w:rFonts w:ascii="Arial" w:hAnsi="Arial" w:cs="Arial"/>
                <w:b/>
                <w:bCs/>
                <w:color w:val="000000"/>
                <w:lang w:val="en-CA" w:eastAsia="en-CA"/>
              </w:rPr>
              <w:t>Community</w:t>
            </w:r>
          </w:p>
        </w:tc>
        <w:tc>
          <w:tcPr>
            <w:tcW w:w="809" w:type="dxa"/>
            <w:tcBorders>
              <w:top w:val="single" w:sz="4" w:space="0" w:color="auto"/>
              <w:bottom w:val="dotted" w:sz="4" w:space="0" w:color="auto"/>
            </w:tcBorders>
            <w:noWrap/>
            <w:vAlign w:val="center"/>
            <w:hideMark/>
          </w:tcPr>
          <w:p w14:paraId="6812601E"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7%</w:t>
            </w:r>
          </w:p>
        </w:tc>
        <w:tc>
          <w:tcPr>
            <w:tcW w:w="809" w:type="dxa"/>
            <w:tcBorders>
              <w:top w:val="single" w:sz="4" w:space="0" w:color="auto"/>
              <w:bottom w:val="dotted" w:sz="4" w:space="0" w:color="auto"/>
            </w:tcBorders>
            <w:noWrap/>
            <w:vAlign w:val="center"/>
            <w:hideMark/>
          </w:tcPr>
          <w:p w14:paraId="23FE41CE"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5%</w:t>
            </w:r>
          </w:p>
        </w:tc>
        <w:tc>
          <w:tcPr>
            <w:tcW w:w="810" w:type="dxa"/>
            <w:tcBorders>
              <w:top w:val="single" w:sz="4" w:space="0" w:color="auto"/>
              <w:bottom w:val="dotted" w:sz="4" w:space="0" w:color="auto"/>
            </w:tcBorders>
            <w:noWrap/>
            <w:vAlign w:val="center"/>
            <w:hideMark/>
          </w:tcPr>
          <w:p w14:paraId="6C2F4CAE"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5%</w:t>
            </w:r>
          </w:p>
        </w:tc>
        <w:tc>
          <w:tcPr>
            <w:tcW w:w="809" w:type="dxa"/>
            <w:tcBorders>
              <w:top w:val="single" w:sz="4" w:space="0" w:color="auto"/>
              <w:bottom w:val="dotted" w:sz="4" w:space="0" w:color="auto"/>
            </w:tcBorders>
            <w:noWrap/>
            <w:vAlign w:val="center"/>
            <w:hideMark/>
          </w:tcPr>
          <w:p w14:paraId="6D9DAF09"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3%</w:t>
            </w:r>
          </w:p>
        </w:tc>
        <w:tc>
          <w:tcPr>
            <w:tcW w:w="810" w:type="dxa"/>
            <w:tcBorders>
              <w:top w:val="single" w:sz="4" w:space="0" w:color="auto"/>
              <w:bottom w:val="dotted" w:sz="4" w:space="0" w:color="auto"/>
            </w:tcBorders>
            <w:noWrap/>
            <w:vAlign w:val="center"/>
            <w:hideMark/>
          </w:tcPr>
          <w:p w14:paraId="5550E7FA"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3%</w:t>
            </w:r>
          </w:p>
        </w:tc>
      </w:tr>
      <w:tr w:rsidR="00761892" w:rsidRPr="00761892" w14:paraId="0C27ACFB" w14:textId="77777777" w:rsidTr="00FB7CFA">
        <w:trPr>
          <w:trHeight w:val="288"/>
          <w:jc w:val="center"/>
        </w:trPr>
        <w:tc>
          <w:tcPr>
            <w:tcW w:w="471" w:type="dxa"/>
            <w:tcBorders>
              <w:top w:val="dotted" w:sz="4" w:space="0" w:color="auto"/>
              <w:bottom w:val="nil"/>
            </w:tcBorders>
            <w:noWrap/>
            <w:vAlign w:val="center"/>
            <w:hideMark/>
          </w:tcPr>
          <w:p w14:paraId="03BC9B50"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13</w:t>
            </w:r>
          </w:p>
        </w:tc>
        <w:tc>
          <w:tcPr>
            <w:tcW w:w="4842" w:type="dxa"/>
            <w:tcBorders>
              <w:top w:val="dotted" w:sz="4" w:space="0" w:color="auto"/>
              <w:bottom w:val="nil"/>
            </w:tcBorders>
            <w:noWrap/>
            <w:vAlign w:val="center"/>
            <w:hideMark/>
          </w:tcPr>
          <w:p w14:paraId="759EFFAF"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Supports up-and-coming talent</w:t>
            </w:r>
          </w:p>
        </w:tc>
        <w:tc>
          <w:tcPr>
            <w:tcW w:w="809" w:type="dxa"/>
            <w:tcBorders>
              <w:top w:val="dotted" w:sz="4" w:space="0" w:color="auto"/>
              <w:bottom w:val="nil"/>
            </w:tcBorders>
            <w:noWrap/>
            <w:vAlign w:val="center"/>
            <w:hideMark/>
          </w:tcPr>
          <w:p w14:paraId="6FC3E28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c>
          <w:tcPr>
            <w:tcW w:w="809" w:type="dxa"/>
            <w:tcBorders>
              <w:top w:val="dotted" w:sz="4" w:space="0" w:color="auto"/>
              <w:bottom w:val="nil"/>
            </w:tcBorders>
            <w:noWrap/>
            <w:vAlign w:val="center"/>
            <w:hideMark/>
          </w:tcPr>
          <w:p w14:paraId="48D6E602"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c>
          <w:tcPr>
            <w:tcW w:w="810" w:type="dxa"/>
            <w:tcBorders>
              <w:top w:val="dotted" w:sz="4" w:space="0" w:color="auto"/>
              <w:bottom w:val="nil"/>
            </w:tcBorders>
            <w:noWrap/>
            <w:vAlign w:val="center"/>
            <w:hideMark/>
          </w:tcPr>
          <w:p w14:paraId="7742A9C6"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c>
          <w:tcPr>
            <w:tcW w:w="809" w:type="dxa"/>
            <w:tcBorders>
              <w:top w:val="dotted" w:sz="4" w:space="0" w:color="auto"/>
              <w:bottom w:val="nil"/>
            </w:tcBorders>
            <w:noWrap/>
            <w:vAlign w:val="center"/>
            <w:hideMark/>
          </w:tcPr>
          <w:p w14:paraId="537802F8"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10" w:type="dxa"/>
            <w:tcBorders>
              <w:top w:val="dotted" w:sz="4" w:space="0" w:color="auto"/>
              <w:bottom w:val="nil"/>
            </w:tcBorders>
            <w:noWrap/>
            <w:vAlign w:val="center"/>
            <w:hideMark/>
          </w:tcPr>
          <w:p w14:paraId="3E16CF9E"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3%</w:t>
            </w:r>
          </w:p>
        </w:tc>
      </w:tr>
      <w:tr w:rsidR="00761892" w:rsidRPr="00761892" w14:paraId="62247A92" w14:textId="77777777" w:rsidTr="00FB7CFA">
        <w:trPr>
          <w:trHeight w:val="288"/>
          <w:jc w:val="center"/>
        </w:trPr>
        <w:tc>
          <w:tcPr>
            <w:tcW w:w="471" w:type="dxa"/>
            <w:tcBorders>
              <w:top w:val="nil"/>
              <w:bottom w:val="single" w:sz="4" w:space="0" w:color="auto"/>
            </w:tcBorders>
            <w:noWrap/>
            <w:vAlign w:val="center"/>
            <w:hideMark/>
          </w:tcPr>
          <w:p w14:paraId="6923BEB8"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14</w:t>
            </w:r>
          </w:p>
        </w:tc>
        <w:tc>
          <w:tcPr>
            <w:tcW w:w="4842" w:type="dxa"/>
            <w:tcBorders>
              <w:top w:val="nil"/>
              <w:bottom w:val="single" w:sz="4" w:space="0" w:color="auto"/>
            </w:tcBorders>
            <w:noWrap/>
            <w:vAlign w:val="center"/>
            <w:hideMark/>
          </w:tcPr>
          <w:p w14:paraId="1B589920"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Makes me feel like part of a community</w:t>
            </w:r>
          </w:p>
        </w:tc>
        <w:tc>
          <w:tcPr>
            <w:tcW w:w="809" w:type="dxa"/>
            <w:tcBorders>
              <w:top w:val="nil"/>
              <w:bottom w:val="single" w:sz="4" w:space="0" w:color="auto"/>
            </w:tcBorders>
            <w:noWrap/>
            <w:vAlign w:val="center"/>
            <w:hideMark/>
          </w:tcPr>
          <w:p w14:paraId="30F712E7"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09" w:type="dxa"/>
            <w:tcBorders>
              <w:top w:val="nil"/>
              <w:bottom w:val="single" w:sz="4" w:space="0" w:color="auto"/>
            </w:tcBorders>
            <w:noWrap/>
            <w:vAlign w:val="center"/>
            <w:hideMark/>
          </w:tcPr>
          <w:p w14:paraId="119CFD31"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10" w:type="dxa"/>
            <w:tcBorders>
              <w:top w:val="nil"/>
              <w:bottom w:val="single" w:sz="4" w:space="0" w:color="auto"/>
            </w:tcBorders>
            <w:noWrap/>
            <w:vAlign w:val="center"/>
            <w:hideMark/>
          </w:tcPr>
          <w:p w14:paraId="4EA9E909"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c>
          <w:tcPr>
            <w:tcW w:w="809" w:type="dxa"/>
            <w:tcBorders>
              <w:top w:val="nil"/>
              <w:bottom w:val="single" w:sz="4" w:space="0" w:color="auto"/>
            </w:tcBorders>
            <w:noWrap/>
            <w:vAlign w:val="center"/>
            <w:hideMark/>
          </w:tcPr>
          <w:p w14:paraId="675DECDD"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top w:val="nil"/>
              <w:bottom w:val="single" w:sz="4" w:space="0" w:color="auto"/>
            </w:tcBorders>
            <w:noWrap/>
            <w:vAlign w:val="center"/>
            <w:hideMark/>
          </w:tcPr>
          <w:p w14:paraId="1954B806"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r>
      <w:tr w:rsidR="00761892" w:rsidRPr="009B50CF" w14:paraId="4649BA09" w14:textId="77777777" w:rsidTr="00FB7CFA">
        <w:trPr>
          <w:trHeight w:val="288"/>
          <w:jc w:val="center"/>
        </w:trPr>
        <w:tc>
          <w:tcPr>
            <w:tcW w:w="5313" w:type="dxa"/>
            <w:gridSpan w:val="2"/>
            <w:tcBorders>
              <w:top w:val="single" w:sz="4" w:space="0" w:color="auto"/>
              <w:bottom w:val="dotted" w:sz="4" w:space="0" w:color="auto"/>
            </w:tcBorders>
            <w:noWrap/>
            <w:vAlign w:val="center"/>
            <w:hideMark/>
          </w:tcPr>
          <w:p w14:paraId="2C7F1C51" w14:textId="77777777" w:rsidR="00761892" w:rsidRPr="009B50CF" w:rsidRDefault="00761892" w:rsidP="00FB7CFA">
            <w:pPr>
              <w:rPr>
                <w:rFonts w:ascii="Arial" w:hAnsi="Arial" w:cs="Arial"/>
                <w:b/>
                <w:bCs/>
                <w:color w:val="000000"/>
                <w:lang w:val="en-CA" w:eastAsia="en-CA"/>
              </w:rPr>
            </w:pPr>
            <w:r w:rsidRPr="009B50CF">
              <w:rPr>
                <w:rFonts w:ascii="Arial" w:hAnsi="Arial" w:cs="Arial"/>
                <w:b/>
                <w:bCs/>
                <w:color w:val="000000"/>
                <w:lang w:val="en-CA" w:eastAsia="en-CA"/>
              </w:rPr>
              <w:t>Physical Experience</w:t>
            </w:r>
          </w:p>
        </w:tc>
        <w:tc>
          <w:tcPr>
            <w:tcW w:w="809" w:type="dxa"/>
            <w:tcBorders>
              <w:top w:val="single" w:sz="4" w:space="0" w:color="auto"/>
              <w:bottom w:val="dotted" w:sz="4" w:space="0" w:color="auto"/>
            </w:tcBorders>
            <w:noWrap/>
            <w:vAlign w:val="center"/>
            <w:hideMark/>
          </w:tcPr>
          <w:p w14:paraId="236E0AC5"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2%</w:t>
            </w:r>
          </w:p>
        </w:tc>
        <w:tc>
          <w:tcPr>
            <w:tcW w:w="809" w:type="dxa"/>
            <w:tcBorders>
              <w:top w:val="single" w:sz="4" w:space="0" w:color="auto"/>
              <w:bottom w:val="dotted" w:sz="4" w:space="0" w:color="auto"/>
            </w:tcBorders>
            <w:noWrap/>
            <w:vAlign w:val="center"/>
            <w:hideMark/>
          </w:tcPr>
          <w:p w14:paraId="4F9FFC03"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w:t>
            </w:r>
          </w:p>
        </w:tc>
        <w:tc>
          <w:tcPr>
            <w:tcW w:w="810" w:type="dxa"/>
            <w:tcBorders>
              <w:top w:val="single" w:sz="4" w:space="0" w:color="auto"/>
              <w:bottom w:val="dotted" w:sz="4" w:space="0" w:color="auto"/>
            </w:tcBorders>
            <w:noWrap/>
            <w:vAlign w:val="center"/>
            <w:hideMark/>
          </w:tcPr>
          <w:p w14:paraId="4793CDC4"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2%</w:t>
            </w:r>
          </w:p>
        </w:tc>
        <w:tc>
          <w:tcPr>
            <w:tcW w:w="809" w:type="dxa"/>
            <w:tcBorders>
              <w:top w:val="single" w:sz="4" w:space="0" w:color="auto"/>
              <w:bottom w:val="dotted" w:sz="4" w:space="0" w:color="auto"/>
            </w:tcBorders>
            <w:noWrap/>
            <w:vAlign w:val="center"/>
            <w:hideMark/>
          </w:tcPr>
          <w:p w14:paraId="0C49A768"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2%</w:t>
            </w:r>
          </w:p>
        </w:tc>
        <w:tc>
          <w:tcPr>
            <w:tcW w:w="810" w:type="dxa"/>
            <w:tcBorders>
              <w:top w:val="single" w:sz="4" w:space="0" w:color="auto"/>
              <w:bottom w:val="dotted" w:sz="4" w:space="0" w:color="auto"/>
            </w:tcBorders>
            <w:noWrap/>
            <w:vAlign w:val="center"/>
            <w:hideMark/>
          </w:tcPr>
          <w:p w14:paraId="00A7F409"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2%</w:t>
            </w:r>
          </w:p>
        </w:tc>
      </w:tr>
      <w:tr w:rsidR="00761892" w:rsidRPr="00761892" w14:paraId="45F212A0" w14:textId="77777777" w:rsidTr="00FB7CFA">
        <w:trPr>
          <w:trHeight w:val="288"/>
          <w:jc w:val="center"/>
        </w:trPr>
        <w:tc>
          <w:tcPr>
            <w:tcW w:w="471" w:type="dxa"/>
            <w:tcBorders>
              <w:top w:val="dotted" w:sz="4" w:space="0" w:color="auto"/>
              <w:bottom w:val="nil"/>
            </w:tcBorders>
            <w:noWrap/>
            <w:vAlign w:val="center"/>
            <w:hideMark/>
          </w:tcPr>
          <w:p w14:paraId="1572D107"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15</w:t>
            </w:r>
          </w:p>
        </w:tc>
        <w:tc>
          <w:tcPr>
            <w:tcW w:w="4842" w:type="dxa"/>
            <w:tcBorders>
              <w:top w:val="dotted" w:sz="4" w:space="0" w:color="auto"/>
              <w:bottom w:val="nil"/>
            </w:tcBorders>
            <w:noWrap/>
            <w:vAlign w:val="center"/>
            <w:hideMark/>
          </w:tcPr>
          <w:p w14:paraId="70C9ABBE" w14:textId="125610BA"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 xml:space="preserve">Is a physically </w:t>
            </w:r>
            <w:r w:rsidR="00BF0476" w:rsidRPr="00761892">
              <w:rPr>
                <w:rFonts w:ascii="Arial" w:hAnsi="Arial" w:cs="Arial"/>
                <w:color w:val="000000"/>
                <w:lang w:val="en-CA" w:eastAsia="en-CA"/>
              </w:rPr>
              <w:t>comfortable</w:t>
            </w:r>
            <w:r w:rsidRPr="00761892">
              <w:rPr>
                <w:rFonts w:ascii="Arial" w:hAnsi="Arial" w:cs="Arial"/>
                <w:color w:val="000000"/>
                <w:lang w:val="en-CA" w:eastAsia="en-CA"/>
              </w:rPr>
              <w:t xml:space="preserve"> experience</w:t>
            </w:r>
          </w:p>
        </w:tc>
        <w:tc>
          <w:tcPr>
            <w:tcW w:w="809" w:type="dxa"/>
            <w:tcBorders>
              <w:top w:val="dotted" w:sz="4" w:space="0" w:color="auto"/>
              <w:bottom w:val="nil"/>
            </w:tcBorders>
            <w:noWrap/>
            <w:vAlign w:val="center"/>
            <w:hideMark/>
          </w:tcPr>
          <w:p w14:paraId="03CE8CB1"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top w:val="dotted" w:sz="4" w:space="0" w:color="auto"/>
              <w:bottom w:val="nil"/>
            </w:tcBorders>
            <w:noWrap/>
            <w:vAlign w:val="center"/>
            <w:hideMark/>
          </w:tcPr>
          <w:p w14:paraId="25F80EBC"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top w:val="dotted" w:sz="4" w:space="0" w:color="auto"/>
              <w:bottom w:val="nil"/>
            </w:tcBorders>
            <w:noWrap/>
            <w:vAlign w:val="center"/>
            <w:hideMark/>
          </w:tcPr>
          <w:p w14:paraId="385A111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top w:val="dotted" w:sz="4" w:space="0" w:color="auto"/>
              <w:bottom w:val="nil"/>
            </w:tcBorders>
            <w:noWrap/>
            <w:vAlign w:val="center"/>
            <w:hideMark/>
          </w:tcPr>
          <w:p w14:paraId="724FAF65"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top w:val="dotted" w:sz="4" w:space="0" w:color="auto"/>
              <w:bottom w:val="nil"/>
            </w:tcBorders>
            <w:noWrap/>
            <w:vAlign w:val="center"/>
            <w:hideMark/>
          </w:tcPr>
          <w:p w14:paraId="7608AD6D"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2%</w:t>
            </w:r>
          </w:p>
        </w:tc>
      </w:tr>
      <w:tr w:rsidR="00761892" w:rsidRPr="00761892" w14:paraId="630B0880" w14:textId="77777777" w:rsidTr="00FB7CFA">
        <w:trPr>
          <w:trHeight w:val="288"/>
          <w:jc w:val="center"/>
        </w:trPr>
        <w:tc>
          <w:tcPr>
            <w:tcW w:w="471" w:type="dxa"/>
            <w:tcBorders>
              <w:top w:val="nil"/>
              <w:bottom w:val="single" w:sz="4" w:space="0" w:color="auto"/>
            </w:tcBorders>
            <w:noWrap/>
            <w:vAlign w:val="center"/>
            <w:hideMark/>
          </w:tcPr>
          <w:p w14:paraId="72C170D8"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16</w:t>
            </w:r>
          </w:p>
        </w:tc>
        <w:tc>
          <w:tcPr>
            <w:tcW w:w="4842" w:type="dxa"/>
            <w:tcBorders>
              <w:top w:val="nil"/>
              <w:bottom w:val="single" w:sz="4" w:space="0" w:color="auto"/>
            </w:tcBorders>
            <w:noWrap/>
            <w:vAlign w:val="center"/>
            <w:hideMark/>
          </w:tcPr>
          <w:p w14:paraId="0212FDD1" w14:textId="25B3469E"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 xml:space="preserve">Offers luxurious </w:t>
            </w:r>
            <w:r w:rsidR="00BF0476" w:rsidRPr="00761892">
              <w:rPr>
                <w:rFonts w:ascii="Arial" w:hAnsi="Arial" w:cs="Arial"/>
                <w:color w:val="000000"/>
                <w:lang w:val="en-CA" w:eastAsia="en-CA"/>
              </w:rPr>
              <w:t>amenities</w:t>
            </w:r>
            <w:r w:rsidRPr="00761892">
              <w:rPr>
                <w:rFonts w:ascii="Arial" w:hAnsi="Arial" w:cs="Arial"/>
                <w:color w:val="000000"/>
                <w:lang w:val="en-CA" w:eastAsia="en-CA"/>
              </w:rPr>
              <w:t>/creature comforts</w:t>
            </w:r>
          </w:p>
        </w:tc>
        <w:tc>
          <w:tcPr>
            <w:tcW w:w="809" w:type="dxa"/>
            <w:tcBorders>
              <w:top w:val="nil"/>
              <w:bottom w:val="single" w:sz="4" w:space="0" w:color="auto"/>
            </w:tcBorders>
            <w:noWrap/>
            <w:vAlign w:val="center"/>
            <w:hideMark/>
          </w:tcPr>
          <w:p w14:paraId="2D9FEB68"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c>
          <w:tcPr>
            <w:tcW w:w="809" w:type="dxa"/>
            <w:tcBorders>
              <w:top w:val="nil"/>
              <w:bottom w:val="single" w:sz="4" w:space="0" w:color="auto"/>
            </w:tcBorders>
            <w:noWrap/>
            <w:vAlign w:val="center"/>
            <w:hideMark/>
          </w:tcPr>
          <w:p w14:paraId="6B16BC43"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c>
          <w:tcPr>
            <w:tcW w:w="810" w:type="dxa"/>
            <w:tcBorders>
              <w:top w:val="nil"/>
              <w:bottom w:val="single" w:sz="4" w:space="0" w:color="auto"/>
            </w:tcBorders>
            <w:noWrap/>
            <w:vAlign w:val="center"/>
            <w:hideMark/>
          </w:tcPr>
          <w:p w14:paraId="6241521F"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c>
          <w:tcPr>
            <w:tcW w:w="809" w:type="dxa"/>
            <w:tcBorders>
              <w:top w:val="nil"/>
              <w:bottom w:val="single" w:sz="4" w:space="0" w:color="auto"/>
            </w:tcBorders>
            <w:noWrap/>
            <w:vAlign w:val="center"/>
            <w:hideMark/>
          </w:tcPr>
          <w:p w14:paraId="7EF84BC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c>
          <w:tcPr>
            <w:tcW w:w="810" w:type="dxa"/>
            <w:tcBorders>
              <w:top w:val="nil"/>
              <w:bottom w:val="single" w:sz="4" w:space="0" w:color="auto"/>
            </w:tcBorders>
            <w:noWrap/>
            <w:vAlign w:val="center"/>
            <w:hideMark/>
          </w:tcPr>
          <w:p w14:paraId="1680B777"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0%</w:t>
            </w:r>
          </w:p>
        </w:tc>
      </w:tr>
      <w:tr w:rsidR="00761892" w:rsidRPr="009B50CF" w14:paraId="7B679154" w14:textId="77777777" w:rsidTr="00FB7CFA">
        <w:trPr>
          <w:trHeight w:val="288"/>
          <w:jc w:val="center"/>
        </w:trPr>
        <w:tc>
          <w:tcPr>
            <w:tcW w:w="5313" w:type="dxa"/>
            <w:gridSpan w:val="2"/>
            <w:tcBorders>
              <w:top w:val="single" w:sz="4" w:space="0" w:color="auto"/>
              <w:bottom w:val="dotted" w:sz="4" w:space="0" w:color="auto"/>
            </w:tcBorders>
            <w:noWrap/>
            <w:vAlign w:val="center"/>
            <w:hideMark/>
          </w:tcPr>
          <w:p w14:paraId="39520026" w14:textId="6889C58B" w:rsidR="00761892" w:rsidRPr="009B50CF" w:rsidRDefault="00761892" w:rsidP="00FB7CFA">
            <w:pPr>
              <w:rPr>
                <w:rFonts w:ascii="Arial" w:hAnsi="Arial" w:cs="Arial"/>
                <w:b/>
                <w:bCs/>
                <w:color w:val="000000"/>
                <w:lang w:val="en-CA" w:eastAsia="en-CA"/>
              </w:rPr>
            </w:pPr>
            <w:r w:rsidRPr="009B50CF">
              <w:rPr>
                <w:rFonts w:ascii="Arial" w:hAnsi="Arial" w:cs="Arial"/>
                <w:b/>
                <w:bCs/>
                <w:color w:val="000000"/>
                <w:lang w:val="en-CA" w:eastAsia="en-CA"/>
              </w:rPr>
              <w:t>Service E</w:t>
            </w:r>
            <w:r w:rsidR="00D460AF" w:rsidRPr="009B50CF">
              <w:rPr>
                <w:rFonts w:ascii="Arial" w:hAnsi="Arial" w:cs="Arial"/>
                <w:b/>
                <w:bCs/>
                <w:color w:val="000000"/>
                <w:lang w:val="en-CA" w:eastAsia="en-CA"/>
              </w:rPr>
              <w:t>x</w:t>
            </w:r>
            <w:r w:rsidRPr="009B50CF">
              <w:rPr>
                <w:rFonts w:ascii="Arial" w:hAnsi="Arial" w:cs="Arial"/>
                <w:b/>
                <w:bCs/>
                <w:color w:val="000000"/>
                <w:lang w:val="en-CA" w:eastAsia="en-CA"/>
              </w:rPr>
              <w:t>perience</w:t>
            </w:r>
          </w:p>
        </w:tc>
        <w:tc>
          <w:tcPr>
            <w:tcW w:w="809" w:type="dxa"/>
            <w:tcBorders>
              <w:top w:val="single" w:sz="4" w:space="0" w:color="auto"/>
              <w:bottom w:val="dotted" w:sz="4" w:space="0" w:color="auto"/>
            </w:tcBorders>
            <w:noWrap/>
            <w:vAlign w:val="center"/>
            <w:hideMark/>
          </w:tcPr>
          <w:p w14:paraId="19DC8FFE"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w:t>
            </w:r>
          </w:p>
        </w:tc>
        <w:tc>
          <w:tcPr>
            <w:tcW w:w="809" w:type="dxa"/>
            <w:tcBorders>
              <w:top w:val="single" w:sz="4" w:space="0" w:color="auto"/>
              <w:bottom w:val="dotted" w:sz="4" w:space="0" w:color="auto"/>
            </w:tcBorders>
            <w:noWrap/>
            <w:vAlign w:val="center"/>
            <w:hideMark/>
          </w:tcPr>
          <w:p w14:paraId="3D8CC31D"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w:t>
            </w:r>
          </w:p>
        </w:tc>
        <w:tc>
          <w:tcPr>
            <w:tcW w:w="810" w:type="dxa"/>
            <w:tcBorders>
              <w:top w:val="single" w:sz="4" w:space="0" w:color="auto"/>
              <w:bottom w:val="dotted" w:sz="4" w:space="0" w:color="auto"/>
            </w:tcBorders>
            <w:noWrap/>
            <w:vAlign w:val="center"/>
            <w:hideMark/>
          </w:tcPr>
          <w:p w14:paraId="5C260015"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w:t>
            </w:r>
          </w:p>
        </w:tc>
        <w:tc>
          <w:tcPr>
            <w:tcW w:w="809" w:type="dxa"/>
            <w:tcBorders>
              <w:top w:val="single" w:sz="4" w:space="0" w:color="auto"/>
              <w:bottom w:val="dotted" w:sz="4" w:space="0" w:color="auto"/>
            </w:tcBorders>
            <w:noWrap/>
            <w:vAlign w:val="center"/>
            <w:hideMark/>
          </w:tcPr>
          <w:p w14:paraId="38DE0996"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w:t>
            </w:r>
          </w:p>
        </w:tc>
        <w:tc>
          <w:tcPr>
            <w:tcW w:w="810" w:type="dxa"/>
            <w:tcBorders>
              <w:top w:val="single" w:sz="4" w:space="0" w:color="auto"/>
              <w:bottom w:val="dotted" w:sz="4" w:space="0" w:color="auto"/>
            </w:tcBorders>
            <w:noWrap/>
            <w:vAlign w:val="center"/>
            <w:hideMark/>
          </w:tcPr>
          <w:p w14:paraId="39227ECF" w14:textId="77777777" w:rsidR="00761892" w:rsidRPr="009B50CF" w:rsidRDefault="00761892" w:rsidP="009B50CF">
            <w:pPr>
              <w:jc w:val="right"/>
              <w:rPr>
                <w:rFonts w:ascii="Arial" w:hAnsi="Arial" w:cs="Arial"/>
                <w:b/>
                <w:bCs/>
                <w:color w:val="000000"/>
                <w:lang w:val="en-CA" w:eastAsia="en-CA"/>
              </w:rPr>
            </w:pPr>
            <w:r w:rsidRPr="009B50CF">
              <w:rPr>
                <w:rFonts w:ascii="Arial" w:hAnsi="Arial" w:cs="Arial"/>
                <w:b/>
                <w:bCs/>
                <w:color w:val="000000"/>
                <w:lang w:val="en-CA" w:eastAsia="en-CA"/>
              </w:rPr>
              <w:t>1%</w:t>
            </w:r>
          </w:p>
        </w:tc>
      </w:tr>
      <w:tr w:rsidR="00761892" w:rsidRPr="00761892" w14:paraId="0798AB0B" w14:textId="77777777" w:rsidTr="00FB7CFA">
        <w:trPr>
          <w:trHeight w:val="288"/>
          <w:jc w:val="center"/>
        </w:trPr>
        <w:tc>
          <w:tcPr>
            <w:tcW w:w="471" w:type="dxa"/>
            <w:tcBorders>
              <w:top w:val="dotted" w:sz="4" w:space="0" w:color="auto"/>
            </w:tcBorders>
            <w:noWrap/>
            <w:vAlign w:val="center"/>
            <w:hideMark/>
          </w:tcPr>
          <w:p w14:paraId="4F3F4451" w14:textId="77777777"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17</w:t>
            </w:r>
          </w:p>
        </w:tc>
        <w:tc>
          <w:tcPr>
            <w:tcW w:w="4842" w:type="dxa"/>
            <w:tcBorders>
              <w:top w:val="dotted" w:sz="4" w:space="0" w:color="auto"/>
            </w:tcBorders>
            <w:noWrap/>
            <w:vAlign w:val="center"/>
            <w:hideMark/>
          </w:tcPr>
          <w:p w14:paraId="492CBA8E" w14:textId="23E45FFF" w:rsidR="00761892" w:rsidRPr="00761892" w:rsidRDefault="00761892" w:rsidP="00FB7CFA">
            <w:pPr>
              <w:rPr>
                <w:rFonts w:ascii="Arial" w:hAnsi="Arial" w:cs="Arial"/>
                <w:color w:val="000000"/>
                <w:lang w:val="en-CA" w:eastAsia="en-CA"/>
              </w:rPr>
            </w:pPr>
            <w:r w:rsidRPr="00761892">
              <w:rPr>
                <w:rFonts w:ascii="Arial" w:hAnsi="Arial" w:cs="Arial"/>
                <w:color w:val="000000"/>
                <w:lang w:val="en-CA" w:eastAsia="en-CA"/>
              </w:rPr>
              <w:t>Offers excellent hosting/customer service</w:t>
            </w:r>
          </w:p>
        </w:tc>
        <w:tc>
          <w:tcPr>
            <w:tcW w:w="809" w:type="dxa"/>
            <w:tcBorders>
              <w:top w:val="dotted" w:sz="4" w:space="0" w:color="auto"/>
            </w:tcBorders>
            <w:noWrap/>
            <w:vAlign w:val="center"/>
            <w:hideMark/>
          </w:tcPr>
          <w:p w14:paraId="53FDBF56"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top w:val="dotted" w:sz="4" w:space="0" w:color="auto"/>
            </w:tcBorders>
            <w:noWrap/>
            <w:vAlign w:val="center"/>
            <w:hideMark/>
          </w:tcPr>
          <w:p w14:paraId="48A239B5"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top w:val="dotted" w:sz="4" w:space="0" w:color="auto"/>
            </w:tcBorders>
            <w:noWrap/>
            <w:vAlign w:val="center"/>
            <w:hideMark/>
          </w:tcPr>
          <w:p w14:paraId="128CAB13"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09" w:type="dxa"/>
            <w:tcBorders>
              <w:top w:val="dotted" w:sz="4" w:space="0" w:color="auto"/>
            </w:tcBorders>
            <w:noWrap/>
            <w:vAlign w:val="center"/>
            <w:hideMark/>
          </w:tcPr>
          <w:p w14:paraId="398BB4F8"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c>
          <w:tcPr>
            <w:tcW w:w="810" w:type="dxa"/>
            <w:tcBorders>
              <w:top w:val="dotted" w:sz="4" w:space="0" w:color="auto"/>
            </w:tcBorders>
            <w:noWrap/>
            <w:vAlign w:val="center"/>
            <w:hideMark/>
          </w:tcPr>
          <w:p w14:paraId="3FAA695B" w14:textId="77777777" w:rsidR="00761892" w:rsidRPr="00761892" w:rsidRDefault="00761892" w:rsidP="009B50CF">
            <w:pPr>
              <w:jc w:val="right"/>
              <w:rPr>
                <w:rFonts w:ascii="Arial" w:hAnsi="Arial" w:cs="Arial"/>
                <w:color w:val="000000"/>
                <w:lang w:val="en-CA" w:eastAsia="en-CA"/>
              </w:rPr>
            </w:pPr>
            <w:r w:rsidRPr="00761892">
              <w:rPr>
                <w:rFonts w:ascii="Arial" w:hAnsi="Arial" w:cs="Arial"/>
                <w:color w:val="000000"/>
                <w:lang w:val="en-CA" w:eastAsia="en-CA"/>
              </w:rPr>
              <w:t>1%</w:t>
            </w:r>
          </w:p>
        </w:tc>
      </w:tr>
    </w:tbl>
    <w:p w14:paraId="39A12AD6" w14:textId="7D543F51" w:rsidR="00BF0476" w:rsidRDefault="00BF0476" w:rsidP="0088285C">
      <w:pPr>
        <w:pStyle w:val="ExhibitText"/>
      </w:pPr>
    </w:p>
    <w:p w14:paraId="765E1628" w14:textId="77777777" w:rsidR="009B3B6F" w:rsidRDefault="00C910B1" w:rsidP="00A36F3C">
      <w:pPr>
        <w:pStyle w:val="Footnote"/>
      </w:pPr>
      <w:r>
        <w:t xml:space="preserve">Note: </w:t>
      </w:r>
      <w:bookmarkStart w:id="3" w:name="_Hlk16673936"/>
      <w:r w:rsidR="003D7337">
        <w:t>ASTB = active single ticket buyers; LSTB = lapsed single ticket buyers; AS</w:t>
      </w:r>
      <w:r w:rsidR="009B3B6F">
        <w:t xml:space="preserve"> = a</w:t>
      </w:r>
      <w:r w:rsidR="003D7337">
        <w:t xml:space="preserve">ctive </w:t>
      </w:r>
      <w:r w:rsidR="009B3B6F">
        <w:t>s</w:t>
      </w:r>
      <w:r w:rsidR="003D7337">
        <w:t>ubscribers</w:t>
      </w:r>
      <w:r w:rsidR="009B3B6F">
        <w:t xml:space="preserve">; </w:t>
      </w:r>
      <w:r w:rsidR="003D7337">
        <w:t xml:space="preserve">LS </w:t>
      </w:r>
      <w:r w:rsidR="009B3B6F">
        <w:t>= l</w:t>
      </w:r>
      <w:r w:rsidR="003D7337">
        <w:t xml:space="preserve">apsed </w:t>
      </w:r>
      <w:r w:rsidR="009B3B6F">
        <w:t>s</w:t>
      </w:r>
      <w:r w:rsidR="003D7337">
        <w:t>ubscribers</w:t>
      </w:r>
      <w:bookmarkEnd w:id="3"/>
      <w:r w:rsidR="009B3B6F">
        <w:t>.</w:t>
      </w:r>
    </w:p>
    <w:p w14:paraId="240E0C06" w14:textId="2DFDA2DF" w:rsidR="00A36F3C" w:rsidRDefault="00A36F3C" w:rsidP="00A36F3C">
      <w:pPr>
        <w:pStyle w:val="Footnote"/>
      </w:pPr>
      <w:r>
        <w:t>Source: Company files.</w:t>
      </w:r>
    </w:p>
    <w:p w14:paraId="6CDDD20F" w14:textId="77777777" w:rsidR="00BF0476" w:rsidRDefault="00BF0476">
      <w:pPr>
        <w:spacing w:after="200" w:line="276" w:lineRule="auto"/>
        <w:rPr>
          <w:rFonts w:ascii="Arial" w:hAnsi="Arial" w:cs="Arial"/>
          <w:b/>
          <w:caps/>
        </w:rPr>
      </w:pPr>
      <w:r>
        <w:br w:type="page"/>
      </w:r>
    </w:p>
    <w:p w14:paraId="266DEEA4" w14:textId="3961B898" w:rsidR="00761892" w:rsidRDefault="00BF0476" w:rsidP="00BF0476">
      <w:pPr>
        <w:pStyle w:val="ExhibitHeading"/>
      </w:pPr>
      <w:r w:rsidRPr="00BF0476">
        <w:lastRenderedPageBreak/>
        <w:t>EXHIBIT 6: Opera Philadelphia Experience</w:t>
      </w:r>
      <w:r w:rsidR="00822C66">
        <w:t>—</w:t>
      </w:r>
      <w:r w:rsidRPr="00BF0476">
        <w:t>Customer Value</w:t>
      </w:r>
      <w:r w:rsidR="009B3B6F">
        <w:t xml:space="preserve"> and </w:t>
      </w:r>
      <w:r w:rsidRPr="00BF0476">
        <w:t>Behavio</w:t>
      </w:r>
      <w:r w:rsidR="00D460AF">
        <w:t>u</w:t>
      </w:r>
      <w:r w:rsidRPr="00BF0476">
        <w:t>r</w:t>
      </w:r>
    </w:p>
    <w:p w14:paraId="64106D20" w14:textId="12BF68BC" w:rsidR="00BF0476" w:rsidRDefault="00BF0476" w:rsidP="0088285C">
      <w:pPr>
        <w:pStyle w:val="ExhibitText"/>
      </w:pPr>
    </w:p>
    <w:p w14:paraId="5421B8B5" w14:textId="370F7FE7" w:rsidR="00BF0476" w:rsidRDefault="007151D5" w:rsidP="009030D2">
      <w:pPr>
        <w:pStyle w:val="ExhibitText"/>
        <w:jc w:val="center"/>
      </w:pPr>
      <w:r>
        <w:rPr>
          <w:noProof/>
          <w:lang w:val="en-CA" w:eastAsia="en-CA"/>
        </w:rPr>
        <w:drawing>
          <wp:inline distT="0" distB="0" distL="0" distR="0" wp14:anchorId="6A324E6B" wp14:editId="08127769">
            <wp:extent cx="4968676" cy="3180522"/>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1623" cy="3201612"/>
                    </a:xfrm>
                    <a:prstGeom prst="rect">
                      <a:avLst/>
                    </a:prstGeom>
                    <a:noFill/>
                  </pic:spPr>
                </pic:pic>
              </a:graphicData>
            </a:graphic>
          </wp:inline>
        </w:drawing>
      </w:r>
    </w:p>
    <w:p w14:paraId="68DA17B1" w14:textId="5CF6A35A" w:rsidR="00BF0476" w:rsidRDefault="00BF0476" w:rsidP="009030D2">
      <w:pPr>
        <w:pStyle w:val="ExhibitText"/>
      </w:pPr>
    </w:p>
    <w:p w14:paraId="2FCB94C2" w14:textId="0095B22A" w:rsidR="00A36F3C" w:rsidRDefault="007151D5" w:rsidP="009030D2">
      <w:pPr>
        <w:pStyle w:val="ExhibitText"/>
        <w:jc w:val="center"/>
      </w:pPr>
      <w:r>
        <w:rPr>
          <w:noProof/>
          <w:lang w:val="en-CA" w:eastAsia="en-CA"/>
        </w:rPr>
        <w:drawing>
          <wp:inline distT="0" distB="0" distL="0" distR="0" wp14:anchorId="0C73B310" wp14:editId="1FF2BAC2">
            <wp:extent cx="4991880" cy="36721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5854" cy="3697115"/>
                    </a:xfrm>
                    <a:prstGeom prst="rect">
                      <a:avLst/>
                    </a:prstGeom>
                    <a:noFill/>
                  </pic:spPr>
                </pic:pic>
              </a:graphicData>
            </a:graphic>
          </wp:inline>
        </w:drawing>
      </w:r>
    </w:p>
    <w:p w14:paraId="4EBBF2AD" w14:textId="77777777" w:rsidR="007151D5" w:rsidRDefault="007151D5" w:rsidP="009030D2">
      <w:pPr>
        <w:pStyle w:val="ExhibitText"/>
      </w:pPr>
    </w:p>
    <w:p w14:paraId="7156D891" w14:textId="2BE06D6A" w:rsidR="00A87C68" w:rsidRDefault="00A87C68" w:rsidP="00A36F3C">
      <w:pPr>
        <w:pStyle w:val="Footnote"/>
      </w:pPr>
      <w:r>
        <w:t xml:space="preserve">Note: F-FM-SO = </w:t>
      </w:r>
      <w:r w:rsidR="00822C66">
        <w:t xml:space="preserve">friend, family member, or significant other; </w:t>
      </w:r>
      <w:r>
        <w:t>OP = Opera Philadelphia.</w:t>
      </w:r>
    </w:p>
    <w:p w14:paraId="582B2ADC" w14:textId="424BCF27" w:rsidR="00A36F3C" w:rsidRDefault="00A36F3C" w:rsidP="00A36F3C">
      <w:pPr>
        <w:pStyle w:val="Footnote"/>
      </w:pPr>
      <w:r>
        <w:t>Source: Company files.</w:t>
      </w:r>
    </w:p>
    <w:p w14:paraId="38F1B4B6" w14:textId="77777777" w:rsidR="007151D5" w:rsidRDefault="007151D5">
      <w:pPr>
        <w:spacing w:after="200" w:line="276" w:lineRule="auto"/>
        <w:rPr>
          <w:rFonts w:ascii="Arial" w:hAnsi="Arial" w:cs="Arial"/>
          <w:b/>
          <w:caps/>
        </w:rPr>
      </w:pPr>
      <w:r>
        <w:br w:type="page"/>
      </w:r>
    </w:p>
    <w:p w14:paraId="585E0A40" w14:textId="75A957E1" w:rsidR="00BF0476" w:rsidRDefault="00BF0476" w:rsidP="00BF0476">
      <w:pPr>
        <w:pStyle w:val="ExhibitHeading"/>
      </w:pPr>
      <w:r w:rsidRPr="00BF0476">
        <w:lastRenderedPageBreak/>
        <w:t>EXHIBIT 7: Perception of Opera Philadelphia</w:t>
      </w:r>
    </w:p>
    <w:p w14:paraId="7C9D4214" w14:textId="77777777" w:rsidR="00932078" w:rsidRDefault="00932078" w:rsidP="009030D2">
      <w:pPr>
        <w:pStyle w:val="ExhibitText"/>
      </w:pPr>
    </w:p>
    <w:p w14:paraId="5E3ED17D" w14:textId="1FD131D6" w:rsidR="00BF0476" w:rsidRDefault="00932078" w:rsidP="009030D2">
      <w:pPr>
        <w:pStyle w:val="ExhibitText"/>
        <w:jc w:val="center"/>
      </w:pPr>
      <w:r>
        <w:rPr>
          <w:noProof/>
          <w:lang w:val="en-CA" w:eastAsia="en-CA"/>
        </w:rPr>
        <w:drawing>
          <wp:inline distT="0" distB="0" distL="0" distR="0" wp14:anchorId="3771A4F3" wp14:editId="7AD48992">
            <wp:extent cx="5934456" cy="28986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43" t="2224" r="1611" b="10793"/>
                    <a:stretch/>
                  </pic:blipFill>
                  <pic:spPr bwMode="auto">
                    <a:xfrm>
                      <a:off x="0" y="0"/>
                      <a:ext cx="5934456" cy="2898648"/>
                    </a:xfrm>
                    <a:prstGeom prst="rect">
                      <a:avLst/>
                    </a:prstGeom>
                    <a:noFill/>
                    <a:ln>
                      <a:noFill/>
                    </a:ln>
                    <a:extLst>
                      <a:ext uri="{53640926-AAD7-44D8-BBD7-CCE9431645EC}">
                        <a14:shadowObscured xmlns:a14="http://schemas.microsoft.com/office/drawing/2010/main"/>
                      </a:ext>
                    </a:extLst>
                  </pic:spPr>
                </pic:pic>
              </a:graphicData>
            </a:graphic>
          </wp:inline>
        </w:drawing>
      </w:r>
    </w:p>
    <w:p w14:paraId="2B3D5A9A" w14:textId="28070B55" w:rsidR="00932078" w:rsidRDefault="00932078" w:rsidP="009030D2">
      <w:pPr>
        <w:pStyle w:val="ExhibitText"/>
      </w:pPr>
    </w:p>
    <w:p w14:paraId="191ABB60" w14:textId="2F827DAE" w:rsidR="00932078" w:rsidRDefault="00932078" w:rsidP="009030D2">
      <w:pPr>
        <w:pStyle w:val="ExhibitText"/>
        <w:jc w:val="center"/>
      </w:pPr>
      <w:r>
        <w:rPr>
          <w:noProof/>
          <w:lang w:val="en-CA" w:eastAsia="en-CA"/>
        </w:rPr>
        <w:drawing>
          <wp:inline distT="0" distB="0" distL="0" distR="0" wp14:anchorId="2C1A1DFD" wp14:editId="399DAEBE">
            <wp:extent cx="5934456" cy="295351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55" t="2310" r="1708" b="9191"/>
                    <a:stretch/>
                  </pic:blipFill>
                  <pic:spPr bwMode="auto">
                    <a:xfrm>
                      <a:off x="0" y="0"/>
                      <a:ext cx="5934456" cy="2953512"/>
                    </a:xfrm>
                    <a:prstGeom prst="rect">
                      <a:avLst/>
                    </a:prstGeom>
                    <a:noFill/>
                    <a:ln>
                      <a:noFill/>
                    </a:ln>
                    <a:extLst>
                      <a:ext uri="{53640926-AAD7-44D8-BBD7-CCE9431645EC}">
                        <a14:shadowObscured xmlns:a14="http://schemas.microsoft.com/office/drawing/2010/main"/>
                      </a:ext>
                    </a:extLst>
                  </pic:spPr>
                </pic:pic>
              </a:graphicData>
            </a:graphic>
          </wp:inline>
        </w:drawing>
      </w:r>
    </w:p>
    <w:p w14:paraId="253F2853" w14:textId="18E21D90" w:rsidR="00A36F3C" w:rsidRDefault="00A36F3C" w:rsidP="009030D2">
      <w:pPr>
        <w:pStyle w:val="ExhibitText"/>
      </w:pPr>
    </w:p>
    <w:p w14:paraId="3594CE64" w14:textId="35F7F5F7" w:rsidR="009B3B6F" w:rsidRDefault="009B3B6F" w:rsidP="009B3B6F">
      <w:pPr>
        <w:pStyle w:val="Footnote"/>
      </w:pPr>
      <w:r>
        <w:t>Note: ASTB = active single ticket buyers; LSTB = lapsed single ticket buyers; AS = active subscribers; LS = lapsed subscribers.</w:t>
      </w:r>
    </w:p>
    <w:p w14:paraId="7946B996" w14:textId="3BEAC81F" w:rsidR="00A36F3C" w:rsidRDefault="00A36F3C" w:rsidP="00A36F3C">
      <w:pPr>
        <w:pStyle w:val="Footnote"/>
      </w:pPr>
      <w:r>
        <w:t>Source: Company files.</w:t>
      </w:r>
    </w:p>
    <w:p w14:paraId="0DF3E3F0" w14:textId="77777777" w:rsidR="00BF0476" w:rsidRDefault="00BF0476">
      <w:pPr>
        <w:spacing w:after="200" w:line="276" w:lineRule="auto"/>
        <w:rPr>
          <w:rFonts w:ascii="Arial" w:hAnsi="Arial" w:cs="Arial"/>
          <w:b/>
          <w:caps/>
        </w:rPr>
      </w:pPr>
      <w:r>
        <w:br w:type="page"/>
      </w:r>
    </w:p>
    <w:p w14:paraId="78FE9712" w14:textId="4E50F8B7" w:rsidR="00BF0476" w:rsidRDefault="00BF0476" w:rsidP="00BF0476">
      <w:pPr>
        <w:pStyle w:val="ExhibitHeading"/>
      </w:pPr>
      <w:r w:rsidRPr="00663E07">
        <w:lastRenderedPageBreak/>
        <w:t>EXHIBIT 8: Leaving the Opera</w:t>
      </w:r>
    </w:p>
    <w:p w14:paraId="13625495" w14:textId="07654010" w:rsidR="009B3B6F" w:rsidRDefault="009B3B6F" w:rsidP="009B3B6F">
      <w:pPr>
        <w:pStyle w:val="ExhibitText"/>
      </w:pPr>
    </w:p>
    <w:p w14:paraId="52574DAC" w14:textId="665ACD27" w:rsidR="009B3B6F" w:rsidRPr="009B3B6F" w:rsidRDefault="009B3B6F" w:rsidP="009B3B6F">
      <w:pPr>
        <w:pStyle w:val="ExhibitText"/>
      </w:pPr>
      <w:r>
        <w:rPr>
          <w:noProof/>
          <w:lang w:val="en-CA" w:eastAsia="en-CA"/>
        </w:rPr>
        <w:drawing>
          <wp:inline distT="0" distB="0" distL="0" distR="0" wp14:anchorId="3D2B2238" wp14:editId="3B43A7B9">
            <wp:extent cx="2514600" cy="318083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222"/>
                    <a:stretch/>
                  </pic:blipFill>
                  <pic:spPr bwMode="auto">
                    <a:xfrm>
                      <a:off x="0" y="0"/>
                      <a:ext cx="2528797" cy="3198791"/>
                    </a:xfrm>
                    <a:prstGeom prst="rect">
                      <a:avLst/>
                    </a:prstGeom>
                    <a:ln>
                      <a:noFill/>
                    </a:ln>
                    <a:extLst>
                      <a:ext uri="{53640926-AAD7-44D8-BBD7-CCE9431645EC}">
                        <a14:shadowObscured xmlns:a14="http://schemas.microsoft.com/office/drawing/2010/main"/>
                      </a:ext>
                    </a:extLst>
                  </pic:spPr>
                </pic:pic>
              </a:graphicData>
            </a:graphic>
          </wp:inline>
        </w:drawing>
      </w:r>
      <w:r w:rsidRPr="009B3B6F">
        <w:rPr>
          <w:noProof/>
          <w:lang w:val="en-CA" w:eastAsia="en-CA"/>
        </w:rPr>
        <w:t xml:space="preserve"> </w:t>
      </w:r>
      <w:r>
        <w:rPr>
          <w:noProof/>
          <w:lang w:val="en-CA" w:eastAsia="en-CA"/>
        </w:rPr>
        <w:drawing>
          <wp:inline distT="0" distB="0" distL="0" distR="0" wp14:anchorId="4C40AB26" wp14:editId="235DE79E">
            <wp:extent cx="2637486" cy="3189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364" cy="3201551"/>
                    </a:xfrm>
                    <a:prstGeom prst="rect">
                      <a:avLst/>
                    </a:prstGeom>
                  </pic:spPr>
                </pic:pic>
              </a:graphicData>
            </a:graphic>
          </wp:inline>
        </w:drawing>
      </w:r>
    </w:p>
    <w:p w14:paraId="73A9C99C" w14:textId="12CD8531" w:rsidR="00932078" w:rsidRDefault="00932078" w:rsidP="009030D2">
      <w:pPr>
        <w:pStyle w:val="ExhibitText"/>
      </w:pPr>
    </w:p>
    <w:p w14:paraId="5F9ED892" w14:textId="77777777" w:rsidR="00DD25BD" w:rsidRDefault="00DD25BD" w:rsidP="00A36F3C">
      <w:pPr>
        <w:pStyle w:val="Footnote"/>
      </w:pPr>
      <w:r>
        <w:t>Note: OP = Opera Philadelphia.</w:t>
      </w:r>
    </w:p>
    <w:p w14:paraId="54AE2C69" w14:textId="192C9D65" w:rsidR="00A36F3C" w:rsidRDefault="00A36F3C" w:rsidP="00A36F3C">
      <w:pPr>
        <w:pStyle w:val="Footnote"/>
      </w:pPr>
      <w:r>
        <w:t>Source: Company files.</w:t>
      </w:r>
    </w:p>
    <w:p w14:paraId="7D0EAA95" w14:textId="77777777" w:rsidR="00A36F3C" w:rsidRDefault="00A36F3C" w:rsidP="009030D2">
      <w:pPr>
        <w:pStyle w:val="ExhibitText"/>
      </w:pPr>
    </w:p>
    <w:p w14:paraId="37B0BAB0" w14:textId="54E995CF" w:rsidR="00BF0476" w:rsidRDefault="00BF0476" w:rsidP="009030D2">
      <w:pPr>
        <w:pStyle w:val="ExhibitText"/>
      </w:pPr>
      <w:r>
        <w:br w:type="page"/>
      </w:r>
    </w:p>
    <w:p w14:paraId="1929D887" w14:textId="77777777" w:rsidR="00BF0476" w:rsidRDefault="00BF0476" w:rsidP="00BF0476">
      <w:pPr>
        <w:pStyle w:val="ExhibitHeading"/>
        <w:sectPr w:rsidR="00BF0476" w:rsidSect="00761892">
          <w:headerReference w:type="default" r:id="rId21"/>
          <w:pgSz w:w="12240" w:h="15840" w:code="1"/>
          <w:pgMar w:top="1080" w:right="1440" w:bottom="1440" w:left="1440" w:header="1080" w:footer="720" w:gutter="0"/>
          <w:cols w:space="720"/>
          <w:docGrid w:linePitch="360"/>
        </w:sectPr>
      </w:pPr>
    </w:p>
    <w:p w14:paraId="20250476" w14:textId="7029BC2D" w:rsidR="00BF0476" w:rsidRDefault="00BF0476" w:rsidP="00BF0476">
      <w:pPr>
        <w:pStyle w:val="ExhibitHeading"/>
      </w:pPr>
      <w:r w:rsidRPr="00BF0476">
        <w:lastRenderedPageBreak/>
        <w:t>EXHIBIT 9: Opera Festival Interest</w:t>
      </w:r>
      <w:r w:rsidR="00EF7C9F">
        <w:t>—</w:t>
      </w:r>
      <w:r w:rsidRPr="00BF0476">
        <w:t>Critical Decision Option</w:t>
      </w:r>
    </w:p>
    <w:p w14:paraId="25DE6E97" w14:textId="2F8E73D9" w:rsidR="00BF0476" w:rsidRDefault="00BF0476" w:rsidP="009030D2">
      <w:pPr>
        <w:pStyle w:val="ExhibitText"/>
      </w:pPr>
    </w:p>
    <w:p w14:paraId="21CFC2F6" w14:textId="77777777" w:rsidR="0063435C" w:rsidRDefault="003103EC" w:rsidP="009030D2">
      <w:pPr>
        <w:pStyle w:val="ExhibitText"/>
        <w:jc w:val="center"/>
        <w:rPr>
          <w:noProof/>
          <w:lang w:val="en-CA" w:eastAsia="en-CA"/>
        </w:rPr>
      </w:pPr>
      <w:r>
        <w:rPr>
          <w:noProof/>
          <w:lang w:val="en-CA" w:eastAsia="en-CA"/>
        </w:rPr>
        <w:drawing>
          <wp:inline distT="0" distB="0" distL="0" distR="0" wp14:anchorId="04585B9F" wp14:editId="2A7AA9E6">
            <wp:extent cx="6355490" cy="2703443"/>
            <wp:effectExtent l="0" t="0" r="762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193" t="1937" r="2244" b="10246"/>
                    <a:stretch/>
                  </pic:blipFill>
                  <pic:spPr bwMode="auto">
                    <a:xfrm>
                      <a:off x="0" y="0"/>
                      <a:ext cx="6452160" cy="2744564"/>
                    </a:xfrm>
                    <a:prstGeom prst="rect">
                      <a:avLst/>
                    </a:prstGeom>
                    <a:noFill/>
                    <a:ln>
                      <a:noFill/>
                    </a:ln>
                    <a:extLst>
                      <a:ext uri="{53640926-AAD7-44D8-BBD7-CCE9431645EC}">
                        <a14:shadowObscured xmlns:a14="http://schemas.microsoft.com/office/drawing/2010/main"/>
                      </a:ext>
                    </a:extLst>
                  </pic:spPr>
                </pic:pic>
              </a:graphicData>
            </a:graphic>
          </wp:inline>
        </w:drawing>
      </w:r>
    </w:p>
    <w:p w14:paraId="6624188B" w14:textId="77777777" w:rsidR="0063435C" w:rsidRDefault="0063435C" w:rsidP="009030D2">
      <w:pPr>
        <w:pStyle w:val="ExhibitText"/>
        <w:rPr>
          <w:noProof/>
          <w:lang w:val="en-CA" w:eastAsia="en-CA"/>
        </w:rPr>
      </w:pPr>
    </w:p>
    <w:p w14:paraId="6D9C66C8" w14:textId="0B314907" w:rsidR="003103EC" w:rsidRDefault="0063435C" w:rsidP="009030D2">
      <w:pPr>
        <w:pStyle w:val="ExhibitText"/>
        <w:jc w:val="center"/>
      </w:pPr>
      <w:r>
        <w:rPr>
          <w:noProof/>
          <w:lang w:val="en-CA" w:eastAsia="en-CA"/>
        </w:rPr>
        <w:drawing>
          <wp:inline distT="0" distB="0" distL="0" distR="0" wp14:anchorId="0CF80BD0" wp14:editId="54F71BD2">
            <wp:extent cx="1857471" cy="2098043"/>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909" t="3979" r="2844" b="2047"/>
                    <a:stretch/>
                  </pic:blipFill>
                  <pic:spPr bwMode="auto">
                    <a:xfrm>
                      <a:off x="0" y="0"/>
                      <a:ext cx="1866674" cy="210843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CA" w:eastAsia="en-CA"/>
        </w:rPr>
        <w:drawing>
          <wp:inline distT="0" distB="0" distL="0" distR="0" wp14:anchorId="2996AB73" wp14:editId="1F062237">
            <wp:extent cx="1689818" cy="2077111"/>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847" t="2865" r="2389" b="1946"/>
                    <a:stretch/>
                  </pic:blipFill>
                  <pic:spPr bwMode="auto">
                    <a:xfrm>
                      <a:off x="0" y="0"/>
                      <a:ext cx="1783893" cy="2192747"/>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CA" w:eastAsia="en-CA"/>
        </w:rPr>
        <w:drawing>
          <wp:inline distT="0" distB="0" distL="0" distR="0" wp14:anchorId="07CA855A" wp14:editId="6E6F3063">
            <wp:extent cx="1659366" cy="20781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082" t="4117" r="938" b="1669"/>
                    <a:stretch/>
                  </pic:blipFill>
                  <pic:spPr bwMode="auto">
                    <a:xfrm>
                      <a:off x="0" y="0"/>
                      <a:ext cx="1722034" cy="2156648"/>
                    </a:xfrm>
                    <a:prstGeom prst="rect">
                      <a:avLst/>
                    </a:prstGeom>
                    <a:noFill/>
                    <a:ln>
                      <a:noFill/>
                    </a:ln>
                    <a:extLst>
                      <a:ext uri="{53640926-AAD7-44D8-BBD7-CCE9431645EC}">
                        <a14:shadowObscured xmlns:a14="http://schemas.microsoft.com/office/drawing/2010/main"/>
                      </a:ext>
                    </a:extLst>
                  </pic:spPr>
                </pic:pic>
              </a:graphicData>
            </a:graphic>
          </wp:inline>
        </w:drawing>
      </w:r>
      <w:r w:rsidR="004D5151" w:rsidRPr="004D5151">
        <w:rPr>
          <w:noProof/>
        </w:rPr>
        <w:t xml:space="preserve"> </w:t>
      </w:r>
      <w:r w:rsidR="004D5151">
        <w:rPr>
          <w:noProof/>
        </w:rPr>
        <w:drawing>
          <wp:inline distT="0" distB="0" distL="0" distR="0" wp14:anchorId="7CCB4F48" wp14:editId="28067230">
            <wp:extent cx="1677913" cy="21548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07114" cy="2192304"/>
                    </a:xfrm>
                    <a:prstGeom prst="rect">
                      <a:avLst/>
                    </a:prstGeom>
                  </pic:spPr>
                </pic:pic>
              </a:graphicData>
            </a:graphic>
          </wp:inline>
        </w:drawing>
      </w:r>
    </w:p>
    <w:p w14:paraId="5D039E2E" w14:textId="49778E2A" w:rsidR="0063435C" w:rsidRDefault="0063435C" w:rsidP="009030D2">
      <w:pPr>
        <w:pStyle w:val="ExhibitText"/>
      </w:pPr>
    </w:p>
    <w:p w14:paraId="6FD778E7" w14:textId="77777777" w:rsidR="00EB602F" w:rsidRDefault="00DE2F22" w:rsidP="00A36F3C">
      <w:pPr>
        <w:pStyle w:val="Footnote"/>
      </w:pPr>
      <w:r>
        <w:t xml:space="preserve">Note: STB </w:t>
      </w:r>
      <w:r w:rsidR="00EB602F">
        <w:t>= single ticket buyer.</w:t>
      </w:r>
    </w:p>
    <w:p w14:paraId="41C60506" w14:textId="259C14D2" w:rsidR="00A36F3C" w:rsidRPr="00BF0476" w:rsidRDefault="00A36F3C" w:rsidP="00A36F3C">
      <w:pPr>
        <w:pStyle w:val="Footnote"/>
      </w:pPr>
      <w:r>
        <w:t>Source: Company files.</w:t>
      </w:r>
    </w:p>
    <w:sectPr w:rsidR="00A36F3C" w:rsidRPr="00BF0476" w:rsidSect="00BF0476">
      <w:headerReference w:type="default" r:id="rId27"/>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7D5AF" w14:textId="77777777" w:rsidR="00397687" w:rsidRDefault="00397687" w:rsidP="00D75295">
      <w:r>
        <w:separator/>
      </w:r>
    </w:p>
  </w:endnote>
  <w:endnote w:type="continuationSeparator" w:id="0">
    <w:p w14:paraId="4B52C054" w14:textId="77777777" w:rsidR="00397687" w:rsidRDefault="0039768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63BB2" w14:textId="77777777" w:rsidR="00397687" w:rsidRDefault="00397687" w:rsidP="00D75295">
      <w:r>
        <w:separator/>
      </w:r>
    </w:p>
  </w:footnote>
  <w:footnote w:type="continuationSeparator" w:id="0">
    <w:p w14:paraId="7D7F2365" w14:textId="77777777" w:rsidR="00397687" w:rsidRDefault="00397687" w:rsidP="00D75295">
      <w:r>
        <w:continuationSeparator/>
      </w:r>
    </w:p>
  </w:footnote>
  <w:footnote w:id="1">
    <w:p w14:paraId="3C9ACEFB" w14:textId="5B56979B" w:rsidR="00397687" w:rsidRPr="00D1174C" w:rsidRDefault="00397687" w:rsidP="00D1174C">
      <w:pPr>
        <w:pStyle w:val="Footnote"/>
      </w:pPr>
      <w:r w:rsidRPr="00946575">
        <w:rPr>
          <w:rStyle w:val="FootnoteReference"/>
        </w:rPr>
        <w:footnoteRef/>
      </w:r>
      <w:r w:rsidRPr="00D1174C">
        <w:t xml:space="preserve"> Merriam-Webster Dictionary, </w:t>
      </w:r>
      <w:r>
        <w:t xml:space="preserve">s.v. “opera,” </w:t>
      </w:r>
      <w:r w:rsidRPr="00D1174C">
        <w:t>accessed October 2, 2018, www.merriam-webster.com/dictionary/opera.</w:t>
      </w:r>
    </w:p>
  </w:footnote>
  <w:footnote w:id="2">
    <w:p w14:paraId="1A035199" w14:textId="70A01CBC" w:rsidR="00397687" w:rsidRPr="00D1174C" w:rsidRDefault="00397687" w:rsidP="00D1174C">
      <w:pPr>
        <w:pStyle w:val="Footnote"/>
      </w:pPr>
      <w:r w:rsidRPr="00946575">
        <w:rPr>
          <w:rStyle w:val="FootnoteReference"/>
        </w:rPr>
        <w:footnoteRef/>
      </w:r>
      <w:r w:rsidRPr="00D1174C">
        <w:t xml:space="preserve"> “Opera’s History</w:t>
      </w:r>
      <w:r>
        <w:t xml:space="preserve">: </w:t>
      </w:r>
      <w:r w:rsidRPr="00D1174C">
        <w:t xml:space="preserve">From Baroque to the Present,” </w:t>
      </w:r>
      <w:r>
        <w:t xml:space="preserve">The Opera 101, </w:t>
      </w:r>
      <w:r w:rsidRPr="00D1174C">
        <w:t>accessed October 2, 2018, www.theopera101.com/operaabc/history.</w:t>
      </w:r>
    </w:p>
  </w:footnote>
  <w:footnote w:id="3">
    <w:p w14:paraId="0C5E08F7" w14:textId="145BAEDC" w:rsidR="00397687" w:rsidRPr="00D1174C" w:rsidRDefault="00397687" w:rsidP="00D1174C">
      <w:pPr>
        <w:pStyle w:val="Footnote"/>
      </w:pPr>
      <w:r w:rsidRPr="00946575">
        <w:rPr>
          <w:rStyle w:val="FootnoteReference"/>
        </w:rPr>
        <w:footnoteRef/>
      </w:r>
      <w:r w:rsidRPr="00D1174C">
        <w:rPr>
          <w:vertAlign w:val="superscript"/>
        </w:rPr>
        <w:t xml:space="preserve"> </w:t>
      </w:r>
      <w:r w:rsidRPr="00D1174C">
        <w:t>Jessye Richmond</w:t>
      </w:r>
      <w:r>
        <w:t xml:space="preserve">, </w:t>
      </w:r>
      <w:r w:rsidRPr="00D1174C">
        <w:t xml:space="preserve">“Opera Marketing: Rebranding the Genre” </w:t>
      </w:r>
      <w:r>
        <w:t>(master’s d</w:t>
      </w:r>
      <w:r w:rsidRPr="00D1174C">
        <w:t>issertation</w:t>
      </w:r>
      <w:r>
        <w:t>: American University, Washington, D.C.</w:t>
      </w:r>
      <w:r w:rsidRPr="00D1174C">
        <w:t>, 2018</w:t>
      </w:r>
      <w:r>
        <w:t>)</w:t>
      </w:r>
      <w:r w:rsidRPr="00D1174C">
        <w:t>, accessed October 2, 2018, https://pqdtopen.proquest.com/doc/2039471758.html?FMT=ABS&amp;pubnum=10786455</w:t>
      </w:r>
      <w:r>
        <w:t>.</w:t>
      </w:r>
    </w:p>
  </w:footnote>
  <w:footnote w:id="4">
    <w:p w14:paraId="0E8AAFEB" w14:textId="122244B4" w:rsidR="00397687" w:rsidRPr="00D1174C" w:rsidRDefault="00397687" w:rsidP="00D1174C">
      <w:pPr>
        <w:pStyle w:val="Footnote"/>
      </w:pPr>
      <w:r w:rsidRPr="00946575">
        <w:rPr>
          <w:rStyle w:val="FootnoteReference"/>
        </w:rPr>
        <w:footnoteRef/>
      </w:r>
      <w:r w:rsidRPr="00D1174C">
        <w:rPr>
          <w:vertAlign w:val="superscript"/>
        </w:rPr>
        <w:t xml:space="preserve"> </w:t>
      </w:r>
      <w:r w:rsidRPr="00D1174C">
        <w:t xml:space="preserve">Opera America, </w:t>
      </w:r>
      <w:r w:rsidRPr="00105BDC">
        <w:rPr>
          <w:i/>
        </w:rPr>
        <w:t xml:space="preserve">Increasing </w:t>
      </w:r>
      <w:r>
        <w:rPr>
          <w:i/>
        </w:rPr>
        <w:t>O</w:t>
      </w:r>
      <w:r w:rsidRPr="00105BDC">
        <w:rPr>
          <w:i/>
        </w:rPr>
        <w:t xml:space="preserve">pera </w:t>
      </w:r>
      <w:r>
        <w:rPr>
          <w:i/>
        </w:rPr>
        <w:t>A</w:t>
      </w:r>
      <w:r w:rsidRPr="00105BDC">
        <w:rPr>
          <w:i/>
        </w:rPr>
        <w:t xml:space="preserve">ttendance: </w:t>
      </w:r>
      <w:r>
        <w:rPr>
          <w:i/>
        </w:rPr>
        <w:t>T</w:t>
      </w:r>
      <w:r w:rsidRPr="00105BDC">
        <w:rPr>
          <w:i/>
        </w:rPr>
        <w:t xml:space="preserve">he 2002 American Express </w:t>
      </w:r>
      <w:r>
        <w:rPr>
          <w:i/>
        </w:rPr>
        <w:t>N</w:t>
      </w:r>
      <w:r w:rsidRPr="00105BDC">
        <w:rPr>
          <w:i/>
        </w:rPr>
        <w:t xml:space="preserve">ational </w:t>
      </w:r>
      <w:r>
        <w:rPr>
          <w:i/>
        </w:rPr>
        <w:t>A</w:t>
      </w:r>
      <w:r w:rsidRPr="00105BDC">
        <w:rPr>
          <w:i/>
        </w:rPr>
        <w:t xml:space="preserve">udience </w:t>
      </w:r>
      <w:r>
        <w:rPr>
          <w:i/>
        </w:rPr>
        <w:t>R</w:t>
      </w:r>
      <w:r w:rsidRPr="00105BDC">
        <w:rPr>
          <w:i/>
        </w:rPr>
        <w:t xml:space="preserve">esearch </w:t>
      </w:r>
      <w:r>
        <w:rPr>
          <w:i/>
        </w:rPr>
        <w:t>P</w:t>
      </w:r>
      <w:r w:rsidRPr="00105BDC">
        <w:rPr>
          <w:i/>
        </w:rPr>
        <w:t>roject</w:t>
      </w:r>
      <w:r>
        <w:rPr>
          <w:i/>
        </w:rPr>
        <w:t xml:space="preserve"> </w:t>
      </w:r>
      <w:r w:rsidRPr="00105BDC">
        <w:t>(</w:t>
      </w:r>
      <w:r>
        <w:t>Washington, D.C.: Opera America, 2002).</w:t>
      </w:r>
    </w:p>
  </w:footnote>
  <w:footnote w:id="5">
    <w:p w14:paraId="798B8915" w14:textId="75389ACA" w:rsidR="00397687" w:rsidRPr="00D1174C" w:rsidRDefault="00397687" w:rsidP="00D1174C">
      <w:pPr>
        <w:pStyle w:val="Footnote"/>
      </w:pPr>
      <w:r w:rsidRPr="00946575">
        <w:rPr>
          <w:rStyle w:val="FootnoteReference"/>
        </w:rPr>
        <w:footnoteRef/>
      </w:r>
      <w:r w:rsidRPr="00D1174C">
        <w:t xml:space="preserve"> “</w:t>
      </w:r>
      <w:r>
        <w:t xml:space="preserve">A Decade of Arts Engagement: Findings from the </w:t>
      </w:r>
      <w:r w:rsidRPr="00D1174C">
        <w:t>Survey of Public Participation in the Arts, 2002–2012,” N</w:t>
      </w:r>
      <w:r>
        <w:t xml:space="preserve">ational </w:t>
      </w:r>
      <w:r w:rsidRPr="00D1174C">
        <w:t>E</w:t>
      </w:r>
      <w:r>
        <w:t xml:space="preserve">ndowment for the Arts, </w:t>
      </w:r>
      <w:r w:rsidRPr="00D1174C">
        <w:t>Research Report #58</w:t>
      </w:r>
      <w:r>
        <w:t>,</w:t>
      </w:r>
      <w:r w:rsidRPr="00D1174C">
        <w:t xml:space="preserve"> January 2015, accessed October 2, 2018,</w:t>
      </w:r>
      <w:r>
        <w:t xml:space="preserve"> </w:t>
      </w:r>
      <w:r w:rsidRPr="00D1174C">
        <w:t>www.arts.gov/sites/default/files/2012-sppa-jan2015-rev.pdf.</w:t>
      </w:r>
    </w:p>
  </w:footnote>
  <w:footnote w:id="6">
    <w:p w14:paraId="7916EC1A" w14:textId="2FEC11B9" w:rsidR="00397687" w:rsidRPr="00D1174C" w:rsidRDefault="00397687" w:rsidP="00D1174C">
      <w:pPr>
        <w:pStyle w:val="Footnote"/>
      </w:pPr>
      <w:r w:rsidRPr="00946575">
        <w:rPr>
          <w:rStyle w:val="FootnoteReference"/>
        </w:rPr>
        <w:footnoteRef/>
      </w:r>
      <w:r w:rsidRPr="00D1174C">
        <w:rPr>
          <w:vertAlign w:val="superscript"/>
        </w:rPr>
        <w:t xml:space="preserve"> </w:t>
      </w:r>
      <w:r w:rsidRPr="00D1174C">
        <w:t>O</w:t>
      </w:r>
      <w:r>
        <w:t>pera</w:t>
      </w:r>
      <w:r w:rsidRPr="00D1174C">
        <w:t xml:space="preserve"> America, </w:t>
      </w:r>
      <w:r>
        <w:t>op. cit.</w:t>
      </w:r>
    </w:p>
  </w:footnote>
  <w:footnote w:id="7">
    <w:p w14:paraId="04CA3755" w14:textId="45809C9D" w:rsidR="00397687" w:rsidRPr="00D1174C" w:rsidRDefault="00397687" w:rsidP="00D1174C">
      <w:pPr>
        <w:pStyle w:val="Footnote"/>
      </w:pPr>
      <w:r w:rsidRPr="00946575">
        <w:rPr>
          <w:rStyle w:val="FootnoteReference"/>
        </w:rPr>
        <w:footnoteRef/>
      </w:r>
      <w:r w:rsidRPr="00D1174C">
        <w:t xml:space="preserve"> </w:t>
      </w:r>
      <w:r>
        <w:t>“Equity, Diversity, and Inclusion,” MN</w:t>
      </w:r>
      <w:r w:rsidRPr="00D1174C">
        <w:t xml:space="preserve"> Opera, accessed October 10, 2018, https://mnopera.org/edi</w:t>
      </w:r>
      <w:r>
        <w:t>.</w:t>
      </w:r>
    </w:p>
  </w:footnote>
  <w:footnote w:id="8">
    <w:p w14:paraId="509D50A0" w14:textId="0911E03E" w:rsidR="00397687" w:rsidRPr="00D1174C" w:rsidRDefault="00397687" w:rsidP="00D1174C">
      <w:pPr>
        <w:pStyle w:val="Footnote"/>
      </w:pPr>
      <w:r w:rsidRPr="00946575">
        <w:rPr>
          <w:rStyle w:val="FootnoteReference"/>
        </w:rPr>
        <w:footnoteRef/>
      </w:r>
      <w:r w:rsidRPr="00D1174C">
        <w:t xml:space="preserve"> “The Performing Arts</w:t>
      </w:r>
      <w:r>
        <w:t xml:space="preserve">: </w:t>
      </w:r>
      <w:r w:rsidRPr="00D1174C">
        <w:t>Trends and Their Implications</w:t>
      </w:r>
      <w:r>
        <w:t>,</w:t>
      </w:r>
      <w:r w:rsidRPr="00D1174C">
        <w:t xml:space="preserve">” RAND Corporation, </w:t>
      </w:r>
      <w:r>
        <w:t xml:space="preserve">2001, </w:t>
      </w:r>
      <w:r w:rsidRPr="00D1174C">
        <w:t>accessed October 9, 2018, www.rand.org/pubs/research_briefs/RB2504/index1.html</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D3E31" w14:textId="0F1858B2" w:rsidR="00397687" w:rsidRPr="00C92CC4" w:rsidRDefault="00397687" w:rsidP="00896A87">
    <w:pPr>
      <w:pBdr>
        <w:bottom w:val="single" w:sz="18" w:space="1" w:color="auto"/>
      </w:pBdr>
      <w:tabs>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544C3">
      <w:rPr>
        <w:rFonts w:ascii="Arial" w:hAnsi="Arial"/>
        <w:b/>
        <w:noProof/>
      </w:rPr>
      <w:t>9</w:t>
    </w:r>
    <w:r>
      <w:rPr>
        <w:rFonts w:ascii="Arial" w:hAnsi="Arial"/>
        <w:b/>
      </w:rPr>
      <w:fldChar w:fldCharType="end"/>
    </w:r>
    <w:r>
      <w:rPr>
        <w:rFonts w:ascii="Arial" w:hAnsi="Arial"/>
        <w:b/>
      </w:rPr>
      <w:tab/>
    </w:r>
    <w:r w:rsidR="001944C4">
      <w:rPr>
        <w:rFonts w:ascii="Arial" w:hAnsi="Arial"/>
        <w:b/>
      </w:rPr>
      <w:t>9B19A039</w:t>
    </w:r>
  </w:p>
  <w:p w14:paraId="5AB7C07B" w14:textId="77777777" w:rsidR="00397687" w:rsidRDefault="00397687" w:rsidP="00896A87">
    <w:pPr>
      <w:pStyle w:val="Header"/>
      <w:tabs>
        <w:tab w:val="clear" w:pos="4680"/>
      </w:tabs>
      <w:rPr>
        <w:sz w:val="18"/>
        <w:szCs w:val="18"/>
      </w:rPr>
    </w:pPr>
  </w:p>
  <w:p w14:paraId="566010FD" w14:textId="77777777" w:rsidR="00397687" w:rsidRPr="00C92CC4" w:rsidRDefault="00397687" w:rsidP="00896A87">
    <w:pPr>
      <w:pStyle w:val="Header"/>
      <w:tabs>
        <w:tab w:val="clear" w:pos="4680"/>
      </w:tabs>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3788B" w14:textId="134F9579" w:rsidR="00397687" w:rsidRPr="00C92CC4" w:rsidRDefault="00397687" w:rsidP="005E61D7">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544C3">
      <w:rPr>
        <w:rFonts w:ascii="Arial" w:hAnsi="Arial"/>
        <w:b/>
        <w:noProof/>
      </w:rPr>
      <w:t>10</w:t>
    </w:r>
    <w:r>
      <w:rPr>
        <w:rFonts w:ascii="Arial" w:hAnsi="Arial"/>
        <w:b/>
      </w:rPr>
      <w:fldChar w:fldCharType="end"/>
    </w:r>
    <w:r>
      <w:rPr>
        <w:rFonts w:ascii="Arial" w:hAnsi="Arial"/>
        <w:b/>
      </w:rPr>
      <w:tab/>
    </w:r>
    <w:r w:rsidR="001944C4">
      <w:rPr>
        <w:rFonts w:ascii="Arial" w:hAnsi="Arial"/>
        <w:b/>
      </w:rPr>
      <w:t>9B19A039</w:t>
    </w:r>
  </w:p>
  <w:p w14:paraId="2D444DC1" w14:textId="77777777" w:rsidR="00397687" w:rsidRDefault="00397687" w:rsidP="005E61D7">
    <w:pPr>
      <w:pStyle w:val="Header"/>
      <w:tabs>
        <w:tab w:val="clear" w:pos="4680"/>
        <w:tab w:val="clear" w:pos="9360"/>
        <w:tab w:val="right" w:pos="12960"/>
      </w:tabs>
      <w:rPr>
        <w:sz w:val="18"/>
        <w:szCs w:val="18"/>
      </w:rPr>
    </w:pPr>
  </w:p>
  <w:p w14:paraId="3067B61D" w14:textId="77777777" w:rsidR="00397687" w:rsidRPr="00C92CC4" w:rsidRDefault="00397687" w:rsidP="005E61D7">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AE9AB" w14:textId="37AECCFA" w:rsidR="00397687" w:rsidRPr="00C92CC4" w:rsidRDefault="00397687" w:rsidP="00761892">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544C3">
      <w:rPr>
        <w:rFonts w:ascii="Arial" w:hAnsi="Arial"/>
        <w:b/>
        <w:noProof/>
      </w:rPr>
      <w:t>14</w:t>
    </w:r>
    <w:r>
      <w:rPr>
        <w:rFonts w:ascii="Arial" w:hAnsi="Arial"/>
        <w:b/>
      </w:rPr>
      <w:fldChar w:fldCharType="end"/>
    </w:r>
    <w:r>
      <w:rPr>
        <w:rFonts w:ascii="Arial" w:hAnsi="Arial"/>
        <w:b/>
      </w:rPr>
      <w:tab/>
    </w:r>
    <w:r w:rsidR="001944C4">
      <w:rPr>
        <w:rFonts w:ascii="Arial" w:hAnsi="Arial"/>
        <w:b/>
      </w:rPr>
      <w:t>9B19A039</w:t>
    </w:r>
  </w:p>
  <w:p w14:paraId="7023324A" w14:textId="77777777" w:rsidR="00397687" w:rsidRDefault="00397687" w:rsidP="00761892">
    <w:pPr>
      <w:pStyle w:val="Header"/>
      <w:tabs>
        <w:tab w:val="clear" w:pos="4680"/>
      </w:tabs>
      <w:rPr>
        <w:sz w:val="18"/>
        <w:szCs w:val="18"/>
      </w:rPr>
    </w:pPr>
  </w:p>
  <w:p w14:paraId="114D33C0" w14:textId="77777777" w:rsidR="00397687" w:rsidRPr="00C92CC4" w:rsidRDefault="00397687" w:rsidP="00761892">
    <w:pPr>
      <w:pStyle w:val="Header"/>
      <w:tabs>
        <w:tab w:val="clear" w:pos="4680"/>
      </w:tabs>
      <w:rPr>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98287" w14:textId="3EA4CBF8" w:rsidR="00397687" w:rsidRPr="00C92CC4" w:rsidRDefault="00397687" w:rsidP="00BF0476">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544C3">
      <w:rPr>
        <w:rFonts w:ascii="Arial" w:hAnsi="Arial"/>
        <w:b/>
        <w:noProof/>
      </w:rPr>
      <w:t>15</w:t>
    </w:r>
    <w:r>
      <w:rPr>
        <w:rFonts w:ascii="Arial" w:hAnsi="Arial"/>
        <w:b/>
      </w:rPr>
      <w:fldChar w:fldCharType="end"/>
    </w:r>
    <w:r>
      <w:rPr>
        <w:rFonts w:ascii="Arial" w:hAnsi="Arial"/>
        <w:b/>
      </w:rPr>
      <w:tab/>
    </w:r>
    <w:r w:rsidR="001944C4">
      <w:rPr>
        <w:rFonts w:ascii="Arial" w:hAnsi="Arial"/>
        <w:b/>
      </w:rPr>
      <w:t>9B19A039</w:t>
    </w:r>
  </w:p>
  <w:p w14:paraId="31417146" w14:textId="77777777" w:rsidR="00397687" w:rsidRDefault="00397687" w:rsidP="00BF0476">
    <w:pPr>
      <w:pStyle w:val="Header"/>
      <w:tabs>
        <w:tab w:val="clear" w:pos="4680"/>
        <w:tab w:val="clear" w:pos="9360"/>
        <w:tab w:val="right" w:pos="12960"/>
      </w:tabs>
      <w:rPr>
        <w:sz w:val="18"/>
        <w:szCs w:val="18"/>
      </w:rPr>
    </w:pPr>
  </w:p>
  <w:p w14:paraId="36A36A90" w14:textId="77777777" w:rsidR="00397687" w:rsidRPr="00C92CC4" w:rsidRDefault="00397687" w:rsidP="00BF0476">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82CB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8E51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D221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370F7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14DA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2AE0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6E05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B60C1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1C10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8258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332EA"/>
    <w:multiLevelType w:val="hybridMultilevel"/>
    <w:tmpl w:val="0F126C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C675AED"/>
    <w:multiLevelType w:val="hybridMultilevel"/>
    <w:tmpl w:val="59AC7448"/>
    <w:lvl w:ilvl="0" w:tplc="95D0FABA">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02275"/>
    <w:multiLevelType w:val="hybridMultilevel"/>
    <w:tmpl w:val="19821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B5CAD"/>
    <w:multiLevelType w:val="hybridMultilevel"/>
    <w:tmpl w:val="D426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15"/>
  </w:num>
  <w:num w:numId="4">
    <w:abstractNumId w:val="23"/>
  </w:num>
  <w:num w:numId="5">
    <w:abstractNumId w:val="16"/>
  </w:num>
  <w:num w:numId="6">
    <w:abstractNumId w:val="20"/>
  </w:num>
  <w:num w:numId="7">
    <w:abstractNumId w:val="11"/>
  </w:num>
  <w:num w:numId="8">
    <w:abstractNumId w:val="25"/>
  </w:num>
  <w:num w:numId="9">
    <w:abstractNumId w:val="21"/>
  </w:num>
  <w:num w:numId="10">
    <w:abstractNumId w:val="13"/>
  </w:num>
  <w:num w:numId="11">
    <w:abstractNumId w:val="18"/>
  </w:num>
  <w:num w:numId="12">
    <w:abstractNumId w:val="19"/>
  </w:num>
  <w:num w:numId="13">
    <w:abstractNumId w:val="14"/>
  </w:num>
  <w:num w:numId="14">
    <w:abstractNumId w:val="10"/>
  </w:num>
  <w:num w:numId="15">
    <w:abstractNumId w:val="12"/>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 w:numId="26">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D66"/>
    <w:rsid w:val="00006480"/>
    <w:rsid w:val="00013360"/>
    <w:rsid w:val="00013A44"/>
    <w:rsid w:val="00013CF7"/>
    <w:rsid w:val="00016759"/>
    <w:rsid w:val="000216CE"/>
    <w:rsid w:val="00024ED4"/>
    <w:rsid w:val="00025DC7"/>
    <w:rsid w:val="00026270"/>
    <w:rsid w:val="00026AA2"/>
    <w:rsid w:val="0002720B"/>
    <w:rsid w:val="0003418A"/>
    <w:rsid w:val="00035F09"/>
    <w:rsid w:val="00044ECC"/>
    <w:rsid w:val="000531D3"/>
    <w:rsid w:val="0005646B"/>
    <w:rsid w:val="000615D1"/>
    <w:rsid w:val="00061D72"/>
    <w:rsid w:val="000712D0"/>
    <w:rsid w:val="0008102D"/>
    <w:rsid w:val="00086B26"/>
    <w:rsid w:val="00093797"/>
    <w:rsid w:val="00094C0E"/>
    <w:rsid w:val="000A146D"/>
    <w:rsid w:val="000A6BA9"/>
    <w:rsid w:val="000B0ADD"/>
    <w:rsid w:val="000B1A54"/>
    <w:rsid w:val="000C5C59"/>
    <w:rsid w:val="000C7ABB"/>
    <w:rsid w:val="000D2A2F"/>
    <w:rsid w:val="000D7091"/>
    <w:rsid w:val="000E47CF"/>
    <w:rsid w:val="000F0C22"/>
    <w:rsid w:val="000F4322"/>
    <w:rsid w:val="000F6B09"/>
    <w:rsid w:val="000F6FDC"/>
    <w:rsid w:val="00104567"/>
    <w:rsid w:val="00104916"/>
    <w:rsid w:val="00104AA7"/>
    <w:rsid w:val="00105BDC"/>
    <w:rsid w:val="00123736"/>
    <w:rsid w:val="001255FF"/>
    <w:rsid w:val="0012732D"/>
    <w:rsid w:val="00141FA6"/>
    <w:rsid w:val="00143721"/>
    <w:rsid w:val="00143F25"/>
    <w:rsid w:val="0014419D"/>
    <w:rsid w:val="00146E7C"/>
    <w:rsid w:val="00151E05"/>
    <w:rsid w:val="00152682"/>
    <w:rsid w:val="00154FC9"/>
    <w:rsid w:val="001607CF"/>
    <w:rsid w:val="00174CA2"/>
    <w:rsid w:val="00181202"/>
    <w:rsid w:val="00181E41"/>
    <w:rsid w:val="001901C0"/>
    <w:rsid w:val="0019078F"/>
    <w:rsid w:val="0019241A"/>
    <w:rsid w:val="00192A18"/>
    <w:rsid w:val="001944C4"/>
    <w:rsid w:val="001A22D1"/>
    <w:rsid w:val="001A3BCA"/>
    <w:rsid w:val="001A6D4C"/>
    <w:rsid w:val="001A752D"/>
    <w:rsid w:val="001A757E"/>
    <w:rsid w:val="001B13EB"/>
    <w:rsid w:val="001B5032"/>
    <w:rsid w:val="001B57D2"/>
    <w:rsid w:val="001C605E"/>
    <w:rsid w:val="001C674D"/>
    <w:rsid w:val="001C775F"/>
    <w:rsid w:val="001C7777"/>
    <w:rsid w:val="001D1914"/>
    <w:rsid w:val="001D2B4F"/>
    <w:rsid w:val="001D344B"/>
    <w:rsid w:val="001D776A"/>
    <w:rsid w:val="001E133C"/>
    <w:rsid w:val="001E364F"/>
    <w:rsid w:val="001F4222"/>
    <w:rsid w:val="00203AA1"/>
    <w:rsid w:val="00205659"/>
    <w:rsid w:val="00210685"/>
    <w:rsid w:val="00211992"/>
    <w:rsid w:val="00213E98"/>
    <w:rsid w:val="00215506"/>
    <w:rsid w:val="00222D3F"/>
    <w:rsid w:val="00225808"/>
    <w:rsid w:val="00230150"/>
    <w:rsid w:val="0023081A"/>
    <w:rsid w:val="00233111"/>
    <w:rsid w:val="00253AF6"/>
    <w:rsid w:val="00260A69"/>
    <w:rsid w:val="00265FA8"/>
    <w:rsid w:val="00272DD3"/>
    <w:rsid w:val="00275B93"/>
    <w:rsid w:val="0029017E"/>
    <w:rsid w:val="002A7392"/>
    <w:rsid w:val="002B40FF"/>
    <w:rsid w:val="002C0D78"/>
    <w:rsid w:val="002C4E29"/>
    <w:rsid w:val="002D29D1"/>
    <w:rsid w:val="002D3964"/>
    <w:rsid w:val="002E17AD"/>
    <w:rsid w:val="002E2F90"/>
    <w:rsid w:val="002F1174"/>
    <w:rsid w:val="002F460C"/>
    <w:rsid w:val="002F48D6"/>
    <w:rsid w:val="002F7810"/>
    <w:rsid w:val="00304CD9"/>
    <w:rsid w:val="003103EC"/>
    <w:rsid w:val="00317391"/>
    <w:rsid w:val="0032510F"/>
    <w:rsid w:val="00326216"/>
    <w:rsid w:val="00327CB8"/>
    <w:rsid w:val="00330DEC"/>
    <w:rsid w:val="0033494A"/>
    <w:rsid w:val="00335272"/>
    <w:rsid w:val="00336580"/>
    <w:rsid w:val="00340A30"/>
    <w:rsid w:val="00354899"/>
    <w:rsid w:val="00355FD6"/>
    <w:rsid w:val="00364A5C"/>
    <w:rsid w:val="00373FB1"/>
    <w:rsid w:val="00374BC9"/>
    <w:rsid w:val="00396C76"/>
    <w:rsid w:val="00396D74"/>
    <w:rsid w:val="00397687"/>
    <w:rsid w:val="003B30D8"/>
    <w:rsid w:val="003B7A6A"/>
    <w:rsid w:val="003B7EF2"/>
    <w:rsid w:val="003C3FA4"/>
    <w:rsid w:val="003D0667"/>
    <w:rsid w:val="003D0BA1"/>
    <w:rsid w:val="003D116A"/>
    <w:rsid w:val="003D259A"/>
    <w:rsid w:val="003D7337"/>
    <w:rsid w:val="003E3CC4"/>
    <w:rsid w:val="003F2B0C"/>
    <w:rsid w:val="003F2DDD"/>
    <w:rsid w:val="003F3F31"/>
    <w:rsid w:val="003F4FAD"/>
    <w:rsid w:val="00403226"/>
    <w:rsid w:val="004105B2"/>
    <w:rsid w:val="0041145A"/>
    <w:rsid w:val="00412900"/>
    <w:rsid w:val="00413142"/>
    <w:rsid w:val="004153EC"/>
    <w:rsid w:val="00416839"/>
    <w:rsid w:val="004221E4"/>
    <w:rsid w:val="004273F8"/>
    <w:rsid w:val="0042765F"/>
    <w:rsid w:val="004355A3"/>
    <w:rsid w:val="00435B71"/>
    <w:rsid w:val="00441E35"/>
    <w:rsid w:val="004443D8"/>
    <w:rsid w:val="00446546"/>
    <w:rsid w:val="00450B89"/>
    <w:rsid w:val="00452769"/>
    <w:rsid w:val="00454FA7"/>
    <w:rsid w:val="00465348"/>
    <w:rsid w:val="004979A5"/>
    <w:rsid w:val="004A1B59"/>
    <w:rsid w:val="004A25E0"/>
    <w:rsid w:val="004B1CCB"/>
    <w:rsid w:val="004B4F97"/>
    <w:rsid w:val="004B506B"/>
    <w:rsid w:val="004B632F"/>
    <w:rsid w:val="004B7D66"/>
    <w:rsid w:val="004C0329"/>
    <w:rsid w:val="004D3FB1"/>
    <w:rsid w:val="004D5151"/>
    <w:rsid w:val="004D6F21"/>
    <w:rsid w:val="004D73A5"/>
    <w:rsid w:val="004E47FD"/>
    <w:rsid w:val="004F0165"/>
    <w:rsid w:val="004F10E1"/>
    <w:rsid w:val="004F732E"/>
    <w:rsid w:val="00511019"/>
    <w:rsid w:val="00512365"/>
    <w:rsid w:val="00513B77"/>
    <w:rsid w:val="005160F1"/>
    <w:rsid w:val="00524F2F"/>
    <w:rsid w:val="00527E5C"/>
    <w:rsid w:val="00532CF5"/>
    <w:rsid w:val="0053510E"/>
    <w:rsid w:val="00544CD3"/>
    <w:rsid w:val="005528CB"/>
    <w:rsid w:val="00555439"/>
    <w:rsid w:val="005602D2"/>
    <w:rsid w:val="00562342"/>
    <w:rsid w:val="005629AF"/>
    <w:rsid w:val="00566771"/>
    <w:rsid w:val="0057020A"/>
    <w:rsid w:val="00574DAD"/>
    <w:rsid w:val="005752ED"/>
    <w:rsid w:val="00581E2E"/>
    <w:rsid w:val="00584F15"/>
    <w:rsid w:val="0059514B"/>
    <w:rsid w:val="005A1B0F"/>
    <w:rsid w:val="005B1786"/>
    <w:rsid w:val="005B209C"/>
    <w:rsid w:val="005B4CE6"/>
    <w:rsid w:val="005B5EFE"/>
    <w:rsid w:val="005B6EC4"/>
    <w:rsid w:val="005C29DF"/>
    <w:rsid w:val="005C367C"/>
    <w:rsid w:val="005C6F96"/>
    <w:rsid w:val="005C7215"/>
    <w:rsid w:val="005E1BE0"/>
    <w:rsid w:val="005E263C"/>
    <w:rsid w:val="005E61D7"/>
    <w:rsid w:val="005F5C03"/>
    <w:rsid w:val="005F6636"/>
    <w:rsid w:val="006163F7"/>
    <w:rsid w:val="00624832"/>
    <w:rsid w:val="00627C63"/>
    <w:rsid w:val="0063350B"/>
    <w:rsid w:val="0063435C"/>
    <w:rsid w:val="00642CFD"/>
    <w:rsid w:val="00651256"/>
    <w:rsid w:val="006521AE"/>
    <w:rsid w:val="00652606"/>
    <w:rsid w:val="00654C90"/>
    <w:rsid w:val="006559F6"/>
    <w:rsid w:val="00655DDC"/>
    <w:rsid w:val="00657B35"/>
    <w:rsid w:val="0066674B"/>
    <w:rsid w:val="00676B74"/>
    <w:rsid w:val="00680774"/>
    <w:rsid w:val="006901AA"/>
    <w:rsid w:val="006920E8"/>
    <w:rsid w:val="00692C68"/>
    <w:rsid w:val="00692DF5"/>
    <w:rsid w:val="006946EE"/>
    <w:rsid w:val="00697D98"/>
    <w:rsid w:val="006A58A9"/>
    <w:rsid w:val="006A606D"/>
    <w:rsid w:val="006A74B3"/>
    <w:rsid w:val="006B2B90"/>
    <w:rsid w:val="006B2BC0"/>
    <w:rsid w:val="006C0371"/>
    <w:rsid w:val="006C08B6"/>
    <w:rsid w:val="006C0926"/>
    <w:rsid w:val="006C0B1A"/>
    <w:rsid w:val="006C1AFB"/>
    <w:rsid w:val="006C6065"/>
    <w:rsid w:val="006C7F9F"/>
    <w:rsid w:val="006D6C84"/>
    <w:rsid w:val="006E2F6D"/>
    <w:rsid w:val="006E58F6"/>
    <w:rsid w:val="006E77E1"/>
    <w:rsid w:val="006F131D"/>
    <w:rsid w:val="006F4154"/>
    <w:rsid w:val="006F494C"/>
    <w:rsid w:val="007013B1"/>
    <w:rsid w:val="007111D5"/>
    <w:rsid w:val="00711642"/>
    <w:rsid w:val="007151D5"/>
    <w:rsid w:val="00717870"/>
    <w:rsid w:val="0072447B"/>
    <w:rsid w:val="007345C8"/>
    <w:rsid w:val="00734E5E"/>
    <w:rsid w:val="00746FDD"/>
    <w:rsid w:val="00747535"/>
    <w:rsid w:val="007507C6"/>
    <w:rsid w:val="00751E0B"/>
    <w:rsid w:val="00752BCD"/>
    <w:rsid w:val="0075358C"/>
    <w:rsid w:val="007540E9"/>
    <w:rsid w:val="00761892"/>
    <w:rsid w:val="00766DA1"/>
    <w:rsid w:val="00771A91"/>
    <w:rsid w:val="00780D94"/>
    <w:rsid w:val="007866A6"/>
    <w:rsid w:val="0078778B"/>
    <w:rsid w:val="0079049A"/>
    <w:rsid w:val="0079145E"/>
    <w:rsid w:val="00795770"/>
    <w:rsid w:val="007A130D"/>
    <w:rsid w:val="007A1FC0"/>
    <w:rsid w:val="007A671F"/>
    <w:rsid w:val="007B4B90"/>
    <w:rsid w:val="007C7803"/>
    <w:rsid w:val="007D1A2D"/>
    <w:rsid w:val="007D32E6"/>
    <w:rsid w:val="007D4102"/>
    <w:rsid w:val="007E54A7"/>
    <w:rsid w:val="007F43B7"/>
    <w:rsid w:val="007F5353"/>
    <w:rsid w:val="008003E5"/>
    <w:rsid w:val="00801705"/>
    <w:rsid w:val="00803ECA"/>
    <w:rsid w:val="00815ED2"/>
    <w:rsid w:val="00821FFC"/>
    <w:rsid w:val="00822C66"/>
    <w:rsid w:val="008271CA"/>
    <w:rsid w:val="008419BE"/>
    <w:rsid w:val="008467D5"/>
    <w:rsid w:val="008607E3"/>
    <w:rsid w:val="00875F83"/>
    <w:rsid w:val="00877B03"/>
    <w:rsid w:val="0088125F"/>
    <w:rsid w:val="0088285C"/>
    <w:rsid w:val="00896158"/>
    <w:rsid w:val="00896A87"/>
    <w:rsid w:val="008A323E"/>
    <w:rsid w:val="008A4DC4"/>
    <w:rsid w:val="008A60AC"/>
    <w:rsid w:val="008A65BB"/>
    <w:rsid w:val="008B005C"/>
    <w:rsid w:val="008B2E40"/>
    <w:rsid w:val="008B3043"/>
    <w:rsid w:val="008B322B"/>
    <w:rsid w:val="008B438C"/>
    <w:rsid w:val="008C3232"/>
    <w:rsid w:val="008C66C3"/>
    <w:rsid w:val="008D06CA"/>
    <w:rsid w:val="008D3A46"/>
    <w:rsid w:val="008F10B4"/>
    <w:rsid w:val="008F2385"/>
    <w:rsid w:val="008F3C05"/>
    <w:rsid w:val="008F4E51"/>
    <w:rsid w:val="009030D2"/>
    <w:rsid w:val="009067A4"/>
    <w:rsid w:val="009107FB"/>
    <w:rsid w:val="00917B49"/>
    <w:rsid w:val="00930885"/>
    <w:rsid w:val="0093106E"/>
    <w:rsid w:val="00932078"/>
    <w:rsid w:val="009337F2"/>
    <w:rsid w:val="00933D68"/>
    <w:rsid w:val="009340DB"/>
    <w:rsid w:val="009417C1"/>
    <w:rsid w:val="009458FB"/>
    <w:rsid w:val="0094618C"/>
    <w:rsid w:val="00946575"/>
    <w:rsid w:val="009517A7"/>
    <w:rsid w:val="00952C73"/>
    <w:rsid w:val="0095684B"/>
    <w:rsid w:val="00960D13"/>
    <w:rsid w:val="009649EF"/>
    <w:rsid w:val="00970051"/>
    <w:rsid w:val="00972498"/>
    <w:rsid w:val="0097445E"/>
    <w:rsid w:val="0097481F"/>
    <w:rsid w:val="00974CC6"/>
    <w:rsid w:val="00976AD4"/>
    <w:rsid w:val="00995547"/>
    <w:rsid w:val="00995FBF"/>
    <w:rsid w:val="009A28D7"/>
    <w:rsid w:val="009A312F"/>
    <w:rsid w:val="009A5348"/>
    <w:rsid w:val="009B0AB7"/>
    <w:rsid w:val="009B1E10"/>
    <w:rsid w:val="009B3B6F"/>
    <w:rsid w:val="009B4ADC"/>
    <w:rsid w:val="009B50CF"/>
    <w:rsid w:val="009B7334"/>
    <w:rsid w:val="009C6318"/>
    <w:rsid w:val="009C76D5"/>
    <w:rsid w:val="009E61D8"/>
    <w:rsid w:val="009F006D"/>
    <w:rsid w:val="009F3AA6"/>
    <w:rsid w:val="009F7AA4"/>
    <w:rsid w:val="00A10AD7"/>
    <w:rsid w:val="00A308F7"/>
    <w:rsid w:val="00A323B0"/>
    <w:rsid w:val="00A3632E"/>
    <w:rsid w:val="00A36F3C"/>
    <w:rsid w:val="00A559DB"/>
    <w:rsid w:val="00A569EA"/>
    <w:rsid w:val="00A64BD0"/>
    <w:rsid w:val="00A676A0"/>
    <w:rsid w:val="00A704EE"/>
    <w:rsid w:val="00A748D4"/>
    <w:rsid w:val="00A846B1"/>
    <w:rsid w:val="00A84A01"/>
    <w:rsid w:val="00A87C68"/>
    <w:rsid w:val="00A9599F"/>
    <w:rsid w:val="00AA34F2"/>
    <w:rsid w:val="00AA45CF"/>
    <w:rsid w:val="00AB3E40"/>
    <w:rsid w:val="00AC0404"/>
    <w:rsid w:val="00AC31BC"/>
    <w:rsid w:val="00AC76BD"/>
    <w:rsid w:val="00AD2691"/>
    <w:rsid w:val="00AD29EA"/>
    <w:rsid w:val="00AE07DC"/>
    <w:rsid w:val="00AE21EA"/>
    <w:rsid w:val="00AF35FC"/>
    <w:rsid w:val="00AF4EE1"/>
    <w:rsid w:val="00AF5556"/>
    <w:rsid w:val="00AF69FB"/>
    <w:rsid w:val="00B02B54"/>
    <w:rsid w:val="00B03639"/>
    <w:rsid w:val="00B03DB1"/>
    <w:rsid w:val="00B0652A"/>
    <w:rsid w:val="00B10660"/>
    <w:rsid w:val="00B10C19"/>
    <w:rsid w:val="00B12AB3"/>
    <w:rsid w:val="00B15870"/>
    <w:rsid w:val="00B2141E"/>
    <w:rsid w:val="00B222F4"/>
    <w:rsid w:val="00B267C0"/>
    <w:rsid w:val="00B40937"/>
    <w:rsid w:val="00B423EF"/>
    <w:rsid w:val="00B43C58"/>
    <w:rsid w:val="00B453DE"/>
    <w:rsid w:val="00B55BB7"/>
    <w:rsid w:val="00B57073"/>
    <w:rsid w:val="00B62497"/>
    <w:rsid w:val="00B6381A"/>
    <w:rsid w:val="00B65400"/>
    <w:rsid w:val="00B71939"/>
    <w:rsid w:val="00B72597"/>
    <w:rsid w:val="00B7312F"/>
    <w:rsid w:val="00B75E5C"/>
    <w:rsid w:val="00B766A9"/>
    <w:rsid w:val="00B81E64"/>
    <w:rsid w:val="00B87DC0"/>
    <w:rsid w:val="00B901F9"/>
    <w:rsid w:val="00B973B5"/>
    <w:rsid w:val="00BA2FB0"/>
    <w:rsid w:val="00BA38EC"/>
    <w:rsid w:val="00BA62CE"/>
    <w:rsid w:val="00BB47C4"/>
    <w:rsid w:val="00BC252C"/>
    <w:rsid w:val="00BC4D98"/>
    <w:rsid w:val="00BC58C1"/>
    <w:rsid w:val="00BC7EC5"/>
    <w:rsid w:val="00BD174F"/>
    <w:rsid w:val="00BD5ECA"/>
    <w:rsid w:val="00BD6EFB"/>
    <w:rsid w:val="00BD6FDF"/>
    <w:rsid w:val="00BE3DF5"/>
    <w:rsid w:val="00BF0476"/>
    <w:rsid w:val="00BF5EAB"/>
    <w:rsid w:val="00C02410"/>
    <w:rsid w:val="00C067D8"/>
    <w:rsid w:val="00C10C57"/>
    <w:rsid w:val="00C140E6"/>
    <w:rsid w:val="00C14E5C"/>
    <w:rsid w:val="00C1584D"/>
    <w:rsid w:val="00C15BE2"/>
    <w:rsid w:val="00C1632D"/>
    <w:rsid w:val="00C22496"/>
    <w:rsid w:val="00C24C48"/>
    <w:rsid w:val="00C26D5A"/>
    <w:rsid w:val="00C27970"/>
    <w:rsid w:val="00C3447F"/>
    <w:rsid w:val="00C422BF"/>
    <w:rsid w:val="00C4422B"/>
    <w:rsid w:val="00C44714"/>
    <w:rsid w:val="00C61AD7"/>
    <w:rsid w:val="00C67102"/>
    <w:rsid w:val="00C67FDD"/>
    <w:rsid w:val="00C74168"/>
    <w:rsid w:val="00C81491"/>
    <w:rsid w:val="00C81676"/>
    <w:rsid w:val="00C8278D"/>
    <w:rsid w:val="00C85C5D"/>
    <w:rsid w:val="00C85FF2"/>
    <w:rsid w:val="00C910B1"/>
    <w:rsid w:val="00C92CC4"/>
    <w:rsid w:val="00C9322D"/>
    <w:rsid w:val="00C9328D"/>
    <w:rsid w:val="00C952EE"/>
    <w:rsid w:val="00CA0AFB"/>
    <w:rsid w:val="00CA1807"/>
    <w:rsid w:val="00CA2CE1"/>
    <w:rsid w:val="00CA352B"/>
    <w:rsid w:val="00CA3976"/>
    <w:rsid w:val="00CA50E3"/>
    <w:rsid w:val="00CA757B"/>
    <w:rsid w:val="00CB7E69"/>
    <w:rsid w:val="00CC0B68"/>
    <w:rsid w:val="00CC16D7"/>
    <w:rsid w:val="00CC1787"/>
    <w:rsid w:val="00CC182C"/>
    <w:rsid w:val="00CD0824"/>
    <w:rsid w:val="00CD2908"/>
    <w:rsid w:val="00CD4876"/>
    <w:rsid w:val="00CD7044"/>
    <w:rsid w:val="00CE0087"/>
    <w:rsid w:val="00CE0E49"/>
    <w:rsid w:val="00CE16D6"/>
    <w:rsid w:val="00CF14F3"/>
    <w:rsid w:val="00CF4E34"/>
    <w:rsid w:val="00CF7E2A"/>
    <w:rsid w:val="00D00017"/>
    <w:rsid w:val="00D03A82"/>
    <w:rsid w:val="00D075F3"/>
    <w:rsid w:val="00D1174C"/>
    <w:rsid w:val="00D11E67"/>
    <w:rsid w:val="00D13667"/>
    <w:rsid w:val="00D143C1"/>
    <w:rsid w:val="00D15344"/>
    <w:rsid w:val="00D23F57"/>
    <w:rsid w:val="00D24E59"/>
    <w:rsid w:val="00D31BEC"/>
    <w:rsid w:val="00D326CC"/>
    <w:rsid w:val="00D415E3"/>
    <w:rsid w:val="00D420FB"/>
    <w:rsid w:val="00D4574B"/>
    <w:rsid w:val="00D460AF"/>
    <w:rsid w:val="00D46EDB"/>
    <w:rsid w:val="00D5224C"/>
    <w:rsid w:val="00D52B5F"/>
    <w:rsid w:val="00D535A9"/>
    <w:rsid w:val="00D53EA5"/>
    <w:rsid w:val="00D544C3"/>
    <w:rsid w:val="00D63150"/>
    <w:rsid w:val="00D636BA"/>
    <w:rsid w:val="00D64A32"/>
    <w:rsid w:val="00D64EFC"/>
    <w:rsid w:val="00D75295"/>
    <w:rsid w:val="00D76CE9"/>
    <w:rsid w:val="00D82209"/>
    <w:rsid w:val="00D865AC"/>
    <w:rsid w:val="00D90F58"/>
    <w:rsid w:val="00D90FF3"/>
    <w:rsid w:val="00D915ED"/>
    <w:rsid w:val="00D97F12"/>
    <w:rsid w:val="00DA52DF"/>
    <w:rsid w:val="00DA6095"/>
    <w:rsid w:val="00DB331D"/>
    <w:rsid w:val="00DB42E7"/>
    <w:rsid w:val="00DB7E1E"/>
    <w:rsid w:val="00DC09D8"/>
    <w:rsid w:val="00DC2BBD"/>
    <w:rsid w:val="00DD25BD"/>
    <w:rsid w:val="00DD4B26"/>
    <w:rsid w:val="00DE01A6"/>
    <w:rsid w:val="00DE2F22"/>
    <w:rsid w:val="00DE46B1"/>
    <w:rsid w:val="00DE7A98"/>
    <w:rsid w:val="00DF06F9"/>
    <w:rsid w:val="00DF14CC"/>
    <w:rsid w:val="00DF32C2"/>
    <w:rsid w:val="00DF36E2"/>
    <w:rsid w:val="00E018F2"/>
    <w:rsid w:val="00E14A2B"/>
    <w:rsid w:val="00E16F01"/>
    <w:rsid w:val="00E32837"/>
    <w:rsid w:val="00E43E3B"/>
    <w:rsid w:val="00E44789"/>
    <w:rsid w:val="00E46F60"/>
    <w:rsid w:val="00E471A7"/>
    <w:rsid w:val="00E6320F"/>
    <w:rsid w:val="00E635CF"/>
    <w:rsid w:val="00E65478"/>
    <w:rsid w:val="00E7235B"/>
    <w:rsid w:val="00E95F67"/>
    <w:rsid w:val="00EB1E3B"/>
    <w:rsid w:val="00EB602F"/>
    <w:rsid w:val="00EC4E85"/>
    <w:rsid w:val="00EC6E0A"/>
    <w:rsid w:val="00ED4E18"/>
    <w:rsid w:val="00ED7922"/>
    <w:rsid w:val="00EE02C4"/>
    <w:rsid w:val="00EE1F37"/>
    <w:rsid w:val="00EE224A"/>
    <w:rsid w:val="00EF4AD9"/>
    <w:rsid w:val="00EF5309"/>
    <w:rsid w:val="00EF72DE"/>
    <w:rsid w:val="00EF7C9F"/>
    <w:rsid w:val="00F0159C"/>
    <w:rsid w:val="00F105B7"/>
    <w:rsid w:val="00F11208"/>
    <w:rsid w:val="00F13220"/>
    <w:rsid w:val="00F17A21"/>
    <w:rsid w:val="00F17F40"/>
    <w:rsid w:val="00F20BC9"/>
    <w:rsid w:val="00F27EC8"/>
    <w:rsid w:val="00F33316"/>
    <w:rsid w:val="00F36FC2"/>
    <w:rsid w:val="00F37B27"/>
    <w:rsid w:val="00F45A1E"/>
    <w:rsid w:val="00F46556"/>
    <w:rsid w:val="00F50E91"/>
    <w:rsid w:val="00F559A1"/>
    <w:rsid w:val="00F56799"/>
    <w:rsid w:val="00F57D29"/>
    <w:rsid w:val="00F60786"/>
    <w:rsid w:val="00F64F41"/>
    <w:rsid w:val="00F70012"/>
    <w:rsid w:val="00F71F99"/>
    <w:rsid w:val="00F733C3"/>
    <w:rsid w:val="00F73E85"/>
    <w:rsid w:val="00F74958"/>
    <w:rsid w:val="00F74B2C"/>
    <w:rsid w:val="00F752E9"/>
    <w:rsid w:val="00F8040E"/>
    <w:rsid w:val="00F83FE7"/>
    <w:rsid w:val="00F91BC7"/>
    <w:rsid w:val="00F94BFC"/>
    <w:rsid w:val="00F96201"/>
    <w:rsid w:val="00FA1BBC"/>
    <w:rsid w:val="00FB3406"/>
    <w:rsid w:val="00FB5CF1"/>
    <w:rsid w:val="00FB5E60"/>
    <w:rsid w:val="00FB7CFA"/>
    <w:rsid w:val="00FC1C87"/>
    <w:rsid w:val="00FC24AD"/>
    <w:rsid w:val="00FC312B"/>
    <w:rsid w:val="00FD0B18"/>
    <w:rsid w:val="00FD1E01"/>
    <w:rsid w:val="00FD2FAD"/>
    <w:rsid w:val="00FD6B49"/>
    <w:rsid w:val="00FE1E7E"/>
    <w:rsid w:val="00FE4103"/>
    <w:rsid w:val="00FE714F"/>
    <w:rsid w:val="00FF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9AA937"/>
  <w15:docId w15:val="{9DBEEBA5-2C87-47BF-9C51-181139E8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8220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D82209"/>
    <w:pPr>
      <w:keepNext/>
    </w:pPr>
    <w:rPr>
      <w:rFonts w:ascii="Arial" w:hAnsi="Arial" w:cs="Arial"/>
      <w:b/>
      <w:caps/>
      <w:sz w:val="20"/>
      <w:szCs w:val="20"/>
    </w:rPr>
  </w:style>
  <w:style w:type="character" w:customStyle="1" w:styleId="Casehead1Char">
    <w:name w:val="Casehead 1 Char"/>
    <w:basedOn w:val="BodyTextMainChar"/>
    <w:link w:val="Casehead1"/>
    <w:rsid w:val="00D82209"/>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4443D8"/>
    <w:rPr>
      <w:b w:val="0"/>
      <w:color w:val="auto"/>
      <w:vertAlign w:val="superscript"/>
    </w:rPr>
  </w:style>
  <w:style w:type="paragraph" w:customStyle="1" w:styleId="Footnote">
    <w:name w:val="Footnote"/>
    <w:basedOn w:val="FootnoteText"/>
    <w:link w:val="FootnoteChar"/>
    <w:qFormat/>
    <w:rsid w:val="004443D8"/>
    <w:pPr>
      <w:jc w:val="both"/>
    </w:pPr>
    <w:rPr>
      <w:rFonts w:ascii="Arial" w:hAnsi="Arial" w:cs="Arial"/>
      <w:sz w:val="17"/>
      <w:szCs w:val="17"/>
    </w:rPr>
  </w:style>
  <w:style w:type="character" w:customStyle="1" w:styleId="FootnoteChar">
    <w:name w:val="Footnote Char"/>
    <w:basedOn w:val="FootnoteTextChar"/>
    <w:link w:val="Footnote"/>
    <w:rsid w:val="004443D8"/>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D82209"/>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D82209"/>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D52B5F"/>
    <w:rPr>
      <w:color w:val="605E5C"/>
      <w:shd w:val="clear" w:color="auto" w:fill="E1DFDD"/>
    </w:rPr>
  </w:style>
  <w:style w:type="character" w:styleId="Hyperlink">
    <w:name w:val="Hyperlink"/>
    <w:basedOn w:val="DefaultParagraphFont"/>
    <w:uiPriority w:val="99"/>
    <w:semiHidden/>
    <w:unhideWhenUsed/>
    <w:rsid w:val="00AA3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436957">
      <w:bodyDiv w:val="1"/>
      <w:marLeft w:val="0"/>
      <w:marRight w:val="0"/>
      <w:marTop w:val="0"/>
      <w:marBottom w:val="0"/>
      <w:divBdr>
        <w:top w:val="none" w:sz="0" w:space="0" w:color="auto"/>
        <w:left w:val="none" w:sz="0" w:space="0" w:color="auto"/>
        <w:bottom w:val="none" w:sz="0" w:space="0" w:color="auto"/>
        <w:right w:val="none" w:sz="0" w:space="0" w:color="auto"/>
      </w:divBdr>
    </w:div>
    <w:div w:id="529689116">
      <w:bodyDiv w:val="1"/>
      <w:marLeft w:val="0"/>
      <w:marRight w:val="0"/>
      <w:marTop w:val="0"/>
      <w:marBottom w:val="0"/>
      <w:divBdr>
        <w:top w:val="none" w:sz="0" w:space="0" w:color="auto"/>
        <w:left w:val="none" w:sz="0" w:space="0" w:color="auto"/>
        <w:bottom w:val="none" w:sz="0" w:space="0" w:color="auto"/>
        <w:right w:val="none" w:sz="0" w:space="0" w:color="auto"/>
      </w:divBdr>
    </w:div>
    <w:div w:id="644896715">
      <w:bodyDiv w:val="1"/>
      <w:marLeft w:val="0"/>
      <w:marRight w:val="0"/>
      <w:marTop w:val="0"/>
      <w:marBottom w:val="0"/>
      <w:divBdr>
        <w:top w:val="none" w:sz="0" w:space="0" w:color="auto"/>
        <w:left w:val="none" w:sz="0" w:space="0" w:color="auto"/>
        <w:bottom w:val="none" w:sz="0" w:space="0" w:color="auto"/>
        <w:right w:val="none" w:sz="0" w:space="0" w:color="auto"/>
      </w:divBdr>
    </w:div>
    <w:div w:id="741489558">
      <w:bodyDiv w:val="1"/>
      <w:marLeft w:val="0"/>
      <w:marRight w:val="0"/>
      <w:marTop w:val="0"/>
      <w:marBottom w:val="0"/>
      <w:divBdr>
        <w:top w:val="none" w:sz="0" w:space="0" w:color="auto"/>
        <w:left w:val="none" w:sz="0" w:space="0" w:color="auto"/>
        <w:bottom w:val="none" w:sz="0" w:space="0" w:color="auto"/>
        <w:right w:val="none" w:sz="0" w:space="0" w:color="auto"/>
      </w:divBdr>
    </w:div>
    <w:div w:id="129768799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814831321">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2.xml"/><Relationship Id="rId22" Type="http://schemas.openxmlformats.org/officeDocument/2006/relationships/image" Target="media/image10.png"/><Relationship Id="rId27"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6.2070762580218417E-2"/>
          <c:y val="4.2234593971971587E-2"/>
          <c:w val="0.91883717123395214"/>
          <c:h val="0.85825326880011554"/>
        </c:manualLayout>
      </c:layout>
      <c:lineChart>
        <c:grouping val="standard"/>
        <c:varyColors val="0"/>
        <c:ser>
          <c:idx val="0"/>
          <c:order val="0"/>
          <c:tx>
            <c:strRef>
              <c:f>'Drop in Ticket buyersC'!$B$2</c:f>
              <c:strCache>
                <c:ptCount val="1"/>
                <c:pt idx="0">
                  <c:v>Total HH 2010</c:v>
                </c:pt>
              </c:strCache>
            </c:strRef>
          </c:tx>
          <c:spPr>
            <a:ln w="28575" cap="rnd">
              <a:solidFill>
                <a:schemeClr val="tx1"/>
              </a:solidFill>
              <a:round/>
            </a:ln>
            <a:effectLst/>
          </c:spPr>
          <c:marker>
            <c:symbol val="circle"/>
            <c:size val="5"/>
            <c:spPr>
              <a:solidFill>
                <a:schemeClr val="tx1"/>
              </a:solidFill>
              <a:ln w="9525">
                <a:solidFill>
                  <a:schemeClr val="dk1">
                    <a:tint val="88500"/>
                  </a:schemeClr>
                </a:solidFill>
              </a:ln>
              <a:effectLst/>
            </c:spPr>
          </c:marker>
          <c:cat>
            <c:numRef>
              <c:f>'Drop in Ticket buyersC'!$A$16:$A$21</c:f>
              <c:numCache>
                <c:formatCode>General</c:formatCode>
                <c:ptCount val="6"/>
                <c:pt idx="0">
                  <c:v>2010</c:v>
                </c:pt>
                <c:pt idx="1">
                  <c:v>2011</c:v>
                </c:pt>
                <c:pt idx="2">
                  <c:v>2012</c:v>
                </c:pt>
                <c:pt idx="3">
                  <c:v>2013</c:v>
                </c:pt>
                <c:pt idx="4">
                  <c:v>2014</c:v>
                </c:pt>
                <c:pt idx="5">
                  <c:v>2015</c:v>
                </c:pt>
              </c:numCache>
            </c:numRef>
          </c:cat>
          <c:val>
            <c:numRef>
              <c:f>'Drop in Ticket buyersC'!$B$3:$B$8</c:f>
              <c:numCache>
                <c:formatCode>General</c:formatCode>
                <c:ptCount val="6"/>
                <c:pt idx="0">
                  <c:v>3200</c:v>
                </c:pt>
                <c:pt idx="1">
                  <c:v>3000</c:v>
                </c:pt>
                <c:pt idx="2">
                  <c:v>2600</c:v>
                </c:pt>
                <c:pt idx="3">
                  <c:v>2200</c:v>
                </c:pt>
                <c:pt idx="4">
                  <c:v>1950</c:v>
                </c:pt>
                <c:pt idx="5">
                  <c:v>1800</c:v>
                </c:pt>
              </c:numCache>
            </c:numRef>
          </c:val>
          <c:smooth val="0"/>
          <c:extLst>
            <c:ext xmlns:c16="http://schemas.microsoft.com/office/drawing/2014/chart" uri="{C3380CC4-5D6E-409C-BE32-E72D297353CC}">
              <c16:uniqueId val="{00000000-866C-4B07-85A5-A6D6A7D16647}"/>
            </c:ext>
          </c:extLst>
        </c:ser>
        <c:ser>
          <c:idx val="1"/>
          <c:order val="1"/>
          <c:tx>
            <c:strRef>
              <c:f>'Drop in Ticket buyersC'!$C$2</c:f>
              <c:strCache>
                <c:ptCount val="1"/>
                <c:pt idx="0">
                  <c:v>Start 2011</c:v>
                </c:pt>
              </c:strCache>
            </c:strRef>
          </c:tx>
          <c:spPr>
            <a:ln w="28575" cap="rnd">
              <a:solidFill>
                <a:schemeClr val="tx1"/>
              </a:solidFill>
              <a:prstDash val="sysDot"/>
              <a:round/>
            </a:ln>
            <a:effectLst/>
          </c:spPr>
          <c:marker>
            <c:symbol val="circle"/>
            <c:size val="5"/>
            <c:spPr>
              <a:solidFill>
                <a:schemeClr val="tx1"/>
              </a:solidFill>
              <a:ln w="9525">
                <a:solidFill>
                  <a:schemeClr val="dk1">
                    <a:tint val="55000"/>
                  </a:schemeClr>
                </a:solidFill>
              </a:ln>
              <a:effectLst/>
            </c:spPr>
          </c:marker>
          <c:cat>
            <c:numRef>
              <c:f>'Drop in Ticket buyersC'!$A$16:$A$21</c:f>
              <c:numCache>
                <c:formatCode>General</c:formatCode>
                <c:ptCount val="6"/>
                <c:pt idx="0">
                  <c:v>2010</c:v>
                </c:pt>
                <c:pt idx="1">
                  <c:v>2011</c:v>
                </c:pt>
                <c:pt idx="2">
                  <c:v>2012</c:v>
                </c:pt>
                <c:pt idx="3">
                  <c:v>2013</c:v>
                </c:pt>
                <c:pt idx="4">
                  <c:v>2014</c:v>
                </c:pt>
                <c:pt idx="5">
                  <c:v>2015</c:v>
                </c:pt>
              </c:numCache>
            </c:numRef>
          </c:cat>
          <c:val>
            <c:numRef>
              <c:f>'Drop in Ticket buyersC'!$C$3:$C$8</c:f>
              <c:numCache>
                <c:formatCode>General</c:formatCode>
                <c:ptCount val="6"/>
                <c:pt idx="1">
                  <c:v>100</c:v>
                </c:pt>
                <c:pt idx="2">
                  <c:v>5</c:v>
                </c:pt>
                <c:pt idx="3">
                  <c:v>90</c:v>
                </c:pt>
                <c:pt idx="4">
                  <c:v>80</c:v>
                </c:pt>
                <c:pt idx="5">
                  <c:v>50</c:v>
                </c:pt>
              </c:numCache>
            </c:numRef>
          </c:val>
          <c:smooth val="0"/>
          <c:extLst>
            <c:ext xmlns:c16="http://schemas.microsoft.com/office/drawing/2014/chart" uri="{C3380CC4-5D6E-409C-BE32-E72D297353CC}">
              <c16:uniqueId val="{00000001-866C-4B07-85A5-A6D6A7D16647}"/>
            </c:ext>
          </c:extLst>
        </c:ser>
        <c:ser>
          <c:idx val="2"/>
          <c:order val="2"/>
          <c:tx>
            <c:strRef>
              <c:f>'Drop in Ticket buyersC'!$D$2</c:f>
              <c:strCache>
                <c:ptCount val="1"/>
                <c:pt idx="0">
                  <c:v>Start 2012</c:v>
                </c:pt>
              </c:strCache>
            </c:strRef>
          </c:tx>
          <c:spPr>
            <a:ln w="28575" cap="rnd">
              <a:solidFill>
                <a:schemeClr val="tx1"/>
              </a:solidFill>
              <a:prstDash val="lgDashDotDot"/>
              <a:round/>
            </a:ln>
            <a:effectLst/>
          </c:spPr>
          <c:marker>
            <c:symbol val="circle"/>
            <c:size val="5"/>
            <c:spPr>
              <a:solidFill>
                <a:schemeClr val="tx1"/>
              </a:solidFill>
              <a:ln w="9525">
                <a:solidFill>
                  <a:schemeClr val="dk1">
                    <a:tint val="75000"/>
                  </a:schemeClr>
                </a:solidFill>
              </a:ln>
              <a:effectLst/>
            </c:spPr>
          </c:marker>
          <c:dPt>
            <c:idx val="5"/>
            <c:marker>
              <c:symbol val="circle"/>
              <c:size val="5"/>
              <c:spPr>
                <a:solidFill>
                  <a:schemeClr val="tx1"/>
                </a:solidFill>
                <a:ln w="9525">
                  <a:solidFill>
                    <a:schemeClr val="dk1">
                      <a:tint val="75000"/>
                    </a:schemeClr>
                  </a:solidFill>
                </a:ln>
                <a:effectLst/>
              </c:spPr>
            </c:marker>
            <c:bubble3D val="0"/>
            <c:spPr>
              <a:ln w="28575" cap="rnd">
                <a:solidFill>
                  <a:schemeClr val="tx1"/>
                </a:solidFill>
                <a:prstDash val="lgDash"/>
                <a:round/>
              </a:ln>
              <a:effectLst/>
            </c:spPr>
            <c:extLst>
              <c:ext xmlns:c16="http://schemas.microsoft.com/office/drawing/2014/chart" uri="{C3380CC4-5D6E-409C-BE32-E72D297353CC}">
                <c16:uniqueId val="{00000003-866C-4B07-85A5-A6D6A7D16647}"/>
              </c:ext>
            </c:extLst>
          </c:dPt>
          <c:cat>
            <c:numRef>
              <c:f>'Drop in Ticket buyersC'!$A$16:$A$21</c:f>
              <c:numCache>
                <c:formatCode>General</c:formatCode>
                <c:ptCount val="6"/>
                <c:pt idx="0">
                  <c:v>2010</c:v>
                </c:pt>
                <c:pt idx="1">
                  <c:v>2011</c:v>
                </c:pt>
                <c:pt idx="2">
                  <c:v>2012</c:v>
                </c:pt>
                <c:pt idx="3">
                  <c:v>2013</c:v>
                </c:pt>
                <c:pt idx="4">
                  <c:v>2014</c:v>
                </c:pt>
                <c:pt idx="5">
                  <c:v>2015</c:v>
                </c:pt>
              </c:numCache>
            </c:numRef>
          </c:cat>
          <c:val>
            <c:numRef>
              <c:f>'Drop in Ticket buyersC'!$D$3:$D$8</c:f>
              <c:numCache>
                <c:formatCode>General</c:formatCode>
                <c:ptCount val="6"/>
                <c:pt idx="2">
                  <c:v>150</c:v>
                </c:pt>
                <c:pt idx="3">
                  <c:v>100</c:v>
                </c:pt>
                <c:pt idx="4">
                  <c:v>80</c:v>
                </c:pt>
                <c:pt idx="5">
                  <c:v>50</c:v>
                </c:pt>
              </c:numCache>
            </c:numRef>
          </c:val>
          <c:smooth val="0"/>
          <c:extLst>
            <c:ext xmlns:c16="http://schemas.microsoft.com/office/drawing/2014/chart" uri="{C3380CC4-5D6E-409C-BE32-E72D297353CC}">
              <c16:uniqueId val="{00000004-866C-4B07-85A5-A6D6A7D16647}"/>
            </c:ext>
          </c:extLst>
        </c:ser>
        <c:ser>
          <c:idx val="3"/>
          <c:order val="3"/>
          <c:tx>
            <c:strRef>
              <c:f>'Drop in Ticket buyersC'!$E$2</c:f>
              <c:strCache>
                <c:ptCount val="1"/>
                <c:pt idx="0">
                  <c:v>Start 2013</c:v>
                </c:pt>
              </c:strCache>
            </c:strRef>
          </c:tx>
          <c:spPr>
            <a:ln w="28575" cap="rnd">
              <a:solidFill>
                <a:schemeClr val="tx1"/>
              </a:solidFill>
              <a:prstDash val="dashDot"/>
              <a:round/>
            </a:ln>
            <a:effectLst/>
          </c:spPr>
          <c:marker>
            <c:symbol val="circle"/>
            <c:size val="5"/>
            <c:spPr>
              <a:solidFill>
                <a:schemeClr val="dk1">
                  <a:tint val="98500"/>
                </a:schemeClr>
              </a:solidFill>
              <a:ln w="9525">
                <a:solidFill>
                  <a:schemeClr val="dk1">
                    <a:tint val="98500"/>
                  </a:schemeClr>
                </a:solidFill>
              </a:ln>
              <a:effectLst/>
            </c:spPr>
          </c:marker>
          <c:cat>
            <c:numRef>
              <c:f>'Drop in Ticket buyersC'!$A$16:$A$21</c:f>
              <c:numCache>
                <c:formatCode>General</c:formatCode>
                <c:ptCount val="6"/>
                <c:pt idx="0">
                  <c:v>2010</c:v>
                </c:pt>
                <c:pt idx="1">
                  <c:v>2011</c:v>
                </c:pt>
                <c:pt idx="2">
                  <c:v>2012</c:v>
                </c:pt>
                <c:pt idx="3">
                  <c:v>2013</c:v>
                </c:pt>
                <c:pt idx="4">
                  <c:v>2014</c:v>
                </c:pt>
                <c:pt idx="5">
                  <c:v>2015</c:v>
                </c:pt>
              </c:numCache>
            </c:numRef>
          </c:cat>
          <c:val>
            <c:numRef>
              <c:f>'Drop in Ticket buyersC'!$E$3:$E$8</c:f>
              <c:numCache>
                <c:formatCode>General</c:formatCode>
                <c:ptCount val="6"/>
                <c:pt idx="3">
                  <c:v>175</c:v>
                </c:pt>
                <c:pt idx="4">
                  <c:v>100</c:v>
                </c:pt>
                <c:pt idx="5">
                  <c:v>90</c:v>
                </c:pt>
              </c:numCache>
            </c:numRef>
          </c:val>
          <c:smooth val="0"/>
          <c:extLst>
            <c:ext xmlns:c16="http://schemas.microsoft.com/office/drawing/2014/chart" uri="{C3380CC4-5D6E-409C-BE32-E72D297353CC}">
              <c16:uniqueId val="{00000005-866C-4B07-85A5-A6D6A7D16647}"/>
            </c:ext>
          </c:extLst>
        </c:ser>
        <c:ser>
          <c:idx val="4"/>
          <c:order val="4"/>
          <c:tx>
            <c:strRef>
              <c:f>'Drop in Ticket buyersC'!$F$2</c:f>
              <c:strCache>
                <c:ptCount val="1"/>
                <c:pt idx="0">
                  <c:v>Start 2014</c:v>
                </c:pt>
              </c:strCache>
            </c:strRef>
          </c:tx>
          <c:spPr>
            <a:ln w="28575" cap="rnd">
              <a:solidFill>
                <a:schemeClr val="tx1"/>
              </a:solidFill>
              <a:prstDash val="dashDot"/>
              <a:round/>
            </a:ln>
            <a:effectLst/>
          </c:spPr>
          <c:marker>
            <c:symbol val="circle"/>
            <c:size val="5"/>
            <c:spPr>
              <a:solidFill>
                <a:schemeClr val="tx1"/>
              </a:solidFill>
              <a:ln w="9525">
                <a:solidFill>
                  <a:schemeClr val="dk1">
                    <a:tint val="30000"/>
                  </a:schemeClr>
                </a:solidFill>
              </a:ln>
              <a:effectLst/>
            </c:spPr>
          </c:marker>
          <c:cat>
            <c:numRef>
              <c:f>'Drop in Ticket buyersC'!$A$16:$A$21</c:f>
              <c:numCache>
                <c:formatCode>General</c:formatCode>
                <c:ptCount val="6"/>
                <c:pt idx="0">
                  <c:v>2010</c:v>
                </c:pt>
                <c:pt idx="1">
                  <c:v>2011</c:v>
                </c:pt>
                <c:pt idx="2">
                  <c:v>2012</c:v>
                </c:pt>
                <c:pt idx="3">
                  <c:v>2013</c:v>
                </c:pt>
                <c:pt idx="4">
                  <c:v>2014</c:v>
                </c:pt>
                <c:pt idx="5">
                  <c:v>2015</c:v>
                </c:pt>
              </c:numCache>
            </c:numRef>
          </c:cat>
          <c:val>
            <c:numRef>
              <c:f>'Drop in Ticket buyersC'!$F$3:$F$8</c:f>
              <c:numCache>
                <c:formatCode>General</c:formatCode>
                <c:ptCount val="6"/>
                <c:pt idx="4">
                  <c:v>100</c:v>
                </c:pt>
                <c:pt idx="5">
                  <c:v>100</c:v>
                </c:pt>
              </c:numCache>
            </c:numRef>
          </c:val>
          <c:smooth val="0"/>
          <c:extLst>
            <c:ext xmlns:c16="http://schemas.microsoft.com/office/drawing/2014/chart" uri="{C3380CC4-5D6E-409C-BE32-E72D297353CC}">
              <c16:uniqueId val="{00000006-866C-4B07-85A5-A6D6A7D16647}"/>
            </c:ext>
          </c:extLst>
        </c:ser>
        <c:ser>
          <c:idx val="5"/>
          <c:order val="5"/>
          <c:tx>
            <c:strRef>
              <c:f>'Drop in Ticket buyersC'!$G$2</c:f>
              <c:strCache>
                <c:ptCount val="1"/>
                <c:pt idx="0">
                  <c:v>Start 2015</c:v>
                </c:pt>
              </c:strCache>
            </c:strRef>
          </c:tx>
          <c:spPr>
            <a:ln w="28575" cap="rnd">
              <a:noFill/>
              <a:prstDash val="lgDashDotDot"/>
              <a:round/>
            </a:ln>
            <a:effectLst/>
          </c:spPr>
          <c:marker>
            <c:symbol val="circle"/>
            <c:size val="5"/>
            <c:spPr>
              <a:solidFill>
                <a:schemeClr val="tx1"/>
              </a:solidFill>
              <a:ln w="9525">
                <a:solidFill>
                  <a:schemeClr val="dk1">
                    <a:tint val="60000"/>
                  </a:schemeClr>
                </a:solidFill>
              </a:ln>
              <a:effectLst/>
            </c:spPr>
          </c:marker>
          <c:cat>
            <c:numRef>
              <c:f>'Drop in Ticket buyersC'!$A$16:$A$21</c:f>
              <c:numCache>
                <c:formatCode>General</c:formatCode>
                <c:ptCount val="6"/>
                <c:pt idx="0">
                  <c:v>2010</c:v>
                </c:pt>
                <c:pt idx="1">
                  <c:v>2011</c:v>
                </c:pt>
                <c:pt idx="2">
                  <c:v>2012</c:v>
                </c:pt>
                <c:pt idx="3">
                  <c:v>2013</c:v>
                </c:pt>
                <c:pt idx="4">
                  <c:v>2014</c:v>
                </c:pt>
                <c:pt idx="5">
                  <c:v>2015</c:v>
                </c:pt>
              </c:numCache>
            </c:numRef>
          </c:cat>
          <c:val>
            <c:numRef>
              <c:f>'Drop in Ticket buyersC'!$G$3:$G$8</c:f>
              <c:numCache>
                <c:formatCode>General</c:formatCode>
                <c:ptCount val="6"/>
                <c:pt idx="5">
                  <c:v>90</c:v>
                </c:pt>
              </c:numCache>
            </c:numRef>
          </c:val>
          <c:smooth val="0"/>
          <c:extLst>
            <c:ext xmlns:c16="http://schemas.microsoft.com/office/drawing/2014/chart" uri="{C3380CC4-5D6E-409C-BE32-E72D297353CC}">
              <c16:uniqueId val="{00000007-866C-4B07-85A5-A6D6A7D16647}"/>
            </c:ext>
          </c:extLst>
        </c:ser>
        <c:dLbls>
          <c:showLegendKey val="0"/>
          <c:showVal val="0"/>
          <c:showCatName val="0"/>
          <c:showSerName val="0"/>
          <c:showPercent val="0"/>
          <c:showBubbleSize val="0"/>
        </c:dLbls>
        <c:marker val="1"/>
        <c:smooth val="0"/>
        <c:axId val="230335488"/>
        <c:axId val="253311168"/>
      </c:lineChart>
      <c:catAx>
        <c:axId val="230335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53311168"/>
        <c:crosses val="autoZero"/>
        <c:auto val="1"/>
        <c:lblAlgn val="ctr"/>
        <c:lblOffset val="100"/>
        <c:noMultiLvlLbl val="0"/>
      </c:catAx>
      <c:valAx>
        <c:axId val="253311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30335488"/>
        <c:crosses val="autoZero"/>
        <c:crossBetween val="between"/>
      </c:valAx>
      <c:spPr>
        <a:noFill/>
        <a:ln>
          <a:noFill/>
        </a:ln>
        <a:effectLst/>
      </c:spPr>
    </c:plotArea>
    <c:legend>
      <c:legendPos val="b"/>
      <c:layout>
        <c:manualLayout>
          <c:xMode val="edge"/>
          <c:yMode val="edge"/>
          <c:x val="0.12796351275762663"/>
          <c:y val="0.93931587505844483"/>
          <c:w val="0.79585977036603073"/>
          <c:h val="6.054199544027043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'Drop in Ticket buyersC'!$B$15</c:f>
              <c:strCache>
                <c:ptCount val="1"/>
                <c:pt idx="0">
                  <c:v>Total HH 2010</c:v>
                </c:pt>
              </c:strCache>
            </c:strRef>
          </c:tx>
          <c:spPr>
            <a:ln w="19050" cap="rnd">
              <a:solidFill>
                <a:schemeClr val="tx1"/>
              </a:solidFill>
              <a:prstDash val="solid"/>
              <a:round/>
            </a:ln>
            <a:effectLst/>
          </c:spPr>
          <c:marker>
            <c:symbol val="circle"/>
            <c:size val="5"/>
            <c:spPr>
              <a:solidFill>
                <a:schemeClr val="tx1"/>
              </a:solidFill>
              <a:ln w="9525">
                <a:solidFill>
                  <a:schemeClr val="tx1"/>
                </a:solidFill>
                <a:prstDash val="solid"/>
              </a:ln>
              <a:effectLst/>
            </c:spPr>
          </c:marker>
          <c:xVal>
            <c:numRef>
              <c:f>'Drop in Ticket buyersC'!$A$16:$A$21</c:f>
              <c:numCache>
                <c:formatCode>General</c:formatCode>
                <c:ptCount val="6"/>
                <c:pt idx="0">
                  <c:v>2010</c:v>
                </c:pt>
                <c:pt idx="1">
                  <c:v>2011</c:v>
                </c:pt>
                <c:pt idx="2">
                  <c:v>2012</c:v>
                </c:pt>
                <c:pt idx="3">
                  <c:v>2013</c:v>
                </c:pt>
                <c:pt idx="4">
                  <c:v>2014</c:v>
                </c:pt>
                <c:pt idx="5">
                  <c:v>2015</c:v>
                </c:pt>
              </c:numCache>
            </c:numRef>
          </c:xVal>
          <c:yVal>
            <c:numRef>
              <c:f>'Drop in Ticket buyersC'!$B$16:$B$21</c:f>
              <c:numCache>
                <c:formatCode>General</c:formatCode>
                <c:ptCount val="6"/>
                <c:pt idx="0">
                  <c:v>4500</c:v>
                </c:pt>
                <c:pt idx="1">
                  <c:v>1400</c:v>
                </c:pt>
                <c:pt idx="2">
                  <c:v>1100</c:v>
                </c:pt>
                <c:pt idx="3">
                  <c:v>1200</c:v>
                </c:pt>
                <c:pt idx="4">
                  <c:v>1000</c:v>
                </c:pt>
                <c:pt idx="5">
                  <c:v>80</c:v>
                </c:pt>
              </c:numCache>
            </c:numRef>
          </c:yVal>
          <c:smooth val="0"/>
          <c:extLst>
            <c:ext xmlns:c16="http://schemas.microsoft.com/office/drawing/2014/chart" uri="{C3380CC4-5D6E-409C-BE32-E72D297353CC}">
              <c16:uniqueId val="{00000000-6324-4C6B-93F7-CB19178E0CB4}"/>
            </c:ext>
          </c:extLst>
        </c:ser>
        <c:ser>
          <c:idx val="1"/>
          <c:order val="1"/>
          <c:tx>
            <c:strRef>
              <c:f>'Drop in Ticket buyersC'!$C$15</c:f>
              <c:strCache>
                <c:ptCount val="1"/>
                <c:pt idx="0">
                  <c:v>Start 2011</c:v>
                </c:pt>
              </c:strCache>
            </c:strRef>
          </c:tx>
          <c:spPr>
            <a:ln w="19050" cap="rnd">
              <a:solidFill>
                <a:sysClr val="windowText" lastClr="000000"/>
              </a:solidFill>
              <a:prstDash val="sysDot"/>
              <a:round/>
            </a:ln>
            <a:effectLst/>
          </c:spPr>
          <c:marker>
            <c:symbol val="circle"/>
            <c:size val="5"/>
            <c:spPr>
              <a:solidFill>
                <a:schemeClr val="tx1"/>
              </a:solidFill>
              <a:ln w="9525">
                <a:solidFill>
                  <a:sysClr val="windowText" lastClr="000000"/>
                </a:solidFill>
              </a:ln>
              <a:effectLst/>
            </c:spPr>
          </c:marker>
          <c:xVal>
            <c:numRef>
              <c:f>'Drop in Ticket buyersC'!$A$16:$A$21</c:f>
              <c:numCache>
                <c:formatCode>General</c:formatCode>
                <c:ptCount val="6"/>
                <c:pt idx="0">
                  <c:v>2010</c:v>
                </c:pt>
                <c:pt idx="1">
                  <c:v>2011</c:v>
                </c:pt>
                <c:pt idx="2">
                  <c:v>2012</c:v>
                </c:pt>
                <c:pt idx="3">
                  <c:v>2013</c:v>
                </c:pt>
                <c:pt idx="4">
                  <c:v>2014</c:v>
                </c:pt>
                <c:pt idx="5">
                  <c:v>2015</c:v>
                </c:pt>
              </c:numCache>
            </c:numRef>
          </c:xVal>
          <c:yVal>
            <c:numRef>
              <c:f>'Drop in Ticket buyersC'!$C$16:$C$21</c:f>
              <c:numCache>
                <c:formatCode>General</c:formatCode>
                <c:ptCount val="6"/>
                <c:pt idx="1">
                  <c:v>2800</c:v>
                </c:pt>
                <c:pt idx="2">
                  <c:v>250</c:v>
                </c:pt>
                <c:pt idx="3">
                  <c:v>200</c:v>
                </c:pt>
                <c:pt idx="4">
                  <c:v>150</c:v>
                </c:pt>
                <c:pt idx="5">
                  <c:v>125</c:v>
                </c:pt>
              </c:numCache>
            </c:numRef>
          </c:yVal>
          <c:smooth val="0"/>
          <c:extLst>
            <c:ext xmlns:c16="http://schemas.microsoft.com/office/drawing/2014/chart" uri="{C3380CC4-5D6E-409C-BE32-E72D297353CC}">
              <c16:uniqueId val="{00000001-6324-4C6B-93F7-CB19178E0CB4}"/>
            </c:ext>
          </c:extLst>
        </c:ser>
        <c:ser>
          <c:idx val="2"/>
          <c:order val="2"/>
          <c:tx>
            <c:strRef>
              <c:f>'Drop in Ticket buyersC'!$D$15</c:f>
              <c:strCache>
                <c:ptCount val="1"/>
                <c:pt idx="0">
                  <c:v>Start 2012</c:v>
                </c:pt>
              </c:strCache>
            </c:strRef>
          </c:tx>
          <c:spPr>
            <a:ln w="19050" cap="rnd">
              <a:solidFill>
                <a:schemeClr val="tx1"/>
              </a:solidFill>
              <a:prstDash val="dash"/>
              <a:round/>
            </a:ln>
            <a:effectLst/>
          </c:spPr>
          <c:marker>
            <c:symbol val="circle"/>
            <c:size val="5"/>
            <c:spPr>
              <a:solidFill>
                <a:schemeClr val="tx1"/>
              </a:solidFill>
              <a:ln w="9525">
                <a:solidFill>
                  <a:schemeClr val="accent3"/>
                </a:solidFill>
              </a:ln>
              <a:effectLst/>
            </c:spPr>
          </c:marker>
          <c:xVal>
            <c:numRef>
              <c:f>'Drop in Ticket buyersC'!$A$16:$A$21</c:f>
              <c:numCache>
                <c:formatCode>General</c:formatCode>
                <c:ptCount val="6"/>
                <c:pt idx="0">
                  <c:v>2010</c:v>
                </c:pt>
                <c:pt idx="1">
                  <c:v>2011</c:v>
                </c:pt>
                <c:pt idx="2">
                  <c:v>2012</c:v>
                </c:pt>
                <c:pt idx="3">
                  <c:v>2013</c:v>
                </c:pt>
                <c:pt idx="4">
                  <c:v>2014</c:v>
                </c:pt>
                <c:pt idx="5">
                  <c:v>2015</c:v>
                </c:pt>
              </c:numCache>
            </c:numRef>
          </c:xVal>
          <c:yVal>
            <c:numRef>
              <c:f>'Drop in Ticket buyersC'!$D$16:$D$21</c:f>
              <c:numCache>
                <c:formatCode>General</c:formatCode>
                <c:ptCount val="6"/>
                <c:pt idx="2">
                  <c:v>2500</c:v>
                </c:pt>
                <c:pt idx="3">
                  <c:v>220</c:v>
                </c:pt>
                <c:pt idx="4">
                  <c:v>200</c:v>
                </c:pt>
                <c:pt idx="5">
                  <c:v>150</c:v>
                </c:pt>
              </c:numCache>
            </c:numRef>
          </c:yVal>
          <c:smooth val="0"/>
          <c:extLst>
            <c:ext xmlns:c16="http://schemas.microsoft.com/office/drawing/2014/chart" uri="{C3380CC4-5D6E-409C-BE32-E72D297353CC}">
              <c16:uniqueId val="{00000002-6324-4C6B-93F7-CB19178E0CB4}"/>
            </c:ext>
          </c:extLst>
        </c:ser>
        <c:ser>
          <c:idx val="3"/>
          <c:order val="3"/>
          <c:tx>
            <c:strRef>
              <c:f>'Drop in Ticket buyersC'!$E$15</c:f>
              <c:strCache>
                <c:ptCount val="1"/>
                <c:pt idx="0">
                  <c:v>Start 2013</c:v>
                </c:pt>
              </c:strCache>
            </c:strRef>
          </c:tx>
          <c:spPr>
            <a:ln w="19050" cap="rnd">
              <a:solidFill>
                <a:schemeClr val="tx1"/>
              </a:solidFill>
              <a:prstDash val="dashDot"/>
              <a:round/>
            </a:ln>
            <a:effectLst/>
          </c:spPr>
          <c:marker>
            <c:symbol val="circle"/>
            <c:size val="5"/>
            <c:spPr>
              <a:solidFill>
                <a:schemeClr val="tx1"/>
              </a:solidFill>
              <a:ln w="9525">
                <a:solidFill>
                  <a:schemeClr val="tx1"/>
                </a:solidFill>
              </a:ln>
              <a:effectLst/>
            </c:spPr>
          </c:marker>
          <c:xVal>
            <c:numRef>
              <c:f>'Drop in Ticket buyersC'!$A$16:$A$21</c:f>
              <c:numCache>
                <c:formatCode>General</c:formatCode>
                <c:ptCount val="6"/>
                <c:pt idx="0">
                  <c:v>2010</c:v>
                </c:pt>
                <c:pt idx="1">
                  <c:v>2011</c:v>
                </c:pt>
                <c:pt idx="2">
                  <c:v>2012</c:v>
                </c:pt>
                <c:pt idx="3">
                  <c:v>2013</c:v>
                </c:pt>
                <c:pt idx="4">
                  <c:v>2014</c:v>
                </c:pt>
                <c:pt idx="5">
                  <c:v>2015</c:v>
                </c:pt>
              </c:numCache>
            </c:numRef>
          </c:xVal>
          <c:yVal>
            <c:numRef>
              <c:f>'Drop in Ticket buyersC'!$E$16:$E$21</c:f>
              <c:numCache>
                <c:formatCode>General</c:formatCode>
                <c:ptCount val="6"/>
                <c:pt idx="3">
                  <c:v>3200</c:v>
                </c:pt>
                <c:pt idx="4">
                  <c:v>250</c:v>
                </c:pt>
                <c:pt idx="5">
                  <c:v>200</c:v>
                </c:pt>
              </c:numCache>
            </c:numRef>
          </c:yVal>
          <c:smooth val="0"/>
          <c:extLst>
            <c:ext xmlns:c16="http://schemas.microsoft.com/office/drawing/2014/chart" uri="{C3380CC4-5D6E-409C-BE32-E72D297353CC}">
              <c16:uniqueId val="{00000003-6324-4C6B-93F7-CB19178E0CB4}"/>
            </c:ext>
          </c:extLst>
        </c:ser>
        <c:ser>
          <c:idx val="4"/>
          <c:order val="4"/>
          <c:tx>
            <c:strRef>
              <c:f>'Drop in Ticket buyersC'!$F$15</c:f>
              <c:strCache>
                <c:ptCount val="1"/>
                <c:pt idx="0">
                  <c:v>Start 2014</c:v>
                </c:pt>
              </c:strCache>
            </c:strRef>
          </c:tx>
          <c:spPr>
            <a:ln w="19050" cap="rnd">
              <a:solidFill>
                <a:sysClr val="windowText" lastClr="000000"/>
              </a:solidFill>
              <a:prstDash val="lgDashDotDot"/>
              <a:round/>
            </a:ln>
            <a:effectLst/>
          </c:spPr>
          <c:marker>
            <c:symbol val="circle"/>
            <c:size val="5"/>
            <c:spPr>
              <a:solidFill>
                <a:schemeClr val="tx1"/>
              </a:solidFill>
              <a:ln w="9525">
                <a:solidFill>
                  <a:sysClr val="windowText" lastClr="000000"/>
                </a:solidFill>
              </a:ln>
              <a:effectLst/>
            </c:spPr>
          </c:marker>
          <c:xVal>
            <c:numRef>
              <c:f>'Drop in Ticket buyersC'!$A$16:$A$21</c:f>
              <c:numCache>
                <c:formatCode>General</c:formatCode>
                <c:ptCount val="6"/>
                <c:pt idx="0">
                  <c:v>2010</c:v>
                </c:pt>
                <c:pt idx="1">
                  <c:v>2011</c:v>
                </c:pt>
                <c:pt idx="2">
                  <c:v>2012</c:v>
                </c:pt>
                <c:pt idx="3">
                  <c:v>2013</c:v>
                </c:pt>
                <c:pt idx="4">
                  <c:v>2014</c:v>
                </c:pt>
                <c:pt idx="5">
                  <c:v>2015</c:v>
                </c:pt>
              </c:numCache>
            </c:numRef>
          </c:xVal>
          <c:yVal>
            <c:numRef>
              <c:f>'Drop in Ticket buyersC'!$F$16:$F$21</c:f>
              <c:numCache>
                <c:formatCode>General</c:formatCode>
                <c:ptCount val="6"/>
                <c:pt idx="4">
                  <c:v>2800</c:v>
                </c:pt>
                <c:pt idx="5">
                  <c:v>200</c:v>
                </c:pt>
              </c:numCache>
            </c:numRef>
          </c:yVal>
          <c:smooth val="0"/>
          <c:extLst>
            <c:ext xmlns:c16="http://schemas.microsoft.com/office/drawing/2014/chart" uri="{C3380CC4-5D6E-409C-BE32-E72D297353CC}">
              <c16:uniqueId val="{00000004-6324-4C6B-93F7-CB19178E0CB4}"/>
            </c:ext>
          </c:extLst>
        </c:ser>
        <c:ser>
          <c:idx val="5"/>
          <c:order val="5"/>
          <c:tx>
            <c:strRef>
              <c:f>'Drop in Ticket buyersC'!$G$15</c:f>
              <c:strCache>
                <c:ptCount val="1"/>
                <c:pt idx="0">
                  <c:v>Start 2015</c:v>
                </c:pt>
              </c:strCache>
            </c:strRef>
          </c:tx>
          <c:spPr>
            <a:ln w="19050" cap="rnd">
              <a:noFill/>
              <a:round/>
            </a:ln>
            <a:effectLst/>
          </c:spPr>
          <c:marker>
            <c:symbol val="circle"/>
            <c:size val="5"/>
            <c:spPr>
              <a:solidFill>
                <a:schemeClr val="tx1"/>
              </a:solidFill>
              <a:ln w="9525">
                <a:solidFill>
                  <a:schemeClr val="accent6"/>
                </a:solidFill>
              </a:ln>
              <a:effectLst/>
            </c:spPr>
          </c:marker>
          <c:xVal>
            <c:numRef>
              <c:f>'Drop in Ticket buyersC'!$A$16:$A$21</c:f>
              <c:numCache>
                <c:formatCode>General</c:formatCode>
                <c:ptCount val="6"/>
                <c:pt idx="0">
                  <c:v>2010</c:v>
                </c:pt>
                <c:pt idx="1">
                  <c:v>2011</c:v>
                </c:pt>
                <c:pt idx="2">
                  <c:v>2012</c:v>
                </c:pt>
                <c:pt idx="3">
                  <c:v>2013</c:v>
                </c:pt>
                <c:pt idx="4">
                  <c:v>2014</c:v>
                </c:pt>
                <c:pt idx="5">
                  <c:v>2015</c:v>
                </c:pt>
              </c:numCache>
            </c:numRef>
          </c:xVal>
          <c:yVal>
            <c:numRef>
              <c:f>'Drop in Ticket buyersC'!$G$16:$G$21</c:f>
              <c:numCache>
                <c:formatCode>General</c:formatCode>
                <c:ptCount val="6"/>
                <c:pt idx="5">
                  <c:v>2200</c:v>
                </c:pt>
              </c:numCache>
            </c:numRef>
          </c:yVal>
          <c:smooth val="0"/>
          <c:extLst>
            <c:ext xmlns:c16="http://schemas.microsoft.com/office/drawing/2014/chart" uri="{C3380CC4-5D6E-409C-BE32-E72D297353CC}">
              <c16:uniqueId val="{00000005-6324-4C6B-93F7-CB19178E0CB4}"/>
            </c:ext>
          </c:extLst>
        </c:ser>
        <c:dLbls>
          <c:showLegendKey val="0"/>
          <c:showVal val="0"/>
          <c:showCatName val="0"/>
          <c:showSerName val="0"/>
          <c:showPercent val="0"/>
          <c:showBubbleSize val="0"/>
        </c:dLbls>
        <c:axId val="253451008"/>
        <c:axId val="253451584"/>
      </c:scatterChart>
      <c:valAx>
        <c:axId val="253451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53451584"/>
        <c:crosses val="autoZero"/>
        <c:crossBetween val="midCat"/>
      </c:valAx>
      <c:valAx>
        <c:axId val="25345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534510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F700D-A52A-4FF6-95CD-8325CF76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3976</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2</cp:revision>
  <cp:lastPrinted>2015-03-04T20:34:00Z</cp:lastPrinted>
  <dcterms:created xsi:type="dcterms:W3CDTF">2020-09-28T16:11:00Z</dcterms:created>
  <dcterms:modified xsi:type="dcterms:W3CDTF">2020-09-28T16:11:00Z</dcterms:modified>
</cp:coreProperties>
</file>