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EDD74" w14:textId="010A8D1F" w:rsidR="00856D9F" w:rsidRPr="00E8603C" w:rsidRDefault="00E8603C" w:rsidP="008467D5">
      <w:pPr>
        <w:pBdr>
          <w:bottom w:val="single" w:sz="18" w:space="1" w:color="auto"/>
        </w:pBdr>
        <w:tabs>
          <w:tab w:val="left" w:pos="-1440"/>
          <w:tab w:val="left" w:pos="-720"/>
          <w:tab w:val="left" w:pos="1"/>
        </w:tabs>
        <w:jc w:val="both"/>
        <w:rPr>
          <w:rFonts w:ascii="Arial" w:hAnsi="Arial"/>
          <w:b/>
          <w:sz w:val="24"/>
          <w:lang w:val="en-CA"/>
        </w:rPr>
      </w:pPr>
      <w:r w:rsidRPr="00E8603C">
        <w:rPr>
          <w:rFonts w:ascii="Arial" w:hAnsi="Arial"/>
          <w:b/>
          <w:noProof/>
          <w:sz w:val="24"/>
          <w:lang w:val="en-CA" w:eastAsia="en-CA"/>
        </w:rPr>
        <w:drawing>
          <wp:inline distT="0" distB="0" distL="0" distR="0" wp14:anchorId="4824F4B4" wp14:editId="4CCC8192">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Pr="00E8603C">
        <w:rPr>
          <w:rFonts w:ascii="Arial" w:hAnsi="Arial"/>
          <w:b/>
          <w:sz w:val="24"/>
          <w:lang w:val="en-CA"/>
        </w:rPr>
        <w:tab/>
      </w:r>
      <w:r w:rsidRPr="00E8603C">
        <w:rPr>
          <w:rFonts w:ascii="Arial" w:hAnsi="Arial"/>
          <w:b/>
          <w:sz w:val="24"/>
          <w:lang w:val="en-CA"/>
        </w:rPr>
        <w:tab/>
      </w:r>
      <w:r w:rsidRPr="00E8603C">
        <w:rPr>
          <w:rFonts w:ascii="Arial" w:hAnsi="Arial"/>
          <w:b/>
          <w:sz w:val="24"/>
          <w:lang w:val="en-CA"/>
        </w:rPr>
        <w:tab/>
        <w:t xml:space="preserve">    </w:t>
      </w:r>
      <w:r w:rsidRPr="00E8603C">
        <w:rPr>
          <w:rFonts w:ascii="Arial" w:hAnsi="Arial"/>
          <w:b/>
          <w:noProof/>
          <w:sz w:val="24"/>
          <w:lang w:val="en-CA" w:eastAsia="en-CA"/>
        </w:rPr>
        <w:drawing>
          <wp:inline distT="0" distB="0" distL="0" distR="0" wp14:anchorId="0A524F6C" wp14:editId="12BD9F3B">
            <wp:extent cx="2094412" cy="537998"/>
            <wp:effectExtent l="0" t="0" r="1270" b="0"/>
            <wp:docPr id="2" name="Picture 2" descr="H:\shared\Partners-External\Suppliers\Case Western Reserve University\Logos and Templates\CWRU FC BAWB logo November 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hared\Partners-External\Suppliers\Case Western Reserve University\Logos and Templates\CWRU FC BAWB logo November 2015.jpg"/>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129077" cy="546903"/>
                    </a:xfrm>
                    <a:prstGeom prst="rect">
                      <a:avLst/>
                    </a:prstGeom>
                    <a:noFill/>
                    <a:ln>
                      <a:noFill/>
                    </a:ln>
                  </pic:spPr>
                </pic:pic>
              </a:graphicData>
            </a:graphic>
          </wp:inline>
        </w:drawing>
      </w:r>
    </w:p>
    <w:p w14:paraId="68126AC1" w14:textId="6E4A793B" w:rsidR="00D75295" w:rsidRPr="00E8603C" w:rsidRDefault="00E8603C" w:rsidP="00DB4293">
      <w:pPr>
        <w:pStyle w:val="ProductNumber"/>
        <w:outlineLvl w:val="0"/>
        <w:rPr>
          <w:lang w:val="en-CA"/>
        </w:rPr>
      </w:pPr>
      <w:r w:rsidRPr="00E8603C">
        <w:rPr>
          <w:lang w:val="en-CA"/>
        </w:rPr>
        <w:t>9B19A053</w:t>
      </w:r>
    </w:p>
    <w:p w14:paraId="2596501F" w14:textId="77777777" w:rsidR="00D75295" w:rsidRPr="00E8603C" w:rsidRDefault="00D75295" w:rsidP="00D75295">
      <w:pPr>
        <w:jc w:val="right"/>
        <w:rPr>
          <w:rFonts w:ascii="Arial" w:hAnsi="Arial"/>
          <w:b/>
          <w:sz w:val="28"/>
          <w:szCs w:val="28"/>
          <w:lang w:val="en-CA"/>
        </w:rPr>
      </w:pPr>
    </w:p>
    <w:p w14:paraId="128C7F38" w14:textId="77777777" w:rsidR="00866F6D" w:rsidRPr="00E8603C" w:rsidRDefault="00866F6D" w:rsidP="00D75295">
      <w:pPr>
        <w:jc w:val="right"/>
        <w:rPr>
          <w:rFonts w:ascii="Arial" w:hAnsi="Arial"/>
          <w:b/>
          <w:sz w:val="28"/>
          <w:szCs w:val="28"/>
          <w:lang w:val="en-CA"/>
        </w:rPr>
      </w:pPr>
    </w:p>
    <w:p w14:paraId="32F94589" w14:textId="77777777" w:rsidR="00013360" w:rsidRPr="00E8603C" w:rsidRDefault="003F4B37" w:rsidP="00013360">
      <w:pPr>
        <w:pStyle w:val="CaseTitle"/>
        <w:spacing w:after="0" w:line="240" w:lineRule="auto"/>
        <w:rPr>
          <w:color w:val="auto"/>
          <w:lang w:val="en-CA"/>
        </w:rPr>
      </w:pPr>
      <w:r w:rsidRPr="00E8603C">
        <w:rPr>
          <w:color w:val="auto"/>
          <w:lang w:val="en-CA"/>
        </w:rPr>
        <w:t>BEYOND MEAT: CHANGING CUSTOMER BEHAVIO</w:t>
      </w:r>
      <w:r w:rsidR="009F4AE6" w:rsidRPr="00E8603C">
        <w:rPr>
          <w:color w:val="auto"/>
          <w:lang w:val="en-CA"/>
        </w:rPr>
        <w:t>u</w:t>
      </w:r>
      <w:r w:rsidRPr="00E8603C">
        <w:rPr>
          <w:color w:val="auto"/>
          <w:lang w:val="en-CA"/>
        </w:rPr>
        <w:t>R IN FOOD CONSUMPTION</w:t>
      </w:r>
    </w:p>
    <w:p w14:paraId="1FED6978" w14:textId="77777777" w:rsidR="00CA3976" w:rsidRPr="00E8603C" w:rsidRDefault="00CA3976" w:rsidP="00013360">
      <w:pPr>
        <w:pStyle w:val="CaseTitle"/>
        <w:spacing w:after="0" w:line="240" w:lineRule="auto"/>
        <w:rPr>
          <w:color w:val="auto"/>
          <w:sz w:val="20"/>
          <w:szCs w:val="20"/>
          <w:lang w:val="en-CA"/>
        </w:rPr>
      </w:pPr>
    </w:p>
    <w:p w14:paraId="71F3EC1E" w14:textId="77777777" w:rsidR="00013360" w:rsidRPr="00E8603C" w:rsidRDefault="00013360" w:rsidP="00013360">
      <w:pPr>
        <w:pStyle w:val="CaseTitle"/>
        <w:spacing w:after="0" w:line="240" w:lineRule="auto"/>
        <w:rPr>
          <w:color w:val="auto"/>
          <w:sz w:val="20"/>
          <w:szCs w:val="20"/>
          <w:lang w:val="en-CA"/>
        </w:rPr>
      </w:pPr>
    </w:p>
    <w:p w14:paraId="35B63EB3" w14:textId="49B221E4" w:rsidR="00013360" w:rsidRPr="00E8603C" w:rsidRDefault="004F45E9" w:rsidP="00104567">
      <w:pPr>
        <w:pStyle w:val="StyleCopyrightStatementAfter0ptBottomSinglesolidline1"/>
        <w:rPr>
          <w:color w:val="auto"/>
          <w:lang w:val="en-CA"/>
        </w:rPr>
      </w:pPr>
      <w:r w:rsidRPr="00E8603C">
        <w:rPr>
          <w:color w:val="auto"/>
          <w:lang w:val="en-CA"/>
        </w:rPr>
        <w:t xml:space="preserve">Peter </w:t>
      </w:r>
      <w:proofErr w:type="spellStart"/>
      <w:r w:rsidRPr="00E8603C">
        <w:rPr>
          <w:color w:val="auto"/>
          <w:lang w:val="en-CA"/>
        </w:rPr>
        <w:t>Rezk</w:t>
      </w:r>
      <w:proofErr w:type="spellEnd"/>
      <w:r w:rsidR="00170C03" w:rsidRPr="00E8603C">
        <w:rPr>
          <w:color w:val="auto"/>
          <w:lang w:val="en-CA"/>
        </w:rPr>
        <w:t xml:space="preserve"> and</w:t>
      </w:r>
      <w:r w:rsidR="00554343" w:rsidRPr="00E8603C">
        <w:rPr>
          <w:color w:val="auto"/>
          <w:lang w:val="en-CA"/>
        </w:rPr>
        <w:t xml:space="preserve"> </w:t>
      </w:r>
      <w:proofErr w:type="spellStart"/>
      <w:r w:rsidRPr="00E8603C">
        <w:rPr>
          <w:color w:val="auto"/>
          <w:lang w:val="en-CA"/>
        </w:rPr>
        <w:t>Nilesh</w:t>
      </w:r>
      <w:proofErr w:type="spellEnd"/>
      <w:r w:rsidRPr="00E8603C">
        <w:rPr>
          <w:color w:val="auto"/>
          <w:lang w:val="en-CA"/>
        </w:rPr>
        <w:t xml:space="preserve"> </w:t>
      </w:r>
      <w:proofErr w:type="spellStart"/>
      <w:r w:rsidRPr="00E8603C">
        <w:rPr>
          <w:color w:val="auto"/>
          <w:lang w:val="en-CA"/>
        </w:rPr>
        <w:t>Raut</w:t>
      </w:r>
      <w:proofErr w:type="spellEnd"/>
      <w:r w:rsidR="00170C03" w:rsidRPr="00E8603C">
        <w:rPr>
          <w:color w:val="auto"/>
          <w:lang w:val="en-CA"/>
        </w:rPr>
        <w:t xml:space="preserve"> wrote this case under the supervision of Chris Laszlo and Katherine </w:t>
      </w:r>
      <w:proofErr w:type="spellStart"/>
      <w:r w:rsidR="00170C03" w:rsidRPr="00E8603C">
        <w:rPr>
          <w:color w:val="auto"/>
          <w:lang w:val="en-CA"/>
        </w:rPr>
        <w:t>Gullett</w:t>
      </w:r>
      <w:proofErr w:type="spellEnd"/>
      <w:r w:rsidR="007E5921" w:rsidRPr="00E8603C">
        <w:rPr>
          <w:color w:val="auto"/>
          <w:lang w:val="en-CA"/>
        </w:rPr>
        <w:t xml:space="preserve"> sol</w:t>
      </w:r>
      <w:r w:rsidR="00D75295" w:rsidRPr="00E8603C">
        <w:rPr>
          <w:color w:val="auto"/>
          <w:lang w:val="en-CA"/>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2B901FFC" w14:textId="1A3BB2B9" w:rsidR="00013360" w:rsidRPr="00E8603C" w:rsidRDefault="00013360" w:rsidP="00104567">
      <w:pPr>
        <w:pStyle w:val="StyleCopyrightStatementAfter0ptBottomSinglesolidline1"/>
        <w:rPr>
          <w:color w:val="auto"/>
          <w:lang w:val="en-CA"/>
        </w:rPr>
      </w:pPr>
    </w:p>
    <w:p w14:paraId="61CB9D62" w14:textId="77777777" w:rsidR="00E8603C" w:rsidRPr="00E8603C" w:rsidRDefault="00E8603C" w:rsidP="00E8603C">
      <w:pPr>
        <w:pStyle w:val="StyleStyleCopyrightStatementAfter0ptBottomSinglesolid"/>
        <w:rPr>
          <w:rFonts w:cs="Arial"/>
          <w:color w:val="FFFFFF" w:themeColor="background1"/>
          <w:szCs w:val="16"/>
          <w:lang w:val="en-CA"/>
        </w:rPr>
      </w:pPr>
      <w:r w:rsidRPr="00E8603C">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E8603C">
        <w:rPr>
          <w:rFonts w:cs="Arial"/>
          <w:color w:val="FFFFFF" w:themeColor="background1"/>
          <w:szCs w:val="16"/>
          <w:lang w:val="en-CA"/>
        </w:rPr>
        <w:t>i1v2e5y5pubs</w:t>
      </w:r>
    </w:p>
    <w:p w14:paraId="4C1E897C" w14:textId="77777777" w:rsidR="00E8603C" w:rsidRPr="00E8603C" w:rsidRDefault="00E8603C" w:rsidP="00E8603C">
      <w:pPr>
        <w:pStyle w:val="StyleStyleCopyrightStatementAfter0ptBottomSinglesolid"/>
        <w:rPr>
          <w:rFonts w:cs="Arial"/>
          <w:color w:val="FFFFFF" w:themeColor="background1"/>
          <w:szCs w:val="16"/>
          <w:lang w:val="en-CA"/>
        </w:rPr>
      </w:pPr>
    </w:p>
    <w:p w14:paraId="432818DF" w14:textId="0658EC60" w:rsidR="003B7EF2" w:rsidRPr="00E8603C" w:rsidRDefault="0032249A" w:rsidP="004D65F2">
      <w:pPr>
        <w:pStyle w:val="StyleStyleCopyrightStatementAfter0ptBottomSinglesolid"/>
        <w:rPr>
          <w:rFonts w:cs="Arial"/>
          <w:color w:val="FFFFFF" w:themeColor="background1"/>
          <w:szCs w:val="16"/>
          <w:lang w:val="en-CA"/>
        </w:rPr>
      </w:pPr>
      <w:r>
        <w:rPr>
          <w:rFonts w:cs="Arial"/>
          <w:iCs w:val="0"/>
          <w:color w:val="auto"/>
          <w:szCs w:val="16"/>
          <w:lang w:val="en-CA"/>
        </w:rPr>
        <w:t>Copyright © 2019</w:t>
      </w:r>
      <w:r w:rsidR="00E8603C" w:rsidRPr="00E8603C">
        <w:rPr>
          <w:rFonts w:cs="Arial"/>
          <w:iCs w:val="0"/>
          <w:color w:val="auto"/>
          <w:szCs w:val="16"/>
          <w:lang w:val="en-CA"/>
        </w:rPr>
        <w:t>, Ivey Business School Foundation</w:t>
      </w:r>
      <w:r w:rsidR="003B7EF2" w:rsidRPr="00E8603C">
        <w:rPr>
          <w:color w:val="auto"/>
          <w:lang w:val="en-CA"/>
        </w:rPr>
        <w:tab/>
        <w:t xml:space="preserve">Version: </w:t>
      </w:r>
      <w:r>
        <w:rPr>
          <w:color w:val="auto"/>
          <w:lang w:val="en-CA"/>
        </w:rPr>
        <w:t>2020</w:t>
      </w:r>
      <w:r w:rsidR="00361C8E" w:rsidRPr="00E8603C">
        <w:rPr>
          <w:color w:val="auto"/>
          <w:lang w:val="en-CA"/>
        </w:rPr>
        <w:t>-</w:t>
      </w:r>
      <w:r>
        <w:rPr>
          <w:color w:val="auto"/>
          <w:lang w:val="en-CA"/>
        </w:rPr>
        <w:t>02</w:t>
      </w:r>
      <w:r w:rsidR="009D7CA4" w:rsidRPr="00E8603C">
        <w:rPr>
          <w:color w:val="auto"/>
          <w:lang w:val="en-CA"/>
        </w:rPr>
        <w:t>-</w:t>
      </w:r>
      <w:r>
        <w:rPr>
          <w:color w:val="auto"/>
          <w:lang w:val="en-CA"/>
        </w:rPr>
        <w:t>28</w:t>
      </w:r>
      <w:bookmarkStart w:id="0" w:name="_GoBack"/>
      <w:bookmarkEnd w:id="0"/>
    </w:p>
    <w:p w14:paraId="744F0CE2" w14:textId="77777777" w:rsidR="003B7EF2" w:rsidRPr="00E8603C" w:rsidRDefault="003B7EF2" w:rsidP="00104567">
      <w:pPr>
        <w:pStyle w:val="StyleCopyrightStatementAfter0ptBottomSinglesolidline1"/>
        <w:rPr>
          <w:rFonts w:ascii="Times New Roman" w:hAnsi="Times New Roman"/>
          <w:color w:val="auto"/>
          <w:szCs w:val="16"/>
          <w:lang w:val="en-CA"/>
        </w:rPr>
      </w:pPr>
    </w:p>
    <w:p w14:paraId="17AE2D32" w14:textId="77777777" w:rsidR="006A1675" w:rsidRPr="00E8603C" w:rsidRDefault="006A1675" w:rsidP="006A1675">
      <w:pPr>
        <w:pStyle w:val="BodyTextMain"/>
        <w:rPr>
          <w:sz w:val="16"/>
          <w:szCs w:val="16"/>
          <w:highlight w:val="white"/>
          <w:lang w:val="en-CA"/>
        </w:rPr>
      </w:pPr>
    </w:p>
    <w:p w14:paraId="5E520586" w14:textId="31421E00" w:rsidR="003103D8" w:rsidRPr="00E8603C" w:rsidRDefault="003103D8" w:rsidP="00C10244">
      <w:pPr>
        <w:pStyle w:val="BodyTextMain"/>
        <w:rPr>
          <w:highlight w:val="white"/>
          <w:lang w:val="en-CA"/>
        </w:rPr>
      </w:pPr>
      <w:r>
        <w:rPr>
          <w:lang w:val="en-CA"/>
        </w:rPr>
        <w:t xml:space="preserve">It was mid-2014, and as the founder and chief executive officer (CEO) of Beyond Meat, Ethan Brown, scrolled through the company’s Twitter feed, he was pleased to see the stream of photos featuring Beyond Meat in a variety of foods. Beyond Meat could now be found in dishes from chicken noodle soup to creamy pasta. It made him think back to the 2009 dinner that had started it all: Brown had then been working at the </w:t>
      </w:r>
      <w:r w:rsidR="005D294D" w:rsidRPr="00E8603C">
        <w:rPr>
          <w:lang w:val="en-CA"/>
        </w:rPr>
        <w:t>fuel cell company Ballard Power Systems Inc. (Ballard), and he had been puzzled to note that colleagues at a conference dinner chose a steak entrée—an energy-intensive food that seemed to be at odds with Ballard’s efforts to convert energy more efficiently. Seeing this contrast between mission and behaviour, Brown had asked himself, “How difficult can it be to change what you eat for dinner?” Motivated by this question, he founded Beyond Meat in 2009 with the mission “to create mass-market solutions that perfectly replace animal protein with plant protein.”</w:t>
      </w:r>
    </w:p>
    <w:p w14:paraId="1328C10A" w14:textId="77777777" w:rsidR="00FD564A" w:rsidRPr="00E8603C" w:rsidRDefault="00FD564A" w:rsidP="00C10244">
      <w:pPr>
        <w:pStyle w:val="BodyTextMain"/>
        <w:rPr>
          <w:sz w:val="14"/>
          <w:szCs w:val="14"/>
          <w:highlight w:val="white"/>
          <w:lang w:val="en-CA"/>
        </w:rPr>
      </w:pPr>
    </w:p>
    <w:p w14:paraId="1DDAE826" w14:textId="22340111" w:rsidR="00C06C6F" w:rsidRPr="00E8603C" w:rsidRDefault="00C06C6F" w:rsidP="00C10244">
      <w:pPr>
        <w:pStyle w:val="BodyTextMain"/>
        <w:rPr>
          <w:spacing w:val="-2"/>
          <w:kern w:val="22"/>
          <w:shd w:val="clear" w:color="auto" w:fill="FFFFFF"/>
          <w:lang w:val="en-CA"/>
        </w:rPr>
      </w:pPr>
      <w:r w:rsidRPr="00E8603C">
        <w:rPr>
          <w:spacing w:val="-2"/>
          <w:kern w:val="22"/>
          <w:lang w:val="en-CA"/>
        </w:rPr>
        <w:t xml:space="preserve">The company </w:t>
      </w:r>
      <w:r w:rsidR="00EB4709" w:rsidRPr="00E8603C">
        <w:rPr>
          <w:spacing w:val="-2"/>
          <w:kern w:val="22"/>
          <w:lang w:val="en-CA"/>
        </w:rPr>
        <w:t xml:space="preserve">had </w:t>
      </w:r>
      <w:r w:rsidRPr="00E8603C">
        <w:rPr>
          <w:spacing w:val="-2"/>
          <w:kern w:val="22"/>
          <w:lang w:val="en-CA"/>
        </w:rPr>
        <w:t>faced all the typical challenges of a start-up</w:t>
      </w:r>
      <w:r w:rsidR="00EB4709" w:rsidRPr="00E8603C">
        <w:rPr>
          <w:spacing w:val="-2"/>
          <w:kern w:val="22"/>
          <w:lang w:val="en-CA"/>
        </w:rPr>
        <w:t xml:space="preserve">, and </w:t>
      </w:r>
      <w:r w:rsidRPr="00E8603C">
        <w:rPr>
          <w:spacing w:val="-2"/>
          <w:kern w:val="22"/>
          <w:lang w:val="en-CA"/>
        </w:rPr>
        <w:t xml:space="preserve">Brown and his colleagues knew </w:t>
      </w:r>
      <w:r w:rsidR="00EB4709" w:rsidRPr="00E8603C">
        <w:rPr>
          <w:spacing w:val="-2"/>
          <w:kern w:val="22"/>
          <w:lang w:val="en-CA"/>
        </w:rPr>
        <w:t xml:space="preserve">that, in </w:t>
      </w:r>
      <w:proofErr w:type="gramStart"/>
      <w:r w:rsidR="00EB4709" w:rsidRPr="00E8603C">
        <w:rPr>
          <w:spacing w:val="-2"/>
          <w:kern w:val="22"/>
          <w:lang w:val="en-CA"/>
        </w:rPr>
        <w:t>addition</w:t>
      </w:r>
      <w:proofErr w:type="gramEnd"/>
      <w:r w:rsidR="00EB4709" w:rsidRPr="00E8603C">
        <w:rPr>
          <w:spacing w:val="-2"/>
          <w:kern w:val="22"/>
          <w:lang w:val="en-CA"/>
        </w:rPr>
        <w:t xml:space="preserve"> to these, </w:t>
      </w:r>
      <w:r w:rsidRPr="00E8603C">
        <w:rPr>
          <w:spacing w:val="-2"/>
          <w:kern w:val="22"/>
          <w:lang w:val="en-CA"/>
        </w:rPr>
        <w:t xml:space="preserve">their greatest challenge </w:t>
      </w:r>
      <w:r w:rsidR="00EB4709" w:rsidRPr="00E8603C">
        <w:rPr>
          <w:spacing w:val="-2"/>
          <w:kern w:val="22"/>
          <w:lang w:val="en-CA"/>
        </w:rPr>
        <w:t xml:space="preserve">would be </w:t>
      </w:r>
      <w:r w:rsidRPr="00E8603C">
        <w:rPr>
          <w:spacing w:val="-2"/>
          <w:kern w:val="22"/>
          <w:lang w:val="en-CA"/>
        </w:rPr>
        <w:t>to change customer behaviour. Meat held a central role in US culture and society</w:t>
      </w:r>
      <w:r w:rsidR="00EB4709" w:rsidRPr="00E8603C">
        <w:rPr>
          <w:spacing w:val="-2"/>
          <w:kern w:val="22"/>
          <w:lang w:val="en-CA"/>
        </w:rPr>
        <w:t>—</w:t>
      </w:r>
      <w:r w:rsidRPr="00E8603C">
        <w:rPr>
          <w:spacing w:val="-2"/>
          <w:kern w:val="22"/>
          <w:lang w:val="en-CA"/>
        </w:rPr>
        <w:t>from summer barbeques and holiday meals to on-the-go foods like hot dogs at baseball games and chicken nuggets at drive-</w:t>
      </w:r>
      <w:proofErr w:type="spellStart"/>
      <w:r w:rsidRPr="00E8603C">
        <w:rPr>
          <w:spacing w:val="-2"/>
          <w:kern w:val="22"/>
          <w:lang w:val="en-CA"/>
        </w:rPr>
        <w:t>thr</w:t>
      </w:r>
      <w:r w:rsidR="00EB4709" w:rsidRPr="00E8603C">
        <w:rPr>
          <w:spacing w:val="-2"/>
          <w:kern w:val="22"/>
          <w:lang w:val="en-CA"/>
        </w:rPr>
        <w:t>o</w:t>
      </w:r>
      <w:r w:rsidRPr="00E8603C">
        <w:rPr>
          <w:spacing w:val="-2"/>
          <w:kern w:val="22"/>
          <w:lang w:val="en-CA"/>
        </w:rPr>
        <w:t>u</w:t>
      </w:r>
      <w:r w:rsidR="00EB4709" w:rsidRPr="00E8603C">
        <w:rPr>
          <w:spacing w:val="-2"/>
          <w:kern w:val="22"/>
          <w:lang w:val="en-CA"/>
        </w:rPr>
        <w:t>ghs</w:t>
      </w:r>
      <w:proofErr w:type="spellEnd"/>
      <w:r w:rsidRPr="00E8603C">
        <w:rPr>
          <w:spacing w:val="-2"/>
          <w:kern w:val="22"/>
          <w:lang w:val="en-CA"/>
        </w:rPr>
        <w:t xml:space="preserve">. The name and “impossible fork” logo of Beyond Meat were symbols of </w:t>
      </w:r>
      <w:r w:rsidR="00EB4709" w:rsidRPr="00E8603C">
        <w:rPr>
          <w:spacing w:val="-2"/>
          <w:kern w:val="22"/>
          <w:lang w:val="en-CA"/>
        </w:rPr>
        <w:t xml:space="preserve">Brown’s </w:t>
      </w:r>
      <w:r w:rsidRPr="00E8603C">
        <w:rPr>
          <w:spacing w:val="-2"/>
          <w:kern w:val="22"/>
          <w:lang w:val="en-CA"/>
        </w:rPr>
        <w:t>intent</w:t>
      </w:r>
      <w:r w:rsidR="009E7B29" w:rsidRPr="00E8603C">
        <w:rPr>
          <w:spacing w:val="-2"/>
          <w:kern w:val="22"/>
          <w:lang w:val="en-CA"/>
        </w:rPr>
        <w:t>ion</w:t>
      </w:r>
      <w:r w:rsidRPr="00E8603C">
        <w:rPr>
          <w:spacing w:val="-2"/>
          <w:kern w:val="22"/>
          <w:lang w:val="en-CA"/>
        </w:rPr>
        <w:t xml:space="preserve"> to </w:t>
      </w:r>
      <w:r w:rsidR="00AF4213" w:rsidRPr="00E8603C">
        <w:rPr>
          <w:spacing w:val="-2"/>
          <w:kern w:val="22"/>
          <w:lang w:val="en-CA"/>
        </w:rPr>
        <w:t xml:space="preserve">challenge this by evolving </w:t>
      </w:r>
      <w:r w:rsidRPr="00E8603C">
        <w:rPr>
          <w:spacing w:val="-2"/>
          <w:kern w:val="22"/>
          <w:lang w:val="en-CA"/>
        </w:rPr>
        <w:t xml:space="preserve">“meat” to a new level </w:t>
      </w:r>
      <w:r w:rsidR="00AF4213" w:rsidRPr="00E8603C">
        <w:rPr>
          <w:spacing w:val="-2"/>
          <w:kern w:val="22"/>
          <w:lang w:val="en-CA"/>
        </w:rPr>
        <w:t xml:space="preserve">and </w:t>
      </w:r>
      <w:r w:rsidRPr="00E8603C">
        <w:rPr>
          <w:spacing w:val="-2"/>
          <w:kern w:val="22"/>
          <w:lang w:val="en-CA"/>
        </w:rPr>
        <w:t>producing a high-quality meat alternative (see Exhibit 1).</w:t>
      </w:r>
      <w:r w:rsidRPr="00E8603C">
        <w:rPr>
          <w:spacing w:val="-2"/>
          <w:kern w:val="22"/>
          <w:shd w:val="clear" w:color="auto" w:fill="FFFFFF"/>
          <w:lang w:val="en-CA"/>
        </w:rPr>
        <w:t xml:space="preserve"> </w:t>
      </w:r>
    </w:p>
    <w:p w14:paraId="7208B6DE" w14:textId="77777777" w:rsidR="00C06C6F" w:rsidRPr="00E8603C" w:rsidRDefault="00C06C6F" w:rsidP="00C10244">
      <w:pPr>
        <w:pStyle w:val="BodyTextMain"/>
        <w:rPr>
          <w:sz w:val="14"/>
          <w:szCs w:val="14"/>
          <w:shd w:val="clear" w:color="auto" w:fill="FFFFFF"/>
          <w:lang w:val="en-CA"/>
        </w:rPr>
      </w:pPr>
    </w:p>
    <w:p w14:paraId="535C6446" w14:textId="5406FB4A" w:rsidR="00C06C6F" w:rsidRPr="00743D54" w:rsidRDefault="00AF4213" w:rsidP="00C10244">
      <w:pPr>
        <w:pStyle w:val="BodyTextMain"/>
        <w:rPr>
          <w:spacing w:val="-4"/>
          <w:kern w:val="22"/>
          <w:shd w:val="clear" w:color="auto" w:fill="FFFFFF"/>
          <w:lang w:val="en-CA"/>
        </w:rPr>
      </w:pPr>
      <w:r w:rsidRPr="00743D54">
        <w:rPr>
          <w:spacing w:val="-4"/>
          <w:kern w:val="22"/>
          <w:lang w:val="en-CA"/>
        </w:rPr>
        <w:t>A</w:t>
      </w:r>
      <w:r w:rsidR="00C06C6F" w:rsidRPr="00743D54">
        <w:rPr>
          <w:spacing w:val="-4"/>
          <w:kern w:val="22"/>
          <w:lang w:val="en-CA"/>
        </w:rPr>
        <w:t>ssuming that a</w:t>
      </w:r>
      <w:r w:rsidRPr="00743D54">
        <w:rPr>
          <w:spacing w:val="-4"/>
          <w:kern w:val="22"/>
          <w:lang w:val="en-CA"/>
        </w:rPr>
        <w:t xml:space="preserve"> meat</w:t>
      </w:r>
      <w:r w:rsidR="00C06C6F" w:rsidRPr="00743D54">
        <w:rPr>
          <w:spacing w:val="-4"/>
          <w:kern w:val="22"/>
          <w:lang w:val="en-CA"/>
        </w:rPr>
        <w:t xml:space="preserve"> alternative could be produced and marketed cost-effectively, Beyond Meat would </w:t>
      </w:r>
      <w:r w:rsidRPr="00743D54">
        <w:rPr>
          <w:spacing w:val="-4"/>
          <w:kern w:val="22"/>
          <w:lang w:val="en-CA"/>
        </w:rPr>
        <w:t xml:space="preserve">also </w:t>
      </w:r>
      <w:r w:rsidR="00C06C6F" w:rsidRPr="00743D54">
        <w:rPr>
          <w:spacing w:val="-4"/>
          <w:kern w:val="22"/>
          <w:lang w:val="en-CA"/>
        </w:rPr>
        <w:t xml:space="preserve">need to make its plant-based “meat” socially and culturally palatable. This would involve changing US dinner habits—an exercise that </w:t>
      </w:r>
      <w:r w:rsidRPr="00743D54">
        <w:rPr>
          <w:spacing w:val="-4"/>
          <w:kern w:val="22"/>
          <w:lang w:val="en-CA"/>
        </w:rPr>
        <w:t xml:space="preserve">would </w:t>
      </w:r>
      <w:r w:rsidR="00C06C6F" w:rsidRPr="00743D54">
        <w:rPr>
          <w:spacing w:val="-4"/>
          <w:kern w:val="22"/>
          <w:lang w:val="en-CA"/>
        </w:rPr>
        <w:t xml:space="preserve">require Beyond Meat to consider how </w:t>
      </w:r>
      <w:r w:rsidRPr="00743D54">
        <w:rPr>
          <w:spacing w:val="-4"/>
          <w:kern w:val="22"/>
          <w:lang w:val="en-CA"/>
        </w:rPr>
        <w:t xml:space="preserve">its </w:t>
      </w:r>
      <w:r w:rsidR="00C06C6F" w:rsidRPr="00743D54">
        <w:rPr>
          <w:spacing w:val="-4"/>
          <w:kern w:val="22"/>
          <w:lang w:val="en-CA"/>
        </w:rPr>
        <w:t xml:space="preserve">product </w:t>
      </w:r>
      <w:r w:rsidRPr="00743D54">
        <w:rPr>
          <w:spacing w:val="-4"/>
          <w:kern w:val="22"/>
          <w:lang w:val="en-CA"/>
        </w:rPr>
        <w:t>compared</w:t>
      </w:r>
      <w:r w:rsidR="00C06C6F" w:rsidRPr="00743D54">
        <w:rPr>
          <w:spacing w:val="-4"/>
          <w:kern w:val="22"/>
          <w:lang w:val="en-CA"/>
        </w:rPr>
        <w:t xml:space="preserve"> to animal meat in </w:t>
      </w:r>
      <w:r w:rsidRPr="00743D54">
        <w:rPr>
          <w:spacing w:val="-4"/>
          <w:kern w:val="22"/>
          <w:lang w:val="en-CA"/>
        </w:rPr>
        <w:t>terms of its</w:t>
      </w:r>
      <w:r w:rsidR="00C06C6F" w:rsidRPr="00743D54">
        <w:rPr>
          <w:spacing w:val="-4"/>
          <w:kern w:val="22"/>
          <w:lang w:val="en-CA"/>
        </w:rPr>
        <w:t xml:space="preserve"> look, taste, feel, appearance, and nutritional content. It would also involve considering</w:t>
      </w:r>
      <w:r w:rsidR="00C06C6F" w:rsidRPr="00743D54">
        <w:rPr>
          <w:spacing w:val="-4"/>
          <w:kern w:val="22"/>
          <w:shd w:val="clear" w:color="auto" w:fill="FFFFFF"/>
          <w:lang w:val="en-CA"/>
        </w:rPr>
        <w:t xml:space="preserve"> </w:t>
      </w:r>
      <w:r w:rsidR="00C06C6F" w:rsidRPr="00743D54">
        <w:rPr>
          <w:spacing w:val="-4"/>
          <w:kern w:val="22"/>
          <w:lang w:val="en-CA"/>
        </w:rPr>
        <w:t>target market</w:t>
      </w:r>
      <w:r w:rsidR="00743D54" w:rsidRPr="00743D54">
        <w:rPr>
          <w:spacing w:val="-4"/>
          <w:kern w:val="22"/>
          <w:lang w:val="en-CA"/>
        </w:rPr>
        <w:t>s</w:t>
      </w:r>
      <w:r w:rsidR="00C06C6F" w:rsidRPr="00743D54">
        <w:rPr>
          <w:spacing w:val="-4"/>
          <w:kern w:val="22"/>
          <w:lang w:val="en-CA"/>
        </w:rPr>
        <w:t xml:space="preserve"> and customer segments</w:t>
      </w:r>
      <w:r w:rsidR="00743D54" w:rsidRPr="00743D54">
        <w:rPr>
          <w:spacing w:val="-4"/>
          <w:kern w:val="22"/>
          <w:lang w:val="en-CA"/>
        </w:rPr>
        <w:t>, as well as</w:t>
      </w:r>
      <w:r w:rsidR="00C06C6F" w:rsidRPr="00743D54">
        <w:rPr>
          <w:spacing w:val="-4"/>
          <w:kern w:val="22"/>
          <w:lang w:val="en-CA"/>
        </w:rPr>
        <w:t xml:space="preserve"> </w:t>
      </w:r>
      <w:r w:rsidRPr="00743D54">
        <w:rPr>
          <w:spacing w:val="-4"/>
          <w:kern w:val="22"/>
          <w:lang w:val="en-CA"/>
        </w:rPr>
        <w:t xml:space="preserve">deciding </w:t>
      </w:r>
      <w:r w:rsidR="00C06C6F" w:rsidRPr="00743D54">
        <w:rPr>
          <w:spacing w:val="-4"/>
          <w:kern w:val="22"/>
          <w:lang w:val="en-CA"/>
        </w:rPr>
        <w:t>whether to use ecological and</w:t>
      </w:r>
      <w:r w:rsidR="00302D74" w:rsidRPr="00743D54">
        <w:rPr>
          <w:spacing w:val="-4"/>
          <w:kern w:val="22"/>
          <w:lang w:val="en-CA"/>
        </w:rPr>
        <w:t>/or</w:t>
      </w:r>
      <w:r w:rsidR="00C06C6F" w:rsidRPr="00743D54">
        <w:rPr>
          <w:spacing w:val="-4"/>
          <w:kern w:val="22"/>
          <w:lang w:val="en-CA"/>
        </w:rPr>
        <w:t xml:space="preserve"> ethical arguments in marketing.</w:t>
      </w:r>
      <w:r w:rsidR="00C06C6F" w:rsidRPr="00743D54">
        <w:rPr>
          <w:spacing w:val="-4"/>
          <w:kern w:val="22"/>
          <w:shd w:val="clear" w:color="auto" w:fill="FFFFFF"/>
          <w:lang w:val="en-CA"/>
        </w:rPr>
        <w:t xml:space="preserve"> </w:t>
      </w:r>
    </w:p>
    <w:p w14:paraId="1A7FB490" w14:textId="77777777" w:rsidR="00C06C6F" w:rsidRPr="00E8603C" w:rsidRDefault="00C06C6F" w:rsidP="00C10244">
      <w:pPr>
        <w:pStyle w:val="BodyTextMain"/>
        <w:rPr>
          <w:sz w:val="14"/>
          <w:szCs w:val="14"/>
          <w:shd w:val="clear" w:color="auto" w:fill="FFFFFF"/>
          <w:lang w:val="en-CA"/>
        </w:rPr>
      </w:pPr>
    </w:p>
    <w:p w14:paraId="6ACFB95D" w14:textId="3C369660" w:rsidR="00100213" w:rsidRPr="00E8603C" w:rsidRDefault="00C06C6F" w:rsidP="00C10244">
      <w:pPr>
        <w:pStyle w:val="BodyTextMain"/>
        <w:rPr>
          <w:spacing w:val="-2"/>
          <w:kern w:val="22"/>
          <w:shd w:val="clear" w:color="auto" w:fill="FFFFFF"/>
          <w:lang w:val="en-CA"/>
        </w:rPr>
      </w:pPr>
      <w:r w:rsidRPr="00E8603C">
        <w:rPr>
          <w:spacing w:val="-2"/>
          <w:kern w:val="22"/>
          <w:lang w:val="en-CA"/>
        </w:rPr>
        <w:t>Brown wanted Beyond Meat to be the game</w:t>
      </w:r>
      <w:r w:rsidR="00AF4213" w:rsidRPr="00E8603C">
        <w:rPr>
          <w:spacing w:val="-2"/>
          <w:kern w:val="22"/>
          <w:lang w:val="en-CA"/>
        </w:rPr>
        <w:t xml:space="preserve"> </w:t>
      </w:r>
      <w:r w:rsidRPr="00E8603C">
        <w:rPr>
          <w:spacing w:val="-2"/>
          <w:kern w:val="22"/>
          <w:lang w:val="en-CA"/>
        </w:rPr>
        <w:t>changer in the meat industry</w:t>
      </w:r>
      <w:r w:rsidR="00AF4213" w:rsidRPr="00E8603C">
        <w:rPr>
          <w:spacing w:val="-2"/>
          <w:kern w:val="22"/>
          <w:lang w:val="en-CA"/>
        </w:rPr>
        <w:t>, just</w:t>
      </w:r>
      <w:r w:rsidRPr="00E8603C">
        <w:rPr>
          <w:spacing w:val="-2"/>
          <w:kern w:val="22"/>
          <w:lang w:val="en-CA"/>
        </w:rPr>
        <w:t xml:space="preserve"> as soy- and almond-based Silk had </w:t>
      </w:r>
      <w:r w:rsidR="00AF4213" w:rsidRPr="00E8603C">
        <w:rPr>
          <w:spacing w:val="-2"/>
          <w:kern w:val="22"/>
          <w:lang w:val="en-CA"/>
        </w:rPr>
        <w:t>changed</w:t>
      </w:r>
      <w:r w:rsidRPr="00E8603C">
        <w:rPr>
          <w:spacing w:val="-2"/>
          <w:kern w:val="22"/>
          <w:lang w:val="en-CA"/>
        </w:rPr>
        <w:t xml:space="preserve"> the milk industry.</w:t>
      </w:r>
      <w:r w:rsidR="005D2E4B" w:rsidRPr="00E8603C">
        <w:rPr>
          <w:spacing w:val="-2"/>
          <w:kern w:val="22"/>
          <w:lang w:val="en-CA"/>
        </w:rPr>
        <w:t xml:space="preserve"> </w:t>
      </w:r>
      <w:r w:rsidR="00C6740E" w:rsidRPr="00E8603C">
        <w:rPr>
          <w:spacing w:val="-2"/>
          <w:kern w:val="22"/>
          <w:lang w:val="en-CA"/>
        </w:rPr>
        <w:t xml:space="preserve">Packaging its soy milk in a standard </w:t>
      </w:r>
      <w:r w:rsidR="00AF4213" w:rsidRPr="00E8603C">
        <w:rPr>
          <w:spacing w:val="-2"/>
          <w:kern w:val="22"/>
          <w:lang w:val="en-CA"/>
        </w:rPr>
        <w:t>gable-</w:t>
      </w:r>
      <w:r w:rsidR="00C6740E" w:rsidRPr="00E8603C">
        <w:rPr>
          <w:spacing w:val="-2"/>
          <w:kern w:val="22"/>
          <w:lang w:val="en-CA"/>
        </w:rPr>
        <w:t xml:space="preserve">top carton </w:t>
      </w:r>
      <w:r w:rsidR="00AF4213" w:rsidRPr="00E8603C">
        <w:rPr>
          <w:spacing w:val="-2"/>
          <w:kern w:val="22"/>
          <w:lang w:val="en-CA"/>
        </w:rPr>
        <w:t xml:space="preserve">had </w:t>
      </w:r>
      <w:r w:rsidR="00C6740E" w:rsidRPr="00E8603C">
        <w:rPr>
          <w:spacing w:val="-2"/>
          <w:kern w:val="22"/>
          <w:lang w:val="en-CA"/>
        </w:rPr>
        <w:t xml:space="preserve">allowed Silk to overcome customer reticence by aligning the product with traditional dairy products. </w:t>
      </w:r>
      <w:r w:rsidR="005D2E4B" w:rsidRPr="00E8603C">
        <w:rPr>
          <w:spacing w:val="-2"/>
          <w:kern w:val="22"/>
          <w:lang w:val="en-CA"/>
        </w:rPr>
        <w:t>Silk had</w:t>
      </w:r>
      <w:r w:rsidR="00F858D2" w:rsidRPr="00E8603C">
        <w:rPr>
          <w:spacing w:val="-2"/>
          <w:kern w:val="22"/>
          <w:lang w:val="en-CA"/>
        </w:rPr>
        <w:t xml:space="preserve"> been able to</w:t>
      </w:r>
      <w:r w:rsidR="005D2E4B" w:rsidRPr="00E8603C">
        <w:rPr>
          <w:spacing w:val="-2"/>
          <w:kern w:val="22"/>
          <w:lang w:val="en-CA"/>
        </w:rPr>
        <w:t xml:space="preserve"> </w:t>
      </w:r>
      <w:r w:rsidR="00F858D2" w:rsidRPr="00E8603C">
        <w:rPr>
          <w:spacing w:val="-2"/>
          <w:kern w:val="22"/>
          <w:lang w:val="en-CA"/>
        </w:rPr>
        <w:t xml:space="preserve">grow its market share considerably by using packaging and product placement </w:t>
      </w:r>
      <w:r w:rsidR="00AF4213" w:rsidRPr="00E8603C">
        <w:rPr>
          <w:spacing w:val="-2"/>
          <w:kern w:val="22"/>
          <w:lang w:val="en-CA"/>
        </w:rPr>
        <w:t xml:space="preserve">that </w:t>
      </w:r>
      <w:r w:rsidR="00F858D2" w:rsidRPr="00E8603C">
        <w:rPr>
          <w:spacing w:val="-2"/>
          <w:kern w:val="22"/>
          <w:lang w:val="en-CA"/>
        </w:rPr>
        <w:t>appeal</w:t>
      </w:r>
      <w:r w:rsidR="00AF4213" w:rsidRPr="00E8603C">
        <w:rPr>
          <w:spacing w:val="-2"/>
          <w:kern w:val="22"/>
          <w:lang w:val="en-CA"/>
        </w:rPr>
        <w:t>ed</w:t>
      </w:r>
      <w:r w:rsidR="00F858D2" w:rsidRPr="00E8603C">
        <w:rPr>
          <w:spacing w:val="-2"/>
          <w:kern w:val="22"/>
          <w:lang w:val="en-CA"/>
        </w:rPr>
        <w:t xml:space="preserve"> to consumers looking for a </w:t>
      </w:r>
      <w:r w:rsidR="00F858D2" w:rsidRPr="00E8603C">
        <w:rPr>
          <w:i/>
          <w:spacing w:val="-2"/>
          <w:kern w:val="22"/>
          <w:lang w:val="en-CA"/>
        </w:rPr>
        <w:t>highly similar</w:t>
      </w:r>
      <w:r w:rsidR="00F858D2" w:rsidRPr="00E8603C">
        <w:rPr>
          <w:spacing w:val="-2"/>
          <w:kern w:val="22"/>
          <w:lang w:val="en-CA"/>
        </w:rPr>
        <w:t xml:space="preserve"> alternative to </w:t>
      </w:r>
      <w:r w:rsidR="00C6740E" w:rsidRPr="00E8603C">
        <w:rPr>
          <w:spacing w:val="-2"/>
          <w:kern w:val="22"/>
          <w:lang w:val="en-CA"/>
        </w:rPr>
        <w:t>regular dairy</w:t>
      </w:r>
      <w:r w:rsidR="00AF4213" w:rsidRPr="00E8603C">
        <w:rPr>
          <w:spacing w:val="-2"/>
          <w:kern w:val="22"/>
          <w:lang w:val="en-CA"/>
        </w:rPr>
        <w:t xml:space="preserve"> milk</w:t>
      </w:r>
      <w:r w:rsidR="00F858D2" w:rsidRPr="00E8603C">
        <w:rPr>
          <w:spacing w:val="-2"/>
          <w:kern w:val="22"/>
          <w:lang w:val="en-CA"/>
        </w:rPr>
        <w:t>.</w:t>
      </w:r>
      <w:r w:rsidR="00C6740E" w:rsidRPr="00E8603C">
        <w:rPr>
          <w:spacing w:val="-2"/>
          <w:kern w:val="22"/>
          <w:lang w:val="en-CA"/>
        </w:rPr>
        <w:t xml:space="preserve"> Now</w:t>
      </w:r>
      <w:r w:rsidR="00AF4213" w:rsidRPr="00E8603C">
        <w:rPr>
          <w:spacing w:val="-2"/>
          <w:kern w:val="22"/>
          <w:lang w:val="en-CA"/>
        </w:rPr>
        <w:t>,</w:t>
      </w:r>
      <w:r w:rsidR="00C6740E" w:rsidRPr="00E8603C">
        <w:rPr>
          <w:spacing w:val="-2"/>
          <w:kern w:val="22"/>
          <w:lang w:val="en-CA"/>
        </w:rPr>
        <w:t xml:space="preserve"> Silk was the leading soy milk</w:t>
      </w:r>
      <w:r w:rsidR="00AF4213" w:rsidRPr="00E8603C">
        <w:rPr>
          <w:spacing w:val="-2"/>
          <w:kern w:val="22"/>
          <w:lang w:val="en-CA"/>
        </w:rPr>
        <w:t>,</w:t>
      </w:r>
      <w:r w:rsidR="00C6740E" w:rsidRPr="00E8603C">
        <w:rPr>
          <w:spacing w:val="-2"/>
          <w:kern w:val="22"/>
          <w:lang w:val="en-CA"/>
        </w:rPr>
        <w:t xml:space="preserve"> with </w:t>
      </w:r>
      <w:r w:rsidR="00AF4213" w:rsidRPr="00E8603C">
        <w:rPr>
          <w:spacing w:val="-2"/>
          <w:kern w:val="22"/>
          <w:lang w:val="en-CA"/>
        </w:rPr>
        <w:t>$</w:t>
      </w:r>
      <w:r w:rsidR="00C6740E" w:rsidRPr="00E8603C">
        <w:rPr>
          <w:spacing w:val="-2"/>
          <w:kern w:val="22"/>
          <w:lang w:val="en-CA"/>
        </w:rPr>
        <w:t>12.5 million in sales for 2014</w:t>
      </w:r>
      <w:r w:rsidR="00AF4213" w:rsidRPr="00E8603C">
        <w:rPr>
          <w:spacing w:val="-2"/>
          <w:kern w:val="22"/>
          <w:lang w:val="en-CA"/>
        </w:rPr>
        <w:t>, compared to</w:t>
      </w:r>
      <w:r w:rsidR="00C6740E" w:rsidRPr="00E8603C">
        <w:rPr>
          <w:spacing w:val="-2"/>
          <w:kern w:val="22"/>
          <w:lang w:val="en-CA"/>
        </w:rPr>
        <w:t xml:space="preserve"> </w:t>
      </w:r>
      <w:r w:rsidR="00AF4213" w:rsidRPr="00E8603C">
        <w:rPr>
          <w:spacing w:val="-2"/>
          <w:kern w:val="22"/>
          <w:lang w:val="en-CA"/>
        </w:rPr>
        <w:t>$</w:t>
      </w:r>
      <w:r w:rsidR="00C6740E" w:rsidRPr="00E8603C">
        <w:rPr>
          <w:spacing w:val="-2"/>
          <w:kern w:val="22"/>
          <w:lang w:val="en-CA"/>
        </w:rPr>
        <w:t xml:space="preserve">4.7 million </w:t>
      </w:r>
      <w:r w:rsidR="00AF4213" w:rsidRPr="00E8603C">
        <w:rPr>
          <w:spacing w:val="-2"/>
          <w:kern w:val="22"/>
          <w:lang w:val="en-CA"/>
        </w:rPr>
        <w:t xml:space="preserve">for </w:t>
      </w:r>
      <w:r w:rsidR="00C6740E" w:rsidRPr="00E8603C">
        <w:rPr>
          <w:spacing w:val="-2"/>
          <w:kern w:val="22"/>
          <w:lang w:val="en-CA"/>
        </w:rPr>
        <w:t>its closest competitor.</w:t>
      </w:r>
      <w:r w:rsidR="00F858D2" w:rsidRPr="00E8603C">
        <w:rPr>
          <w:spacing w:val="-2"/>
          <w:kern w:val="22"/>
          <w:lang w:val="en-CA"/>
        </w:rPr>
        <w:t xml:space="preserve"> Brown was look</w:t>
      </w:r>
      <w:r w:rsidR="00516444" w:rsidRPr="00E8603C">
        <w:rPr>
          <w:spacing w:val="-2"/>
          <w:kern w:val="22"/>
          <w:lang w:val="en-CA"/>
        </w:rPr>
        <w:t>ing</w:t>
      </w:r>
      <w:r w:rsidR="00F858D2" w:rsidRPr="00E8603C">
        <w:rPr>
          <w:spacing w:val="-2"/>
          <w:kern w:val="22"/>
          <w:lang w:val="en-CA"/>
        </w:rPr>
        <w:t xml:space="preserve"> to replicate this success by targeting consumers who were looking for a healthier meat alternative </w:t>
      </w:r>
      <w:r w:rsidR="00AF4213" w:rsidRPr="00E8603C">
        <w:rPr>
          <w:spacing w:val="-2"/>
          <w:kern w:val="22"/>
          <w:lang w:val="en-CA"/>
        </w:rPr>
        <w:t xml:space="preserve">that </w:t>
      </w:r>
      <w:r w:rsidR="00F858D2" w:rsidRPr="00E8603C">
        <w:rPr>
          <w:spacing w:val="-2"/>
          <w:kern w:val="22"/>
          <w:lang w:val="en-CA"/>
        </w:rPr>
        <w:t xml:space="preserve">mimicked the taste </w:t>
      </w:r>
      <w:r w:rsidR="00F858D2" w:rsidRPr="00E8603C">
        <w:rPr>
          <w:spacing w:val="-2"/>
          <w:kern w:val="22"/>
          <w:lang w:val="en-CA"/>
        </w:rPr>
        <w:lastRenderedPageBreak/>
        <w:t xml:space="preserve">and texture of meat </w:t>
      </w:r>
      <w:r w:rsidR="00AF4213" w:rsidRPr="00E8603C">
        <w:rPr>
          <w:spacing w:val="-2"/>
          <w:kern w:val="22"/>
          <w:lang w:val="en-CA"/>
        </w:rPr>
        <w:t xml:space="preserve">in </w:t>
      </w:r>
      <w:r w:rsidR="00F858D2" w:rsidRPr="00E8603C">
        <w:rPr>
          <w:spacing w:val="-2"/>
          <w:kern w:val="22"/>
          <w:lang w:val="en-CA"/>
        </w:rPr>
        <w:t xml:space="preserve">much the </w:t>
      </w:r>
      <w:r w:rsidR="00AF4213" w:rsidRPr="00E8603C">
        <w:rPr>
          <w:spacing w:val="-2"/>
          <w:kern w:val="22"/>
          <w:lang w:val="en-CA"/>
        </w:rPr>
        <w:t xml:space="preserve">same </w:t>
      </w:r>
      <w:r w:rsidR="00F858D2" w:rsidRPr="00E8603C">
        <w:rPr>
          <w:spacing w:val="-2"/>
          <w:kern w:val="22"/>
          <w:lang w:val="en-CA"/>
        </w:rPr>
        <w:t xml:space="preserve">way that Silk soy milk </w:t>
      </w:r>
      <w:r w:rsidR="00AF4213" w:rsidRPr="00E8603C">
        <w:rPr>
          <w:spacing w:val="-2"/>
          <w:kern w:val="22"/>
          <w:lang w:val="en-CA"/>
        </w:rPr>
        <w:t>mimicked</w:t>
      </w:r>
      <w:r w:rsidR="00F858D2" w:rsidRPr="00E8603C">
        <w:rPr>
          <w:spacing w:val="-2"/>
          <w:kern w:val="22"/>
          <w:lang w:val="en-CA"/>
        </w:rPr>
        <w:t xml:space="preserve"> its dairy counterpart. </w:t>
      </w:r>
      <w:r w:rsidR="00AF4213" w:rsidRPr="00E8603C">
        <w:rPr>
          <w:spacing w:val="-2"/>
          <w:kern w:val="22"/>
          <w:lang w:val="en-CA"/>
        </w:rPr>
        <w:t>However,</w:t>
      </w:r>
      <w:r w:rsidRPr="00E8603C">
        <w:rPr>
          <w:spacing w:val="-2"/>
          <w:kern w:val="22"/>
          <w:lang w:val="en-CA"/>
        </w:rPr>
        <w:t xml:space="preserve"> even if Beyond Meat could offer the healthiest and most economical “meat” available, Brown and his colleagues were well aware of the difficulty </w:t>
      </w:r>
      <w:r w:rsidR="00172631" w:rsidRPr="00E8603C">
        <w:rPr>
          <w:spacing w:val="-2"/>
          <w:kern w:val="22"/>
          <w:lang w:val="en-CA"/>
        </w:rPr>
        <w:t xml:space="preserve">of </w:t>
      </w:r>
      <w:r w:rsidRPr="00E8603C">
        <w:rPr>
          <w:spacing w:val="-2"/>
          <w:kern w:val="22"/>
          <w:lang w:val="en-CA"/>
        </w:rPr>
        <w:t>changing customer perceptions and behaviours. How could</w:t>
      </w:r>
      <w:r w:rsidRPr="00E8603C">
        <w:rPr>
          <w:spacing w:val="-2"/>
          <w:kern w:val="22"/>
          <w:shd w:val="clear" w:color="auto" w:fill="FFFFFF"/>
          <w:lang w:val="en-CA"/>
        </w:rPr>
        <w:t xml:space="preserve"> </w:t>
      </w:r>
      <w:r w:rsidRPr="00E8603C">
        <w:rPr>
          <w:spacing w:val="-2"/>
          <w:kern w:val="22"/>
          <w:lang w:val="en-CA"/>
        </w:rPr>
        <w:t xml:space="preserve">Beyond Meat make its way onto the shopping lists and dinner tables of </w:t>
      </w:r>
      <w:r w:rsidR="00172631" w:rsidRPr="00E8603C">
        <w:rPr>
          <w:spacing w:val="-2"/>
          <w:kern w:val="22"/>
          <w:lang w:val="en-CA"/>
        </w:rPr>
        <w:t xml:space="preserve">more </w:t>
      </w:r>
      <w:r w:rsidRPr="00E8603C">
        <w:rPr>
          <w:spacing w:val="-2"/>
          <w:kern w:val="22"/>
          <w:lang w:val="en-CA"/>
        </w:rPr>
        <w:t>US consumers?</w:t>
      </w:r>
    </w:p>
    <w:p w14:paraId="2E142649" w14:textId="24B810F8" w:rsidR="00100213" w:rsidRPr="00E8603C" w:rsidRDefault="00100213" w:rsidP="006A1675">
      <w:pPr>
        <w:pStyle w:val="BodyTextMain"/>
        <w:rPr>
          <w:sz w:val="14"/>
          <w:szCs w:val="14"/>
          <w:shd w:val="clear" w:color="auto" w:fill="FFFFFF"/>
          <w:lang w:val="en-CA"/>
        </w:rPr>
      </w:pPr>
    </w:p>
    <w:p w14:paraId="446FAEC5" w14:textId="77777777" w:rsidR="004D65F2" w:rsidRPr="00E8603C" w:rsidRDefault="004D65F2" w:rsidP="006A1675">
      <w:pPr>
        <w:pStyle w:val="BodyTextMain"/>
        <w:rPr>
          <w:sz w:val="14"/>
          <w:szCs w:val="14"/>
          <w:shd w:val="clear" w:color="auto" w:fill="FFFFFF"/>
          <w:lang w:val="en-CA"/>
        </w:rPr>
      </w:pPr>
    </w:p>
    <w:p w14:paraId="3971CDFE" w14:textId="09EA7D0D" w:rsidR="00CF49C6" w:rsidRPr="00E8603C" w:rsidRDefault="00CF49C6" w:rsidP="001F2D2E">
      <w:pPr>
        <w:pStyle w:val="Casehead1"/>
        <w:keepNext/>
        <w:outlineLvl w:val="0"/>
        <w:rPr>
          <w:lang w:val="en-CA"/>
        </w:rPr>
      </w:pPr>
      <w:r w:rsidRPr="00E8603C">
        <w:rPr>
          <w:lang w:val="en-CA"/>
        </w:rPr>
        <w:t>HUMANs and meat</w:t>
      </w:r>
    </w:p>
    <w:p w14:paraId="03CC1067" w14:textId="77777777" w:rsidR="001F2D2E" w:rsidRPr="00E8603C" w:rsidRDefault="001F2D2E" w:rsidP="001F2D2E">
      <w:pPr>
        <w:pStyle w:val="Casehead1"/>
        <w:keepNext/>
        <w:outlineLvl w:val="0"/>
        <w:rPr>
          <w:sz w:val="14"/>
          <w:szCs w:val="14"/>
          <w:lang w:val="en-CA"/>
        </w:rPr>
      </w:pPr>
    </w:p>
    <w:p w14:paraId="1C278AE9" w14:textId="119F035F" w:rsidR="00BB3A3D" w:rsidRPr="00E8603C" w:rsidRDefault="00CF49C6" w:rsidP="001F2D2E">
      <w:pPr>
        <w:pStyle w:val="BodyTextMain"/>
        <w:keepNext/>
        <w:rPr>
          <w:lang w:val="en-CA"/>
        </w:rPr>
      </w:pPr>
      <w:r w:rsidRPr="00E8603C">
        <w:rPr>
          <w:lang w:val="en-CA"/>
        </w:rPr>
        <w:t>In order to understand the dependency of humans on meat, one must consider both the history and the science of humans and meat consumption. Some scientists believed that there were fundamental links between meat eating and the evolution of human biology and society; for example, humans possessed the enzymes needed to digest meat, and human socialization could be connected to the domestication of animals and co</w:t>
      </w:r>
      <w:r w:rsidR="002F383A" w:rsidRPr="00E8603C">
        <w:rPr>
          <w:lang w:val="en-CA"/>
        </w:rPr>
        <w:t>-</w:t>
      </w:r>
      <w:r w:rsidRPr="00E8603C">
        <w:rPr>
          <w:lang w:val="en-CA"/>
        </w:rPr>
        <w:t>operative hunting.</w:t>
      </w:r>
      <w:r w:rsidR="00BB3A3D" w:rsidRPr="00E8603C">
        <w:rPr>
          <w:rStyle w:val="FootnoteReference"/>
          <w:lang w:val="en-CA"/>
        </w:rPr>
        <w:footnoteReference w:id="1"/>
      </w:r>
      <w:r w:rsidR="00BB3A3D" w:rsidRPr="00E8603C">
        <w:rPr>
          <w:lang w:val="en-CA"/>
        </w:rPr>
        <w:t xml:space="preserve"> Humans </w:t>
      </w:r>
      <w:r w:rsidR="002F383A" w:rsidRPr="00E8603C">
        <w:rPr>
          <w:lang w:val="en-CA"/>
        </w:rPr>
        <w:t xml:space="preserve">had </w:t>
      </w:r>
      <w:r w:rsidR="00BB3A3D" w:rsidRPr="00E8603C">
        <w:rPr>
          <w:lang w:val="en-CA"/>
        </w:rPr>
        <w:t>historically relied on meat to provide essential amino acids and micronutrients, using plant foods as supplemental sources of energy. Increasingly, consumers were drawing necessary nutrients from a variety of sources, so dependency on meat was decreasing. At the same time, the rise of genetically modified meat</w:t>
      </w:r>
      <w:r w:rsidR="002F383A" w:rsidRPr="00E8603C">
        <w:rPr>
          <w:lang w:val="en-CA"/>
        </w:rPr>
        <w:t xml:space="preserve">, </w:t>
      </w:r>
      <w:r w:rsidR="00BB3A3D" w:rsidRPr="00E8603C">
        <w:rPr>
          <w:lang w:val="en-CA"/>
        </w:rPr>
        <w:t>along with ethical</w:t>
      </w:r>
      <w:r w:rsidR="002F383A" w:rsidRPr="00E8603C">
        <w:rPr>
          <w:lang w:val="en-CA"/>
        </w:rPr>
        <w:t>ly</w:t>
      </w:r>
      <w:r w:rsidR="00BB3A3D" w:rsidRPr="00E8603C">
        <w:rPr>
          <w:lang w:val="en-CA"/>
        </w:rPr>
        <w:t xml:space="preserve"> controversial means of raising livestock and poultry</w:t>
      </w:r>
      <w:r w:rsidR="002F383A" w:rsidRPr="00E8603C">
        <w:rPr>
          <w:lang w:val="en-CA"/>
        </w:rPr>
        <w:t>,</w:t>
      </w:r>
      <w:r w:rsidR="00BB3A3D" w:rsidRPr="00E8603C">
        <w:rPr>
          <w:lang w:val="en-CA"/>
        </w:rPr>
        <w:t xml:space="preserve"> were shaking consumers’ trust in meat and its origin and makeup.</w:t>
      </w:r>
      <w:r w:rsidR="00743D54" w:rsidRPr="00E8603C">
        <w:rPr>
          <w:rStyle w:val="FootnoteReference"/>
          <w:lang w:val="en-CA"/>
        </w:rPr>
        <w:footnoteReference w:id="2"/>
      </w:r>
      <w:r w:rsidR="00BB3A3D" w:rsidRPr="00E8603C">
        <w:rPr>
          <w:lang w:val="en-CA"/>
        </w:rPr>
        <w:t xml:space="preserve"> </w:t>
      </w:r>
    </w:p>
    <w:p w14:paraId="31134501" w14:textId="3B036F4F" w:rsidR="00BB3A3D" w:rsidRPr="00E8603C" w:rsidRDefault="00BB3A3D" w:rsidP="006A1675">
      <w:pPr>
        <w:pStyle w:val="BodyTextMain"/>
        <w:rPr>
          <w:sz w:val="14"/>
          <w:szCs w:val="14"/>
          <w:shd w:val="clear" w:color="auto" w:fill="FFFFFF"/>
          <w:lang w:val="en-CA"/>
        </w:rPr>
      </w:pPr>
    </w:p>
    <w:p w14:paraId="0DD1F861" w14:textId="77777777" w:rsidR="00BB3A3D" w:rsidRPr="00E8603C" w:rsidRDefault="00BB3A3D" w:rsidP="006A1675">
      <w:pPr>
        <w:pStyle w:val="BodyTextMain"/>
        <w:rPr>
          <w:sz w:val="14"/>
          <w:szCs w:val="14"/>
          <w:shd w:val="clear" w:color="auto" w:fill="FFFFFF"/>
          <w:lang w:val="en-CA"/>
        </w:rPr>
      </w:pPr>
    </w:p>
    <w:p w14:paraId="5A8CBED5" w14:textId="122063A5" w:rsidR="00BB3A3D" w:rsidRPr="00E8603C" w:rsidRDefault="00BB3A3D" w:rsidP="00DB4293">
      <w:pPr>
        <w:pStyle w:val="Casehead1"/>
        <w:outlineLvl w:val="0"/>
        <w:rPr>
          <w:lang w:val="en-CA"/>
        </w:rPr>
      </w:pPr>
      <w:r w:rsidRPr="00E8603C">
        <w:rPr>
          <w:lang w:val="en-CA"/>
        </w:rPr>
        <w:t>CUSTOMER BEHAVIOuR AND ATTITUDES TOWARD MEAT</w:t>
      </w:r>
    </w:p>
    <w:p w14:paraId="6481D242" w14:textId="77777777" w:rsidR="00BB3A3D" w:rsidRPr="00E8603C" w:rsidRDefault="00BB3A3D" w:rsidP="006A1675">
      <w:pPr>
        <w:pStyle w:val="BodyTextMain"/>
        <w:rPr>
          <w:sz w:val="14"/>
          <w:szCs w:val="14"/>
          <w:lang w:val="en-CA"/>
        </w:rPr>
      </w:pPr>
    </w:p>
    <w:p w14:paraId="636C28DB" w14:textId="57BC057C" w:rsidR="00BB3A3D" w:rsidRPr="00E8603C" w:rsidRDefault="00BB3A3D" w:rsidP="00C10244">
      <w:pPr>
        <w:pStyle w:val="BodyTextMain"/>
        <w:rPr>
          <w:spacing w:val="-4"/>
          <w:kern w:val="22"/>
          <w:shd w:val="clear" w:color="auto" w:fill="FFFFFF"/>
          <w:lang w:val="en-CA"/>
        </w:rPr>
      </w:pPr>
      <w:r w:rsidRPr="00E8603C">
        <w:rPr>
          <w:spacing w:val="-4"/>
          <w:kern w:val="22"/>
          <w:lang w:val="en-CA"/>
        </w:rPr>
        <w:t>In 2010, the world’s population was projected to increase over the next decade by 11 per cent, or about 766 million people. Moreover, at least 800 million consumers were expected to join the middle class by 2020, driven mainly by emerging market economies such as China and India. Historically, as income</w:t>
      </w:r>
      <w:r w:rsidR="002F383A" w:rsidRPr="00E8603C">
        <w:rPr>
          <w:spacing w:val="-4"/>
          <w:kern w:val="22"/>
          <w:lang w:val="en-CA"/>
        </w:rPr>
        <w:t>s</w:t>
      </w:r>
      <w:r w:rsidRPr="00E8603C">
        <w:rPr>
          <w:spacing w:val="-4"/>
          <w:kern w:val="22"/>
          <w:lang w:val="en-CA"/>
        </w:rPr>
        <w:t xml:space="preserve"> </w:t>
      </w:r>
      <w:r w:rsidR="002F383A" w:rsidRPr="00E8603C">
        <w:rPr>
          <w:spacing w:val="-4"/>
          <w:kern w:val="22"/>
          <w:lang w:val="en-CA"/>
        </w:rPr>
        <w:t>had risen</w:t>
      </w:r>
      <w:r w:rsidRPr="00E8603C">
        <w:rPr>
          <w:spacing w:val="-4"/>
          <w:kern w:val="22"/>
          <w:lang w:val="en-CA"/>
        </w:rPr>
        <w:t xml:space="preserve">, people </w:t>
      </w:r>
      <w:r w:rsidR="002F383A" w:rsidRPr="00E8603C">
        <w:rPr>
          <w:spacing w:val="-4"/>
          <w:kern w:val="22"/>
          <w:lang w:val="en-CA"/>
        </w:rPr>
        <w:t xml:space="preserve">had </w:t>
      </w:r>
      <w:r w:rsidRPr="00E8603C">
        <w:rPr>
          <w:spacing w:val="-4"/>
          <w:kern w:val="22"/>
          <w:lang w:val="en-CA"/>
        </w:rPr>
        <w:t>shifted from grain-based diet</w:t>
      </w:r>
      <w:r w:rsidR="002F383A" w:rsidRPr="00E8603C">
        <w:rPr>
          <w:spacing w:val="-4"/>
          <w:kern w:val="22"/>
          <w:lang w:val="en-CA"/>
        </w:rPr>
        <w:t>s</w:t>
      </w:r>
      <w:r w:rsidRPr="00E8603C">
        <w:rPr>
          <w:spacing w:val="-4"/>
          <w:kern w:val="22"/>
          <w:lang w:val="en-CA"/>
        </w:rPr>
        <w:t xml:space="preserve"> to high-value diets </w:t>
      </w:r>
      <w:r w:rsidR="002F383A" w:rsidRPr="00E8603C">
        <w:rPr>
          <w:spacing w:val="-4"/>
          <w:kern w:val="22"/>
          <w:lang w:val="en-CA"/>
        </w:rPr>
        <w:t xml:space="preserve">that included </w:t>
      </w:r>
      <w:r w:rsidRPr="00E8603C">
        <w:rPr>
          <w:spacing w:val="-4"/>
          <w:kern w:val="22"/>
          <w:lang w:val="en-CA"/>
        </w:rPr>
        <w:t>more meat and fish.</w:t>
      </w:r>
      <w:r w:rsidRPr="00E8603C">
        <w:rPr>
          <w:rStyle w:val="FootnoteReference"/>
          <w:spacing w:val="-4"/>
          <w:kern w:val="22"/>
          <w:lang w:val="en-CA"/>
        </w:rPr>
        <w:footnoteReference w:id="3"/>
      </w:r>
      <w:r w:rsidRPr="00E8603C">
        <w:rPr>
          <w:spacing w:val="-4"/>
          <w:kern w:val="22"/>
          <w:lang w:val="en-CA"/>
        </w:rPr>
        <w:t xml:space="preserve"> This meant not only</w:t>
      </w:r>
      <w:r w:rsidRPr="00E8603C">
        <w:rPr>
          <w:spacing w:val="-4"/>
          <w:kern w:val="22"/>
          <w:shd w:val="clear" w:color="auto" w:fill="FFFFFF"/>
          <w:lang w:val="en-CA"/>
        </w:rPr>
        <w:t xml:space="preserve"> </w:t>
      </w:r>
      <w:r w:rsidR="002F383A" w:rsidRPr="00E8603C">
        <w:rPr>
          <w:spacing w:val="-4"/>
          <w:kern w:val="22"/>
          <w:lang w:val="en-CA"/>
        </w:rPr>
        <w:t xml:space="preserve">that </w:t>
      </w:r>
      <w:r w:rsidRPr="00E8603C">
        <w:rPr>
          <w:spacing w:val="-4"/>
          <w:kern w:val="22"/>
          <w:lang w:val="en-CA"/>
        </w:rPr>
        <w:t xml:space="preserve">more people </w:t>
      </w:r>
      <w:r w:rsidR="002F383A" w:rsidRPr="00E8603C">
        <w:rPr>
          <w:spacing w:val="-4"/>
          <w:kern w:val="22"/>
          <w:lang w:val="en-CA"/>
        </w:rPr>
        <w:t xml:space="preserve">would </w:t>
      </w:r>
      <w:r w:rsidRPr="00E8603C">
        <w:rPr>
          <w:spacing w:val="-4"/>
          <w:kern w:val="22"/>
          <w:lang w:val="en-CA"/>
        </w:rPr>
        <w:t>be consuming food in general but also that people would be consuming more meat.</w:t>
      </w:r>
    </w:p>
    <w:p w14:paraId="667C37E6" w14:textId="77777777" w:rsidR="002F383A" w:rsidRPr="00E8603C" w:rsidRDefault="002F383A" w:rsidP="006A1675">
      <w:pPr>
        <w:pStyle w:val="BodyTextMain"/>
        <w:rPr>
          <w:sz w:val="14"/>
          <w:szCs w:val="14"/>
          <w:shd w:val="clear" w:color="auto" w:fill="FFFFFF"/>
          <w:lang w:val="en-CA"/>
        </w:rPr>
      </w:pPr>
    </w:p>
    <w:p w14:paraId="08A766C2" w14:textId="7AF3C2A5" w:rsidR="00BB3A3D" w:rsidRPr="00E8603C" w:rsidRDefault="00BB3A3D" w:rsidP="006A1675">
      <w:pPr>
        <w:pStyle w:val="BodyTextMain"/>
        <w:rPr>
          <w:spacing w:val="-2"/>
          <w:kern w:val="22"/>
          <w:lang w:val="en-CA"/>
        </w:rPr>
      </w:pPr>
      <w:r w:rsidRPr="005D294D">
        <w:rPr>
          <w:spacing w:val="-2"/>
          <w:kern w:val="22"/>
          <w:lang w:val="en-CA"/>
        </w:rPr>
        <w:t xml:space="preserve">According to a </w:t>
      </w:r>
      <w:r w:rsidRPr="005D294D">
        <w:rPr>
          <w:spacing w:val="-2"/>
          <w:kern w:val="22"/>
          <w:bdr w:val="none" w:sz="0" w:space="0" w:color="auto" w:frame="1"/>
          <w:lang w:val="en-CA"/>
        </w:rPr>
        <w:t>survey</w:t>
      </w:r>
      <w:r w:rsidRPr="005D294D">
        <w:rPr>
          <w:rStyle w:val="apple-converted-space"/>
          <w:spacing w:val="-2"/>
          <w:kern w:val="22"/>
          <w:lang w:val="en-CA"/>
        </w:rPr>
        <w:t xml:space="preserve"> </w:t>
      </w:r>
      <w:r w:rsidRPr="005D294D">
        <w:rPr>
          <w:spacing w:val="-2"/>
          <w:kern w:val="22"/>
          <w:lang w:val="en-CA"/>
        </w:rPr>
        <w:t>conducted for National Public Radio by Thomson Reuters Corporation and released in 2010, 61 per cent of US consumers were concerned about contamination of the food supply, while 51 per cent worried most about meat safety.</w:t>
      </w:r>
      <w:r w:rsidRPr="005D294D">
        <w:rPr>
          <w:rStyle w:val="FootnoteReference"/>
          <w:spacing w:val="-2"/>
          <w:kern w:val="22"/>
          <w:lang w:val="en-CA"/>
        </w:rPr>
        <w:footnoteReference w:id="4"/>
      </w:r>
      <w:r w:rsidRPr="005D294D">
        <w:rPr>
          <w:spacing w:val="-2"/>
          <w:kern w:val="22"/>
          <w:lang w:val="en-CA"/>
        </w:rPr>
        <w:t xml:space="preserve"> Another report</w:t>
      </w:r>
      <w:r w:rsidR="0072192E" w:rsidRPr="005D294D">
        <w:rPr>
          <w:spacing w:val="-2"/>
          <w:kern w:val="22"/>
          <w:lang w:val="en-CA"/>
        </w:rPr>
        <w:t>,</w:t>
      </w:r>
      <w:r w:rsidRPr="005D294D">
        <w:rPr>
          <w:spacing w:val="-2"/>
          <w:kern w:val="22"/>
          <w:lang w:val="en-CA"/>
        </w:rPr>
        <w:t xml:space="preserve"> by Mintel Group Ltd. in 2013</w:t>
      </w:r>
      <w:r w:rsidR="0072192E" w:rsidRPr="005D294D">
        <w:rPr>
          <w:spacing w:val="-2"/>
          <w:kern w:val="22"/>
          <w:lang w:val="en-CA"/>
        </w:rPr>
        <w:t>,</w:t>
      </w:r>
      <w:r w:rsidRPr="005D294D">
        <w:rPr>
          <w:spacing w:val="-2"/>
          <w:kern w:val="22"/>
          <w:lang w:val="en-CA"/>
        </w:rPr>
        <w:t xml:space="preserve"> showed that the majority of meat eaters (58 per cent) were concerned </w:t>
      </w:r>
      <w:r w:rsidR="0072192E" w:rsidRPr="005D294D">
        <w:rPr>
          <w:spacing w:val="-2"/>
          <w:kern w:val="22"/>
          <w:lang w:val="en-CA"/>
        </w:rPr>
        <w:t xml:space="preserve">about </w:t>
      </w:r>
      <w:r w:rsidRPr="005D294D">
        <w:rPr>
          <w:spacing w:val="-2"/>
          <w:kern w:val="22"/>
          <w:lang w:val="en-CA"/>
        </w:rPr>
        <w:t>the food safety of red meat and pork.</w:t>
      </w:r>
      <w:r w:rsidRPr="005D294D">
        <w:rPr>
          <w:rStyle w:val="FootnoteReference"/>
          <w:rFonts w:eastAsia="Verdana"/>
          <w:spacing w:val="-2"/>
          <w:kern w:val="22"/>
          <w:lang w:val="en-CA"/>
        </w:rPr>
        <w:footnoteReference w:id="5"/>
      </w:r>
      <w:r w:rsidRPr="005D294D">
        <w:rPr>
          <w:spacing w:val="-2"/>
          <w:kern w:val="22"/>
          <w:lang w:val="en-CA"/>
        </w:rPr>
        <w:t xml:space="preserve"> Many customers were looking for </w:t>
      </w:r>
      <w:r w:rsidR="0072192E" w:rsidRPr="005D294D">
        <w:rPr>
          <w:spacing w:val="-2"/>
          <w:kern w:val="22"/>
          <w:lang w:val="en-CA"/>
        </w:rPr>
        <w:t xml:space="preserve">food sources that were </w:t>
      </w:r>
      <w:r w:rsidRPr="005D294D">
        <w:rPr>
          <w:spacing w:val="-2"/>
          <w:kern w:val="22"/>
          <w:lang w:val="en-CA"/>
        </w:rPr>
        <w:t xml:space="preserve">both ethical and responsible as well as </w:t>
      </w:r>
      <w:r w:rsidR="0072192E" w:rsidRPr="005D294D">
        <w:rPr>
          <w:spacing w:val="-2"/>
          <w:kern w:val="22"/>
          <w:lang w:val="en-CA"/>
        </w:rPr>
        <w:t xml:space="preserve">for </w:t>
      </w:r>
      <w:r w:rsidRPr="005D294D">
        <w:rPr>
          <w:spacing w:val="-2"/>
          <w:kern w:val="22"/>
          <w:lang w:val="en-CA"/>
        </w:rPr>
        <w:t>foods with high nutritional</w:t>
      </w:r>
      <w:r w:rsidRPr="00E8603C">
        <w:rPr>
          <w:spacing w:val="-2"/>
          <w:kern w:val="22"/>
          <w:lang w:val="en-CA"/>
        </w:rPr>
        <w:t xml:space="preserve"> value</w:t>
      </w:r>
      <w:r w:rsidR="0072192E" w:rsidRPr="00E8603C">
        <w:rPr>
          <w:spacing w:val="-2"/>
          <w:kern w:val="22"/>
          <w:lang w:val="en-CA"/>
        </w:rPr>
        <w:t xml:space="preserve">—and these qualities were </w:t>
      </w:r>
      <w:r w:rsidRPr="00E8603C">
        <w:rPr>
          <w:spacing w:val="-2"/>
          <w:kern w:val="22"/>
          <w:lang w:val="en-CA"/>
        </w:rPr>
        <w:t xml:space="preserve">especially </w:t>
      </w:r>
      <w:r w:rsidR="0072192E" w:rsidRPr="00E8603C">
        <w:rPr>
          <w:spacing w:val="-2"/>
          <w:kern w:val="22"/>
          <w:lang w:val="en-CA"/>
        </w:rPr>
        <w:t xml:space="preserve">relevant </w:t>
      </w:r>
      <w:r w:rsidRPr="00E8603C">
        <w:rPr>
          <w:spacing w:val="-2"/>
          <w:kern w:val="22"/>
          <w:lang w:val="en-CA"/>
        </w:rPr>
        <w:t>when it came to the meat they consumed. Therefore, many customers were evaluating a range of factors before deciding on the types of meats they would eat. Some chose to increase their consumption of chicken in lieu of red meat. More customers (51 per cent) showed a preference and willingness to pay extra for brands that supported animal welfare</w:t>
      </w:r>
      <w:r w:rsidR="0072192E" w:rsidRPr="00E8603C">
        <w:rPr>
          <w:spacing w:val="-2"/>
          <w:kern w:val="22"/>
          <w:lang w:val="en-CA"/>
        </w:rPr>
        <w:t xml:space="preserve"> by buying products </w:t>
      </w:r>
      <w:r w:rsidRPr="00E8603C">
        <w:rPr>
          <w:spacing w:val="-2"/>
          <w:kern w:val="22"/>
          <w:lang w:val="en-CA"/>
        </w:rPr>
        <w:t xml:space="preserve">such as organic, free-range, </w:t>
      </w:r>
      <w:r w:rsidR="0072192E" w:rsidRPr="00E8603C">
        <w:rPr>
          <w:spacing w:val="-2"/>
          <w:kern w:val="22"/>
          <w:lang w:val="en-CA"/>
        </w:rPr>
        <w:t xml:space="preserve">and </w:t>
      </w:r>
      <w:r w:rsidRPr="00E8603C">
        <w:rPr>
          <w:spacing w:val="-2"/>
          <w:kern w:val="22"/>
          <w:lang w:val="en-CA"/>
        </w:rPr>
        <w:t xml:space="preserve">grass-fed meats. Additionally, there was a growing commitment among US customers to be more health conscious and therefore </w:t>
      </w:r>
      <w:r w:rsidR="0072192E" w:rsidRPr="00E8603C">
        <w:rPr>
          <w:spacing w:val="-2"/>
          <w:kern w:val="22"/>
          <w:lang w:val="en-CA"/>
        </w:rPr>
        <w:t xml:space="preserve">to </w:t>
      </w:r>
      <w:r w:rsidRPr="00E8603C">
        <w:rPr>
          <w:spacing w:val="-2"/>
          <w:kern w:val="22"/>
          <w:lang w:val="en-CA"/>
        </w:rPr>
        <w:t>eat less red meat altogether.</w:t>
      </w:r>
      <w:r w:rsidRPr="00E8603C">
        <w:rPr>
          <w:rStyle w:val="FootnoteReference"/>
          <w:rFonts w:eastAsia="Verdana"/>
          <w:spacing w:val="-2"/>
          <w:kern w:val="22"/>
          <w:lang w:val="en-CA"/>
        </w:rPr>
        <w:footnoteReference w:id="6"/>
      </w:r>
      <w:r w:rsidRPr="00E8603C">
        <w:rPr>
          <w:spacing w:val="-2"/>
          <w:kern w:val="22"/>
          <w:lang w:val="en-CA"/>
        </w:rPr>
        <w:t xml:space="preserve"> </w:t>
      </w:r>
    </w:p>
    <w:p w14:paraId="191DD41B" w14:textId="77777777" w:rsidR="00BB3A3D" w:rsidRPr="00E8603C" w:rsidRDefault="00BB3A3D" w:rsidP="006A1675">
      <w:pPr>
        <w:pStyle w:val="BodyTextMain"/>
        <w:rPr>
          <w:sz w:val="14"/>
          <w:szCs w:val="14"/>
          <w:lang w:val="en-CA"/>
        </w:rPr>
      </w:pPr>
    </w:p>
    <w:p w14:paraId="4DEE0EB1" w14:textId="1E33401E" w:rsidR="00BB3A3D" w:rsidRPr="00743D54" w:rsidRDefault="00BB3A3D" w:rsidP="006A1675">
      <w:pPr>
        <w:pStyle w:val="BodyTextMain"/>
        <w:rPr>
          <w:spacing w:val="-4"/>
          <w:kern w:val="22"/>
          <w:lang w:val="en-CA"/>
        </w:rPr>
      </w:pPr>
      <w:r w:rsidRPr="00743D54">
        <w:rPr>
          <w:spacing w:val="-4"/>
          <w:kern w:val="22"/>
          <w:lang w:val="en-CA"/>
        </w:rPr>
        <w:t xml:space="preserve">A survey of customers conducted in 2013 showed that only 7 per cent identified as vegetarian, while some 36 per cent indicated </w:t>
      </w:r>
      <w:r w:rsidR="0072192E" w:rsidRPr="00743D54">
        <w:rPr>
          <w:spacing w:val="-4"/>
          <w:kern w:val="22"/>
          <w:lang w:val="en-CA"/>
        </w:rPr>
        <w:t xml:space="preserve">that they </w:t>
      </w:r>
      <w:r w:rsidRPr="00743D54">
        <w:rPr>
          <w:spacing w:val="-4"/>
          <w:kern w:val="22"/>
          <w:lang w:val="en-CA"/>
        </w:rPr>
        <w:t>use</w:t>
      </w:r>
      <w:r w:rsidR="0072192E" w:rsidRPr="00743D54">
        <w:rPr>
          <w:spacing w:val="-4"/>
          <w:kern w:val="22"/>
          <w:lang w:val="en-CA"/>
        </w:rPr>
        <w:t>d</w:t>
      </w:r>
      <w:r w:rsidRPr="00743D54">
        <w:rPr>
          <w:spacing w:val="-4"/>
          <w:kern w:val="22"/>
          <w:lang w:val="en-CA"/>
        </w:rPr>
        <w:t xml:space="preserve"> meat alternatives. Of the 36 per cent who consumed meat alternatives, less than half were using </w:t>
      </w:r>
      <w:r w:rsidR="0072192E" w:rsidRPr="00743D54">
        <w:rPr>
          <w:spacing w:val="-4"/>
          <w:kern w:val="22"/>
          <w:lang w:val="en-CA"/>
        </w:rPr>
        <w:t xml:space="preserve">them </w:t>
      </w:r>
      <w:r w:rsidRPr="00743D54">
        <w:rPr>
          <w:spacing w:val="-4"/>
          <w:kern w:val="22"/>
          <w:lang w:val="en-CA"/>
        </w:rPr>
        <w:t>in place of real meat</w:t>
      </w:r>
      <w:r w:rsidR="0072192E" w:rsidRPr="00743D54">
        <w:rPr>
          <w:spacing w:val="-4"/>
          <w:kern w:val="22"/>
          <w:lang w:val="en-CA"/>
        </w:rPr>
        <w:t>,</w:t>
      </w:r>
      <w:r w:rsidRPr="00743D54">
        <w:rPr>
          <w:spacing w:val="-4"/>
          <w:kern w:val="22"/>
          <w:lang w:val="en-CA"/>
        </w:rPr>
        <w:t xml:space="preserve"> and 16 per cent were using the products alongside meat offerings. While many believed that alternative products were healthier than real meat, some said meat alternatives were </w:t>
      </w:r>
      <w:r w:rsidRPr="00743D54">
        <w:rPr>
          <w:spacing w:val="-4"/>
          <w:kern w:val="22"/>
          <w:lang w:val="en-CA"/>
        </w:rPr>
        <w:lastRenderedPageBreak/>
        <w:t xml:space="preserve">too processed. Therefore, developing products that boasted whole ingredients and were promoted </w:t>
      </w:r>
      <w:r w:rsidR="0072192E" w:rsidRPr="00743D54">
        <w:rPr>
          <w:spacing w:val="-4"/>
          <w:kern w:val="22"/>
          <w:lang w:val="en-CA"/>
        </w:rPr>
        <w:t xml:space="preserve">based on </w:t>
      </w:r>
      <w:r w:rsidRPr="00743D54">
        <w:rPr>
          <w:spacing w:val="-4"/>
          <w:kern w:val="22"/>
          <w:lang w:val="en-CA"/>
        </w:rPr>
        <w:t>what they were</w:t>
      </w:r>
      <w:r w:rsidR="00172631" w:rsidRPr="00743D54">
        <w:rPr>
          <w:spacing w:val="-4"/>
          <w:kern w:val="22"/>
          <w:lang w:val="en-CA"/>
        </w:rPr>
        <w:t>,</w:t>
      </w:r>
      <w:r w:rsidRPr="00743D54">
        <w:rPr>
          <w:spacing w:val="-4"/>
          <w:kern w:val="22"/>
          <w:lang w:val="en-CA"/>
        </w:rPr>
        <w:t xml:space="preserve"> rather than </w:t>
      </w:r>
      <w:r w:rsidR="0072192E" w:rsidRPr="00743D54">
        <w:rPr>
          <w:spacing w:val="-4"/>
          <w:kern w:val="22"/>
          <w:lang w:val="en-CA"/>
        </w:rPr>
        <w:t xml:space="preserve">on the products </w:t>
      </w:r>
      <w:r w:rsidRPr="00743D54">
        <w:rPr>
          <w:spacing w:val="-4"/>
          <w:kern w:val="22"/>
          <w:lang w:val="en-CA"/>
        </w:rPr>
        <w:t>they mimic</w:t>
      </w:r>
      <w:r w:rsidR="0072192E" w:rsidRPr="00743D54">
        <w:rPr>
          <w:spacing w:val="-4"/>
          <w:kern w:val="22"/>
          <w:lang w:val="en-CA"/>
        </w:rPr>
        <w:t>ked</w:t>
      </w:r>
      <w:r w:rsidRPr="00743D54">
        <w:rPr>
          <w:spacing w:val="-4"/>
          <w:kern w:val="22"/>
          <w:lang w:val="en-CA"/>
        </w:rPr>
        <w:t>, would be key to attracting the attention of consumers.</w:t>
      </w:r>
      <w:r w:rsidR="00743D54" w:rsidRPr="00743D54">
        <w:rPr>
          <w:rStyle w:val="FootnoteReference"/>
          <w:spacing w:val="-4"/>
          <w:kern w:val="22"/>
          <w:lang w:val="en-CA"/>
        </w:rPr>
        <w:footnoteReference w:id="7"/>
      </w:r>
      <w:r w:rsidRPr="00743D54">
        <w:rPr>
          <w:spacing w:val="-4"/>
          <w:kern w:val="22"/>
          <w:lang w:val="en-CA"/>
        </w:rPr>
        <w:t xml:space="preserve"> </w:t>
      </w:r>
    </w:p>
    <w:p w14:paraId="1C4D0505" w14:textId="77777777" w:rsidR="001F2D2E" w:rsidRPr="00E8603C" w:rsidRDefault="001F2D2E" w:rsidP="00E8603C">
      <w:pPr>
        <w:pStyle w:val="BodyTextMain"/>
      </w:pPr>
    </w:p>
    <w:p w14:paraId="1497706E" w14:textId="5A41A134" w:rsidR="00BB3A3D" w:rsidRPr="00E8603C" w:rsidRDefault="00BB3A3D" w:rsidP="006A1675">
      <w:pPr>
        <w:pStyle w:val="BodyTextMain"/>
        <w:rPr>
          <w:lang w:val="en-CA"/>
        </w:rPr>
      </w:pPr>
      <w:r w:rsidRPr="00E8603C">
        <w:rPr>
          <w:lang w:val="en-CA"/>
        </w:rPr>
        <w:t>Demographic changes were also affecting the meat alternative industry. A 2013 Mintel report showed that 45 per</w:t>
      </w:r>
      <w:r w:rsidR="00172631" w:rsidRPr="00E8603C">
        <w:rPr>
          <w:lang w:val="en-CA"/>
        </w:rPr>
        <w:t xml:space="preserve"> </w:t>
      </w:r>
      <w:r w:rsidRPr="00E8603C">
        <w:rPr>
          <w:lang w:val="en-CA"/>
        </w:rPr>
        <w:t xml:space="preserve">cent of </w:t>
      </w:r>
      <w:r w:rsidR="00172631" w:rsidRPr="00E8603C">
        <w:rPr>
          <w:lang w:val="en-CA"/>
        </w:rPr>
        <w:t>meat-</w:t>
      </w:r>
      <w:r w:rsidRPr="00E8603C">
        <w:rPr>
          <w:lang w:val="en-CA"/>
        </w:rPr>
        <w:t>alternative consumers age</w:t>
      </w:r>
      <w:r w:rsidR="004369EB" w:rsidRPr="00E8603C">
        <w:rPr>
          <w:lang w:val="en-CA"/>
        </w:rPr>
        <w:t>d</w:t>
      </w:r>
      <w:r w:rsidRPr="00E8603C">
        <w:rPr>
          <w:lang w:val="en-CA"/>
        </w:rPr>
        <w:t xml:space="preserve"> 18</w:t>
      </w:r>
      <w:r w:rsidR="004369EB" w:rsidRPr="00E8603C">
        <w:rPr>
          <w:lang w:val="en-CA"/>
        </w:rPr>
        <w:t>–</w:t>
      </w:r>
      <w:r w:rsidRPr="00E8603C">
        <w:rPr>
          <w:lang w:val="en-CA"/>
        </w:rPr>
        <w:t xml:space="preserve">24 used meat alternatives because they enjoyed the taste compared to only 31 per cent of consumers overall. This suggested that younger consumers who </w:t>
      </w:r>
      <w:r w:rsidR="004369EB" w:rsidRPr="00E8603C">
        <w:rPr>
          <w:lang w:val="en-CA"/>
        </w:rPr>
        <w:t xml:space="preserve">were </w:t>
      </w:r>
      <w:r w:rsidRPr="00E8603C">
        <w:rPr>
          <w:lang w:val="en-CA"/>
        </w:rPr>
        <w:t xml:space="preserve">likely to have eaten meat alternatives from a young age </w:t>
      </w:r>
      <w:r w:rsidR="004369EB" w:rsidRPr="00E8603C">
        <w:rPr>
          <w:lang w:val="en-CA"/>
        </w:rPr>
        <w:t xml:space="preserve">were </w:t>
      </w:r>
      <w:r w:rsidRPr="00E8603C">
        <w:rPr>
          <w:lang w:val="en-CA"/>
        </w:rPr>
        <w:t xml:space="preserve">less likely to be concerned about a product with </w:t>
      </w:r>
      <w:r w:rsidR="004369EB" w:rsidRPr="00E8603C">
        <w:rPr>
          <w:lang w:val="en-CA"/>
        </w:rPr>
        <w:t xml:space="preserve">a </w:t>
      </w:r>
      <w:r w:rsidRPr="00E8603C">
        <w:rPr>
          <w:lang w:val="en-CA"/>
        </w:rPr>
        <w:t xml:space="preserve">taste and texture like </w:t>
      </w:r>
      <w:r w:rsidR="004369EB" w:rsidRPr="00E8603C">
        <w:rPr>
          <w:lang w:val="en-CA"/>
        </w:rPr>
        <w:t xml:space="preserve">those of </w:t>
      </w:r>
      <w:r w:rsidRPr="00E8603C">
        <w:rPr>
          <w:lang w:val="en-CA"/>
        </w:rPr>
        <w:t>real meat.</w:t>
      </w:r>
      <w:r w:rsidR="00B561F8">
        <w:rPr>
          <w:rStyle w:val="FootnoteReference"/>
          <w:lang w:val="en-CA"/>
        </w:rPr>
        <w:footnoteReference w:id="8"/>
      </w:r>
      <w:r w:rsidRPr="00E8603C">
        <w:rPr>
          <w:lang w:val="en-CA"/>
        </w:rPr>
        <w:t xml:space="preserve"> </w:t>
      </w:r>
    </w:p>
    <w:p w14:paraId="329A17DB" w14:textId="77777777" w:rsidR="00BB3A3D" w:rsidRPr="00E8603C" w:rsidRDefault="00BB3A3D" w:rsidP="00E8603C">
      <w:pPr>
        <w:pStyle w:val="BodyTextMain"/>
      </w:pPr>
    </w:p>
    <w:p w14:paraId="285EC90E" w14:textId="4B430C54" w:rsidR="00BB3A3D" w:rsidRPr="00E8603C" w:rsidRDefault="00BB3A3D" w:rsidP="006A1675">
      <w:pPr>
        <w:pStyle w:val="BodyTextMain"/>
        <w:rPr>
          <w:lang w:val="en-CA"/>
        </w:rPr>
      </w:pPr>
      <w:r w:rsidRPr="00E8603C">
        <w:rPr>
          <w:lang w:val="en-CA"/>
        </w:rPr>
        <w:t xml:space="preserve">Consumer attention was also focused on research showing that meat consumption was bad for both human health and the environment. The Double Food and Environmental Pyramid showed the ecological footprints of food categories alongside their nutritional value and, unsurprisingly, concluded that fruits and vegetables </w:t>
      </w:r>
      <w:r w:rsidR="00172631" w:rsidRPr="00E8603C">
        <w:rPr>
          <w:lang w:val="en-CA"/>
        </w:rPr>
        <w:t>had the lowest footprint</w:t>
      </w:r>
      <w:r w:rsidRPr="00E8603C">
        <w:rPr>
          <w:lang w:val="en-CA"/>
        </w:rPr>
        <w:t xml:space="preserve"> and </w:t>
      </w:r>
      <w:r w:rsidR="00172631" w:rsidRPr="00E8603C">
        <w:rPr>
          <w:lang w:val="en-CA"/>
        </w:rPr>
        <w:t xml:space="preserve">that </w:t>
      </w:r>
      <w:r w:rsidRPr="00E8603C">
        <w:rPr>
          <w:lang w:val="en-CA"/>
        </w:rPr>
        <w:t xml:space="preserve">red meat </w:t>
      </w:r>
      <w:r w:rsidR="00172631" w:rsidRPr="00E8603C">
        <w:rPr>
          <w:lang w:val="en-CA"/>
        </w:rPr>
        <w:t>had the highest</w:t>
      </w:r>
      <w:r w:rsidRPr="00E8603C">
        <w:rPr>
          <w:lang w:val="en-CA"/>
        </w:rPr>
        <w:t>.</w:t>
      </w:r>
      <w:r w:rsidRPr="00E8603C">
        <w:rPr>
          <w:rStyle w:val="FootnoteReference"/>
          <w:lang w:val="en-CA"/>
        </w:rPr>
        <w:footnoteReference w:id="9"/>
      </w:r>
      <w:r w:rsidRPr="00E8603C">
        <w:rPr>
          <w:lang w:val="en-CA"/>
        </w:rPr>
        <w:t xml:space="preserve"> This study concluded that there was a strong correlation between nutrition and environmental impact: the foods that were most environmentally friendly were often the healthiest, and vice versa (see Exhibit 2).</w:t>
      </w:r>
      <w:r w:rsidRPr="00E8603C">
        <w:rPr>
          <w:rStyle w:val="FootnoteReference"/>
          <w:lang w:val="en-CA"/>
        </w:rPr>
        <w:footnoteReference w:id="10"/>
      </w:r>
    </w:p>
    <w:p w14:paraId="38327A0D" w14:textId="05553B67" w:rsidR="00BB3A3D" w:rsidRPr="00E8603C" w:rsidRDefault="00BB3A3D" w:rsidP="00E8603C">
      <w:pPr>
        <w:pStyle w:val="BodyTextMain"/>
      </w:pPr>
    </w:p>
    <w:p w14:paraId="038108B0" w14:textId="77777777" w:rsidR="00BB3A3D" w:rsidRPr="00E8603C" w:rsidRDefault="00BB3A3D" w:rsidP="00E8603C">
      <w:pPr>
        <w:pStyle w:val="BodyTextMain"/>
      </w:pPr>
    </w:p>
    <w:p w14:paraId="3EE513DD" w14:textId="77777777" w:rsidR="00BB3A3D" w:rsidRPr="00E8603C" w:rsidRDefault="00BB3A3D" w:rsidP="00D838BF">
      <w:pPr>
        <w:pStyle w:val="Casehead1"/>
        <w:outlineLvl w:val="0"/>
        <w:rPr>
          <w:lang w:val="en-CA"/>
        </w:rPr>
      </w:pPr>
      <w:r w:rsidRPr="00E8603C">
        <w:rPr>
          <w:lang w:val="en-CA"/>
        </w:rPr>
        <w:t>THE IMPACT OF LIVESTOCK ON THE ENVIRONMENT</w:t>
      </w:r>
    </w:p>
    <w:p w14:paraId="7537D934" w14:textId="77777777" w:rsidR="00BB3A3D" w:rsidRPr="00E8603C" w:rsidRDefault="00BB3A3D" w:rsidP="00E8603C">
      <w:pPr>
        <w:pStyle w:val="BodyTextMain"/>
      </w:pPr>
    </w:p>
    <w:p w14:paraId="7A948A83" w14:textId="67E11375" w:rsidR="00BB3A3D" w:rsidRPr="00E8603C" w:rsidRDefault="00BB3A3D" w:rsidP="00D838BF">
      <w:pPr>
        <w:pStyle w:val="BodyTextMain"/>
        <w:rPr>
          <w:spacing w:val="-2"/>
          <w:kern w:val="22"/>
          <w:lang w:val="en-CA"/>
        </w:rPr>
      </w:pPr>
      <w:r w:rsidRPr="00E8603C">
        <w:rPr>
          <w:spacing w:val="-2"/>
          <w:kern w:val="22"/>
          <w:lang w:val="en-CA"/>
        </w:rPr>
        <w:t xml:space="preserve">Many studies investigated the negative impact of meat production on the environment, using the </w:t>
      </w:r>
      <w:r w:rsidR="004369EB" w:rsidRPr="00E8603C">
        <w:rPr>
          <w:spacing w:val="-2"/>
          <w:kern w:val="22"/>
          <w:lang w:val="en-CA"/>
        </w:rPr>
        <w:t>l</w:t>
      </w:r>
      <w:r w:rsidRPr="00E8603C">
        <w:rPr>
          <w:spacing w:val="-2"/>
          <w:kern w:val="22"/>
          <w:lang w:val="en-CA"/>
        </w:rPr>
        <w:t xml:space="preserve">ife </w:t>
      </w:r>
      <w:r w:rsidR="004369EB" w:rsidRPr="00E8603C">
        <w:rPr>
          <w:spacing w:val="-2"/>
          <w:kern w:val="22"/>
          <w:lang w:val="en-CA"/>
        </w:rPr>
        <w:t>c</w:t>
      </w:r>
      <w:r w:rsidRPr="00E8603C">
        <w:rPr>
          <w:spacing w:val="-2"/>
          <w:kern w:val="22"/>
          <w:lang w:val="en-CA"/>
        </w:rPr>
        <w:t xml:space="preserve">ycle </w:t>
      </w:r>
      <w:r w:rsidR="004369EB" w:rsidRPr="00E8603C">
        <w:rPr>
          <w:spacing w:val="-2"/>
          <w:kern w:val="22"/>
          <w:lang w:val="en-CA"/>
        </w:rPr>
        <w:t>a</w:t>
      </w:r>
      <w:r w:rsidRPr="00E8603C">
        <w:rPr>
          <w:spacing w:val="-2"/>
          <w:kern w:val="22"/>
          <w:lang w:val="en-CA"/>
        </w:rPr>
        <w:t>ssessment method</w:t>
      </w:r>
      <w:r w:rsidRPr="00E8603C">
        <w:rPr>
          <w:lang w:val="en-CA"/>
        </w:rPr>
        <w:t>, an environmental accounting framework standardized by the International Organization for Standardization (ISO). This method involved quantifying the material inputs, energy inputs, and emissions associated with each stage of the product life cycle—from resource extraction through processing, use, and disposal—based on their contributions to various environmental impact categories</w:t>
      </w:r>
      <w:r w:rsidRPr="00E8603C">
        <w:rPr>
          <w:spacing w:val="-2"/>
          <w:kern w:val="22"/>
          <w:lang w:val="en-CA"/>
        </w:rPr>
        <w:t>.</w:t>
      </w:r>
      <w:r w:rsidRPr="00E8603C">
        <w:rPr>
          <w:rStyle w:val="FootnoteReference"/>
          <w:lang w:val="en-CA"/>
        </w:rPr>
        <w:footnoteReference w:id="11"/>
      </w:r>
      <w:r w:rsidRPr="00E8603C">
        <w:rPr>
          <w:spacing w:val="-2"/>
          <w:kern w:val="22"/>
          <w:lang w:val="en-CA"/>
        </w:rPr>
        <w:t xml:space="preserve"> </w:t>
      </w:r>
    </w:p>
    <w:p w14:paraId="2F92AFB6" w14:textId="77777777" w:rsidR="00BB3A3D" w:rsidRPr="00E8603C" w:rsidRDefault="00BB3A3D" w:rsidP="00E8603C">
      <w:pPr>
        <w:pStyle w:val="BodyTextMain"/>
      </w:pPr>
    </w:p>
    <w:p w14:paraId="296BB727" w14:textId="42A84F8B" w:rsidR="00BB3A3D" w:rsidRPr="00E8603C" w:rsidRDefault="00BB3A3D" w:rsidP="00D838BF">
      <w:pPr>
        <w:pStyle w:val="BodyTextMain"/>
        <w:rPr>
          <w:spacing w:val="-2"/>
          <w:kern w:val="22"/>
          <w:lang w:val="en-CA"/>
        </w:rPr>
      </w:pPr>
      <w:r w:rsidRPr="00E8603C">
        <w:rPr>
          <w:spacing w:val="-2"/>
          <w:kern w:val="22"/>
          <w:lang w:val="en-CA"/>
        </w:rPr>
        <w:t xml:space="preserve">The largest </w:t>
      </w:r>
      <w:r w:rsidR="004369EB" w:rsidRPr="00E8603C">
        <w:rPr>
          <w:spacing w:val="-2"/>
          <w:kern w:val="22"/>
          <w:lang w:val="en-CA"/>
        </w:rPr>
        <w:t xml:space="preserve">contributor to environmentally </w:t>
      </w:r>
      <w:r w:rsidRPr="00E8603C">
        <w:rPr>
          <w:spacing w:val="-2"/>
          <w:kern w:val="22"/>
          <w:lang w:val="en-CA"/>
        </w:rPr>
        <w:t xml:space="preserve">detrimental factors was </w:t>
      </w:r>
      <w:r w:rsidR="004369EB" w:rsidRPr="00E8603C">
        <w:rPr>
          <w:spacing w:val="-2"/>
          <w:kern w:val="22"/>
          <w:lang w:val="en-CA"/>
        </w:rPr>
        <w:t xml:space="preserve">the </w:t>
      </w:r>
      <w:r w:rsidRPr="00E8603C">
        <w:rPr>
          <w:spacing w:val="-2"/>
          <w:kern w:val="22"/>
          <w:lang w:val="en-CA"/>
        </w:rPr>
        <w:t>produc</w:t>
      </w:r>
      <w:r w:rsidR="004369EB" w:rsidRPr="00E8603C">
        <w:rPr>
          <w:spacing w:val="-2"/>
          <w:kern w:val="22"/>
          <w:lang w:val="en-CA"/>
        </w:rPr>
        <w:t>tion of</w:t>
      </w:r>
      <w:r w:rsidRPr="00E8603C">
        <w:rPr>
          <w:spacing w:val="-2"/>
          <w:kern w:val="22"/>
          <w:lang w:val="en-CA"/>
        </w:rPr>
        <w:t xml:space="preserve"> animal feed</w:t>
      </w:r>
      <w:r w:rsidR="004369EB" w:rsidRPr="00E8603C">
        <w:rPr>
          <w:spacing w:val="-2"/>
          <w:kern w:val="22"/>
          <w:lang w:val="en-CA"/>
        </w:rPr>
        <w:t>, which</w:t>
      </w:r>
      <w:r w:rsidRPr="00E8603C">
        <w:rPr>
          <w:spacing w:val="-2"/>
          <w:kern w:val="22"/>
          <w:lang w:val="en-CA"/>
        </w:rPr>
        <w:t xml:space="preserve"> made up 70–80 per cent of the total negative factors. </w:t>
      </w:r>
      <w:r w:rsidRPr="00E8603C">
        <w:rPr>
          <w:lang w:val="en-CA"/>
        </w:rPr>
        <w:t xml:space="preserve">For example, in 2005, the US broiler poultry industry used an estimated 240 billion </w:t>
      </w:r>
      <w:proofErr w:type="spellStart"/>
      <w:r w:rsidRPr="00E8603C">
        <w:rPr>
          <w:lang w:val="en-CA"/>
        </w:rPr>
        <w:t>millijoules</w:t>
      </w:r>
      <w:proofErr w:type="spellEnd"/>
      <w:r w:rsidRPr="00E8603C">
        <w:rPr>
          <w:lang w:val="en-CA"/>
        </w:rPr>
        <w:t xml:space="preserve"> (</w:t>
      </w:r>
      <w:proofErr w:type="spellStart"/>
      <w:r w:rsidRPr="00E8603C">
        <w:rPr>
          <w:lang w:val="en-CA"/>
        </w:rPr>
        <w:t>mJ</w:t>
      </w:r>
      <w:proofErr w:type="spellEnd"/>
      <w:r w:rsidRPr="00E8603C">
        <w:rPr>
          <w:lang w:val="en-CA"/>
        </w:rPr>
        <w:t xml:space="preserve">) of energy—the equivalent of 6.7 billion litres of crude oil—to produce 16 million live-weight tonnes of broiler poultry. The broiler sector also generated </w:t>
      </w:r>
      <w:r w:rsidRPr="00E8603C">
        <w:rPr>
          <w:spacing w:val="-2"/>
          <w:kern w:val="22"/>
          <w:lang w:val="en-CA"/>
        </w:rPr>
        <w:t>22.3 million tonnes of carbon dioxide equivalent (CO</w:t>
      </w:r>
      <w:r w:rsidRPr="00E8603C">
        <w:rPr>
          <w:spacing w:val="-2"/>
          <w:kern w:val="22"/>
          <w:vertAlign w:val="subscript"/>
          <w:lang w:val="en-CA"/>
        </w:rPr>
        <w:t>2</w:t>
      </w:r>
      <w:r w:rsidRPr="00E8603C">
        <w:rPr>
          <w:lang w:val="en-CA"/>
        </w:rPr>
        <w:t xml:space="preserve">e) </w:t>
      </w:r>
      <w:r w:rsidRPr="00E8603C">
        <w:rPr>
          <w:spacing w:val="-2"/>
          <w:kern w:val="22"/>
          <w:lang w:val="en-CA"/>
        </w:rPr>
        <w:t xml:space="preserve">greenhouse gas emissions, more than half a tonne of ozone-depleting emissions, 254,000 tonnes of acidifying emissions, and 62,300 tonnes of </w:t>
      </w:r>
      <w:proofErr w:type="spellStart"/>
      <w:r w:rsidRPr="00E8603C">
        <w:rPr>
          <w:spacing w:val="-2"/>
          <w:kern w:val="22"/>
          <w:lang w:val="en-CA"/>
        </w:rPr>
        <w:t>eutrophying</w:t>
      </w:r>
      <w:proofErr w:type="spellEnd"/>
      <w:r w:rsidR="00B561F8" w:rsidRPr="00E8603C">
        <w:rPr>
          <w:rStyle w:val="FootnoteReference"/>
          <w:spacing w:val="-2"/>
          <w:kern w:val="22"/>
          <w:lang w:val="en-CA"/>
        </w:rPr>
        <w:footnoteReference w:id="12"/>
      </w:r>
      <w:r w:rsidRPr="00E8603C">
        <w:rPr>
          <w:spacing w:val="-2"/>
          <w:kern w:val="22"/>
          <w:lang w:val="en-CA"/>
        </w:rPr>
        <w:t xml:space="preserve"> emissions.</w:t>
      </w:r>
      <w:r w:rsidR="00B561F8">
        <w:rPr>
          <w:rStyle w:val="FootnoteReference"/>
          <w:spacing w:val="-2"/>
          <w:kern w:val="22"/>
          <w:lang w:val="en-CA"/>
        </w:rPr>
        <w:footnoteReference w:id="13"/>
      </w:r>
      <w:r w:rsidRPr="00E8603C">
        <w:rPr>
          <w:spacing w:val="-2"/>
          <w:kern w:val="22"/>
          <w:lang w:val="en-CA"/>
        </w:rPr>
        <w:t xml:space="preserve"> </w:t>
      </w:r>
    </w:p>
    <w:p w14:paraId="245E2B6F" w14:textId="77777777" w:rsidR="00BB3A3D" w:rsidRPr="00E8603C" w:rsidRDefault="00BB3A3D" w:rsidP="00E8603C">
      <w:pPr>
        <w:pStyle w:val="BodyTextMain"/>
      </w:pPr>
    </w:p>
    <w:p w14:paraId="0836F1C0" w14:textId="7745999A" w:rsidR="00BB3A3D" w:rsidRPr="00E8603C" w:rsidRDefault="00BB3A3D" w:rsidP="00DB1D5A">
      <w:pPr>
        <w:pStyle w:val="BodyTextMain"/>
        <w:rPr>
          <w:bCs/>
          <w:spacing w:val="-2"/>
          <w:kern w:val="22"/>
          <w:bdr w:val="none" w:sz="0" w:space="0" w:color="auto" w:frame="1"/>
          <w:shd w:val="clear" w:color="auto" w:fill="FFFFFF"/>
          <w:lang w:val="en-CA"/>
        </w:rPr>
      </w:pPr>
      <w:r w:rsidRPr="00E8603C">
        <w:rPr>
          <w:lang w:val="en-CA"/>
        </w:rPr>
        <w:t>The processing times for plant-based protein</w:t>
      </w:r>
      <w:r w:rsidR="004369EB" w:rsidRPr="00E8603C">
        <w:rPr>
          <w:lang w:val="en-CA"/>
        </w:rPr>
        <w:t>s</w:t>
      </w:r>
      <w:r w:rsidRPr="00E8603C">
        <w:rPr>
          <w:lang w:val="en-CA"/>
        </w:rPr>
        <w:t xml:space="preserve"> and animal meats were also quite different. It took several minutes to process plant extracts and manufacture the protein end product; conversely, </w:t>
      </w:r>
      <w:r w:rsidR="004369EB" w:rsidRPr="00E8603C">
        <w:rPr>
          <w:lang w:val="en-CA"/>
        </w:rPr>
        <w:t xml:space="preserve">it took </w:t>
      </w:r>
      <w:r w:rsidRPr="00E8603C">
        <w:rPr>
          <w:lang w:val="en-CA"/>
        </w:rPr>
        <w:t xml:space="preserve">up to five months </w:t>
      </w:r>
      <w:r w:rsidR="004369EB" w:rsidRPr="00E8603C">
        <w:rPr>
          <w:lang w:val="en-CA"/>
        </w:rPr>
        <w:t>to harvest meat protein end products from</w:t>
      </w:r>
      <w:r w:rsidRPr="00E8603C">
        <w:rPr>
          <w:lang w:val="en-CA"/>
        </w:rPr>
        <w:t xml:space="preserve"> a chicken and </w:t>
      </w:r>
      <w:r w:rsidR="004369EB" w:rsidRPr="00E8603C">
        <w:rPr>
          <w:lang w:val="en-CA"/>
        </w:rPr>
        <w:t xml:space="preserve">up to </w:t>
      </w:r>
      <w:r w:rsidRPr="00E8603C">
        <w:rPr>
          <w:lang w:val="en-CA"/>
        </w:rPr>
        <w:t xml:space="preserve">15 months </w:t>
      </w:r>
      <w:r w:rsidR="004369EB" w:rsidRPr="00E8603C">
        <w:rPr>
          <w:lang w:val="en-CA"/>
        </w:rPr>
        <w:t xml:space="preserve">from </w:t>
      </w:r>
      <w:r w:rsidRPr="00E8603C">
        <w:rPr>
          <w:lang w:val="en-CA"/>
        </w:rPr>
        <w:t xml:space="preserve">a calf. In addition, </w:t>
      </w:r>
      <w:r w:rsidRPr="00E8603C">
        <w:rPr>
          <w:spacing w:val="-2"/>
          <w:kern w:val="22"/>
          <w:lang w:val="en-CA"/>
        </w:rPr>
        <w:lastRenderedPageBreak/>
        <w:t xml:space="preserve">converting grain to animal meat was an inefficient process (see Exhibit 3). </w:t>
      </w:r>
      <w:r w:rsidR="005255E7" w:rsidRPr="00E8603C">
        <w:rPr>
          <w:spacing w:val="-2"/>
          <w:kern w:val="22"/>
          <w:lang w:val="en-CA"/>
        </w:rPr>
        <w:t xml:space="preserve">In </w:t>
      </w:r>
      <w:r w:rsidRPr="00E8603C">
        <w:rPr>
          <w:spacing w:val="-2"/>
          <w:kern w:val="22"/>
          <w:lang w:val="en-CA"/>
        </w:rPr>
        <w:t>beef</w:t>
      </w:r>
      <w:r w:rsidR="005255E7" w:rsidRPr="00E8603C">
        <w:rPr>
          <w:spacing w:val="-2"/>
          <w:kern w:val="22"/>
          <w:lang w:val="en-CA"/>
        </w:rPr>
        <w:t xml:space="preserve"> production</w:t>
      </w:r>
      <w:r w:rsidRPr="00E8603C">
        <w:rPr>
          <w:spacing w:val="-2"/>
          <w:kern w:val="22"/>
          <w:lang w:val="en-CA"/>
        </w:rPr>
        <w:t xml:space="preserve">, </w:t>
      </w:r>
      <w:r w:rsidR="005255E7" w:rsidRPr="00E8603C">
        <w:rPr>
          <w:spacing w:val="-2"/>
          <w:kern w:val="22"/>
          <w:lang w:val="en-CA"/>
        </w:rPr>
        <w:t xml:space="preserve">20 kilograms (kg) </w:t>
      </w:r>
      <w:r w:rsidRPr="00E8603C">
        <w:rPr>
          <w:spacing w:val="-2"/>
          <w:kern w:val="22"/>
          <w:lang w:val="en-CA"/>
        </w:rPr>
        <w:t xml:space="preserve">of grain intake </w:t>
      </w:r>
      <w:r w:rsidR="005255E7" w:rsidRPr="00E8603C">
        <w:rPr>
          <w:spacing w:val="-2"/>
          <w:kern w:val="22"/>
          <w:lang w:val="en-CA"/>
        </w:rPr>
        <w:t>were needed for</w:t>
      </w:r>
      <w:r w:rsidRPr="00E8603C">
        <w:rPr>
          <w:spacing w:val="-2"/>
          <w:kern w:val="22"/>
          <w:lang w:val="en-CA"/>
        </w:rPr>
        <w:t xml:space="preserve"> </w:t>
      </w:r>
      <w:r w:rsidR="005255E7" w:rsidRPr="00E8603C">
        <w:rPr>
          <w:spacing w:val="-2"/>
          <w:kern w:val="22"/>
          <w:lang w:val="en-CA"/>
        </w:rPr>
        <w:t xml:space="preserve">only </w:t>
      </w:r>
      <w:r w:rsidRPr="00E8603C">
        <w:rPr>
          <w:spacing w:val="-2"/>
          <w:kern w:val="22"/>
          <w:lang w:val="en-CA"/>
        </w:rPr>
        <w:t xml:space="preserve">one </w:t>
      </w:r>
      <w:r w:rsidR="005255E7" w:rsidRPr="00E8603C">
        <w:rPr>
          <w:spacing w:val="-2"/>
          <w:kern w:val="22"/>
          <w:lang w:val="en-CA"/>
        </w:rPr>
        <w:t xml:space="preserve">kg </w:t>
      </w:r>
      <w:r w:rsidRPr="00E8603C">
        <w:rPr>
          <w:spacing w:val="-2"/>
          <w:kern w:val="22"/>
          <w:lang w:val="en-CA"/>
        </w:rPr>
        <w:t>of edible meat</w:t>
      </w:r>
      <w:r w:rsidR="005255E7" w:rsidRPr="00E8603C">
        <w:rPr>
          <w:spacing w:val="-2"/>
          <w:kern w:val="22"/>
          <w:lang w:val="en-CA"/>
        </w:rPr>
        <w:t>—</w:t>
      </w:r>
      <w:r w:rsidRPr="00E8603C">
        <w:rPr>
          <w:spacing w:val="-2"/>
          <w:kern w:val="22"/>
          <w:lang w:val="en-CA"/>
        </w:rPr>
        <w:t>a 4 per cent efficiency rate. Plant-based protein required less time and fewer resources to yield an edible product (see Exhibit 2).</w:t>
      </w:r>
      <w:r w:rsidRPr="00E8603C">
        <w:rPr>
          <w:rStyle w:val="Strong"/>
          <w:b w:val="0"/>
          <w:spacing w:val="-2"/>
          <w:kern w:val="22"/>
          <w:bdr w:val="none" w:sz="0" w:space="0" w:color="auto" w:frame="1"/>
          <w:shd w:val="clear" w:color="auto" w:fill="FFFFFF"/>
          <w:lang w:val="en-CA"/>
        </w:rPr>
        <w:t xml:space="preserve"> </w:t>
      </w:r>
    </w:p>
    <w:p w14:paraId="3E7549EB" w14:textId="77777777" w:rsidR="00BB3A3D" w:rsidRPr="00E8603C" w:rsidRDefault="00BB3A3D" w:rsidP="006A1675">
      <w:pPr>
        <w:pStyle w:val="BodyTextMain"/>
        <w:rPr>
          <w:sz w:val="14"/>
          <w:szCs w:val="14"/>
          <w:lang w:val="en-CA"/>
        </w:rPr>
      </w:pPr>
    </w:p>
    <w:p w14:paraId="4AD030F7" w14:textId="77777777" w:rsidR="00BB3A3D" w:rsidRPr="00E8603C" w:rsidRDefault="00BB3A3D" w:rsidP="006A1675">
      <w:pPr>
        <w:pStyle w:val="BodyTextMain"/>
        <w:rPr>
          <w:sz w:val="14"/>
          <w:szCs w:val="14"/>
          <w:lang w:val="en-CA"/>
        </w:rPr>
      </w:pPr>
    </w:p>
    <w:p w14:paraId="55BB4BC4" w14:textId="77777777" w:rsidR="00BB3A3D" w:rsidRPr="00E8603C" w:rsidRDefault="00BB3A3D" w:rsidP="00DB4293">
      <w:pPr>
        <w:pStyle w:val="Casehead1"/>
        <w:outlineLvl w:val="0"/>
        <w:rPr>
          <w:lang w:val="en-CA"/>
        </w:rPr>
      </w:pPr>
      <w:r w:rsidRPr="00E8603C">
        <w:rPr>
          <w:lang w:val="en-CA"/>
        </w:rPr>
        <w:t>THE ORIGIN OF BEYOND MEAT</w:t>
      </w:r>
    </w:p>
    <w:p w14:paraId="0D5687EE" w14:textId="77777777" w:rsidR="00BB3A3D" w:rsidRPr="00E8603C" w:rsidRDefault="00BB3A3D" w:rsidP="000C215D">
      <w:pPr>
        <w:pStyle w:val="BodyTextMain"/>
        <w:rPr>
          <w:sz w:val="14"/>
          <w:szCs w:val="14"/>
          <w:lang w:val="en-CA"/>
        </w:rPr>
      </w:pPr>
    </w:p>
    <w:p w14:paraId="4BA97440" w14:textId="0243F72C" w:rsidR="00BB3A3D" w:rsidRPr="00E8603C" w:rsidRDefault="00BB3A3D" w:rsidP="006A1675">
      <w:pPr>
        <w:pStyle w:val="BodyTextMain"/>
        <w:rPr>
          <w:spacing w:val="-2"/>
          <w:kern w:val="22"/>
          <w:shd w:val="clear" w:color="auto" w:fill="FFFFFF"/>
          <w:lang w:val="en-CA"/>
        </w:rPr>
      </w:pPr>
      <w:r w:rsidRPr="00E8603C">
        <w:rPr>
          <w:spacing w:val="-2"/>
          <w:kern w:val="22"/>
          <w:lang w:val="en-CA"/>
        </w:rPr>
        <w:t xml:space="preserve">Years of studies and reports had shown </w:t>
      </w:r>
      <w:r w:rsidR="00FB0296" w:rsidRPr="00E8603C">
        <w:rPr>
          <w:spacing w:val="-2"/>
          <w:kern w:val="22"/>
          <w:lang w:val="en-CA"/>
        </w:rPr>
        <w:t xml:space="preserve">that diets high in </w:t>
      </w:r>
      <w:r w:rsidRPr="00E8603C">
        <w:rPr>
          <w:spacing w:val="-2"/>
          <w:kern w:val="22"/>
          <w:lang w:val="en-CA"/>
        </w:rPr>
        <w:t xml:space="preserve">red meat </w:t>
      </w:r>
      <w:r w:rsidR="00FB0296" w:rsidRPr="00E8603C">
        <w:rPr>
          <w:spacing w:val="-2"/>
          <w:kern w:val="22"/>
          <w:lang w:val="en-CA"/>
        </w:rPr>
        <w:t xml:space="preserve">had negative effects on </w:t>
      </w:r>
      <w:r w:rsidRPr="00E8603C">
        <w:rPr>
          <w:spacing w:val="-2"/>
          <w:kern w:val="22"/>
          <w:lang w:val="en-CA"/>
        </w:rPr>
        <w:t xml:space="preserve">individual health, </w:t>
      </w:r>
      <w:r w:rsidR="00FB0296" w:rsidRPr="00E8603C">
        <w:rPr>
          <w:spacing w:val="-2"/>
          <w:kern w:val="22"/>
          <w:lang w:val="en-CA"/>
        </w:rPr>
        <w:t xml:space="preserve">contributing to conditions </w:t>
      </w:r>
      <w:r w:rsidRPr="00E8603C">
        <w:rPr>
          <w:spacing w:val="-2"/>
          <w:kern w:val="22"/>
          <w:lang w:val="en-CA"/>
        </w:rPr>
        <w:t xml:space="preserve">such as high cholesterol and hypertension. In addition, although the environmental damage caused by raising livestock was well quantified, very few major corporations, universities, or government agencies were taking actions to tackle these problems. </w:t>
      </w:r>
      <w:r w:rsidR="00FB0296" w:rsidRPr="00E8603C">
        <w:rPr>
          <w:spacing w:val="-2"/>
          <w:kern w:val="22"/>
          <w:lang w:val="en-CA"/>
        </w:rPr>
        <w:t>Neither was any</w:t>
      </w:r>
      <w:r w:rsidRPr="00E8603C">
        <w:rPr>
          <w:spacing w:val="-2"/>
          <w:kern w:val="22"/>
          <w:lang w:val="en-CA"/>
        </w:rPr>
        <w:t xml:space="preserve"> major effort </w:t>
      </w:r>
      <w:r w:rsidR="00FB0296" w:rsidRPr="00E8603C">
        <w:rPr>
          <w:spacing w:val="-2"/>
          <w:kern w:val="22"/>
          <w:lang w:val="en-CA"/>
        </w:rPr>
        <w:t xml:space="preserve">being </w:t>
      </w:r>
      <w:r w:rsidRPr="00E8603C">
        <w:rPr>
          <w:spacing w:val="-2"/>
          <w:kern w:val="22"/>
          <w:lang w:val="en-CA"/>
        </w:rPr>
        <w:t>employed to investigate alternative sources of proteins. Brown saw an opportunity there: “Some of the major corporations have only half a person</w:t>
      </w:r>
      <w:r w:rsidRPr="00E8603C">
        <w:rPr>
          <w:spacing w:val="-2"/>
          <w:kern w:val="22"/>
          <w:shd w:val="clear" w:color="auto" w:fill="FFFFFF"/>
          <w:lang w:val="en-CA"/>
        </w:rPr>
        <w:t xml:space="preserve"> equivalent working in research and development for alternative meat; therefore, we still have the opportunity to be the first one to develop a real plant meat product.” </w:t>
      </w:r>
    </w:p>
    <w:p w14:paraId="3EDD9D55" w14:textId="77777777" w:rsidR="00BB3A3D" w:rsidRPr="00E8603C" w:rsidRDefault="00BB3A3D" w:rsidP="006A1675">
      <w:pPr>
        <w:pStyle w:val="BodyTextMain"/>
        <w:rPr>
          <w:sz w:val="14"/>
          <w:szCs w:val="14"/>
          <w:shd w:val="clear" w:color="auto" w:fill="FFFFFF"/>
          <w:lang w:val="en-CA"/>
        </w:rPr>
      </w:pPr>
    </w:p>
    <w:p w14:paraId="574E026B" w14:textId="72DACFA2" w:rsidR="00BB3A3D" w:rsidRPr="00E8603C" w:rsidRDefault="00BB3A3D" w:rsidP="000D1BCB">
      <w:pPr>
        <w:pStyle w:val="BodyTextMain"/>
        <w:rPr>
          <w:shd w:val="clear" w:color="auto" w:fill="FFFFFF"/>
          <w:lang w:val="en-CA"/>
        </w:rPr>
      </w:pPr>
      <w:r w:rsidRPr="005D294D">
        <w:rPr>
          <w:lang w:val="en-CA"/>
        </w:rPr>
        <w:t>In 2009, Brown rented excess space in a restaurant kitchen</w:t>
      </w:r>
      <w:r w:rsidR="00FB0296" w:rsidRPr="005D294D">
        <w:rPr>
          <w:lang w:val="en-CA"/>
        </w:rPr>
        <w:t>,</w:t>
      </w:r>
      <w:r w:rsidRPr="005D294D">
        <w:rPr>
          <w:lang w:val="en-CA"/>
        </w:rPr>
        <w:t xml:space="preserve"> imported plant-based meat substitutes from Asia, </w:t>
      </w:r>
      <w:r w:rsidR="00FB0296" w:rsidRPr="005D294D">
        <w:rPr>
          <w:lang w:val="en-CA"/>
        </w:rPr>
        <w:t>and</w:t>
      </w:r>
      <w:r w:rsidRPr="005D294D">
        <w:rPr>
          <w:lang w:val="en-CA"/>
        </w:rPr>
        <w:t xml:space="preserve"> prepared and sold </w:t>
      </w:r>
      <w:r w:rsidR="00FB0296" w:rsidRPr="005D294D">
        <w:rPr>
          <w:lang w:val="en-CA"/>
        </w:rPr>
        <w:t xml:space="preserve">these products </w:t>
      </w:r>
      <w:r w:rsidRPr="005D294D">
        <w:rPr>
          <w:lang w:val="en-CA"/>
        </w:rPr>
        <w:t xml:space="preserve">to Whole Foods Market. As his operation and the demand became bigger, Brown took over a kitchen in a converted hospital during </w:t>
      </w:r>
      <w:r w:rsidR="00365C09">
        <w:rPr>
          <w:lang w:val="en-CA"/>
        </w:rPr>
        <w:t>his</w:t>
      </w:r>
      <w:r w:rsidR="00FB0296" w:rsidRPr="005D294D">
        <w:rPr>
          <w:lang w:val="en-CA"/>
        </w:rPr>
        <w:t xml:space="preserve"> </w:t>
      </w:r>
      <w:r w:rsidRPr="005D294D">
        <w:rPr>
          <w:lang w:val="en-CA"/>
        </w:rPr>
        <w:t>evening off-hours</w:t>
      </w:r>
      <w:r w:rsidR="00FB0296" w:rsidRPr="005D294D">
        <w:rPr>
          <w:lang w:val="en-CA"/>
        </w:rPr>
        <w:t>—</w:t>
      </w:r>
      <w:r w:rsidRPr="005D294D">
        <w:rPr>
          <w:lang w:val="en-CA"/>
        </w:rPr>
        <w:t xml:space="preserve">all while maintaining his </w:t>
      </w:r>
      <w:r w:rsidR="00FB0296" w:rsidRPr="005D294D">
        <w:rPr>
          <w:lang w:val="en-CA"/>
        </w:rPr>
        <w:t>full-</w:t>
      </w:r>
      <w:r w:rsidRPr="005D294D">
        <w:rPr>
          <w:lang w:val="en-CA"/>
        </w:rPr>
        <w:t>time job. In 2010, Brown met Brent Taylor</w:t>
      </w:r>
      <w:r w:rsidR="009E7B29" w:rsidRPr="005D294D">
        <w:rPr>
          <w:lang w:val="en-CA"/>
        </w:rPr>
        <w:t>, who</w:t>
      </w:r>
      <w:r w:rsidRPr="005D294D">
        <w:rPr>
          <w:lang w:val="en-CA"/>
        </w:rPr>
        <w:t xml:space="preserve"> was working for the venture capital firm </w:t>
      </w:r>
      <w:proofErr w:type="spellStart"/>
      <w:r w:rsidRPr="005D294D">
        <w:rPr>
          <w:lang w:val="en-CA"/>
        </w:rPr>
        <w:t>Kleiner</w:t>
      </w:r>
      <w:proofErr w:type="spellEnd"/>
      <w:r w:rsidRPr="005D294D">
        <w:rPr>
          <w:lang w:val="en-CA"/>
        </w:rPr>
        <w:t xml:space="preserve"> Perkins </w:t>
      </w:r>
      <w:proofErr w:type="spellStart"/>
      <w:r w:rsidRPr="005D294D">
        <w:rPr>
          <w:lang w:val="en-CA"/>
        </w:rPr>
        <w:t>Caufield</w:t>
      </w:r>
      <w:proofErr w:type="spellEnd"/>
      <w:r w:rsidRPr="005D294D">
        <w:rPr>
          <w:lang w:val="en-CA"/>
        </w:rPr>
        <w:t xml:space="preserve"> &amp; Byers (KPCB)</w:t>
      </w:r>
      <w:r w:rsidR="00172631" w:rsidRPr="005D294D">
        <w:rPr>
          <w:lang w:val="en-CA"/>
        </w:rPr>
        <w:t>,</w:t>
      </w:r>
      <w:r w:rsidRPr="005D294D">
        <w:rPr>
          <w:lang w:val="en-CA"/>
        </w:rPr>
        <w:t xml:space="preserve"> doing the research on Beyond Meat for </w:t>
      </w:r>
      <w:r w:rsidR="00172631" w:rsidRPr="005D294D">
        <w:rPr>
          <w:lang w:val="en-CA"/>
        </w:rPr>
        <w:t xml:space="preserve">potential </w:t>
      </w:r>
      <w:r w:rsidRPr="005D294D">
        <w:rPr>
          <w:lang w:val="en-CA"/>
        </w:rPr>
        <w:t xml:space="preserve">funding. </w:t>
      </w:r>
      <w:r w:rsidRPr="00E8603C">
        <w:rPr>
          <w:shd w:val="clear" w:color="auto" w:fill="FFFFFF"/>
          <w:lang w:val="en-CA"/>
        </w:rPr>
        <w:t xml:space="preserve">Brown asked Taylor to join the company, and he agreed. </w:t>
      </w:r>
    </w:p>
    <w:p w14:paraId="429DAA3C" w14:textId="77777777" w:rsidR="00BB3A3D" w:rsidRPr="00E8603C" w:rsidRDefault="00BB3A3D" w:rsidP="000D1BCB">
      <w:pPr>
        <w:pStyle w:val="BodyTextMain"/>
        <w:rPr>
          <w:sz w:val="14"/>
          <w:szCs w:val="14"/>
          <w:shd w:val="clear" w:color="auto" w:fill="FFFFFF"/>
          <w:lang w:val="en-CA"/>
        </w:rPr>
      </w:pPr>
    </w:p>
    <w:p w14:paraId="623822E3" w14:textId="080FB7B1" w:rsidR="00BB3A3D" w:rsidRPr="00E8603C" w:rsidRDefault="00BB3A3D" w:rsidP="00365C09">
      <w:pPr>
        <w:pStyle w:val="BodyTextMain"/>
        <w:rPr>
          <w:highlight w:val="white"/>
          <w:lang w:val="en-CA"/>
        </w:rPr>
      </w:pPr>
      <w:r w:rsidRPr="00E8603C">
        <w:rPr>
          <w:lang w:val="en-CA"/>
        </w:rPr>
        <w:t xml:space="preserve">Brown looked at different meat substitutes, especially those based on plant proteins, to solve the challenge of making food more sustainable. </w:t>
      </w:r>
      <w:r w:rsidR="007B7058" w:rsidRPr="00E8603C">
        <w:rPr>
          <w:lang w:val="en-CA"/>
        </w:rPr>
        <w:t xml:space="preserve">His </w:t>
      </w:r>
      <w:r w:rsidRPr="00E8603C">
        <w:rPr>
          <w:lang w:val="en-CA"/>
        </w:rPr>
        <w:t xml:space="preserve">scientific breakthrough came after </w:t>
      </w:r>
      <w:r w:rsidR="007B7058" w:rsidRPr="00E8603C">
        <w:rPr>
          <w:lang w:val="en-CA"/>
        </w:rPr>
        <w:t xml:space="preserve">he </w:t>
      </w:r>
      <w:r w:rsidRPr="00E8603C">
        <w:rPr>
          <w:lang w:val="en-CA"/>
        </w:rPr>
        <w:t xml:space="preserve">met with </w:t>
      </w:r>
      <w:r w:rsidRPr="00E8603C">
        <w:rPr>
          <w:highlight w:val="white"/>
          <w:lang w:val="en-CA"/>
        </w:rPr>
        <w:t>Dr. Fu-</w:t>
      </w:r>
      <w:r w:rsidR="007B7058" w:rsidRPr="00E8603C">
        <w:rPr>
          <w:highlight w:val="white"/>
          <w:lang w:val="en-CA"/>
        </w:rPr>
        <w:t xml:space="preserve">Hung </w:t>
      </w:r>
      <w:r w:rsidRPr="00E8603C">
        <w:rPr>
          <w:highlight w:val="white"/>
          <w:lang w:val="en-CA"/>
        </w:rPr>
        <w:t>Hsieh</w:t>
      </w:r>
      <w:r w:rsidR="00365C09">
        <w:rPr>
          <w:highlight w:val="white"/>
          <w:lang w:val="en-CA"/>
        </w:rPr>
        <w:t xml:space="preserve"> and Harold Huff, two scientists at the University of Missouri who were working to develop a soy protein extraction</w:t>
      </w:r>
      <w:r w:rsidRPr="00E8603C">
        <w:rPr>
          <w:lang w:val="en-CA"/>
        </w:rPr>
        <w:t xml:space="preserve"> </w:t>
      </w:r>
      <w:r w:rsidRPr="00E8603C">
        <w:rPr>
          <w:highlight w:val="white"/>
          <w:lang w:val="en-CA"/>
        </w:rPr>
        <w:t>method to create meat-like structures</w:t>
      </w:r>
      <w:r w:rsidR="007B7058" w:rsidRPr="00E8603C">
        <w:rPr>
          <w:highlight w:val="white"/>
          <w:lang w:val="en-CA"/>
        </w:rPr>
        <w:t xml:space="preserve">: </w:t>
      </w:r>
      <w:r w:rsidRPr="00E8603C">
        <w:rPr>
          <w:lang w:val="en-CA"/>
        </w:rPr>
        <w:t>“</w:t>
      </w:r>
      <w:r w:rsidR="007B7058" w:rsidRPr="00E8603C">
        <w:rPr>
          <w:lang w:val="en-CA"/>
        </w:rPr>
        <w:t xml:space="preserve">Soy </w:t>
      </w:r>
      <w:r w:rsidRPr="00E8603C">
        <w:rPr>
          <w:lang w:val="en-CA"/>
        </w:rPr>
        <w:t>protein, mixed with gluten and starch</w:t>
      </w:r>
      <w:r w:rsidR="007B7058" w:rsidRPr="00E8603C">
        <w:rPr>
          <w:lang w:val="en-CA"/>
        </w:rPr>
        <w:t>, was</w:t>
      </w:r>
      <w:r w:rsidRPr="00E8603C">
        <w:rPr>
          <w:lang w:val="en-CA"/>
        </w:rPr>
        <w:t xml:space="preserve"> extruded into fibrous meat analogues under high-moisture and high-temperature conditions</w:t>
      </w:r>
      <w:r w:rsidRPr="00E8603C">
        <w:rPr>
          <w:rStyle w:val="apple-converted-space"/>
          <w:lang w:val="en-CA"/>
        </w:rPr>
        <w:t>”</w:t>
      </w:r>
      <w:r w:rsidRPr="00E8603C">
        <w:rPr>
          <w:rStyle w:val="FootnoteReference"/>
          <w:lang w:val="en-CA"/>
        </w:rPr>
        <w:footnoteReference w:id="14"/>
      </w:r>
      <w:r w:rsidRPr="00E8603C">
        <w:rPr>
          <w:rStyle w:val="apple-converted-space"/>
          <w:lang w:val="en-CA"/>
        </w:rPr>
        <w:t xml:space="preserve"> </w:t>
      </w:r>
      <w:r w:rsidR="007B7058" w:rsidRPr="00E8603C">
        <w:rPr>
          <w:rStyle w:val="apple-converted-space"/>
          <w:lang w:val="en-CA"/>
        </w:rPr>
        <w:t xml:space="preserve">(see Exhibit 4). </w:t>
      </w:r>
      <w:r w:rsidR="007B7058" w:rsidRPr="00E8603C">
        <w:rPr>
          <w:lang w:val="en-CA"/>
        </w:rPr>
        <w:t xml:space="preserve">Identifying </w:t>
      </w:r>
      <w:r w:rsidRPr="00E8603C">
        <w:rPr>
          <w:lang w:val="en-CA"/>
        </w:rPr>
        <w:t xml:space="preserve">the </w:t>
      </w:r>
      <w:r w:rsidR="007B7058" w:rsidRPr="00E8603C">
        <w:rPr>
          <w:lang w:val="en-CA"/>
        </w:rPr>
        <w:t xml:space="preserve">correct </w:t>
      </w:r>
      <w:r w:rsidRPr="00E8603C">
        <w:rPr>
          <w:lang w:val="en-CA"/>
        </w:rPr>
        <w:t>parameters was the magic and the art behind making the</w:t>
      </w:r>
      <w:r w:rsidR="007B7058" w:rsidRPr="00E8603C">
        <w:rPr>
          <w:rStyle w:val="apple-converted-space"/>
          <w:lang w:val="en-CA"/>
        </w:rPr>
        <w:t xml:space="preserve"> resulting stranded form</w:t>
      </w:r>
      <w:r w:rsidR="0081151A" w:rsidRPr="00E8603C">
        <w:rPr>
          <w:rStyle w:val="apple-converted-space"/>
          <w:lang w:val="en-CA"/>
        </w:rPr>
        <w:t>, which</w:t>
      </w:r>
      <w:r w:rsidR="007B7058" w:rsidRPr="00E8603C">
        <w:rPr>
          <w:rStyle w:val="apple-converted-space"/>
          <w:lang w:val="en-CA"/>
        </w:rPr>
        <w:t xml:space="preserve"> was similar to muscle fibres</w:t>
      </w:r>
      <w:r w:rsidRPr="00E8603C">
        <w:rPr>
          <w:rStyle w:val="apple-converted-space"/>
          <w:lang w:val="en-CA"/>
        </w:rPr>
        <w:t>.</w:t>
      </w:r>
      <w:r w:rsidRPr="00E8603C">
        <w:rPr>
          <w:highlight w:val="white"/>
          <w:lang w:val="en-CA"/>
        </w:rPr>
        <w:t xml:space="preserve"> </w:t>
      </w:r>
    </w:p>
    <w:p w14:paraId="5CF7FD3D" w14:textId="67F6E25B" w:rsidR="00BB3A3D" w:rsidRDefault="00BB3A3D" w:rsidP="006A1675">
      <w:pPr>
        <w:pStyle w:val="BodyTextMain"/>
        <w:rPr>
          <w:sz w:val="14"/>
          <w:szCs w:val="14"/>
          <w:highlight w:val="white"/>
          <w:lang w:val="en-CA"/>
        </w:rPr>
      </w:pPr>
    </w:p>
    <w:p w14:paraId="49B3D210" w14:textId="07103B91" w:rsidR="00BB3A3D" w:rsidRPr="00E8603C" w:rsidRDefault="00B561F8" w:rsidP="00B561F8">
      <w:pPr>
        <w:pStyle w:val="BodyTextMain"/>
        <w:rPr>
          <w:shd w:val="clear" w:color="auto" w:fill="FFFFFF"/>
          <w:lang w:val="en-CA"/>
        </w:rPr>
      </w:pPr>
      <w:r>
        <w:rPr>
          <w:highlight w:val="white"/>
        </w:rPr>
        <w:t>After several years of collaboration with the University of Missouri, the University of Maryland, KPCB, and The Obvious Corporation, Beyond Meat was born. The idea behind the company was to use plant proteins</w:t>
      </w:r>
      <w:r w:rsidR="00BB3A3D" w:rsidRPr="00E8603C">
        <w:rPr>
          <w:lang w:val="en-CA"/>
        </w:rPr>
        <w:t xml:space="preserve"> proteins as </w:t>
      </w:r>
      <w:r w:rsidR="0081151A" w:rsidRPr="00E8603C">
        <w:rPr>
          <w:lang w:val="en-CA"/>
        </w:rPr>
        <w:t xml:space="preserve">the </w:t>
      </w:r>
      <w:r w:rsidR="00BB3A3D" w:rsidRPr="00E8603C">
        <w:rPr>
          <w:lang w:val="en-CA"/>
        </w:rPr>
        <w:t xml:space="preserve">base </w:t>
      </w:r>
      <w:r w:rsidR="0081151A" w:rsidRPr="00E8603C">
        <w:rPr>
          <w:lang w:val="en-CA"/>
        </w:rPr>
        <w:t xml:space="preserve">for a product that </w:t>
      </w:r>
      <w:r w:rsidR="00BB3A3D" w:rsidRPr="00E8603C">
        <w:rPr>
          <w:lang w:val="en-CA"/>
        </w:rPr>
        <w:t>reproduce</w:t>
      </w:r>
      <w:r w:rsidR="0081151A" w:rsidRPr="00E8603C">
        <w:rPr>
          <w:lang w:val="en-CA"/>
        </w:rPr>
        <w:t>d</w:t>
      </w:r>
      <w:r w:rsidR="00BB3A3D" w:rsidRPr="00E8603C">
        <w:rPr>
          <w:lang w:val="en-CA"/>
        </w:rPr>
        <w:t xml:space="preserve"> </w:t>
      </w:r>
      <w:r w:rsidR="0081151A" w:rsidRPr="00E8603C">
        <w:rPr>
          <w:lang w:val="en-CA"/>
        </w:rPr>
        <w:t xml:space="preserve">the </w:t>
      </w:r>
      <w:r w:rsidR="00BB3A3D" w:rsidRPr="00E8603C">
        <w:rPr>
          <w:lang w:val="en-CA"/>
        </w:rPr>
        <w:t>primary tissue structure of animal meat. The objective was a final product that should look,</w:t>
      </w:r>
      <w:r w:rsidR="00BB3A3D" w:rsidRPr="00E8603C">
        <w:rPr>
          <w:shd w:val="clear" w:color="auto" w:fill="FFFFFF"/>
          <w:lang w:val="en-CA"/>
        </w:rPr>
        <w:t xml:space="preserve"> </w:t>
      </w:r>
      <w:r w:rsidR="00BB3A3D" w:rsidRPr="00E8603C">
        <w:rPr>
          <w:lang w:val="en-CA"/>
        </w:rPr>
        <w:t>taste, and feel like real meat.</w:t>
      </w:r>
      <w:r w:rsidR="00BB3A3D" w:rsidRPr="00E8603C">
        <w:rPr>
          <w:shd w:val="clear" w:color="auto" w:fill="FFFFFF"/>
          <w:lang w:val="en-CA"/>
        </w:rPr>
        <w:t xml:space="preserve"> </w:t>
      </w:r>
    </w:p>
    <w:p w14:paraId="4F0F98A5" w14:textId="77777777" w:rsidR="00BB3A3D" w:rsidRPr="00E8603C" w:rsidRDefault="00BB3A3D" w:rsidP="00DB1D5A">
      <w:pPr>
        <w:pStyle w:val="BodyTextMain"/>
        <w:rPr>
          <w:sz w:val="14"/>
          <w:szCs w:val="14"/>
          <w:shd w:val="clear" w:color="auto" w:fill="FFFFFF"/>
          <w:lang w:val="en-CA"/>
        </w:rPr>
      </w:pPr>
    </w:p>
    <w:p w14:paraId="128E9F02" w14:textId="77777777" w:rsidR="00BB3A3D" w:rsidRPr="00E8603C" w:rsidRDefault="00BB3A3D" w:rsidP="00DB1D5A">
      <w:pPr>
        <w:pStyle w:val="BodyTextMain"/>
        <w:rPr>
          <w:sz w:val="14"/>
          <w:szCs w:val="14"/>
          <w:shd w:val="clear" w:color="auto" w:fill="FFFFFF"/>
          <w:lang w:val="en-CA"/>
        </w:rPr>
      </w:pPr>
    </w:p>
    <w:p w14:paraId="0476D87C" w14:textId="77777777" w:rsidR="00BB3A3D" w:rsidRPr="00E8603C" w:rsidRDefault="00BB3A3D" w:rsidP="00DB1D5A">
      <w:pPr>
        <w:pStyle w:val="Casehead1"/>
        <w:outlineLvl w:val="0"/>
        <w:rPr>
          <w:lang w:val="en-CA"/>
        </w:rPr>
      </w:pPr>
      <w:r w:rsidRPr="00E8603C">
        <w:rPr>
          <w:lang w:val="en-CA"/>
        </w:rPr>
        <w:t xml:space="preserve">BEYOND MEAT IN 2014 </w:t>
      </w:r>
    </w:p>
    <w:p w14:paraId="5E5BCED5" w14:textId="77777777" w:rsidR="00BB3A3D" w:rsidRPr="00E8603C" w:rsidRDefault="00BB3A3D" w:rsidP="00DB1D5A">
      <w:pPr>
        <w:pStyle w:val="BodyTextMain"/>
        <w:rPr>
          <w:sz w:val="14"/>
          <w:szCs w:val="14"/>
          <w:shd w:val="clear" w:color="auto" w:fill="FFFFFF"/>
          <w:lang w:val="en-CA"/>
        </w:rPr>
      </w:pPr>
    </w:p>
    <w:p w14:paraId="5EBA8D28" w14:textId="39621B96" w:rsidR="00BB3A3D" w:rsidRPr="00E8603C" w:rsidRDefault="00BB3A3D" w:rsidP="00DB1D5A">
      <w:pPr>
        <w:pStyle w:val="BodyTextMain"/>
        <w:rPr>
          <w:spacing w:val="-2"/>
          <w:kern w:val="22"/>
          <w:shd w:val="clear" w:color="auto" w:fill="FFFFFF"/>
          <w:lang w:val="en-CA"/>
        </w:rPr>
      </w:pPr>
      <w:r w:rsidRPr="00E8603C">
        <w:rPr>
          <w:spacing w:val="-2"/>
          <w:kern w:val="22"/>
          <w:lang w:val="en-CA"/>
        </w:rPr>
        <w:t xml:space="preserve">Beyond Meat was headquartered in Los Angeles, California, in a </w:t>
      </w:r>
      <w:r w:rsidR="00583912" w:rsidRPr="00E8603C">
        <w:rPr>
          <w:spacing w:val="-2"/>
          <w:kern w:val="22"/>
          <w:lang w:val="en-CA"/>
        </w:rPr>
        <w:t>372-square-metre</w:t>
      </w:r>
      <w:r w:rsidR="00583912" w:rsidRPr="00E8603C" w:rsidDel="00583912">
        <w:rPr>
          <w:spacing w:val="-2"/>
          <w:kern w:val="22"/>
          <w:lang w:val="en-CA"/>
        </w:rPr>
        <w:t xml:space="preserve"> </w:t>
      </w:r>
      <w:r w:rsidRPr="00E8603C">
        <w:rPr>
          <w:spacing w:val="-2"/>
          <w:kern w:val="22"/>
          <w:lang w:val="en-CA"/>
        </w:rPr>
        <w:t xml:space="preserve">building. The company had </w:t>
      </w:r>
      <w:r w:rsidR="0081151A" w:rsidRPr="00E8603C">
        <w:rPr>
          <w:spacing w:val="-2"/>
          <w:kern w:val="22"/>
          <w:lang w:val="en-CA"/>
        </w:rPr>
        <w:t xml:space="preserve">a </w:t>
      </w:r>
      <w:r w:rsidRPr="00E8603C">
        <w:rPr>
          <w:spacing w:val="-2"/>
          <w:kern w:val="22"/>
          <w:lang w:val="en-CA"/>
        </w:rPr>
        <w:t>factory in Columbia, Missouri, and employed approximately 50 employees</w:t>
      </w:r>
      <w:r w:rsidR="0081151A" w:rsidRPr="00E8603C">
        <w:rPr>
          <w:spacing w:val="-2"/>
          <w:kern w:val="22"/>
          <w:lang w:val="en-CA"/>
        </w:rPr>
        <w:t xml:space="preserve"> overall</w:t>
      </w:r>
      <w:r w:rsidRPr="00E8603C">
        <w:rPr>
          <w:spacing w:val="-2"/>
          <w:kern w:val="22"/>
          <w:lang w:val="en-CA"/>
        </w:rPr>
        <w:t>. The leadership team of four included founder and CEO, Ethan Brown; co-founder, Brent Taylor; executive vice-president of</w:t>
      </w:r>
      <w:r w:rsidRPr="00E8603C">
        <w:rPr>
          <w:spacing w:val="-2"/>
          <w:kern w:val="22"/>
          <w:shd w:val="clear" w:color="auto" w:fill="FFFFFF"/>
          <w:lang w:val="en-CA"/>
        </w:rPr>
        <w:t xml:space="preserve"> </w:t>
      </w:r>
      <w:r w:rsidRPr="00E8603C">
        <w:rPr>
          <w:spacing w:val="-2"/>
          <w:kern w:val="22"/>
          <w:lang w:val="en-CA"/>
        </w:rPr>
        <w:t xml:space="preserve">operations and product development, Bob </w:t>
      </w:r>
      <w:proofErr w:type="spellStart"/>
      <w:r w:rsidRPr="00E8603C">
        <w:rPr>
          <w:spacing w:val="-2"/>
          <w:kern w:val="22"/>
          <w:lang w:val="en-CA"/>
        </w:rPr>
        <w:t>Prusha</w:t>
      </w:r>
      <w:proofErr w:type="spellEnd"/>
      <w:r w:rsidRPr="00E8603C">
        <w:rPr>
          <w:spacing w:val="-2"/>
          <w:kern w:val="22"/>
          <w:lang w:val="en-CA"/>
        </w:rPr>
        <w:t xml:space="preserve">; and chief financial officer, Tony </w:t>
      </w:r>
      <w:proofErr w:type="spellStart"/>
      <w:r w:rsidRPr="00E8603C">
        <w:rPr>
          <w:spacing w:val="-2"/>
          <w:kern w:val="22"/>
          <w:lang w:val="en-CA"/>
        </w:rPr>
        <w:t>Prudhomme</w:t>
      </w:r>
      <w:proofErr w:type="spellEnd"/>
      <w:r w:rsidRPr="00E8603C">
        <w:rPr>
          <w:spacing w:val="-2"/>
          <w:kern w:val="22"/>
          <w:lang w:val="en-CA"/>
        </w:rPr>
        <w:t>.</w:t>
      </w:r>
      <w:r w:rsidRPr="00E8603C">
        <w:rPr>
          <w:spacing w:val="-2"/>
          <w:kern w:val="22"/>
          <w:shd w:val="clear" w:color="auto" w:fill="FFFFFF"/>
          <w:lang w:val="en-CA"/>
        </w:rPr>
        <w:t xml:space="preserve"> </w:t>
      </w:r>
    </w:p>
    <w:p w14:paraId="0DDF754B" w14:textId="77777777" w:rsidR="00BB3A3D" w:rsidRPr="00E8603C" w:rsidRDefault="00BB3A3D" w:rsidP="00DB1D5A">
      <w:pPr>
        <w:pStyle w:val="BodyTextMain"/>
        <w:rPr>
          <w:sz w:val="14"/>
          <w:szCs w:val="14"/>
          <w:shd w:val="clear" w:color="auto" w:fill="FFFFFF"/>
          <w:lang w:val="en-CA"/>
        </w:rPr>
      </w:pPr>
    </w:p>
    <w:p w14:paraId="031AADA8" w14:textId="76FD49D9" w:rsidR="00BB3A3D" w:rsidRPr="00E8603C" w:rsidRDefault="00BB3A3D" w:rsidP="00DB1D5A">
      <w:pPr>
        <w:pStyle w:val="BodyTextMain"/>
        <w:rPr>
          <w:shd w:val="clear" w:color="auto" w:fill="FFFFFF"/>
          <w:lang w:val="en-CA"/>
        </w:rPr>
      </w:pPr>
      <w:r w:rsidRPr="00E8603C">
        <w:rPr>
          <w:lang w:val="en-CA"/>
        </w:rPr>
        <w:t>Beyond Meat products included Beyond Beef Crumbles (Feisty and Beefy) and Beyond Chicken Strips (Southwest Style, Grilled, and Lightly Seasoned) (see Exhibit 5). Initially, the products were sold exclusively to Whole Foods Market; but</w:t>
      </w:r>
      <w:r w:rsidR="00D160D8">
        <w:rPr>
          <w:lang w:val="en-CA"/>
        </w:rPr>
        <w:t>,</w:t>
      </w:r>
      <w:r w:rsidRPr="00E8603C">
        <w:rPr>
          <w:lang w:val="en-CA"/>
        </w:rPr>
        <w:t xml:space="preserve"> by 2014, the products were sold in 5,000 locations across the United States. Beyond Meat product pricing was comparable to that of regular cooked chicken strips and crumbled beef; for example, a </w:t>
      </w:r>
      <w:r w:rsidR="0081151A" w:rsidRPr="00E8603C">
        <w:rPr>
          <w:lang w:val="en-CA"/>
        </w:rPr>
        <w:t>nine</w:t>
      </w:r>
      <w:r w:rsidRPr="00E8603C">
        <w:rPr>
          <w:lang w:val="en-CA"/>
        </w:rPr>
        <w:t xml:space="preserve">-ounce </w:t>
      </w:r>
      <w:r w:rsidR="0081151A" w:rsidRPr="00E8603C">
        <w:rPr>
          <w:lang w:val="en-CA"/>
        </w:rPr>
        <w:t xml:space="preserve">(0.25 kg) package </w:t>
      </w:r>
      <w:r w:rsidRPr="00E8603C">
        <w:rPr>
          <w:lang w:val="en-CA"/>
        </w:rPr>
        <w:t xml:space="preserve">of Beyond Meat chicken strips sold for approximately $5.45. An </w:t>
      </w:r>
      <w:r w:rsidR="0081151A" w:rsidRPr="00E8603C">
        <w:rPr>
          <w:lang w:val="en-CA"/>
        </w:rPr>
        <w:t>eight</w:t>
      </w:r>
      <w:r w:rsidRPr="00E8603C">
        <w:rPr>
          <w:lang w:val="en-CA"/>
        </w:rPr>
        <w:t xml:space="preserve">-ounce </w:t>
      </w:r>
      <w:r w:rsidR="0081151A" w:rsidRPr="00E8603C">
        <w:rPr>
          <w:lang w:val="en-CA"/>
        </w:rPr>
        <w:t xml:space="preserve">(0.22 kg) </w:t>
      </w:r>
      <w:r w:rsidRPr="00E8603C">
        <w:rPr>
          <w:lang w:val="en-CA"/>
        </w:rPr>
        <w:t xml:space="preserve">package of organic chicken strips cost approximately $5.99. </w:t>
      </w:r>
      <w:r w:rsidRPr="00E8603C">
        <w:rPr>
          <w:lang w:val="en-CA"/>
        </w:rPr>
        <w:lastRenderedPageBreak/>
        <w:t xml:space="preserve">However, Beyond Meat products provided superior nutrition, generally providing the same amount of protein as conventional meat but </w:t>
      </w:r>
      <w:r w:rsidR="0081151A" w:rsidRPr="00E8603C">
        <w:rPr>
          <w:lang w:val="en-CA"/>
        </w:rPr>
        <w:t xml:space="preserve">only </w:t>
      </w:r>
      <w:r w:rsidRPr="00E8603C">
        <w:rPr>
          <w:lang w:val="en-CA"/>
        </w:rPr>
        <w:t>half the fat (see Exhibit 6).</w:t>
      </w:r>
      <w:r w:rsidRPr="00E8603C">
        <w:rPr>
          <w:shd w:val="clear" w:color="auto" w:fill="FFFFFF"/>
          <w:lang w:val="en-CA"/>
        </w:rPr>
        <w:t xml:space="preserve"> </w:t>
      </w:r>
    </w:p>
    <w:p w14:paraId="3184A534" w14:textId="77777777" w:rsidR="00BB3A3D" w:rsidRPr="00E8603C" w:rsidRDefault="00BB3A3D" w:rsidP="00DB1D5A">
      <w:pPr>
        <w:pStyle w:val="BodyTextMain"/>
        <w:rPr>
          <w:sz w:val="14"/>
          <w:szCs w:val="14"/>
          <w:shd w:val="clear" w:color="auto" w:fill="FFFFFF"/>
          <w:lang w:val="en-CA"/>
        </w:rPr>
      </w:pPr>
    </w:p>
    <w:p w14:paraId="48C284F3" w14:textId="53EA3763" w:rsidR="00BB3A3D" w:rsidRPr="00E8603C" w:rsidRDefault="00BB3A3D" w:rsidP="00DB1D5A">
      <w:pPr>
        <w:pStyle w:val="BodyTextMain"/>
        <w:rPr>
          <w:shd w:val="clear" w:color="auto" w:fill="FFFFFF"/>
          <w:lang w:val="en-CA"/>
        </w:rPr>
      </w:pPr>
      <w:r w:rsidRPr="00E8603C">
        <w:rPr>
          <w:lang w:val="en-CA"/>
        </w:rPr>
        <w:t>The bulk of Beyond Meat’s cost</w:t>
      </w:r>
      <w:r w:rsidR="0081151A" w:rsidRPr="00E8603C">
        <w:rPr>
          <w:lang w:val="en-CA"/>
        </w:rPr>
        <w:t>s</w:t>
      </w:r>
      <w:r w:rsidRPr="00E8603C">
        <w:rPr>
          <w:lang w:val="en-CA"/>
        </w:rPr>
        <w:t xml:space="preserve"> w</w:t>
      </w:r>
      <w:r w:rsidR="00C24E63" w:rsidRPr="00E8603C">
        <w:rPr>
          <w:lang w:val="en-CA"/>
        </w:rPr>
        <w:t xml:space="preserve">ere for </w:t>
      </w:r>
      <w:r w:rsidRPr="00E8603C">
        <w:rPr>
          <w:lang w:val="en-CA"/>
        </w:rPr>
        <w:t xml:space="preserve">research and development (R&amp;D) and marketing </w:t>
      </w:r>
      <w:r w:rsidR="00C24E63" w:rsidRPr="00E8603C">
        <w:rPr>
          <w:lang w:val="en-CA"/>
        </w:rPr>
        <w:t xml:space="preserve">of these </w:t>
      </w:r>
      <w:r w:rsidRPr="00E8603C">
        <w:rPr>
          <w:lang w:val="en-CA"/>
        </w:rPr>
        <w:t>new</w:t>
      </w:r>
      <w:r w:rsidR="00C24E63" w:rsidRPr="00E8603C">
        <w:rPr>
          <w:lang w:val="en-CA"/>
        </w:rPr>
        <w:t>,</w:t>
      </w:r>
      <w:r w:rsidRPr="00E8603C">
        <w:rPr>
          <w:lang w:val="en-CA"/>
        </w:rPr>
        <w:t xml:space="preserve"> disruptive</w:t>
      </w:r>
      <w:r w:rsidR="00C24E63" w:rsidRPr="00E8603C">
        <w:rPr>
          <w:lang w:val="en-CA"/>
        </w:rPr>
        <w:t>,</w:t>
      </w:r>
      <w:r w:rsidRPr="00E8603C">
        <w:rPr>
          <w:lang w:val="en-CA"/>
        </w:rPr>
        <w:t xml:space="preserve"> sustainable foods. The company believed that R&amp;D </w:t>
      </w:r>
      <w:r w:rsidR="00C24E63" w:rsidRPr="00E8603C">
        <w:rPr>
          <w:lang w:val="en-CA"/>
        </w:rPr>
        <w:t>provided the company with a sustainable competitive advantage</w:t>
      </w:r>
      <w:r w:rsidRPr="00E8603C">
        <w:rPr>
          <w:lang w:val="en-CA"/>
        </w:rPr>
        <w:t xml:space="preserve"> and would continue to </w:t>
      </w:r>
      <w:r w:rsidR="00C24E63" w:rsidRPr="00E8603C">
        <w:rPr>
          <w:lang w:val="en-CA"/>
        </w:rPr>
        <w:t>do so</w:t>
      </w:r>
      <w:r w:rsidRPr="00E8603C">
        <w:rPr>
          <w:lang w:val="en-CA"/>
        </w:rPr>
        <w:t xml:space="preserve">. According to </w:t>
      </w:r>
      <w:proofErr w:type="spellStart"/>
      <w:r w:rsidRPr="00E8603C">
        <w:rPr>
          <w:lang w:val="en-CA"/>
        </w:rPr>
        <w:t>Prudhomme</w:t>
      </w:r>
      <w:proofErr w:type="spellEnd"/>
      <w:r w:rsidRPr="00E8603C">
        <w:rPr>
          <w:lang w:val="en-CA"/>
        </w:rPr>
        <w:t xml:space="preserve">, “Our strategy is to be continuing innovation like Apple but in the food industry.” This innovation and the technology </w:t>
      </w:r>
      <w:r w:rsidR="00C24E63" w:rsidRPr="00E8603C">
        <w:rPr>
          <w:lang w:val="en-CA"/>
        </w:rPr>
        <w:t xml:space="preserve">for </w:t>
      </w:r>
      <w:r w:rsidRPr="00E8603C">
        <w:rPr>
          <w:lang w:val="en-CA"/>
        </w:rPr>
        <w:t>turning plant proteins into</w:t>
      </w:r>
      <w:r w:rsidRPr="00E8603C">
        <w:rPr>
          <w:shd w:val="clear" w:color="auto" w:fill="FFFFFF"/>
          <w:lang w:val="en-CA"/>
        </w:rPr>
        <w:t xml:space="preserve"> meat </w:t>
      </w:r>
      <w:r w:rsidR="00C24E63" w:rsidRPr="00E8603C">
        <w:rPr>
          <w:shd w:val="clear" w:color="auto" w:fill="FFFFFF"/>
          <w:lang w:val="en-CA"/>
        </w:rPr>
        <w:t xml:space="preserve">were </w:t>
      </w:r>
      <w:r w:rsidRPr="00E8603C">
        <w:rPr>
          <w:shd w:val="clear" w:color="auto" w:fill="FFFFFF"/>
          <w:lang w:val="en-CA"/>
        </w:rPr>
        <w:t>Beyond Meat’s competitive advantage</w:t>
      </w:r>
      <w:r w:rsidR="00C24E63" w:rsidRPr="00E8603C">
        <w:rPr>
          <w:shd w:val="clear" w:color="auto" w:fill="FFFFFF"/>
          <w:lang w:val="en-CA"/>
        </w:rPr>
        <w:t>s</w:t>
      </w:r>
      <w:r w:rsidRPr="00E8603C">
        <w:rPr>
          <w:shd w:val="clear" w:color="auto" w:fill="FFFFFF"/>
          <w:lang w:val="en-CA"/>
        </w:rPr>
        <w:t xml:space="preserve"> and </w:t>
      </w:r>
      <w:r w:rsidR="00C24E63" w:rsidRPr="00E8603C">
        <w:rPr>
          <w:shd w:val="clear" w:color="auto" w:fill="FFFFFF"/>
          <w:lang w:val="en-CA"/>
        </w:rPr>
        <w:t xml:space="preserve">represented </w:t>
      </w:r>
      <w:r w:rsidRPr="00E8603C">
        <w:rPr>
          <w:shd w:val="clear" w:color="auto" w:fill="FFFFFF"/>
          <w:lang w:val="en-CA"/>
        </w:rPr>
        <w:t>barrier</w:t>
      </w:r>
      <w:r w:rsidR="00C24E63" w:rsidRPr="00E8603C">
        <w:rPr>
          <w:shd w:val="clear" w:color="auto" w:fill="FFFFFF"/>
          <w:lang w:val="en-CA"/>
        </w:rPr>
        <w:t>s</w:t>
      </w:r>
      <w:r w:rsidRPr="00E8603C">
        <w:rPr>
          <w:shd w:val="clear" w:color="auto" w:fill="FFFFFF"/>
          <w:lang w:val="en-CA"/>
        </w:rPr>
        <w:t xml:space="preserve"> to entry. Indeed, the company was receiving recognition</w:t>
      </w:r>
      <w:r w:rsidR="00C24E63" w:rsidRPr="00E8603C">
        <w:rPr>
          <w:shd w:val="clear" w:color="auto" w:fill="FFFFFF"/>
          <w:lang w:val="en-CA"/>
        </w:rPr>
        <w:t>: it</w:t>
      </w:r>
      <w:r w:rsidRPr="00E8603C">
        <w:rPr>
          <w:shd w:val="clear" w:color="auto" w:fill="FFFFFF"/>
          <w:lang w:val="en-CA"/>
        </w:rPr>
        <w:t xml:space="preserve"> was named </w:t>
      </w:r>
      <w:r w:rsidR="00C24E63" w:rsidRPr="00E8603C">
        <w:rPr>
          <w:shd w:val="clear" w:color="auto" w:fill="FFFFFF"/>
          <w:lang w:val="en-CA"/>
        </w:rPr>
        <w:t xml:space="preserve">in </w:t>
      </w:r>
      <w:r w:rsidRPr="00E8603C">
        <w:rPr>
          <w:i/>
          <w:shd w:val="clear" w:color="auto" w:fill="FFFFFF"/>
          <w:lang w:val="en-CA"/>
        </w:rPr>
        <w:t>Forbes</w:t>
      </w:r>
      <w:r w:rsidRPr="00E8603C">
        <w:rPr>
          <w:shd w:val="clear" w:color="auto" w:fill="FFFFFF"/>
          <w:lang w:val="en-CA"/>
        </w:rPr>
        <w:t xml:space="preserve"> </w:t>
      </w:r>
      <w:r w:rsidR="00C24E63" w:rsidRPr="00E8603C">
        <w:rPr>
          <w:shd w:val="clear" w:color="auto" w:fill="FFFFFF"/>
          <w:lang w:val="en-CA"/>
        </w:rPr>
        <w:t>magazine’s</w:t>
      </w:r>
      <w:r w:rsidRPr="00E8603C">
        <w:rPr>
          <w:shd w:val="clear" w:color="auto" w:fill="FFFFFF"/>
          <w:lang w:val="en-CA"/>
        </w:rPr>
        <w:t xml:space="preserve"> 2014 CircleUp25 list of 25 </w:t>
      </w:r>
      <w:r w:rsidR="00C24E63" w:rsidRPr="00E8603C">
        <w:rPr>
          <w:shd w:val="clear" w:color="auto" w:fill="FFFFFF"/>
          <w:lang w:val="en-CA"/>
        </w:rPr>
        <w:t xml:space="preserve">most innovative consumer </w:t>
      </w:r>
      <w:r w:rsidR="00FB0296" w:rsidRPr="00E8603C">
        <w:rPr>
          <w:shd w:val="clear" w:color="auto" w:fill="FFFFFF"/>
          <w:lang w:val="en-CA"/>
        </w:rPr>
        <w:t>a</w:t>
      </w:r>
      <w:r w:rsidRPr="00E8603C">
        <w:rPr>
          <w:shd w:val="clear" w:color="auto" w:fill="FFFFFF"/>
          <w:lang w:val="en-CA"/>
        </w:rPr>
        <w:t xml:space="preserve">nd </w:t>
      </w:r>
      <w:r w:rsidR="00C24E63" w:rsidRPr="00E8603C">
        <w:rPr>
          <w:shd w:val="clear" w:color="auto" w:fill="FFFFFF"/>
          <w:lang w:val="en-CA"/>
        </w:rPr>
        <w:t>retail brands</w:t>
      </w:r>
      <w:r w:rsidRPr="00E8603C">
        <w:rPr>
          <w:shd w:val="clear" w:color="auto" w:fill="FFFFFF"/>
          <w:lang w:val="en-CA"/>
        </w:rPr>
        <w:t>.</w:t>
      </w:r>
      <w:r w:rsidRPr="00E8603C">
        <w:rPr>
          <w:rStyle w:val="FootnoteReference"/>
          <w:shd w:val="clear" w:color="auto" w:fill="FFFFFF"/>
          <w:lang w:val="en-CA"/>
        </w:rPr>
        <w:footnoteReference w:id="15"/>
      </w:r>
      <w:r w:rsidRPr="00E8603C">
        <w:rPr>
          <w:shd w:val="clear" w:color="auto" w:fill="FFFFFF"/>
          <w:lang w:val="en-CA"/>
        </w:rPr>
        <w:t xml:space="preserve"> While the company did not yet have direct competitors in the US market, some were attempting similar endeavours; for example, </w:t>
      </w:r>
      <w:proofErr w:type="spellStart"/>
      <w:r w:rsidRPr="00E8603C">
        <w:rPr>
          <w:shd w:val="clear" w:color="auto" w:fill="FFFFFF"/>
          <w:lang w:val="en-CA"/>
        </w:rPr>
        <w:t>LikeMeat</w:t>
      </w:r>
      <w:proofErr w:type="spellEnd"/>
      <w:r w:rsidRPr="00E8603C">
        <w:rPr>
          <w:rStyle w:val="FootnoteReference"/>
          <w:shd w:val="clear" w:color="auto" w:fill="FFFFFF"/>
          <w:lang w:val="en-CA"/>
        </w:rPr>
        <w:footnoteReference w:id="16"/>
      </w:r>
      <w:r w:rsidRPr="00E8603C">
        <w:rPr>
          <w:shd w:val="clear" w:color="auto" w:fill="FFFFFF"/>
          <w:lang w:val="en-CA"/>
        </w:rPr>
        <w:t xml:space="preserve"> in Germany had won the </w:t>
      </w:r>
      <w:proofErr w:type="spellStart"/>
      <w:r w:rsidR="00C24E63" w:rsidRPr="00E8603C">
        <w:rPr>
          <w:shd w:val="clear" w:color="auto" w:fill="FFFFFF"/>
          <w:lang w:val="en-CA"/>
        </w:rPr>
        <w:t>Ferchau</w:t>
      </w:r>
      <w:proofErr w:type="spellEnd"/>
      <w:r w:rsidRPr="00E8603C">
        <w:rPr>
          <w:shd w:val="clear" w:color="auto" w:fill="FFFFFF"/>
          <w:lang w:val="en-CA"/>
        </w:rPr>
        <w:t xml:space="preserve"> Innovation Prize </w:t>
      </w:r>
      <w:r w:rsidR="00C24E63" w:rsidRPr="00E8603C">
        <w:rPr>
          <w:shd w:val="clear" w:color="auto" w:fill="FFFFFF"/>
          <w:lang w:val="en-CA"/>
        </w:rPr>
        <w:t xml:space="preserve">in </w:t>
      </w:r>
      <w:r w:rsidRPr="00E8603C">
        <w:rPr>
          <w:shd w:val="clear" w:color="auto" w:fill="FFFFFF"/>
          <w:lang w:val="en-CA"/>
        </w:rPr>
        <w:t>2013 for a new process for manufacturing plant-based meat surrogates.</w:t>
      </w:r>
      <w:r w:rsidRPr="00E8603C">
        <w:rPr>
          <w:rStyle w:val="FootnoteReference"/>
          <w:shd w:val="clear" w:color="auto" w:fill="FFFFFF"/>
          <w:lang w:val="en-CA"/>
        </w:rPr>
        <w:footnoteReference w:id="17"/>
      </w:r>
      <w:r w:rsidRPr="00E8603C">
        <w:rPr>
          <w:shd w:val="clear" w:color="auto" w:fill="FFFFFF"/>
          <w:lang w:val="en-CA"/>
        </w:rPr>
        <w:t xml:space="preserve"> </w:t>
      </w:r>
    </w:p>
    <w:p w14:paraId="69732C93" w14:textId="77777777" w:rsidR="00BB3A3D" w:rsidRPr="00E8603C" w:rsidRDefault="00BB3A3D" w:rsidP="006A1675">
      <w:pPr>
        <w:pStyle w:val="BodyTextMain"/>
        <w:rPr>
          <w:sz w:val="14"/>
          <w:szCs w:val="14"/>
          <w:shd w:val="clear" w:color="auto" w:fill="FFFFFF"/>
          <w:lang w:val="en-CA"/>
        </w:rPr>
      </w:pPr>
    </w:p>
    <w:p w14:paraId="6DC70D1B" w14:textId="0DC3F85E" w:rsidR="00BB3A3D" w:rsidRPr="00E8603C" w:rsidRDefault="00BB3A3D" w:rsidP="005D294D">
      <w:pPr>
        <w:pStyle w:val="BodyTextMain"/>
        <w:rPr>
          <w:shd w:val="clear" w:color="auto" w:fill="FFFFFF"/>
          <w:lang w:val="en-CA"/>
        </w:rPr>
      </w:pPr>
      <w:r w:rsidRPr="005D294D">
        <w:rPr>
          <w:lang w:val="en-CA"/>
        </w:rPr>
        <w:t xml:space="preserve">Beyond Meat distributed to both retail and industrial/non-retail segments, including restaurants. The retail segment was much larger than the industrial segment, but the company hoped to expand the latter in the future. As </w:t>
      </w:r>
      <w:proofErr w:type="spellStart"/>
      <w:r w:rsidR="00C24E63" w:rsidRPr="005D294D">
        <w:rPr>
          <w:lang w:val="en-CA"/>
        </w:rPr>
        <w:t>Prudhomme</w:t>
      </w:r>
      <w:proofErr w:type="spellEnd"/>
      <w:r w:rsidR="00C24E63" w:rsidRPr="005D294D">
        <w:rPr>
          <w:lang w:val="en-CA"/>
        </w:rPr>
        <w:t xml:space="preserve"> </w:t>
      </w:r>
      <w:r w:rsidRPr="005D294D">
        <w:rPr>
          <w:lang w:val="en-CA"/>
        </w:rPr>
        <w:t>explained, “Expanding business-to-business trade takes a long time; it’s about</w:t>
      </w:r>
      <w:r w:rsidRPr="005D294D">
        <w:rPr>
          <w:shd w:val="clear" w:color="auto" w:fill="000000" w:themeFill="text1"/>
          <w:lang w:val="en-CA"/>
        </w:rPr>
        <w:t xml:space="preserve"> </w:t>
      </w:r>
      <w:r w:rsidRPr="005D294D">
        <w:rPr>
          <w:lang w:val="en-CA"/>
        </w:rPr>
        <w:t>relationships since most of these companies are very critical when choosing their partners.”</w:t>
      </w:r>
      <w:r w:rsidRPr="00E8603C">
        <w:rPr>
          <w:shd w:val="clear" w:color="auto" w:fill="FFFFFF"/>
          <w:lang w:val="en-CA"/>
        </w:rPr>
        <w:t xml:space="preserve"> </w:t>
      </w:r>
    </w:p>
    <w:p w14:paraId="50BDB7B3" w14:textId="77777777" w:rsidR="00BB3A3D" w:rsidRPr="00E8603C" w:rsidRDefault="00BB3A3D" w:rsidP="006A1675">
      <w:pPr>
        <w:pStyle w:val="BodyTextMain"/>
        <w:rPr>
          <w:sz w:val="14"/>
          <w:szCs w:val="14"/>
          <w:shd w:val="clear" w:color="auto" w:fill="FFFFFF"/>
          <w:lang w:val="en-CA"/>
        </w:rPr>
      </w:pPr>
    </w:p>
    <w:p w14:paraId="0281FC7E" w14:textId="511940A5" w:rsidR="00BB3A3D" w:rsidRPr="00E8603C" w:rsidRDefault="00BB3A3D" w:rsidP="00DB1D5A">
      <w:pPr>
        <w:pStyle w:val="BodyTextMain"/>
        <w:rPr>
          <w:spacing w:val="-2"/>
          <w:kern w:val="22"/>
          <w:shd w:val="clear" w:color="auto" w:fill="FFFFFF"/>
          <w:lang w:val="en-CA"/>
        </w:rPr>
      </w:pPr>
      <w:r w:rsidRPr="00E8603C">
        <w:rPr>
          <w:spacing w:val="-2"/>
          <w:kern w:val="22"/>
          <w:lang w:val="en-CA"/>
        </w:rPr>
        <w:t>The company was focusing on the US</w:t>
      </w:r>
      <w:r w:rsidR="004A5F20" w:rsidRPr="00E8603C">
        <w:rPr>
          <w:spacing w:val="-2"/>
          <w:kern w:val="22"/>
          <w:lang w:val="en-CA"/>
        </w:rPr>
        <w:t xml:space="preserve"> </w:t>
      </w:r>
      <w:r w:rsidRPr="00E8603C">
        <w:rPr>
          <w:spacing w:val="-2"/>
          <w:kern w:val="22"/>
          <w:lang w:val="en-CA"/>
        </w:rPr>
        <w:t xml:space="preserve">market </w:t>
      </w:r>
      <w:r w:rsidR="004A5F20" w:rsidRPr="00E8603C">
        <w:rPr>
          <w:spacing w:val="-2"/>
          <w:kern w:val="22"/>
          <w:lang w:val="en-CA"/>
        </w:rPr>
        <w:t>and</w:t>
      </w:r>
      <w:r w:rsidRPr="00E8603C">
        <w:rPr>
          <w:spacing w:val="-2"/>
          <w:kern w:val="22"/>
          <w:lang w:val="en-CA"/>
        </w:rPr>
        <w:t xml:space="preserve"> </w:t>
      </w:r>
      <w:r w:rsidR="004A5F20" w:rsidRPr="00E8603C">
        <w:rPr>
          <w:spacing w:val="-2"/>
          <w:kern w:val="22"/>
          <w:lang w:val="en-CA"/>
        </w:rPr>
        <w:t>intend</w:t>
      </w:r>
      <w:r w:rsidR="009E7B29" w:rsidRPr="00E8603C">
        <w:rPr>
          <w:spacing w:val="-2"/>
          <w:kern w:val="22"/>
          <w:lang w:val="en-CA"/>
        </w:rPr>
        <w:t>ing</w:t>
      </w:r>
      <w:r w:rsidR="00F03C08" w:rsidRPr="00E8603C">
        <w:rPr>
          <w:spacing w:val="-2"/>
          <w:kern w:val="22"/>
          <w:lang w:val="en-CA"/>
        </w:rPr>
        <w:t xml:space="preserve"> </w:t>
      </w:r>
      <w:r w:rsidRPr="00E8603C">
        <w:rPr>
          <w:spacing w:val="-2"/>
          <w:kern w:val="22"/>
          <w:lang w:val="en-CA"/>
        </w:rPr>
        <w:t>to expand globally in</w:t>
      </w:r>
      <w:r w:rsidR="004A5F20" w:rsidRPr="00E8603C">
        <w:rPr>
          <w:spacing w:val="-2"/>
          <w:kern w:val="22"/>
          <w:lang w:val="en-CA"/>
        </w:rPr>
        <w:t>to</w:t>
      </w:r>
      <w:r w:rsidRPr="00E8603C">
        <w:rPr>
          <w:spacing w:val="-2"/>
          <w:kern w:val="22"/>
          <w:lang w:val="en-CA"/>
        </w:rPr>
        <w:t xml:space="preserve"> Europe and Asia when the product and time were right. Beyond Meat’s customer base was mainly vegan and vegetarian; reaching consumers outside of </w:t>
      </w:r>
      <w:r w:rsidR="004A5F20" w:rsidRPr="00E8603C">
        <w:rPr>
          <w:spacing w:val="-2"/>
          <w:kern w:val="22"/>
          <w:lang w:val="en-CA"/>
        </w:rPr>
        <w:t xml:space="preserve">this </w:t>
      </w:r>
      <w:r w:rsidRPr="00E8603C">
        <w:rPr>
          <w:spacing w:val="-2"/>
          <w:kern w:val="22"/>
          <w:lang w:val="en-CA"/>
        </w:rPr>
        <w:t xml:space="preserve">group was another opportunity for growth. Could the company expand its customer base to </w:t>
      </w:r>
      <w:r w:rsidR="004A5F20" w:rsidRPr="00E8603C">
        <w:rPr>
          <w:spacing w:val="-2"/>
          <w:kern w:val="22"/>
          <w:lang w:val="en-CA"/>
        </w:rPr>
        <w:t xml:space="preserve">include </w:t>
      </w:r>
      <w:r w:rsidRPr="00E8603C">
        <w:rPr>
          <w:spacing w:val="-2"/>
          <w:kern w:val="22"/>
          <w:lang w:val="en-CA"/>
        </w:rPr>
        <w:t xml:space="preserve">meat-eating customers? Could an aggressive </w:t>
      </w:r>
      <w:r w:rsidR="004A5F20" w:rsidRPr="00E8603C">
        <w:rPr>
          <w:spacing w:val="-2"/>
          <w:kern w:val="22"/>
          <w:lang w:val="en-CA"/>
        </w:rPr>
        <w:t>R&amp;</w:t>
      </w:r>
      <w:r w:rsidRPr="00E8603C">
        <w:rPr>
          <w:spacing w:val="-2"/>
          <w:kern w:val="22"/>
          <w:lang w:val="en-CA"/>
        </w:rPr>
        <w:t>D campaign making</w:t>
      </w:r>
      <w:r w:rsidRPr="00E8603C">
        <w:rPr>
          <w:spacing w:val="-2"/>
          <w:kern w:val="22"/>
          <w:shd w:val="clear" w:color="auto" w:fill="FFFFFF"/>
          <w:lang w:val="en-CA"/>
        </w:rPr>
        <w:t xml:space="preserve"> </w:t>
      </w:r>
      <w:r w:rsidRPr="00E8603C">
        <w:rPr>
          <w:spacing w:val="-2"/>
          <w:kern w:val="22"/>
          <w:lang w:val="en-CA"/>
        </w:rPr>
        <w:t>Beyond Meat’s products more similar in feel and texture to animal meat legitimize the plant-based meat?</w:t>
      </w:r>
    </w:p>
    <w:p w14:paraId="4FC00F44" w14:textId="77777777" w:rsidR="00BB3A3D" w:rsidRPr="00E8603C" w:rsidRDefault="00BB3A3D" w:rsidP="00DB1D5A">
      <w:pPr>
        <w:pStyle w:val="BodyTextMain"/>
        <w:rPr>
          <w:sz w:val="14"/>
          <w:szCs w:val="14"/>
          <w:shd w:val="clear" w:color="auto" w:fill="FFFFFF"/>
          <w:lang w:val="en-CA"/>
        </w:rPr>
      </w:pPr>
    </w:p>
    <w:p w14:paraId="548ED299" w14:textId="22484996" w:rsidR="00BB3A3D" w:rsidRPr="00E8603C" w:rsidRDefault="00BB3A3D" w:rsidP="00DB1D5A">
      <w:pPr>
        <w:pStyle w:val="BodyTextMain"/>
        <w:rPr>
          <w:sz w:val="14"/>
          <w:szCs w:val="14"/>
          <w:lang w:val="en-CA"/>
        </w:rPr>
      </w:pPr>
    </w:p>
    <w:p w14:paraId="06321698" w14:textId="77777777" w:rsidR="00BB3A3D" w:rsidRPr="00E8603C" w:rsidRDefault="00BB3A3D" w:rsidP="00DB1D5A">
      <w:pPr>
        <w:pStyle w:val="Casehead1"/>
        <w:outlineLvl w:val="0"/>
        <w:rPr>
          <w:shd w:val="clear" w:color="auto" w:fill="FFFFFF"/>
          <w:lang w:val="en-CA"/>
        </w:rPr>
      </w:pPr>
      <w:r w:rsidRPr="00E8603C">
        <w:rPr>
          <w:lang w:val="en-CA"/>
        </w:rPr>
        <w:t>MEAT AND MEAT ALTERNATIVE MARKETS</w:t>
      </w:r>
    </w:p>
    <w:p w14:paraId="4A9984FB" w14:textId="77777777" w:rsidR="00BB3A3D" w:rsidRPr="00E8603C" w:rsidRDefault="00BB3A3D" w:rsidP="00DB1D5A">
      <w:pPr>
        <w:pStyle w:val="BodyTextMain"/>
        <w:rPr>
          <w:sz w:val="14"/>
          <w:szCs w:val="14"/>
          <w:shd w:val="clear" w:color="auto" w:fill="FFFFFF"/>
          <w:lang w:val="en-CA"/>
        </w:rPr>
      </w:pPr>
    </w:p>
    <w:p w14:paraId="7E8F811F" w14:textId="5B5BB538" w:rsidR="00BB3A3D" w:rsidRPr="00E8603C" w:rsidRDefault="00BB3A3D" w:rsidP="00DB1D5A">
      <w:pPr>
        <w:pStyle w:val="BodyTextMain"/>
        <w:rPr>
          <w:lang w:val="en-CA"/>
        </w:rPr>
      </w:pPr>
      <w:r w:rsidRPr="00E8603C">
        <w:rPr>
          <w:lang w:val="en-CA"/>
        </w:rPr>
        <w:t xml:space="preserve">In 2013, the US meat industry had an annual revenue of $219.3 billion and net profits </w:t>
      </w:r>
      <w:r w:rsidR="004A5F20" w:rsidRPr="00E8603C">
        <w:rPr>
          <w:lang w:val="en-CA"/>
        </w:rPr>
        <w:t xml:space="preserve">of $19.0 billion </w:t>
      </w:r>
      <w:r w:rsidRPr="00E8603C">
        <w:rPr>
          <w:lang w:val="en-CA"/>
        </w:rPr>
        <w:t>(before taxes as a percentage of net worth).</w:t>
      </w:r>
      <w:r w:rsidRPr="00E8603C">
        <w:rPr>
          <w:rStyle w:val="FootnoteReference"/>
          <w:lang w:val="en-CA"/>
        </w:rPr>
        <w:footnoteReference w:id="18"/>
      </w:r>
      <w:r w:rsidRPr="00E8603C">
        <w:rPr>
          <w:lang w:val="en-CA"/>
        </w:rPr>
        <w:t xml:space="preserve"> The annual growth rate from 2009 to 2014 was 4.3 per cent. In the meat industry, poultry </w:t>
      </w:r>
      <w:r w:rsidR="004A5F20" w:rsidRPr="00E8603C">
        <w:rPr>
          <w:lang w:val="en-CA"/>
        </w:rPr>
        <w:t>represented</w:t>
      </w:r>
      <w:r w:rsidRPr="00E8603C">
        <w:rPr>
          <w:lang w:val="en-CA"/>
        </w:rPr>
        <w:t xml:space="preserve"> 27.3 per cent</w:t>
      </w:r>
      <w:r w:rsidR="004A5F20" w:rsidRPr="00E8603C">
        <w:rPr>
          <w:lang w:val="en-CA"/>
        </w:rPr>
        <w:t xml:space="preserve"> of the meat sold</w:t>
      </w:r>
      <w:r w:rsidRPr="00E8603C">
        <w:rPr>
          <w:lang w:val="en-CA"/>
        </w:rPr>
        <w:t>; livestock</w:t>
      </w:r>
      <w:r w:rsidR="004A5F20" w:rsidRPr="00E8603C">
        <w:rPr>
          <w:lang w:val="en-CA"/>
        </w:rPr>
        <w:t xml:space="preserve"> represented </w:t>
      </w:r>
      <w:r w:rsidRPr="00E8603C">
        <w:rPr>
          <w:lang w:val="en-CA"/>
        </w:rPr>
        <w:t>46.9 per cent; and processed meat</w:t>
      </w:r>
      <w:r w:rsidR="004A5F20" w:rsidRPr="00E8603C">
        <w:rPr>
          <w:lang w:val="en-CA"/>
        </w:rPr>
        <w:t xml:space="preserve"> represented </w:t>
      </w:r>
      <w:r w:rsidRPr="00E8603C">
        <w:rPr>
          <w:lang w:val="en-CA"/>
        </w:rPr>
        <w:t xml:space="preserve">22.5 per cent. </w:t>
      </w:r>
      <w:r w:rsidR="004A5F20" w:rsidRPr="00E8603C">
        <w:rPr>
          <w:lang w:val="en-CA"/>
        </w:rPr>
        <w:t xml:space="preserve">In the meat industry overall, 71.3 per cent of total costs were for purchasing </w:t>
      </w:r>
      <w:r w:rsidRPr="00E8603C">
        <w:rPr>
          <w:lang w:val="en-CA"/>
        </w:rPr>
        <w:t>raw material, which included livestock, carcass</w:t>
      </w:r>
      <w:r w:rsidR="004A5F20" w:rsidRPr="00E8603C">
        <w:rPr>
          <w:lang w:val="en-CA"/>
        </w:rPr>
        <w:t>es</w:t>
      </w:r>
      <w:r w:rsidRPr="00E8603C">
        <w:rPr>
          <w:lang w:val="en-CA"/>
        </w:rPr>
        <w:t>, and packaging materials. The major cost on a beef farm was the purchase of feed, which accounted for 46</w:t>
      </w:r>
      <w:r w:rsidR="009E7B29" w:rsidRPr="00E8603C">
        <w:rPr>
          <w:lang w:val="en-CA"/>
        </w:rPr>
        <w:t>.0</w:t>
      </w:r>
      <w:r w:rsidRPr="00E8603C">
        <w:rPr>
          <w:lang w:val="en-CA"/>
        </w:rPr>
        <w:t xml:space="preserve"> per cent of total costs. To cope with these costs, many meat producers and distributors were vertically integrated. Additionally, many companies were looking to sell processed, ready-to-go meals</w:t>
      </w:r>
      <w:r w:rsidR="00F03C08" w:rsidRPr="00E8603C">
        <w:rPr>
          <w:lang w:val="en-CA"/>
        </w:rPr>
        <w:t>, which</w:t>
      </w:r>
      <w:r w:rsidR="004A5F20" w:rsidRPr="00E8603C">
        <w:rPr>
          <w:lang w:val="en-CA"/>
        </w:rPr>
        <w:t xml:space="preserve"> could be sold at</w:t>
      </w:r>
      <w:r w:rsidRPr="00E8603C">
        <w:rPr>
          <w:lang w:val="en-CA"/>
        </w:rPr>
        <w:t xml:space="preserve"> a premium</w:t>
      </w:r>
      <w:r w:rsidR="00F03C08" w:rsidRPr="00E8603C">
        <w:rPr>
          <w:lang w:val="en-CA"/>
        </w:rPr>
        <w:t>,</w:t>
      </w:r>
      <w:r w:rsidRPr="00E8603C">
        <w:rPr>
          <w:lang w:val="en-CA"/>
        </w:rPr>
        <w:t xml:space="preserve"> rather than selling raw meat, which had lower margins. </w:t>
      </w:r>
    </w:p>
    <w:p w14:paraId="625990B3" w14:textId="3FC5E0A5" w:rsidR="00BB3A3D" w:rsidRPr="00E8603C" w:rsidRDefault="00BB3A3D" w:rsidP="00DB1D5A">
      <w:pPr>
        <w:pStyle w:val="BodyTextMain"/>
        <w:rPr>
          <w:sz w:val="14"/>
          <w:szCs w:val="14"/>
          <w:lang w:val="en-CA"/>
        </w:rPr>
      </w:pPr>
    </w:p>
    <w:p w14:paraId="2547FA9A" w14:textId="012958F3" w:rsidR="006A2D96" w:rsidRPr="00E8603C" w:rsidRDefault="006A2D96" w:rsidP="006A2D96">
      <w:pPr>
        <w:pStyle w:val="BodyTextMain"/>
        <w:rPr>
          <w:lang w:val="en-CA"/>
        </w:rPr>
      </w:pPr>
      <w:r w:rsidRPr="00E8603C">
        <w:rPr>
          <w:lang w:val="en-CA"/>
        </w:rPr>
        <w:t xml:space="preserve">In 2013, 8.5 billion broiler chickens </w:t>
      </w:r>
      <w:r w:rsidR="004A5F20" w:rsidRPr="00E8603C">
        <w:rPr>
          <w:lang w:val="en-CA"/>
        </w:rPr>
        <w:t xml:space="preserve">(22.8 billion kg of poultry) </w:t>
      </w:r>
      <w:r w:rsidRPr="00E8603C">
        <w:rPr>
          <w:lang w:val="en-CA"/>
        </w:rPr>
        <w:t>were slaughtered in the United States.</w:t>
      </w:r>
      <w:r w:rsidR="00E64F7C" w:rsidRPr="00E8603C">
        <w:rPr>
          <w:rStyle w:val="FootnoteReference"/>
          <w:lang w:val="en-CA"/>
        </w:rPr>
        <w:footnoteReference w:id="19"/>
      </w:r>
      <w:r w:rsidR="00E64F7C" w:rsidRPr="00E8603C">
        <w:rPr>
          <w:lang w:val="en-CA"/>
        </w:rPr>
        <w:t xml:space="preserve"> On average, each person in the United States consumed </w:t>
      </w:r>
      <w:r w:rsidR="00B60DF1" w:rsidRPr="00E8603C">
        <w:rPr>
          <w:lang w:val="en-CA"/>
        </w:rPr>
        <w:t>25.4 kg</w:t>
      </w:r>
      <w:r w:rsidR="00E64F7C" w:rsidRPr="00E8603C">
        <w:rPr>
          <w:lang w:val="en-CA"/>
        </w:rPr>
        <w:t xml:space="preserve"> of chicken per year (boneless, trimmed, edible weight). The poultry market was heavily concentrated</w:t>
      </w:r>
      <w:r w:rsidR="00B60DF1" w:rsidRPr="00E8603C">
        <w:rPr>
          <w:lang w:val="en-CA"/>
        </w:rPr>
        <w:t>,</w:t>
      </w:r>
      <w:r w:rsidR="00E64F7C" w:rsidRPr="00E8603C">
        <w:rPr>
          <w:lang w:val="en-CA"/>
        </w:rPr>
        <w:t xml:space="preserve"> and the four largest companies</w:t>
      </w:r>
      <w:r w:rsidR="00B60DF1" w:rsidRPr="00E8603C">
        <w:rPr>
          <w:lang w:val="en-CA"/>
        </w:rPr>
        <w:t>—</w:t>
      </w:r>
      <w:r w:rsidR="00E64F7C" w:rsidRPr="00E8603C">
        <w:rPr>
          <w:lang w:val="en-CA"/>
        </w:rPr>
        <w:t>Tyson Foods Inc</w:t>
      </w:r>
      <w:r w:rsidR="00B60DF1" w:rsidRPr="00E8603C">
        <w:rPr>
          <w:lang w:val="en-CA"/>
        </w:rPr>
        <w:t xml:space="preserve">. (Tyson), </w:t>
      </w:r>
      <w:r w:rsidR="00E64F7C" w:rsidRPr="00E8603C">
        <w:rPr>
          <w:lang w:val="en-CA"/>
        </w:rPr>
        <w:t>Pilgrim’s Pride Corporation</w:t>
      </w:r>
      <w:r w:rsidR="00B60DF1" w:rsidRPr="00E8603C">
        <w:rPr>
          <w:lang w:val="en-CA"/>
        </w:rPr>
        <w:t xml:space="preserve">, </w:t>
      </w:r>
      <w:r w:rsidR="00E64F7C" w:rsidRPr="00E8603C">
        <w:rPr>
          <w:lang w:val="en-CA"/>
        </w:rPr>
        <w:t xml:space="preserve">Sanderson Farms </w:t>
      </w:r>
      <w:r w:rsidR="00B60DF1" w:rsidRPr="00E8603C">
        <w:rPr>
          <w:lang w:val="en-CA"/>
        </w:rPr>
        <w:t xml:space="preserve">Inc., </w:t>
      </w:r>
      <w:r w:rsidR="00E64F7C" w:rsidRPr="00E8603C">
        <w:rPr>
          <w:lang w:val="en-CA"/>
        </w:rPr>
        <w:t>and Perdue Farms Inc.</w:t>
      </w:r>
      <w:r w:rsidR="00B60DF1" w:rsidRPr="00E8603C">
        <w:rPr>
          <w:lang w:val="en-CA"/>
        </w:rPr>
        <w:t>—</w:t>
      </w:r>
      <w:r w:rsidR="00E64F7C" w:rsidRPr="00E8603C">
        <w:rPr>
          <w:lang w:val="en-CA"/>
        </w:rPr>
        <w:t>made up 70 per cent of the market share.</w:t>
      </w:r>
      <w:r w:rsidR="00E64F7C" w:rsidRPr="00D160D8">
        <w:rPr>
          <w:rStyle w:val="FootnoteReference"/>
          <w:highlight w:val="white"/>
          <w:lang w:val="en-CA"/>
        </w:rPr>
        <w:footnoteReference w:id="20"/>
      </w:r>
      <w:r w:rsidR="00E64F7C" w:rsidRPr="00E8603C">
        <w:rPr>
          <w:lang w:val="en-CA"/>
        </w:rPr>
        <w:t xml:space="preserve"> </w:t>
      </w:r>
    </w:p>
    <w:p w14:paraId="6C2F2597" w14:textId="77777777" w:rsidR="00E64F7C" w:rsidRPr="00E8603C" w:rsidRDefault="00E64F7C" w:rsidP="00DB1D5A">
      <w:pPr>
        <w:pStyle w:val="BodyTextMain"/>
        <w:rPr>
          <w:sz w:val="14"/>
          <w:szCs w:val="14"/>
          <w:lang w:val="en-CA"/>
        </w:rPr>
      </w:pPr>
    </w:p>
    <w:p w14:paraId="21110868" w14:textId="2A67AD03" w:rsidR="00100213" w:rsidRPr="00E8603C" w:rsidRDefault="00BB3A3D" w:rsidP="00DB1D5A">
      <w:pPr>
        <w:pStyle w:val="BodyTextMain"/>
        <w:rPr>
          <w:shd w:val="clear" w:color="auto" w:fill="FFFFFF"/>
          <w:lang w:val="en-CA"/>
        </w:rPr>
      </w:pPr>
      <w:r w:rsidRPr="00E8603C">
        <w:rPr>
          <w:lang w:val="en-CA"/>
        </w:rPr>
        <w:t>Data from 2012 showed that</w:t>
      </w:r>
      <w:r w:rsidR="00B60DF1" w:rsidRPr="00E8603C">
        <w:rPr>
          <w:lang w:val="en-CA"/>
        </w:rPr>
        <w:t>,</w:t>
      </w:r>
      <w:r w:rsidRPr="00E8603C">
        <w:rPr>
          <w:lang w:val="en-CA"/>
        </w:rPr>
        <w:t xml:space="preserve"> in the US livestock industry, 32 million cattle, 113 million hogs, and 2.3 million sheep and lamb were slaughtered. Ten companies accounted for nearly 40 per cent of US red meat </w:t>
      </w:r>
      <w:r w:rsidRPr="00E8603C">
        <w:rPr>
          <w:lang w:val="en-CA"/>
        </w:rPr>
        <w:lastRenderedPageBreak/>
        <w:t xml:space="preserve">sales. Tyson topped the list with $707.4 million in sales and an 11.9 per cent market share. Tyson was followed by Cargill Incorporated (7.8 per cent market share), Hormel Foods Corporation (5.5 per cent), and FPL Food LLC (3.0 per cent). The remaining top </w:t>
      </w:r>
      <w:r w:rsidR="00B60DF1" w:rsidRPr="00E8603C">
        <w:rPr>
          <w:lang w:val="en-CA"/>
        </w:rPr>
        <w:t xml:space="preserve">10 </w:t>
      </w:r>
      <w:r w:rsidRPr="00E8603C">
        <w:rPr>
          <w:lang w:val="en-CA"/>
        </w:rPr>
        <w:t>companies accounted for less than 3</w:t>
      </w:r>
      <w:r w:rsidR="00F03C08" w:rsidRPr="00E8603C">
        <w:rPr>
          <w:lang w:val="en-CA"/>
        </w:rPr>
        <w:t>.0</w:t>
      </w:r>
      <w:r w:rsidRPr="00E8603C">
        <w:rPr>
          <w:lang w:val="en-CA"/>
        </w:rPr>
        <w:t xml:space="preserve"> per cent of the market. Private labels played a significant role in red meat sales, accounting for 37 per cent of</w:t>
      </w:r>
      <w:r w:rsidRPr="00E8603C">
        <w:rPr>
          <w:shd w:val="clear" w:color="auto" w:fill="FFFFFF"/>
          <w:lang w:val="en-CA"/>
        </w:rPr>
        <w:t xml:space="preserve"> </w:t>
      </w:r>
      <w:r w:rsidRPr="00E8603C">
        <w:rPr>
          <w:lang w:val="en-CA"/>
        </w:rPr>
        <w:t>the market in the 52 weeks ending on June 16, 2013</w:t>
      </w:r>
      <w:r w:rsidR="001F2D2E" w:rsidRPr="00E8603C">
        <w:rPr>
          <w:lang w:val="en-CA"/>
        </w:rPr>
        <w:t>.</w:t>
      </w:r>
      <w:r w:rsidRPr="00E8603C">
        <w:rPr>
          <w:rStyle w:val="FootnoteReference"/>
          <w:lang w:val="en-CA"/>
        </w:rPr>
        <w:footnoteReference w:id="21"/>
      </w:r>
      <w:r w:rsidR="00100213" w:rsidRPr="00E8603C">
        <w:rPr>
          <w:shd w:val="clear" w:color="auto" w:fill="000000" w:themeFill="text1"/>
          <w:lang w:val="en-CA"/>
        </w:rPr>
        <w:t xml:space="preserve"> </w:t>
      </w:r>
    </w:p>
    <w:p w14:paraId="2CD8B058" w14:textId="7A0DF2C1" w:rsidR="00100213" w:rsidRPr="00E8603C" w:rsidRDefault="00100213" w:rsidP="006A1675">
      <w:pPr>
        <w:pStyle w:val="BodyTextMain"/>
        <w:rPr>
          <w:lang w:val="en-CA"/>
        </w:rPr>
      </w:pPr>
      <w:r w:rsidRPr="00E8603C">
        <w:rPr>
          <w:lang w:val="en-CA"/>
        </w:rPr>
        <w:t>The market for meat alternatives, which included meat analogues or imitation meat</w:t>
      </w:r>
      <w:r w:rsidR="00B60DF1" w:rsidRPr="00E8603C">
        <w:rPr>
          <w:lang w:val="en-CA"/>
        </w:rPr>
        <w:t>,</w:t>
      </w:r>
      <w:r w:rsidRPr="00E8603C">
        <w:rPr>
          <w:lang w:val="en-CA"/>
        </w:rPr>
        <w:t xml:space="preserve"> usually made from soy or a source other than animals, reached $553 million in 2012, representing </w:t>
      </w:r>
      <w:r w:rsidR="00B60DF1" w:rsidRPr="00E8603C">
        <w:rPr>
          <w:lang w:val="en-CA"/>
        </w:rPr>
        <w:t xml:space="preserve">an </w:t>
      </w:r>
      <w:r w:rsidRPr="00E8603C">
        <w:rPr>
          <w:lang w:val="en-CA"/>
        </w:rPr>
        <w:t>8 per cent growth from 2010. Most items in this product category were poultry or hamburger</w:t>
      </w:r>
      <w:r w:rsidR="004D65F2" w:rsidRPr="00E8603C">
        <w:rPr>
          <w:lang w:val="en-CA"/>
        </w:rPr>
        <w:t xml:space="preserve"> alternatives (see Exhibit 7</w:t>
      </w:r>
      <w:r w:rsidRPr="00E8603C">
        <w:rPr>
          <w:lang w:val="en-CA"/>
        </w:rPr>
        <w:t xml:space="preserve">). </w:t>
      </w:r>
      <w:proofErr w:type="spellStart"/>
      <w:r w:rsidRPr="00E8603C">
        <w:rPr>
          <w:lang w:val="en-CA"/>
        </w:rPr>
        <w:t>MorningStar</w:t>
      </w:r>
      <w:proofErr w:type="spellEnd"/>
      <w:r w:rsidRPr="00E8603C">
        <w:rPr>
          <w:lang w:val="en-CA"/>
        </w:rPr>
        <w:t xml:space="preserve"> Farms</w:t>
      </w:r>
      <w:r w:rsidR="00635C42" w:rsidRPr="00E8603C">
        <w:rPr>
          <w:lang w:val="en-CA"/>
        </w:rPr>
        <w:t xml:space="preserve">, a brand of </w:t>
      </w:r>
      <w:r w:rsidR="00B60DF1" w:rsidRPr="00E8603C">
        <w:rPr>
          <w:lang w:val="en-CA"/>
        </w:rPr>
        <w:t xml:space="preserve">the </w:t>
      </w:r>
      <w:r w:rsidR="00635C42" w:rsidRPr="00E8603C">
        <w:rPr>
          <w:lang w:val="en-CA"/>
        </w:rPr>
        <w:t>Kellogg Company</w:t>
      </w:r>
      <w:r w:rsidR="004D65F2" w:rsidRPr="00E8603C">
        <w:rPr>
          <w:lang w:val="en-CA"/>
        </w:rPr>
        <w:t>, dominated</w:t>
      </w:r>
      <w:r w:rsidRPr="00E8603C">
        <w:rPr>
          <w:lang w:val="en-CA"/>
        </w:rPr>
        <w:t xml:space="preserve"> the meat alternatives market with over 80 per cent of the market share, followed by Boca</w:t>
      </w:r>
      <w:r w:rsidR="00635C42" w:rsidRPr="00E8603C">
        <w:rPr>
          <w:lang w:val="en-CA"/>
        </w:rPr>
        <w:t xml:space="preserve">, a </w:t>
      </w:r>
      <w:r w:rsidR="00B60DF1" w:rsidRPr="00E8603C">
        <w:rPr>
          <w:lang w:val="en-CA"/>
        </w:rPr>
        <w:t xml:space="preserve">brand owned by the </w:t>
      </w:r>
      <w:r w:rsidR="000F3BE3" w:rsidRPr="00E8603C">
        <w:rPr>
          <w:lang w:val="en-CA"/>
        </w:rPr>
        <w:t>Kraft Heinz Company</w:t>
      </w:r>
      <w:r w:rsidRPr="00E8603C">
        <w:rPr>
          <w:lang w:val="en-CA"/>
        </w:rPr>
        <w:t xml:space="preserve">. Consumer interest in health and wellness, convenience, and new products in general provided potential opportunities for this market. In addition, </w:t>
      </w:r>
      <w:r w:rsidR="00B60DF1" w:rsidRPr="00E8603C">
        <w:rPr>
          <w:lang w:val="en-CA"/>
        </w:rPr>
        <w:t xml:space="preserve">food scares and </w:t>
      </w:r>
      <w:r w:rsidRPr="00E8603C">
        <w:rPr>
          <w:lang w:val="en-CA"/>
        </w:rPr>
        <w:t>food safety concerns related to genetically modified organisms could lead to greater mainstream acceptance of meat alternatives.</w:t>
      </w:r>
    </w:p>
    <w:p w14:paraId="0FF1DB2A" w14:textId="77777777" w:rsidR="00100213" w:rsidRPr="00E8603C" w:rsidRDefault="00100213" w:rsidP="006A1675">
      <w:pPr>
        <w:pStyle w:val="BodyTextMain"/>
        <w:rPr>
          <w:sz w:val="14"/>
          <w:szCs w:val="14"/>
          <w:lang w:val="en-CA"/>
        </w:rPr>
      </w:pPr>
    </w:p>
    <w:p w14:paraId="4C71A0C4" w14:textId="77777777" w:rsidR="00100213" w:rsidRPr="00E8603C" w:rsidRDefault="00100213" w:rsidP="006A1675">
      <w:pPr>
        <w:pStyle w:val="BodyTextMain"/>
        <w:rPr>
          <w:sz w:val="14"/>
          <w:szCs w:val="14"/>
          <w:lang w:val="en-CA"/>
        </w:rPr>
      </w:pPr>
    </w:p>
    <w:p w14:paraId="3E31561F" w14:textId="77777777" w:rsidR="00100213" w:rsidRPr="00E8603C" w:rsidRDefault="00100213" w:rsidP="00DB4293">
      <w:pPr>
        <w:pStyle w:val="Casehead1"/>
        <w:outlineLvl w:val="0"/>
        <w:rPr>
          <w:lang w:val="en-CA"/>
        </w:rPr>
      </w:pPr>
      <w:r w:rsidRPr="00E8603C">
        <w:rPr>
          <w:lang w:val="en-CA"/>
        </w:rPr>
        <w:t>MARKETING STRATEGY</w:t>
      </w:r>
    </w:p>
    <w:p w14:paraId="05C1B1B7" w14:textId="77777777" w:rsidR="00100213" w:rsidRPr="00E8603C" w:rsidRDefault="00100213" w:rsidP="006A1675">
      <w:pPr>
        <w:pStyle w:val="BodyTextMain"/>
        <w:rPr>
          <w:sz w:val="14"/>
          <w:szCs w:val="14"/>
          <w:lang w:val="en-CA"/>
        </w:rPr>
      </w:pPr>
    </w:p>
    <w:p w14:paraId="2C799867" w14:textId="41F8932B" w:rsidR="00100213" w:rsidRPr="00E8603C" w:rsidRDefault="00100213" w:rsidP="006A1675">
      <w:pPr>
        <w:pStyle w:val="BodyTextMain"/>
        <w:rPr>
          <w:lang w:val="en-CA"/>
        </w:rPr>
      </w:pPr>
      <w:r w:rsidRPr="00E8603C">
        <w:rPr>
          <w:lang w:val="en-CA"/>
        </w:rPr>
        <w:t xml:space="preserve">Beyond Meat products were designed to challenge consumer perceptions and attitudes toward meat. What marketing actions could Beyond Meat take to set </w:t>
      </w:r>
      <w:r w:rsidR="009577CA" w:rsidRPr="00E8603C">
        <w:rPr>
          <w:lang w:val="en-CA"/>
        </w:rPr>
        <w:t xml:space="preserve">its </w:t>
      </w:r>
      <w:r w:rsidRPr="00E8603C">
        <w:rPr>
          <w:lang w:val="en-CA"/>
        </w:rPr>
        <w:t xml:space="preserve">product apart? What could </w:t>
      </w:r>
      <w:r w:rsidR="009577CA" w:rsidRPr="00E8603C">
        <w:rPr>
          <w:lang w:val="en-CA"/>
        </w:rPr>
        <w:t xml:space="preserve">the company </w:t>
      </w:r>
      <w:r w:rsidRPr="00E8603C">
        <w:rPr>
          <w:lang w:val="en-CA"/>
        </w:rPr>
        <w:t>do to change consumers</w:t>
      </w:r>
      <w:r w:rsidR="009577CA" w:rsidRPr="00E8603C">
        <w:rPr>
          <w:lang w:val="en-CA"/>
        </w:rPr>
        <w:t>’ perceptions</w:t>
      </w:r>
      <w:r w:rsidRPr="00E8603C">
        <w:rPr>
          <w:lang w:val="en-CA"/>
        </w:rPr>
        <w:t xml:space="preserve"> </w:t>
      </w:r>
      <w:r w:rsidR="009577CA" w:rsidRPr="00E8603C">
        <w:rPr>
          <w:lang w:val="en-CA"/>
        </w:rPr>
        <w:t>of</w:t>
      </w:r>
      <w:r w:rsidRPr="00E8603C">
        <w:rPr>
          <w:lang w:val="en-CA"/>
        </w:rPr>
        <w:t xml:space="preserve"> meat, </w:t>
      </w:r>
      <w:r w:rsidR="009577CA" w:rsidRPr="00E8603C">
        <w:rPr>
          <w:lang w:val="en-CA"/>
        </w:rPr>
        <w:t>as</w:t>
      </w:r>
      <w:r w:rsidRPr="00E8603C">
        <w:rPr>
          <w:lang w:val="en-CA"/>
        </w:rPr>
        <w:t xml:space="preserve"> Silk </w:t>
      </w:r>
      <w:r w:rsidR="009577CA" w:rsidRPr="00E8603C">
        <w:rPr>
          <w:lang w:val="en-CA"/>
        </w:rPr>
        <w:t xml:space="preserve">had </w:t>
      </w:r>
      <w:r w:rsidRPr="00E8603C">
        <w:rPr>
          <w:lang w:val="en-CA"/>
        </w:rPr>
        <w:t>transformed consumer</w:t>
      </w:r>
      <w:r w:rsidR="009577CA" w:rsidRPr="00E8603C">
        <w:rPr>
          <w:lang w:val="en-CA"/>
        </w:rPr>
        <w:t>s’</w:t>
      </w:r>
      <w:r w:rsidRPr="00E8603C">
        <w:rPr>
          <w:lang w:val="en-CA"/>
        </w:rPr>
        <w:t xml:space="preserve"> perception of milk? </w:t>
      </w:r>
    </w:p>
    <w:p w14:paraId="3D14F2FB" w14:textId="77777777" w:rsidR="00100213" w:rsidRPr="00E8603C" w:rsidRDefault="00100213" w:rsidP="006A1675">
      <w:pPr>
        <w:pStyle w:val="BodyTextMain"/>
        <w:rPr>
          <w:sz w:val="14"/>
          <w:szCs w:val="14"/>
          <w:lang w:val="en-CA"/>
        </w:rPr>
      </w:pPr>
    </w:p>
    <w:p w14:paraId="5D9DDC09" w14:textId="628B0342" w:rsidR="009577CA" w:rsidRPr="00E8603C" w:rsidRDefault="00100213" w:rsidP="006A1675">
      <w:pPr>
        <w:pStyle w:val="BodyTextMain"/>
        <w:rPr>
          <w:lang w:val="en-CA"/>
        </w:rPr>
      </w:pPr>
      <w:r w:rsidRPr="00E8603C">
        <w:rPr>
          <w:lang w:val="en-CA"/>
        </w:rPr>
        <w:t xml:space="preserve">Beyond Meat was well aware of Silk’s success in product placement. </w:t>
      </w:r>
      <w:proofErr w:type="spellStart"/>
      <w:r w:rsidRPr="00E8603C">
        <w:rPr>
          <w:lang w:val="en-CA"/>
        </w:rPr>
        <w:t>Prudhomme</w:t>
      </w:r>
      <w:proofErr w:type="spellEnd"/>
      <w:r w:rsidR="009577CA" w:rsidRPr="00E8603C">
        <w:rPr>
          <w:lang w:val="en-CA"/>
        </w:rPr>
        <w:t xml:space="preserve"> explained:</w:t>
      </w:r>
      <w:r w:rsidRPr="00E8603C">
        <w:rPr>
          <w:lang w:val="en-CA"/>
        </w:rPr>
        <w:t xml:space="preserve"> </w:t>
      </w:r>
    </w:p>
    <w:p w14:paraId="13DFAE20" w14:textId="77777777" w:rsidR="009577CA" w:rsidRPr="00E8603C" w:rsidRDefault="009577CA" w:rsidP="009577CA">
      <w:pPr>
        <w:pStyle w:val="BodyTextMain"/>
        <w:rPr>
          <w:sz w:val="14"/>
          <w:szCs w:val="14"/>
          <w:lang w:val="en-CA"/>
        </w:rPr>
      </w:pPr>
    </w:p>
    <w:p w14:paraId="72CB73C6" w14:textId="10C7BCDE" w:rsidR="006A1675" w:rsidRPr="00E8603C" w:rsidRDefault="00100213" w:rsidP="009577CA">
      <w:pPr>
        <w:pStyle w:val="BodyTextMain"/>
        <w:ind w:left="720"/>
        <w:rPr>
          <w:lang w:val="en-CA"/>
        </w:rPr>
      </w:pPr>
      <w:r w:rsidRPr="00E8603C">
        <w:rPr>
          <w:lang w:val="en-CA"/>
        </w:rPr>
        <w:t xml:space="preserve">When we examine the different foods that revolutionized the food industry, we can take a look at soy milk and Silk’s strategy. Soy milk was invented long before Silk came up with its product, and Silk was not that far superior </w:t>
      </w:r>
      <w:r w:rsidR="009577CA" w:rsidRPr="00E8603C">
        <w:rPr>
          <w:lang w:val="en-CA"/>
        </w:rPr>
        <w:t xml:space="preserve">to </w:t>
      </w:r>
      <w:r w:rsidRPr="00E8603C">
        <w:rPr>
          <w:lang w:val="en-CA"/>
        </w:rPr>
        <w:t>any competitors at the time. The only big difference between Silk and its competitors was that Silk was sold in the milk section rather than on the shelf.</w:t>
      </w:r>
      <w:r w:rsidR="005D2E4B" w:rsidRPr="00E8603C">
        <w:rPr>
          <w:lang w:val="en-CA"/>
        </w:rPr>
        <w:t xml:space="preserve"> </w:t>
      </w:r>
      <w:r w:rsidRPr="00E8603C">
        <w:rPr>
          <w:lang w:val="en-CA"/>
        </w:rPr>
        <w:t>Only then did the soy milk get its market momentum. Now Silk shares about 5 per cent of the market share</w:t>
      </w:r>
      <w:r w:rsidR="00C6740E" w:rsidRPr="00E8603C">
        <w:rPr>
          <w:lang w:val="en-CA"/>
        </w:rPr>
        <w:t>.</w:t>
      </w:r>
      <w:r w:rsidR="00A97D83" w:rsidRPr="00E8603C">
        <w:rPr>
          <w:lang w:val="en-CA"/>
        </w:rPr>
        <w:t xml:space="preserve"> </w:t>
      </w:r>
      <w:r w:rsidRPr="00E8603C">
        <w:rPr>
          <w:lang w:val="en-CA"/>
        </w:rPr>
        <w:t xml:space="preserve">If Beyond Meat could capture that much of the market share in the meat industry, we could easily be a billion-dollar company. </w:t>
      </w:r>
    </w:p>
    <w:p w14:paraId="022558E9" w14:textId="71F0314C" w:rsidR="006A1675" w:rsidRPr="00E8603C" w:rsidRDefault="006A1675" w:rsidP="006A1675">
      <w:pPr>
        <w:pStyle w:val="BodyTextMain"/>
        <w:rPr>
          <w:sz w:val="14"/>
          <w:szCs w:val="14"/>
          <w:lang w:val="en-CA"/>
        </w:rPr>
      </w:pPr>
    </w:p>
    <w:p w14:paraId="26A02BA5" w14:textId="1D048DF6" w:rsidR="00C6740E" w:rsidRPr="00E8603C" w:rsidRDefault="00C6740E" w:rsidP="006A1675">
      <w:pPr>
        <w:pStyle w:val="BodyTextMain"/>
        <w:rPr>
          <w:lang w:val="en-CA"/>
        </w:rPr>
      </w:pPr>
      <w:r w:rsidRPr="00E8603C">
        <w:rPr>
          <w:lang w:val="en-CA"/>
        </w:rPr>
        <w:t>Beyond Meat’s challenges</w:t>
      </w:r>
      <w:r w:rsidR="009577CA" w:rsidRPr="00E8603C">
        <w:rPr>
          <w:lang w:val="en-CA"/>
        </w:rPr>
        <w:t>,</w:t>
      </w:r>
      <w:r w:rsidRPr="00E8603C">
        <w:rPr>
          <w:lang w:val="en-CA"/>
        </w:rPr>
        <w:t xml:space="preserve"> however</w:t>
      </w:r>
      <w:r w:rsidR="009577CA" w:rsidRPr="00E8603C">
        <w:rPr>
          <w:lang w:val="en-CA"/>
        </w:rPr>
        <w:t>,</w:t>
      </w:r>
      <w:r w:rsidRPr="00E8603C">
        <w:rPr>
          <w:lang w:val="en-CA"/>
        </w:rPr>
        <w:t xml:space="preserve"> included more than just product placement issues. Environmental and health concerns were evolving the meat alternative market rapidly. Demographic </w:t>
      </w:r>
      <w:r w:rsidR="00593426" w:rsidRPr="00E8603C">
        <w:rPr>
          <w:lang w:val="en-CA"/>
        </w:rPr>
        <w:t>changes</w:t>
      </w:r>
      <w:r w:rsidRPr="00E8603C">
        <w:rPr>
          <w:lang w:val="en-CA"/>
        </w:rPr>
        <w:t xml:space="preserve"> suggested that </w:t>
      </w:r>
      <w:r w:rsidR="00593426" w:rsidRPr="00E8603C">
        <w:rPr>
          <w:lang w:val="en-CA"/>
        </w:rPr>
        <w:t xml:space="preserve">future consumers may not care as much about the ability of a product to simulate the taste and texture of meat. Beyond Meat would have to consider these issues when designing and marketing new products. </w:t>
      </w:r>
    </w:p>
    <w:p w14:paraId="6DD09E5C" w14:textId="096AAE88" w:rsidR="006A1675" w:rsidRPr="00E8603C" w:rsidRDefault="006A1675" w:rsidP="006A1675">
      <w:pPr>
        <w:pStyle w:val="BodyTextMain"/>
        <w:rPr>
          <w:sz w:val="14"/>
          <w:szCs w:val="14"/>
          <w:lang w:val="en-CA"/>
        </w:rPr>
      </w:pPr>
    </w:p>
    <w:p w14:paraId="5CB649C2" w14:textId="77777777" w:rsidR="004D65F2" w:rsidRPr="00E8603C" w:rsidRDefault="004D65F2" w:rsidP="006A1675">
      <w:pPr>
        <w:pStyle w:val="BodyTextMain"/>
        <w:rPr>
          <w:sz w:val="14"/>
          <w:szCs w:val="14"/>
          <w:lang w:val="en-CA"/>
        </w:rPr>
      </w:pPr>
    </w:p>
    <w:p w14:paraId="775826B5" w14:textId="77777777" w:rsidR="006A1675" w:rsidRPr="00E8603C" w:rsidRDefault="006A1675" w:rsidP="004D65F2">
      <w:pPr>
        <w:pStyle w:val="Casehead1"/>
        <w:keepNext/>
        <w:outlineLvl w:val="0"/>
        <w:rPr>
          <w:lang w:val="en-CA"/>
        </w:rPr>
      </w:pPr>
      <w:r w:rsidRPr="00E8603C">
        <w:rPr>
          <w:lang w:val="en-CA"/>
        </w:rPr>
        <w:t>CONCLUSION</w:t>
      </w:r>
    </w:p>
    <w:p w14:paraId="0BD1E545" w14:textId="77777777" w:rsidR="006A1675" w:rsidRPr="00E8603C" w:rsidRDefault="006A1675" w:rsidP="004D65F2">
      <w:pPr>
        <w:pStyle w:val="BodyTextMain"/>
        <w:keepNext/>
        <w:rPr>
          <w:sz w:val="14"/>
          <w:szCs w:val="14"/>
          <w:lang w:val="en-CA"/>
        </w:rPr>
      </w:pPr>
    </w:p>
    <w:p w14:paraId="12952473" w14:textId="540827BA" w:rsidR="00AE032D" w:rsidRPr="00E8603C" w:rsidRDefault="00A740A0" w:rsidP="006A1675">
      <w:pPr>
        <w:pStyle w:val="BodyTextMain"/>
        <w:rPr>
          <w:lang w:val="en-CA"/>
        </w:rPr>
      </w:pPr>
      <w:r w:rsidRPr="00E8603C">
        <w:rPr>
          <w:lang w:val="en-CA"/>
        </w:rPr>
        <w:t>Brown and his colleagues</w:t>
      </w:r>
      <w:r w:rsidR="006A1675" w:rsidRPr="00E8603C">
        <w:rPr>
          <w:lang w:val="en-CA"/>
        </w:rPr>
        <w:t xml:space="preserve"> felt that the company had a strong product line and value proposition</w:t>
      </w:r>
      <w:r w:rsidR="00AE032D" w:rsidRPr="00E8603C">
        <w:rPr>
          <w:lang w:val="en-CA"/>
        </w:rPr>
        <w:t xml:space="preserve">, but they needed to get </w:t>
      </w:r>
      <w:r w:rsidR="006A1675" w:rsidRPr="00E8603C">
        <w:rPr>
          <w:lang w:val="en-CA"/>
        </w:rPr>
        <w:t>Beyond Meat into the regular diets of US consumers</w:t>
      </w:r>
      <w:r w:rsidR="00AE032D" w:rsidRPr="00E8603C">
        <w:rPr>
          <w:lang w:val="en-CA"/>
        </w:rPr>
        <w:t>.</w:t>
      </w:r>
      <w:r w:rsidR="009F4AE6" w:rsidRPr="00E8603C">
        <w:rPr>
          <w:lang w:val="en-CA"/>
        </w:rPr>
        <w:t xml:space="preserve"> </w:t>
      </w:r>
      <w:r w:rsidR="00444AD7" w:rsidRPr="00E8603C">
        <w:rPr>
          <w:lang w:val="en-CA"/>
        </w:rPr>
        <w:t>So much depended on customer perceptions and behaviours. T</w:t>
      </w:r>
      <w:r w:rsidR="00AE032D" w:rsidRPr="00E8603C">
        <w:rPr>
          <w:lang w:val="en-CA"/>
        </w:rPr>
        <w:t>hey needed to know w</w:t>
      </w:r>
      <w:r w:rsidR="006A1675" w:rsidRPr="00E8603C">
        <w:rPr>
          <w:lang w:val="en-CA"/>
        </w:rPr>
        <w:t>hat mattered most to their target market</w:t>
      </w:r>
      <w:r w:rsidR="00AE032D" w:rsidRPr="00E8603C">
        <w:rPr>
          <w:lang w:val="en-CA"/>
        </w:rPr>
        <w:t>. It was clear that US consumers still wanted meat on their plates, but Beyond Meat wanted that meat to be plant-based.</w:t>
      </w:r>
    </w:p>
    <w:p w14:paraId="7892FE73" w14:textId="77777777" w:rsidR="00AE032D" w:rsidRPr="00E8603C" w:rsidRDefault="00AE032D" w:rsidP="006A1675">
      <w:pPr>
        <w:pStyle w:val="BodyTextMain"/>
        <w:rPr>
          <w:sz w:val="14"/>
          <w:szCs w:val="14"/>
          <w:lang w:val="en-CA"/>
        </w:rPr>
      </w:pPr>
    </w:p>
    <w:p w14:paraId="1FCF5BC2" w14:textId="4C5B733E" w:rsidR="000C215D" w:rsidRPr="00E8603C" w:rsidRDefault="006A1675" w:rsidP="00BD3919">
      <w:pPr>
        <w:pStyle w:val="BodyTextMain"/>
        <w:rPr>
          <w:lang w:val="en-CA"/>
        </w:rPr>
      </w:pPr>
      <w:r w:rsidRPr="00E8603C">
        <w:rPr>
          <w:lang w:val="en-CA"/>
        </w:rPr>
        <w:t>The future of Beyond Meat was bright</w:t>
      </w:r>
      <w:r w:rsidR="009577CA" w:rsidRPr="00E8603C">
        <w:rPr>
          <w:lang w:val="en-CA"/>
        </w:rPr>
        <w:t>,</w:t>
      </w:r>
      <w:r w:rsidRPr="00E8603C">
        <w:rPr>
          <w:lang w:val="en-CA"/>
        </w:rPr>
        <w:t xml:space="preserve"> but key decisions needed to be made</w:t>
      </w:r>
      <w:r w:rsidR="00444AD7" w:rsidRPr="00E8603C">
        <w:rPr>
          <w:lang w:val="en-CA"/>
        </w:rPr>
        <w:t>:</w:t>
      </w:r>
      <w:r w:rsidR="009577CA" w:rsidRPr="00E8603C">
        <w:rPr>
          <w:lang w:val="en-CA"/>
        </w:rPr>
        <w:t xml:space="preserve"> </w:t>
      </w:r>
      <w:r w:rsidRPr="00E8603C">
        <w:rPr>
          <w:lang w:val="en-CA"/>
        </w:rPr>
        <w:t>Should the company stick with products like chicken nuggets</w:t>
      </w:r>
      <w:r w:rsidR="00444AD7" w:rsidRPr="00E8603C">
        <w:rPr>
          <w:lang w:val="en-CA"/>
        </w:rPr>
        <w:t>, o</w:t>
      </w:r>
      <w:r w:rsidRPr="00E8603C">
        <w:rPr>
          <w:lang w:val="en-CA"/>
        </w:rPr>
        <w:t>r would it be better to invest in R&amp;D criteria like taste and texture? Should the company pursue a substitute product that would be indistinguishable from real meat from a taste, look</w:t>
      </w:r>
      <w:r w:rsidR="009577CA" w:rsidRPr="00E8603C">
        <w:rPr>
          <w:lang w:val="en-CA"/>
        </w:rPr>
        <w:t>,</w:t>
      </w:r>
      <w:r w:rsidRPr="00E8603C">
        <w:rPr>
          <w:lang w:val="en-CA"/>
        </w:rPr>
        <w:t xml:space="preserve"> and feel perspective</w:t>
      </w:r>
      <w:r w:rsidR="00444AD7" w:rsidRPr="00E8603C">
        <w:rPr>
          <w:lang w:val="en-CA"/>
        </w:rPr>
        <w:t>, o</w:t>
      </w:r>
      <w:r w:rsidRPr="00E8603C">
        <w:rPr>
          <w:lang w:val="en-CA"/>
        </w:rPr>
        <w:t xml:space="preserve">r should it accept that consumers may not mistake a plant-based product for the real thing and aim to </w:t>
      </w:r>
      <w:r w:rsidR="00A740A0" w:rsidRPr="00E8603C">
        <w:rPr>
          <w:lang w:val="en-CA"/>
        </w:rPr>
        <w:t xml:space="preserve">make Beyond Meat </w:t>
      </w:r>
      <w:r w:rsidRPr="00E8603C">
        <w:rPr>
          <w:lang w:val="en-CA"/>
        </w:rPr>
        <w:t xml:space="preserve">a component of complete meals? </w:t>
      </w:r>
      <w:r w:rsidR="00AE032D" w:rsidRPr="00E8603C">
        <w:rPr>
          <w:lang w:val="en-CA"/>
        </w:rPr>
        <w:t xml:space="preserve">Would </w:t>
      </w:r>
      <w:r w:rsidRPr="00E8603C">
        <w:rPr>
          <w:lang w:val="en-CA"/>
        </w:rPr>
        <w:t xml:space="preserve">it </w:t>
      </w:r>
      <w:r w:rsidR="00AE032D" w:rsidRPr="00E8603C">
        <w:rPr>
          <w:lang w:val="en-CA"/>
        </w:rPr>
        <w:t xml:space="preserve">be </w:t>
      </w:r>
      <w:r w:rsidRPr="00E8603C">
        <w:rPr>
          <w:lang w:val="en-CA"/>
        </w:rPr>
        <w:t xml:space="preserve">better to develop a marketing strategy limited to the product’s nutritional and health benefits? </w:t>
      </w:r>
      <w:r w:rsidR="00A740A0" w:rsidRPr="00E8603C">
        <w:rPr>
          <w:lang w:val="en-CA"/>
        </w:rPr>
        <w:t xml:space="preserve">Or </w:t>
      </w:r>
      <w:r w:rsidRPr="00E8603C">
        <w:rPr>
          <w:lang w:val="en-CA"/>
        </w:rPr>
        <w:t xml:space="preserve">should </w:t>
      </w:r>
      <w:r w:rsidR="009577CA" w:rsidRPr="00E8603C">
        <w:rPr>
          <w:lang w:val="en-CA"/>
        </w:rPr>
        <w:t xml:space="preserve">the marketing strategy </w:t>
      </w:r>
      <w:r w:rsidRPr="00E8603C">
        <w:rPr>
          <w:lang w:val="en-CA"/>
        </w:rPr>
        <w:t>include ecological advantages related to climate change</w:t>
      </w:r>
      <w:r w:rsidR="00AE032D" w:rsidRPr="00E8603C">
        <w:rPr>
          <w:lang w:val="en-CA"/>
        </w:rPr>
        <w:t>,</w:t>
      </w:r>
      <w:r w:rsidRPr="00E8603C">
        <w:rPr>
          <w:lang w:val="en-CA"/>
        </w:rPr>
        <w:t xml:space="preserve"> following the guidelines of the Double Pyramid </w:t>
      </w:r>
      <w:r w:rsidRPr="00E8603C">
        <w:rPr>
          <w:lang w:val="en-CA"/>
        </w:rPr>
        <w:lastRenderedPageBreak/>
        <w:t>research? Finally, which markets should Beyond Meat target?</w:t>
      </w:r>
      <w:r w:rsidR="009F4AE6" w:rsidRPr="00E8603C">
        <w:rPr>
          <w:lang w:val="en-CA"/>
        </w:rPr>
        <w:t xml:space="preserve"> </w:t>
      </w:r>
      <w:r w:rsidRPr="00E8603C">
        <w:rPr>
          <w:lang w:val="en-CA"/>
        </w:rPr>
        <w:t>Would it be better for the company to target vegetarians looking for better plant-based alternatives</w:t>
      </w:r>
      <w:r w:rsidR="00AE032D" w:rsidRPr="00E8603C">
        <w:rPr>
          <w:lang w:val="en-CA"/>
        </w:rPr>
        <w:t>, o</w:t>
      </w:r>
      <w:r w:rsidRPr="00E8603C">
        <w:rPr>
          <w:lang w:val="en-CA"/>
        </w:rPr>
        <w:t>r should it target meat eaters who might be convinced to try a different kind of meat?</w:t>
      </w:r>
      <w:r w:rsidR="005D2E4B" w:rsidRPr="00E8603C">
        <w:rPr>
          <w:lang w:val="en-CA"/>
        </w:rPr>
        <w:t xml:space="preserve"> </w:t>
      </w:r>
      <w:r w:rsidR="00A97D83" w:rsidRPr="00E8603C">
        <w:rPr>
          <w:lang w:val="en-CA"/>
        </w:rPr>
        <w:t>How might changing demographic demands factor into this?</w:t>
      </w:r>
      <w:r w:rsidR="000C215D" w:rsidRPr="00E8603C">
        <w:rPr>
          <w:lang w:val="en-CA"/>
        </w:rPr>
        <w:br w:type="page"/>
      </w:r>
    </w:p>
    <w:p w14:paraId="4A333D81" w14:textId="4325651F" w:rsidR="00F05A01" w:rsidRPr="00E8603C" w:rsidRDefault="00F05A01" w:rsidP="00DB4293">
      <w:pPr>
        <w:pStyle w:val="ExhibitHeading"/>
        <w:outlineLvl w:val="0"/>
        <w:rPr>
          <w:lang w:val="en-CA"/>
        </w:rPr>
      </w:pPr>
      <w:r w:rsidRPr="00E8603C">
        <w:rPr>
          <w:lang w:val="en-CA"/>
        </w:rPr>
        <w:lastRenderedPageBreak/>
        <w:t>exhibit 1: beyond meat logo</w:t>
      </w:r>
    </w:p>
    <w:p w14:paraId="44170B9D" w14:textId="77777777" w:rsidR="00F05A01" w:rsidRPr="00E8603C" w:rsidRDefault="00F05A01" w:rsidP="00C06C6F">
      <w:pPr>
        <w:pStyle w:val="ExhibitText"/>
        <w:rPr>
          <w:lang w:val="en-CA"/>
        </w:rPr>
      </w:pPr>
    </w:p>
    <w:p w14:paraId="404C7AF2" w14:textId="3BAFB057" w:rsidR="005F6295" w:rsidRPr="00E8603C" w:rsidRDefault="005F6295" w:rsidP="00C06C6F">
      <w:pPr>
        <w:pStyle w:val="ExhibitText"/>
        <w:jc w:val="center"/>
        <w:rPr>
          <w:lang w:val="en-CA"/>
        </w:rPr>
      </w:pPr>
      <w:r w:rsidRPr="00E8603C">
        <w:rPr>
          <w:noProof/>
          <w:lang w:val="en-CA" w:eastAsia="en-CA"/>
        </w:rPr>
        <w:drawing>
          <wp:inline distT="0" distB="0" distL="0" distR="0" wp14:anchorId="5E0CDB16" wp14:editId="3C62BEB9">
            <wp:extent cx="2616200" cy="31115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yond Meat logo.png"/>
                    <pic:cNvPicPr/>
                  </pic:nvPicPr>
                  <pic:blipFill>
                    <a:blip r:embed="rId11">
                      <a:extLst>
                        <a:ext uri="{BEBA8EAE-BF5A-486C-A8C5-ECC9F3942E4B}">
                          <a14:imgProps xmlns:a14="http://schemas.microsoft.com/office/drawing/2010/main">
                            <a14:imgLayer r:embed="rId12">
                              <a14:imgEffect>
                                <a14:sharpenSoften amount="3000"/>
                              </a14:imgEffect>
                              <a14:imgEffect>
                                <a14:saturation sat="0"/>
                              </a14:imgEffect>
                              <a14:imgEffect>
                                <a14:brightnessContrast bright="15000" contrast="8000"/>
                              </a14:imgEffect>
                            </a14:imgLayer>
                          </a14:imgProps>
                        </a:ext>
                        <a:ext uri="{28A0092B-C50C-407E-A947-70E740481C1C}">
                          <a14:useLocalDpi xmlns:a14="http://schemas.microsoft.com/office/drawing/2010/main" val="0"/>
                        </a:ext>
                      </a:extLst>
                    </a:blip>
                    <a:stretch>
                      <a:fillRect/>
                    </a:stretch>
                  </pic:blipFill>
                  <pic:spPr>
                    <a:xfrm>
                      <a:off x="0" y="0"/>
                      <a:ext cx="2616200" cy="3111500"/>
                    </a:xfrm>
                    <a:prstGeom prst="rect">
                      <a:avLst/>
                    </a:prstGeom>
                  </pic:spPr>
                </pic:pic>
              </a:graphicData>
            </a:graphic>
          </wp:inline>
        </w:drawing>
      </w:r>
    </w:p>
    <w:p w14:paraId="0CA51CFF" w14:textId="3157E35D" w:rsidR="00F05A01" w:rsidRPr="00E8603C" w:rsidRDefault="00F05A01" w:rsidP="00C06C6F">
      <w:pPr>
        <w:pStyle w:val="ExhibitText"/>
        <w:rPr>
          <w:lang w:val="en-CA"/>
        </w:rPr>
      </w:pPr>
    </w:p>
    <w:p w14:paraId="63D5AEBD" w14:textId="013171E2" w:rsidR="00F05A01" w:rsidRPr="00E8603C" w:rsidRDefault="00F05A01" w:rsidP="00DB4293">
      <w:pPr>
        <w:pStyle w:val="Footnote"/>
        <w:outlineLvl w:val="0"/>
        <w:rPr>
          <w:lang w:val="en-CA"/>
        </w:rPr>
      </w:pPr>
      <w:r w:rsidRPr="00E8603C">
        <w:rPr>
          <w:lang w:val="en-CA"/>
        </w:rPr>
        <w:t xml:space="preserve">Source: Company documents. </w:t>
      </w:r>
    </w:p>
    <w:p w14:paraId="60EAA70B" w14:textId="3B1FB1AD" w:rsidR="004D65F2" w:rsidRPr="00E8603C" w:rsidRDefault="004D65F2" w:rsidP="004D65F2">
      <w:pPr>
        <w:pStyle w:val="ExhibitText"/>
        <w:rPr>
          <w:lang w:val="en-CA"/>
        </w:rPr>
      </w:pPr>
    </w:p>
    <w:p w14:paraId="1DFC5342" w14:textId="058129A6" w:rsidR="008D04A1" w:rsidRPr="00E8603C" w:rsidRDefault="008D04A1" w:rsidP="004D65F2">
      <w:pPr>
        <w:pStyle w:val="ExhibitText"/>
        <w:rPr>
          <w:lang w:val="en-CA"/>
        </w:rPr>
      </w:pPr>
    </w:p>
    <w:p w14:paraId="7006150F" w14:textId="77777777" w:rsidR="004D65F2" w:rsidRPr="00E8603C" w:rsidRDefault="004D65F2" w:rsidP="004D65F2">
      <w:pPr>
        <w:pStyle w:val="ExhibitHeading"/>
        <w:rPr>
          <w:lang w:val="en-CA"/>
        </w:rPr>
      </w:pPr>
      <w:r w:rsidRPr="00E8603C">
        <w:rPr>
          <w:lang w:val="en-CA"/>
        </w:rPr>
        <w:t>exhibit 2: ecological footprints by diet type</w:t>
      </w:r>
    </w:p>
    <w:p w14:paraId="3462CC0C" w14:textId="77777777" w:rsidR="004D65F2" w:rsidRPr="00E8603C" w:rsidRDefault="004D65F2" w:rsidP="004D65F2">
      <w:pPr>
        <w:rPr>
          <w:sz w:val="24"/>
          <w:szCs w:val="24"/>
          <w:lang w:val="en-CA"/>
        </w:rPr>
      </w:pP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528"/>
        <w:gridCol w:w="2610"/>
        <w:gridCol w:w="4277"/>
      </w:tblGrid>
      <w:tr w:rsidR="004D65F2" w:rsidRPr="00E8603C" w14:paraId="1F098D91" w14:textId="77777777" w:rsidTr="007B7058">
        <w:trPr>
          <w:cantSplit/>
          <w:trHeight w:val="360"/>
          <w:jc w:val="center"/>
        </w:trPr>
        <w:tc>
          <w:tcPr>
            <w:tcW w:w="1528" w:type="dxa"/>
            <w:tcMar>
              <w:top w:w="58" w:type="dxa"/>
              <w:left w:w="58" w:type="dxa"/>
              <w:bottom w:w="58" w:type="dxa"/>
              <w:right w:w="58" w:type="dxa"/>
            </w:tcMar>
            <w:vAlign w:val="center"/>
            <w:hideMark/>
          </w:tcPr>
          <w:p w14:paraId="4D3ABBE7" w14:textId="77777777" w:rsidR="004D65F2" w:rsidRPr="00E8603C" w:rsidRDefault="004D65F2" w:rsidP="007B7058">
            <w:pPr>
              <w:pStyle w:val="ExhibitText"/>
              <w:jc w:val="left"/>
              <w:rPr>
                <w:b/>
                <w:lang w:val="en-CA"/>
              </w:rPr>
            </w:pPr>
            <w:r w:rsidRPr="00E8603C">
              <w:rPr>
                <w:b/>
                <w:lang w:val="en-CA"/>
              </w:rPr>
              <w:t>Diet Type</w:t>
            </w:r>
          </w:p>
        </w:tc>
        <w:tc>
          <w:tcPr>
            <w:tcW w:w="2610" w:type="dxa"/>
            <w:tcMar>
              <w:top w:w="58" w:type="dxa"/>
              <w:left w:w="58" w:type="dxa"/>
              <w:bottom w:w="58" w:type="dxa"/>
              <w:right w:w="58" w:type="dxa"/>
            </w:tcMar>
            <w:vAlign w:val="center"/>
            <w:hideMark/>
          </w:tcPr>
          <w:p w14:paraId="61477B10" w14:textId="77777777" w:rsidR="004D65F2" w:rsidRPr="00E8603C" w:rsidRDefault="004D65F2" w:rsidP="0069441D">
            <w:pPr>
              <w:pStyle w:val="ExhibitText"/>
              <w:jc w:val="center"/>
              <w:rPr>
                <w:b/>
                <w:lang w:val="en-CA"/>
              </w:rPr>
            </w:pPr>
            <w:r w:rsidRPr="00E8603C">
              <w:rPr>
                <w:b/>
                <w:lang w:val="en-CA"/>
              </w:rPr>
              <w:t>Description</w:t>
            </w:r>
          </w:p>
        </w:tc>
        <w:tc>
          <w:tcPr>
            <w:tcW w:w="4277" w:type="dxa"/>
            <w:tcMar>
              <w:top w:w="58" w:type="dxa"/>
              <w:left w:w="58" w:type="dxa"/>
              <w:bottom w:w="58" w:type="dxa"/>
              <w:right w:w="58" w:type="dxa"/>
            </w:tcMar>
            <w:vAlign w:val="center"/>
            <w:hideMark/>
          </w:tcPr>
          <w:p w14:paraId="0E48EF1B" w14:textId="77777777" w:rsidR="004D65F2" w:rsidRPr="00E8603C" w:rsidRDefault="004D65F2" w:rsidP="0069441D">
            <w:pPr>
              <w:pStyle w:val="ExhibitText"/>
              <w:jc w:val="center"/>
              <w:rPr>
                <w:b/>
                <w:lang w:val="en-CA"/>
              </w:rPr>
            </w:pPr>
            <w:r w:rsidRPr="00E8603C">
              <w:rPr>
                <w:b/>
                <w:lang w:val="en-CA"/>
              </w:rPr>
              <w:t>Eco-Footprint per Person</w:t>
            </w:r>
          </w:p>
        </w:tc>
      </w:tr>
      <w:tr w:rsidR="004D65F2" w:rsidRPr="00E8603C" w14:paraId="5C6F57B8" w14:textId="77777777" w:rsidTr="007B7058">
        <w:trPr>
          <w:cantSplit/>
          <w:trHeight w:val="360"/>
          <w:jc w:val="center"/>
        </w:trPr>
        <w:tc>
          <w:tcPr>
            <w:tcW w:w="1528" w:type="dxa"/>
            <w:tcMar>
              <w:top w:w="58" w:type="dxa"/>
              <w:left w:w="58" w:type="dxa"/>
              <w:bottom w:w="58" w:type="dxa"/>
              <w:right w:w="58" w:type="dxa"/>
            </w:tcMar>
            <w:hideMark/>
          </w:tcPr>
          <w:p w14:paraId="4C88B457" w14:textId="77777777" w:rsidR="004D65F2" w:rsidRPr="00E8603C" w:rsidRDefault="004D65F2" w:rsidP="007B7058">
            <w:pPr>
              <w:pStyle w:val="ExhibitText"/>
              <w:jc w:val="left"/>
              <w:rPr>
                <w:lang w:val="en-CA"/>
              </w:rPr>
            </w:pPr>
            <w:r w:rsidRPr="00E8603C">
              <w:rPr>
                <w:lang w:val="en-CA"/>
              </w:rPr>
              <w:t>Vegetarian</w:t>
            </w:r>
          </w:p>
        </w:tc>
        <w:tc>
          <w:tcPr>
            <w:tcW w:w="2610" w:type="dxa"/>
            <w:tcMar>
              <w:top w:w="58" w:type="dxa"/>
              <w:left w:w="58" w:type="dxa"/>
              <w:bottom w:w="58" w:type="dxa"/>
              <w:right w:w="58" w:type="dxa"/>
            </w:tcMar>
            <w:hideMark/>
          </w:tcPr>
          <w:p w14:paraId="337B3E14" w14:textId="77777777" w:rsidR="004D65F2" w:rsidRPr="00E8603C" w:rsidRDefault="004D65F2" w:rsidP="007B7058">
            <w:pPr>
              <w:pStyle w:val="ExhibitText"/>
              <w:jc w:val="left"/>
              <w:rPr>
                <w:lang w:val="en-CA"/>
              </w:rPr>
            </w:pPr>
            <w:r w:rsidRPr="00E8603C">
              <w:rPr>
                <w:lang w:val="en-CA"/>
              </w:rPr>
              <w:t>No meat or fish</w:t>
            </w:r>
          </w:p>
        </w:tc>
        <w:tc>
          <w:tcPr>
            <w:tcW w:w="4277" w:type="dxa"/>
            <w:tcMar>
              <w:top w:w="58" w:type="dxa"/>
              <w:left w:w="58" w:type="dxa"/>
              <w:bottom w:w="58" w:type="dxa"/>
              <w:right w:w="58" w:type="dxa"/>
            </w:tcMar>
            <w:hideMark/>
          </w:tcPr>
          <w:p w14:paraId="1A096241" w14:textId="77777777" w:rsidR="004D65F2" w:rsidRPr="00E8603C" w:rsidRDefault="004D65F2" w:rsidP="007B7058">
            <w:pPr>
              <w:pStyle w:val="ExhibitText"/>
              <w:numPr>
                <w:ilvl w:val="0"/>
                <w:numId w:val="30"/>
              </w:numPr>
              <w:jc w:val="left"/>
              <w:rPr>
                <w:lang w:val="en-CA"/>
              </w:rPr>
            </w:pPr>
            <w:r w:rsidRPr="00E8603C">
              <w:rPr>
                <w:lang w:val="en-CA"/>
              </w:rPr>
              <w:t>140 m</w:t>
            </w:r>
            <w:r w:rsidRPr="00E8603C">
              <w:rPr>
                <w:vertAlign w:val="superscript"/>
                <w:lang w:val="en-CA"/>
              </w:rPr>
              <w:t>2</w:t>
            </w:r>
            <w:r w:rsidRPr="00E8603C">
              <w:rPr>
                <w:lang w:val="en-CA"/>
              </w:rPr>
              <w:t xml:space="preserve"> per week</w:t>
            </w:r>
          </w:p>
          <w:p w14:paraId="750B1B0C" w14:textId="77777777" w:rsidR="004D65F2" w:rsidRPr="00E8603C" w:rsidRDefault="004D65F2" w:rsidP="007B7058">
            <w:pPr>
              <w:pStyle w:val="ExhibitText"/>
              <w:numPr>
                <w:ilvl w:val="0"/>
                <w:numId w:val="30"/>
              </w:numPr>
              <w:jc w:val="left"/>
              <w:rPr>
                <w:lang w:val="en-CA"/>
              </w:rPr>
            </w:pPr>
            <w:r w:rsidRPr="00E8603C">
              <w:rPr>
                <w:lang w:val="en-CA"/>
              </w:rPr>
              <w:t>7,280 m</w:t>
            </w:r>
            <w:r w:rsidRPr="00E8603C">
              <w:rPr>
                <w:vertAlign w:val="superscript"/>
                <w:lang w:val="en-CA"/>
              </w:rPr>
              <w:t>2</w:t>
            </w:r>
            <w:r w:rsidRPr="00E8603C">
              <w:rPr>
                <w:lang w:val="en-CA"/>
              </w:rPr>
              <w:t xml:space="preserve"> per year</w:t>
            </w:r>
          </w:p>
          <w:p w14:paraId="4619877B" w14:textId="77777777" w:rsidR="004D65F2" w:rsidRPr="00E8603C" w:rsidRDefault="004D65F2" w:rsidP="007B7058">
            <w:pPr>
              <w:pStyle w:val="ExhibitText"/>
              <w:numPr>
                <w:ilvl w:val="0"/>
                <w:numId w:val="30"/>
              </w:numPr>
              <w:jc w:val="left"/>
              <w:rPr>
                <w:lang w:val="en-CA"/>
              </w:rPr>
            </w:pPr>
            <w:r w:rsidRPr="00E8603C">
              <w:rPr>
                <w:lang w:val="en-CA"/>
              </w:rPr>
              <w:t>equivalent to 27 tennis courts</w:t>
            </w:r>
          </w:p>
        </w:tc>
      </w:tr>
      <w:tr w:rsidR="004D65F2" w:rsidRPr="00E8603C" w14:paraId="3FB9F8DA" w14:textId="77777777" w:rsidTr="007B7058">
        <w:trPr>
          <w:cantSplit/>
          <w:trHeight w:val="360"/>
          <w:jc w:val="center"/>
        </w:trPr>
        <w:tc>
          <w:tcPr>
            <w:tcW w:w="1528" w:type="dxa"/>
            <w:tcMar>
              <w:top w:w="58" w:type="dxa"/>
              <w:left w:w="58" w:type="dxa"/>
              <w:bottom w:w="58" w:type="dxa"/>
              <w:right w:w="58" w:type="dxa"/>
            </w:tcMar>
            <w:hideMark/>
          </w:tcPr>
          <w:p w14:paraId="3685061C" w14:textId="77777777" w:rsidR="004D65F2" w:rsidRPr="00E8603C" w:rsidRDefault="004D65F2" w:rsidP="007B7058">
            <w:pPr>
              <w:pStyle w:val="ExhibitText"/>
              <w:jc w:val="left"/>
              <w:rPr>
                <w:lang w:val="en-CA"/>
              </w:rPr>
            </w:pPr>
            <w:r w:rsidRPr="00E8603C">
              <w:rPr>
                <w:lang w:val="en-CA"/>
              </w:rPr>
              <w:t>Mediterranean</w:t>
            </w:r>
          </w:p>
        </w:tc>
        <w:tc>
          <w:tcPr>
            <w:tcW w:w="2610" w:type="dxa"/>
            <w:tcMar>
              <w:top w:w="58" w:type="dxa"/>
              <w:left w:w="58" w:type="dxa"/>
              <w:bottom w:w="58" w:type="dxa"/>
              <w:right w:w="58" w:type="dxa"/>
            </w:tcMar>
            <w:hideMark/>
          </w:tcPr>
          <w:p w14:paraId="284838F7" w14:textId="77777777" w:rsidR="004D65F2" w:rsidRPr="00E8603C" w:rsidRDefault="004D65F2" w:rsidP="007B7058">
            <w:pPr>
              <w:pStyle w:val="ExhibitText"/>
              <w:jc w:val="left"/>
              <w:rPr>
                <w:lang w:val="en-CA"/>
              </w:rPr>
            </w:pPr>
            <w:r w:rsidRPr="00E8603C">
              <w:rPr>
                <w:lang w:val="en-CA"/>
              </w:rPr>
              <w:t>Focus on foods at the base of the pyramid; meat and fish twice per week</w:t>
            </w:r>
          </w:p>
        </w:tc>
        <w:tc>
          <w:tcPr>
            <w:tcW w:w="4277" w:type="dxa"/>
            <w:tcMar>
              <w:top w:w="58" w:type="dxa"/>
              <w:left w:w="58" w:type="dxa"/>
              <w:bottom w:w="58" w:type="dxa"/>
              <w:right w:w="58" w:type="dxa"/>
            </w:tcMar>
            <w:hideMark/>
          </w:tcPr>
          <w:p w14:paraId="75BE1892" w14:textId="77777777" w:rsidR="004D65F2" w:rsidRPr="00E8603C" w:rsidRDefault="004D65F2" w:rsidP="007B7058">
            <w:pPr>
              <w:pStyle w:val="ExhibitText"/>
              <w:numPr>
                <w:ilvl w:val="0"/>
                <w:numId w:val="31"/>
              </w:numPr>
              <w:jc w:val="left"/>
              <w:rPr>
                <w:lang w:val="en-CA"/>
              </w:rPr>
            </w:pPr>
            <w:r w:rsidRPr="00E8603C">
              <w:rPr>
                <w:lang w:val="en-CA"/>
              </w:rPr>
              <w:t>161 m</w:t>
            </w:r>
            <w:r w:rsidRPr="00E8603C">
              <w:rPr>
                <w:vertAlign w:val="superscript"/>
                <w:lang w:val="en-CA"/>
              </w:rPr>
              <w:t>2</w:t>
            </w:r>
            <w:r w:rsidRPr="00E8603C">
              <w:rPr>
                <w:lang w:val="en-CA"/>
              </w:rPr>
              <w:t xml:space="preserve"> per week</w:t>
            </w:r>
          </w:p>
          <w:p w14:paraId="18C185C3" w14:textId="77777777" w:rsidR="004D65F2" w:rsidRPr="00E8603C" w:rsidRDefault="004D65F2" w:rsidP="007B7058">
            <w:pPr>
              <w:pStyle w:val="ExhibitText"/>
              <w:numPr>
                <w:ilvl w:val="0"/>
                <w:numId w:val="31"/>
              </w:numPr>
              <w:jc w:val="left"/>
              <w:rPr>
                <w:lang w:val="en-CA"/>
              </w:rPr>
            </w:pPr>
            <w:r w:rsidRPr="00E8603C">
              <w:rPr>
                <w:lang w:val="en-CA"/>
              </w:rPr>
              <w:t>8,370 m</w:t>
            </w:r>
            <w:r w:rsidRPr="00E8603C">
              <w:rPr>
                <w:vertAlign w:val="superscript"/>
                <w:lang w:val="en-CA"/>
              </w:rPr>
              <w:t>2</w:t>
            </w:r>
            <w:r w:rsidRPr="00E8603C">
              <w:rPr>
                <w:lang w:val="en-CA"/>
              </w:rPr>
              <w:t xml:space="preserve"> per year</w:t>
            </w:r>
          </w:p>
          <w:p w14:paraId="533552E5" w14:textId="77777777" w:rsidR="004D65F2" w:rsidRPr="00E8603C" w:rsidRDefault="004D65F2" w:rsidP="007B7058">
            <w:pPr>
              <w:pStyle w:val="ExhibitText"/>
              <w:numPr>
                <w:ilvl w:val="0"/>
                <w:numId w:val="31"/>
              </w:numPr>
              <w:jc w:val="left"/>
              <w:rPr>
                <w:lang w:val="en-CA"/>
              </w:rPr>
            </w:pPr>
            <w:r w:rsidRPr="00E8603C">
              <w:rPr>
                <w:lang w:val="en-CA"/>
              </w:rPr>
              <w:t>equivalent to 32 tennis courts</w:t>
            </w:r>
          </w:p>
        </w:tc>
      </w:tr>
      <w:tr w:rsidR="004D65F2" w:rsidRPr="00E8603C" w14:paraId="2E5CBDE8" w14:textId="77777777" w:rsidTr="007B7058">
        <w:trPr>
          <w:cantSplit/>
          <w:trHeight w:val="360"/>
          <w:jc w:val="center"/>
        </w:trPr>
        <w:tc>
          <w:tcPr>
            <w:tcW w:w="1528" w:type="dxa"/>
            <w:tcMar>
              <w:top w:w="58" w:type="dxa"/>
              <w:left w:w="58" w:type="dxa"/>
              <w:bottom w:w="58" w:type="dxa"/>
              <w:right w:w="58" w:type="dxa"/>
            </w:tcMar>
            <w:hideMark/>
          </w:tcPr>
          <w:p w14:paraId="5C8C9EFB" w14:textId="77777777" w:rsidR="004D65F2" w:rsidRPr="00E8603C" w:rsidRDefault="004D65F2" w:rsidP="007B7058">
            <w:pPr>
              <w:pStyle w:val="ExhibitText"/>
              <w:jc w:val="left"/>
              <w:rPr>
                <w:lang w:val="en-CA"/>
              </w:rPr>
            </w:pPr>
            <w:r w:rsidRPr="00E8603C">
              <w:rPr>
                <w:lang w:val="en-CA"/>
              </w:rPr>
              <w:t>Meat-Based</w:t>
            </w:r>
          </w:p>
        </w:tc>
        <w:tc>
          <w:tcPr>
            <w:tcW w:w="2610" w:type="dxa"/>
            <w:tcMar>
              <w:top w:w="58" w:type="dxa"/>
              <w:left w:w="58" w:type="dxa"/>
              <w:bottom w:w="58" w:type="dxa"/>
              <w:right w:w="58" w:type="dxa"/>
            </w:tcMar>
            <w:hideMark/>
          </w:tcPr>
          <w:p w14:paraId="19BBF095" w14:textId="77777777" w:rsidR="004D65F2" w:rsidRPr="00E8603C" w:rsidRDefault="004D65F2" w:rsidP="007B7058">
            <w:pPr>
              <w:pStyle w:val="ExhibitText"/>
              <w:jc w:val="left"/>
              <w:rPr>
                <w:lang w:val="en-CA"/>
              </w:rPr>
            </w:pPr>
            <w:r w:rsidRPr="00E8603C">
              <w:rPr>
                <w:lang w:val="en-CA"/>
              </w:rPr>
              <w:t xml:space="preserve">Meat once per day </w:t>
            </w:r>
          </w:p>
        </w:tc>
        <w:tc>
          <w:tcPr>
            <w:tcW w:w="4277" w:type="dxa"/>
            <w:tcMar>
              <w:top w:w="58" w:type="dxa"/>
              <w:left w:w="58" w:type="dxa"/>
              <w:bottom w:w="58" w:type="dxa"/>
              <w:right w:w="58" w:type="dxa"/>
            </w:tcMar>
            <w:hideMark/>
          </w:tcPr>
          <w:p w14:paraId="5A093F19" w14:textId="77777777" w:rsidR="004D65F2" w:rsidRPr="00E8603C" w:rsidRDefault="004D65F2" w:rsidP="007B7058">
            <w:pPr>
              <w:pStyle w:val="ExhibitText"/>
              <w:numPr>
                <w:ilvl w:val="0"/>
                <w:numId w:val="32"/>
              </w:numPr>
              <w:jc w:val="left"/>
              <w:rPr>
                <w:lang w:val="en-CA"/>
              </w:rPr>
            </w:pPr>
            <w:r w:rsidRPr="00E8603C">
              <w:rPr>
                <w:lang w:val="en-CA"/>
              </w:rPr>
              <w:t>188 m</w:t>
            </w:r>
            <w:r w:rsidRPr="00E8603C">
              <w:rPr>
                <w:vertAlign w:val="superscript"/>
                <w:lang w:val="en-CA"/>
              </w:rPr>
              <w:t>2</w:t>
            </w:r>
            <w:r w:rsidRPr="00E8603C">
              <w:rPr>
                <w:lang w:val="en-CA"/>
              </w:rPr>
              <w:t xml:space="preserve"> per week</w:t>
            </w:r>
          </w:p>
          <w:p w14:paraId="2FC67A0D" w14:textId="77777777" w:rsidR="004D65F2" w:rsidRPr="00E8603C" w:rsidRDefault="004D65F2" w:rsidP="007B7058">
            <w:pPr>
              <w:pStyle w:val="ExhibitText"/>
              <w:numPr>
                <w:ilvl w:val="0"/>
                <w:numId w:val="32"/>
              </w:numPr>
              <w:jc w:val="left"/>
              <w:rPr>
                <w:lang w:val="en-CA"/>
              </w:rPr>
            </w:pPr>
            <w:r w:rsidRPr="00E8603C">
              <w:rPr>
                <w:lang w:val="en-CA"/>
              </w:rPr>
              <w:t>9,780 m</w:t>
            </w:r>
            <w:r w:rsidRPr="00E8603C">
              <w:rPr>
                <w:vertAlign w:val="superscript"/>
                <w:lang w:val="en-CA"/>
              </w:rPr>
              <w:t>2</w:t>
            </w:r>
            <w:r w:rsidRPr="00E8603C">
              <w:rPr>
                <w:lang w:val="en-CA"/>
              </w:rPr>
              <w:t xml:space="preserve"> per year</w:t>
            </w:r>
          </w:p>
          <w:p w14:paraId="6C4501A3" w14:textId="77777777" w:rsidR="004D65F2" w:rsidRPr="00E8603C" w:rsidRDefault="004D65F2" w:rsidP="007B7058">
            <w:pPr>
              <w:pStyle w:val="ExhibitText"/>
              <w:numPr>
                <w:ilvl w:val="0"/>
                <w:numId w:val="32"/>
              </w:numPr>
              <w:jc w:val="left"/>
              <w:rPr>
                <w:lang w:val="en-CA"/>
              </w:rPr>
            </w:pPr>
            <w:r w:rsidRPr="00E8603C">
              <w:rPr>
                <w:lang w:val="en-CA"/>
              </w:rPr>
              <w:t>equivalent to 37 tennis courts</w:t>
            </w:r>
          </w:p>
        </w:tc>
      </w:tr>
    </w:tbl>
    <w:p w14:paraId="36EE3224" w14:textId="77777777" w:rsidR="004D65F2" w:rsidRPr="00E8603C" w:rsidRDefault="004D65F2" w:rsidP="004D65F2">
      <w:pPr>
        <w:pStyle w:val="Footnote"/>
        <w:rPr>
          <w:lang w:val="en-CA"/>
        </w:rPr>
      </w:pPr>
    </w:p>
    <w:p w14:paraId="6B066624" w14:textId="7832B1DC" w:rsidR="004D65F2" w:rsidRPr="00E8603C" w:rsidRDefault="004D65F2" w:rsidP="004D65F2">
      <w:pPr>
        <w:pStyle w:val="Footnote"/>
        <w:rPr>
          <w:lang w:val="en-CA"/>
        </w:rPr>
      </w:pPr>
      <w:r w:rsidRPr="00E8603C">
        <w:rPr>
          <w:lang w:val="en-CA"/>
        </w:rPr>
        <w:t xml:space="preserve">Source: Guido Barilla, Dacian Cioloș, Danielle Nierenberg, Gabriele </w:t>
      </w:r>
      <w:proofErr w:type="spellStart"/>
      <w:r w:rsidRPr="00E8603C">
        <w:rPr>
          <w:lang w:val="en-CA"/>
        </w:rPr>
        <w:t>Riccardi</w:t>
      </w:r>
      <w:proofErr w:type="spellEnd"/>
      <w:r w:rsidRPr="00E8603C">
        <w:rPr>
          <w:lang w:val="en-CA"/>
        </w:rPr>
        <w:t xml:space="preserve">, Riccardo </w:t>
      </w:r>
      <w:proofErr w:type="spellStart"/>
      <w:r w:rsidRPr="00E8603C">
        <w:rPr>
          <w:lang w:val="en-CA"/>
        </w:rPr>
        <w:t>Valentini</w:t>
      </w:r>
      <w:proofErr w:type="spellEnd"/>
      <w:r w:rsidRPr="00E8603C">
        <w:rPr>
          <w:lang w:val="en-CA"/>
        </w:rPr>
        <w:t xml:space="preserve">, BCFN Yes!, Alex Renton, and Enrico </w:t>
      </w:r>
      <w:proofErr w:type="spellStart"/>
      <w:r w:rsidRPr="00E8603C">
        <w:rPr>
          <w:lang w:val="en-CA"/>
        </w:rPr>
        <w:t>Crippa</w:t>
      </w:r>
      <w:proofErr w:type="spellEnd"/>
      <w:r w:rsidRPr="00E8603C">
        <w:rPr>
          <w:lang w:val="en-CA"/>
        </w:rPr>
        <w:t xml:space="preserve">, </w:t>
      </w:r>
      <w:r w:rsidRPr="00E8603C">
        <w:rPr>
          <w:i/>
          <w:lang w:val="en-CA"/>
        </w:rPr>
        <w:t xml:space="preserve">Food and the Environment: Diets that are Healthy for People and the Planet </w:t>
      </w:r>
      <w:r w:rsidRPr="00E8603C">
        <w:rPr>
          <w:lang w:val="en-CA"/>
        </w:rPr>
        <w:t xml:space="preserve">(Parma, Italy: Barilla Center for Food &amp; Nutrition, 2013), accessed December 30, 2014, </w:t>
      </w:r>
      <w:r w:rsidR="00F32F93" w:rsidRPr="00E8603C">
        <w:rPr>
          <w:lang w:val="en-CA"/>
        </w:rPr>
        <w:t>www.barillacfn.com/m/publications/food-and-the-environment-diets-that-are-healthy-for-people-and-for-the-planet.pdf</w:t>
      </w:r>
      <w:r w:rsidRPr="00E8603C">
        <w:rPr>
          <w:lang w:val="en-CA"/>
        </w:rPr>
        <w:t>.</w:t>
      </w:r>
    </w:p>
    <w:p w14:paraId="3974783D" w14:textId="7A141FB2" w:rsidR="004D65F2" w:rsidRPr="00E8603C" w:rsidRDefault="004D65F2" w:rsidP="004D65F2">
      <w:pPr>
        <w:pStyle w:val="ExhibitText"/>
        <w:rPr>
          <w:lang w:val="en-CA"/>
        </w:rPr>
      </w:pPr>
    </w:p>
    <w:p w14:paraId="7110E91F" w14:textId="4E508838" w:rsidR="004D65F2" w:rsidRPr="00E8603C" w:rsidRDefault="004D65F2">
      <w:pPr>
        <w:spacing w:after="200" w:line="276" w:lineRule="auto"/>
        <w:rPr>
          <w:rFonts w:ascii="Arial" w:hAnsi="Arial" w:cs="Arial"/>
          <w:lang w:val="en-CA"/>
        </w:rPr>
      </w:pPr>
      <w:r w:rsidRPr="00E8603C">
        <w:rPr>
          <w:lang w:val="en-CA"/>
        </w:rPr>
        <w:br w:type="page"/>
      </w:r>
    </w:p>
    <w:p w14:paraId="06B3E117" w14:textId="4BDE2B93" w:rsidR="00CF49C6" w:rsidRPr="00E8603C" w:rsidRDefault="00CF49C6" w:rsidP="00CF49C6">
      <w:pPr>
        <w:pStyle w:val="ExhibitHeading"/>
        <w:rPr>
          <w:lang w:val="en-CA"/>
        </w:rPr>
      </w:pPr>
      <w:r w:rsidRPr="00E8603C">
        <w:rPr>
          <w:lang w:val="en-CA"/>
        </w:rPr>
        <w:lastRenderedPageBreak/>
        <w:t xml:space="preserve">Exhibit </w:t>
      </w:r>
      <w:r w:rsidR="004D65F2" w:rsidRPr="00E8603C">
        <w:rPr>
          <w:lang w:val="en-CA"/>
        </w:rPr>
        <w:t>3</w:t>
      </w:r>
      <w:r w:rsidRPr="00E8603C">
        <w:rPr>
          <w:lang w:val="en-CA"/>
        </w:rPr>
        <w:t xml:space="preserve">: Production Efficiencies of Animal </w:t>
      </w:r>
      <w:r w:rsidR="00F32F93" w:rsidRPr="00E8603C">
        <w:rPr>
          <w:lang w:val="en-CA"/>
        </w:rPr>
        <w:t xml:space="preserve">Food </w:t>
      </w:r>
      <w:r w:rsidRPr="00E8603C">
        <w:rPr>
          <w:lang w:val="en-CA"/>
        </w:rPr>
        <w:t>Products</w:t>
      </w:r>
    </w:p>
    <w:p w14:paraId="3DCEE561" w14:textId="77777777" w:rsidR="00CF49C6" w:rsidRPr="00E8603C" w:rsidRDefault="00CF49C6" w:rsidP="00CF49C6">
      <w:pPr>
        <w:pStyle w:val="Casehead2"/>
        <w:jc w:val="center"/>
        <w:rPr>
          <w:lang w:val="en-CA"/>
        </w:rPr>
      </w:pPr>
    </w:p>
    <w:tbl>
      <w:tblPr>
        <w:tblW w:w="5000" w:type="pct"/>
        <w:jc w:val="center"/>
        <w:tblBorders>
          <w:top w:val="outset" w:sz="6" w:space="0" w:color="auto"/>
          <w:left w:val="outset" w:sz="6" w:space="0" w:color="auto"/>
          <w:bottom w:val="outset" w:sz="6" w:space="0" w:color="auto"/>
          <w:right w:val="outset" w:sz="6" w:space="0" w:color="auto"/>
        </w:tblBorders>
        <w:shd w:val="clear" w:color="auto" w:fill="FFFFFF"/>
        <w:tblCellMar>
          <w:left w:w="75" w:type="dxa"/>
          <w:right w:w="75" w:type="dxa"/>
        </w:tblCellMar>
        <w:tblLook w:val="04A0" w:firstRow="1" w:lastRow="0" w:firstColumn="1" w:lastColumn="0" w:noHBand="0" w:noVBand="1"/>
      </w:tblPr>
      <w:tblGrid>
        <w:gridCol w:w="3071"/>
        <w:gridCol w:w="1568"/>
        <w:gridCol w:w="1568"/>
        <w:gridCol w:w="1568"/>
        <w:gridCol w:w="1569"/>
      </w:tblGrid>
      <w:tr w:rsidR="004D65F2" w:rsidRPr="00E8603C" w14:paraId="3ABEC44C" w14:textId="77777777" w:rsidTr="00CF49C6">
        <w:trPr>
          <w:trHeight w:val="360"/>
          <w:jc w:val="center"/>
        </w:trPr>
        <w:tc>
          <w:tcPr>
            <w:tcW w:w="30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4292A7" w14:textId="77777777" w:rsidR="00CF49C6" w:rsidRPr="00E8603C" w:rsidRDefault="00CF49C6" w:rsidP="00CF49C6">
            <w:pPr>
              <w:pStyle w:val="ExhibitText"/>
              <w:rPr>
                <w:lang w:val="en-CA"/>
              </w:rPr>
            </w:pPr>
          </w:p>
        </w:tc>
        <w:tc>
          <w:tcPr>
            <w:tcW w:w="1568" w:type="dxa"/>
            <w:tcBorders>
              <w:top w:val="outset" w:sz="6" w:space="0" w:color="auto"/>
              <w:left w:val="outset" w:sz="6" w:space="0" w:color="auto"/>
              <w:bottom w:val="outset" w:sz="6" w:space="0" w:color="auto"/>
              <w:right w:val="single" w:sz="6" w:space="0" w:color="FFFFFF"/>
            </w:tcBorders>
            <w:shd w:val="clear" w:color="auto" w:fill="FFFFFF"/>
            <w:vAlign w:val="center"/>
            <w:hideMark/>
          </w:tcPr>
          <w:p w14:paraId="2600F766" w14:textId="77777777" w:rsidR="00CF49C6" w:rsidRPr="00E8603C" w:rsidRDefault="00CF49C6" w:rsidP="00CF49C6">
            <w:pPr>
              <w:pStyle w:val="ExhibitText"/>
              <w:jc w:val="center"/>
              <w:rPr>
                <w:b/>
                <w:bCs/>
                <w:lang w:val="en-CA"/>
              </w:rPr>
            </w:pPr>
            <w:r w:rsidRPr="00E8603C">
              <w:rPr>
                <w:b/>
                <w:bCs/>
                <w:lang w:val="en-CA"/>
              </w:rPr>
              <w:t>Milk</w:t>
            </w:r>
          </w:p>
        </w:tc>
        <w:tc>
          <w:tcPr>
            <w:tcW w:w="1568" w:type="dxa"/>
            <w:tcBorders>
              <w:top w:val="outset" w:sz="6" w:space="0" w:color="auto"/>
              <w:left w:val="outset" w:sz="6" w:space="0" w:color="auto"/>
              <w:bottom w:val="outset" w:sz="6" w:space="0" w:color="auto"/>
              <w:right w:val="single" w:sz="6" w:space="0" w:color="FFFFFF"/>
            </w:tcBorders>
            <w:shd w:val="clear" w:color="auto" w:fill="FFFFFF"/>
            <w:vAlign w:val="center"/>
            <w:hideMark/>
          </w:tcPr>
          <w:p w14:paraId="0E1FB8A8" w14:textId="77777777" w:rsidR="00CF49C6" w:rsidRPr="00E8603C" w:rsidRDefault="00CF49C6" w:rsidP="00CF49C6">
            <w:pPr>
              <w:pStyle w:val="ExhibitText"/>
              <w:jc w:val="center"/>
              <w:rPr>
                <w:b/>
                <w:bCs/>
                <w:lang w:val="en-CA"/>
              </w:rPr>
            </w:pPr>
            <w:r w:rsidRPr="00E8603C">
              <w:rPr>
                <w:b/>
                <w:bCs/>
                <w:lang w:val="en-CA"/>
              </w:rPr>
              <w:t>Chicken</w:t>
            </w:r>
          </w:p>
        </w:tc>
        <w:tc>
          <w:tcPr>
            <w:tcW w:w="1568" w:type="dxa"/>
            <w:tcBorders>
              <w:top w:val="outset" w:sz="6" w:space="0" w:color="auto"/>
              <w:left w:val="outset" w:sz="6" w:space="0" w:color="auto"/>
              <w:bottom w:val="outset" w:sz="6" w:space="0" w:color="auto"/>
              <w:right w:val="single" w:sz="6" w:space="0" w:color="FFFFFF"/>
            </w:tcBorders>
            <w:shd w:val="clear" w:color="auto" w:fill="FFFFFF"/>
            <w:vAlign w:val="center"/>
            <w:hideMark/>
          </w:tcPr>
          <w:p w14:paraId="71FBCC23" w14:textId="77777777" w:rsidR="00CF49C6" w:rsidRPr="00E8603C" w:rsidRDefault="00CF49C6" w:rsidP="00CF49C6">
            <w:pPr>
              <w:pStyle w:val="ExhibitText"/>
              <w:jc w:val="center"/>
              <w:rPr>
                <w:b/>
                <w:bCs/>
                <w:lang w:val="en-CA"/>
              </w:rPr>
            </w:pPr>
            <w:r w:rsidRPr="00E8603C">
              <w:rPr>
                <w:b/>
                <w:bCs/>
                <w:lang w:val="en-CA"/>
              </w:rPr>
              <w:t>Pork</w:t>
            </w:r>
          </w:p>
        </w:tc>
        <w:tc>
          <w:tcPr>
            <w:tcW w:w="156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D34303" w14:textId="77777777" w:rsidR="00CF49C6" w:rsidRPr="00E8603C" w:rsidRDefault="00CF49C6" w:rsidP="00CF49C6">
            <w:pPr>
              <w:pStyle w:val="ExhibitText"/>
              <w:jc w:val="center"/>
              <w:rPr>
                <w:b/>
                <w:bCs/>
                <w:lang w:val="en-CA"/>
              </w:rPr>
            </w:pPr>
            <w:r w:rsidRPr="00E8603C">
              <w:rPr>
                <w:b/>
                <w:bCs/>
                <w:lang w:val="en-CA"/>
              </w:rPr>
              <w:t>Beef</w:t>
            </w:r>
          </w:p>
        </w:tc>
      </w:tr>
      <w:tr w:rsidR="004D65F2" w:rsidRPr="00E8603C" w14:paraId="534CAD36" w14:textId="77777777" w:rsidTr="00CF49C6">
        <w:trPr>
          <w:trHeight w:val="360"/>
          <w:jc w:val="center"/>
        </w:trPr>
        <w:tc>
          <w:tcPr>
            <w:tcW w:w="3071" w:type="dxa"/>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75" w:type="dxa"/>
            </w:tcMar>
            <w:vAlign w:val="center"/>
            <w:hideMark/>
          </w:tcPr>
          <w:p w14:paraId="437D7B44" w14:textId="4F7C2606" w:rsidR="00CF49C6" w:rsidRPr="00E8603C" w:rsidRDefault="004D65F2" w:rsidP="005255E7">
            <w:pPr>
              <w:pStyle w:val="ExhibitText"/>
              <w:jc w:val="left"/>
              <w:rPr>
                <w:lang w:val="en-CA"/>
              </w:rPr>
            </w:pPr>
            <w:r w:rsidRPr="00E8603C">
              <w:rPr>
                <w:lang w:val="en-CA"/>
              </w:rPr>
              <w:t>Amount</w:t>
            </w:r>
            <w:r w:rsidR="00CF49C6" w:rsidRPr="00E8603C">
              <w:rPr>
                <w:lang w:val="en-CA"/>
              </w:rPr>
              <w:t xml:space="preserve"> of grain required to produce one pound of </w:t>
            </w:r>
            <w:r w:rsidR="00F32F93" w:rsidRPr="00E8603C">
              <w:rPr>
                <w:lang w:val="en-CA"/>
              </w:rPr>
              <w:t>animal protein</w:t>
            </w:r>
            <w:r w:rsidR="00CF49C6" w:rsidRPr="00E8603C">
              <w:rPr>
                <w:lang w:val="en-CA"/>
              </w:rPr>
              <w:t xml:space="preserve"> (in </w:t>
            </w:r>
            <w:r w:rsidR="005255E7" w:rsidRPr="00E8603C">
              <w:rPr>
                <w:lang w:val="en-CA"/>
              </w:rPr>
              <w:t>pounds)</w:t>
            </w:r>
          </w:p>
        </w:tc>
        <w:tc>
          <w:tcPr>
            <w:tcW w:w="1568" w:type="dxa"/>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75" w:type="dxa"/>
            </w:tcMar>
            <w:vAlign w:val="center"/>
            <w:hideMark/>
          </w:tcPr>
          <w:p w14:paraId="3FEEA982" w14:textId="77777777" w:rsidR="00CF49C6" w:rsidRPr="00E8603C" w:rsidRDefault="00CF49C6" w:rsidP="0069441D">
            <w:pPr>
              <w:pStyle w:val="ExhibitText"/>
              <w:jc w:val="right"/>
              <w:rPr>
                <w:lang w:val="en-CA"/>
              </w:rPr>
            </w:pPr>
            <w:r w:rsidRPr="00E8603C">
              <w:rPr>
                <w:lang w:val="en-CA"/>
              </w:rPr>
              <w:t>1.0</w:t>
            </w:r>
          </w:p>
        </w:tc>
        <w:tc>
          <w:tcPr>
            <w:tcW w:w="1568" w:type="dxa"/>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75" w:type="dxa"/>
            </w:tcMar>
            <w:vAlign w:val="center"/>
            <w:hideMark/>
          </w:tcPr>
          <w:p w14:paraId="41E9B6D8" w14:textId="77777777" w:rsidR="00CF49C6" w:rsidRPr="00E8603C" w:rsidRDefault="00CF49C6" w:rsidP="0069441D">
            <w:pPr>
              <w:pStyle w:val="ExhibitText"/>
              <w:jc w:val="right"/>
              <w:rPr>
                <w:lang w:val="en-CA"/>
              </w:rPr>
            </w:pPr>
            <w:r w:rsidRPr="00E8603C">
              <w:rPr>
                <w:lang w:val="en-CA"/>
              </w:rPr>
              <w:t>2.5</w:t>
            </w:r>
          </w:p>
        </w:tc>
        <w:tc>
          <w:tcPr>
            <w:tcW w:w="1568" w:type="dxa"/>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75" w:type="dxa"/>
            </w:tcMar>
            <w:vAlign w:val="center"/>
            <w:hideMark/>
          </w:tcPr>
          <w:p w14:paraId="3E185569" w14:textId="77777777" w:rsidR="00CF49C6" w:rsidRPr="00E8603C" w:rsidRDefault="00CF49C6" w:rsidP="0069441D">
            <w:pPr>
              <w:pStyle w:val="ExhibitText"/>
              <w:jc w:val="right"/>
              <w:rPr>
                <w:lang w:val="en-CA"/>
              </w:rPr>
            </w:pPr>
            <w:r w:rsidRPr="00E8603C">
              <w:rPr>
                <w:lang w:val="en-CA"/>
              </w:rPr>
              <w:t>4.0</w:t>
            </w:r>
          </w:p>
        </w:tc>
        <w:tc>
          <w:tcPr>
            <w:tcW w:w="1569" w:type="dxa"/>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75" w:type="dxa"/>
            </w:tcMar>
            <w:vAlign w:val="center"/>
            <w:hideMark/>
          </w:tcPr>
          <w:p w14:paraId="469167EC" w14:textId="77777777" w:rsidR="00CF49C6" w:rsidRPr="00E8603C" w:rsidRDefault="00CF49C6" w:rsidP="0069441D">
            <w:pPr>
              <w:pStyle w:val="ExhibitText"/>
              <w:jc w:val="right"/>
              <w:rPr>
                <w:lang w:val="en-CA"/>
              </w:rPr>
            </w:pPr>
            <w:r w:rsidRPr="00E8603C">
              <w:rPr>
                <w:lang w:val="en-CA"/>
              </w:rPr>
              <w:t>8.0</w:t>
            </w:r>
          </w:p>
        </w:tc>
      </w:tr>
      <w:tr w:rsidR="004D65F2" w:rsidRPr="00E8603C" w14:paraId="7247EE88" w14:textId="77777777" w:rsidTr="00CF49C6">
        <w:trPr>
          <w:trHeight w:val="360"/>
          <w:jc w:val="center"/>
        </w:trPr>
        <w:tc>
          <w:tcPr>
            <w:tcW w:w="3071" w:type="dxa"/>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75" w:type="dxa"/>
            </w:tcMar>
            <w:vAlign w:val="center"/>
            <w:hideMark/>
          </w:tcPr>
          <w:p w14:paraId="3F9DE0B6" w14:textId="159C65CC" w:rsidR="00CF49C6" w:rsidRPr="00E8603C" w:rsidRDefault="004D65F2" w:rsidP="00CF49C6">
            <w:pPr>
              <w:pStyle w:val="ExhibitText"/>
              <w:jc w:val="left"/>
              <w:rPr>
                <w:lang w:val="en-CA"/>
              </w:rPr>
            </w:pPr>
            <w:r w:rsidRPr="00E8603C">
              <w:rPr>
                <w:lang w:val="en-CA"/>
              </w:rPr>
              <w:t>Edible</w:t>
            </w:r>
            <w:r w:rsidR="00CF49C6" w:rsidRPr="00E8603C">
              <w:rPr>
                <w:lang w:val="en-CA"/>
              </w:rPr>
              <w:t xml:space="preserve"> weight (%)</w:t>
            </w:r>
          </w:p>
        </w:tc>
        <w:tc>
          <w:tcPr>
            <w:tcW w:w="1568" w:type="dxa"/>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75" w:type="dxa"/>
            </w:tcMar>
            <w:vAlign w:val="center"/>
            <w:hideMark/>
          </w:tcPr>
          <w:p w14:paraId="26C275C5" w14:textId="77777777" w:rsidR="00CF49C6" w:rsidRPr="00E8603C" w:rsidRDefault="00CF49C6" w:rsidP="0069441D">
            <w:pPr>
              <w:pStyle w:val="ExhibitText"/>
              <w:jc w:val="right"/>
              <w:rPr>
                <w:lang w:val="en-CA"/>
              </w:rPr>
            </w:pPr>
            <w:r w:rsidRPr="00E8603C">
              <w:rPr>
                <w:lang w:val="en-CA"/>
              </w:rPr>
              <w:t>95%</w:t>
            </w:r>
          </w:p>
        </w:tc>
        <w:tc>
          <w:tcPr>
            <w:tcW w:w="1568" w:type="dxa"/>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75" w:type="dxa"/>
            </w:tcMar>
            <w:vAlign w:val="center"/>
            <w:hideMark/>
          </w:tcPr>
          <w:p w14:paraId="0D2CBD44" w14:textId="77777777" w:rsidR="00CF49C6" w:rsidRPr="00E8603C" w:rsidRDefault="00CF49C6" w:rsidP="0069441D">
            <w:pPr>
              <w:pStyle w:val="ExhibitText"/>
              <w:jc w:val="right"/>
              <w:rPr>
                <w:lang w:val="en-CA"/>
              </w:rPr>
            </w:pPr>
            <w:r w:rsidRPr="00E8603C">
              <w:rPr>
                <w:lang w:val="en-CA"/>
              </w:rPr>
              <w:t>55%</w:t>
            </w:r>
          </w:p>
        </w:tc>
        <w:tc>
          <w:tcPr>
            <w:tcW w:w="1568" w:type="dxa"/>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75" w:type="dxa"/>
            </w:tcMar>
            <w:vAlign w:val="center"/>
            <w:hideMark/>
          </w:tcPr>
          <w:p w14:paraId="0865A41C" w14:textId="77777777" w:rsidR="00CF49C6" w:rsidRPr="00E8603C" w:rsidRDefault="00CF49C6" w:rsidP="0069441D">
            <w:pPr>
              <w:pStyle w:val="ExhibitText"/>
              <w:jc w:val="right"/>
              <w:rPr>
                <w:lang w:val="en-CA"/>
              </w:rPr>
            </w:pPr>
            <w:r w:rsidRPr="00E8603C">
              <w:rPr>
                <w:lang w:val="en-CA"/>
              </w:rPr>
              <w:t>55%</w:t>
            </w:r>
          </w:p>
        </w:tc>
        <w:tc>
          <w:tcPr>
            <w:tcW w:w="1569" w:type="dxa"/>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75" w:type="dxa"/>
            </w:tcMar>
            <w:vAlign w:val="center"/>
            <w:hideMark/>
          </w:tcPr>
          <w:p w14:paraId="3E5587CF" w14:textId="77777777" w:rsidR="00CF49C6" w:rsidRPr="00E8603C" w:rsidRDefault="00CF49C6" w:rsidP="0069441D">
            <w:pPr>
              <w:pStyle w:val="ExhibitText"/>
              <w:jc w:val="right"/>
              <w:rPr>
                <w:lang w:val="en-CA"/>
              </w:rPr>
            </w:pPr>
            <w:r w:rsidRPr="00E8603C">
              <w:rPr>
                <w:lang w:val="en-CA"/>
              </w:rPr>
              <w:t>40%</w:t>
            </w:r>
          </w:p>
        </w:tc>
      </w:tr>
      <w:tr w:rsidR="004D65F2" w:rsidRPr="00E8603C" w14:paraId="3851BB3A" w14:textId="77777777" w:rsidTr="00CF49C6">
        <w:trPr>
          <w:trHeight w:val="360"/>
          <w:jc w:val="center"/>
        </w:trPr>
        <w:tc>
          <w:tcPr>
            <w:tcW w:w="3071" w:type="dxa"/>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75" w:type="dxa"/>
            </w:tcMar>
            <w:vAlign w:val="center"/>
            <w:hideMark/>
          </w:tcPr>
          <w:p w14:paraId="4C96CB8B" w14:textId="0DB00346" w:rsidR="00CF49C6" w:rsidRPr="00E8603C" w:rsidRDefault="00F32F93" w:rsidP="005255E7">
            <w:pPr>
              <w:pStyle w:val="ExhibitText"/>
              <w:jc w:val="left"/>
              <w:rPr>
                <w:lang w:val="en-CA"/>
              </w:rPr>
            </w:pPr>
            <w:r w:rsidRPr="00E8603C">
              <w:rPr>
                <w:lang w:val="en-CA"/>
              </w:rPr>
              <w:t xml:space="preserve">Amount </w:t>
            </w:r>
            <w:r w:rsidR="00CF49C6" w:rsidRPr="00E8603C">
              <w:rPr>
                <w:lang w:val="en-CA"/>
              </w:rPr>
              <w:t xml:space="preserve">of grain required to produce one pound of edible </w:t>
            </w:r>
            <w:r w:rsidRPr="00E8603C">
              <w:rPr>
                <w:lang w:val="en-CA"/>
              </w:rPr>
              <w:t xml:space="preserve">animal protein </w:t>
            </w:r>
            <w:r w:rsidR="00CF49C6" w:rsidRPr="00E8603C">
              <w:rPr>
                <w:lang w:val="en-CA"/>
              </w:rPr>
              <w:t xml:space="preserve">(in </w:t>
            </w:r>
            <w:r w:rsidR="005255E7" w:rsidRPr="00E8603C">
              <w:rPr>
                <w:lang w:val="en-CA"/>
              </w:rPr>
              <w:t>pounds</w:t>
            </w:r>
            <w:r w:rsidR="00CF49C6" w:rsidRPr="00E8603C">
              <w:rPr>
                <w:lang w:val="en-CA"/>
              </w:rPr>
              <w:t>)</w:t>
            </w:r>
          </w:p>
        </w:tc>
        <w:tc>
          <w:tcPr>
            <w:tcW w:w="1568" w:type="dxa"/>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75" w:type="dxa"/>
            </w:tcMar>
            <w:vAlign w:val="center"/>
            <w:hideMark/>
          </w:tcPr>
          <w:p w14:paraId="500B8250" w14:textId="77777777" w:rsidR="00CF49C6" w:rsidRPr="00E8603C" w:rsidRDefault="00CF49C6" w:rsidP="0069441D">
            <w:pPr>
              <w:pStyle w:val="ExhibitText"/>
              <w:jc w:val="right"/>
              <w:rPr>
                <w:lang w:val="en-CA"/>
              </w:rPr>
            </w:pPr>
            <w:r w:rsidRPr="00E8603C">
              <w:rPr>
                <w:lang w:val="en-CA"/>
              </w:rPr>
              <w:t>1.1</w:t>
            </w:r>
          </w:p>
        </w:tc>
        <w:tc>
          <w:tcPr>
            <w:tcW w:w="1568" w:type="dxa"/>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75" w:type="dxa"/>
            </w:tcMar>
            <w:vAlign w:val="center"/>
            <w:hideMark/>
          </w:tcPr>
          <w:p w14:paraId="649329B3" w14:textId="77777777" w:rsidR="00CF49C6" w:rsidRPr="00E8603C" w:rsidRDefault="00CF49C6" w:rsidP="0069441D">
            <w:pPr>
              <w:pStyle w:val="ExhibitText"/>
              <w:jc w:val="right"/>
              <w:rPr>
                <w:lang w:val="en-CA"/>
              </w:rPr>
            </w:pPr>
            <w:r w:rsidRPr="00E8603C">
              <w:rPr>
                <w:lang w:val="en-CA"/>
              </w:rPr>
              <w:t>4.5</w:t>
            </w:r>
          </w:p>
        </w:tc>
        <w:tc>
          <w:tcPr>
            <w:tcW w:w="1568" w:type="dxa"/>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75" w:type="dxa"/>
            </w:tcMar>
            <w:vAlign w:val="center"/>
            <w:hideMark/>
          </w:tcPr>
          <w:p w14:paraId="7CB3B4C8" w14:textId="77777777" w:rsidR="00CF49C6" w:rsidRPr="00E8603C" w:rsidRDefault="00CF49C6" w:rsidP="0069441D">
            <w:pPr>
              <w:pStyle w:val="ExhibitText"/>
              <w:jc w:val="right"/>
              <w:rPr>
                <w:lang w:val="en-CA"/>
              </w:rPr>
            </w:pPr>
            <w:r w:rsidRPr="00E8603C">
              <w:rPr>
                <w:lang w:val="en-CA"/>
              </w:rPr>
              <w:t>7.3</w:t>
            </w:r>
          </w:p>
        </w:tc>
        <w:tc>
          <w:tcPr>
            <w:tcW w:w="1569" w:type="dxa"/>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75" w:type="dxa"/>
            </w:tcMar>
            <w:vAlign w:val="center"/>
            <w:hideMark/>
          </w:tcPr>
          <w:p w14:paraId="152B470F" w14:textId="77777777" w:rsidR="00CF49C6" w:rsidRPr="00E8603C" w:rsidRDefault="00CF49C6" w:rsidP="0069441D">
            <w:pPr>
              <w:pStyle w:val="ExhibitText"/>
              <w:jc w:val="right"/>
              <w:rPr>
                <w:lang w:val="en-CA"/>
              </w:rPr>
            </w:pPr>
            <w:r w:rsidRPr="00E8603C">
              <w:rPr>
                <w:lang w:val="en-CA"/>
              </w:rPr>
              <w:t>20.0</w:t>
            </w:r>
          </w:p>
        </w:tc>
      </w:tr>
      <w:tr w:rsidR="004D65F2" w:rsidRPr="00E8603C" w14:paraId="4F57FEC6" w14:textId="77777777" w:rsidTr="00CF49C6">
        <w:trPr>
          <w:trHeight w:val="360"/>
          <w:jc w:val="center"/>
        </w:trPr>
        <w:tc>
          <w:tcPr>
            <w:tcW w:w="3071" w:type="dxa"/>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75" w:type="dxa"/>
            </w:tcMar>
            <w:vAlign w:val="center"/>
            <w:hideMark/>
          </w:tcPr>
          <w:p w14:paraId="3288836D" w14:textId="77777777" w:rsidR="00CF49C6" w:rsidRPr="00E8603C" w:rsidRDefault="00CF49C6" w:rsidP="00CF49C6">
            <w:pPr>
              <w:pStyle w:val="ExhibitText"/>
              <w:jc w:val="left"/>
              <w:rPr>
                <w:lang w:val="en-CA"/>
              </w:rPr>
            </w:pPr>
            <w:r w:rsidRPr="00E8603C">
              <w:rPr>
                <w:lang w:val="en-CA"/>
              </w:rPr>
              <w:t>Efficiency of plant to animal protein conversion (%)</w:t>
            </w:r>
          </w:p>
        </w:tc>
        <w:tc>
          <w:tcPr>
            <w:tcW w:w="1568" w:type="dxa"/>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75" w:type="dxa"/>
            </w:tcMar>
            <w:vAlign w:val="center"/>
            <w:hideMark/>
          </w:tcPr>
          <w:p w14:paraId="3A26C0E5" w14:textId="77777777" w:rsidR="00CF49C6" w:rsidRPr="00E8603C" w:rsidRDefault="00CF49C6" w:rsidP="0069441D">
            <w:pPr>
              <w:pStyle w:val="ExhibitText"/>
              <w:jc w:val="right"/>
              <w:rPr>
                <w:lang w:val="en-CA"/>
              </w:rPr>
            </w:pPr>
            <w:r w:rsidRPr="00E8603C">
              <w:rPr>
                <w:lang w:val="en-CA"/>
              </w:rPr>
              <w:t>-</w:t>
            </w:r>
          </w:p>
        </w:tc>
        <w:tc>
          <w:tcPr>
            <w:tcW w:w="1568" w:type="dxa"/>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75" w:type="dxa"/>
            </w:tcMar>
            <w:vAlign w:val="center"/>
            <w:hideMark/>
          </w:tcPr>
          <w:p w14:paraId="7BC2D1ED" w14:textId="77777777" w:rsidR="00CF49C6" w:rsidRPr="00E8603C" w:rsidRDefault="00CF49C6" w:rsidP="0069441D">
            <w:pPr>
              <w:pStyle w:val="ExhibitText"/>
              <w:jc w:val="right"/>
              <w:rPr>
                <w:lang w:val="en-CA"/>
              </w:rPr>
            </w:pPr>
            <w:r w:rsidRPr="00E8603C">
              <w:rPr>
                <w:lang w:val="en-CA"/>
              </w:rPr>
              <w:t>20%</w:t>
            </w:r>
          </w:p>
        </w:tc>
        <w:tc>
          <w:tcPr>
            <w:tcW w:w="1568" w:type="dxa"/>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75" w:type="dxa"/>
            </w:tcMar>
            <w:vAlign w:val="center"/>
            <w:hideMark/>
          </w:tcPr>
          <w:p w14:paraId="7BFC6EE6" w14:textId="77777777" w:rsidR="00CF49C6" w:rsidRPr="00E8603C" w:rsidRDefault="00CF49C6" w:rsidP="0069441D">
            <w:pPr>
              <w:pStyle w:val="ExhibitText"/>
              <w:jc w:val="right"/>
              <w:rPr>
                <w:lang w:val="en-CA"/>
              </w:rPr>
            </w:pPr>
            <w:r w:rsidRPr="00E8603C">
              <w:rPr>
                <w:lang w:val="en-CA"/>
              </w:rPr>
              <w:t>10%</w:t>
            </w:r>
          </w:p>
        </w:tc>
        <w:tc>
          <w:tcPr>
            <w:tcW w:w="1569" w:type="dxa"/>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75" w:type="dxa"/>
            </w:tcMar>
            <w:vAlign w:val="center"/>
            <w:hideMark/>
          </w:tcPr>
          <w:p w14:paraId="1E376CDC" w14:textId="77777777" w:rsidR="00CF49C6" w:rsidRPr="00E8603C" w:rsidRDefault="00CF49C6" w:rsidP="0069441D">
            <w:pPr>
              <w:pStyle w:val="ExhibitText"/>
              <w:jc w:val="right"/>
              <w:rPr>
                <w:lang w:val="en-CA"/>
              </w:rPr>
            </w:pPr>
            <w:r w:rsidRPr="00E8603C">
              <w:rPr>
                <w:lang w:val="en-CA"/>
              </w:rPr>
              <w:t>4%</w:t>
            </w:r>
          </w:p>
        </w:tc>
      </w:tr>
    </w:tbl>
    <w:p w14:paraId="7DD5DD60" w14:textId="77777777" w:rsidR="00CF49C6" w:rsidRPr="00E8603C" w:rsidRDefault="00CF49C6" w:rsidP="00CF49C6">
      <w:pPr>
        <w:pStyle w:val="Footnote"/>
        <w:rPr>
          <w:lang w:val="en-CA"/>
        </w:rPr>
      </w:pPr>
    </w:p>
    <w:p w14:paraId="03D8887B" w14:textId="77777777" w:rsidR="003E0CA8" w:rsidRPr="00E8603C" w:rsidRDefault="003E0CA8" w:rsidP="00CF49C6">
      <w:pPr>
        <w:pStyle w:val="Footnote"/>
        <w:rPr>
          <w:lang w:val="en-CA"/>
        </w:rPr>
      </w:pPr>
      <w:r w:rsidRPr="00E8603C">
        <w:rPr>
          <w:lang w:val="en-CA"/>
        </w:rPr>
        <w:t>Note: One pound = 0.453 kilograms.</w:t>
      </w:r>
    </w:p>
    <w:p w14:paraId="109A97DA" w14:textId="24F89507" w:rsidR="00CF49C6" w:rsidRPr="00E8603C" w:rsidRDefault="00CF49C6" w:rsidP="00CF49C6">
      <w:pPr>
        <w:pStyle w:val="Footnote"/>
        <w:rPr>
          <w:lang w:val="en-CA"/>
        </w:rPr>
      </w:pPr>
      <w:r w:rsidRPr="00E8603C">
        <w:rPr>
          <w:lang w:val="en-CA"/>
        </w:rPr>
        <w:t xml:space="preserve">Source: </w:t>
      </w:r>
      <w:r w:rsidR="00F32F93" w:rsidRPr="00E8603C">
        <w:rPr>
          <w:lang w:val="en-CA"/>
        </w:rPr>
        <w:t xml:space="preserve">Adapted from </w:t>
      </w:r>
      <w:r w:rsidRPr="00E8603C">
        <w:rPr>
          <w:lang w:val="en-CA"/>
        </w:rPr>
        <w:t xml:space="preserve">Jess McNally, “Can Vegetarianism Save the World? Nitty-Gritty,” </w:t>
      </w:r>
      <w:r w:rsidRPr="00E8603C">
        <w:rPr>
          <w:i/>
          <w:lang w:val="en-CA"/>
        </w:rPr>
        <w:t xml:space="preserve">Stanford Magazine, </w:t>
      </w:r>
      <w:r w:rsidRPr="00E8603C">
        <w:rPr>
          <w:lang w:val="en-CA"/>
        </w:rPr>
        <w:t>January/February 2010, accessed December 1, 2015,</w:t>
      </w:r>
      <w:r w:rsidRPr="00E8603C">
        <w:rPr>
          <w:i/>
          <w:lang w:val="en-CA"/>
        </w:rPr>
        <w:t xml:space="preserve"> </w:t>
      </w:r>
      <w:r w:rsidRPr="00E8603C">
        <w:rPr>
          <w:lang w:val="en-CA"/>
        </w:rPr>
        <w:t>https://alumni.stanford.edu/get/page/magazine/article/?article_id=29892.</w:t>
      </w:r>
    </w:p>
    <w:p w14:paraId="7244118A" w14:textId="042C05D1" w:rsidR="00D70BB4" w:rsidRPr="00E8603C" w:rsidRDefault="00D70BB4" w:rsidP="00C06C6F">
      <w:pPr>
        <w:pStyle w:val="ExhibitText"/>
        <w:rPr>
          <w:lang w:val="en-CA"/>
        </w:rPr>
      </w:pPr>
    </w:p>
    <w:p w14:paraId="5355C48B" w14:textId="1A19F79B" w:rsidR="008D04A1" w:rsidRPr="00E8603C" w:rsidRDefault="008D04A1" w:rsidP="00C06C6F">
      <w:pPr>
        <w:pStyle w:val="ExhibitText"/>
        <w:rPr>
          <w:sz w:val="22"/>
          <w:szCs w:val="22"/>
          <w:lang w:val="en-CA"/>
        </w:rPr>
      </w:pPr>
    </w:p>
    <w:p w14:paraId="4FEE42C4" w14:textId="33979859" w:rsidR="00F05A01" w:rsidRPr="00E8603C" w:rsidRDefault="00D70BB4" w:rsidP="00D70BB4">
      <w:pPr>
        <w:pStyle w:val="ExhibitHeading"/>
        <w:rPr>
          <w:lang w:val="en-CA"/>
        </w:rPr>
      </w:pPr>
      <w:r w:rsidRPr="00E8603C">
        <w:rPr>
          <w:lang w:val="en-CA"/>
        </w:rPr>
        <w:t xml:space="preserve">exhibit </w:t>
      </w:r>
      <w:r w:rsidR="004D65F2" w:rsidRPr="00E8603C">
        <w:rPr>
          <w:lang w:val="en-CA"/>
        </w:rPr>
        <w:t>4</w:t>
      </w:r>
      <w:r w:rsidR="008D04A1" w:rsidRPr="00E8603C">
        <w:rPr>
          <w:lang w:val="en-CA"/>
        </w:rPr>
        <w:t>:</w:t>
      </w:r>
      <w:r w:rsidRPr="00E8603C">
        <w:rPr>
          <w:lang w:val="en-CA"/>
        </w:rPr>
        <w:t xml:space="preserve"> extrusion process </w:t>
      </w:r>
      <w:r w:rsidR="008D04A1" w:rsidRPr="00E8603C">
        <w:rPr>
          <w:lang w:val="en-CA"/>
        </w:rPr>
        <w:t xml:space="preserve">for </w:t>
      </w:r>
      <w:r w:rsidR="00503F29" w:rsidRPr="00E8603C">
        <w:rPr>
          <w:lang w:val="en-CA"/>
        </w:rPr>
        <w:t xml:space="preserve">Transforming </w:t>
      </w:r>
      <w:r w:rsidRPr="00E8603C">
        <w:rPr>
          <w:lang w:val="en-CA"/>
        </w:rPr>
        <w:t>plant-based proteins to fibrous meat analogues</w:t>
      </w:r>
    </w:p>
    <w:p w14:paraId="38AA867D" w14:textId="77777777" w:rsidR="00D70BB4" w:rsidRPr="00E8603C" w:rsidRDefault="00D70BB4" w:rsidP="00BD3919">
      <w:pPr>
        <w:pStyle w:val="BodyTextMain"/>
        <w:rPr>
          <w:lang w:val="en-CA"/>
        </w:rPr>
      </w:pPr>
    </w:p>
    <w:p w14:paraId="6B7B1884" w14:textId="7B8A7CE0" w:rsidR="00386C17" w:rsidRPr="00E8603C" w:rsidRDefault="00153C86" w:rsidP="00D70BB4">
      <w:pPr>
        <w:pStyle w:val="Footnote"/>
        <w:rPr>
          <w:lang w:val="en-CA"/>
        </w:rPr>
      </w:pPr>
      <w:r>
        <w:rPr>
          <w:noProof/>
          <w:lang w:val="en-CA" w:eastAsia="en-CA"/>
        </w:rPr>
        <w:drawing>
          <wp:inline distT="0" distB="0" distL="0" distR="0" wp14:anchorId="0AE5A3CD" wp14:editId="6840B8CC">
            <wp:extent cx="5943600" cy="1850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blip>
                    <a:stretch>
                      <a:fillRect/>
                    </a:stretch>
                  </pic:blipFill>
                  <pic:spPr>
                    <a:xfrm>
                      <a:off x="0" y="0"/>
                      <a:ext cx="6052175" cy="1884553"/>
                    </a:xfrm>
                    <a:prstGeom prst="rect">
                      <a:avLst/>
                    </a:prstGeom>
                  </pic:spPr>
                </pic:pic>
              </a:graphicData>
            </a:graphic>
          </wp:inline>
        </w:drawing>
      </w:r>
    </w:p>
    <w:p w14:paraId="682159CC" w14:textId="77777777" w:rsidR="00153C86" w:rsidRDefault="00153C86" w:rsidP="009D7CA4">
      <w:pPr>
        <w:pStyle w:val="Footnote"/>
        <w:rPr>
          <w:lang w:val="en-CA"/>
        </w:rPr>
      </w:pPr>
    </w:p>
    <w:p w14:paraId="75FC5A8B" w14:textId="53D33191" w:rsidR="00D70BB4" w:rsidRPr="00E8603C" w:rsidRDefault="00D70BB4" w:rsidP="009D7CA4">
      <w:pPr>
        <w:pStyle w:val="Footnote"/>
        <w:rPr>
          <w:i/>
          <w:lang w:val="en-CA"/>
        </w:rPr>
      </w:pPr>
      <w:r w:rsidRPr="00E8603C">
        <w:rPr>
          <w:lang w:val="en-CA"/>
        </w:rPr>
        <w:t xml:space="preserve">Source: </w:t>
      </w:r>
      <w:r w:rsidR="00C67E0B" w:rsidRPr="00E8603C">
        <w:rPr>
          <w:lang w:val="en-CA"/>
        </w:rPr>
        <w:t xml:space="preserve">Adapted from </w:t>
      </w:r>
      <w:proofErr w:type="spellStart"/>
      <w:r w:rsidR="00911F2A" w:rsidRPr="00E8603C">
        <w:rPr>
          <w:lang w:val="en-CA"/>
        </w:rPr>
        <w:t>KeShun</w:t>
      </w:r>
      <w:proofErr w:type="spellEnd"/>
      <w:r w:rsidR="00911F2A" w:rsidRPr="00E8603C">
        <w:rPr>
          <w:lang w:val="en-CA"/>
        </w:rPr>
        <w:t xml:space="preserve"> </w:t>
      </w:r>
      <w:r w:rsidRPr="00E8603C">
        <w:rPr>
          <w:lang w:val="en-CA"/>
        </w:rPr>
        <w:t>Liu and Fu-Hung Hsieh</w:t>
      </w:r>
      <w:r w:rsidR="00911F2A" w:rsidRPr="00E8603C">
        <w:rPr>
          <w:lang w:val="en-CA"/>
        </w:rPr>
        <w:t>,</w:t>
      </w:r>
      <w:r w:rsidRPr="00E8603C">
        <w:rPr>
          <w:lang w:val="en-CA"/>
        </w:rPr>
        <w:t xml:space="preserve"> </w:t>
      </w:r>
      <w:r w:rsidR="00911F2A" w:rsidRPr="00E8603C">
        <w:rPr>
          <w:lang w:val="en-CA"/>
        </w:rPr>
        <w:t>“</w:t>
      </w:r>
      <w:r w:rsidRPr="00E8603C">
        <w:rPr>
          <w:lang w:val="en-CA"/>
        </w:rPr>
        <w:t xml:space="preserve">Protein–Protein Interactions </w:t>
      </w:r>
      <w:r w:rsidR="008D04A1" w:rsidRPr="00E8603C">
        <w:rPr>
          <w:lang w:val="en-CA"/>
        </w:rPr>
        <w:t>d</w:t>
      </w:r>
      <w:r w:rsidRPr="00E8603C">
        <w:rPr>
          <w:lang w:val="en-CA"/>
        </w:rPr>
        <w:t xml:space="preserve">uring High-Moisture Extrusion for Fibrous Meat Analogues and </w:t>
      </w:r>
      <w:r w:rsidR="00911F2A" w:rsidRPr="00E8603C">
        <w:rPr>
          <w:lang w:val="en-CA"/>
        </w:rPr>
        <w:t>C</w:t>
      </w:r>
      <w:r w:rsidRPr="00E8603C">
        <w:rPr>
          <w:lang w:val="en-CA"/>
        </w:rPr>
        <w:t>omparison of Protein Solubility Methods Using Different Solvent Systems,</w:t>
      </w:r>
      <w:r w:rsidR="000536E2" w:rsidRPr="00E8603C">
        <w:rPr>
          <w:lang w:val="en-CA"/>
        </w:rPr>
        <w:t>”</w:t>
      </w:r>
      <w:r w:rsidRPr="00E8603C">
        <w:rPr>
          <w:lang w:val="en-CA"/>
        </w:rPr>
        <w:t xml:space="preserve"> </w:t>
      </w:r>
      <w:r w:rsidR="00911F2A" w:rsidRPr="00E8603C">
        <w:rPr>
          <w:i/>
          <w:lang w:val="en-CA"/>
        </w:rPr>
        <w:t>Journal of Agricultural and Food Chemistry</w:t>
      </w:r>
      <w:r w:rsidR="000536E2" w:rsidRPr="00E8603C">
        <w:rPr>
          <w:lang w:val="en-CA"/>
        </w:rPr>
        <w:t xml:space="preserve"> 56, no. 8</w:t>
      </w:r>
      <w:r w:rsidR="00911F2A" w:rsidRPr="00E8603C">
        <w:rPr>
          <w:i/>
          <w:lang w:val="en-CA"/>
        </w:rPr>
        <w:t xml:space="preserve"> </w:t>
      </w:r>
      <w:r w:rsidR="000536E2" w:rsidRPr="00E8603C">
        <w:rPr>
          <w:lang w:val="en-CA"/>
        </w:rPr>
        <w:t>(</w:t>
      </w:r>
      <w:r w:rsidR="00911F2A" w:rsidRPr="00E8603C">
        <w:rPr>
          <w:lang w:val="en-CA"/>
        </w:rPr>
        <w:t>2008)</w:t>
      </w:r>
      <w:r w:rsidR="000536E2" w:rsidRPr="00E8603C">
        <w:rPr>
          <w:lang w:val="en-CA"/>
        </w:rPr>
        <w:t>: 268</w:t>
      </w:r>
      <w:r w:rsidR="008D04A1" w:rsidRPr="00E8603C">
        <w:rPr>
          <w:lang w:val="en-CA"/>
        </w:rPr>
        <w:t>2</w:t>
      </w:r>
      <w:r w:rsidR="00911F2A" w:rsidRPr="00E8603C">
        <w:rPr>
          <w:lang w:val="en-CA"/>
        </w:rPr>
        <w:t xml:space="preserve">. </w:t>
      </w:r>
    </w:p>
    <w:p w14:paraId="00F643DA" w14:textId="543FCF18" w:rsidR="00D70BB4" w:rsidRPr="00E8603C" w:rsidRDefault="00D70BB4">
      <w:pPr>
        <w:spacing w:after="200" w:line="276" w:lineRule="auto"/>
        <w:rPr>
          <w:rFonts w:ascii="Arial" w:hAnsi="Arial" w:cs="Arial"/>
          <w:lang w:val="en-CA"/>
        </w:rPr>
      </w:pPr>
      <w:r w:rsidRPr="00E8603C">
        <w:rPr>
          <w:lang w:val="en-CA"/>
        </w:rPr>
        <w:br w:type="page"/>
      </w:r>
    </w:p>
    <w:p w14:paraId="6AD14DBB" w14:textId="25C1FC64" w:rsidR="00D70BB4" w:rsidRPr="00E8603C" w:rsidRDefault="00D70BB4" w:rsidP="00DB4293">
      <w:pPr>
        <w:pStyle w:val="ExhibitHeading"/>
        <w:outlineLvl w:val="0"/>
        <w:rPr>
          <w:lang w:val="en-CA"/>
        </w:rPr>
      </w:pPr>
      <w:r w:rsidRPr="00E8603C">
        <w:rPr>
          <w:lang w:val="en-CA"/>
        </w:rPr>
        <w:lastRenderedPageBreak/>
        <w:t xml:space="preserve">exhibit </w:t>
      </w:r>
      <w:r w:rsidR="004D65F2" w:rsidRPr="00E8603C">
        <w:rPr>
          <w:lang w:val="en-CA"/>
        </w:rPr>
        <w:t>5</w:t>
      </w:r>
      <w:r w:rsidR="008D04A1" w:rsidRPr="00E8603C">
        <w:rPr>
          <w:lang w:val="en-CA"/>
        </w:rPr>
        <w:t>:</w:t>
      </w:r>
      <w:r w:rsidRPr="00E8603C">
        <w:rPr>
          <w:lang w:val="en-CA"/>
        </w:rPr>
        <w:t xml:space="preserve"> beyond meat products and packaging</w:t>
      </w:r>
    </w:p>
    <w:p w14:paraId="6F0E3643" w14:textId="77777777" w:rsidR="00D70BB4" w:rsidRPr="00E8603C" w:rsidRDefault="00D70BB4" w:rsidP="00C06C6F">
      <w:pPr>
        <w:pStyle w:val="ExhibitText"/>
        <w:rPr>
          <w:lang w:val="en-CA"/>
        </w:rPr>
      </w:pPr>
    </w:p>
    <w:p w14:paraId="5775D4A7" w14:textId="4B53F3AF" w:rsidR="00D70BB4" w:rsidRPr="00E8603C" w:rsidRDefault="00FA19BF" w:rsidP="00C06C6F">
      <w:pPr>
        <w:pStyle w:val="ExhibitText"/>
        <w:rPr>
          <w:lang w:val="en-CA"/>
        </w:rPr>
      </w:pPr>
      <w:r w:rsidRPr="00E8603C">
        <w:rPr>
          <w:noProof/>
          <w:lang w:val="en-CA" w:eastAsia="en-CA"/>
        </w:rPr>
        <w:drawing>
          <wp:inline distT="0" distB="0" distL="0" distR="0" wp14:anchorId="459CD9FA" wp14:editId="63926E88">
            <wp:extent cx="2918381" cy="2939415"/>
            <wp:effectExtent l="0" t="0" r="317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yond Meat beefy_crumble.jpg"/>
                    <pic:cNvPicPr/>
                  </pic:nvPicPr>
                  <pic:blipFill rotWithShape="1">
                    <a:blip r:embed="rId14">
                      <a:extLst>
                        <a:ext uri="{BEBA8EAE-BF5A-486C-A8C5-ECC9F3942E4B}">
                          <a14:imgProps xmlns:a14="http://schemas.microsoft.com/office/drawing/2010/main">
                            <a14:imgLayer r:embed="rId15">
                              <a14:imgEffect>
                                <a14:sharpenSoften amount="8000"/>
                              </a14:imgEffect>
                              <a14:imgEffect>
                                <a14:saturation sat="0"/>
                              </a14:imgEffect>
                              <a14:imgEffect>
                                <a14:brightnessContrast bright="11000" contrast="4000"/>
                              </a14:imgEffect>
                            </a14:imgLayer>
                          </a14:imgProps>
                        </a:ext>
                        <a:ext uri="{28A0092B-C50C-407E-A947-70E740481C1C}">
                          <a14:useLocalDpi xmlns:a14="http://schemas.microsoft.com/office/drawing/2010/main" val="0"/>
                        </a:ext>
                      </a:extLst>
                    </a:blip>
                    <a:srcRect l="9812" t="5769" r="10369" b="13836"/>
                    <a:stretch/>
                  </pic:blipFill>
                  <pic:spPr bwMode="auto">
                    <a:xfrm>
                      <a:off x="0" y="0"/>
                      <a:ext cx="2919480" cy="2940522"/>
                    </a:xfrm>
                    <a:prstGeom prst="rect">
                      <a:avLst/>
                    </a:prstGeom>
                    <a:noFill/>
                    <a:ln>
                      <a:noFill/>
                    </a:ln>
                    <a:extLst>
                      <a:ext uri="{53640926-AAD7-44D8-BBD7-CCE9431645EC}">
                        <a14:shadowObscured xmlns:a14="http://schemas.microsoft.com/office/drawing/2010/main"/>
                      </a:ext>
                    </a:extLst>
                  </pic:spPr>
                </pic:pic>
              </a:graphicData>
            </a:graphic>
          </wp:inline>
        </w:drawing>
      </w:r>
      <w:r w:rsidR="00B05895" w:rsidRPr="00E8603C">
        <w:rPr>
          <w:noProof/>
          <w:lang w:val="en-CA" w:eastAsia="en-CA"/>
        </w:rPr>
        <w:drawing>
          <wp:inline distT="0" distB="0" distL="0" distR="0" wp14:anchorId="51D9FA98" wp14:editId="338A8162">
            <wp:extent cx="2988310" cy="293226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yond Meat feisty_crumble.jpg"/>
                    <pic:cNvPicPr/>
                  </pic:nvPicPr>
                  <pic:blipFill rotWithShape="1">
                    <a:blip r:embed="rId16">
                      <a:extLst>
                        <a:ext uri="{BEBA8EAE-BF5A-486C-A8C5-ECC9F3942E4B}">
                          <a14:imgProps xmlns:a14="http://schemas.microsoft.com/office/drawing/2010/main">
                            <a14:imgLayer r:embed="rId17">
                              <a14:imgEffect>
                                <a14:sharpenSoften amount="8000"/>
                              </a14:imgEffect>
                              <a14:imgEffect>
                                <a14:saturation sat="0"/>
                              </a14:imgEffect>
                              <a14:imgEffect>
                                <a14:brightnessContrast bright="11000" contrast="4000"/>
                              </a14:imgEffect>
                            </a14:imgLayer>
                          </a14:imgProps>
                        </a:ext>
                        <a:ext uri="{28A0092B-C50C-407E-A947-70E740481C1C}">
                          <a14:useLocalDpi xmlns:a14="http://schemas.microsoft.com/office/drawing/2010/main" val="0"/>
                        </a:ext>
                      </a:extLst>
                    </a:blip>
                    <a:srcRect l="9232" t="5578" r="9038" b="14225"/>
                    <a:stretch/>
                  </pic:blipFill>
                  <pic:spPr bwMode="auto">
                    <a:xfrm>
                      <a:off x="0" y="0"/>
                      <a:ext cx="2989338" cy="2933274"/>
                    </a:xfrm>
                    <a:prstGeom prst="rect">
                      <a:avLst/>
                    </a:prstGeom>
                    <a:ln>
                      <a:noFill/>
                    </a:ln>
                    <a:extLst>
                      <a:ext uri="{53640926-AAD7-44D8-BBD7-CCE9431645EC}">
                        <a14:shadowObscured xmlns:a14="http://schemas.microsoft.com/office/drawing/2010/main"/>
                      </a:ext>
                    </a:extLst>
                  </pic:spPr>
                </pic:pic>
              </a:graphicData>
            </a:graphic>
          </wp:inline>
        </w:drawing>
      </w:r>
      <w:r w:rsidRPr="00E8603C">
        <w:rPr>
          <w:noProof/>
          <w:lang w:val="en-CA" w:eastAsia="en-CA"/>
        </w:rPr>
        <w:drawing>
          <wp:inline distT="0" distB="0" distL="0" distR="0" wp14:anchorId="34DABFB5" wp14:editId="79079921">
            <wp:extent cx="2954215" cy="30233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yond Meat grilled chicken strips.jpg"/>
                    <pic:cNvPicPr/>
                  </pic:nvPicPr>
                  <pic:blipFill rotWithShape="1">
                    <a:blip r:embed="rId18">
                      <a:extLst>
                        <a:ext uri="{BEBA8EAE-BF5A-486C-A8C5-ECC9F3942E4B}">
                          <a14:imgProps xmlns:a14="http://schemas.microsoft.com/office/drawing/2010/main">
                            <a14:imgLayer r:embed="rId19">
                              <a14:imgEffect>
                                <a14:sharpenSoften amount="8000"/>
                              </a14:imgEffect>
                              <a14:imgEffect>
                                <a14:saturation sat="0"/>
                              </a14:imgEffect>
                              <a14:imgEffect>
                                <a14:brightnessContrast bright="4000" contrast="10000"/>
                              </a14:imgEffect>
                            </a14:imgLayer>
                          </a14:imgProps>
                        </a:ext>
                        <a:ext uri="{28A0092B-C50C-407E-A947-70E740481C1C}">
                          <a14:useLocalDpi xmlns:a14="http://schemas.microsoft.com/office/drawing/2010/main" val="0"/>
                        </a:ext>
                      </a:extLst>
                    </a:blip>
                    <a:srcRect l="9810" t="4423" r="9390" b="12884"/>
                    <a:stretch/>
                  </pic:blipFill>
                  <pic:spPr bwMode="auto">
                    <a:xfrm>
                      <a:off x="0" y="0"/>
                      <a:ext cx="2955327" cy="3024526"/>
                    </a:xfrm>
                    <a:prstGeom prst="rect">
                      <a:avLst/>
                    </a:prstGeom>
                    <a:ln>
                      <a:noFill/>
                    </a:ln>
                    <a:extLst>
                      <a:ext uri="{53640926-AAD7-44D8-BBD7-CCE9431645EC}">
                        <a14:shadowObscured xmlns:a14="http://schemas.microsoft.com/office/drawing/2010/main"/>
                      </a:ext>
                    </a:extLst>
                  </pic:spPr>
                </pic:pic>
              </a:graphicData>
            </a:graphic>
          </wp:inline>
        </w:drawing>
      </w:r>
      <w:r w:rsidR="00B05895" w:rsidRPr="00E8603C">
        <w:rPr>
          <w:noProof/>
          <w:lang w:val="en-CA" w:eastAsia="en-CA"/>
        </w:rPr>
        <w:drawing>
          <wp:inline distT="0" distB="0" distL="0" distR="0" wp14:anchorId="7D4D5368" wp14:editId="180AFFE4">
            <wp:extent cx="2953971" cy="29468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yond Meat southwest_strips.jpg"/>
                    <pic:cNvPicPr/>
                  </pic:nvPicPr>
                  <pic:blipFill rotWithShape="1">
                    <a:blip r:embed="rId20">
                      <a:extLst>
                        <a:ext uri="{BEBA8EAE-BF5A-486C-A8C5-ECC9F3942E4B}">
                          <a14:imgProps xmlns:a14="http://schemas.microsoft.com/office/drawing/2010/main">
                            <a14:imgLayer r:embed="rId21">
                              <a14:imgEffect>
                                <a14:sharpenSoften amount="8000"/>
                              </a14:imgEffect>
                              <a14:imgEffect>
                                <a14:saturation sat="0"/>
                              </a14:imgEffect>
                              <a14:imgEffect>
                                <a14:brightnessContrast bright="4000" contrast="10000"/>
                              </a14:imgEffect>
                            </a14:imgLayer>
                          </a14:imgProps>
                        </a:ext>
                        <a:ext uri="{28A0092B-C50C-407E-A947-70E740481C1C}">
                          <a14:useLocalDpi xmlns:a14="http://schemas.microsoft.com/office/drawing/2010/main" val="0"/>
                        </a:ext>
                      </a:extLst>
                    </a:blip>
                    <a:srcRect l="10195" t="5385" r="9020" b="14026"/>
                    <a:stretch/>
                  </pic:blipFill>
                  <pic:spPr bwMode="auto">
                    <a:xfrm>
                      <a:off x="0" y="0"/>
                      <a:ext cx="2954793" cy="2947639"/>
                    </a:xfrm>
                    <a:prstGeom prst="rect">
                      <a:avLst/>
                    </a:prstGeom>
                    <a:ln>
                      <a:noFill/>
                    </a:ln>
                    <a:extLst>
                      <a:ext uri="{53640926-AAD7-44D8-BBD7-CCE9431645EC}">
                        <a14:shadowObscured xmlns:a14="http://schemas.microsoft.com/office/drawing/2010/main"/>
                      </a:ext>
                    </a:extLst>
                  </pic:spPr>
                </pic:pic>
              </a:graphicData>
            </a:graphic>
          </wp:inline>
        </w:drawing>
      </w:r>
    </w:p>
    <w:p w14:paraId="12C6E378" w14:textId="77777777" w:rsidR="00D70BB4" w:rsidRPr="00E8603C" w:rsidRDefault="00D70BB4" w:rsidP="00C06C6F">
      <w:pPr>
        <w:pStyle w:val="ExhibitHeading"/>
        <w:rPr>
          <w:lang w:val="en-CA"/>
        </w:rPr>
      </w:pPr>
    </w:p>
    <w:p w14:paraId="59643DF4" w14:textId="2D543FB7" w:rsidR="00D70BB4" w:rsidRPr="00E8603C" w:rsidRDefault="00D70BB4" w:rsidP="00C06C6F">
      <w:pPr>
        <w:pStyle w:val="Footnote"/>
        <w:outlineLvl w:val="0"/>
        <w:rPr>
          <w:lang w:val="en-CA"/>
        </w:rPr>
      </w:pPr>
      <w:r w:rsidRPr="00E8603C">
        <w:rPr>
          <w:lang w:val="en-CA"/>
        </w:rPr>
        <w:t xml:space="preserve">Source: Company documents. </w:t>
      </w:r>
    </w:p>
    <w:p w14:paraId="4E27499C" w14:textId="0A8E19BB" w:rsidR="00D70BB4" w:rsidRPr="00E8603C" w:rsidRDefault="00D70BB4">
      <w:pPr>
        <w:spacing w:after="200" w:line="276" w:lineRule="auto"/>
        <w:rPr>
          <w:rFonts w:ascii="Arial" w:hAnsi="Arial" w:cs="Arial"/>
          <w:sz w:val="17"/>
          <w:szCs w:val="17"/>
          <w:lang w:val="en-CA"/>
        </w:rPr>
      </w:pPr>
      <w:r w:rsidRPr="00E8603C">
        <w:rPr>
          <w:lang w:val="en-CA"/>
        </w:rPr>
        <w:br w:type="page"/>
      </w:r>
    </w:p>
    <w:p w14:paraId="7CE48EDA" w14:textId="109C42BE" w:rsidR="0014425B" w:rsidRPr="00E8603C" w:rsidRDefault="00D70BB4" w:rsidP="00C06C6F">
      <w:pPr>
        <w:pStyle w:val="ExhibitHeading"/>
        <w:rPr>
          <w:lang w:val="en-CA"/>
        </w:rPr>
      </w:pPr>
      <w:r w:rsidRPr="00E8603C">
        <w:rPr>
          <w:lang w:val="en-CA"/>
        </w:rPr>
        <w:lastRenderedPageBreak/>
        <w:t xml:space="preserve">exhibit </w:t>
      </w:r>
      <w:r w:rsidR="004D65F2" w:rsidRPr="00E8603C">
        <w:rPr>
          <w:lang w:val="en-CA"/>
        </w:rPr>
        <w:t>6</w:t>
      </w:r>
      <w:r w:rsidR="004667B0" w:rsidRPr="00E8603C">
        <w:rPr>
          <w:lang w:val="en-CA"/>
        </w:rPr>
        <w:t>:</w:t>
      </w:r>
      <w:r w:rsidR="0014425B" w:rsidRPr="00E8603C">
        <w:rPr>
          <w:lang w:val="en-CA"/>
        </w:rPr>
        <w:t xml:space="preserve"> nutritional composition </w:t>
      </w:r>
      <w:r w:rsidR="004667B0" w:rsidRPr="00E8603C">
        <w:rPr>
          <w:lang w:val="en-CA"/>
        </w:rPr>
        <w:t>of animal meat and beyond meat products</w:t>
      </w:r>
      <w:r w:rsidR="00C06C6F" w:rsidRPr="00E8603C">
        <w:rPr>
          <w:lang w:val="en-CA"/>
        </w:rPr>
        <w:t xml:space="preserve"> </w:t>
      </w:r>
      <w:r w:rsidR="004667B0" w:rsidRPr="00E8603C">
        <w:rPr>
          <w:lang w:val="en-CA"/>
        </w:rPr>
        <w:t>(Reported in grams per 100 grams)</w:t>
      </w:r>
    </w:p>
    <w:p w14:paraId="4D9A5AFC" w14:textId="77777777" w:rsidR="00D70BB4" w:rsidRPr="00E8603C" w:rsidRDefault="00D70BB4" w:rsidP="00D70BB4">
      <w:pPr>
        <w:pStyle w:val="ExhibitHeading"/>
        <w:rPr>
          <w:lang w:val="en-CA"/>
        </w:rPr>
      </w:pPr>
    </w:p>
    <w:tbl>
      <w:tblPr>
        <w:tblW w:w="3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0"/>
        <w:gridCol w:w="1415"/>
        <w:gridCol w:w="1415"/>
        <w:gridCol w:w="1415"/>
      </w:tblGrid>
      <w:tr w:rsidR="004D65F2" w:rsidRPr="00E8603C" w14:paraId="79784C2E" w14:textId="77777777" w:rsidTr="00554A3B">
        <w:trPr>
          <w:trHeight w:val="360"/>
          <w:jc w:val="center"/>
        </w:trPr>
        <w:tc>
          <w:tcPr>
            <w:tcW w:w="2300" w:type="dxa"/>
            <w:tcBorders>
              <w:bottom w:val="single" w:sz="4" w:space="0" w:color="auto"/>
            </w:tcBorders>
            <w:shd w:val="clear" w:color="auto" w:fill="auto"/>
            <w:noWrap/>
            <w:vAlign w:val="center"/>
            <w:hideMark/>
          </w:tcPr>
          <w:p w14:paraId="4F80BFDD" w14:textId="77777777" w:rsidR="00A50CC0" w:rsidRPr="00E8603C" w:rsidRDefault="00A50CC0" w:rsidP="00554A3B">
            <w:pPr>
              <w:pStyle w:val="ExhibitText"/>
              <w:jc w:val="left"/>
              <w:rPr>
                <w:lang w:val="en-CA"/>
              </w:rPr>
            </w:pPr>
          </w:p>
        </w:tc>
        <w:tc>
          <w:tcPr>
            <w:tcW w:w="1415" w:type="dxa"/>
            <w:tcBorders>
              <w:bottom w:val="single" w:sz="4" w:space="0" w:color="auto"/>
            </w:tcBorders>
            <w:shd w:val="clear" w:color="auto" w:fill="auto"/>
            <w:noWrap/>
            <w:vAlign w:val="center"/>
            <w:hideMark/>
          </w:tcPr>
          <w:p w14:paraId="194D6A43" w14:textId="77777777" w:rsidR="00A50CC0" w:rsidRPr="00E8603C" w:rsidRDefault="00A50CC0" w:rsidP="00554A3B">
            <w:pPr>
              <w:pStyle w:val="ExhibitText"/>
              <w:jc w:val="center"/>
              <w:rPr>
                <w:b/>
                <w:lang w:val="en-CA"/>
              </w:rPr>
            </w:pPr>
            <w:r w:rsidRPr="00E8603C">
              <w:rPr>
                <w:b/>
                <w:lang w:val="en-CA"/>
              </w:rPr>
              <w:t>Protein</w:t>
            </w:r>
          </w:p>
        </w:tc>
        <w:tc>
          <w:tcPr>
            <w:tcW w:w="1415" w:type="dxa"/>
            <w:tcBorders>
              <w:bottom w:val="single" w:sz="4" w:space="0" w:color="auto"/>
            </w:tcBorders>
            <w:shd w:val="clear" w:color="auto" w:fill="auto"/>
            <w:noWrap/>
            <w:vAlign w:val="center"/>
            <w:hideMark/>
          </w:tcPr>
          <w:p w14:paraId="49F2522C" w14:textId="77777777" w:rsidR="00A50CC0" w:rsidRPr="00E8603C" w:rsidRDefault="00A50CC0" w:rsidP="00554A3B">
            <w:pPr>
              <w:pStyle w:val="ExhibitText"/>
              <w:jc w:val="center"/>
              <w:rPr>
                <w:b/>
                <w:lang w:val="en-CA"/>
              </w:rPr>
            </w:pPr>
            <w:r w:rsidRPr="00E8603C">
              <w:rPr>
                <w:b/>
                <w:lang w:val="en-CA"/>
              </w:rPr>
              <w:t>Fat</w:t>
            </w:r>
          </w:p>
        </w:tc>
        <w:tc>
          <w:tcPr>
            <w:tcW w:w="1415" w:type="dxa"/>
            <w:tcBorders>
              <w:bottom w:val="single" w:sz="4" w:space="0" w:color="auto"/>
            </w:tcBorders>
            <w:shd w:val="clear" w:color="auto" w:fill="auto"/>
            <w:vAlign w:val="center"/>
          </w:tcPr>
          <w:p w14:paraId="704746E9" w14:textId="77777777" w:rsidR="00A50CC0" w:rsidRPr="00E8603C" w:rsidRDefault="00A50CC0" w:rsidP="00554A3B">
            <w:pPr>
              <w:pStyle w:val="ExhibitText"/>
              <w:jc w:val="center"/>
              <w:rPr>
                <w:b/>
                <w:lang w:val="en-CA"/>
              </w:rPr>
            </w:pPr>
            <w:r w:rsidRPr="00E8603C">
              <w:rPr>
                <w:b/>
                <w:lang w:val="en-CA"/>
              </w:rPr>
              <w:t>Fibre</w:t>
            </w:r>
          </w:p>
        </w:tc>
      </w:tr>
      <w:tr w:rsidR="004D65F2" w:rsidRPr="00E8603C" w14:paraId="748F65A6" w14:textId="77777777" w:rsidTr="00554A3B">
        <w:trPr>
          <w:trHeight w:val="360"/>
          <w:jc w:val="center"/>
        </w:trPr>
        <w:tc>
          <w:tcPr>
            <w:tcW w:w="2300" w:type="dxa"/>
            <w:tcBorders>
              <w:bottom w:val="nil"/>
            </w:tcBorders>
            <w:shd w:val="clear" w:color="auto" w:fill="auto"/>
            <w:noWrap/>
            <w:vAlign w:val="center"/>
          </w:tcPr>
          <w:p w14:paraId="170F8483" w14:textId="77777777" w:rsidR="00A50CC0" w:rsidRPr="00E8603C" w:rsidRDefault="00A50CC0" w:rsidP="00554A3B">
            <w:pPr>
              <w:pStyle w:val="ExhibitText"/>
              <w:jc w:val="left"/>
              <w:rPr>
                <w:lang w:val="en-CA"/>
              </w:rPr>
            </w:pPr>
            <w:r w:rsidRPr="00E8603C">
              <w:rPr>
                <w:b/>
                <w:lang w:val="en-CA"/>
              </w:rPr>
              <w:t>Beef</w:t>
            </w:r>
          </w:p>
        </w:tc>
        <w:tc>
          <w:tcPr>
            <w:tcW w:w="1415" w:type="dxa"/>
            <w:tcBorders>
              <w:bottom w:val="nil"/>
            </w:tcBorders>
            <w:shd w:val="clear" w:color="auto" w:fill="auto"/>
            <w:noWrap/>
            <w:vAlign w:val="center"/>
          </w:tcPr>
          <w:p w14:paraId="495B5C8C" w14:textId="77777777" w:rsidR="00A50CC0" w:rsidRPr="00E8603C" w:rsidRDefault="00A50CC0" w:rsidP="00554A3B">
            <w:pPr>
              <w:pStyle w:val="ExhibitText"/>
              <w:ind w:right="360"/>
              <w:jc w:val="right"/>
              <w:rPr>
                <w:b/>
                <w:lang w:val="en-CA"/>
              </w:rPr>
            </w:pPr>
            <w:r w:rsidRPr="00E8603C">
              <w:rPr>
                <w:lang w:val="en-CA"/>
              </w:rPr>
              <w:t>25.9</w:t>
            </w:r>
          </w:p>
        </w:tc>
        <w:tc>
          <w:tcPr>
            <w:tcW w:w="1415" w:type="dxa"/>
            <w:tcBorders>
              <w:bottom w:val="nil"/>
            </w:tcBorders>
            <w:shd w:val="clear" w:color="auto" w:fill="auto"/>
            <w:noWrap/>
            <w:vAlign w:val="center"/>
          </w:tcPr>
          <w:p w14:paraId="50FA4139" w14:textId="77777777" w:rsidR="00A50CC0" w:rsidRPr="00E8603C" w:rsidRDefault="00A50CC0" w:rsidP="00554A3B">
            <w:pPr>
              <w:pStyle w:val="ExhibitText"/>
              <w:ind w:right="360"/>
              <w:jc w:val="right"/>
              <w:rPr>
                <w:b/>
                <w:lang w:val="en-CA"/>
              </w:rPr>
            </w:pPr>
            <w:r w:rsidRPr="00E8603C">
              <w:rPr>
                <w:lang w:val="en-CA"/>
              </w:rPr>
              <w:t>17.6</w:t>
            </w:r>
          </w:p>
        </w:tc>
        <w:tc>
          <w:tcPr>
            <w:tcW w:w="1415" w:type="dxa"/>
            <w:tcBorders>
              <w:bottom w:val="nil"/>
            </w:tcBorders>
            <w:shd w:val="clear" w:color="auto" w:fill="auto"/>
            <w:vAlign w:val="center"/>
          </w:tcPr>
          <w:p w14:paraId="2BA503CC" w14:textId="3832732A" w:rsidR="00A50CC0" w:rsidRPr="00E8603C" w:rsidRDefault="00A50CC0" w:rsidP="00554A3B">
            <w:pPr>
              <w:pStyle w:val="ExhibitText"/>
              <w:ind w:right="360"/>
              <w:jc w:val="right"/>
              <w:rPr>
                <w:b/>
                <w:lang w:val="en-CA"/>
              </w:rPr>
            </w:pPr>
            <w:r w:rsidRPr="00E8603C">
              <w:rPr>
                <w:lang w:val="en-CA"/>
              </w:rPr>
              <w:t>0</w:t>
            </w:r>
            <w:r w:rsidR="00F03C08" w:rsidRPr="00E8603C">
              <w:rPr>
                <w:lang w:val="en-CA"/>
              </w:rPr>
              <w:t>.0</w:t>
            </w:r>
          </w:p>
        </w:tc>
      </w:tr>
      <w:tr w:rsidR="004D65F2" w:rsidRPr="00E8603C" w14:paraId="4DA8C3C1" w14:textId="77777777" w:rsidTr="00554A3B">
        <w:trPr>
          <w:trHeight w:val="360"/>
          <w:jc w:val="center"/>
        </w:trPr>
        <w:tc>
          <w:tcPr>
            <w:tcW w:w="2300" w:type="dxa"/>
            <w:tcBorders>
              <w:top w:val="nil"/>
              <w:bottom w:val="single" w:sz="4" w:space="0" w:color="auto"/>
            </w:tcBorders>
            <w:shd w:val="clear" w:color="auto" w:fill="auto"/>
            <w:vAlign w:val="center"/>
            <w:hideMark/>
          </w:tcPr>
          <w:p w14:paraId="3C3B8884" w14:textId="77777777" w:rsidR="00A50CC0" w:rsidRPr="00E8603C" w:rsidRDefault="00A50CC0" w:rsidP="00554A3B">
            <w:pPr>
              <w:pStyle w:val="ExhibitText"/>
              <w:jc w:val="left"/>
              <w:rPr>
                <w:b/>
                <w:lang w:val="en-CA"/>
              </w:rPr>
            </w:pPr>
            <w:r w:rsidRPr="00E8603C">
              <w:rPr>
                <w:b/>
                <w:lang w:val="en-CA"/>
              </w:rPr>
              <w:t>Beyond Meat Beef</w:t>
            </w:r>
          </w:p>
        </w:tc>
        <w:tc>
          <w:tcPr>
            <w:tcW w:w="1415" w:type="dxa"/>
            <w:tcBorders>
              <w:top w:val="nil"/>
              <w:bottom w:val="single" w:sz="4" w:space="0" w:color="auto"/>
            </w:tcBorders>
            <w:shd w:val="clear" w:color="auto" w:fill="auto"/>
            <w:noWrap/>
            <w:vAlign w:val="center"/>
            <w:hideMark/>
          </w:tcPr>
          <w:p w14:paraId="52F1097E" w14:textId="77777777" w:rsidR="00A50CC0" w:rsidRPr="00E8603C" w:rsidRDefault="00A50CC0" w:rsidP="00554A3B">
            <w:pPr>
              <w:pStyle w:val="ExhibitText"/>
              <w:ind w:right="360"/>
              <w:jc w:val="right"/>
              <w:rPr>
                <w:lang w:val="en-CA"/>
              </w:rPr>
            </w:pPr>
            <w:r w:rsidRPr="00E8603C">
              <w:rPr>
                <w:lang w:val="en-CA"/>
              </w:rPr>
              <w:t>23.6</w:t>
            </w:r>
          </w:p>
        </w:tc>
        <w:tc>
          <w:tcPr>
            <w:tcW w:w="1415" w:type="dxa"/>
            <w:tcBorders>
              <w:top w:val="nil"/>
              <w:bottom w:val="single" w:sz="4" w:space="0" w:color="auto"/>
            </w:tcBorders>
            <w:shd w:val="clear" w:color="auto" w:fill="auto"/>
            <w:noWrap/>
            <w:vAlign w:val="center"/>
            <w:hideMark/>
          </w:tcPr>
          <w:p w14:paraId="040602F0" w14:textId="77777777" w:rsidR="00A50CC0" w:rsidRPr="00E8603C" w:rsidRDefault="00A50CC0" w:rsidP="00554A3B">
            <w:pPr>
              <w:pStyle w:val="ExhibitText"/>
              <w:ind w:right="360"/>
              <w:jc w:val="right"/>
              <w:rPr>
                <w:lang w:val="en-CA"/>
              </w:rPr>
            </w:pPr>
            <w:r w:rsidRPr="00E8603C">
              <w:rPr>
                <w:lang w:val="en-CA"/>
              </w:rPr>
              <w:t>8.2</w:t>
            </w:r>
          </w:p>
        </w:tc>
        <w:tc>
          <w:tcPr>
            <w:tcW w:w="1415" w:type="dxa"/>
            <w:tcBorders>
              <w:top w:val="nil"/>
              <w:bottom w:val="single" w:sz="4" w:space="0" w:color="auto"/>
            </w:tcBorders>
            <w:shd w:val="clear" w:color="auto" w:fill="auto"/>
            <w:vAlign w:val="center"/>
          </w:tcPr>
          <w:p w14:paraId="75AB74B2" w14:textId="77777777" w:rsidR="00A50CC0" w:rsidRPr="00E8603C" w:rsidRDefault="00A50CC0" w:rsidP="00554A3B">
            <w:pPr>
              <w:pStyle w:val="ExhibitText"/>
              <w:ind w:right="360"/>
              <w:jc w:val="right"/>
              <w:rPr>
                <w:lang w:val="en-CA"/>
              </w:rPr>
            </w:pPr>
            <w:r w:rsidRPr="00E8603C">
              <w:rPr>
                <w:lang w:val="en-CA"/>
              </w:rPr>
              <w:t>1.8</w:t>
            </w:r>
          </w:p>
        </w:tc>
      </w:tr>
      <w:tr w:rsidR="004D65F2" w:rsidRPr="00E8603C" w14:paraId="13049DE7" w14:textId="77777777" w:rsidTr="00554A3B">
        <w:trPr>
          <w:trHeight w:val="360"/>
          <w:jc w:val="center"/>
        </w:trPr>
        <w:tc>
          <w:tcPr>
            <w:tcW w:w="2300" w:type="dxa"/>
            <w:tcBorders>
              <w:bottom w:val="nil"/>
            </w:tcBorders>
            <w:shd w:val="clear" w:color="auto" w:fill="auto"/>
            <w:vAlign w:val="center"/>
            <w:hideMark/>
          </w:tcPr>
          <w:p w14:paraId="5E6A9CF3" w14:textId="77777777" w:rsidR="00A50CC0" w:rsidRPr="00E8603C" w:rsidRDefault="00A50CC0" w:rsidP="00554A3B">
            <w:pPr>
              <w:pStyle w:val="ExhibitText"/>
              <w:jc w:val="left"/>
              <w:rPr>
                <w:b/>
                <w:lang w:val="en-CA"/>
              </w:rPr>
            </w:pPr>
            <w:r w:rsidRPr="00E8603C">
              <w:rPr>
                <w:b/>
                <w:lang w:val="en-CA"/>
              </w:rPr>
              <w:t>Chicken</w:t>
            </w:r>
          </w:p>
        </w:tc>
        <w:tc>
          <w:tcPr>
            <w:tcW w:w="1415" w:type="dxa"/>
            <w:tcBorders>
              <w:bottom w:val="nil"/>
            </w:tcBorders>
            <w:shd w:val="clear" w:color="auto" w:fill="auto"/>
            <w:noWrap/>
            <w:vAlign w:val="center"/>
            <w:hideMark/>
          </w:tcPr>
          <w:p w14:paraId="3B140E50" w14:textId="77777777" w:rsidR="00A50CC0" w:rsidRPr="00E8603C" w:rsidRDefault="00A50CC0" w:rsidP="00554A3B">
            <w:pPr>
              <w:pStyle w:val="ExhibitText"/>
              <w:ind w:right="360"/>
              <w:jc w:val="right"/>
              <w:rPr>
                <w:lang w:val="en-CA"/>
              </w:rPr>
            </w:pPr>
            <w:r w:rsidRPr="00E8603C">
              <w:rPr>
                <w:lang w:val="en-CA"/>
              </w:rPr>
              <w:t>32.1</w:t>
            </w:r>
          </w:p>
        </w:tc>
        <w:tc>
          <w:tcPr>
            <w:tcW w:w="1415" w:type="dxa"/>
            <w:tcBorders>
              <w:bottom w:val="nil"/>
            </w:tcBorders>
            <w:shd w:val="clear" w:color="auto" w:fill="auto"/>
            <w:noWrap/>
            <w:vAlign w:val="center"/>
            <w:hideMark/>
          </w:tcPr>
          <w:p w14:paraId="0B75EC75" w14:textId="77777777" w:rsidR="00A50CC0" w:rsidRPr="00E8603C" w:rsidRDefault="00A50CC0" w:rsidP="00554A3B">
            <w:pPr>
              <w:pStyle w:val="ExhibitText"/>
              <w:ind w:right="360"/>
              <w:jc w:val="right"/>
              <w:rPr>
                <w:lang w:val="en-CA"/>
              </w:rPr>
            </w:pPr>
            <w:r w:rsidRPr="00E8603C">
              <w:rPr>
                <w:lang w:val="en-CA"/>
              </w:rPr>
              <w:t>3.6</w:t>
            </w:r>
          </w:p>
        </w:tc>
        <w:tc>
          <w:tcPr>
            <w:tcW w:w="1415" w:type="dxa"/>
            <w:tcBorders>
              <w:bottom w:val="nil"/>
            </w:tcBorders>
            <w:shd w:val="clear" w:color="auto" w:fill="auto"/>
            <w:vAlign w:val="center"/>
          </w:tcPr>
          <w:p w14:paraId="45FCEC5E" w14:textId="0278DE9D" w:rsidR="00A50CC0" w:rsidRPr="00E8603C" w:rsidRDefault="00A50CC0" w:rsidP="00554A3B">
            <w:pPr>
              <w:pStyle w:val="ExhibitText"/>
              <w:ind w:right="360"/>
              <w:jc w:val="right"/>
              <w:rPr>
                <w:lang w:val="en-CA"/>
              </w:rPr>
            </w:pPr>
            <w:r w:rsidRPr="00E8603C">
              <w:rPr>
                <w:lang w:val="en-CA"/>
              </w:rPr>
              <w:t>0</w:t>
            </w:r>
            <w:r w:rsidR="00F03C08" w:rsidRPr="00E8603C">
              <w:rPr>
                <w:lang w:val="en-CA"/>
              </w:rPr>
              <w:t>.0</w:t>
            </w:r>
          </w:p>
        </w:tc>
      </w:tr>
      <w:tr w:rsidR="00A50CC0" w:rsidRPr="00E8603C" w14:paraId="5ED9D7D1" w14:textId="77777777" w:rsidTr="00554A3B">
        <w:trPr>
          <w:trHeight w:val="360"/>
          <w:jc w:val="center"/>
        </w:trPr>
        <w:tc>
          <w:tcPr>
            <w:tcW w:w="2300" w:type="dxa"/>
            <w:tcBorders>
              <w:top w:val="nil"/>
            </w:tcBorders>
            <w:shd w:val="clear" w:color="auto" w:fill="auto"/>
            <w:vAlign w:val="center"/>
            <w:hideMark/>
          </w:tcPr>
          <w:p w14:paraId="332A72E5" w14:textId="77777777" w:rsidR="00A50CC0" w:rsidRPr="00E8603C" w:rsidRDefault="00A50CC0" w:rsidP="00554A3B">
            <w:pPr>
              <w:pStyle w:val="ExhibitText"/>
              <w:jc w:val="left"/>
              <w:rPr>
                <w:b/>
                <w:lang w:val="en-CA"/>
              </w:rPr>
            </w:pPr>
            <w:r w:rsidRPr="00E8603C">
              <w:rPr>
                <w:b/>
                <w:lang w:val="en-CA"/>
              </w:rPr>
              <w:t>Beyond Meat Chicken</w:t>
            </w:r>
          </w:p>
        </w:tc>
        <w:tc>
          <w:tcPr>
            <w:tcW w:w="1415" w:type="dxa"/>
            <w:tcBorders>
              <w:top w:val="nil"/>
            </w:tcBorders>
            <w:shd w:val="clear" w:color="auto" w:fill="auto"/>
            <w:noWrap/>
            <w:vAlign w:val="center"/>
            <w:hideMark/>
          </w:tcPr>
          <w:p w14:paraId="7E869C12" w14:textId="77777777" w:rsidR="00A50CC0" w:rsidRPr="00E8603C" w:rsidRDefault="00A50CC0" w:rsidP="00554A3B">
            <w:pPr>
              <w:pStyle w:val="ExhibitText"/>
              <w:ind w:right="360"/>
              <w:jc w:val="right"/>
              <w:rPr>
                <w:lang w:val="en-CA"/>
              </w:rPr>
            </w:pPr>
            <w:r w:rsidRPr="00E8603C">
              <w:rPr>
                <w:lang w:val="en-CA"/>
              </w:rPr>
              <w:t>23.6</w:t>
            </w:r>
          </w:p>
        </w:tc>
        <w:tc>
          <w:tcPr>
            <w:tcW w:w="1415" w:type="dxa"/>
            <w:tcBorders>
              <w:top w:val="nil"/>
            </w:tcBorders>
            <w:shd w:val="clear" w:color="auto" w:fill="auto"/>
            <w:noWrap/>
            <w:vAlign w:val="center"/>
            <w:hideMark/>
          </w:tcPr>
          <w:p w14:paraId="0D1E596D" w14:textId="77777777" w:rsidR="00A50CC0" w:rsidRPr="00E8603C" w:rsidRDefault="00A50CC0" w:rsidP="00554A3B">
            <w:pPr>
              <w:pStyle w:val="ExhibitText"/>
              <w:ind w:right="360"/>
              <w:jc w:val="right"/>
              <w:rPr>
                <w:lang w:val="en-CA"/>
              </w:rPr>
            </w:pPr>
            <w:r w:rsidRPr="00E8603C">
              <w:rPr>
                <w:lang w:val="en-CA"/>
              </w:rPr>
              <w:t>3.5</w:t>
            </w:r>
          </w:p>
        </w:tc>
        <w:tc>
          <w:tcPr>
            <w:tcW w:w="1415" w:type="dxa"/>
            <w:tcBorders>
              <w:top w:val="nil"/>
            </w:tcBorders>
            <w:shd w:val="clear" w:color="auto" w:fill="auto"/>
            <w:vAlign w:val="center"/>
          </w:tcPr>
          <w:p w14:paraId="605959E0" w14:textId="77777777" w:rsidR="00A50CC0" w:rsidRPr="00E8603C" w:rsidRDefault="00A50CC0" w:rsidP="00554A3B">
            <w:pPr>
              <w:pStyle w:val="ExhibitText"/>
              <w:ind w:right="360"/>
              <w:jc w:val="right"/>
              <w:rPr>
                <w:lang w:val="en-CA"/>
              </w:rPr>
            </w:pPr>
            <w:r w:rsidRPr="00E8603C">
              <w:rPr>
                <w:lang w:val="en-CA"/>
              </w:rPr>
              <w:t>2.4</w:t>
            </w:r>
          </w:p>
        </w:tc>
      </w:tr>
    </w:tbl>
    <w:p w14:paraId="2E226137" w14:textId="77777777" w:rsidR="00D70BB4" w:rsidRPr="00E8603C" w:rsidRDefault="00D70BB4" w:rsidP="00D70BB4">
      <w:pPr>
        <w:pStyle w:val="ExhibitText"/>
        <w:rPr>
          <w:lang w:val="en-CA"/>
        </w:rPr>
      </w:pPr>
    </w:p>
    <w:p w14:paraId="595C516B" w14:textId="1004685B" w:rsidR="00D70BB4" w:rsidRPr="00E8603C" w:rsidRDefault="00D70BB4" w:rsidP="000D5723">
      <w:pPr>
        <w:pStyle w:val="Footnote"/>
        <w:rPr>
          <w:lang w:val="en-CA"/>
        </w:rPr>
      </w:pPr>
      <w:r w:rsidRPr="00E8603C">
        <w:rPr>
          <w:lang w:val="en-CA"/>
        </w:rPr>
        <w:t xml:space="preserve">Source: </w:t>
      </w:r>
      <w:r w:rsidR="000D5723" w:rsidRPr="00E8603C">
        <w:rPr>
          <w:lang w:val="en-CA"/>
        </w:rPr>
        <w:t>“Beef, Ground, 70% Lean Meat / 30% Fat, Crumbles, Cooked, Pan-Browned</w:t>
      </w:r>
      <w:r w:rsidR="00E24E76" w:rsidRPr="00E8603C">
        <w:rPr>
          <w:lang w:val="en-CA"/>
        </w:rPr>
        <w:t>: Nutrition Facts &amp; Calories</w:t>
      </w:r>
      <w:r w:rsidR="000D5723" w:rsidRPr="00E8603C">
        <w:rPr>
          <w:lang w:val="en-CA"/>
        </w:rPr>
        <w:t>,” SELF</w:t>
      </w:r>
      <w:r w:rsidR="00E24E76" w:rsidRPr="00E8603C">
        <w:rPr>
          <w:lang w:val="en-CA"/>
        </w:rPr>
        <w:t xml:space="preserve"> </w:t>
      </w:r>
      <w:r w:rsidR="000D5723" w:rsidRPr="00E8603C">
        <w:rPr>
          <w:lang w:val="en-CA"/>
        </w:rPr>
        <w:t>Nutrition</w:t>
      </w:r>
      <w:r w:rsidR="00E24E76" w:rsidRPr="00E8603C">
        <w:rPr>
          <w:lang w:val="en-CA"/>
        </w:rPr>
        <w:t xml:space="preserve"> </w:t>
      </w:r>
      <w:r w:rsidR="000D5723" w:rsidRPr="00E8603C">
        <w:rPr>
          <w:lang w:val="en-CA"/>
        </w:rPr>
        <w:t>Data</w:t>
      </w:r>
      <w:r w:rsidR="000D5723" w:rsidRPr="00E8603C">
        <w:rPr>
          <w:i/>
          <w:lang w:val="en-CA"/>
        </w:rPr>
        <w:t xml:space="preserve">, </w:t>
      </w:r>
      <w:r w:rsidR="000D5723" w:rsidRPr="00E8603C">
        <w:rPr>
          <w:lang w:val="en-CA"/>
        </w:rPr>
        <w:t xml:space="preserve">2014, accessed December 1, 2015, </w:t>
      </w:r>
      <w:r w:rsidRPr="00E8603C">
        <w:rPr>
          <w:lang w:val="en-CA"/>
        </w:rPr>
        <w:t>http://nutritiondata.self.com/facts/beef-products/8000/2;</w:t>
      </w:r>
      <w:r w:rsidR="000D5723" w:rsidRPr="00E8603C">
        <w:rPr>
          <w:lang w:val="en-CA"/>
        </w:rPr>
        <w:t xml:space="preserve"> “Chicken, Broilers or Fryers, Back, Meat and Skin, Cooked, Roasted</w:t>
      </w:r>
      <w:r w:rsidR="00E24E76" w:rsidRPr="00E8603C">
        <w:rPr>
          <w:lang w:val="en-CA"/>
        </w:rPr>
        <w:t>: Nutrition Facts &amp; Calories</w:t>
      </w:r>
      <w:r w:rsidR="000D5723" w:rsidRPr="00E8603C">
        <w:rPr>
          <w:lang w:val="en-CA"/>
        </w:rPr>
        <w:t>,” SELF</w:t>
      </w:r>
      <w:r w:rsidR="00E24E76" w:rsidRPr="00E8603C">
        <w:rPr>
          <w:lang w:val="en-CA"/>
        </w:rPr>
        <w:t xml:space="preserve"> </w:t>
      </w:r>
      <w:r w:rsidR="000D5723" w:rsidRPr="00E8603C">
        <w:rPr>
          <w:lang w:val="en-CA"/>
        </w:rPr>
        <w:t>Nutrition</w:t>
      </w:r>
      <w:r w:rsidR="00E24E76" w:rsidRPr="00E8603C">
        <w:rPr>
          <w:lang w:val="en-CA"/>
        </w:rPr>
        <w:t xml:space="preserve"> </w:t>
      </w:r>
      <w:r w:rsidR="000D5723" w:rsidRPr="00E8603C">
        <w:rPr>
          <w:lang w:val="en-CA"/>
        </w:rPr>
        <w:t>Data,</w:t>
      </w:r>
      <w:r w:rsidR="000D5723" w:rsidRPr="00E8603C">
        <w:rPr>
          <w:i/>
          <w:lang w:val="en-CA"/>
        </w:rPr>
        <w:t xml:space="preserve"> </w:t>
      </w:r>
      <w:r w:rsidR="000D5723" w:rsidRPr="00E8603C">
        <w:rPr>
          <w:lang w:val="en-CA"/>
        </w:rPr>
        <w:t xml:space="preserve">2014, accessed December 1, 2015, </w:t>
      </w:r>
      <w:r w:rsidRPr="00E8603C">
        <w:rPr>
          <w:lang w:val="en-CA"/>
        </w:rPr>
        <w:t xml:space="preserve">http://nutritiondata.self.com/facts/poultry-products/690/2; </w:t>
      </w:r>
      <w:r w:rsidR="00786A05" w:rsidRPr="00E8603C">
        <w:rPr>
          <w:lang w:val="en-CA"/>
        </w:rPr>
        <w:t xml:space="preserve">“Our Products,” </w:t>
      </w:r>
      <w:r w:rsidRPr="00E8603C">
        <w:rPr>
          <w:lang w:val="en-CA"/>
        </w:rPr>
        <w:t>Beyond Meat</w:t>
      </w:r>
      <w:r w:rsidR="00786A05" w:rsidRPr="00E8603C">
        <w:rPr>
          <w:lang w:val="en-CA"/>
        </w:rPr>
        <w:t>, accessed December 1, 2015,</w:t>
      </w:r>
      <w:r w:rsidRPr="00E8603C">
        <w:rPr>
          <w:lang w:val="en-CA"/>
        </w:rPr>
        <w:t xml:space="preserve"> http://beyondmeat.com/products</w:t>
      </w:r>
      <w:r w:rsidR="00786A05" w:rsidRPr="00E8603C">
        <w:rPr>
          <w:rStyle w:val="Hyperlink"/>
          <w:color w:val="auto"/>
          <w:u w:val="none"/>
          <w:lang w:val="en-CA"/>
        </w:rPr>
        <w:t>.</w:t>
      </w:r>
    </w:p>
    <w:p w14:paraId="1FD36090" w14:textId="77777777" w:rsidR="004667B0" w:rsidRPr="00E8603C" w:rsidRDefault="004667B0" w:rsidP="00D70BB4">
      <w:pPr>
        <w:pStyle w:val="ExhibitText"/>
        <w:rPr>
          <w:lang w:val="en-CA"/>
        </w:rPr>
      </w:pPr>
    </w:p>
    <w:p w14:paraId="01770841" w14:textId="04861A85" w:rsidR="00601D3B" w:rsidRPr="00E8603C" w:rsidRDefault="00601D3B" w:rsidP="00601D3B">
      <w:pPr>
        <w:pStyle w:val="ExhibitText"/>
        <w:rPr>
          <w:lang w:val="en-CA"/>
        </w:rPr>
      </w:pPr>
    </w:p>
    <w:p w14:paraId="4E8449F4" w14:textId="0E317A28" w:rsidR="00601D3B" w:rsidRPr="00E8603C" w:rsidRDefault="00601D3B" w:rsidP="00DB4293">
      <w:pPr>
        <w:pStyle w:val="ExhibitHeading"/>
        <w:outlineLvl w:val="0"/>
        <w:rPr>
          <w:lang w:val="en-CA"/>
        </w:rPr>
      </w:pPr>
      <w:r w:rsidRPr="00E8603C">
        <w:rPr>
          <w:lang w:val="en-CA"/>
        </w:rPr>
        <w:t>exhibit</w:t>
      </w:r>
      <w:r w:rsidR="004D65F2" w:rsidRPr="00E8603C">
        <w:rPr>
          <w:lang w:val="en-CA"/>
        </w:rPr>
        <w:t xml:space="preserve"> 7</w:t>
      </w:r>
      <w:r w:rsidRPr="00E8603C">
        <w:rPr>
          <w:lang w:val="en-CA"/>
        </w:rPr>
        <w:t>: Market share of alternative meat products</w:t>
      </w:r>
      <w:r w:rsidR="00697587" w:rsidRPr="00E8603C">
        <w:rPr>
          <w:lang w:val="en-CA"/>
        </w:rPr>
        <w:t xml:space="preserve"> (2013)</w:t>
      </w:r>
    </w:p>
    <w:p w14:paraId="18677EBF" w14:textId="77777777" w:rsidR="00697587" w:rsidRPr="00E8603C" w:rsidRDefault="00697587" w:rsidP="00697587">
      <w:pPr>
        <w:pStyle w:val="ExhibitText"/>
        <w:jc w:val="center"/>
        <w:rPr>
          <w:b/>
          <w:lang w:val="en-CA"/>
        </w:rPr>
      </w:pPr>
    </w:p>
    <w:tbl>
      <w:tblPr>
        <w:tblStyle w:val="TableGrid"/>
        <w:tblW w:w="2500" w:type="pct"/>
        <w:jc w:val="center"/>
        <w:tblLook w:val="04A0" w:firstRow="1" w:lastRow="0" w:firstColumn="1" w:lastColumn="0" w:noHBand="0" w:noVBand="1"/>
      </w:tblPr>
      <w:tblGrid>
        <w:gridCol w:w="2337"/>
        <w:gridCol w:w="2338"/>
      </w:tblGrid>
      <w:tr w:rsidR="004D65F2" w:rsidRPr="00E8603C" w14:paraId="4AC9FD4B" w14:textId="77777777" w:rsidTr="002A42C1">
        <w:trPr>
          <w:trHeight w:val="360"/>
          <w:jc w:val="center"/>
        </w:trPr>
        <w:tc>
          <w:tcPr>
            <w:tcW w:w="2337" w:type="dxa"/>
            <w:vAlign w:val="center"/>
          </w:tcPr>
          <w:p w14:paraId="4DE66F68" w14:textId="744DBF5C" w:rsidR="00697587" w:rsidRPr="00E8603C" w:rsidRDefault="002E2238" w:rsidP="002A42C1">
            <w:pPr>
              <w:pStyle w:val="ExhibitText"/>
              <w:jc w:val="center"/>
              <w:rPr>
                <w:b/>
                <w:lang w:val="en-CA"/>
              </w:rPr>
            </w:pPr>
            <w:r w:rsidRPr="00E8603C">
              <w:rPr>
                <w:b/>
                <w:lang w:val="en-CA"/>
              </w:rPr>
              <w:t>“</w:t>
            </w:r>
            <w:r w:rsidR="00697587" w:rsidRPr="00E8603C">
              <w:rPr>
                <w:b/>
                <w:lang w:val="en-CA"/>
              </w:rPr>
              <w:t>Meat</w:t>
            </w:r>
            <w:r w:rsidRPr="00E8603C">
              <w:rPr>
                <w:b/>
                <w:lang w:val="en-CA"/>
              </w:rPr>
              <w:t>”</w:t>
            </w:r>
            <w:r w:rsidR="00697587" w:rsidRPr="00E8603C">
              <w:rPr>
                <w:b/>
                <w:lang w:val="en-CA"/>
              </w:rPr>
              <w:t xml:space="preserve"> Type</w:t>
            </w:r>
          </w:p>
        </w:tc>
        <w:tc>
          <w:tcPr>
            <w:tcW w:w="2338" w:type="dxa"/>
            <w:vAlign w:val="center"/>
          </w:tcPr>
          <w:p w14:paraId="1C4CD667" w14:textId="298C4256" w:rsidR="00697587" w:rsidRPr="00E8603C" w:rsidRDefault="00697587" w:rsidP="002A42C1">
            <w:pPr>
              <w:pStyle w:val="ExhibitText"/>
              <w:jc w:val="center"/>
              <w:rPr>
                <w:b/>
                <w:lang w:val="en-CA"/>
              </w:rPr>
            </w:pPr>
            <w:r w:rsidRPr="00E8603C">
              <w:rPr>
                <w:b/>
                <w:lang w:val="en-CA"/>
              </w:rPr>
              <w:t>(%)</w:t>
            </w:r>
          </w:p>
        </w:tc>
      </w:tr>
      <w:tr w:rsidR="004D65F2" w:rsidRPr="00E8603C" w14:paraId="7E8B44EB" w14:textId="77777777" w:rsidTr="002A42C1">
        <w:trPr>
          <w:trHeight w:val="360"/>
          <w:jc w:val="center"/>
        </w:trPr>
        <w:tc>
          <w:tcPr>
            <w:tcW w:w="2337" w:type="dxa"/>
            <w:vAlign w:val="center"/>
          </w:tcPr>
          <w:p w14:paraId="4206F1D9" w14:textId="71132018" w:rsidR="00697587" w:rsidRPr="00E8603C" w:rsidRDefault="00697587" w:rsidP="002A42C1">
            <w:pPr>
              <w:pStyle w:val="ExhibitText"/>
              <w:jc w:val="left"/>
              <w:rPr>
                <w:lang w:val="en-CA"/>
              </w:rPr>
            </w:pPr>
            <w:r w:rsidRPr="00E8603C">
              <w:rPr>
                <w:lang w:val="en-CA"/>
              </w:rPr>
              <w:t>Deli</w:t>
            </w:r>
          </w:p>
        </w:tc>
        <w:tc>
          <w:tcPr>
            <w:tcW w:w="2338" w:type="dxa"/>
            <w:vAlign w:val="center"/>
          </w:tcPr>
          <w:p w14:paraId="1F78F63D" w14:textId="3E6EEBD4" w:rsidR="00697587" w:rsidRPr="00E8603C" w:rsidRDefault="00697587" w:rsidP="00E123B6">
            <w:pPr>
              <w:pStyle w:val="ExhibitText"/>
              <w:ind w:right="864"/>
              <w:jc w:val="right"/>
              <w:rPr>
                <w:lang w:val="en-CA"/>
              </w:rPr>
            </w:pPr>
            <w:r w:rsidRPr="00E8603C">
              <w:rPr>
                <w:lang w:val="en-CA"/>
              </w:rPr>
              <w:t>4</w:t>
            </w:r>
          </w:p>
        </w:tc>
      </w:tr>
      <w:tr w:rsidR="004D65F2" w:rsidRPr="00E8603C" w14:paraId="0AFB48E5" w14:textId="77777777" w:rsidTr="002A42C1">
        <w:trPr>
          <w:trHeight w:val="360"/>
          <w:jc w:val="center"/>
        </w:trPr>
        <w:tc>
          <w:tcPr>
            <w:tcW w:w="2337" w:type="dxa"/>
            <w:vAlign w:val="center"/>
          </w:tcPr>
          <w:p w14:paraId="3FDFE581" w14:textId="5F03FDC0" w:rsidR="00697587" w:rsidRPr="00E8603C" w:rsidRDefault="00697587" w:rsidP="002A42C1">
            <w:pPr>
              <w:pStyle w:val="ExhibitText"/>
              <w:jc w:val="left"/>
              <w:rPr>
                <w:lang w:val="en-CA"/>
              </w:rPr>
            </w:pPr>
            <w:r w:rsidRPr="00E8603C">
              <w:rPr>
                <w:lang w:val="en-CA"/>
              </w:rPr>
              <w:t>Hot Dog</w:t>
            </w:r>
          </w:p>
        </w:tc>
        <w:tc>
          <w:tcPr>
            <w:tcW w:w="2338" w:type="dxa"/>
            <w:vAlign w:val="center"/>
          </w:tcPr>
          <w:p w14:paraId="0B7462B4" w14:textId="2D014CF1" w:rsidR="00697587" w:rsidRPr="00E8603C" w:rsidRDefault="00697587" w:rsidP="00E123B6">
            <w:pPr>
              <w:pStyle w:val="ExhibitText"/>
              <w:ind w:right="864"/>
              <w:jc w:val="right"/>
              <w:rPr>
                <w:lang w:val="en-CA"/>
              </w:rPr>
            </w:pPr>
            <w:r w:rsidRPr="00E8603C">
              <w:rPr>
                <w:lang w:val="en-CA"/>
              </w:rPr>
              <w:t>6</w:t>
            </w:r>
          </w:p>
        </w:tc>
      </w:tr>
      <w:tr w:rsidR="004D65F2" w:rsidRPr="00E8603C" w14:paraId="0679836A" w14:textId="77777777" w:rsidTr="002A42C1">
        <w:trPr>
          <w:trHeight w:val="360"/>
          <w:jc w:val="center"/>
        </w:trPr>
        <w:tc>
          <w:tcPr>
            <w:tcW w:w="2337" w:type="dxa"/>
            <w:vAlign w:val="center"/>
          </w:tcPr>
          <w:p w14:paraId="652820D4" w14:textId="295DD63F" w:rsidR="00697587" w:rsidRPr="00E8603C" w:rsidRDefault="00697587" w:rsidP="002A42C1">
            <w:pPr>
              <w:pStyle w:val="ExhibitText"/>
              <w:jc w:val="left"/>
              <w:rPr>
                <w:lang w:val="en-CA"/>
              </w:rPr>
            </w:pPr>
            <w:r w:rsidRPr="00E8603C">
              <w:rPr>
                <w:lang w:val="en-CA"/>
              </w:rPr>
              <w:t>Ground Beef</w:t>
            </w:r>
          </w:p>
        </w:tc>
        <w:tc>
          <w:tcPr>
            <w:tcW w:w="2338" w:type="dxa"/>
            <w:vAlign w:val="center"/>
          </w:tcPr>
          <w:p w14:paraId="4F80423A" w14:textId="25F197E3" w:rsidR="00697587" w:rsidRPr="00E8603C" w:rsidRDefault="00697587" w:rsidP="00E123B6">
            <w:pPr>
              <w:pStyle w:val="ExhibitText"/>
              <w:ind w:right="864"/>
              <w:jc w:val="right"/>
              <w:rPr>
                <w:lang w:val="en-CA"/>
              </w:rPr>
            </w:pPr>
            <w:r w:rsidRPr="00E8603C">
              <w:rPr>
                <w:lang w:val="en-CA"/>
              </w:rPr>
              <w:t>8</w:t>
            </w:r>
          </w:p>
        </w:tc>
      </w:tr>
      <w:tr w:rsidR="004D65F2" w:rsidRPr="00E8603C" w14:paraId="1C77982C" w14:textId="77777777" w:rsidTr="002A42C1">
        <w:trPr>
          <w:trHeight w:val="360"/>
          <w:jc w:val="center"/>
        </w:trPr>
        <w:tc>
          <w:tcPr>
            <w:tcW w:w="2337" w:type="dxa"/>
            <w:vAlign w:val="center"/>
          </w:tcPr>
          <w:p w14:paraId="7EB332E6" w14:textId="0FF0E763" w:rsidR="00697587" w:rsidRPr="00E8603C" w:rsidRDefault="00697587" w:rsidP="002A42C1">
            <w:pPr>
              <w:pStyle w:val="ExhibitText"/>
              <w:jc w:val="left"/>
              <w:rPr>
                <w:lang w:val="en-CA"/>
              </w:rPr>
            </w:pPr>
            <w:r w:rsidRPr="00E8603C">
              <w:rPr>
                <w:lang w:val="en-CA"/>
              </w:rPr>
              <w:t>Poultry</w:t>
            </w:r>
          </w:p>
        </w:tc>
        <w:tc>
          <w:tcPr>
            <w:tcW w:w="2338" w:type="dxa"/>
            <w:vAlign w:val="center"/>
          </w:tcPr>
          <w:p w14:paraId="3BB4A701" w14:textId="405A08B8" w:rsidR="00697587" w:rsidRPr="00E8603C" w:rsidRDefault="00697587" w:rsidP="00E123B6">
            <w:pPr>
              <w:pStyle w:val="ExhibitText"/>
              <w:ind w:right="864"/>
              <w:jc w:val="right"/>
              <w:rPr>
                <w:lang w:val="en-CA"/>
              </w:rPr>
            </w:pPr>
            <w:r w:rsidRPr="00E8603C">
              <w:rPr>
                <w:lang w:val="en-CA"/>
              </w:rPr>
              <w:t>21</w:t>
            </w:r>
          </w:p>
        </w:tc>
      </w:tr>
      <w:tr w:rsidR="004D65F2" w:rsidRPr="00E8603C" w14:paraId="2868A01D" w14:textId="77777777" w:rsidTr="002A42C1">
        <w:trPr>
          <w:trHeight w:val="360"/>
          <w:jc w:val="center"/>
        </w:trPr>
        <w:tc>
          <w:tcPr>
            <w:tcW w:w="2337" w:type="dxa"/>
            <w:vAlign w:val="center"/>
          </w:tcPr>
          <w:p w14:paraId="33159C6A" w14:textId="372A93D4" w:rsidR="00697587" w:rsidRPr="00E8603C" w:rsidRDefault="00697587" w:rsidP="002A42C1">
            <w:pPr>
              <w:pStyle w:val="ExhibitText"/>
              <w:jc w:val="left"/>
              <w:rPr>
                <w:lang w:val="en-CA"/>
              </w:rPr>
            </w:pPr>
            <w:r w:rsidRPr="00E8603C">
              <w:rPr>
                <w:lang w:val="en-CA"/>
              </w:rPr>
              <w:t>Burger</w:t>
            </w:r>
          </w:p>
        </w:tc>
        <w:tc>
          <w:tcPr>
            <w:tcW w:w="2338" w:type="dxa"/>
            <w:vAlign w:val="center"/>
          </w:tcPr>
          <w:p w14:paraId="5F1E4C79" w14:textId="590D597A" w:rsidR="00697587" w:rsidRPr="00E8603C" w:rsidRDefault="00697587" w:rsidP="00E123B6">
            <w:pPr>
              <w:pStyle w:val="ExhibitText"/>
              <w:ind w:right="864"/>
              <w:jc w:val="right"/>
              <w:rPr>
                <w:lang w:val="en-CA"/>
              </w:rPr>
            </w:pPr>
            <w:r w:rsidRPr="00E8603C">
              <w:rPr>
                <w:lang w:val="en-CA"/>
              </w:rPr>
              <w:t>35</w:t>
            </w:r>
          </w:p>
        </w:tc>
      </w:tr>
      <w:tr w:rsidR="004D65F2" w:rsidRPr="00E8603C" w14:paraId="720A5917" w14:textId="77777777" w:rsidTr="002A42C1">
        <w:trPr>
          <w:trHeight w:val="360"/>
          <w:jc w:val="center"/>
        </w:trPr>
        <w:tc>
          <w:tcPr>
            <w:tcW w:w="2337" w:type="dxa"/>
            <w:vAlign w:val="center"/>
          </w:tcPr>
          <w:p w14:paraId="50D3506D" w14:textId="225A4D01" w:rsidR="00697587" w:rsidRPr="00E8603C" w:rsidRDefault="00697587" w:rsidP="002A42C1">
            <w:pPr>
              <w:pStyle w:val="ExhibitText"/>
              <w:jc w:val="left"/>
              <w:rPr>
                <w:lang w:val="en-CA"/>
              </w:rPr>
            </w:pPr>
            <w:r w:rsidRPr="00E8603C">
              <w:rPr>
                <w:lang w:val="en-CA"/>
              </w:rPr>
              <w:t>Breakfast</w:t>
            </w:r>
          </w:p>
        </w:tc>
        <w:tc>
          <w:tcPr>
            <w:tcW w:w="2338" w:type="dxa"/>
            <w:vAlign w:val="center"/>
          </w:tcPr>
          <w:p w14:paraId="55C141E9" w14:textId="702E86F7" w:rsidR="00697587" w:rsidRPr="00E8603C" w:rsidRDefault="00697587" w:rsidP="00E123B6">
            <w:pPr>
              <w:pStyle w:val="ExhibitText"/>
              <w:ind w:right="864"/>
              <w:jc w:val="right"/>
              <w:rPr>
                <w:lang w:val="en-CA"/>
              </w:rPr>
            </w:pPr>
            <w:r w:rsidRPr="00E8603C">
              <w:rPr>
                <w:lang w:val="en-CA"/>
              </w:rPr>
              <w:t>15</w:t>
            </w:r>
          </w:p>
        </w:tc>
      </w:tr>
      <w:tr w:rsidR="00697587" w:rsidRPr="00E8603C" w14:paraId="6460AC0D" w14:textId="77777777" w:rsidTr="002A42C1">
        <w:trPr>
          <w:trHeight w:val="360"/>
          <w:jc w:val="center"/>
        </w:trPr>
        <w:tc>
          <w:tcPr>
            <w:tcW w:w="2337" w:type="dxa"/>
            <w:vAlign w:val="center"/>
          </w:tcPr>
          <w:p w14:paraId="1208B235" w14:textId="709353D5" w:rsidR="00697587" w:rsidRPr="00E8603C" w:rsidRDefault="00697587" w:rsidP="002A42C1">
            <w:pPr>
              <w:pStyle w:val="ExhibitText"/>
              <w:jc w:val="left"/>
              <w:rPr>
                <w:lang w:val="en-CA"/>
              </w:rPr>
            </w:pPr>
            <w:r w:rsidRPr="00E8603C">
              <w:rPr>
                <w:lang w:val="en-CA"/>
              </w:rPr>
              <w:t>Other</w:t>
            </w:r>
          </w:p>
        </w:tc>
        <w:tc>
          <w:tcPr>
            <w:tcW w:w="2338" w:type="dxa"/>
            <w:vAlign w:val="center"/>
          </w:tcPr>
          <w:p w14:paraId="72A94FA0" w14:textId="43FCB647" w:rsidR="00697587" w:rsidRPr="00E8603C" w:rsidRDefault="00697587" w:rsidP="00E123B6">
            <w:pPr>
              <w:pStyle w:val="ExhibitText"/>
              <w:ind w:right="864"/>
              <w:jc w:val="right"/>
              <w:rPr>
                <w:lang w:val="en-CA"/>
              </w:rPr>
            </w:pPr>
            <w:r w:rsidRPr="00E8603C">
              <w:rPr>
                <w:lang w:val="en-CA"/>
              </w:rPr>
              <w:t>11</w:t>
            </w:r>
          </w:p>
        </w:tc>
      </w:tr>
    </w:tbl>
    <w:p w14:paraId="2E7C69C5" w14:textId="77777777" w:rsidR="00697587" w:rsidRPr="00E8603C" w:rsidRDefault="00697587" w:rsidP="00697587">
      <w:pPr>
        <w:pStyle w:val="ExhibitText"/>
        <w:rPr>
          <w:lang w:val="en-CA"/>
        </w:rPr>
      </w:pPr>
    </w:p>
    <w:p w14:paraId="1A22DF63" w14:textId="1C0648C3" w:rsidR="00697587" w:rsidRPr="00E8603C" w:rsidRDefault="00697587" w:rsidP="00DB4293">
      <w:pPr>
        <w:pStyle w:val="Footnote"/>
        <w:outlineLvl w:val="0"/>
        <w:rPr>
          <w:lang w:val="en-CA"/>
        </w:rPr>
      </w:pPr>
      <w:r w:rsidRPr="00E8603C">
        <w:rPr>
          <w:lang w:val="en-CA"/>
        </w:rPr>
        <w:t xml:space="preserve">Source: </w:t>
      </w:r>
      <w:r w:rsidR="00332A9A" w:rsidRPr="00E8603C">
        <w:rPr>
          <w:lang w:val="en-CA"/>
        </w:rPr>
        <w:t xml:space="preserve">Beth Bloom, </w:t>
      </w:r>
      <w:r w:rsidR="00332A9A" w:rsidRPr="00E8603C">
        <w:rPr>
          <w:i/>
          <w:lang w:val="en-CA"/>
        </w:rPr>
        <w:t>Meat Alternatives—U.S.—June 2013</w:t>
      </w:r>
      <w:r w:rsidR="00332A9A" w:rsidRPr="00E8603C">
        <w:rPr>
          <w:lang w:val="en-CA"/>
        </w:rPr>
        <w:t xml:space="preserve"> </w:t>
      </w:r>
      <w:r w:rsidR="00D92D6B" w:rsidRPr="00E8603C">
        <w:rPr>
          <w:lang w:val="en-CA"/>
        </w:rPr>
        <w:t xml:space="preserve">(London: </w:t>
      </w:r>
      <w:r w:rsidR="00332A9A" w:rsidRPr="00E8603C">
        <w:rPr>
          <w:lang w:val="en-CA"/>
        </w:rPr>
        <w:t>Mintel Group Ltd</w:t>
      </w:r>
      <w:r w:rsidR="00405B1C" w:rsidRPr="00E8603C">
        <w:rPr>
          <w:lang w:val="en-CA"/>
        </w:rPr>
        <w:t>.</w:t>
      </w:r>
      <w:r w:rsidR="00D92D6B" w:rsidRPr="00E8603C">
        <w:rPr>
          <w:lang w:val="en-CA"/>
        </w:rPr>
        <w:t>, 2013).</w:t>
      </w:r>
    </w:p>
    <w:p w14:paraId="76A4C0F3" w14:textId="77777777" w:rsidR="00601D3B" w:rsidRPr="00E8603C" w:rsidRDefault="00601D3B" w:rsidP="00697587">
      <w:pPr>
        <w:pStyle w:val="Footnote"/>
        <w:rPr>
          <w:lang w:val="en-CA"/>
        </w:rPr>
      </w:pPr>
    </w:p>
    <w:p w14:paraId="4415F327" w14:textId="77777777" w:rsidR="00601D3B" w:rsidRPr="00E8603C" w:rsidRDefault="00601D3B" w:rsidP="00601D3B">
      <w:pPr>
        <w:pStyle w:val="ExhibitText"/>
        <w:rPr>
          <w:lang w:val="en-CA"/>
        </w:rPr>
      </w:pPr>
    </w:p>
    <w:p w14:paraId="191DF87C" w14:textId="77777777" w:rsidR="00601D3B" w:rsidRPr="00E8603C" w:rsidRDefault="00601D3B" w:rsidP="00601D3B">
      <w:pPr>
        <w:pStyle w:val="ExhibitText"/>
        <w:rPr>
          <w:lang w:val="en-CA"/>
        </w:rPr>
      </w:pPr>
    </w:p>
    <w:p w14:paraId="6881500C" w14:textId="77777777" w:rsidR="00697587" w:rsidRPr="00E8603C" w:rsidRDefault="00697587" w:rsidP="00601D3B">
      <w:pPr>
        <w:pStyle w:val="ExhibitText"/>
        <w:rPr>
          <w:lang w:val="en-CA"/>
        </w:rPr>
      </w:pPr>
    </w:p>
    <w:p w14:paraId="43E8D2D2" w14:textId="77777777" w:rsidR="00697587" w:rsidRPr="00E8603C" w:rsidRDefault="00697587" w:rsidP="00601D3B">
      <w:pPr>
        <w:pStyle w:val="ExhibitText"/>
        <w:rPr>
          <w:lang w:val="en-CA"/>
        </w:rPr>
      </w:pPr>
    </w:p>
    <w:p w14:paraId="55ECA2CC" w14:textId="77777777" w:rsidR="00697587" w:rsidRPr="00E8603C" w:rsidRDefault="00697587" w:rsidP="00601D3B">
      <w:pPr>
        <w:pStyle w:val="ExhibitText"/>
        <w:rPr>
          <w:lang w:val="en-CA"/>
        </w:rPr>
      </w:pPr>
    </w:p>
    <w:p w14:paraId="70FFE030" w14:textId="6BC33B92" w:rsidR="006A1675" w:rsidRPr="00E8603C" w:rsidRDefault="006A1675" w:rsidP="00BB3A3D">
      <w:pPr>
        <w:spacing w:after="200" w:line="276" w:lineRule="auto"/>
        <w:rPr>
          <w:lang w:val="en-CA"/>
        </w:rPr>
      </w:pPr>
    </w:p>
    <w:sectPr w:rsidR="006A1675" w:rsidRPr="00E8603C" w:rsidSect="00EB5410">
      <w:headerReference w:type="default" r:id="rId22"/>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6198E4" w16cid:durableId="20DC4F89"/>
  <w16cid:commentId w16cid:paraId="64BD9887" w16cid:durableId="1F44C17E"/>
  <w16cid:commentId w16cid:paraId="2FC50367" w16cid:durableId="1F44C17F"/>
  <w16cid:commentId w16cid:paraId="66491757" w16cid:durableId="1F44DE19"/>
  <w16cid:commentId w16cid:paraId="1BBB394C" w16cid:durableId="1FEC2A22"/>
  <w16cid:commentId w16cid:paraId="066AA47A" w16cid:durableId="1FEC27E1"/>
  <w16cid:commentId w16cid:paraId="14CC6FDE" w16cid:durableId="1FEC2D8B"/>
  <w16cid:commentId w16cid:paraId="3408C1D8" w16cid:durableId="20E42C6C"/>
  <w16cid:commentId w16cid:paraId="4F0153F5" w16cid:durableId="20E42C6B"/>
  <w16cid:commentId w16cid:paraId="00FECBB4" w16cid:durableId="20E42C6A"/>
  <w16cid:commentId w16cid:paraId="7B5CAC16" w16cid:durableId="20E42D96"/>
  <w16cid:commentId w16cid:paraId="7D27D00E" w16cid:durableId="1F44C180"/>
  <w16cid:commentId w16cid:paraId="3C552776" w16cid:durableId="1F44C181"/>
  <w16cid:commentId w16cid:paraId="15E2446C" w16cid:durableId="1F44C182"/>
  <w16cid:commentId w16cid:paraId="503E57B2" w16cid:durableId="1F44C183"/>
  <w16cid:commentId w16cid:paraId="74D4C84C" w16cid:durableId="20E42BF1"/>
  <w16cid:commentId w16cid:paraId="6146B73D" w16cid:durableId="20E55279"/>
  <w16cid:commentId w16cid:paraId="3F8EF51A" w16cid:durableId="1F44C184"/>
  <w16cid:commentId w16cid:paraId="2A7275EA" w16cid:durableId="1F44C185"/>
  <w16cid:commentId w16cid:paraId="498D7DCD" w16cid:durableId="20E42BF4"/>
  <w16cid:commentId w16cid:paraId="3D3E2C87" w16cid:durableId="20E5527A"/>
  <w16cid:commentId w16cid:paraId="22083969" w16cid:durableId="1FEC2625"/>
  <w16cid:commentId w16cid:paraId="71658F5B" w16cid:durableId="1F44C748"/>
  <w16cid:commentId w16cid:paraId="1B94695D" w16cid:durableId="1F44C186"/>
  <w16cid:commentId w16cid:paraId="5B530B06" w16cid:durableId="1F44C187"/>
  <w16cid:commentId w16cid:paraId="0EB5579A" w16cid:durableId="1F44C188"/>
  <w16cid:commentId w16cid:paraId="7216F719" w16cid:durableId="1F44C189"/>
  <w16cid:commentId w16cid:paraId="1ED577D4" w16cid:durableId="1F44C18A"/>
  <w16cid:commentId w16cid:paraId="4049842F" w16cid:durableId="1F44C18B"/>
  <w16cid:commentId w16cid:paraId="17258AFE" w16cid:durableId="1F44C18C"/>
  <w16cid:commentId w16cid:paraId="6E1FFB67" w16cid:durableId="1F44C18D"/>
  <w16cid:commentId w16cid:paraId="1D16E553" w16cid:durableId="1F44C18E"/>
  <w16cid:commentId w16cid:paraId="2E299C69" w16cid:durableId="20E42C00"/>
  <w16cid:commentId w16cid:paraId="6BCEA403" w16cid:durableId="20E42C7D"/>
  <w16cid:commentId w16cid:paraId="6EDDD034" w16cid:durableId="1F44C18F"/>
  <w16cid:commentId w16cid:paraId="5AE0EC4A" w16cid:durableId="1F44C190"/>
  <w16cid:commentId w16cid:paraId="5BE1822C" w16cid:durableId="20E42C03"/>
  <w16cid:commentId w16cid:paraId="7FA26C16" w16cid:durableId="20E42CD6"/>
  <w16cid:commentId w16cid:paraId="7443459C" w16cid:durableId="1F44C191"/>
  <w16cid:commentId w16cid:paraId="3B5C56CC" w16cid:durableId="1F44C192"/>
  <w16cid:commentId w16cid:paraId="7B6130A7" w16cid:durableId="1F44C193"/>
  <w16cid:commentId w16cid:paraId="53B6A767" w16cid:durableId="1F44C194"/>
  <w16cid:commentId w16cid:paraId="13965D22" w16cid:durableId="1F44C195"/>
  <w16cid:commentId w16cid:paraId="310C1450" w16cid:durableId="1F44C196"/>
  <w16cid:commentId w16cid:paraId="40F308B9" w16cid:durableId="1F44C197"/>
  <w16cid:commentId w16cid:paraId="09638BF0" w16cid:durableId="1F44C198"/>
  <w16cid:commentId w16cid:paraId="3226017E" w16cid:durableId="20E42C0C"/>
  <w16cid:commentId w16cid:paraId="5AB280ED" w16cid:durableId="20E42DA7"/>
  <w16cid:commentId w16cid:paraId="4014E65A" w16cid:durableId="1F44D36C"/>
  <w16cid:commentId w16cid:paraId="67D37EF1" w16cid:durableId="20E42C0E"/>
  <w16cid:commentId w16cid:paraId="47FDDEDC" w16cid:durableId="20E42DC1"/>
  <w16cid:commentId w16cid:paraId="4F23F74C" w16cid:durableId="1F44C199"/>
  <w16cid:commentId w16cid:paraId="72C2FD23" w16cid:durableId="1F44C19A"/>
  <w16cid:commentId w16cid:paraId="4C35A2AA" w16cid:durableId="20E42C11"/>
  <w16cid:commentId w16cid:paraId="7C5CCA5B" w16cid:durableId="20E42E46"/>
  <w16cid:commentId w16cid:paraId="5D4CD901" w16cid:durableId="1F44C19B"/>
  <w16cid:commentId w16cid:paraId="31BE0C52" w16cid:durableId="1F44C19C"/>
  <w16cid:commentId w16cid:paraId="778719D4" w16cid:durableId="1F44C9F9"/>
  <w16cid:commentId w16cid:paraId="4F474404" w16cid:durableId="20E42C15"/>
  <w16cid:commentId w16cid:paraId="4FFC2E5F" w16cid:durableId="20E42DD1"/>
  <w16cid:commentId w16cid:paraId="72084721" w16cid:durableId="1F44C19D"/>
  <w16cid:commentId w16cid:paraId="1BC96FA6" w16cid:durableId="1F44C19E"/>
  <w16cid:commentId w16cid:paraId="63042905" w16cid:durableId="20E42C18"/>
  <w16cid:commentId w16cid:paraId="284BE628" w16cid:durableId="20E42E8E"/>
  <w16cid:commentId w16cid:paraId="08C9B97D" w16cid:durableId="1F44C19F"/>
  <w16cid:commentId w16cid:paraId="69029611" w16cid:durableId="1F44C1A0"/>
  <w16cid:commentId w16cid:paraId="470CF5B4" w16cid:durableId="1F44C1A1"/>
  <w16cid:commentId w16cid:paraId="199BDD51" w16cid:durableId="1F44C1A2"/>
  <w16cid:commentId w16cid:paraId="0E38BA3F" w16cid:durableId="1F44C1A3"/>
  <w16cid:commentId w16cid:paraId="5EF51634" w16cid:durableId="1F44C1A4"/>
  <w16cid:commentId w16cid:paraId="2DB353CD" w16cid:durableId="1F44C1A5"/>
  <w16cid:commentId w16cid:paraId="7D3AD455" w16cid:durableId="1F44C1A6"/>
  <w16cid:commentId w16cid:paraId="5653E384" w16cid:durableId="1F44C1A7"/>
  <w16cid:commentId w16cid:paraId="66DCDE6A" w16cid:durableId="1F44C1A8"/>
  <w16cid:commentId w16cid:paraId="5A267419" w16cid:durableId="1F44C1A9"/>
  <w16cid:commentId w16cid:paraId="603C3F08" w16cid:durableId="1F44D4E2"/>
  <w16cid:commentId w16cid:paraId="559D1F70" w16cid:durableId="20E42C25"/>
  <w16cid:commentId w16cid:paraId="629C8B72" w16cid:durableId="20E42EC3"/>
  <w16cid:commentId w16cid:paraId="5F6D3DED" w16cid:durableId="1F44D612"/>
  <w16cid:commentId w16cid:paraId="760AEC8F" w16cid:durableId="1F44C1AA"/>
  <w16cid:commentId w16cid:paraId="11FA66D0" w16cid:durableId="1F44C1AB"/>
  <w16cid:commentId w16cid:paraId="65E3D3B6" w16cid:durableId="1F44C1AC"/>
  <w16cid:commentId w16cid:paraId="37D2DAE4" w16cid:durableId="1F44C1AD"/>
  <w16cid:commentId w16cid:paraId="00D5620C" w16cid:durableId="1F44C1AE"/>
  <w16cid:commentId w16cid:paraId="48FC9E95" w16cid:durableId="1F44C1AF"/>
  <w16cid:commentId w16cid:paraId="70DD9DB8" w16cid:durableId="1F44D671"/>
  <w16cid:commentId w16cid:paraId="37103442" w16cid:durableId="1F44C1B0"/>
  <w16cid:commentId w16cid:paraId="1CB44ECD" w16cid:durableId="1F44C1B1"/>
  <w16cid:commentId w16cid:paraId="1846C5F4" w16cid:durableId="1F44C1B2"/>
  <w16cid:commentId w16cid:paraId="56228A5C" w16cid:durableId="1F44C1B3"/>
  <w16cid:commentId w16cid:paraId="6707EDB0" w16cid:durableId="20E42C32"/>
  <w16cid:commentId w16cid:paraId="14B64D65" w16cid:durableId="20E42FA1"/>
  <w16cid:commentId w16cid:paraId="4191F56F" w16cid:durableId="1F44C1B4"/>
  <w16cid:commentId w16cid:paraId="1DD2ABFF" w16cid:durableId="1F44C1B5"/>
  <w16cid:commentId w16cid:paraId="75B37321" w16cid:durableId="1F44C1B6"/>
  <w16cid:commentId w16cid:paraId="689099E9" w16cid:durableId="1F44D8EE"/>
  <w16cid:commentId w16cid:paraId="1A77ED8F" w16cid:durableId="20E42C37"/>
  <w16cid:commentId w16cid:paraId="6C6F8E10" w16cid:durableId="20E553EB"/>
  <w16cid:commentId w16cid:paraId="227FE90A" w16cid:durableId="1F44C1B7"/>
  <w16cid:commentId w16cid:paraId="1C893228" w16cid:durableId="1F44C1B8"/>
  <w16cid:commentId w16cid:paraId="1CE518B1" w16cid:durableId="1FEC2B49"/>
  <w16cid:commentId w16cid:paraId="185E288A" w16cid:durableId="20E430E0"/>
  <w16cid:commentId w16cid:paraId="3F665FD4" w16cid:durableId="1F44C1B9"/>
  <w16cid:commentId w16cid:paraId="3B728A5F" w16cid:durableId="1F44C1BA"/>
  <w16cid:commentId w16cid:paraId="660E8A21" w16cid:durableId="1FEC22C5"/>
  <w16cid:commentId w16cid:paraId="4F7F08C9" w16cid:durableId="1FEC284A"/>
  <w16cid:commentId w16cid:paraId="15C02FEF" w16cid:durableId="20E42D3F"/>
  <w16cid:commentId w16cid:paraId="08FB9DF9" w16cid:durableId="20E42D3E"/>
  <w16cid:commentId w16cid:paraId="37E80B23" w16cid:durableId="20E42D3D"/>
  <w16cid:commentId w16cid:paraId="2257810F" w16cid:durableId="20E42D61"/>
  <w16cid:commentId w16cid:paraId="11FEE9D1" w16cid:durableId="20E42D60"/>
  <w16cid:commentId w16cid:paraId="2B98E55B" w16cid:durableId="1F44C1BB"/>
  <w16cid:commentId w16cid:paraId="32726F02" w16cid:durableId="1F44C1BC"/>
  <w16cid:commentId w16cid:paraId="6C120183" w16cid:durableId="1F44C1BD"/>
  <w16cid:commentId w16cid:paraId="71D015CD" w16cid:durableId="1F44C1BE"/>
  <w16cid:commentId w16cid:paraId="0CD41306" w16cid:durableId="1F44C1BF"/>
  <w16cid:commentId w16cid:paraId="376DFD22" w16cid:durableId="1F44C1C0"/>
  <w16cid:commentId w16cid:paraId="380D6770" w16cid:durableId="1F44C1C1"/>
  <w16cid:commentId w16cid:paraId="547EABF5" w16cid:durableId="1F44C1C2"/>
  <w16cid:commentId w16cid:paraId="722B75D5" w16cid:durableId="1F44C1C3"/>
  <w16cid:commentId w16cid:paraId="58F5CE39" w16cid:durableId="1F44C1C4"/>
  <w16cid:commentId w16cid:paraId="643C88F4" w16cid:durableId="1F44C1C5"/>
  <w16cid:commentId w16cid:paraId="28C7379D" w16cid:durableId="1F44C1C6"/>
  <w16cid:commentId w16cid:paraId="2B05DCB7" w16cid:durableId="1F44D097"/>
  <w16cid:commentId w16cid:paraId="4F244439" w16cid:durableId="1F44C1C7"/>
  <w16cid:commentId w16cid:paraId="4F96CADD" w16cid:durableId="1F44C1C8"/>
  <w16cid:commentId w16cid:paraId="5FA0AB6A" w16cid:durableId="1F44C1C9"/>
  <w16cid:commentId w16cid:paraId="4988DE49" w16cid:durableId="1F44C1CA"/>
  <w16cid:commentId w16cid:paraId="32107A4E" w16cid:durableId="20E42C50"/>
  <w16cid:commentId w16cid:paraId="789CAF98" w16cid:durableId="1F44C1CB"/>
  <w16cid:commentId w16cid:paraId="3A0968E7" w16cid:durableId="1F44C1CC"/>
  <w16cid:commentId w16cid:paraId="7F798267" w16cid:durableId="1F44DB04"/>
  <w16cid:commentId w16cid:paraId="01EB0B6F" w16cid:durableId="20E42C54"/>
  <w16cid:commentId w16cid:paraId="09288197" w16cid:durableId="1F44C1CD"/>
  <w16cid:commentId w16cid:paraId="46EFFD78" w16cid:durableId="1F44DB1C"/>
  <w16cid:commentId w16cid:paraId="1996924B" w16cid:durableId="20E42C57"/>
  <w16cid:commentId w16cid:paraId="2F294E0C" w16cid:durableId="1F44C1CE"/>
  <w16cid:commentId w16cid:paraId="44AABCE9" w16cid:durableId="1F44C1C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1040FD" w14:textId="77777777" w:rsidR="004E5743" w:rsidRDefault="004E5743" w:rsidP="00D75295">
      <w:r>
        <w:separator/>
      </w:r>
    </w:p>
  </w:endnote>
  <w:endnote w:type="continuationSeparator" w:id="0">
    <w:p w14:paraId="0E9648FA" w14:textId="77777777" w:rsidR="004E5743" w:rsidRDefault="004E574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9A95C9" w14:textId="77777777" w:rsidR="004E5743" w:rsidRDefault="004E5743" w:rsidP="00D75295">
      <w:r>
        <w:separator/>
      </w:r>
    </w:p>
  </w:footnote>
  <w:footnote w:type="continuationSeparator" w:id="0">
    <w:p w14:paraId="4A4F4150" w14:textId="77777777" w:rsidR="004E5743" w:rsidRDefault="004E5743" w:rsidP="00D75295">
      <w:r>
        <w:continuationSeparator/>
      </w:r>
    </w:p>
  </w:footnote>
  <w:footnote w:id="1">
    <w:p w14:paraId="49D968DE" w14:textId="77777777" w:rsidR="007B7058" w:rsidRPr="000C215D" w:rsidRDefault="007B7058" w:rsidP="00CF49C6">
      <w:pPr>
        <w:pStyle w:val="Footnote"/>
      </w:pPr>
      <w:r w:rsidRPr="000C215D">
        <w:rPr>
          <w:rStyle w:val="FootnoteReference"/>
        </w:rPr>
        <w:footnoteRef/>
      </w:r>
      <w:r w:rsidRPr="000C215D">
        <w:t xml:space="preserve"> </w:t>
      </w:r>
      <w:r>
        <w:t xml:space="preserve">Vaclav </w:t>
      </w:r>
      <w:proofErr w:type="spellStart"/>
      <w:r>
        <w:t>Smil</w:t>
      </w:r>
      <w:proofErr w:type="spellEnd"/>
      <w:r>
        <w:t xml:space="preserve">, “Should Humans Eat Meat? [Excerpt],” </w:t>
      </w:r>
      <w:r>
        <w:rPr>
          <w:i/>
        </w:rPr>
        <w:t xml:space="preserve">Scientific American, </w:t>
      </w:r>
      <w:r>
        <w:t xml:space="preserve">July 19, 2013, accessed December 30, 2014, </w:t>
      </w:r>
      <w:r w:rsidRPr="009F4AE6">
        <w:t>www.scientificamerican.com/article/should-humans-eat-meat-excerpt</w:t>
      </w:r>
      <w:r>
        <w:t>.</w:t>
      </w:r>
    </w:p>
  </w:footnote>
  <w:footnote w:id="2">
    <w:p w14:paraId="5D5DBB39" w14:textId="77777777" w:rsidR="00743D54" w:rsidRPr="000C215D" w:rsidRDefault="00743D54" w:rsidP="00743D54">
      <w:pPr>
        <w:pStyle w:val="Footnote"/>
      </w:pPr>
      <w:r w:rsidRPr="000C215D">
        <w:rPr>
          <w:rStyle w:val="FootnoteReference"/>
        </w:rPr>
        <w:footnoteRef/>
      </w:r>
      <w:r w:rsidRPr="000C215D">
        <w:t xml:space="preserve"> </w:t>
      </w:r>
      <w:r>
        <w:t xml:space="preserve">Craig B. Stanford, “The Indelible Stamp,” chapter 1 in </w:t>
      </w:r>
      <w:r>
        <w:rPr>
          <w:i/>
        </w:rPr>
        <w:t xml:space="preserve">The Hunting Apes: Meat Eating and the Origins of Human </w:t>
      </w:r>
      <w:proofErr w:type="spellStart"/>
      <w:r>
        <w:rPr>
          <w:i/>
        </w:rPr>
        <w:t>Behavior</w:t>
      </w:r>
      <w:proofErr w:type="spellEnd"/>
      <w:r>
        <w:rPr>
          <w:i/>
        </w:rPr>
        <w:t xml:space="preserve"> </w:t>
      </w:r>
      <w:r>
        <w:t>(Princeton, NJ: Princeton University Press, 1999).</w:t>
      </w:r>
    </w:p>
  </w:footnote>
  <w:footnote w:id="3">
    <w:p w14:paraId="2829DDE2" w14:textId="5F46B8DB" w:rsidR="007B7058" w:rsidRPr="000C215D" w:rsidRDefault="007B7058" w:rsidP="000C215D">
      <w:pPr>
        <w:pStyle w:val="Footnote"/>
      </w:pPr>
      <w:r w:rsidRPr="000C215D">
        <w:rPr>
          <w:rStyle w:val="FootnoteReference"/>
        </w:rPr>
        <w:footnoteRef/>
      </w:r>
      <w:r w:rsidRPr="000C215D">
        <w:t xml:space="preserve"> </w:t>
      </w:r>
      <w:r>
        <w:t xml:space="preserve">Deloitte </w:t>
      </w:r>
      <w:proofErr w:type="spellStart"/>
      <w:r>
        <w:t>Touche</w:t>
      </w:r>
      <w:proofErr w:type="spellEnd"/>
      <w:r>
        <w:t xml:space="preserve"> Tohmatsu Limited, </w:t>
      </w:r>
      <w:r>
        <w:rPr>
          <w:i/>
        </w:rPr>
        <w:t>Consumer 2020: Reading the Signs</w:t>
      </w:r>
      <w:r>
        <w:t xml:space="preserve"> (London: Deloitte Global Services Limited,</w:t>
      </w:r>
      <w:r>
        <w:rPr>
          <w:i/>
        </w:rPr>
        <w:t xml:space="preserve"> </w:t>
      </w:r>
      <w:r>
        <w:t xml:space="preserve">2011), </w:t>
      </w:r>
      <w:r w:rsidRPr="00BB3A3D">
        <w:rPr>
          <w:spacing w:val="-2"/>
          <w:kern w:val="17"/>
        </w:rPr>
        <w:t>accessed</w:t>
      </w:r>
      <w:r>
        <w:rPr>
          <w:spacing w:val="-2"/>
          <w:kern w:val="17"/>
        </w:rPr>
        <w:t xml:space="preserve"> </w:t>
      </w:r>
      <w:r w:rsidRPr="00BB3A3D">
        <w:rPr>
          <w:spacing w:val="-2"/>
          <w:kern w:val="17"/>
        </w:rPr>
        <w:t>January</w:t>
      </w:r>
      <w:r>
        <w:rPr>
          <w:spacing w:val="-2"/>
          <w:kern w:val="17"/>
        </w:rPr>
        <w:t xml:space="preserve"> </w:t>
      </w:r>
      <w:r w:rsidRPr="00BB3A3D">
        <w:rPr>
          <w:spacing w:val="-2"/>
          <w:kern w:val="17"/>
        </w:rPr>
        <w:t>15,</w:t>
      </w:r>
      <w:r>
        <w:rPr>
          <w:spacing w:val="-2"/>
          <w:kern w:val="17"/>
        </w:rPr>
        <w:t xml:space="preserve"> </w:t>
      </w:r>
      <w:r w:rsidRPr="00BB3A3D">
        <w:rPr>
          <w:spacing w:val="-2"/>
          <w:kern w:val="17"/>
        </w:rPr>
        <w:t>2017,</w:t>
      </w:r>
      <w:r>
        <w:rPr>
          <w:spacing w:val="-2"/>
          <w:kern w:val="17"/>
        </w:rPr>
        <w:t xml:space="preserve"> </w:t>
      </w:r>
      <w:r w:rsidRPr="00BB3A3D">
        <w:rPr>
          <w:spacing w:val="-2"/>
          <w:kern w:val="17"/>
        </w:rPr>
        <w:t>www2.deloitte.com/content/dam/Deloitte/ru/Documents/consumer-business/consumer_2020.pd</w:t>
      </w:r>
      <w:r w:rsidRPr="00996975">
        <w:t>f</w:t>
      </w:r>
      <w:r>
        <w:t>.</w:t>
      </w:r>
    </w:p>
  </w:footnote>
  <w:footnote w:id="4">
    <w:p w14:paraId="6931FA0C" w14:textId="372E9156" w:rsidR="007B7058" w:rsidRPr="000C215D" w:rsidRDefault="007B7058" w:rsidP="000C215D">
      <w:pPr>
        <w:pStyle w:val="Footnote"/>
      </w:pPr>
      <w:r w:rsidRPr="000C215D">
        <w:rPr>
          <w:rStyle w:val="FootnoteReference"/>
        </w:rPr>
        <w:footnoteRef/>
      </w:r>
      <w:r w:rsidRPr="000C215D">
        <w:t xml:space="preserve"> </w:t>
      </w:r>
      <w:r>
        <w:t xml:space="preserve">April Fulton, “Most Americans Worry about Safety of Food Supply,” </w:t>
      </w:r>
      <w:r w:rsidRPr="00CE2C54">
        <w:t>National Public Radio (</w:t>
      </w:r>
      <w:r w:rsidRPr="00C06C6F">
        <w:t>NPR)</w:t>
      </w:r>
      <w:r>
        <w:rPr>
          <w:i/>
        </w:rPr>
        <w:t xml:space="preserve">, </w:t>
      </w:r>
      <w:r>
        <w:t xml:space="preserve">July 27, 2010, accessed December 30, 2014, </w:t>
      </w:r>
      <w:r w:rsidRPr="009F4AE6">
        <w:t>www.npr.org/blogs/health/2011/06/07/128794927/most-americans-worry-about-safety-of-food-supply</w:t>
      </w:r>
      <w:r>
        <w:t>.</w:t>
      </w:r>
    </w:p>
  </w:footnote>
  <w:footnote w:id="5">
    <w:p w14:paraId="3D527B1F" w14:textId="37EFDE49" w:rsidR="007B7058" w:rsidRPr="000C215D" w:rsidRDefault="007B7058" w:rsidP="000C215D">
      <w:pPr>
        <w:pStyle w:val="Footnote"/>
      </w:pPr>
      <w:r w:rsidRPr="000C215D">
        <w:rPr>
          <w:rStyle w:val="FootnoteReference"/>
        </w:rPr>
        <w:footnoteRef/>
      </w:r>
      <w:r w:rsidRPr="000C215D">
        <w:t xml:space="preserve"> </w:t>
      </w:r>
      <w:r w:rsidRPr="0033473D">
        <w:t>Sarah Day Levesque</w:t>
      </w:r>
      <w:r>
        <w:t xml:space="preserve">, </w:t>
      </w:r>
      <w:r w:rsidRPr="00C06C6F">
        <w:rPr>
          <w:i/>
        </w:rPr>
        <w:t>Red Meat—U.S.—September 2013</w:t>
      </w:r>
      <w:r>
        <w:t xml:space="preserve"> (London: </w:t>
      </w:r>
      <w:r w:rsidRPr="000C215D">
        <w:t>Mintel Group Ltd.</w:t>
      </w:r>
      <w:r>
        <w:t>, 2013).</w:t>
      </w:r>
    </w:p>
  </w:footnote>
  <w:footnote w:id="6">
    <w:p w14:paraId="246796DD" w14:textId="5A5A1C19" w:rsidR="007B7058" w:rsidRPr="000C215D" w:rsidRDefault="007B7058" w:rsidP="005D4701">
      <w:pPr>
        <w:pStyle w:val="Footnote"/>
      </w:pPr>
      <w:r w:rsidRPr="000C215D">
        <w:rPr>
          <w:rStyle w:val="FootnoteReference"/>
        </w:rPr>
        <w:footnoteRef/>
      </w:r>
      <w:r w:rsidRPr="000C215D">
        <w:t xml:space="preserve"> </w:t>
      </w:r>
      <w:r>
        <w:t>Ibid.</w:t>
      </w:r>
    </w:p>
  </w:footnote>
  <w:footnote w:id="7">
    <w:p w14:paraId="5A34E8D4" w14:textId="77777777" w:rsidR="00743D54" w:rsidRPr="000C215D" w:rsidRDefault="00743D54" w:rsidP="00743D54">
      <w:pPr>
        <w:pStyle w:val="Footnote"/>
      </w:pPr>
      <w:r w:rsidRPr="000C215D">
        <w:rPr>
          <w:rStyle w:val="FootnoteReference"/>
        </w:rPr>
        <w:footnoteRef/>
      </w:r>
      <w:r w:rsidRPr="000C215D">
        <w:t xml:space="preserve"> </w:t>
      </w:r>
      <w:r>
        <w:t xml:space="preserve">Beth Bloom, </w:t>
      </w:r>
      <w:r w:rsidRPr="0069441D">
        <w:rPr>
          <w:i/>
        </w:rPr>
        <w:t>Meat Alternatives—U.S.—June 2013</w:t>
      </w:r>
      <w:r>
        <w:t xml:space="preserve"> (London: Mintel Group Ltd., 2013).</w:t>
      </w:r>
    </w:p>
  </w:footnote>
  <w:footnote w:id="8">
    <w:p w14:paraId="22D235E3" w14:textId="62455EB9" w:rsidR="00B561F8" w:rsidRPr="00B561F8" w:rsidRDefault="00B561F8" w:rsidP="00B561F8">
      <w:pPr>
        <w:pStyle w:val="Footnote"/>
      </w:pPr>
      <w:r w:rsidRPr="00B561F8">
        <w:rPr>
          <w:rStyle w:val="FootnoteReference"/>
        </w:rPr>
        <w:footnoteRef/>
      </w:r>
      <w:r w:rsidRPr="00B561F8">
        <w:t xml:space="preserve"> Mintel Press Office, “More than One-Third of Americans Consume Meat Alternatives, but Only a Fraction are Actually Vegetarians,” Mintel, August 12, 2013, accessed October 25, 2019, </w:t>
      </w:r>
      <w:hyperlink r:id="rId1" w:history="1">
        <w:r w:rsidRPr="00B561F8">
          <w:rPr>
            <w:rStyle w:val="Hyperlink"/>
            <w:color w:val="auto"/>
            <w:u w:val="none"/>
          </w:rPr>
          <w:t>https://www.mintel.com/press-centre/food-and-drink/meat-alternatives-market-trend</w:t>
        </w:r>
      </w:hyperlink>
      <w:r w:rsidRPr="00B561F8">
        <w:t>.</w:t>
      </w:r>
    </w:p>
  </w:footnote>
  <w:footnote w:id="9">
    <w:p w14:paraId="4965C4BA" w14:textId="1D3F832B" w:rsidR="007B7058" w:rsidRPr="0007477C" w:rsidRDefault="007B7058" w:rsidP="001378CF">
      <w:pPr>
        <w:pStyle w:val="Footnote"/>
        <w:rPr>
          <w:spacing w:val="-4"/>
          <w:kern w:val="17"/>
        </w:rPr>
      </w:pPr>
      <w:r w:rsidRPr="00BB3A3D">
        <w:rPr>
          <w:rStyle w:val="FootnoteReference"/>
          <w:spacing w:val="-4"/>
          <w:kern w:val="17"/>
        </w:rPr>
        <w:footnoteRef/>
      </w:r>
      <w:r w:rsidR="00B561F8">
        <w:rPr>
          <w:spacing w:val="-4"/>
          <w:kern w:val="17"/>
        </w:rPr>
        <w:t xml:space="preserve"> </w:t>
      </w:r>
      <w:r w:rsidR="00B561F8" w:rsidRPr="00E8603C">
        <w:rPr>
          <w:lang w:val="en-CA"/>
        </w:rPr>
        <w:t xml:space="preserve">Guido Barilla, Dacian Cioloș, Danielle Nierenberg, Gabriele </w:t>
      </w:r>
      <w:proofErr w:type="spellStart"/>
      <w:r w:rsidR="00B561F8" w:rsidRPr="00E8603C">
        <w:rPr>
          <w:lang w:val="en-CA"/>
        </w:rPr>
        <w:t>Riccardi</w:t>
      </w:r>
      <w:proofErr w:type="spellEnd"/>
      <w:r w:rsidR="00B561F8" w:rsidRPr="00E8603C">
        <w:rPr>
          <w:lang w:val="en-CA"/>
        </w:rPr>
        <w:t xml:space="preserve">, Riccardo </w:t>
      </w:r>
      <w:proofErr w:type="spellStart"/>
      <w:r w:rsidR="00B561F8" w:rsidRPr="00E8603C">
        <w:rPr>
          <w:lang w:val="en-CA"/>
        </w:rPr>
        <w:t>Valentini</w:t>
      </w:r>
      <w:proofErr w:type="spellEnd"/>
      <w:r w:rsidR="00B561F8" w:rsidRPr="00E8603C">
        <w:rPr>
          <w:lang w:val="en-CA"/>
        </w:rPr>
        <w:t xml:space="preserve">, BCFN Yes!, Alex Renton, and Enrico </w:t>
      </w:r>
      <w:proofErr w:type="spellStart"/>
      <w:r w:rsidR="00B561F8" w:rsidRPr="00E8603C">
        <w:rPr>
          <w:lang w:val="en-CA"/>
        </w:rPr>
        <w:t>Crippa</w:t>
      </w:r>
      <w:proofErr w:type="spellEnd"/>
      <w:r w:rsidR="00B561F8" w:rsidRPr="00E8603C">
        <w:rPr>
          <w:lang w:val="en-CA"/>
        </w:rPr>
        <w:t xml:space="preserve">, </w:t>
      </w:r>
      <w:r w:rsidR="00B561F8" w:rsidRPr="00E8603C">
        <w:rPr>
          <w:i/>
          <w:lang w:val="en-CA"/>
        </w:rPr>
        <w:t xml:space="preserve">Food and the Environment: Diets that are Healthy for People and the Planet </w:t>
      </w:r>
      <w:r w:rsidR="00B561F8" w:rsidRPr="00E8603C">
        <w:rPr>
          <w:lang w:val="en-CA"/>
        </w:rPr>
        <w:t>(Parma, Italy: Barilla Center for Food &amp; Nutrition, 2013), accessed December 30, 2014, www.barillacfn.com/m/publications/food-and-the-environment-diets-that-are-healthy-for-people-and-for-the-planet.pdf.</w:t>
      </w:r>
    </w:p>
  </w:footnote>
  <w:footnote w:id="10">
    <w:p w14:paraId="6038E1B8" w14:textId="5B268949" w:rsidR="007B7058" w:rsidRPr="000C215D" w:rsidRDefault="007B7058" w:rsidP="000C215D">
      <w:pPr>
        <w:pStyle w:val="Footnote"/>
      </w:pPr>
      <w:r w:rsidRPr="000C215D">
        <w:rPr>
          <w:rStyle w:val="FootnoteReference"/>
        </w:rPr>
        <w:footnoteRef/>
      </w:r>
      <w:r w:rsidRPr="000C215D">
        <w:t xml:space="preserve"> </w:t>
      </w:r>
      <w:r>
        <w:t xml:space="preserve">Katherine </w:t>
      </w:r>
      <w:proofErr w:type="spellStart"/>
      <w:r w:rsidRPr="000C215D">
        <w:t>Martinko</w:t>
      </w:r>
      <w:proofErr w:type="spellEnd"/>
      <w:r w:rsidRPr="000C215D">
        <w:t>, “Do You Eat for Health or Environmental Sustainability? The Double Pyramid Says You Can Do Both</w:t>
      </w:r>
      <w:r>
        <w:t>,</w:t>
      </w:r>
      <w:r w:rsidRPr="000C215D">
        <w:t>”</w:t>
      </w:r>
      <w:r>
        <w:t xml:space="preserve"> </w:t>
      </w:r>
      <w:proofErr w:type="spellStart"/>
      <w:r w:rsidRPr="0069441D">
        <w:t>Treehugger</w:t>
      </w:r>
      <w:proofErr w:type="spellEnd"/>
      <w:r w:rsidRPr="0069441D">
        <w:t>,</w:t>
      </w:r>
      <w:r>
        <w:rPr>
          <w:i/>
        </w:rPr>
        <w:t xml:space="preserve"> </w:t>
      </w:r>
      <w:r>
        <w:t>December 1, 2014, accessed December 30, 2014,</w:t>
      </w:r>
      <w:r w:rsidRPr="000C215D">
        <w:t xml:space="preserve"> </w:t>
      </w:r>
      <w:r w:rsidRPr="009F4AE6">
        <w:t>www.treehugger.com/green-food/do-you-eat-health-or-environmental-sustainability-double-pyramid-says-you-can-do-both.html</w:t>
      </w:r>
      <w:r>
        <w:t>.</w:t>
      </w:r>
    </w:p>
  </w:footnote>
  <w:footnote w:id="11">
    <w:p w14:paraId="5B609BFB" w14:textId="21B407CD" w:rsidR="007B7058" w:rsidRPr="001F2D2E" w:rsidRDefault="007B7058" w:rsidP="00D838BF">
      <w:pPr>
        <w:pStyle w:val="Footnote"/>
        <w:rPr>
          <w:spacing w:val="-6"/>
          <w:kern w:val="17"/>
        </w:rPr>
      </w:pPr>
      <w:r w:rsidRPr="001F2D2E">
        <w:rPr>
          <w:rStyle w:val="FootnoteReference"/>
          <w:spacing w:val="-6"/>
          <w:kern w:val="17"/>
        </w:rPr>
        <w:footnoteRef/>
      </w:r>
      <w:r w:rsidRPr="001F2D2E">
        <w:rPr>
          <w:spacing w:val="-6"/>
          <w:kern w:val="17"/>
        </w:rPr>
        <w:t xml:space="preserve"> Nathan Pelletier, “Environmental Performance in the U.S. Broiler Poultry Sector: Life Cycle Energy Use and Greenhouse Gas, Ozone Depleting, Acidifying and </w:t>
      </w:r>
      <w:proofErr w:type="spellStart"/>
      <w:r w:rsidRPr="001F2D2E">
        <w:rPr>
          <w:spacing w:val="-6"/>
          <w:kern w:val="17"/>
        </w:rPr>
        <w:t>Eutrophying</w:t>
      </w:r>
      <w:proofErr w:type="spellEnd"/>
      <w:r w:rsidRPr="001F2D2E">
        <w:rPr>
          <w:spacing w:val="-6"/>
          <w:kern w:val="17"/>
        </w:rPr>
        <w:t xml:space="preserve"> Emissions,” </w:t>
      </w:r>
      <w:r w:rsidRPr="001F2D2E">
        <w:rPr>
          <w:i/>
          <w:spacing w:val="-6"/>
          <w:kern w:val="17"/>
        </w:rPr>
        <w:t xml:space="preserve">Agricultural Systems </w:t>
      </w:r>
      <w:r w:rsidRPr="001F2D2E">
        <w:rPr>
          <w:spacing w:val="-6"/>
          <w:kern w:val="17"/>
        </w:rPr>
        <w:t xml:space="preserve">98, no. 2 (2008): 67–73. </w:t>
      </w:r>
    </w:p>
  </w:footnote>
  <w:footnote w:id="12">
    <w:p w14:paraId="04B23E93" w14:textId="77777777" w:rsidR="00B561F8" w:rsidRPr="000C215D" w:rsidRDefault="00B561F8" w:rsidP="00B561F8">
      <w:pPr>
        <w:pStyle w:val="Footnote"/>
      </w:pPr>
      <w:r w:rsidRPr="000C215D">
        <w:rPr>
          <w:rStyle w:val="FootnoteReference"/>
        </w:rPr>
        <w:footnoteRef/>
      </w:r>
      <w:r w:rsidRPr="000C215D">
        <w:t xml:space="preserve"> </w:t>
      </w:r>
      <w:r w:rsidRPr="0069441D">
        <w:rPr>
          <w:i/>
        </w:rPr>
        <w:t>Eutrophication</w:t>
      </w:r>
      <w:r>
        <w:t xml:space="preserve"> referred to a process of land runoff that resulted in overly enriched bodies of water. The overabundance of nutrients resulted in dense growth of plant life in the water, limiting the oxygen needed to support animal life. Use of fertilizers and concentrated animal feeding operations were known sources of eutrophication. Ibid.</w:t>
      </w:r>
    </w:p>
  </w:footnote>
  <w:footnote w:id="13">
    <w:p w14:paraId="4E0062FC" w14:textId="3161F23F" w:rsidR="00B561F8" w:rsidRPr="00B561F8" w:rsidRDefault="00B561F8" w:rsidP="00B561F8">
      <w:pPr>
        <w:pStyle w:val="Footnote"/>
        <w:rPr>
          <w:lang w:val="en-US"/>
        </w:rPr>
      </w:pPr>
      <w:r>
        <w:rPr>
          <w:rStyle w:val="FootnoteReference"/>
        </w:rPr>
        <w:footnoteRef/>
      </w:r>
      <w:r>
        <w:t xml:space="preserve"> </w:t>
      </w:r>
      <w:r>
        <w:rPr>
          <w:lang w:val="en-US"/>
        </w:rPr>
        <w:t>Pelletier, op. cit.</w:t>
      </w:r>
    </w:p>
  </w:footnote>
  <w:footnote w:id="14">
    <w:p w14:paraId="17400626" w14:textId="31BC9282" w:rsidR="007B7058" w:rsidRPr="000C215D" w:rsidRDefault="007B7058" w:rsidP="008518D9">
      <w:pPr>
        <w:pStyle w:val="Footnote"/>
      </w:pPr>
      <w:r w:rsidRPr="000C215D">
        <w:rPr>
          <w:rStyle w:val="FootnoteReference"/>
        </w:rPr>
        <w:footnoteRef/>
      </w:r>
      <w:r w:rsidRPr="000C215D">
        <w:t xml:space="preserve"> </w:t>
      </w:r>
      <w:proofErr w:type="spellStart"/>
      <w:r>
        <w:t>KeShun</w:t>
      </w:r>
      <w:proofErr w:type="spellEnd"/>
      <w:r>
        <w:t xml:space="preserve"> Liu and Fu-Hung Hsieh,</w:t>
      </w:r>
      <w:r w:rsidRPr="000C215D">
        <w:t xml:space="preserve"> “Protein–Protein Interactions </w:t>
      </w:r>
      <w:r>
        <w:t>D</w:t>
      </w:r>
      <w:r w:rsidRPr="000C215D">
        <w:t>uring High-Moisture Extrusion for Fibrous Meat Analogues and Comparison of Protein Solubility Methods Using Different Solvent Systems</w:t>
      </w:r>
      <w:r>
        <w:t>,</w:t>
      </w:r>
      <w:r w:rsidRPr="000C215D">
        <w:t xml:space="preserve">” </w:t>
      </w:r>
      <w:r>
        <w:rPr>
          <w:i/>
        </w:rPr>
        <w:t>Journal of Agricultural and Food Chemistry</w:t>
      </w:r>
      <w:r>
        <w:t xml:space="preserve"> 56, no. 8</w:t>
      </w:r>
      <w:r>
        <w:rPr>
          <w:i/>
        </w:rPr>
        <w:t xml:space="preserve"> </w:t>
      </w:r>
      <w:r>
        <w:t>(2008</w:t>
      </w:r>
      <w:r w:rsidRPr="009D7CA4">
        <w:t>)</w:t>
      </w:r>
      <w:r>
        <w:t>: 2681–2687.</w:t>
      </w:r>
      <w:r w:rsidRPr="00AE3750">
        <w:t xml:space="preserve"> </w:t>
      </w:r>
    </w:p>
  </w:footnote>
  <w:footnote w:id="15">
    <w:p w14:paraId="106D9D0B" w14:textId="47F631AC" w:rsidR="007B7058" w:rsidRPr="000C215D" w:rsidRDefault="007B7058" w:rsidP="000C215D">
      <w:pPr>
        <w:pStyle w:val="Footnote"/>
      </w:pPr>
      <w:r w:rsidRPr="000C215D">
        <w:rPr>
          <w:rStyle w:val="FootnoteReference"/>
        </w:rPr>
        <w:footnoteRef/>
      </w:r>
      <w:r w:rsidRPr="000C215D">
        <w:t xml:space="preserve"> </w:t>
      </w:r>
      <w:r>
        <w:t xml:space="preserve">Ryan </w:t>
      </w:r>
      <w:proofErr w:type="spellStart"/>
      <w:r>
        <w:t>Caldbeck</w:t>
      </w:r>
      <w:proofErr w:type="spellEnd"/>
      <w:r>
        <w:t xml:space="preserve">, “The 25 Most Innovative Consumer and Retail Brands,” </w:t>
      </w:r>
      <w:r>
        <w:rPr>
          <w:i/>
        </w:rPr>
        <w:t xml:space="preserve">Forbes, </w:t>
      </w:r>
      <w:r>
        <w:t xml:space="preserve">July 30, 2013, accessed December 30, 2014, </w:t>
      </w:r>
      <w:r w:rsidRPr="009F4AE6">
        <w:t>www.forbes.com/sites/ryancaldbeck/2013/07/30/25-of-the-most-creative-consumer-and-retail-brands</w:t>
      </w:r>
      <w:r>
        <w:t>.</w:t>
      </w:r>
    </w:p>
  </w:footnote>
  <w:footnote w:id="16">
    <w:p w14:paraId="582E5A74" w14:textId="6EF05097" w:rsidR="007B7058" w:rsidRPr="000C215D" w:rsidRDefault="007B7058" w:rsidP="000C215D">
      <w:pPr>
        <w:pStyle w:val="Footnote"/>
      </w:pPr>
      <w:r w:rsidRPr="000C215D">
        <w:rPr>
          <w:rStyle w:val="FootnoteReference"/>
        </w:rPr>
        <w:footnoteRef/>
      </w:r>
      <w:r w:rsidRPr="000C215D">
        <w:t xml:space="preserve"> </w:t>
      </w:r>
      <w:proofErr w:type="spellStart"/>
      <w:r>
        <w:t>LikeMeat</w:t>
      </w:r>
      <w:proofErr w:type="spellEnd"/>
      <w:r>
        <w:t xml:space="preserve">, accessed December 30, 2014, </w:t>
      </w:r>
      <w:r w:rsidRPr="009F4AE6">
        <w:t>www.likemeat.</w:t>
      </w:r>
      <w:r>
        <w:t>de.</w:t>
      </w:r>
    </w:p>
  </w:footnote>
  <w:footnote w:id="17">
    <w:p w14:paraId="0550FB78" w14:textId="1584EACC" w:rsidR="007B7058" w:rsidRPr="000C215D" w:rsidRDefault="007B7058" w:rsidP="000C215D">
      <w:pPr>
        <w:pStyle w:val="Footnote"/>
      </w:pPr>
      <w:r w:rsidRPr="000C215D">
        <w:rPr>
          <w:rStyle w:val="FootnoteReference"/>
        </w:rPr>
        <w:footnoteRef/>
      </w:r>
      <w:r w:rsidRPr="000C215D">
        <w:t xml:space="preserve"> </w:t>
      </w:r>
      <w:r>
        <w:t>“</w:t>
      </w:r>
      <w:proofErr w:type="spellStart"/>
      <w:r>
        <w:t>Ferchau</w:t>
      </w:r>
      <w:proofErr w:type="spellEnd"/>
      <w:r>
        <w:t xml:space="preserve"> Innovation Prize</w:t>
      </w:r>
      <w:r w:rsidR="00F34C56">
        <w:t xml:space="preserve"> [in German]</w:t>
      </w:r>
      <w:r>
        <w:t xml:space="preserve">,” University of Natural Resources and Life Sciences, Vienna, accessed December 27, 2016, </w:t>
      </w:r>
      <w:r w:rsidRPr="00295D37">
        <w:t>www.bo</w:t>
      </w:r>
      <w:r>
        <w:t xml:space="preserve">ku.ac.at/en/news/newsitem/18270. </w:t>
      </w:r>
    </w:p>
  </w:footnote>
  <w:footnote w:id="18">
    <w:p w14:paraId="751E0408" w14:textId="71DCD549" w:rsidR="007B7058" w:rsidRPr="000C215D" w:rsidRDefault="007B7058" w:rsidP="000C215D">
      <w:pPr>
        <w:pStyle w:val="Footnote"/>
      </w:pPr>
      <w:r w:rsidRPr="000C215D">
        <w:rPr>
          <w:rStyle w:val="FootnoteReference"/>
        </w:rPr>
        <w:footnoteRef/>
      </w:r>
      <w:r w:rsidRPr="000C215D">
        <w:t xml:space="preserve"> </w:t>
      </w:r>
      <w:proofErr w:type="spellStart"/>
      <w:r>
        <w:t>Antal</w:t>
      </w:r>
      <w:proofErr w:type="spellEnd"/>
      <w:r>
        <w:t xml:space="preserve"> </w:t>
      </w:r>
      <w:r w:rsidRPr="000C215D">
        <w:t xml:space="preserve">Neville, </w:t>
      </w:r>
      <w:r w:rsidRPr="0069441D">
        <w:rPr>
          <w:i/>
        </w:rPr>
        <w:t>IBIS World Industry Report 31161: Meat, Beef &amp; Poultry Processing in the U.S.</w:t>
      </w:r>
      <w:r w:rsidRPr="00911F2A">
        <w:t>,</w:t>
      </w:r>
      <w:r>
        <w:t xml:space="preserve"> IBIS World, November 2014.</w:t>
      </w:r>
    </w:p>
  </w:footnote>
  <w:footnote w:id="19">
    <w:p w14:paraId="01BC9516" w14:textId="77777777" w:rsidR="007B7058" w:rsidRPr="000C215D" w:rsidRDefault="007B7058" w:rsidP="006A2D96">
      <w:pPr>
        <w:pStyle w:val="Footnote"/>
      </w:pPr>
      <w:r w:rsidRPr="000C215D">
        <w:rPr>
          <w:rStyle w:val="FootnoteReference"/>
        </w:rPr>
        <w:footnoteRef/>
      </w:r>
      <w:r w:rsidRPr="000C215D">
        <w:t xml:space="preserve"> </w:t>
      </w:r>
      <w:r>
        <w:t xml:space="preserve">“Economic Data,” U.S. Poultry &amp; Egg Association, accessed December 30, 2014, </w:t>
      </w:r>
      <w:r w:rsidRPr="009F4AE6">
        <w:t>www.uspoultry.org/economic_data</w:t>
      </w:r>
      <w:r>
        <w:t>.</w:t>
      </w:r>
    </w:p>
  </w:footnote>
  <w:footnote w:id="20">
    <w:p w14:paraId="4016A471" w14:textId="5ABA5C67" w:rsidR="007B7058" w:rsidRPr="000C215D" w:rsidRDefault="007B7058" w:rsidP="00E64F7C">
      <w:pPr>
        <w:pStyle w:val="Footnote"/>
      </w:pPr>
      <w:r w:rsidRPr="000C215D">
        <w:rPr>
          <w:rStyle w:val="FootnoteReference"/>
        </w:rPr>
        <w:footnoteRef/>
      </w:r>
      <w:r w:rsidRPr="000C215D">
        <w:t xml:space="preserve"> </w:t>
      </w:r>
      <w:r>
        <w:t>Ibid.</w:t>
      </w:r>
    </w:p>
  </w:footnote>
  <w:footnote w:id="21">
    <w:p w14:paraId="46C8C023" w14:textId="21BE651E" w:rsidR="007B7058" w:rsidRPr="00BB3A3D" w:rsidRDefault="007B7058" w:rsidP="00BB3A3D">
      <w:pPr>
        <w:pStyle w:val="Footnote"/>
      </w:pPr>
      <w:r w:rsidRPr="00BB3A3D">
        <w:rPr>
          <w:rStyle w:val="FootnoteReference"/>
        </w:rPr>
        <w:footnoteRef/>
      </w:r>
      <w:r w:rsidRPr="00BB3A3D">
        <w:t xml:space="preserve"> Levesque, </w:t>
      </w:r>
      <w:r>
        <w:t>op. cit</w:t>
      </w:r>
      <w:r w:rsidRPr="00BB3A3D">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C2791" w14:textId="5A17C14B" w:rsidR="007B7058" w:rsidRDefault="007B7058"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2249A">
      <w:rPr>
        <w:rFonts w:ascii="Arial" w:hAnsi="Arial"/>
        <w:b/>
        <w:noProof/>
      </w:rPr>
      <w:t>2</w:t>
    </w:r>
    <w:r>
      <w:rPr>
        <w:rFonts w:ascii="Arial" w:hAnsi="Arial"/>
        <w:b/>
      </w:rPr>
      <w:fldChar w:fldCharType="end"/>
    </w:r>
    <w:r w:rsidR="00E8603C">
      <w:rPr>
        <w:rFonts w:ascii="Arial" w:hAnsi="Arial"/>
        <w:b/>
      </w:rPr>
      <w:tab/>
      <w:t>9B19A053</w:t>
    </w:r>
  </w:p>
  <w:p w14:paraId="44C6D9AA" w14:textId="77777777" w:rsidR="007B7058" w:rsidRPr="00C92CC4" w:rsidRDefault="007B7058">
    <w:pPr>
      <w:pStyle w:val="Header"/>
      <w:rPr>
        <w:sz w:val="18"/>
        <w:szCs w:val="18"/>
      </w:rPr>
    </w:pPr>
  </w:p>
  <w:p w14:paraId="1B992F7E" w14:textId="77777777" w:rsidR="007B7058" w:rsidRPr="00C92CC4" w:rsidRDefault="007B7058">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2CA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A253E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B0240F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B8293F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EC6072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962B08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A0C8D3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136849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4DACA4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C121C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4CE684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A43A3F"/>
    <w:multiLevelType w:val="hybridMultilevel"/>
    <w:tmpl w:val="797E3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7D69EC"/>
    <w:multiLevelType w:val="hybridMultilevel"/>
    <w:tmpl w:val="B644F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15:restartNumberingAfterBreak="0">
    <w:nsid w:val="4D5F6CA3"/>
    <w:multiLevelType w:val="hybridMultilevel"/>
    <w:tmpl w:val="F9584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7"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9" w15:restartNumberingAfterBreak="0">
    <w:nsid w:val="7B2223AB"/>
    <w:multiLevelType w:val="hybridMultilevel"/>
    <w:tmpl w:val="1EE82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21"/>
  </w:num>
  <w:num w:numId="13">
    <w:abstractNumId w:val="14"/>
  </w:num>
  <w:num w:numId="14">
    <w:abstractNumId w:val="23"/>
  </w:num>
  <w:num w:numId="15">
    <w:abstractNumId w:val="24"/>
  </w:num>
  <w:num w:numId="16">
    <w:abstractNumId w:val="25"/>
  </w:num>
  <w:num w:numId="17">
    <w:abstractNumId w:val="18"/>
  </w:num>
  <w:num w:numId="18">
    <w:abstractNumId w:val="26"/>
  </w:num>
  <w:num w:numId="19">
    <w:abstractNumId w:val="13"/>
  </w:num>
  <w:num w:numId="20">
    <w:abstractNumId w:val="12"/>
  </w:num>
  <w:num w:numId="21">
    <w:abstractNumId w:val="27"/>
  </w:num>
  <w:num w:numId="22">
    <w:abstractNumId w:val="20"/>
  </w:num>
  <w:num w:numId="23">
    <w:abstractNumId w:val="28"/>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8"/>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8"/>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7"/>
  </w:num>
  <w:num w:numId="27">
    <w:abstractNumId w:val="19"/>
  </w:num>
  <w:num w:numId="28">
    <w:abstractNumId w:val="29"/>
  </w:num>
  <w:num w:numId="29">
    <w:abstractNumId w:val="0"/>
  </w:num>
  <w:num w:numId="30">
    <w:abstractNumId w:val="16"/>
  </w:num>
  <w:num w:numId="31">
    <w:abstractNumId w:val="22"/>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761"/>
    <w:rsid w:val="00013360"/>
    <w:rsid w:val="00014412"/>
    <w:rsid w:val="000216CE"/>
    <w:rsid w:val="0002271D"/>
    <w:rsid w:val="00022F21"/>
    <w:rsid w:val="00025DC7"/>
    <w:rsid w:val="00026486"/>
    <w:rsid w:val="00036F39"/>
    <w:rsid w:val="00037764"/>
    <w:rsid w:val="00044ECC"/>
    <w:rsid w:val="00045F9E"/>
    <w:rsid w:val="00046688"/>
    <w:rsid w:val="00046A28"/>
    <w:rsid w:val="000531D3"/>
    <w:rsid w:val="000536E2"/>
    <w:rsid w:val="0005646B"/>
    <w:rsid w:val="000621EC"/>
    <w:rsid w:val="000666D5"/>
    <w:rsid w:val="0007477C"/>
    <w:rsid w:val="00080775"/>
    <w:rsid w:val="0008102D"/>
    <w:rsid w:val="000928E8"/>
    <w:rsid w:val="00094C0E"/>
    <w:rsid w:val="000955BD"/>
    <w:rsid w:val="00095D52"/>
    <w:rsid w:val="000A6E4B"/>
    <w:rsid w:val="000B133F"/>
    <w:rsid w:val="000B2EAE"/>
    <w:rsid w:val="000C215D"/>
    <w:rsid w:val="000D1BCB"/>
    <w:rsid w:val="000D1FAC"/>
    <w:rsid w:val="000D5723"/>
    <w:rsid w:val="000D77D4"/>
    <w:rsid w:val="000E015A"/>
    <w:rsid w:val="000E1317"/>
    <w:rsid w:val="000E6461"/>
    <w:rsid w:val="000F0C22"/>
    <w:rsid w:val="000F116F"/>
    <w:rsid w:val="000F247E"/>
    <w:rsid w:val="000F3212"/>
    <w:rsid w:val="000F3BE3"/>
    <w:rsid w:val="000F443F"/>
    <w:rsid w:val="000F6A14"/>
    <w:rsid w:val="000F6B09"/>
    <w:rsid w:val="000F6FDC"/>
    <w:rsid w:val="00100213"/>
    <w:rsid w:val="001019E5"/>
    <w:rsid w:val="0010403D"/>
    <w:rsid w:val="00104567"/>
    <w:rsid w:val="00105232"/>
    <w:rsid w:val="001077BB"/>
    <w:rsid w:val="001136E1"/>
    <w:rsid w:val="001148BB"/>
    <w:rsid w:val="00114B2A"/>
    <w:rsid w:val="001202CE"/>
    <w:rsid w:val="00124886"/>
    <w:rsid w:val="0012605D"/>
    <w:rsid w:val="0012732D"/>
    <w:rsid w:val="001354F6"/>
    <w:rsid w:val="001376B6"/>
    <w:rsid w:val="001378CF"/>
    <w:rsid w:val="00142FF1"/>
    <w:rsid w:val="0014425B"/>
    <w:rsid w:val="00152FD0"/>
    <w:rsid w:val="00153C86"/>
    <w:rsid w:val="0015429B"/>
    <w:rsid w:val="00154FC9"/>
    <w:rsid w:val="0016280D"/>
    <w:rsid w:val="00163FC5"/>
    <w:rsid w:val="00166584"/>
    <w:rsid w:val="00170C03"/>
    <w:rsid w:val="00171E04"/>
    <w:rsid w:val="00172631"/>
    <w:rsid w:val="0018068A"/>
    <w:rsid w:val="00184E91"/>
    <w:rsid w:val="0019059A"/>
    <w:rsid w:val="0019241A"/>
    <w:rsid w:val="00194483"/>
    <w:rsid w:val="001A5335"/>
    <w:rsid w:val="001A599C"/>
    <w:rsid w:val="001A752D"/>
    <w:rsid w:val="001B1C6E"/>
    <w:rsid w:val="001C42C4"/>
    <w:rsid w:val="001D2464"/>
    <w:rsid w:val="001E095C"/>
    <w:rsid w:val="001E2B8A"/>
    <w:rsid w:val="001F2D2E"/>
    <w:rsid w:val="002022A5"/>
    <w:rsid w:val="00203AA1"/>
    <w:rsid w:val="00210A6E"/>
    <w:rsid w:val="0021320D"/>
    <w:rsid w:val="0021370D"/>
    <w:rsid w:val="00213E98"/>
    <w:rsid w:val="00236C5D"/>
    <w:rsid w:val="00244858"/>
    <w:rsid w:val="00246408"/>
    <w:rsid w:val="00247834"/>
    <w:rsid w:val="00253506"/>
    <w:rsid w:val="00265288"/>
    <w:rsid w:val="00267003"/>
    <w:rsid w:val="00274C0B"/>
    <w:rsid w:val="00276369"/>
    <w:rsid w:val="00277788"/>
    <w:rsid w:val="00290A91"/>
    <w:rsid w:val="002925BA"/>
    <w:rsid w:val="00295D37"/>
    <w:rsid w:val="002A42C1"/>
    <w:rsid w:val="002A4D41"/>
    <w:rsid w:val="002C0CBD"/>
    <w:rsid w:val="002C2173"/>
    <w:rsid w:val="002D1096"/>
    <w:rsid w:val="002E2238"/>
    <w:rsid w:val="002E32F0"/>
    <w:rsid w:val="002E4C15"/>
    <w:rsid w:val="002F383A"/>
    <w:rsid w:val="002F460C"/>
    <w:rsid w:val="002F48D6"/>
    <w:rsid w:val="002F755B"/>
    <w:rsid w:val="003022D7"/>
    <w:rsid w:val="00302AFC"/>
    <w:rsid w:val="00302D74"/>
    <w:rsid w:val="00303F87"/>
    <w:rsid w:val="0030582E"/>
    <w:rsid w:val="003103D8"/>
    <w:rsid w:val="003177F4"/>
    <w:rsid w:val="0032249A"/>
    <w:rsid w:val="00324B7B"/>
    <w:rsid w:val="00332A9A"/>
    <w:rsid w:val="0033473D"/>
    <w:rsid w:val="00354899"/>
    <w:rsid w:val="00355FD6"/>
    <w:rsid w:val="00361C8E"/>
    <w:rsid w:val="00364A5C"/>
    <w:rsid w:val="00365C09"/>
    <w:rsid w:val="00373FB1"/>
    <w:rsid w:val="003765FA"/>
    <w:rsid w:val="00380AA2"/>
    <w:rsid w:val="0038516C"/>
    <w:rsid w:val="0038634D"/>
    <w:rsid w:val="00386C17"/>
    <w:rsid w:val="003A48EB"/>
    <w:rsid w:val="003B30D8"/>
    <w:rsid w:val="003B3D71"/>
    <w:rsid w:val="003B7EF2"/>
    <w:rsid w:val="003C3FA4"/>
    <w:rsid w:val="003D29F2"/>
    <w:rsid w:val="003E0CA8"/>
    <w:rsid w:val="003F2216"/>
    <w:rsid w:val="003F2B0C"/>
    <w:rsid w:val="003F4B37"/>
    <w:rsid w:val="00400FB7"/>
    <w:rsid w:val="00401AF0"/>
    <w:rsid w:val="0040344B"/>
    <w:rsid w:val="0040536E"/>
    <w:rsid w:val="00405B1C"/>
    <w:rsid w:val="00405BD9"/>
    <w:rsid w:val="00413330"/>
    <w:rsid w:val="00415DC0"/>
    <w:rsid w:val="00421EAA"/>
    <w:rsid w:val="004221E4"/>
    <w:rsid w:val="004268F3"/>
    <w:rsid w:val="00435CC3"/>
    <w:rsid w:val="004369EB"/>
    <w:rsid w:val="00444AD7"/>
    <w:rsid w:val="00445F69"/>
    <w:rsid w:val="004573F6"/>
    <w:rsid w:val="004577D6"/>
    <w:rsid w:val="00461FD8"/>
    <w:rsid w:val="004667B0"/>
    <w:rsid w:val="00471088"/>
    <w:rsid w:val="004720ED"/>
    <w:rsid w:val="00482427"/>
    <w:rsid w:val="00483AF9"/>
    <w:rsid w:val="00486E77"/>
    <w:rsid w:val="004A07F0"/>
    <w:rsid w:val="004A2E3C"/>
    <w:rsid w:val="004A5F20"/>
    <w:rsid w:val="004B1CCB"/>
    <w:rsid w:val="004B3076"/>
    <w:rsid w:val="004B5B8F"/>
    <w:rsid w:val="004C6D48"/>
    <w:rsid w:val="004D65F2"/>
    <w:rsid w:val="004D73A5"/>
    <w:rsid w:val="004E05E3"/>
    <w:rsid w:val="004E3447"/>
    <w:rsid w:val="004E5743"/>
    <w:rsid w:val="004E7DAB"/>
    <w:rsid w:val="004F30FC"/>
    <w:rsid w:val="004F45E9"/>
    <w:rsid w:val="004F4732"/>
    <w:rsid w:val="004F5DF5"/>
    <w:rsid w:val="00500AAD"/>
    <w:rsid w:val="00503F29"/>
    <w:rsid w:val="00505FEE"/>
    <w:rsid w:val="00510650"/>
    <w:rsid w:val="005134F6"/>
    <w:rsid w:val="00513732"/>
    <w:rsid w:val="00516444"/>
    <w:rsid w:val="005210E8"/>
    <w:rsid w:val="005255E7"/>
    <w:rsid w:val="00526331"/>
    <w:rsid w:val="00530175"/>
    <w:rsid w:val="00532CF5"/>
    <w:rsid w:val="005371FF"/>
    <w:rsid w:val="005377B2"/>
    <w:rsid w:val="005528CB"/>
    <w:rsid w:val="00554343"/>
    <w:rsid w:val="00554A3B"/>
    <w:rsid w:val="00561B8A"/>
    <w:rsid w:val="00562DD9"/>
    <w:rsid w:val="00566771"/>
    <w:rsid w:val="00581E2E"/>
    <w:rsid w:val="00583912"/>
    <w:rsid w:val="00584271"/>
    <w:rsid w:val="00584F15"/>
    <w:rsid w:val="00593426"/>
    <w:rsid w:val="00597793"/>
    <w:rsid w:val="00597A7A"/>
    <w:rsid w:val="005B1D42"/>
    <w:rsid w:val="005B4147"/>
    <w:rsid w:val="005C1EE5"/>
    <w:rsid w:val="005D294D"/>
    <w:rsid w:val="005D2E4B"/>
    <w:rsid w:val="005D4701"/>
    <w:rsid w:val="005D4AB3"/>
    <w:rsid w:val="005D60EE"/>
    <w:rsid w:val="005D60F9"/>
    <w:rsid w:val="005D6CDB"/>
    <w:rsid w:val="005E3323"/>
    <w:rsid w:val="005F1449"/>
    <w:rsid w:val="005F595F"/>
    <w:rsid w:val="005F6295"/>
    <w:rsid w:val="006015F6"/>
    <w:rsid w:val="00601D3B"/>
    <w:rsid w:val="006163F7"/>
    <w:rsid w:val="00616CA5"/>
    <w:rsid w:val="00622C0C"/>
    <w:rsid w:val="00632CA5"/>
    <w:rsid w:val="00635613"/>
    <w:rsid w:val="00635C42"/>
    <w:rsid w:val="006470AE"/>
    <w:rsid w:val="00652606"/>
    <w:rsid w:val="00652F67"/>
    <w:rsid w:val="0066205C"/>
    <w:rsid w:val="0066265A"/>
    <w:rsid w:val="006715C0"/>
    <w:rsid w:val="00682754"/>
    <w:rsid w:val="0069441D"/>
    <w:rsid w:val="00697587"/>
    <w:rsid w:val="006A1675"/>
    <w:rsid w:val="006A2D96"/>
    <w:rsid w:val="006A58A9"/>
    <w:rsid w:val="006A606D"/>
    <w:rsid w:val="006B08A6"/>
    <w:rsid w:val="006B7F7A"/>
    <w:rsid w:val="006C0371"/>
    <w:rsid w:val="006C08B6"/>
    <w:rsid w:val="006C0B1A"/>
    <w:rsid w:val="006C4384"/>
    <w:rsid w:val="006C5D8E"/>
    <w:rsid w:val="006C6065"/>
    <w:rsid w:val="006C6E47"/>
    <w:rsid w:val="006C7F9F"/>
    <w:rsid w:val="006D7678"/>
    <w:rsid w:val="006E2F6D"/>
    <w:rsid w:val="006E5582"/>
    <w:rsid w:val="006E58F6"/>
    <w:rsid w:val="006E77E1"/>
    <w:rsid w:val="006F131D"/>
    <w:rsid w:val="006F1D9E"/>
    <w:rsid w:val="00705EC0"/>
    <w:rsid w:val="00707A69"/>
    <w:rsid w:val="00711487"/>
    <w:rsid w:val="0071297F"/>
    <w:rsid w:val="00713AD9"/>
    <w:rsid w:val="00715EB6"/>
    <w:rsid w:val="0072192E"/>
    <w:rsid w:val="00721D11"/>
    <w:rsid w:val="00725785"/>
    <w:rsid w:val="00743D54"/>
    <w:rsid w:val="007501F4"/>
    <w:rsid w:val="00752BCD"/>
    <w:rsid w:val="0076216E"/>
    <w:rsid w:val="00765970"/>
    <w:rsid w:val="00766DA1"/>
    <w:rsid w:val="0077716A"/>
    <w:rsid w:val="00777F69"/>
    <w:rsid w:val="007866A6"/>
    <w:rsid w:val="00786A05"/>
    <w:rsid w:val="00787068"/>
    <w:rsid w:val="00794114"/>
    <w:rsid w:val="007952F8"/>
    <w:rsid w:val="007A130D"/>
    <w:rsid w:val="007B3C0B"/>
    <w:rsid w:val="007B7058"/>
    <w:rsid w:val="007C731F"/>
    <w:rsid w:val="007D2961"/>
    <w:rsid w:val="007D2B3D"/>
    <w:rsid w:val="007D4102"/>
    <w:rsid w:val="007D6AD1"/>
    <w:rsid w:val="007E137D"/>
    <w:rsid w:val="007E5921"/>
    <w:rsid w:val="007F4E16"/>
    <w:rsid w:val="0081151A"/>
    <w:rsid w:val="00816169"/>
    <w:rsid w:val="00821FFC"/>
    <w:rsid w:val="008271CA"/>
    <w:rsid w:val="008467D5"/>
    <w:rsid w:val="008518D9"/>
    <w:rsid w:val="00855015"/>
    <w:rsid w:val="00856D9F"/>
    <w:rsid w:val="00857E41"/>
    <w:rsid w:val="00866F6D"/>
    <w:rsid w:val="008738B4"/>
    <w:rsid w:val="00877020"/>
    <w:rsid w:val="0087767B"/>
    <w:rsid w:val="008A4DC4"/>
    <w:rsid w:val="008A6DDB"/>
    <w:rsid w:val="008B3E68"/>
    <w:rsid w:val="008C1D83"/>
    <w:rsid w:val="008D04A1"/>
    <w:rsid w:val="008D42D3"/>
    <w:rsid w:val="008E1FAD"/>
    <w:rsid w:val="008E4A0D"/>
    <w:rsid w:val="008E7DBF"/>
    <w:rsid w:val="008F74FA"/>
    <w:rsid w:val="00900FF7"/>
    <w:rsid w:val="0090111E"/>
    <w:rsid w:val="009026C4"/>
    <w:rsid w:val="009062E1"/>
    <w:rsid w:val="009067A4"/>
    <w:rsid w:val="0090722E"/>
    <w:rsid w:val="00911F2A"/>
    <w:rsid w:val="00923781"/>
    <w:rsid w:val="00924C8E"/>
    <w:rsid w:val="00932886"/>
    <w:rsid w:val="009340DB"/>
    <w:rsid w:val="00936A43"/>
    <w:rsid w:val="00936EE7"/>
    <w:rsid w:val="00937B55"/>
    <w:rsid w:val="009464FA"/>
    <w:rsid w:val="009577CA"/>
    <w:rsid w:val="00963111"/>
    <w:rsid w:val="00970F2B"/>
    <w:rsid w:val="00971CE0"/>
    <w:rsid w:val="00972498"/>
    <w:rsid w:val="00974CC6"/>
    <w:rsid w:val="00976AD4"/>
    <w:rsid w:val="00981EE5"/>
    <w:rsid w:val="00986469"/>
    <w:rsid w:val="00987A09"/>
    <w:rsid w:val="009900A2"/>
    <w:rsid w:val="00996975"/>
    <w:rsid w:val="009A26AC"/>
    <w:rsid w:val="009A312F"/>
    <w:rsid w:val="009A47F3"/>
    <w:rsid w:val="009A5348"/>
    <w:rsid w:val="009A67BB"/>
    <w:rsid w:val="009A793B"/>
    <w:rsid w:val="009B5A52"/>
    <w:rsid w:val="009B6EC3"/>
    <w:rsid w:val="009C27B6"/>
    <w:rsid w:val="009C54B7"/>
    <w:rsid w:val="009C76D5"/>
    <w:rsid w:val="009D12B7"/>
    <w:rsid w:val="009D1DBE"/>
    <w:rsid w:val="009D7CA4"/>
    <w:rsid w:val="009E652D"/>
    <w:rsid w:val="009E7B29"/>
    <w:rsid w:val="009F0B76"/>
    <w:rsid w:val="009F113F"/>
    <w:rsid w:val="009F4AE6"/>
    <w:rsid w:val="009F7AA4"/>
    <w:rsid w:val="00A10CDC"/>
    <w:rsid w:val="00A25680"/>
    <w:rsid w:val="00A30282"/>
    <w:rsid w:val="00A36C2B"/>
    <w:rsid w:val="00A440C0"/>
    <w:rsid w:val="00A44393"/>
    <w:rsid w:val="00A444D7"/>
    <w:rsid w:val="00A50CC0"/>
    <w:rsid w:val="00A54382"/>
    <w:rsid w:val="00A559DB"/>
    <w:rsid w:val="00A740A0"/>
    <w:rsid w:val="00A74A3E"/>
    <w:rsid w:val="00A917CA"/>
    <w:rsid w:val="00A97D83"/>
    <w:rsid w:val="00AA2BEB"/>
    <w:rsid w:val="00AB2D1B"/>
    <w:rsid w:val="00AB340B"/>
    <w:rsid w:val="00AB4E49"/>
    <w:rsid w:val="00AC3E09"/>
    <w:rsid w:val="00AD069E"/>
    <w:rsid w:val="00AE032D"/>
    <w:rsid w:val="00AE3750"/>
    <w:rsid w:val="00AE5825"/>
    <w:rsid w:val="00AF35FC"/>
    <w:rsid w:val="00AF4213"/>
    <w:rsid w:val="00AF51EC"/>
    <w:rsid w:val="00B024E0"/>
    <w:rsid w:val="00B03639"/>
    <w:rsid w:val="00B05895"/>
    <w:rsid w:val="00B0652A"/>
    <w:rsid w:val="00B11544"/>
    <w:rsid w:val="00B1264A"/>
    <w:rsid w:val="00B174D3"/>
    <w:rsid w:val="00B2524C"/>
    <w:rsid w:val="00B330F6"/>
    <w:rsid w:val="00B33701"/>
    <w:rsid w:val="00B3757D"/>
    <w:rsid w:val="00B40937"/>
    <w:rsid w:val="00B423EF"/>
    <w:rsid w:val="00B453DE"/>
    <w:rsid w:val="00B4742F"/>
    <w:rsid w:val="00B5199A"/>
    <w:rsid w:val="00B561F8"/>
    <w:rsid w:val="00B60DF1"/>
    <w:rsid w:val="00B63C24"/>
    <w:rsid w:val="00B752D9"/>
    <w:rsid w:val="00B76735"/>
    <w:rsid w:val="00B87700"/>
    <w:rsid w:val="00B901F9"/>
    <w:rsid w:val="00B92E84"/>
    <w:rsid w:val="00B940E0"/>
    <w:rsid w:val="00BA0743"/>
    <w:rsid w:val="00BA0BF6"/>
    <w:rsid w:val="00BA56DC"/>
    <w:rsid w:val="00BA6D51"/>
    <w:rsid w:val="00BB3A3D"/>
    <w:rsid w:val="00BB54D5"/>
    <w:rsid w:val="00BC4DCB"/>
    <w:rsid w:val="00BC67F0"/>
    <w:rsid w:val="00BD34A2"/>
    <w:rsid w:val="00BD3919"/>
    <w:rsid w:val="00BD6EFB"/>
    <w:rsid w:val="00BD71F1"/>
    <w:rsid w:val="00BE5BD1"/>
    <w:rsid w:val="00BF1BB6"/>
    <w:rsid w:val="00BF258C"/>
    <w:rsid w:val="00BF663A"/>
    <w:rsid w:val="00C06C6F"/>
    <w:rsid w:val="00C10244"/>
    <w:rsid w:val="00C11DF3"/>
    <w:rsid w:val="00C15BE2"/>
    <w:rsid w:val="00C22219"/>
    <w:rsid w:val="00C2273C"/>
    <w:rsid w:val="00C24E63"/>
    <w:rsid w:val="00C24F23"/>
    <w:rsid w:val="00C32FFB"/>
    <w:rsid w:val="00C3447F"/>
    <w:rsid w:val="00C37ABB"/>
    <w:rsid w:val="00C41912"/>
    <w:rsid w:val="00C5347C"/>
    <w:rsid w:val="00C558B2"/>
    <w:rsid w:val="00C57D0D"/>
    <w:rsid w:val="00C6740E"/>
    <w:rsid w:val="00C67E0B"/>
    <w:rsid w:val="00C81491"/>
    <w:rsid w:val="00C81676"/>
    <w:rsid w:val="00C85AB2"/>
    <w:rsid w:val="00C86B10"/>
    <w:rsid w:val="00C928B2"/>
    <w:rsid w:val="00C92CC4"/>
    <w:rsid w:val="00CA0AFB"/>
    <w:rsid w:val="00CA2CE1"/>
    <w:rsid w:val="00CA2D03"/>
    <w:rsid w:val="00CA3976"/>
    <w:rsid w:val="00CA3C79"/>
    <w:rsid w:val="00CA6CD7"/>
    <w:rsid w:val="00CA757B"/>
    <w:rsid w:val="00CA79F3"/>
    <w:rsid w:val="00CB208E"/>
    <w:rsid w:val="00CB62EE"/>
    <w:rsid w:val="00CB6B09"/>
    <w:rsid w:val="00CC1787"/>
    <w:rsid w:val="00CC182C"/>
    <w:rsid w:val="00CD0824"/>
    <w:rsid w:val="00CD2839"/>
    <w:rsid w:val="00CD2908"/>
    <w:rsid w:val="00CE2C54"/>
    <w:rsid w:val="00CE6202"/>
    <w:rsid w:val="00CE67A5"/>
    <w:rsid w:val="00CF06E7"/>
    <w:rsid w:val="00CF1F07"/>
    <w:rsid w:val="00CF49C6"/>
    <w:rsid w:val="00D02A22"/>
    <w:rsid w:val="00D03A82"/>
    <w:rsid w:val="00D04669"/>
    <w:rsid w:val="00D06116"/>
    <w:rsid w:val="00D125BD"/>
    <w:rsid w:val="00D15344"/>
    <w:rsid w:val="00D160D8"/>
    <w:rsid w:val="00D21724"/>
    <w:rsid w:val="00D31BEC"/>
    <w:rsid w:val="00D337F1"/>
    <w:rsid w:val="00D4306F"/>
    <w:rsid w:val="00D43E62"/>
    <w:rsid w:val="00D450BD"/>
    <w:rsid w:val="00D60194"/>
    <w:rsid w:val="00D63150"/>
    <w:rsid w:val="00D64A32"/>
    <w:rsid w:val="00D64EFC"/>
    <w:rsid w:val="00D65FAE"/>
    <w:rsid w:val="00D66271"/>
    <w:rsid w:val="00D70BB4"/>
    <w:rsid w:val="00D72F41"/>
    <w:rsid w:val="00D75295"/>
    <w:rsid w:val="00D76CE9"/>
    <w:rsid w:val="00D76D97"/>
    <w:rsid w:val="00D838BF"/>
    <w:rsid w:val="00D92D6B"/>
    <w:rsid w:val="00D93405"/>
    <w:rsid w:val="00D97F12"/>
    <w:rsid w:val="00DA70F8"/>
    <w:rsid w:val="00DB1D5A"/>
    <w:rsid w:val="00DB4293"/>
    <w:rsid w:val="00DB42E7"/>
    <w:rsid w:val="00DD15AA"/>
    <w:rsid w:val="00DD3863"/>
    <w:rsid w:val="00DE1143"/>
    <w:rsid w:val="00DF32C2"/>
    <w:rsid w:val="00E01D7B"/>
    <w:rsid w:val="00E11BAC"/>
    <w:rsid w:val="00E123B6"/>
    <w:rsid w:val="00E24E76"/>
    <w:rsid w:val="00E315AB"/>
    <w:rsid w:val="00E471A7"/>
    <w:rsid w:val="00E51421"/>
    <w:rsid w:val="00E56AAD"/>
    <w:rsid w:val="00E57DA6"/>
    <w:rsid w:val="00E60EB2"/>
    <w:rsid w:val="00E635CF"/>
    <w:rsid w:val="00E64F7C"/>
    <w:rsid w:val="00E7679A"/>
    <w:rsid w:val="00E773B3"/>
    <w:rsid w:val="00E832AF"/>
    <w:rsid w:val="00E8603C"/>
    <w:rsid w:val="00E94783"/>
    <w:rsid w:val="00E9482C"/>
    <w:rsid w:val="00EA7E45"/>
    <w:rsid w:val="00EB4709"/>
    <w:rsid w:val="00EB5410"/>
    <w:rsid w:val="00EC6A1D"/>
    <w:rsid w:val="00EC6E0A"/>
    <w:rsid w:val="00ED4E18"/>
    <w:rsid w:val="00EE1F37"/>
    <w:rsid w:val="00EF0E06"/>
    <w:rsid w:val="00EF12D0"/>
    <w:rsid w:val="00F0159C"/>
    <w:rsid w:val="00F03C08"/>
    <w:rsid w:val="00F05A01"/>
    <w:rsid w:val="00F06C11"/>
    <w:rsid w:val="00F105B7"/>
    <w:rsid w:val="00F17A21"/>
    <w:rsid w:val="00F225A0"/>
    <w:rsid w:val="00F32F93"/>
    <w:rsid w:val="00F3480C"/>
    <w:rsid w:val="00F34C56"/>
    <w:rsid w:val="00F50E91"/>
    <w:rsid w:val="00F514FA"/>
    <w:rsid w:val="00F56CC2"/>
    <w:rsid w:val="00F57D29"/>
    <w:rsid w:val="00F7551D"/>
    <w:rsid w:val="00F81343"/>
    <w:rsid w:val="00F82A5E"/>
    <w:rsid w:val="00F858D2"/>
    <w:rsid w:val="00F92A99"/>
    <w:rsid w:val="00F95D4C"/>
    <w:rsid w:val="00F96201"/>
    <w:rsid w:val="00FA19BF"/>
    <w:rsid w:val="00FA37D0"/>
    <w:rsid w:val="00FB0296"/>
    <w:rsid w:val="00FB10B9"/>
    <w:rsid w:val="00FB5B6B"/>
    <w:rsid w:val="00FC30E9"/>
    <w:rsid w:val="00FC3E80"/>
    <w:rsid w:val="00FD0B18"/>
    <w:rsid w:val="00FD0F82"/>
    <w:rsid w:val="00FD564A"/>
    <w:rsid w:val="00FE714F"/>
    <w:rsid w:val="00FF0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B8D34E1"/>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95D37"/>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7D6AD1"/>
    <w:rPr>
      <w:color w:val="auto"/>
      <w:vertAlign w:val="superscript"/>
    </w:rPr>
  </w:style>
  <w:style w:type="paragraph" w:customStyle="1" w:styleId="Footnote">
    <w:name w:val="Footnote"/>
    <w:basedOn w:val="FootnoteText"/>
    <w:link w:val="FootnoteChar"/>
    <w:qFormat/>
    <w:rsid w:val="00D72F41"/>
    <w:pPr>
      <w:jc w:val="both"/>
    </w:pPr>
    <w:rPr>
      <w:rFonts w:ascii="Arial" w:hAnsi="Arial" w:cs="Arial"/>
      <w:sz w:val="17"/>
      <w:szCs w:val="17"/>
    </w:rPr>
  </w:style>
  <w:style w:type="character" w:customStyle="1" w:styleId="FootnoteChar">
    <w:name w:val="Footnote Char"/>
    <w:basedOn w:val="FootnoteTextChar"/>
    <w:link w:val="Footnote"/>
    <w:rsid w:val="00D72F41"/>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22"/>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customStyle="1" w:styleId="blacktxt">
    <w:name w:val="blacktxt"/>
    <w:basedOn w:val="DefaultParagraphFont"/>
    <w:rsid w:val="006A1675"/>
  </w:style>
  <w:style w:type="character" w:customStyle="1" w:styleId="blacktxtnb">
    <w:name w:val="blacktxtnb"/>
    <w:basedOn w:val="DefaultParagraphFont"/>
    <w:rsid w:val="006A1675"/>
  </w:style>
  <w:style w:type="character" w:styleId="FollowedHyperlink">
    <w:name w:val="FollowedHyperlink"/>
    <w:basedOn w:val="DefaultParagraphFont"/>
    <w:uiPriority w:val="99"/>
    <w:semiHidden/>
    <w:unhideWhenUsed/>
    <w:rsid w:val="003177F4"/>
    <w:rPr>
      <w:color w:val="800080" w:themeColor="followedHyperlink"/>
      <w:u w:val="single"/>
    </w:rPr>
  </w:style>
  <w:style w:type="character" w:customStyle="1" w:styleId="industryreportinfopinktext1">
    <w:name w:val="industry_reportinfo_pinktext1"/>
    <w:basedOn w:val="DefaultParagraphFont"/>
    <w:rsid w:val="00E773B3"/>
    <w:rPr>
      <w:b/>
      <w:bCs/>
      <w:color w:val="EF3E56"/>
      <w:sz w:val="26"/>
      <w:szCs w:val="26"/>
    </w:rPr>
  </w:style>
  <w:style w:type="paragraph" w:styleId="DocumentMap">
    <w:name w:val="Document Map"/>
    <w:basedOn w:val="Normal"/>
    <w:link w:val="DocumentMapChar"/>
    <w:uiPriority w:val="99"/>
    <w:semiHidden/>
    <w:unhideWhenUsed/>
    <w:rsid w:val="00DB4293"/>
    <w:rPr>
      <w:sz w:val="24"/>
      <w:szCs w:val="24"/>
    </w:rPr>
  </w:style>
  <w:style w:type="character" w:customStyle="1" w:styleId="DocumentMapChar">
    <w:name w:val="Document Map Char"/>
    <w:basedOn w:val="DefaultParagraphFont"/>
    <w:link w:val="DocumentMap"/>
    <w:uiPriority w:val="99"/>
    <w:semiHidden/>
    <w:rsid w:val="00DB429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66778">
      <w:bodyDiv w:val="1"/>
      <w:marLeft w:val="0"/>
      <w:marRight w:val="0"/>
      <w:marTop w:val="0"/>
      <w:marBottom w:val="0"/>
      <w:divBdr>
        <w:top w:val="none" w:sz="0" w:space="0" w:color="auto"/>
        <w:left w:val="none" w:sz="0" w:space="0" w:color="auto"/>
        <w:bottom w:val="none" w:sz="0" w:space="0" w:color="auto"/>
        <w:right w:val="none" w:sz="0" w:space="0" w:color="auto"/>
      </w:divBdr>
    </w:div>
    <w:div w:id="448821866">
      <w:bodyDiv w:val="1"/>
      <w:marLeft w:val="0"/>
      <w:marRight w:val="0"/>
      <w:marTop w:val="0"/>
      <w:marBottom w:val="0"/>
      <w:divBdr>
        <w:top w:val="none" w:sz="0" w:space="0" w:color="auto"/>
        <w:left w:val="none" w:sz="0" w:space="0" w:color="auto"/>
        <w:bottom w:val="none" w:sz="0" w:space="0" w:color="auto"/>
        <w:right w:val="none" w:sz="0" w:space="0" w:color="auto"/>
      </w:divBdr>
      <w:divsChild>
        <w:div w:id="1758553309">
          <w:marLeft w:val="0"/>
          <w:marRight w:val="0"/>
          <w:marTop w:val="0"/>
          <w:marBottom w:val="0"/>
          <w:divBdr>
            <w:top w:val="single" w:sz="6" w:space="0" w:color="222222"/>
            <w:left w:val="single" w:sz="6" w:space="0" w:color="222222"/>
            <w:bottom w:val="single" w:sz="6" w:space="0" w:color="222222"/>
            <w:right w:val="single" w:sz="6" w:space="0" w:color="222222"/>
          </w:divBdr>
          <w:divsChild>
            <w:div w:id="670331231">
              <w:marLeft w:val="0"/>
              <w:marRight w:val="0"/>
              <w:marTop w:val="0"/>
              <w:marBottom w:val="0"/>
              <w:divBdr>
                <w:top w:val="none" w:sz="0" w:space="0" w:color="auto"/>
                <w:left w:val="none" w:sz="0" w:space="0" w:color="auto"/>
                <w:bottom w:val="none" w:sz="0" w:space="0" w:color="auto"/>
                <w:right w:val="none" w:sz="0" w:space="0" w:color="auto"/>
              </w:divBdr>
              <w:divsChild>
                <w:div w:id="173110240">
                  <w:marLeft w:val="0"/>
                  <w:marRight w:val="0"/>
                  <w:marTop w:val="0"/>
                  <w:marBottom w:val="0"/>
                  <w:divBdr>
                    <w:top w:val="none" w:sz="0" w:space="0" w:color="auto"/>
                    <w:left w:val="none" w:sz="0" w:space="0" w:color="auto"/>
                    <w:bottom w:val="none" w:sz="0" w:space="0" w:color="auto"/>
                    <w:right w:val="none" w:sz="0" w:space="0" w:color="auto"/>
                  </w:divBdr>
                </w:div>
                <w:div w:id="46801965">
                  <w:marLeft w:val="0"/>
                  <w:marRight w:val="0"/>
                  <w:marTop w:val="0"/>
                  <w:marBottom w:val="0"/>
                  <w:divBdr>
                    <w:top w:val="none" w:sz="0" w:space="0" w:color="auto"/>
                    <w:left w:val="none" w:sz="0" w:space="0" w:color="auto"/>
                    <w:bottom w:val="none" w:sz="0" w:space="0" w:color="auto"/>
                    <w:right w:val="none" w:sz="0" w:space="0" w:color="auto"/>
                  </w:divBdr>
                </w:div>
                <w:div w:id="15684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jpeg"/><Relationship Id="rId3" Type="http://schemas.openxmlformats.org/officeDocument/2006/relationships/styles" Target="styles.xml"/><Relationship Id="rId21" Type="http://schemas.microsoft.com/office/2007/relationships/hdphoto" Target="media/hdphoto6.wdp"/><Relationship Id="rId7" Type="http://schemas.openxmlformats.org/officeDocument/2006/relationships/endnotes" Target="endnotes.xml"/><Relationship Id="rId12" Type="http://schemas.microsoft.com/office/2007/relationships/hdphoto" Target="media/hdphoto2.wdp"/><Relationship Id="rId17" Type="http://schemas.microsoft.com/office/2007/relationships/hdphoto" Target="media/hdphoto4.wdp"/><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fontTable" Target="fontTable.xml"/><Relationship Id="rId10" Type="http://schemas.microsoft.com/office/2007/relationships/hdphoto" Target="media/hdphoto1.wdp"/><Relationship Id="rId19" Type="http://schemas.microsoft.com/office/2007/relationships/hdphoto" Target="media/hdphoto5.wdp"/><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eader" Target="header1.xml"/><Relationship Id="rId27"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www.mintel.com/press-centre/food-and-drink/meat-alternatives-market-tr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D129586-01D7-4706-A497-E5040BA7D04F}">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0421D7B-4407-4F08-ABD4-0B7B6D1EEFBC}">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706CD-4CFA-4C1D-84C3-C5EE4DE4B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3694</Words>
  <Characters>21060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8</cp:revision>
  <cp:lastPrinted>2019-10-09T17:58:00Z</cp:lastPrinted>
  <dcterms:created xsi:type="dcterms:W3CDTF">2019-10-09T17:57:00Z</dcterms:created>
  <dcterms:modified xsi:type="dcterms:W3CDTF">2020-02-28T12:52:00Z</dcterms:modified>
</cp:coreProperties>
</file>