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3"/>
        <w:gridCol w:w="4599"/>
      </w:tblGrid>
      <w:tr w:rsidR="00B90F03" w14:paraId="105147F2" w14:textId="77777777" w:rsidTr="00E95045">
        <w:tc>
          <w:tcPr>
            <w:tcW w:w="4680" w:type="dxa"/>
          </w:tcPr>
          <w:p w14:paraId="0504D05C" w14:textId="77777777" w:rsidR="00B90F03" w:rsidRDefault="00B90F03" w:rsidP="00E95045">
            <w:pPr>
              <w:tabs>
                <w:tab w:val="left" w:pos="-1440"/>
                <w:tab w:val="left" w:pos="-720"/>
                <w:tab w:val="left" w:pos="1"/>
              </w:tabs>
              <w:jc w:val="both"/>
              <w:rPr>
                <w:rFonts w:ascii="Arial" w:hAnsi="Arial"/>
                <w:b/>
                <w:sz w:val="24"/>
              </w:rPr>
            </w:pPr>
            <w:r>
              <w:rPr>
                <w:rFonts w:ascii="Arial" w:hAnsi="Arial"/>
                <w:b/>
                <w:noProof/>
                <w:sz w:val="24"/>
                <w:lang w:val="en-CA" w:eastAsia="en-CA"/>
              </w:rPr>
              <w:drawing>
                <wp:inline distT="0" distB="0" distL="0" distR="0" wp14:anchorId="1941CBC2" wp14:editId="0C3297D6">
                  <wp:extent cx="2613804" cy="55124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24BA0B53" w14:textId="77777777" w:rsidR="00B90F03" w:rsidRDefault="00B90F03" w:rsidP="00E95045">
            <w:pPr>
              <w:tabs>
                <w:tab w:val="left" w:pos="-1440"/>
                <w:tab w:val="left" w:pos="-720"/>
                <w:tab w:val="left" w:pos="1"/>
              </w:tabs>
              <w:jc w:val="right"/>
              <w:rPr>
                <w:rFonts w:ascii="Arial" w:hAnsi="Arial"/>
                <w:b/>
                <w:sz w:val="24"/>
              </w:rPr>
            </w:pPr>
            <w:r>
              <w:rPr>
                <w:rFonts w:ascii="IveyVHWLogos" w:eastAsia="SimSun" w:hAnsi="IveyVHWLogos"/>
                <w:noProof/>
                <w:sz w:val="44"/>
                <w:szCs w:val="44"/>
                <w:lang w:val="en-CA" w:eastAsia="en-CA"/>
              </w:rPr>
              <w:drawing>
                <wp:inline distT="0" distB="0" distL="0" distR="0" wp14:anchorId="0BF7B5BA" wp14:editId="390350E6">
                  <wp:extent cx="1328580" cy="548640"/>
                  <wp:effectExtent l="0" t="0" r="5080" b="3810"/>
                  <wp:docPr id="6" name="Picture 6" descr="ISB_Logo_B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SB_Logo_BW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8580" cy="548640"/>
                          </a:xfrm>
                          <a:prstGeom prst="rect">
                            <a:avLst/>
                          </a:prstGeom>
                          <a:noFill/>
                          <a:ln>
                            <a:noFill/>
                          </a:ln>
                        </pic:spPr>
                      </pic:pic>
                    </a:graphicData>
                  </a:graphic>
                </wp:inline>
              </w:drawing>
            </w:r>
          </w:p>
        </w:tc>
      </w:tr>
    </w:tbl>
    <w:p w14:paraId="4B3CC8E8" w14:textId="77777777" w:rsidR="00B32701" w:rsidRDefault="00B32701" w:rsidP="00C02410">
      <w:pPr>
        <w:pBdr>
          <w:bottom w:val="single" w:sz="18" w:space="1" w:color="auto"/>
        </w:pBdr>
        <w:tabs>
          <w:tab w:val="left" w:pos="-1440"/>
          <w:tab w:val="left" w:pos="-720"/>
          <w:tab w:val="left" w:pos="1"/>
        </w:tabs>
        <w:jc w:val="both"/>
        <w:rPr>
          <w:rFonts w:ascii="Arial" w:hAnsi="Arial"/>
          <w:b/>
          <w:sz w:val="24"/>
        </w:rPr>
      </w:pPr>
    </w:p>
    <w:p w14:paraId="61BBD9A0" w14:textId="57E8046D" w:rsidR="00C02410" w:rsidRDefault="006F575B" w:rsidP="00C02410">
      <w:pPr>
        <w:pStyle w:val="ProductNumber"/>
      </w:pPr>
      <w:r>
        <w:t>9B19A054</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5F022886" w:rsidR="00013360" w:rsidRDefault="00F313DF" w:rsidP="00013360">
      <w:pPr>
        <w:pStyle w:val="CaseTitle"/>
        <w:spacing w:after="0" w:line="240" w:lineRule="auto"/>
        <w:rPr>
          <w:sz w:val="20"/>
          <w:szCs w:val="20"/>
        </w:rPr>
      </w:pPr>
      <w:r>
        <w:t xml:space="preserve">saregama india </w:t>
      </w:r>
      <w:r w:rsidR="00091F2F">
        <w:t>L</w:t>
      </w:r>
      <w:r w:rsidR="00F119FC">
        <w:t>TD.</w:t>
      </w:r>
      <w:r>
        <w:t>: repositioning the value proposition</w:t>
      </w:r>
      <w:r w:rsidR="00E117D9">
        <w:rPr>
          <w:rStyle w:val="FootnoteReference"/>
        </w:rPr>
        <w:footnoteReference w:id="1"/>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2298D82E" w:rsidR="00086B26" w:rsidRPr="00287D6F" w:rsidRDefault="00F313DF" w:rsidP="00086B26">
      <w:pPr>
        <w:pStyle w:val="StyleCopyrightStatementAfter0ptBottomSinglesolidline1"/>
      </w:pPr>
      <w:r>
        <w:t>Rituparna Basu and Neena Sondhi</w:t>
      </w:r>
      <w:r w:rsidR="00ED7922" w:rsidRPr="00FD7E52">
        <w:rPr>
          <w:rFonts w:cs="Arial"/>
          <w:szCs w:val="16"/>
          <w:lang w:val="en-CA"/>
        </w:rPr>
        <w:t xml:space="preserve"> </w:t>
      </w:r>
      <w:r w:rsidR="00086B26" w:rsidRPr="00287D6F">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pPr>
    </w:p>
    <w:p w14:paraId="5C694BEF" w14:textId="77777777" w:rsidR="00B90F03" w:rsidRPr="00A323B0" w:rsidRDefault="00B90F03" w:rsidP="00B90F03">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4F67DF97" w14:textId="77777777" w:rsidR="00F313DF" w:rsidRPr="00A323B0" w:rsidRDefault="00F313DF" w:rsidP="00A323B0">
      <w:pPr>
        <w:pStyle w:val="StyleStyleCopyrightStatementAfter0ptBottomSinglesolid"/>
        <w:rPr>
          <w:rFonts w:cs="Arial"/>
          <w:szCs w:val="16"/>
        </w:rPr>
      </w:pPr>
    </w:p>
    <w:p w14:paraId="3922E14F" w14:textId="2D65AC89" w:rsidR="00751E0B" w:rsidRPr="00C02410" w:rsidRDefault="00B90F03" w:rsidP="00A323B0">
      <w:pPr>
        <w:pStyle w:val="StyleStyleCopyrightStatementAfter0ptBottomSinglesolid"/>
        <w:rPr>
          <w:rFonts w:cs="Arial"/>
          <w:szCs w:val="16"/>
        </w:rPr>
      </w:pPr>
      <w:r>
        <w:rPr>
          <w:rFonts w:cs="Arial"/>
          <w:iCs w:val="0"/>
          <w:color w:val="auto"/>
          <w:szCs w:val="16"/>
        </w:rPr>
        <w:t>Copyright © 2019</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A323B0">
        <w:rPr>
          <w:rFonts w:cs="Arial"/>
          <w:iCs w:val="0"/>
          <w:color w:val="auto"/>
          <w:szCs w:val="16"/>
          <w:lang w:val="en-CA"/>
        </w:rPr>
        <w:tab/>
      </w:r>
      <w:r w:rsidR="00A323B0" w:rsidRPr="00A323B0">
        <w:rPr>
          <w:rFonts w:cs="Arial"/>
          <w:iCs w:val="0"/>
          <w:color w:val="auto"/>
          <w:szCs w:val="16"/>
        </w:rPr>
        <w:t>Version: 20</w:t>
      </w:r>
      <w:r w:rsidR="00F313DF">
        <w:rPr>
          <w:rFonts w:cs="Arial"/>
          <w:iCs w:val="0"/>
          <w:color w:val="auto"/>
          <w:szCs w:val="16"/>
        </w:rPr>
        <w:t>19-</w:t>
      </w:r>
      <w:r w:rsidR="00B32701">
        <w:rPr>
          <w:rFonts w:cs="Arial"/>
          <w:iCs w:val="0"/>
          <w:color w:val="auto"/>
          <w:szCs w:val="16"/>
        </w:rPr>
        <w:t>10-</w:t>
      </w:r>
      <w:r w:rsidR="009F46AF">
        <w:rPr>
          <w:rFonts w:cs="Arial"/>
          <w:iCs w:val="0"/>
          <w:color w:val="auto"/>
          <w:szCs w:val="16"/>
        </w:rPr>
        <w:t>31</w:t>
      </w:r>
    </w:p>
    <w:p w14:paraId="0A2A54E4" w14:textId="77777777" w:rsidR="00751E0B" w:rsidRDefault="00751E0B" w:rsidP="00676402">
      <w:pPr>
        <w:pStyle w:val="StyleCopyrightStatementAfter0ptBottomSinglesolidline1"/>
        <w:pBdr>
          <w:top w:val="single" w:sz="8" w:space="3" w:color="auto"/>
        </w:pBdr>
        <w:rPr>
          <w:rFonts w:ascii="Times New Roman" w:hAnsi="Times New Roman"/>
          <w:sz w:val="20"/>
        </w:rPr>
      </w:pPr>
    </w:p>
    <w:p w14:paraId="6F88CEAF" w14:textId="77777777" w:rsidR="00836BFF" w:rsidRPr="00F60786" w:rsidRDefault="00836BFF" w:rsidP="00676402">
      <w:pPr>
        <w:pStyle w:val="StyleCopyrightStatementAfter0ptBottomSinglesolidline1"/>
        <w:pBdr>
          <w:top w:val="single" w:sz="8" w:space="3" w:color="auto"/>
        </w:pBdr>
        <w:rPr>
          <w:rFonts w:ascii="Times New Roman" w:hAnsi="Times New Roman"/>
          <w:sz w:val="20"/>
        </w:rPr>
      </w:pPr>
    </w:p>
    <w:p w14:paraId="011BD192" w14:textId="2E4BC3F4" w:rsidR="007032C3" w:rsidRDefault="009F46AF" w:rsidP="00836BFF">
      <w:pPr>
        <w:pStyle w:val="BodyTextMain"/>
      </w:pPr>
      <w:r>
        <w:t xml:space="preserve">On May </w:t>
      </w:r>
      <w:r w:rsidR="0076349D">
        <w:t xml:space="preserve">5, 2018, </w:t>
      </w:r>
      <w:proofErr w:type="spellStart"/>
      <w:r w:rsidR="00F313DF" w:rsidRPr="004974C1">
        <w:t>Vikram</w:t>
      </w:r>
      <w:proofErr w:type="spellEnd"/>
      <w:r w:rsidR="00F313DF" w:rsidRPr="004974C1">
        <w:t xml:space="preserve"> </w:t>
      </w:r>
      <w:proofErr w:type="spellStart"/>
      <w:r w:rsidR="00F313DF" w:rsidRPr="004974C1">
        <w:t>Mehra</w:t>
      </w:r>
      <w:proofErr w:type="spellEnd"/>
      <w:r w:rsidR="00F313DF" w:rsidRPr="004974C1">
        <w:t xml:space="preserve">, </w:t>
      </w:r>
      <w:r w:rsidR="007032C3">
        <w:t>m</w:t>
      </w:r>
      <w:r w:rsidR="00F313DF" w:rsidRPr="004974C1">
        <w:t xml:space="preserve">anaging </w:t>
      </w:r>
      <w:r w:rsidR="007032C3">
        <w:t>d</w:t>
      </w:r>
      <w:r w:rsidR="00F313DF" w:rsidRPr="004974C1">
        <w:t>irector</w:t>
      </w:r>
      <w:r w:rsidR="007032C3">
        <w:t xml:space="preserve"> of </w:t>
      </w:r>
      <w:proofErr w:type="spellStart"/>
      <w:r w:rsidR="00F313DF" w:rsidRPr="004974C1">
        <w:t>Saregama</w:t>
      </w:r>
      <w:proofErr w:type="spellEnd"/>
      <w:r w:rsidR="00F313DF" w:rsidRPr="004974C1">
        <w:t xml:space="preserve"> India </w:t>
      </w:r>
      <w:r w:rsidR="00BF6F00">
        <w:t>L</w:t>
      </w:r>
      <w:r w:rsidR="00F313DF" w:rsidRPr="004974C1">
        <w:t>imited</w:t>
      </w:r>
      <w:r w:rsidR="005C26E5">
        <w:t xml:space="preserve"> (</w:t>
      </w:r>
      <w:proofErr w:type="spellStart"/>
      <w:r w:rsidR="005C26E5">
        <w:t>Saregama</w:t>
      </w:r>
      <w:proofErr w:type="spellEnd"/>
      <w:r w:rsidR="005C26E5">
        <w:t>)</w:t>
      </w:r>
      <w:r w:rsidR="00F313DF" w:rsidRPr="004974C1">
        <w:t xml:space="preserve">, smiled as he overheard the conversation between a young male customer </w:t>
      </w:r>
      <w:r w:rsidR="00BF6F00">
        <w:t xml:space="preserve">in his thirties </w:t>
      </w:r>
      <w:r w:rsidR="00F313DF" w:rsidRPr="004974C1">
        <w:t xml:space="preserve">and </w:t>
      </w:r>
      <w:r w:rsidR="005C26E5">
        <w:t>the</w:t>
      </w:r>
      <w:r w:rsidR="005C26E5" w:rsidRPr="004974C1">
        <w:t xml:space="preserve"> sales</w:t>
      </w:r>
      <w:r w:rsidR="005C26E5">
        <w:t>person</w:t>
      </w:r>
      <w:r w:rsidR="005C26E5" w:rsidRPr="004974C1">
        <w:t xml:space="preserve"> </w:t>
      </w:r>
      <w:r w:rsidR="00F313DF" w:rsidRPr="004974C1">
        <w:t xml:space="preserve">who was packing </w:t>
      </w:r>
      <w:r w:rsidR="005C26E5">
        <w:t>his</w:t>
      </w:r>
      <w:r w:rsidR="005C26E5" w:rsidRPr="004974C1">
        <w:t xml:space="preserve"> </w:t>
      </w:r>
      <w:proofErr w:type="spellStart"/>
      <w:r w:rsidR="00F313DF" w:rsidRPr="004974C1">
        <w:t>Carvaan</w:t>
      </w:r>
      <w:proofErr w:type="spellEnd"/>
      <w:r w:rsidR="00F313DF" w:rsidRPr="004974C1">
        <w:t xml:space="preserve"> box at the Reliance Digital store in Mumbai’s Palladium </w:t>
      </w:r>
      <w:r w:rsidR="00B34A4D">
        <w:t>M</w:t>
      </w:r>
      <w:r w:rsidR="00F313DF" w:rsidRPr="004974C1">
        <w:t>all</w:t>
      </w:r>
      <w:r w:rsidR="005C26E5">
        <w:t>:</w:t>
      </w:r>
      <w:r w:rsidR="005C26E5" w:rsidRPr="004974C1">
        <w:t xml:space="preserve"> </w:t>
      </w:r>
      <w:r w:rsidR="005C26E5">
        <w:t>“My</w:t>
      </w:r>
      <w:r w:rsidR="005C26E5" w:rsidRPr="004974C1">
        <w:t xml:space="preserve"> </w:t>
      </w:r>
      <w:r w:rsidR="005C26E5">
        <w:t>M</w:t>
      </w:r>
      <w:r w:rsidR="005C26E5" w:rsidRPr="004974C1">
        <w:t xml:space="preserve">other’s </w:t>
      </w:r>
      <w:r w:rsidR="005C26E5">
        <w:t>D</w:t>
      </w:r>
      <w:r w:rsidR="005C26E5" w:rsidRPr="004974C1">
        <w:t>ay problems are sorted</w:t>
      </w:r>
      <w:r w:rsidR="005C26E5">
        <w:t>,” the customer said. “</w:t>
      </w:r>
      <w:r w:rsidR="005C26E5" w:rsidRPr="004974C1">
        <w:t xml:space="preserve">I am </w:t>
      </w:r>
      <w:r w:rsidR="005C26E5">
        <w:t>giving</w:t>
      </w:r>
      <w:r w:rsidR="005C26E5" w:rsidRPr="004974C1">
        <w:t xml:space="preserve"> my mother a </w:t>
      </w:r>
      <w:proofErr w:type="spellStart"/>
      <w:r w:rsidR="005C26E5" w:rsidRPr="004974C1">
        <w:t>Carvaan</w:t>
      </w:r>
      <w:proofErr w:type="spellEnd"/>
      <w:r w:rsidR="005C26E5" w:rsidRPr="004974C1">
        <w:t xml:space="preserve">, the perfect portable music box. My best </w:t>
      </w:r>
      <w:r w:rsidR="005C26E5">
        <w:t xml:space="preserve">childhood </w:t>
      </w:r>
      <w:r w:rsidR="005C26E5" w:rsidRPr="004974C1">
        <w:t xml:space="preserve">memories </w:t>
      </w:r>
      <w:r w:rsidR="005C26E5">
        <w:t>are when</w:t>
      </w:r>
      <w:r w:rsidR="005C26E5" w:rsidRPr="004974C1">
        <w:t xml:space="preserve"> she used to be working and humming these beautiful Hindi</w:t>
      </w:r>
      <w:r w:rsidR="005C26E5" w:rsidRPr="002E0041">
        <w:t xml:space="preserve"> </w:t>
      </w:r>
      <w:r w:rsidR="005C26E5" w:rsidRPr="004974C1">
        <w:t>songs that played on the transistor. I can’t wait to see her delight when she can listen to all her favourite songs at the press of a button.</w:t>
      </w:r>
      <w:r w:rsidR="005C26E5">
        <w:t xml:space="preserve">” </w:t>
      </w:r>
      <w:proofErr w:type="spellStart"/>
      <w:r w:rsidR="00DE6F44">
        <w:t>Saregama’s</w:t>
      </w:r>
      <w:proofErr w:type="spellEnd"/>
      <w:r w:rsidR="00DE6F44">
        <w:t xml:space="preserve"> share </w:t>
      </w:r>
      <w:r w:rsidR="00F313DF" w:rsidRPr="004974C1">
        <w:t xml:space="preserve">price </w:t>
      </w:r>
      <w:r w:rsidR="00DE6F44">
        <w:t>had reached</w:t>
      </w:r>
      <w:r w:rsidR="00F313DF" w:rsidRPr="004974C1">
        <w:t xml:space="preserve"> </w:t>
      </w:r>
      <w:r w:rsidR="00DE6F44" w:rsidRPr="00B90F03">
        <w:rPr>
          <w:rFonts w:ascii="Arial" w:hAnsi="Arial" w:cs="Arial"/>
          <w:sz w:val="20"/>
          <w:szCs w:val="20"/>
        </w:rPr>
        <w:t>₹</w:t>
      </w:r>
      <w:r w:rsidR="00F313DF" w:rsidRPr="004974C1">
        <w:t>840</w:t>
      </w:r>
      <w:r w:rsidR="00DE6F44">
        <w:t>,</w:t>
      </w:r>
      <w:r w:rsidR="00F313DF" w:rsidRPr="005022FE">
        <w:rPr>
          <w:rStyle w:val="FootnoteReference"/>
        </w:rPr>
        <w:footnoteReference w:id="2"/>
      </w:r>
      <w:r w:rsidR="00F313DF" w:rsidRPr="004974C1">
        <w:t xml:space="preserve"> but what excite</w:t>
      </w:r>
      <w:r w:rsidR="00DE6F44">
        <w:t>d</w:t>
      </w:r>
      <w:r w:rsidR="00F313DF" w:rsidRPr="004974C1">
        <w:t xml:space="preserve"> </w:t>
      </w:r>
      <w:proofErr w:type="spellStart"/>
      <w:r w:rsidR="00F313DF" w:rsidRPr="004974C1">
        <w:t>Mehra</w:t>
      </w:r>
      <w:proofErr w:type="spellEnd"/>
      <w:r w:rsidR="00F313DF" w:rsidRPr="004974C1">
        <w:t xml:space="preserve"> was the breakthrough </w:t>
      </w:r>
      <w:proofErr w:type="spellStart"/>
      <w:r w:rsidR="00F313DF" w:rsidRPr="004974C1">
        <w:t>Carvaan</w:t>
      </w:r>
      <w:proofErr w:type="spellEnd"/>
      <w:r w:rsidR="00F313DF" w:rsidRPr="004974C1">
        <w:t xml:space="preserve"> </w:t>
      </w:r>
      <w:r w:rsidR="00DE6F44">
        <w:t xml:space="preserve">had achieved </w:t>
      </w:r>
      <w:r w:rsidR="00F313DF" w:rsidRPr="004974C1">
        <w:t>with the Indian consumer.</w:t>
      </w:r>
      <w:r w:rsidR="007032C3">
        <w:t xml:space="preserve"> L</w:t>
      </w:r>
      <w:r w:rsidR="00F313DF" w:rsidRPr="004974C1">
        <w:t xml:space="preserve">aunched in 2017, </w:t>
      </w:r>
      <w:r w:rsidR="007032C3">
        <w:t xml:space="preserve">the </w:t>
      </w:r>
      <w:proofErr w:type="spellStart"/>
      <w:r w:rsidR="007032C3">
        <w:t>Carvaan</w:t>
      </w:r>
      <w:proofErr w:type="spellEnd"/>
      <w:r w:rsidR="007032C3">
        <w:t xml:space="preserve"> </w:t>
      </w:r>
      <w:r w:rsidR="00F313DF" w:rsidRPr="004974C1">
        <w:t>was a portable music player with 5</w:t>
      </w:r>
      <w:r w:rsidR="00DE6F44">
        <w:t>,</w:t>
      </w:r>
      <w:r w:rsidR="00F313DF" w:rsidRPr="004974C1">
        <w:t xml:space="preserve">000 pre-loaded songs from yesteryear. It came with </w:t>
      </w:r>
      <w:r w:rsidR="005C26E5" w:rsidRPr="004974C1">
        <w:t>built</w:t>
      </w:r>
      <w:r w:rsidR="005C26E5">
        <w:t>-</w:t>
      </w:r>
      <w:r w:rsidR="005C26E5" w:rsidRPr="004974C1">
        <w:t xml:space="preserve">in </w:t>
      </w:r>
      <w:r w:rsidR="00F313DF" w:rsidRPr="004974C1">
        <w:t>stereo</w:t>
      </w:r>
      <w:r w:rsidR="007032C3">
        <w:t xml:space="preserve"> speakers</w:t>
      </w:r>
      <w:r w:rsidR="00F313DF" w:rsidRPr="004974C1">
        <w:t xml:space="preserve">, Bluetooth, </w:t>
      </w:r>
      <w:r w:rsidR="005C26E5">
        <w:t xml:space="preserve">a </w:t>
      </w:r>
      <w:r w:rsidR="00F313DF" w:rsidRPr="004974C1">
        <w:t>USB drive</w:t>
      </w:r>
      <w:r w:rsidR="00DE6F44">
        <w:t>,</w:t>
      </w:r>
      <w:r w:rsidR="00F313DF" w:rsidRPr="004974C1">
        <w:t xml:space="preserve"> and </w:t>
      </w:r>
      <w:r w:rsidR="003C4980">
        <w:t xml:space="preserve">an </w:t>
      </w:r>
      <w:r w:rsidR="00F313DF" w:rsidRPr="004974C1">
        <w:t xml:space="preserve">FM radio. </w:t>
      </w:r>
      <w:r w:rsidR="00847A65">
        <w:t>The</w:t>
      </w:r>
      <w:r w:rsidR="00F313DF" w:rsidRPr="004974C1">
        <w:t xml:space="preserve"> device balanced the best of technology with the simplicity of just </w:t>
      </w:r>
      <w:r w:rsidR="00DE6F44">
        <w:t xml:space="preserve">pressing </w:t>
      </w:r>
      <w:r w:rsidR="00F313DF" w:rsidRPr="004974C1">
        <w:t xml:space="preserve">a button. </w:t>
      </w:r>
      <w:r w:rsidR="003E51A3">
        <w:t xml:space="preserve">The product </w:t>
      </w:r>
      <w:r w:rsidR="003D3F54">
        <w:t>had been</w:t>
      </w:r>
      <w:r w:rsidR="00F313DF" w:rsidRPr="004974C1">
        <w:t xml:space="preserve"> </w:t>
      </w:r>
      <w:r w:rsidR="003D3F54">
        <w:t>a turning point</w:t>
      </w:r>
      <w:r w:rsidR="00F313DF" w:rsidRPr="004974C1">
        <w:t xml:space="preserve"> for </w:t>
      </w:r>
      <w:r w:rsidR="007032C3">
        <w:t xml:space="preserve">the 117-year-old music giant. </w:t>
      </w:r>
    </w:p>
    <w:p w14:paraId="6F428854" w14:textId="77777777" w:rsidR="007032C3" w:rsidRPr="00E513AB" w:rsidRDefault="007032C3" w:rsidP="00836BFF">
      <w:pPr>
        <w:pStyle w:val="BodyTextMain"/>
      </w:pPr>
    </w:p>
    <w:p w14:paraId="14CA493B" w14:textId="4D2DDCA1" w:rsidR="000021F4" w:rsidRDefault="007032C3" w:rsidP="00497261">
      <w:pPr>
        <w:pStyle w:val="BodyTextMain"/>
      </w:pPr>
      <w:r>
        <w:t xml:space="preserve">As </w:t>
      </w:r>
      <w:proofErr w:type="spellStart"/>
      <w:r w:rsidR="00F313DF" w:rsidRPr="004974C1">
        <w:t>Saregama</w:t>
      </w:r>
      <w:proofErr w:type="spellEnd"/>
      <w:r>
        <w:t xml:space="preserve"> </w:t>
      </w:r>
      <w:r w:rsidR="00F313DF" w:rsidRPr="004974C1">
        <w:t>converted its conventional copyrighted music into high-quality digital form</w:t>
      </w:r>
      <w:r w:rsidR="005C26E5">
        <w:t>ats</w:t>
      </w:r>
      <w:r w:rsidR="00F313DF" w:rsidRPr="004974C1">
        <w:t xml:space="preserve"> and made a rare stretch from the business</w:t>
      </w:r>
      <w:r w:rsidR="003D3F54">
        <w:t>-</w:t>
      </w:r>
      <w:r w:rsidR="00F313DF" w:rsidRPr="004974C1">
        <w:t>to</w:t>
      </w:r>
      <w:r w:rsidR="003D3F54">
        <w:t>-</w:t>
      </w:r>
      <w:r w:rsidR="00F313DF" w:rsidRPr="004974C1">
        <w:t>business</w:t>
      </w:r>
      <w:r w:rsidR="003D3F54">
        <w:t xml:space="preserve"> (B2B</w:t>
      </w:r>
      <w:r w:rsidR="00F313DF" w:rsidRPr="004974C1">
        <w:t>) to business</w:t>
      </w:r>
      <w:r w:rsidR="003D3F54">
        <w:t>-</w:t>
      </w:r>
      <w:r w:rsidR="00F313DF" w:rsidRPr="004974C1">
        <w:t>to</w:t>
      </w:r>
      <w:r w:rsidR="003D3F54">
        <w:t>-</w:t>
      </w:r>
      <w:r w:rsidR="00F313DF" w:rsidRPr="004974C1">
        <w:t>consumer</w:t>
      </w:r>
      <w:r w:rsidR="003D3F54" w:rsidRPr="003D3F54">
        <w:t xml:space="preserve"> </w:t>
      </w:r>
      <w:r w:rsidR="003D3F54">
        <w:t>(</w:t>
      </w:r>
      <w:r w:rsidR="003D3F54" w:rsidRPr="004974C1">
        <w:t>B2C</w:t>
      </w:r>
      <w:r w:rsidR="00F313DF" w:rsidRPr="004974C1">
        <w:t xml:space="preserve">) markets, the firm recorded a revenue jump from </w:t>
      </w:r>
      <w:r w:rsidR="00510668" w:rsidRPr="00936882">
        <w:rPr>
          <w:rFonts w:ascii="Arial" w:hAnsi="Arial" w:cs="Arial"/>
          <w:sz w:val="20"/>
          <w:szCs w:val="20"/>
        </w:rPr>
        <w:t>₹</w:t>
      </w:r>
      <w:r w:rsidR="00F313DF" w:rsidRPr="004974C1">
        <w:t xml:space="preserve">2.1 billion in </w:t>
      </w:r>
      <w:r w:rsidR="003D3F54">
        <w:t>fiscal year (</w:t>
      </w:r>
      <w:r w:rsidR="00F313DF" w:rsidRPr="004974C1">
        <w:t>FY</w:t>
      </w:r>
      <w:r w:rsidR="003D3F54">
        <w:t>)</w:t>
      </w:r>
      <w:r w:rsidR="00F313DF" w:rsidRPr="004974C1">
        <w:t xml:space="preserve"> </w:t>
      </w:r>
      <w:r w:rsidR="003D3F54">
        <w:t>20</w:t>
      </w:r>
      <w:r w:rsidR="00F313DF" w:rsidRPr="004974C1">
        <w:t>16</w:t>
      </w:r>
      <w:r w:rsidR="003D3F54">
        <w:t>–20</w:t>
      </w:r>
      <w:r w:rsidR="00F313DF" w:rsidRPr="004974C1">
        <w:t xml:space="preserve">17 to </w:t>
      </w:r>
      <w:r w:rsidR="000021F4">
        <w:t xml:space="preserve">its highest </w:t>
      </w:r>
      <w:r>
        <w:t xml:space="preserve">revenue </w:t>
      </w:r>
      <w:r w:rsidR="000021F4">
        <w:t>so far,</w:t>
      </w:r>
      <w:r w:rsidR="00F313DF" w:rsidRPr="004974C1">
        <w:t xml:space="preserve"> </w:t>
      </w:r>
      <w:r w:rsidR="00510668" w:rsidRPr="00936882">
        <w:rPr>
          <w:rFonts w:ascii="Arial" w:hAnsi="Arial" w:cs="Arial"/>
          <w:sz w:val="20"/>
          <w:szCs w:val="20"/>
        </w:rPr>
        <w:t>₹</w:t>
      </w:r>
      <w:r w:rsidR="00F313DF" w:rsidRPr="004974C1">
        <w:t>3.</w:t>
      </w:r>
      <w:r w:rsidR="005C26E5">
        <w:t xml:space="preserve"> </w:t>
      </w:r>
      <w:r w:rsidR="005C26E5" w:rsidRPr="004974C1">
        <w:t>5</w:t>
      </w:r>
      <w:r w:rsidR="005C26E5">
        <w:t xml:space="preserve"> </w:t>
      </w:r>
      <w:r w:rsidR="00F313DF" w:rsidRPr="004974C1">
        <w:t xml:space="preserve">billion in FY </w:t>
      </w:r>
      <w:r w:rsidR="000021F4">
        <w:t>20</w:t>
      </w:r>
      <w:r w:rsidR="00F313DF" w:rsidRPr="004974C1">
        <w:t>17</w:t>
      </w:r>
      <w:r w:rsidR="000021F4">
        <w:t>–20</w:t>
      </w:r>
      <w:r w:rsidR="00F313DF" w:rsidRPr="004974C1">
        <w:t>18. The profit before tax also rose</w:t>
      </w:r>
      <w:r w:rsidR="000021F4">
        <w:t>, increasing</w:t>
      </w:r>
      <w:r w:rsidR="00F313DF" w:rsidRPr="004974C1">
        <w:t xml:space="preserve"> from </w:t>
      </w:r>
      <w:r w:rsidR="00510668" w:rsidRPr="00936882">
        <w:rPr>
          <w:rFonts w:ascii="Arial" w:hAnsi="Arial" w:cs="Arial"/>
          <w:sz w:val="20"/>
          <w:szCs w:val="20"/>
        </w:rPr>
        <w:t>₹</w:t>
      </w:r>
      <w:r w:rsidR="00F313DF" w:rsidRPr="004974C1">
        <w:t xml:space="preserve">160.65 million in FY </w:t>
      </w:r>
      <w:r w:rsidR="000021F4">
        <w:t>20</w:t>
      </w:r>
      <w:r w:rsidR="00F313DF" w:rsidRPr="004974C1">
        <w:t>16</w:t>
      </w:r>
      <w:r w:rsidR="000021F4">
        <w:t>–20</w:t>
      </w:r>
      <w:r w:rsidR="00F313DF" w:rsidRPr="004974C1">
        <w:t xml:space="preserve">17 to </w:t>
      </w:r>
      <w:r w:rsidR="00510668" w:rsidRPr="00936882">
        <w:rPr>
          <w:rFonts w:ascii="Arial" w:hAnsi="Arial" w:cs="Arial"/>
          <w:sz w:val="20"/>
          <w:szCs w:val="20"/>
        </w:rPr>
        <w:t>₹</w:t>
      </w:r>
      <w:r w:rsidR="00F313DF" w:rsidRPr="004974C1">
        <w:t xml:space="preserve">411.2 million by the end of FY </w:t>
      </w:r>
      <w:r w:rsidR="000021F4">
        <w:t>20</w:t>
      </w:r>
      <w:r w:rsidR="00F313DF" w:rsidRPr="004974C1">
        <w:t>17</w:t>
      </w:r>
      <w:r w:rsidR="000021F4">
        <w:t>–20</w:t>
      </w:r>
      <w:r w:rsidR="00F313DF" w:rsidRPr="004974C1">
        <w:t>18.</w:t>
      </w:r>
      <w:r w:rsidR="00F313DF" w:rsidRPr="005022FE">
        <w:rPr>
          <w:rStyle w:val="FootnoteReference"/>
        </w:rPr>
        <w:footnoteReference w:id="3"/>
      </w:r>
      <w:r w:rsidR="00F313DF" w:rsidRPr="004974C1">
        <w:t xml:space="preserve"> </w:t>
      </w:r>
    </w:p>
    <w:p w14:paraId="47D8AD11" w14:textId="77777777" w:rsidR="00E513AB" w:rsidRDefault="00E513AB" w:rsidP="00497261">
      <w:pPr>
        <w:pStyle w:val="BodyTextMain"/>
      </w:pPr>
    </w:p>
    <w:p w14:paraId="12ACEF5A" w14:textId="66AE9398" w:rsidR="00D74826" w:rsidRDefault="002236C4" w:rsidP="00836BFF">
      <w:pPr>
        <w:pStyle w:val="BodyTextMain"/>
      </w:pPr>
      <w:r w:rsidRPr="004974C1">
        <w:t>The first phase of the change had been positive</w:t>
      </w:r>
      <w:r w:rsidR="005C26E5">
        <w:t>,</w:t>
      </w:r>
      <w:r w:rsidR="001C296F">
        <w:t xml:space="preserve"> and </w:t>
      </w:r>
      <w:proofErr w:type="spellStart"/>
      <w:r w:rsidRPr="004974C1">
        <w:t>Carvaan</w:t>
      </w:r>
      <w:proofErr w:type="spellEnd"/>
      <w:r w:rsidRPr="004974C1">
        <w:t xml:space="preserve"> had played an important role in this </w:t>
      </w:r>
      <w:r w:rsidR="001C296F" w:rsidRPr="004974C1">
        <w:t>success</w:t>
      </w:r>
      <w:r w:rsidR="001C296F">
        <w:t>.</w:t>
      </w:r>
      <w:r w:rsidR="001C296F" w:rsidRPr="004974C1">
        <w:t xml:space="preserve"> </w:t>
      </w:r>
      <w:proofErr w:type="spellStart"/>
      <w:r w:rsidR="001C296F" w:rsidRPr="004974C1">
        <w:t>Mehra</w:t>
      </w:r>
      <w:proofErr w:type="spellEnd"/>
      <w:r w:rsidR="00F313DF" w:rsidRPr="004974C1">
        <w:t xml:space="preserve"> now envisioned </w:t>
      </w:r>
      <w:proofErr w:type="spellStart"/>
      <w:r w:rsidR="00F313DF" w:rsidRPr="004974C1">
        <w:t>Saregama</w:t>
      </w:r>
      <w:proofErr w:type="spellEnd"/>
      <w:r w:rsidR="00F313DF" w:rsidRPr="004974C1">
        <w:t xml:space="preserve"> becom</w:t>
      </w:r>
      <w:r w:rsidR="000021F4">
        <w:t>ing</w:t>
      </w:r>
      <w:r w:rsidR="00F313DF" w:rsidRPr="004974C1">
        <w:t xml:space="preserve"> the new </w:t>
      </w:r>
      <w:r w:rsidR="000021F4">
        <w:t>“</w:t>
      </w:r>
      <w:r w:rsidR="00510668" w:rsidRPr="00936882">
        <w:rPr>
          <w:rFonts w:ascii="Arial" w:hAnsi="Arial" w:cs="Arial"/>
          <w:sz w:val="20"/>
          <w:szCs w:val="20"/>
        </w:rPr>
        <w:t>₹</w:t>
      </w:r>
      <w:r w:rsidR="00F313DF" w:rsidRPr="004974C1">
        <w:t xml:space="preserve">20 billion IP </w:t>
      </w:r>
      <w:r w:rsidR="000021F4">
        <w:t xml:space="preserve">[intellectual property] </w:t>
      </w:r>
      <w:r w:rsidR="00F313DF" w:rsidRPr="004974C1">
        <w:t>content company</w:t>
      </w:r>
      <w:r w:rsidR="000021F4">
        <w:t>”</w:t>
      </w:r>
      <w:r w:rsidR="00F313DF" w:rsidRPr="004974C1">
        <w:t xml:space="preserve"> in the next five years. </w:t>
      </w:r>
      <w:r w:rsidR="000021F4">
        <w:t xml:space="preserve">To make that happen amid </w:t>
      </w:r>
      <w:r w:rsidR="001C296F">
        <w:t xml:space="preserve">the fast technological and consumer evolution, </w:t>
      </w:r>
      <w:proofErr w:type="spellStart"/>
      <w:r w:rsidR="001C296F">
        <w:t>Mehra</w:t>
      </w:r>
      <w:proofErr w:type="spellEnd"/>
      <w:r w:rsidR="001C296F">
        <w:t xml:space="preserve"> needed sharply defined </w:t>
      </w:r>
      <w:r w:rsidR="0011014A">
        <w:t>short</w:t>
      </w:r>
      <w:r w:rsidR="000021F4">
        <w:t>-</w:t>
      </w:r>
      <w:r w:rsidR="0011014A">
        <w:t xml:space="preserve"> and</w:t>
      </w:r>
      <w:r w:rsidR="00836047" w:rsidRPr="004974C1">
        <w:t xml:space="preserve"> long-term strateg</w:t>
      </w:r>
      <w:r w:rsidR="009D5080">
        <w:t>ies</w:t>
      </w:r>
      <w:r w:rsidR="005022FE">
        <w:t xml:space="preserve"> </w:t>
      </w:r>
      <w:r w:rsidR="001C296F">
        <w:t xml:space="preserve">for </w:t>
      </w:r>
      <w:proofErr w:type="spellStart"/>
      <w:r w:rsidR="0011014A">
        <w:t>C</w:t>
      </w:r>
      <w:r w:rsidR="001C296F">
        <w:t>arvaan</w:t>
      </w:r>
      <w:proofErr w:type="spellEnd"/>
      <w:r w:rsidR="001C296F">
        <w:t xml:space="preserve"> and</w:t>
      </w:r>
      <w:r w:rsidR="005022FE">
        <w:t xml:space="preserve"> </w:t>
      </w:r>
      <w:proofErr w:type="spellStart"/>
      <w:r w:rsidR="00836047" w:rsidRPr="004974C1">
        <w:t>Saregama</w:t>
      </w:r>
      <w:proofErr w:type="spellEnd"/>
      <w:r w:rsidR="001C296F">
        <w:t xml:space="preserve">. </w:t>
      </w:r>
    </w:p>
    <w:p w14:paraId="5D9AF23A" w14:textId="1C4B94C2" w:rsidR="000021F4" w:rsidRDefault="000021F4" w:rsidP="00836BFF">
      <w:pPr>
        <w:pStyle w:val="BodyTextMain"/>
      </w:pPr>
    </w:p>
    <w:p w14:paraId="1A96895B" w14:textId="77777777" w:rsidR="000021F4" w:rsidRDefault="000021F4" w:rsidP="00836BFF">
      <w:pPr>
        <w:pStyle w:val="BodyTextMain"/>
      </w:pPr>
    </w:p>
    <w:p w14:paraId="69873BB5" w14:textId="540BB468" w:rsidR="00F313DF" w:rsidRPr="004974C1" w:rsidRDefault="00F313DF" w:rsidP="006F575B">
      <w:pPr>
        <w:pStyle w:val="BodyTextMain"/>
        <w:keepNext/>
        <w:rPr>
          <w:rStyle w:val="BodyTextMainChar"/>
          <w:b/>
        </w:rPr>
      </w:pPr>
      <w:r w:rsidRPr="004974C1">
        <w:rPr>
          <w:rStyle w:val="Casehead1Char"/>
        </w:rPr>
        <w:lastRenderedPageBreak/>
        <w:t>THE INDIAN MUSIC INDUSTRY</w:t>
      </w:r>
      <w:r w:rsidR="000021F4">
        <w:rPr>
          <w:rStyle w:val="Casehead1Char"/>
        </w:rPr>
        <w:t xml:space="preserve">: </w:t>
      </w:r>
      <w:r w:rsidRPr="004974C1">
        <w:rPr>
          <w:rStyle w:val="Casehead1Char"/>
        </w:rPr>
        <w:t>EVOLVING CONTENT AND BUSINESS PRACTICES</w:t>
      </w:r>
    </w:p>
    <w:p w14:paraId="33DB1F68" w14:textId="77777777" w:rsidR="00AA0758" w:rsidRDefault="00AA0758" w:rsidP="006F575B">
      <w:pPr>
        <w:pStyle w:val="BodyTextMain"/>
        <w:keepNext/>
        <w:rPr>
          <w:rFonts w:eastAsiaTheme="minorEastAsia"/>
        </w:rPr>
      </w:pPr>
    </w:p>
    <w:p w14:paraId="20B9E59B" w14:textId="01083B64" w:rsidR="00F313DF" w:rsidRPr="004974C1" w:rsidRDefault="00F313DF" w:rsidP="006F575B">
      <w:pPr>
        <w:pStyle w:val="BodyTextMain"/>
        <w:keepNext/>
        <w:rPr>
          <w:rStyle w:val="Casehead1Char"/>
          <w:rFonts w:eastAsiaTheme="minorEastAsia"/>
          <w:b w:val="0"/>
        </w:rPr>
      </w:pPr>
      <w:r w:rsidRPr="004974C1">
        <w:rPr>
          <w:rFonts w:eastAsiaTheme="minorEastAsia"/>
        </w:rPr>
        <w:t xml:space="preserve">Indian consumers’ hunger for entertainment was as </w:t>
      </w:r>
      <w:r w:rsidR="00615236">
        <w:rPr>
          <w:rFonts w:eastAsiaTheme="minorEastAsia"/>
        </w:rPr>
        <w:t>large</w:t>
      </w:r>
      <w:r w:rsidR="00615236" w:rsidRPr="004974C1">
        <w:rPr>
          <w:rFonts w:eastAsiaTheme="minorEastAsia"/>
        </w:rPr>
        <w:t xml:space="preserve"> </w:t>
      </w:r>
      <w:r w:rsidRPr="004974C1">
        <w:rPr>
          <w:rFonts w:eastAsiaTheme="minorEastAsia"/>
        </w:rPr>
        <w:t xml:space="preserve">and diverse as </w:t>
      </w:r>
      <w:r w:rsidR="005C26E5">
        <w:rPr>
          <w:rFonts w:eastAsiaTheme="minorEastAsia"/>
        </w:rPr>
        <w:t>the country’</w:t>
      </w:r>
      <w:r w:rsidR="00EC29E2">
        <w:rPr>
          <w:rFonts w:eastAsiaTheme="minorEastAsia"/>
        </w:rPr>
        <w:t>s</w:t>
      </w:r>
      <w:r w:rsidR="005C26E5" w:rsidRPr="004974C1">
        <w:rPr>
          <w:rFonts w:eastAsiaTheme="minorEastAsia"/>
        </w:rPr>
        <w:t xml:space="preserve"> </w:t>
      </w:r>
      <w:r w:rsidRPr="004974C1">
        <w:rPr>
          <w:rFonts w:eastAsiaTheme="minorEastAsia"/>
        </w:rPr>
        <w:t xml:space="preserve">population. </w:t>
      </w:r>
      <w:r w:rsidR="00615236">
        <w:rPr>
          <w:rFonts w:eastAsiaTheme="minorEastAsia"/>
        </w:rPr>
        <w:t>PricewaterhouseCoopers</w:t>
      </w:r>
      <w:r w:rsidRPr="004974C1">
        <w:rPr>
          <w:rFonts w:eastAsiaTheme="minorEastAsia"/>
        </w:rPr>
        <w:t xml:space="preserve"> forecast that the </w:t>
      </w:r>
      <w:r w:rsidR="00615236">
        <w:rPr>
          <w:rFonts w:eastAsiaTheme="minorEastAsia"/>
        </w:rPr>
        <w:t xml:space="preserve">industry’s compound annual growth rate (CAGR) </w:t>
      </w:r>
      <w:r w:rsidRPr="004974C1">
        <w:rPr>
          <w:rFonts w:eastAsiaTheme="minorEastAsia"/>
        </w:rPr>
        <w:t xml:space="preserve">in </w:t>
      </w:r>
      <w:r w:rsidR="00615236">
        <w:rPr>
          <w:rFonts w:eastAsiaTheme="minorEastAsia"/>
        </w:rPr>
        <w:t>India</w:t>
      </w:r>
      <w:r w:rsidRPr="004974C1">
        <w:rPr>
          <w:rFonts w:eastAsiaTheme="minorEastAsia"/>
        </w:rPr>
        <w:t xml:space="preserve"> would </w:t>
      </w:r>
      <w:r w:rsidR="00615236">
        <w:rPr>
          <w:rFonts w:eastAsiaTheme="minorEastAsia"/>
        </w:rPr>
        <w:t>reach</w:t>
      </w:r>
      <w:r w:rsidR="00615236" w:rsidRPr="004974C1">
        <w:rPr>
          <w:rFonts w:eastAsiaTheme="minorEastAsia"/>
        </w:rPr>
        <w:t xml:space="preserve"> </w:t>
      </w:r>
      <w:r w:rsidRPr="004974C1">
        <w:rPr>
          <w:rFonts w:eastAsiaTheme="minorEastAsia"/>
        </w:rPr>
        <w:t>10.8</w:t>
      </w:r>
      <w:r w:rsidR="00615236">
        <w:rPr>
          <w:rFonts w:eastAsiaTheme="minorEastAsia"/>
        </w:rPr>
        <w:t xml:space="preserve"> per cent by 2021, </w:t>
      </w:r>
      <w:r w:rsidRPr="004974C1">
        <w:rPr>
          <w:rFonts w:eastAsiaTheme="minorEastAsia"/>
        </w:rPr>
        <w:t xml:space="preserve">more than double the </w:t>
      </w:r>
      <w:r w:rsidR="00BB032E">
        <w:rPr>
          <w:rFonts w:eastAsiaTheme="minorEastAsia"/>
        </w:rPr>
        <w:t xml:space="preserve">4.2 per cent </w:t>
      </w:r>
      <w:r w:rsidR="00615236">
        <w:rPr>
          <w:rFonts w:eastAsiaTheme="minorEastAsia"/>
        </w:rPr>
        <w:t xml:space="preserve">growth rate </w:t>
      </w:r>
      <w:r w:rsidR="00076750" w:rsidRPr="004974C1">
        <w:rPr>
          <w:rFonts w:eastAsiaTheme="minorEastAsia"/>
        </w:rPr>
        <w:t xml:space="preserve">expected </w:t>
      </w:r>
      <w:r w:rsidRPr="004974C1">
        <w:rPr>
          <w:rFonts w:eastAsiaTheme="minorEastAsia"/>
        </w:rPr>
        <w:t>global</w:t>
      </w:r>
      <w:r w:rsidR="00615236">
        <w:rPr>
          <w:rFonts w:eastAsiaTheme="minorEastAsia"/>
        </w:rPr>
        <w:t>ly</w:t>
      </w:r>
      <w:r w:rsidR="00BB032E">
        <w:rPr>
          <w:rFonts w:eastAsiaTheme="minorEastAsia"/>
        </w:rPr>
        <w:t xml:space="preserve">, and </w:t>
      </w:r>
      <w:r w:rsidR="00F97F4F">
        <w:rPr>
          <w:rFonts w:eastAsiaTheme="minorEastAsia"/>
        </w:rPr>
        <w:t>that</w:t>
      </w:r>
      <w:r w:rsidR="00EC29E2">
        <w:rPr>
          <w:rFonts w:eastAsiaTheme="minorEastAsia"/>
        </w:rPr>
        <w:t xml:space="preserve"> </w:t>
      </w:r>
      <w:r w:rsidR="00BB032E">
        <w:rPr>
          <w:rFonts w:eastAsiaTheme="minorEastAsia"/>
        </w:rPr>
        <w:t>t</w:t>
      </w:r>
      <w:r w:rsidRPr="004974C1">
        <w:rPr>
          <w:rFonts w:eastAsiaTheme="minorEastAsia"/>
        </w:rPr>
        <w:t xml:space="preserve">he </w:t>
      </w:r>
      <w:r w:rsidR="00BB032E">
        <w:rPr>
          <w:rFonts w:eastAsiaTheme="minorEastAsia"/>
        </w:rPr>
        <w:t xml:space="preserve">value of the </w:t>
      </w:r>
      <w:r w:rsidRPr="004974C1">
        <w:rPr>
          <w:rFonts w:eastAsiaTheme="minorEastAsia"/>
        </w:rPr>
        <w:t xml:space="preserve">Indian media and entertainment </w:t>
      </w:r>
      <w:r w:rsidR="00BB032E">
        <w:rPr>
          <w:rFonts w:eastAsiaTheme="minorEastAsia"/>
        </w:rPr>
        <w:t xml:space="preserve">market </w:t>
      </w:r>
      <w:r w:rsidRPr="004974C1">
        <w:rPr>
          <w:rFonts w:eastAsiaTheme="minorEastAsia"/>
        </w:rPr>
        <w:t xml:space="preserve">would </w:t>
      </w:r>
      <w:r w:rsidR="00BB032E">
        <w:rPr>
          <w:rFonts w:eastAsiaTheme="minorEastAsia"/>
        </w:rPr>
        <w:t>grow from US$27.3 billion</w:t>
      </w:r>
      <w:r w:rsidR="00BB032E">
        <w:rPr>
          <w:rStyle w:val="FootnoteReference"/>
          <w:rFonts w:eastAsiaTheme="minorEastAsia"/>
        </w:rPr>
        <w:footnoteReference w:id="4"/>
      </w:r>
      <w:r w:rsidR="00BB032E">
        <w:rPr>
          <w:rFonts w:eastAsiaTheme="minorEastAsia"/>
        </w:rPr>
        <w:t xml:space="preserve"> in 2016 to </w:t>
      </w:r>
      <w:r w:rsidRPr="004974C1">
        <w:rPr>
          <w:rFonts w:eastAsiaTheme="minorEastAsia"/>
        </w:rPr>
        <w:t>reach $45.1</w:t>
      </w:r>
      <w:r w:rsidR="005C26E5">
        <w:rPr>
          <w:rFonts w:eastAsiaTheme="minorEastAsia"/>
        </w:rPr>
        <w:t xml:space="preserve"> </w:t>
      </w:r>
      <w:r w:rsidRPr="004974C1">
        <w:rPr>
          <w:rFonts w:eastAsiaTheme="minorEastAsia"/>
        </w:rPr>
        <w:t>billion by 2021</w:t>
      </w:r>
      <w:r w:rsidRPr="005133B4">
        <w:rPr>
          <w:color w:val="000000"/>
        </w:rPr>
        <w:t>.</w:t>
      </w:r>
      <w:bookmarkStart w:id="0" w:name="_Ref515997462"/>
      <w:r w:rsidRPr="005133B4">
        <w:rPr>
          <w:rStyle w:val="FootnoteReference"/>
        </w:rPr>
        <w:footnoteReference w:id="5"/>
      </w:r>
      <w:bookmarkEnd w:id="0"/>
      <w:r w:rsidR="005022FE" w:rsidRPr="005133B4">
        <w:rPr>
          <w:color w:val="000000"/>
        </w:rPr>
        <w:t xml:space="preserve"> </w:t>
      </w:r>
      <w:r w:rsidRPr="005133B4">
        <w:rPr>
          <w:color w:val="000000"/>
        </w:rPr>
        <w:t>The largest contributor to the Indian entertainment industry was television</w:t>
      </w:r>
      <w:r w:rsidR="00EC29E2">
        <w:rPr>
          <w:color w:val="000000"/>
        </w:rPr>
        <w:t>,</w:t>
      </w:r>
      <w:r w:rsidRPr="005133B4">
        <w:rPr>
          <w:color w:val="000000"/>
        </w:rPr>
        <w:t xml:space="preserve"> at 46</w:t>
      </w:r>
      <w:r w:rsidR="00BB032E" w:rsidRPr="005133B4">
        <w:rPr>
          <w:color w:val="000000"/>
        </w:rPr>
        <w:t xml:space="preserve"> per cent</w:t>
      </w:r>
      <w:r w:rsidRPr="005133B4">
        <w:rPr>
          <w:color w:val="000000"/>
        </w:rPr>
        <w:t xml:space="preserve"> (see Exhibit 1)</w:t>
      </w:r>
      <w:r w:rsidR="00BB032E" w:rsidRPr="005133B4">
        <w:rPr>
          <w:color w:val="000000"/>
        </w:rPr>
        <w:t xml:space="preserve">; </w:t>
      </w:r>
      <w:r w:rsidRPr="005133B4">
        <w:rPr>
          <w:color w:val="000000"/>
        </w:rPr>
        <w:t xml:space="preserve">digital </w:t>
      </w:r>
      <w:r w:rsidR="00EC29E2">
        <w:rPr>
          <w:color w:val="000000"/>
        </w:rPr>
        <w:t xml:space="preserve">content </w:t>
      </w:r>
      <w:r w:rsidR="00BB032E" w:rsidRPr="005133B4">
        <w:rPr>
          <w:color w:val="000000"/>
        </w:rPr>
        <w:t xml:space="preserve">made up </w:t>
      </w:r>
      <w:r w:rsidRPr="005133B4">
        <w:rPr>
          <w:color w:val="000000"/>
        </w:rPr>
        <w:t>6</w:t>
      </w:r>
      <w:r w:rsidR="00BB032E" w:rsidRPr="005133B4">
        <w:rPr>
          <w:color w:val="000000"/>
        </w:rPr>
        <w:t xml:space="preserve"> per cent of the market</w:t>
      </w:r>
      <w:r w:rsidR="00EC29E2">
        <w:rPr>
          <w:color w:val="000000"/>
        </w:rPr>
        <w:t>,</w:t>
      </w:r>
      <w:r w:rsidR="00BB032E" w:rsidRPr="005133B4">
        <w:rPr>
          <w:color w:val="000000"/>
        </w:rPr>
        <w:t xml:space="preserve"> </w:t>
      </w:r>
      <w:r w:rsidRPr="005133B4">
        <w:rPr>
          <w:color w:val="000000"/>
        </w:rPr>
        <w:t>and music 1</w:t>
      </w:r>
      <w:r w:rsidR="00BB032E" w:rsidRPr="005133B4">
        <w:rPr>
          <w:color w:val="000000"/>
        </w:rPr>
        <w:t xml:space="preserve"> per cent</w:t>
      </w:r>
      <w:r w:rsidRPr="005133B4">
        <w:rPr>
          <w:color w:val="000000"/>
        </w:rPr>
        <w:t xml:space="preserve">. </w:t>
      </w:r>
      <w:r w:rsidR="00BB032E" w:rsidRPr="005133B4">
        <w:rPr>
          <w:color w:val="000000"/>
        </w:rPr>
        <w:t>T</w:t>
      </w:r>
      <w:r w:rsidRPr="005133B4">
        <w:rPr>
          <w:color w:val="000000"/>
        </w:rPr>
        <w:t xml:space="preserve">he sectors expected to </w:t>
      </w:r>
      <w:r w:rsidR="00BB032E" w:rsidRPr="005133B4">
        <w:rPr>
          <w:color w:val="000000"/>
        </w:rPr>
        <w:t>grow</w:t>
      </w:r>
      <w:r w:rsidRPr="005133B4">
        <w:rPr>
          <w:color w:val="000000"/>
        </w:rPr>
        <w:t xml:space="preserve"> were digital content, radio, music</w:t>
      </w:r>
      <w:r w:rsidR="00EC29E2">
        <w:rPr>
          <w:color w:val="000000"/>
        </w:rPr>
        <w:t>,</w:t>
      </w:r>
      <w:r w:rsidRPr="005133B4">
        <w:rPr>
          <w:color w:val="000000"/>
        </w:rPr>
        <w:t xml:space="preserve"> and films (</w:t>
      </w:r>
      <w:r w:rsidR="00BB032E" w:rsidRPr="005133B4">
        <w:rPr>
          <w:color w:val="000000"/>
        </w:rPr>
        <w:t>s</w:t>
      </w:r>
      <w:r w:rsidRPr="005133B4">
        <w:rPr>
          <w:color w:val="000000"/>
        </w:rPr>
        <w:t>ee Exhibit 1).</w:t>
      </w:r>
      <w:r w:rsidR="00BB032E" w:rsidRPr="005133B4">
        <w:rPr>
          <w:rStyle w:val="FootnoteReference"/>
        </w:rPr>
        <w:footnoteReference w:id="6"/>
      </w:r>
      <w:r w:rsidR="00327A07" w:rsidRPr="005133B4">
        <w:rPr>
          <w:color w:val="000000"/>
        </w:rPr>
        <w:t xml:space="preserve"> </w:t>
      </w:r>
      <w:r w:rsidR="00EC29E2">
        <w:rPr>
          <w:color w:val="000000"/>
        </w:rPr>
        <w:t>T</w:t>
      </w:r>
      <w:r w:rsidR="00327A07" w:rsidRPr="005133B4">
        <w:rPr>
          <w:color w:val="000000"/>
        </w:rPr>
        <w:t xml:space="preserve">he media and entertainment industry in India </w:t>
      </w:r>
      <w:r w:rsidR="00EC29E2">
        <w:rPr>
          <w:color w:val="000000"/>
        </w:rPr>
        <w:t>was undergoing dramatic changes (</w:t>
      </w:r>
      <w:r w:rsidR="00327A07">
        <w:rPr>
          <w:rFonts w:eastAsiaTheme="minorEastAsia"/>
        </w:rPr>
        <w:t>s</w:t>
      </w:r>
      <w:r w:rsidR="00BB032E">
        <w:rPr>
          <w:rFonts w:eastAsiaTheme="minorEastAsia"/>
        </w:rPr>
        <w:t>ee</w:t>
      </w:r>
      <w:r w:rsidRPr="004974C1">
        <w:rPr>
          <w:rFonts w:eastAsiaTheme="minorEastAsia"/>
        </w:rPr>
        <w:t xml:space="preserve"> Exhibit</w:t>
      </w:r>
      <w:r w:rsidR="00BB032E">
        <w:rPr>
          <w:rFonts w:eastAsiaTheme="minorEastAsia"/>
        </w:rPr>
        <w:t xml:space="preserve"> </w:t>
      </w:r>
      <w:r w:rsidRPr="004974C1">
        <w:rPr>
          <w:rFonts w:eastAsiaTheme="minorEastAsia"/>
        </w:rPr>
        <w:t>2</w:t>
      </w:r>
      <w:r w:rsidR="00EC29E2">
        <w:rPr>
          <w:rFonts w:eastAsiaTheme="minorEastAsia"/>
        </w:rPr>
        <w:t>)</w:t>
      </w:r>
      <w:r w:rsidR="00ED347C">
        <w:rPr>
          <w:rFonts w:eastAsiaTheme="minorEastAsia"/>
        </w:rPr>
        <w:t>.</w:t>
      </w:r>
    </w:p>
    <w:p w14:paraId="16AA2B26" w14:textId="48832ABF" w:rsidR="00F313DF" w:rsidRPr="004974C1" w:rsidRDefault="00F313DF" w:rsidP="005133B4">
      <w:pPr>
        <w:pStyle w:val="BodyTextMain"/>
        <w:rPr>
          <w:shd w:val="clear" w:color="auto" w:fill="FFFFFF"/>
        </w:rPr>
      </w:pPr>
    </w:p>
    <w:p w14:paraId="1C62138C" w14:textId="703C38EC" w:rsidR="00D66310" w:rsidRDefault="00C351E2" w:rsidP="005133B4">
      <w:pPr>
        <w:pStyle w:val="BodyTextMain"/>
      </w:pPr>
      <w:r>
        <w:t xml:space="preserve">Historically, </w:t>
      </w:r>
      <w:r w:rsidR="00F313DF" w:rsidRPr="004974C1">
        <w:t xml:space="preserve">music cassettes </w:t>
      </w:r>
      <w:r w:rsidR="00EC29E2">
        <w:t xml:space="preserve">had </w:t>
      </w:r>
      <w:r w:rsidR="00F313DF" w:rsidRPr="004974C1">
        <w:t xml:space="preserve">replaced </w:t>
      </w:r>
      <w:r w:rsidR="008A0C4F">
        <w:t xml:space="preserve">vinyl </w:t>
      </w:r>
      <w:r w:rsidR="00F313DF" w:rsidRPr="004974C1">
        <w:t>record</w:t>
      </w:r>
      <w:r w:rsidR="008A0C4F">
        <w:t>s</w:t>
      </w:r>
      <w:r w:rsidR="00F313DF" w:rsidRPr="004974C1">
        <w:t xml:space="preserve"> </w:t>
      </w:r>
      <w:r>
        <w:t xml:space="preserve">in the latter half of the </w:t>
      </w:r>
      <w:r w:rsidR="00EC29E2">
        <w:t xml:space="preserve">20th </w:t>
      </w:r>
      <w:r>
        <w:t>century</w:t>
      </w:r>
      <w:r w:rsidR="008A0C4F">
        <w:t>, due largely to cassettes’</w:t>
      </w:r>
      <w:r w:rsidR="008A0C4F" w:rsidRPr="004974C1">
        <w:t xml:space="preserve"> advantage of portability</w:t>
      </w:r>
      <w:r w:rsidR="00F313DF" w:rsidRPr="004974C1">
        <w:t xml:space="preserve">. However, </w:t>
      </w:r>
      <w:r w:rsidR="008A0C4F">
        <w:t>music</w:t>
      </w:r>
      <w:r w:rsidR="008A0C4F" w:rsidRPr="004974C1">
        <w:t xml:space="preserve"> </w:t>
      </w:r>
      <w:r w:rsidR="00F313DF" w:rsidRPr="004974C1">
        <w:t xml:space="preserve">cassettes were easy to duplicate and </w:t>
      </w:r>
      <w:r w:rsidR="008A0C4F">
        <w:t xml:space="preserve">were </w:t>
      </w:r>
      <w:r w:rsidR="00F313DF" w:rsidRPr="004974C1">
        <w:t xml:space="preserve">thus prone to the threat of piracy. </w:t>
      </w:r>
      <w:r w:rsidR="00D66310">
        <w:t>S.F.</w:t>
      </w:r>
      <w:r w:rsidR="005C26E5">
        <w:t xml:space="preserve"> </w:t>
      </w:r>
      <w:r w:rsidR="00F313DF" w:rsidRPr="004974C1">
        <w:t>Karim</w:t>
      </w:r>
      <w:r>
        <w:t xml:space="preserve">, a senior consultant employed with </w:t>
      </w:r>
      <w:proofErr w:type="spellStart"/>
      <w:r>
        <w:t>Saregama</w:t>
      </w:r>
      <w:proofErr w:type="spellEnd"/>
      <w:r>
        <w:t xml:space="preserve"> since 1978</w:t>
      </w:r>
      <w:r w:rsidR="00D66310">
        <w:t>,</w:t>
      </w:r>
      <w:r w:rsidR="00F313DF" w:rsidRPr="004974C1">
        <w:t xml:space="preserve"> explained</w:t>
      </w:r>
      <w:r w:rsidR="00D66310">
        <w:t>:</w:t>
      </w:r>
    </w:p>
    <w:p w14:paraId="57BE2D0C" w14:textId="77777777" w:rsidR="00D66310" w:rsidRDefault="00D66310" w:rsidP="005133B4">
      <w:pPr>
        <w:pStyle w:val="BodyTextMain"/>
      </w:pPr>
    </w:p>
    <w:p w14:paraId="533F6845" w14:textId="4600F642" w:rsidR="004D6274" w:rsidRDefault="00F313DF" w:rsidP="00D66310">
      <w:pPr>
        <w:pStyle w:val="BodyTextMain"/>
        <w:ind w:left="720"/>
      </w:pPr>
      <w:r w:rsidRPr="004974C1">
        <w:t xml:space="preserve">With piracy, the legitimate music companies started getting hit. My products were copied and sold at cheaper rates in the market </w:t>
      </w:r>
      <w:r w:rsidR="00076750">
        <w:t>because</w:t>
      </w:r>
      <w:r w:rsidR="00076750" w:rsidRPr="004974C1">
        <w:t xml:space="preserve"> </w:t>
      </w:r>
      <w:r w:rsidR="00D66310">
        <w:t xml:space="preserve">the market vendors </w:t>
      </w:r>
      <w:r w:rsidRPr="004974C1">
        <w:t>didn’t have to pay for royalty, taxes, or advertising. Counterfeiting came in as the bigger second problem.</w:t>
      </w:r>
      <w:r w:rsidR="00D66310">
        <w:rPr>
          <w:iCs/>
        </w:rPr>
        <w:t xml:space="preserve"> </w:t>
      </w:r>
      <w:r w:rsidR="00D66310">
        <w:t>T</w:t>
      </w:r>
      <w:r w:rsidRPr="004974C1">
        <w:t xml:space="preserve">he look-alike products were doing rounds in the market and consumers were unable to differentiate. When I sold 2 million, 18 million were sold by </w:t>
      </w:r>
      <w:r w:rsidR="00D66310">
        <w:t>the market vendors</w:t>
      </w:r>
      <w:r w:rsidRPr="004974C1">
        <w:t>. Moreover, this escalated the problem of defective returns. Even if I didn’t sell much, I started receiving huge stocks of defective as well as unsellable returns</w:t>
      </w:r>
      <w:r w:rsidR="004D6274">
        <w:t>,</w:t>
      </w:r>
      <w:r w:rsidRPr="004974C1">
        <w:t xml:space="preserve"> most of which were look-alike counterfeit product.</w:t>
      </w:r>
    </w:p>
    <w:p w14:paraId="28A00A34" w14:textId="77777777" w:rsidR="004D6274" w:rsidRDefault="004D6274" w:rsidP="004D6274">
      <w:pPr>
        <w:pStyle w:val="BodyTextMain"/>
      </w:pPr>
    </w:p>
    <w:p w14:paraId="1B678EFC" w14:textId="7DDDC054" w:rsidR="00F313DF" w:rsidRPr="004974C1" w:rsidRDefault="004D6274">
      <w:pPr>
        <w:pStyle w:val="BodyTextMain"/>
      </w:pPr>
      <w:r>
        <w:t>M</w:t>
      </w:r>
      <w:r w:rsidR="00F313DF" w:rsidRPr="004974C1">
        <w:t>usic companies were equally concerned with noticeable changes in the consumption preferences of music consumer</w:t>
      </w:r>
      <w:r w:rsidR="00EC29E2">
        <w:t>s</w:t>
      </w:r>
      <w:r w:rsidR="00F313DF" w:rsidRPr="004974C1">
        <w:t xml:space="preserve"> (see Exhibit 3).</w:t>
      </w:r>
    </w:p>
    <w:p w14:paraId="6EE51FAD" w14:textId="77777777" w:rsidR="00F313DF" w:rsidRPr="00327A07" w:rsidRDefault="00F313DF" w:rsidP="00497261">
      <w:pPr>
        <w:pStyle w:val="BodyTextMain"/>
      </w:pPr>
    </w:p>
    <w:p w14:paraId="4DDC9275" w14:textId="71F14351" w:rsidR="00BF4B4A" w:rsidRDefault="002D0B42" w:rsidP="00F313DF">
      <w:pPr>
        <w:pStyle w:val="BodyTextMain"/>
      </w:pPr>
      <w:r>
        <w:t>At the same time,</w:t>
      </w:r>
      <w:r w:rsidR="00F313DF" w:rsidRPr="004974C1">
        <w:t xml:space="preserve"> the music industry </w:t>
      </w:r>
      <w:r>
        <w:t>became more cluttered as</w:t>
      </w:r>
      <w:r w:rsidR="00F313DF" w:rsidRPr="004974C1">
        <w:t xml:space="preserve"> a number of </w:t>
      </w:r>
      <w:r w:rsidR="00327918">
        <w:t xml:space="preserve">new firms </w:t>
      </w:r>
      <w:r w:rsidR="00F313DF" w:rsidRPr="004974C1">
        <w:t>established</w:t>
      </w:r>
      <w:r w:rsidR="00327918">
        <w:t xml:space="preserve"> themselves</w:t>
      </w:r>
      <w:r w:rsidR="005022FE">
        <w:t xml:space="preserve"> </w:t>
      </w:r>
      <w:r w:rsidR="00F313DF" w:rsidRPr="004974C1">
        <w:t>in the 1980s (see Exhibit 4). Karim shared</w:t>
      </w:r>
      <w:r w:rsidR="00BF4B4A">
        <w:t xml:space="preserve"> his observations:</w:t>
      </w:r>
    </w:p>
    <w:p w14:paraId="03346BA7" w14:textId="77777777" w:rsidR="00E513AB" w:rsidRDefault="00E513AB" w:rsidP="00F313DF">
      <w:pPr>
        <w:pStyle w:val="BodyTextMain"/>
      </w:pPr>
    </w:p>
    <w:p w14:paraId="2B928338" w14:textId="4AE8DC6D" w:rsidR="00BF4B4A" w:rsidRDefault="00F313DF" w:rsidP="00BF4B4A">
      <w:pPr>
        <w:pStyle w:val="BodyTextMain"/>
        <w:ind w:left="720"/>
      </w:pPr>
      <w:r w:rsidRPr="004974C1">
        <w:t>Till then</w:t>
      </w:r>
      <w:r w:rsidR="00BF4B4A">
        <w:t xml:space="preserve"> [the 1980s],</w:t>
      </w:r>
      <w:r w:rsidRPr="004974C1">
        <w:t xml:space="preserve"> we had a near monopoly, but during </w:t>
      </w:r>
      <w:r w:rsidR="00BF4B4A">
        <w:t>that</w:t>
      </w:r>
      <w:r w:rsidR="00BF4B4A" w:rsidRPr="004974C1">
        <w:t xml:space="preserve"> </w:t>
      </w:r>
      <w:r w:rsidRPr="004974C1">
        <w:t>time</w:t>
      </w:r>
      <w:r w:rsidR="00BF4B4A">
        <w:t>,</w:t>
      </w:r>
      <w:r w:rsidRPr="004974C1">
        <w:t xml:space="preserve"> artists started having other options</w:t>
      </w:r>
      <w:r w:rsidR="00327918">
        <w:t xml:space="preserve"> and</w:t>
      </w:r>
      <w:r w:rsidR="005022FE">
        <w:t xml:space="preserve"> </w:t>
      </w:r>
      <w:r w:rsidRPr="004974C1">
        <w:t xml:space="preserve">moved to companies that could give them a better deal. </w:t>
      </w:r>
      <w:r w:rsidR="00BF4B4A">
        <w:t xml:space="preserve">Similarly, </w:t>
      </w:r>
      <w:r w:rsidR="00327918">
        <w:t>firms</w:t>
      </w:r>
      <w:r w:rsidR="005022FE">
        <w:t xml:space="preserve"> </w:t>
      </w:r>
      <w:r w:rsidRPr="004974C1">
        <w:t xml:space="preserve">took a conscious decision to choose the artists. </w:t>
      </w:r>
      <w:r w:rsidR="00327918">
        <w:t>Today, things</w:t>
      </w:r>
      <w:r w:rsidRPr="004974C1">
        <w:t xml:space="preserve"> have changed</w:t>
      </w:r>
      <w:r w:rsidR="00BF4B4A">
        <w:t xml:space="preserve">: </w:t>
      </w:r>
      <w:r w:rsidRPr="004974C1">
        <w:t xml:space="preserve">artists are free to record with different music companies </w:t>
      </w:r>
      <w:r w:rsidR="00076750">
        <w:t>because</w:t>
      </w:r>
      <w:r w:rsidR="00076750" w:rsidRPr="004974C1">
        <w:t xml:space="preserve"> </w:t>
      </w:r>
      <w:r w:rsidRPr="004974C1">
        <w:t>there is no binding</w:t>
      </w:r>
      <w:r w:rsidR="00076750">
        <w:t xml:space="preserve"> agreement</w:t>
      </w:r>
      <w:r w:rsidR="00926512">
        <w:t>.</w:t>
      </w:r>
    </w:p>
    <w:p w14:paraId="33528531" w14:textId="77777777" w:rsidR="00BF4B4A" w:rsidRDefault="00BF4B4A" w:rsidP="00BF4B4A">
      <w:pPr>
        <w:pStyle w:val="BodyTextMain"/>
      </w:pPr>
    </w:p>
    <w:p w14:paraId="2FAF0225" w14:textId="47FC54C1" w:rsidR="00BF4B4A" w:rsidRDefault="00BF4B4A" w:rsidP="00BF4B4A">
      <w:pPr>
        <w:pStyle w:val="BodyTextMain"/>
      </w:pPr>
      <w:r>
        <w:t>During</w:t>
      </w:r>
      <w:r w:rsidR="00327918">
        <w:t xml:space="preserve"> this</w:t>
      </w:r>
      <w:r w:rsidR="00F313DF" w:rsidRPr="004974C1">
        <w:t xml:space="preserve"> period</w:t>
      </w:r>
      <w:r>
        <w:t>,</w:t>
      </w:r>
      <w:r w:rsidR="00F313DF" w:rsidRPr="004974C1">
        <w:t xml:space="preserve"> two kinds of music </w:t>
      </w:r>
      <w:r w:rsidR="00327918">
        <w:t>co-existed</w:t>
      </w:r>
      <w:r w:rsidR="002E7876">
        <w:t>—</w:t>
      </w:r>
      <w:r w:rsidR="00F313DF" w:rsidRPr="004974C1">
        <w:t>film and non-film</w:t>
      </w:r>
      <w:r w:rsidR="00EC29E2">
        <w:t xml:space="preserve"> music</w:t>
      </w:r>
      <w:r w:rsidR="00C7323D">
        <w:t>. Film music included a large number of popular movie songs</w:t>
      </w:r>
      <w:r w:rsidR="00EC29E2">
        <w:t>, which</w:t>
      </w:r>
      <w:r w:rsidR="00C7323D">
        <w:t xml:space="preserve"> were produced </w:t>
      </w:r>
      <w:r w:rsidR="00011F65">
        <w:t>specifically</w:t>
      </w:r>
      <w:r w:rsidR="00C7323D">
        <w:t xml:space="preserve"> for Hindi </w:t>
      </w:r>
      <w:r w:rsidR="00EC29E2">
        <w:t>and</w:t>
      </w:r>
      <w:r w:rsidR="00C7323D">
        <w:t xml:space="preserve"> vernacular movies and constituted an integral part of the movies and </w:t>
      </w:r>
      <w:r w:rsidR="00EC29E2">
        <w:t xml:space="preserve">their </w:t>
      </w:r>
      <w:r w:rsidR="00C7323D">
        <w:t xml:space="preserve">consequent popularity. </w:t>
      </w:r>
      <w:r w:rsidR="009D5080">
        <w:t>Non-</w:t>
      </w:r>
      <w:r w:rsidR="00C7323D">
        <w:t xml:space="preserve">film music </w:t>
      </w:r>
      <w:r w:rsidR="00EC29E2">
        <w:t xml:space="preserve">included </w:t>
      </w:r>
      <w:r w:rsidR="00C7323D">
        <w:t>albums released by independent artists and singers. T</w:t>
      </w:r>
      <w:r w:rsidR="00F313DF" w:rsidRPr="004974C1">
        <w:t>h</w:t>
      </w:r>
      <w:r w:rsidR="00327918">
        <w:t>us</w:t>
      </w:r>
      <w:r w:rsidR="00056C1D">
        <w:t>,</w:t>
      </w:r>
      <w:r w:rsidR="00F313DF" w:rsidRPr="004974C1">
        <w:t xml:space="preserve"> agreements were of two types. Karim explained</w:t>
      </w:r>
      <w:r>
        <w:t>:</w:t>
      </w:r>
    </w:p>
    <w:p w14:paraId="4A850E6B" w14:textId="77777777" w:rsidR="00BF4B4A" w:rsidRPr="00E117D9" w:rsidRDefault="00BF4B4A" w:rsidP="00BF4B4A">
      <w:pPr>
        <w:pStyle w:val="BodyTextMain"/>
        <w:rPr>
          <w:sz w:val="18"/>
        </w:rPr>
      </w:pPr>
    </w:p>
    <w:p w14:paraId="2C020F14" w14:textId="7527A847" w:rsidR="00F313DF" w:rsidRPr="004974C1" w:rsidRDefault="00F313DF" w:rsidP="00327A07">
      <w:pPr>
        <w:pStyle w:val="BodyTextMain"/>
        <w:ind w:left="720"/>
        <w:rPr>
          <w:i/>
        </w:rPr>
      </w:pPr>
      <w:r w:rsidRPr="004974C1">
        <w:t>To produce music, three things are required</w:t>
      </w:r>
      <w:r w:rsidR="002E7876">
        <w:t>:</w:t>
      </w:r>
      <w:r w:rsidRPr="004974C1">
        <w:t xml:space="preserve"> lyricist, music director</w:t>
      </w:r>
      <w:r w:rsidR="002E7876">
        <w:t>,</w:t>
      </w:r>
      <w:r w:rsidRPr="004974C1">
        <w:t xml:space="preserve"> and singer. In non-film, the music company</w:t>
      </w:r>
      <w:r w:rsidR="00327918">
        <w:t xml:space="preserve"> has</w:t>
      </w:r>
      <w:r w:rsidRPr="004974C1">
        <w:t xml:space="preserve"> control over all three elements. </w:t>
      </w:r>
      <w:r w:rsidR="00327918">
        <w:t>The company takes care of all promotions</w:t>
      </w:r>
      <w:r w:rsidR="00076750">
        <w:t>,</w:t>
      </w:r>
      <w:r w:rsidR="00327918">
        <w:t xml:space="preserve"> and the artist</w:t>
      </w:r>
      <w:r w:rsidRPr="004974C1">
        <w:t xml:space="preserve">, </w:t>
      </w:r>
      <w:r w:rsidR="00076750">
        <w:t>according to</w:t>
      </w:r>
      <w:r w:rsidRPr="004974C1">
        <w:t xml:space="preserve"> the agreed terms</w:t>
      </w:r>
      <w:r w:rsidR="00327918">
        <w:t>,</w:t>
      </w:r>
      <w:r w:rsidRPr="004974C1">
        <w:t xml:space="preserve"> </w:t>
      </w:r>
      <w:r w:rsidR="004454A3">
        <w:t xml:space="preserve">earns </w:t>
      </w:r>
      <w:r w:rsidR="002E7876">
        <w:t>a</w:t>
      </w:r>
      <w:r w:rsidRPr="004974C1">
        <w:t xml:space="preserve"> royalty </w:t>
      </w:r>
      <w:r w:rsidR="002E7876">
        <w:t xml:space="preserve">that </w:t>
      </w:r>
      <w:r w:rsidR="004454A3">
        <w:t>i</w:t>
      </w:r>
      <w:r w:rsidR="004454A3" w:rsidRPr="004974C1">
        <w:t xml:space="preserve">s </w:t>
      </w:r>
      <w:r w:rsidRPr="004974C1">
        <w:t xml:space="preserve">a certain percentage of the total </w:t>
      </w:r>
      <w:r w:rsidR="00327918">
        <w:t>music sales</w:t>
      </w:r>
      <w:r w:rsidRPr="004974C1">
        <w:t xml:space="preserve">. However, in </w:t>
      </w:r>
      <w:r w:rsidR="002E7876">
        <w:t xml:space="preserve">the </w:t>
      </w:r>
      <w:r w:rsidRPr="004974C1">
        <w:t>case of film</w:t>
      </w:r>
      <w:r w:rsidR="00327918">
        <w:t xml:space="preserve"> music</w:t>
      </w:r>
      <w:r w:rsidRPr="004974C1">
        <w:t>,</w:t>
      </w:r>
      <w:r w:rsidR="005022FE">
        <w:t xml:space="preserve"> </w:t>
      </w:r>
      <w:r w:rsidRPr="004974C1">
        <w:t>the royalty sharing agreement is between the film producer and the music company.</w:t>
      </w:r>
      <w:r w:rsidR="00836BFF" w:rsidRPr="004974C1">
        <w:rPr>
          <w:i/>
        </w:rPr>
        <w:t xml:space="preserve"> </w:t>
      </w:r>
    </w:p>
    <w:p w14:paraId="72445A5C" w14:textId="0AD74D19" w:rsidR="002E7876" w:rsidRDefault="002E7876" w:rsidP="00F313DF">
      <w:pPr>
        <w:pStyle w:val="BodyTextMain"/>
      </w:pPr>
      <w:r>
        <w:lastRenderedPageBreak/>
        <w:t xml:space="preserve">Shortly after </w:t>
      </w:r>
      <w:r w:rsidR="00F313DF" w:rsidRPr="004974C1">
        <w:t>2000</w:t>
      </w:r>
      <w:r>
        <w:t xml:space="preserve">, </w:t>
      </w:r>
      <w:r w:rsidR="00F313DF" w:rsidRPr="004974C1">
        <w:t xml:space="preserve">competitive players </w:t>
      </w:r>
      <w:r>
        <w:t xml:space="preserve">entered the market </w:t>
      </w:r>
      <w:r w:rsidR="00F313DF" w:rsidRPr="004974C1">
        <w:t xml:space="preserve">and a new business arrangement </w:t>
      </w:r>
      <w:r>
        <w:t>evolved</w:t>
      </w:r>
      <w:r w:rsidR="004454A3">
        <w:t xml:space="preserve"> that </w:t>
      </w:r>
      <w:r w:rsidR="004454A3" w:rsidRPr="004974C1">
        <w:t>guarantee</w:t>
      </w:r>
      <w:r w:rsidR="004454A3">
        <w:t xml:space="preserve">d </w:t>
      </w:r>
      <w:r>
        <w:t>a</w:t>
      </w:r>
      <w:r w:rsidRPr="002E7876">
        <w:t xml:space="preserve"> </w:t>
      </w:r>
      <w:r w:rsidRPr="004974C1">
        <w:t>minimum</w:t>
      </w:r>
      <w:r>
        <w:t xml:space="preserve"> </w:t>
      </w:r>
      <w:r w:rsidR="00011F65">
        <w:t>royalty</w:t>
      </w:r>
      <w:r w:rsidR="004454A3">
        <w:t>,</w:t>
      </w:r>
      <w:r w:rsidR="00011F65">
        <w:t xml:space="preserve"> paid upfront to the producer</w:t>
      </w:r>
      <w:r w:rsidR="004454A3">
        <w:t>,</w:t>
      </w:r>
      <w:r w:rsidR="00011F65">
        <w:t xml:space="preserve"> irrespective of sales</w:t>
      </w:r>
      <w:r w:rsidR="00676402">
        <w:t>.</w:t>
      </w:r>
      <w:r w:rsidR="00F313DF" w:rsidRPr="004974C1">
        <w:t xml:space="preserve"> </w:t>
      </w:r>
      <w:proofErr w:type="spellStart"/>
      <w:r w:rsidRPr="002E7876">
        <w:t>Ghanashyam</w:t>
      </w:r>
      <w:proofErr w:type="spellEnd"/>
      <w:r w:rsidRPr="002E7876" w:rsidDel="002E7876">
        <w:t xml:space="preserve"> </w:t>
      </w:r>
      <w:proofErr w:type="spellStart"/>
      <w:r w:rsidR="00F313DF" w:rsidRPr="004974C1">
        <w:t>Aayeer</w:t>
      </w:r>
      <w:proofErr w:type="spellEnd"/>
      <w:r w:rsidR="00F313DF" w:rsidRPr="004974C1">
        <w:t xml:space="preserve">, </w:t>
      </w:r>
      <w:proofErr w:type="spellStart"/>
      <w:r>
        <w:t>Saregama’s</w:t>
      </w:r>
      <w:proofErr w:type="spellEnd"/>
      <w:r>
        <w:t xml:space="preserve"> chief financial officer</w:t>
      </w:r>
      <w:r w:rsidR="00B6212A">
        <w:t xml:space="preserve"> (CFO)</w:t>
      </w:r>
      <w:r>
        <w:t xml:space="preserve">, </w:t>
      </w:r>
      <w:r w:rsidR="00F313DF" w:rsidRPr="004974C1">
        <w:t>explained this model</w:t>
      </w:r>
      <w:r>
        <w:t>:</w:t>
      </w:r>
    </w:p>
    <w:p w14:paraId="3EA21F9A" w14:textId="77777777" w:rsidR="002E7876" w:rsidRPr="00AA0758" w:rsidRDefault="002E7876" w:rsidP="00F313DF">
      <w:pPr>
        <w:pStyle w:val="BodyTextMain"/>
        <w:rPr>
          <w:sz w:val="18"/>
          <w:szCs w:val="18"/>
        </w:rPr>
      </w:pPr>
    </w:p>
    <w:p w14:paraId="0BD0CF78" w14:textId="7930AB59" w:rsidR="00F313DF" w:rsidRPr="004974C1" w:rsidRDefault="00F313DF" w:rsidP="00327A07">
      <w:pPr>
        <w:pStyle w:val="BodyTextMain"/>
        <w:ind w:left="720"/>
      </w:pPr>
      <w:r w:rsidRPr="004974C1">
        <w:t xml:space="preserve">Earlier acquisition was on </w:t>
      </w:r>
      <w:r w:rsidR="002E7876">
        <w:t xml:space="preserve">a </w:t>
      </w:r>
      <w:r w:rsidRPr="004974C1">
        <w:t>royalty sharing basis</w:t>
      </w:r>
      <w:r w:rsidR="002E7876">
        <w:t xml:space="preserve">, </w:t>
      </w:r>
      <w:r w:rsidRPr="004974C1">
        <w:t>so you s</w:t>
      </w:r>
      <w:r w:rsidR="002E7876">
        <w:t>a</w:t>
      </w:r>
      <w:r w:rsidRPr="004974C1">
        <w:t xml:space="preserve">nk </w:t>
      </w:r>
      <w:r w:rsidR="002E7876">
        <w:t>or</w:t>
      </w:r>
      <w:r w:rsidR="002E7876" w:rsidRPr="004974C1">
        <w:t xml:space="preserve"> </w:t>
      </w:r>
      <w:r w:rsidRPr="004974C1">
        <w:t>sw</w:t>
      </w:r>
      <w:r w:rsidR="002E7876">
        <w:t>a</w:t>
      </w:r>
      <w:r w:rsidRPr="004974C1">
        <w:t>m together, but T-Series</w:t>
      </w:r>
      <w:r w:rsidR="00B34A4D">
        <w:rPr>
          <w:rStyle w:val="FootnoteReference"/>
        </w:rPr>
        <w:footnoteReference w:id="7"/>
      </w:r>
      <w:r w:rsidRPr="004974C1">
        <w:t xml:space="preserve"> started offering </w:t>
      </w:r>
      <w:r w:rsidR="00091AB4">
        <w:t xml:space="preserve">a </w:t>
      </w:r>
      <w:r w:rsidRPr="004974C1">
        <w:t xml:space="preserve">minimum guarantee, which </w:t>
      </w:r>
      <w:r w:rsidR="00327918">
        <w:t>revolutionized the industry</w:t>
      </w:r>
      <w:r w:rsidRPr="004974C1">
        <w:t xml:space="preserve">. Producers found </w:t>
      </w:r>
      <w:r w:rsidR="00091AB4">
        <w:t>the guarantee</w:t>
      </w:r>
      <w:r w:rsidR="00091AB4" w:rsidRPr="004974C1">
        <w:t xml:space="preserve"> </w:t>
      </w:r>
      <w:r w:rsidRPr="004974C1">
        <w:t xml:space="preserve">most convenient </w:t>
      </w:r>
      <w:r w:rsidR="00926512">
        <w:t>because</w:t>
      </w:r>
      <w:r w:rsidR="00926512" w:rsidRPr="004974C1">
        <w:t xml:space="preserve"> </w:t>
      </w:r>
      <w:r w:rsidRPr="004974C1">
        <w:t xml:space="preserve">they started getting value up front instead of waiting for a </w:t>
      </w:r>
      <w:r w:rsidR="00327918">
        <w:t xml:space="preserve">longer payback </w:t>
      </w:r>
      <w:r w:rsidRPr="004974C1">
        <w:t>period. Th</w:t>
      </w:r>
      <w:r w:rsidR="00327918">
        <w:t>us</w:t>
      </w:r>
      <w:r w:rsidR="00091AB4">
        <w:t>,</w:t>
      </w:r>
      <w:r w:rsidRPr="004974C1">
        <w:t xml:space="preserve"> music acquisition</w:t>
      </w:r>
      <w:r w:rsidR="00327918">
        <w:t xml:space="preserve">s became </w:t>
      </w:r>
      <w:r w:rsidRPr="004974C1">
        <w:t>one of the most important source</w:t>
      </w:r>
      <w:r w:rsidR="00091AB4">
        <w:t>s</w:t>
      </w:r>
      <w:r w:rsidRPr="004974C1">
        <w:t xml:space="preserve"> of funding films. </w:t>
      </w:r>
      <w:r w:rsidR="00575A54">
        <w:t xml:space="preserve">So today, </w:t>
      </w:r>
      <w:r w:rsidRPr="004974C1">
        <w:t>music companies now need huge capital, both for IP acquisition as well as for managing music promotions.</w:t>
      </w:r>
    </w:p>
    <w:p w14:paraId="64B3EBA9" w14:textId="77777777" w:rsidR="00F313DF" w:rsidRPr="00AA0758" w:rsidRDefault="00F313DF" w:rsidP="00F313DF">
      <w:pPr>
        <w:pStyle w:val="BodyTextMain"/>
        <w:rPr>
          <w:sz w:val="18"/>
          <w:szCs w:val="18"/>
        </w:rPr>
      </w:pPr>
    </w:p>
    <w:p w14:paraId="2C3EF786" w14:textId="2F7EE382" w:rsidR="00091AB4" w:rsidRDefault="00091AB4" w:rsidP="00836BFF">
      <w:pPr>
        <w:pStyle w:val="BodyTextMain"/>
      </w:pPr>
      <w:r>
        <w:t xml:space="preserve">At about the same time, in 2004–2005, </w:t>
      </w:r>
      <w:r w:rsidR="00B34A4D">
        <w:t xml:space="preserve">the </w:t>
      </w:r>
      <w:r w:rsidR="00F313DF" w:rsidRPr="004974C1">
        <w:t xml:space="preserve">digital era became a reality. </w:t>
      </w:r>
      <w:proofErr w:type="spellStart"/>
      <w:r w:rsidR="00F313DF" w:rsidRPr="004974C1">
        <w:t>Aayeer</w:t>
      </w:r>
      <w:proofErr w:type="spellEnd"/>
      <w:r w:rsidR="00F313DF" w:rsidRPr="004974C1">
        <w:t xml:space="preserve"> summarized</w:t>
      </w:r>
      <w:r w:rsidR="00926512">
        <w:t xml:space="preserve"> the change</w:t>
      </w:r>
      <w:r>
        <w:t>:</w:t>
      </w:r>
    </w:p>
    <w:p w14:paraId="5AFCD315" w14:textId="77777777" w:rsidR="00091AB4" w:rsidRPr="00AA0758" w:rsidRDefault="00091AB4" w:rsidP="00836BFF">
      <w:pPr>
        <w:pStyle w:val="BodyTextMain"/>
        <w:rPr>
          <w:sz w:val="18"/>
          <w:szCs w:val="18"/>
        </w:rPr>
      </w:pPr>
    </w:p>
    <w:p w14:paraId="22BC639F" w14:textId="34EED2DB" w:rsidR="00091AB4" w:rsidRDefault="00F313DF" w:rsidP="00091AB4">
      <w:pPr>
        <w:pStyle w:val="BodyTextMain"/>
        <w:ind w:left="720"/>
      </w:pPr>
      <w:r w:rsidRPr="004974C1">
        <w:t>In this period</w:t>
      </w:r>
      <w:r w:rsidR="00091AB4">
        <w:t>,</w:t>
      </w:r>
      <w:r w:rsidRPr="004974C1">
        <w:t xml:space="preserve"> the telecom companies </w:t>
      </w:r>
      <w:r w:rsidR="00AF2402">
        <w:t>s</w:t>
      </w:r>
      <w:r w:rsidRPr="004974C1">
        <w:t xml:space="preserve">tarted introducing digital products, like caller ring-back tone, IVR </w:t>
      </w:r>
      <w:r w:rsidR="00091AB4">
        <w:t>[</w:t>
      </w:r>
      <w:r w:rsidRPr="004974C1">
        <w:t>interactive voice recorder</w:t>
      </w:r>
      <w:r w:rsidR="00091AB4">
        <w:t>],</w:t>
      </w:r>
      <w:r w:rsidRPr="004974C1">
        <w:t xml:space="preserve"> and others. The telecom companies thus became the single biggest revenue earner for all music companies. But </w:t>
      </w:r>
      <w:r w:rsidR="00AF2402">
        <w:t>slowly</w:t>
      </w:r>
      <w:r w:rsidRPr="004974C1">
        <w:t xml:space="preserve">, fatigue set in and revenues earned by the telecom companies came down to one-third </w:t>
      </w:r>
      <w:r w:rsidR="00091AB4">
        <w:t xml:space="preserve">of what they were in the </w:t>
      </w:r>
      <w:r w:rsidRPr="004974C1">
        <w:t>2010s.</w:t>
      </w:r>
    </w:p>
    <w:p w14:paraId="2064E249" w14:textId="77777777" w:rsidR="00091AB4" w:rsidRPr="00AA0758" w:rsidRDefault="00091AB4" w:rsidP="00091AB4">
      <w:pPr>
        <w:pStyle w:val="BodyTextMain"/>
        <w:rPr>
          <w:sz w:val="18"/>
          <w:szCs w:val="18"/>
        </w:rPr>
      </w:pPr>
    </w:p>
    <w:p w14:paraId="4FD81D22" w14:textId="68C2FFA2" w:rsidR="006F6966" w:rsidRPr="00AA0758" w:rsidRDefault="00F313DF" w:rsidP="00091AB4">
      <w:pPr>
        <w:pStyle w:val="BodyTextMain"/>
        <w:rPr>
          <w:spacing w:val="-4"/>
        </w:rPr>
      </w:pPr>
      <w:r w:rsidRPr="00AA0758">
        <w:rPr>
          <w:spacing w:val="-4"/>
        </w:rPr>
        <w:t xml:space="preserve">However, new sources of revenue opened with the entry of </w:t>
      </w:r>
      <w:r w:rsidR="00091AB4" w:rsidRPr="00AA0758">
        <w:rPr>
          <w:spacing w:val="-4"/>
        </w:rPr>
        <w:t>over-the-top (</w:t>
      </w:r>
      <w:r w:rsidR="00AF2402" w:rsidRPr="00AA0758">
        <w:rPr>
          <w:spacing w:val="-4"/>
        </w:rPr>
        <w:t>OTT</w:t>
      </w:r>
      <w:r w:rsidR="00091AB4" w:rsidRPr="00AA0758">
        <w:rPr>
          <w:spacing w:val="-4"/>
        </w:rPr>
        <w:t>)</w:t>
      </w:r>
      <w:r w:rsidR="00AF2402" w:rsidRPr="00AA0758">
        <w:rPr>
          <w:spacing w:val="-4"/>
        </w:rPr>
        <w:t xml:space="preserve"> </w:t>
      </w:r>
      <w:r w:rsidRPr="00AA0758">
        <w:rPr>
          <w:spacing w:val="-4"/>
        </w:rPr>
        <w:t xml:space="preserve">service providers like </w:t>
      </w:r>
      <w:proofErr w:type="spellStart"/>
      <w:r w:rsidRPr="00AA0758">
        <w:rPr>
          <w:spacing w:val="-4"/>
        </w:rPr>
        <w:t>Gaana</w:t>
      </w:r>
      <w:proofErr w:type="spellEnd"/>
      <w:r w:rsidR="001C5FDA" w:rsidRPr="00AA0758">
        <w:rPr>
          <w:spacing w:val="-4"/>
        </w:rPr>
        <w:t xml:space="preserve"> and</w:t>
      </w:r>
      <w:r w:rsidRPr="00AA0758">
        <w:rPr>
          <w:spacing w:val="-4"/>
        </w:rPr>
        <w:t xml:space="preserve"> </w:t>
      </w:r>
      <w:proofErr w:type="spellStart"/>
      <w:r w:rsidRPr="00AA0758">
        <w:rPr>
          <w:spacing w:val="-4"/>
        </w:rPr>
        <w:t>Saavn</w:t>
      </w:r>
      <w:proofErr w:type="spellEnd"/>
      <w:r w:rsidR="00091AB4" w:rsidRPr="00AA0758">
        <w:rPr>
          <w:spacing w:val="-4"/>
        </w:rPr>
        <w:t>, which operated</w:t>
      </w:r>
      <w:r w:rsidR="00931B65" w:rsidRPr="00AA0758">
        <w:rPr>
          <w:spacing w:val="-4"/>
        </w:rPr>
        <w:t xml:space="preserve"> in India </w:t>
      </w:r>
      <w:r w:rsidR="00091AB4" w:rsidRPr="00AA0758">
        <w:rPr>
          <w:spacing w:val="-4"/>
        </w:rPr>
        <w:t>much as</w:t>
      </w:r>
      <w:r w:rsidR="00931B65" w:rsidRPr="00AA0758">
        <w:rPr>
          <w:spacing w:val="-4"/>
        </w:rPr>
        <w:t xml:space="preserve"> their counterparts Netflix </w:t>
      </w:r>
      <w:r w:rsidR="001C5FDA" w:rsidRPr="00AA0758">
        <w:rPr>
          <w:spacing w:val="-4"/>
        </w:rPr>
        <w:t xml:space="preserve">and </w:t>
      </w:r>
      <w:r w:rsidR="00931B65" w:rsidRPr="00AA0758">
        <w:rPr>
          <w:spacing w:val="-4"/>
        </w:rPr>
        <w:t>Amazon Prime</w:t>
      </w:r>
      <w:r w:rsidR="00091AB4" w:rsidRPr="00AA0758">
        <w:rPr>
          <w:spacing w:val="-4"/>
        </w:rPr>
        <w:t xml:space="preserve"> operated </w:t>
      </w:r>
      <w:r w:rsidR="00AF2402" w:rsidRPr="00AA0758">
        <w:rPr>
          <w:spacing w:val="-4"/>
        </w:rPr>
        <w:t>in Western markets</w:t>
      </w:r>
      <w:r w:rsidRPr="00AA0758">
        <w:rPr>
          <w:spacing w:val="-4"/>
        </w:rPr>
        <w:t>.</w:t>
      </w:r>
      <w:r w:rsidR="006F6966" w:rsidRPr="00AA0758">
        <w:rPr>
          <w:spacing w:val="-4"/>
        </w:rPr>
        <w:t xml:space="preserve"> These OTT services provided content directly to viewers over the Internet, bypassing companies such as cable or broadcast</w:t>
      </w:r>
      <w:r w:rsidR="004454A3" w:rsidRPr="00AA0758">
        <w:rPr>
          <w:spacing w:val="-4"/>
        </w:rPr>
        <w:t xml:space="preserve"> networks</w:t>
      </w:r>
      <w:r w:rsidR="006F6966" w:rsidRPr="00AA0758">
        <w:rPr>
          <w:spacing w:val="-4"/>
        </w:rPr>
        <w:t xml:space="preserve">, </w:t>
      </w:r>
      <w:r w:rsidR="004454A3" w:rsidRPr="00AA0758">
        <w:rPr>
          <w:spacing w:val="-4"/>
        </w:rPr>
        <w:t xml:space="preserve">which had </w:t>
      </w:r>
      <w:r w:rsidR="006F6966" w:rsidRPr="00AA0758">
        <w:rPr>
          <w:spacing w:val="-4"/>
        </w:rPr>
        <w:t>traditionally control</w:t>
      </w:r>
      <w:r w:rsidR="004454A3" w:rsidRPr="00AA0758">
        <w:rPr>
          <w:spacing w:val="-4"/>
        </w:rPr>
        <w:t>led</w:t>
      </w:r>
      <w:r w:rsidR="006F6966" w:rsidRPr="00AA0758">
        <w:rPr>
          <w:spacing w:val="-4"/>
        </w:rPr>
        <w:t xml:space="preserve"> and distribute</w:t>
      </w:r>
      <w:r w:rsidR="004454A3" w:rsidRPr="00AA0758">
        <w:rPr>
          <w:spacing w:val="-4"/>
        </w:rPr>
        <w:t>d</w:t>
      </w:r>
      <w:r w:rsidR="006F6966" w:rsidRPr="00AA0758">
        <w:rPr>
          <w:spacing w:val="-4"/>
        </w:rPr>
        <w:t xml:space="preserve"> the content.</w:t>
      </w:r>
      <w:r w:rsidR="00931B65" w:rsidRPr="00AA0758">
        <w:rPr>
          <w:spacing w:val="-4"/>
        </w:rPr>
        <w:t xml:space="preserve"> OTT</w:t>
      </w:r>
      <w:r w:rsidR="006F6966" w:rsidRPr="00AA0758">
        <w:rPr>
          <w:spacing w:val="-4"/>
        </w:rPr>
        <w:t xml:space="preserve"> services </w:t>
      </w:r>
      <w:r w:rsidR="00931B65" w:rsidRPr="00AA0758">
        <w:rPr>
          <w:spacing w:val="-4"/>
        </w:rPr>
        <w:t>distribute</w:t>
      </w:r>
      <w:r w:rsidR="006F6966" w:rsidRPr="00AA0758">
        <w:rPr>
          <w:spacing w:val="-4"/>
        </w:rPr>
        <w:t>d</w:t>
      </w:r>
      <w:r w:rsidR="00931B65" w:rsidRPr="00AA0758">
        <w:rPr>
          <w:spacing w:val="-4"/>
        </w:rPr>
        <w:t xml:space="preserve"> streaming media</w:t>
      </w:r>
      <w:r w:rsidR="00AF2402" w:rsidRPr="00AA0758">
        <w:rPr>
          <w:spacing w:val="-4"/>
        </w:rPr>
        <w:t xml:space="preserve"> that </w:t>
      </w:r>
      <w:r w:rsidR="006F6966" w:rsidRPr="00AA0758">
        <w:rPr>
          <w:spacing w:val="-4"/>
        </w:rPr>
        <w:t>could be conveniently accessed</w:t>
      </w:r>
      <w:r w:rsidR="00931B65" w:rsidRPr="00AA0758">
        <w:rPr>
          <w:spacing w:val="-4"/>
        </w:rPr>
        <w:t xml:space="preserve"> anytime</w:t>
      </w:r>
      <w:r w:rsidR="006F6966" w:rsidRPr="00AA0758">
        <w:rPr>
          <w:spacing w:val="-4"/>
        </w:rPr>
        <w:t>,</w:t>
      </w:r>
      <w:r w:rsidR="00931B65" w:rsidRPr="00AA0758">
        <w:rPr>
          <w:spacing w:val="-4"/>
        </w:rPr>
        <w:t xml:space="preserve"> anywhere.</w:t>
      </w:r>
      <w:r w:rsidR="006F6966" w:rsidRPr="00AA0758">
        <w:rPr>
          <w:rFonts w:ascii="Arial" w:hAnsi="Arial" w:cs="Arial"/>
          <w:color w:val="222222"/>
          <w:spacing w:val="-4"/>
          <w:shd w:val="clear" w:color="auto" w:fill="FFFFFF"/>
        </w:rPr>
        <w:t xml:space="preserve"> </w:t>
      </w:r>
      <w:proofErr w:type="spellStart"/>
      <w:r w:rsidRPr="00AA0758">
        <w:rPr>
          <w:spacing w:val="-4"/>
        </w:rPr>
        <w:t>Aayeer</w:t>
      </w:r>
      <w:proofErr w:type="spellEnd"/>
      <w:r w:rsidRPr="00AA0758">
        <w:rPr>
          <w:spacing w:val="-4"/>
        </w:rPr>
        <w:t xml:space="preserve"> </w:t>
      </w:r>
      <w:r w:rsidR="00AF2402" w:rsidRPr="00AA0758">
        <w:rPr>
          <w:spacing w:val="-4"/>
        </w:rPr>
        <w:t>explained</w:t>
      </w:r>
      <w:r w:rsidR="006F6966" w:rsidRPr="00AA0758">
        <w:rPr>
          <w:spacing w:val="-4"/>
        </w:rPr>
        <w:t>:</w:t>
      </w:r>
    </w:p>
    <w:p w14:paraId="7D9F6152" w14:textId="77777777" w:rsidR="006F6966" w:rsidRPr="00AA0758" w:rsidRDefault="006F6966" w:rsidP="00091AB4">
      <w:pPr>
        <w:pStyle w:val="BodyTextMain"/>
        <w:rPr>
          <w:sz w:val="18"/>
          <w:szCs w:val="18"/>
        </w:rPr>
      </w:pPr>
    </w:p>
    <w:p w14:paraId="65648DA8" w14:textId="10787EE3" w:rsidR="00F313DF" w:rsidRPr="004974C1" w:rsidRDefault="00AF2402" w:rsidP="00327A07">
      <w:pPr>
        <w:pStyle w:val="BodyTextMain"/>
        <w:ind w:left="720"/>
      </w:pPr>
      <w:r>
        <w:t xml:space="preserve">OTT is an exciting </w:t>
      </w:r>
      <w:r w:rsidR="00F313DF" w:rsidRPr="004974C1">
        <w:t xml:space="preserve">revenue earner </w:t>
      </w:r>
      <w:r>
        <w:t>for all Indian music players</w:t>
      </w:r>
      <w:r w:rsidR="006F6966">
        <w:t>—</w:t>
      </w:r>
      <w:r>
        <w:t xml:space="preserve">including </w:t>
      </w:r>
      <w:proofErr w:type="spellStart"/>
      <w:r w:rsidR="00F313DF" w:rsidRPr="004974C1">
        <w:t>Saregama</w:t>
      </w:r>
      <w:proofErr w:type="spellEnd"/>
      <w:r>
        <w:t>.</w:t>
      </w:r>
      <w:r w:rsidR="006F6966">
        <w:t xml:space="preserve"> </w:t>
      </w:r>
      <w:r w:rsidR="00F313DF" w:rsidRPr="004974C1">
        <w:t xml:space="preserve">A variation of the same OTT service is YouTube. </w:t>
      </w:r>
      <w:r w:rsidR="006F6966">
        <w:t>It</w:t>
      </w:r>
      <w:r w:rsidR="00F313DF" w:rsidRPr="004974C1">
        <w:t xml:space="preserve"> is by </w:t>
      </w:r>
      <w:proofErr w:type="gramStart"/>
      <w:r w:rsidR="00F313DF" w:rsidRPr="004974C1">
        <w:t>far</w:t>
      </w:r>
      <w:r w:rsidR="00AA0758">
        <w:t xml:space="preserve"> </w:t>
      </w:r>
      <w:r w:rsidR="00F313DF" w:rsidRPr="004974C1">
        <w:t xml:space="preserve"> the</w:t>
      </w:r>
      <w:proofErr w:type="gramEnd"/>
      <w:r w:rsidR="00F313DF" w:rsidRPr="004974C1">
        <w:t xml:space="preserve"> largest music service in the world. It brought down the valuation of music drastically. For one stream, YouTube is currently earning anything </w:t>
      </w:r>
      <w:proofErr w:type="gramStart"/>
      <w:r w:rsidR="00F313DF" w:rsidRPr="004974C1">
        <w:t>between one pais</w:t>
      </w:r>
      <w:r w:rsidR="006F6966">
        <w:t>a</w:t>
      </w:r>
      <w:r w:rsidR="006F6966">
        <w:rPr>
          <w:rStyle w:val="FootnoteReference"/>
        </w:rPr>
        <w:footnoteReference w:id="8"/>
      </w:r>
      <w:r w:rsidR="00F313DF" w:rsidRPr="004974C1">
        <w:t xml:space="preserve"> to three </w:t>
      </w:r>
      <w:proofErr w:type="spellStart"/>
      <w:r w:rsidR="00F313DF" w:rsidRPr="004974C1">
        <w:t>paise</w:t>
      </w:r>
      <w:proofErr w:type="spellEnd"/>
      <w:r w:rsidR="00F313DF" w:rsidRPr="004974C1">
        <w:t>, so it is as low as that</w:t>
      </w:r>
      <w:proofErr w:type="gramEnd"/>
      <w:r w:rsidR="008F2339">
        <w:t>.</w:t>
      </w:r>
      <w:r w:rsidR="00F313DF" w:rsidRPr="004974C1">
        <w:t xml:space="preserve"> </w:t>
      </w:r>
      <w:r w:rsidR="008F2339">
        <w:t>B</w:t>
      </w:r>
      <w:r w:rsidR="00F313DF" w:rsidRPr="004974C1">
        <w:t>ut</w:t>
      </w:r>
      <w:r>
        <w:t xml:space="preserve"> </w:t>
      </w:r>
      <w:r w:rsidR="00F313DF" w:rsidRPr="004974C1">
        <w:t>volumes</w:t>
      </w:r>
      <w:r>
        <w:t xml:space="preserve"> are huge</w:t>
      </w:r>
      <w:r w:rsidR="008F2339">
        <w:t>,</w:t>
      </w:r>
      <w:r>
        <w:t xml:space="preserve"> so earnings are big</w:t>
      </w:r>
      <w:r w:rsidR="008F2339">
        <w:t>. T</w:t>
      </w:r>
      <w:r w:rsidR="00F313DF" w:rsidRPr="004974C1">
        <w:t>he OTT service values one stream at 10</w:t>
      </w:r>
      <w:r w:rsidR="008F2339">
        <w:t>–</w:t>
      </w:r>
      <w:r w:rsidR="00F313DF" w:rsidRPr="004974C1">
        <w:t xml:space="preserve">12 </w:t>
      </w:r>
      <w:proofErr w:type="spellStart"/>
      <w:r w:rsidR="00F313DF" w:rsidRPr="004974C1">
        <w:t>paise</w:t>
      </w:r>
      <w:proofErr w:type="spellEnd"/>
      <w:r w:rsidR="00F313DF" w:rsidRPr="004974C1">
        <w:t>.</w:t>
      </w:r>
    </w:p>
    <w:p w14:paraId="5D9B4903" w14:textId="77777777" w:rsidR="00F313DF" w:rsidRPr="00AA0758" w:rsidRDefault="00F313DF" w:rsidP="00327A07">
      <w:pPr>
        <w:pStyle w:val="BodyTextMain"/>
        <w:rPr>
          <w:sz w:val="18"/>
          <w:szCs w:val="18"/>
        </w:rPr>
      </w:pPr>
    </w:p>
    <w:p w14:paraId="3903EFDD" w14:textId="4327DCF1" w:rsidR="00367200" w:rsidRDefault="00F313DF" w:rsidP="00836BFF">
      <w:pPr>
        <w:pStyle w:val="BodyTextMain"/>
      </w:pPr>
      <w:r w:rsidRPr="004974C1">
        <w:t xml:space="preserve">In this scenario, the other major revenue source for the music company was publishing. </w:t>
      </w:r>
      <w:proofErr w:type="spellStart"/>
      <w:r w:rsidRPr="004974C1">
        <w:t>Aayeer</w:t>
      </w:r>
      <w:proofErr w:type="spellEnd"/>
      <w:r w:rsidR="00367200">
        <w:t xml:space="preserve"> exp</w:t>
      </w:r>
      <w:r w:rsidR="00AF2402">
        <w:t>l</w:t>
      </w:r>
      <w:r w:rsidR="00367200">
        <w:t>a</w:t>
      </w:r>
      <w:r w:rsidR="00AF2402">
        <w:t>ined</w:t>
      </w:r>
      <w:r w:rsidR="008F2339">
        <w:t>:</w:t>
      </w:r>
      <w:r w:rsidRPr="004974C1">
        <w:t xml:space="preserve"> </w:t>
      </w:r>
    </w:p>
    <w:p w14:paraId="591E2E89" w14:textId="77777777" w:rsidR="00367200" w:rsidRPr="00AA0758" w:rsidRDefault="00367200" w:rsidP="00836BFF">
      <w:pPr>
        <w:pStyle w:val="BodyTextMain"/>
        <w:rPr>
          <w:sz w:val="18"/>
          <w:szCs w:val="18"/>
        </w:rPr>
      </w:pPr>
    </w:p>
    <w:p w14:paraId="294CCFE8" w14:textId="6F24EF87" w:rsidR="00F313DF" w:rsidRDefault="00F313DF" w:rsidP="00367200">
      <w:pPr>
        <w:pStyle w:val="BodyTextMain"/>
        <w:ind w:left="720"/>
      </w:pPr>
      <w:r w:rsidRPr="004974C1">
        <w:t>This means when a song recording gets played in your own house</w:t>
      </w:r>
      <w:r w:rsidR="008F2339">
        <w:t>,</w:t>
      </w:r>
      <w:r w:rsidRPr="004974C1">
        <w:t xml:space="preserve"> it is for your personal use, but if you play it in public, say </w:t>
      </w:r>
      <w:r w:rsidR="008F2339">
        <w:t xml:space="preserve">in a </w:t>
      </w:r>
      <w:r w:rsidRPr="004974C1">
        <w:t xml:space="preserve">restaurant or bar, then </w:t>
      </w:r>
      <w:r w:rsidR="008F2339">
        <w:t>the music</w:t>
      </w:r>
      <w:r w:rsidR="008F2339" w:rsidRPr="004974C1">
        <w:t xml:space="preserve"> </w:t>
      </w:r>
      <w:r w:rsidRPr="004974C1">
        <w:t xml:space="preserve">is used for public performance, which we refer </w:t>
      </w:r>
      <w:r w:rsidR="008F2339">
        <w:t xml:space="preserve">to </w:t>
      </w:r>
      <w:r w:rsidRPr="004974C1">
        <w:t xml:space="preserve">as </w:t>
      </w:r>
      <w:r w:rsidR="008F2339">
        <w:t>“</w:t>
      </w:r>
      <w:r w:rsidRPr="004974C1">
        <w:t>publishing.</w:t>
      </w:r>
      <w:r w:rsidR="008F2339">
        <w:t>”</w:t>
      </w:r>
      <w:r w:rsidRPr="004974C1">
        <w:t xml:space="preserve"> This comes with a cost. In addition, the song also has composition and lyrics. Some people can pick up lyrics and give it a tune or some people can add different lyrics to the existing tune. But that tune or </w:t>
      </w:r>
      <w:r w:rsidR="008F2339">
        <w:t>those</w:t>
      </w:r>
      <w:r w:rsidR="008F2339" w:rsidRPr="004974C1">
        <w:t xml:space="preserve"> </w:t>
      </w:r>
      <w:r w:rsidRPr="004974C1">
        <w:t xml:space="preserve">lyrics </w:t>
      </w:r>
      <w:r w:rsidR="008F2339">
        <w:t>are,</w:t>
      </w:r>
      <w:r w:rsidR="008F2339" w:rsidRPr="004974C1">
        <w:t xml:space="preserve"> </w:t>
      </w:r>
      <w:r w:rsidRPr="004974C1">
        <w:t>again</w:t>
      </w:r>
      <w:r w:rsidR="008F2339">
        <w:t>,</w:t>
      </w:r>
      <w:r w:rsidRPr="004974C1">
        <w:t xml:space="preserve"> owned by the music company. So for that</w:t>
      </w:r>
      <w:r w:rsidR="008F2339">
        <w:t>,</w:t>
      </w:r>
      <w:r w:rsidRPr="004974C1">
        <w:t xml:space="preserve"> a licen</w:t>
      </w:r>
      <w:r w:rsidR="008F2339">
        <w:t>c</w:t>
      </w:r>
      <w:r w:rsidRPr="004974C1">
        <w:t>e has to be taken</w:t>
      </w:r>
      <w:r w:rsidR="008F2339">
        <w:t>.</w:t>
      </w:r>
      <w:r w:rsidRPr="004974C1">
        <w:t xml:space="preserve"> In this sphere</w:t>
      </w:r>
      <w:r w:rsidR="008F2339">
        <w:t>,</w:t>
      </w:r>
      <w:r w:rsidRPr="004974C1">
        <w:t xml:space="preserve"> </w:t>
      </w:r>
      <w:r w:rsidR="00135D83">
        <w:t xml:space="preserve">we are one of the biggest because copyright of most of the earlier </w:t>
      </w:r>
      <w:r w:rsidRPr="004974C1">
        <w:t>classics and popular tracks</w:t>
      </w:r>
      <w:r w:rsidR="00135D83">
        <w:t xml:space="preserve"> lies with us</w:t>
      </w:r>
      <w:r w:rsidRPr="004974C1">
        <w:t>.</w:t>
      </w:r>
    </w:p>
    <w:p w14:paraId="727143D5" w14:textId="4E2E05DF" w:rsidR="00AA0758" w:rsidRPr="00AA0758" w:rsidRDefault="00AA0758" w:rsidP="00E513AB">
      <w:pPr>
        <w:pStyle w:val="BodyTextMain"/>
        <w:rPr>
          <w:sz w:val="18"/>
          <w:szCs w:val="18"/>
        </w:rPr>
      </w:pPr>
    </w:p>
    <w:p w14:paraId="56A42D14" w14:textId="77777777" w:rsidR="00AA0758" w:rsidRPr="00AA0758" w:rsidRDefault="00AA0758" w:rsidP="00E513AB">
      <w:pPr>
        <w:pStyle w:val="BodyTextMain"/>
        <w:rPr>
          <w:sz w:val="18"/>
          <w:szCs w:val="18"/>
        </w:rPr>
      </w:pPr>
    </w:p>
    <w:p w14:paraId="1F46EBB2" w14:textId="708AC7F1" w:rsidR="00F313DF" w:rsidRPr="004974C1" w:rsidRDefault="00F313DF" w:rsidP="00AA0758">
      <w:pPr>
        <w:pStyle w:val="Casehead1"/>
        <w:keepNext w:val="0"/>
      </w:pPr>
      <w:r w:rsidRPr="004974C1">
        <w:t xml:space="preserve">SAREGAMA india </w:t>
      </w:r>
      <w:r w:rsidR="00091F2F">
        <w:t>Limited</w:t>
      </w:r>
      <w:r w:rsidRPr="004974C1">
        <w:t xml:space="preserve">: </w:t>
      </w:r>
      <w:r w:rsidR="008F2339">
        <w:t>India’s</w:t>
      </w:r>
      <w:r w:rsidR="008F2339" w:rsidRPr="004974C1">
        <w:t xml:space="preserve"> </w:t>
      </w:r>
      <w:r w:rsidRPr="004974C1">
        <w:t>OLDEST MUSIC COMPANY</w:t>
      </w:r>
    </w:p>
    <w:p w14:paraId="7ECCCFC6" w14:textId="77777777" w:rsidR="00F313DF" w:rsidRPr="00AA0758" w:rsidRDefault="00F313DF" w:rsidP="00AA0758">
      <w:pPr>
        <w:pStyle w:val="BodyTextMain"/>
        <w:rPr>
          <w:sz w:val="18"/>
        </w:rPr>
      </w:pPr>
    </w:p>
    <w:p w14:paraId="23F44393" w14:textId="7996F9FD" w:rsidR="00836BFF" w:rsidRPr="004974C1" w:rsidRDefault="00317AF2" w:rsidP="00AA0758">
      <w:pPr>
        <w:pStyle w:val="Casehead2"/>
        <w:keepNext w:val="0"/>
        <w:rPr>
          <w:caps/>
          <w:u w:val="single"/>
        </w:rPr>
      </w:pPr>
      <w:r>
        <w:t>The Company’s</w:t>
      </w:r>
      <w:r w:rsidR="00F313DF" w:rsidRPr="004974C1">
        <w:t xml:space="preserve"> Lineage</w:t>
      </w:r>
    </w:p>
    <w:p w14:paraId="2EE0B14C" w14:textId="77777777" w:rsidR="00836BFF" w:rsidRPr="00AA0758" w:rsidRDefault="00836BFF" w:rsidP="00AA0758">
      <w:pPr>
        <w:pStyle w:val="BodyTextMain"/>
        <w:rPr>
          <w:sz w:val="18"/>
        </w:rPr>
      </w:pPr>
    </w:p>
    <w:p w14:paraId="7917B508" w14:textId="0BA9F003" w:rsidR="00091F2F" w:rsidRPr="000C63C1" w:rsidRDefault="00F313DF" w:rsidP="00AA0758">
      <w:pPr>
        <w:pStyle w:val="BodyTextMain"/>
        <w:rPr>
          <w:rFonts w:eastAsiaTheme="minorEastAsia"/>
          <w:spacing w:val="-4"/>
        </w:rPr>
      </w:pPr>
      <w:proofErr w:type="spellStart"/>
      <w:r w:rsidRPr="000C63C1">
        <w:rPr>
          <w:rFonts w:eastAsiaTheme="minorEastAsia"/>
          <w:spacing w:val="-4"/>
        </w:rPr>
        <w:t>Saregama</w:t>
      </w:r>
      <w:proofErr w:type="spellEnd"/>
      <w:r w:rsidR="00D54151" w:rsidRPr="000C63C1">
        <w:rPr>
          <w:rFonts w:eastAsiaTheme="minorEastAsia"/>
          <w:spacing w:val="-4"/>
        </w:rPr>
        <w:t xml:space="preserve">, formerly </w:t>
      </w:r>
      <w:r w:rsidR="001F63AD" w:rsidRPr="000C63C1">
        <w:rPr>
          <w:rFonts w:eastAsiaTheme="minorEastAsia"/>
          <w:spacing w:val="-4"/>
        </w:rPr>
        <w:t>the Gramophone Company of India</w:t>
      </w:r>
      <w:r w:rsidR="00581281" w:rsidRPr="000C63C1">
        <w:rPr>
          <w:rFonts w:eastAsiaTheme="minorEastAsia"/>
          <w:spacing w:val="-4"/>
        </w:rPr>
        <w:t xml:space="preserve"> (</w:t>
      </w:r>
      <w:r w:rsidR="009D5080" w:rsidRPr="000C63C1">
        <w:rPr>
          <w:rFonts w:eastAsiaTheme="minorEastAsia"/>
          <w:spacing w:val="-4"/>
        </w:rPr>
        <w:t>Gramophone</w:t>
      </w:r>
      <w:r w:rsidR="00581281" w:rsidRPr="000C63C1">
        <w:rPr>
          <w:rFonts w:eastAsiaTheme="minorEastAsia"/>
          <w:spacing w:val="-4"/>
        </w:rPr>
        <w:t xml:space="preserve"> Company) and popularly known as</w:t>
      </w:r>
      <w:r w:rsidR="001F63AD" w:rsidRPr="000C63C1">
        <w:rPr>
          <w:rFonts w:eastAsiaTheme="minorEastAsia"/>
          <w:spacing w:val="-4"/>
        </w:rPr>
        <w:t xml:space="preserve"> </w:t>
      </w:r>
      <w:r w:rsidR="00581281" w:rsidRPr="000C63C1">
        <w:rPr>
          <w:rFonts w:eastAsiaTheme="minorEastAsia"/>
          <w:spacing w:val="-4"/>
        </w:rPr>
        <w:t>His Master’s Voice (</w:t>
      </w:r>
      <w:r w:rsidR="001F63AD" w:rsidRPr="000C63C1">
        <w:rPr>
          <w:rFonts w:eastAsiaTheme="minorEastAsia"/>
          <w:spacing w:val="-4"/>
        </w:rPr>
        <w:t>HMV)</w:t>
      </w:r>
      <w:r w:rsidR="00581281" w:rsidRPr="000C63C1">
        <w:rPr>
          <w:rFonts w:eastAsiaTheme="minorEastAsia"/>
          <w:spacing w:val="-4"/>
        </w:rPr>
        <w:t xml:space="preserve">, </w:t>
      </w:r>
      <w:r w:rsidR="001F63AD" w:rsidRPr="000C63C1">
        <w:rPr>
          <w:rFonts w:eastAsiaTheme="minorEastAsia"/>
          <w:spacing w:val="-4"/>
        </w:rPr>
        <w:t xml:space="preserve">was incorporated as a </w:t>
      </w:r>
      <w:r w:rsidR="004454A3" w:rsidRPr="000C63C1">
        <w:rPr>
          <w:rFonts w:eastAsiaTheme="minorEastAsia"/>
          <w:spacing w:val="-4"/>
        </w:rPr>
        <w:t>l</w:t>
      </w:r>
      <w:r w:rsidR="001F63AD" w:rsidRPr="000C63C1">
        <w:rPr>
          <w:rFonts w:eastAsiaTheme="minorEastAsia"/>
          <w:spacing w:val="-4"/>
        </w:rPr>
        <w:t>imited company in 1946</w:t>
      </w:r>
      <w:r w:rsidR="004454A3" w:rsidRPr="000C63C1">
        <w:rPr>
          <w:rFonts w:eastAsiaTheme="minorEastAsia"/>
          <w:spacing w:val="-4"/>
        </w:rPr>
        <w:t>.</w:t>
      </w:r>
      <w:r w:rsidR="00A22F16" w:rsidRPr="000C63C1">
        <w:rPr>
          <w:rStyle w:val="FootnoteReference"/>
          <w:rFonts w:eastAsiaTheme="minorEastAsia"/>
          <w:spacing w:val="-4"/>
        </w:rPr>
        <w:footnoteReference w:id="9"/>
      </w:r>
      <w:r w:rsidR="001F63AD" w:rsidRPr="000C63C1">
        <w:rPr>
          <w:rFonts w:eastAsiaTheme="minorEastAsia"/>
          <w:spacing w:val="-4"/>
        </w:rPr>
        <w:t xml:space="preserve"> As</w:t>
      </w:r>
      <w:r w:rsidRPr="000C63C1">
        <w:rPr>
          <w:rFonts w:eastAsiaTheme="minorEastAsia"/>
          <w:spacing w:val="-4"/>
        </w:rPr>
        <w:t xml:space="preserve"> the first overseas Indian branch of Electrical </w:t>
      </w:r>
      <w:r w:rsidR="008B581F" w:rsidRPr="000C63C1">
        <w:rPr>
          <w:rFonts w:eastAsiaTheme="minorEastAsia"/>
          <w:spacing w:val="-4"/>
        </w:rPr>
        <w:t xml:space="preserve">and </w:t>
      </w:r>
      <w:r w:rsidRPr="000C63C1">
        <w:rPr>
          <w:rFonts w:eastAsiaTheme="minorEastAsia"/>
          <w:spacing w:val="-4"/>
        </w:rPr>
        <w:t xml:space="preserve">Musical Industries </w:t>
      </w:r>
      <w:r w:rsidR="00091F2F" w:rsidRPr="000C63C1">
        <w:rPr>
          <w:rFonts w:eastAsiaTheme="minorEastAsia"/>
          <w:spacing w:val="-4"/>
        </w:rPr>
        <w:t>Limited</w:t>
      </w:r>
      <w:r w:rsidRPr="000C63C1">
        <w:rPr>
          <w:rFonts w:eastAsiaTheme="minorEastAsia"/>
          <w:spacing w:val="-4"/>
        </w:rPr>
        <w:t xml:space="preserve"> (EMI</w:t>
      </w:r>
      <w:r w:rsidR="00581281" w:rsidRPr="000C63C1">
        <w:rPr>
          <w:rFonts w:eastAsiaTheme="minorEastAsia"/>
          <w:spacing w:val="-4"/>
        </w:rPr>
        <w:t xml:space="preserve">) of </w:t>
      </w:r>
      <w:r w:rsidRPr="000C63C1">
        <w:rPr>
          <w:rFonts w:eastAsiaTheme="minorEastAsia"/>
          <w:spacing w:val="-4"/>
        </w:rPr>
        <w:t>London</w:t>
      </w:r>
      <w:r w:rsidR="001F63AD" w:rsidRPr="000C63C1">
        <w:rPr>
          <w:rFonts w:eastAsiaTheme="minorEastAsia"/>
          <w:spacing w:val="-4"/>
        </w:rPr>
        <w:t xml:space="preserve">, </w:t>
      </w:r>
      <w:r w:rsidR="003F548A" w:rsidRPr="000C63C1">
        <w:rPr>
          <w:rFonts w:eastAsiaTheme="minorEastAsia"/>
          <w:spacing w:val="-4"/>
        </w:rPr>
        <w:t xml:space="preserve">HMV’s </w:t>
      </w:r>
      <w:r w:rsidRPr="000C63C1">
        <w:rPr>
          <w:rFonts w:eastAsiaTheme="minorEastAsia"/>
          <w:spacing w:val="-4"/>
        </w:rPr>
        <w:t xml:space="preserve">strong initial inroads into production of </w:t>
      </w:r>
      <w:r w:rsidRPr="000C63C1">
        <w:rPr>
          <w:rFonts w:eastAsiaTheme="minorEastAsia"/>
          <w:spacing w:val="-4"/>
        </w:rPr>
        <w:lastRenderedPageBreak/>
        <w:t>music, cinema</w:t>
      </w:r>
      <w:r w:rsidR="008B76D0" w:rsidRPr="000C63C1">
        <w:rPr>
          <w:rFonts w:eastAsiaTheme="minorEastAsia"/>
          <w:spacing w:val="-4"/>
        </w:rPr>
        <w:t>,</w:t>
      </w:r>
      <w:r w:rsidRPr="000C63C1">
        <w:rPr>
          <w:rFonts w:eastAsiaTheme="minorEastAsia"/>
          <w:spacing w:val="-4"/>
        </w:rPr>
        <w:t xml:space="preserve"> and media content transformed </w:t>
      </w:r>
      <w:r w:rsidR="008B76D0" w:rsidRPr="000C63C1">
        <w:rPr>
          <w:rFonts w:eastAsiaTheme="minorEastAsia"/>
          <w:spacing w:val="-4"/>
        </w:rPr>
        <w:t xml:space="preserve">the company </w:t>
      </w:r>
      <w:r w:rsidRPr="000C63C1">
        <w:rPr>
          <w:rFonts w:eastAsiaTheme="minorEastAsia"/>
          <w:spacing w:val="-4"/>
        </w:rPr>
        <w:t>into an invincible brand. However, increased and aggressive competition</w:t>
      </w:r>
      <w:r w:rsidR="00193E4A" w:rsidRPr="000C63C1">
        <w:rPr>
          <w:rFonts w:eastAsiaTheme="minorEastAsia"/>
          <w:spacing w:val="-4"/>
        </w:rPr>
        <w:t xml:space="preserve"> around </w:t>
      </w:r>
      <w:r w:rsidR="00581281" w:rsidRPr="000C63C1">
        <w:rPr>
          <w:rFonts w:eastAsiaTheme="minorEastAsia"/>
          <w:spacing w:val="-4"/>
        </w:rPr>
        <w:t>the 19</w:t>
      </w:r>
      <w:r w:rsidR="00193E4A" w:rsidRPr="000C63C1">
        <w:rPr>
          <w:rFonts w:eastAsiaTheme="minorEastAsia"/>
          <w:spacing w:val="-4"/>
        </w:rPr>
        <w:t>8</w:t>
      </w:r>
      <w:r w:rsidR="001F63AD" w:rsidRPr="000C63C1">
        <w:rPr>
          <w:rFonts w:eastAsiaTheme="minorEastAsia"/>
          <w:spacing w:val="-4"/>
        </w:rPr>
        <w:t>0s</w:t>
      </w:r>
      <w:r w:rsidRPr="000C63C1">
        <w:rPr>
          <w:rFonts w:eastAsiaTheme="minorEastAsia"/>
          <w:spacing w:val="-4"/>
        </w:rPr>
        <w:t xml:space="preserve"> led the company into </w:t>
      </w:r>
      <w:r w:rsidR="001C5FDA" w:rsidRPr="000C63C1">
        <w:rPr>
          <w:rFonts w:eastAsiaTheme="minorEastAsia"/>
          <w:spacing w:val="-4"/>
        </w:rPr>
        <w:t xml:space="preserve">large </w:t>
      </w:r>
      <w:r w:rsidRPr="000C63C1">
        <w:rPr>
          <w:rFonts w:eastAsiaTheme="minorEastAsia"/>
          <w:spacing w:val="-4"/>
        </w:rPr>
        <w:t>financial losses.</w:t>
      </w:r>
      <w:r w:rsidR="0061267D" w:rsidRPr="000C63C1">
        <w:rPr>
          <w:rFonts w:eastAsiaTheme="minorEastAsia"/>
          <w:spacing w:val="-4"/>
        </w:rPr>
        <w:t xml:space="preserve"> </w:t>
      </w:r>
      <w:r w:rsidR="00091F2F" w:rsidRPr="000C63C1">
        <w:rPr>
          <w:rFonts w:eastAsiaTheme="minorEastAsia"/>
          <w:spacing w:val="-4"/>
        </w:rPr>
        <w:t>I</w:t>
      </w:r>
      <w:r w:rsidRPr="000C63C1">
        <w:rPr>
          <w:rFonts w:eastAsiaTheme="minorEastAsia"/>
          <w:spacing w:val="-4"/>
        </w:rPr>
        <w:t>n 1985, legendary business doyen Rama Prasad</w:t>
      </w:r>
      <w:r w:rsidR="003053E0">
        <w:rPr>
          <w:rFonts w:eastAsiaTheme="minorEastAsia"/>
          <w:spacing w:val="-4"/>
        </w:rPr>
        <w:t xml:space="preserve"> (R.P.)</w:t>
      </w:r>
      <w:r w:rsidRPr="000C63C1">
        <w:rPr>
          <w:rFonts w:eastAsiaTheme="minorEastAsia"/>
          <w:spacing w:val="-4"/>
        </w:rPr>
        <w:t xml:space="preserve"> </w:t>
      </w:r>
      <w:proofErr w:type="spellStart"/>
      <w:r w:rsidRPr="000C63C1">
        <w:rPr>
          <w:rFonts w:eastAsiaTheme="minorEastAsia"/>
          <w:spacing w:val="-4"/>
        </w:rPr>
        <w:t>Goenka</w:t>
      </w:r>
      <w:proofErr w:type="spellEnd"/>
      <w:r w:rsidRPr="000C63C1">
        <w:rPr>
          <w:rFonts w:eastAsiaTheme="minorEastAsia"/>
          <w:spacing w:val="-4"/>
        </w:rPr>
        <w:t xml:space="preserve"> </w:t>
      </w:r>
      <w:r w:rsidR="00AC1DC1" w:rsidRPr="000C63C1">
        <w:rPr>
          <w:rFonts w:eastAsiaTheme="minorEastAsia"/>
          <w:spacing w:val="-4"/>
        </w:rPr>
        <w:t xml:space="preserve">of the RPG Group </w:t>
      </w:r>
      <w:r w:rsidRPr="000C63C1">
        <w:rPr>
          <w:rFonts w:eastAsiaTheme="minorEastAsia"/>
          <w:spacing w:val="-4"/>
        </w:rPr>
        <w:t>took over the financially ailing Gramophone Company</w:t>
      </w:r>
      <w:r w:rsidR="0061267D" w:rsidRPr="000C63C1">
        <w:rPr>
          <w:rFonts w:eastAsiaTheme="minorEastAsia"/>
          <w:spacing w:val="-4"/>
        </w:rPr>
        <w:t>.</w:t>
      </w:r>
      <w:r w:rsidRPr="000C63C1">
        <w:rPr>
          <w:rFonts w:eastAsiaTheme="minorEastAsia"/>
          <w:spacing w:val="-4"/>
        </w:rPr>
        <w:t xml:space="preserve"> </w:t>
      </w:r>
    </w:p>
    <w:p w14:paraId="798B47D4" w14:textId="5B091236" w:rsidR="000668A2" w:rsidRPr="00AA0758" w:rsidRDefault="000668A2" w:rsidP="00327A07">
      <w:pPr>
        <w:pStyle w:val="BodyTextMain"/>
        <w:rPr>
          <w:rFonts w:eastAsiaTheme="minorEastAsia"/>
          <w:sz w:val="18"/>
        </w:rPr>
      </w:pPr>
    </w:p>
    <w:p w14:paraId="122F3F9A" w14:textId="7DA5D093" w:rsidR="000668A2" w:rsidRPr="00AA0758" w:rsidRDefault="007D50E8" w:rsidP="00327A07">
      <w:pPr>
        <w:pStyle w:val="BodyTextMain"/>
        <w:rPr>
          <w:rFonts w:eastAsiaTheme="minorEastAsia"/>
          <w:spacing w:val="-4"/>
        </w:rPr>
      </w:pPr>
      <w:r w:rsidRPr="00AA0758">
        <w:rPr>
          <w:rFonts w:eastAsiaTheme="minorEastAsia"/>
          <w:spacing w:val="-4"/>
        </w:rPr>
        <w:t>I</w:t>
      </w:r>
      <w:r w:rsidR="00F313DF" w:rsidRPr="00AA0758">
        <w:rPr>
          <w:rFonts w:eastAsiaTheme="minorEastAsia"/>
          <w:spacing w:val="-4"/>
        </w:rPr>
        <w:t>n August 2000</w:t>
      </w:r>
      <w:r w:rsidR="000668A2" w:rsidRPr="00AA0758">
        <w:rPr>
          <w:rFonts w:eastAsiaTheme="minorEastAsia"/>
          <w:spacing w:val="-4"/>
        </w:rPr>
        <w:t>,</w:t>
      </w:r>
      <w:r w:rsidR="00F313DF" w:rsidRPr="00AA0758">
        <w:rPr>
          <w:rFonts w:eastAsiaTheme="minorEastAsia"/>
          <w:spacing w:val="-4"/>
        </w:rPr>
        <w:t xml:space="preserve"> </w:t>
      </w:r>
      <w:r w:rsidR="000668A2" w:rsidRPr="00AA0758">
        <w:rPr>
          <w:rFonts w:eastAsiaTheme="minorEastAsia"/>
          <w:spacing w:val="-4"/>
        </w:rPr>
        <w:t xml:space="preserve">recognizing that digital </w:t>
      </w:r>
      <w:r w:rsidR="00581281" w:rsidRPr="00AA0758">
        <w:rPr>
          <w:rFonts w:eastAsiaTheme="minorEastAsia"/>
          <w:spacing w:val="-4"/>
        </w:rPr>
        <w:t>media w</w:t>
      </w:r>
      <w:r w:rsidR="00056C1D">
        <w:rPr>
          <w:rFonts w:eastAsiaTheme="minorEastAsia"/>
          <w:spacing w:val="-4"/>
        </w:rPr>
        <w:t>as</w:t>
      </w:r>
      <w:r w:rsidR="00581281" w:rsidRPr="00AA0758">
        <w:rPr>
          <w:rFonts w:eastAsiaTheme="minorEastAsia"/>
          <w:spacing w:val="-4"/>
        </w:rPr>
        <w:t xml:space="preserve"> </w:t>
      </w:r>
      <w:r w:rsidR="000668A2" w:rsidRPr="00AA0758">
        <w:rPr>
          <w:rFonts w:eastAsiaTheme="minorEastAsia"/>
          <w:spacing w:val="-4"/>
        </w:rPr>
        <w:t xml:space="preserve">going to be the future, </w:t>
      </w:r>
      <w:r w:rsidRPr="00AA0758">
        <w:rPr>
          <w:rFonts w:eastAsiaTheme="minorEastAsia"/>
          <w:spacing w:val="-4"/>
        </w:rPr>
        <w:t>the firm ventured into the digital space and</w:t>
      </w:r>
      <w:r w:rsidR="005022FE" w:rsidRPr="00AA0758">
        <w:rPr>
          <w:rFonts w:eastAsiaTheme="minorEastAsia"/>
          <w:spacing w:val="-4"/>
        </w:rPr>
        <w:t xml:space="preserve"> </w:t>
      </w:r>
      <w:r w:rsidR="00F313DF" w:rsidRPr="00AA0758">
        <w:rPr>
          <w:rFonts w:eastAsiaTheme="minorEastAsia"/>
          <w:spacing w:val="-4"/>
        </w:rPr>
        <w:t>launched HamaraCD.com. The</w:t>
      </w:r>
      <w:r w:rsidR="005022FE" w:rsidRPr="00AA0758">
        <w:rPr>
          <w:rFonts w:eastAsiaTheme="minorEastAsia"/>
          <w:spacing w:val="-4"/>
        </w:rPr>
        <w:t xml:space="preserve"> </w:t>
      </w:r>
      <w:r w:rsidR="00F313DF" w:rsidRPr="00AA0758">
        <w:rPr>
          <w:rFonts w:eastAsiaTheme="minorEastAsia"/>
          <w:spacing w:val="-4"/>
        </w:rPr>
        <w:t xml:space="preserve">company </w:t>
      </w:r>
      <w:r w:rsidRPr="00AA0758">
        <w:rPr>
          <w:rFonts w:eastAsiaTheme="minorEastAsia"/>
          <w:spacing w:val="-4"/>
        </w:rPr>
        <w:t>also strategic</w:t>
      </w:r>
      <w:r w:rsidR="00581281" w:rsidRPr="00AA0758">
        <w:rPr>
          <w:rFonts w:eastAsiaTheme="minorEastAsia"/>
          <w:spacing w:val="-4"/>
        </w:rPr>
        <w:t>ally</w:t>
      </w:r>
      <w:r w:rsidRPr="00AA0758">
        <w:rPr>
          <w:rFonts w:eastAsiaTheme="minorEastAsia"/>
          <w:spacing w:val="-4"/>
        </w:rPr>
        <w:t xml:space="preserve"> </w:t>
      </w:r>
      <w:r w:rsidR="001C5A05" w:rsidRPr="00AA0758">
        <w:rPr>
          <w:rFonts w:eastAsiaTheme="minorEastAsia"/>
          <w:spacing w:val="-4"/>
        </w:rPr>
        <w:t>acquir</w:t>
      </w:r>
      <w:r w:rsidR="00581281" w:rsidRPr="00AA0758">
        <w:rPr>
          <w:rFonts w:eastAsiaTheme="minorEastAsia"/>
          <w:spacing w:val="-4"/>
        </w:rPr>
        <w:t>ed</w:t>
      </w:r>
      <w:r w:rsidR="001C5A05" w:rsidRPr="00AA0758">
        <w:rPr>
          <w:rFonts w:eastAsiaTheme="minorEastAsia"/>
          <w:spacing w:val="-4"/>
        </w:rPr>
        <w:t xml:space="preserve"> marketing rights and licensing agreements from</w:t>
      </w:r>
      <w:r w:rsidR="00F313DF" w:rsidRPr="00AA0758">
        <w:rPr>
          <w:rFonts w:eastAsiaTheme="minorEastAsia"/>
          <w:spacing w:val="-4"/>
        </w:rPr>
        <w:t xml:space="preserve"> established and successful labels in south India</w:t>
      </w:r>
      <w:r w:rsidR="000668A2" w:rsidRPr="00AA0758">
        <w:rPr>
          <w:rFonts w:eastAsiaTheme="minorEastAsia"/>
          <w:spacing w:val="-4"/>
        </w:rPr>
        <w:t xml:space="preserve">: </w:t>
      </w:r>
      <w:proofErr w:type="spellStart"/>
      <w:r w:rsidR="000668A2" w:rsidRPr="00AA0758">
        <w:rPr>
          <w:rFonts w:eastAsiaTheme="minorEastAsia"/>
          <w:spacing w:val="-4"/>
        </w:rPr>
        <w:t>Sangeetha</w:t>
      </w:r>
      <w:proofErr w:type="spellEnd"/>
      <w:r w:rsidR="002C10B4" w:rsidRPr="00AA0758">
        <w:rPr>
          <w:rFonts w:eastAsiaTheme="minorEastAsia"/>
          <w:spacing w:val="-4"/>
          <w:lang w:eastAsia="zh-TW"/>
        </w:rPr>
        <w:t xml:space="preserve"> Music (</w:t>
      </w:r>
      <w:r w:rsidR="00017DC8" w:rsidRPr="00AA0758">
        <w:rPr>
          <w:rFonts w:eastAsiaTheme="minorEastAsia"/>
          <w:spacing w:val="-4"/>
          <w:lang w:eastAsia="zh-TW"/>
        </w:rPr>
        <w:t>T</w:t>
      </w:r>
      <w:r w:rsidR="002C10B4" w:rsidRPr="00AA0758">
        <w:rPr>
          <w:rFonts w:eastAsiaTheme="minorEastAsia"/>
          <w:spacing w:val="-4"/>
          <w:lang w:eastAsia="zh-TW"/>
        </w:rPr>
        <w:t>he Master Recording Company)</w:t>
      </w:r>
      <w:r w:rsidR="000668A2" w:rsidRPr="00AA0758">
        <w:rPr>
          <w:rFonts w:eastAsiaTheme="minorEastAsia"/>
          <w:spacing w:val="-4"/>
        </w:rPr>
        <w:t xml:space="preserve">, </w:t>
      </w:r>
      <w:proofErr w:type="spellStart"/>
      <w:r w:rsidR="000668A2" w:rsidRPr="00AA0758">
        <w:rPr>
          <w:rFonts w:eastAsiaTheme="minorEastAsia"/>
          <w:spacing w:val="-4"/>
        </w:rPr>
        <w:t>Sargam</w:t>
      </w:r>
      <w:proofErr w:type="spellEnd"/>
      <w:r w:rsidR="002C10B4" w:rsidRPr="00AA0758">
        <w:rPr>
          <w:rFonts w:eastAsiaTheme="minorEastAsia"/>
          <w:spacing w:val="-4"/>
          <w:lang w:eastAsia="zh-TW"/>
        </w:rPr>
        <w:t xml:space="preserve"> Music Private Limited</w:t>
      </w:r>
      <w:r w:rsidR="000668A2" w:rsidRPr="00AA0758">
        <w:rPr>
          <w:rFonts w:eastAsiaTheme="minorEastAsia"/>
          <w:spacing w:val="-4"/>
        </w:rPr>
        <w:t>, Pyramid</w:t>
      </w:r>
      <w:r w:rsidR="00017DC8" w:rsidRPr="00AA0758">
        <w:rPr>
          <w:rFonts w:eastAsiaTheme="minorEastAsia"/>
          <w:spacing w:val="-4"/>
          <w:lang w:eastAsia="zh-TW"/>
        </w:rPr>
        <w:t xml:space="preserve"> Audio (India) Private Limited</w:t>
      </w:r>
      <w:r w:rsidR="000668A2" w:rsidRPr="00AA0758">
        <w:rPr>
          <w:rFonts w:eastAsiaTheme="minorEastAsia"/>
          <w:spacing w:val="-4"/>
        </w:rPr>
        <w:t>, and Sea Records</w:t>
      </w:r>
      <w:r w:rsidR="00F313DF" w:rsidRPr="00AA0758">
        <w:rPr>
          <w:rFonts w:eastAsiaTheme="minorEastAsia"/>
          <w:spacing w:val="-4"/>
        </w:rPr>
        <w:t xml:space="preserve">. </w:t>
      </w:r>
      <w:r w:rsidR="00AC1DC1" w:rsidRPr="00AA0758">
        <w:rPr>
          <w:rFonts w:eastAsiaTheme="minorEastAsia"/>
          <w:spacing w:val="-4"/>
          <w:lang w:eastAsia="zh-TW"/>
        </w:rPr>
        <w:t>In addition, w</w:t>
      </w:r>
      <w:r w:rsidRPr="00AA0758">
        <w:rPr>
          <w:rFonts w:eastAsiaTheme="minorEastAsia"/>
          <w:spacing w:val="-4"/>
        </w:rPr>
        <w:t xml:space="preserve">ith a vision to </w:t>
      </w:r>
      <w:r w:rsidR="00F313DF" w:rsidRPr="00AA0758">
        <w:rPr>
          <w:rFonts w:eastAsiaTheme="minorEastAsia"/>
          <w:spacing w:val="-4"/>
        </w:rPr>
        <w:t xml:space="preserve">establish itself as a holistic </w:t>
      </w:r>
      <w:r w:rsidR="000668A2" w:rsidRPr="00AA0758">
        <w:rPr>
          <w:rFonts w:eastAsiaTheme="minorEastAsia"/>
          <w:spacing w:val="-4"/>
        </w:rPr>
        <w:t>m</w:t>
      </w:r>
      <w:r w:rsidRPr="00AA0758">
        <w:rPr>
          <w:rFonts w:eastAsiaTheme="minorEastAsia"/>
          <w:spacing w:val="-4"/>
        </w:rPr>
        <w:t xml:space="preserve">usic and </w:t>
      </w:r>
      <w:r w:rsidR="000668A2" w:rsidRPr="00AA0758">
        <w:rPr>
          <w:rFonts w:eastAsiaTheme="minorEastAsia"/>
          <w:spacing w:val="-4"/>
        </w:rPr>
        <w:t>e</w:t>
      </w:r>
      <w:r w:rsidRPr="00AA0758">
        <w:rPr>
          <w:rFonts w:eastAsiaTheme="minorEastAsia"/>
          <w:spacing w:val="-4"/>
        </w:rPr>
        <w:t xml:space="preserve">ntertainment </w:t>
      </w:r>
      <w:r w:rsidR="00F313DF" w:rsidRPr="00AA0758">
        <w:rPr>
          <w:rFonts w:eastAsiaTheme="minorEastAsia"/>
          <w:spacing w:val="-4"/>
        </w:rPr>
        <w:t>company</w:t>
      </w:r>
      <w:r w:rsidR="000668A2" w:rsidRPr="00AA0758">
        <w:rPr>
          <w:rFonts w:eastAsiaTheme="minorEastAsia"/>
          <w:spacing w:val="-4"/>
        </w:rPr>
        <w:t xml:space="preserve">, </w:t>
      </w:r>
      <w:proofErr w:type="spellStart"/>
      <w:r w:rsidR="000668A2" w:rsidRPr="00AA0758">
        <w:rPr>
          <w:rFonts w:eastAsiaTheme="minorEastAsia"/>
          <w:spacing w:val="-4"/>
        </w:rPr>
        <w:t>Saregama</w:t>
      </w:r>
      <w:proofErr w:type="spellEnd"/>
      <w:r w:rsidR="00F313DF" w:rsidRPr="00AA0758">
        <w:rPr>
          <w:rFonts w:eastAsiaTheme="minorEastAsia"/>
          <w:spacing w:val="-4"/>
        </w:rPr>
        <w:t xml:space="preserve"> acquired 42.85 per</w:t>
      </w:r>
      <w:r w:rsidR="000668A2" w:rsidRPr="00AA0758">
        <w:rPr>
          <w:rFonts w:eastAsiaTheme="minorEastAsia"/>
          <w:spacing w:val="-4"/>
        </w:rPr>
        <w:t xml:space="preserve"> </w:t>
      </w:r>
      <w:r w:rsidR="00F313DF" w:rsidRPr="00AA0758">
        <w:rPr>
          <w:rFonts w:eastAsiaTheme="minorEastAsia"/>
          <w:spacing w:val="-4"/>
        </w:rPr>
        <w:t xml:space="preserve">cent </w:t>
      </w:r>
      <w:r w:rsidR="000668A2" w:rsidRPr="00AA0758">
        <w:rPr>
          <w:rFonts w:eastAsiaTheme="minorEastAsia"/>
          <w:spacing w:val="-4"/>
        </w:rPr>
        <w:t xml:space="preserve">of </w:t>
      </w:r>
      <w:r w:rsidR="00F313DF" w:rsidRPr="00AA0758">
        <w:rPr>
          <w:rFonts w:eastAsiaTheme="minorEastAsia"/>
          <w:spacing w:val="-4"/>
        </w:rPr>
        <w:t>Music World</w:t>
      </w:r>
      <w:r w:rsidR="000668A2" w:rsidRPr="00AA0758">
        <w:rPr>
          <w:rFonts w:eastAsiaTheme="minorEastAsia"/>
          <w:spacing w:val="-4"/>
        </w:rPr>
        <w:t xml:space="preserve">, </w:t>
      </w:r>
      <w:r w:rsidR="00F313DF" w:rsidRPr="00AA0758">
        <w:rPr>
          <w:rFonts w:eastAsiaTheme="minorEastAsia"/>
          <w:spacing w:val="-4"/>
        </w:rPr>
        <w:t>an erstwhile RPG Group</w:t>
      </w:r>
      <w:r w:rsidR="00581281" w:rsidRPr="00AA0758">
        <w:rPr>
          <w:rFonts w:eastAsiaTheme="minorEastAsia"/>
          <w:spacing w:val="-4"/>
        </w:rPr>
        <w:t>–</w:t>
      </w:r>
      <w:r w:rsidR="00F313DF" w:rsidRPr="00AA0758">
        <w:rPr>
          <w:rFonts w:eastAsiaTheme="minorEastAsia"/>
          <w:spacing w:val="-4"/>
        </w:rPr>
        <w:t xml:space="preserve">controlled music retail chain. </w:t>
      </w:r>
      <w:r w:rsidR="000668A2" w:rsidRPr="00AA0758">
        <w:rPr>
          <w:rFonts w:eastAsiaTheme="minorEastAsia"/>
          <w:spacing w:val="-4"/>
        </w:rPr>
        <w:t xml:space="preserve">In November 2000, EMI sold off its majority stake to </w:t>
      </w:r>
      <w:r w:rsidR="00AC1DC1" w:rsidRPr="00AA0758">
        <w:rPr>
          <w:rFonts w:eastAsiaTheme="minorEastAsia"/>
          <w:spacing w:val="-4"/>
          <w:lang w:eastAsia="zh-TW"/>
        </w:rPr>
        <w:t xml:space="preserve">the RPG Group </w:t>
      </w:r>
      <w:r w:rsidR="000668A2" w:rsidRPr="00AA0758">
        <w:rPr>
          <w:rFonts w:eastAsiaTheme="minorEastAsia"/>
          <w:spacing w:val="-4"/>
        </w:rPr>
        <w:t>due to the government’s restrictions on transfer</w:t>
      </w:r>
      <w:r w:rsidR="00581281" w:rsidRPr="00AA0758">
        <w:rPr>
          <w:rFonts w:eastAsiaTheme="minorEastAsia"/>
          <w:spacing w:val="-4"/>
        </w:rPr>
        <w:t>s</w:t>
      </w:r>
      <w:r w:rsidR="000668A2" w:rsidRPr="00AA0758">
        <w:rPr>
          <w:rFonts w:eastAsiaTheme="minorEastAsia"/>
          <w:spacing w:val="-4"/>
        </w:rPr>
        <w:t xml:space="preserve"> of earnings by foreign companies, and the company was renamed </w:t>
      </w:r>
      <w:proofErr w:type="spellStart"/>
      <w:r w:rsidR="000668A2" w:rsidRPr="00AA0758">
        <w:rPr>
          <w:rFonts w:eastAsiaTheme="minorEastAsia"/>
          <w:spacing w:val="-4"/>
        </w:rPr>
        <w:t>Saregama</w:t>
      </w:r>
      <w:proofErr w:type="spellEnd"/>
      <w:r w:rsidR="000668A2" w:rsidRPr="00AA0758">
        <w:rPr>
          <w:rFonts w:eastAsiaTheme="minorEastAsia"/>
          <w:spacing w:val="-4"/>
        </w:rPr>
        <w:t xml:space="preserve"> India Limited.</w:t>
      </w:r>
      <w:r w:rsidR="000668A2" w:rsidRPr="00AA0758">
        <w:rPr>
          <w:rStyle w:val="FootnoteReference"/>
          <w:rFonts w:eastAsiaTheme="minorEastAsia"/>
          <w:spacing w:val="-4"/>
        </w:rPr>
        <w:footnoteReference w:id="10"/>
      </w:r>
      <w:r w:rsidR="000668A2" w:rsidRPr="00AA0758">
        <w:rPr>
          <w:rFonts w:eastAsiaTheme="minorEastAsia"/>
          <w:spacing w:val="-4"/>
        </w:rPr>
        <w:t xml:space="preserve"> EMI retained a token stake of less than 10 per cent in the company, which was later sold in the open market in 2005. </w:t>
      </w:r>
    </w:p>
    <w:p w14:paraId="4ADF0FFA" w14:textId="77777777" w:rsidR="000668A2" w:rsidRPr="00AA0758" w:rsidRDefault="000668A2" w:rsidP="000668A2">
      <w:pPr>
        <w:pStyle w:val="BodyTextMain"/>
        <w:rPr>
          <w:rFonts w:eastAsiaTheme="minorEastAsia"/>
          <w:sz w:val="18"/>
          <w:lang w:eastAsia="zh-TW"/>
        </w:rPr>
      </w:pPr>
    </w:p>
    <w:p w14:paraId="00A36546" w14:textId="28057140" w:rsidR="00A67A64" w:rsidRPr="00327A07" w:rsidRDefault="00AC1DC1">
      <w:pPr>
        <w:pStyle w:val="BodyTextMain"/>
        <w:rPr>
          <w:rFonts w:eastAsiaTheme="minorEastAsia"/>
        </w:rPr>
      </w:pPr>
      <w:r>
        <w:rPr>
          <w:rFonts w:eastAsiaTheme="minorEastAsia"/>
          <w:lang w:eastAsia="zh-TW"/>
        </w:rPr>
        <w:t>The s</w:t>
      </w:r>
      <w:r w:rsidR="00F313DF" w:rsidRPr="00327A07">
        <w:rPr>
          <w:rFonts w:eastAsiaTheme="minorEastAsia"/>
        </w:rPr>
        <w:t xml:space="preserve">ubsequent years were </w:t>
      </w:r>
      <w:r w:rsidR="00581281">
        <w:rPr>
          <w:rFonts w:eastAsiaTheme="minorEastAsia"/>
        </w:rPr>
        <w:t>an</w:t>
      </w:r>
      <w:r w:rsidR="00581281" w:rsidRPr="00327A07">
        <w:rPr>
          <w:rFonts w:eastAsiaTheme="minorEastAsia"/>
        </w:rPr>
        <w:t xml:space="preserve"> </w:t>
      </w:r>
      <w:r w:rsidR="00F313DF" w:rsidRPr="00327A07">
        <w:rPr>
          <w:rFonts w:eastAsiaTheme="minorEastAsia"/>
        </w:rPr>
        <w:t>era of IP acquisition of new and popular music</w:t>
      </w:r>
      <w:r>
        <w:rPr>
          <w:rFonts w:eastAsiaTheme="minorEastAsia"/>
          <w:lang w:eastAsia="zh-TW"/>
        </w:rPr>
        <w:t>.</w:t>
      </w:r>
      <w:r w:rsidR="00995009" w:rsidRPr="00327A07">
        <w:rPr>
          <w:rFonts w:eastAsiaTheme="minorEastAsia"/>
        </w:rPr>
        <w:t xml:space="preserve"> </w:t>
      </w:r>
      <w:proofErr w:type="spellStart"/>
      <w:r w:rsidR="00995009" w:rsidRPr="00327A07">
        <w:rPr>
          <w:rFonts w:eastAsiaTheme="minorEastAsia"/>
        </w:rPr>
        <w:t>Saregama</w:t>
      </w:r>
      <w:proofErr w:type="spellEnd"/>
      <w:r w:rsidR="00995009" w:rsidRPr="00327A07">
        <w:rPr>
          <w:rFonts w:eastAsiaTheme="minorEastAsia"/>
        </w:rPr>
        <w:t xml:space="preserve"> </w:t>
      </w:r>
      <w:r>
        <w:rPr>
          <w:rFonts w:eastAsiaTheme="minorEastAsia"/>
        </w:rPr>
        <w:t>entered the</w:t>
      </w:r>
      <w:r w:rsidRPr="00327A07">
        <w:rPr>
          <w:rFonts w:eastAsiaTheme="minorEastAsia"/>
        </w:rPr>
        <w:t xml:space="preserve"> </w:t>
      </w:r>
      <w:r w:rsidR="00995009" w:rsidRPr="00327A07">
        <w:rPr>
          <w:rFonts w:eastAsiaTheme="minorEastAsia"/>
        </w:rPr>
        <w:t xml:space="preserve">acquisitions </w:t>
      </w:r>
      <w:r>
        <w:rPr>
          <w:rFonts w:eastAsiaTheme="minorEastAsia"/>
        </w:rPr>
        <w:t xml:space="preserve">market </w:t>
      </w:r>
      <w:r w:rsidR="00995009" w:rsidRPr="00327A07">
        <w:rPr>
          <w:rFonts w:eastAsiaTheme="minorEastAsia"/>
        </w:rPr>
        <w:t>by raising</w:t>
      </w:r>
      <w:r w:rsidR="00F313DF" w:rsidRPr="00327A07">
        <w:rPr>
          <w:rFonts w:eastAsiaTheme="minorEastAsia"/>
        </w:rPr>
        <w:t xml:space="preserve"> funds from the equity market. </w:t>
      </w:r>
      <w:r w:rsidR="00ED6554">
        <w:rPr>
          <w:rFonts w:eastAsiaTheme="minorEastAsia"/>
        </w:rPr>
        <w:t>B</w:t>
      </w:r>
      <w:r w:rsidR="00F313DF" w:rsidRPr="004974C1">
        <w:rPr>
          <w:rFonts w:eastAsiaTheme="minorEastAsia"/>
        </w:rPr>
        <w:t>etween 2000 and 2005</w:t>
      </w:r>
      <w:r w:rsidR="008C1843">
        <w:rPr>
          <w:rFonts w:eastAsiaTheme="minorEastAsia"/>
        </w:rPr>
        <w:t>,</w:t>
      </w:r>
      <w:r w:rsidR="00F313DF" w:rsidRPr="004974C1">
        <w:rPr>
          <w:rFonts w:eastAsiaTheme="minorEastAsia"/>
        </w:rPr>
        <w:t xml:space="preserve"> the company expanded into </w:t>
      </w:r>
      <w:r w:rsidR="00ED6554">
        <w:rPr>
          <w:rFonts w:eastAsiaTheme="minorEastAsia"/>
        </w:rPr>
        <w:t>developing</w:t>
      </w:r>
      <w:r w:rsidR="00F313DF" w:rsidRPr="004974C1">
        <w:rPr>
          <w:rFonts w:eastAsiaTheme="minorEastAsia"/>
        </w:rPr>
        <w:t xml:space="preserve"> television content and also consolidated and merged a number of its international </w:t>
      </w:r>
      <w:r w:rsidR="00F313DF" w:rsidRPr="00497261">
        <w:rPr>
          <w:rFonts w:eastAsiaTheme="minorEastAsia"/>
        </w:rPr>
        <w:t xml:space="preserve">subsidiaries under the auspices of </w:t>
      </w:r>
      <w:proofErr w:type="spellStart"/>
      <w:r w:rsidR="00F313DF" w:rsidRPr="00497261">
        <w:rPr>
          <w:rFonts w:eastAsiaTheme="minorEastAsia"/>
        </w:rPr>
        <w:t>Saregama</w:t>
      </w:r>
      <w:proofErr w:type="spellEnd"/>
      <w:r w:rsidR="00F313DF" w:rsidRPr="00497261">
        <w:rPr>
          <w:rFonts w:eastAsiaTheme="minorEastAsia"/>
        </w:rPr>
        <w:t xml:space="preserve"> </w:t>
      </w:r>
      <w:r w:rsidR="00F313DF" w:rsidRPr="00327A07">
        <w:rPr>
          <w:rFonts w:eastAsiaTheme="minorEastAsia"/>
        </w:rPr>
        <w:t xml:space="preserve">India </w:t>
      </w:r>
      <w:r w:rsidR="00317AF2" w:rsidRPr="00327A07">
        <w:rPr>
          <w:rFonts w:eastAsiaTheme="minorEastAsia"/>
        </w:rPr>
        <w:t>L</w:t>
      </w:r>
      <w:r w:rsidR="00F313DF" w:rsidRPr="00327A07">
        <w:rPr>
          <w:rFonts w:eastAsiaTheme="minorEastAsia"/>
        </w:rPr>
        <w:t xml:space="preserve">imited. </w:t>
      </w:r>
      <w:proofErr w:type="spellStart"/>
      <w:r w:rsidR="00F313DF" w:rsidRPr="00327A07">
        <w:rPr>
          <w:rFonts w:eastAsiaTheme="minorEastAsia"/>
        </w:rPr>
        <w:t>Aayeer</w:t>
      </w:r>
      <w:proofErr w:type="spellEnd"/>
      <w:r w:rsidR="00F313DF" w:rsidRPr="00327A07">
        <w:rPr>
          <w:rFonts w:eastAsiaTheme="minorEastAsia"/>
        </w:rPr>
        <w:t xml:space="preserve"> traced these years</w:t>
      </w:r>
      <w:r w:rsidR="00317AF2" w:rsidRPr="00327A07">
        <w:rPr>
          <w:rFonts w:eastAsiaTheme="minorEastAsia"/>
        </w:rPr>
        <w:t>:</w:t>
      </w:r>
    </w:p>
    <w:p w14:paraId="17E3DD57" w14:textId="77777777" w:rsidR="00A67A64" w:rsidRPr="00AA0758" w:rsidRDefault="00A67A64">
      <w:pPr>
        <w:pStyle w:val="BodyTextMain"/>
        <w:rPr>
          <w:rFonts w:eastAsiaTheme="minorEastAsia"/>
          <w:sz w:val="18"/>
        </w:rPr>
      </w:pPr>
    </w:p>
    <w:p w14:paraId="3EB53204" w14:textId="14786EF9" w:rsidR="00A67A64" w:rsidRDefault="00F313DF" w:rsidP="00A67A64">
      <w:pPr>
        <w:pStyle w:val="BodyTextMain"/>
        <w:ind w:left="720"/>
      </w:pPr>
      <w:r w:rsidRPr="004974C1">
        <w:t>We had extensive physical distribution</w:t>
      </w:r>
      <w:r w:rsidR="00317AF2">
        <w:t>,</w:t>
      </w:r>
      <w:r w:rsidRPr="004974C1">
        <w:t xml:space="preserve"> so we approached English studios like Warner, Universal, Paramount, and BBC to use our distribution</w:t>
      </w:r>
      <w:r w:rsidR="00ED6554">
        <w:t xml:space="preserve"> channels</w:t>
      </w:r>
      <w:r w:rsidRPr="004974C1">
        <w:t xml:space="preserve">. We offered acquisition backed by minimum guarantee to foreign studios. We also </w:t>
      </w:r>
      <w:r w:rsidR="00ED6554">
        <w:t xml:space="preserve">went into </w:t>
      </w:r>
      <w:r w:rsidRPr="004974C1">
        <w:t>film</w:t>
      </w:r>
      <w:r w:rsidR="00ED6554">
        <w:t xml:space="preserve"> </w:t>
      </w:r>
      <w:r w:rsidR="009C535F">
        <w:t>production</w:t>
      </w:r>
      <w:r w:rsidR="009C535F" w:rsidRPr="004974C1">
        <w:t>. However</w:t>
      </w:r>
      <w:r w:rsidR="009C535F">
        <w:t xml:space="preserve">, these new expansions did not really take off. </w:t>
      </w:r>
      <w:r w:rsidR="009C535F" w:rsidRPr="004974C1">
        <w:t>Thus</w:t>
      </w:r>
      <w:r w:rsidRPr="004974C1">
        <w:t xml:space="preserve">, in 2013, we liquidated our entire distribution network and we licensed the physical distribution rights to Sony. </w:t>
      </w:r>
    </w:p>
    <w:p w14:paraId="4D3C57BE" w14:textId="77777777" w:rsidR="00A67A64" w:rsidRPr="00AA0758" w:rsidRDefault="00A67A64" w:rsidP="00497261">
      <w:pPr>
        <w:pStyle w:val="BodyTextMain"/>
        <w:rPr>
          <w:rFonts w:eastAsiaTheme="minorEastAsia"/>
          <w:sz w:val="18"/>
        </w:rPr>
      </w:pPr>
    </w:p>
    <w:p w14:paraId="7F872111" w14:textId="5EFC21C2" w:rsidR="00F313DF" w:rsidRPr="00327A07" w:rsidRDefault="00317AF2" w:rsidP="00A67A64">
      <w:pPr>
        <w:pStyle w:val="BodyTextMain"/>
        <w:rPr>
          <w:rFonts w:eastAsiaTheme="minorEastAsia"/>
          <w:lang w:eastAsia="zh-TW"/>
        </w:rPr>
      </w:pPr>
      <w:r w:rsidRPr="003C526D">
        <w:rPr>
          <w:rFonts w:eastAsiaTheme="minorEastAsia"/>
        </w:rPr>
        <w:t xml:space="preserve">In 2005, </w:t>
      </w:r>
      <w:proofErr w:type="spellStart"/>
      <w:r>
        <w:rPr>
          <w:rFonts w:eastAsiaTheme="minorEastAsia"/>
        </w:rPr>
        <w:t>S</w:t>
      </w:r>
      <w:r w:rsidRPr="003C526D">
        <w:rPr>
          <w:rFonts w:eastAsiaTheme="minorEastAsia"/>
        </w:rPr>
        <w:t>aregama</w:t>
      </w:r>
      <w:proofErr w:type="spellEnd"/>
      <w:r>
        <w:rPr>
          <w:rFonts w:eastAsiaTheme="minorEastAsia"/>
        </w:rPr>
        <w:t>—</w:t>
      </w:r>
      <w:r w:rsidRPr="003C526D">
        <w:rPr>
          <w:rFonts w:eastAsiaTheme="minorEastAsia"/>
        </w:rPr>
        <w:t>the custodian of 300,000 songs, 23,000 artists</w:t>
      </w:r>
      <w:r>
        <w:rPr>
          <w:rFonts w:eastAsiaTheme="minorEastAsia"/>
        </w:rPr>
        <w:t>,</w:t>
      </w:r>
      <w:r w:rsidRPr="003C526D">
        <w:rPr>
          <w:rFonts w:eastAsiaTheme="minorEastAsia"/>
        </w:rPr>
        <w:t xml:space="preserve"> and 50,000 contracts</w:t>
      </w:r>
      <w:r w:rsidR="00581281">
        <w:rPr>
          <w:rFonts w:eastAsiaTheme="minorEastAsia"/>
        </w:rPr>
        <w:t>,</w:t>
      </w:r>
      <w:r w:rsidRPr="003C526D">
        <w:rPr>
          <w:rFonts w:eastAsiaTheme="minorEastAsia"/>
        </w:rPr>
        <w:t xml:space="preserve"> with 13 regional offices and </w:t>
      </w:r>
      <w:r w:rsidR="00581281">
        <w:rPr>
          <w:rFonts w:eastAsiaTheme="minorEastAsia"/>
        </w:rPr>
        <w:t>four</w:t>
      </w:r>
      <w:r w:rsidR="00581281" w:rsidRPr="003C526D">
        <w:rPr>
          <w:rFonts w:eastAsiaTheme="minorEastAsia"/>
        </w:rPr>
        <w:t xml:space="preserve"> </w:t>
      </w:r>
      <w:r w:rsidRPr="003C526D">
        <w:rPr>
          <w:rFonts w:eastAsiaTheme="minorEastAsia"/>
        </w:rPr>
        <w:t>international offices</w:t>
      </w:r>
      <w:r w:rsidR="008C1843">
        <w:rPr>
          <w:rFonts w:eastAsiaTheme="minorEastAsia"/>
        </w:rPr>
        <w:t>,</w:t>
      </w:r>
      <w:r w:rsidRPr="003C526D">
        <w:rPr>
          <w:rFonts w:eastAsiaTheme="minorEastAsia"/>
        </w:rPr>
        <w:t xml:space="preserve"> in </w:t>
      </w:r>
      <w:r>
        <w:rPr>
          <w:rFonts w:eastAsiaTheme="minorEastAsia"/>
        </w:rPr>
        <w:t>L</w:t>
      </w:r>
      <w:r w:rsidRPr="003C526D">
        <w:rPr>
          <w:rFonts w:eastAsiaTheme="minorEastAsia"/>
        </w:rPr>
        <w:t xml:space="preserve">ondon, </w:t>
      </w:r>
      <w:r>
        <w:rPr>
          <w:rFonts w:eastAsiaTheme="minorEastAsia"/>
        </w:rPr>
        <w:t>N</w:t>
      </w:r>
      <w:r w:rsidRPr="003C526D">
        <w:rPr>
          <w:rFonts w:eastAsiaTheme="minorEastAsia"/>
        </w:rPr>
        <w:t xml:space="preserve">ew </w:t>
      </w:r>
      <w:r>
        <w:rPr>
          <w:rFonts w:eastAsiaTheme="minorEastAsia"/>
        </w:rPr>
        <w:t>Y</w:t>
      </w:r>
      <w:r w:rsidRPr="003C526D">
        <w:rPr>
          <w:rFonts w:eastAsiaTheme="minorEastAsia"/>
        </w:rPr>
        <w:t xml:space="preserve">ork, </w:t>
      </w:r>
      <w:r>
        <w:rPr>
          <w:rFonts w:eastAsiaTheme="minorEastAsia"/>
        </w:rPr>
        <w:t>K</w:t>
      </w:r>
      <w:r w:rsidRPr="003C526D">
        <w:rPr>
          <w:rFonts w:eastAsiaTheme="minorEastAsia"/>
        </w:rPr>
        <w:t xml:space="preserve">uala </w:t>
      </w:r>
      <w:r>
        <w:rPr>
          <w:rFonts w:eastAsiaTheme="minorEastAsia"/>
        </w:rPr>
        <w:t>L</w:t>
      </w:r>
      <w:r w:rsidRPr="003C526D">
        <w:rPr>
          <w:rFonts w:eastAsiaTheme="minorEastAsia"/>
        </w:rPr>
        <w:t>umpur</w:t>
      </w:r>
      <w:r>
        <w:rPr>
          <w:rFonts w:eastAsiaTheme="minorEastAsia"/>
        </w:rPr>
        <w:t>,</w:t>
      </w:r>
      <w:r w:rsidRPr="003C526D">
        <w:rPr>
          <w:rFonts w:eastAsiaTheme="minorEastAsia"/>
        </w:rPr>
        <w:t xml:space="preserve"> and </w:t>
      </w:r>
      <w:r>
        <w:rPr>
          <w:rFonts w:eastAsiaTheme="minorEastAsia"/>
        </w:rPr>
        <w:t>D</w:t>
      </w:r>
      <w:r w:rsidRPr="003C526D">
        <w:rPr>
          <w:rFonts w:eastAsiaTheme="minorEastAsia"/>
        </w:rPr>
        <w:t>ubai</w:t>
      </w:r>
      <w:r>
        <w:rPr>
          <w:rFonts w:eastAsiaTheme="minorEastAsia"/>
        </w:rPr>
        <w:t>—</w:t>
      </w:r>
      <w:r w:rsidRPr="003C526D">
        <w:rPr>
          <w:rFonts w:eastAsiaTheme="minorEastAsia"/>
        </w:rPr>
        <w:t xml:space="preserve">was fully acquired by </w:t>
      </w:r>
      <w:r>
        <w:rPr>
          <w:rFonts w:eastAsiaTheme="minorEastAsia"/>
        </w:rPr>
        <w:t>RPG</w:t>
      </w:r>
      <w:r w:rsidRPr="003C526D">
        <w:rPr>
          <w:rFonts w:eastAsiaTheme="minorEastAsia"/>
        </w:rPr>
        <w:t xml:space="preserve"> </w:t>
      </w:r>
      <w:r>
        <w:rPr>
          <w:rFonts w:eastAsiaTheme="minorEastAsia"/>
        </w:rPr>
        <w:t>G</w:t>
      </w:r>
      <w:r w:rsidRPr="003C526D">
        <w:rPr>
          <w:rFonts w:eastAsiaTheme="minorEastAsia"/>
        </w:rPr>
        <w:t>roup</w:t>
      </w:r>
      <w:r w:rsidRPr="003C526D">
        <w:rPr>
          <w:rFonts w:eastAsiaTheme="minorEastAsia"/>
          <w:lang w:eastAsia="zh-TW"/>
        </w:rPr>
        <w:t>.</w:t>
      </w:r>
      <w:r>
        <w:rPr>
          <w:rFonts w:eastAsiaTheme="minorEastAsia"/>
          <w:lang w:eastAsia="zh-TW"/>
        </w:rPr>
        <w:t xml:space="preserve"> </w:t>
      </w:r>
      <w:r w:rsidR="00F313DF" w:rsidRPr="004974C1">
        <w:t>However, the volatility in the market and the aggressive competition</w:t>
      </w:r>
      <w:r>
        <w:t>,</w:t>
      </w:r>
      <w:r w:rsidR="00F313DF" w:rsidRPr="004974C1">
        <w:t xml:space="preserve"> compounded </w:t>
      </w:r>
      <w:r w:rsidR="00581281">
        <w:t>by</w:t>
      </w:r>
      <w:r w:rsidR="00581281" w:rsidRPr="004974C1">
        <w:t xml:space="preserve"> </w:t>
      </w:r>
      <w:r w:rsidR="00F313DF" w:rsidRPr="004974C1">
        <w:t>changing consumer preferences</w:t>
      </w:r>
      <w:r>
        <w:t>,</w:t>
      </w:r>
      <w:r w:rsidR="00F313DF" w:rsidRPr="004974C1">
        <w:t xml:space="preserve"> led the firm into a </w:t>
      </w:r>
      <w:r w:rsidR="009C535F">
        <w:t xml:space="preserve">period of </w:t>
      </w:r>
      <w:r w:rsidR="00F313DF" w:rsidRPr="004974C1">
        <w:t>financial stress</w:t>
      </w:r>
      <w:r w:rsidR="009C535F">
        <w:t>.</w:t>
      </w:r>
    </w:p>
    <w:p w14:paraId="7E0C7AEA" w14:textId="4205D5D5" w:rsidR="00F313DF" w:rsidRPr="00AA0758" w:rsidRDefault="00F313DF" w:rsidP="00327A07">
      <w:pPr>
        <w:pStyle w:val="BodyTextMain"/>
        <w:rPr>
          <w:sz w:val="18"/>
        </w:rPr>
      </w:pPr>
    </w:p>
    <w:p w14:paraId="74E93726" w14:textId="77777777" w:rsidR="00995009" w:rsidRPr="00AA0758" w:rsidRDefault="00995009" w:rsidP="00327A07">
      <w:pPr>
        <w:pStyle w:val="BodyTextMain"/>
        <w:rPr>
          <w:sz w:val="18"/>
        </w:rPr>
      </w:pPr>
    </w:p>
    <w:p w14:paraId="19EA10A9" w14:textId="24BBD8D6" w:rsidR="00836BFF" w:rsidRPr="004974C1" w:rsidRDefault="00F64227" w:rsidP="00367200">
      <w:pPr>
        <w:pStyle w:val="Casehead2"/>
      </w:pPr>
      <w:r>
        <w:t>Rejuvenation</w:t>
      </w:r>
    </w:p>
    <w:p w14:paraId="341433B3" w14:textId="77777777" w:rsidR="00836BFF" w:rsidRPr="00AA0758" w:rsidRDefault="00836BFF" w:rsidP="00367200">
      <w:pPr>
        <w:pStyle w:val="BodyTextMain"/>
        <w:rPr>
          <w:sz w:val="18"/>
        </w:rPr>
      </w:pPr>
    </w:p>
    <w:p w14:paraId="0C37AFF1" w14:textId="221870C1" w:rsidR="00317AF2" w:rsidRDefault="00F313DF" w:rsidP="00367200">
      <w:pPr>
        <w:pStyle w:val="BodyTextMain"/>
      </w:pPr>
      <w:r w:rsidRPr="004974C1">
        <w:t xml:space="preserve">In 2011, </w:t>
      </w:r>
      <w:r w:rsidR="005463D9">
        <w:t xml:space="preserve">the much diversified </w:t>
      </w:r>
      <w:r w:rsidRPr="004974C1">
        <w:t xml:space="preserve">RPG </w:t>
      </w:r>
      <w:r w:rsidR="00441ACB">
        <w:t>G</w:t>
      </w:r>
      <w:r w:rsidRPr="004974C1">
        <w:t>roup</w:t>
      </w:r>
      <w:r w:rsidR="005463D9">
        <w:t xml:space="preserve"> was redistributed among the two </w:t>
      </w:r>
      <w:r w:rsidR="00676402">
        <w:t>sons</w:t>
      </w:r>
      <w:r w:rsidR="005463D9">
        <w:t xml:space="preserve"> of R.P. </w:t>
      </w:r>
      <w:proofErr w:type="spellStart"/>
      <w:r w:rsidR="005463D9">
        <w:t>Goenka</w:t>
      </w:r>
      <w:proofErr w:type="spellEnd"/>
      <w:r w:rsidR="005463D9">
        <w:t>. T</w:t>
      </w:r>
      <w:r w:rsidRPr="004974C1">
        <w:t>he RP-</w:t>
      </w:r>
      <w:proofErr w:type="spellStart"/>
      <w:r w:rsidRPr="004974C1">
        <w:t>Sanjiv</w:t>
      </w:r>
      <w:proofErr w:type="spellEnd"/>
      <w:r w:rsidRPr="004974C1">
        <w:t xml:space="preserve"> </w:t>
      </w:r>
      <w:proofErr w:type="spellStart"/>
      <w:r w:rsidRPr="004974C1">
        <w:t>Goenka</w:t>
      </w:r>
      <w:proofErr w:type="spellEnd"/>
      <w:r w:rsidRPr="004974C1">
        <w:t xml:space="preserve"> </w:t>
      </w:r>
      <w:r w:rsidR="00441ACB">
        <w:t>G</w:t>
      </w:r>
      <w:r w:rsidRPr="004974C1">
        <w:t>roup</w:t>
      </w:r>
      <w:r w:rsidR="00317AF2">
        <w:t>,</w:t>
      </w:r>
      <w:r w:rsidRPr="004974C1">
        <w:t xml:space="preserve"> </w:t>
      </w:r>
      <w:r w:rsidR="00183D0B">
        <w:t>a</w:t>
      </w:r>
      <w:r w:rsidR="00183D0B" w:rsidRPr="004974C1">
        <w:t xml:space="preserve"> </w:t>
      </w:r>
      <w:r w:rsidRPr="004974C1">
        <w:t xml:space="preserve">consortium of companies managed by the </w:t>
      </w:r>
      <w:r w:rsidR="005463D9">
        <w:t>younger son</w:t>
      </w:r>
      <w:r w:rsidR="002A5643">
        <w:t>,</w:t>
      </w:r>
      <w:r w:rsidRPr="004974C1">
        <w:t xml:space="preserve"> </w:t>
      </w:r>
      <w:proofErr w:type="spellStart"/>
      <w:r w:rsidRPr="004974C1">
        <w:t>Sanjiv</w:t>
      </w:r>
      <w:proofErr w:type="spellEnd"/>
      <w:r w:rsidRPr="004974C1">
        <w:t xml:space="preserve"> </w:t>
      </w:r>
      <w:proofErr w:type="spellStart"/>
      <w:r w:rsidRPr="004974C1">
        <w:t>Goenka</w:t>
      </w:r>
      <w:proofErr w:type="spellEnd"/>
      <w:r w:rsidR="00183D0B">
        <w:t>,</w:t>
      </w:r>
      <w:r w:rsidR="005463D9">
        <w:t xml:space="preserve"> was formed</w:t>
      </w:r>
      <w:r w:rsidRPr="004974C1">
        <w:t xml:space="preserve">. </w:t>
      </w:r>
      <w:proofErr w:type="spellStart"/>
      <w:r w:rsidRPr="004974C1">
        <w:t>Saregama</w:t>
      </w:r>
      <w:proofErr w:type="spellEnd"/>
      <w:r w:rsidRPr="004974C1">
        <w:t xml:space="preserve"> was now part of this group. </w:t>
      </w:r>
      <w:proofErr w:type="spellStart"/>
      <w:r w:rsidRPr="004974C1">
        <w:t>Goenka</w:t>
      </w:r>
      <w:proofErr w:type="spellEnd"/>
      <w:r w:rsidRPr="004974C1">
        <w:t xml:space="preserve"> knew that success in the new Indian market needed new and more efficient approaches. Hence</w:t>
      </w:r>
      <w:r w:rsidR="00317AF2">
        <w:t>,</w:t>
      </w:r>
      <w:r w:rsidRPr="004974C1">
        <w:t xml:space="preserve"> he </w:t>
      </w:r>
      <w:r w:rsidRPr="004974C1">
        <w:rPr>
          <w:color w:val="000000"/>
        </w:rPr>
        <w:t>turned to consulting firms McKinsey &amp; Co</w:t>
      </w:r>
      <w:r w:rsidR="00441ACB">
        <w:rPr>
          <w:color w:val="000000"/>
        </w:rPr>
        <w:t>mpany</w:t>
      </w:r>
      <w:r w:rsidRPr="004974C1">
        <w:rPr>
          <w:color w:val="000000"/>
        </w:rPr>
        <w:t xml:space="preserve"> and Boston Consulting Group for advice on how to lead this transformation.</w:t>
      </w:r>
      <w:r w:rsidRPr="004974C1">
        <w:t xml:space="preserve"> </w:t>
      </w:r>
    </w:p>
    <w:p w14:paraId="7DA1AA65" w14:textId="77777777" w:rsidR="00317AF2" w:rsidRPr="00AA0758" w:rsidRDefault="00317AF2" w:rsidP="00367200">
      <w:pPr>
        <w:pStyle w:val="BodyTextMain"/>
        <w:rPr>
          <w:sz w:val="18"/>
        </w:rPr>
      </w:pPr>
    </w:p>
    <w:p w14:paraId="0DD1E76A" w14:textId="1A4F79D9" w:rsidR="0048697B" w:rsidRDefault="0048697B" w:rsidP="00367200">
      <w:pPr>
        <w:pStyle w:val="BodyTextMain"/>
      </w:pPr>
      <w:r>
        <w:t>Commenting o</w:t>
      </w:r>
      <w:r w:rsidR="00F313DF" w:rsidRPr="004974C1">
        <w:t xml:space="preserve">n his vision and plans for </w:t>
      </w:r>
      <w:proofErr w:type="spellStart"/>
      <w:r w:rsidR="00F313DF" w:rsidRPr="004974C1">
        <w:t>Saregama</w:t>
      </w:r>
      <w:proofErr w:type="spellEnd"/>
      <w:r w:rsidR="00F313DF" w:rsidRPr="004974C1">
        <w:t xml:space="preserve">, </w:t>
      </w:r>
      <w:proofErr w:type="spellStart"/>
      <w:r w:rsidR="00F313DF" w:rsidRPr="004974C1">
        <w:t>Goenka</w:t>
      </w:r>
      <w:proofErr w:type="spellEnd"/>
      <w:r w:rsidR="00F313DF" w:rsidRPr="004974C1">
        <w:t xml:space="preserve"> said</w:t>
      </w:r>
      <w:r w:rsidR="00183D0B">
        <w:t>,</w:t>
      </w:r>
    </w:p>
    <w:p w14:paraId="5CF7F61F" w14:textId="77777777" w:rsidR="0048697B" w:rsidRPr="00AA0758" w:rsidRDefault="0048697B" w:rsidP="00367200">
      <w:pPr>
        <w:pStyle w:val="BodyTextMain"/>
        <w:rPr>
          <w:sz w:val="18"/>
        </w:rPr>
      </w:pPr>
    </w:p>
    <w:p w14:paraId="4FA399F5" w14:textId="6D1277D8" w:rsidR="0048697B" w:rsidRDefault="00F313DF" w:rsidP="0048697B">
      <w:pPr>
        <w:pStyle w:val="BodyTextMain"/>
        <w:ind w:left="720"/>
        <w:rPr>
          <w:iCs/>
        </w:rPr>
      </w:pPr>
      <w:proofErr w:type="spellStart"/>
      <w:r w:rsidRPr="004974C1">
        <w:rPr>
          <w:color w:val="000000"/>
        </w:rPr>
        <w:t>Saregama</w:t>
      </w:r>
      <w:proofErr w:type="spellEnd"/>
      <w:r w:rsidRPr="004974C1">
        <w:rPr>
          <w:color w:val="000000"/>
        </w:rPr>
        <w:t xml:space="preserve"> is being transformed into a Mumbai-headquartered production house, generating content for online consumption. With data getting cheaper on every network, we are of the view that the demand for content is only going to grow. So, from being one of the richest repositories of Indian music of different genres, we are turning ourselves into a production house, which will also leverage our strengths from the past.</w:t>
      </w:r>
      <w:r w:rsidRPr="00327A07">
        <w:rPr>
          <w:vertAlign w:val="superscript"/>
        </w:rPr>
        <w:footnoteReference w:customMarkFollows="1" w:id="11"/>
        <w:t>11</w:t>
      </w:r>
    </w:p>
    <w:p w14:paraId="3FD45905" w14:textId="6320B7B2" w:rsidR="00F313DF" w:rsidRPr="004974C1" w:rsidRDefault="00F313DF">
      <w:pPr>
        <w:pStyle w:val="BodyTextMain"/>
        <w:rPr>
          <w:i/>
        </w:rPr>
      </w:pPr>
      <w:r w:rsidRPr="004974C1">
        <w:lastRenderedPageBreak/>
        <w:t>The vision was exciting</w:t>
      </w:r>
      <w:r w:rsidR="0048697B">
        <w:t>,</w:t>
      </w:r>
      <w:r w:rsidRPr="004974C1">
        <w:t xml:space="preserve"> but </w:t>
      </w:r>
      <w:r w:rsidR="0048697B">
        <w:t xml:space="preserve">it </w:t>
      </w:r>
      <w:r w:rsidRPr="004974C1">
        <w:t xml:space="preserve">needed a professional leader who could convert the thought into reality. Thus, </w:t>
      </w:r>
      <w:proofErr w:type="spellStart"/>
      <w:r w:rsidRPr="004974C1">
        <w:t>Goenka</w:t>
      </w:r>
      <w:proofErr w:type="spellEnd"/>
      <w:r w:rsidRPr="004974C1">
        <w:t xml:space="preserve"> handpicked </w:t>
      </w:r>
      <w:proofErr w:type="spellStart"/>
      <w:r w:rsidRPr="004974C1">
        <w:t>Mehra</w:t>
      </w:r>
      <w:proofErr w:type="spellEnd"/>
      <w:r w:rsidRPr="004974C1">
        <w:t xml:space="preserve"> to lead the next phase of the </w:t>
      </w:r>
      <w:proofErr w:type="spellStart"/>
      <w:r w:rsidRPr="004974C1">
        <w:t>Saregama</w:t>
      </w:r>
      <w:proofErr w:type="spellEnd"/>
      <w:r w:rsidRPr="004974C1">
        <w:t xml:space="preserve"> saga.</w:t>
      </w:r>
      <w:r w:rsidRPr="004974C1">
        <w:rPr>
          <w:i/>
        </w:rPr>
        <w:t xml:space="preserve"> </w:t>
      </w:r>
    </w:p>
    <w:p w14:paraId="5067F1F4" w14:textId="77777777" w:rsidR="00F313DF" w:rsidRPr="00327A07" w:rsidRDefault="00F313DF" w:rsidP="00497261">
      <w:pPr>
        <w:pStyle w:val="BodyTextMain"/>
      </w:pPr>
    </w:p>
    <w:p w14:paraId="68F84431" w14:textId="217426A3" w:rsidR="00367200" w:rsidRDefault="00F313DF" w:rsidP="00836BFF">
      <w:pPr>
        <w:pStyle w:val="BodyTextMain"/>
      </w:pPr>
      <w:proofErr w:type="spellStart"/>
      <w:r w:rsidRPr="004974C1">
        <w:rPr>
          <w:color w:val="000000"/>
        </w:rPr>
        <w:t>Mehra</w:t>
      </w:r>
      <w:proofErr w:type="spellEnd"/>
      <w:r w:rsidRPr="004974C1">
        <w:rPr>
          <w:color w:val="000000"/>
        </w:rPr>
        <w:t xml:space="preserve"> took over the reins </w:t>
      </w:r>
      <w:r w:rsidR="00CE11B3">
        <w:rPr>
          <w:color w:val="000000"/>
        </w:rPr>
        <w:t>in</w:t>
      </w:r>
      <w:r w:rsidR="00CE11B3" w:rsidRPr="004974C1">
        <w:rPr>
          <w:color w:val="000000"/>
        </w:rPr>
        <w:t xml:space="preserve"> October 2014</w:t>
      </w:r>
      <w:r w:rsidR="00CE11B3">
        <w:rPr>
          <w:color w:val="000000"/>
        </w:rPr>
        <w:t xml:space="preserve"> </w:t>
      </w:r>
      <w:r w:rsidRPr="004974C1">
        <w:rPr>
          <w:color w:val="000000"/>
        </w:rPr>
        <w:t xml:space="preserve">as the </w:t>
      </w:r>
      <w:r w:rsidR="0048697B">
        <w:rPr>
          <w:color w:val="000000"/>
        </w:rPr>
        <w:t>17th</w:t>
      </w:r>
      <w:r w:rsidR="0048697B" w:rsidRPr="004974C1">
        <w:rPr>
          <w:color w:val="000000"/>
        </w:rPr>
        <w:t xml:space="preserve"> </w:t>
      </w:r>
      <w:r w:rsidR="0048697B">
        <w:rPr>
          <w:color w:val="000000"/>
        </w:rPr>
        <w:t>m</w:t>
      </w:r>
      <w:r w:rsidRPr="004974C1">
        <w:rPr>
          <w:color w:val="000000"/>
        </w:rPr>
        <w:t xml:space="preserve">anaging </w:t>
      </w:r>
      <w:r w:rsidR="0048697B">
        <w:rPr>
          <w:color w:val="000000"/>
        </w:rPr>
        <w:t>d</w:t>
      </w:r>
      <w:r w:rsidRPr="004974C1">
        <w:rPr>
          <w:color w:val="000000"/>
        </w:rPr>
        <w:t xml:space="preserve">irector of </w:t>
      </w:r>
      <w:proofErr w:type="spellStart"/>
      <w:r w:rsidRPr="004974C1">
        <w:rPr>
          <w:color w:val="000000"/>
        </w:rPr>
        <w:t>Saregama</w:t>
      </w:r>
      <w:proofErr w:type="spellEnd"/>
      <w:r w:rsidRPr="004974C1">
        <w:rPr>
          <w:color w:val="000000"/>
        </w:rPr>
        <w:t xml:space="preserve">. The company had </w:t>
      </w:r>
      <w:r w:rsidR="0048697B">
        <w:rPr>
          <w:color w:val="000000"/>
        </w:rPr>
        <w:t>experienced</w:t>
      </w:r>
      <w:r w:rsidR="0048697B" w:rsidRPr="004974C1">
        <w:rPr>
          <w:color w:val="000000"/>
        </w:rPr>
        <w:t xml:space="preserve"> </w:t>
      </w:r>
      <w:r w:rsidRPr="004974C1">
        <w:rPr>
          <w:color w:val="000000"/>
        </w:rPr>
        <w:t xml:space="preserve">considerable </w:t>
      </w:r>
      <w:r w:rsidR="0048697B">
        <w:rPr>
          <w:color w:val="000000"/>
        </w:rPr>
        <w:t xml:space="preserve">changes in </w:t>
      </w:r>
      <w:r w:rsidRPr="004974C1">
        <w:rPr>
          <w:color w:val="000000"/>
        </w:rPr>
        <w:t xml:space="preserve">leadership </w:t>
      </w:r>
      <w:r w:rsidR="0048697B" w:rsidRPr="004974C1">
        <w:rPr>
          <w:color w:val="000000"/>
        </w:rPr>
        <w:t>over its century</w:t>
      </w:r>
      <w:r w:rsidR="0048697B">
        <w:rPr>
          <w:color w:val="000000"/>
        </w:rPr>
        <w:t>-</w:t>
      </w:r>
      <w:r w:rsidR="0048697B" w:rsidRPr="004974C1">
        <w:rPr>
          <w:color w:val="000000"/>
        </w:rPr>
        <w:t xml:space="preserve">old lifespan </w:t>
      </w:r>
      <w:r w:rsidRPr="004974C1">
        <w:rPr>
          <w:color w:val="000000"/>
        </w:rPr>
        <w:t xml:space="preserve">and was an integral part of the </w:t>
      </w:r>
      <w:r w:rsidR="00510668" w:rsidRPr="00936882">
        <w:rPr>
          <w:rFonts w:ascii="Arial" w:hAnsi="Arial" w:cs="Arial"/>
          <w:sz w:val="20"/>
          <w:szCs w:val="20"/>
        </w:rPr>
        <w:t>₹</w:t>
      </w:r>
      <w:r w:rsidRPr="004974C1">
        <w:rPr>
          <w:color w:val="000000"/>
        </w:rPr>
        <w:t>210 billion turnover</w:t>
      </w:r>
      <w:r w:rsidR="0048697B">
        <w:rPr>
          <w:color w:val="000000"/>
        </w:rPr>
        <w:t xml:space="preserve"> to </w:t>
      </w:r>
      <w:r w:rsidRPr="004974C1">
        <w:rPr>
          <w:color w:val="000000"/>
        </w:rPr>
        <w:t>RP-</w:t>
      </w:r>
      <w:proofErr w:type="spellStart"/>
      <w:r w:rsidRPr="004974C1">
        <w:rPr>
          <w:color w:val="000000"/>
        </w:rPr>
        <w:t>Sanjiv</w:t>
      </w:r>
      <w:proofErr w:type="spellEnd"/>
      <w:r w:rsidRPr="004974C1">
        <w:rPr>
          <w:color w:val="000000"/>
        </w:rPr>
        <w:t xml:space="preserve"> </w:t>
      </w:r>
      <w:proofErr w:type="spellStart"/>
      <w:r w:rsidRPr="004974C1">
        <w:rPr>
          <w:color w:val="000000"/>
        </w:rPr>
        <w:t>Goenka</w:t>
      </w:r>
      <w:proofErr w:type="spellEnd"/>
      <w:r w:rsidRPr="004974C1">
        <w:rPr>
          <w:color w:val="000000"/>
        </w:rPr>
        <w:t xml:space="preserve"> </w:t>
      </w:r>
      <w:r w:rsidR="0048697B">
        <w:rPr>
          <w:color w:val="000000"/>
        </w:rPr>
        <w:t>G</w:t>
      </w:r>
      <w:r w:rsidRPr="004974C1">
        <w:rPr>
          <w:color w:val="000000"/>
        </w:rPr>
        <w:t>roup.</w:t>
      </w:r>
      <w:r w:rsidR="0048697B" w:rsidRPr="005022FE">
        <w:rPr>
          <w:rStyle w:val="FootnoteReference"/>
        </w:rPr>
        <w:footnoteReference w:id="12"/>
      </w:r>
      <w:r w:rsidRPr="004974C1">
        <w:rPr>
          <w:color w:val="000000"/>
        </w:rPr>
        <w:t xml:space="preserve"> </w:t>
      </w:r>
      <w:proofErr w:type="spellStart"/>
      <w:r w:rsidRPr="004974C1">
        <w:t>Mehra</w:t>
      </w:r>
      <w:proofErr w:type="spellEnd"/>
      <w:r w:rsidRPr="004974C1">
        <w:t xml:space="preserve"> came with impressive academic credential</w:t>
      </w:r>
      <w:r w:rsidR="0048697B">
        <w:t>s</w:t>
      </w:r>
      <w:r w:rsidRPr="004974C1">
        <w:t xml:space="preserve"> and </w:t>
      </w:r>
      <w:r w:rsidR="0048697B">
        <w:t xml:space="preserve">a </w:t>
      </w:r>
      <w:r w:rsidRPr="004974C1">
        <w:t>track record</w:t>
      </w:r>
      <w:r w:rsidR="0048697B" w:rsidRPr="0048697B">
        <w:t xml:space="preserve"> </w:t>
      </w:r>
      <w:r w:rsidR="0048697B">
        <w:t xml:space="preserve">in </w:t>
      </w:r>
      <w:r w:rsidR="0048697B" w:rsidRPr="004974C1">
        <w:t>business</w:t>
      </w:r>
      <w:r w:rsidR="000D7864">
        <w:t>.</w:t>
      </w:r>
      <w:r w:rsidRPr="005022FE">
        <w:rPr>
          <w:rStyle w:val="FootnoteReference"/>
        </w:rPr>
        <w:footnoteReference w:id="13"/>
      </w:r>
      <w:r w:rsidRPr="004974C1">
        <w:t xml:space="preserve"> </w:t>
      </w:r>
      <w:r w:rsidR="000D7864">
        <w:t>He</w:t>
      </w:r>
      <w:r w:rsidRPr="004974C1">
        <w:t xml:space="preserve"> recognized that, </w:t>
      </w:r>
      <w:r w:rsidRPr="004974C1">
        <w:rPr>
          <w:color w:val="000000"/>
        </w:rPr>
        <w:t>“</w:t>
      </w:r>
      <w:r w:rsidR="0048697B">
        <w:rPr>
          <w:color w:val="000000"/>
        </w:rPr>
        <w:t>o</w:t>
      </w:r>
      <w:r w:rsidRPr="004974C1">
        <w:rPr>
          <w:color w:val="000000"/>
        </w:rPr>
        <w:t>n the face of it, things may not have been good; but the foundation and the structure was there.</w:t>
      </w:r>
      <w:r w:rsidR="000D7864">
        <w:rPr>
          <w:color w:val="000000"/>
        </w:rPr>
        <w:t xml:space="preserve"> </w:t>
      </w:r>
      <w:proofErr w:type="spellStart"/>
      <w:r w:rsidRPr="004974C1">
        <w:rPr>
          <w:color w:val="000000"/>
        </w:rPr>
        <w:t>Saregama</w:t>
      </w:r>
      <w:proofErr w:type="spellEnd"/>
      <w:r w:rsidRPr="004974C1">
        <w:rPr>
          <w:color w:val="000000"/>
        </w:rPr>
        <w:t xml:space="preserve"> owned the biggest treasure in the country. Practically every piece of music recorded in India from the early 1900</w:t>
      </w:r>
      <w:r w:rsidR="00183D0B">
        <w:rPr>
          <w:color w:val="000000"/>
        </w:rPr>
        <w:t>s</w:t>
      </w:r>
      <w:r w:rsidRPr="004974C1">
        <w:rPr>
          <w:color w:val="000000"/>
        </w:rPr>
        <w:t xml:space="preserve"> was owned by us.” </w:t>
      </w:r>
      <w:proofErr w:type="spellStart"/>
      <w:r w:rsidR="00C307CE">
        <w:rPr>
          <w:color w:val="000000"/>
        </w:rPr>
        <w:t>Mehra</w:t>
      </w:r>
      <w:proofErr w:type="spellEnd"/>
      <w:r w:rsidR="00C307CE" w:rsidRPr="004974C1">
        <w:rPr>
          <w:color w:val="000000"/>
        </w:rPr>
        <w:t xml:space="preserve"> </w:t>
      </w:r>
      <w:r w:rsidRPr="004974C1">
        <w:rPr>
          <w:color w:val="000000"/>
        </w:rPr>
        <w:t xml:space="preserve">took on the challenge and decided that music content would be the key strength on which the new </w:t>
      </w:r>
      <w:proofErr w:type="spellStart"/>
      <w:r w:rsidRPr="004974C1">
        <w:rPr>
          <w:color w:val="000000"/>
        </w:rPr>
        <w:t>Saregama</w:t>
      </w:r>
      <w:proofErr w:type="spellEnd"/>
      <w:r w:rsidRPr="004974C1">
        <w:rPr>
          <w:color w:val="000000"/>
        </w:rPr>
        <w:t xml:space="preserve"> story would be composed. With a systematic approach, based on </w:t>
      </w:r>
      <w:r w:rsidR="00183D0B" w:rsidRPr="004974C1">
        <w:rPr>
          <w:color w:val="000000"/>
        </w:rPr>
        <w:t>data</w:t>
      </w:r>
      <w:r w:rsidR="00183D0B">
        <w:rPr>
          <w:color w:val="000000"/>
        </w:rPr>
        <w:t>-</w:t>
      </w:r>
      <w:r w:rsidRPr="004974C1">
        <w:rPr>
          <w:color w:val="000000"/>
        </w:rPr>
        <w:t xml:space="preserve">driven consumer insights, </w:t>
      </w:r>
      <w:proofErr w:type="spellStart"/>
      <w:r w:rsidRPr="004974C1">
        <w:rPr>
          <w:color w:val="000000"/>
        </w:rPr>
        <w:t>Mehra</w:t>
      </w:r>
      <w:proofErr w:type="spellEnd"/>
      <w:r w:rsidRPr="004974C1">
        <w:rPr>
          <w:color w:val="000000"/>
        </w:rPr>
        <w:t xml:space="preserve"> got the company back on a growth trajectory.</w:t>
      </w:r>
      <w:r w:rsidR="00183D0B">
        <w:rPr>
          <w:color w:val="000000"/>
        </w:rPr>
        <w:t xml:space="preserve"> </w:t>
      </w:r>
      <w:r w:rsidRPr="004974C1">
        <w:rPr>
          <w:color w:val="000000"/>
        </w:rPr>
        <w:t xml:space="preserve">On a lighter note, </w:t>
      </w:r>
      <w:proofErr w:type="spellStart"/>
      <w:r w:rsidRPr="004974C1">
        <w:t>Mehra</w:t>
      </w:r>
      <w:proofErr w:type="spellEnd"/>
      <w:r w:rsidRPr="004974C1">
        <w:t xml:space="preserve"> shared his reason fo</w:t>
      </w:r>
      <w:r w:rsidR="00367200">
        <w:t>r joining the struggling firm</w:t>
      </w:r>
      <w:r w:rsidR="00C307CE">
        <w:t>:</w:t>
      </w:r>
      <w:r w:rsidR="00367200">
        <w:t xml:space="preserve"> </w:t>
      </w:r>
    </w:p>
    <w:p w14:paraId="50BEA459" w14:textId="77777777" w:rsidR="00367200" w:rsidRDefault="00367200" w:rsidP="00836BFF">
      <w:pPr>
        <w:pStyle w:val="BodyTextMain"/>
      </w:pPr>
    </w:p>
    <w:p w14:paraId="403DEDCE" w14:textId="60AC7A1D" w:rsidR="00F313DF" w:rsidRPr="004974C1" w:rsidRDefault="00F313DF" w:rsidP="00367200">
      <w:pPr>
        <w:pStyle w:val="BodyTextMain"/>
        <w:ind w:left="720"/>
        <w:rPr>
          <w:i/>
        </w:rPr>
      </w:pPr>
      <w:r w:rsidRPr="004974C1">
        <w:t>I had immense faith in the strong foundation and the treasure of yesteryear</w:t>
      </w:r>
      <w:r w:rsidR="00183D0B">
        <w:t>s’</w:t>
      </w:r>
      <w:r w:rsidRPr="004974C1">
        <w:t xml:space="preserve"> music at </w:t>
      </w:r>
      <w:proofErr w:type="spellStart"/>
      <w:r w:rsidRPr="004974C1">
        <w:t>Saregama</w:t>
      </w:r>
      <w:proofErr w:type="spellEnd"/>
      <w:r w:rsidR="00CE11B3">
        <w:t>.</w:t>
      </w:r>
      <w:r w:rsidRPr="004974C1">
        <w:t xml:space="preserve"> </w:t>
      </w:r>
      <w:r w:rsidR="00CE11B3">
        <w:t>S</w:t>
      </w:r>
      <w:r w:rsidRPr="004974C1">
        <w:t>econdly</w:t>
      </w:r>
      <w:r w:rsidR="00C307CE">
        <w:t>,</w:t>
      </w:r>
      <w:r w:rsidRPr="004974C1">
        <w:t xml:space="preserve"> it helps </w:t>
      </w:r>
      <w:r w:rsidR="00183D0B" w:rsidRPr="004974C1">
        <w:t xml:space="preserve">that </w:t>
      </w:r>
      <w:r w:rsidR="00E61252" w:rsidRPr="004974C1">
        <w:t>t</w:t>
      </w:r>
      <w:r w:rsidR="00E61252">
        <w:t>o</w:t>
      </w:r>
      <w:r w:rsidR="00E61252" w:rsidRPr="004974C1">
        <w:t xml:space="preserve"> </w:t>
      </w:r>
      <w:r w:rsidRPr="004974C1">
        <w:t>date the only music I listen to is a Kishore or a Rafi or an Asha</w:t>
      </w:r>
      <w:r w:rsidR="00C307CE">
        <w:t>.</w:t>
      </w:r>
      <w:r w:rsidRPr="005022FE">
        <w:rPr>
          <w:rStyle w:val="FootnoteReference"/>
        </w:rPr>
        <w:footnoteReference w:id="14"/>
      </w:r>
      <w:r w:rsidRPr="004974C1">
        <w:t xml:space="preserve"> I don’t enjoy new music and this helped me connect more naturally. Third is the genuine free hand given by the promoter</w:t>
      </w:r>
      <w:r w:rsidR="000D7864">
        <w:t>,</w:t>
      </w:r>
      <w:r w:rsidRPr="004974C1">
        <w:t xml:space="preserve"> ready to take a longer</w:t>
      </w:r>
      <w:r w:rsidR="00CE11B3">
        <w:t>-</w:t>
      </w:r>
      <w:r w:rsidRPr="004974C1">
        <w:t xml:space="preserve">term </w:t>
      </w:r>
      <w:proofErr w:type="gramStart"/>
      <w:r w:rsidRPr="004974C1">
        <w:t>view</w:t>
      </w:r>
      <w:r w:rsidR="000D7864">
        <w:t>.</w:t>
      </w:r>
      <w:proofErr w:type="gramEnd"/>
      <w:r w:rsidRPr="004974C1">
        <w:t xml:space="preserve"> I feel that in order to do something different</w:t>
      </w:r>
      <w:r w:rsidR="00C307CE">
        <w:t>,</w:t>
      </w:r>
      <w:r w:rsidRPr="004974C1">
        <w:t xml:space="preserve"> there will be success as well as failures</w:t>
      </w:r>
      <w:r w:rsidR="00C307CE">
        <w:t>,</w:t>
      </w:r>
      <w:r w:rsidRPr="004974C1">
        <w:t xml:space="preserve"> and my faith in this goldmine of music is unshakable.</w:t>
      </w:r>
    </w:p>
    <w:p w14:paraId="22D8C218" w14:textId="77777777" w:rsidR="00F313DF" w:rsidRPr="009F437C" w:rsidRDefault="00F313DF" w:rsidP="00836BFF">
      <w:pPr>
        <w:pStyle w:val="BodyTextMain"/>
      </w:pPr>
    </w:p>
    <w:p w14:paraId="6D0E87FD" w14:textId="7DCCD42E" w:rsidR="00C307CE" w:rsidRDefault="00C307CE" w:rsidP="00836BFF">
      <w:pPr>
        <w:pStyle w:val="BodyTextMain"/>
      </w:pPr>
      <w:r>
        <w:t>To</w:t>
      </w:r>
      <w:r w:rsidRPr="004974C1">
        <w:t xml:space="preserve"> </w:t>
      </w:r>
      <w:r w:rsidR="00F313DF" w:rsidRPr="004974C1">
        <w:t>date</w:t>
      </w:r>
      <w:r>
        <w:t>,</w:t>
      </w:r>
      <w:r w:rsidR="00F313DF" w:rsidRPr="004974C1">
        <w:t xml:space="preserve"> </w:t>
      </w:r>
      <w:proofErr w:type="spellStart"/>
      <w:r w:rsidR="00F313DF" w:rsidRPr="004974C1">
        <w:t>Saregama</w:t>
      </w:r>
      <w:proofErr w:type="spellEnd"/>
      <w:r w:rsidR="00F313DF" w:rsidRPr="004974C1">
        <w:t xml:space="preserve"> had experimented with a certain amount of B2C ventures</w:t>
      </w:r>
      <w:r>
        <w:t>—</w:t>
      </w:r>
      <w:r w:rsidR="00E61252">
        <w:t>H</w:t>
      </w:r>
      <w:r w:rsidR="00F313DF" w:rsidRPr="004974C1">
        <w:t>amaraCD.com</w:t>
      </w:r>
      <w:r>
        <w:t>,</w:t>
      </w:r>
      <w:r w:rsidR="00F313DF" w:rsidRPr="004974C1">
        <w:t xml:space="preserve"> Music World</w:t>
      </w:r>
      <w:r>
        <w:t>,</w:t>
      </w:r>
      <w:r w:rsidR="00F313DF" w:rsidRPr="004974C1">
        <w:t xml:space="preserve"> and others</w:t>
      </w:r>
      <w:r>
        <w:t>—</w:t>
      </w:r>
      <w:r w:rsidR="00F313DF" w:rsidRPr="004974C1">
        <w:t xml:space="preserve">but had remained largely </w:t>
      </w:r>
      <w:r w:rsidR="00DB58E9">
        <w:t xml:space="preserve">as </w:t>
      </w:r>
      <w:r w:rsidR="00F313DF" w:rsidRPr="004974C1">
        <w:t xml:space="preserve">a B2B player (see Exhibit 5). This was restrictive, </w:t>
      </w:r>
      <w:r>
        <w:t>according to</w:t>
      </w:r>
      <w:r w:rsidRPr="004974C1">
        <w:t xml:space="preserve"> </w:t>
      </w:r>
      <w:proofErr w:type="spellStart"/>
      <w:r w:rsidR="00F313DF" w:rsidRPr="004974C1">
        <w:t>Aayeer</w:t>
      </w:r>
      <w:proofErr w:type="spellEnd"/>
      <w:r>
        <w:t>:</w:t>
      </w:r>
      <w:r w:rsidR="00183D0B">
        <w:t xml:space="preserve"> “</w:t>
      </w:r>
      <w:r w:rsidR="00183D0B" w:rsidRPr="004974C1">
        <w:t xml:space="preserve">The </w:t>
      </w:r>
      <w:proofErr w:type="gramStart"/>
      <w:r w:rsidR="00183D0B">
        <w:t>c</w:t>
      </w:r>
      <w:r w:rsidR="00183D0B" w:rsidRPr="004974C1">
        <w:t>ompany</w:t>
      </w:r>
      <w:proofErr w:type="gramEnd"/>
      <w:r w:rsidR="00183D0B" w:rsidRPr="004974C1">
        <w:t xml:space="preserve"> always had a professional as an MD</w:t>
      </w:r>
      <w:r w:rsidR="00183D0B">
        <w:t xml:space="preserve"> [managing director]</w:t>
      </w:r>
      <w:r w:rsidR="00183D0B" w:rsidRPr="004974C1">
        <w:t>. But the past MDs did not really look beyond the B2B market</w:t>
      </w:r>
      <w:r w:rsidR="00183D0B">
        <w:t xml:space="preserve">, </w:t>
      </w:r>
      <w:r w:rsidR="00183D0B" w:rsidRPr="004974C1">
        <w:t>where you are bound by what your business partner</w:t>
      </w:r>
      <w:r w:rsidR="00183D0B">
        <w:t xml:space="preserve"> or</w:t>
      </w:r>
      <w:r w:rsidR="00183D0B" w:rsidRPr="004974C1">
        <w:t xml:space="preserve"> client wants to do.</w:t>
      </w:r>
      <w:r w:rsidR="00183D0B">
        <w:t>”</w:t>
      </w:r>
    </w:p>
    <w:p w14:paraId="3E065E20" w14:textId="77777777" w:rsidR="00183D0B" w:rsidRDefault="00183D0B" w:rsidP="0070410B">
      <w:pPr>
        <w:pStyle w:val="BodyTextMain"/>
      </w:pPr>
    </w:p>
    <w:p w14:paraId="14EC0CAE" w14:textId="533F4CF2" w:rsidR="0070410B" w:rsidRDefault="009D5080" w:rsidP="0070410B">
      <w:pPr>
        <w:pStyle w:val="BodyTextMain"/>
      </w:pPr>
      <w:r>
        <w:t>Instead</w:t>
      </w:r>
      <w:r w:rsidR="00DB58E9">
        <w:t xml:space="preserve"> of remaining </w:t>
      </w:r>
      <w:r w:rsidR="0070410B">
        <w:t xml:space="preserve">with </w:t>
      </w:r>
      <w:r w:rsidR="00F313DF" w:rsidRPr="004974C1">
        <w:t>the conventional and traditional</w:t>
      </w:r>
      <w:r w:rsidR="00CE11B3">
        <w:t xml:space="preserve"> </w:t>
      </w:r>
      <w:r w:rsidR="00DB58E9">
        <w:t>approach of running a music business</w:t>
      </w:r>
      <w:r w:rsidR="00F313DF" w:rsidRPr="004974C1">
        <w:t xml:space="preserve">, </w:t>
      </w:r>
      <w:proofErr w:type="spellStart"/>
      <w:r w:rsidR="00F313DF" w:rsidRPr="004974C1">
        <w:t>Mehra</w:t>
      </w:r>
      <w:proofErr w:type="spellEnd"/>
      <w:r w:rsidR="00F313DF" w:rsidRPr="004974C1">
        <w:t xml:space="preserve"> decided that a different track was needed</w:t>
      </w:r>
      <w:r w:rsidR="0070410B">
        <w:t>:</w:t>
      </w:r>
    </w:p>
    <w:p w14:paraId="62B82A3E" w14:textId="77777777" w:rsidR="0070410B" w:rsidRDefault="0070410B" w:rsidP="0070410B">
      <w:pPr>
        <w:pStyle w:val="BodyTextMain"/>
      </w:pPr>
    </w:p>
    <w:p w14:paraId="2FC94BFC" w14:textId="4EA0ADA7" w:rsidR="0070410B" w:rsidRDefault="00F313DF" w:rsidP="0070410B">
      <w:pPr>
        <w:pStyle w:val="BodyTextMain"/>
        <w:ind w:left="720"/>
      </w:pPr>
      <w:r w:rsidRPr="004974C1">
        <w:t xml:space="preserve">What is convention? If you see </w:t>
      </w:r>
      <w:r w:rsidR="0070410B">
        <w:t>the United States</w:t>
      </w:r>
      <w:r w:rsidRPr="004974C1">
        <w:t xml:space="preserve"> right now, LPs are making such a big comeback. Premium ones like Bob Marley are selling like hot cakes. You need to keep on reinventing but remember </w:t>
      </w:r>
      <w:r w:rsidR="0070410B">
        <w:t xml:space="preserve">that </w:t>
      </w:r>
      <w:r w:rsidRPr="004974C1">
        <w:t>technology has to be slaved to what consumer</w:t>
      </w:r>
      <w:r w:rsidR="0070410B">
        <w:t>s</w:t>
      </w:r>
      <w:r w:rsidRPr="004974C1">
        <w:t xml:space="preserve"> want. Consumers may not be able to state in exact words what they want</w:t>
      </w:r>
      <w:r w:rsidR="0070410B">
        <w:t>. . . .</w:t>
      </w:r>
      <w:r w:rsidRPr="00B32701">
        <w:rPr>
          <w:bCs/>
        </w:rPr>
        <w:t xml:space="preserve"> </w:t>
      </w:r>
      <w:r w:rsidRPr="004974C1">
        <w:rPr>
          <w:bCs/>
        </w:rPr>
        <w:t xml:space="preserve">My firm belief is, </w:t>
      </w:r>
      <w:r w:rsidRPr="004974C1">
        <w:t>marketing cannot be done sitting in glass chambers. You need to be sitting in your customer’s home. What we often do is we think that our customers are just like our friends. Our friends drive great cars and live fancy</w:t>
      </w:r>
      <w:r w:rsidR="0070410B">
        <w:t>; they</w:t>
      </w:r>
      <w:r w:rsidRPr="004974C1">
        <w:t xml:space="preserve"> think 500 rupees for a drink is nothing. But that’s not India. India is something very different right now.</w:t>
      </w:r>
    </w:p>
    <w:p w14:paraId="12663F9C" w14:textId="77777777" w:rsidR="0070410B" w:rsidRDefault="0070410B" w:rsidP="0070410B">
      <w:pPr>
        <w:pStyle w:val="BodyTextMain"/>
      </w:pPr>
    </w:p>
    <w:p w14:paraId="27CE51E1" w14:textId="4D4D3539" w:rsidR="00F313DF" w:rsidRPr="004974C1" w:rsidRDefault="0070410B">
      <w:pPr>
        <w:pStyle w:val="BodyTextMain"/>
      </w:pPr>
      <w:r>
        <w:t xml:space="preserve">With </w:t>
      </w:r>
      <w:proofErr w:type="spellStart"/>
      <w:r w:rsidR="00F313DF" w:rsidRPr="004974C1">
        <w:t>Mehra’s</w:t>
      </w:r>
      <w:proofErr w:type="spellEnd"/>
      <w:r w:rsidR="00F313DF" w:rsidRPr="004974C1">
        <w:t xml:space="preserve"> </w:t>
      </w:r>
      <w:r>
        <w:t>vision</w:t>
      </w:r>
      <w:r w:rsidR="00F313DF" w:rsidRPr="004974C1">
        <w:t xml:space="preserve">, </w:t>
      </w:r>
      <w:proofErr w:type="spellStart"/>
      <w:r w:rsidR="00F313DF" w:rsidRPr="004974C1">
        <w:t>Saregama</w:t>
      </w:r>
      <w:proofErr w:type="spellEnd"/>
      <w:r w:rsidR="00F313DF" w:rsidRPr="004974C1">
        <w:t xml:space="preserve"> surged ahead on a two</w:t>
      </w:r>
      <w:r>
        <w:t>-</w:t>
      </w:r>
      <w:r w:rsidR="00F313DF" w:rsidRPr="004974C1">
        <w:t>phased journey.</w:t>
      </w:r>
      <w:r w:rsidR="005022FE">
        <w:t xml:space="preserve"> </w:t>
      </w:r>
    </w:p>
    <w:p w14:paraId="3127FB22" w14:textId="77777777" w:rsidR="00F313DF" w:rsidRPr="00367200" w:rsidRDefault="00F313DF" w:rsidP="00836BFF">
      <w:pPr>
        <w:pStyle w:val="BodyTextMain"/>
      </w:pPr>
    </w:p>
    <w:p w14:paraId="6FAA9337" w14:textId="77777777" w:rsidR="00836BFF" w:rsidRPr="00367200" w:rsidRDefault="00836BFF" w:rsidP="00836BFF">
      <w:pPr>
        <w:pStyle w:val="BodyTextMain"/>
      </w:pPr>
    </w:p>
    <w:p w14:paraId="019BC268" w14:textId="2C83B93C" w:rsidR="00836BFF" w:rsidRPr="004974C1" w:rsidRDefault="00F313DF" w:rsidP="00836BFF">
      <w:pPr>
        <w:pStyle w:val="Casehead1"/>
        <w:rPr>
          <w:sz w:val="22"/>
          <w:szCs w:val="22"/>
        </w:rPr>
      </w:pPr>
      <w:r w:rsidRPr="004974C1">
        <w:t>Phase 1</w:t>
      </w:r>
      <w:r w:rsidR="0070410B">
        <w:t>:</w:t>
      </w:r>
      <w:r w:rsidRPr="004974C1">
        <w:t xml:space="preserve"> Understanding the Indian Consumer</w:t>
      </w:r>
      <w:r w:rsidR="0070410B">
        <w:t>’</w:t>
      </w:r>
      <w:r w:rsidRPr="004974C1">
        <w:t>s Needs</w:t>
      </w:r>
      <w:r w:rsidRPr="004974C1">
        <w:rPr>
          <w:sz w:val="22"/>
          <w:szCs w:val="22"/>
        </w:rPr>
        <w:t xml:space="preserve"> </w:t>
      </w:r>
    </w:p>
    <w:p w14:paraId="25B0188D" w14:textId="77777777" w:rsidR="00836BFF" w:rsidRPr="00367200" w:rsidRDefault="00836BFF" w:rsidP="00327A07">
      <w:pPr>
        <w:pStyle w:val="BodyTextMain"/>
      </w:pPr>
    </w:p>
    <w:p w14:paraId="6A338BEF" w14:textId="26697C75" w:rsidR="003C6D16" w:rsidRDefault="00F313DF" w:rsidP="00836BFF">
      <w:pPr>
        <w:pStyle w:val="BodyTextMain"/>
      </w:pPr>
      <w:r w:rsidRPr="004974C1">
        <w:t xml:space="preserve">In the first quarter of 2015, </w:t>
      </w:r>
      <w:proofErr w:type="spellStart"/>
      <w:r w:rsidRPr="004974C1">
        <w:t>Saregama</w:t>
      </w:r>
      <w:proofErr w:type="spellEnd"/>
      <w:r w:rsidRPr="004974C1">
        <w:t xml:space="preserve"> conducted a nationwide qualitative study across 23 Indian cities to </w:t>
      </w:r>
      <w:r w:rsidR="0070410B">
        <w:t xml:space="preserve">determine </w:t>
      </w:r>
      <w:r w:rsidR="003C6D16">
        <w:t xml:space="preserve">the </w:t>
      </w:r>
      <w:r w:rsidRPr="004974C1">
        <w:t xml:space="preserve">attitude of Indian consumers </w:t>
      </w:r>
      <w:r w:rsidR="0070410B">
        <w:t xml:space="preserve">toward </w:t>
      </w:r>
      <w:r w:rsidRPr="004974C1">
        <w:t>music</w:t>
      </w:r>
      <w:r w:rsidR="0070410B">
        <w:t xml:space="preserve"> and how they used it</w:t>
      </w:r>
      <w:r w:rsidRPr="004974C1">
        <w:t xml:space="preserve">. </w:t>
      </w:r>
      <w:proofErr w:type="spellStart"/>
      <w:r w:rsidRPr="004974C1">
        <w:t>Mehra</w:t>
      </w:r>
      <w:proofErr w:type="spellEnd"/>
      <w:r w:rsidRPr="004974C1">
        <w:t xml:space="preserve"> shared</w:t>
      </w:r>
      <w:r w:rsidR="003C6D16">
        <w:t>:</w:t>
      </w:r>
    </w:p>
    <w:p w14:paraId="5DF2C4B7" w14:textId="77777777" w:rsidR="003C6D16" w:rsidRDefault="003C6D16" w:rsidP="00836BFF">
      <w:pPr>
        <w:pStyle w:val="BodyTextMain"/>
      </w:pPr>
    </w:p>
    <w:p w14:paraId="2EB7B845" w14:textId="0A4C4A05" w:rsidR="003C6D16" w:rsidRDefault="00F313DF" w:rsidP="003C6D16">
      <w:pPr>
        <w:pStyle w:val="BodyTextMain"/>
        <w:ind w:left="720"/>
      </w:pPr>
      <w:r w:rsidRPr="004974C1">
        <w:lastRenderedPageBreak/>
        <w:t xml:space="preserve">When I joined </w:t>
      </w:r>
      <w:proofErr w:type="spellStart"/>
      <w:r w:rsidRPr="004974C1">
        <w:t>Saregama</w:t>
      </w:r>
      <w:proofErr w:type="spellEnd"/>
      <w:r w:rsidRPr="004974C1">
        <w:t>, the one lesson that everyone in and outside the company</w:t>
      </w:r>
      <w:r w:rsidR="003C6D16">
        <w:t>,</w:t>
      </w:r>
      <w:r w:rsidRPr="004974C1">
        <w:t xml:space="preserve"> starting from my direct </w:t>
      </w:r>
      <w:proofErr w:type="spellStart"/>
      <w:r w:rsidRPr="004974C1">
        <w:t>reportees</w:t>
      </w:r>
      <w:proofErr w:type="spellEnd"/>
      <w:r w:rsidRPr="004974C1">
        <w:t xml:space="preserve"> to other labels in the industry</w:t>
      </w:r>
      <w:r w:rsidR="003C6D16">
        <w:t>,</w:t>
      </w:r>
      <w:r w:rsidRPr="004974C1">
        <w:t xml:space="preserve"> told me</w:t>
      </w:r>
      <w:r w:rsidR="003C6D16">
        <w:t>, “C</w:t>
      </w:r>
      <w:r w:rsidRPr="004974C1">
        <w:t xml:space="preserve">ustomers will not pay you anything. B2B deals will happen. You may license your music to streaming applications, TV channels, </w:t>
      </w:r>
      <w:r w:rsidR="003C6D16">
        <w:t xml:space="preserve">and </w:t>
      </w:r>
      <w:r w:rsidRPr="004974C1">
        <w:t xml:space="preserve">other movies to use your content, but </w:t>
      </w:r>
      <w:r w:rsidR="003C6D16">
        <w:t xml:space="preserve">in </w:t>
      </w:r>
      <w:r w:rsidRPr="004974C1">
        <w:t>the end</w:t>
      </w:r>
      <w:r w:rsidR="003C6D16">
        <w:t>,</w:t>
      </w:r>
      <w:r w:rsidRPr="004974C1">
        <w:t xml:space="preserve"> customer</w:t>
      </w:r>
      <w:r w:rsidR="002C36A2">
        <w:t>s</w:t>
      </w:r>
      <w:r w:rsidRPr="004974C1">
        <w:t xml:space="preserve"> will never pay.</w:t>
      </w:r>
      <w:r w:rsidR="003C6D16">
        <w:t>”</w:t>
      </w:r>
      <w:r w:rsidRPr="004974C1">
        <w:t xml:space="preserve"> And for me</w:t>
      </w:r>
      <w:r w:rsidR="003C6D16">
        <w:t>,</w:t>
      </w:r>
      <w:r w:rsidRPr="004974C1">
        <w:t xml:space="preserve"> this was a huge challenge and the reason behind this study.</w:t>
      </w:r>
    </w:p>
    <w:p w14:paraId="7A3B7BD3" w14:textId="77777777" w:rsidR="003C6D16" w:rsidRPr="006F575B" w:rsidRDefault="003C6D16" w:rsidP="003C6D16">
      <w:pPr>
        <w:pStyle w:val="BodyTextMain"/>
        <w:rPr>
          <w:sz w:val="20"/>
        </w:rPr>
      </w:pPr>
    </w:p>
    <w:p w14:paraId="26EE9726" w14:textId="45CAD918" w:rsidR="00B67D2A" w:rsidRPr="004974C1" w:rsidRDefault="00F313DF">
      <w:pPr>
        <w:pStyle w:val="BodyTextMain"/>
        <w:rPr>
          <w:i/>
        </w:rPr>
      </w:pPr>
      <w:r w:rsidRPr="004974C1">
        <w:t xml:space="preserve">The consumer insights that the company </w:t>
      </w:r>
      <w:r w:rsidR="003C6D16">
        <w:t>gained</w:t>
      </w:r>
      <w:r w:rsidR="003C6D16" w:rsidRPr="004974C1">
        <w:t xml:space="preserve"> </w:t>
      </w:r>
      <w:r w:rsidRPr="004974C1">
        <w:t xml:space="preserve">were interesting. </w:t>
      </w:r>
      <w:proofErr w:type="spellStart"/>
      <w:r w:rsidRPr="004974C1">
        <w:t>Mehra</w:t>
      </w:r>
      <w:proofErr w:type="spellEnd"/>
      <w:r w:rsidRPr="004974C1">
        <w:t xml:space="preserve"> summarized them succinctly</w:t>
      </w:r>
      <w:r w:rsidR="003C6D16">
        <w:t>:</w:t>
      </w:r>
      <w:r w:rsidRPr="004974C1">
        <w:t xml:space="preserve"> </w:t>
      </w:r>
    </w:p>
    <w:p w14:paraId="0C06D6A9" w14:textId="77777777" w:rsidR="00B67D2A" w:rsidRPr="006F575B" w:rsidRDefault="00B67D2A" w:rsidP="00836BFF">
      <w:pPr>
        <w:pStyle w:val="BodyTextMain"/>
        <w:rPr>
          <w:sz w:val="20"/>
          <w:szCs w:val="18"/>
        </w:rPr>
      </w:pPr>
    </w:p>
    <w:p w14:paraId="371E6B2A" w14:textId="655C78B6" w:rsidR="00F313DF" w:rsidRPr="004974C1" w:rsidRDefault="00F313DF" w:rsidP="00B67D2A">
      <w:pPr>
        <w:pStyle w:val="BodyTextMain"/>
        <w:ind w:left="720"/>
      </w:pPr>
      <w:r w:rsidRPr="004974C1">
        <w:t>It came out clearly that the older people</w:t>
      </w:r>
      <w:r w:rsidR="003C6D16">
        <w:t>,</w:t>
      </w:r>
      <w:r w:rsidRPr="004974C1">
        <w:t xml:space="preserve"> </w:t>
      </w:r>
      <w:r w:rsidR="003C6D16">
        <w:t xml:space="preserve">the </w:t>
      </w:r>
      <w:r w:rsidRPr="004974C1">
        <w:t xml:space="preserve">crowd </w:t>
      </w:r>
      <w:r w:rsidR="003C6D16">
        <w:t xml:space="preserve">aged 35 years and older </w:t>
      </w:r>
      <w:r w:rsidRPr="004974C1">
        <w:t xml:space="preserve">right now, </w:t>
      </w:r>
      <w:r w:rsidR="003C6D16">
        <w:t>are</w:t>
      </w:r>
      <w:r w:rsidR="003C6D16" w:rsidRPr="004974C1">
        <w:t xml:space="preserve"> </w:t>
      </w:r>
      <w:r w:rsidRPr="004974C1">
        <w:t>primary customer</w:t>
      </w:r>
      <w:r w:rsidR="003C6D16">
        <w:t>s</w:t>
      </w:r>
      <w:r w:rsidRPr="004974C1">
        <w:t xml:space="preserve"> of a Kishore, Rafi, Asha, </w:t>
      </w:r>
      <w:proofErr w:type="spellStart"/>
      <w:r w:rsidRPr="004974C1">
        <w:t>Lata</w:t>
      </w:r>
      <w:proofErr w:type="spellEnd"/>
      <w:r w:rsidRPr="004974C1">
        <w:t>, Hemant kind of music. That customer was saying</w:t>
      </w:r>
      <w:r w:rsidR="003C6D16">
        <w:t xml:space="preserve"> that we had </w:t>
      </w:r>
      <w:r w:rsidRPr="004974C1">
        <w:t xml:space="preserve">made it very difficult for </w:t>
      </w:r>
      <w:r w:rsidR="003C6D16">
        <w:t>them</w:t>
      </w:r>
      <w:r w:rsidR="003C6D16" w:rsidRPr="004974C1">
        <w:t xml:space="preserve"> </w:t>
      </w:r>
      <w:r w:rsidRPr="004974C1">
        <w:t xml:space="preserve">to consume </w:t>
      </w:r>
      <w:r w:rsidR="003C6D16">
        <w:t>our</w:t>
      </w:r>
      <w:r w:rsidR="003C6D16" w:rsidRPr="004974C1">
        <w:t xml:space="preserve"> </w:t>
      </w:r>
      <w:r w:rsidRPr="004974C1">
        <w:t>music. Our question was</w:t>
      </w:r>
      <w:r w:rsidR="003C6D16">
        <w:t>,</w:t>
      </w:r>
      <w:r w:rsidRPr="004974C1">
        <w:t xml:space="preserve"> </w:t>
      </w:r>
      <w:proofErr w:type="gramStart"/>
      <w:r w:rsidR="003C6D16">
        <w:t>W</w:t>
      </w:r>
      <w:r w:rsidRPr="004974C1">
        <w:t>hy</w:t>
      </w:r>
      <w:proofErr w:type="gramEnd"/>
      <w:r w:rsidRPr="004974C1">
        <w:t xml:space="preserve">? </w:t>
      </w:r>
      <w:r w:rsidR="003C6D16">
        <w:t>The music is</w:t>
      </w:r>
      <w:r w:rsidR="003C6D16" w:rsidRPr="004974C1">
        <w:t xml:space="preserve"> </w:t>
      </w:r>
      <w:r w:rsidRPr="004974C1">
        <w:t xml:space="preserve">there on so many apps. They said they don’t use the apps; they find </w:t>
      </w:r>
      <w:r w:rsidR="000C5EAF">
        <w:t>them</w:t>
      </w:r>
      <w:r w:rsidR="000C5EAF" w:rsidRPr="004974C1">
        <w:t xml:space="preserve"> </w:t>
      </w:r>
      <w:r w:rsidRPr="004974C1">
        <w:t xml:space="preserve">too complicated. </w:t>
      </w:r>
      <w:r w:rsidR="000C5EAF">
        <w:t>P</w:t>
      </w:r>
      <w:r w:rsidRPr="004974C1">
        <w:t xml:space="preserve">eople who </w:t>
      </w:r>
      <w:r w:rsidR="000C5EAF">
        <w:t xml:space="preserve">are 35+ and </w:t>
      </w:r>
      <w:r w:rsidRPr="004974C1">
        <w:t>live in Bombay, Delhi, and Calcutta</w:t>
      </w:r>
      <w:r w:rsidR="000C5EAF">
        <w:t>—</w:t>
      </w:r>
      <w:r w:rsidRPr="004974C1">
        <w:t>they are more tech-savvy. But a 35</w:t>
      </w:r>
      <w:r w:rsidR="000C5EAF">
        <w:t xml:space="preserve">+ </w:t>
      </w:r>
      <w:r w:rsidRPr="004974C1">
        <w:t>living in Ludhiana, Jabalpur, Kochi</w:t>
      </w:r>
      <w:r w:rsidR="000C5EAF">
        <w:t>,</w:t>
      </w:r>
      <w:r w:rsidRPr="004974C1">
        <w:t xml:space="preserve"> or </w:t>
      </w:r>
      <w:proofErr w:type="spellStart"/>
      <w:r w:rsidRPr="004974C1">
        <w:t>Munnar</w:t>
      </w:r>
      <w:proofErr w:type="spellEnd"/>
      <w:r w:rsidR="000C5EAF">
        <w:t>—</w:t>
      </w:r>
      <w:r w:rsidRPr="004974C1">
        <w:t xml:space="preserve">the belts </w:t>
      </w:r>
      <w:r w:rsidR="000C5EAF">
        <w:t>that</w:t>
      </w:r>
      <w:r w:rsidR="000C5EAF" w:rsidRPr="004974C1">
        <w:t xml:space="preserve"> </w:t>
      </w:r>
      <w:r w:rsidRPr="004974C1">
        <w:t>are B</w:t>
      </w:r>
      <w:r w:rsidR="000C5EAF">
        <w:t>-</w:t>
      </w:r>
      <w:r w:rsidRPr="004974C1">
        <w:t>level cities</w:t>
      </w:r>
      <w:r w:rsidR="000C5EAF">
        <w:t>—</w:t>
      </w:r>
      <w:r w:rsidRPr="004974C1">
        <w:t>are large consumers of entertainment</w:t>
      </w:r>
      <w:r w:rsidR="000C5EAF">
        <w:t>. T</w:t>
      </w:r>
      <w:r w:rsidRPr="004974C1">
        <w:t xml:space="preserve">hey are the people who watch </w:t>
      </w:r>
      <w:proofErr w:type="spellStart"/>
      <w:r w:rsidRPr="004974C1">
        <w:t>StarPlus</w:t>
      </w:r>
      <w:proofErr w:type="spellEnd"/>
      <w:r w:rsidRPr="004974C1">
        <w:t xml:space="preserve"> </w:t>
      </w:r>
      <w:r w:rsidR="0088140E">
        <w:t>television</w:t>
      </w:r>
      <w:r w:rsidR="0088140E" w:rsidRPr="004974C1">
        <w:t xml:space="preserve"> </w:t>
      </w:r>
      <w:r w:rsidRPr="004974C1">
        <w:t>shows today. They are my customer</w:t>
      </w:r>
      <w:r w:rsidR="000C5EAF">
        <w:t>s</w:t>
      </w:r>
      <w:r w:rsidRPr="004974C1">
        <w:t xml:space="preserve">, who wait for </w:t>
      </w:r>
      <w:r w:rsidR="000C5EAF">
        <w:t xml:space="preserve">their </w:t>
      </w:r>
      <w:r w:rsidRPr="004974C1">
        <w:t>son</w:t>
      </w:r>
      <w:r w:rsidR="000C5EAF">
        <w:t>s</w:t>
      </w:r>
      <w:r w:rsidRPr="004974C1">
        <w:t xml:space="preserve"> or daughter</w:t>
      </w:r>
      <w:r w:rsidR="000C5EAF">
        <w:t>s</w:t>
      </w:r>
      <w:r w:rsidRPr="004974C1">
        <w:t xml:space="preserve"> to come home, do an illegal transfer of </w:t>
      </w:r>
      <w:r w:rsidR="000C5EAF">
        <w:t>10</w:t>
      </w:r>
      <w:r w:rsidR="000C5EAF" w:rsidRPr="004974C1">
        <w:t xml:space="preserve"> </w:t>
      </w:r>
      <w:r w:rsidRPr="004974C1">
        <w:t>songs on</w:t>
      </w:r>
      <w:r w:rsidR="000C5EAF">
        <w:t>to</w:t>
      </w:r>
      <w:r w:rsidRPr="004974C1">
        <w:t xml:space="preserve"> their phones</w:t>
      </w:r>
      <w:r w:rsidR="000C5EAF">
        <w:t>,</w:t>
      </w:r>
      <w:r w:rsidRPr="004974C1">
        <w:t xml:space="preserve"> and </w:t>
      </w:r>
      <w:r w:rsidR="000C5EAF">
        <w:t>continue to</w:t>
      </w:r>
      <w:r w:rsidR="000C5EAF" w:rsidRPr="004974C1">
        <w:t xml:space="preserve"> </w:t>
      </w:r>
      <w:r w:rsidR="00AF05DA" w:rsidRPr="004974C1">
        <w:t>listen to that music only.</w:t>
      </w:r>
      <w:r w:rsidR="00B67D2A" w:rsidRPr="004974C1">
        <w:t xml:space="preserve"> </w:t>
      </w:r>
    </w:p>
    <w:p w14:paraId="2501FEB4" w14:textId="77777777" w:rsidR="00F313DF" w:rsidRPr="006F575B" w:rsidRDefault="00F313DF" w:rsidP="00836BFF">
      <w:pPr>
        <w:pStyle w:val="BodyTextMain"/>
        <w:rPr>
          <w:sz w:val="20"/>
          <w:szCs w:val="18"/>
        </w:rPr>
      </w:pPr>
    </w:p>
    <w:p w14:paraId="2458578A" w14:textId="1E556368" w:rsidR="00B67D2A" w:rsidRPr="004974C1" w:rsidRDefault="00F313DF" w:rsidP="00497261">
      <w:pPr>
        <w:pStyle w:val="BodyTextMain"/>
      </w:pPr>
      <w:proofErr w:type="spellStart"/>
      <w:r w:rsidRPr="004974C1">
        <w:t>Mehra</w:t>
      </w:r>
      <w:proofErr w:type="spellEnd"/>
      <w:r w:rsidRPr="004974C1">
        <w:t xml:space="preserve"> shared </w:t>
      </w:r>
      <w:r w:rsidR="00E53C7E">
        <w:t xml:space="preserve">three </w:t>
      </w:r>
      <w:r w:rsidRPr="004974C1">
        <w:t xml:space="preserve">key insights </w:t>
      </w:r>
      <w:r w:rsidR="000C5EAF">
        <w:t>that</w:t>
      </w:r>
      <w:r w:rsidR="000C5EAF" w:rsidRPr="004974C1">
        <w:t xml:space="preserve"> </w:t>
      </w:r>
      <w:r w:rsidRPr="004974C1">
        <w:t xml:space="preserve">led him to conceptualize </w:t>
      </w:r>
      <w:proofErr w:type="spellStart"/>
      <w:r w:rsidR="000C5EAF">
        <w:t>Saregama’s</w:t>
      </w:r>
      <w:proofErr w:type="spellEnd"/>
      <w:r w:rsidR="000C5EAF" w:rsidRPr="004974C1">
        <w:t xml:space="preserve"> </w:t>
      </w:r>
      <w:r w:rsidRPr="004974C1">
        <w:t>possible offerings</w:t>
      </w:r>
      <w:r w:rsidR="00E53C7E">
        <w:t>. The first had to do with how consumers wanted to access music</w:t>
      </w:r>
      <w:r w:rsidR="000C5EAF">
        <w:t>:</w:t>
      </w:r>
    </w:p>
    <w:p w14:paraId="189D37AE" w14:textId="77777777" w:rsidR="00B67D2A" w:rsidRPr="006F575B" w:rsidRDefault="00B67D2A" w:rsidP="00497261">
      <w:pPr>
        <w:pStyle w:val="BodyTextMain"/>
        <w:rPr>
          <w:sz w:val="20"/>
          <w:szCs w:val="18"/>
        </w:rPr>
      </w:pPr>
    </w:p>
    <w:p w14:paraId="61C415E9" w14:textId="43D6FE97" w:rsidR="005D207B" w:rsidRDefault="00F313DF" w:rsidP="00B67D2A">
      <w:pPr>
        <w:pStyle w:val="BodyTextMain"/>
        <w:ind w:left="720"/>
      </w:pPr>
      <w:r w:rsidRPr="004974C1">
        <w:t>I met this la</w:t>
      </w:r>
      <w:r w:rsidR="00AF05DA" w:rsidRPr="004974C1">
        <w:t>dy in Kanpur who remarked, “</w:t>
      </w:r>
      <w:r w:rsidRPr="004974C1">
        <w:t>Son</w:t>
      </w:r>
      <w:r w:rsidR="000C5EAF">
        <w:t>,</w:t>
      </w:r>
      <w:r w:rsidRPr="004974C1">
        <w:t xml:space="preserve"> our time was good</w:t>
      </w:r>
      <w:r w:rsidR="000C5EAF">
        <w:t>:</w:t>
      </w:r>
      <w:r w:rsidRPr="004974C1">
        <w:t xml:space="preserve"> Vivid Bharti </w:t>
      </w:r>
      <w:r w:rsidR="000C5EAF">
        <w:t>[</w:t>
      </w:r>
      <w:r w:rsidRPr="004974C1">
        <w:t>on AM Radio</w:t>
      </w:r>
      <w:r w:rsidR="000C5EAF">
        <w:t>]</w:t>
      </w:r>
      <w:r w:rsidRPr="004974C1">
        <w:t xml:space="preserve"> was played at my place </w:t>
      </w:r>
      <w:r w:rsidR="000C5EAF">
        <w:t xml:space="preserve">the </w:t>
      </w:r>
      <w:r w:rsidRPr="004974C1">
        <w:t>whole day. I used to cook, the kids used to study</w:t>
      </w:r>
      <w:r w:rsidR="000C5EAF">
        <w:t>,</w:t>
      </w:r>
      <w:r w:rsidRPr="004974C1">
        <w:t xml:space="preserve"> and my husband did his work</w:t>
      </w:r>
      <w:r w:rsidR="000C5EAF">
        <w:t>.</w:t>
      </w:r>
      <w:r w:rsidRPr="004974C1">
        <w:t>”</w:t>
      </w:r>
      <w:r w:rsidR="005022FE">
        <w:t xml:space="preserve"> </w:t>
      </w:r>
      <w:r w:rsidR="000C5EAF">
        <w:t xml:space="preserve">. . . </w:t>
      </w:r>
      <w:r w:rsidRPr="004974C1">
        <w:t>For me</w:t>
      </w:r>
      <w:r w:rsidR="000C5EAF">
        <w:t>,</w:t>
      </w:r>
      <w:r w:rsidRPr="004974C1">
        <w:t xml:space="preserve"> it was as if someone was talking about my life because that’s how I </w:t>
      </w:r>
      <w:r w:rsidR="000C5EAF">
        <w:t>was</w:t>
      </w:r>
      <w:r w:rsidR="000C5EAF" w:rsidRPr="004974C1">
        <w:t xml:space="preserve"> </w:t>
      </w:r>
      <w:r w:rsidRPr="004974C1">
        <w:t xml:space="preserve">exposed to music. My mom was </w:t>
      </w:r>
      <w:r w:rsidR="000C5EAF">
        <w:t xml:space="preserve">a </w:t>
      </w:r>
      <w:r w:rsidRPr="004974C1">
        <w:t xml:space="preserve">huge fan of the music. Vivid Bharti was switched on </w:t>
      </w:r>
      <w:r w:rsidR="00E53C7E">
        <w:t>all</w:t>
      </w:r>
      <w:r w:rsidR="005D207B">
        <w:t xml:space="preserve"> day</w:t>
      </w:r>
      <w:r w:rsidR="000C5EAF">
        <w:t>,</w:t>
      </w:r>
      <w:r w:rsidRPr="004974C1">
        <w:t xml:space="preserve"> literally. And I said</w:t>
      </w:r>
      <w:r w:rsidR="005D207B">
        <w:t>,</w:t>
      </w:r>
      <w:r w:rsidRPr="004974C1">
        <w:t xml:space="preserve"> maybe there is a case out there. </w:t>
      </w:r>
    </w:p>
    <w:p w14:paraId="45C4A3AC" w14:textId="77777777" w:rsidR="005D207B" w:rsidRDefault="005D207B" w:rsidP="00B67D2A">
      <w:pPr>
        <w:pStyle w:val="BodyTextMain"/>
        <w:ind w:left="720"/>
      </w:pPr>
    </w:p>
    <w:p w14:paraId="756B9E68" w14:textId="0912F40C" w:rsidR="00AF05DA" w:rsidRPr="004974C1" w:rsidRDefault="00F313DF" w:rsidP="00B67D2A">
      <w:pPr>
        <w:pStyle w:val="BodyTextMain"/>
        <w:ind w:left="720"/>
      </w:pPr>
      <w:r w:rsidRPr="004974C1">
        <w:t>Can I package my music in a fashion so that people can listen to it at the press of a button? People want to be in control o</w:t>
      </w:r>
      <w:r w:rsidR="005D207B">
        <w:t>f</w:t>
      </w:r>
      <w:r w:rsidRPr="004974C1">
        <w:t xml:space="preserve"> tech objects. </w:t>
      </w:r>
      <w:r w:rsidR="005D207B">
        <w:t xml:space="preserve">There was </w:t>
      </w:r>
      <w:r w:rsidRPr="004974C1">
        <w:t>another man who told me</w:t>
      </w:r>
      <w:r w:rsidR="005D207B">
        <w:t>,</w:t>
      </w:r>
      <w:r w:rsidRPr="004974C1">
        <w:t xml:space="preserve"> </w:t>
      </w:r>
      <w:r w:rsidR="005D207B">
        <w:t>“</w:t>
      </w:r>
      <w:r w:rsidRPr="004974C1">
        <w:t>I want control in my hands</w:t>
      </w:r>
      <w:r w:rsidR="005D207B">
        <w:t>;</w:t>
      </w:r>
      <w:r w:rsidRPr="004974C1">
        <w:t xml:space="preserve"> I don’t want to be dependent on my son or daughter, and beyond that</w:t>
      </w:r>
      <w:r w:rsidR="005D207B">
        <w:t>,</w:t>
      </w:r>
      <w:r w:rsidRPr="004974C1">
        <w:t xml:space="preserve"> I just want to enjoy.</w:t>
      </w:r>
      <w:r w:rsidR="005D207B">
        <w:t>”</w:t>
      </w:r>
      <w:r w:rsidRPr="004974C1">
        <w:t xml:space="preserve"> </w:t>
      </w:r>
      <w:r w:rsidR="005D207B">
        <w:t>T</w:t>
      </w:r>
      <w:r w:rsidRPr="004974C1">
        <w:t>here’s a dichotomy in that</w:t>
      </w:r>
      <w:r w:rsidR="005D207B">
        <w:t xml:space="preserve">: </w:t>
      </w:r>
      <w:r w:rsidRPr="004974C1">
        <w:t>I want to have control</w:t>
      </w:r>
      <w:r w:rsidR="002C36A2">
        <w:t>,</w:t>
      </w:r>
      <w:r w:rsidRPr="004974C1">
        <w:t xml:space="preserve"> but I don’t want to have full control. This device </w:t>
      </w:r>
      <w:r w:rsidR="005D207B">
        <w:t xml:space="preserve">[the </w:t>
      </w:r>
      <w:proofErr w:type="spellStart"/>
      <w:r w:rsidRPr="004974C1">
        <w:t>Carvaan</w:t>
      </w:r>
      <w:proofErr w:type="spellEnd"/>
      <w:r w:rsidR="005D207B">
        <w:t>]</w:t>
      </w:r>
      <w:r w:rsidRPr="004974C1">
        <w:t xml:space="preserve"> is not expecting you to do something every minute with it. Turn on Kishore Kumar and for </w:t>
      </w:r>
      <w:r w:rsidR="005D207B">
        <w:t xml:space="preserve">the </w:t>
      </w:r>
      <w:r w:rsidRPr="004974C1">
        <w:t>next 36 hours</w:t>
      </w:r>
      <w:r w:rsidR="005D207B">
        <w:t>,</w:t>
      </w:r>
      <w:r w:rsidRPr="004974C1">
        <w:t xml:space="preserve"> Kishore Kumar will keep on playing back to back, randomly, without any </w:t>
      </w:r>
      <w:r w:rsidR="00AF05DA" w:rsidRPr="004974C1">
        <w:t>advertisement or intervention.</w:t>
      </w:r>
    </w:p>
    <w:p w14:paraId="39FA42BE" w14:textId="77777777" w:rsidR="00AF05DA" w:rsidRPr="006F575B" w:rsidRDefault="00AF05DA" w:rsidP="00AF05DA">
      <w:pPr>
        <w:pStyle w:val="BodyTextMain"/>
        <w:rPr>
          <w:sz w:val="20"/>
          <w:szCs w:val="18"/>
        </w:rPr>
      </w:pPr>
    </w:p>
    <w:p w14:paraId="169232A1" w14:textId="0D49B469" w:rsidR="00B67D2A" w:rsidRPr="004974C1" w:rsidRDefault="00F313DF" w:rsidP="00AF05DA">
      <w:pPr>
        <w:pStyle w:val="BodyTextMain"/>
      </w:pPr>
      <w:r w:rsidRPr="004974C1">
        <w:t xml:space="preserve">The second powerful insight </w:t>
      </w:r>
      <w:r w:rsidR="005D207B">
        <w:t xml:space="preserve">had to do with </w:t>
      </w:r>
      <w:r w:rsidR="00E53C7E">
        <w:t>the purpose of music</w:t>
      </w:r>
      <w:r w:rsidR="005D207B">
        <w:t>:</w:t>
      </w:r>
      <w:r w:rsidRPr="004974C1">
        <w:t xml:space="preserve"> </w:t>
      </w:r>
    </w:p>
    <w:p w14:paraId="66D3C4AA" w14:textId="77777777" w:rsidR="00B67D2A" w:rsidRPr="006F575B" w:rsidRDefault="00B67D2A" w:rsidP="00B67D2A">
      <w:pPr>
        <w:pStyle w:val="BodyTextMain"/>
        <w:rPr>
          <w:sz w:val="20"/>
          <w:szCs w:val="18"/>
        </w:rPr>
      </w:pPr>
    </w:p>
    <w:p w14:paraId="6106D1BE" w14:textId="38EC5D91" w:rsidR="00AF05DA" w:rsidRPr="004974C1" w:rsidRDefault="00F313DF" w:rsidP="00AF05DA">
      <w:pPr>
        <w:pStyle w:val="BodyTextMain"/>
        <w:ind w:left="720"/>
      </w:pPr>
      <w:r w:rsidRPr="004974C1">
        <w:t xml:space="preserve">This was about nostalgia, like going back to those days when life was simpler. </w:t>
      </w:r>
      <w:r w:rsidR="00E53C7E">
        <w:t>L</w:t>
      </w:r>
      <w:r w:rsidRPr="004974C1">
        <w:t xml:space="preserve">ife today </w:t>
      </w:r>
      <w:r w:rsidR="00E53C7E">
        <w:t>is</w:t>
      </w:r>
      <w:r w:rsidR="00E53C7E" w:rsidRPr="004974C1">
        <w:t xml:space="preserve"> </w:t>
      </w:r>
      <w:r w:rsidRPr="004974C1">
        <w:t>too high-strung. At times, one just wants to switch off, with no complications. Even a washing machine today has 12 buttons</w:t>
      </w:r>
      <w:r w:rsidR="00E53C7E">
        <w:t>;</w:t>
      </w:r>
      <w:r w:rsidRPr="004974C1">
        <w:t xml:space="preserve"> you have to learn them all, which mode I operate in</w:t>
      </w:r>
      <w:r w:rsidR="0024766D">
        <w:t>.</w:t>
      </w:r>
      <w:r w:rsidR="00E53C7E">
        <w:t xml:space="preserve"> </w:t>
      </w:r>
      <w:r w:rsidR="0024766D">
        <w:t>. . .</w:t>
      </w:r>
      <w:r w:rsidR="00E53C7E">
        <w:t xml:space="preserve"> </w:t>
      </w:r>
      <w:r w:rsidRPr="004974C1">
        <w:t>I go and ask for a normal coffee at a shop</w:t>
      </w:r>
      <w:r w:rsidR="002C36A2">
        <w:t>—</w:t>
      </w:r>
      <w:r w:rsidRPr="004974C1">
        <w:t xml:space="preserve">they are going to throw in options, half of which I don’t even understand. There are so many choices at any given point of time. </w:t>
      </w:r>
      <w:r w:rsidR="00E53C7E" w:rsidRPr="00327A07">
        <w:rPr>
          <w:i/>
          <w:iCs/>
        </w:rPr>
        <w:t>But</w:t>
      </w:r>
      <w:r w:rsidRPr="004974C1">
        <w:t>, I don’t want to do anything</w:t>
      </w:r>
      <w:r w:rsidR="00E53C7E">
        <w:t>—</w:t>
      </w:r>
      <w:r w:rsidRPr="004974C1">
        <w:t>just lean</w:t>
      </w:r>
      <w:r w:rsidR="00E53C7E">
        <w:t xml:space="preserve"> </w:t>
      </w:r>
      <w:r w:rsidRPr="004974C1">
        <w:t>back and relax.</w:t>
      </w:r>
      <w:r w:rsidR="005022FE">
        <w:t xml:space="preserve"> </w:t>
      </w:r>
      <w:r w:rsidRPr="004974C1">
        <w:t>Music is about relaxatio</w:t>
      </w:r>
      <w:r w:rsidR="00AF05DA" w:rsidRPr="004974C1">
        <w:t>n.</w:t>
      </w:r>
    </w:p>
    <w:p w14:paraId="66CAA3A6" w14:textId="77777777" w:rsidR="00AF05DA" w:rsidRPr="006F575B" w:rsidRDefault="00AF05DA" w:rsidP="00AF05DA">
      <w:pPr>
        <w:pStyle w:val="BodyTextMain"/>
        <w:rPr>
          <w:sz w:val="20"/>
          <w:szCs w:val="18"/>
        </w:rPr>
      </w:pPr>
    </w:p>
    <w:p w14:paraId="452B631B" w14:textId="687E715A" w:rsidR="00AF05DA" w:rsidRPr="004974C1" w:rsidRDefault="00F313DF" w:rsidP="00AF05DA">
      <w:pPr>
        <w:pStyle w:val="BodyTextMain"/>
      </w:pPr>
      <w:r w:rsidRPr="004974C1">
        <w:t xml:space="preserve">The </w:t>
      </w:r>
      <w:r w:rsidR="00E53C7E">
        <w:t>third</w:t>
      </w:r>
      <w:r w:rsidR="00E53C7E" w:rsidRPr="004974C1">
        <w:t xml:space="preserve"> </w:t>
      </w:r>
      <w:r w:rsidRPr="004974C1">
        <w:t xml:space="preserve">insight was </w:t>
      </w:r>
      <w:r w:rsidR="0035051F">
        <w:t>how to access the target consumer</w:t>
      </w:r>
      <w:r w:rsidR="00E53C7E">
        <w:t>:</w:t>
      </w:r>
    </w:p>
    <w:p w14:paraId="06F513FD" w14:textId="302D9104" w:rsidR="00AF05DA" w:rsidRPr="006F575B" w:rsidRDefault="00AF05DA" w:rsidP="00AF05DA">
      <w:pPr>
        <w:pStyle w:val="BodyTextMain"/>
        <w:rPr>
          <w:sz w:val="20"/>
          <w:szCs w:val="18"/>
        </w:rPr>
      </w:pPr>
    </w:p>
    <w:p w14:paraId="28E13DCB" w14:textId="1D0FDAEB" w:rsidR="00E53C7E" w:rsidRDefault="00AF05DA" w:rsidP="00AF05DA">
      <w:pPr>
        <w:pStyle w:val="BodyTextMain"/>
        <w:ind w:left="720"/>
      </w:pPr>
      <w:r w:rsidRPr="004974C1">
        <w:t>B</w:t>
      </w:r>
      <w:r w:rsidR="00F313DF" w:rsidRPr="004974C1">
        <w:t xml:space="preserve">ecause of nuclear families, more and more youngsters are staying away from their homes. Hence, every anniversary, Diwali </w:t>
      </w:r>
      <w:r w:rsidR="002C36A2">
        <w:t>[</w:t>
      </w:r>
      <w:r w:rsidR="00F313DF" w:rsidRPr="004974C1">
        <w:t>festival</w:t>
      </w:r>
      <w:r w:rsidR="002C36A2">
        <w:t>]</w:t>
      </w:r>
      <w:r w:rsidR="00E53C7E">
        <w:t>,</w:t>
      </w:r>
      <w:r w:rsidR="00F313DF" w:rsidRPr="004974C1">
        <w:t xml:space="preserve"> or </w:t>
      </w:r>
      <w:r w:rsidR="00E53C7E">
        <w:t>parent</w:t>
      </w:r>
      <w:r w:rsidR="00F313DF" w:rsidRPr="004974C1">
        <w:t xml:space="preserve"> birthday, you want to give them something. You will not carry sweets for your parents, so you will pick a saree </w:t>
      </w:r>
      <w:r w:rsidR="00E53C7E">
        <w:t>[</w:t>
      </w:r>
      <w:r w:rsidR="00F313DF" w:rsidRPr="004974C1">
        <w:t>dress</w:t>
      </w:r>
      <w:r w:rsidR="00E53C7E">
        <w:t>]</w:t>
      </w:r>
      <w:r w:rsidR="00F313DF" w:rsidRPr="004974C1">
        <w:t>, phone</w:t>
      </w:r>
      <w:r w:rsidR="00E53C7E">
        <w:t>,</w:t>
      </w:r>
      <w:r w:rsidR="00F313DF" w:rsidRPr="004974C1">
        <w:t xml:space="preserve"> or tie. These are very standard gifts that you can give your parents. But you have given it once, now what do you do? </w:t>
      </w:r>
    </w:p>
    <w:p w14:paraId="60774AE2" w14:textId="4315CAB8" w:rsidR="00F313DF" w:rsidRPr="004974C1" w:rsidRDefault="000F5FBA" w:rsidP="00AF05DA">
      <w:pPr>
        <w:pStyle w:val="BodyTextMain"/>
        <w:ind w:left="720"/>
      </w:pPr>
      <w:r>
        <w:lastRenderedPageBreak/>
        <w:t>R</w:t>
      </w:r>
      <w:r w:rsidR="00F313DF" w:rsidRPr="004974C1">
        <w:t xml:space="preserve">etired Indian parents, especially those who retired from </w:t>
      </w:r>
      <w:r>
        <w:t xml:space="preserve">the </w:t>
      </w:r>
      <w:r w:rsidR="00F313DF" w:rsidRPr="004974C1">
        <w:t>public sector</w:t>
      </w:r>
      <w:r w:rsidR="00E53C7E">
        <w:t>,</w:t>
      </w:r>
      <w:r w:rsidR="00F313DF" w:rsidRPr="004974C1">
        <w:t xml:space="preserve"> overnight become really stingy and stop</w:t>
      </w:r>
      <w:r w:rsidR="00CC478B">
        <w:t>ped</w:t>
      </w:r>
      <w:r w:rsidR="00F313DF" w:rsidRPr="004974C1">
        <w:t xml:space="preserve"> spending money on themselves</w:t>
      </w:r>
      <w:r>
        <w:t xml:space="preserve"> because they</w:t>
      </w:r>
      <w:r w:rsidR="00F313DF" w:rsidRPr="004974C1">
        <w:t xml:space="preserve"> </w:t>
      </w:r>
      <w:r w:rsidR="00CC478B">
        <w:t>we</w:t>
      </w:r>
      <w:r w:rsidR="00CC478B" w:rsidRPr="004974C1">
        <w:t xml:space="preserve">re </w:t>
      </w:r>
      <w:r w:rsidR="00F313DF" w:rsidRPr="004974C1">
        <w:t>not sure about pension</w:t>
      </w:r>
      <w:r>
        <w:t xml:space="preserve"> or retirement income</w:t>
      </w:r>
      <w:r w:rsidR="00F313DF" w:rsidRPr="004974C1">
        <w:t xml:space="preserve">. I </w:t>
      </w:r>
      <w:r>
        <w:t xml:space="preserve">might not be able to </w:t>
      </w:r>
      <w:r w:rsidR="00F313DF" w:rsidRPr="004974C1">
        <w:t>sell to them, a 65+ someone</w:t>
      </w:r>
      <w:r>
        <w:t xml:space="preserve">, because </w:t>
      </w:r>
      <w:r w:rsidR="00F313DF" w:rsidRPr="004974C1">
        <w:t xml:space="preserve">this </w:t>
      </w:r>
      <w:r>
        <w:t xml:space="preserve">kind of purchase </w:t>
      </w:r>
      <w:r w:rsidR="00F313DF" w:rsidRPr="004974C1">
        <w:t>might be perceived as an indulgence. However, it would be a rational thing for a so</w:t>
      </w:r>
      <w:r w:rsidR="00AF05DA" w:rsidRPr="004974C1">
        <w:t>n</w:t>
      </w:r>
      <w:r>
        <w:t xml:space="preserve"> or </w:t>
      </w:r>
      <w:r w:rsidR="00AF05DA" w:rsidRPr="004974C1">
        <w:t xml:space="preserve">daughter to </w:t>
      </w:r>
      <w:r>
        <w:t>buy as a gift for a parent</w:t>
      </w:r>
      <w:r w:rsidR="00AF05DA" w:rsidRPr="004974C1">
        <w:t>.</w:t>
      </w:r>
    </w:p>
    <w:p w14:paraId="5B80B391" w14:textId="77777777" w:rsidR="00F313DF" w:rsidRPr="00367200" w:rsidRDefault="00F313DF" w:rsidP="00836BFF">
      <w:pPr>
        <w:pStyle w:val="BodyTextMain"/>
        <w:rPr>
          <w:i/>
          <w:szCs w:val="18"/>
        </w:rPr>
      </w:pPr>
    </w:p>
    <w:p w14:paraId="737597FE" w14:textId="40CF2BA2" w:rsidR="00F313DF" w:rsidRPr="004974C1" w:rsidRDefault="00F313DF" w:rsidP="00836BFF">
      <w:pPr>
        <w:pStyle w:val="BodyTextMain"/>
      </w:pPr>
      <w:r w:rsidRPr="004974C1">
        <w:t>Thus, the mandate was clear</w:t>
      </w:r>
      <w:r w:rsidR="0035051F">
        <w:t xml:space="preserve">: </w:t>
      </w:r>
      <w:r w:rsidRPr="004974C1">
        <w:t xml:space="preserve">there </w:t>
      </w:r>
      <w:r w:rsidR="0035051F">
        <w:t>wa</w:t>
      </w:r>
      <w:r w:rsidRPr="004974C1">
        <w:t xml:space="preserve">s a </w:t>
      </w:r>
      <w:r w:rsidR="0035051F">
        <w:t>large</w:t>
      </w:r>
      <w:r w:rsidR="0035051F" w:rsidRPr="004974C1">
        <w:t xml:space="preserve"> </w:t>
      </w:r>
      <w:r w:rsidRPr="004974C1">
        <w:t xml:space="preserve">population of those who grew up in the </w:t>
      </w:r>
      <w:r w:rsidR="0035051F">
        <w:t>19</w:t>
      </w:r>
      <w:r w:rsidRPr="004974C1">
        <w:t>80s and earlier and now craved music that appealed to them. But they wanted this to be an easy listening experience, in the background</w:t>
      </w:r>
      <w:r w:rsidR="0035051F">
        <w:t>,</w:t>
      </w:r>
      <w:r w:rsidRPr="004974C1">
        <w:t xml:space="preserve"> with minimum intervention or effort needed from the consumer.</w:t>
      </w:r>
      <w:r w:rsidR="00836BFF" w:rsidRPr="004974C1">
        <w:t xml:space="preserve"> </w:t>
      </w:r>
    </w:p>
    <w:p w14:paraId="0154CEB5" w14:textId="77777777" w:rsidR="00F313DF" w:rsidRPr="00367200" w:rsidRDefault="00F313DF" w:rsidP="00327A07">
      <w:pPr>
        <w:pStyle w:val="BodyTextMain"/>
      </w:pPr>
    </w:p>
    <w:p w14:paraId="3B247E17" w14:textId="77777777" w:rsidR="004974C1" w:rsidRPr="00367200" w:rsidRDefault="004974C1" w:rsidP="00327A07">
      <w:pPr>
        <w:pStyle w:val="BodyTextMain"/>
      </w:pPr>
    </w:p>
    <w:p w14:paraId="4FFFACB3" w14:textId="418CC0D5" w:rsidR="00836BFF" w:rsidRPr="004974C1" w:rsidRDefault="00F313DF" w:rsidP="00836BFF">
      <w:pPr>
        <w:pStyle w:val="Casehead1"/>
        <w:rPr>
          <w:sz w:val="22"/>
          <w:szCs w:val="22"/>
        </w:rPr>
      </w:pPr>
      <w:r w:rsidRPr="004974C1">
        <w:t>Phase 2</w:t>
      </w:r>
      <w:r w:rsidR="0035051F">
        <w:t xml:space="preserve">: </w:t>
      </w:r>
      <w:r w:rsidRPr="004974C1">
        <w:t>Crafting the Value Proposition</w:t>
      </w:r>
      <w:r w:rsidRPr="004974C1">
        <w:rPr>
          <w:sz w:val="22"/>
          <w:szCs w:val="22"/>
        </w:rPr>
        <w:t xml:space="preserve"> </w:t>
      </w:r>
    </w:p>
    <w:p w14:paraId="40C5AABC" w14:textId="77777777" w:rsidR="00836BFF" w:rsidRPr="00367200" w:rsidRDefault="00836BFF" w:rsidP="00327A07">
      <w:pPr>
        <w:pStyle w:val="BodyTextMain"/>
      </w:pPr>
    </w:p>
    <w:p w14:paraId="6FC6F5E7" w14:textId="50D0491C" w:rsidR="0035051F" w:rsidRDefault="00F313DF" w:rsidP="00836BFF">
      <w:pPr>
        <w:pStyle w:val="BodyTextMain"/>
      </w:pPr>
      <w:r w:rsidRPr="004974C1">
        <w:t>The consumer insights were key to a revolutionary product that was targeted at the unmet need of a hitherto untapped music market. The targeted user</w:t>
      </w:r>
      <w:r w:rsidR="00555F9F">
        <w:t>s</w:t>
      </w:r>
      <w:r w:rsidRPr="004974C1">
        <w:t xml:space="preserve"> </w:t>
      </w:r>
      <w:r w:rsidR="00555F9F">
        <w:t>were</w:t>
      </w:r>
      <w:r w:rsidR="00555F9F" w:rsidRPr="004974C1">
        <w:t xml:space="preserve"> </w:t>
      </w:r>
      <w:r w:rsidRPr="004974C1">
        <w:t>older consumer</w:t>
      </w:r>
      <w:r w:rsidR="00555F9F">
        <w:t>s</w:t>
      </w:r>
      <w:r w:rsidRPr="004974C1">
        <w:t xml:space="preserve">, </w:t>
      </w:r>
      <w:r w:rsidR="0035051F">
        <w:t xml:space="preserve">40 years of age or older, </w:t>
      </w:r>
      <w:r w:rsidRPr="004974C1">
        <w:t xml:space="preserve">who </w:t>
      </w:r>
      <w:r w:rsidR="00555F9F">
        <w:t>were</w:t>
      </w:r>
      <w:r w:rsidR="00555F9F" w:rsidRPr="004974C1">
        <w:t xml:space="preserve"> </w:t>
      </w:r>
      <w:r w:rsidRPr="004974C1">
        <w:t xml:space="preserve">fond of music, but the targeted buyer </w:t>
      </w:r>
      <w:r w:rsidR="0035051F">
        <w:t>was</w:t>
      </w:r>
      <w:r w:rsidR="0035051F" w:rsidRPr="004974C1">
        <w:t xml:space="preserve"> </w:t>
      </w:r>
      <w:r w:rsidRPr="004974C1">
        <w:t xml:space="preserve">their children. </w:t>
      </w:r>
    </w:p>
    <w:p w14:paraId="79826CB3" w14:textId="77777777" w:rsidR="0035051F" w:rsidRDefault="0035051F" w:rsidP="00836BFF">
      <w:pPr>
        <w:pStyle w:val="BodyTextMain"/>
      </w:pPr>
    </w:p>
    <w:p w14:paraId="24FF2446" w14:textId="3BD1CD0B" w:rsidR="00367200" w:rsidRDefault="0035051F" w:rsidP="00836BFF">
      <w:pPr>
        <w:pStyle w:val="BodyTextMain"/>
      </w:pPr>
      <w:r>
        <w:t>In</w:t>
      </w:r>
      <w:r w:rsidR="00F313DF" w:rsidRPr="004974C1">
        <w:t xml:space="preserve"> May 2017, </w:t>
      </w:r>
      <w:proofErr w:type="spellStart"/>
      <w:r>
        <w:t>Saregama</w:t>
      </w:r>
      <w:proofErr w:type="spellEnd"/>
      <w:r>
        <w:t xml:space="preserve"> had its largest </w:t>
      </w:r>
      <w:r w:rsidR="00F313DF" w:rsidRPr="004974C1">
        <w:t>product launch</w:t>
      </w:r>
      <w:r w:rsidR="0024766D">
        <w:t xml:space="preserve"> of</w:t>
      </w:r>
      <w:r w:rsidR="0024766D" w:rsidRPr="004974C1">
        <w:t xml:space="preserve"> </w:t>
      </w:r>
      <w:proofErr w:type="spellStart"/>
      <w:r w:rsidR="00F313DF" w:rsidRPr="004974C1">
        <w:t>Carvaan</w:t>
      </w:r>
      <w:proofErr w:type="spellEnd"/>
      <w:r w:rsidR="00F313DF" w:rsidRPr="004974C1">
        <w:t>, a portable digital music player loaded with 5</w:t>
      </w:r>
      <w:r>
        <w:t>,</w:t>
      </w:r>
      <w:r w:rsidR="00F313DF" w:rsidRPr="004974C1">
        <w:t xml:space="preserve">000 evergreen Hindi songs. The product came in </w:t>
      </w:r>
      <w:r>
        <w:t>six</w:t>
      </w:r>
      <w:r w:rsidRPr="004974C1">
        <w:t xml:space="preserve"> </w:t>
      </w:r>
      <w:r w:rsidR="00F313DF" w:rsidRPr="004974C1">
        <w:t>retro colours and looked like a transistor</w:t>
      </w:r>
      <w:r w:rsidR="000D5F2E">
        <w:t xml:space="preserve"> radio</w:t>
      </w:r>
      <w:r w:rsidR="00F313DF" w:rsidRPr="004974C1">
        <w:t xml:space="preserve"> from the </w:t>
      </w:r>
      <w:r>
        <w:t>19</w:t>
      </w:r>
      <w:r w:rsidR="00F313DF" w:rsidRPr="004974C1">
        <w:t xml:space="preserve">70s (see Exhibit 6). </w:t>
      </w:r>
      <w:proofErr w:type="spellStart"/>
      <w:r>
        <w:t>Mehra</w:t>
      </w:r>
      <w:proofErr w:type="spellEnd"/>
      <w:r>
        <w:t xml:space="preserve"> outlined t</w:t>
      </w:r>
      <w:r w:rsidR="00F313DF" w:rsidRPr="004974C1">
        <w:t>he defining component</w:t>
      </w:r>
      <w:r>
        <w:t>s</w:t>
      </w:r>
      <w:r w:rsidR="00F313DF" w:rsidRPr="004974C1">
        <w:t xml:space="preserve"> of </w:t>
      </w:r>
      <w:proofErr w:type="spellStart"/>
      <w:r w:rsidR="00F313DF" w:rsidRPr="004974C1">
        <w:t>Carvaan</w:t>
      </w:r>
      <w:proofErr w:type="spellEnd"/>
      <w:r>
        <w:t>:</w:t>
      </w:r>
      <w:r w:rsidR="00F313DF" w:rsidRPr="00B32701">
        <w:t xml:space="preserve"> </w:t>
      </w:r>
    </w:p>
    <w:p w14:paraId="4C8C8A2B" w14:textId="77777777" w:rsidR="00367200" w:rsidRDefault="00367200" w:rsidP="00836BFF">
      <w:pPr>
        <w:pStyle w:val="BodyTextMain"/>
      </w:pPr>
    </w:p>
    <w:p w14:paraId="7376E08A" w14:textId="2CD3D76E" w:rsidR="00B6212A" w:rsidRDefault="00F313DF" w:rsidP="00367200">
      <w:pPr>
        <w:pStyle w:val="BodyTextMain"/>
        <w:ind w:left="720"/>
      </w:pPr>
      <w:r w:rsidRPr="004974C1">
        <w:t xml:space="preserve">Firstly, convenience. You just press a button and music starts; you don’t have to do anything else. No data connectivity, no </w:t>
      </w:r>
      <w:r w:rsidR="0035051F">
        <w:t>I</w:t>
      </w:r>
      <w:r w:rsidRPr="004974C1">
        <w:t>nternet speed, no pirated content. The volume is at a particular level; you don’t need to increase or decrease the volume with every song. Second is nostalgia. There’s a reason why this is being packaged this way. The people who have grown up listening to transistors will remember Murphy’s old transistor. Hence, this format. Everywhere nostalgia sells. And we are selling nostalgia and convenience. But it is packaged completely different</w:t>
      </w:r>
      <w:r w:rsidR="0035051F">
        <w:t>ly</w:t>
      </w:r>
      <w:r w:rsidRPr="004974C1">
        <w:t xml:space="preserve"> so that </w:t>
      </w:r>
      <w:r w:rsidR="0035051F">
        <w:t xml:space="preserve">the </w:t>
      </w:r>
      <w:r w:rsidRPr="004974C1">
        <w:t xml:space="preserve">consumer is seeing </w:t>
      </w:r>
      <w:r w:rsidR="0035051F">
        <w:t xml:space="preserve">the </w:t>
      </w:r>
      <w:r w:rsidRPr="004974C1">
        <w:t>value.</w:t>
      </w:r>
    </w:p>
    <w:p w14:paraId="01C59429" w14:textId="77777777" w:rsidR="0024766D" w:rsidRDefault="0024766D" w:rsidP="00367200">
      <w:pPr>
        <w:pStyle w:val="BodyTextMain"/>
        <w:ind w:left="720"/>
      </w:pPr>
    </w:p>
    <w:p w14:paraId="2D8AAABB" w14:textId="32075D4F" w:rsidR="00F313DF" w:rsidRPr="004974C1" w:rsidRDefault="00F313DF" w:rsidP="00367200">
      <w:pPr>
        <w:pStyle w:val="BodyTextMain"/>
        <w:ind w:left="720"/>
      </w:pPr>
      <w:r w:rsidRPr="00B52404">
        <w:rPr>
          <w:iCs/>
        </w:rPr>
        <w:t>The</w:t>
      </w:r>
      <w:r w:rsidRPr="004974C1">
        <w:t xml:space="preserve"> Bluetooth and </w:t>
      </w:r>
      <w:r w:rsidR="00555F9F">
        <w:t xml:space="preserve">the </w:t>
      </w:r>
      <w:r w:rsidRPr="004974C1">
        <w:t xml:space="preserve">USB </w:t>
      </w:r>
      <w:r w:rsidR="00B6212A">
        <w:t xml:space="preserve">[port] </w:t>
      </w:r>
      <w:r w:rsidRPr="004974C1">
        <w:t xml:space="preserve">are critical. This means </w:t>
      </w:r>
      <w:r w:rsidR="00B6212A">
        <w:t xml:space="preserve">that </w:t>
      </w:r>
      <w:r w:rsidRPr="004974C1">
        <w:t xml:space="preserve">whenever your grandson or granddaughter is coming home, </w:t>
      </w:r>
      <w:r w:rsidR="00B6212A">
        <w:t xml:space="preserve">the </w:t>
      </w:r>
      <w:proofErr w:type="spellStart"/>
      <w:r w:rsidR="00B6212A">
        <w:t>Carvaan</w:t>
      </w:r>
      <w:proofErr w:type="spellEnd"/>
      <w:r w:rsidR="00B6212A" w:rsidRPr="004974C1">
        <w:t xml:space="preserve"> </w:t>
      </w:r>
      <w:r w:rsidRPr="004974C1">
        <w:t>becomes your Bluetooth speaker.</w:t>
      </w:r>
      <w:r w:rsidR="005022FE">
        <w:t xml:space="preserve"> </w:t>
      </w:r>
      <w:r w:rsidRPr="004974C1">
        <w:t xml:space="preserve">They can listen to their own English music on this only. What is it doing? It is telling a 65-year-old that what I am buying can also be used by my grandchildren. It just makes our product complete. People often wonder why we have given </w:t>
      </w:r>
      <w:r w:rsidR="00B6212A">
        <w:t xml:space="preserve">the </w:t>
      </w:r>
      <w:proofErr w:type="spellStart"/>
      <w:r w:rsidR="00B6212A">
        <w:t>Carvaan</w:t>
      </w:r>
      <w:proofErr w:type="spellEnd"/>
      <w:r w:rsidR="00B6212A">
        <w:t xml:space="preserve"> </w:t>
      </w:r>
      <w:r w:rsidR="00AB57BE">
        <w:t xml:space="preserve">[the capacity to be] </w:t>
      </w:r>
      <w:r w:rsidR="00B6212A">
        <w:t xml:space="preserve">a </w:t>
      </w:r>
      <w:r w:rsidRPr="004974C1">
        <w:t>Bluetooth speaker. There</w:t>
      </w:r>
      <w:r w:rsidR="00B6212A">
        <w:t xml:space="preserve"> was</w:t>
      </w:r>
      <w:r w:rsidRPr="004974C1">
        <w:t xml:space="preserve"> a lot of thinking </w:t>
      </w:r>
      <w:r w:rsidR="00B6212A">
        <w:t>that</w:t>
      </w:r>
      <w:r w:rsidR="00B6212A" w:rsidRPr="004974C1">
        <w:t xml:space="preserve"> </w:t>
      </w:r>
      <w:r w:rsidRPr="004974C1">
        <w:t>had gone behind everything that is in the product, a sort of eureka insight.</w:t>
      </w:r>
    </w:p>
    <w:p w14:paraId="3BC48B85" w14:textId="77777777" w:rsidR="00F313DF" w:rsidRPr="00367200" w:rsidRDefault="00F313DF" w:rsidP="00327A07">
      <w:pPr>
        <w:pStyle w:val="BodyTextMain"/>
      </w:pPr>
    </w:p>
    <w:p w14:paraId="045F0F30" w14:textId="59FE9F84" w:rsidR="00B6212A" w:rsidRDefault="00F313DF" w:rsidP="00836BFF">
      <w:pPr>
        <w:pStyle w:val="BodyTextMain"/>
      </w:pPr>
      <w:proofErr w:type="spellStart"/>
      <w:r w:rsidRPr="004974C1">
        <w:t>Carvaan</w:t>
      </w:r>
      <w:proofErr w:type="spellEnd"/>
      <w:r w:rsidRPr="004974C1">
        <w:t xml:space="preserve"> was manufactured in China and was priced at approximately </w:t>
      </w:r>
      <w:r w:rsidR="00B6212A" w:rsidRPr="00B32701">
        <w:rPr>
          <w:rFonts w:ascii="Arial" w:hAnsi="Arial" w:cs="Arial"/>
          <w:sz w:val="20"/>
          <w:szCs w:val="20"/>
        </w:rPr>
        <w:t>₹</w:t>
      </w:r>
      <w:r w:rsidRPr="004974C1">
        <w:t>6</w:t>
      </w:r>
      <w:r w:rsidR="00B6212A">
        <w:t>,</w:t>
      </w:r>
      <w:r w:rsidRPr="004974C1">
        <w:t>000 per</w:t>
      </w:r>
      <w:r w:rsidR="00B6212A">
        <w:t xml:space="preserve"> </w:t>
      </w:r>
      <w:r w:rsidRPr="004974C1">
        <w:t>unit</w:t>
      </w:r>
      <w:r w:rsidR="00B6212A">
        <w:t>,</w:t>
      </w:r>
      <w:r w:rsidRPr="004974C1">
        <w:t xml:space="preserve"> with an almost 20</w:t>
      </w:r>
      <w:r w:rsidR="00B6212A">
        <w:t xml:space="preserve"> per cent</w:t>
      </w:r>
      <w:r w:rsidRPr="004974C1">
        <w:t xml:space="preserve"> profit</w:t>
      </w:r>
      <w:r w:rsidR="00B6212A">
        <w:t xml:space="preserve"> margin</w:t>
      </w:r>
      <w:r w:rsidRPr="004974C1">
        <w:t xml:space="preserve">. </w:t>
      </w:r>
      <w:proofErr w:type="spellStart"/>
      <w:r w:rsidRPr="004974C1">
        <w:t>Aayeer</w:t>
      </w:r>
      <w:proofErr w:type="spellEnd"/>
      <w:r w:rsidRPr="004974C1">
        <w:t xml:space="preserve"> </w:t>
      </w:r>
      <w:r w:rsidR="00B6212A">
        <w:t>confessed</w:t>
      </w:r>
      <w:r w:rsidRPr="004974C1">
        <w:t>, “</w:t>
      </w:r>
      <w:r w:rsidR="0024766D" w:rsidRPr="004974C1">
        <w:t>Per</w:t>
      </w:r>
      <w:r w:rsidR="0024766D">
        <w:t>-</w:t>
      </w:r>
      <w:r w:rsidRPr="004974C1">
        <w:t>unit profitability is not very enticing for a CFO</w:t>
      </w:r>
      <w:r w:rsidR="00B6212A">
        <w:t>,</w:t>
      </w:r>
      <w:r w:rsidRPr="004974C1">
        <w:t xml:space="preserve"> but this </w:t>
      </w:r>
      <w:r w:rsidR="0024766D" w:rsidRPr="004974C1">
        <w:t>per</w:t>
      </w:r>
      <w:r w:rsidR="0024766D">
        <w:t>-</w:t>
      </w:r>
      <w:r w:rsidRPr="004974C1">
        <w:t xml:space="preserve">unit profit multiplied by a large volume gives us a huge profit. It brings you back into the game.” </w:t>
      </w:r>
      <w:r w:rsidR="000D62A0" w:rsidRPr="004974C1">
        <w:t xml:space="preserve">Launched as a B2C product, </w:t>
      </w:r>
      <w:r w:rsidR="000D62A0">
        <w:t xml:space="preserve">the </w:t>
      </w:r>
      <w:proofErr w:type="spellStart"/>
      <w:r w:rsidR="000D62A0">
        <w:t>Carvaan</w:t>
      </w:r>
      <w:proofErr w:type="spellEnd"/>
      <w:r w:rsidR="000D62A0" w:rsidRPr="004974C1">
        <w:t xml:space="preserve"> sold 95,000 units </w:t>
      </w:r>
      <w:r w:rsidR="000D62A0">
        <w:t xml:space="preserve">just </w:t>
      </w:r>
      <w:r w:rsidR="000D62A0" w:rsidRPr="004974C1">
        <w:t>in the first quarter.</w:t>
      </w:r>
      <w:r w:rsidR="000D62A0" w:rsidRPr="005022FE">
        <w:rPr>
          <w:rStyle w:val="FootnoteReference"/>
        </w:rPr>
        <w:footnoteReference w:id="15"/>
      </w:r>
    </w:p>
    <w:p w14:paraId="313711DB" w14:textId="77777777" w:rsidR="00B6212A" w:rsidRDefault="00B6212A" w:rsidP="00836BFF">
      <w:pPr>
        <w:pStyle w:val="BodyTextMain"/>
      </w:pPr>
    </w:p>
    <w:p w14:paraId="17661229" w14:textId="539C68DE" w:rsidR="00367200" w:rsidRDefault="00F313DF" w:rsidP="00836BFF">
      <w:pPr>
        <w:pStyle w:val="BodyTextMain"/>
      </w:pPr>
      <w:r w:rsidRPr="004974C1">
        <w:t xml:space="preserve">The content fed into the product was backed by a </w:t>
      </w:r>
      <w:r w:rsidR="00B6212A">
        <w:t>large</w:t>
      </w:r>
      <w:r w:rsidR="00B6212A" w:rsidRPr="004974C1">
        <w:t xml:space="preserve"> </w:t>
      </w:r>
      <w:r w:rsidRPr="004974C1">
        <w:t xml:space="preserve">repository of </w:t>
      </w:r>
      <w:proofErr w:type="spellStart"/>
      <w:r w:rsidRPr="004974C1">
        <w:t>Saregama</w:t>
      </w:r>
      <w:proofErr w:type="spellEnd"/>
      <w:r w:rsidRPr="004974C1">
        <w:t xml:space="preserve"> business intelligence data, generated every month from its content played on YouTube, streaming applications, telecom, TV channels, and radio stations. The playlist was developed using a copyrighted randomizing logic. </w:t>
      </w:r>
      <w:r w:rsidR="00B6212A">
        <w:t xml:space="preserve">According to </w:t>
      </w:r>
      <w:proofErr w:type="spellStart"/>
      <w:r w:rsidRPr="004974C1">
        <w:t>Mehra</w:t>
      </w:r>
      <w:proofErr w:type="spellEnd"/>
      <w:r w:rsidR="00B6212A">
        <w:t>,</w:t>
      </w:r>
    </w:p>
    <w:p w14:paraId="77097B9A" w14:textId="77777777" w:rsidR="00367200" w:rsidRPr="00AA0758" w:rsidRDefault="00367200" w:rsidP="00836BFF">
      <w:pPr>
        <w:pStyle w:val="BodyTextMain"/>
        <w:rPr>
          <w:sz w:val="18"/>
        </w:rPr>
      </w:pPr>
    </w:p>
    <w:p w14:paraId="7E294C82" w14:textId="35C9809A" w:rsidR="00F313DF" w:rsidRPr="004974C1" w:rsidRDefault="00F313DF" w:rsidP="00367200">
      <w:pPr>
        <w:pStyle w:val="BodyTextMain"/>
        <w:ind w:left="720"/>
      </w:pPr>
      <w:r w:rsidRPr="004974C1">
        <w:lastRenderedPageBreak/>
        <w:t>Everything that has gone out there is copyrighted</w:t>
      </w:r>
      <w:r w:rsidR="0024766D">
        <w:t>,</w:t>
      </w:r>
      <w:r w:rsidRPr="004974C1">
        <w:t xml:space="preserve"> and we will make it very difficult for anyone to do this, but you may come out with a different structure altogether. But, what will they put inside this? Which music? They can’t put Rafi songs</w:t>
      </w:r>
      <w:r w:rsidR="000D62A0">
        <w:t>;</w:t>
      </w:r>
      <w:r w:rsidRPr="004974C1">
        <w:t xml:space="preserve"> that’s owned by us. They will have to put a newer singer. Who listens to newer singer</w:t>
      </w:r>
      <w:r w:rsidR="0025224B">
        <w:t>s</w:t>
      </w:r>
      <w:r w:rsidRPr="004974C1">
        <w:t xml:space="preserve">? Kids. Will kids go for a physical structure? No, they will go for digital. We are very clear in our head who our audience is. </w:t>
      </w:r>
    </w:p>
    <w:p w14:paraId="116921FF" w14:textId="77777777" w:rsidR="00F313DF" w:rsidRPr="00AA0758" w:rsidRDefault="00F313DF" w:rsidP="00327A07">
      <w:pPr>
        <w:pStyle w:val="BodyTextMain"/>
        <w:rPr>
          <w:sz w:val="18"/>
        </w:rPr>
      </w:pPr>
    </w:p>
    <w:p w14:paraId="0949F667" w14:textId="04DE88BE" w:rsidR="00F313DF" w:rsidRPr="004974C1" w:rsidRDefault="00F313DF">
      <w:pPr>
        <w:pStyle w:val="BodyTextMain"/>
        <w:rPr>
          <w:b/>
          <w:i/>
        </w:rPr>
      </w:pPr>
      <w:r w:rsidRPr="004974C1">
        <w:t>Next</w:t>
      </w:r>
      <w:r w:rsidR="000D62A0">
        <w:t>,</w:t>
      </w:r>
      <w:r w:rsidRPr="004974C1">
        <w:t xml:space="preserve"> the company launched a </w:t>
      </w:r>
      <w:proofErr w:type="spellStart"/>
      <w:r w:rsidRPr="004974C1">
        <w:t>Carvaan</w:t>
      </w:r>
      <w:proofErr w:type="spellEnd"/>
      <w:r w:rsidRPr="004974C1">
        <w:t xml:space="preserve"> </w:t>
      </w:r>
      <w:r w:rsidR="0025224B">
        <w:t>M</w:t>
      </w:r>
      <w:r w:rsidRPr="004974C1">
        <w:t xml:space="preserve">ini in October 2017. This was launched </w:t>
      </w:r>
      <w:r w:rsidR="00510668">
        <w:t>in</w:t>
      </w:r>
      <w:r w:rsidR="00510668" w:rsidRPr="004974C1">
        <w:t xml:space="preserve"> </w:t>
      </w:r>
      <w:r w:rsidRPr="004974C1">
        <w:t xml:space="preserve">a lower price category and was positioned more as a </w:t>
      </w:r>
      <w:r w:rsidR="000D62A0">
        <w:t>B</w:t>
      </w:r>
      <w:r w:rsidRPr="004974C1">
        <w:t xml:space="preserve">luetooth speaker </w:t>
      </w:r>
      <w:r w:rsidR="000D62A0">
        <w:t>that was also</w:t>
      </w:r>
      <w:r w:rsidR="000D62A0" w:rsidRPr="004974C1">
        <w:t xml:space="preserve"> </w:t>
      </w:r>
      <w:r w:rsidRPr="004974C1">
        <w:t xml:space="preserve">loaded with 251 of </w:t>
      </w:r>
      <w:proofErr w:type="spellStart"/>
      <w:r w:rsidRPr="004974C1">
        <w:t>Saregama’s</w:t>
      </w:r>
      <w:proofErr w:type="spellEnd"/>
      <w:r w:rsidRPr="004974C1">
        <w:t xml:space="preserve"> biggest hits. This was priced around </w:t>
      </w:r>
      <w:r w:rsidR="00510668" w:rsidRPr="00936882">
        <w:rPr>
          <w:rFonts w:ascii="Arial" w:hAnsi="Arial" w:cs="Arial"/>
          <w:sz w:val="20"/>
          <w:szCs w:val="20"/>
        </w:rPr>
        <w:t>₹</w:t>
      </w:r>
      <w:r w:rsidRPr="004974C1">
        <w:t>2</w:t>
      </w:r>
      <w:r w:rsidR="000D62A0">
        <w:t>,</w:t>
      </w:r>
      <w:r w:rsidRPr="004974C1">
        <w:t>000. “Actually</w:t>
      </w:r>
      <w:r w:rsidR="000D62A0">
        <w:t>,</w:t>
      </w:r>
      <w:r w:rsidRPr="004974C1">
        <w:t xml:space="preserve"> this was a dealer push kind of a product, more for the younger consumer who wants a Bluetooth speaker and gets an added advantage of a select few retro</w:t>
      </w:r>
      <w:r w:rsidR="00510668">
        <w:t xml:space="preserve"> </w:t>
      </w:r>
      <w:r w:rsidRPr="004974C1">
        <w:t>songs</w:t>
      </w:r>
      <w:r w:rsidR="000D62A0">
        <w:t>,</w:t>
      </w:r>
      <w:r w:rsidRPr="004974C1">
        <w:t xml:space="preserve">” said </w:t>
      </w:r>
      <w:proofErr w:type="spellStart"/>
      <w:r w:rsidRPr="004974C1">
        <w:t>Mehra</w:t>
      </w:r>
      <w:proofErr w:type="spellEnd"/>
      <w:r w:rsidRPr="004974C1">
        <w:t xml:space="preserve">. </w:t>
      </w:r>
      <w:r w:rsidR="000D62A0">
        <w:t>Beginning in</w:t>
      </w:r>
      <w:r w:rsidR="000D62A0" w:rsidRPr="004974C1">
        <w:t xml:space="preserve"> </w:t>
      </w:r>
      <w:r w:rsidRPr="004974C1">
        <w:t>early 2018</w:t>
      </w:r>
      <w:r w:rsidR="000D62A0">
        <w:t>,</w:t>
      </w:r>
      <w:r w:rsidRPr="004974C1">
        <w:t xml:space="preserve"> the firm launched regional variants of </w:t>
      </w:r>
      <w:proofErr w:type="spellStart"/>
      <w:r w:rsidRPr="004974C1">
        <w:t>Carvaan</w:t>
      </w:r>
      <w:proofErr w:type="spellEnd"/>
      <w:r w:rsidRPr="004974C1">
        <w:t xml:space="preserve"> in Tamil, Bengali</w:t>
      </w:r>
      <w:r w:rsidR="000D62A0">
        <w:t>,</w:t>
      </w:r>
      <w:r w:rsidRPr="004974C1">
        <w:t xml:space="preserve"> and Marathi</w:t>
      </w:r>
      <w:r w:rsidR="000D62A0">
        <w:t>,</w:t>
      </w:r>
      <w:r w:rsidRPr="004974C1">
        <w:t xml:space="preserve"> and </w:t>
      </w:r>
      <w:r w:rsidR="000D62A0">
        <w:t xml:space="preserve">it </w:t>
      </w:r>
      <w:r w:rsidRPr="004974C1">
        <w:t>had plans for more regional variants.</w:t>
      </w:r>
    </w:p>
    <w:p w14:paraId="757E7AD2" w14:textId="77777777" w:rsidR="00F313DF" w:rsidRPr="00AA0758" w:rsidRDefault="00F313DF" w:rsidP="00327A07">
      <w:pPr>
        <w:pStyle w:val="BodyTextMain"/>
        <w:rPr>
          <w:sz w:val="18"/>
        </w:rPr>
      </w:pPr>
    </w:p>
    <w:p w14:paraId="461560AC" w14:textId="375BAF6A" w:rsidR="000D62A0" w:rsidRDefault="00F313DF" w:rsidP="00F313DF">
      <w:pPr>
        <w:pStyle w:val="BodyTextMain"/>
      </w:pPr>
      <w:r w:rsidRPr="004974C1">
        <w:t xml:space="preserve">The product was positioned as a nostalgia gift product and made use of selective digital </w:t>
      </w:r>
      <w:r w:rsidR="000D62A0" w:rsidRPr="004974C1">
        <w:t>medi</w:t>
      </w:r>
      <w:r w:rsidR="000D62A0">
        <w:t>a, such as</w:t>
      </w:r>
      <w:r w:rsidR="000D62A0" w:rsidRPr="004974C1">
        <w:t xml:space="preserve"> </w:t>
      </w:r>
      <w:r w:rsidRPr="004974C1">
        <w:t>YouTube</w:t>
      </w:r>
      <w:r w:rsidR="000D62A0">
        <w:t>, to broadcast</w:t>
      </w:r>
      <w:r w:rsidRPr="004974C1">
        <w:t xml:space="preserve"> emotion</w:t>
      </w:r>
      <w:r w:rsidR="000D62A0">
        <w:t>-</w:t>
      </w:r>
      <w:r w:rsidRPr="004974C1">
        <w:t xml:space="preserve">driven commercials. The launch announcements used traditional print media. The product was sold through </w:t>
      </w:r>
      <w:proofErr w:type="spellStart"/>
      <w:r w:rsidRPr="004974C1">
        <w:t>Saregama’s</w:t>
      </w:r>
      <w:proofErr w:type="spellEnd"/>
      <w:r w:rsidRPr="004974C1">
        <w:t xml:space="preserve"> own 7</w:t>
      </w:r>
      <w:r w:rsidR="000D62A0">
        <w:t>,</w:t>
      </w:r>
      <w:r w:rsidRPr="004974C1">
        <w:t>000</w:t>
      </w:r>
      <w:r w:rsidR="000D62A0">
        <w:t>-</w:t>
      </w:r>
      <w:r w:rsidRPr="004974C1">
        <w:t>odd physical distribution outlets and on the Amazon portal</w:t>
      </w:r>
      <w:r w:rsidR="00442DB1">
        <w:t xml:space="preserve">. </w:t>
      </w:r>
      <w:proofErr w:type="spellStart"/>
      <w:r w:rsidRPr="004974C1">
        <w:t>Aayeer</w:t>
      </w:r>
      <w:proofErr w:type="spellEnd"/>
      <w:r w:rsidRPr="004974C1">
        <w:t xml:space="preserve"> </w:t>
      </w:r>
      <w:r w:rsidR="00442DB1">
        <w:t>described the distribution model:</w:t>
      </w:r>
      <w:r w:rsidR="00442DB1" w:rsidRPr="004974C1">
        <w:t xml:space="preserve"> </w:t>
      </w:r>
    </w:p>
    <w:p w14:paraId="206D5A24" w14:textId="77777777" w:rsidR="000D62A0" w:rsidRPr="00AA0758" w:rsidRDefault="000D62A0" w:rsidP="00F313DF">
      <w:pPr>
        <w:pStyle w:val="BodyTextMain"/>
        <w:rPr>
          <w:sz w:val="18"/>
        </w:rPr>
      </w:pPr>
    </w:p>
    <w:p w14:paraId="43BCC041" w14:textId="6D37107A" w:rsidR="00442DB1" w:rsidRDefault="000D62A0" w:rsidP="000D62A0">
      <w:pPr>
        <w:pStyle w:val="BodyTextMain"/>
        <w:ind w:left="720"/>
      </w:pPr>
      <w:r>
        <w:t>W</w:t>
      </w:r>
      <w:r w:rsidR="00F313DF" w:rsidRPr="004974C1">
        <w:t>e have set up our own fresh distribution network rather than relying on dealers</w:t>
      </w:r>
      <w:r>
        <w:t>,</w:t>
      </w:r>
      <w:r w:rsidR="00F313DF" w:rsidRPr="004974C1">
        <w:t xml:space="preserve"> as was the practice in the past. </w:t>
      </w:r>
      <w:r w:rsidR="0025224B">
        <w:t>Then</w:t>
      </w:r>
      <w:r w:rsidR="00442DB1">
        <w:t>,</w:t>
      </w:r>
      <w:r w:rsidR="00F313DF" w:rsidRPr="004974C1">
        <w:t xml:space="preserve"> it was all on a </w:t>
      </w:r>
      <w:r w:rsidR="00442DB1">
        <w:t>“</w:t>
      </w:r>
      <w:r w:rsidR="00F313DF" w:rsidRPr="004974C1">
        <w:t>sale or return</w:t>
      </w:r>
      <w:r w:rsidR="00442DB1">
        <w:t>”</w:t>
      </w:r>
      <w:r w:rsidR="00F313DF" w:rsidRPr="004974C1">
        <w:t xml:space="preserve"> model basis, </w:t>
      </w:r>
      <w:r w:rsidR="00442DB1">
        <w:t>which</w:t>
      </w:r>
      <w:r w:rsidR="00442DB1" w:rsidRPr="004974C1">
        <w:t xml:space="preserve"> </w:t>
      </w:r>
      <w:r w:rsidR="00F313DF" w:rsidRPr="004974C1">
        <w:t>actually killed the music business. The dealers did not have any commitments</w:t>
      </w:r>
      <w:r w:rsidR="00442DB1">
        <w:t>. W</w:t>
      </w:r>
      <w:r w:rsidR="00F313DF" w:rsidRPr="004974C1">
        <w:t>hatever was sold</w:t>
      </w:r>
      <w:r w:rsidR="00442DB1">
        <w:t>,</w:t>
      </w:r>
      <w:r w:rsidR="00F313DF" w:rsidRPr="004974C1">
        <w:t xml:space="preserve"> they </w:t>
      </w:r>
      <w:r w:rsidR="00442DB1">
        <w:t>made</w:t>
      </w:r>
      <w:r w:rsidR="00F313DF" w:rsidRPr="004974C1">
        <w:t xml:space="preserve"> 30</w:t>
      </w:r>
      <w:r w:rsidR="00442DB1">
        <w:t>–</w:t>
      </w:r>
      <w:r w:rsidR="00F313DF" w:rsidRPr="004974C1">
        <w:t>35 per</w:t>
      </w:r>
      <w:r w:rsidR="00442DB1">
        <w:t xml:space="preserve"> </w:t>
      </w:r>
      <w:r w:rsidR="00F313DF" w:rsidRPr="004974C1">
        <w:t>cent</w:t>
      </w:r>
      <w:r w:rsidR="00442DB1">
        <w:t>; the</w:t>
      </w:r>
      <w:r w:rsidR="00F313DF" w:rsidRPr="004974C1">
        <w:t xml:space="preserve"> rest</w:t>
      </w:r>
      <w:r w:rsidR="00442DB1">
        <w:t>,</w:t>
      </w:r>
      <w:r w:rsidR="00F313DF" w:rsidRPr="004974C1">
        <w:t xml:space="preserve"> they return</w:t>
      </w:r>
      <w:r w:rsidR="00442DB1">
        <w:t>ed</w:t>
      </w:r>
      <w:r w:rsidR="00F313DF" w:rsidRPr="004974C1">
        <w:t xml:space="preserve"> to </w:t>
      </w:r>
      <w:r w:rsidR="00442DB1">
        <w:t xml:space="preserve">the </w:t>
      </w:r>
      <w:r w:rsidR="00F313DF" w:rsidRPr="004974C1">
        <w:t>music company</w:t>
      </w:r>
      <w:r w:rsidR="00442DB1">
        <w:t>. A</w:t>
      </w:r>
      <w:r w:rsidR="00F313DF" w:rsidRPr="004974C1">
        <w:t>nd then came the time when returns were higher than the sales. Now, the basic distribution network has been designed in such a manner that our customers are mainly the electronic stores where cash and carry is the criteria for the sale. So currently</w:t>
      </w:r>
      <w:r w:rsidR="00442DB1">
        <w:t>,</w:t>
      </w:r>
      <w:r w:rsidR="00F313DF" w:rsidRPr="004974C1">
        <w:t xml:space="preserve"> the sale is strictly on a </w:t>
      </w:r>
      <w:r w:rsidR="00510668" w:rsidRPr="004974C1">
        <w:t>cash</w:t>
      </w:r>
      <w:r w:rsidR="00510668">
        <w:t>-</w:t>
      </w:r>
      <w:r w:rsidR="00510668" w:rsidRPr="004974C1">
        <w:t>and</w:t>
      </w:r>
      <w:r w:rsidR="00510668">
        <w:t>-</w:t>
      </w:r>
      <w:r w:rsidR="00F313DF" w:rsidRPr="004974C1">
        <w:t>carry arrangement without any return.</w:t>
      </w:r>
    </w:p>
    <w:p w14:paraId="15BE2E2B" w14:textId="77777777" w:rsidR="00442DB1" w:rsidRPr="00AA0758" w:rsidRDefault="00442DB1" w:rsidP="00442DB1">
      <w:pPr>
        <w:pStyle w:val="BodyTextMain"/>
        <w:rPr>
          <w:sz w:val="18"/>
        </w:rPr>
      </w:pPr>
    </w:p>
    <w:p w14:paraId="103ACD58" w14:textId="2E0159F7" w:rsidR="00F313DF" w:rsidRPr="004974C1" w:rsidRDefault="00442DB1">
      <w:pPr>
        <w:pStyle w:val="BodyTextMain"/>
      </w:pPr>
      <w:r>
        <w:t>T</w:t>
      </w:r>
      <w:r w:rsidR="00F313DF" w:rsidRPr="004974C1">
        <w:t xml:space="preserve">he company </w:t>
      </w:r>
      <w:r>
        <w:t>also developed</w:t>
      </w:r>
      <w:r w:rsidR="00F313DF" w:rsidRPr="004974C1">
        <w:t xml:space="preserve"> a</w:t>
      </w:r>
      <w:r>
        <w:t>n</w:t>
      </w:r>
      <w:r w:rsidR="00F313DF" w:rsidRPr="004974C1">
        <w:t xml:space="preserve"> organi</w:t>
      </w:r>
      <w:r>
        <w:t>z</w:t>
      </w:r>
      <w:r w:rsidR="00F313DF" w:rsidRPr="004974C1">
        <w:t>ational structure with clearly defined roles to manage the product verticals (</w:t>
      </w:r>
      <w:r>
        <w:t>s</w:t>
      </w:r>
      <w:r w:rsidR="00F313DF" w:rsidRPr="004974C1">
        <w:t>ee Exhibit 7).</w:t>
      </w:r>
      <w:r w:rsidR="00B27515" w:rsidRPr="004974C1">
        <w:t xml:space="preserve"> </w:t>
      </w:r>
    </w:p>
    <w:p w14:paraId="3AE4509B" w14:textId="77777777" w:rsidR="00F313DF" w:rsidRPr="00AA0758" w:rsidRDefault="00F313DF" w:rsidP="00836BFF">
      <w:pPr>
        <w:pStyle w:val="BodyTextMain"/>
        <w:rPr>
          <w:sz w:val="18"/>
        </w:rPr>
      </w:pPr>
    </w:p>
    <w:p w14:paraId="5AB73A84" w14:textId="77777777" w:rsidR="00836BFF" w:rsidRPr="00AA0758" w:rsidRDefault="00836BFF" w:rsidP="00836BFF">
      <w:pPr>
        <w:pStyle w:val="BodyTextMain"/>
        <w:rPr>
          <w:sz w:val="18"/>
        </w:rPr>
      </w:pPr>
    </w:p>
    <w:p w14:paraId="63F52784" w14:textId="77777777" w:rsidR="00F313DF" w:rsidRPr="004974C1" w:rsidRDefault="00F313DF" w:rsidP="00B32701">
      <w:pPr>
        <w:pStyle w:val="Casehead1"/>
        <w:keepLines/>
      </w:pPr>
      <w:r w:rsidRPr="004974C1">
        <w:t>WHAT NEXT?</w:t>
      </w:r>
    </w:p>
    <w:p w14:paraId="4EF9F1A8" w14:textId="77777777" w:rsidR="00F313DF" w:rsidRPr="00AA0758" w:rsidRDefault="00F313DF" w:rsidP="00B32701">
      <w:pPr>
        <w:pStyle w:val="BodyTextMain"/>
        <w:keepNext/>
        <w:keepLines/>
        <w:rPr>
          <w:sz w:val="18"/>
        </w:rPr>
      </w:pPr>
    </w:p>
    <w:p w14:paraId="69B74BA0" w14:textId="33E7559E" w:rsidR="00F353D6" w:rsidRDefault="00442DB1" w:rsidP="00B32701">
      <w:pPr>
        <w:pStyle w:val="BodyTextMain"/>
        <w:keepNext/>
        <w:keepLines/>
      </w:pPr>
      <w:r>
        <w:t>T</w:t>
      </w:r>
      <w:r w:rsidR="00F313DF" w:rsidRPr="004974C1">
        <w:t xml:space="preserve">he company sold 95,000 units of </w:t>
      </w:r>
      <w:proofErr w:type="spellStart"/>
      <w:r w:rsidR="00F313DF" w:rsidRPr="004974C1">
        <w:t>Carvaan</w:t>
      </w:r>
      <w:proofErr w:type="spellEnd"/>
      <w:r w:rsidR="00F313DF" w:rsidRPr="004974C1">
        <w:t xml:space="preserve"> in </w:t>
      </w:r>
      <w:r>
        <w:t>the first quarter of FY 2017–2018</w:t>
      </w:r>
      <w:r w:rsidR="00F313DF" w:rsidRPr="004974C1">
        <w:t xml:space="preserve"> and expected to </w:t>
      </w:r>
      <w:r>
        <w:t>sell</w:t>
      </w:r>
      <w:r w:rsidRPr="004974C1">
        <w:t xml:space="preserve"> </w:t>
      </w:r>
      <w:r w:rsidR="00F313DF" w:rsidRPr="004974C1">
        <w:t>300,000 units by the close</w:t>
      </w:r>
      <w:r w:rsidR="0025224B">
        <w:t xml:space="preserve"> of the fiscal year</w:t>
      </w:r>
      <w:r w:rsidR="00F313DF" w:rsidRPr="004974C1">
        <w:t>.</w:t>
      </w:r>
      <w:r w:rsidR="00F313DF" w:rsidRPr="005022FE">
        <w:rPr>
          <w:rStyle w:val="FootnoteReference"/>
        </w:rPr>
        <w:footnoteReference w:id="16"/>
      </w:r>
      <w:r w:rsidR="00F313DF" w:rsidRPr="004974C1">
        <w:t xml:space="preserve"> </w:t>
      </w:r>
      <w:r w:rsidR="00F353D6">
        <w:t xml:space="preserve">According to </w:t>
      </w:r>
      <w:proofErr w:type="spellStart"/>
      <w:r w:rsidR="00F313DF" w:rsidRPr="004974C1">
        <w:t>Aayeer</w:t>
      </w:r>
      <w:proofErr w:type="spellEnd"/>
      <w:r w:rsidR="00F353D6">
        <w:t>,</w:t>
      </w:r>
      <w:r w:rsidR="00F313DF" w:rsidRPr="004974C1">
        <w:t xml:space="preserve"> “</w:t>
      </w:r>
      <w:proofErr w:type="spellStart"/>
      <w:r w:rsidR="00F313DF" w:rsidRPr="004974C1">
        <w:t>Carvaan</w:t>
      </w:r>
      <w:proofErr w:type="spellEnd"/>
      <w:r w:rsidR="00F313DF" w:rsidRPr="004974C1">
        <w:t xml:space="preserve"> has been the single largest turning point for the financial health of the company</w:t>
      </w:r>
      <w:r w:rsidR="00510668">
        <w:t>”</w:t>
      </w:r>
      <w:r w:rsidR="00F313DF" w:rsidRPr="004974C1">
        <w:t xml:space="preserve"> </w:t>
      </w:r>
      <w:r w:rsidR="00510668">
        <w:t>(</w:t>
      </w:r>
      <w:r w:rsidR="00F313DF" w:rsidRPr="004974C1">
        <w:t xml:space="preserve">see Exhibit </w:t>
      </w:r>
      <w:r w:rsidR="00ED347C">
        <w:t>8</w:t>
      </w:r>
      <w:r w:rsidR="00510668">
        <w:t>)</w:t>
      </w:r>
      <w:r w:rsidR="00510668" w:rsidRPr="004974C1">
        <w:t xml:space="preserve">. </w:t>
      </w:r>
      <w:proofErr w:type="spellStart"/>
      <w:r w:rsidR="00510668">
        <w:t>Aayeer</w:t>
      </w:r>
      <w:proofErr w:type="spellEnd"/>
      <w:r w:rsidR="00510668">
        <w:t xml:space="preserve"> continued, “</w:t>
      </w:r>
      <w:r w:rsidR="00F313DF" w:rsidRPr="004974C1">
        <w:t xml:space="preserve">This is a huge advantage as it reduces the reliance only on B2B. Secondly, it </w:t>
      </w:r>
      <w:r w:rsidR="00F353D6" w:rsidRPr="004974C1">
        <w:t>provides</w:t>
      </w:r>
      <w:r w:rsidR="00F313DF" w:rsidRPr="004974C1">
        <w:t xml:space="preserve"> a strong financial shoulder to explore more sustainable long</w:t>
      </w:r>
      <w:r w:rsidR="00F353D6">
        <w:t>-</w:t>
      </w:r>
      <w:r w:rsidR="00F313DF" w:rsidRPr="004974C1">
        <w:t xml:space="preserve">term strategies.” </w:t>
      </w:r>
    </w:p>
    <w:p w14:paraId="3D23D1BC" w14:textId="77777777" w:rsidR="00F353D6" w:rsidRPr="00AA0758" w:rsidRDefault="00F353D6" w:rsidP="00F313DF">
      <w:pPr>
        <w:pStyle w:val="BodyTextMain"/>
        <w:rPr>
          <w:sz w:val="18"/>
        </w:rPr>
      </w:pPr>
    </w:p>
    <w:p w14:paraId="431CF342" w14:textId="32D01E62" w:rsidR="00F353D6" w:rsidRDefault="00F313DF" w:rsidP="00F313DF">
      <w:pPr>
        <w:pStyle w:val="BodyTextMain"/>
      </w:pPr>
      <w:r w:rsidRPr="004974C1">
        <w:t>The journey so far had been extremely satisfying</w:t>
      </w:r>
      <w:r w:rsidR="00F353D6">
        <w:t>,</w:t>
      </w:r>
      <w:r w:rsidRPr="004974C1">
        <w:t xml:space="preserve"> but the road ahead was not without challenges. Karim </w:t>
      </w:r>
      <w:r w:rsidR="00F353D6">
        <w:t xml:space="preserve">outlined those: </w:t>
      </w:r>
    </w:p>
    <w:p w14:paraId="2F9EC31C" w14:textId="77777777" w:rsidR="00F353D6" w:rsidRPr="00AA0758" w:rsidRDefault="00F353D6" w:rsidP="00F313DF">
      <w:pPr>
        <w:pStyle w:val="BodyTextMain"/>
        <w:rPr>
          <w:sz w:val="18"/>
        </w:rPr>
      </w:pPr>
    </w:p>
    <w:p w14:paraId="65B899CA" w14:textId="5692E7F3" w:rsidR="00F313DF" w:rsidRDefault="00F313DF" w:rsidP="00327A07">
      <w:pPr>
        <w:pStyle w:val="BodyTextMain"/>
        <w:ind w:left="720"/>
      </w:pPr>
      <w:r w:rsidRPr="004974C1">
        <w:t>For us Indians</w:t>
      </w:r>
      <w:r w:rsidR="00F353D6">
        <w:t>,</w:t>
      </w:r>
      <w:r w:rsidRPr="004974C1">
        <w:t xml:space="preserve"> music will never come to end. Only </w:t>
      </w:r>
      <w:r w:rsidR="00F353D6">
        <w:t xml:space="preserve">the </w:t>
      </w:r>
      <w:r w:rsidRPr="004974C1">
        <w:t>form changed. Earlier</w:t>
      </w:r>
      <w:r w:rsidR="00F353D6">
        <w:t>,</w:t>
      </w:r>
      <w:r w:rsidRPr="004974C1">
        <w:t xml:space="preserve"> there was record, then came cassette, CD, then it went digital</w:t>
      </w:r>
      <w:r w:rsidR="00F353D6">
        <w:t>;</w:t>
      </w:r>
      <w:r w:rsidRPr="004974C1">
        <w:t xml:space="preserve"> now again with </w:t>
      </w:r>
      <w:proofErr w:type="spellStart"/>
      <w:r w:rsidRPr="004974C1">
        <w:t>Carvaan</w:t>
      </w:r>
      <w:proofErr w:type="spellEnd"/>
      <w:r w:rsidR="00F353D6">
        <w:t>,</w:t>
      </w:r>
      <w:r w:rsidRPr="004974C1">
        <w:t xml:space="preserve"> we have come back into physical format in a different way. Music survived. But what changed is the consumer and </w:t>
      </w:r>
      <w:r w:rsidR="00F353D6">
        <w:t>their</w:t>
      </w:r>
      <w:r w:rsidR="00F353D6" w:rsidRPr="004974C1">
        <w:t xml:space="preserve"> </w:t>
      </w:r>
      <w:r w:rsidRPr="004974C1">
        <w:t xml:space="preserve">demands. </w:t>
      </w:r>
      <w:r w:rsidR="00F353D6">
        <w:t>Their demands</w:t>
      </w:r>
      <w:r w:rsidR="00F353D6" w:rsidRPr="004974C1">
        <w:t xml:space="preserve"> </w:t>
      </w:r>
      <w:r w:rsidRPr="004974C1">
        <w:t>increased tenfold and keep changing. So one has to be ready with different ways of reaching the consumer.</w:t>
      </w:r>
    </w:p>
    <w:p w14:paraId="5CD943CC" w14:textId="77777777" w:rsidR="00275A9F" w:rsidRPr="004974C1" w:rsidRDefault="00275A9F" w:rsidP="00275A9F">
      <w:pPr>
        <w:pStyle w:val="BodyTextMain"/>
      </w:pPr>
    </w:p>
    <w:p w14:paraId="16145BEF" w14:textId="5FBAB1E3" w:rsidR="00337963" w:rsidRDefault="00F313DF" w:rsidP="00B67D2A">
      <w:pPr>
        <w:pStyle w:val="BodyTextMain"/>
        <w:rPr>
          <w:spacing w:val="-4"/>
        </w:rPr>
      </w:pPr>
      <w:r w:rsidRPr="00AA0758">
        <w:rPr>
          <w:spacing w:val="-4"/>
        </w:rPr>
        <w:lastRenderedPageBreak/>
        <w:t xml:space="preserve">The company made a clear foray into the B2C market by tapping the needs of the older consumer through </w:t>
      </w:r>
      <w:proofErr w:type="spellStart"/>
      <w:r w:rsidRPr="00AA0758">
        <w:rPr>
          <w:spacing w:val="-4"/>
        </w:rPr>
        <w:t>Carvaan</w:t>
      </w:r>
      <w:proofErr w:type="spellEnd"/>
      <w:r w:rsidR="00F353D6" w:rsidRPr="00AA0758">
        <w:rPr>
          <w:spacing w:val="-4"/>
        </w:rPr>
        <w:t>. A</w:t>
      </w:r>
      <w:r w:rsidRPr="00AA0758">
        <w:rPr>
          <w:spacing w:val="-4"/>
        </w:rPr>
        <w:t>t the same time</w:t>
      </w:r>
      <w:r w:rsidR="00F353D6" w:rsidRPr="00AA0758">
        <w:rPr>
          <w:spacing w:val="-4"/>
        </w:rPr>
        <w:t>,</w:t>
      </w:r>
      <w:r w:rsidRPr="00AA0758">
        <w:rPr>
          <w:spacing w:val="-4"/>
        </w:rPr>
        <w:t xml:space="preserve"> </w:t>
      </w:r>
      <w:proofErr w:type="spellStart"/>
      <w:r w:rsidR="00F353D6" w:rsidRPr="00AA0758">
        <w:rPr>
          <w:spacing w:val="-4"/>
        </w:rPr>
        <w:t>Saregama</w:t>
      </w:r>
      <w:proofErr w:type="spellEnd"/>
      <w:r w:rsidR="00F353D6" w:rsidRPr="00AA0758">
        <w:rPr>
          <w:spacing w:val="-4"/>
        </w:rPr>
        <w:t xml:space="preserve"> began producing full-length feature films</w:t>
      </w:r>
      <w:r w:rsidR="00BC7DC7" w:rsidRPr="00AA0758">
        <w:rPr>
          <w:spacing w:val="-4"/>
        </w:rPr>
        <w:t xml:space="preserve"> through </w:t>
      </w:r>
      <w:proofErr w:type="spellStart"/>
      <w:r w:rsidR="00F353D6" w:rsidRPr="00AA0758">
        <w:rPr>
          <w:spacing w:val="-4"/>
        </w:rPr>
        <w:t>Yoodlee</w:t>
      </w:r>
      <w:proofErr w:type="spellEnd"/>
      <w:r w:rsidR="00F353D6" w:rsidRPr="00AA0758">
        <w:rPr>
          <w:spacing w:val="-4"/>
        </w:rPr>
        <w:t xml:space="preserve"> Films, </w:t>
      </w:r>
      <w:r w:rsidR="00BC7DC7" w:rsidRPr="00AA0758">
        <w:rPr>
          <w:spacing w:val="-4"/>
        </w:rPr>
        <w:t xml:space="preserve">which </w:t>
      </w:r>
      <w:r w:rsidRPr="00AA0758">
        <w:rPr>
          <w:spacing w:val="-4"/>
        </w:rPr>
        <w:t>create</w:t>
      </w:r>
      <w:r w:rsidR="00BC7DC7" w:rsidRPr="00AA0758">
        <w:rPr>
          <w:spacing w:val="-4"/>
        </w:rPr>
        <w:t>d</w:t>
      </w:r>
      <w:r w:rsidRPr="00AA0758">
        <w:rPr>
          <w:spacing w:val="-4"/>
        </w:rPr>
        <w:t xml:space="preserve"> a product that was targeted at the younger, tech-savvy consumer. </w:t>
      </w:r>
      <w:proofErr w:type="spellStart"/>
      <w:r w:rsidRPr="00AA0758">
        <w:rPr>
          <w:spacing w:val="-4"/>
        </w:rPr>
        <w:t>Mehra</w:t>
      </w:r>
      <w:proofErr w:type="spellEnd"/>
      <w:r w:rsidRPr="00AA0758">
        <w:rPr>
          <w:spacing w:val="-4"/>
        </w:rPr>
        <w:t xml:space="preserve"> </w:t>
      </w:r>
      <w:r w:rsidR="00337963" w:rsidRPr="00AA0758">
        <w:rPr>
          <w:spacing w:val="-4"/>
        </w:rPr>
        <w:t>expressed the need for caution:</w:t>
      </w:r>
    </w:p>
    <w:p w14:paraId="18473CB1" w14:textId="77777777" w:rsidR="00275A9F" w:rsidRPr="00AA0758" w:rsidRDefault="00275A9F" w:rsidP="00B67D2A">
      <w:pPr>
        <w:pStyle w:val="BodyTextMain"/>
        <w:rPr>
          <w:spacing w:val="-4"/>
        </w:rPr>
      </w:pPr>
    </w:p>
    <w:p w14:paraId="5FA816F9" w14:textId="42E37666" w:rsidR="00F313DF" w:rsidRPr="004974C1" w:rsidRDefault="00F313DF" w:rsidP="00327A07">
      <w:pPr>
        <w:pStyle w:val="BodyTextMain"/>
        <w:ind w:left="720"/>
      </w:pPr>
      <w:r w:rsidRPr="004974C1">
        <w:t>Right now</w:t>
      </w:r>
      <w:r w:rsidR="00337963">
        <w:t>,</w:t>
      </w:r>
      <w:r w:rsidRPr="004974C1">
        <w:t xml:space="preserve"> it is a leap of faith.</w:t>
      </w:r>
      <w:r w:rsidR="005022FE">
        <w:t xml:space="preserve"> </w:t>
      </w:r>
      <w:r w:rsidRPr="004974C1">
        <w:t xml:space="preserve">We challenged the common belief of </w:t>
      </w:r>
      <w:r w:rsidR="00337963">
        <w:t>“</w:t>
      </w:r>
      <w:r w:rsidRPr="004974C1">
        <w:t>no one wants to pay for music</w:t>
      </w:r>
      <w:r w:rsidR="00337963">
        <w:t>”</w:t>
      </w:r>
      <w:r w:rsidRPr="004974C1">
        <w:t xml:space="preserve"> with </w:t>
      </w:r>
      <w:proofErr w:type="spellStart"/>
      <w:r w:rsidRPr="004974C1">
        <w:t>Carvaan</w:t>
      </w:r>
      <w:proofErr w:type="spellEnd"/>
      <w:r w:rsidR="00337963">
        <w:t>,</w:t>
      </w:r>
      <w:r w:rsidRPr="004974C1">
        <w:t xml:space="preserve"> and now we want to challenge the perception </w:t>
      </w:r>
      <w:r w:rsidR="00BC7DC7">
        <w:t>that the</w:t>
      </w:r>
      <w:r w:rsidR="00BC7DC7" w:rsidRPr="004974C1">
        <w:t xml:space="preserve"> </w:t>
      </w:r>
      <w:r w:rsidR="00337963">
        <w:t>“</w:t>
      </w:r>
      <w:r w:rsidRPr="004974C1">
        <w:t>movie business is a gamble</w:t>
      </w:r>
      <w:r w:rsidR="00337963">
        <w:t>.”</w:t>
      </w:r>
      <w:r w:rsidRPr="004974C1">
        <w:t xml:space="preserve"> We started </w:t>
      </w:r>
      <w:proofErr w:type="spellStart"/>
      <w:r w:rsidRPr="004974C1">
        <w:t>Yoodlee</w:t>
      </w:r>
      <w:proofErr w:type="spellEnd"/>
      <w:r w:rsidRPr="004974C1">
        <w:t xml:space="preserve"> </w:t>
      </w:r>
      <w:r w:rsidR="00337963">
        <w:t>F</w:t>
      </w:r>
      <w:r w:rsidRPr="004974C1">
        <w:t>ilms with a structure that would ensure that every movie at least recovers its cost. The movies are made with smart budgets and selective</w:t>
      </w:r>
      <w:r w:rsidR="00BC7DC7">
        <w:t>,</w:t>
      </w:r>
      <w:r w:rsidRPr="004974C1">
        <w:t xml:space="preserve"> target</w:t>
      </w:r>
      <w:r w:rsidR="00337963">
        <w:t>-</w:t>
      </w:r>
      <w:r w:rsidRPr="004974C1">
        <w:t>oriented distribution. Now we need to make it into a sustainable business model that does not depend on individuals and would come with a certain profit every time.</w:t>
      </w:r>
    </w:p>
    <w:p w14:paraId="168BF37B" w14:textId="77777777" w:rsidR="00B67D2A" w:rsidRPr="00327A07" w:rsidRDefault="00B67D2A" w:rsidP="00497261">
      <w:pPr>
        <w:pStyle w:val="BodyTextMain"/>
      </w:pPr>
    </w:p>
    <w:p w14:paraId="7A5D2E8B" w14:textId="58DEC9C5" w:rsidR="00337963" w:rsidRDefault="00F313DF" w:rsidP="00836BFF">
      <w:pPr>
        <w:pStyle w:val="BodyTextMain"/>
      </w:pPr>
      <w:proofErr w:type="spellStart"/>
      <w:r w:rsidRPr="004974C1">
        <w:t>Aayeer</w:t>
      </w:r>
      <w:proofErr w:type="spellEnd"/>
      <w:r w:rsidRPr="004974C1">
        <w:t xml:space="preserve"> </w:t>
      </w:r>
      <w:r w:rsidR="00337963">
        <w:t>spoke to the financial considerations:</w:t>
      </w:r>
    </w:p>
    <w:p w14:paraId="29BB815D" w14:textId="77777777" w:rsidR="00337963" w:rsidRDefault="00337963" w:rsidP="00836BFF">
      <w:pPr>
        <w:pStyle w:val="BodyTextMain"/>
      </w:pPr>
    </w:p>
    <w:p w14:paraId="3FF6A9E0" w14:textId="54413887" w:rsidR="00337963" w:rsidRPr="00AA0758" w:rsidRDefault="00F313DF" w:rsidP="00337963">
      <w:pPr>
        <w:pStyle w:val="BodyTextMain"/>
        <w:ind w:left="720"/>
        <w:rPr>
          <w:spacing w:val="-4"/>
        </w:rPr>
      </w:pPr>
      <w:r w:rsidRPr="00AA0758">
        <w:rPr>
          <w:spacing w:val="-4"/>
        </w:rPr>
        <w:t xml:space="preserve">Growth can be done in multiple ways. It can be through </w:t>
      </w:r>
      <w:r w:rsidR="00337963" w:rsidRPr="00AA0758">
        <w:rPr>
          <w:spacing w:val="-4"/>
        </w:rPr>
        <w:t xml:space="preserve">a </w:t>
      </w:r>
      <w:r w:rsidRPr="00AA0758">
        <w:rPr>
          <w:spacing w:val="-4"/>
        </w:rPr>
        <w:t xml:space="preserve">platform or through content. </w:t>
      </w:r>
      <w:r w:rsidR="00337963" w:rsidRPr="00AA0758">
        <w:rPr>
          <w:spacing w:val="-4"/>
        </w:rPr>
        <w:t>W</w:t>
      </w:r>
      <w:r w:rsidRPr="00AA0758">
        <w:rPr>
          <w:spacing w:val="-4"/>
        </w:rPr>
        <w:t>e reali</w:t>
      </w:r>
      <w:r w:rsidR="00337963" w:rsidRPr="00AA0758">
        <w:rPr>
          <w:spacing w:val="-4"/>
        </w:rPr>
        <w:t>z</w:t>
      </w:r>
      <w:r w:rsidRPr="00AA0758">
        <w:rPr>
          <w:spacing w:val="-4"/>
        </w:rPr>
        <w:t xml:space="preserve">ed that </w:t>
      </w:r>
      <w:r w:rsidR="00337963" w:rsidRPr="00AA0758">
        <w:rPr>
          <w:spacing w:val="-4"/>
        </w:rPr>
        <w:t xml:space="preserve">growth with a platform </w:t>
      </w:r>
      <w:r w:rsidRPr="00AA0758">
        <w:rPr>
          <w:spacing w:val="-4"/>
        </w:rPr>
        <w:t xml:space="preserve">is highly capital intensive. On the content side, </w:t>
      </w:r>
      <w:proofErr w:type="spellStart"/>
      <w:r w:rsidRPr="00AA0758">
        <w:rPr>
          <w:spacing w:val="-4"/>
        </w:rPr>
        <w:t>Carvaan</w:t>
      </w:r>
      <w:proofErr w:type="spellEnd"/>
      <w:r w:rsidRPr="00AA0758">
        <w:rPr>
          <w:spacing w:val="-4"/>
        </w:rPr>
        <w:t xml:space="preserve"> has helped us generate capital with which we can look at IP acquisition now. We have already acquired </w:t>
      </w:r>
      <w:r w:rsidR="00337963" w:rsidRPr="00AA0758">
        <w:rPr>
          <w:spacing w:val="-4"/>
        </w:rPr>
        <w:t>six or seven</w:t>
      </w:r>
      <w:r w:rsidRPr="00AA0758">
        <w:rPr>
          <w:spacing w:val="-4"/>
        </w:rPr>
        <w:t xml:space="preserve"> new film music, as this business needs to be with your own money and not on borrowed capital. </w:t>
      </w:r>
    </w:p>
    <w:p w14:paraId="49941C08" w14:textId="77777777" w:rsidR="00337963" w:rsidRDefault="00337963" w:rsidP="00337963">
      <w:pPr>
        <w:pStyle w:val="BodyTextMain"/>
        <w:ind w:left="720"/>
      </w:pPr>
    </w:p>
    <w:p w14:paraId="1EA12A11" w14:textId="034B9574" w:rsidR="008E59B5" w:rsidRDefault="00F313DF" w:rsidP="00337963">
      <w:pPr>
        <w:pStyle w:val="BodyTextMain"/>
        <w:ind w:left="720"/>
      </w:pPr>
      <w:r w:rsidRPr="004974C1">
        <w:t>Lastly, despite being a listed company</w:t>
      </w:r>
      <w:r w:rsidR="00337963">
        <w:t>,</w:t>
      </w:r>
      <w:r w:rsidRPr="004974C1">
        <w:t xml:space="preserve"> we were somewhat ignored by the investors as they were never impressed with a B2B kind of business</w:t>
      </w:r>
      <w:r w:rsidR="00337963">
        <w:t xml:space="preserve">; </w:t>
      </w:r>
      <w:r w:rsidRPr="004974C1">
        <w:t xml:space="preserve">they think of </w:t>
      </w:r>
      <w:r w:rsidR="00337963">
        <w:t>that</w:t>
      </w:r>
      <w:r w:rsidR="00337963" w:rsidRPr="004974C1">
        <w:t xml:space="preserve"> </w:t>
      </w:r>
      <w:r w:rsidRPr="004974C1">
        <w:t xml:space="preserve">as an annuity business. Now, once they see a product or a line </w:t>
      </w:r>
      <w:r w:rsidR="00337963">
        <w:t>that</w:t>
      </w:r>
      <w:r w:rsidR="00337963" w:rsidRPr="004974C1">
        <w:t xml:space="preserve"> </w:t>
      </w:r>
      <w:r w:rsidRPr="004974C1">
        <w:t>can really grow, the</w:t>
      </w:r>
      <w:r w:rsidR="00337963">
        <w:t xml:space="preserve"> investors</w:t>
      </w:r>
      <w:r w:rsidRPr="004974C1">
        <w:t xml:space="preserve"> see a promise. With </w:t>
      </w:r>
      <w:proofErr w:type="spellStart"/>
      <w:r w:rsidRPr="004974C1">
        <w:t>Carvaan</w:t>
      </w:r>
      <w:proofErr w:type="spellEnd"/>
      <w:r w:rsidR="00337963">
        <w:t>,</w:t>
      </w:r>
      <w:r w:rsidRPr="004974C1">
        <w:t xml:space="preserve"> we have moved into </w:t>
      </w:r>
      <w:r w:rsidR="00337963">
        <w:t xml:space="preserve">the </w:t>
      </w:r>
      <w:r w:rsidRPr="004974C1">
        <w:t>U</w:t>
      </w:r>
      <w:r w:rsidR="00337963">
        <w:t xml:space="preserve">nited </w:t>
      </w:r>
      <w:r w:rsidRPr="004974C1">
        <w:t>S</w:t>
      </w:r>
      <w:r w:rsidR="00337963">
        <w:t xml:space="preserve">tates; </w:t>
      </w:r>
      <w:r w:rsidRPr="004974C1">
        <w:t xml:space="preserve">we are also releasing in Canada, Europe, </w:t>
      </w:r>
      <w:r w:rsidR="00337963">
        <w:t xml:space="preserve">and the </w:t>
      </w:r>
      <w:r w:rsidRPr="004974C1">
        <w:t>Middle East</w:t>
      </w:r>
      <w:r w:rsidR="00337963">
        <w:t>. A</w:t>
      </w:r>
      <w:r w:rsidRPr="004974C1">
        <w:t>nd the investors are showing confidence. In a year’s span</w:t>
      </w:r>
      <w:r w:rsidR="00337963">
        <w:t>,</w:t>
      </w:r>
      <w:r w:rsidRPr="004974C1">
        <w:t xml:space="preserve"> the </w:t>
      </w:r>
      <w:r w:rsidR="0088140E">
        <w:t xml:space="preserve">number of </w:t>
      </w:r>
      <w:r w:rsidRPr="004974C1">
        <w:t>script</w:t>
      </w:r>
      <w:r w:rsidR="0088140E">
        <w:t>s</w:t>
      </w:r>
      <w:r w:rsidR="00337963">
        <w:t>,</w:t>
      </w:r>
      <w:r w:rsidRPr="004974C1">
        <w:t xml:space="preserve"> which was about 180</w:t>
      </w:r>
      <w:r w:rsidR="00337963">
        <w:t>,</w:t>
      </w:r>
      <w:r w:rsidRPr="004974C1">
        <w:t xml:space="preserve"> touched around 900. </w:t>
      </w:r>
    </w:p>
    <w:p w14:paraId="1444B66F" w14:textId="77777777" w:rsidR="008E59B5" w:rsidRDefault="008E59B5" w:rsidP="00337963">
      <w:pPr>
        <w:pStyle w:val="BodyTextMain"/>
        <w:ind w:left="720"/>
      </w:pPr>
    </w:p>
    <w:p w14:paraId="4E8636E8" w14:textId="0F679CB7" w:rsidR="00F313DF" w:rsidRPr="004974C1" w:rsidRDefault="00F313DF" w:rsidP="00327A07">
      <w:pPr>
        <w:pStyle w:val="BodyTextMain"/>
        <w:ind w:left="720"/>
      </w:pPr>
      <w:r w:rsidRPr="004974C1">
        <w:t xml:space="preserve">While all </w:t>
      </w:r>
      <w:r w:rsidR="00337963">
        <w:t xml:space="preserve">of </w:t>
      </w:r>
      <w:r w:rsidRPr="004974C1">
        <w:t>this is good news</w:t>
      </w:r>
      <w:r w:rsidR="008E59B5">
        <w:t>,</w:t>
      </w:r>
      <w:r w:rsidRPr="004974C1">
        <w:t xml:space="preserve"> we cannot remain as a one</w:t>
      </w:r>
      <w:r w:rsidR="008E59B5">
        <w:t>-</w:t>
      </w:r>
      <w:r w:rsidRPr="004974C1">
        <w:t>product bundle. Of course</w:t>
      </w:r>
      <w:r w:rsidR="008E59B5">
        <w:t>,</w:t>
      </w:r>
      <w:r w:rsidRPr="004974C1">
        <w:t xml:space="preserve"> </w:t>
      </w:r>
      <w:proofErr w:type="spellStart"/>
      <w:r w:rsidRPr="004974C1">
        <w:t>Carvaan</w:t>
      </w:r>
      <w:proofErr w:type="spellEnd"/>
      <w:r w:rsidRPr="004974C1">
        <w:t xml:space="preserve"> has huge potential and will need to be scaled up and innovated, but we need more to keep the business moving and growing.</w:t>
      </w:r>
      <w:r w:rsidR="00836BFF" w:rsidRPr="004974C1">
        <w:t xml:space="preserve"> </w:t>
      </w:r>
    </w:p>
    <w:p w14:paraId="0DF54411" w14:textId="77777777" w:rsidR="00F313DF" w:rsidRPr="004974C1" w:rsidRDefault="00F313DF" w:rsidP="00327A07">
      <w:pPr>
        <w:pStyle w:val="BodyTextMain"/>
      </w:pPr>
    </w:p>
    <w:p w14:paraId="0496ECFE" w14:textId="0F468AFC" w:rsidR="00A7312E" w:rsidRDefault="00F313DF" w:rsidP="000D7864">
      <w:pPr>
        <w:pStyle w:val="BodyTextMain"/>
      </w:pPr>
      <w:proofErr w:type="spellStart"/>
      <w:r w:rsidRPr="004974C1">
        <w:t>Mehra</w:t>
      </w:r>
      <w:proofErr w:type="spellEnd"/>
      <w:r w:rsidRPr="004974C1">
        <w:t xml:space="preserve"> knew that with success came responsibilities. The </w:t>
      </w:r>
      <w:r w:rsidR="008E59B5">
        <w:t>previous</w:t>
      </w:r>
      <w:r w:rsidR="008E59B5" w:rsidRPr="004974C1">
        <w:t xml:space="preserve"> </w:t>
      </w:r>
      <w:r w:rsidRPr="004974C1">
        <w:t>four years had been extremely productive</w:t>
      </w:r>
      <w:r w:rsidR="00BC7DC7">
        <w:t>,</w:t>
      </w:r>
      <w:r w:rsidRPr="004974C1">
        <w:t xml:space="preserve"> and </w:t>
      </w:r>
      <w:proofErr w:type="spellStart"/>
      <w:r w:rsidRPr="004974C1">
        <w:t>Saregama</w:t>
      </w:r>
      <w:proofErr w:type="spellEnd"/>
      <w:r w:rsidRPr="004974C1">
        <w:t xml:space="preserve"> was getting back on the track </w:t>
      </w:r>
      <w:r w:rsidR="008E59B5">
        <w:t>that</w:t>
      </w:r>
      <w:r w:rsidR="008E59B5" w:rsidRPr="004974C1">
        <w:t xml:space="preserve"> </w:t>
      </w:r>
      <w:proofErr w:type="spellStart"/>
      <w:r w:rsidRPr="004974C1">
        <w:t>Goenka</w:t>
      </w:r>
      <w:proofErr w:type="spellEnd"/>
      <w:r w:rsidRPr="004974C1">
        <w:t xml:space="preserve"> </w:t>
      </w:r>
      <w:r w:rsidR="008E59B5">
        <w:t xml:space="preserve">would have </w:t>
      </w:r>
      <w:r w:rsidRPr="004974C1">
        <w:t>envision</w:t>
      </w:r>
      <w:r w:rsidR="008E59B5">
        <w:t>ed for</w:t>
      </w:r>
      <w:r w:rsidRPr="004974C1">
        <w:t xml:space="preserve"> his company. Yet neither Karim, who forecasted ever</w:t>
      </w:r>
      <w:r w:rsidR="008E59B5">
        <w:t>-</w:t>
      </w:r>
      <w:r w:rsidRPr="004974C1">
        <w:t>changing consumer demands and disruptive technological innovations</w:t>
      </w:r>
      <w:r w:rsidR="008E59B5">
        <w:t>,</w:t>
      </w:r>
      <w:r w:rsidRPr="004974C1">
        <w:t xml:space="preserve"> nor </w:t>
      </w:r>
      <w:proofErr w:type="spellStart"/>
      <w:r w:rsidRPr="004974C1">
        <w:t>Aayeer</w:t>
      </w:r>
      <w:proofErr w:type="spellEnd"/>
      <w:r w:rsidR="008E59B5">
        <w:t>,</w:t>
      </w:r>
      <w:r w:rsidRPr="004974C1">
        <w:t xml:space="preserve"> who wanted concrete and measurable indices of a robust financial health</w:t>
      </w:r>
      <w:r w:rsidR="008E59B5">
        <w:t>,</w:t>
      </w:r>
      <w:r w:rsidRPr="004974C1">
        <w:t xml:space="preserve"> were wrong when they spoke about a multi-pronged strategy. That being the case, </w:t>
      </w:r>
      <w:proofErr w:type="spellStart"/>
      <w:r w:rsidRPr="004974C1">
        <w:t>Mehra</w:t>
      </w:r>
      <w:proofErr w:type="spellEnd"/>
      <w:r w:rsidRPr="004974C1">
        <w:t xml:space="preserve"> wondered how to balance the B2B and B2C growth engines for </w:t>
      </w:r>
      <w:proofErr w:type="spellStart"/>
      <w:r w:rsidRPr="004974C1">
        <w:t>Saregama</w:t>
      </w:r>
      <w:proofErr w:type="spellEnd"/>
      <w:r w:rsidR="008E59B5">
        <w:t xml:space="preserve">. He saw </w:t>
      </w:r>
      <w:r w:rsidR="003E51A3" w:rsidRPr="00995009">
        <w:t>two alternatives</w:t>
      </w:r>
      <w:r w:rsidR="00FB47C5">
        <w:t>:</w:t>
      </w:r>
    </w:p>
    <w:p w14:paraId="5F543164" w14:textId="77777777" w:rsidR="00FB47C5" w:rsidRDefault="00FB47C5" w:rsidP="000D7864">
      <w:pPr>
        <w:pStyle w:val="BodyTextMain"/>
      </w:pPr>
    </w:p>
    <w:p w14:paraId="331D5887" w14:textId="44F84019" w:rsidR="00A7312E" w:rsidRDefault="00A7312E" w:rsidP="006F1951">
      <w:pPr>
        <w:pStyle w:val="BodyTextMain"/>
      </w:pPr>
      <w:r w:rsidRPr="00327A07">
        <w:rPr>
          <w:i/>
          <w:iCs/>
        </w:rPr>
        <w:t>Option A</w:t>
      </w:r>
      <w:r>
        <w:t xml:space="preserve">: </w:t>
      </w:r>
      <w:proofErr w:type="spellStart"/>
      <w:r w:rsidR="008E59B5">
        <w:t>Saregama</w:t>
      </w:r>
      <w:proofErr w:type="spellEnd"/>
      <w:r w:rsidR="003E51A3" w:rsidRPr="00995009">
        <w:t xml:space="preserve"> could continue to follow the traditional B2B model where the music company directly produce</w:t>
      </w:r>
      <w:r w:rsidRPr="00995009">
        <w:t>d</w:t>
      </w:r>
      <w:r w:rsidR="003E51A3" w:rsidRPr="00995009">
        <w:t xml:space="preserve"> or procure</w:t>
      </w:r>
      <w:r w:rsidRPr="00995009">
        <w:t>d</w:t>
      </w:r>
      <w:r w:rsidR="003E51A3" w:rsidRPr="00995009">
        <w:t xml:space="preserve"> </w:t>
      </w:r>
      <w:r w:rsidR="00BC7DC7">
        <w:t xml:space="preserve">rights to </w:t>
      </w:r>
      <w:r w:rsidRPr="00995009">
        <w:t>film as we</w:t>
      </w:r>
      <w:r w:rsidR="003E51A3" w:rsidRPr="00995009">
        <w:t>ll as non-film music</w:t>
      </w:r>
      <w:r w:rsidRPr="00995009">
        <w:t xml:space="preserve"> and</w:t>
      </w:r>
      <w:r w:rsidR="003E51A3" w:rsidRPr="00995009">
        <w:t xml:space="preserve"> distribute</w:t>
      </w:r>
      <w:r w:rsidRPr="00995009">
        <w:t>d the</w:t>
      </w:r>
      <w:r w:rsidR="0011014A">
        <w:t>m</w:t>
      </w:r>
      <w:r w:rsidRPr="00995009">
        <w:t xml:space="preserve"> </w:t>
      </w:r>
      <w:r w:rsidR="003E51A3" w:rsidRPr="00995009">
        <w:t xml:space="preserve">through </w:t>
      </w:r>
      <w:r w:rsidR="008E59B5">
        <w:t>the company’s</w:t>
      </w:r>
      <w:r w:rsidR="008E59B5" w:rsidRPr="00995009">
        <w:t xml:space="preserve"> </w:t>
      </w:r>
      <w:r w:rsidRPr="00995009">
        <w:t xml:space="preserve">well-established </w:t>
      </w:r>
      <w:r w:rsidR="003E51A3" w:rsidRPr="00995009">
        <w:t>distributor network</w:t>
      </w:r>
      <w:r w:rsidR="008E59B5">
        <w:t xml:space="preserve">. This included </w:t>
      </w:r>
      <w:r w:rsidR="003E51A3" w:rsidRPr="00995009">
        <w:t xml:space="preserve">distribution through various </w:t>
      </w:r>
      <w:r w:rsidR="008E59B5">
        <w:t>I</w:t>
      </w:r>
      <w:r w:rsidR="003E51A3" w:rsidRPr="00995009">
        <w:t>nternet</w:t>
      </w:r>
      <w:r w:rsidR="008E59B5">
        <w:t xml:space="preserve">-based </w:t>
      </w:r>
      <w:r w:rsidR="003E51A3" w:rsidRPr="00995009">
        <w:t xml:space="preserve">media channels and apps. </w:t>
      </w:r>
      <w:r w:rsidR="0011014A">
        <w:t>Could this</w:t>
      </w:r>
      <w:r w:rsidR="006F1951" w:rsidRPr="004974C1">
        <w:t xml:space="preserve"> </w:t>
      </w:r>
      <w:r w:rsidR="00ED5A5A">
        <w:t xml:space="preserve">pure </w:t>
      </w:r>
      <w:r w:rsidR="006F1951" w:rsidRPr="004974C1">
        <w:t>content and IP acquisition focus</w:t>
      </w:r>
      <w:r w:rsidR="00ED5A5A">
        <w:t>, independent of the platform business</w:t>
      </w:r>
      <w:r w:rsidR="008E59B5">
        <w:t>,</w:t>
      </w:r>
      <w:r w:rsidR="006F1951" w:rsidRPr="004974C1">
        <w:t xml:space="preserve"> </w:t>
      </w:r>
      <w:r w:rsidR="00ED5A5A">
        <w:t xml:space="preserve">bring </w:t>
      </w:r>
      <w:proofErr w:type="spellStart"/>
      <w:r w:rsidR="00ED5A5A">
        <w:t>Saregama</w:t>
      </w:r>
      <w:proofErr w:type="spellEnd"/>
      <w:r w:rsidR="00ED5A5A">
        <w:t xml:space="preserve"> back to a formidable growth track</w:t>
      </w:r>
      <w:r w:rsidR="00BC7DC7">
        <w:t>,</w:t>
      </w:r>
      <w:r w:rsidR="0011014A">
        <w:t xml:space="preserve"> </w:t>
      </w:r>
      <w:r w:rsidR="006F1951" w:rsidRPr="004974C1">
        <w:t>or was it too conservative?</w:t>
      </w:r>
    </w:p>
    <w:p w14:paraId="3B64F52A" w14:textId="77777777" w:rsidR="00A7312E" w:rsidRDefault="00A7312E" w:rsidP="000D7864">
      <w:pPr>
        <w:pStyle w:val="BodyTextMain"/>
      </w:pPr>
    </w:p>
    <w:p w14:paraId="4D554E87" w14:textId="4C6127B2" w:rsidR="00A7312E" w:rsidRDefault="00A7312E" w:rsidP="000D7864">
      <w:pPr>
        <w:pStyle w:val="BodyTextMain"/>
      </w:pPr>
      <w:r w:rsidRPr="00327A07">
        <w:rPr>
          <w:i/>
          <w:iCs/>
        </w:rPr>
        <w:t>Option B</w:t>
      </w:r>
      <w:r>
        <w:t xml:space="preserve">: </w:t>
      </w:r>
      <w:proofErr w:type="spellStart"/>
      <w:r w:rsidR="008E59B5">
        <w:t>Saregama</w:t>
      </w:r>
      <w:proofErr w:type="spellEnd"/>
      <w:r w:rsidR="0049332D">
        <w:t xml:space="preserve"> could stretch into its newly-</w:t>
      </w:r>
      <w:r w:rsidR="003E51A3" w:rsidRPr="00995009">
        <w:t xml:space="preserve">found space in the B2C markets with more innovative variants of </w:t>
      </w:r>
      <w:r w:rsidR="00BC7DC7">
        <w:t xml:space="preserve">the </w:t>
      </w:r>
      <w:proofErr w:type="spellStart"/>
      <w:r w:rsidR="003E51A3" w:rsidRPr="00995009">
        <w:t>Carvaan</w:t>
      </w:r>
      <w:proofErr w:type="spellEnd"/>
      <w:r w:rsidR="00BC7DC7" w:rsidRPr="00BC7DC7">
        <w:t xml:space="preserve"> </w:t>
      </w:r>
      <w:r w:rsidR="00BC7DC7" w:rsidRPr="00995009">
        <w:t>product</w:t>
      </w:r>
      <w:r w:rsidR="003E51A3" w:rsidRPr="00995009">
        <w:t>.</w:t>
      </w:r>
      <w:r w:rsidR="003E51A3">
        <w:t xml:space="preserve"> </w:t>
      </w:r>
      <w:r>
        <w:t xml:space="preserve">This was an interesting opportunity </w:t>
      </w:r>
      <w:r w:rsidR="006A3CFB">
        <w:t xml:space="preserve">if </w:t>
      </w:r>
      <w:r>
        <w:t xml:space="preserve">the firm could </w:t>
      </w:r>
      <w:r w:rsidR="006A3CFB">
        <w:t>produce</w:t>
      </w:r>
      <w:r>
        <w:t xml:space="preserve"> more portable and digitally innovative product variants.</w:t>
      </w:r>
      <w:r w:rsidR="000D7864" w:rsidRPr="000D7864">
        <w:t xml:space="preserve"> </w:t>
      </w:r>
    </w:p>
    <w:p w14:paraId="6C33EDF7" w14:textId="77777777" w:rsidR="00A67A64" w:rsidRDefault="00A67A64" w:rsidP="000D7864">
      <w:pPr>
        <w:pStyle w:val="BodyTextMain"/>
      </w:pPr>
    </w:p>
    <w:p w14:paraId="2003ECF1" w14:textId="17C178A8" w:rsidR="00907684" w:rsidRDefault="00A7312E" w:rsidP="00AA0758">
      <w:pPr>
        <w:pStyle w:val="BodyTextMain"/>
      </w:pPr>
      <w:proofErr w:type="spellStart"/>
      <w:r w:rsidRPr="00AA0758">
        <w:rPr>
          <w:spacing w:val="-4"/>
        </w:rPr>
        <w:t>Mehra</w:t>
      </w:r>
      <w:proofErr w:type="spellEnd"/>
      <w:r w:rsidRPr="00AA0758">
        <w:rPr>
          <w:spacing w:val="-4"/>
        </w:rPr>
        <w:t xml:space="preserve"> also wondered whether he needed to draw </w:t>
      </w:r>
      <w:r w:rsidR="000D7864" w:rsidRPr="00AA0758">
        <w:rPr>
          <w:spacing w:val="-4"/>
        </w:rPr>
        <w:t>phased business plans</w:t>
      </w:r>
      <w:r w:rsidR="006A3CFB" w:rsidRPr="00AA0758">
        <w:rPr>
          <w:spacing w:val="-4"/>
        </w:rPr>
        <w:t>—</w:t>
      </w:r>
      <w:r w:rsidRPr="00AA0758">
        <w:rPr>
          <w:spacing w:val="-4"/>
        </w:rPr>
        <w:t>move into one segment and then the other</w:t>
      </w:r>
      <w:r w:rsidR="006A3CFB" w:rsidRPr="00AA0758">
        <w:rPr>
          <w:spacing w:val="-4"/>
        </w:rPr>
        <w:t>—</w:t>
      </w:r>
      <w:r w:rsidRPr="00AA0758">
        <w:rPr>
          <w:spacing w:val="-4"/>
        </w:rPr>
        <w:t>or explore both the B2B and B2C opportunities simultaneously</w:t>
      </w:r>
      <w:r w:rsidR="006179A3" w:rsidRPr="00AA0758">
        <w:rPr>
          <w:spacing w:val="-4"/>
        </w:rPr>
        <w:t xml:space="preserve">. </w:t>
      </w:r>
      <w:r w:rsidR="006A3CFB" w:rsidRPr="00AA0758">
        <w:rPr>
          <w:spacing w:val="-4"/>
        </w:rPr>
        <w:t xml:space="preserve">He saw a vast </w:t>
      </w:r>
      <w:r w:rsidR="000D7864" w:rsidRPr="00AA0758">
        <w:rPr>
          <w:spacing w:val="-4"/>
        </w:rPr>
        <w:t>range of possibilities and combination</w:t>
      </w:r>
      <w:r w:rsidR="006A3CFB" w:rsidRPr="00AA0758">
        <w:rPr>
          <w:spacing w:val="-4"/>
        </w:rPr>
        <w:t>s</w:t>
      </w:r>
      <w:r w:rsidR="000D7864" w:rsidRPr="00AA0758">
        <w:rPr>
          <w:spacing w:val="-4"/>
        </w:rPr>
        <w:t xml:space="preserve"> of actionable option</w:t>
      </w:r>
      <w:r w:rsidR="006A3CFB" w:rsidRPr="00AA0758">
        <w:rPr>
          <w:spacing w:val="-4"/>
        </w:rPr>
        <w:t>s. T</w:t>
      </w:r>
      <w:r w:rsidR="000D7864" w:rsidRPr="00AA0758">
        <w:rPr>
          <w:spacing w:val="-4"/>
        </w:rPr>
        <w:t>he question was</w:t>
      </w:r>
      <w:r w:rsidR="006179A3" w:rsidRPr="00AA0758">
        <w:rPr>
          <w:spacing w:val="-4"/>
        </w:rPr>
        <w:t>,</w:t>
      </w:r>
      <w:r w:rsidR="000D7864" w:rsidRPr="00AA0758">
        <w:rPr>
          <w:spacing w:val="-4"/>
        </w:rPr>
        <w:t xml:space="preserve"> </w:t>
      </w:r>
      <w:proofErr w:type="gramStart"/>
      <w:r w:rsidR="006179A3" w:rsidRPr="00AA0758">
        <w:rPr>
          <w:spacing w:val="-4"/>
        </w:rPr>
        <w:t>How</w:t>
      </w:r>
      <w:proofErr w:type="gramEnd"/>
      <w:r w:rsidR="006179A3" w:rsidRPr="00AA0758">
        <w:rPr>
          <w:spacing w:val="-4"/>
        </w:rPr>
        <w:t xml:space="preserve"> should </w:t>
      </w:r>
      <w:proofErr w:type="spellStart"/>
      <w:r w:rsidR="000D7864" w:rsidRPr="00AA0758">
        <w:rPr>
          <w:spacing w:val="-4"/>
        </w:rPr>
        <w:t>Saregama</w:t>
      </w:r>
      <w:proofErr w:type="spellEnd"/>
      <w:r w:rsidR="000D7864" w:rsidRPr="00AA0758">
        <w:rPr>
          <w:spacing w:val="-4"/>
        </w:rPr>
        <w:t xml:space="preserve"> strike the right notes</w:t>
      </w:r>
      <w:r w:rsidR="006179A3" w:rsidRPr="00AA0758">
        <w:rPr>
          <w:spacing w:val="-4"/>
        </w:rPr>
        <w:t>?</w:t>
      </w:r>
      <w:r w:rsidR="00907684">
        <w:br w:type="page"/>
      </w:r>
    </w:p>
    <w:p w14:paraId="2F725718" w14:textId="77777777" w:rsidR="00DE2BA0" w:rsidRDefault="009A2813" w:rsidP="009A2813">
      <w:pPr>
        <w:pStyle w:val="ExhibitHeading"/>
      </w:pPr>
      <w:r w:rsidRPr="00412821">
        <w:lastRenderedPageBreak/>
        <w:t>Exhibit 1</w:t>
      </w:r>
      <w:r w:rsidR="00DE2BA0">
        <w:t>: Media and Entertainment Industry in India</w:t>
      </w:r>
    </w:p>
    <w:p w14:paraId="1C134B09" w14:textId="77777777" w:rsidR="00DE2BA0" w:rsidRDefault="00DE2BA0" w:rsidP="00327A07">
      <w:pPr>
        <w:pStyle w:val="ExhibitText"/>
      </w:pPr>
    </w:p>
    <w:p w14:paraId="70F3BDC0" w14:textId="17320026" w:rsidR="009A2813" w:rsidRDefault="00DE2BA0" w:rsidP="00327A07">
      <w:pPr>
        <w:pStyle w:val="Casehead2"/>
      </w:pPr>
      <w:r>
        <w:t xml:space="preserve">(a) </w:t>
      </w:r>
      <w:r w:rsidR="0049456F">
        <w:t xml:space="preserve">Percentage </w:t>
      </w:r>
      <w:r>
        <w:t>S</w:t>
      </w:r>
      <w:r w:rsidR="0049456F">
        <w:t xml:space="preserve">hare of </w:t>
      </w:r>
      <w:r>
        <w:t>Media</w:t>
      </w:r>
      <w:r w:rsidRPr="00412821">
        <w:t xml:space="preserve"> </w:t>
      </w:r>
      <w:r w:rsidR="00DA3525">
        <w:t>and</w:t>
      </w:r>
      <w:r w:rsidR="00DA3525" w:rsidRPr="00412821">
        <w:t xml:space="preserve"> </w:t>
      </w:r>
      <w:r>
        <w:t>Entertainment S</w:t>
      </w:r>
      <w:r w:rsidR="0049456F">
        <w:t>ub-</w:t>
      </w:r>
      <w:r>
        <w:t>S</w:t>
      </w:r>
      <w:r w:rsidR="0049456F">
        <w:t xml:space="preserve">ectors </w:t>
      </w:r>
      <w:r w:rsidR="009A2813" w:rsidRPr="00412821">
        <w:t>(201</w:t>
      </w:r>
      <w:r w:rsidR="0049456F">
        <w:t>6)</w:t>
      </w:r>
    </w:p>
    <w:p w14:paraId="2C956DC5" w14:textId="58C5B8B7" w:rsidR="009A2813" w:rsidRDefault="009A2813" w:rsidP="00B52404">
      <w:pPr>
        <w:pStyle w:val="ExhibitText"/>
      </w:pPr>
    </w:p>
    <w:p w14:paraId="344C218B" w14:textId="0697BBCD" w:rsidR="00676402" w:rsidRDefault="00676402" w:rsidP="00676402">
      <w:pPr>
        <w:pStyle w:val="ExhibitText"/>
        <w:jc w:val="center"/>
      </w:pPr>
      <w:r>
        <w:rPr>
          <w:noProof/>
          <w:lang w:val="en-CA" w:eastAsia="en-CA"/>
        </w:rPr>
        <w:drawing>
          <wp:inline distT="0" distB="0" distL="0" distR="0" wp14:anchorId="060C6657" wp14:editId="615F6FB0">
            <wp:extent cx="5725236" cy="2354239"/>
            <wp:effectExtent l="0" t="0" r="8890" b="825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F93060B" w14:textId="77777777" w:rsidR="00676402" w:rsidRDefault="00676402" w:rsidP="00B52404">
      <w:pPr>
        <w:pStyle w:val="ExhibitText"/>
      </w:pPr>
    </w:p>
    <w:p w14:paraId="43F6A11C" w14:textId="77777777" w:rsidR="009D0C91" w:rsidRDefault="009D0C91">
      <w:pPr>
        <w:pStyle w:val="ExhibitText"/>
      </w:pPr>
    </w:p>
    <w:p w14:paraId="7E1DC849" w14:textId="4B44428F" w:rsidR="009A2813" w:rsidRDefault="00DE2BA0" w:rsidP="00327A07">
      <w:pPr>
        <w:pStyle w:val="Casehead2"/>
      </w:pPr>
      <w:r>
        <w:t xml:space="preserve">(b) </w:t>
      </w:r>
      <w:r w:rsidR="0049456F">
        <w:t>Growth</w:t>
      </w:r>
      <w:r w:rsidR="00DA3525">
        <w:t xml:space="preserve">, </w:t>
      </w:r>
      <w:r>
        <w:t>C</w:t>
      </w:r>
      <w:r w:rsidR="00D668F9">
        <w:t xml:space="preserve">urrent </w:t>
      </w:r>
      <w:r w:rsidR="00DA3525">
        <w:t xml:space="preserve">and </w:t>
      </w:r>
      <w:r>
        <w:t>Projected</w:t>
      </w:r>
      <w:r w:rsidR="00DA3525">
        <w:t xml:space="preserve">, of the </w:t>
      </w:r>
      <w:r>
        <w:t>Media</w:t>
      </w:r>
      <w:r w:rsidR="009D0C91">
        <w:t xml:space="preserve"> </w:t>
      </w:r>
      <w:r w:rsidR="00DA3525">
        <w:t xml:space="preserve">and </w:t>
      </w:r>
      <w:r>
        <w:t>Entertainment</w:t>
      </w:r>
      <w:r w:rsidRPr="00412821">
        <w:t xml:space="preserve"> </w:t>
      </w:r>
      <w:r>
        <w:t>I</w:t>
      </w:r>
      <w:r w:rsidR="0049456F">
        <w:t>ndustry</w:t>
      </w:r>
      <w:r w:rsidR="005022FE">
        <w:t xml:space="preserve"> </w:t>
      </w:r>
    </w:p>
    <w:p w14:paraId="497A5430" w14:textId="77777777" w:rsidR="00A13A3B" w:rsidRDefault="00A13A3B" w:rsidP="00A13A3B">
      <w:pPr>
        <w:pStyle w:val="ExhibitText"/>
      </w:pPr>
    </w:p>
    <w:p w14:paraId="5799A682" w14:textId="25EF026E" w:rsidR="009A2813" w:rsidRPr="00412821" w:rsidRDefault="00AF0757" w:rsidP="00327A07">
      <w:pPr>
        <w:pStyle w:val="ExhibitText"/>
        <w:jc w:val="center"/>
      </w:pPr>
      <w:r>
        <w:rPr>
          <w:noProof/>
          <w:lang w:val="en-CA" w:eastAsia="en-CA"/>
        </w:rPr>
        <w:drawing>
          <wp:inline distT="0" distB="0" distL="0" distR="0" wp14:anchorId="5D3D0981" wp14:editId="5FE824DB">
            <wp:extent cx="5738751" cy="3794078"/>
            <wp:effectExtent l="0" t="0" r="14605" b="165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C95AB29" w14:textId="4844FB15" w:rsidR="009A2813" w:rsidRPr="008E5183" w:rsidRDefault="009A2813" w:rsidP="009D0C91">
      <w:pPr>
        <w:pStyle w:val="ExhibitText"/>
      </w:pPr>
    </w:p>
    <w:p w14:paraId="094332FF" w14:textId="05AEF5F5" w:rsidR="002B1447" w:rsidRDefault="00DE2BA0" w:rsidP="00327A07">
      <w:pPr>
        <w:pStyle w:val="Footnote"/>
        <w:rPr>
          <w:spacing w:val="-4"/>
        </w:rPr>
      </w:pPr>
      <w:r w:rsidRPr="005022FE">
        <w:rPr>
          <w:rFonts w:eastAsia="Calibri"/>
        </w:rPr>
        <w:t xml:space="preserve">Source: </w:t>
      </w:r>
      <w:r>
        <w:rPr>
          <w:rFonts w:eastAsia="Calibri"/>
        </w:rPr>
        <w:t>Created by the case authors b</w:t>
      </w:r>
      <w:r w:rsidRPr="005022FE">
        <w:rPr>
          <w:rFonts w:eastAsia="Calibri"/>
        </w:rPr>
        <w:t xml:space="preserve">ased </w:t>
      </w:r>
      <w:r>
        <w:rPr>
          <w:rFonts w:eastAsia="Calibri"/>
        </w:rPr>
        <w:t>o</w:t>
      </w:r>
      <w:r w:rsidRPr="005022FE">
        <w:rPr>
          <w:rFonts w:eastAsia="Calibri"/>
        </w:rPr>
        <w:t xml:space="preserve">n </w:t>
      </w:r>
      <w:r w:rsidRPr="00B67D2A">
        <w:rPr>
          <w:spacing w:val="-4"/>
        </w:rPr>
        <w:t xml:space="preserve">“The State of the Media and Entertainment Sector in India,” Live Mint, October 23, 2017, accessed May 6, 2018, </w:t>
      </w:r>
      <w:r w:rsidRPr="00143D60">
        <w:rPr>
          <w:spacing w:val="-4"/>
        </w:rPr>
        <w:t>www.livemint.com/Consumer/Gd1QhKIlEb6kotghQ0ameK/The-state-of-the-media-and-entertainment-sector-in-India.html</w:t>
      </w:r>
      <w:r>
        <w:rPr>
          <w:spacing w:val="-4"/>
        </w:rPr>
        <w:t>.</w:t>
      </w:r>
      <w:r w:rsidR="002B1447">
        <w:rPr>
          <w:spacing w:val="-4"/>
        </w:rPr>
        <w:br w:type="page"/>
      </w:r>
    </w:p>
    <w:p w14:paraId="03B388D6" w14:textId="5FE7EF11" w:rsidR="009A2813" w:rsidRDefault="009A2813" w:rsidP="00E117D9">
      <w:pPr>
        <w:pStyle w:val="ExhibitHeading"/>
        <w:rPr>
          <w:rFonts w:eastAsiaTheme="minorEastAsia"/>
        </w:rPr>
      </w:pPr>
      <w:r>
        <w:rPr>
          <w:rFonts w:eastAsiaTheme="minorEastAsia"/>
        </w:rPr>
        <w:lastRenderedPageBreak/>
        <w:t xml:space="preserve">Exhibit </w:t>
      </w:r>
      <w:r w:rsidRPr="003C6EDD">
        <w:rPr>
          <w:rFonts w:eastAsiaTheme="minorEastAsia"/>
        </w:rPr>
        <w:t xml:space="preserve">2: THE MEDIA AND ENTERTAINMENT </w:t>
      </w:r>
      <w:r w:rsidRPr="00E117D9">
        <w:rPr>
          <w:rFonts w:eastAsiaTheme="minorEastAsia"/>
        </w:rPr>
        <w:t>INDUSTRY</w:t>
      </w:r>
      <w:r w:rsidRPr="003C6EDD">
        <w:rPr>
          <w:rFonts w:eastAsiaTheme="minorEastAsia"/>
        </w:rPr>
        <w:t xml:space="preserve"> IN INDIA</w:t>
      </w:r>
    </w:p>
    <w:p w14:paraId="1995226E" w14:textId="77777777" w:rsidR="009A2813" w:rsidRPr="00201D06" w:rsidRDefault="009A2813" w:rsidP="00497261">
      <w:pPr>
        <w:pStyle w:val="ExhibitText"/>
        <w:rPr>
          <w:rFonts w:eastAsiaTheme="minorEastAsia"/>
        </w:rPr>
      </w:pPr>
    </w:p>
    <w:p w14:paraId="0956A1A4" w14:textId="49A44187" w:rsidR="009A2813" w:rsidRPr="00201D06" w:rsidRDefault="006E5F69" w:rsidP="00497261">
      <w:pPr>
        <w:pStyle w:val="ExhibitText"/>
        <w:rPr>
          <w:rStyle w:val="Casehead1Char"/>
          <w:rFonts w:eastAsiaTheme="minorEastAsia"/>
          <w:b w:val="0"/>
          <w:caps w:val="0"/>
          <w:spacing w:val="-4"/>
        </w:rPr>
      </w:pPr>
      <w:r w:rsidRPr="00201D06">
        <w:rPr>
          <w:rFonts w:eastAsiaTheme="minorEastAsia"/>
          <w:spacing w:val="-4"/>
        </w:rPr>
        <w:t>The most interesting and unifying form of entertainment, irrespective of consumer demographics or</w:t>
      </w:r>
      <w:r w:rsidRPr="00201D06">
        <w:rPr>
          <w:rStyle w:val="BodyTextMainChar"/>
          <w:rFonts w:ascii="Arial" w:eastAsiaTheme="minorEastAsia" w:hAnsi="Arial" w:cs="Arial"/>
          <w:spacing w:val="-4"/>
        </w:rPr>
        <w:t xml:space="preserve"> </w:t>
      </w:r>
      <w:r w:rsidRPr="00201D06">
        <w:rPr>
          <w:rFonts w:eastAsiaTheme="minorEastAsia"/>
          <w:spacing w:val="-4"/>
        </w:rPr>
        <w:t xml:space="preserve">medium, was music. </w:t>
      </w:r>
      <w:r w:rsidR="00FC091F" w:rsidRPr="00201D06">
        <w:rPr>
          <w:rFonts w:eastAsiaTheme="minorEastAsia"/>
          <w:spacing w:val="-4"/>
        </w:rPr>
        <w:t xml:space="preserve">However, </w:t>
      </w:r>
      <w:r w:rsidR="00FC091F" w:rsidRPr="00201D06">
        <w:rPr>
          <w:spacing w:val="-4"/>
        </w:rPr>
        <w:t>the</w:t>
      </w:r>
      <w:r w:rsidR="009A2813" w:rsidRPr="00201D06">
        <w:rPr>
          <w:spacing w:val="-4"/>
        </w:rPr>
        <w:t xml:space="preserve"> </w:t>
      </w:r>
      <w:r w:rsidR="002B1447" w:rsidRPr="00201D06">
        <w:rPr>
          <w:spacing w:val="-4"/>
        </w:rPr>
        <w:t>m</w:t>
      </w:r>
      <w:r w:rsidR="009A2813" w:rsidRPr="00201D06">
        <w:rPr>
          <w:spacing w:val="-4"/>
        </w:rPr>
        <w:t xml:space="preserve">edia and entertainment </w:t>
      </w:r>
      <w:r w:rsidR="002B1447" w:rsidRPr="00201D06">
        <w:rPr>
          <w:spacing w:val="-4"/>
        </w:rPr>
        <w:t>i</w:t>
      </w:r>
      <w:r w:rsidR="009A2813" w:rsidRPr="00201D06">
        <w:rPr>
          <w:spacing w:val="-4"/>
        </w:rPr>
        <w:t xml:space="preserve">ndustry in India was predicted </w:t>
      </w:r>
      <w:r w:rsidR="00D668F9" w:rsidRPr="00201D06">
        <w:rPr>
          <w:spacing w:val="-4"/>
        </w:rPr>
        <w:t>to experience a tectonic shift</w:t>
      </w:r>
      <w:r w:rsidR="009E68D3" w:rsidRPr="00201D06">
        <w:rPr>
          <w:spacing w:val="-4"/>
        </w:rPr>
        <w:t>. Between 1</w:t>
      </w:r>
      <w:r w:rsidR="00B75957" w:rsidRPr="00201D06">
        <w:rPr>
          <w:spacing w:val="-4"/>
        </w:rPr>
        <w:t>.0</w:t>
      </w:r>
      <w:r w:rsidR="009E68D3" w:rsidRPr="00201D06">
        <w:rPr>
          <w:spacing w:val="-4"/>
        </w:rPr>
        <w:t xml:space="preserve"> and 1.5 million customers had already moved entirely </w:t>
      </w:r>
      <w:proofErr w:type="gramStart"/>
      <w:r w:rsidR="009E68D3" w:rsidRPr="00201D06">
        <w:rPr>
          <w:spacing w:val="-4"/>
        </w:rPr>
        <w:t>to</w:t>
      </w:r>
      <w:proofErr w:type="gramEnd"/>
      <w:r w:rsidR="009E68D3" w:rsidRPr="00201D06">
        <w:rPr>
          <w:spacing w:val="-4"/>
        </w:rPr>
        <w:t xml:space="preserve"> digital media consumption</w:t>
      </w:r>
      <w:r w:rsidR="00B75957" w:rsidRPr="00201D06">
        <w:rPr>
          <w:spacing w:val="-4"/>
        </w:rPr>
        <w:t>,</w:t>
      </w:r>
      <w:r w:rsidR="009E68D3" w:rsidRPr="00201D06">
        <w:rPr>
          <w:spacing w:val="-4"/>
        </w:rPr>
        <w:t xml:space="preserve"> and</w:t>
      </w:r>
      <w:r w:rsidR="002B1447" w:rsidRPr="00201D06">
        <w:rPr>
          <w:spacing w:val="-4"/>
        </w:rPr>
        <w:t xml:space="preserve"> </w:t>
      </w:r>
      <w:r w:rsidR="009A2813" w:rsidRPr="00201D06">
        <w:rPr>
          <w:rFonts w:eastAsiaTheme="minorEastAsia"/>
          <w:spacing w:val="-4"/>
        </w:rPr>
        <w:t xml:space="preserve">an estimated 4 million Indians </w:t>
      </w:r>
      <w:r w:rsidR="002B1447" w:rsidRPr="00201D06">
        <w:rPr>
          <w:rFonts w:eastAsiaTheme="minorEastAsia"/>
          <w:spacing w:val="-4"/>
        </w:rPr>
        <w:t xml:space="preserve">were expected to </w:t>
      </w:r>
      <w:r w:rsidR="009E68D3" w:rsidRPr="00201D06">
        <w:rPr>
          <w:rFonts w:eastAsiaTheme="minorEastAsia"/>
          <w:spacing w:val="-4"/>
        </w:rPr>
        <w:t xml:space="preserve">be </w:t>
      </w:r>
      <w:r w:rsidR="00B75957" w:rsidRPr="00201D06">
        <w:rPr>
          <w:rFonts w:eastAsiaTheme="minorEastAsia"/>
          <w:spacing w:val="-4"/>
        </w:rPr>
        <w:t>digital-</w:t>
      </w:r>
      <w:r w:rsidR="009E68D3" w:rsidRPr="00201D06">
        <w:rPr>
          <w:rFonts w:eastAsiaTheme="minorEastAsia"/>
          <w:spacing w:val="-4"/>
        </w:rPr>
        <w:t>only consumers</w:t>
      </w:r>
      <w:r w:rsidR="009A2813" w:rsidRPr="00201D06">
        <w:rPr>
          <w:rFonts w:eastAsiaTheme="minorEastAsia"/>
          <w:spacing w:val="-4"/>
        </w:rPr>
        <w:t xml:space="preserve"> by 2020. </w:t>
      </w:r>
      <w:r w:rsidR="00B75957" w:rsidRPr="00201D06">
        <w:rPr>
          <w:rStyle w:val="Casehead1Char"/>
          <w:rFonts w:eastAsiaTheme="minorEastAsia"/>
          <w:b w:val="0"/>
          <w:caps w:val="0"/>
          <w:spacing w:val="-4"/>
        </w:rPr>
        <w:t>Over-the-top (</w:t>
      </w:r>
      <w:r w:rsidR="009A2813" w:rsidRPr="00201D06">
        <w:rPr>
          <w:rStyle w:val="Casehead1Char"/>
          <w:rFonts w:eastAsiaTheme="minorEastAsia"/>
          <w:b w:val="0"/>
          <w:caps w:val="0"/>
          <w:spacing w:val="-4"/>
        </w:rPr>
        <w:t xml:space="preserve">OTT) platforms such as Netflix, </w:t>
      </w:r>
      <w:proofErr w:type="spellStart"/>
      <w:r w:rsidR="009A2813" w:rsidRPr="00201D06">
        <w:rPr>
          <w:rStyle w:val="Casehead1Char"/>
          <w:rFonts w:eastAsiaTheme="minorEastAsia"/>
          <w:b w:val="0"/>
          <w:caps w:val="0"/>
          <w:spacing w:val="-4"/>
        </w:rPr>
        <w:t>Hotstar</w:t>
      </w:r>
      <w:proofErr w:type="spellEnd"/>
      <w:r w:rsidR="002B1447" w:rsidRPr="00201D06">
        <w:rPr>
          <w:rStyle w:val="Casehead1Char"/>
          <w:rFonts w:eastAsiaTheme="minorEastAsia"/>
          <w:b w:val="0"/>
          <w:caps w:val="0"/>
          <w:spacing w:val="-4"/>
        </w:rPr>
        <w:t>,</w:t>
      </w:r>
      <w:r w:rsidR="009A2813" w:rsidRPr="00201D06">
        <w:rPr>
          <w:rStyle w:val="Casehead1Char"/>
          <w:rFonts w:eastAsiaTheme="minorEastAsia"/>
          <w:b w:val="0"/>
          <w:caps w:val="0"/>
          <w:spacing w:val="-4"/>
        </w:rPr>
        <w:t xml:space="preserve"> and Amazon </w:t>
      </w:r>
      <w:r w:rsidR="002B1447" w:rsidRPr="00201D06">
        <w:rPr>
          <w:rStyle w:val="Casehead1Char"/>
          <w:rFonts w:eastAsiaTheme="minorEastAsia"/>
          <w:b w:val="0"/>
          <w:caps w:val="0"/>
          <w:spacing w:val="-4"/>
        </w:rPr>
        <w:t>P</w:t>
      </w:r>
      <w:r w:rsidR="009A2813" w:rsidRPr="00201D06">
        <w:rPr>
          <w:rStyle w:val="Casehead1Char"/>
          <w:rFonts w:eastAsiaTheme="minorEastAsia"/>
          <w:b w:val="0"/>
          <w:caps w:val="0"/>
          <w:spacing w:val="-4"/>
        </w:rPr>
        <w:t>rime</w:t>
      </w:r>
      <w:r w:rsidR="002B1447" w:rsidRPr="00201D06">
        <w:rPr>
          <w:rStyle w:val="Casehead1Char"/>
          <w:rFonts w:eastAsiaTheme="minorEastAsia"/>
          <w:b w:val="0"/>
          <w:caps w:val="0"/>
          <w:spacing w:val="-4"/>
        </w:rPr>
        <w:t xml:space="preserve"> were another fast emerging favoured entertainment channel. </w:t>
      </w:r>
      <w:r w:rsidR="009A2813" w:rsidRPr="00201D06">
        <w:rPr>
          <w:rStyle w:val="Casehead1Char"/>
          <w:rFonts w:eastAsiaTheme="minorEastAsia"/>
          <w:b w:val="0"/>
          <w:caps w:val="0"/>
          <w:spacing w:val="-4"/>
        </w:rPr>
        <w:t>This was predicted to be the fastest growing platform</w:t>
      </w:r>
      <w:r w:rsidR="00166D63" w:rsidRPr="00201D06">
        <w:rPr>
          <w:rStyle w:val="Casehead1Char"/>
          <w:rFonts w:eastAsiaTheme="minorEastAsia"/>
          <w:b w:val="0"/>
          <w:caps w:val="0"/>
          <w:spacing w:val="-4"/>
        </w:rPr>
        <w:t>,</w:t>
      </w:r>
      <w:r w:rsidR="009A2813" w:rsidRPr="00201D06">
        <w:rPr>
          <w:rStyle w:val="Casehead1Char"/>
          <w:rFonts w:eastAsiaTheme="minorEastAsia"/>
          <w:b w:val="0"/>
          <w:caps w:val="0"/>
          <w:spacing w:val="-4"/>
        </w:rPr>
        <w:t xml:space="preserve"> </w:t>
      </w:r>
      <w:r w:rsidR="002B1447" w:rsidRPr="00201D06">
        <w:rPr>
          <w:rStyle w:val="Casehead1Char"/>
          <w:rFonts w:eastAsiaTheme="minorEastAsia"/>
          <w:b w:val="0"/>
          <w:caps w:val="0"/>
          <w:spacing w:val="-4"/>
        </w:rPr>
        <w:t>with an</w:t>
      </w:r>
      <w:r w:rsidR="009A2813" w:rsidRPr="00201D06">
        <w:rPr>
          <w:rStyle w:val="Casehead1Char"/>
          <w:rFonts w:eastAsiaTheme="minorEastAsia"/>
          <w:b w:val="0"/>
          <w:caps w:val="0"/>
          <w:spacing w:val="-4"/>
        </w:rPr>
        <w:t xml:space="preserve"> expected </w:t>
      </w:r>
      <w:r w:rsidR="00FC091F" w:rsidRPr="00201D06">
        <w:rPr>
          <w:rStyle w:val="Casehead1Char"/>
          <w:rFonts w:eastAsiaTheme="minorEastAsia"/>
          <w:b w:val="0"/>
          <w:caps w:val="0"/>
          <w:spacing w:val="-4"/>
        </w:rPr>
        <w:t xml:space="preserve">revenue </w:t>
      </w:r>
      <w:r w:rsidR="002B1447" w:rsidRPr="00201D06">
        <w:rPr>
          <w:rStyle w:val="Casehead1Char"/>
          <w:rFonts w:eastAsiaTheme="minorEastAsia"/>
          <w:b w:val="0"/>
          <w:caps w:val="0"/>
          <w:spacing w:val="-4"/>
        </w:rPr>
        <w:t xml:space="preserve">from </w:t>
      </w:r>
      <w:r w:rsidR="009A2813" w:rsidRPr="00201D06">
        <w:rPr>
          <w:rStyle w:val="Casehead1Char"/>
          <w:rFonts w:eastAsiaTheme="minorEastAsia"/>
          <w:b w:val="0"/>
          <w:caps w:val="0"/>
          <w:spacing w:val="-4"/>
        </w:rPr>
        <w:t>OTT subscription</w:t>
      </w:r>
      <w:r w:rsidR="002B1447" w:rsidRPr="00201D06">
        <w:rPr>
          <w:rStyle w:val="Casehead1Char"/>
          <w:rFonts w:eastAsiaTheme="minorEastAsia"/>
          <w:b w:val="0"/>
          <w:caps w:val="0"/>
          <w:spacing w:val="-4"/>
        </w:rPr>
        <w:t>s</w:t>
      </w:r>
      <w:r w:rsidR="009A2813" w:rsidRPr="00201D06">
        <w:rPr>
          <w:rStyle w:val="Casehead1Char"/>
          <w:rFonts w:eastAsiaTheme="minorEastAsia"/>
          <w:b w:val="0"/>
          <w:caps w:val="0"/>
          <w:spacing w:val="-4"/>
        </w:rPr>
        <w:t xml:space="preserve"> </w:t>
      </w:r>
      <w:r w:rsidR="00FC091F" w:rsidRPr="00201D06">
        <w:rPr>
          <w:rStyle w:val="Casehead1Char"/>
          <w:rFonts w:eastAsiaTheme="minorEastAsia"/>
          <w:b w:val="0"/>
          <w:caps w:val="0"/>
          <w:spacing w:val="-4"/>
        </w:rPr>
        <w:t>reach</w:t>
      </w:r>
      <w:r w:rsidR="002B1447" w:rsidRPr="00201D06">
        <w:rPr>
          <w:rStyle w:val="Casehead1Char"/>
          <w:rFonts w:eastAsiaTheme="minorEastAsia"/>
          <w:b w:val="0"/>
          <w:caps w:val="0"/>
          <w:spacing w:val="-4"/>
        </w:rPr>
        <w:t>ing ₹</w:t>
      </w:r>
      <w:r w:rsidR="001A2061" w:rsidRPr="00201D06">
        <w:rPr>
          <w:rStyle w:val="Casehead1Char"/>
          <w:rFonts w:eastAsiaTheme="minorEastAsia"/>
          <w:b w:val="0"/>
          <w:caps w:val="0"/>
          <w:spacing w:val="-4"/>
        </w:rPr>
        <w:t>5</w:t>
      </w:r>
      <w:r w:rsidR="009A2813" w:rsidRPr="00201D06">
        <w:rPr>
          <w:rStyle w:val="Casehead1Char"/>
          <w:rFonts w:eastAsiaTheme="minorEastAsia"/>
          <w:b w:val="0"/>
          <w:caps w:val="0"/>
          <w:spacing w:val="-4"/>
        </w:rPr>
        <w:t xml:space="preserve"> billion by 202</w:t>
      </w:r>
      <w:r w:rsidR="001A2061" w:rsidRPr="00201D06">
        <w:rPr>
          <w:rStyle w:val="Casehead1Char"/>
          <w:rFonts w:eastAsiaTheme="minorEastAsia"/>
          <w:b w:val="0"/>
          <w:caps w:val="0"/>
          <w:spacing w:val="-4"/>
        </w:rPr>
        <w:t>3.</w:t>
      </w:r>
    </w:p>
    <w:p w14:paraId="5B83D596" w14:textId="77777777" w:rsidR="009A2813" w:rsidRPr="00201D06" w:rsidRDefault="009A2813">
      <w:pPr>
        <w:pStyle w:val="ExhibitText"/>
        <w:rPr>
          <w:rStyle w:val="Casehead1Char"/>
          <w:rFonts w:eastAsiaTheme="minorEastAsia"/>
          <w:b w:val="0"/>
          <w:caps w:val="0"/>
        </w:rPr>
      </w:pPr>
    </w:p>
    <w:p w14:paraId="2A8D0288" w14:textId="06D7B702" w:rsidR="00432E92" w:rsidRPr="00201D06" w:rsidRDefault="00B600FD">
      <w:pPr>
        <w:pStyle w:val="ExhibitText"/>
      </w:pPr>
      <w:r w:rsidRPr="00201D06">
        <w:rPr>
          <w:rStyle w:val="Casehead1Char"/>
          <w:rFonts w:eastAsiaTheme="minorEastAsia"/>
          <w:b w:val="0"/>
          <w:caps w:val="0"/>
        </w:rPr>
        <w:t>T</w:t>
      </w:r>
      <w:r w:rsidR="006E5F69" w:rsidRPr="00201D06">
        <w:rPr>
          <w:rStyle w:val="Casehead1Char"/>
          <w:rFonts w:eastAsiaTheme="minorEastAsia"/>
          <w:b w:val="0"/>
          <w:caps w:val="0"/>
        </w:rPr>
        <w:t>he recorded</w:t>
      </w:r>
      <w:r w:rsidR="009A2813" w:rsidRPr="00201D06">
        <w:rPr>
          <w:rStyle w:val="Casehead1Char"/>
          <w:rFonts w:eastAsiaTheme="minorEastAsia"/>
          <w:b w:val="0"/>
          <w:caps w:val="0"/>
        </w:rPr>
        <w:t xml:space="preserve"> music business </w:t>
      </w:r>
      <w:r w:rsidR="002B1447" w:rsidRPr="00201D06">
        <w:rPr>
          <w:rStyle w:val="Casehead1Char"/>
          <w:rFonts w:eastAsiaTheme="minorEastAsia"/>
          <w:b w:val="0"/>
          <w:caps w:val="0"/>
        </w:rPr>
        <w:t xml:space="preserve">in India </w:t>
      </w:r>
      <w:r w:rsidR="009A2813" w:rsidRPr="00201D06">
        <w:rPr>
          <w:rStyle w:val="Casehead1Char"/>
          <w:rFonts w:eastAsiaTheme="minorEastAsia"/>
          <w:b w:val="0"/>
          <w:caps w:val="0"/>
        </w:rPr>
        <w:t xml:space="preserve">was expected to double by 2019 to </w:t>
      </w:r>
      <w:r w:rsidR="00432E92" w:rsidRPr="00201D06">
        <w:rPr>
          <w:rStyle w:val="Casehead1Char"/>
          <w:rFonts w:eastAsiaTheme="minorEastAsia"/>
          <w:b w:val="0"/>
          <w:caps w:val="0"/>
        </w:rPr>
        <w:t>₹18.9 billion (</w:t>
      </w:r>
      <w:r w:rsidR="002B1447" w:rsidRPr="00201D06">
        <w:rPr>
          <w:rStyle w:val="Casehead1Char"/>
          <w:rFonts w:eastAsiaTheme="minorEastAsia"/>
          <w:b w:val="0"/>
          <w:caps w:val="0"/>
        </w:rPr>
        <w:t>US</w:t>
      </w:r>
      <w:r w:rsidR="009A2813" w:rsidRPr="00201D06">
        <w:rPr>
          <w:rStyle w:val="Casehead1Char"/>
          <w:rFonts w:eastAsiaTheme="minorEastAsia"/>
          <w:b w:val="0"/>
          <w:caps w:val="0"/>
        </w:rPr>
        <w:t>$300 million</w:t>
      </w:r>
      <w:r w:rsidR="00432E92" w:rsidRPr="00201D06">
        <w:rPr>
          <w:rStyle w:val="Casehead1Char"/>
          <w:rFonts w:eastAsiaTheme="minorEastAsia"/>
          <w:b w:val="0"/>
          <w:caps w:val="0"/>
        </w:rPr>
        <w:t>)</w:t>
      </w:r>
      <w:r w:rsidR="009A2813" w:rsidRPr="00201D06">
        <w:rPr>
          <w:rStyle w:val="Casehead1Char"/>
          <w:rFonts w:eastAsiaTheme="minorEastAsia"/>
          <w:b w:val="0"/>
          <w:caps w:val="0"/>
        </w:rPr>
        <w:t>. While legitimate music consumption still accounted for only 1</w:t>
      </w:r>
      <w:r w:rsidR="002B1447" w:rsidRPr="00201D06">
        <w:rPr>
          <w:rStyle w:val="Casehead1Char"/>
          <w:rFonts w:eastAsiaTheme="minorEastAsia"/>
          <w:b w:val="0"/>
          <w:caps w:val="0"/>
        </w:rPr>
        <w:t>–</w:t>
      </w:r>
      <w:r w:rsidR="009A2813" w:rsidRPr="00201D06">
        <w:rPr>
          <w:rStyle w:val="Casehead1Char"/>
          <w:rFonts w:eastAsiaTheme="minorEastAsia"/>
          <w:b w:val="0"/>
          <w:caps w:val="0"/>
        </w:rPr>
        <w:t>2</w:t>
      </w:r>
      <w:r w:rsidR="002B1447" w:rsidRPr="00201D06">
        <w:rPr>
          <w:rStyle w:val="Casehead1Char"/>
          <w:rFonts w:eastAsiaTheme="minorEastAsia"/>
          <w:b w:val="0"/>
          <w:caps w:val="0"/>
        </w:rPr>
        <w:t xml:space="preserve"> per cent</w:t>
      </w:r>
      <w:r w:rsidR="009A2813" w:rsidRPr="00201D06">
        <w:rPr>
          <w:rStyle w:val="Casehead1Char"/>
          <w:rFonts w:eastAsiaTheme="minorEastAsia"/>
          <w:b w:val="0"/>
          <w:caps w:val="0"/>
        </w:rPr>
        <w:t xml:space="preserve"> of the total consumption, trends demonstrated that Indian consumer</w:t>
      </w:r>
      <w:r w:rsidR="00166D63" w:rsidRPr="00201D06">
        <w:rPr>
          <w:rStyle w:val="Casehead1Char"/>
          <w:rFonts w:eastAsiaTheme="minorEastAsia"/>
          <w:b w:val="0"/>
          <w:caps w:val="0"/>
        </w:rPr>
        <w:t>s</w:t>
      </w:r>
      <w:r w:rsidR="009A2813" w:rsidRPr="00201D06">
        <w:rPr>
          <w:rStyle w:val="Casehead1Char"/>
          <w:rFonts w:eastAsiaTheme="minorEastAsia"/>
          <w:b w:val="0"/>
          <w:caps w:val="0"/>
        </w:rPr>
        <w:t xml:space="preserve"> </w:t>
      </w:r>
      <w:r w:rsidR="00166D63" w:rsidRPr="00201D06">
        <w:rPr>
          <w:rStyle w:val="Casehead1Char"/>
          <w:rFonts w:eastAsiaTheme="minorEastAsia"/>
          <w:b w:val="0"/>
          <w:caps w:val="0"/>
        </w:rPr>
        <w:t xml:space="preserve">were </w:t>
      </w:r>
      <w:r w:rsidR="009A2813" w:rsidRPr="00201D06">
        <w:rPr>
          <w:rStyle w:val="Casehead1Char"/>
          <w:rFonts w:eastAsiaTheme="minorEastAsia"/>
          <w:b w:val="0"/>
          <w:caps w:val="0"/>
        </w:rPr>
        <w:t xml:space="preserve">evolving and responding to entertainment that had a new digital address (see Exhibit </w:t>
      </w:r>
      <w:r w:rsidR="0049456F" w:rsidRPr="00201D06">
        <w:rPr>
          <w:rStyle w:val="Casehead1Char"/>
          <w:rFonts w:eastAsiaTheme="minorEastAsia"/>
          <w:b w:val="0"/>
          <w:caps w:val="0"/>
        </w:rPr>
        <w:t>3</w:t>
      </w:r>
      <w:r w:rsidR="009A2813" w:rsidRPr="00201D06">
        <w:rPr>
          <w:rStyle w:val="Casehead1Char"/>
          <w:rFonts w:eastAsiaTheme="minorEastAsia"/>
          <w:b w:val="0"/>
          <w:caps w:val="0"/>
        </w:rPr>
        <w:t xml:space="preserve">). </w:t>
      </w:r>
      <w:proofErr w:type="spellStart"/>
      <w:r w:rsidR="009A2813" w:rsidRPr="00201D06">
        <w:t>Mandar</w:t>
      </w:r>
      <w:proofErr w:type="spellEnd"/>
      <w:r w:rsidR="009A2813" w:rsidRPr="00201D06">
        <w:t xml:space="preserve"> Thakur, </w:t>
      </w:r>
      <w:r w:rsidR="00C162E9" w:rsidRPr="00201D06">
        <w:t xml:space="preserve">chief operating officer </w:t>
      </w:r>
      <w:r w:rsidR="009A2813" w:rsidRPr="00201D06">
        <w:t>of Times Music India</w:t>
      </w:r>
      <w:r w:rsidR="00166D63" w:rsidRPr="00201D06">
        <w:t>,</w:t>
      </w:r>
      <w:r w:rsidR="009A2813" w:rsidRPr="00201D06">
        <w:t xml:space="preserve"> observed</w:t>
      </w:r>
      <w:r w:rsidR="00432E92" w:rsidRPr="00201D06">
        <w:t>:</w:t>
      </w:r>
    </w:p>
    <w:p w14:paraId="649FD4A1" w14:textId="77777777" w:rsidR="00432E92" w:rsidRPr="00201D06" w:rsidRDefault="00432E92">
      <w:pPr>
        <w:pStyle w:val="ExhibitText"/>
      </w:pPr>
    </w:p>
    <w:p w14:paraId="45ED399B" w14:textId="071BD8D4" w:rsidR="00166D63" w:rsidRPr="0049332D" w:rsidRDefault="00C162E9" w:rsidP="00432E92">
      <w:pPr>
        <w:pStyle w:val="ExhibitText"/>
        <w:ind w:left="720"/>
      </w:pPr>
      <w:r w:rsidRPr="0049332D">
        <w:t>T</w:t>
      </w:r>
      <w:r w:rsidR="009A2813" w:rsidRPr="0049332D">
        <w:t xml:space="preserve">he </w:t>
      </w:r>
      <w:r w:rsidR="00432E92" w:rsidRPr="0049332D">
        <w:t>“</w:t>
      </w:r>
      <w:r w:rsidR="009A2813" w:rsidRPr="0049332D">
        <w:t>typical Indian mobile consumer</w:t>
      </w:r>
      <w:r w:rsidR="00432E92" w:rsidRPr="0049332D">
        <w:t>”</w:t>
      </w:r>
      <w:r w:rsidR="009A2813" w:rsidRPr="0049332D">
        <w:t xml:space="preserve"> still consumes mobile telco-based products like </w:t>
      </w:r>
      <w:proofErr w:type="spellStart"/>
      <w:r w:rsidR="009A2813" w:rsidRPr="0049332D">
        <w:t>ringback</w:t>
      </w:r>
      <w:proofErr w:type="spellEnd"/>
      <w:r w:rsidR="009A2813" w:rsidRPr="0049332D">
        <w:t xml:space="preserve"> tones and hence those products will have a long tail, whilst the</w:t>
      </w:r>
      <w:r w:rsidR="005022FE" w:rsidRPr="0049332D">
        <w:t xml:space="preserve"> </w:t>
      </w:r>
      <w:r w:rsidR="00166D63" w:rsidRPr="0049332D">
        <w:t>“</w:t>
      </w:r>
      <w:r w:rsidR="009A2813" w:rsidRPr="0049332D">
        <w:t>evolved modern Indian consumer</w:t>
      </w:r>
      <w:r w:rsidR="00432E92" w:rsidRPr="0049332D">
        <w:t>”</w:t>
      </w:r>
      <w:r w:rsidR="009A2813" w:rsidRPr="0049332D">
        <w:t xml:space="preserve"> consumes streaming/subscription services, is smartphone-heavy usage savvy and will grow the top end of the market</w:t>
      </w:r>
      <w:r w:rsidR="00166D63" w:rsidRPr="0049332D">
        <w:t>.</w:t>
      </w:r>
    </w:p>
    <w:p w14:paraId="2F59FB83" w14:textId="77777777" w:rsidR="00AC3350" w:rsidRPr="00201D06" w:rsidRDefault="00AC3350" w:rsidP="00432E92">
      <w:pPr>
        <w:pStyle w:val="ExhibitText"/>
        <w:ind w:left="720"/>
      </w:pPr>
    </w:p>
    <w:p w14:paraId="1AE66756" w14:textId="719E1CEE" w:rsidR="00432E92" w:rsidRPr="00201D06" w:rsidRDefault="009A2813" w:rsidP="00432E92">
      <w:pPr>
        <w:pStyle w:val="ExhibitText"/>
        <w:ind w:left="720"/>
      </w:pPr>
      <w:r w:rsidRPr="00201D06">
        <w:t>In either case</w:t>
      </w:r>
      <w:r w:rsidR="00C162E9" w:rsidRPr="00201D06">
        <w:t>—</w:t>
      </w:r>
      <w:r w:rsidRPr="00201D06">
        <w:t xml:space="preserve">the preference by the emerging consumer is not of </w:t>
      </w:r>
      <w:r w:rsidR="00166D63" w:rsidRPr="00201D06">
        <w:t xml:space="preserve">“ownership” </w:t>
      </w:r>
      <w:r w:rsidRPr="00201D06">
        <w:t xml:space="preserve">but of </w:t>
      </w:r>
      <w:r w:rsidR="00166D63" w:rsidRPr="00201D06">
        <w:t>“</w:t>
      </w:r>
      <w:r w:rsidRPr="00201D06">
        <w:t>rental</w:t>
      </w:r>
      <w:r w:rsidR="00C162E9" w:rsidRPr="00201D06">
        <w:t>.</w:t>
      </w:r>
      <w:r w:rsidR="00166D63" w:rsidRPr="00201D06">
        <w:t>”</w:t>
      </w:r>
    </w:p>
    <w:p w14:paraId="268E9D44" w14:textId="2AFD08A5" w:rsidR="00432E92" w:rsidRPr="00201D06" w:rsidRDefault="00432E92" w:rsidP="00432E92">
      <w:pPr>
        <w:pStyle w:val="ExhibitText"/>
        <w:rPr>
          <w:rStyle w:val="Casehead1Char"/>
          <w:rFonts w:eastAsiaTheme="minorEastAsia"/>
          <w:b w:val="0"/>
          <w:caps w:val="0"/>
        </w:rPr>
      </w:pPr>
    </w:p>
    <w:p w14:paraId="237D5A07" w14:textId="7E65CD48" w:rsidR="00B600FD" w:rsidRPr="00201D06" w:rsidRDefault="009A2813" w:rsidP="00432E92">
      <w:pPr>
        <w:pStyle w:val="ExhibitText"/>
        <w:rPr>
          <w:rStyle w:val="Casehead1Char"/>
          <w:rFonts w:eastAsiaTheme="minorEastAsia"/>
          <w:b w:val="0"/>
          <w:caps w:val="0"/>
        </w:rPr>
      </w:pPr>
      <w:r w:rsidRPr="0049332D">
        <w:rPr>
          <w:rStyle w:val="Casehead1Char"/>
          <w:rFonts w:eastAsiaTheme="minorEastAsia"/>
          <w:b w:val="0"/>
          <w:caps w:val="0"/>
          <w:spacing w:val="-4"/>
        </w:rPr>
        <w:t>Frank D’Souza, partner</w:t>
      </w:r>
      <w:r w:rsidR="00C162E9" w:rsidRPr="0049332D">
        <w:rPr>
          <w:rStyle w:val="Casehead1Char"/>
          <w:rFonts w:eastAsiaTheme="minorEastAsia"/>
          <w:b w:val="0"/>
          <w:caps w:val="0"/>
          <w:spacing w:val="-4"/>
        </w:rPr>
        <w:t xml:space="preserve"> in the</w:t>
      </w:r>
      <w:r w:rsidRPr="0049332D">
        <w:rPr>
          <w:rStyle w:val="Casehead1Char"/>
          <w:rFonts w:eastAsiaTheme="minorEastAsia"/>
          <w:b w:val="0"/>
          <w:caps w:val="0"/>
          <w:spacing w:val="-4"/>
        </w:rPr>
        <w:t xml:space="preserve"> entertainment and media vertical</w:t>
      </w:r>
      <w:r w:rsidR="00C162E9" w:rsidRPr="0049332D">
        <w:rPr>
          <w:rStyle w:val="Casehead1Char"/>
          <w:rFonts w:eastAsiaTheme="minorEastAsia"/>
          <w:b w:val="0"/>
          <w:caps w:val="0"/>
          <w:spacing w:val="-4"/>
        </w:rPr>
        <w:t xml:space="preserve"> of PricewaterhouseCoopers </w:t>
      </w:r>
      <w:r w:rsidRPr="0049332D">
        <w:rPr>
          <w:rStyle w:val="Casehead1Char"/>
          <w:rFonts w:eastAsiaTheme="minorEastAsia"/>
          <w:b w:val="0"/>
          <w:caps w:val="0"/>
          <w:spacing w:val="-4"/>
        </w:rPr>
        <w:t>India explained</w:t>
      </w:r>
      <w:r w:rsidR="00B600FD" w:rsidRPr="00201D06">
        <w:rPr>
          <w:rStyle w:val="Casehead1Char"/>
          <w:rFonts w:eastAsiaTheme="minorEastAsia"/>
          <w:b w:val="0"/>
          <w:caps w:val="0"/>
        </w:rPr>
        <w:t>:</w:t>
      </w:r>
    </w:p>
    <w:p w14:paraId="09333270" w14:textId="77777777" w:rsidR="00B600FD" w:rsidRPr="00201D06" w:rsidRDefault="00B600FD" w:rsidP="00432E92">
      <w:pPr>
        <w:pStyle w:val="ExhibitText"/>
        <w:rPr>
          <w:rStyle w:val="Casehead1Char"/>
          <w:rFonts w:eastAsiaTheme="minorEastAsia"/>
          <w:b w:val="0"/>
          <w:caps w:val="0"/>
        </w:rPr>
      </w:pPr>
    </w:p>
    <w:p w14:paraId="2CFEDB21" w14:textId="41196976" w:rsidR="006E5F69" w:rsidRDefault="00C162E9" w:rsidP="00327A07">
      <w:pPr>
        <w:pStyle w:val="ExhibitText"/>
        <w:ind w:left="720"/>
        <w:rPr>
          <w:rStyle w:val="Casehead1Char"/>
          <w:rFonts w:eastAsiaTheme="minorEastAsia"/>
          <w:b w:val="0"/>
          <w:caps w:val="0"/>
        </w:rPr>
      </w:pPr>
      <w:r w:rsidRPr="00201D06">
        <w:rPr>
          <w:rStyle w:val="Casehead1Char"/>
          <w:rFonts w:eastAsiaTheme="minorEastAsia"/>
          <w:b w:val="0"/>
          <w:caps w:val="0"/>
        </w:rPr>
        <w:t>T</w:t>
      </w:r>
      <w:r w:rsidR="009A2813" w:rsidRPr="00201D06">
        <w:rPr>
          <w:rStyle w:val="Casehead1Char"/>
          <w:rFonts w:eastAsiaTheme="minorEastAsia"/>
          <w:b w:val="0"/>
          <w:caps w:val="0"/>
        </w:rPr>
        <w:t xml:space="preserve">he players in the industry needed to move over from being content and distribution focus to see how a unique user experience can be created for the </w:t>
      </w:r>
      <w:r w:rsidR="00282670" w:rsidRPr="00201D06">
        <w:rPr>
          <w:rStyle w:val="Casehead1Char"/>
          <w:rFonts w:eastAsiaTheme="minorEastAsia"/>
          <w:b w:val="0"/>
          <w:caps w:val="0"/>
        </w:rPr>
        <w:t>customers. Strategies</w:t>
      </w:r>
      <w:r w:rsidRPr="00201D06">
        <w:rPr>
          <w:rStyle w:val="Casehead1Char"/>
          <w:rFonts w:eastAsiaTheme="minorEastAsia"/>
          <w:b w:val="0"/>
          <w:caps w:val="0"/>
        </w:rPr>
        <w:t xml:space="preserve"> </w:t>
      </w:r>
      <w:r w:rsidR="009A2813" w:rsidRPr="00201D06">
        <w:rPr>
          <w:rStyle w:val="Casehead1Char"/>
          <w:rFonts w:eastAsiaTheme="minorEastAsia"/>
          <w:b w:val="0"/>
          <w:caps w:val="0"/>
        </w:rPr>
        <w:t>that will shape tomorrow’s leaders were</w:t>
      </w:r>
      <w:r w:rsidRPr="00201D06">
        <w:rPr>
          <w:rStyle w:val="Casehead1Char"/>
          <w:rFonts w:eastAsiaTheme="minorEastAsia"/>
          <w:b w:val="0"/>
          <w:caps w:val="0"/>
        </w:rPr>
        <w:t xml:space="preserve"> . . . </w:t>
      </w:r>
      <w:r w:rsidR="009A2813" w:rsidRPr="00201D06">
        <w:rPr>
          <w:rStyle w:val="Casehead1Char"/>
          <w:rFonts w:eastAsiaTheme="minorEastAsia"/>
          <w:b w:val="0"/>
          <w:caps w:val="0"/>
        </w:rPr>
        <w:t>extending franchise into an experience, building direct to consumer destination, aligning operations to fan values</w:t>
      </w:r>
      <w:r w:rsidR="00FC091F" w:rsidRPr="00201D06">
        <w:rPr>
          <w:rStyle w:val="Casehead1Char"/>
          <w:rFonts w:eastAsiaTheme="minorEastAsia"/>
          <w:b w:val="0"/>
          <w:caps w:val="0"/>
        </w:rPr>
        <w:t>.</w:t>
      </w:r>
    </w:p>
    <w:p w14:paraId="20EEBDC6" w14:textId="77777777" w:rsidR="005E3021" w:rsidRPr="00201D06" w:rsidRDefault="005E3021" w:rsidP="0062450F">
      <w:pPr>
        <w:pStyle w:val="ExhibitText"/>
        <w:rPr>
          <w:sz w:val="16"/>
          <w:szCs w:val="16"/>
        </w:rPr>
      </w:pPr>
    </w:p>
    <w:p w14:paraId="61AF0B0F" w14:textId="292C4108" w:rsidR="00796896" w:rsidRDefault="005E3021" w:rsidP="005E3021">
      <w:pPr>
        <w:pStyle w:val="Footnote"/>
      </w:pPr>
      <w:r>
        <w:t>Source:</w:t>
      </w:r>
      <w:r w:rsidRPr="005E3021">
        <w:rPr>
          <w:rStyle w:val="FootnoteChar"/>
        </w:rPr>
        <w:t xml:space="preserve"> </w:t>
      </w:r>
      <w:r w:rsidR="00C162E9" w:rsidRPr="00B67D2A">
        <w:rPr>
          <w:spacing w:val="-4"/>
        </w:rPr>
        <w:t xml:space="preserve">“The State of the Media and Entertainment Sector in India,” Live Mint, October 23, 2017, accessed May 6, 2018, </w:t>
      </w:r>
      <w:r w:rsidR="00C162E9" w:rsidRPr="00143D60">
        <w:rPr>
          <w:spacing w:val="-4"/>
        </w:rPr>
        <w:t>www.livemint.com/Consumer/Gd1QhKIlEb6kotghQ0ameK/The-state-of-the-media-and-entertainment-sector-in-India.html</w:t>
      </w:r>
      <w:r w:rsidR="00C162E9">
        <w:rPr>
          <w:spacing w:val="-4"/>
        </w:rPr>
        <w:t xml:space="preserve">; </w:t>
      </w:r>
      <w:r w:rsidRPr="00114D1B">
        <w:t xml:space="preserve">Tim </w:t>
      </w:r>
      <w:proofErr w:type="spellStart"/>
      <w:r w:rsidRPr="003F4C13">
        <w:t>Ingham</w:t>
      </w:r>
      <w:proofErr w:type="spellEnd"/>
      <w:r>
        <w:t>, “</w:t>
      </w:r>
      <w:r w:rsidRPr="003F4C13">
        <w:t xml:space="preserve">India’s Music Business </w:t>
      </w:r>
      <w:r w:rsidR="00432E92">
        <w:t>W</w:t>
      </w:r>
      <w:r w:rsidRPr="003F4C13">
        <w:t xml:space="preserve">ill </w:t>
      </w:r>
      <w:r w:rsidR="00432E92">
        <w:t>A</w:t>
      </w:r>
      <w:r w:rsidRPr="003F4C13">
        <w:t>lmost Double in 2019</w:t>
      </w:r>
      <w:r w:rsidR="008B73DC">
        <w:t xml:space="preserve"> – KPMG</w:t>
      </w:r>
      <w:r>
        <w:t xml:space="preserve">,” </w:t>
      </w:r>
      <w:r w:rsidRPr="00B90F03">
        <w:t>Music Business Worldwide</w:t>
      </w:r>
      <w:r w:rsidRPr="008B06E0">
        <w:t>,</w:t>
      </w:r>
      <w:r>
        <w:t xml:space="preserve"> April 23, 2015, accessed</w:t>
      </w:r>
      <w:r w:rsidRPr="003F4C13">
        <w:t xml:space="preserve"> May 6, 2018</w:t>
      </w:r>
      <w:r w:rsidRPr="005E3021">
        <w:t xml:space="preserve">, </w:t>
      </w:r>
      <w:r w:rsidR="00432E92" w:rsidRPr="00432E92">
        <w:t>www.musicbusinessworldwide.com/indias-music-business-will-double-by-2019-kpmg</w:t>
      </w:r>
      <w:r>
        <w:t>;</w:t>
      </w:r>
      <w:r w:rsidRPr="005E3021">
        <w:t xml:space="preserve"> </w:t>
      </w:r>
      <w:r>
        <w:t>Frank D’Souza</w:t>
      </w:r>
      <w:r w:rsidRPr="003F4C13">
        <w:t xml:space="preserve">, </w:t>
      </w:r>
      <w:r>
        <w:t>“</w:t>
      </w:r>
      <w:r w:rsidRPr="003F4C13">
        <w:t xml:space="preserve">Global </w:t>
      </w:r>
      <w:r>
        <w:t xml:space="preserve">Entertainment and </w:t>
      </w:r>
      <w:r w:rsidRPr="003F4C13">
        <w:t xml:space="preserve">Media Outlook </w:t>
      </w:r>
      <w:r>
        <w:t>2017</w:t>
      </w:r>
      <w:r w:rsidR="008B73DC">
        <w:t>–</w:t>
      </w:r>
      <w:r>
        <w:t>2021,”</w:t>
      </w:r>
      <w:r w:rsidRPr="003F4C13">
        <w:t xml:space="preserve"> PWC</w:t>
      </w:r>
      <w:r>
        <w:t xml:space="preserve"> India, accessed </w:t>
      </w:r>
      <w:r w:rsidRPr="003F4C13">
        <w:t>May 6, 2018</w:t>
      </w:r>
      <w:r>
        <w:t xml:space="preserve">, </w:t>
      </w:r>
      <w:r w:rsidR="00B600FD" w:rsidRPr="00B600FD">
        <w:t>www.pwc.in/industries/entertainment-and-media.html</w:t>
      </w:r>
      <w:r w:rsidR="009E68D3">
        <w:t xml:space="preserve">; </w:t>
      </w:r>
      <w:r w:rsidR="009E68D3" w:rsidRPr="009E68D3">
        <w:t xml:space="preserve">FICCI Media &amp; Entertainment Committee and Ernst &amp; Young, </w:t>
      </w:r>
      <w:r w:rsidR="009E68D3" w:rsidRPr="00B90F03">
        <w:rPr>
          <w:i/>
        </w:rPr>
        <w:t>Re-Imagining India’s M&amp;E Sector</w:t>
      </w:r>
      <w:r w:rsidR="009E68D3" w:rsidRPr="009E68D3">
        <w:t>, March 2018, 14</w:t>
      </w:r>
      <w:r w:rsidR="008B73DC">
        <w:t xml:space="preserve">, accessed </w:t>
      </w:r>
      <w:r w:rsidR="006D1E24" w:rsidRPr="00B90F03">
        <w:t>May 6, 2018</w:t>
      </w:r>
      <w:r w:rsidR="008B73DC" w:rsidRPr="00B90F03">
        <w:t>,</w:t>
      </w:r>
      <w:r w:rsidR="008B73DC">
        <w:t xml:space="preserve"> </w:t>
      </w:r>
      <w:r w:rsidR="008B73DC" w:rsidRPr="008B73DC">
        <w:t>www.ey.com/Publication/vwLUAssets/ey-re-imagining-indias-me-sector-march-2018/%24File/ey-re-imagining-indias-me-sector-march-2018.pdf</w:t>
      </w:r>
      <w:r w:rsidR="008B73DC" w:rsidRPr="009E68D3">
        <w:t xml:space="preserve">; </w:t>
      </w:r>
      <w:r w:rsidR="008B73DC">
        <w:t xml:space="preserve">Gaurav </w:t>
      </w:r>
      <w:proofErr w:type="spellStart"/>
      <w:r w:rsidR="009E68D3" w:rsidRPr="009E68D3">
        <w:t>Laghate</w:t>
      </w:r>
      <w:proofErr w:type="spellEnd"/>
      <w:r w:rsidR="009E68D3" w:rsidRPr="009E68D3">
        <w:t xml:space="preserve">, “Indian OTT Market </w:t>
      </w:r>
      <w:r w:rsidR="008B73DC">
        <w:t>H</w:t>
      </w:r>
      <w:r w:rsidR="008B73DC" w:rsidRPr="009E68D3">
        <w:t xml:space="preserve">as </w:t>
      </w:r>
      <w:r w:rsidR="009E68D3" w:rsidRPr="009E68D3">
        <w:t xml:space="preserve">a Potential to Reach 5bn by 2023,” </w:t>
      </w:r>
      <w:r w:rsidR="00201D06">
        <w:rPr>
          <w:i/>
        </w:rPr>
        <w:t>Economic </w:t>
      </w:r>
      <w:r w:rsidR="009E68D3" w:rsidRPr="00B90F03">
        <w:rPr>
          <w:i/>
        </w:rPr>
        <w:t>Times</w:t>
      </w:r>
      <w:r w:rsidR="009E68D3" w:rsidRPr="009E68D3">
        <w:t>,</w:t>
      </w:r>
      <w:r w:rsidR="00201D06">
        <w:t> November </w:t>
      </w:r>
      <w:r w:rsidR="009E68D3" w:rsidRPr="009E68D3">
        <w:t>20,</w:t>
      </w:r>
      <w:r w:rsidR="00201D06">
        <w:t> </w:t>
      </w:r>
      <w:r w:rsidR="009E68D3" w:rsidRPr="009E68D3">
        <w:t>2018,</w:t>
      </w:r>
      <w:r w:rsidR="00201D06">
        <w:t> accessed </w:t>
      </w:r>
      <w:r w:rsidR="009E68D3" w:rsidRPr="009E68D3">
        <w:t>August</w:t>
      </w:r>
      <w:r w:rsidR="00201D06">
        <w:t> </w:t>
      </w:r>
      <w:r w:rsidR="009E68D3" w:rsidRPr="009E68D3">
        <w:t>23,</w:t>
      </w:r>
      <w:r w:rsidR="00201D06">
        <w:t> 2019, </w:t>
      </w:r>
      <w:r w:rsidR="009E68D3" w:rsidRPr="009E68D3">
        <w:t>https://economictimes.indiatimes.com/industry/media/entertainment/indian-ott-market-has-a-potential-to-reach-5bn-by-2023-bcg/articleshow/66709416.cms?from=mdr.</w:t>
      </w:r>
    </w:p>
    <w:p w14:paraId="511D71F1" w14:textId="15427E35" w:rsidR="00796896" w:rsidRPr="00201D06" w:rsidRDefault="00796896" w:rsidP="00201D06">
      <w:pPr>
        <w:pStyle w:val="ExhibitText"/>
        <w:rPr>
          <w:sz w:val="16"/>
          <w:szCs w:val="16"/>
        </w:rPr>
      </w:pPr>
    </w:p>
    <w:p w14:paraId="32F07BE4" w14:textId="5CB9368F" w:rsidR="00201D06" w:rsidRDefault="00201D06">
      <w:pPr>
        <w:spacing w:after="200" w:line="276" w:lineRule="auto"/>
        <w:rPr>
          <w:rFonts w:ascii="Arial" w:hAnsi="Arial" w:cs="Arial"/>
          <w:sz w:val="16"/>
          <w:szCs w:val="16"/>
        </w:rPr>
      </w:pPr>
      <w:r>
        <w:rPr>
          <w:sz w:val="16"/>
          <w:szCs w:val="16"/>
        </w:rPr>
        <w:br w:type="page"/>
      </w:r>
    </w:p>
    <w:p w14:paraId="50D69C48" w14:textId="154BEB8B" w:rsidR="009A2813" w:rsidRPr="0062450F" w:rsidRDefault="009A2813" w:rsidP="005E3021">
      <w:pPr>
        <w:pStyle w:val="ExhibitHeading"/>
      </w:pPr>
      <w:r w:rsidRPr="0062450F">
        <w:lastRenderedPageBreak/>
        <w:t xml:space="preserve">Exhibit 3: </w:t>
      </w:r>
      <w:r w:rsidR="00796896">
        <w:t xml:space="preserve">Evolution of </w:t>
      </w:r>
      <w:r w:rsidRPr="0062450F">
        <w:t>the INDIAN cONSuMER</w:t>
      </w:r>
      <w:r w:rsidR="00796896">
        <w:t>’s Music Preferences</w:t>
      </w:r>
    </w:p>
    <w:p w14:paraId="54364F65" w14:textId="77777777" w:rsidR="009A2813" w:rsidRPr="005B308B" w:rsidRDefault="009A2813" w:rsidP="00201D06">
      <w:pPr>
        <w:pStyle w:val="ExhibitText"/>
        <w:rPr>
          <w:sz w:val="17"/>
          <w:szCs w:val="17"/>
        </w:rPr>
      </w:pPr>
    </w:p>
    <w:p w14:paraId="7425590E" w14:textId="76303DEA" w:rsidR="00FC091F" w:rsidRPr="005B308B" w:rsidRDefault="006E5F69" w:rsidP="0062450F">
      <w:pPr>
        <w:pStyle w:val="ExhibitText"/>
        <w:rPr>
          <w:spacing w:val="-4"/>
          <w:szCs w:val="19"/>
        </w:rPr>
      </w:pPr>
      <w:r w:rsidRPr="005B308B">
        <w:rPr>
          <w:spacing w:val="-4"/>
          <w:szCs w:val="19"/>
        </w:rPr>
        <w:t xml:space="preserve">The </w:t>
      </w:r>
      <w:r w:rsidR="009A2813" w:rsidRPr="005B308B">
        <w:rPr>
          <w:spacing w:val="-4"/>
          <w:szCs w:val="19"/>
        </w:rPr>
        <w:t>change in consumer</w:t>
      </w:r>
      <w:r w:rsidR="00796896" w:rsidRPr="005B308B">
        <w:rPr>
          <w:spacing w:val="-4"/>
          <w:szCs w:val="19"/>
        </w:rPr>
        <w:t>s’</w:t>
      </w:r>
      <w:r w:rsidR="009A2813" w:rsidRPr="005B308B">
        <w:rPr>
          <w:spacing w:val="-4"/>
          <w:szCs w:val="19"/>
        </w:rPr>
        <w:t xml:space="preserve"> music consumption </w:t>
      </w:r>
      <w:r w:rsidRPr="005B308B">
        <w:rPr>
          <w:spacing w:val="-4"/>
          <w:szCs w:val="19"/>
        </w:rPr>
        <w:t>and preferences</w:t>
      </w:r>
      <w:r w:rsidR="005022FE" w:rsidRPr="005B308B">
        <w:rPr>
          <w:spacing w:val="-4"/>
          <w:szCs w:val="19"/>
        </w:rPr>
        <w:t xml:space="preserve"> </w:t>
      </w:r>
      <w:r w:rsidR="00796896" w:rsidRPr="005B308B">
        <w:rPr>
          <w:spacing w:val="-4"/>
          <w:szCs w:val="19"/>
        </w:rPr>
        <w:t xml:space="preserve">from </w:t>
      </w:r>
      <w:r w:rsidRPr="005B308B">
        <w:rPr>
          <w:spacing w:val="-4"/>
          <w:szCs w:val="19"/>
        </w:rPr>
        <w:t xml:space="preserve">the </w:t>
      </w:r>
      <w:r w:rsidR="008B73DC" w:rsidRPr="005B308B">
        <w:rPr>
          <w:spacing w:val="-4"/>
          <w:szCs w:val="19"/>
        </w:rPr>
        <w:t>mid-</w:t>
      </w:r>
      <w:r w:rsidRPr="005B308B">
        <w:rPr>
          <w:spacing w:val="-4"/>
          <w:szCs w:val="19"/>
        </w:rPr>
        <w:t xml:space="preserve">1900s </w:t>
      </w:r>
      <w:r w:rsidR="00796896" w:rsidRPr="005B308B">
        <w:rPr>
          <w:spacing w:val="-4"/>
          <w:szCs w:val="19"/>
        </w:rPr>
        <w:t xml:space="preserve">to the present </w:t>
      </w:r>
      <w:r w:rsidRPr="005B308B">
        <w:rPr>
          <w:spacing w:val="-4"/>
          <w:szCs w:val="19"/>
        </w:rPr>
        <w:t xml:space="preserve">were </w:t>
      </w:r>
      <w:r w:rsidR="009A2813" w:rsidRPr="005B308B">
        <w:rPr>
          <w:spacing w:val="-4"/>
          <w:szCs w:val="19"/>
        </w:rPr>
        <w:t>phenomenal. Music cassette</w:t>
      </w:r>
      <w:r w:rsidR="00796896" w:rsidRPr="005B308B">
        <w:rPr>
          <w:spacing w:val="-4"/>
          <w:szCs w:val="19"/>
        </w:rPr>
        <w:t>s</w:t>
      </w:r>
      <w:r w:rsidR="009A2813" w:rsidRPr="005B308B">
        <w:rPr>
          <w:spacing w:val="-4"/>
          <w:szCs w:val="19"/>
        </w:rPr>
        <w:t xml:space="preserve"> and CD</w:t>
      </w:r>
      <w:r w:rsidR="00796896" w:rsidRPr="005B308B">
        <w:rPr>
          <w:spacing w:val="-4"/>
          <w:szCs w:val="19"/>
        </w:rPr>
        <w:t xml:space="preserve">s </w:t>
      </w:r>
      <w:r w:rsidR="00637E3B" w:rsidRPr="005B308B">
        <w:rPr>
          <w:spacing w:val="-4"/>
          <w:szCs w:val="19"/>
        </w:rPr>
        <w:t xml:space="preserve">had </w:t>
      </w:r>
      <w:r w:rsidR="00796896" w:rsidRPr="005B308B">
        <w:rPr>
          <w:spacing w:val="-4"/>
          <w:szCs w:val="19"/>
        </w:rPr>
        <w:t>dominated the market in the 1970s</w:t>
      </w:r>
      <w:r w:rsidR="00FC091F" w:rsidRPr="005B308B">
        <w:rPr>
          <w:spacing w:val="-4"/>
          <w:szCs w:val="19"/>
        </w:rPr>
        <w:t>.</w:t>
      </w:r>
      <w:r w:rsidR="009A2813" w:rsidRPr="005B308B">
        <w:rPr>
          <w:spacing w:val="-4"/>
          <w:szCs w:val="19"/>
        </w:rPr>
        <w:t xml:space="preserve"> </w:t>
      </w:r>
      <w:r w:rsidR="00637E3B" w:rsidRPr="005B308B">
        <w:rPr>
          <w:spacing w:val="-4"/>
          <w:szCs w:val="19"/>
        </w:rPr>
        <w:t>When t</w:t>
      </w:r>
      <w:r w:rsidR="00796896" w:rsidRPr="005B308B">
        <w:rPr>
          <w:spacing w:val="-4"/>
          <w:szCs w:val="19"/>
        </w:rPr>
        <w:t>he digital era arrived t</w:t>
      </w:r>
      <w:r w:rsidR="009A2813" w:rsidRPr="005B308B">
        <w:rPr>
          <w:spacing w:val="-4"/>
          <w:szCs w:val="19"/>
        </w:rPr>
        <w:t>wo decades later</w:t>
      </w:r>
      <w:r w:rsidR="00637E3B" w:rsidRPr="005B308B">
        <w:rPr>
          <w:spacing w:val="-4"/>
          <w:szCs w:val="19"/>
        </w:rPr>
        <w:t>, c</w:t>
      </w:r>
      <w:r w:rsidR="00FC091F" w:rsidRPr="005B308B">
        <w:rPr>
          <w:spacing w:val="-4"/>
          <w:szCs w:val="19"/>
        </w:rPr>
        <w:t>onsumers</w:t>
      </w:r>
      <w:r w:rsidR="009A2813" w:rsidRPr="005B308B">
        <w:rPr>
          <w:spacing w:val="-4"/>
          <w:szCs w:val="19"/>
        </w:rPr>
        <w:t xml:space="preserve"> were busy finding and adapting to </w:t>
      </w:r>
      <w:r w:rsidRPr="005B308B">
        <w:rPr>
          <w:spacing w:val="-4"/>
          <w:szCs w:val="19"/>
        </w:rPr>
        <w:t xml:space="preserve">cheaper and more convenient </w:t>
      </w:r>
      <w:r w:rsidR="009A2813" w:rsidRPr="005B308B">
        <w:rPr>
          <w:spacing w:val="-4"/>
          <w:szCs w:val="19"/>
        </w:rPr>
        <w:t>alternative sources of music</w:t>
      </w:r>
      <w:r w:rsidR="00796896" w:rsidRPr="005B308B">
        <w:rPr>
          <w:spacing w:val="-4"/>
          <w:szCs w:val="19"/>
        </w:rPr>
        <w:t>. A</w:t>
      </w:r>
      <w:r w:rsidR="00242F49" w:rsidRPr="005B308B">
        <w:rPr>
          <w:spacing w:val="-4"/>
          <w:szCs w:val="19"/>
        </w:rPr>
        <w:t xml:space="preserve"> survey </w:t>
      </w:r>
      <w:r w:rsidR="00796896" w:rsidRPr="005B308B">
        <w:rPr>
          <w:spacing w:val="-4"/>
          <w:szCs w:val="19"/>
        </w:rPr>
        <w:t>of</w:t>
      </w:r>
      <w:r w:rsidR="00242F49" w:rsidRPr="005B308B">
        <w:rPr>
          <w:spacing w:val="-4"/>
          <w:szCs w:val="19"/>
        </w:rPr>
        <w:t xml:space="preserve"> Indian consumers found that approximately 40 million Indians</w:t>
      </w:r>
      <w:r w:rsidR="00637E3B" w:rsidRPr="005B308B">
        <w:rPr>
          <w:spacing w:val="-4"/>
          <w:szCs w:val="19"/>
        </w:rPr>
        <w:t>—two-thirds from urban India and the rest from rural India—</w:t>
      </w:r>
      <w:r w:rsidR="00796896" w:rsidRPr="005B308B">
        <w:rPr>
          <w:spacing w:val="-4"/>
          <w:szCs w:val="19"/>
        </w:rPr>
        <w:t xml:space="preserve">were </w:t>
      </w:r>
      <w:r w:rsidR="00242F49" w:rsidRPr="005B308B">
        <w:rPr>
          <w:spacing w:val="-4"/>
          <w:szCs w:val="19"/>
        </w:rPr>
        <w:t>online every</w:t>
      </w:r>
      <w:r w:rsidR="008B73DC" w:rsidRPr="005B308B">
        <w:rPr>
          <w:spacing w:val="-4"/>
          <w:szCs w:val="19"/>
        </w:rPr>
        <w:t xml:space="preserve"> </w:t>
      </w:r>
      <w:r w:rsidR="00242F49" w:rsidRPr="005B308B">
        <w:rPr>
          <w:spacing w:val="-4"/>
          <w:szCs w:val="19"/>
        </w:rPr>
        <w:t xml:space="preserve">day. The most popular activity on the </w:t>
      </w:r>
      <w:r w:rsidR="00796896" w:rsidRPr="005B308B">
        <w:rPr>
          <w:spacing w:val="-4"/>
          <w:szCs w:val="19"/>
        </w:rPr>
        <w:t>I</w:t>
      </w:r>
      <w:r w:rsidR="00242F49" w:rsidRPr="005B308B">
        <w:rPr>
          <w:spacing w:val="-4"/>
          <w:szCs w:val="19"/>
        </w:rPr>
        <w:t xml:space="preserve">nternet </w:t>
      </w:r>
      <w:r w:rsidR="00796896" w:rsidRPr="005B308B">
        <w:rPr>
          <w:spacing w:val="-4"/>
          <w:szCs w:val="19"/>
        </w:rPr>
        <w:t xml:space="preserve">was </w:t>
      </w:r>
      <w:r w:rsidR="00242F49" w:rsidRPr="005B308B">
        <w:rPr>
          <w:spacing w:val="-4"/>
          <w:szCs w:val="19"/>
        </w:rPr>
        <w:t>download</w:t>
      </w:r>
      <w:r w:rsidR="00637E3B" w:rsidRPr="005B308B">
        <w:rPr>
          <w:spacing w:val="-4"/>
          <w:szCs w:val="19"/>
        </w:rPr>
        <w:t>ing</w:t>
      </w:r>
      <w:r w:rsidR="00242F49" w:rsidRPr="005B308B">
        <w:rPr>
          <w:spacing w:val="-4"/>
          <w:szCs w:val="19"/>
        </w:rPr>
        <w:t xml:space="preserve"> music (19.38</w:t>
      </w:r>
      <w:r w:rsidR="00796896" w:rsidRPr="005B308B">
        <w:rPr>
          <w:spacing w:val="-4"/>
          <w:szCs w:val="19"/>
        </w:rPr>
        <w:t xml:space="preserve"> per cent</w:t>
      </w:r>
      <w:r w:rsidR="00242F49" w:rsidRPr="005B308B">
        <w:rPr>
          <w:spacing w:val="-4"/>
          <w:szCs w:val="19"/>
        </w:rPr>
        <w:t xml:space="preserve">); if </w:t>
      </w:r>
      <w:r w:rsidR="00796896" w:rsidRPr="005B308B">
        <w:rPr>
          <w:spacing w:val="-4"/>
          <w:szCs w:val="19"/>
        </w:rPr>
        <w:t xml:space="preserve">consumers were </w:t>
      </w:r>
      <w:r w:rsidR="00242F49" w:rsidRPr="005B308B">
        <w:rPr>
          <w:spacing w:val="-4"/>
          <w:szCs w:val="19"/>
        </w:rPr>
        <w:t>not downloading and storing songs</w:t>
      </w:r>
      <w:r w:rsidR="00796896" w:rsidRPr="005B308B">
        <w:rPr>
          <w:spacing w:val="-4"/>
          <w:szCs w:val="19"/>
        </w:rPr>
        <w:t xml:space="preserve">, </w:t>
      </w:r>
      <w:r w:rsidR="00673B90" w:rsidRPr="005B308B">
        <w:rPr>
          <w:spacing w:val="-4"/>
          <w:szCs w:val="19"/>
        </w:rPr>
        <w:t>they</w:t>
      </w:r>
      <w:r w:rsidR="00796896" w:rsidRPr="005B308B">
        <w:rPr>
          <w:spacing w:val="-4"/>
          <w:szCs w:val="19"/>
        </w:rPr>
        <w:t xml:space="preserve"> were </w:t>
      </w:r>
      <w:r w:rsidR="00242F49" w:rsidRPr="005B308B">
        <w:rPr>
          <w:spacing w:val="-4"/>
          <w:szCs w:val="19"/>
        </w:rPr>
        <w:t>listening to songs online</w:t>
      </w:r>
      <w:r w:rsidR="00673B90" w:rsidRPr="005B308B">
        <w:rPr>
          <w:spacing w:val="-4"/>
          <w:szCs w:val="19"/>
        </w:rPr>
        <w:t xml:space="preserve"> (almost 14 per cent)</w:t>
      </w:r>
      <w:r w:rsidR="00242F49" w:rsidRPr="005B308B">
        <w:rPr>
          <w:spacing w:val="-4"/>
          <w:szCs w:val="19"/>
        </w:rPr>
        <w:t xml:space="preserve">. </w:t>
      </w:r>
    </w:p>
    <w:p w14:paraId="6B09B53A" w14:textId="77777777" w:rsidR="00FC091F" w:rsidRPr="005B308B" w:rsidRDefault="00FC091F" w:rsidP="0062450F">
      <w:pPr>
        <w:pStyle w:val="ExhibitText"/>
        <w:rPr>
          <w:sz w:val="17"/>
          <w:szCs w:val="17"/>
        </w:rPr>
      </w:pPr>
    </w:p>
    <w:p w14:paraId="49004701" w14:textId="599D3911" w:rsidR="00673B90" w:rsidRPr="005B308B" w:rsidRDefault="009A2813" w:rsidP="00327A07">
      <w:pPr>
        <w:pStyle w:val="ExhibitText"/>
        <w:rPr>
          <w:szCs w:val="19"/>
        </w:rPr>
      </w:pPr>
      <w:r w:rsidRPr="005B308B">
        <w:rPr>
          <w:szCs w:val="19"/>
        </w:rPr>
        <w:t xml:space="preserve">A large segment of consumers moved from listening to copied content on their portable devices to </w:t>
      </w:r>
      <w:r w:rsidR="00796896" w:rsidRPr="005B308B">
        <w:rPr>
          <w:szCs w:val="19"/>
        </w:rPr>
        <w:t xml:space="preserve">listening to </w:t>
      </w:r>
      <w:r w:rsidRPr="005B308B">
        <w:rPr>
          <w:szCs w:val="19"/>
        </w:rPr>
        <w:t xml:space="preserve">freely downloadable content. </w:t>
      </w:r>
      <w:proofErr w:type="spellStart"/>
      <w:r w:rsidRPr="005B308B">
        <w:rPr>
          <w:szCs w:val="19"/>
        </w:rPr>
        <w:t>Mehra</w:t>
      </w:r>
      <w:proofErr w:type="spellEnd"/>
      <w:r w:rsidRPr="005B308B">
        <w:rPr>
          <w:szCs w:val="19"/>
        </w:rPr>
        <w:t xml:space="preserve"> elaborated</w:t>
      </w:r>
      <w:r w:rsidR="00637E3B" w:rsidRPr="005B308B">
        <w:rPr>
          <w:szCs w:val="19"/>
        </w:rPr>
        <w:t xml:space="preserve">: </w:t>
      </w:r>
      <w:r w:rsidR="00673B90" w:rsidRPr="005B308B">
        <w:rPr>
          <w:szCs w:val="19"/>
        </w:rPr>
        <w:t>“D</w:t>
      </w:r>
      <w:r w:rsidRPr="005B308B">
        <w:rPr>
          <w:szCs w:val="19"/>
        </w:rPr>
        <w:t xml:space="preserve">igitalization brought in rampant </w:t>
      </w:r>
      <w:r w:rsidR="00242F49" w:rsidRPr="005B308B">
        <w:rPr>
          <w:szCs w:val="19"/>
        </w:rPr>
        <w:t>piracy, with consumers downloading free content</w:t>
      </w:r>
      <w:r w:rsidRPr="005B308B">
        <w:rPr>
          <w:szCs w:val="19"/>
        </w:rPr>
        <w:t xml:space="preserve">. </w:t>
      </w:r>
      <w:r w:rsidR="00242F49" w:rsidRPr="005B308B">
        <w:rPr>
          <w:szCs w:val="19"/>
        </w:rPr>
        <w:t>So</w:t>
      </w:r>
      <w:r w:rsidRPr="005B308B">
        <w:rPr>
          <w:szCs w:val="19"/>
        </w:rPr>
        <w:t xml:space="preserve"> revenue started decreasing</w:t>
      </w:r>
      <w:r w:rsidR="00637E3B" w:rsidRPr="005B308B">
        <w:rPr>
          <w:szCs w:val="19"/>
        </w:rPr>
        <w:t>,</w:t>
      </w:r>
      <w:r w:rsidR="00242F49" w:rsidRPr="005B308B">
        <w:rPr>
          <w:szCs w:val="19"/>
        </w:rPr>
        <w:t xml:space="preserve"> and</w:t>
      </w:r>
      <w:r w:rsidRPr="005B308B">
        <w:rPr>
          <w:szCs w:val="19"/>
        </w:rPr>
        <w:t xml:space="preserve"> music companies </w:t>
      </w:r>
      <w:r w:rsidR="00242F49" w:rsidRPr="005B308B">
        <w:rPr>
          <w:szCs w:val="19"/>
        </w:rPr>
        <w:t xml:space="preserve">found it tough to </w:t>
      </w:r>
      <w:r w:rsidRPr="005B308B">
        <w:rPr>
          <w:szCs w:val="19"/>
        </w:rPr>
        <w:t xml:space="preserve">reinvest, and hence quality of content deteriorated.” </w:t>
      </w:r>
    </w:p>
    <w:p w14:paraId="71CB5BFE" w14:textId="77777777" w:rsidR="00673B90" w:rsidRPr="005B308B" w:rsidRDefault="00673B90" w:rsidP="00327A07">
      <w:pPr>
        <w:pStyle w:val="ExhibitText"/>
        <w:rPr>
          <w:sz w:val="17"/>
          <w:szCs w:val="17"/>
        </w:rPr>
      </w:pPr>
    </w:p>
    <w:p w14:paraId="328681F6" w14:textId="07705898" w:rsidR="009A2813" w:rsidRPr="00201D06" w:rsidRDefault="009A2813" w:rsidP="00B52404">
      <w:pPr>
        <w:pStyle w:val="ExhibitText"/>
        <w:rPr>
          <w:sz w:val="19"/>
          <w:szCs w:val="19"/>
        </w:rPr>
      </w:pPr>
      <w:r w:rsidRPr="005B308B">
        <w:rPr>
          <w:szCs w:val="19"/>
        </w:rPr>
        <w:t xml:space="preserve">With no </w:t>
      </w:r>
      <w:r w:rsidR="00637E3B" w:rsidRPr="005B308B">
        <w:rPr>
          <w:szCs w:val="19"/>
        </w:rPr>
        <w:t>physical</w:t>
      </w:r>
      <w:r w:rsidRPr="005B308B">
        <w:rPr>
          <w:szCs w:val="19"/>
        </w:rPr>
        <w:t xml:space="preserve"> barrier</w:t>
      </w:r>
      <w:r w:rsidR="00637E3B" w:rsidRPr="005B308B">
        <w:rPr>
          <w:szCs w:val="19"/>
        </w:rPr>
        <w:t>s</w:t>
      </w:r>
      <w:r w:rsidRPr="005B308B">
        <w:rPr>
          <w:szCs w:val="19"/>
        </w:rPr>
        <w:t xml:space="preserve">, illegal music providers </w:t>
      </w:r>
      <w:r w:rsidR="00637E3B" w:rsidRPr="005B308B">
        <w:rPr>
          <w:szCs w:val="19"/>
        </w:rPr>
        <w:t>proliferated online</w:t>
      </w:r>
      <w:r w:rsidRPr="005B308B">
        <w:rPr>
          <w:szCs w:val="19"/>
        </w:rPr>
        <w:t xml:space="preserve"> by registering and re-registering new website names that were impossible to </w:t>
      </w:r>
      <w:r w:rsidR="00242F49" w:rsidRPr="005B308B">
        <w:rPr>
          <w:szCs w:val="19"/>
        </w:rPr>
        <w:t>control</w:t>
      </w:r>
      <w:r w:rsidRPr="005B308B">
        <w:rPr>
          <w:szCs w:val="19"/>
        </w:rPr>
        <w:t>.</w:t>
      </w:r>
      <w:r w:rsidR="00242F49" w:rsidRPr="005B308B">
        <w:rPr>
          <w:szCs w:val="19"/>
        </w:rPr>
        <w:t xml:space="preserve"> </w:t>
      </w:r>
      <w:r w:rsidRPr="005B308B">
        <w:rPr>
          <w:szCs w:val="19"/>
        </w:rPr>
        <w:t xml:space="preserve">However, </w:t>
      </w:r>
      <w:r w:rsidR="00637E3B" w:rsidRPr="005B308B">
        <w:rPr>
          <w:szCs w:val="19"/>
        </w:rPr>
        <w:t>the growth</w:t>
      </w:r>
      <w:r w:rsidRPr="005B308B">
        <w:rPr>
          <w:szCs w:val="19"/>
        </w:rPr>
        <w:t xml:space="preserve"> of smartphone </w:t>
      </w:r>
      <w:r w:rsidR="00637E3B" w:rsidRPr="005B308B">
        <w:rPr>
          <w:szCs w:val="19"/>
        </w:rPr>
        <w:t xml:space="preserve">use, </w:t>
      </w:r>
      <w:r w:rsidRPr="005B308B">
        <w:rPr>
          <w:szCs w:val="19"/>
        </w:rPr>
        <w:t>falling data rates</w:t>
      </w:r>
      <w:r w:rsidR="00637E3B" w:rsidRPr="005B308B">
        <w:rPr>
          <w:szCs w:val="19"/>
        </w:rPr>
        <w:t>,</w:t>
      </w:r>
      <w:r w:rsidRPr="005B308B">
        <w:rPr>
          <w:szCs w:val="19"/>
        </w:rPr>
        <w:t xml:space="preserve"> </w:t>
      </w:r>
      <w:r w:rsidR="00242F49" w:rsidRPr="005B308B">
        <w:rPr>
          <w:szCs w:val="19"/>
        </w:rPr>
        <w:t xml:space="preserve">and </w:t>
      </w:r>
      <w:r w:rsidR="00673B90" w:rsidRPr="005B308B">
        <w:rPr>
          <w:szCs w:val="19"/>
        </w:rPr>
        <w:t xml:space="preserve">a </w:t>
      </w:r>
      <w:r w:rsidRPr="005B308B">
        <w:rPr>
          <w:szCs w:val="19"/>
        </w:rPr>
        <w:t>shift from browser</w:t>
      </w:r>
      <w:r w:rsidR="00637E3B" w:rsidRPr="005B308B">
        <w:rPr>
          <w:szCs w:val="19"/>
        </w:rPr>
        <w:t>-</w:t>
      </w:r>
      <w:r w:rsidRPr="005B308B">
        <w:rPr>
          <w:szCs w:val="19"/>
        </w:rPr>
        <w:t xml:space="preserve"> to app</w:t>
      </w:r>
      <w:r w:rsidR="00673B90" w:rsidRPr="005B308B">
        <w:rPr>
          <w:szCs w:val="19"/>
        </w:rPr>
        <w:t>lication-</w:t>
      </w:r>
      <w:r w:rsidRPr="005B308B">
        <w:rPr>
          <w:szCs w:val="19"/>
        </w:rPr>
        <w:t xml:space="preserve">based consumption helped </w:t>
      </w:r>
      <w:r w:rsidR="00673B90" w:rsidRPr="005B308B">
        <w:rPr>
          <w:szCs w:val="19"/>
        </w:rPr>
        <w:t xml:space="preserve">to </w:t>
      </w:r>
      <w:r w:rsidRPr="005B308B">
        <w:rPr>
          <w:szCs w:val="19"/>
        </w:rPr>
        <w:t xml:space="preserve">control illegitimate music distribution to some extent and promoted legal distribution among </w:t>
      </w:r>
      <w:r w:rsidR="00B75957" w:rsidRPr="005B308B">
        <w:rPr>
          <w:szCs w:val="19"/>
        </w:rPr>
        <w:t>end-</w:t>
      </w:r>
      <w:r w:rsidRPr="005B308B">
        <w:rPr>
          <w:szCs w:val="19"/>
        </w:rPr>
        <w:t xml:space="preserve">users across the globe. According to </w:t>
      </w:r>
      <w:proofErr w:type="spellStart"/>
      <w:r w:rsidRPr="005B308B">
        <w:rPr>
          <w:szCs w:val="19"/>
        </w:rPr>
        <w:t>Mehra</w:t>
      </w:r>
      <w:proofErr w:type="spellEnd"/>
      <w:r w:rsidRPr="005B308B">
        <w:rPr>
          <w:szCs w:val="19"/>
        </w:rPr>
        <w:t>, “In the app world, it is easier to control piracy</w:t>
      </w:r>
      <w:r w:rsidR="00673B90" w:rsidRPr="005B308B">
        <w:rPr>
          <w:szCs w:val="19"/>
        </w:rPr>
        <w:t xml:space="preserve"> because</w:t>
      </w:r>
      <w:r w:rsidR="00242F49" w:rsidRPr="005B308B">
        <w:rPr>
          <w:szCs w:val="19"/>
        </w:rPr>
        <w:t xml:space="preserve"> the firm can </w:t>
      </w:r>
      <w:r w:rsidRPr="005B308B">
        <w:rPr>
          <w:szCs w:val="19"/>
        </w:rPr>
        <w:t xml:space="preserve">go to Google or Apple </w:t>
      </w:r>
      <w:r w:rsidR="00242F49" w:rsidRPr="005B308B">
        <w:rPr>
          <w:szCs w:val="19"/>
        </w:rPr>
        <w:t xml:space="preserve">with legitimate </w:t>
      </w:r>
      <w:r w:rsidRPr="005B308B">
        <w:rPr>
          <w:szCs w:val="19"/>
        </w:rPr>
        <w:t xml:space="preserve">proof that the app has got our content. </w:t>
      </w:r>
      <w:r w:rsidR="00242F49" w:rsidRPr="005B308B">
        <w:rPr>
          <w:szCs w:val="19"/>
        </w:rPr>
        <w:t xml:space="preserve">This </w:t>
      </w:r>
      <w:r w:rsidRPr="005B308B">
        <w:rPr>
          <w:szCs w:val="19"/>
        </w:rPr>
        <w:t>help</w:t>
      </w:r>
      <w:r w:rsidR="00242F49" w:rsidRPr="005B308B">
        <w:rPr>
          <w:szCs w:val="19"/>
        </w:rPr>
        <w:t xml:space="preserve">s </w:t>
      </w:r>
      <w:r w:rsidR="00673B90" w:rsidRPr="005B308B">
        <w:rPr>
          <w:szCs w:val="19"/>
        </w:rPr>
        <w:t xml:space="preserve">because </w:t>
      </w:r>
      <w:r w:rsidR="00242F49" w:rsidRPr="005B308B">
        <w:rPr>
          <w:szCs w:val="19"/>
        </w:rPr>
        <w:t>then they</w:t>
      </w:r>
      <w:r w:rsidR="005022FE" w:rsidRPr="005B308B">
        <w:rPr>
          <w:szCs w:val="19"/>
        </w:rPr>
        <w:t xml:space="preserve"> </w:t>
      </w:r>
      <w:r w:rsidRPr="005B308B">
        <w:rPr>
          <w:szCs w:val="19"/>
        </w:rPr>
        <w:t xml:space="preserve">remove the app completely.” </w:t>
      </w:r>
    </w:p>
    <w:p w14:paraId="2D57A511" w14:textId="77777777" w:rsidR="00121894" w:rsidRPr="005B308B" w:rsidRDefault="00121894" w:rsidP="00201D06">
      <w:pPr>
        <w:pStyle w:val="ExhibitText"/>
        <w:rPr>
          <w:sz w:val="17"/>
          <w:szCs w:val="17"/>
        </w:rPr>
      </w:pPr>
    </w:p>
    <w:p w14:paraId="118330D5" w14:textId="3147E785" w:rsidR="00EE3C19" w:rsidRDefault="009A2813" w:rsidP="005022FE">
      <w:pPr>
        <w:pStyle w:val="Footnote"/>
        <w:rPr>
          <w:spacing w:val="-4"/>
        </w:rPr>
      </w:pPr>
      <w:r w:rsidRPr="00201D06">
        <w:rPr>
          <w:spacing w:val="-4"/>
        </w:rPr>
        <w:t xml:space="preserve">Source: </w:t>
      </w:r>
      <w:r w:rsidR="008B73DC" w:rsidRPr="00201D06">
        <w:rPr>
          <w:spacing w:val="-4"/>
        </w:rPr>
        <w:t xml:space="preserve">Created by case authors based on discussions with </w:t>
      </w:r>
      <w:proofErr w:type="spellStart"/>
      <w:r w:rsidR="00673B90" w:rsidRPr="00201D06">
        <w:rPr>
          <w:spacing w:val="-4"/>
        </w:rPr>
        <w:t>Vikram</w:t>
      </w:r>
      <w:proofErr w:type="spellEnd"/>
      <w:r w:rsidR="00673B90" w:rsidRPr="00201D06">
        <w:rPr>
          <w:spacing w:val="-4"/>
        </w:rPr>
        <w:t xml:space="preserve"> </w:t>
      </w:r>
      <w:proofErr w:type="spellStart"/>
      <w:r w:rsidR="00673B90" w:rsidRPr="00201D06">
        <w:rPr>
          <w:spacing w:val="-4"/>
        </w:rPr>
        <w:t>Mehra</w:t>
      </w:r>
      <w:proofErr w:type="spellEnd"/>
      <w:r w:rsidR="00673B90" w:rsidRPr="00201D06">
        <w:rPr>
          <w:spacing w:val="-4"/>
        </w:rPr>
        <w:t xml:space="preserve"> (managing director, </w:t>
      </w:r>
      <w:proofErr w:type="spellStart"/>
      <w:r w:rsidR="00673B90" w:rsidRPr="00201D06">
        <w:rPr>
          <w:spacing w:val="-4"/>
        </w:rPr>
        <w:t>Saregama</w:t>
      </w:r>
      <w:proofErr w:type="spellEnd"/>
      <w:r w:rsidR="00673B90" w:rsidRPr="00201D06">
        <w:rPr>
          <w:spacing w:val="-4"/>
        </w:rPr>
        <w:t xml:space="preserve">), </w:t>
      </w:r>
      <w:proofErr w:type="spellStart"/>
      <w:r w:rsidR="00673B90" w:rsidRPr="00201D06">
        <w:rPr>
          <w:spacing w:val="-4"/>
        </w:rPr>
        <w:t>Ghanashyam</w:t>
      </w:r>
      <w:proofErr w:type="spellEnd"/>
      <w:r w:rsidR="00673B90" w:rsidRPr="00201D06">
        <w:rPr>
          <w:spacing w:val="-4"/>
        </w:rPr>
        <w:t xml:space="preserve"> B. </w:t>
      </w:r>
      <w:proofErr w:type="spellStart"/>
      <w:r w:rsidR="00673B90" w:rsidRPr="00201D06">
        <w:rPr>
          <w:spacing w:val="-4"/>
        </w:rPr>
        <w:t>Aayeer</w:t>
      </w:r>
      <w:proofErr w:type="spellEnd"/>
      <w:r w:rsidR="00673B90" w:rsidRPr="00201D06">
        <w:rPr>
          <w:spacing w:val="-4"/>
        </w:rPr>
        <w:t xml:space="preserve"> (chief financial officer, </w:t>
      </w:r>
      <w:proofErr w:type="spellStart"/>
      <w:r w:rsidR="00673B90" w:rsidRPr="00201D06">
        <w:rPr>
          <w:spacing w:val="-4"/>
        </w:rPr>
        <w:t>Saregama</w:t>
      </w:r>
      <w:proofErr w:type="spellEnd"/>
      <w:r w:rsidR="00673B90" w:rsidRPr="00201D06">
        <w:rPr>
          <w:spacing w:val="-4"/>
        </w:rPr>
        <w:t xml:space="preserve">), and S. F. Karim (senior consultant, </w:t>
      </w:r>
      <w:proofErr w:type="spellStart"/>
      <w:r w:rsidR="00673B90" w:rsidRPr="00201D06">
        <w:rPr>
          <w:spacing w:val="-4"/>
        </w:rPr>
        <w:t>Saregama</w:t>
      </w:r>
      <w:proofErr w:type="spellEnd"/>
      <w:r w:rsidR="00673B90" w:rsidRPr="00201D06">
        <w:rPr>
          <w:spacing w:val="-4"/>
        </w:rPr>
        <w:t>), February 6, 2018</w:t>
      </w:r>
      <w:r w:rsidR="00665C4C" w:rsidRPr="00201D06">
        <w:rPr>
          <w:spacing w:val="-4"/>
        </w:rPr>
        <w:t>;</w:t>
      </w:r>
      <w:r w:rsidR="00121894" w:rsidRPr="00201D06">
        <w:rPr>
          <w:spacing w:val="-4"/>
        </w:rPr>
        <w:t xml:space="preserve"> </w:t>
      </w:r>
      <w:r w:rsidR="008B73DC" w:rsidRPr="00201D06">
        <w:rPr>
          <w:spacing w:val="-4"/>
        </w:rPr>
        <w:t xml:space="preserve">and </w:t>
      </w:r>
      <w:r w:rsidR="00121894" w:rsidRPr="00201D06">
        <w:rPr>
          <w:spacing w:val="-4"/>
        </w:rPr>
        <w:t xml:space="preserve">“The </w:t>
      </w:r>
      <w:r w:rsidR="00A37354" w:rsidRPr="00201D06">
        <w:rPr>
          <w:spacing w:val="-4"/>
        </w:rPr>
        <w:t xml:space="preserve">Current </w:t>
      </w:r>
      <w:r w:rsidR="00121894" w:rsidRPr="00201D06">
        <w:rPr>
          <w:spacing w:val="-4"/>
        </w:rPr>
        <w:t xml:space="preserve">State of Digital in India,” e-Intelligence, accessed May 6, 2018, </w:t>
      </w:r>
      <w:r w:rsidR="00201D06" w:rsidRPr="00201D06">
        <w:rPr>
          <w:spacing w:val="-4"/>
        </w:rPr>
        <w:t>www.e-intelligence.in/blog/latest-interactive-infographic-the-state-of-digital-in-india</w:t>
      </w:r>
      <w:r w:rsidR="00BF6E29" w:rsidRPr="00201D06">
        <w:rPr>
          <w:spacing w:val="-4"/>
        </w:rPr>
        <w:t>.</w:t>
      </w:r>
    </w:p>
    <w:p w14:paraId="7CACF71E" w14:textId="629B571E" w:rsidR="00201D06" w:rsidRPr="005B308B" w:rsidRDefault="00201D06" w:rsidP="00201D06">
      <w:pPr>
        <w:pStyle w:val="ExhibitText"/>
        <w:rPr>
          <w:sz w:val="17"/>
          <w:szCs w:val="17"/>
        </w:rPr>
      </w:pPr>
    </w:p>
    <w:p w14:paraId="7C6A0438" w14:textId="77777777" w:rsidR="00201D06" w:rsidRPr="005B308B" w:rsidRDefault="00201D06" w:rsidP="00201D06">
      <w:pPr>
        <w:pStyle w:val="ExhibitText"/>
        <w:rPr>
          <w:sz w:val="17"/>
          <w:szCs w:val="17"/>
        </w:rPr>
      </w:pPr>
    </w:p>
    <w:p w14:paraId="70F5070F" w14:textId="5CD64DF2" w:rsidR="009A2813" w:rsidRDefault="009A2813" w:rsidP="009D0C91">
      <w:pPr>
        <w:pStyle w:val="ExhibitHeading"/>
      </w:pPr>
      <w:r>
        <w:t>E</w:t>
      </w:r>
      <w:r w:rsidRPr="00160BB6">
        <w:t>xhibit 4</w:t>
      </w:r>
      <w:r w:rsidRPr="008E5183">
        <w:t xml:space="preserve">: key players in </w:t>
      </w:r>
      <w:r w:rsidR="0093190D">
        <w:t xml:space="preserve">India’s </w:t>
      </w:r>
      <w:r w:rsidRPr="008E5183">
        <w:t xml:space="preserve">music </w:t>
      </w:r>
      <w:r w:rsidR="0093190D">
        <w:t>and</w:t>
      </w:r>
      <w:r w:rsidR="0093190D" w:rsidRPr="008E5183">
        <w:t xml:space="preserve"> </w:t>
      </w:r>
      <w:r w:rsidRPr="008E5183">
        <w:t>entertainment industry</w:t>
      </w:r>
    </w:p>
    <w:p w14:paraId="5738EF60" w14:textId="77777777" w:rsidR="00502AF1" w:rsidRPr="005B308B" w:rsidRDefault="00502AF1" w:rsidP="00201D06">
      <w:pPr>
        <w:pStyle w:val="ExhibitText"/>
        <w:rPr>
          <w:sz w:val="17"/>
          <w:szCs w:val="17"/>
        </w:rPr>
      </w:pPr>
    </w:p>
    <w:p w14:paraId="2A17C889" w14:textId="4AF8106F" w:rsidR="009A2813" w:rsidRPr="001F162D" w:rsidRDefault="009A2813" w:rsidP="00775E90">
      <w:pPr>
        <w:pStyle w:val="ExhibitText"/>
      </w:pPr>
      <w:r w:rsidRPr="001F162D">
        <w:rPr>
          <w:b/>
        </w:rPr>
        <w:t xml:space="preserve">Zee Entertainment </w:t>
      </w:r>
      <w:r w:rsidR="0093190D" w:rsidRPr="001F162D">
        <w:rPr>
          <w:b/>
        </w:rPr>
        <w:t xml:space="preserve">Enterprises </w:t>
      </w:r>
      <w:r w:rsidRPr="001F162D">
        <w:rPr>
          <w:b/>
        </w:rPr>
        <w:t>(</w:t>
      </w:r>
      <w:r w:rsidR="00DC05CD" w:rsidRPr="001F162D">
        <w:rPr>
          <w:b/>
        </w:rPr>
        <w:t>l</w:t>
      </w:r>
      <w:r w:rsidRPr="001F162D">
        <w:rPr>
          <w:b/>
        </w:rPr>
        <w:t xml:space="preserve">ocal </w:t>
      </w:r>
      <w:r w:rsidR="00DC05CD" w:rsidRPr="001F162D">
        <w:rPr>
          <w:b/>
        </w:rPr>
        <w:t>m</w:t>
      </w:r>
      <w:r w:rsidRPr="001F162D">
        <w:rPr>
          <w:b/>
        </w:rPr>
        <w:t>ajor)</w:t>
      </w:r>
      <w:r w:rsidRPr="001F162D">
        <w:t xml:space="preserve">: </w:t>
      </w:r>
      <w:r w:rsidR="0093190D" w:rsidRPr="001F162D">
        <w:t xml:space="preserve">The </w:t>
      </w:r>
      <w:r w:rsidRPr="001F162D">
        <w:t>Mumbai</w:t>
      </w:r>
      <w:r w:rsidR="0093190D" w:rsidRPr="001F162D">
        <w:t>-</w:t>
      </w:r>
      <w:r w:rsidRPr="001F162D">
        <w:t>based music major</w:t>
      </w:r>
      <w:r w:rsidR="00DC05CD" w:rsidRPr="001F162D">
        <w:t>,</w:t>
      </w:r>
      <w:r w:rsidRPr="001F162D">
        <w:t xml:space="preserve"> launched in 1992, </w:t>
      </w:r>
      <w:r w:rsidR="00DC05CD" w:rsidRPr="001F162D">
        <w:t xml:space="preserve">was </w:t>
      </w:r>
      <w:r w:rsidRPr="001F162D">
        <w:t xml:space="preserve">owned by </w:t>
      </w:r>
      <w:r w:rsidR="00DC05CD" w:rsidRPr="001F162D">
        <w:t xml:space="preserve">the </w:t>
      </w:r>
      <w:proofErr w:type="spellStart"/>
      <w:r w:rsidRPr="001F162D">
        <w:t>Essel</w:t>
      </w:r>
      <w:proofErr w:type="spellEnd"/>
      <w:r w:rsidRPr="001F162D">
        <w:t xml:space="preserve"> </w:t>
      </w:r>
      <w:r w:rsidR="00DC05CD" w:rsidRPr="001F162D">
        <w:t>G</w:t>
      </w:r>
      <w:r w:rsidRPr="001F162D">
        <w:t>rou</w:t>
      </w:r>
      <w:r w:rsidR="00EE3C19" w:rsidRPr="001F162D">
        <w:t>p</w:t>
      </w:r>
      <w:r w:rsidRPr="001F162D">
        <w:t xml:space="preserve">. The firm had diverse product offerings in the field of entertainment </w:t>
      </w:r>
      <w:r w:rsidR="008B06E0" w:rsidRPr="001F162D">
        <w:t xml:space="preserve">and a </w:t>
      </w:r>
      <w:r w:rsidRPr="001F162D">
        <w:t xml:space="preserve">considerable national and international presence. </w:t>
      </w:r>
      <w:r w:rsidR="00DC05CD" w:rsidRPr="001F162D">
        <w:t>It o</w:t>
      </w:r>
      <w:r w:rsidRPr="001F162D">
        <w:t xml:space="preserve">perated 37 domestic and 39 international </w:t>
      </w:r>
      <w:r w:rsidR="00DC05CD" w:rsidRPr="001F162D">
        <w:t>t</w:t>
      </w:r>
      <w:r w:rsidRPr="001F162D">
        <w:t>elevision channels</w:t>
      </w:r>
      <w:r w:rsidR="008B06E0" w:rsidRPr="001F162D">
        <w:t xml:space="preserve"> and </w:t>
      </w:r>
      <w:r w:rsidRPr="001F162D">
        <w:t>owned a music company</w:t>
      </w:r>
      <w:r w:rsidR="00DC05CD" w:rsidRPr="001F162D">
        <w:t xml:space="preserve"> (</w:t>
      </w:r>
      <w:r w:rsidRPr="001F162D">
        <w:t>Zee Music Company</w:t>
      </w:r>
      <w:r w:rsidR="00DC05CD" w:rsidRPr="001F162D">
        <w:t xml:space="preserve">) </w:t>
      </w:r>
      <w:r w:rsidRPr="001F162D">
        <w:t xml:space="preserve">and a </w:t>
      </w:r>
      <w:r w:rsidR="00DC05CD" w:rsidRPr="001F162D">
        <w:t>m</w:t>
      </w:r>
      <w:r w:rsidRPr="001F162D">
        <w:t>ulti</w:t>
      </w:r>
      <w:r w:rsidR="00DC05CD" w:rsidRPr="001F162D">
        <w:t>-s</w:t>
      </w:r>
      <w:r w:rsidRPr="001F162D">
        <w:t xml:space="preserve">atellite </w:t>
      </w:r>
      <w:r w:rsidR="00DC05CD" w:rsidRPr="001F162D">
        <w:t>o</w:t>
      </w:r>
      <w:r w:rsidRPr="001F162D">
        <w:t xml:space="preserve">perator </w:t>
      </w:r>
      <w:r w:rsidR="00DC05CD" w:rsidRPr="001F162D">
        <w:t>(</w:t>
      </w:r>
      <w:proofErr w:type="spellStart"/>
      <w:r w:rsidRPr="001F162D">
        <w:t>Siti</w:t>
      </w:r>
      <w:proofErr w:type="spellEnd"/>
      <w:r w:rsidRPr="001F162D">
        <w:t xml:space="preserve"> </w:t>
      </w:r>
      <w:r w:rsidR="00DC05CD" w:rsidRPr="001F162D">
        <w:t>C</w:t>
      </w:r>
      <w:r w:rsidRPr="001F162D">
        <w:t>able</w:t>
      </w:r>
      <w:r w:rsidR="00DC05CD" w:rsidRPr="001F162D">
        <w:t>)</w:t>
      </w:r>
      <w:r w:rsidRPr="001F162D">
        <w:t xml:space="preserve">. The </w:t>
      </w:r>
      <w:r w:rsidR="00DC05CD" w:rsidRPr="001F162D">
        <w:t xml:space="preserve">company’s </w:t>
      </w:r>
      <w:r w:rsidRPr="001F162D">
        <w:t xml:space="preserve">other interests included print, </w:t>
      </w:r>
      <w:r w:rsidR="00DC05CD" w:rsidRPr="001F162D">
        <w:t>I</w:t>
      </w:r>
      <w:r w:rsidRPr="001F162D">
        <w:t>nternet platforms, mobile app</w:t>
      </w:r>
      <w:r w:rsidR="00DC05CD" w:rsidRPr="001F162D">
        <w:t>lication</w:t>
      </w:r>
      <w:r w:rsidRPr="001F162D">
        <w:t>s</w:t>
      </w:r>
      <w:r w:rsidR="00DC05CD" w:rsidRPr="001F162D">
        <w:t xml:space="preserve">, and </w:t>
      </w:r>
      <w:r w:rsidRPr="001F162D">
        <w:t xml:space="preserve">film production. It had </w:t>
      </w:r>
      <w:r w:rsidR="00E7665C" w:rsidRPr="001F162D">
        <w:t>large-</w:t>
      </w:r>
      <w:r w:rsidRPr="001F162D">
        <w:t xml:space="preserve">scale operations in both content publishing </w:t>
      </w:r>
      <w:r w:rsidR="00DC05CD" w:rsidRPr="001F162D">
        <w:t xml:space="preserve">and </w:t>
      </w:r>
      <w:r w:rsidRPr="001F162D">
        <w:t xml:space="preserve">digital platforms. In 2010, in partnership with Penske Media Company </w:t>
      </w:r>
      <w:r w:rsidR="00DC05CD" w:rsidRPr="001F162D">
        <w:t xml:space="preserve">and </w:t>
      </w:r>
      <w:r w:rsidRPr="001F162D">
        <w:t>United Internet</w:t>
      </w:r>
      <w:r w:rsidR="00DC05CD" w:rsidRPr="001F162D">
        <w:t>, Zee Entertainment</w:t>
      </w:r>
      <w:r w:rsidRPr="001F162D">
        <w:t xml:space="preserve"> </w:t>
      </w:r>
      <w:r w:rsidR="00E7665C" w:rsidRPr="001F162D">
        <w:t xml:space="preserve">Enterprises </w:t>
      </w:r>
      <w:r w:rsidRPr="001F162D">
        <w:t>launched a digital platform</w:t>
      </w:r>
      <w:r w:rsidR="00DC05CD" w:rsidRPr="001F162D">
        <w:t xml:space="preserve">, </w:t>
      </w:r>
      <w:r w:rsidRPr="001F162D">
        <w:t xml:space="preserve">India </w:t>
      </w:r>
      <w:proofErr w:type="spellStart"/>
      <w:r w:rsidRPr="001F162D">
        <w:t>Webportal</w:t>
      </w:r>
      <w:proofErr w:type="spellEnd"/>
      <w:r w:rsidRPr="001F162D">
        <w:t xml:space="preserve"> </w:t>
      </w:r>
      <w:proofErr w:type="spellStart"/>
      <w:r w:rsidRPr="001F162D">
        <w:t>Pvt.</w:t>
      </w:r>
      <w:proofErr w:type="spellEnd"/>
      <w:r w:rsidRPr="001F162D">
        <w:t xml:space="preserve"> </w:t>
      </w:r>
      <w:r w:rsidR="00DC05CD" w:rsidRPr="001F162D">
        <w:t>Ltd</w:t>
      </w:r>
      <w:r w:rsidRPr="001F162D">
        <w:t>. In February 2018</w:t>
      </w:r>
      <w:r w:rsidR="00DC05CD" w:rsidRPr="001F162D">
        <w:t>, Zee Entertainment</w:t>
      </w:r>
      <w:r w:rsidRPr="001F162D">
        <w:t xml:space="preserve"> </w:t>
      </w:r>
      <w:r w:rsidR="00E7665C" w:rsidRPr="001F162D">
        <w:t xml:space="preserve">Enterprises </w:t>
      </w:r>
      <w:r w:rsidRPr="001F162D">
        <w:t xml:space="preserve">launched an </w:t>
      </w:r>
      <w:r w:rsidR="00DC05CD" w:rsidRPr="001F162D">
        <w:t>over-the-top (</w:t>
      </w:r>
      <w:r w:rsidRPr="001F162D">
        <w:t>OTT</w:t>
      </w:r>
      <w:r w:rsidR="00DC05CD" w:rsidRPr="001F162D">
        <w:t>)</w:t>
      </w:r>
      <w:r w:rsidRPr="001F162D">
        <w:t xml:space="preserve"> platform called Zee5. The firm carried out large-scale brand initiatives.</w:t>
      </w:r>
    </w:p>
    <w:p w14:paraId="382C88E6" w14:textId="77777777" w:rsidR="00775E90" w:rsidRPr="005B308B" w:rsidRDefault="00775E90" w:rsidP="00201D06">
      <w:pPr>
        <w:pStyle w:val="ExhibitText"/>
        <w:rPr>
          <w:sz w:val="17"/>
          <w:szCs w:val="17"/>
        </w:rPr>
      </w:pPr>
    </w:p>
    <w:p w14:paraId="6D74F8E4" w14:textId="7DE9832D" w:rsidR="009A2813" w:rsidRPr="001F162D" w:rsidRDefault="00FF68E9" w:rsidP="00775E90">
      <w:pPr>
        <w:pStyle w:val="ExhibitText"/>
      </w:pPr>
      <w:r w:rsidRPr="001F162D">
        <w:rPr>
          <w:b/>
        </w:rPr>
        <w:t xml:space="preserve">Super Cassettes Industries Private Limited, doing business as </w:t>
      </w:r>
      <w:r w:rsidR="009A2813" w:rsidRPr="001F162D">
        <w:rPr>
          <w:b/>
        </w:rPr>
        <w:t>T-</w:t>
      </w:r>
      <w:r w:rsidR="00DC05CD" w:rsidRPr="001F162D">
        <w:rPr>
          <w:b/>
        </w:rPr>
        <w:t>S</w:t>
      </w:r>
      <w:r w:rsidR="009A2813" w:rsidRPr="001F162D">
        <w:rPr>
          <w:b/>
        </w:rPr>
        <w:t xml:space="preserve">eries (local </w:t>
      </w:r>
      <w:r w:rsidR="00DC05CD" w:rsidRPr="001F162D">
        <w:rPr>
          <w:b/>
        </w:rPr>
        <w:t>major</w:t>
      </w:r>
      <w:r w:rsidR="009A2813" w:rsidRPr="001F162D">
        <w:rPr>
          <w:b/>
        </w:rPr>
        <w:t>)</w:t>
      </w:r>
      <w:r w:rsidR="009A2813" w:rsidRPr="001F162D">
        <w:rPr>
          <w:bCs/>
        </w:rPr>
        <w:t>:</w:t>
      </w:r>
      <w:r w:rsidR="009A2813" w:rsidRPr="001F162D">
        <w:t xml:space="preserve"> Founded in </w:t>
      </w:r>
      <w:r w:rsidR="00DC05CD" w:rsidRPr="001F162D">
        <w:t xml:space="preserve">the </w:t>
      </w:r>
      <w:r w:rsidR="009A2813" w:rsidRPr="001F162D">
        <w:t>1980s</w:t>
      </w:r>
      <w:r w:rsidR="00DC05CD" w:rsidRPr="001F162D">
        <w:t xml:space="preserve"> and </w:t>
      </w:r>
      <w:r w:rsidR="009A2813" w:rsidRPr="001F162D">
        <w:t>headquartered in Delhi</w:t>
      </w:r>
      <w:r w:rsidR="00DC05CD" w:rsidRPr="001F162D">
        <w:t>, T-Series</w:t>
      </w:r>
      <w:r w:rsidR="009A2813" w:rsidRPr="001F162D">
        <w:t xml:space="preserve"> began as a company selling pirated Hindi film music</w:t>
      </w:r>
      <w:r w:rsidR="00A06B3A" w:rsidRPr="001F162D">
        <w:t>.</w:t>
      </w:r>
      <w:r w:rsidRPr="001F162D">
        <w:t xml:space="preserve"> </w:t>
      </w:r>
      <w:r w:rsidR="00A06B3A" w:rsidRPr="001F162D">
        <w:t>It was</w:t>
      </w:r>
      <w:r w:rsidR="009A2813" w:rsidRPr="001F162D">
        <w:t xml:space="preserve"> privately</w:t>
      </w:r>
      <w:r w:rsidR="00E7665C" w:rsidRPr="001F162D">
        <w:t xml:space="preserve"> </w:t>
      </w:r>
      <w:r w:rsidR="009A2813" w:rsidRPr="001F162D">
        <w:t xml:space="preserve">owned </w:t>
      </w:r>
      <w:r w:rsidR="00E7665C" w:rsidRPr="001F162D">
        <w:t xml:space="preserve">by </w:t>
      </w:r>
      <w:r w:rsidRPr="001F162D">
        <w:t xml:space="preserve">the </w:t>
      </w:r>
      <w:r w:rsidR="009A2813" w:rsidRPr="001F162D">
        <w:t xml:space="preserve">Kumar family. </w:t>
      </w:r>
      <w:r w:rsidRPr="001F162D">
        <w:t>I</w:t>
      </w:r>
      <w:r w:rsidR="009A2813" w:rsidRPr="001F162D">
        <w:t>n the 1990s</w:t>
      </w:r>
      <w:r w:rsidRPr="001F162D">
        <w:t>, T-Series entered</w:t>
      </w:r>
      <w:r w:rsidR="009A2813" w:rsidRPr="001F162D">
        <w:t xml:space="preserve"> music distribution and film production. In 2017, it started its YouTube channel by </w:t>
      </w:r>
      <w:r w:rsidRPr="001F162D">
        <w:t xml:space="preserve">entering </w:t>
      </w:r>
      <w:r w:rsidR="009A2813" w:rsidRPr="001F162D">
        <w:t>into a licensing arrangement with Amazon India. This was hugely successful</w:t>
      </w:r>
      <w:r w:rsidR="00E7665C" w:rsidRPr="001F162D">
        <w:t>,</w:t>
      </w:r>
      <w:r w:rsidR="009A2813" w:rsidRPr="001F162D">
        <w:t xml:space="preserve"> with over 35 million subscriber</w:t>
      </w:r>
      <w:r w:rsidRPr="001F162D">
        <w:t>s</w:t>
      </w:r>
      <w:r w:rsidR="009A2813" w:rsidRPr="001F162D">
        <w:t xml:space="preserve"> and more than 30 billion views.</w:t>
      </w:r>
      <w:r w:rsidR="009A2813" w:rsidRPr="001F162D">
        <w:rPr>
          <w:rStyle w:val="FootnoteReference"/>
        </w:rPr>
        <w:t xml:space="preserve"> </w:t>
      </w:r>
    </w:p>
    <w:p w14:paraId="1F8CBB6B" w14:textId="77777777" w:rsidR="00775E90" w:rsidRPr="005B308B" w:rsidRDefault="00775E90" w:rsidP="00201D06">
      <w:pPr>
        <w:pStyle w:val="ExhibitText"/>
        <w:rPr>
          <w:sz w:val="17"/>
          <w:szCs w:val="17"/>
        </w:rPr>
      </w:pPr>
    </w:p>
    <w:p w14:paraId="3B7D462E" w14:textId="7201BDAA" w:rsidR="009A2813" w:rsidRPr="005B308B" w:rsidRDefault="009A2813" w:rsidP="00775E90">
      <w:pPr>
        <w:pStyle w:val="ExhibitText"/>
        <w:rPr>
          <w:spacing w:val="-4"/>
        </w:rPr>
      </w:pPr>
      <w:r w:rsidRPr="005B308B">
        <w:rPr>
          <w:b/>
          <w:spacing w:val="-4"/>
        </w:rPr>
        <w:t xml:space="preserve">Sony Music </w:t>
      </w:r>
      <w:r w:rsidR="008C675B" w:rsidRPr="005B308B">
        <w:rPr>
          <w:b/>
          <w:spacing w:val="-4"/>
        </w:rPr>
        <w:t xml:space="preserve">Group </w:t>
      </w:r>
      <w:r w:rsidRPr="005B308B">
        <w:rPr>
          <w:b/>
          <w:spacing w:val="-4"/>
        </w:rPr>
        <w:t>(</w:t>
      </w:r>
      <w:r w:rsidR="00FF68E9" w:rsidRPr="005B308B">
        <w:rPr>
          <w:b/>
          <w:spacing w:val="-4"/>
        </w:rPr>
        <w:t>i</w:t>
      </w:r>
      <w:r w:rsidRPr="005B308B">
        <w:rPr>
          <w:b/>
          <w:spacing w:val="-4"/>
        </w:rPr>
        <w:t>nternational)</w:t>
      </w:r>
      <w:r w:rsidRPr="005B308B">
        <w:rPr>
          <w:spacing w:val="-4"/>
        </w:rPr>
        <w:t xml:space="preserve">: </w:t>
      </w:r>
      <w:r w:rsidR="00FF68E9" w:rsidRPr="005B308B">
        <w:rPr>
          <w:spacing w:val="-4"/>
        </w:rPr>
        <w:t>Sony Music</w:t>
      </w:r>
      <w:r w:rsidRPr="005B308B">
        <w:rPr>
          <w:spacing w:val="-4"/>
        </w:rPr>
        <w:t xml:space="preserve"> </w:t>
      </w:r>
      <w:r w:rsidR="008C675B" w:rsidRPr="005B308B">
        <w:rPr>
          <w:spacing w:val="-4"/>
        </w:rPr>
        <w:t xml:space="preserve">Entertainment India </w:t>
      </w:r>
      <w:r w:rsidR="00D31160" w:rsidRPr="005B308B">
        <w:rPr>
          <w:spacing w:val="-4"/>
        </w:rPr>
        <w:t xml:space="preserve">(Sony Music) </w:t>
      </w:r>
      <w:r w:rsidR="00A06B3A" w:rsidRPr="005B308B">
        <w:rPr>
          <w:spacing w:val="-4"/>
        </w:rPr>
        <w:t>was</w:t>
      </w:r>
      <w:r w:rsidRPr="005B308B">
        <w:rPr>
          <w:spacing w:val="-4"/>
        </w:rPr>
        <w:t xml:space="preserve"> now a subsidiary of </w:t>
      </w:r>
      <w:r w:rsidR="00FF68E9" w:rsidRPr="005B308B">
        <w:rPr>
          <w:spacing w:val="-4"/>
        </w:rPr>
        <w:t xml:space="preserve">the </w:t>
      </w:r>
      <w:r w:rsidRPr="005B308B">
        <w:rPr>
          <w:spacing w:val="-4"/>
        </w:rPr>
        <w:t>Sony Corporation of America</w:t>
      </w:r>
      <w:r w:rsidR="00FF68E9" w:rsidRPr="005B308B">
        <w:rPr>
          <w:spacing w:val="-4"/>
        </w:rPr>
        <w:t>,</w:t>
      </w:r>
      <w:r w:rsidRPr="005B308B">
        <w:rPr>
          <w:spacing w:val="-4"/>
        </w:rPr>
        <w:t xml:space="preserve"> headquartered in New York. </w:t>
      </w:r>
      <w:r w:rsidR="00FF68E9" w:rsidRPr="005B308B">
        <w:rPr>
          <w:spacing w:val="-4"/>
        </w:rPr>
        <w:t xml:space="preserve">Sony Music </w:t>
      </w:r>
      <w:r w:rsidRPr="005B308B">
        <w:rPr>
          <w:spacing w:val="-4"/>
        </w:rPr>
        <w:t xml:space="preserve">began </w:t>
      </w:r>
      <w:r w:rsidR="00FF68E9" w:rsidRPr="005B308B">
        <w:rPr>
          <w:spacing w:val="-4"/>
        </w:rPr>
        <w:t xml:space="preserve">operating in India </w:t>
      </w:r>
      <w:r w:rsidRPr="005B308B">
        <w:rPr>
          <w:spacing w:val="-4"/>
        </w:rPr>
        <w:t xml:space="preserve">in 1997 </w:t>
      </w:r>
      <w:r w:rsidR="00A06B3A" w:rsidRPr="005B308B">
        <w:rPr>
          <w:spacing w:val="-4"/>
        </w:rPr>
        <w:t>and was</w:t>
      </w:r>
      <w:r w:rsidRPr="005B308B">
        <w:rPr>
          <w:spacing w:val="-4"/>
        </w:rPr>
        <w:t xml:space="preserve"> the first record company </w:t>
      </w:r>
      <w:r w:rsidR="00BF6E29" w:rsidRPr="005B308B">
        <w:rPr>
          <w:spacing w:val="-4"/>
        </w:rPr>
        <w:t>i</w:t>
      </w:r>
      <w:r w:rsidR="00FF68E9" w:rsidRPr="005B308B">
        <w:rPr>
          <w:spacing w:val="-4"/>
        </w:rPr>
        <w:t xml:space="preserve">n India </w:t>
      </w:r>
      <w:r w:rsidRPr="005B308B">
        <w:rPr>
          <w:spacing w:val="-4"/>
        </w:rPr>
        <w:t>to be 100</w:t>
      </w:r>
      <w:r w:rsidR="00FF68E9" w:rsidRPr="005B308B">
        <w:rPr>
          <w:spacing w:val="-4"/>
        </w:rPr>
        <w:t xml:space="preserve"> per cent</w:t>
      </w:r>
      <w:r w:rsidRPr="005B308B">
        <w:rPr>
          <w:spacing w:val="-4"/>
        </w:rPr>
        <w:t xml:space="preserve"> foreign owned. The firm </w:t>
      </w:r>
      <w:r w:rsidR="00A06B3A" w:rsidRPr="005B308B">
        <w:rPr>
          <w:spacing w:val="-4"/>
        </w:rPr>
        <w:t>was</w:t>
      </w:r>
      <w:r w:rsidRPr="005B308B">
        <w:rPr>
          <w:spacing w:val="-4"/>
        </w:rPr>
        <w:t xml:space="preserve"> </w:t>
      </w:r>
      <w:r w:rsidR="00FF68E9" w:rsidRPr="005B308B">
        <w:rPr>
          <w:spacing w:val="-4"/>
        </w:rPr>
        <w:t>involved with</w:t>
      </w:r>
      <w:r w:rsidRPr="005B308B">
        <w:rPr>
          <w:spacing w:val="-4"/>
        </w:rPr>
        <w:t xml:space="preserve"> </w:t>
      </w:r>
      <w:r w:rsidR="00FF68E9" w:rsidRPr="005B308B">
        <w:rPr>
          <w:spacing w:val="-4"/>
        </w:rPr>
        <w:t xml:space="preserve">publishing and distributing </w:t>
      </w:r>
      <w:r w:rsidRPr="005B308B">
        <w:rPr>
          <w:spacing w:val="-4"/>
        </w:rPr>
        <w:t xml:space="preserve">film </w:t>
      </w:r>
      <w:r w:rsidR="00FF68E9" w:rsidRPr="005B308B">
        <w:rPr>
          <w:spacing w:val="-4"/>
        </w:rPr>
        <w:t xml:space="preserve">and </w:t>
      </w:r>
      <w:r w:rsidRPr="005B308B">
        <w:rPr>
          <w:spacing w:val="-4"/>
        </w:rPr>
        <w:t>non-film music</w:t>
      </w:r>
      <w:r w:rsidR="008C675B" w:rsidRPr="005B308B">
        <w:rPr>
          <w:spacing w:val="-4"/>
        </w:rPr>
        <w:t>al</w:t>
      </w:r>
      <w:r w:rsidRPr="005B308B">
        <w:rPr>
          <w:spacing w:val="-4"/>
        </w:rPr>
        <w:t xml:space="preserve"> content. It also </w:t>
      </w:r>
      <w:r w:rsidR="00A06B3A" w:rsidRPr="005B308B">
        <w:rPr>
          <w:spacing w:val="-4"/>
        </w:rPr>
        <w:t xml:space="preserve">served as the </w:t>
      </w:r>
      <w:r w:rsidRPr="005B308B">
        <w:rPr>
          <w:spacing w:val="-4"/>
        </w:rPr>
        <w:t>distribut</w:t>
      </w:r>
      <w:r w:rsidR="00A06B3A" w:rsidRPr="005B308B">
        <w:rPr>
          <w:spacing w:val="-4"/>
        </w:rPr>
        <w:t>ion arm for</w:t>
      </w:r>
      <w:r w:rsidR="005022FE" w:rsidRPr="005B308B">
        <w:rPr>
          <w:spacing w:val="-4"/>
        </w:rPr>
        <w:t xml:space="preserve"> </w:t>
      </w:r>
      <w:r w:rsidRPr="005B308B">
        <w:rPr>
          <w:spacing w:val="-4"/>
        </w:rPr>
        <w:t xml:space="preserve">Hindi </w:t>
      </w:r>
      <w:r w:rsidR="00FF68E9" w:rsidRPr="005B308B">
        <w:rPr>
          <w:spacing w:val="-4"/>
        </w:rPr>
        <w:t xml:space="preserve">and </w:t>
      </w:r>
      <w:r w:rsidRPr="005B308B">
        <w:rPr>
          <w:spacing w:val="-4"/>
        </w:rPr>
        <w:t xml:space="preserve">regional </w:t>
      </w:r>
      <w:r w:rsidRPr="005B308B">
        <w:rPr>
          <w:spacing w:val="-6"/>
        </w:rPr>
        <w:t>content for other big music firms such as Zee</w:t>
      </w:r>
      <w:r w:rsidR="00FF68E9" w:rsidRPr="005B308B">
        <w:rPr>
          <w:spacing w:val="-6"/>
        </w:rPr>
        <w:t xml:space="preserve"> Entertainment</w:t>
      </w:r>
      <w:r w:rsidR="00637E3B" w:rsidRPr="005B308B">
        <w:rPr>
          <w:spacing w:val="-6"/>
        </w:rPr>
        <w:t xml:space="preserve"> Enterprises</w:t>
      </w:r>
      <w:r w:rsidRPr="005B308B">
        <w:rPr>
          <w:spacing w:val="-6"/>
        </w:rPr>
        <w:t xml:space="preserve">, </w:t>
      </w:r>
      <w:proofErr w:type="spellStart"/>
      <w:r w:rsidRPr="005B308B">
        <w:rPr>
          <w:spacing w:val="-6"/>
        </w:rPr>
        <w:t>Saregama</w:t>
      </w:r>
      <w:proofErr w:type="spellEnd"/>
      <w:r w:rsidR="00FF68E9" w:rsidRPr="005B308B">
        <w:rPr>
          <w:spacing w:val="-6"/>
        </w:rPr>
        <w:t>, and</w:t>
      </w:r>
      <w:r w:rsidRPr="005B308B">
        <w:rPr>
          <w:spacing w:val="-6"/>
        </w:rPr>
        <w:t xml:space="preserve"> Warner </w:t>
      </w:r>
      <w:r w:rsidR="00FF68E9" w:rsidRPr="005B308B">
        <w:rPr>
          <w:spacing w:val="-6"/>
        </w:rPr>
        <w:t>M</w:t>
      </w:r>
      <w:r w:rsidRPr="005B308B">
        <w:rPr>
          <w:spacing w:val="-6"/>
        </w:rPr>
        <w:t>usic</w:t>
      </w:r>
      <w:r w:rsidR="00FF68E9" w:rsidRPr="005B308B">
        <w:rPr>
          <w:spacing w:val="-6"/>
        </w:rPr>
        <w:t xml:space="preserve"> Group Inc</w:t>
      </w:r>
      <w:r w:rsidRPr="005B308B">
        <w:rPr>
          <w:spacing w:val="-6"/>
        </w:rPr>
        <w:t>.</w:t>
      </w:r>
    </w:p>
    <w:p w14:paraId="0DB0CBBF" w14:textId="77777777" w:rsidR="00502AF1" w:rsidRPr="005B308B" w:rsidRDefault="00502AF1" w:rsidP="00201D06">
      <w:pPr>
        <w:pStyle w:val="ExhibitText"/>
        <w:rPr>
          <w:sz w:val="17"/>
          <w:szCs w:val="17"/>
        </w:rPr>
      </w:pPr>
    </w:p>
    <w:p w14:paraId="25D40DE7" w14:textId="066DA482" w:rsidR="00201D06" w:rsidRDefault="00A06B3A" w:rsidP="005B308B">
      <w:pPr>
        <w:pStyle w:val="ExhibitText"/>
        <w:rPr>
          <w:spacing w:val="-4"/>
          <w:sz w:val="19"/>
          <w:szCs w:val="19"/>
        </w:rPr>
      </w:pPr>
      <w:r w:rsidRPr="001F162D">
        <w:rPr>
          <w:spacing w:val="-4"/>
        </w:rPr>
        <w:t xml:space="preserve">There were also smaller category leaders </w:t>
      </w:r>
      <w:r w:rsidR="009A2813" w:rsidRPr="001F162D">
        <w:rPr>
          <w:spacing w:val="-4"/>
        </w:rPr>
        <w:t xml:space="preserve">such as Eros International </w:t>
      </w:r>
      <w:r w:rsidR="00FF68E9" w:rsidRPr="001F162D">
        <w:rPr>
          <w:spacing w:val="-4"/>
        </w:rPr>
        <w:t xml:space="preserve">Media </w:t>
      </w:r>
      <w:proofErr w:type="spellStart"/>
      <w:r w:rsidR="009A2813" w:rsidRPr="001F162D">
        <w:rPr>
          <w:spacing w:val="-4"/>
        </w:rPr>
        <w:t>Pvt.</w:t>
      </w:r>
      <w:proofErr w:type="spellEnd"/>
      <w:r w:rsidR="009A2813" w:rsidRPr="001F162D">
        <w:rPr>
          <w:spacing w:val="-4"/>
        </w:rPr>
        <w:t xml:space="preserve"> </w:t>
      </w:r>
      <w:r w:rsidR="00FF68E9" w:rsidRPr="001F162D">
        <w:rPr>
          <w:spacing w:val="-4"/>
        </w:rPr>
        <w:t>Ltd</w:t>
      </w:r>
      <w:r w:rsidR="009A2813" w:rsidRPr="001F162D">
        <w:rPr>
          <w:spacing w:val="-4"/>
        </w:rPr>
        <w:t>.</w:t>
      </w:r>
      <w:r w:rsidR="00FF68E9" w:rsidRPr="001F162D">
        <w:rPr>
          <w:spacing w:val="-4"/>
        </w:rPr>
        <w:t>,</w:t>
      </w:r>
      <w:r w:rsidR="009A2813" w:rsidRPr="001F162D">
        <w:rPr>
          <w:spacing w:val="-4"/>
        </w:rPr>
        <w:t xml:space="preserve"> which was </w:t>
      </w:r>
      <w:r w:rsidR="00FF68E9" w:rsidRPr="001F162D">
        <w:rPr>
          <w:spacing w:val="-4"/>
        </w:rPr>
        <w:t xml:space="preserve">involved in </w:t>
      </w:r>
      <w:r w:rsidR="009A2813" w:rsidRPr="001F162D">
        <w:rPr>
          <w:spacing w:val="-4"/>
        </w:rPr>
        <w:t xml:space="preserve">motion picture production </w:t>
      </w:r>
      <w:r w:rsidRPr="001F162D">
        <w:rPr>
          <w:spacing w:val="-4"/>
        </w:rPr>
        <w:t>and</w:t>
      </w:r>
      <w:r w:rsidR="009A2813" w:rsidRPr="001F162D">
        <w:rPr>
          <w:spacing w:val="-4"/>
        </w:rPr>
        <w:t xml:space="preserve"> distribution</w:t>
      </w:r>
      <w:r w:rsidR="009D3ED0" w:rsidRPr="001F162D">
        <w:rPr>
          <w:spacing w:val="-4"/>
        </w:rPr>
        <w:t xml:space="preserve">, and </w:t>
      </w:r>
      <w:r w:rsidR="009A2813" w:rsidRPr="001F162D">
        <w:rPr>
          <w:spacing w:val="-4"/>
        </w:rPr>
        <w:t xml:space="preserve">Sun TV </w:t>
      </w:r>
      <w:r w:rsidR="009D3ED0" w:rsidRPr="001F162D">
        <w:rPr>
          <w:spacing w:val="-4"/>
        </w:rPr>
        <w:t>N</w:t>
      </w:r>
      <w:r w:rsidR="009A2813" w:rsidRPr="001F162D">
        <w:rPr>
          <w:spacing w:val="-4"/>
        </w:rPr>
        <w:t xml:space="preserve">etwork </w:t>
      </w:r>
      <w:r w:rsidR="009D3ED0" w:rsidRPr="001F162D">
        <w:rPr>
          <w:spacing w:val="-4"/>
        </w:rPr>
        <w:t xml:space="preserve">Ltd., </w:t>
      </w:r>
      <w:r w:rsidR="009A2813" w:rsidRPr="001F162D">
        <w:rPr>
          <w:spacing w:val="-4"/>
        </w:rPr>
        <w:t xml:space="preserve">a </w:t>
      </w:r>
      <w:r w:rsidR="009D3ED0" w:rsidRPr="001F162D">
        <w:rPr>
          <w:spacing w:val="-4"/>
        </w:rPr>
        <w:t xml:space="preserve">large TV production and network </w:t>
      </w:r>
      <w:r w:rsidR="009A2813" w:rsidRPr="001F162D">
        <w:rPr>
          <w:spacing w:val="-4"/>
        </w:rPr>
        <w:t xml:space="preserve">player </w:t>
      </w:r>
      <w:r w:rsidR="009D3ED0" w:rsidRPr="001F162D">
        <w:rPr>
          <w:spacing w:val="-4"/>
        </w:rPr>
        <w:t>in India’s s</w:t>
      </w:r>
      <w:r w:rsidR="009A2813" w:rsidRPr="001F162D">
        <w:rPr>
          <w:spacing w:val="-4"/>
        </w:rPr>
        <w:t xml:space="preserve">outhern region. </w:t>
      </w:r>
      <w:r w:rsidR="009D3ED0" w:rsidRPr="001F162D">
        <w:rPr>
          <w:spacing w:val="-4"/>
        </w:rPr>
        <w:t>T</w:t>
      </w:r>
      <w:r w:rsidR="009A2813" w:rsidRPr="001F162D">
        <w:rPr>
          <w:spacing w:val="-4"/>
        </w:rPr>
        <w:t xml:space="preserve">here were </w:t>
      </w:r>
      <w:r w:rsidR="009D3ED0" w:rsidRPr="001F162D">
        <w:rPr>
          <w:spacing w:val="-4"/>
        </w:rPr>
        <w:t xml:space="preserve">also </w:t>
      </w:r>
      <w:r w:rsidR="009A2813" w:rsidRPr="001F162D">
        <w:rPr>
          <w:spacing w:val="-4"/>
        </w:rPr>
        <w:t>subsidiaries of popular media houses</w:t>
      </w:r>
      <w:r w:rsidR="009D3ED0" w:rsidRPr="001F162D">
        <w:rPr>
          <w:spacing w:val="-4"/>
        </w:rPr>
        <w:t>,</w:t>
      </w:r>
      <w:r w:rsidR="009A2813" w:rsidRPr="001F162D">
        <w:rPr>
          <w:spacing w:val="-4"/>
        </w:rPr>
        <w:t xml:space="preserve"> such as Times Music</w:t>
      </w:r>
      <w:r w:rsidR="009D3ED0" w:rsidRPr="001F162D">
        <w:rPr>
          <w:spacing w:val="-4"/>
        </w:rPr>
        <w:t xml:space="preserve"> India</w:t>
      </w:r>
      <w:r w:rsidR="009A2813" w:rsidRPr="001F162D">
        <w:rPr>
          <w:spacing w:val="-4"/>
        </w:rPr>
        <w:t xml:space="preserve"> </w:t>
      </w:r>
      <w:r w:rsidR="00D31160" w:rsidRPr="001F162D">
        <w:rPr>
          <w:spacing w:val="-4"/>
        </w:rPr>
        <w:t xml:space="preserve">(Times Music) </w:t>
      </w:r>
      <w:r w:rsidR="009A2813" w:rsidRPr="001F162D">
        <w:rPr>
          <w:spacing w:val="-4"/>
        </w:rPr>
        <w:t>and Times Internet</w:t>
      </w:r>
      <w:r w:rsidR="00D31160" w:rsidRPr="001F162D">
        <w:rPr>
          <w:spacing w:val="-4"/>
        </w:rPr>
        <w:t>,</w:t>
      </w:r>
      <w:r w:rsidR="009A2813" w:rsidRPr="001F162D">
        <w:rPr>
          <w:spacing w:val="-4"/>
        </w:rPr>
        <w:t xml:space="preserve"> </w:t>
      </w:r>
      <w:r w:rsidR="009D3ED0" w:rsidRPr="001F162D">
        <w:rPr>
          <w:spacing w:val="-4"/>
        </w:rPr>
        <w:t xml:space="preserve">of Bennett Coleman and Co. Ltd. </w:t>
      </w:r>
      <w:r w:rsidR="009A2813" w:rsidRPr="001F162D">
        <w:rPr>
          <w:spacing w:val="-4"/>
        </w:rPr>
        <w:t xml:space="preserve">Times </w:t>
      </w:r>
      <w:r w:rsidR="009D3ED0" w:rsidRPr="001F162D">
        <w:rPr>
          <w:spacing w:val="-4"/>
        </w:rPr>
        <w:t>M</w:t>
      </w:r>
      <w:r w:rsidR="009A2813" w:rsidRPr="001F162D">
        <w:rPr>
          <w:spacing w:val="-4"/>
        </w:rPr>
        <w:t xml:space="preserve">usic began with music distribution </w:t>
      </w:r>
      <w:r w:rsidR="009D3ED0" w:rsidRPr="001F162D">
        <w:rPr>
          <w:spacing w:val="-4"/>
        </w:rPr>
        <w:t xml:space="preserve">and then launched </w:t>
      </w:r>
      <w:r w:rsidR="009A2813" w:rsidRPr="001F162D">
        <w:rPr>
          <w:spacing w:val="-4"/>
        </w:rPr>
        <w:t>its own music label (Junglee</w:t>
      </w:r>
      <w:r w:rsidR="009D3ED0" w:rsidRPr="001F162D">
        <w:rPr>
          <w:spacing w:val="-4"/>
        </w:rPr>
        <w:t xml:space="preserve"> Music</w:t>
      </w:r>
      <w:r w:rsidR="009A2813" w:rsidRPr="001F162D">
        <w:rPr>
          <w:spacing w:val="-4"/>
        </w:rPr>
        <w:t>) in 2007.</w:t>
      </w:r>
      <w:bookmarkStart w:id="1" w:name="_GoBack"/>
      <w:bookmarkEnd w:id="1"/>
      <w:r w:rsidR="00201D06">
        <w:rPr>
          <w:spacing w:val="-4"/>
          <w:sz w:val="19"/>
          <w:szCs w:val="19"/>
        </w:rPr>
        <w:br w:type="page"/>
      </w:r>
    </w:p>
    <w:p w14:paraId="5B24FC6C" w14:textId="534022FF" w:rsidR="009A2813" w:rsidRPr="00201D06" w:rsidRDefault="00201D06" w:rsidP="00201D06">
      <w:pPr>
        <w:pStyle w:val="ExhibitHeading"/>
        <w:rPr>
          <w:spacing w:val="-4"/>
          <w:sz w:val="19"/>
          <w:szCs w:val="19"/>
        </w:rPr>
      </w:pPr>
      <w:r w:rsidRPr="0062450F">
        <w:lastRenderedPageBreak/>
        <w:t xml:space="preserve">Exhibit </w:t>
      </w:r>
      <w:r>
        <w:t>4: (Continued)</w:t>
      </w:r>
    </w:p>
    <w:p w14:paraId="528519BB" w14:textId="77777777" w:rsidR="00502AF1" w:rsidRDefault="00502AF1" w:rsidP="00502AF1">
      <w:pPr>
        <w:pStyle w:val="ExhibitText"/>
      </w:pPr>
    </w:p>
    <w:p w14:paraId="4833556F" w14:textId="352A4D19" w:rsidR="009A2813" w:rsidRPr="001F162D" w:rsidRDefault="009A2813" w:rsidP="00502AF1">
      <w:pPr>
        <w:pStyle w:val="ExhibitText"/>
        <w:rPr>
          <w:szCs w:val="19"/>
        </w:rPr>
      </w:pPr>
      <w:r w:rsidRPr="001F162D">
        <w:rPr>
          <w:b/>
          <w:szCs w:val="19"/>
        </w:rPr>
        <w:t>The Digital Players</w:t>
      </w:r>
      <w:r w:rsidRPr="001F162D">
        <w:rPr>
          <w:szCs w:val="19"/>
        </w:rPr>
        <w:t xml:space="preserve">: </w:t>
      </w:r>
      <w:r w:rsidR="00637E3B" w:rsidRPr="001F162D">
        <w:rPr>
          <w:szCs w:val="19"/>
        </w:rPr>
        <w:t xml:space="preserve">Both </w:t>
      </w:r>
      <w:r w:rsidR="009D3ED0" w:rsidRPr="001F162D">
        <w:rPr>
          <w:szCs w:val="19"/>
        </w:rPr>
        <w:t xml:space="preserve">international </w:t>
      </w:r>
      <w:r w:rsidR="00637E3B" w:rsidRPr="001F162D">
        <w:rPr>
          <w:szCs w:val="19"/>
        </w:rPr>
        <w:t xml:space="preserve">OTT players </w:t>
      </w:r>
      <w:r w:rsidR="009D3ED0" w:rsidRPr="001F162D">
        <w:rPr>
          <w:szCs w:val="19"/>
        </w:rPr>
        <w:t xml:space="preserve">(Amazon Prime and Netflix) and domestic </w:t>
      </w:r>
      <w:r w:rsidR="00637E3B" w:rsidRPr="001F162D">
        <w:rPr>
          <w:szCs w:val="19"/>
        </w:rPr>
        <w:t xml:space="preserve">OTT players </w:t>
      </w:r>
      <w:r w:rsidR="009D3ED0" w:rsidRPr="001F162D">
        <w:rPr>
          <w:szCs w:val="19"/>
        </w:rPr>
        <w:t>(</w:t>
      </w:r>
      <w:proofErr w:type="spellStart"/>
      <w:r w:rsidR="009D3ED0" w:rsidRPr="001F162D">
        <w:rPr>
          <w:szCs w:val="19"/>
        </w:rPr>
        <w:t>Hotstar</w:t>
      </w:r>
      <w:proofErr w:type="spellEnd"/>
      <w:r w:rsidR="009D3ED0" w:rsidRPr="001F162D">
        <w:rPr>
          <w:szCs w:val="19"/>
        </w:rPr>
        <w:t>, Sony L</w:t>
      </w:r>
      <w:r w:rsidR="0094460D" w:rsidRPr="001F162D">
        <w:rPr>
          <w:szCs w:val="19"/>
        </w:rPr>
        <w:t>IV</w:t>
      </w:r>
      <w:r w:rsidR="009D3ED0" w:rsidRPr="001F162D">
        <w:rPr>
          <w:szCs w:val="19"/>
        </w:rPr>
        <w:t>)</w:t>
      </w:r>
      <w:r w:rsidR="0094460D" w:rsidRPr="001F162D">
        <w:rPr>
          <w:szCs w:val="19"/>
        </w:rPr>
        <w:t xml:space="preserve"> were </w:t>
      </w:r>
      <w:r w:rsidR="00637E3B" w:rsidRPr="001F162D">
        <w:rPr>
          <w:szCs w:val="19"/>
        </w:rPr>
        <w:t xml:space="preserve">emerging </w:t>
      </w:r>
      <w:r w:rsidR="0094460D" w:rsidRPr="001F162D">
        <w:rPr>
          <w:szCs w:val="19"/>
        </w:rPr>
        <w:t>in India’s</w:t>
      </w:r>
      <w:r w:rsidRPr="001F162D">
        <w:rPr>
          <w:szCs w:val="19"/>
        </w:rPr>
        <w:t xml:space="preserve"> music </w:t>
      </w:r>
      <w:r w:rsidR="009D3ED0" w:rsidRPr="001F162D">
        <w:rPr>
          <w:szCs w:val="19"/>
        </w:rPr>
        <w:t xml:space="preserve">and </w:t>
      </w:r>
      <w:r w:rsidRPr="001F162D">
        <w:rPr>
          <w:szCs w:val="19"/>
        </w:rPr>
        <w:t>entertainment sector</w:t>
      </w:r>
      <w:r w:rsidR="0094460D" w:rsidRPr="001F162D">
        <w:rPr>
          <w:szCs w:val="19"/>
        </w:rPr>
        <w:t>. S</w:t>
      </w:r>
      <w:r w:rsidRPr="001F162D">
        <w:rPr>
          <w:szCs w:val="19"/>
        </w:rPr>
        <w:t>maller and regional players ma</w:t>
      </w:r>
      <w:r w:rsidR="00A06B3A" w:rsidRPr="001F162D">
        <w:rPr>
          <w:szCs w:val="19"/>
        </w:rPr>
        <w:t>de</w:t>
      </w:r>
      <w:r w:rsidRPr="001F162D">
        <w:rPr>
          <w:szCs w:val="19"/>
        </w:rPr>
        <w:t xml:space="preserve"> </w:t>
      </w:r>
      <w:r w:rsidR="0094460D" w:rsidRPr="001F162D">
        <w:rPr>
          <w:szCs w:val="19"/>
        </w:rPr>
        <w:t xml:space="preserve">the market </w:t>
      </w:r>
      <w:r w:rsidRPr="001F162D">
        <w:rPr>
          <w:szCs w:val="19"/>
        </w:rPr>
        <w:t>extremely cluttered</w:t>
      </w:r>
      <w:r w:rsidR="00637E3B" w:rsidRPr="001F162D">
        <w:rPr>
          <w:szCs w:val="19"/>
        </w:rPr>
        <w:t>,</w:t>
      </w:r>
      <w:r w:rsidRPr="001F162D">
        <w:rPr>
          <w:szCs w:val="19"/>
        </w:rPr>
        <w:t xml:space="preserve"> with low entry </w:t>
      </w:r>
      <w:r w:rsidR="00A06B3A" w:rsidRPr="001F162D">
        <w:rPr>
          <w:szCs w:val="19"/>
        </w:rPr>
        <w:t>and</w:t>
      </w:r>
      <w:r w:rsidRPr="001F162D">
        <w:rPr>
          <w:szCs w:val="19"/>
        </w:rPr>
        <w:t xml:space="preserve"> exit barriers. </w:t>
      </w:r>
      <w:r w:rsidR="0094460D" w:rsidRPr="001F162D">
        <w:rPr>
          <w:szCs w:val="19"/>
        </w:rPr>
        <w:t xml:space="preserve">Digital players also included </w:t>
      </w:r>
      <w:r w:rsidRPr="001F162D">
        <w:rPr>
          <w:szCs w:val="19"/>
        </w:rPr>
        <w:t>smartphone</w:t>
      </w:r>
      <w:r w:rsidR="0094460D" w:rsidRPr="001F162D">
        <w:rPr>
          <w:szCs w:val="19"/>
        </w:rPr>
        <w:t>-</w:t>
      </w:r>
      <w:r w:rsidRPr="001F162D">
        <w:rPr>
          <w:szCs w:val="19"/>
        </w:rPr>
        <w:t xml:space="preserve">friendly streaming services provided by </w:t>
      </w:r>
      <w:r w:rsidR="0094460D" w:rsidRPr="001F162D">
        <w:rPr>
          <w:szCs w:val="19"/>
        </w:rPr>
        <w:t xml:space="preserve">seven </w:t>
      </w:r>
      <w:r w:rsidRPr="001F162D">
        <w:rPr>
          <w:szCs w:val="19"/>
        </w:rPr>
        <w:t xml:space="preserve">local telecom </w:t>
      </w:r>
      <w:r w:rsidR="0094460D" w:rsidRPr="001F162D">
        <w:rPr>
          <w:szCs w:val="19"/>
        </w:rPr>
        <w:t>I</w:t>
      </w:r>
      <w:r w:rsidRPr="001F162D">
        <w:rPr>
          <w:szCs w:val="19"/>
        </w:rPr>
        <w:t>nternet companies</w:t>
      </w:r>
      <w:r w:rsidR="00473C31" w:rsidRPr="001F162D">
        <w:rPr>
          <w:szCs w:val="19"/>
        </w:rPr>
        <w:t>—</w:t>
      </w:r>
      <w:r w:rsidR="0094460D" w:rsidRPr="001F162D">
        <w:rPr>
          <w:szCs w:val="19"/>
        </w:rPr>
        <w:t xml:space="preserve">including </w:t>
      </w:r>
      <w:r w:rsidRPr="001F162D">
        <w:rPr>
          <w:szCs w:val="19"/>
        </w:rPr>
        <w:t xml:space="preserve">Reliance </w:t>
      </w:r>
      <w:proofErr w:type="spellStart"/>
      <w:r w:rsidRPr="001F162D">
        <w:rPr>
          <w:szCs w:val="19"/>
        </w:rPr>
        <w:t>Jio</w:t>
      </w:r>
      <w:proofErr w:type="spellEnd"/>
      <w:r w:rsidRPr="001F162D">
        <w:rPr>
          <w:szCs w:val="19"/>
        </w:rPr>
        <w:t xml:space="preserve"> </w:t>
      </w:r>
      <w:proofErr w:type="spellStart"/>
      <w:r w:rsidR="0094460D" w:rsidRPr="001F162D">
        <w:rPr>
          <w:szCs w:val="19"/>
        </w:rPr>
        <w:t>Infocomm</w:t>
      </w:r>
      <w:proofErr w:type="spellEnd"/>
      <w:r w:rsidR="0094460D" w:rsidRPr="001F162D">
        <w:rPr>
          <w:szCs w:val="19"/>
        </w:rPr>
        <w:t xml:space="preserve"> Ltd. </w:t>
      </w:r>
      <w:r w:rsidRPr="001F162D">
        <w:rPr>
          <w:szCs w:val="19"/>
        </w:rPr>
        <w:t>(</w:t>
      </w:r>
      <w:proofErr w:type="spellStart"/>
      <w:r w:rsidRPr="001F162D">
        <w:rPr>
          <w:szCs w:val="19"/>
        </w:rPr>
        <w:t>Jio</w:t>
      </w:r>
      <w:r w:rsidR="0094460D" w:rsidRPr="001F162D">
        <w:rPr>
          <w:szCs w:val="19"/>
        </w:rPr>
        <w:t>Saavn</w:t>
      </w:r>
      <w:proofErr w:type="spellEnd"/>
      <w:r w:rsidRPr="001F162D">
        <w:rPr>
          <w:szCs w:val="19"/>
        </w:rPr>
        <w:t xml:space="preserve"> Music</w:t>
      </w:r>
      <w:r w:rsidR="0094460D" w:rsidRPr="001F162D">
        <w:rPr>
          <w:szCs w:val="19"/>
        </w:rPr>
        <w:t xml:space="preserve"> and Radio</w:t>
      </w:r>
      <w:r w:rsidRPr="001F162D">
        <w:rPr>
          <w:szCs w:val="19"/>
        </w:rPr>
        <w:t>)</w:t>
      </w:r>
      <w:r w:rsidR="0094460D" w:rsidRPr="001F162D">
        <w:rPr>
          <w:szCs w:val="19"/>
        </w:rPr>
        <w:t xml:space="preserve">, </w:t>
      </w:r>
      <w:r w:rsidRPr="001F162D">
        <w:rPr>
          <w:szCs w:val="19"/>
        </w:rPr>
        <w:t xml:space="preserve">Bharti Airtel </w:t>
      </w:r>
      <w:r w:rsidR="0094460D" w:rsidRPr="001F162D">
        <w:rPr>
          <w:szCs w:val="19"/>
        </w:rPr>
        <w:t xml:space="preserve">Ltd. </w:t>
      </w:r>
      <w:r w:rsidRPr="001F162D">
        <w:rPr>
          <w:szCs w:val="19"/>
        </w:rPr>
        <w:t>(</w:t>
      </w:r>
      <w:proofErr w:type="spellStart"/>
      <w:r w:rsidRPr="001F162D">
        <w:rPr>
          <w:szCs w:val="19"/>
        </w:rPr>
        <w:t>Wynk</w:t>
      </w:r>
      <w:proofErr w:type="spellEnd"/>
      <w:r w:rsidRPr="001F162D">
        <w:rPr>
          <w:szCs w:val="19"/>
        </w:rPr>
        <w:t xml:space="preserve"> </w:t>
      </w:r>
      <w:r w:rsidR="0094460D" w:rsidRPr="001F162D">
        <w:rPr>
          <w:szCs w:val="19"/>
        </w:rPr>
        <w:t>M</w:t>
      </w:r>
      <w:r w:rsidRPr="001F162D">
        <w:rPr>
          <w:szCs w:val="19"/>
        </w:rPr>
        <w:t>usic)</w:t>
      </w:r>
      <w:r w:rsidR="0094460D" w:rsidRPr="001F162D">
        <w:rPr>
          <w:szCs w:val="19"/>
        </w:rPr>
        <w:t>,</w:t>
      </w:r>
      <w:r w:rsidRPr="001F162D">
        <w:rPr>
          <w:szCs w:val="19"/>
        </w:rPr>
        <w:t xml:space="preserve"> and Times Internet (</w:t>
      </w:r>
      <w:proofErr w:type="spellStart"/>
      <w:r w:rsidRPr="001F162D">
        <w:rPr>
          <w:szCs w:val="19"/>
        </w:rPr>
        <w:t>Gaana</w:t>
      </w:r>
      <w:proofErr w:type="spellEnd"/>
      <w:r w:rsidRPr="001F162D">
        <w:rPr>
          <w:szCs w:val="19"/>
        </w:rPr>
        <w:t>)</w:t>
      </w:r>
      <w:r w:rsidR="00473C31" w:rsidRPr="001F162D">
        <w:rPr>
          <w:szCs w:val="19"/>
        </w:rPr>
        <w:t>—and</w:t>
      </w:r>
      <w:r w:rsidRPr="001F162D">
        <w:rPr>
          <w:szCs w:val="19"/>
        </w:rPr>
        <w:t xml:space="preserve"> international </w:t>
      </w:r>
      <w:r w:rsidR="00473C31" w:rsidRPr="001F162D">
        <w:rPr>
          <w:szCs w:val="19"/>
        </w:rPr>
        <w:t xml:space="preserve">providers such as </w:t>
      </w:r>
      <w:r w:rsidRPr="001F162D">
        <w:rPr>
          <w:szCs w:val="19"/>
        </w:rPr>
        <w:t>Apple Music, Google Music</w:t>
      </w:r>
      <w:r w:rsidR="00473C31" w:rsidRPr="001F162D">
        <w:rPr>
          <w:szCs w:val="19"/>
        </w:rPr>
        <w:t>,</w:t>
      </w:r>
      <w:r w:rsidRPr="001F162D">
        <w:rPr>
          <w:szCs w:val="19"/>
        </w:rPr>
        <w:t xml:space="preserve"> and Amazon Prime Music. </w:t>
      </w:r>
      <w:r w:rsidR="00637E3B" w:rsidRPr="001F162D">
        <w:rPr>
          <w:szCs w:val="19"/>
        </w:rPr>
        <w:t>Users could use voice-</w:t>
      </w:r>
      <w:r w:rsidR="00473C31" w:rsidRPr="001F162D">
        <w:rPr>
          <w:szCs w:val="19"/>
        </w:rPr>
        <w:t xml:space="preserve">commanded devices—notably </w:t>
      </w:r>
      <w:r w:rsidRPr="001F162D">
        <w:rPr>
          <w:szCs w:val="19"/>
        </w:rPr>
        <w:t>Google Home and Amazon Echo</w:t>
      </w:r>
      <w:r w:rsidR="00473C31" w:rsidRPr="001F162D">
        <w:rPr>
          <w:szCs w:val="19"/>
        </w:rPr>
        <w:t xml:space="preserve">—in addition to smartphones and computers to </w:t>
      </w:r>
      <w:r w:rsidRPr="001F162D">
        <w:rPr>
          <w:szCs w:val="19"/>
        </w:rPr>
        <w:t xml:space="preserve">play </w:t>
      </w:r>
      <w:r w:rsidR="00637E3B" w:rsidRPr="001F162D">
        <w:rPr>
          <w:szCs w:val="19"/>
        </w:rPr>
        <w:t xml:space="preserve">their </w:t>
      </w:r>
      <w:r w:rsidRPr="001F162D">
        <w:rPr>
          <w:szCs w:val="19"/>
        </w:rPr>
        <w:t>favourite music.</w:t>
      </w:r>
    </w:p>
    <w:p w14:paraId="74615D29" w14:textId="77777777" w:rsidR="009A2813" w:rsidRPr="001F162D" w:rsidRDefault="009A2813" w:rsidP="00502AF1">
      <w:pPr>
        <w:pStyle w:val="ExhibitText"/>
        <w:rPr>
          <w:szCs w:val="19"/>
        </w:rPr>
      </w:pPr>
    </w:p>
    <w:p w14:paraId="3E442AEA" w14:textId="36EF3BA9" w:rsidR="00502AF1" w:rsidRPr="001F162D" w:rsidRDefault="009A2813" w:rsidP="00502AF1">
      <w:pPr>
        <w:pStyle w:val="ExhibitText"/>
        <w:rPr>
          <w:szCs w:val="19"/>
        </w:rPr>
      </w:pPr>
      <w:r w:rsidRPr="001F162D">
        <w:rPr>
          <w:b/>
          <w:szCs w:val="19"/>
        </w:rPr>
        <w:t>Piracy</w:t>
      </w:r>
      <w:r w:rsidR="00473C31" w:rsidRPr="001F162D">
        <w:rPr>
          <w:b/>
          <w:szCs w:val="19"/>
        </w:rPr>
        <w:t xml:space="preserve"> and</w:t>
      </w:r>
      <w:r w:rsidRPr="001F162D">
        <w:rPr>
          <w:b/>
          <w:szCs w:val="19"/>
        </w:rPr>
        <w:t xml:space="preserve"> Counterfeit</w:t>
      </w:r>
      <w:r w:rsidRPr="001F162D">
        <w:rPr>
          <w:szCs w:val="19"/>
        </w:rPr>
        <w:t xml:space="preserve">: </w:t>
      </w:r>
      <w:r w:rsidR="00A06B3A" w:rsidRPr="001F162D">
        <w:rPr>
          <w:szCs w:val="19"/>
        </w:rPr>
        <w:t>There was also a</w:t>
      </w:r>
      <w:r w:rsidRPr="001F162D">
        <w:rPr>
          <w:szCs w:val="19"/>
        </w:rPr>
        <w:t xml:space="preserve"> parallel </w:t>
      </w:r>
      <w:r w:rsidR="00473C31" w:rsidRPr="001F162D">
        <w:rPr>
          <w:szCs w:val="19"/>
        </w:rPr>
        <w:t>g</w:t>
      </w:r>
      <w:r w:rsidRPr="001F162D">
        <w:rPr>
          <w:szCs w:val="19"/>
        </w:rPr>
        <w:t xml:space="preserve">rey market </w:t>
      </w:r>
      <w:r w:rsidR="00473C31" w:rsidRPr="001F162D">
        <w:rPr>
          <w:szCs w:val="19"/>
        </w:rPr>
        <w:t xml:space="preserve">that allowed </w:t>
      </w:r>
      <w:r w:rsidRPr="001F162D">
        <w:rPr>
          <w:szCs w:val="19"/>
        </w:rPr>
        <w:t>Indian consumer</w:t>
      </w:r>
      <w:r w:rsidR="00637E3B" w:rsidRPr="001F162D">
        <w:rPr>
          <w:szCs w:val="19"/>
        </w:rPr>
        <w:t>s</w:t>
      </w:r>
      <w:r w:rsidRPr="001F162D">
        <w:rPr>
          <w:szCs w:val="19"/>
        </w:rPr>
        <w:t xml:space="preserve"> </w:t>
      </w:r>
      <w:r w:rsidR="00473C31" w:rsidRPr="001F162D">
        <w:rPr>
          <w:szCs w:val="19"/>
        </w:rPr>
        <w:t xml:space="preserve">to </w:t>
      </w:r>
      <w:r w:rsidRPr="001F162D">
        <w:rPr>
          <w:szCs w:val="19"/>
        </w:rPr>
        <w:t>download free</w:t>
      </w:r>
      <w:r w:rsidR="00A06B3A" w:rsidRPr="001F162D">
        <w:rPr>
          <w:szCs w:val="19"/>
        </w:rPr>
        <w:t>,</w:t>
      </w:r>
      <w:r w:rsidRPr="001F162D">
        <w:rPr>
          <w:szCs w:val="19"/>
        </w:rPr>
        <w:t xml:space="preserve"> pirated content</w:t>
      </w:r>
      <w:r w:rsidR="00637E3B" w:rsidRPr="001F162D">
        <w:rPr>
          <w:szCs w:val="19"/>
        </w:rPr>
        <w:t xml:space="preserve">; </w:t>
      </w:r>
      <w:r w:rsidR="00473C31" w:rsidRPr="001F162D">
        <w:rPr>
          <w:szCs w:val="19"/>
        </w:rPr>
        <w:t xml:space="preserve">purchase </w:t>
      </w:r>
      <w:r w:rsidRPr="001F162D">
        <w:rPr>
          <w:szCs w:val="19"/>
        </w:rPr>
        <w:t>pirated and counterfeit CDs</w:t>
      </w:r>
      <w:r w:rsidR="00473C31" w:rsidRPr="001F162D">
        <w:rPr>
          <w:szCs w:val="19"/>
        </w:rPr>
        <w:t xml:space="preserve"> and</w:t>
      </w:r>
      <w:r w:rsidRPr="001F162D">
        <w:rPr>
          <w:szCs w:val="19"/>
        </w:rPr>
        <w:t xml:space="preserve"> DVDs </w:t>
      </w:r>
      <w:r w:rsidR="00473C31" w:rsidRPr="001F162D">
        <w:rPr>
          <w:szCs w:val="19"/>
        </w:rPr>
        <w:t>at deeply discounted</w:t>
      </w:r>
      <w:r w:rsidRPr="001F162D">
        <w:rPr>
          <w:szCs w:val="19"/>
        </w:rPr>
        <w:t xml:space="preserve"> prices</w:t>
      </w:r>
      <w:r w:rsidR="00637E3B" w:rsidRPr="001F162D">
        <w:rPr>
          <w:szCs w:val="19"/>
        </w:rPr>
        <w:t xml:space="preserve">; </w:t>
      </w:r>
      <w:r w:rsidR="00473C31" w:rsidRPr="001F162D">
        <w:rPr>
          <w:szCs w:val="19"/>
        </w:rPr>
        <w:t xml:space="preserve">and </w:t>
      </w:r>
      <w:r w:rsidR="00637E3B" w:rsidRPr="001F162D">
        <w:rPr>
          <w:szCs w:val="19"/>
        </w:rPr>
        <w:t>”borrow”</w:t>
      </w:r>
      <w:r w:rsidR="00473C31" w:rsidRPr="001F162D">
        <w:rPr>
          <w:szCs w:val="19"/>
        </w:rPr>
        <w:t xml:space="preserve"> pirated and counterfeit</w:t>
      </w:r>
      <w:r w:rsidRPr="001F162D">
        <w:rPr>
          <w:szCs w:val="19"/>
        </w:rPr>
        <w:t xml:space="preserve"> CD</w:t>
      </w:r>
      <w:r w:rsidR="00473C31" w:rsidRPr="001F162D">
        <w:rPr>
          <w:szCs w:val="19"/>
        </w:rPr>
        <w:t xml:space="preserve">s and </w:t>
      </w:r>
      <w:r w:rsidRPr="001F162D">
        <w:rPr>
          <w:szCs w:val="19"/>
        </w:rPr>
        <w:t>DVD</w:t>
      </w:r>
      <w:r w:rsidR="00473C31" w:rsidRPr="001F162D">
        <w:rPr>
          <w:szCs w:val="19"/>
        </w:rPr>
        <w:t>s through</w:t>
      </w:r>
      <w:r w:rsidRPr="001F162D">
        <w:rPr>
          <w:szCs w:val="19"/>
        </w:rPr>
        <w:t xml:space="preserve"> </w:t>
      </w:r>
      <w:r w:rsidR="00637E3B" w:rsidRPr="001F162D">
        <w:rPr>
          <w:szCs w:val="19"/>
        </w:rPr>
        <w:t>home-</w:t>
      </w:r>
      <w:r w:rsidRPr="001F162D">
        <w:rPr>
          <w:szCs w:val="19"/>
        </w:rPr>
        <w:t>deliver</w:t>
      </w:r>
      <w:r w:rsidR="00473C31" w:rsidRPr="001F162D">
        <w:rPr>
          <w:szCs w:val="19"/>
        </w:rPr>
        <w:t>y</w:t>
      </w:r>
      <w:r w:rsidR="00637E3B" w:rsidRPr="001F162D">
        <w:rPr>
          <w:szCs w:val="19"/>
        </w:rPr>
        <w:t xml:space="preserve"> lending libraries</w:t>
      </w:r>
      <w:r w:rsidRPr="001F162D">
        <w:rPr>
          <w:szCs w:val="19"/>
        </w:rPr>
        <w:t xml:space="preserve">. </w:t>
      </w:r>
    </w:p>
    <w:p w14:paraId="563FE5EE" w14:textId="234024DF" w:rsidR="009A2813" w:rsidRDefault="009A2813" w:rsidP="00502AF1">
      <w:pPr>
        <w:pStyle w:val="ExhibitText"/>
      </w:pPr>
    </w:p>
    <w:p w14:paraId="2CF34CCA" w14:textId="724E850A" w:rsidR="00367200" w:rsidRDefault="009A2813" w:rsidP="00327A07">
      <w:pPr>
        <w:pStyle w:val="Footnote"/>
        <w:rPr>
          <w:spacing w:val="-4"/>
        </w:rPr>
      </w:pPr>
      <w:r w:rsidRPr="008E5183">
        <w:t xml:space="preserve">Source: </w:t>
      </w:r>
      <w:r w:rsidR="00EE3C19" w:rsidRPr="00EE3C19">
        <w:rPr>
          <w:spacing w:val="-4"/>
        </w:rPr>
        <w:t xml:space="preserve">“Zee Entertainment Enterprises,” Money Control, accessed May 6, 2018, </w:t>
      </w:r>
      <w:r w:rsidR="00473C31" w:rsidRPr="00673B90">
        <w:t>www.moneycontrol.com/company-facts/zeeentertainmententerprises/history/ZEE</w:t>
      </w:r>
      <w:r w:rsidR="00EE3C19" w:rsidRPr="00EE3C19">
        <w:rPr>
          <w:spacing w:val="-4"/>
        </w:rPr>
        <w:t xml:space="preserve">; </w:t>
      </w:r>
      <w:r w:rsidR="00A37354">
        <w:rPr>
          <w:spacing w:val="-4"/>
        </w:rPr>
        <w:t xml:space="preserve">India Brand Equity Foundation, </w:t>
      </w:r>
      <w:r w:rsidR="00EE3C19" w:rsidRPr="00EE3C19">
        <w:rPr>
          <w:spacing w:val="-4"/>
        </w:rPr>
        <w:t xml:space="preserve">“Zee Entertainment Enterprises </w:t>
      </w:r>
      <w:r w:rsidR="00473C31">
        <w:rPr>
          <w:spacing w:val="-4"/>
        </w:rPr>
        <w:t>Limited</w:t>
      </w:r>
      <w:r w:rsidR="00EE3C19" w:rsidRPr="00EE3C19">
        <w:rPr>
          <w:spacing w:val="-4"/>
        </w:rPr>
        <w:t>,” IBEF, accessed May</w:t>
      </w:r>
      <w:r w:rsidR="006951E3">
        <w:rPr>
          <w:spacing w:val="-4"/>
        </w:rPr>
        <w:t xml:space="preserve"> </w:t>
      </w:r>
      <w:r w:rsidR="00EE3C19" w:rsidRPr="00EE3C19">
        <w:rPr>
          <w:spacing w:val="-4"/>
        </w:rPr>
        <w:t xml:space="preserve">6, 2018, </w:t>
      </w:r>
      <w:r w:rsidR="006951E3" w:rsidRPr="006951E3">
        <w:rPr>
          <w:spacing w:val="-4"/>
        </w:rPr>
        <w:t>www.ibef.org/industry/media-entertainment-india/showcase/zee-entertainment</w:t>
      </w:r>
      <w:r w:rsidR="00EE3C19" w:rsidRPr="00EE3C19">
        <w:rPr>
          <w:spacing w:val="-4"/>
        </w:rPr>
        <w:t>; “</w:t>
      </w:r>
      <w:r w:rsidR="006951E3">
        <w:rPr>
          <w:spacing w:val="-4"/>
        </w:rPr>
        <w:t>Movies and Music</w:t>
      </w:r>
      <w:r w:rsidR="00EE3C19" w:rsidRPr="00EE3C19">
        <w:rPr>
          <w:spacing w:val="-4"/>
        </w:rPr>
        <w:t>,” Zee Entertainment, accessed May 6, 2018,</w:t>
      </w:r>
      <w:r w:rsidR="008B73DC" w:rsidRPr="00EE3C19" w:rsidDel="008B73DC">
        <w:rPr>
          <w:spacing w:val="-4"/>
        </w:rPr>
        <w:t xml:space="preserve"> </w:t>
      </w:r>
      <w:r w:rsidR="006951E3" w:rsidRPr="006951E3">
        <w:rPr>
          <w:spacing w:val="-4"/>
        </w:rPr>
        <w:t>www.zeeentertainment.com/businesses/movies-and-music</w:t>
      </w:r>
      <w:r w:rsidR="00EE3C19" w:rsidRPr="00EE3C19">
        <w:rPr>
          <w:spacing w:val="-4"/>
        </w:rPr>
        <w:t xml:space="preserve">; </w:t>
      </w:r>
      <w:proofErr w:type="spellStart"/>
      <w:r w:rsidR="005208CC">
        <w:rPr>
          <w:spacing w:val="-4"/>
        </w:rPr>
        <w:t>Sonam</w:t>
      </w:r>
      <w:proofErr w:type="spellEnd"/>
      <w:r w:rsidR="005208CC">
        <w:rPr>
          <w:spacing w:val="-4"/>
        </w:rPr>
        <w:t xml:space="preserve"> Saini, </w:t>
      </w:r>
      <w:r w:rsidR="00EE3C19" w:rsidRPr="00EE3C19">
        <w:rPr>
          <w:spacing w:val="-4"/>
        </w:rPr>
        <w:t>“Zee</w:t>
      </w:r>
      <w:r w:rsidR="006951E3">
        <w:rPr>
          <w:spacing w:val="-4"/>
        </w:rPr>
        <w:t>’</w:t>
      </w:r>
      <w:r w:rsidR="00EE3C19" w:rsidRPr="00EE3C19">
        <w:rPr>
          <w:spacing w:val="-4"/>
        </w:rPr>
        <w:t xml:space="preserve">s JV Partner Penske Hires </w:t>
      </w:r>
      <w:proofErr w:type="spellStart"/>
      <w:r w:rsidR="00EE3C19" w:rsidRPr="00EE3C19">
        <w:rPr>
          <w:spacing w:val="-4"/>
        </w:rPr>
        <w:t>LeEco’s</w:t>
      </w:r>
      <w:proofErr w:type="spellEnd"/>
      <w:r w:rsidR="00EE3C19" w:rsidRPr="00EE3C19">
        <w:rPr>
          <w:spacing w:val="-4"/>
        </w:rPr>
        <w:t xml:space="preserve"> </w:t>
      </w:r>
      <w:proofErr w:type="spellStart"/>
      <w:r w:rsidR="00EE3C19" w:rsidRPr="00EE3C19">
        <w:rPr>
          <w:spacing w:val="-4"/>
        </w:rPr>
        <w:t>Debashish</w:t>
      </w:r>
      <w:proofErr w:type="spellEnd"/>
      <w:r w:rsidR="00EE3C19" w:rsidRPr="00EE3C19">
        <w:rPr>
          <w:spacing w:val="-4"/>
        </w:rPr>
        <w:t xml:space="preserve"> Ghosh,” Indian Television, June 15, 2017, accessed May 6, 2018, </w:t>
      </w:r>
      <w:r w:rsidR="005208CC" w:rsidRPr="005208CC">
        <w:rPr>
          <w:spacing w:val="-4"/>
        </w:rPr>
        <w:t>www.indiantelevision.com/television/tv-channels/people/zees-jv-partner-penske-hires-leecos-debashish-ghosh-170615</w:t>
      </w:r>
      <w:r w:rsidR="00EE3C19" w:rsidRPr="00EE3C19">
        <w:rPr>
          <w:spacing w:val="-4"/>
        </w:rPr>
        <w:t xml:space="preserve">; </w:t>
      </w:r>
      <w:proofErr w:type="spellStart"/>
      <w:r w:rsidR="00EE3C19" w:rsidRPr="00EE3C19">
        <w:rPr>
          <w:spacing w:val="-4"/>
        </w:rPr>
        <w:t>Lata</w:t>
      </w:r>
      <w:proofErr w:type="spellEnd"/>
      <w:r w:rsidR="00EE3C19" w:rsidRPr="00EE3C19">
        <w:rPr>
          <w:spacing w:val="-4"/>
        </w:rPr>
        <w:t xml:space="preserve"> </w:t>
      </w:r>
      <w:proofErr w:type="spellStart"/>
      <w:r w:rsidR="00EE3C19" w:rsidRPr="00EE3C19">
        <w:rPr>
          <w:spacing w:val="-4"/>
        </w:rPr>
        <w:t>Jha</w:t>
      </w:r>
      <w:proofErr w:type="spellEnd"/>
      <w:r w:rsidR="00EE3C19" w:rsidRPr="00EE3C19">
        <w:rPr>
          <w:spacing w:val="-4"/>
        </w:rPr>
        <w:t xml:space="preserve">, “Amazon Prime Music Ties Up With T-Series,” Live Mint, February 21, 2018, accessed May 6, 2018, </w:t>
      </w:r>
      <w:r w:rsidR="005208CC" w:rsidRPr="005208CC">
        <w:rPr>
          <w:spacing w:val="-4"/>
        </w:rPr>
        <w:t>www.livemint.com/Consumer/VEuZ7SWGIjOQL078bs6DuL/Amazon-Prime-Music-ties-up-with-TSeries.html</w:t>
      </w:r>
      <w:r w:rsidR="00EE3C19" w:rsidRPr="00EE3C19">
        <w:rPr>
          <w:spacing w:val="-4"/>
        </w:rPr>
        <w:t xml:space="preserve">; </w:t>
      </w:r>
      <w:proofErr w:type="spellStart"/>
      <w:r w:rsidR="00EE3C19" w:rsidRPr="00EE3C19">
        <w:rPr>
          <w:spacing w:val="-4"/>
        </w:rPr>
        <w:t>Deepa</w:t>
      </w:r>
      <w:proofErr w:type="spellEnd"/>
      <w:r w:rsidR="00EE3C19" w:rsidRPr="00EE3C19">
        <w:rPr>
          <w:spacing w:val="-4"/>
        </w:rPr>
        <w:t xml:space="preserve"> Mani, “Case Summary: Sony Music </w:t>
      </w:r>
      <w:r w:rsidR="005208CC">
        <w:rPr>
          <w:spacing w:val="-4"/>
        </w:rPr>
        <w:t>(</w:t>
      </w:r>
      <w:r w:rsidR="00EE3C19" w:rsidRPr="00EE3C19">
        <w:rPr>
          <w:spacing w:val="-4"/>
        </w:rPr>
        <w:t>India</w:t>
      </w:r>
      <w:r w:rsidR="005208CC">
        <w:rPr>
          <w:spacing w:val="-4"/>
        </w:rPr>
        <w:t>)</w:t>
      </w:r>
      <w:r w:rsidR="00EE3C19" w:rsidRPr="00EE3C19">
        <w:rPr>
          <w:spacing w:val="-4"/>
        </w:rPr>
        <w:t xml:space="preserve">,” ISB Insight, April 16, 2014, accessed May 6, 2018, </w:t>
      </w:r>
      <w:r w:rsidR="00201D06" w:rsidRPr="00201D06">
        <w:rPr>
          <w:spacing w:val="-4"/>
        </w:rPr>
        <w:t>http://isbinsight.isb.edu/case-summary-sony-music-india</w:t>
      </w:r>
      <w:r w:rsidR="00EE3C19" w:rsidRPr="00EE3C19">
        <w:rPr>
          <w:spacing w:val="-4"/>
        </w:rPr>
        <w:t>.</w:t>
      </w:r>
    </w:p>
    <w:p w14:paraId="57B5A87C" w14:textId="6886515F" w:rsidR="00201D06" w:rsidRDefault="00201D06" w:rsidP="00201D06">
      <w:pPr>
        <w:pStyle w:val="ExhibitText"/>
      </w:pPr>
    </w:p>
    <w:p w14:paraId="03EC9A82" w14:textId="77777777" w:rsidR="00201D06" w:rsidRDefault="00201D06" w:rsidP="00201D06">
      <w:pPr>
        <w:pStyle w:val="ExhibitText"/>
      </w:pPr>
    </w:p>
    <w:p w14:paraId="571A17EB" w14:textId="326CE290" w:rsidR="009A2813" w:rsidRDefault="009A2813" w:rsidP="00367200">
      <w:pPr>
        <w:pStyle w:val="ExhibitHeading"/>
      </w:pPr>
      <w:r>
        <w:t>E</w:t>
      </w:r>
      <w:r w:rsidRPr="00160BB6">
        <w:t>xhibit 5</w:t>
      </w:r>
      <w:r w:rsidRPr="008E5183">
        <w:t>: SAREGAMA PRODUCT PORTFOLIO</w:t>
      </w:r>
    </w:p>
    <w:p w14:paraId="1F146D1D" w14:textId="77777777" w:rsidR="009A2813" w:rsidRDefault="009A2813" w:rsidP="00EE3C19">
      <w:pPr>
        <w:pStyle w:val="ExhibitText"/>
      </w:pPr>
    </w:p>
    <w:p w14:paraId="6DAAA3BC" w14:textId="280D1117" w:rsidR="009A2813" w:rsidRPr="00EE3C19" w:rsidRDefault="009A2813" w:rsidP="00EE3C19">
      <w:pPr>
        <w:pStyle w:val="ExhibitText"/>
      </w:pPr>
      <w:r w:rsidRPr="00EE3C19">
        <w:rPr>
          <w:b/>
        </w:rPr>
        <w:t>Online Music Store</w:t>
      </w:r>
      <w:r w:rsidRPr="00B90F03">
        <w:t>:</w:t>
      </w:r>
      <w:r w:rsidRPr="00AC3350">
        <w:t xml:space="preserve"> </w:t>
      </w:r>
      <w:proofErr w:type="spellStart"/>
      <w:r w:rsidRPr="00EE3C19">
        <w:t>Saregama</w:t>
      </w:r>
      <w:proofErr w:type="spellEnd"/>
      <w:r w:rsidRPr="00EE3C19">
        <w:t xml:space="preserve"> launched its fully owned online music store in April 2015 to </w:t>
      </w:r>
      <w:r w:rsidR="005208CC">
        <w:t>make available</w:t>
      </w:r>
      <w:r w:rsidRPr="00EE3C19">
        <w:t xml:space="preserve"> </w:t>
      </w:r>
      <w:proofErr w:type="spellStart"/>
      <w:r w:rsidR="005208CC">
        <w:t>Saregama’s</w:t>
      </w:r>
      <w:proofErr w:type="spellEnd"/>
      <w:r w:rsidR="005208CC" w:rsidRPr="00EE3C19">
        <w:t xml:space="preserve"> </w:t>
      </w:r>
      <w:r w:rsidRPr="00EE3C19">
        <w:t xml:space="preserve">digital library of 110,000 songs in 14 different languages for free live streaming and </w:t>
      </w:r>
      <w:r w:rsidR="005208CC">
        <w:t xml:space="preserve">for </w:t>
      </w:r>
      <w:r w:rsidRPr="00EE3C19">
        <w:t xml:space="preserve">downloads at a nominal price of </w:t>
      </w:r>
      <w:r w:rsidR="005208CC">
        <w:t>₹</w:t>
      </w:r>
      <w:r w:rsidRPr="00EE3C19">
        <w:t>9</w:t>
      </w:r>
      <w:r w:rsidR="005208CC">
        <w:t xml:space="preserve"> per </w:t>
      </w:r>
      <w:r w:rsidRPr="00EE3C19">
        <w:t>song. Songs were sold as single units. Later</w:t>
      </w:r>
      <w:r w:rsidR="006B34BC">
        <w:t>,</w:t>
      </w:r>
      <w:r w:rsidRPr="00EE3C19">
        <w:t xml:space="preserve"> the live streaming was restricted to a 90 second preview and prices were set a</w:t>
      </w:r>
      <w:r w:rsidR="006B34BC">
        <w:t>t ₹</w:t>
      </w:r>
      <w:r w:rsidRPr="00EE3C19">
        <w:t>4</w:t>
      </w:r>
      <w:r w:rsidR="006B34BC">
        <w:t xml:space="preserve"> per </w:t>
      </w:r>
      <w:r w:rsidRPr="00EE3C19">
        <w:t xml:space="preserve">song for </w:t>
      </w:r>
      <w:r w:rsidR="006B34BC">
        <w:t>an</w:t>
      </w:r>
      <w:r w:rsidR="006B34BC" w:rsidRPr="00EE3C19">
        <w:t xml:space="preserve"> </w:t>
      </w:r>
      <w:r w:rsidRPr="00EE3C19">
        <w:t xml:space="preserve">MP3 </w:t>
      </w:r>
      <w:r w:rsidR="006B34BC">
        <w:t xml:space="preserve">version </w:t>
      </w:r>
      <w:r w:rsidRPr="00EE3C19">
        <w:t xml:space="preserve">and </w:t>
      </w:r>
      <w:r w:rsidR="006B34BC">
        <w:t>₹</w:t>
      </w:r>
      <w:r w:rsidRPr="00EE3C19">
        <w:t>10</w:t>
      </w:r>
      <w:r w:rsidR="006B34BC">
        <w:t xml:space="preserve"> per </w:t>
      </w:r>
      <w:r w:rsidRPr="00EE3C19">
        <w:t xml:space="preserve">song for HD versions. </w:t>
      </w:r>
      <w:r w:rsidR="006B34BC">
        <w:t>(</w:t>
      </w:r>
      <w:r w:rsidR="006B34BC" w:rsidRPr="00EE3C19">
        <w:t xml:space="preserve">HD meant the best quality in hi-fidelity 320 </w:t>
      </w:r>
      <w:r w:rsidR="006B34BC">
        <w:t>kilobits per second [K</w:t>
      </w:r>
      <w:r w:rsidR="006B34BC" w:rsidRPr="00EE3C19">
        <w:t>bps</w:t>
      </w:r>
      <w:r w:rsidR="006B34BC">
        <w:t>], which</w:t>
      </w:r>
      <w:r w:rsidR="006B34BC" w:rsidRPr="00EE3C19">
        <w:t xml:space="preserve"> commanded a premium</w:t>
      </w:r>
      <w:r w:rsidR="006B34BC">
        <w:t>)</w:t>
      </w:r>
      <w:r w:rsidR="006B34BC" w:rsidRPr="00EE3C19">
        <w:t xml:space="preserve">. </w:t>
      </w:r>
      <w:r w:rsidRPr="00EE3C19">
        <w:t>Each purchase allowed 10 downloads</w:t>
      </w:r>
      <w:r w:rsidR="006B34BC">
        <w:t xml:space="preserve"> per song</w:t>
      </w:r>
      <w:r w:rsidR="00530F0E">
        <w:t>, which</w:t>
      </w:r>
      <w:r w:rsidRPr="00EE3C19">
        <w:t xml:space="preserve"> the user could access on multiple devices. Special pack</w:t>
      </w:r>
      <w:r w:rsidR="006B34BC">
        <w:t>age</w:t>
      </w:r>
      <w:r w:rsidRPr="00EE3C19">
        <w:t xml:space="preserve">s </w:t>
      </w:r>
      <w:r w:rsidR="006B34BC">
        <w:t xml:space="preserve">were introduced, such as </w:t>
      </w:r>
      <w:r w:rsidRPr="00EE3C19">
        <w:t>5</w:t>
      </w:r>
      <w:r w:rsidR="006B34BC">
        <w:t>,</w:t>
      </w:r>
      <w:r w:rsidRPr="00EE3C19">
        <w:t>000 song</w:t>
      </w:r>
      <w:r w:rsidR="006B34BC">
        <w:t>s for ₹</w:t>
      </w:r>
      <w:r w:rsidRPr="00EE3C19">
        <w:t>1</w:t>
      </w:r>
      <w:r w:rsidR="006B34BC">
        <w:t>,</w:t>
      </w:r>
      <w:r w:rsidRPr="00EE3C19">
        <w:t>500</w:t>
      </w:r>
      <w:r w:rsidR="006B34BC">
        <w:t xml:space="preserve"> and</w:t>
      </w:r>
      <w:r w:rsidRPr="00EE3C19">
        <w:t xml:space="preserve"> premium albums </w:t>
      </w:r>
      <w:r w:rsidR="006B34BC">
        <w:t>for ₹</w:t>
      </w:r>
      <w:r w:rsidRPr="00EE3C19">
        <w:t>449</w:t>
      </w:r>
      <w:r w:rsidR="006B34BC">
        <w:t xml:space="preserve">, offered from time to time as </w:t>
      </w:r>
      <w:r w:rsidRPr="00EE3C19">
        <w:t>promotional offers. The company also</w:t>
      </w:r>
      <w:r w:rsidR="005022FE">
        <w:t xml:space="preserve"> </w:t>
      </w:r>
      <w:r w:rsidRPr="00EE3C19">
        <w:t xml:space="preserve">launched its own </w:t>
      </w:r>
      <w:proofErr w:type="spellStart"/>
      <w:r w:rsidRPr="00EE3C19">
        <w:t>Saregama</w:t>
      </w:r>
      <w:proofErr w:type="spellEnd"/>
      <w:r w:rsidRPr="00EE3C19">
        <w:t xml:space="preserve"> Classical app (for Indian classical music) and </w:t>
      </w:r>
      <w:proofErr w:type="spellStart"/>
      <w:r w:rsidRPr="00EE3C19">
        <w:t>Saregama</w:t>
      </w:r>
      <w:proofErr w:type="spellEnd"/>
      <w:r w:rsidRPr="00EE3C19">
        <w:t xml:space="preserve"> Shakti app (for devotional songs) with offline listening support for </w:t>
      </w:r>
      <w:r w:rsidR="006B34BC">
        <w:t>A</w:t>
      </w:r>
      <w:r w:rsidRPr="00EE3C19">
        <w:t xml:space="preserve">ndroid (starting from </w:t>
      </w:r>
      <w:r w:rsidR="006B34BC">
        <w:t>₹</w:t>
      </w:r>
      <w:r w:rsidRPr="00EE3C19">
        <w:t xml:space="preserve">99 per month) and iOS (starting from </w:t>
      </w:r>
      <w:r w:rsidR="006B34BC">
        <w:t>₹</w:t>
      </w:r>
      <w:r w:rsidRPr="00EE3C19">
        <w:t>120 per month)</w:t>
      </w:r>
      <w:r w:rsidR="00DC65DB">
        <w:t>, launched</w:t>
      </w:r>
      <w:r w:rsidRPr="00EE3C19">
        <w:t xml:space="preserve"> late in 2015 and 2016 respectively.</w:t>
      </w:r>
    </w:p>
    <w:p w14:paraId="465857F6" w14:textId="77777777" w:rsidR="009A2813" w:rsidRPr="00EE3C19" w:rsidRDefault="009A2813" w:rsidP="00EE3C19">
      <w:pPr>
        <w:pStyle w:val="ExhibitText"/>
      </w:pPr>
    </w:p>
    <w:p w14:paraId="1A21D2C4" w14:textId="0B3CF4E6" w:rsidR="0063066B" w:rsidRDefault="00DC65DB" w:rsidP="00EE3C19">
      <w:pPr>
        <w:pStyle w:val="ExhibitText"/>
      </w:pPr>
      <w:r>
        <w:t>The</w:t>
      </w:r>
      <w:r w:rsidRPr="00EE3C19">
        <w:t xml:space="preserve"> </w:t>
      </w:r>
      <w:r w:rsidR="009A2813" w:rsidRPr="00EE3C19">
        <w:t xml:space="preserve">online music store and the apps worked as parallel </w:t>
      </w:r>
      <w:r>
        <w:t>business-to-consumer (</w:t>
      </w:r>
      <w:r w:rsidR="009A2813" w:rsidRPr="00EE3C19">
        <w:t>B2C</w:t>
      </w:r>
      <w:r>
        <w:t>)</w:t>
      </w:r>
      <w:r w:rsidR="009A2813" w:rsidRPr="00EE3C19">
        <w:t xml:space="preserve"> distribution channel</w:t>
      </w:r>
      <w:r w:rsidR="00530F0E">
        <w:t>s</w:t>
      </w:r>
      <w:r w:rsidR="009A2813" w:rsidRPr="00EE3C19">
        <w:t xml:space="preserve"> </w:t>
      </w:r>
      <w:r>
        <w:t xml:space="preserve">in India and across the globe </w:t>
      </w:r>
      <w:r w:rsidR="009A2813" w:rsidRPr="00EE3C19">
        <w:t xml:space="preserve">for </w:t>
      </w:r>
      <w:proofErr w:type="spellStart"/>
      <w:r w:rsidR="009A2813" w:rsidRPr="00EE3C19">
        <w:t>Saregama’s</w:t>
      </w:r>
      <w:proofErr w:type="spellEnd"/>
      <w:r w:rsidR="009A2813" w:rsidRPr="00EE3C19">
        <w:t xml:space="preserve"> digital content. This further supplemented </w:t>
      </w:r>
      <w:proofErr w:type="spellStart"/>
      <w:r>
        <w:t>Saregama’s</w:t>
      </w:r>
      <w:proofErr w:type="spellEnd"/>
      <w:r w:rsidRPr="00EE3C19">
        <w:t xml:space="preserve"> </w:t>
      </w:r>
      <w:r w:rsidR="009A2813" w:rsidRPr="00EE3C19">
        <w:t xml:space="preserve">existing </w:t>
      </w:r>
      <w:r>
        <w:t>business-to-business (</w:t>
      </w:r>
      <w:r w:rsidR="009A2813" w:rsidRPr="00EE3C19">
        <w:t>B2B</w:t>
      </w:r>
      <w:r>
        <w:t>)</w:t>
      </w:r>
      <w:r w:rsidR="009A2813" w:rsidRPr="00EE3C19">
        <w:t xml:space="preserve"> </w:t>
      </w:r>
      <w:r>
        <w:t>stream,</w:t>
      </w:r>
      <w:r w:rsidRPr="00EE3C19">
        <w:t xml:space="preserve"> </w:t>
      </w:r>
      <w:r w:rsidR="009A2813" w:rsidRPr="00EE3C19">
        <w:t>operationalized through a plethora of online distribution partners</w:t>
      </w:r>
      <w:r>
        <w:t xml:space="preserve"> such as </w:t>
      </w:r>
      <w:r w:rsidR="009A2813" w:rsidRPr="00EE3C19">
        <w:t xml:space="preserve">Google Play Music, Amazon Prime, Apple </w:t>
      </w:r>
      <w:r>
        <w:t>M</w:t>
      </w:r>
      <w:r w:rsidR="009A2813" w:rsidRPr="00EE3C19">
        <w:t>usic</w:t>
      </w:r>
      <w:r>
        <w:t xml:space="preserve">, and </w:t>
      </w:r>
      <w:proofErr w:type="spellStart"/>
      <w:r w:rsidR="009A2813" w:rsidRPr="00EE3C19">
        <w:t>Deezer</w:t>
      </w:r>
      <w:proofErr w:type="spellEnd"/>
      <w:r w:rsidR="009A2813" w:rsidRPr="00EE3C19">
        <w:t xml:space="preserve">. </w:t>
      </w:r>
      <w:proofErr w:type="spellStart"/>
      <w:r w:rsidR="00F447A0">
        <w:t>Saregama</w:t>
      </w:r>
      <w:proofErr w:type="spellEnd"/>
      <w:r w:rsidR="00F447A0">
        <w:t xml:space="preserve"> also distributed its music through</w:t>
      </w:r>
      <w:r>
        <w:t xml:space="preserve"> </w:t>
      </w:r>
      <w:r w:rsidR="009A2813" w:rsidRPr="00EE3C19">
        <w:t>free live streaming applications</w:t>
      </w:r>
      <w:r w:rsidR="00530F0E">
        <w:t>,</w:t>
      </w:r>
      <w:r w:rsidR="009A2813" w:rsidRPr="00EE3C19">
        <w:t xml:space="preserve"> like </w:t>
      </w:r>
      <w:proofErr w:type="spellStart"/>
      <w:r>
        <w:t>Jio</w:t>
      </w:r>
      <w:r w:rsidR="009A2813" w:rsidRPr="00EE3C19">
        <w:t>Saavn</w:t>
      </w:r>
      <w:proofErr w:type="spellEnd"/>
      <w:r w:rsidR="009A2813" w:rsidRPr="00EE3C19">
        <w:t xml:space="preserve">, </w:t>
      </w:r>
      <w:proofErr w:type="spellStart"/>
      <w:r w:rsidR="009A2813" w:rsidRPr="00EE3C19">
        <w:t>Gaana</w:t>
      </w:r>
      <w:proofErr w:type="spellEnd"/>
      <w:r w:rsidR="009A2813" w:rsidRPr="00EE3C19">
        <w:t xml:space="preserve">, and </w:t>
      </w:r>
      <w:proofErr w:type="spellStart"/>
      <w:r w:rsidR="009A2813" w:rsidRPr="00EE3C19">
        <w:t>Hungama</w:t>
      </w:r>
      <w:proofErr w:type="spellEnd"/>
      <w:r w:rsidR="00530F0E">
        <w:t>, which</w:t>
      </w:r>
      <w:r w:rsidR="009A2813" w:rsidRPr="00EE3C19">
        <w:t xml:space="preserve"> played free music </w:t>
      </w:r>
      <w:r>
        <w:t xml:space="preserve">with advertisements </w:t>
      </w:r>
      <w:r w:rsidR="009A2813" w:rsidRPr="00EE3C19">
        <w:t xml:space="preserve">for listeners. </w:t>
      </w:r>
      <w:proofErr w:type="spellStart"/>
      <w:r w:rsidR="0063066B">
        <w:t>Saregama’s</w:t>
      </w:r>
      <w:proofErr w:type="spellEnd"/>
      <w:r w:rsidR="0063066B">
        <w:t xml:space="preserve"> content was also distributed through </w:t>
      </w:r>
      <w:r w:rsidR="009A2813" w:rsidRPr="00EE3C19">
        <w:t>subscription</w:t>
      </w:r>
      <w:r w:rsidR="0063066B">
        <w:t>-</w:t>
      </w:r>
      <w:r w:rsidR="009A2813" w:rsidRPr="00EE3C19">
        <w:t>based alternatives offered by the telecom service providers</w:t>
      </w:r>
      <w:r w:rsidR="0063066B">
        <w:t xml:space="preserve">, such as </w:t>
      </w:r>
      <w:proofErr w:type="spellStart"/>
      <w:r w:rsidR="009A2813" w:rsidRPr="00EE3C19">
        <w:t>Wynk</w:t>
      </w:r>
      <w:proofErr w:type="spellEnd"/>
      <w:r w:rsidR="0063066B">
        <w:t xml:space="preserve"> (Bharti Airtel Ltd.)</w:t>
      </w:r>
      <w:r w:rsidR="009A2813" w:rsidRPr="00EE3C19">
        <w:t>, Idea</w:t>
      </w:r>
      <w:r w:rsidR="0063066B">
        <w:t xml:space="preserve"> Music (Idea Cellular Ltd.)</w:t>
      </w:r>
      <w:r w:rsidR="009A2813" w:rsidRPr="00EE3C19">
        <w:t xml:space="preserve">, </w:t>
      </w:r>
      <w:r w:rsidR="0063066B">
        <w:t xml:space="preserve">and </w:t>
      </w:r>
      <w:proofErr w:type="spellStart"/>
      <w:r w:rsidR="009A2813" w:rsidRPr="00EE3C19">
        <w:t>Jio</w:t>
      </w:r>
      <w:r w:rsidR="0063066B">
        <w:t>Saavn</w:t>
      </w:r>
      <w:proofErr w:type="spellEnd"/>
      <w:r w:rsidR="00530F0E">
        <w:t xml:space="preserve">, which had </w:t>
      </w:r>
      <w:r w:rsidR="00F447A0">
        <w:t>optional subscription</w:t>
      </w:r>
      <w:r w:rsidR="00530F0E">
        <w:t>-</w:t>
      </w:r>
      <w:r w:rsidR="00F447A0">
        <w:t xml:space="preserve">based </w:t>
      </w:r>
      <w:r w:rsidR="00530F0E">
        <w:t>ad-</w:t>
      </w:r>
      <w:r w:rsidR="00F447A0">
        <w:t>free offers</w:t>
      </w:r>
      <w:r w:rsidR="009A2813" w:rsidRPr="00EE3C19">
        <w:t xml:space="preserve">. </w:t>
      </w:r>
    </w:p>
    <w:p w14:paraId="656531D8" w14:textId="77777777" w:rsidR="0063066B" w:rsidRDefault="0063066B" w:rsidP="00EE3C19">
      <w:pPr>
        <w:pStyle w:val="ExhibitText"/>
      </w:pPr>
    </w:p>
    <w:p w14:paraId="46334B2A" w14:textId="309012C6" w:rsidR="009A2813" w:rsidRPr="00EE3C19" w:rsidRDefault="009A2813" w:rsidP="00EE3C19">
      <w:pPr>
        <w:pStyle w:val="ExhibitText"/>
      </w:pPr>
      <w:r w:rsidRPr="00EE3C19">
        <w:t xml:space="preserve">With </w:t>
      </w:r>
      <w:r w:rsidR="0063066B">
        <w:t>g</w:t>
      </w:r>
      <w:r w:rsidRPr="00EE3C19">
        <w:t xml:space="preserve">lobal players like Spotify </w:t>
      </w:r>
      <w:r w:rsidR="0063066B">
        <w:t xml:space="preserve">Technology SA </w:t>
      </w:r>
      <w:r w:rsidRPr="00EE3C19">
        <w:t xml:space="preserve">planning </w:t>
      </w:r>
      <w:r w:rsidR="00786227">
        <w:t>to</w:t>
      </w:r>
      <w:r w:rsidR="00786227" w:rsidRPr="00EE3C19">
        <w:t xml:space="preserve"> </w:t>
      </w:r>
      <w:r w:rsidRPr="00EE3C19">
        <w:t xml:space="preserve">launch </w:t>
      </w:r>
      <w:r w:rsidR="0063066B">
        <w:t xml:space="preserve">in India, </w:t>
      </w:r>
      <w:proofErr w:type="spellStart"/>
      <w:r w:rsidRPr="00EE3C19">
        <w:t>Mehra</w:t>
      </w:r>
      <w:proofErr w:type="spellEnd"/>
      <w:r w:rsidRPr="00EE3C19">
        <w:t xml:space="preserve"> felt that “</w:t>
      </w:r>
      <w:r w:rsidR="0063066B">
        <w:t>N</w:t>
      </w:r>
      <w:r w:rsidRPr="00EE3C19">
        <w:t xml:space="preserve">ow the </w:t>
      </w:r>
      <w:r w:rsidR="00786227" w:rsidRPr="00EE3C19">
        <w:t>end</w:t>
      </w:r>
      <w:r w:rsidR="00786227">
        <w:t>-</w:t>
      </w:r>
      <w:r w:rsidRPr="00EE3C19">
        <w:t>customers could go back and listen to music legally. On these official applications, the quality of audio was far better</w:t>
      </w:r>
      <w:r w:rsidR="00786227">
        <w:t>,</w:t>
      </w:r>
      <w:r w:rsidRPr="00EE3C19">
        <w:t xml:space="preserve"> and every time an </w:t>
      </w:r>
      <w:r w:rsidR="00786227" w:rsidRPr="00EE3C19">
        <w:t>end</w:t>
      </w:r>
      <w:r w:rsidR="00786227">
        <w:t>-</w:t>
      </w:r>
      <w:r w:rsidRPr="00EE3C19">
        <w:t xml:space="preserve">user was going there and listening to our songs, these official applications ended up paying us.” </w:t>
      </w:r>
      <w:proofErr w:type="spellStart"/>
      <w:r w:rsidRPr="00EE3C19">
        <w:t>Saregama</w:t>
      </w:r>
      <w:proofErr w:type="spellEnd"/>
      <w:r w:rsidRPr="00EE3C19">
        <w:t xml:space="preserve"> had worked out licensing agreements with the distribution partners, where a certain predetermined amount was paid to the company when a customer listened to a song for more than a minimum duration in these applications. The payments came on a monthly usage basis</w:t>
      </w:r>
      <w:r w:rsidR="00530F0E">
        <w:t>.</w:t>
      </w:r>
    </w:p>
    <w:p w14:paraId="38D75915" w14:textId="1B5D15DE" w:rsidR="009A2813" w:rsidRDefault="00201D06" w:rsidP="00201D06">
      <w:pPr>
        <w:pStyle w:val="ExhibitHeading"/>
      </w:pPr>
      <w:r>
        <w:lastRenderedPageBreak/>
        <w:t>E</w:t>
      </w:r>
      <w:r w:rsidRPr="00160BB6">
        <w:t>xhibit 5</w:t>
      </w:r>
      <w:r>
        <w:t>: (Continued)</w:t>
      </w:r>
    </w:p>
    <w:p w14:paraId="0EAEDE6B" w14:textId="77777777" w:rsidR="00201D06" w:rsidRPr="00EE3C19" w:rsidRDefault="00201D06" w:rsidP="00EE3C19">
      <w:pPr>
        <w:pStyle w:val="ExhibitText"/>
      </w:pPr>
    </w:p>
    <w:p w14:paraId="388157C4" w14:textId="3ED4F9C6" w:rsidR="009A2813" w:rsidRPr="00EE3C19" w:rsidRDefault="00907684" w:rsidP="00EE3C19">
      <w:pPr>
        <w:pStyle w:val="ExhibitText"/>
      </w:pPr>
      <w:r>
        <w:rPr>
          <w:b/>
        </w:rPr>
        <w:t>Music C</w:t>
      </w:r>
      <w:r w:rsidR="00EE3C19" w:rsidRPr="00EE3C19">
        <w:rPr>
          <w:b/>
        </w:rPr>
        <w:t>ards</w:t>
      </w:r>
      <w:r w:rsidR="009A2813" w:rsidRPr="00EE3C19">
        <w:t xml:space="preserve">: </w:t>
      </w:r>
      <w:r w:rsidR="00642C9E">
        <w:t>E</w:t>
      </w:r>
      <w:r w:rsidR="009A2813" w:rsidRPr="00EE3C19">
        <w:t xml:space="preserve">arly </w:t>
      </w:r>
      <w:r w:rsidR="00642C9E">
        <w:t xml:space="preserve">in </w:t>
      </w:r>
      <w:r w:rsidR="009A2813" w:rsidRPr="00EE3C19">
        <w:t xml:space="preserve">2016, </w:t>
      </w:r>
      <w:proofErr w:type="spellStart"/>
      <w:r w:rsidR="009A2813" w:rsidRPr="00EE3C19">
        <w:t>Saregama</w:t>
      </w:r>
      <w:proofErr w:type="spellEnd"/>
      <w:r w:rsidR="009A2813" w:rsidRPr="00EE3C19">
        <w:t xml:space="preserve"> ventured into a more tangible space</w:t>
      </w:r>
      <w:r w:rsidR="00642C9E">
        <w:t>,</w:t>
      </w:r>
      <w:r w:rsidR="009A2813" w:rsidRPr="00EE3C19">
        <w:t xml:space="preserve"> diversifying with pure product offers. The first was </w:t>
      </w:r>
      <w:proofErr w:type="spellStart"/>
      <w:r w:rsidR="009A2813" w:rsidRPr="00EE3C19">
        <w:t>Saregama</w:t>
      </w:r>
      <w:r w:rsidR="00642C9E">
        <w:t>’s</w:t>
      </w:r>
      <w:proofErr w:type="spellEnd"/>
      <w:r w:rsidR="009A2813" w:rsidRPr="00EE3C19">
        <w:t xml:space="preserve"> </w:t>
      </w:r>
      <w:r w:rsidR="00642C9E">
        <w:t>“</w:t>
      </w:r>
      <w:r w:rsidR="009A2813" w:rsidRPr="00EE3C19">
        <w:t>music cards</w:t>
      </w:r>
      <w:r w:rsidR="00642C9E">
        <w:t>”—music o</w:t>
      </w:r>
      <w:r w:rsidR="009A2813" w:rsidRPr="00EE3C19">
        <w:t>n convenient and portable USB flash drive</w:t>
      </w:r>
      <w:r w:rsidR="008B06E0">
        <w:t>s</w:t>
      </w:r>
      <w:r w:rsidR="009A2813" w:rsidRPr="00EE3C19">
        <w:t xml:space="preserve"> </w:t>
      </w:r>
      <w:r w:rsidR="00642C9E">
        <w:t xml:space="preserve">in </w:t>
      </w:r>
      <w:r w:rsidR="009A2813" w:rsidRPr="00EE3C19">
        <w:t xml:space="preserve">a form similar to that of a credit card. The initial </w:t>
      </w:r>
      <w:r w:rsidR="00642C9E">
        <w:t>four</w:t>
      </w:r>
      <w:r w:rsidR="00642C9E" w:rsidRPr="00EE3C19">
        <w:t xml:space="preserve"> </w:t>
      </w:r>
      <w:r w:rsidR="009A2813" w:rsidRPr="00EE3C19">
        <w:t>variants of the cards</w:t>
      </w:r>
      <w:r w:rsidR="00642C9E">
        <w:t xml:space="preserve"> </w:t>
      </w:r>
      <w:r w:rsidR="00642C9E" w:rsidRPr="00EE3C19">
        <w:t>(</w:t>
      </w:r>
      <w:r w:rsidR="008B06E0">
        <w:t>Shakti;</w:t>
      </w:r>
      <w:r w:rsidR="00642C9E" w:rsidRPr="00EE3C19">
        <w:t xml:space="preserve"> legends</w:t>
      </w:r>
      <w:r w:rsidR="008B06E0">
        <w:t>;</w:t>
      </w:r>
      <w:r w:rsidR="00642C9E" w:rsidRPr="00EE3C19">
        <w:t xml:space="preserve"> romance/Bollywood</w:t>
      </w:r>
      <w:r w:rsidR="008B06E0">
        <w:t>;</w:t>
      </w:r>
      <w:r w:rsidR="00642C9E" w:rsidRPr="00EE3C19">
        <w:t xml:space="preserve"> and </w:t>
      </w:r>
      <w:proofErr w:type="spellStart"/>
      <w:r w:rsidR="00642C9E" w:rsidRPr="00EE3C19">
        <w:t>Jagjit</w:t>
      </w:r>
      <w:proofErr w:type="spellEnd"/>
      <w:r w:rsidR="00642C9E" w:rsidRPr="00EE3C19">
        <w:t xml:space="preserve"> Singh for </w:t>
      </w:r>
      <w:proofErr w:type="spellStart"/>
      <w:r w:rsidR="00642C9E" w:rsidRPr="00077C08">
        <w:rPr>
          <w:i/>
          <w:iCs/>
        </w:rPr>
        <w:t>ghazals</w:t>
      </w:r>
      <w:proofErr w:type="spellEnd"/>
      <w:r w:rsidR="00642C9E">
        <w:t xml:space="preserve">, </w:t>
      </w:r>
      <w:r w:rsidR="00642C9E" w:rsidRPr="00EE3C19">
        <w:t xml:space="preserve">popular songs based on Arabic poetry) </w:t>
      </w:r>
      <w:r w:rsidR="009A2813" w:rsidRPr="00EE3C19">
        <w:t xml:space="preserve">came with 150 pre-loaded songs. In 2017, </w:t>
      </w:r>
      <w:proofErr w:type="spellStart"/>
      <w:r w:rsidR="00642C9E">
        <w:t>Saregama</w:t>
      </w:r>
      <w:proofErr w:type="spellEnd"/>
      <w:r w:rsidR="00642C9E" w:rsidRPr="00EE3C19">
        <w:t xml:space="preserve"> </w:t>
      </w:r>
      <w:r w:rsidR="009A2813" w:rsidRPr="00EE3C19">
        <w:t xml:space="preserve">announced the introduction of customized music cards priced at </w:t>
      </w:r>
      <w:r w:rsidR="00642C9E">
        <w:t>₹</w:t>
      </w:r>
      <w:r w:rsidR="009A2813" w:rsidRPr="00EE3C19">
        <w:t>990</w:t>
      </w:r>
      <w:r w:rsidR="00642C9E">
        <w:t>,</w:t>
      </w:r>
      <w:r w:rsidR="009A2813" w:rsidRPr="00EE3C19">
        <w:t xml:space="preserve"> tailor</w:t>
      </w:r>
      <w:r w:rsidR="00642C9E">
        <w:t>-</w:t>
      </w:r>
      <w:r w:rsidR="009A2813" w:rsidRPr="00EE3C19">
        <w:t>made with personalized photo</w:t>
      </w:r>
      <w:r w:rsidR="008B06E0">
        <w:t>s</w:t>
      </w:r>
      <w:r w:rsidR="009A2813" w:rsidRPr="00EE3C19">
        <w:t xml:space="preserve"> and 200 songs selected by the buyer</w:t>
      </w:r>
      <w:r w:rsidR="008B06E0">
        <w:t>s</w:t>
      </w:r>
      <w:r w:rsidR="00642C9E">
        <w:t xml:space="preserve"> and ordered </w:t>
      </w:r>
      <w:r w:rsidR="009A2813" w:rsidRPr="00EE3C19">
        <w:t xml:space="preserve">through </w:t>
      </w:r>
      <w:proofErr w:type="spellStart"/>
      <w:r w:rsidR="00642C9E">
        <w:t>Saregama’s</w:t>
      </w:r>
      <w:proofErr w:type="spellEnd"/>
      <w:r w:rsidR="00642C9E" w:rsidRPr="00EE3C19">
        <w:t xml:space="preserve"> </w:t>
      </w:r>
      <w:r w:rsidR="009A2813" w:rsidRPr="00EE3C19">
        <w:t xml:space="preserve">online store. In 2018, the company marketed 27 variants of music cards priced at </w:t>
      </w:r>
      <w:r w:rsidR="00642C9E">
        <w:t>₹</w:t>
      </w:r>
      <w:r w:rsidR="009A2813" w:rsidRPr="00EE3C19">
        <w:t>690</w:t>
      </w:r>
      <w:r w:rsidR="00642C9E">
        <w:t xml:space="preserve"> per</w:t>
      </w:r>
      <w:r w:rsidR="009A2813" w:rsidRPr="00EE3C19">
        <w:t xml:space="preserve"> unit through its own online music store and third</w:t>
      </w:r>
      <w:r w:rsidR="008B06E0">
        <w:t>-</w:t>
      </w:r>
      <w:r w:rsidR="009A2813" w:rsidRPr="00EE3C19">
        <w:t xml:space="preserve">party e-commerce websites like Amazon, Flipkart, </w:t>
      </w:r>
      <w:proofErr w:type="spellStart"/>
      <w:r w:rsidR="009A2813" w:rsidRPr="00EE3C19">
        <w:t>Snapdeal</w:t>
      </w:r>
      <w:proofErr w:type="spellEnd"/>
      <w:r w:rsidR="009A2813" w:rsidRPr="00EE3C19">
        <w:t xml:space="preserve">, </w:t>
      </w:r>
      <w:proofErr w:type="spellStart"/>
      <w:r w:rsidR="009A2813" w:rsidRPr="00EE3C19">
        <w:t>Indiamart</w:t>
      </w:r>
      <w:proofErr w:type="spellEnd"/>
      <w:r w:rsidR="00642C9E">
        <w:t>,</w:t>
      </w:r>
      <w:r w:rsidR="009A2813" w:rsidRPr="00EE3C19">
        <w:t xml:space="preserve"> and others.</w:t>
      </w:r>
    </w:p>
    <w:p w14:paraId="5510CB93" w14:textId="77777777" w:rsidR="009A2813" w:rsidRPr="00EE3C19" w:rsidRDefault="009A2813" w:rsidP="00EE3C19">
      <w:pPr>
        <w:pStyle w:val="ExhibitText"/>
      </w:pPr>
    </w:p>
    <w:p w14:paraId="005EAA49" w14:textId="610AE48F" w:rsidR="009A2813" w:rsidRDefault="00EE3C19" w:rsidP="00EE3C19">
      <w:pPr>
        <w:pStyle w:val="ExhibitText"/>
      </w:pPr>
      <w:r w:rsidRPr="00EE3C19">
        <w:rPr>
          <w:b/>
        </w:rPr>
        <w:t>T</w:t>
      </w:r>
      <w:r w:rsidR="00907684">
        <w:rPr>
          <w:b/>
        </w:rPr>
        <w:t>V</w:t>
      </w:r>
      <w:r w:rsidRPr="00EE3C19">
        <w:rPr>
          <w:b/>
        </w:rPr>
        <w:t xml:space="preserve"> </w:t>
      </w:r>
      <w:r w:rsidR="00907684">
        <w:rPr>
          <w:b/>
        </w:rPr>
        <w:t>P</w:t>
      </w:r>
      <w:r w:rsidRPr="00EE3C19">
        <w:rPr>
          <w:b/>
        </w:rPr>
        <w:t>roduction</w:t>
      </w:r>
      <w:r w:rsidR="009A2813" w:rsidRPr="00B32701">
        <w:t>:</w:t>
      </w:r>
      <w:r w:rsidR="009A2813" w:rsidRPr="00EE3C19">
        <w:t xml:space="preserve"> Over the years</w:t>
      </w:r>
      <w:r w:rsidR="00703EB1">
        <w:t>,</w:t>
      </w:r>
      <w:r w:rsidR="009A2813" w:rsidRPr="00EE3C19">
        <w:t xml:space="preserve"> </w:t>
      </w:r>
      <w:proofErr w:type="spellStart"/>
      <w:r w:rsidR="009A2813" w:rsidRPr="00EE3C19">
        <w:t>Saregama’s</w:t>
      </w:r>
      <w:proofErr w:type="spellEnd"/>
      <w:r w:rsidR="009A2813" w:rsidRPr="00EE3C19">
        <w:t xml:space="preserve"> television production arm had stead</w:t>
      </w:r>
      <w:r w:rsidR="008B06E0">
        <w:t>il</w:t>
      </w:r>
      <w:r w:rsidR="009A2813" w:rsidRPr="00EE3C19">
        <w:t>y churn</w:t>
      </w:r>
      <w:r w:rsidR="008B06E0">
        <w:t>ed</w:t>
      </w:r>
      <w:r w:rsidR="009A2813" w:rsidRPr="00EE3C19">
        <w:t xml:space="preserve"> out television content for regional satellite television channels. The </w:t>
      </w:r>
      <w:r w:rsidR="00703EB1">
        <w:t>longest</w:t>
      </w:r>
      <w:r w:rsidR="00703EB1" w:rsidRPr="00EE3C19">
        <w:t xml:space="preserve"> </w:t>
      </w:r>
      <w:r w:rsidR="009A2813" w:rsidRPr="00EE3C19">
        <w:t>lasting association was with Sun TV</w:t>
      </w:r>
      <w:r w:rsidR="00703EB1">
        <w:t xml:space="preserve"> Network</w:t>
      </w:r>
      <w:r w:rsidR="009A2813" w:rsidRPr="00EE3C19">
        <w:t xml:space="preserve">, the oldest premium satellite television channel in </w:t>
      </w:r>
      <w:r w:rsidR="008B06E0">
        <w:t>the s</w:t>
      </w:r>
      <w:r w:rsidR="008B06E0" w:rsidRPr="00EE3C19">
        <w:t xml:space="preserve">outhern state </w:t>
      </w:r>
      <w:r w:rsidR="008B06E0">
        <w:t xml:space="preserve">of </w:t>
      </w:r>
      <w:r w:rsidR="009A2813" w:rsidRPr="00EE3C19">
        <w:t>Tamil</w:t>
      </w:r>
      <w:r w:rsidR="00686419">
        <w:t>,</w:t>
      </w:r>
      <w:r w:rsidR="009A2813" w:rsidRPr="00EE3C19">
        <w:t xml:space="preserve"> </w:t>
      </w:r>
      <w:r w:rsidR="008B06E0">
        <w:t xml:space="preserve">which </w:t>
      </w:r>
      <w:r w:rsidR="009A2813" w:rsidRPr="00EE3C19">
        <w:t xml:space="preserve">launched in 1993. </w:t>
      </w:r>
      <w:proofErr w:type="spellStart"/>
      <w:r w:rsidR="009A2813" w:rsidRPr="00EE3C19">
        <w:t>Saregama’s</w:t>
      </w:r>
      <w:proofErr w:type="spellEnd"/>
      <w:r w:rsidR="009A2813" w:rsidRPr="00EE3C19">
        <w:t xml:space="preserve"> </w:t>
      </w:r>
      <w:r w:rsidR="00686419">
        <w:t xml:space="preserve">popular </w:t>
      </w:r>
      <w:r w:rsidR="009A2813" w:rsidRPr="00EE3C19">
        <w:t xml:space="preserve">ongoing offers on Sun TV included </w:t>
      </w:r>
      <w:proofErr w:type="spellStart"/>
      <w:proofErr w:type="gramStart"/>
      <w:r w:rsidR="009A2813" w:rsidRPr="00EE3C19">
        <w:t>Chandralekha</w:t>
      </w:r>
      <w:proofErr w:type="spellEnd"/>
      <w:proofErr w:type="gramEnd"/>
      <w:r w:rsidR="009A2813" w:rsidRPr="00EE3C19">
        <w:rPr>
          <w:rStyle w:val="FootnoteReference"/>
          <w:vertAlign w:val="baseline"/>
        </w:rPr>
        <w:t xml:space="preserve"> </w:t>
      </w:r>
      <w:r w:rsidR="009A2813" w:rsidRPr="00EE3C19">
        <w:t>(</w:t>
      </w:r>
      <w:r w:rsidR="00686419">
        <w:t>introduced in</w:t>
      </w:r>
      <w:r w:rsidR="00686419" w:rsidRPr="00EE3C19">
        <w:t xml:space="preserve"> </w:t>
      </w:r>
      <w:r w:rsidR="009A2813" w:rsidRPr="00EE3C19">
        <w:t>Oct</w:t>
      </w:r>
      <w:r w:rsidR="00686419">
        <w:t>ober</w:t>
      </w:r>
      <w:r w:rsidR="009A2813" w:rsidRPr="00EE3C19">
        <w:t xml:space="preserve"> 2014), </w:t>
      </w:r>
      <w:proofErr w:type="spellStart"/>
      <w:r w:rsidR="009A2813" w:rsidRPr="00EE3C19">
        <w:t>Roja</w:t>
      </w:r>
      <w:proofErr w:type="spellEnd"/>
      <w:r w:rsidR="009A2813" w:rsidRPr="00EE3C19">
        <w:t xml:space="preserve"> (</w:t>
      </w:r>
      <w:r w:rsidR="00686419">
        <w:t>introduced in</w:t>
      </w:r>
      <w:r w:rsidR="00686419" w:rsidRPr="00EE3C19">
        <w:t xml:space="preserve"> </w:t>
      </w:r>
      <w:r w:rsidR="009A2813" w:rsidRPr="00EE3C19">
        <w:t>April 2018)</w:t>
      </w:r>
      <w:r w:rsidR="00686419">
        <w:t>,</w:t>
      </w:r>
      <w:r w:rsidR="009A2813" w:rsidRPr="00EE3C19">
        <w:t xml:space="preserve"> and </w:t>
      </w:r>
      <w:proofErr w:type="spellStart"/>
      <w:r w:rsidR="009A2813" w:rsidRPr="00EE3C19">
        <w:t>Valli</w:t>
      </w:r>
      <w:proofErr w:type="spellEnd"/>
      <w:r w:rsidR="009A2813" w:rsidRPr="00EE3C19">
        <w:t xml:space="preserve"> (</w:t>
      </w:r>
      <w:r w:rsidR="00686419">
        <w:t>introduced in</w:t>
      </w:r>
      <w:r w:rsidR="00686419" w:rsidRPr="00EE3C19">
        <w:t xml:space="preserve"> </w:t>
      </w:r>
      <w:r w:rsidR="009A2813" w:rsidRPr="00EE3C19">
        <w:t>Dec</w:t>
      </w:r>
      <w:r w:rsidR="00686419">
        <w:t>ember</w:t>
      </w:r>
      <w:r w:rsidR="009A2813" w:rsidRPr="00EE3C19">
        <w:t xml:space="preserve"> 2012). </w:t>
      </w:r>
      <w:proofErr w:type="spellStart"/>
      <w:r w:rsidR="009A2813" w:rsidRPr="00EE3C19">
        <w:t>Saregama’s</w:t>
      </w:r>
      <w:proofErr w:type="spellEnd"/>
      <w:r w:rsidR="009A2813" w:rsidRPr="00EE3C19">
        <w:t xml:space="preserve"> TV content</w:t>
      </w:r>
      <w:r w:rsidR="008B06E0">
        <w:t>,</w:t>
      </w:r>
      <w:r w:rsidR="009A2813" w:rsidRPr="00EE3C19">
        <w:t xml:space="preserve"> aired by Sun TV from as early </w:t>
      </w:r>
      <w:r w:rsidR="00686419">
        <w:t xml:space="preserve">as the </w:t>
      </w:r>
      <w:r w:rsidR="009A2813" w:rsidRPr="00EE3C19">
        <w:t xml:space="preserve">2000s, </w:t>
      </w:r>
      <w:r w:rsidR="008B06E0">
        <w:t>included</w:t>
      </w:r>
      <w:r w:rsidR="008B06E0" w:rsidRPr="00EE3C19">
        <w:t xml:space="preserve"> </w:t>
      </w:r>
      <w:r w:rsidR="009A2813" w:rsidRPr="00EE3C19">
        <w:t>daily soap</w:t>
      </w:r>
      <w:r w:rsidR="00686419">
        <w:t xml:space="preserve"> opera</w:t>
      </w:r>
      <w:r w:rsidR="009A2813" w:rsidRPr="00EE3C19">
        <w:t xml:space="preserve">s like </w:t>
      </w:r>
      <w:proofErr w:type="spellStart"/>
      <w:r w:rsidR="009A2813" w:rsidRPr="00EE3C19">
        <w:t>Athipookal</w:t>
      </w:r>
      <w:proofErr w:type="spellEnd"/>
      <w:r w:rsidR="00686419">
        <w:t xml:space="preserve">, running from </w:t>
      </w:r>
      <w:r w:rsidR="009A2813" w:rsidRPr="00EE3C19">
        <w:t>2007</w:t>
      </w:r>
      <w:r w:rsidR="00686419">
        <w:t xml:space="preserve"> to </w:t>
      </w:r>
      <w:r w:rsidR="009A2813" w:rsidRPr="00EE3C19">
        <w:t>2012</w:t>
      </w:r>
      <w:r w:rsidR="00686419">
        <w:t xml:space="preserve"> and airing </w:t>
      </w:r>
      <w:r w:rsidR="009A2813" w:rsidRPr="00EE3C19">
        <w:t>1</w:t>
      </w:r>
      <w:r w:rsidR="00686419">
        <w:t>,</w:t>
      </w:r>
      <w:r w:rsidR="009A2813" w:rsidRPr="00EE3C19">
        <w:t>272 episodes</w:t>
      </w:r>
      <w:r w:rsidR="00686419">
        <w:t>,</w:t>
      </w:r>
      <w:r w:rsidR="009A2813" w:rsidRPr="00EE3C19">
        <w:t xml:space="preserve"> </w:t>
      </w:r>
      <w:r w:rsidR="00686419">
        <w:t>and</w:t>
      </w:r>
      <w:r w:rsidR="009A2813" w:rsidRPr="00EE3C19">
        <w:t xml:space="preserve"> My Dear </w:t>
      </w:r>
      <w:proofErr w:type="spellStart"/>
      <w:r w:rsidR="009A2813" w:rsidRPr="00EE3C19">
        <w:t>Bootham</w:t>
      </w:r>
      <w:proofErr w:type="spellEnd"/>
      <w:r w:rsidR="00686419">
        <w:t xml:space="preserve">, running from </w:t>
      </w:r>
      <w:r w:rsidR="009A2813" w:rsidRPr="00EE3C19">
        <w:t>2004</w:t>
      </w:r>
      <w:r w:rsidR="00686419">
        <w:t xml:space="preserve"> to 2</w:t>
      </w:r>
      <w:r w:rsidR="009A2813" w:rsidRPr="00EE3C19">
        <w:t>007</w:t>
      </w:r>
      <w:r w:rsidR="00686419">
        <w:t xml:space="preserve"> and </w:t>
      </w:r>
      <w:r w:rsidR="009A2813" w:rsidRPr="00EE3C19">
        <w:t>completing 914 episodes. Later</w:t>
      </w:r>
      <w:r w:rsidR="00686419">
        <w:t xml:space="preserve">, </w:t>
      </w:r>
      <w:proofErr w:type="spellStart"/>
      <w:r w:rsidR="00686419">
        <w:t>Saregama</w:t>
      </w:r>
      <w:proofErr w:type="spellEnd"/>
      <w:r w:rsidR="009A2813" w:rsidRPr="00EE3C19">
        <w:t xml:space="preserve"> also </w:t>
      </w:r>
      <w:r w:rsidR="00686419">
        <w:t>produced</w:t>
      </w:r>
      <w:r w:rsidR="009A2813" w:rsidRPr="00EE3C19">
        <w:t xml:space="preserve"> non-fiction program</w:t>
      </w:r>
      <w:r w:rsidR="00686419">
        <w:t>s</w:t>
      </w:r>
      <w:r w:rsidR="009A2813" w:rsidRPr="00EE3C19">
        <w:t xml:space="preserve"> for Sony </w:t>
      </w:r>
      <w:r w:rsidR="00686419">
        <w:t>E</w:t>
      </w:r>
      <w:r w:rsidR="009A2813" w:rsidRPr="00EE3C19">
        <w:t xml:space="preserve">ntertainment </w:t>
      </w:r>
      <w:r w:rsidR="00686419">
        <w:t>T</w:t>
      </w:r>
      <w:r w:rsidR="009A2813" w:rsidRPr="00EE3C19">
        <w:t>elevision.</w:t>
      </w:r>
    </w:p>
    <w:p w14:paraId="393011E6" w14:textId="101CA77F" w:rsidR="00395521" w:rsidRPr="00201D06" w:rsidRDefault="00395521" w:rsidP="00201D06">
      <w:pPr>
        <w:pStyle w:val="ExhibitText"/>
      </w:pPr>
    </w:p>
    <w:p w14:paraId="34B60731" w14:textId="33B88DE4" w:rsidR="00C579A7" w:rsidRDefault="00EE3C19" w:rsidP="00EE3C19">
      <w:pPr>
        <w:pStyle w:val="ExhibitText"/>
      </w:pPr>
      <w:proofErr w:type="spellStart"/>
      <w:r w:rsidRPr="00EE3C19">
        <w:rPr>
          <w:b/>
        </w:rPr>
        <w:t>Yoodlee</w:t>
      </w:r>
      <w:proofErr w:type="spellEnd"/>
      <w:r w:rsidRPr="00EE3C19">
        <w:rPr>
          <w:b/>
        </w:rPr>
        <w:t xml:space="preserve"> </w:t>
      </w:r>
      <w:r w:rsidR="00686419">
        <w:rPr>
          <w:b/>
        </w:rPr>
        <w:t>F</w:t>
      </w:r>
      <w:r w:rsidRPr="00EE3C19">
        <w:rPr>
          <w:b/>
        </w:rPr>
        <w:t>ilms</w:t>
      </w:r>
      <w:r w:rsidR="009A2813" w:rsidRPr="00B32701">
        <w:t>:</w:t>
      </w:r>
      <w:r w:rsidR="009A2813" w:rsidRPr="00EE3C19">
        <w:t xml:space="preserve"> </w:t>
      </w:r>
      <w:proofErr w:type="spellStart"/>
      <w:r w:rsidR="009A2813" w:rsidRPr="00EE3C19">
        <w:t>Saregama</w:t>
      </w:r>
      <w:proofErr w:type="spellEnd"/>
      <w:r w:rsidR="009A2813" w:rsidRPr="00EE3C19">
        <w:t xml:space="preserve"> ventured into movie production </w:t>
      </w:r>
      <w:r w:rsidR="00686419">
        <w:t xml:space="preserve">in 2017 </w:t>
      </w:r>
      <w:r w:rsidR="009A2813" w:rsidRPr="00EE3C19">
        <w:t xml:space="preserve">as </w:t>
      </w:r>
      <w:proofErr w:type="spellStart"/>
      <w:r w:rsidR="009A2813" w:rsidRPr="00EE3C19">
        <w:t>Yoodlee</w:t>
      </w:r>
      <w:proofErr w:type="spellEnd"/>
      <w:r w:rsidR="009A2813" w:rsidRPr="00EE3C19">
        <w:t xml:space="preserve"> </w:t>
      </w:r>
      <w:r w:rsidR="00686419">
        <w:t>F</w:t>
      </w:r>
      <w:r w:rsidR="009A2813" w:rsidRPr="00EE3C19">
        <w:t>ilms</w:t>
      </w:r>
      <w:r w:rsidR="00686419">
        <w:t>,</w:t>
      </w:r>
      <w:r w:rsidR="009A2813" w:rsidRPr="00EE3C19">
        <w:t xml:space="preserve"> targeting young</w:t>
      </w:r>
      <w:r w:rsidR="008B06E0">
        <w:t>,</w:t>
      </w:r>
      <w:r w:rsidR="009A2813" w:rsidRPr="00EE3C19">
        <w:t xml:space="preserve"> </w:t>
      </w:r>
      <w:r w:rsidR="008B06E0" w:rsidRPr="00EE3C19">
        <w:t>cinema</w:t>
      </w:r>
      <w:r w:rsidR="008B06E0">
        <w:t>-</w:t>
      </w:r>
      <w:r w:rsidR="009A2813" w:rsidRPr="00EE3C19">
        <w:t>loving</w:t>
      </w:r>
      <w:r w:rsidR="00686419">
        <w:t>, global Indians aged</w:t>
      </w:r>
      <w:r w:rsidR="009A2813" w:rsidRPr="00EE3C19">
        <w:t xml:space="preserve"> 18</w:t>
      </w:r>
      <w:r w:rsidR="00686419">
        <w:t>–</w:t>
      </w:r>
      <w:r w:rsidR="009A2813" w:rsidRPr="00EE3C19">
        <w:t xml:space="preserve">35. The name </w:t>
      </w:r>
      <w:proofErr w:type="spellStart"/>
      <w:r w:rsidR="009A2813" w:rsidRPr="00B32701">
        <w:rPr>
          <w:i/>
        </w:rPr>
        <w:t>Yoodlee</w:t>
      </w:r>
      <w:proofErr w:type="spellEnd"/>
      <w:r w:rsidR="009A2813" w:rsidRPr="00EE3C19">
        <w:t xml:space="preserve"> was a tribute to singing</w:t>
      </w:r>
      <w:r w:rsidR="00686419">
        <w:t xml:space="preserve"> and </w:t>
      </w:r>
      <w:r w:rsidR="009A2813" w:rsidRPr="00EE3C19">
        <w:t>acting superstar Kishore Kumar</w:t>
      </w:r>
      <w:r w:rsidR="008B06E0">
        <w:t>,</w:t>
      </w:r>
      <w:r w:rsidR="009A2813" w:rsidRPr="00EE3C19">
        <w:t xml:space="preserve"> who was famous for yodelling. The name suggested the youth</w:t>
      </w:r>
      <w:r w:rsidR="00686419">
        <w:t>ful</w:t>
      </w:r>
      <w:r w:rsidR="009A2813" w:rsidRPr="00EE3C19">
        <w:t>, energetic, realistic</w:t>
      </w:r>
      <w:r w:rsidR="00686419">
        <w:t>,</w:t>
      </w:r>
      <w:r w:rsidR="009A2813" w:rsidRPr="00EE3C19">
        <w:t xml:space="preserve"> and relatable positioning of the offer. The movies were planned as smart budget movies for 10</w:t>
      </w:r>
      <w:r w:rsidR="00686419">
        <w:t>–</w:t>
      </w:r>
      <w:r w:rsidR="009A2813" w:rsidRPr="00EE3C19">
        <w:t xml:space="preserve">12 city releases for the urban populace. </w:t>
      </w:r>
      <w:r w:rsidR="008B06E0">
        <w:t xml:space="preserve">The term </w:t>
      </w:r>
      <w:r w:rsidR="008B06E0" w:rsidRPr="00B32701">
        <w:rPr>
          <w:i/>
        </w:rPr>
        <w:t>s</w:t>
      </w:r>
      <w:r w:rsidR="009A2813" w:rsidRPr="00B32701">
        <w:rPr>
          <w:i/>
        </w:rPr>
        <w:t>mart budget</w:t>
      </w:r>
      <w:r w:rsidR="009A2813" w:rsidRPr="00EE3C19">
        <w:t xml:space="preserve"> meant </w:t>
      </w:r>
      <w:r w:rsidR="008B06E0">
        <w:t>that costs were kept</w:t>
      </w:r>
      <w:r w:rsidR="009A2813" w:rsidRPr="00EE3C19">
        <w:t xml:space="preserve"> low</w:t>
      </w:r>
      <w:r w:rsidR="00686419">
        <w:t>,</w:t>
      </w:r>
      <w:r w:rsidR="009A2813" w:rsidRPr="00EE3C19">
        <w:t xml:space="preserve"> within the range of </w:t>
      </w:r>
      <w:r w:rsidR="00C579A7">
        <w:t>₹</w:t>
      </w:r>
      <w:r w:rsidR="009A2813" w:rsidRPr="00EE3C19">
        <w:t>35</w:t>
      </w:r>
      <w:r w:rsidR="00C579A7">
        <w:t xml:space="preserve">–40 million. </w:t>
      </w:r>
      <w:proofErr w:type="spellStart"/>
      <w:r w:rsidR="00C579A7">
        <w:t>Saregama</w:t>
      </w:r>
      <w:proofErr w:type="spellEnd"/>
      <w:r w:rsidR="00C579A7">
        <w:t xml:space="preserve"> was </w:t>
      </w:r>
      <w:r w:rsidR="009A2813" w:rsidRPr="00EE3C19">
        <w:t>the only production house to share 30</w:t>
      </w:r>
      <w:r w:rsidR="00C579A7">
        <w:t xml:space="preserve"> per cent</w:t>
      </w:r>
      <w:r w:rsidR="009A2813" w:rsidRPr="00EE3C19">
        <w:t xml:space="preserve"> of </w:t>
      </w:r>
      <w:r w:rsidR="00C579A7">
        <w:t>the</w:t>
      </w:r>
      <w:r w:rsidR="00C579A7" w:rsidRPr="00EE3C19">
        <w:t xml:space="preserve"> </w:t>
      </w:r>
      <w:r w:rsidR="009A2813" w:rsidRPr="00EE3C19">
        <w:t>profits with the key artists.</w:t>
      </w:r>
      <w:r w:rsidR="00C579A7">
        <w:t xml:space="preserve"> Production </w:t>
      </w:r>
      <w:r w:rsidR="009A2813" w:rsidRPr="00EE3C19">
        <w:t xml:space="preserve">started with a basket of </w:t>
      </w:r>
      <w:r w:rsidR="00C579A7">
        <w:t>10</w:t>
      </w:r>
      <w:r w:rsidR="00C579A7" w:rsidRPr="00EE3C19">
        <w:t xml:space="preserve"> </w:t>
      </w:r>
      <w:r w:rsidR="009A2813" w:rsidRPr="00EE3C19">
        <w:t>full-length feature films</w:t>
      </w:r>
      <w:r w:rsidR="008B06E0">
        <w:t>,</w:t>
      </w:r>
      <w:r w:rsidR="009A2813" w:rsidRPr="00EE3C19">
        <w:t xml:space="preserve"> with </w:t>
      </w:r>
      <w:proofErr w:type="spellStart"/>
      <w:r w:rsidR="009A2813" w:rsidRPr="00327A07">
        <w:rPr>
          <w:i/>
          <w:iCs/>
        </w:rPr>
        <w:t>Brij</w:t>
      </w:r>
      <w:proofErr w:type="spellEnd"/>
      <w:r w:rsidR="009A2813" w:rsidRPr="00327A07">
        <w:rPr>
          <w:i/>
          <w:iCs/>
        </w:rPr>
        <w:t xml:space="preserve"> Mohan Amar </w:t>
      </w:r>
      <w:proofErr w:type="spellStart"/>
      <w:r w:rsidR="009A2813" w:rsidRPr="00327A07">
        <w:rPr>
          <w:i/>
          <w:iCs/>
        </w:rPr>
        <w:t>Rahe</w:t>
      </w:r>
      <w:proofErr w:type="spellEnd"/>
      <w:r w:rsidR="009A2813" w:rsidRPr="00EE3C19">
        <w:t xml:space="preserve"> </w:t>
      </w:r>
      <w:r w:rsidR="008B06E0" w:rsidRPr="00EE3C19">
        <w:t>release</w:t>
      </w:r>
      <w:r w:rsidR="008B06E0">
        <w:t>d</w:t>
      </w:r>
      <w:r w:rsidR="008B06E0" w:rsidRPr="00EE3C19">
        <w:t xml:space="preserve"> </w:t>
      </w:r>
      <w:r w:rsidR="009A2813" w:rsidRPr="00EE3C19">
        <w:t>first on September 1, 2017</w:t>
      </w:r>
      <w:r w:rsidR="009A2813" w:rsidRPr="00327A07">
        <w:t>.</w:t>
      </w:r>
      <w:r w:rsidR="009A2813" w:rsidRPr="00EE3C19">
        <w:t xml:space="preserve"> </w:t>
      </w:r>
      <w:r w:rsidR="008B06E0">
        <w:t xml:space="preserve">The </w:t>
      </w:r>
      <w:r w:rsidR="009A2813" w:rsidRPr="00EE3C19">
        <w:t>films included bilingual projects</w:t>
      </w:r>
      <w:r w:rsidR="00C579A7">
        <w:t xml:space="preserve"> and</w:t>
      </w:r>
      <w:r w:rsidR="009A2813" w:rsidRPr="00EE3C19">
        <w:t xml:space="preserve"> </w:t>
      </w:r>
      <w:r w:rsidR="008B06E0" w:rsidRPr="00EE3C19">
        <w:t>real</w:t>
      </w:r>
      <w:r w:rsidR="008B06E0">
        <w:t>-</w:t>
      </w:r>
      <w:r w:rsidR="009A2813" w:rsidRPr="00EE3C19">
        <w:t>life stories</w:t>
      </w:r>
      <w:r w:rsidR="00C579A7">
        <w:t>,</w:t>
      </w:r>
      <w:r w:rsidR="009A2813" w:rsidRPr="00EE3C19">
        <w:t xml:space="preserve"> some of which had national award winning directors and even superstars like Amitabh </w:t>
      </w:r>
      <w:proofErr w:type="spellStart"/>
      <w:r w:rsidR="009A2813" w:rsidRPr="00EE3C19">
        <w:t>Bachhan</w:t>
      </w:r>
      <w:proofErr w:type="spellEnd"/>
      <w:r w:rsidR="009A2813" w:rsidRPr="00EE3C19">
        <w:t xml:space="preserve">. </w:t>
      </w:r>
    </w:p>
    <w:p w14:paraId="6C203C0E" w14:textId="77777777" w:rsidR="00C579A7" w:rsidRDefault="00C579A7" w:rsidP="00EE3C19">
      <w:pPr>
        <w:pStyle w:val="ExhibitText"/>
      </w:pPr>
    </w:p>
    <w:p w14:paraId="798B90E7" w14:textId="1CAAEF55" w:rsidR="009A2813" w:rsidRDefault="009A2813" w:rsidP="00EE3C19">
      <w:pPr>
        <w:pStyle w:val="ExhibitText"/>
      </w:pPr>
      <w:proofErr w:type="spellStart"/>
      <w:r w:rsidRPr="00EE3C19">
        <w:t>Yoodlee</w:t>
      </w:r>
      <w:proofErr w:type="spellEnd"/>
      <w:r w:rsidRPr="00EE3C19">
        <w:t xml:space="preserve"> </w:t>
      </w:r>
      <w:r w:rsidR="00C579A7">
        <w:t>F</w:t>
      </w:r>
      <w:r w:rsidRPr="00EE3C19">
        <w:t xml:space="preserve">ilms </w:t>
      </w:r>
      <w:r w:rsidR="00C579A7">
        <w:t>was</w:t>
      </w:r>
      <w:r w:rsidR="00C579A7" w:rsidRPr="00EE3C19">
        <w:t xml:space="preserve"> </w:t>
      </w:r>
      <w:r w:rsidRPr="00EE3C19">
        <w:t xml:space="preserve">not </w:t>
      </w:r>
      <w:r w:rsidR="00C579A7">
        <w:t xml:space="preserve">focused on </w:t>
      </w:r>
      <w:r w:rsidRPr="00EE3C19">
        <w:t>competing in the mainstream commercial cinema space and</w:t>
      </w:r>
      <w:r w:rsidR="00C579A7">
        <w:t>,</w:t>
      </w:r>
      <w:r w:rsidRPr="00EE3C19">
        <w:t xml:space="preserve"> hence</w:t>
      </w:r>
      <w:r w:rsidR="00C579A7">
        <w:t>,</w:t>
      </w:r>
      <w:r w:rsidRPr="00EE3C19">
        <w:t xml:space="preserve"> </w:t>
      </w:r>
      <w:r w:rsidR="00C579A7">
        <w:t>was</w:t>
      </w:r>
      <w:r w:rsidR="00C579A7" w:rsidRPr="00EE3C19">
        <w:t xml:space="preserve"> </w:t>
      </w:r>
      <w:r w:rsidRPr="00EE3C19">
        <w:t>open to TV or digital release</w:t>
      </w:r>
      <w:r w:rsidR="008B06E0">
        <w:t>s</w:t>
      </w:r>
      <w:r w:rsidRPr="00EE3C19">
        <w:t xml:space="preserve"> or even release</w:t>
      </w:r>
      <w:r w:rsidR="008B06E0">
        <w:t>s</w:t>
      </w:r>
      <w:r w:rsidRPr="00EE3C19">
        <w:t xml:space="preserve"> on OTT platforms. The idea of </w:t>
      </w:r>
      <w:r w:rsidR="00C579A7">
        <w:t>accessing</w:t>
      </w:r>
      <w:r w:rsidR="00C579A7" w:rsidRPr="00EE3C19">
        <w:t xml:space="preserve"> </w:t>
      </w:r>
      <w:r w:rsidRPr="00EE3C19">
        <w:t xml:space="preserve">this untapped market was the fruit of </w:t>
      </w:r>
      <w:r w:rsidR="00C579A7">
        <w:t>the company’s</w:t>
      </w:r>
      <w:r w:rsidR="00C579A7" w:rsidRPr="00EE3C19">
        <w:t xml:space="preserve"> </w:t>
      </w:r>
      <w:r w:rsidR="008B06E0" w:rsidRPr="00EE3C19">
        <w:t>2015</w:t>
      </w:r>
      <w:r w:rsidR="009D5080">
        <w:t xml:space="preserve"> </w:t>
      </w:r>
      <w:r w:rsidRPr="00EE3C19">
        <w:t xml:space="preserve">market study </w:t>
      </w:r>
      <w:r w:rsidR="00C579A7">
        <w:t>on</w:t>
      </w:r>
      <w:r w:rsidR="00C579A7" w:rsidRPr="00EE3C19">
        <w:t xml:space="preserve"> </w:t>
      </w:r>
      <w:r w:rsidRPr="00EE3C19">
        <w:t>music</w:t>
      </w:r>
      <w:r w:rsidR="008B06E0">
        <w:t xml:space="preserve">, which </w:t>
      </w:r>
      <w:r w:rsidRPr="00EE3C19">
        <w:t xml:space="preserve">later led </w:t>
      </w:r>
      <w:proofErr w:type="spellStart"/>
      <w:r w:rsidRPr="00EE3C19">
        <w:t>Mehra</w:t>
      </w:r>
      <w:proofErr w:type="spellEnd"/>
      <w:r w:rsidRPr="00EE3C19">
        <w:t xml:space="preserve"> to aspire </w:t>
      </w:r>
      <w:r w:rsidR="00C579A7">
        <w:t xml:space="preserve">to </w:t>
      </w:r>
      <w:r w:rsidRPr="00EE3C19">
        <w:t xml:space="preserve">a </w:t>
      </w:r>
      <w:r w:rsidR="00C579A7">
        <w:t xml:space="preserve">target of </w:t>
      </w:r>
      <w:r w:rsidRPr="00EE3C19">
        <w:t xml:space="preserve">100 movies </w:t>
      </w:r>
      <w:r w:rsidR="00C579A7">
        <w:t>produced</w:t>
      </w:r>
      <w:r w:rsidR="00C579A7" w:rsidRPr="00EE3C19">
        <w:t xml:space="preserve"> </w:t>
      </w:r>
      <w:r w:rsidR="00C579A7">
        <w:t xml:space="preserve">by </w:t>
      </w:r>
      <w:proofErr w:type="spellStart"/>
      <w:r w:rsidR="008B06E0">
        <w:t>Yoodlee</w:t>
      </w:r>
      <w:proofErr w:type="spellEnd"/>
      <w:r w:rsidR="008B06E0">
        <w:t xml:space="preserve"> </w:t>
      </w:r>
      <w:r w:rsidRPr="00EE3C19">
        <w:t xml:space="preserve">in five years </w:t>
      </w:r>
      <w:r w:rsidR="00C579A7">
        <w:t>(</w:t>
      </w:r>
      <w:r w:rsidRPr="00EE3C19">
        <w:t>by 2020</w:t>
      </w:r>
      <w:r w:rsidR="00C579A7">
        <w:t>)</w:t>
      </w:r>
      <w:r w:rsidRPr="00EE3C19">
        <w:t>.</w:t>
      </w:r>
    </w:p>
    <w:p w14:paraId="474A49F4" w14:textId="77777777" w:rsidR="00EE3C19" w:rsidRPr="00EE3C19" w:rsidRDefault="00EE3C19" w:rsidP="00EE3C19">
      <w:pPr>
        <w:pStyle w:val="ExhibitText"/>
        <w:rPr>
          <w:caps/>
        </w:rPr>
      </w:pPr>
    </w:p>
    <w:p w14:paraId="7126B614" w14:textId="16B9788E" w:rsidR="001B6B3A" w:rsidRPr="00201D06" w:rsidRDefault="00496F23" w:rsidP="00201D06">
      <w:pPr>
        <w:pStyle w:val="Footnote"/>
        <w:rPr>
          <w:spacing w:val="-6"/>
        </w:rPr>
      </w:pPr>
      <w:r w:rsidRPr="00907684">
        <w:rPr>
          <w:spacing w:val="-6"/>
        </w:rPr>
        <w:t xml:space="preserve">Source: </w:t>
      </w:r>
      <w:r w:rsidR="00C579A7">
        <w:rPr>
          <w:spacing w:val="-6"/>
        </w:rPr>
        <w:t>Press Trust of India</w:t>
      </w:r>
      <w:r w:rsidR="00742AB3">
        <w:rPr>
          <w:spacing w:val="-6"/>
        </w:rPr>
        <w:t xml:space="preserve"> (PTI)</w:t>
      </w:r>
      <w:r w:rsidRPr="00907684">
        <w:rPr>
          <w:spacing w:val="-6"/>
        </w:rPr>
        <w:t>, “</w:t>
      </w:r>
      <w:proofErr w:type="spellStart"/>
      <w:r w:rsidRPr="00907684">
        <w:rPr>
          <w:spacing w:val="-6"/>
        </w:rPr>
        <w:t>Saregama</w:t>
      </w:r>
      <w:proofErr w:type="spellEnd"/>
      <w:r w:rsidRPr="00907684">
        <w:rPr>
          <w:spacing w:val="-6"/>
        </w:rPr>
        <w:t xml:space="preserve"> Launches a New Online Music Store for Streaming </w:t>
      </w:r>
      <w:r w:rsidR="00742AB3">
        <w:rPr>
          <w:spacing w:val="-6"/>
        </w:rPr>
        <w:t>and</w:t>
      </w:r>
      <w:r w:rsidR="00742AB3" w:rsidRPr="00907684">
        <w:rPr>
          <w:spacing w:val="-6"/>
        </w:rPr>
        <w:t xml:space="preserve"> </w:t>
      </w:r>
      <w:r w:rsidRPr="00907684">
        <w:rPr>
          <w:spacing w:val="-6"/>
        </w:rPr>
        <w:t xml:space="preserve">Downloading Songs,” </w:t>
      </w:r>
      <w:r w:rsidRPr="00327A07">
        <w:rPr>
          <w:i/>
          <w:iCs/>
          <w:spacing w:val="-6"/>
        </w:rPr>
        <w:t>Economic Times</w:t>
      </w:r>
      <w:r w:rsidRPr="00907684">
        <w:rPr>
          <w:spacing w:val="-6"/>
        </w:rPr>
        <w:t>, April 13, 2015, accessed May 6, 2018, https://tech.economictimes.indiatimes.com/news/internet/saregama-music-store/46902868; PTI New Delhi, “</w:t>
      </w:r>
      <w:proofErr w:type="spellStart"/>
      <w:r w:rsidRPr="00907684">
        <w:rPr>
          <w:spacing w:val="-6"/>
        </w:rPr>
        <w:t>Saregama</w:t>
      </w:r>
      <w:proofErr w:type="spellEnd"/>
      <w:r w:rsidRPr="00907684">
        <w:rPr>
          <w:spacing w:val="-6"/>
        </w:rPr>
        <w:t xml:space="preserve"> Launches Devotional Music App,” </w:t>
      </w:r>
      <w:r w:rsidRPr="00327A07">
        <w:rPr>
          <w:i/>
          <w:iCs/>
          <w:spacing w:val="-6"/>
        </w:rPr>
        <w:t>Hindu Business Line</w:t>
      </w:r>
      <w:r w:rsidRPr="00907684">
        <w:rPr>
          <w:spacing w:val="-6"/>
        </w:rPr>
        <w:t xml:space="preserve">, January 20, 2018, accessed May 6, 2018, www.thehindubusinessline.com/info-tech/saregama-launches-devotional-music-app/article8405990.ece; </w:t>
      </w:r>
      <w:proofErr w:type="spellStart"/>
      <w:r w:rsidRPr="00907684">
        <w:rPr>
          <w:spacing w:val="-6"/>
        </w:rPr>
        <w:t>Vikas</w:t>
      </w:r>
      <w:proofErr w:type="spellEnd"/>
      <w:r w:rsidRPr="00907684">
        <w:rPr>
          <w:spacing w:val="-6"/>
        </w:rPr>
        <w:t xml:space="preserve"> SN, “Spotify Working on India Launch: CEO Daniel </w:t>
      </w:r>
      <w:proofErr w:type="spellStart"/>
      <w:r w:rsidRPr="00907684">
        <w:rPr>
          <w:spacing w:val="-6"/>
        </w:rPr>
        <w:t>Ek</w:t>
      </w:r>
      <w:proofErr w:type="spellEnd"/>
      <w:r w:rsidRPr="00907684">
        <w:rPr>
          <w:spacing w:val="-6"/>
        </w:rPr>
        <w:t xml:space="preserve">,” ET Tech, March 16, 2018, accessed May 6, 2018, https://tech.economictimes.indiatimes.com/news/internet/spotify-working-on-india-launch-ceo-daniel-ek/63324267; </w:t>
      </w:r>
      <w:r w:rsidR="00742AB3">
        <w:rPr>
          <w:spacing w:val="-6"/>
        </w:rPr>
        <w:t>“</w:t>
      </w:r>
      <w:proofErr w:type="spellStart"/>
      <w:r w:rsidRPr="00907684">
        <w:rPr>
          <w:spacing w:val="-6"/>
        </w:rPr>
        <w:t>Saregama</w:t>
      </w:r>
      <w:proofErr w:type="spellEnd"/>
      <w:r w:rsidRPr="00907684">
        <w:rPr>
          <w:spacing w:val="-6"/>
        </w:rPr>
        <w:t xml:space="preserve"> Launches Music Cards</w:t>
      </w:r>
      <w:r w:rsidR="00742AB3">
        <w:rPr>
          <w:spacing w:val="-6"/>
        </w:rPr>
        <w:t xml:space="preserve"> Preloaded with Songs in USB Drive</w:t>
      </w:r>
      <w:r w:rsidRPr="00907684">
        <w:rPr>
          <w:spacing w:val="-6"/>
        </w:rPr>
        <w:t xml:space="preserve">,” </w:t>
      </w:r>
      <w:r w:rsidR="00742AB3">
        <w:rPr>
          <w:spacing w:val="-6"/>
        </w:rPr>
        <w:t>Media News 4U</w:t>
      </w:r>
      <w:r w:rsidRPr="00907684">
        <w:rPr>
          <w:spacing w:val="-6"/>
        </w:rPr>
        <w:t xml:space="preserve">, April 28, 2016, accessed May 6, 2018, </w:t>
      </w:r>
      <w:r w:rsidR="00742AB3" w:rsidRPr="00742AB3">
        <w:rPr>
          <w:spacing w:val="-6"/>
        </w:rPr>
        <w:t>www.medianews4u.com/saregama-launches-music-cards-preloaded-songs-usb-drive</w:t>
      </w:r>
      <w:r w:rsidRPr="00907684">
        <w:rPr>
          <w:spacing w:val="-6"/>
        </w:rPr>
        <w:t>; “</w:t>
      </w:r>
      <w:proofErr w:type="spellStart"/>
      <w:r w:rsidRPr="00907684">
        <w:rPr>
          <w:spacing w:val="-6"/>
        </w:rPr>
        <w:t>Saregama</w:t>
      </w:r>
      <w:proofErr w:type="spellEnd"/>
      <w:r w:rsidRPr="00907684">
        <w:rPr>
          <w:spacing w:val="-6"/>
        </w:rPr>
        <w:t xml:space="preserve"> </w:t>
      </w:r>
      <w:proofErr w:type="spellStart"/>
      <w:r w:rsidRPr="00907684">
        <w:rPr>
          <w:spacing w:val="-6"/>
        </w:rPr>
        <w:t>Chandralekha</w:t>
      </w:r>
      <w:proofErr w:type="spellEnd"/>
      <w:r w:rsidRPr="00907684">
        <w:rPr>
          <w:spacing w:val="-6"/>
        </w:rPr>
        <w:t xml:space="preserve"> on Sun TV Completes 1000 Episodes,” </w:t>
      </w:r>
      <w:r w:rsidR="00742AB3">
        <w:rPr>
          <w:spacing w:val="-6"/>
        </w:rPr>
        <w:t>Media News 4U</w:t>
      </w:r>
      <w:r w:rsidRPr="00907684">
        <w:rPr>
          <w:spacing w:val="-6"/>
        </w:rPr>
        <w:t>, February 2, 2018, accessed May 6, 2018, https://tvnews4u.com/saregamaschandraleka-sun-tv-completes-1000-episodes</w:t>
      </w:r>
      <w:r w:rsidR="00742AB3">
        <w:rPr>
          <w:spacing w:val="-6"/>
        </w:rPr>
        <w:t>;</w:t>
      </w:r>
      <w:r w:rsidRPr="00907684">
        <w:rPr>
          <w:spacing w:val="-6"/>
        </w:rPr>
        <w:t xml:space="preserve"> PTI, “</w:t>
      </w:r>
      <w:proofErr w:type="spellStart"/>
      <w:r w:rsidRPr="00907684">
        <w:rPr>
          <w:spacing w:val="-6"/>
        </w:rPr>
        <w:t>Saregama</w:t>
      </w:r>
      <w:proofErr w:type="spellEnd"/>
      <w:r w:rsidRPr="00907684">
        <w:rPr>
          <w:spacing w:val="-6"/>
        </w:rPr>
        <w:t xml:space="preserve"> </w:t>
      </w:r>
      <w:r w:rsidR="00742AB3">
        <w:rPr>
          <w:spacing w:val="-6"/>
        </w:rPr>
        <w:t>G</w:t>
      </w:r>
      <w:r w:rsidRPr="00907684">
        <w:rPr>
          <w:spacing w:val="-6"/>
        </w:rPr>
        <w:t xml:space="preserve">ets into Film Production with </w:t>
      </w:r>
      <w:proofErr w:type="spellStart"/>
      <w:r w:rsidRPr="00907684">
        <w:rPr>
          <w:spacing w:val="-6"/>
        </w:rPr>
        <w:t>Yoodlee</w:t>
      </w:r>
      <w:proofErr w:type="spellEnd"/>
      <w:r w:rsidRPr="00907684">
        <w:rPr>
          <w:spacing w:val="-6"/>
        </w:rPr>
        <w:t xml:space="preserve"> Films,” </w:t>
      </w:r>
      <w:r w:rsidRPr="00327A07">
        <w:rPr>
          <w:i/>
          <w:iCs/>
          <w:spacing w:val="-6"/>
        </w:rPr>
        <w:t>Times of India</w:t>
      </w:r>
      <w:r w:rsidRPr="00907684">
        <w:rPr>
          <w:spacing w:val="-6"/>
        </w:rPr>
        <w:t>, July 19, 2017, accessed May 6, 2018, https://timesofindia.indiatimes.com/business/india-business/saregama-gets-into-film-production-with-yoodlee-films/articleshow/59663479.cms; PTI, “</w:t>
      </w:r>
      <w:proofErr w:type="spellStart"/>
      <w:r w:rsidRPr="00907684">
        <w:rPr>
          <w:spacing w:val="-6"/>
        </w:rPr>
        <w:t>Yoodlee</w:t>
      </w:r>
      <w:proofErr w:type="spellEnd"/>
      <w:r w:rsidRPr="00907684">
        <w:rPr>
          <w:spacing w:val="-6"/>
        </w:rPr>
        <w:t xml:space="preserve"> Films Announces the Line-</w:t>
      </w:r>
      <w:r w:rsidR="0099025A">
        <w:rPr>
          <w:spacing w:val="-6"/>
        </w:rPr>
        <w:t>U</w:t>
      </w:r>
      <w:r w:rsidRPr="00907684">
        <w:rPr>
          <w:spacing w:val="-6"/>
        </w:rPr>
        <w:t xml:space="preserve">p of Upcoming 10 Releases,” India Today, August 2, 2017, accessed May 6, 2018, www.indiatoday.in/pti-feed/story/yoodlee-films-announces-the-line-up-of-upcoming-10-releases-1008668-2017-08-02. </w:t>
      </w:r>
      <w:r w:rsidR="001B6B3A">
        <w:rPr>
          <w:b/>
          <w:caps/>
        </w:rPr>
        <w:br w:type="page"/>
      </w:r>
    </w:p>
    <w:p w14:paraId="752406B0" w14:textId="2C365F32" w:rsidR="009A2813" w:rsidRDefault="009A2813" w:rsidP="00502AF1">
      <w:pPr>
        <w:pStyle w:val="ExhibitHeading"/>
      </w:pPr>
      <w:r w:rsidRPr="00907684">
        <w:lastRenderedPageBreak/>
        <w:t>Exhibit 6</w:t>
      </w:r>
      <w:r w:rsidRPr="00160BB6">
        <w:rPr>
          <w:caps w:val="0"/>
        </w:rPr>
        <w:t>:</w:t>
      </w:r>
      <w:r w:rsidRPr="008E5183">
        <w:t xml:space="preserve"> CARVAAN</w:t>
      </w:r>
      <w:r w:rsidR="0099025A">
        <w:t>—</w:t>
      </w:r>
      <w:r w:rsidRPr="008E5183">
        <w:t xml:space="preserve">product </w:t>
      </w:r>
      <w:r w:rsidRPr="00502AF1">
        <w:t>design</w:t>
      </w:r>
      <w:r w:rsidRPr="008E5183">
        <w:t xml:space="preserve"> </w:t>
      </w:r>
      <w:r w:rsidR="0099025A">
        <w:t>and</w:t>
      </w:r>
      <w:r w:rsidR="0099025A" w:rsidRPr="008E5183">
        <w:t xml:space="preserve"> </w:t>
      </w:r>
      <w:r w:rsidRPr="008E5183">
        <w:t>features</w:t>
      </w:r>
    </w:p>
    <w:p w14:paraId="68389597" w14:textId="77777777" w:rsidR="00502AF1" w:rsidRPr="008E5183" w:rsidRDefault="00502AF1" w:rsidP="00502AF1">
      <w:pPr>
        <w:pStyle w:val="ExhibitText"/>
      </w:pPr>
    </w:p>
    <w:p w14:paraId="02217DA9" w14:textId="77777777" w:rsidR="009A2813" w:rsidRPr="008E5183" w:rsidRDefault="009A2813" w:rsidP="00C902DC">
      <w:pPr>
        <w:pStyle w:val="ExhibitText"/>
        <w:jc w:val="center"/>
      </w:pPr>
      <w:r w:rsidRPr="008E5183">
        <w:rPr>
          <w:noProof/>
          <w:lang w:val="en-CA" w:eastAsia="en-CA"/>
        </w:rPr>
        <w:drawing>
          <wp:inline distT="0" distB="0" distL="0" distR="0" wp14:anchorId="7FE45736" wp14:editId="45A99D4A">
            <wp:extent cx="5818909" cy="1178184"/>
            <wp:effectExtent l="0" t="0" r="0" b="3175"/>
            <wp:docPr id="11" name="Picture 11" descr="Image result for carvaan available in 5 col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carvaan available in 5 colours"/>
                    <pic:cNvPicPr>
                      <a:picLocks noChangeAspect="1" noChangeArrowheads="1"/>
                    </pic:cNvPicPr>
                  </pic:nvPicPr>
                  <pic:blipFill rotWithShape="1">
                    <a:blip r:embed="rId12">
                      <a:grayscl/>
                      <a:extLst>
                        <a:ext uri="{28A0092B-C50C-407E-A947-70E740481C1C}">
                          <a14:useLocalDpi xmlns:a14="http://schemas.microsoft.com/office/drawing/2010/main" val="0"/>
                        </a:ext>
                      </a:extLst>
                    </a:blip>
                    <a:srcRect t="30918" b="34782"/>
                    <a:stretch/>
                  </pic:blipFill>
                  <pic:spPr bwMode="auto">
                    <a:xfrm>
                      <a:off x="0" y="0"/>
                      <a:ext cx="5844434" cy="1183352"/>
                    </a:xfrm>
                    <a:prstGeom prst="rect">
                      <a:avLst/>
                    </a:prstGeom>
                    <a:noFill/>
                    <a:ln>
                      <a:noFill/>
                    </a:ln>
                    <a:extLst>
                      <a:ext uri="{53640926-AAD7-44D8-BBD7-CCE9431645EC}">
                        <a14:shadowObscured xmlns:a14="http://schemas.microsoft.com/office/drawing/2010/main"/>
                      </a:ext>
                    </a:extLst>
                  </pic:spPr>
                </pic:pic>
              </a:graphicData>
            </a:graphic>
          </wp:inline>
        </w:drawing>
      </w:r>
    </w:p>
    <w:p w14:paraId="5DCFB505" w14:textId="2ACAD769" w:rsidR="00502AF1" w:rsidRDefault="009A2813" w:rsidP="00907684">
      <w:pPr>
        <w:pStyle w:val="ExhibitText"/>
        <w:jc w:val="center"/>
      </w:pPr>
      <w:r w:rsidRPr="008E5183">
        <w:rPr>
          <w:noProof/>
          <w:lang w:val="en-CA" w:eastAsia="en-CA"/>
        </w:rPr>
        <w:drawing>
          <wp:inline distT="0" distB="0" distL="0" distR="0" wp14:anchorId="7CB43D96" wp14:editId="303F7FA0">
            <wp:extent cx="5474525" cy="3720087"/>
            <wp:effectExtent l="0" t="0" r="0" b="0"/>
            <wp:docPr id="3" name="Picture 3" descr="Image result for Carvaan - sareg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rvaan - saregama"/>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5482687" cy="3725633"/>
                    </a:xfrm>
                    <a:prstGeom prst="rect">
                      <a:avLst/>
                    </a:prstGeom>
                    <a:noFill/>
                    <a:ln>
                      <a:noFill/>
                    </a:ln>
                  </pic:spPr>
                </pic:pic>
              </a:graphicData>
            </a:graphic>
          </wp:inline>
        </w:drawing>
      </w:r>
    </w:p>
    <w:p w14:paraId="42B6ADE9" w14:textId="77777777" w:rsidR="00907684" w:rsidRPr="008E5183" w:rsidRDefault="00907684" w:rsidP="00907684">
      <w:pPr>
        <w:pStyle w:val="ExhibitText"/>
      </w:pPr>
    </w:p>
    <w:p w14:paraId="68EF8968" w14:textId="27827180" w:rsidR="0099025A" w:rsidRDefault="009A2813" w:rsidP="00327A07">
      <w:pPr>
        <w:pStyle w:val="Footnote"/>
        <w:rPr>
          <w:i/>
          <w:sz w:val="20"/>
          <w:szCs w:val="20"/>
        </w:rPr>
      </w:pPr>
      <w:r w:rsidRPr="00327A07">
        <w:t>Source: Company website</w:t>
      </w:r>
      <w:r w:rsidRPr="008E5183">
        <w:rPr>
          <w:i/>
          <w:sz w:val="20"/>
          <w:szCs w:val="20"/>
        </w:rPr>
        <w:t>.</w:t>
      </w:r>
    </w:p>
    <w:p w14:paraId="4833E275" w14:textId="77777777" w:rsidR="006F575B" w:rsidRDefault="006F575B" w:rsidP="00327A07">
      <w:pPr>
        <w:pStyle w:val="ExhibitText"/>
        <w:sectPr w:rsidR="006F575B" w:rsidSect="00751E0B">
          <w:headerReference w:type="default" r:id="rId14"/>
          <w:pgSz w:w="12240" w:h="15840" w:code="1"/>
          <w:pgMar w:top="1080" w:right="1440" w:bottom="1440" w:left="1440" w:header="1080" w:footer="720" w:gutter="0"/>
          <w:cols w:space="720"/>
          <w:titlePg/>
          <w:docGrid w:linePitch="360"/>
        </w:sectPr>
      </w:pPr>
    </w:p>
    <w:p w14:paraId="5ABD7995" w14:textId="77A9906D" w:rsidR="009A2813" w:rsidRPr="00A00DD4" w:rsidRDefault="009A2813" w:rsidP="00A00DD4">
      <w:pPr>
        <w:pStyle w:val="ExhibitHeading"/>
      </w:pPr>
      <w:r w:rsidRPr="00A00DD4">
        <w:lastRenderedPageBreak/>
        <w:t>Exhibit 7: SAREGAMA</w:t>
      </w:r>
      <w:r w:rsidR="0099025A" w:rsidRPr="00A00DD4">
        <w:t>’s</w:t>
      </w:r>
      <w:r w:rsidRPr="00A00DD4">
        <w:t xml:space="preserve"> ORGANIZATIONAL STRUCTURE</w:t>
      </w:r>
    </w:p>
    <w:p w14:paraId="47F81C61" w14:textId="77777777" w:rsidR="00496F23" w:rsidRPr="008E5183" w:rsidRDefault="00496F23" w:rsidP="00A00DD4">
      <w:pPr>
        <w:pStyle w:val="ExhibitText"/>
      </w:pPr>
    </w:p>
    <w:p w14:paraId="31EE3B19" w14:textId="0C04B5B5" w:rsidR="009A2813" w:rsidRDefault="00C528AE" w:rsidP="003A15F9">
      <w:pPr>
        <w:pStyle w:val="ExhibitText"/>
        <w:jc w:val="center"/>
      </w:pPr>
      <w:r>
        <w:rPr>
          <w:noProof/>
          <w:lang w:val="en-CA" w:eastAsia="en-CA"/>
        </w:rPr>
        <w:drawing>
          <wp:inline distT="0" distB="0" distL="0" distR="0" wp14:anchorId="3191D016" wp14:editId="25191F78">
            <wp:extent cx="8300483" cy="36258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09321" cy="3629711"/>
                    </a:xfrm>
                    <a:prstGeom prst="rect">
                      <a:avLst/>
                    </a:prstGeom>
                    <a:noFill/>
                  </pic:spPr>
                </pic:pic>
              </a:graphicData>
            </a:graphic>
          </wp:inline>
        </w:drawing>
      </w:r>
    </w:p>
    <w:p w14:paraId="229087E5" w14:textId="77777777" w:rsidR="00496F23" w:rsidRDefault="00496F23" w:rsidP="00496F23">
      <w:pPr>
        <w:pStyle w:val="ExhibitText"/>
      </w:pPr>
    </w:p>
    <w:p w14:paraId="05B4251C" w14:textId="73D2E27A" w:rsidR="003A15F9" w:rsidRDefault="003A15F9" w:rsidP="00496F23">
      <w:pPr>
        <w:pStyle w:val="Footnote"/>
      </w:pPr>
      <w:r>
        <w:t>Note: B2B = business-to-business; B2C = business-to-consumer; GM = general manager; HR = human resources;</w:t>
      </w:r>
      <w:r w:rsidR="00C528AE">
        <w:t xml:space="preserve"> Admin = administration;</w:t>
      </w:r>
      <w:r>
        <w:t xml:space="preserve"> IT = information technology; </w:t>
      </w:r>
      <w:r w:rsidR="00C528AE">
        <w:t>M</w:t>
      </w:r>
      <w:r>
        <w:t xml:space="preserve">gmt. = management; RM = </w:t>
      </w:r>
      <w:r w:rsidR="00751705">
        <w:t>regional m</w:t>
      </w:r>
      <w:r w:rsidR="00F447A0">
        <w:t>anager</w:t>
      </w:r>
      <w:r>
        <w:t xml:space="preserve">; </w:t>
      </w:r>
      <w:r w:rsidR="00E95045">
        <w:t>Sr.</w:t>
      </w:r>
      <w:r w:rsidR="00C528AE">
        <w:t xml:space="preserve"> = senior;</w:t>
      </w:r>
      <w:r w:rsidR="00E95045">
        <w:t xml:space="preserve"> </w:t>
      </w:r>
      <w:r>
        <w:t>VP =</w:t>
      </w:r>
      <w:r w:rsidR="00E95045">
        <w:t xml:space="preserve"> </w:t>
      </w:r>
      <w:r w:rsidR="00C528AE">
        <w:t>vice-president; e-</w:t>
      </w:r>
      <w:proofErr w:type="spellStart"/>
      <w:r w:rsidR="00C528AE">
        <w:t>comm</w:t>
      </w:r>
      <w:proofErr w:type="spellEnd"/>
      <w:r w:rsidR="00C528AE">
        <w:t xml:space="preserve"> = e-commerce; SCM = supply chain management.</w:t>
      </w:r>
    </w:p>
    <w:p w14:paraId="11FE221B" w14:textId="56A81497" w:rsidR="0099025A" w:rsidRDefault="00496F23">
      <w:pPr>
        <w:pStyle w:val="Footnote"/>
      </w:pPr>
      <w:r>
        <w:t>Source: Company data</w:t>
      </w:r>
      <w:r w:rsidR="0099025A">
        <w:t>.</w:t>
      </w:r>
    </w:p>
    <w:p w14:paraId="08D98654" w14:textId="470BEFDB" w:rsidR="0099025A" w:rsidRDefault="0099025A" w:rsidP="0099025A">
      <w:pPr>
        <w:pStyle w:val="ExhibitText"/>
      </w:pPr>
    </w:p>
    <w:p w14:paraId="7686532C" w14:textId="77777777" w:rsidR="00D529B3" w:rsidRDefault="00D529B3" w:rsidP="0099025A">
      <w:pPr>
        <w:pStyle w:val="ExhibitText"/>
        <w:sectPr w:rsidR="00D529B3" w:rsidSect="00A00DD4">
          <w:headerReference w:type="default" r:id="rId16"/>
          <w:pgSz w:w="15840" w:h="12240" w:orient="landscape" w:code="1"/>
          <w:pgMar w:top="1440" w:right="1440" w:bottom="1440" w:left="1440" w:header="1080" w:footer="720" w:gutter="0"/>
          <w:cols w:space="720"/>
          <w:docGrid w:linePitch="360"/>
        </w:sectPr>
      </w:pPr>
    </w:p>
    <w:p w14:paraId="61754E41" w14:textId="04526C3E" w:rsidR="00FE1663" w:rsidRDefault="009A2813" w:rsidP="00496F23">
      <w:pPr>
        <w:pStyle w:val="ExhibitHeading"/>
      </w:pPr>
      <w:r>
        <w:lastRenderedPageBreak/>
        <w:t>Exhibit</w:t>
      </w:r>
      <w:r w:rsidRPr="00160BB6">
        <w:t xml:space="preserve"> 8</w:t>
      </w:r>
      <w:r>
        <w:t>:</w:t>
      </w:r>
      <w:r w:rsidRPr="00160BB6">
        <w:t xml:space="preserve"> </w:t>
      </w:r>
      <w:r w:rsidR="00FE1663">
        <w:t>Saregama’s Financials</w:t>
      </w:r>
    </w:p>
    <w:p w14:paraId="231ED6C2" w14:textId="77777777" w:rsidR="00FE1663" w:rsidRDefault="00FE1663" w:rsidP="00327A07">
      <w:pPr>
        <w:pStyle w:val="ExhibitText"/>
      </w:pPr>
    </w:p>
    <w:p w14:paraId="7D384A62" w14:textId="1D89266F" w:rsidR="009A2813" w:rsidRDefault="00FE1663" w:rsidP="00201D06">
      <w:pPr>
        <w:pStyle w:val="Casehead2"/>
      </w:pPr>
      <w:r>
        <w:t>(a) Revenues and Costs for Select Products and</w:t>
      </w:r>
      <w:r w:rsidR="009A2813" w:rsidRPr="008E5183">
        <w:t xml:space="preserve"> </w:t>
      </w:r>
      <w:r>
        <w:t>Services</w:t>
      </w:r>
    </w:p>
    <w:p w14:paraId="2946F778" w14:textId="77777777" w:rsidR="00496F23" w:rsidRPr="008E5183" w:rsidRDefault="00496F23">
      <w:pPr>
        <w:pStyle w:val="ExhibitText"/>
      </w:pPr>
    </w:p>
    <w:tbl>
      <w:tblPr>
        <w:tblW w:w="3784" w:type="pct"/>
        <w:jc w:val="center"/>
        <w:tblBorders>
          <w:top w:val="single" w:sz="4" w:space="0" w:color="auto"/>
          <w:bottom w:val="single" w:sz="4" w:space="0" w:color="auto"/>
        </w:tblBorders>
        <w:tblLook w:val="04A0" w:firstRow="1" w:lastRow="0" w:firstColumn="1" w:lastColumn="0" w:noHBand="0" w:noVBand="1"/>
      </w:tblPr>
      <w:tblGrid>
        <w:gridCol w:w="1769"/>
        <w:gridCol w:w="1329"/>
        <w:gridCol w:w="1329"/>
        <w:gridCol w:w="1329"/>
        <w:gridCol w:w="1328"/>
      </w:tblGrid>
      <w:tr w:rsidR="0094635D" w:rsidRPr="008E5183" w14:paraId="293CB716" w14:textId="77777777" w:rsidTr="00C902DC">
        <w:trPr>
          <w:trHeight w:val="255"/>
          <w:jc w:val="center"/>
        </w:trPr>
        <w:tc>
          <w:tcPr>
            <w:tcW w:w="1249" w:type="pct"/>
            <w:tcBorders>
              <w:top w:val="single" w:sz="4" w:space="0" w:color="auto"/>
              <w:bottom w:val="nil"/>
            </w:tcBorders>
            <w:vAlign w:val="center"/>
          </w:tcPr>
          <w:p w14:paraId="5DB03507" w14:textId="77777777" w:rsidR="0094635D" w:rsidRDefault="0094635D" w:rsidP="00FE1663">
            <w:pPr>
              <w:pStyle w:val="ExhibitText"/>
              <w:jc w:val="right"/>
              <w:rPr>
                <w:b/>
              </w:rPr>
            </w:pPr>
          </w:p>
        </w:tc>
        <w:tc>
          <w:tcPr>
            <w:tcW w:w="3751" w:type="pct"/>
            <w:gridSpan w:val="4"/>
            <w:tcBorders>
              <w:top w:val="single" w:sz="4" w:space="0" w:color="auto"/>
              <w:bottom w:val="nil"/>
            </w:tcBorders>
            <w:vAlign w:val="center"/>
          </w:tcPr>
          <w:p w14:paraId="7859D491" w14:textId="15BF7C15" w:rsidR="0094635D" w:rsidRDefault="0094635D" w:rsidP="0094635D">
            <w:pPr>
              <w:pStyle w:val="ExhibitText"/>
              <w:jc w:val="center"/>
              <w:rPr>
                <w:b/>
                <w:bCs/>
              </w:rPr>
            </w:pPr>
            <w:r>
              <w:rPr>
                <w:b/>
                <w:bCs/>
              </w:rPr>
              <w:t>FINANCIAL YEAR</w:t>
            </w:r>
          </w:p>
        </w:tc>
      </w:tr>
      <w:tr w:rsidR="009A2813" w:rsidRPr="008E5183" w14:paraId="44037013" w14:textId="77777777" w:rsidTr="00C902DC">
        <w:trPr>
          <w:trHeight w:val="255"/>
          <w:jc w:val="center"/>
        </w:trPr>
        <w:tc>
          <w:tcPr>
            <w:tcW w:w="1249" w:type="pct"/>
            <w:tcBorders>
              <w:top w:val="nil"/>
              <w:bottom w:val="single" w:sz="12" w:space="0" w:color="auto"/>
            </w:tcBorders>
            <w:vAlign w:val="center"/>
          </w:tcPr>
          <w:p w14:paraId="01DA1F4A" w14:textId="070DF5FE" w:rsidR="009A2813" w:rsidRPr="008E5183" w:rsidRDefault="00FE1663" w:rsidP="00FE1663">
            <w:pPr>
              <w:pStyle w:val="ExhibitText"/>
              <w:jc w:val="right"/>
            </w:pPr>
            <w:r>
              <w:rPr>
                <w:b/>
              </w:rPr>
              <w:t>in ₹ ’00,000</w:t>
            </w:r>
          </w:p>
        </w:tc>
        <w:tc>
          <w:tcPr>
            <w:tcW w:w="938" w:type="pct"/>
            <w:tcBorders>
              <w:top w:val="nil"/>
              <w:bottom w:val="single" w:sz="12" w:space="0" w:color="auto"/>
            </w:tcBorders>
            <w:vAlign w:val="center"/>
          </w:tcPr>
          <w:p w14:paraId="27EF0C50" w14:textId="4902A5E7" w:rsidR="009A2813" w:rsidRPr="00327A07" w:rsidRDefault="00C34CBC" w:rsidP="00327A07">
            <w:pPr>
              <w:pStyle w:val="ExhibitText"/>
              <w:jc w:val="right"/>
              <w:rPr>
                <w:b/>
                <w:bCs/>
              </w:rPr>
            </w:pPr>
            <w:r w:rsidRPr="00327A07">
              <w:rPr>
                <w:b/>
                <w:bCs/>
              </w:rPr>
              <w:t>20</w:t>
            </w:r>
            <w:r w:rsidR="009A2813" w:rsidRPr="00327A07">
              <w:rPr>
                <w:b/>
                <w:bCs/>
              </w:rPr>
              <w:t>13</w:t>
            </w:r>
            <w:r w:rsidRPr="00327A07">
              <w:rPr>
                <w:b/>
                <w:bCs/>
              </w:rPr>
              <w:t>–</w:t>
            </w:r>
            <w:r w:rsidR="009A2813" w:rsidRPr="00327A07">
              <w:rPr>
                <w:b/>
                <w:bCs/>
              </w:rPr>
              <w:t>14</w:t>
            </w:r>
          </w:p>
        </w:tc>
        <w:tc>
          <w:tcPr>
            <w:tcW w:w="938" w:type="pct"/>
            <w:tcBorders>
              <w:top w:val="nil"/>
              <w:bottom w:val="single" w:sz="12" w:space="0" w:color="auto"/>
            </w:tcBorders>
            <w:vAlign w:val="center"/>
          </w:tcPr>
          <w:p w14:paraId="18B815E9" w14:textId="6730002B" w:rsidR="009A2813" w:rsidRPr="00327A07" w:rsidRDefault="00C34CBC" w:rsidP="00327A07">
            <w:pPr>
              <w:pStyle w:val="ExhibitText"/>
              <w:jc w:val="right"/>
              <w:rPr>
                <w:b/>
                <w:bCs/>
              </w:rPr>
            </w:pPr>
            <w:r w:rsidRPr="00327A07">
              <w:rPr>
                <w:b/>
                <w:bCs/>
              </w:rPr>
              <w:t>20</w:t>
            </w:r>
            <w:r w:rsidR="009A2813" w:rsidRPr="00327A07">
              <w:rPr>
                <w:b/>
                <w:bCs/>
              </w:rPr>
              <w:t>14</w:t>
            </w:r>
            <w:r w:rsidRPr="00327A07">
              <w:rPr>
                <w:b/>
                <w:bCs/>
              </w:rPr>
              <w:t>–</w:t>
            </w:r>
            <w:r w:rsidR="009A2813" w:rsidRPr="00327A07">
              <w:rPr>
                <w:b/>
                <w:bCs/>
              </w:rPr>
              <w:t>15</w:t>
            </w:r>
          </w:p>
        </w:tc>
        <w:tc>
          <w:tcPr>
            <w:tcW w:w="938" w:type="pct"/>
            <w:tcBorders>
              <w:top w:val="nil"/>
              <w:bottom w:val="single" w:sz="12" w:space="0" w:color="auto"/>
            </w:tcBorders>
            <w:vAlign w:val="center"/>
          </w:tcPr>
          <w:p w14:paraId="692D42A4" w14:textId="22A40DE3" w:rsidR="009A2813" w:rsidRPr="00327A07" w:rsidRDefault="00C34CBC" w:rsidP="00327A07">
            <w:pPr>
              <w:pStyle w:val="ExhibitText"/>
              <w:jc w:val="right"/>
              <w:rPr>
                <w:b/>
                <w:bCs/>
              </w:rPr>
            </w:pPr>
            <w:r w:rsidRPr="00327A07">
              <w:rPr>
                <w:b/>
                <w:bCs/>
              </w:rPr>
              <w:t>20</w:t>
            </w:r>
            <w:r w:rsidR="009A2813" w:rsidRPr="00327A07">
              <w:rPr>
                <w:b/>
                <w:bCs/>
              </w:rPr>
              <w:t>15</w:t>
            </w:r>
            <w:r w:rsidRPr="00327A07">
              <w:rPr>
                <w:b/>
                <w:bCs/>
              </w:rPr>
              <w:t>–</w:t>
            </w:r>
            <w:r w:rsidR="009A2813" w:rsidRPr="00327A07">
              <w:rPr>
                <w:b/>
                <w:bCs/>
              </w:rPr>
              <w:t>16</w:t>
            </w:r>
          </w:p>
        </w:tc>
        <w:tc>
          <w:tcPr>
            <w:tcW w:w="936" w:type="pct"/>
            <w:tcBorders>
              <w:top w:val="nil"/>
              <w:bottom w:val="single" w:sz="12" w:space="0" w:color="auto"/>
            </w:tcBorders>
            <w:vAlign w:val="center"/>
          </w:tcPr>
          <w:p w14:paraId="086273DC" w14:textId="5F98A784" w:rsidR="009A2813" w:rsidRPr="00327A07" w:rsidRDefault="00C34CBC" w:rsidP="00327A07">
            <w:pPr>
              <w:pStyle w:val="ExhibitText"/>
              <w:jc w:val="right"/>
              <w:rPr>
                <w:b/>
                <w:bCs/>
              </w:rPr>
            </w:pPr>
            <w:r w:rsidRPr="00327A07">
              <w:rPr>
                <w:b/>
                <w:bCs/>
              </w:rPr>
              <w:t>20</w:t>
            </w:r>
            <w:r w:rsidR="009A2813" w:rsidRPr="00327A07">
              <w:rPr>
                <w:b/>
                <w:bCs/>
              </w:rPr>
              <w:t>16</w:t>
            </w:r>
            <w:r w:rsidRPr="00327A07">
              <w:rPr>
                <w:b/>
                <w:bCs/>
              </w:rPr>
              <w:t>–</w:t>
            </w:r>
            <w:r w:rsidR="009A2813" w:rsidRPr="00327A07">
              <w:rPr>
                <w:b/>
                <w:bCs/>
              </w:rPr>
              <w:t>17</w:t>
            </w:r>
          </w:p>
        </w:tc>
      </w:tr>
      <w:tr w:rsidR="009A2813" w:rsidRPr="008E5183" w14:paraId="4591DA59" w14:textId="77777777" w:rsidTr="00C902DC">
        <w:trPr>
          <w:trHeight w:val="255"/>
          <w:jc w:val="center"/>
        </w:trPr>
        <w:tc>
          <w:tcPr>
            <w:tcW w:w="5000" w:type="pct"/>
            <w:gridSpan w:val="5"/>
            <w:tcBorders>
              <w:top w:val="single" w:sz="12" w:space="0" w:color="auto"/>
            </w:tcBorders>
            <w:vAlign w:val="center"/>
          </w:tcPr>
          <w:p w14:paraId="52EF68BC" w14:textId="6ED69CC0" w:rsidR="009A2813" w:rsidRPr="00395521" w:rsidRDefault="00395521" w:rsidP="0094635D">
            <w:pPr>
              <w:pStyle w:val="ExhibitText"/>
              <w:jc w:val="left"/>
              <w:rPr>
                <w:b/>
                <w:color w:val="FFFFFF" w:themeColor="background1"/>
              </w:rPr>
            </w:pPr>
            <w:r w:rsidRPr="00395521">
              <w:rPr>
                <w:b/>
              </w:rPr>
              <w:t>Reve</w:t>
            </w:r>
            <w:r w:rsidR="009A2813" w:rsidRPr="00395521">
              <w:rPr>
                <w:b/>
              </w:rPr>
              <w:t>nue from Operations</w:t>
            </w:r>
          </w:p>
        </w:tc>
      </w:tr>
      <w:tr w:rsidR="009A2813" w:rsidRPr="008E5183" w14:paraId="48F1F2EA" w14:textId="77777777" w:rsidTr="00C902DC">
        <w:trPr>
          <w:trHeight w:val="255"/>
          <w:jc w:val="center"/>
        </w:trPr>
        <w:tc>
          <w:tcPr>
            <w:tcW w:w="1249" w:type="pct"/>
            <w:vAlign w:val="center"/>
          </w:tcPr>
          <w:p w14:paraId="0772714F" w14:textId="77777777" w:rsidR="009A2813" w:rsidRPr="008E5183" w:rsidRDefault="009A2813" w:rsidP="00496F23">
            <w:pPr>
              <w:pStyle w:val="ExhibitText"/>
            </w:pPr>
            <w:r w:rsidRPr="008E5183">
              <w:t>Sales of Products</w:t>
            </w:r>
          </w:p>
        </w:tc>
        <w:tc>
          <w:tcPr>
            <w:tcW w:w="938" w:type="pct"/>
            <w:vAlign w:val="center"/>
          </w:tcPr>
          <w:p w14:paraId="4C71A988" w14:textId="77777777" w:rsidR="009A2813" w:rsidRPr="008E5183" w:rsidRDefault="009A2813" w:rsidP="00C34CBC">
            <w:pPr>
              <w:pStyle w:val="ExhibitText"/>
              <w:ind w:right="144"/>
              <w:jc w:val="right"/>
            </w:pPr>
          </w:p>
        </w:tc>
        <w:tc>
          <w:tcPr>
            <w:tcW w:w="938" w:type="pct"/>
            <w:vAlign w:val="center"/>
          </w:tcPr>
          <w:p w14:paraId="3F81AB56" w14:textId="77777777" w:rsidR="009A2813" w:rsidRPr="008E5183" w:rsidRDefault="009A2813" w:rsidP="00C34CBC">
            <w:pPr>
              <w:pStyle w:val="ExhibitText"/>
              <w:ind w:right="144"/>
              <w:jc w:val="right"/>
            </w:pPr>
          </w:p>
        </w:tc>
        <w:tc>
          <w:tcPr>
            <w:tcW w:w="938" w:type="pct"/>
            <w:vAlign w:val="center"/>
          </w:tcPr>
          <w:p w14:paraId="6C96CF6A" w14:textId="77777777" w:rsidR="009A2813" w:rsidRPr="008E5183" w:rsidRDefault="009A2813" w:rsidP="00C34CBC">
            <w:pPr>
              <w:pStyle w:val="ExhibitText"/>
              <w:ind w:right="144"/>
              <w:jc w:val="right"/>
            </w:pPr>
          </w:p>
        </w:tc>
        <w:tc>
          <w:tcPr>
            <w:tcW w:w="936" w:type="pct"/>
            <w:vAlign w:val="center"/>
          </w:tcPr>
          <w:p w14:paraId="70A01927" w14:textId="77777777" w:rsidR="009A2813" w:rsidRPr="008E5183" w:rsidRDefault="009A2813" w:rsidP="00C34CBC">
            <w:pPr>
              <w:pStyle w:val="ExhibitText"/>
              <w:ind w:right="144"/>
              <w:jc w:val="right"/>
            </w:pPr>
          </w:p>
        </w:tc>
      </w:tr>
      <w:tr w:rsidR="009A2813" w:rsidRPr="008E5183" w14:paraId="3F1134DC" w14:textId="77777777" w:rsidTr="00C902DC">
        <w:trPr>
          <w:trHeight w:val="255"/>
          <w:jc w:val="center"/>
        </w:trPr>
        <w:tc>
          <w:tcPr>
            <w:tcW w:w="1249" w:type="pct"/>
            <w:vAlign w:val="center"/>
          </w:tcPr>
          <w:p w14:paraId="0500DDB1" w14:textId="495BB3F6" w:rsidR="009A2813" w:rsidRPr="008E5183" w:rsidRDefault="009A2813" w:rsidP="00496F23">
            <w:pPr>
              <w:pStyle w:val="ExhibitText"/>
            </w:pPr>
            <w:r w:rsidRPr="008E5183">
              <w:t>Audio CD</w:t>
            </w:r>
            <w:r w:rsidR="00A37354">
              <w:t>s</w:t>
            </w:r>
          </w:p>
        </w:tc>
        <w:tc>
          <w:tcPr>
            <w:tcW w:w="938" w:type="pct"/>
            <w:vAlign w:val="center"/>
          </w:tcPr>
          <w:p w14:paraId="0D458B3F" w14:textId="77777777" w:rsidR="009A2813" w:rsidRPr="008E5183" w:rsidRDefault="009A2813" w:rsidP="00C34CBC">
            <w:pPr>
              <w:pStyle w:val="ExhibitText"/>
              <w:ind w:right="144"/>
              <w:jc w:val="right"/>
            </w:pPr>
            <w:r w:rsidRPr="008E5183">
              <w:t>323.69</w:t>
            </w:r>
          </w:p>
        </w:tc>
        <w:tc>
          <w:tcPr>
            <w:tcW w:w="938" w:type="pct"/>
            <w:vAlign w:val="center"/>
          </w:tcPr>
          <w:p w14:paraId="3FFBAF5A" w14:textId="77777777" w:rsidR="009A2813" w:rsidRPr="008E5183" w:rsidRDefault="009A2813" w:rsidP="00C34CBC">
            <w:pPr>
              <w:pStyle w:val="ExhibitText"/>
              <w:ind w:right="144"/>
              <w:jc w:val="right"/>
            </w:pPr>
            <w:r w:rsidRPr="008E5183">
              <w:t>216.77</w:t>
            </w:r>
          </w:p>
        </w:tc>
        <w:tc>
          <w:tcPr>
            <w:tcW w:w="938" w:type="pct"/>
            <w:vAlign w:val="center"/>
          </w:tcPr>
          <w:p w14:paraId="3582E3C4" w14:textId="77777777" w:rsidR="009A2813" w:rsidRPr="008E5183" w:rsidRDefault="009A2813" w:rsidP="00C34CBC">
            <w:pPr>
              <w:pStyle w:val="ExhibitText"/>
              <w:ind w:right="144"/>
              <w:jc w:val="right"/>
            </w:pPr>
            <w:r w:rsidRPr="008E5183">
              <w:t>265.74</w:t>
            </w:r>
          </w:p>
        </w:tc>
        <w:tc>
          <w:tcPr>
            <w:tcW w:w="936" w:type="pct"/>
            <w:vAlign w:val="center"/>
          </w:tcPr>
          <w:p w14:paraId="7968A865" w14:textId="77777777" w:rsidR="009A2813" w:rsidRPr="008E5183" w:rsidRDefault="009A2813" w:rsidP="00C34CBC">
            <w:pPr>
              <w:pStyle w:val="ExhibitText"/>
              <w:ind w:right="144"/>
              <w:jc w:val="right"/>
            </w:pPr>
            <w:r w:rsidRPr="008E5183">
              <w:t>41.36</w:t>
            </w:r>
          </w:p>
        </w:tc>
      </w:tr>
      <w:tr w:rsidR="009A2813" w:rsidRPr="008E5183" w14:paraId="7E1B1D26" w14:textId="77777777" w:rsidTr="00C902DC">
        <w:trPr>
          <w:trHeight w:val="255"/>
          <w:jc w:val="center"/>
        </w:trPr>
        <w:tc>
          <w:tcPr>
            <w:tcW w:w="1249" w:type="pct"/>
            <w:vAlign w:val="center"/>
          </w:tcPr>
          <w:p w14:paraId="1225B3AB" w14:textId="5E13AF25" w:rsidR="009A2813" w:rsidRPr="008E5183" w:rsidRDefault="009A2813" w:rsidP="00496F23">
            <w:pPr>
              <w:pStyle w:val="ExhibitText"/>
            </w:pPr>
            <w:r w:rsidRPr="008E5183">
              <w:t>DVD</w:t>
            </w:r>
            <w:r w:rsidR="00A37354">
              <w:t>s</w:t>
            </w:r>
          </w:p>
        </w:tc>
        <w:tc>
          <w:tcPr>
            <w:tcW w:w="938" w:type="pct"/>
            <w:vAlign w:val="center"/>
          </w:tcPr>
          <w:p w14:paraId="4B6A4F22" w14:textId="77777777" w:rsidR="009A2813" w:rsidRPr="008E5183" w:rsidRDefault="009A2813" w:rsidP="00C34CBC">
            <w:pPr>
              <w:pStyle w:val="ExhibitText"/>
              <w:ind w:right="144"/>
              <w:jc w:val="right"/>
            </w:pPr>
            <w:r w:rsidRPr="008E5183">
              <w:t>86.39</w:t>
            </w:r>
          </w:p>
        </w:tc>
        <w:tc>
          <w:tcPr>
            <w:tcW w:w="938" w:type="pct"/>
            <w:vAlign w:val="center"/>
          </w:tcPr>
          <w:p w14:paraId="486AA50A" w14:textId="77777777" w:rsidR="009A2813" w:rsidRPr="008E5183" w:rsidRDefault="009A2813" w:rsidP="00C34CBC">
            <w:pPr>
              <w:pStyle w:val="ExhibitText"/>
              <w:ind w:right="144"/>
              <w:jc w:val="right"/>
            </w:pPr>
            <w:r w:rsidRPr="008E5183">
              <w:t>19.57</w:t>
            </w:r>
          </w:p>
        </w:tc>
        <w:tc>
          <w:tcPr>
            <w:tcW w:w="938" w:type="pct"/>
            <w:vAlign w:val="center"/>
          </w:tcPr>
          <w:p w14:paraId="3E4A5ABB" w14:textId="77777777" w:rsidR="009A2813" w:rsidRPr="008E5183" w:rsidRDefault="009A2813" w:rsidP="00C34CBC">
            <w:pPr>
              <w:pStyle w:val="ExhibitText"/>
              <w:ind w:right="144"/>
              <w:jc w:val="right"/>
            </w:pPr>
            <w:r w:rsidRPr="008E5183">
              <w:t>25.77</w:t>
            </w:r>
          </w:p>
        </w:tc>
        <w:tc>
          <w:tcPr>
            <w:tcW w:w="936" w:type="pct"/>
            <w:vAlign w:val="center"/>
          </w:tcPr>
          <w:p w14:paraId="45879991" w14:textId="77777777" w:rsidR="009A2813" w:rsidRPr="008E5183" w:rsidRDefault="009A2813" w:rsidP="00C34CBC">
            <w:pPr>
              <w:pStyle w:val="ExhibitText"/>
              <w:ind w:right="144"/>
              <w:jc w:val="right"/>
            </w:pPr>
            <w:r w:rsidRPr="008E5183">
              <w:t>19.38</w:t>
            </w:r>
          </w:p>
        </w:tc>
      </w:tr>
      <w:tr w:rsidR="009A2813" w:rsidRPr="008E5183" w14:paraId="0556A44D" w14:textId="77777777" w:rsidTr="00C902DC">
        <w:trPr>
          <w:trHeight w:val="255"/>
          <w:jc w:val="center"/>
        </w:trPr>
        <w:tc>
          <w:tcPr>
            <w:tcW w:w="1249" w:type="pct"/>
            <w:vAlign w:val="center"/>
          </w:tcPr>
          <w:p w14:paraId="713A33F6" w14:textId="77777777" w:rsidR="009A2813" w:rsidRPr="008E5183" w:rsidRDefault="009A2813" w:rsidP="00496F23">
            <w:pPr>
              <w:pStyle w:val="ExhibitText"/>
            </w:pPr>
            <w:r w:rsidRPr="008E5183">
              <w:t>Music Cards</w:t>
            </w:r>
          </w:p>
        </w:tc>
        <w:tc>
          <w:tcPr>
            <w:tcW w:w="938" w:type="pct"/>
            <w:vAlign w:val="center"/>
          </w:tcPr>
          <w:p w14:paraId="60E859A1" w14:textId="55D72D0B" w:rsidR="009A2813" w:rsidRPr="008E5183" w:rsidRDefault="00C34CBC" w:rsidP="00C34CBC">
            <w:pPr>
              <w:pStyle w:val="ExhibitText"/>
              <w:ind w:right="144"/>
              <w:jc w:val="right"/>
            </w:pPr>
            <w:r>
              <w:t>—</w:t>
            </w:r>
          </w:p>
        </w:tc>
        <w:tc>
          <w:tcPr>
            <w:tcW w:w="938" w:type="pct"/>
            <w:vAlign w:val="center"/>
          </w:tcPr>
          <w:p w14:paraId="4CC359AB" w14:textId="794DCED4" w:rsidR="009A2813" w:rsidRPr="008E5183" w:rsidRDefault="00C34CBC" w:rsidP="00C34CBC">
            <w:pPr>
              <w:pStyle w:val="ExhibitText"/>
              <w:ind w:right="144"/>
              <w:jc w:val="right"/>
            </w:pPr>
            <w:r>
              <w:t>—</w:t>
            </w:r>
          </w:p>
        </w:tc>
        <w:tc>
          <w:tcPr>
            <w:tcW w:w="938" w:type="pct"/>
            <w:vAlign w:val="center"/>
          </w:tcPr>
          <w:p w14:paraId="7D53C956" w14:textId="5D3FFBE8" w:rsidR="009A2813" w:rsidRPr="008E5183" w:rsidRDefault="00C34CBC" w:rsidP="00C34CBC">
            <w:pPr>
              <w:pStyle w:val="ExhibitText"/>
              <w:ind w:right="144"/>
              <w:jc w:val="right"/>
            </w:pPr>
            <w:r>
              <w:t>—</w:t>
            </w:r>
          </w:p>
        </w:tc>
        <w:tc>
          <w:tcPr>
            <w:tcW w:w="936" w:type="pct"/>
            <w:vAlign w:val="center"/>
          </w:tcPr>
          <w:p w14:paraId="125FEEBE" w14:textId="77777777" w:rsidR="009A2813" w:rsidRPr="008E5183" w:rsidRDefault="009A2813" w:rsidP="00C34CBC">
            <w:pPr>
              <w:pStyle w:val="ExhibitText"/>
              <w:ind w:right="144"/>
              <w:jc w:val="right"/>
            </w:pPr>
            <w:r w:rsidRPr="008E5183">
              <w:t>537.78</w:t>
            </w:r>
          </w:p>
        </w:tc>
      </w:tr>
      <w:tr w:rsidR="009A2813" w:rsidRPr="008E5183" w14:paraId="0BC2EA75" w14:textId="77777777" w:rsidTr="00C902DC">
        <w:trPr>
          <w:trHeight w:val="255"/>
          <w:jc w:val="center"/>
        </w:trPr>
        <w:tc>
          <w:tcPr>
            <w:tcW w:w="1249" w:type="pct"/>
            <w:vAlign w:val="center"/>
          </w:tcPr>
          <w:p w14:paraId="67E9D711" w14:textId="77777777" w:rsidR="009A2813" w:rsidRPr="008E5183" w:rsidRDefault="009A2813" w:rsidP="00496F23">
            <w:pPr>
              <w:pStyle w:val="ExhibitText"/>
            </w:pPr>
            <w:r w:rsidRPr="008E5183">
              <w:t>Sale of Services</w:t>
            </w:r>
          </w:p>
        </w:tc>
        <w:tc>
          <w:tcPr>
            <w:tcW w:w="938" w:type="pct"/>
            <w:vAlign w:val="center"/>
          </w:tcPr>
          <w:p w14:paraId="10EC90C1" w14:textId="77777777" w:rsidR="009A2813" w:rsidRPr="008E5183" w:rsidRDefault="009A2813" w:rsidP="00C34CBC">
            <w:pPr>
              <w:pStyle w:val="ExhibitText"/>
              <w:ind w:right="144"/>
              <w:jc w:val="right"/>
            </w:pPr>
          </w:p>
        </w:tc>
        <w:tc>
          <w:tcPr>
            <w:tcW w:w="938" w:type="pct"/>
            <w:vAlign w:val="center"/>
          </w:tcPr>
          <w:p w14:paraId="5E79ECF7" w14:textId="77777777" w:rsidR="009A2813" w:rsidRPr="008E5183" w:rsidRDefault="009A2813" w:rsidP="00C34CBC">
            <w:pPr>
              <w:pStyle w:val="ExhibitText"/>
              <w:ind w:right="144"/>
              <w:jc w:val="right"/>
            </w:pPr>
          </w:p>
        </w:tc>
        <w:tc>
          <w:tcPr>
            <w:tcW w:w="938" w:type="pct"/>
            <w:vAlign w:val="center"/>
          </w:tcPr>
          <w:p w14:paraId="0684AA0F" w14:textId="77777777" w:rsidR="009A2813" w:rsidRPr="008E5183" w:rsidRDefault="009A2813" w:rsidP="00C34CBC">
            <w:pPr>
              <w:pStyle w:val="ExhibitText"/>
              <w:ind w:right="144"/>
              <w:jc w:val="right"/>
            </w:pPr>
          </w:p>
        </w:tc>
        <w:tc>
          <w:tcPr>
            <w:tcW w:w="936" w:type="pct"/>
            <w:vAlign w:val="center"/>
          </w:tcPr>
          <w:p w14:paraId="2A7CAB43" w14:textId="77777777" w:rsidR="009A2813" w:rsidRPr="008E5183" w:rsidRDefault="009A2813" w:rsidP="00C34CBC">
            <w:pPr>
              <w:pStyle w:val="ExhibitText"/>
              <w:ind w:right="144"/>
              <w:jc w:val="right"/>
            </w:pPr>
          </w:p>
        </w:tc>
      </w:tr>
      <w:tr w:rsidR="009A2813" w:rsidRPr="008E5183" w14:paraId="6A9CE4B6" w14:textId="77777777" w:rsidTr="00C902DC">
        <w:trPr>
          <w:trHeight w:val="255"/>
          <w:jc w:val="center"/>
        </w:trPr>
        <w:tc>
          <w:tcPr>
            <w:tcW w:w="1249" w:type="pct"/>
            <w:tcBorders>
              <w:bottom w:val="nil"/>
            </w:tcBorders>
            <w:vAlign w:val="center"/>
          </w:tcPr>
          <w:p w14:paraId="4FA9380F" w14:textId="025E5E51" w:rsidR="009A2813" w:rsidRPr="008E5183" w:rsidRDefault="009A2813" w:rsidP="00496F23">
            <w:pPr>
              <w:pStyle w:val="ExhibitText"/>
            </w:pPr>
            <w:r w:rsidRPr="008E5183">
              <w:t xml:space="preserve">Income from TV </w:t>
            </w:r>
            <w:r w:rsidR="00C34CBC">
              <w:t>S</w:t>
            </w:r>
            <w:r w:rsidRPr="008E5183">
              <w:t>erial</w:t>
            </w:r>
            <w:r w:rsidR="00A37354">
              <w:t>s</w:t>
            </w:r>
          </w:p>
        </w:tc>
        <w:tc>
          <w:tcPr>
            <w:tcW w:w="938" w:type="pct"/>
            <w:tcBorders>
              <w:bottom w:val="nil"/>
            </w:tcBorders>
            <w:vAlign w:val="center"/>
          </w:tcPr>
          <w:p w14:paraId="29D88213" w14:textId="7981FB14" w:rsidR="009A2813" w:rsidRPr="008E5183" w:rsidRDefault="009A2813" w:rsidP="00C34CBC">
            <w:pPr>
              <w:pStyle w:val="ExhibitText"/>
              <w:ind w:right="144"/>
              <w:jc w:val="right"/>
            </w:pPr>
            <w:r w:rsidRPr="008E5183">
              <w:t>5</w:t>
            </w:r>
            <w:r w:rsidR="00C34CBC">
              <w:t>,</w:t>
            </w:r>
            <w:r w:rsidRPr="008E5183">
              <w:t>623.64</w:t>
            </w:r>
          </w:p>
        </w:tc>
        <w:tc>
          <w:tcPr>
            <w:tcW w:w="938" w:type="pct"/>
            <w:tcBorders>
              <w:bottom w:val="nil"/>
            </w:tcBorders>
            <w:vAlign w:val="center"/>
          </w:tcPr>
          <w:p w14:paraId="7202D895" w14:textId="0A8A197E" w:rsidR="009A2813" w:rsidRPr="008E5183" w:rsidRDefault="009A2813" w:rsidP="00C34CBC">
            <w:pPr>
              <w:pStyle w:val="ExhibitText"/>
              <w:ind w:right="144"/>
              <w:jc w:val="right"/>
            </w:pPr>
            <w:r w:rsidRPr="008E5183">
              <w:t>6</w:t>
            </w:r>
            <w:r w:rsidR="00C34CBC">
              <w:t>,</w:t>
            </w:r>
            <w:r w:rsidRPr="008E5183">
              <w:t>442.26</w:t>
            </w:r>
          </w:p>
        </w:tc>
        <w:tc>
          <w:tcPr>
            <w:tcW w:w="938" w:type="pct"/>
            <w:tcBorders>
              <w:bottom w:val="nil"/>
            </w:tcBorders>
            <w:vAlign w:val="center"/>
          </w:tcPr>
          <w:p w14:paraId="723BC97B" w14:textId="6F00A78D" w:rsidR="009A2813" w:rsidRPr="008E5183" w:rsidRDefault="009A2813" w:rsidP="00C34CBC">
            <w:pPr>
              <w:pStyle w:val="ExhibitText"/>
              <w:ind w:right="144"/>
              <w:jc w:val="right"/>
            </w:pPr>
            <w:r w:rsidRPr="008E5183">
              <w:t>8</w:t>
            </w:r>
            <w:r w:rsidR="00C34CBC">
              <w:t>,</w:t>
            </w:r>
            <w:r w:rsidRPr="008E5183">
              <w:t>473.72</w:t>
            </w:r>
          </w:p>
        </w:tc>
        <w:tc>
          <w:tcPr>
            <w:tcW w:w="936" w:type="pct"/>
            <w:tcBorders>
              <w:bottom w:val="nil"/>
            </w:tcBorders>
            <w:vAlign w:val="center"/>
          </w:tcPr>
          <w:p w14:paraId="7AAD6F89" w14:textId="0728AF95" w:rsidR="009A2813" w:rsidRPr="008E5183" w:rsidRDefault="009A2813" w:rsidP="00C34CBC">
            <w:pPr>
              <w:pStyle w:val="ExhibitText"/>
              <w:ind w:right="144"/>
              <w:jc w:val="right"/>
            </w:pPr>
            <w:r w:rsidRPr="008E5183">
              <w:t>6</w:t>
            </w:r>
            <w:r w:rsidR="00C34CBC">
              <w:t>,</w:t>
            </w:r>
            <w:r w:rsidRPr="008E5183">
              <w:t>692.49</w:t>
            </w:r>
          </w:p>
        </w:tc>
      </w:tr>
      <w:tr w:rsidR="009A2813" w:rsidRPr="008E5183" w14:paraId="7F5B918B" w14:textId="77777777" w:rsidTr="00C902DC">
        <w:trPr>
          <w:trHeight w:val="255"/>
          <w:jc w:val="center"/>
        </w:trPr>
        <w:tc>
          <w:tcPr>
            <w:tcW w:w="1249" w:type="pct"/>
            <w:tcBorders>
              <w:top w:val="nil"/>
              <w:bottom w:val="single" w:sz="4" w:space="0" w:color="auto"/>
            </w:tcBorders>
            <w:vAlign w:val="center"/>
          </w:tcPr>
          <w:p w14:paraId="1FFF0365" w14:textId="2B1FB3FD" w:rsidR="009A2813" w:rsidRPr="008E5183" w:rsidRDefault="009A2813" w:rsidP="00496F23">
            <w:pPr>
              <w:pStyle w:val="ExhibitText"/>
            </w:pPr>
            <w:r w:rsidRPr="008E5183">
              <w:t>Licen</w:t>
            </w:r>
            <w:r w:rsidR="00C34CBC">
              <w:t>c</w:t>
            </w:r>
            <w:r w:rsidRPr="008E5183">
              <w:t xml:space="preserve">e </w:t>
            </w:r>
            <w:r w:rsidR="00C34CBC">
              <w:t>F</w:t>
            </w:r>
            <w:r w:rsidRPr="008E5183">
              <w:t>ee</w:t>
            </w:r>
            <w:r w:rsidR="00C34CBC">
              <w:t>s</w:t>
            </w:r>
          </w:p>
        </w:tc>
        <w:tc>
          <w:tcPr>
            <w:tcW w:w="938" w:type="pct"/>
            <w:tcBorders>
              <w:top w:val="nil"/>
              <w:bottom w:val="single" w:sz="4" w:space="0" w:color="auto"/>
            </w:tcBorders>
            <w:vAlign w:val="center"/>
          </w:tcPr>
          <w:p w14:paraId="1531F50A" w14:textId="6DB7CA07" w:rsidR="009A2813" w:rsidRPr="008E5183" w:rsidRDefault="009A2813" w:rsidP="00C34CBC">
            <w:pPr>
              <w:pStyle w:val="ExhibitText"/>
              <w:ind w:right="144"/>
              <w:jc w:val="right"/>
            </w:pPr>
            <w:r w:rsidRPr="008E5183">
              <w:t>10</w:t>
            </w:r>
            <w:r w:rsidR="00C34CBC">
              <w:t>,</w:t>
            </w:r>
            <w:r w:rsidRPr="008E5183">
              <w:t>639.26</w:t>
            </w:r>
          </w:p>
        </w:tc>
        <w:tc>
          <w:tcPr>
            <w:tcW w:w="938" w:type="pct"/>
            <w:tcBorders>
              <w:top w:val="nil"/>
              <w:bottom w:val="single" w:sz="4" w:space="0" w:color="auto"/>
            </w:tcBorders>
            <w:vAlign w:val="center"/>
          </w:tcPr>
          <w:p w14:paraId="38922EB7" w14:textId="5A4D9772" w:rsidR="009A2813" w:rsidRPr="008E5183" w:rsidRDefault="009A2813" w:rsidP="00C34CBC">
            <w:pPr>
              <w:pStyle w:val="ExhibitText"/>
              <w:ind w:right="144"/>
              <w:jc w:val="right"/>
            </w:pPr>
            <w:r w:rsidRPr="008E5183">
              <w:t>11</w:t>
            </w:r>
            <w:r w:rsidR="00C34CBC">
              <w:t>,</w:t>
            </w:r>
            <w:r w:rsidRPr="008E5183">
              <w:t>468.28</w:t>
            </w:r>
          </w:p>
        </w:tc>
        <w:tc>
          <w:tcPr>
            <w:tcW w:w="938" w:type="pct"/>
            <w:tcBorders>
              <w:top w:val="nil"/>
              <w:bottom w:val="single" w:sz="4" w:space="0" w:color="auto"/>
            </w:tcBorders>
            <w:vAlign w:val="center"/>
          </w:tcPr>
          <w:p w14:paraId="5B16F127" w14:textId="623D074A" w:rsidR="009A2813" w:rsidRPr="008E5183" w:rsidRDefault="009A2813" w:rsidP="00C34CBC">
            <w:pPr>
              <w:pStyle w:val="ExhibitText"/>
              <w:ind w:right="144"/>
              <w:jc w:val="right"/>
            </w:pPr>
            <w:r w:rsidRPr="008E5183">
              <w:t>12</w:t>
            </w:r>
            <w:r w:rsidR="00C34CBC">
              <w:t>,</w:t>
            </w:r>
            <w:r w:rsidRPr="008E5183">
              <w:t>663.95</w:t>
            </w:r>
          </w:p>
        </w:tc>
        <w:tc>
          <w:tcPr>
            <w:tcW w:w="936" w:type="pct"/>
            <w:tcBorders>
              <w:top w:val="nil"/>
              <w:bottom w:val="single" w:sz="4" w:space="0" w:color="auto"/>
            </w:tcBorders>
            <w:vAlign w:val="center"/>
          </w:tcPr>
          <w:p w14:paraId="1A2E5ABC" w14:textId="3EE49536" w:rsidR="009A2813" w:rsidRPr="008E5183" w:rsidRDefault="009A2813" w:rsidP="00C34CBC">
            <w:pPr>
              <w:pStyle w:val="ExhibitText"/>
              <w:ind w:right="144"/>
              <w:jc w:val="right"/>
            </w:pPr>
            <w:r w:rsidRPr="008E5183">
              <w:t>13</w:t>
            </w:r>
            <w:r w:rsidR="00C34CBC">
              <w:t>,</w:t>
            </w:r>
            <w:r w:rsidRPr="008E5183">
              <w:t>468.72</w:t>
            </w:r>
          </w:p>
        </w:tc>
      </w:tr>
      <w:tr w:rsidR="009A2813" w:rsidRPr="008E5183" w14:paraId="453FF1BD" w14:textId="77777777" w:rsidTr="00C902DC">
        <w:trPr>
          <w:trHeight w:val="255"/>
          <w:jc w:val="center"/>
        </w:trPr>
        <w:tc>
          <w:tcPr>
            <w:tcW w:w="5000" w:type="pct"/>
            <w:gridSpan w:val="5"/>
            <w:tcBorders>
              <w:top w:val="single" w:sz="4" w:space="0" w:color="auto"/>
            </w:tcBorders>
            <w:vAlign w:val="center"/>
          </w:tcPr>
          <w:p w14:paraId="76EB8AFD" w14:textId="77777777" w:rsidR="009A2813" w:rsidRPr="00395521" w:rsidRDefault="009A2813" w:rsidP="0094635D">
            <w:pPr>
              <w:pStyle w:val="ExhibitText"/>
              <w:jc w:val="left"/>
              <w:rPr>
                <w:b/>
              </w:rPr>
            </w:pPr>
            <w:r w:rsidRPr="00395521">
              <w:rPr>
                <w:b/>
              </w:rPr>
              <w:t>Manufacturing Costs</w:t>
            </w:r>
          </w:p>
        </w:tc>
      </w:tr>
      <w:tr w:rsidR="009A2813" w:rsidRPr="008E5183" w14:paraId="5A241D60" w14:textId="77777777" w:rsidTr="00C902DC">
        <w:trPr>
          <w:trHeight w:val="255"/>
          <w:jc w:val="center"/>
        </w:trPr>
        <w:tc>
          <w:tcPr>
            <w:tcW w:w="1249" w:type="pct"/>
            <w:vAlign w:val="center"/>
          </w:tcPr>
          <w:p w14:paraId="4129B3CE" w14:textId="343319ED" w:rsidR="009A2813" w:rsidRPr="008E5183" w:rsidRDefault="009A2813" w:rsidP="00496F23">
            <w:pPr>
              <w:pStyle w:val="ExhibitText"/>
            </w:pPr>
            <w:r w:rsidRPr="008E5183">
              <w:t>Audio CD</w:t>
            </w:r>
            <w:r w:rsidR="00A37354">
              <w:t>s</w:t>
            </w:r>
          </w:p>
        </w:tc>
        <w:tc>
          <w:tcPr>
            <w:tcW w:w="938" w:type="pct"/>
            <w:vAlign w:val="center"/>
          </w:tcPr>
          <w:p w14:paraId="77E3BEFF" w14:textId="77777777" w:rsidR="009A2813" w:rsidRPr="008E5183" w:rsidRDefault="009A2813" w:rsidP="00C34CBC">
            <w:pPr>
              <w:pStyle w:val="ExhibitText"/>
              <w:ind w:right="144"/>
              <w:jc w:val="right"/>
            </w:pPr>
            <w:r w:rsidRPr="008E5183">
              <w:t>171.27</w:t>
            </w:r>
          </w:p>
        </w:tc>
        <w:tc>
          <w:tcPr>
            <w:tcW w:w="938" w:type="pct"/>
            <w:vAlign w:val="center"/>
          </w:tcPr>
          <w:p w14:paraId="772342AE" w14:textId="77777777" w:rsidR="009A2813" w:rsidRPr="008E5183" w:rsidRDefault="009A2813" w:rsidP="00C34CBC">
            <w:pPr>
              <w:pStyle w:val="ExhibitText"/>
              <w:ind w:right="144"/>
              <w:jc w:val="right"/>
            </w:pPr>
            <w:r w:rsidRPr="008E5183">
              <w:t>182.05</w:t>
            </w:r>
          </w:p>
        </w:tc>
        <w:tc>
          <w:tcPr>
            <w:tcW w:w="938" w:type="pct"/>
            <w:vAlign w:val="center"/>
          </w:tcPr>
          <w:p w14:paraId="1EC20BC4" w14:textId="77777777" w:rsidR="009A2813" w:rsidRPr="008E5183" w:rsidRDefault="009A2813" w:rsidP="00C34CBC">
            <w:pPr>
              <w:pStyle w:val="ExhibitText"/>
              <w:ind w:right="144"/>
              <w:jc w:val="right"/>
            </w:pPr>
            <w:r w:rsidRPr="008E5183">
              <w:t>196.47</w:t>
            </w:r>
          </w:p>
        </w:tc>
        <w:tc>
          <w:tcPr>
            <w:tcW w:w="936" w:type="pct"/>
            <w:vAlign w:val="center"/>
          </w:tcPr>
          <w:p w14:paraId="154A301A" w14:textId="77777777" w:rsidR="009A2813" w:rsidRPr="008E5183" w:rsidRDefault="009A2813" w:rsidP="00C34CBC">
            <w:pPr>
              <w:pStyle w:val="ExhibitText"/>
              <w:ind w:right="144"/>
              <w:jc w:val="right"/>
            </w:pPr>
            <w:r w:rsidRPr="008E5183">
              <w:t>37.01</w:t>
            </w:r>
          </w:p>
        </w:tc>
      </w:tr>
      <w:tr w:rsidR="009A2813" w:rsidRPr="008E5183" w14:paraId="34549189" w14:textId="77777777" w:rsidTr="00C902DC">
        <w:trPr>
          <w:trHeight w:val="255"/>
          <w:jc w:val="center"/>
        </w:trPr>
        <w:tc>
          <w:tcPr>
            <w:tcW w:w="1249" w:type="pct"/>
            <w:tcBorders>
              <w:bottom w:val="nil"/>
            </w:tcBorders>
            <w:vAlign w:val="center"/>
          </w:tcPr>
          <w:p w14:paraId="3687D41A" w14:textId="277659C3" w:rsidR="009A2813" w:rsidRPr="008E5183" w:rsidRDefault="009A2813" w:rsidP="00496F23">
            <w:pPr>
              <w:pStyle w:val="ExhibitText"/>
            </w:pPr>
            <w:r w:rsidRPr="008E5183">
              <w:t>DVD</w:t>
            </w:r>
            <w:r w:rsidR="00A37354">
              <w:t>s</w:t>
            </w:r>
          </w:p>
        </w:tc>
        <w:tc>
          <w:tcPr>
            <w:tcW w:w="938" w:type="pct"/>
            <w:tcBorders>
              <w:bottom w:val="nil"/>
            </w:tcBorders>
            <w:vAlign w:val="center"/>
          </w:tcPr>
          <w:p w14:paraId="13E0B653" w14:textId="77777777" w:rsidR="009A2813" w:rsidRPr="008E5183" w:rsidRDefault="009A2813" w:rsidP="00C34CBC">
            <w:pPr>
              <w:pStyle w:val="ExhibitText"/>
              <w:ind w:right="144"/>
              <w:jc w:val="right"/>
            </w:pPr>
            <w:r w:rsidRPr="008E5183">
              <w:t>56.53</w:t>
            </w:r>
          </w:p>
        </w:tc>
        <w:tc>
          <w:tcPr>
            <w:tcW w:w="938" w:type="pct"/>
            <w:tcBorders>
              <w:bottom w:val="nil"/>
            </w:tcBorders>
            <w:vAlign w:val="center"/>
          </w:tcPr>
          <w:p w14:paraId="2EBF4F91" w14:textId="77777777" w:rsidR="009A2813" w:rsidRPr="008E5183" w:rsidRDefault="009A2813" w:rsidP="00C34CBC">
            <w:pPr>
              <w:pStyle w:val="ExhibitText"/>
              <w:ind w:right="144"/>
              <w:jc w:val="right"/>
            </w:pPr>
            <w:r w:rsidRPr="008E5183">
              <w:t>16.90</w:t>
            </w:r>
          </w:p>
        </w:tc>
        <w:tc>
          <w:tcPr>
            <w:tcW w:w="938" w:type="pct"/>
            <w:tcBorders>
              <w:bottom w:val="nil"/>
            </w:tcBorders>
            <w:vAlign w:val="center"/>
          </w:tcPr>
          <w:p w14:paraId="7C5C371A" w14:textId="77777777" w:rsidR="009A2813" w:rsidRPr="008E5183" w:rsidRDefault="009A2813" w:rsidP="00C34CBC">
            <w:pPr>
              <w:pStyle w:val="ExhibitText"/>
              <w:ind w:right="144"/>
              <w:jc w:val="right"/>
            </w:pPr>
            <w:r w:rsidRPr="008E5183">
              <w:t>18.64</w:t>
            </w:r>
          </w:p>
        </w:tc>
        <w:tc>
          <w:tcPr>
            <w:tcW w:w="936" w:type="pct"/>
            <w:tcBorders>
              <w:bottom w:val="nil"/>
            </w:tcBorders>
            <w:vAlign w:val="center"/>
          </w:tcPr>
          <w:p w14:paraId="78BAE0F2" w14:textId="77777777" w:rsidR="009A2813" w:rsidRPr="008E5183" w:rsidRDefault="009A2813" w:rsidP="00C34CBC">
            <w:pPr>
              <w:pStyle w:val="ExhibitText"/>
              <w:ind w:right="144"/>
              <w:jc w:val="right"/>
            </w:pPr>
            <w:r w:rsidRPr="008E5183">
              <w:t>15.69</w:t>
            </w:r>
          </w:p>
        </w:tc>
      </w:tr>
      <w:tr w:rsidR="009A2813" w:rsidRPr="008E5183" w14:paraId="45518BC7" w14:textId="77777777" w:rsidTr="00C902DC">
        <w:trPr>
          <w:trHeight w:val="255"/>
          <w:jc w:val="center"/>
        </w:trPr>
        <w:tc>
          <w:tcPr>
            <w:tcW w:w="1249" w:type="pct"/>
            <w:tcBorders>
              <w:top w:val="nil"/>
              <w:bottom w:val="single" w:sz="4" w:space="0" w:color="auto"/>
            </w:tcBorders>
            <w:vAlign w:val="center"/>
          </w:tcPr>
          <w:p w14:paraId="2B6004B8" w14:textId="77777777" w:rsidR="009A2813" w:rsidRPr="008E5183" w:rsidRDefault="009A2813" w:rsidP="00496F23">
            <w:pPr>
              <w:pStyle w:val="ExhibitText"/>
            </w:pPr>
            <w:r w:rsidRPr="008E5183">
              <w:t>Music Cards</w:t>
            </w:r>
          </w:p>
        </w:tc>
        <w:tc>
          <w:tcPr>
            <w:tcW w:w="938" w:type="pct"/>
            <w:tcBorders>
              <w:top w:val="nil"/>
              <w:bottom w:val="single" w:sz="4" w:space="0" w:color="auto"/>
            </w:tcBorders>
            <w:vAlign w:val="center"/>
          </w:tcPr>
          <w:p w14:paraId="1DA1D96B" w14:textId="77777777" w:rsidR="009A2813" w:rsidRPr="008E5183" w:rsidRDefault="009A2813" w:rsidP="00C34CBC">
            <w:pPr>
              <w:pStyle w:val="ExhibitText"/>
              <w:ind w:right="144"/>
              <w:jc w:val="right"/>
            </w:pPr>
            <w:r w:rsidRPr="008E5183">
              <w:t>-</w:t>
            </w:r>
          </w:p>
        </w:tc>
        <w:tc>
          <w:tcPr>
            <w:tcW w:w="938" w:type="pct"/>
            <w:tcBorders>
              <w:top w:val="nil"/>
              <w:bottom w:val="single" w:sz="4" w:space="0" w:color="auto"/>
            </w:tcBorders>
            <w:vAlign w:val="center"/>
          </w:tcPr>
          <w:p w14:paraId="651E97CA" w14:textId="77777777" w:rsidR="009A2813" w:rsidRPr="008E5183" w:rsidRDefault="009A2813" w:rsidP="00C34CBC">
            <w:pPr>
              <w:pStyle w:val="ExhibitText"/>
              <w:ind w:right="144"/>
              <w:jc w:val="right"/>
            </w:pPr>
            <w:r w:rsidRPr="008E5183">
              <w:t>-</w:t>
            </w:r>
          </w:p>
        </w:tc>
        <w:tc>
          <w:tcPr>
            <w:tcW w:w="938" w:type="pct"/>
            <w:tcBorders>
              <w:top w:val="nil"/>
              <w:bottom w:val="single" w:sz="4" w:space="0" w:color="auto"/>
            </w:tcBorders>
            <w:vAlign w:val="center"/>
          </w:tcPr>
          <w:p w14:paraId="61B209E1" w14:textId="77777777" w:rsidR="009A2813" w:rsidRPr="008E5183" w:rsidRDefault="009A2813" w:rsidP="00C34CBC">
            <w:pPr>
              <w:pStyle w:val="ExhibitText"/>
              <w:ind w:right="144"/>
              <w:jc w:val="right"/>
            </w:pPr>
            <w:r w:rsidRPr="008E5183">
              <w:t>-</w:t>
            </w:r>
          </w:p>
        </w:tc>
        <w:tc>
          <w:tcPr>
            <w:tcW w:w="936" w:type="pct"/>
            <w:tcBorders>
              <w:top w:val="nil"/>
              <w:bottom w:val="single" w:sz="4" w:space="0" w:color="auto"/>
            </w:tcBorders>
            <w:vAlign w:val="center"/>
          </w:tcPr>
          <w:p w14:paraId="0631F35B" w14:textId="77777777" w:rsidR="009A2813" w:rsidRPr="008E5183" w:rsidRDefault="009A2813" w:rsidP="00C34CBC">
            <w:pPr>
              <w:pStyle w:val="ExhibitText"/>
              <w:ind w:right="144"/>
              <w:jc w:val="right"/>
            </w:pPr>
            <w:r w:rsidRPr="008E5183">
              <w:t>485.45</w:t>
            </w:r>
          </w:p>
        </w:tc>
      </w:tr>
      <w:tr w:rsidR="009A2813" w:rsidRPr="008E5183" w14:paraId="233E5A5B" w14:textId="77777777" w:rsidTr="00C902DC">
        <w:trPr>
          <w:trHeight w:val="255"/>
          <w:jc w:val="center"/>
        </w:trPr>
        <w:tc>
          <w:tcPr>
            <w:tcW w:w="5000" w:type="pct"/>
            <w:gridSpan w:val="5"/>
            <w:tcBorders>
              <w:top w:val="single" w:sz="4" w:space="0" w:color="auto"/>
            </w:tcBorders>
            <w:vAlign w:val="center"/>
          </w:tcPr>
          <w:p w14:paraId="646C2117" w14:textId="77777777" w:rsidR="009A2813" w:rsidRPr="00395521" w:rsidRDefault="009A2813" w:rsidP="0094635D">
            <w:pPr>
              <w:pStyle w:val="ExhibitText"/>
              <w:jc w:val="left"/>
              <w:rPr>
                <w:b/>
              </w:rPr>
            </w:pPr>
            <w:r w:rsidRPr="00395521">
              <w:rPr>
                <w:b/>
              </w:rPr>
              <w:t>Production Costs</w:t>
            </w:r>
          </w:p>
        </w:tc>
      </w:tr>
      <w:tr w:rsidR="009A2813" w:rsidRPr="008E5183" w14:paraId="30EAB180" w14:textId="77777777" w:rsidTr="00C902DC">
        <w:trPr>
          <w:trHeight w:val="255"/>
          <w:jc w:val="center"/>
        </w:trPr>
        <w:tc>
          <w:tcPr>
            <w:tcW w:w="1249" w:type="pct"/>
            <w:vAlign w:val="center"/>
          </w:tcPr>
          <w:p w14:paraId="2A1D1739" w14:textId="1C2090C9" w:rsidR="009A2813" w:rsidRPr="008E5183" w:rsidRDefault="009A2813" w:rsidP="00496F23">
            <w:pPr>
              <w:pStyle w:val="ExhibitText"/>
            </w:pPr>
            <w:r w:rsidRPr="008E5183">
              <w:t xml:space="preserve">TV </w:t>
            </w:r>
            <w:r w:rsidR="00C34CBC">
              <w:t>S</w:t>
            </w:r>
            <w:r w:rsidRPr="008E5183">
              <w:t>erials</w:t>
            </w:r>
          </w:p>
        </w:tc>
        <w:tc>
          <w:tcPr>
            <w:tcW w:w="938" w:type="pct"/>
            <w:vAlign w:val="center"/>
          </w:tcPr>
          <w:p w14:paraId="3910A818" w14:textId="3ECE51AC" w:rsidR="009A2813" w:rsidRPr="008E5183" w:rsidRDefault="009A2813" w:rsidP="00C34CBC">
            <w:pPr>
              <w:pStyle w:val="ExhibitText"/>
              <w:ind w:right="144"/>
              <w:jc w:val="right"/>
            </w:pPr>
            <w:r w:rsidRPr="008E5183">
              <w:t>5</w:t>
            </w:r>
            <w:r w:rsidR="00C34CBC">
              <w:t>,</w:t>
            </w:r>
            <w:r w:rsidRPr="008E5183">
              <w:t>150.21</w:t>
            </w:r>
          </w:p>
        </w:tc>
        <w:tc>
          <w:tcPr>
            <w:tcW w:w="938" w:type="pct"/>
            <w:vAlign w:val="center"/>
          </w:tcPr>
          <w:p w14:paraId="4F0D7802" w14:textId="0C201951" w:rsidR="009A2813" w:rsidRPr="008E5183" w:rsidRDefault="009A2813" w:rsidP="00C34CBC">
            <w:pPr>
              <w:pStyle w:val="ExhibitText"/>
              <w:ind w:right="144"/>
              <w:jc w:val="right"/>
            </w:pPr>
            <w:r w:rsidRPr="008E5183">
              <w:t>7</w:t>
            </w:r>
            <w:r w:rsidR="00C34CBC">
              <w:t>,</w:t>
            </w:r>
            <w:r w:rsidRPr="008E5183">
              <w:t>049.28</w:t>
            </w:r>
          </w:p>
        </w:tc>
        <w:tc>
          <w:tcPr>
            <w:tcW w:w="938" w:type="pct"/>
            <w:vAlign w:val="center"/>
          </w:tcPr>
          <w:p w14:paraId="52C1D604" w14:textId="4677E622" w:rsidR="009A2813" w:rsidRPr="008E5183" w:rsidRDefault="009A2813" w:rsidP="00C34CBC">
            <w:pPr>
              <w:pStyle w:val="ExhibitText"/>
              <w:ind w:right="144"/>
              <w:jc w:val="right"/>
            </w:pPr>
            <w:r w:rsidRPr="008E5183">
              <w:t>6</w:t>
            </w:r>
            <w:r w:rsidR="00C34CBC">
              <w:t>,</w:t>
            </w:r>
            <w:r w:rsidRPr="008E5183">
              <w:t>632.80</w:t>
            </w:r>
          </w:p>
        </w:tc>
        <w:tc>
          <w:tcPr>
            <w:tcW w:w="936" w:type="pct"/>
            <w:vAlign w:val="center"/>
          </w:tcPr>
          <w:p w14:paraId="713C49DE" w14:textId="00C4788D" w:rsidR="009A2813" w:rsidRPr="008E5183" w:rsidRDefault="009A2813" w:rsidP="00C34CBC">
            <w:pPr>
              <w:pStyle w:val="ExhibitText"/>
              <w:ind w:right="144"/>
              <w:jc w:val="right"/>
            </w:pPr>
            <w:r w:rsidRPr="008E5183">
              <w:t>6</w:t>
            </w:r>
            <w:r w:rsidR="00C34CBC">
              <w:t>,</w:t>
            </w:r>
            <w:r w:rsidRPr="008E5183">
              <w:t>126.26</w:t>
            </w:r>
          </w:p>
        </w:tc>
      </w:tr>
      <w:tr w:rsidR="009A2813" w:rsidRPr="008E5183" w14:paraId="0AC1BBEA" w14:textId="77777777" w:rsidTr="00C902DC">
        <w:trPr>
          <w:trHeight w:val="255"/>
          <w:jc w:val="center"/>
        </w:trPr>
        <w:tc>
          <w:tcPr>
            <w:tcW w:w="1249" w:type="pct"/>
            <w:vAlign w:val="center"/>
          </w:tcPr>
          <w:p w14:paraId="36A84C0C" w14:textId="54B738D9" w:rsidR="009A2813" w:rsidRPr="008E5183" w:rsidRDefault="009A2813" w:rsidP="00496F23">
            <w:pPr>
              <w:pStyle w:val="ExhibitText"/>
            </w:pPr>
            <w:r w:rsidRPr="008E5183">
              <w:t xml:space="preserve">Portal </w:t>
            </w:r>
            <w:r w:rsidR="00C34CBC">
              <w:t>D</w:t>
            </w:r>
            <w:r w:rsidRPr="008E5183">
              <w:t>evelopment</w:t>
            </w:r>
          </w:p>
        </w:tc>
        <w:tc>
          <w:tcPr>
            <w:tcW w:w="938" w:type="pct"/>
            <w:vAlign w:val="center"/>
          </w:tcPr>
          <w:p w14:paraId="717A4C50" w14:textId="77777777" w:rsidR="009A2813" w:rsidRPr="008E5183" w:rsidRDefault="009A2813" w:rsidP="00C34CBC">
            <w:pPr>
              <w:pStyle w:val="ExhibitText"/>
              <w:ind w:right="144"/>
              <w:jc w:val="right"/>
            </w:pPr>
            <w:r w:rsidRPr="008E5183">
              <w:t>27.90</w:t>
            </w:r>
          </w:p>
        </w:tc>
        <w:tc>
          <w:tcPr>
            <w:tcW w:w="938" w:type="pct"/>
            <w:vAlign w:val="center"/>
          </w:tcPr>
          <w:p w14:paraId="7BCE7EBD" w14:textId="77777777" w:rsidR="009A2813" w:rsidRPr="008E5183" w:rsidRDefault="009A2813" w:rsidP="00C34CBC">
            <w:pPr>
              <w:pStyle w:val="ExhibitText"/>
              <w:ind w:right="144"/>
              <w:jc w:val="right"/>
            </w:pPr>
            <w:r w:rsidRPr="008E5183">
              <w:t>10.20</w:t>
            </w:r>
          </w:p>
        </w:tc>
        <w:tc>
          <w:tcPr>
            <w:tcW w:w="938" w:type="pct"/>
            <w:vAlign w:val="center"/>
          </w:tcPr>
          <w:p w14:paraId="3BE1053B" w14:textId="77777777" w:rsidR="009A2813" w:rsidRPr="008E5183" w:rsidRDefault="009A2813" w:rsidP="00C34CBC">
            <w:pPr>
              <w:pStyle w:val="ExhibitText"/>
              <w:ind w:right="144"/>
              <w:jc w:val="right"/>
            </w:pPr>
            <w:r w:rsidRPr="008E5183">
              <w:t>134.02</w:t>
            </w:r>
          </w:p>
        </w:tc>
        <w:tc>
          <w:tcPr>
            <w:tcW w:w="936" w:type="pct"/>
            <w:vAlign w:val="center"/>
          </w:tcPr>
          <w:p w14:paraId="429289EA" w14:textId="77777777" w:rsidR="009A2813" w:rsidRPr="008E5183" w:rsidRDefault="009A2813" w:rsidP="00C34CBC">
            <w:pPr>
              <w:pStyle w:val="ExhibitText"/>
              <w:ind w:right="144"/>
              <w:jc w:val="right"/>
            </w:pPr>
            <w:r w:rsidRPr="008E5183">
              <w:t>198.61</w:t>
            </w:r>
          </w:p>
        </w:tc>
      </w:tr>
    </w:tbl>
    <w:p w14:paraId="3A485D46" w14:textId="77777777" w:rsidR="00395521" w:rsidRDefault="00395521" w:rsidP="00B32701">
      <w:pPr>
        <w:pStyle w:val="Footnote"/>
      </w:pPr>
    </w:p>
    <w:p w14:paraId="052F1316" w14:textId="73AB9088" w:rsidR="00B27515" w:rsidRDefault="00B27515">
      <w:pPr>
        <w:spacing w:after="200" w:line="276" w:lineRule="auto"/>
        <w:rPr>
          <w:rFonts w:ascii="Arial" w:hAnsi="Arial" w:cs="Arial"/>
        </w:rPr>
      </w:pPr>
      <w:r>
        <w:rPr>
          <w:rFonts w:ascii="Arial" w:hAnsi="Arial" w:cs="Arial"/>
        </w:rPr>
        <w:br w:type="page"/>
      </w:r>
    </w:p>
    <w:p w14:paraId="4CB99339" w14:textId="3F6516C7" w:rsidR="00530F0E" w:rsidRDefault="00530F0E" w:rsidP="00B32701">
      <w:pPr>
        <w:pStyle w:val="ExhibitHeading"/>
      </w:pPr>
      <w:r>
        <w:lastRenderedPageBreak/>
        <w:t>Exhibit</w:t>
      </w:r>
      <w:r w:rsidRPr="00160BB6">
        <w:t xml:space="preserve"> 8</w:t>
      </w:r>
      <w:r>
        <w:t xml:space="preserve"> (Continued)</w:t>
      </w:r>
    </w:p>
    <w:p w14:paraId="2427A14B" w14:textId="77777777" w:rsidR="00530F0E" w:rsidRDefault="00530F0E" w:rsidP="00FE1663">
      <w:pPr>
        <w:pStyle w:val="Casehead2"/>
      </w:pPr>
    </w:p>
    <w:p w14:paraId="1D76BA8F" w14:textId="06B43D4B" w:rsidR="009A2813" w:rsidRDefault="00FE1663" w:rsidP="00FE1663">
      <w:pPr>
        <w:pStyle w:val="Casehead2"/>
      </w:pPr>
      <w:r>
        <w:t>(b)</w:t>
      </w:r>
      <w:r w:rsidR="009A2813" w:rsidRPr="008E5183">
        <w:t xml:space="preserve"> </w:t>
      </w:r>
      <w:r>
        <w:t>Profit and Loss</w:t>
      </w:r>
    </w:p>
    <w:p w14:paraId="6EDFC33C" w14:textId="77777777" w:rsidR="009A2813" w:rsidRPr="008E5183" w:rsidRDefault="009A2813" w:rsidP="00327A07">
      <w:pPr>
        <w:pStyle w:val="ExhibitText"/>
      </w:pPr>
    </w:p>
    <w:tbl>
      <w:tblPr>
        <w:tblW w:w="4696" w:type="pct"/>
        <w:jc w:val="center"/>
        <w:tblBorders>
          <w:top w:val="single" w:sz="4" w:space="0" w:color="auto"/>
          <w:bottom w:val="single" w:sz="4" w:space="0" w:color="auto"/>
        </w:tblBorders>
        <w:tblLayout w:type="fixed"/>
        <w:tblCellMar>
          <w:top w:w="29" w:type="dxa"/>
          <w:left w:w="115" w:type="dxa"/>
          <w:bottom w:w="29" w:type="dxa"/>
          <w:right w:w="115" w:type="dxa"/>
        </w:tblCellMar>
        <w:tblLook w:val="04A0" w:firstRow="1" w:lastRow="0" w:firstColumn="1" w:lastColumn="0" w:noHBand="0" w:noVBand="1"/>
      </w:tblPr>
      <w:tblGrid>
        <w:gridCol w:w="2521"/>
        <w:gridCol w:w="1039"/>
        <w:gridCol w:w="1058"/>
        <w:gridCol w:w="1058"/>
        <w:gridCol w:w="1058"/>
        <w:gridCol w:w="1058"/>
        <w:gridCol w:w="999"/>
      </w:tblGrid>
      <w:tr w:rsidR="0094635D" w:rsidRPr="00FE1663" w14:paraId="537015EF" w14:textId="77777777" w:rsidTr="00C902DC">
        <w:trPr>
          <w:trHeight w:val="138"/>
          <w:jc w:val="center"/>
        </w:trPr>
        <w:tc>
          <w:tcPr>
            <w:tcW w:w="1433" w:type="pct"/>
            <w:tcBorders>
              <w:bottom w:val="nil"/>
            </w:tcBorders>
            <w:shd w:val="clear" w:color="auto" w:fill="auto"/>
            <w:noWrap/>
            <w:vAlign w:val="center"/>
          </w:tcPr>
          <w:p w14:paraId="57AB8F21" w14:textId="77777777" w:rsidR="0094635D" w:rsidRDefault="0094635D" w:rsidP="00FE1663">
            <w:pPr>
              <w:pStyle w:val="ExhibitText"/>
              <w:jc w:val="left"/>
              <w:rPr>
                <w:b/>
                <w:spacing w:val="-4"/>
                <w:sz w:val="18"/>
                <w:szCs w:val="18"/>
                <w:lang w:eastAsia="en-IN"/>
              </w:rPr>
            </w:pPr>
          </w:p>
        </w:tc>
        <w:tc>
          <w:tcPr>
            <w:tcW w:w="3567" w:type="pct"/>
            <w:gridSpan w:val="6"/>
            <w:tcBorders>
              <w:bottom w:val="nil"/>
            </w:tcBorders>
            <w:shd w:val="clear" w:color="auto" w:fill="auto"/>
            <w:vAlign w:val="center"/>
          </w:tcPr>
          <w:p w14:paraId="0995D098" w14:textId="5A4F6A01" w:rsidR="0094635D" w:rsidRPr="00FE1663" w:rsidRDefault="0094635D" w:rsidP="0094635D">
            <w:pPr>
              <w:pStyle w:val="ExhibitText"/>
              <w:jc w:val="center"/>
              <w:rPr>
                <w:b/>
                <w:spacing w:val="-4"/>
                <w:sz w:val="18"/>
                <w:szCs w:val="18"/>
                <w:lang w:eastAsia="en-IN"/>
              </w:rPr>
            </w:pPr>
            <w:r>
              <w:rPr>
                <w:b/>
                <w:spacing w:val="-4"/>
                <w:sz w:val="18"/>
                <w:szCs w:val="18"/>
                <w:lang w:eastAsia="en-IN"/>
              </w:rPr>
              <w:t>FINANCIAL YEAR</w:t>
            </w:r>
          </w:p>
        </w:tc>
      </w:tr>
      <w:tr w:rsidR="00C902DC" w:rsidRPr="00FE1663" w14:paraId="5B92C465" w14:textId="77777777" w:rsidTr="00C902DC">
        <w:trPr>
          <w:trHeight w:val="138"/>
          <w:jc w:val="center"/>
        </w:trPr>
        <w:tc>
          <w:tcPr>
            <w:tcW w:w="1433" w:type="pct"/>
            <w:tcBorders>
              <w:top w:val="nil"/>
              <w:bottom w:val="single" w:sz="12" w:space="0" w:color="auto"/>
            </w:tcBorders>
            <w:shd w:val="clear" w:color="auto" w:fill="auto"/>
            <w:noWrap/>
            <w:vAlign w:val="center"/>
            <w:hideMark/>
          </w:tcPr>
          <w:p w14:paraId="700569A5" w14:textId="770830DE" w:rsidR="009A2813" w:rsidRPr="00FE1663" w:rsidRDefault="00FE1663" w:rsidP="00327A07">
            <w:pPr>
              <w:pStyle w:val="ExhibitText"/>
              <w:jc w:val="right"/>
              <w:rPr>
                <w:b/>
                <w:spacing w:val="-4"/>
                <w:sz w:val="18"/>
                <w:szCs w:val="18"/>
                <w:lang w:eastAsia="en-IN"/>
              </w:rPr>
            </w:pPr>
            <w:r>
              <w:rPr>
                <w:b/>
                <w:spacing w:val="-4"/>
                <w:sz w:val="18"/>
                <w:szCs w:val="18"/>
                <w:lang w:eastAsia="en-IN"/>
              </w:rPr>
              <w:t>in ₹ ’00,000</w:t>
            </w:r>
          </w:p>
        </w:tc>
        <w:tc>
          <w:tcPr>
            <w:tcW w:w="591" w:type="pct"/>
            <w:tcBorders>
              <w:top w:val="nil"/>
              <w:bottom w:val="single" w:sz="12" w:space="0" w:color="auto"/>
            </w:tcBorders>
            <w:shd w:val="clear" w:color="auto" w:fill="auto"/>
            <w:vAlign w:val="center"/>
            <w:hideMark/>
          </w:tcPr>
          <w:p w14:paraId="5883DE81" w14:textId="03592BB5" w:rsidR="009A2813" w:rsidRPr="00FE1663" w:rsidRDefault="00FE1663" w:rsidP="00FE1663">
            <w:pPr>
              <w:pStyle w:val="ExhibitText"/>
              <w:jc w:val="right"/>
              <w:rPr>
                <w:b/>
                <w:spacing w:val="-4"/>
                <w:sz w:val="18"/>
                <w:szCs w:val="18"/>
                <w:lang w:eastAsia="en-IN"/>
              </w:rPr>
            </w:pPr>
            <w:r>
              <w:rPr>
                <w:b/>
                <w:spacing w:val="-4"/>
                <w:sz w:val="18"/>
                <w:szCs w:val="18"/>
                <w:lang w:eastAsia="en-IN"/>
              </w:rPr>
              <w:t>20</w:t>
            </w:r>
            <w:r w:rsidR="009A2813" w:rsidRPr="00FE1663">
              <w:rPr>
                <w:b/>
                <w:spacing w:val="-4"/>
                <w:sz w:val="18"/>
                <w:szCs w:val="18"/>
                <w:lang w:eastAsia="en-IN"/>
              </w:rPr>
              <w:t>11</w:t>
            </w:r>
            <w:r>
              <w:rPr>
                <w:b/>
                <w:spacing w:val="-4"/>
                <w:sz w:val="18"/>
                <w:szCs w:val="18"/>
                <w:lang w:eastAsia="en-IN"/>
              </w:rPr>
              <w:t>–</w:t>
            </w:r>
            <w:r w:rsidR="009A2813" w:rsidRPr="00FE1663">
              <w:rPr>
                <w:b/>
                <w:spacing w:val="-4"/>
                <w:sz w:val="18"/>
                <w:szCs w:val="18"/>
                <w:lang w:eastAsia="en-IN"/>
              </w:rPr>
              <w:t>12</w:t>
            </w:r>
          </w:p>
        </w:tc>
        <w:tc>
          <w:tcPr>
            <w:tcW w:w="602" w:type="pct"/>
            <w:tcBorders>
              <w:top w:val="nil"/>
              <w:bottom w:val="single" w:sz="12" w:space="0" w:color="auto"/>
            </w:tcBorders>
            <w:shd w:val="clear" w:color="auto" w:fill="auto"/>
            <w:vAlign w:val="center"/>
            <w:hideMark/>
          </w:tcPr>
          <w:p w14:paraId="3A71DFAC" w14:textId="1C23FB6B" w:rsidR="009A2813" w:rsidRPr="00FE1663" w:rsidRDefault="00FE1663" w:rsidP="00FE1663">
            <w:pPr>
              <w:pStyle w:val="ExhibitText"/>
              <w:jc w:val="right"/>
              <w:rPr>
                <w:b/>
                <w:spacing w:val="-4"/>
                <w:sz w:val="18"/>
                <w:szCs w:val="18"/>
                <w:lang w:eastAsia="en-IN"/>
              </w:rPr>
            </w:pPr>
            <w:r>
              <w:rPr>
                <w:b/>
                <w:spacing w:val="-4"/>
                <w:sz w:val="18"/>
                <w:szCs w:val="18"/>
                <w:lang w:eastAsia="en-IN"/>
              </w:rPr>
              <w:t>20</w:t>
            </w:r>
            <w:r w:rsidR="009A2813" w:rsidRPr="00FE1663">
              <w:rPr>
                <w:b/>
                <w:spacing w:val="-4"/>
                <w:sz w:val="18"/>
                <w:szCs w:val="18"/>
                <w:lang w:eastAsia="en-IN"/>
              </w:rPr>
              <w:t>12</w:t>
            </w:r>
            <w:r>
              <w:rPr>
                <w:b/>
                <w:spacing w:val="-4"/>
                <w:sz w:val="18"/>
                <w:szCs w:val="18"/>
                <w:lang w:eastAsia="en-IN"/>
              </w:rPr>
              <w:t>–</w:t>
            </w:r>
            <w:r w:rsidR="009A2813" w:rsidRPr="00FE1663">
              <w:rPr>
                <w:b/>
                <w:spacing w:val="-4"/>
                <w:sz w:val="18"/>
                <w:szCs w:val="18"/>
                <w:lang w:eastAsia="en-IN"/>
              </w:rPr>
              <w:t>13</w:t>
            </w:r>
          </w:p>
        </w:tc>
        <w:tc>
          <w:tcPr>
            <w:tcW w:w="602" w:type="pct"/>
            <w:tcBorders>
              <w:top w:val="nil"/>
              <w:bottom w:val="single" w:sz="12" w:space="0" w:color="auto"/>
            </w:tcBorders>
            <w:vAlign w:val="center"/>
          </w:tcPr>
          <w:p w14:paraId="0B1A4B40" w14:textId="7CF20E41" w:rsidR="009A2813" w:rsidRPr="00FE1663" w:rsidRDefault="0094635D" w:rsidP="00FE1663">
            <w:pPr>
              <w:pStyle w:val="ExhibitText"/>
              <w:jc w:val="right"/>
              <w:rPr>
                <w:b/>
                <w:spacing w:val="-4"/>
                <w:sz w:val="18"/>
                <w:szCs w:val="18"/>
                <w:lang w:eastAsia="en-IN"/>
              </w:rPr>
            </w:pPr>
            <w:r>
              <w:rPr>
                <w:b/>
                <w:spacing w:val="-4"/>
                <w:sz w:val="18"/>
                <w:szCs w:val="18"/>
                <w:lang w:eastAsia="en-IN"/>
              </w:rPr>
              <w:t>20</w:t>
            </w:r>
            <w:r w:rsidR="009A2813" w:rsidRPr="00FE1663">
              <w:rPr>
                <w:b/>
                <w:spacing w:val="-4"/>
                <w:sz w:val="18"/>
                <w:szCs w:val="18"/>
                <w:lang w:eastAsia="en-IN"/>
              </w:rPr>
              <w:t>13</w:t>
            </w:r>
            <w:r>
              <w:rPr>
                <w:b/>
                <w:spacing w:val="-4"/>
                <w:sz w:val="18"/>
                <w:szCs w:val="18"/>
                <w:lang w:eastAsia="en-IN"/>
              </w:rPr>
              <w:t>–</w:t>
            </w:r>
            <w:r w:rsidR="009A2813" w:rsidRPr="00FE1663">
              <w:rPr>
                <w:b/>
                <w:spacing w:val="-4"/>
                <w:sz w:val="18"/>
                <w:szCs w:val="18"/>
                <w:lang w:eastAsia="en-IN"/>
              </w:rPr>
              <w:t>14</w:t>
            </w:r>
          </w:p>
        </w:tc>
        <w:tc>
          <w:tcPr>
            <w:tcW w:w="602" w:type="pct"/>
            <w:tcBorders>
              <w:top w:val="nil"/>
              <w:bottom w:val="single" w:sz="12" w:space="0" w:color="auto"/>
            </w:tcBorders>
            <w:vAlign w:val="center"/>
          </w:tcPr>
          <w:p w14:paraId="55952983" w14:textId="3B70ACBA" w:rsidR="009A2813" w:rsidRPr="00FE1663" w:rsidRDefault="0094635D" w:rsidP="00FE1663">
            <w:pPr>
              <w:pStyle w:val="ExhibitText"/>
              <w:jc w:val="right"/>
              <w:rPr>
                <w:b/>
                <w:spacing w:val="-4"/>
                <w:sz w:val="18"/>
                <w:szCs w:val="18"/>
                <w:lang w:eastAsia="en-IN"/>
              </w:rPr>
            </w:pPr>
            <w:r>
              <w:rPr>
                <w:b/>
                <w:spacing w:val="-4"/>
                <w:sz w:val="18"/>
                <w:szCs w:val="18"/>
                <w:lang w:eastAsia="en-IN"/>
              </w:rPr>
              <w:t>20</w:t>
            </w:r>
            <w:r w:rsidR="009A2813" w:rsidRPr="00FE1663">
              <w:rPr>
                <w:b/>
                <w:spacing w:val="-4"/>
                <w:sz w:val="18"/>
                <w:szCs w:val="18"/>
                <w:lang w:eastAsia="en-IN"/>
              </w:rPr>
              <w:t>14</w:t>
            </w:r>
            <w:r>
              <w:rPr>
                <w:b/>
                <w:spacing w:val="-4"/>
                <w:sz w:val="18"/>
                <w:szCs w:val="18"/>
                <w:lang w:eastAsia="en-IN"/>
              </w:rPr>
              <w:t>–</w:t>
            </w:r>
            <w:r w:rsidR="009A2813" w:rsidRPr="00FE1663">
              <w:rPr>
                <w:b/>
                <w:spacing w:val="-4"/>
                <w:sz w:val="18"/>
                <w:szCs w:val="18"/>
                <w:lang w:eastAsia="en-IN"/>
              </w:rPr>
              <w:t>15</w:t>
            </w:r>
          </w:p>
        </w:tc>
        <w:tc>
          <w:tcPr>
            <w:tcW w:w="602" w:type="pct"/>
            <w:tcBorders>
              <w:top w:val="nil"/>
              <w:bottom w:val="single" w:sz="12" w:space="0" w:color="auto"/>
            </w:tcBorders>
            <w:shd w:val="clear" w:color="auto" w:fill="auto"/>
            <w:vAlign w:val="center"/>
            <w:hideMark/>
          </w:tcPr>
          <w:p w14:paraId="30858E06" w14:textId="4D30A167" w:rsidR="009A2813" w:rsidRPr="00FE1663" w:rsidRDefault="0094635D" w:rsidP="00FE1663">
            <w:pPr>
              <w:pStyle w:val="ExhibitText"/>
              <w:jc w:val="right"/>
              <w:rPr>
                <w:b/>
                <w:spacing w:val="-4"/>
                <w:sz w:val="18"/>
                <w:szCs w:val="18"/>
                <w:lang w:eastAsia="en-IN"/>
              </w:rPr>
            </w:pPr>
            <w:r>
              <w:rPr>
                <w:b/>
                <w:spacing w:val="-4"/>
                <w:sz w:val="18"/>
                <w:szCs w:val="18"/>
                <w:lang w:eastAsia="en-IN"/>
              </w:rPr>
              <w:t>20</w:t>
            </w:r>
            <w:r w:rsidR="009A2813" w:rsidRPr="00FE1663">
              <w:rPr>
                <w:b/>
                <w:spacing w:val="-4"/>
                <w:sz w:val="18"/>
                <w:szCs w:val="18"/>
                <w:lang w:eastAsia="en-IN"/>
              </w:rPr>
              <w:t>15</w:t>
            </w:r>
            <w:r>
              <w:rPr>
                <w:b/>
                <w:spacing w:val="-4"/>
                <w:sz w:val="18"/>
                <w:szCs w:val="18"/>
                <w:lang w:eastAsia="en-IN"/>
              </w:rPr>
              <w:t>–</w:t>
            </w:r>
            <w:r w:rsidR="009A2813" w:rsidRPr="00FE1663">
              <w:rPr>
                <w:b/>
                <w:spacing w:val="-4"/>
                <w:sz w:val="18"/>
                <w:szCs w:val="18"/>
                <w:lang w:eastAsia="en-IN"/>
              </w:rPr>
              <w:t>16</w:t>
            </w:r>
          </w:p>
        </w:tc>
        <w:tc>
          <w:tcPr>
            <w:tcW w:w="569" w:type="pct"/>
            <w:tcBorders>
              <w:top w:val="nil"/>
              <w:bottom w:val="single" w:sz="12" w:space="0" w:color="auto"/>
            </w:tcBorders>
            <w:shd w:val="clear" w:color="auto" w:fill="auto"/>
            <w:vAlign w:val="center"/>
            <w:hideMark/>
          </w:tcPr>
          <w:p w14:paraId="1A481D25" w14:textId="26AE0032" w:rsidR="009A2813" w:rsidRPr="00FE1663" w:rsidRDefault="0094635D" w:rsidP="00FE1663">
            <w:pPr>
              <w:pStyle w:val="ExhibitText"/>
              <w:jc w:val="right"/>
              <w:rPr>
                <w:b/>
                <w:spacing w:val="-4"/>
                <w:sz w:val="18"/>
                <w:szCs w:val="18"/>
                <w:lang w:eastAsia="en-IN"/>
              </w:rPr>
            </w:pPr>
            <w:r>
              <w:rPr>
                <w:b/>
                <w:spacing w:val="-4"/>
                <w:sz w:val="18"/>
                <w:szCs w:val="18"/>
                <w:lang w:eastAsia="en-IN"/>
              </w:rPr>
              <w:t>20</w:t>
            </w:r>
            <w:r w:rsidR="009A2813" w:rsidRPr="00FE1663">
              <w:rPr>
                <w:b/>
                <w:spacing w:val="-4"/>
                <w:sz w:val="18"/>
                <w:szCs w:val="18"/>
                <w:lang w:eastAsia="en-IN"/>
              </w:rPr>
              <w:t>16</w:t>
            </w:r>
            <w:r>
              <w:rPr>
                <w:b/>
                <w:spacing w:val="-4"/>
                <w:sz w:val="18"/>
                <w:szCs w:val="18"/>
                <w:lang w:eastAsia="en-IN"/>
              </w:rPr>
              <w:t>–</w:t>
            </w:r>
            <w:r w:rsidR="009A2813" w:rsidRPr="00FE1663">
              <w:rPr>
                <w:b/>
                <w:spacing w:val="-4"/>
                <w:sz w:val="18"/>
                <w:szCs w:val="18"/>
                <w:lang w:eastAsia="en-IN"/>
              </w:rPr>
              <w:t>17</w:t>
            </w:r>
          </w:p>
        </w:tc>
      </w:tr>
      <w:tr w:rsidR="00C902DC" w:rsidRPr="00FE1663" w14:paraId="5AAD96B8" w14:textId="77777777" w:rsidTr="00C902DC">
        <w:trPr>
          <w:trHeight w:val="138"/>
          <w:jc w:val="center"/>
        </w:trPr>
        <w:tc>
          <w:tcPr>
            <w:tcW w:w="1433" w:type="pct"/>
            <w:tcBorders>
              <w:top w:val="single" w:sz="12" w:space="0" w:color="auto"/>
            </w:tcBorders>
            <w:shd w:val="clear" w:color="auto" w:fill="auto"/>
            <w:noWrap/>
            <w:vAlign w:val="center"/>
            <w:hideMark/>
          </w:tcPr>
          <w:p w14:paraId="28853A1F" w14:textId="7C552EC9" w:rsidR="009A2813" w:rsidRPr="00FE1663" w:rsidRDefault="00907684" w:rsidP="00FE1663">
            <w:pPr>
              <w:pStyle w:val="ExhibitText"/>
              <w:jc w:val="left"/>
              <w:rPr>
                <w:b/>
                <w:spacing w:val="-4"/>
                <w:sz w:val="18"/>
                <w:szCs w:val="18"/>
                <w:lang w:eastAsia="en-IN"/>
              </w:rPr>
            </w:pPr>
            <w:r w:rsidRPr="00FE1663">
              <w:rPr>
                <w:b/>
                <w:spacing w:val="-4"/>
                <w:sz w:val="18"/>
                <w:szCs w:val="18"/>
                <w:lang w:eastAsia="en-IN"/>
              </w:rPr>
              <w:t>Revenue</w:t>
            </w:r>
            <w:r w:rsidR="005022FE" w:rsidRPr="00FE1663">
              <w:rPr>
                <w:b/>
                <w:spacing w:val="-4"/>
                <w:sz w:val="18"/>
                <w:szCs w:val="18"/>
                <w:lang w:eastAsia="en-IN"/>
              </w:rPr>
              <w:t xml:space="preserve"> </w:t>
            </w:r>
            <w:r w:rsidR="0094635D">
              <w:rPr>
                <w:b/>
                <w:spacing w:val="-4"/>
                <w:sz w:val="18"/>
                <w:szCs w:val="18"/>
                <w:lang w:eastAsia="en-IN"/>
              </w:rPr>
              <w:t>f</w:t>
            </w:r>
            <w:r w:rsidRPr="00FE1663">
              <w:rPr>
                <w:b/>
                <w:spacing w:val="-4"/>
                <w:sz w:val="18"/>
                <w:szCs w:val="18"/>
                <w:lang w:eastAsia="en-IN"/>
              </w:rPr>
              <w:t xml:space="preserve">rom </w:t>
            </w:r>
            <w:r w:rsidR="009A2813" w:rsidRPr="00FE1663">
              <w:rPr>
                <w:b/>
                <w:spacing w:val="-4"/>
                <w:sz w:val="18"/>
                <w:szCs w:val="18"/>
                <w:lang w:eastAsia="en-IN"/>
              </w:rPr>
              <w:t>Operations</w:t>
            </w:r>
          </w:p>
        </w:tc>
        <w:tc>
          <w:tcPr>
            <w:tcW w:w="591" w:type="pct"/>
            <w:tcBorders>
              <w:top w:val="single" w:sz="12" w:space="0" w:color="auto"/>
            </w:tcBorders>
            <w:shd w:val="clear" w:color="auto" w:fill="auto"/>
            <w:noWrap/>
            <w:vAlign w:val="center"/>
            <w:hideMark/>
          </w:tcPr>
          <w:p w14:paraId="1A139287" w14:textId="77777777" w:rsidR="009A2813" w:rsidRPr="00FE1663" w:rsidRDefault="009A2813" w:rsidP="00FE1663">
            <w:pPr>
              <w:pStyle w:val="ExhibitText"/>
              <w:jc w:val="right"/>
              <w:rPr>
                <w:spacing w:val="-4"/>
                <w:sz w:val="18"/>
                <w:szCs w:val="18"/>
                <w:lang w:eastAsia="en-IN"/>
              </w:rPr>
            </w:pPr>
          </w:p>
        </w:tc>
        <w:tc>
          <w:tcPr>
            <w:tcW w:w="602" w:type="pct"/>
            <w:tcBorders>
              <w:top w:val="single" w:sz="12" w:space="0" w:color="auto"/>
            </w:tcBorders>
            <w:shd w:val="clear" w:color="auto" w:fill="auto"/>
            <w:noWrap/>
            <w:vAlign w:val="center"/>
            <w:hideMark/>
          </w:tcPr>
          <w:p w14:paraId="7BE901A8" w14:textId="77777777" w:rsidR="009A2813" w:rsidRPr="00FE1663" w:rsidRDefault="009A2813" w:rsidP="00FE1663">
            <w:pPr>
              <w:pStyle w:val="ExhibitText"/>
              <w:jc w:val="right"/>
              <w:rPr>
                <w:spacing w:val="-4"/>
                <w:sz w:val="18"/>
                <w:szCs w:val="18"/>
                <w:lang w:eastAsia="en-IN"/>
              </w:rPr>
            </w:pPr>
          </w:p>
        </w:tc>
        <w:tc>
          <w:tcPr>
            <w:tcW w:w="602" w:type="pct"/>
            <w:tcBorders>
              <w:top w:val="single" w:sz="12" w:space="0" w:color="auto"/>
            </w:tcBorders>
            <w:vAlign w:val="center"/>
          </w:tcPr>
          <w:p w14:paraId="34F18836" w14:textId="77777777" w:rsidR="009A2813" w:rsidRPr="00FE1663" w:rsidRDefault="009A2813" w:rsidP="00FE1663">
            <w:pPr>
              <w:pStyle w:val="ExhibitText"/>
              <w:jc w:val="right"/>
              <w:rPr>
                <w:spacing w:val="-4"/>
                <w:sz w:val="18"/>
                <w:szCs w:val="18"/>
                <w:lang w:eastAsia="en-IN"/>
              </w:rPr>
            </w:pPr>
          </w:p>
        </w:tc>
        <w:tc>
          <w:tcPr>
            <w:tcW w:w="602" w:type="pct"/>
            <w:tcBorders>
              <w:top w:val="single" w:sz="12" w:space="0" w:color="auto"/>
            </w:tcBorders>
            <w:vAlign w:val="center"/>
          </w:tcPr>
          <w:p w14:paraId="310354F6" w14:textId="77777777" w:rsidR="009A2813" w:rsidRPr="00FE1663" w:rsidRDefault="009A2813" w:rsidP="00FE1663">
            <w:pPr>
              <w:pStyle w:val="ExhibitText"/>
              <w:jc w:val="right"/>
              <w:rPr>
                <w:spacing w:val="-4"/>
                <w:sz w:val="18"/>
                <w:szCs w:val="18"/>
                <w:lang w:eastAsia="en-IN"/>
              </w:rPr>
            </w:pPr>
          </w:p>
        </w:tc>
        <w:tc>
          <w:tcPr>
            <w:tcW w:w="602" w:type="pct"/>
            <w:tcBorders>
              <w:top w:val="single" w:sz="12" w:space="0" w:color="auto"/>
            </w:tcBorders>
            <w:shd w:val="clear" w:color="auto" w:fill="auto"/>
            <w:noWrap/>
            <w:vAlign w:val="center"/>
            <w:hideMark/>
          </w:tcPr>
          <w:p w14:paraId="67DF36EF" w14:textId="77777777" w:rsidR="009A2813" w:rsidRPr="00FE1663" w:rsidRDefault="009A2813" w:rsidP="00FE1663">
            <w:pPr>
              <w:pStyle w:val="ExhibitText"/>
              <w:jc w:val="right"/>
              <w:rPr>
                <w:spacing w:val="-4"/>
                <w:sz w:val="18"/>
                <w:szCs w:val="18"/>
                <w:lang w:eastAsia="en-IN"/>
              </w:rPr>
            </w:pPr>
          </w:p>
        </w:tc>
        <w:tc>
          <w:tcPr>
            <w:tcW w:w="569" w:type="pct"/>
            <w:tcBorders>
              <w:top w:val="single" w:sz="12" w:space="0" w:color="auto"/>
            </w:tcBorders>
            <w:shd w:val="clear" w:color="auto" w:fill="auto"/>
            <w:noWrap/>
            <w:vAlign w:val="center"/>
            <w:hideMark/>
          </w:tcPr>
          <w:p w14:paraId="794B594B" w14:textId="77777777" w:rsidR="009A2813" w:rsidRPr="00FE1663" w:rsidRDefault="009A2813" w:rsidP="00FE1663">
            <w:pPr>
              <w:pStyle w:val="ExhibitText"/>
              <w:jc w:val="right"/>
              <w:rPr>
                <w:spacing w:val="-4"/>
                <w:sz w:val="18"/>
                <w:szCs w:val="18"/>
                <w:lang w:eastAsia="en-IN"/>
              </w:rPr>
            </w:pPr>
          </w:p>
        </w:tc>
      </w:tr>
      <w:tr w:rsidR="00C902DC" w:rsidRPr="00FE1663" w14:paraId="2C6F113A" w14:textId="77777777" w:rsidTr="00C902DC">
        <w:trPr>
          <w:trHeight w:val="138"/>
          <w:jc w:val="center"/>
        </w:trPr>
        <w:tc>
          <w:tcPr>
            <w:tcW w:w="1433" w:type="pct"/>
            <w:shd w:val="clear" w:color="auto" w:fill="auto"/>
            <w:noWrap/>
            <w:vAlign w:val="center"/>
            <w:hideMark/>
          </w:tcPr>
          <w:p w14:paraId="507BF014" w14:textId="08DCD600" w:rsidR="009A2813" w:rsidRPr="00FE1663" w:rsidRDefault="009A2813" w:rsidP="00FE1663">
            <w:pPr>
              <w:pStyle w:val="ExhibitText"/>
              <w:jc w:val="left"/>
              <w:rPr>
                <w:spacing w:val="-4"/>
                <w:sz w:val="18"/>
                <w:szCs w:val="18"/>
                <w:lang w:eastAsia="en-IN"/>
              </w:rPr>
            </w:pPr>
            <w:r w:rsidRPr="00FE1663">
              <w:rPr>
                <w:spacing w:val="-4"/>
                <w:sz w:val="18"/>
                <w:szCs w:val="18"/>
                <w:lang w:eastAsia="en-IN"/>
              </w:rPr>
              <w:t xml:space="preserve">Net </w:t>
            </w:r>
            <w:r w:rsidR="00A37354" w:rsidRPr="00FE1663">
              <w:rPr>
                <w:spacing w:val="-4"/>
                <w:sz w:val="18"/>
                <w:szCs w:val="18"/>
                <w:lang w:eastAsia="en-IN"/>
              </w:rPr>
              <w:t>Revenue from Operations</w:t>
            </w:r>
          </w:p>
        </w:tc>
        <w:tc>
          <w:tcPr>
            <w:tcW w:w="591" w:type="pct"/>
            <w:shd w:val="clear" w:color="auto" w:fill="auto"/>
            <w:noWrap/>
            <w:vAlign w:val="center"/>
            <w:hideMark/>
          </w:tcPr>
          <w:p w14:paraId="3DB603EF"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14,975.54</w:t>
            </w:r>
          </w:p>
        </w:tc>
        <w:tc>
          <w:tcPr>
            <w:tcW w:w="602" w:type="pct"/>
            <w:shd w:val="clear" w:color="auto" w:fill="auto"/>
            <w:noWrap/>
            <w:vAlign w:val="center"/>
            <w:hideMark/>
          </w:tcPr>
          <w:p w14:paraId="0AC1CB68"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17,468.95</w:t>
            </w:r>
          </w:p>
        </w:tc>
        <w:tc>
          <w:tcPr>
            <w:tcW w:w="602" w:type="pct"/>
            <w:vAlign w:val="center"/>
          </w:tcPr>
          <w:p w14:paraId="47A5179E"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16,771.53</w:t>
            </w:r>
          </w:p>
        </w:tc>
        <w:tc>
          <w:tcPr>
            <w:tcW w:w="602" w:type="pct"/>
            <w:vAlign w:val="center"/>
          </w:tcPr>
          <w:p w14:paraId="2387E323"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18,188.53</w:t>
            </w:r>
          </w:p>
        </w:tc>
        <w:tc>
          <w:tcPr>
            <w:tcW w:w="602" w:type="pct"/>
            <w:shd w:val="clear" w:color="auto" w:fill="auto"/>
            <w:noWrap/>
            <w:vAlign w:val="center"/>
            <w:hideMark/>
          </w:tcPr>
          <w:p w14:paraId="2F218E48"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21,484.36</w:t>
            </w:r>
          </w:p>
        </w:tc>
        <w:tc>
          <w:tcPr>
            <w:tcW w:w="569" w:type="pct"/>
            <w:shd w:val="clear" w:color="auto" w:fill="auto"/>
            <w:noWrap/>
            <w:vAlign w:val="center"/>
            <w:hideMark/>
          </w:tcPr>
          <w:p w14:paraId="355C2E75"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20,815.61</w:t>
            </w:r>
          </w:p>
        </w:tc>
      </w:tr>
      <w:tr w:rsidR="00C902DC" w:rsidRPr="00FE1663" w14:paraId="30920CFA" w14:textId="77777777" w:rsidTr="00C902DC">
        <w:trPr>
          <w:trHeight w:val="138"/>
          <w:jc w:val="center"/>
        </w:trPr>
        <w:tc>
          <w:tcPr>
            <w:tcW w:w="1433" w:type="pct"/>
            <w:tcBorders>
              <w:bottom w:val="nil"/>
            </w:tcBorders>
            <w:shd w:val="clear" w:color="auto" w:fill="auto"/>
            <w:noWrap/>
            <w:vAlign w:val="center"/>
            <w:hideMark/>
          </w:tcPr>
          <w:p w14:paraId="3BF4A5ED" w14:textId="1A311937" w:rsidR="009A2813" w:rsidRPr="00FE1663" w:rsidRDefault="009A2813" w:rsidP="00FE1663">
            <w:pPr>
              <w:pStyle w:val="ExhibitText"/>
              <w:jc w:val="left"/>
              <w:rPr>
                <w:spacing w:val="-4"/>
                <w:sz w:val="18"/>
                <w:szCs w:val="18"/>
                <w:lang w:eastAsia="en-IN"/>
              </w:rPr>
            </w:pPr>
            <w:r w:rsidRPr="00FE1663">
              <w:rPr>
                <w:spacing w:val="-4"/>
                <w:sz w:val="18"/>
                <w:szCs w:val="18"/>
                <w:lang w:eastAsia="en-IN"/>
              </w:rPr>
              <w:t xml:space="preserve">Other </w:t>
            </w:r>
            <w:r w:rsidR="00A37354" w:rsidRPr="00FE1663">
              <w:rPr>
                <w:spacing w:val="-4"/>
                <w:sz w:val="18"/>
                <w:szCs w:val="18"/>
                <w:lang w:eastAsia="en-IN"/>
              </w:rPr>
              <w:t>Income</w:t>
            </w:r>
          </w:p>
        </w:tc>
        <w:tc>
          <w:tcPr>
            <w:tcW w:w="591" w:type="pct"/>
            <w:tcBorders>
              <w:bottom w:val="nil"/>
            </w:tcBorders>
            <w:shd w:val="clear" w:color="auto" w:fill="auto"/>
            <w:noWrap/>
            <w:vAlign w:val="center"/>
            <w:hideMark/>
          </w:tcPr>
          <w:p w14:paraId="338E565B"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601.37</w:t>
            </w:r>
          </w:p>
        </w:tc>
        <w:tc>
          <w:tcPr>
            <w:tcW w:w="602" w:type="pct"/>
            <w:tcBorders>
              <w:bottom w:val="nil"/>
            </w:tcBorders>
            <w:shd w:val="clear" w:color="auto" w:fill="auto"/>
            <w:noWrap/>
            <w:vAlign w:val="center"/>
            <w:hideMark/>
          </w:tcPr>
          <w:p w14:paraId="7693B20E"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977.25</w:t>
            </w:r>
          </w:p>
        </w:tc>
        <w:tc>
          <w:tcPr>
            <w:tcW w:w="602" w:type="pct"/>
            <w:tcBorders>
              <w:bottom w:val="nil"/>
            </w:tcBorders>
            <w:vAlign w:val="center"/>
          </w:tcPr>
          <w:p w14:paraId="1B22AA7D"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597.01</w:t>
            </w:r>
          </w:p>
        </w:tc>
        <w:tc>
          <w:tcPr>
            <w:tcW w:w="602" w:type="pct"/>
            <w:tcBorders>
              <w:bottom w:val="nil"/>
            </w:tcBorders>
            <w:vAlign w:val="center"/>
          </w:tcPr>
          <w:p w14:paraId="1BF34A5D"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705.77</w:t>
            </w:r>
          </w:p>
        </w:tc>
        <w:tc>
          <w:tcPr>
            <w:tcW w:w="602" w:type="pct"/>
            <w:tcBorders>
              <w:bottom w:val="nil"/>
            </w:tcBorders>
            <w:shd w:val="clear" w:color="auto" w:fill="auto"/>
            <w:noWrap/>
            <w:vAlign w:val="center"/>
            <w:hideMark/>
          </w:tcPr>
          <w:p w14:paraId="5F789A2A"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992.20</w:t>
            </w:r>
          </w:p>
        </w:tc>
        <w:tc>
          <w:tcPr>
            <w:tcW w:w="569" w:type="pct"/>
            <w:tcBorders>
              <w:bottom w:val="nil"/>
            </w:tcBorders>
            <w:shd w:val="clear" w:color="auto" w:fill="auto"/>
            <w:noWrap/>
            <w:vAlign w:val="center"/>
            <w:hideMark/>
          </w:tcPr>
          <w:p w14:paraId="30BF28EE"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1,156.16</w:t>
            </w:r>
          </w:p>
        </w:tc>
      </w:tr>
      <w:tr w:rsidR="00C902DC" w:rsidRPr="00FE1663" w14:paraId="3A1B12D8" w14:textId="77777777" w:rsidTr="00C902DC">
        <w:trPr>
          <w:trHeight w:val="138"/>
          <w:jc w:val="center"/>
        </w:trPr>
        <w:tc>
          <w:tcPr>
            <w:tcW w:w="1433" w:type="pct"/>
            <w:tcBorders>
              <w:top w:val="nil"/>
              <w:bottom w:val="single" w:sz="4" w:space="0" w:color="auto"/>
            </w:tcBorders>
            <w:shd w:val="clear" w:color="auto" w:fill="auto"/>
            <w:noWrap/>
            <w:vAlign w:val="center"/>
            <w:hideMark/>
          </w:tcPr>
          <w:p w14:paraId="6E08967A" w14:textId="434CDF89" w:rsidR="009A2813" w:rsidRPr="00FE1663" w:rsidRDefault="009A2813" w:rsidP="00FE1663">
            <w:pPr>
              <w:pStyle w:val="ExhibitText"/>
              <w:jc w:val="left"/>
              <w:rPr>
                <w:b/>
                <w:spacing w:val="-4"/>
                <w:sz w:val="18"/>
                <w:szCs w:val="18"/>
                <w:lang w:eastAsia="en-IN"/>
              </w:rPr>
            </w:pPr>
            <w:r w:rsidRPr="00FE1663">
              <w:rPr>
                <w:b/>
                <w:spacing w:val="-4"/>
                <w:sz w:val="18"/>
                <w:szCs w:val="18"/>
                <w:lang w:eastAsia="en-IN"/>
              </w:rPr>
              <w:t xml:space="preserve">Total </w:t>
            </w:r>
            <w:r w:rsidR="0094635D">
              <w:rPr>
                <w:b/>
                <w:spacing w:val="-4"/>
                <w:sz w:val="18"/>
                <w:szCs w:val="18"/>
                <w:lang w:eastAsia="en-IN"/>
              </w:rPr>
              <w:t>R</w:t>
            </w:r>
            <w:r w:rsidRPr="00FE1663">
              <w:rPr>
                <w:b/>
                <w:spacing w:val="-4"/>
                <w:sz w:val="18"/>
                <w:szCs w:val="18"/>
                <w:lang w:eastAsia="en-IN"/>
              </w:rPr>
              <w:t xml:space="preserve">evenue </w:t>
            </w:r>
          </w:p>
        </w:tc>
        <w:tc>
          <w:tcPr>
            <w:tcW w:w="591" w:type="pct"/>
            <w:tcBorders>
              <w:top w:val="nil"/>
              <w:bottom w:val="single" w:sz="4" w:space="0" w:color="auto"/>
            </w:tcBorders>
            <w:shd w:val="clear" w:color="auto" w:fill="auto"/>
            <w:noWrap/>
            <w:vAlign w:val="center"/>
            <w:hideMark/>
          </w:tcPr>
          <w:p w14:paraId="5A81C758" w14:textId="77777777" w:rsidR="009A2813" w:rsidRPr="00FE1663" w:rsidRDefault="009A2813" w:rsidP="00FE1663">
            <w:pPr>
              <w:pStyle w:val="ExhibitText"/>
              <w:jc w:val="right"/>
              <w:rPr>
                <w:b/>
                <w:spacing w:val="-4"/>
                <w:sz w:val="18"/>
                <w:szCs w:val="18"/>
                <w:lang w:eastAsia="en-IN"/>
              </w:rPr>
            </w:pPr>
            <w:r w:rsidRPr="00FE1663">
              <w:rPr>
                <w:b/>
                <w:spacing w:val="-4"/>
                <w:sz w:val="18"/>
                <w:szCs w:val="18"/>
                <w:lang w:eastAsia="en-IN"/>
              </w:rPr>
              <w:t>15,576.91</w:t>
            </w:r>
          </w:p>
        </w:tc>
        <w:tc>
          <w:tcPr>
            <w:tcW w:w="602" w:type="pct"/>
            <w:tcBorders>
              <w:top w:val="nil"/>
              <w:bottom w:val="single" w:sz="4" w:space="0" w:color="auto"/>
            </w:tcBorders>
            <w:shd w:val="clear" w:color="auto" w:fill="auto"/>
            <w:noWrap/>
            <w:vAlign w:val="center"/>
            <w:hideMark/>
          </w:tcPr>
          <w:p w14:paraId="3FC97314" w14:textId="77777777" w:rsidR="009A2813" w:rsidRPr="00FE1663" w:rsidRDefault="009A2813" w:rsidP="00FE1663">
            <w:pPr>
              <w:pStyle w:val="ExhibitText"/>
              <w:jc w:val="right"/>
              <w:rPr>
                <w:b/>
                <w:spacing w:val="-4"/>
                <w:sz w:val="18"/>
                <w:szCs w:val="18"/>
                <w:lang w:eastAsia="en-IN"/>
              </w:rPr>
            </w:pPr>
            <w:r w:rsidRPr="00FE1663">
              <w:rPr>
                <w:b/>
                <w:spacing w:val="-4"/>
                <w:sz w:val="18"/>
                <w:szCs w:val="18"/>
                <w:lang w:eastAsia="en-IN"/>
              </w:rPr>
              <w:t>18,446.20</w:t>
            </w:r>
          </w:p>
        </w:tc>
        <w:tc>
          <w:tcPr>
            <w:tcW w:w="602" w:type="pct"/>
            <w:tcBorders>
              <w:top w:val="nil"/>
              <w:bottom w:val="single" w:sz="4" w:space="0" w:color="auto"/>
            </w:tcBorders>
            <w:vAlign w:val="center"/>
          </w:tcPr>
          <w:p w14:paraId="2E50A6A0" w14:textId="77777777" w:rsidR="009A2813" w:rsidRPr="00FE1663" w:rsidRDefault="009A2813" w:rsidP="00FE1663">
            <w:pPr>
              <w:pStyle w:val="ExhibitText"/>
              <w:jc w:val="right"/>
              <w:rPr>
                <w:b/>
                <w:spacing w:val="-4"/>
                <w:sz w:val="18"/>
                <w:szCs w:val="18"/>
                <w:lang w:eastAsia="en-IN"/>
              </w:rPr>
            </w:pPr>
            <w:r w:rsidRPr="00FE1663">
              <w:rPr>
                <w:b/>
                <w:spacing w:val="-4"/>
                <w:sz w:val="18"/>
                <w:szCs w:val="18"/>
                <w:lang w:eastAsia="en-IN"/>
              </w:rPr>
              <w:t>17,368.54</w:t>
            </w:r>
          </w:p>
        </w:tc>
        <w:tc>
          <w:tcPr>
            <w:tcW w:w="602" w:type="pct"/>
            <w:tcBorders>
              <w:top w:val="nil"/>
              <w:bottom w:val="single" w:sz="4" w:space="0" w:color="auto"/>
            </w:tcBorders>
            <w:vAlign w:val="center"/>
          </w:tcPr>
          <w:p w14:paraId="6715123A" w14:textId="77777777" w:rsidR="009A2813" w:rsidRPr="00FE1663" w:rsidRDefault="009A2813" w:rsidP="00FE1663">
            <w:pPr>
              <w:pStyle w:val="ExhibitText"/>
              <w:jc w:val="right"/>
              <w:rPr>
                <w:b/>
                <w:spacing w:val="-4"/>
                <w:sz w:val="18"/>
                <w:szCs w:val="18"/>
                <w:lang w:eastAsia="en-IN"/>
              </w:rPr>
            </w:pPr>
            <w:r w:rsidRPr="00FE1663">
              <w:rPr>
                <w:b/>
                <w:spacing w:val="-4"/>
                <w:sz w:val="18"/>
                <w:szCs w:val="18"/>
                <w:lang w:eastAsia="en-IN"/>
              </w:rPr>
              <w:t>18,894.30</w:t>
            </w:r>
          </w:p>
        </w:tc>
        <w:tc>
          <w:tcPr>
            <w:tcW w:w="602" w:type="pct"/>
            <w:tcBorders>
              <w:top w:val="nil"/>
              <w:bottom w:val="single" w:sz="4" w:space="0" w:color="auto"/>
            </w:tcBorders>
            <w:shd w:val="clear" w:color="auto" w:fill="auto"/>
            <w:noWrap/>
            <w:vAlign w:val="center"/>
            <w:hideMark/>
          </w:tcPr>
          <w:p w14:paraId="2E692D90" w14:textId="445F79DC" w:rsidR="009A2813" w:rsidRPr="00FE1663" w:rsidRDefault="009A2813" w:rsidP="00FE1663">
            <w:pPr>
              <w:pStyle w:val="ExhibitText"/>
              <w:jc w:val="right"/>
              <w:rPr>
                <w:b/>
                <w:spacing w:val="-4"/>
                <w:sz w:val="18"/>
                <w:szCs w:val="18"/>
                <w:lang w:eastAsia="en-IN"/>
              </w:rPr>
            </w:pPr>
            <w:r w:rsidRPr="00FE1663">
              <w:rPr>
                <w:b/>
                <w:spacing w:val="-4"/>
                <w:sz w:val="18"/>
                <w:szCs w:val="18"/>
                <w:lang w:eastAsia="en-IN"/>
              </w:rPr>
              <w:t>22</w:t>
            </w:r>
            <w:r w:rsidR="009F42B3">
              <w:rPr>
                <w:b/>
                <w:spacing w:val="-4"/>
                <w:sz w:val="18"/>
                <w:szCs w:val="18"/>
                <w:lang w:eastAsia="en-IN"/>
              </w:rPr>
              <w:t>,</w:t>
            </w:r>
            <w:r w:rsidRPr="00FE1663">
              <w:rPr>
                <w:b/>
                <w:spacing w:val="-4"/>
                <w:sz w:val="18"/>
                <w:szCs w:val="18"/>
                <w:lang w:eastAsia="en-IN"/>
              </w:rPr>
              <w:t>476.56</w:t>
            </w:r>
          </w:p>
        </w:tc>
        <w:tc>
          <w:tcPr>
            <w:tcW w:w="569" w:type="pct"/>
            <w:tcBorders>
              <w:top w:val="nil"/>
              <w:bottom w:val="single" w:sz="4" w:space="0" w:color="auto"/>
            </w:tcBorders>
            <w:shd w:val="clear" w:color="auto" w:fill="auto"/>
            <w:noWrap/>
            <w:vAlign w:val="center"/>
            <w:hideMark/>
          </w:tcPr>
          <w:p w14:paraId="1405B5C5" w14:textId="77777777" w:rsidR="009A2813" w:rsidRPr="00FE1663" w:rsidRDefault="009A2813" w:rsidP="00FE1663">
            <w:pPr>
              <w:pStyle w:val="ExhibitText"/>
              <w:jc w:val="right"/>
              <w:rPr>
                <w:b/>
                <w:spacing w:val="-4"/>
                <w:sz w:val="18"/>
                <w:szCs w:val="18"/>
                <w:lang w:eastAsia="en-IN"/>
              </w:rPr>
            </w:pPr>
            <w:r w:rsidRPr="00FE1663">
              <w:rPr>
                <w:b/>
                <w:spacing w:val="-4"/>
                <w:sz w:val="18"/>
                <w:szCs w:val="18"/>
                <w:lang w:eastAsia="en-IN"/>
              </w:rPr>
              <w:t>21,971.77</w:t>
            </w:r>
          </w:p>
        </w:tc>
      </w:tr>
      <w:tr w:rsidR="00C902DC" w:rsidRPr="00FE1663" w14:paraId="05840CD5" w14:textId="77777777" w:rsidTr="00C902DC">
        <w:trPr>
          <w:trHeight w:val="138"/>
          <w:jc w:val="center"/>
        </w:trPr>
        <w:tc>
          <w:tcPr>
            <w:tcW w:w="1433" w:type="pct"/>
            <w:tcBorders>
              <w:top w:val="single" w:sz="4" w:space="0" w:color="auto"/>
            </w:tcBorders>
            <w:shd w:val="clear" w:color="auto" w:fill="auto"/>
            <w:noWrap/>
            <w:vAlign w:val="center"/>
            <w:hideMark/>
          </w:tcPr>
          <w:p w14:paraId="3BAEBEDD" w14:textId="77777777" w:rsidR="009A2813" w:rsidRPr="00FE1663" w:rsidRDefault="009A2813" w:rsidP="00FE1663">
            <w:pPr>
              <w:pStyle w:val="ExhibitText"/>
              <w:jc w:val="left"/>
              <w:rPr>
                <w:b/>
                <w:spacing w:val="-4"/>
                <w:sz w:val="18"/>
                <w:szCs w:val="18"/>
                <w:lang w:eastAsia="en-IN"/>
              </w:rPr>
            </w:pPr>
            <w:r w:rsidRPr="00FE1663">
              <w:rPr>
                <w:b/>
                <w:spacing w:val="-4"/>
                <w:sz w:val="18"/>
                <w:szCs w:val="18"/>
                <w:lang w:eastAsia="en-IN"/>
              </w:rPr>
              <w:t>Expenses</w:t>
            </w:r>
          </w:p>
        </w:tc>
        <w:tc>
          <w:tcPr>
            <w:tcW w:w="591" w:type="pct"/>
            <w:tcBorders>
              <w:top w:val="single" w:sz="4" w:space="0" w:color="auto"/>
            </w:tcBorders>
            <w:shd w:val="clear" w:color="auto" w:fill="auto"/>
            <w:noWrap/>
            <w:vAlign w:val="center"/>
            <w:hideMark/>
          </w:tcPr>
          <w:p w14:paraId="39DCE852" w14:textId="77777777" w:rsidR="009A2813" w:rsidRPr="00FE1663" w:rsidRDefault="009A2813" w:rsidP="00FE1663">
            <w:pPr>
              <w:pStyle w:val="ExhibitText"/>
              <w:jc w:val="right"/>
              <w:rPr>
                <w:spacing w:val="-4"/>
                <w:sz w:val="18"/>
                <w:szCs w:val="18"/>
                <w:lang w:eastAsia="en-IN"/>
              </w:rPr>
            </w:pPr>
          </w:p>
        </w:tc>
        <w:tc>
          <w:tcPr>
            <w:tcW w:w="602" w:type="pct"/>
            <w:tcBorders>
              <w:top w:val="single" w:sz="4" w:space="0" w:color="auto"/>
            </w:tcBorders>
            <w:shd w:val="clear" w:color="auto" w:fill="auto"/>
            <w:noWrap/>
            <w:vAlign w:val="center"/>
            <w:hideMark/>
          </w:tcPr>
          <w:p w14:paraId="6AC968EE" w14:textId="77777777" w:rsidR="009A2813" w:rsidRPr="00FE1663" w:rsidRDefault="009A2813" w:rsidP="00FE1663">
            <w:pPr>
              <w:pStyle w:val="ExhibitText"/>
              <w:jc w:val="right"/>
              <w:rPr>
                <w:spacing w:val="-4"/>
                <w:sz w:val="18"/>
                <w:szCs w:val="18"/>
                <w:lang w:eastAsia="en-IN"/>
              </w:rPr>
            </w:pPr>
          </w:p>
        </w:tc>
        <w:tc>
          <w:tcPr>
            <w:tcW w:w="602" w:type="pct"/>
            <w:tcBorders>
              <w:top w:val="single" w:sz="4" w:space="0" w:color="auto"/>
            </w:tcBorders>
            <w:vAlign w:val="center"/>
          </w:tcPr>
          <w:p w14:paraId="4BCB55D1" w14:textId="77777777" w:rsidR="009A2813" w:rsidRPr="00FE1663" w:rsidRDefault="009A2813" w:rsidP="00FE1663">
            <w:pPr>
              <w:pStyle w:val="ExhibitText"/>
              <w:jc w:val="right"/>
              <w:rPr>
                <w:spacing w:val="-4"/>
                <w:sz w:val="18"/>
                <w:szCs w:val="18"/>
                <w:lang w:eastAsia="en-IN"/>
              </w:rPr>
            </w:pPr>
          </w:p>
        </w:tc>
        <w:tc>
          <w:tcPr>
            <w:tcW w:w="602" w:type="pct"/>
            <w:tcBorders>
              <w:top w:val="single" w:sz="4" w:space="0" w:color="auto"/>
            </w:tcBorders>
            <w:vAlign w:val="center"/>
          </w:tcPr>
          <w:p w14:paraId="52A8075F" w14:textId="77777777" w:rsidR="009A2813" w:rsidRPr="00FE1663" w:rsidRDefault="009A2813" w:rsidP="00FE1663">
            <w:pPr>
              <w:pStyle w:val="ExhibitText"/>
              <w:jc w:val="right"/>
              <w:rPr>
                <w:spacing w:val="-4"/>
                <w:sz w:val="18"/>
                <w:szCs w:val="18"/>
                <w:lang w:eastAsia="en-IN"/>
              </w:rPr>
            </w:pPr>
          </w:p>
        </w:tc>
        <w:tc>
          <w:tcPr>
            <w:tcW w:w="602" w:type="pct"/>
            <w:tcBorders>
              <w:top w:val="single" w:sz="4" w:space="0" w:color="auto"/>
            </w:tcBorders>
            <w:shd w:val="clear" w:color="auto" w:fill="auto"/>
            <w:noWrap/>
            <w:vAlign w:val="center"/>
            <w:hideMark/>
          </w:tcPr>
          <w:p w14:paraId="132F9631" w14:textId="77777777" w:rsidR="009A2813" w:rsidRPr="00FE1663" w:rsidRDefault="009A2813" w:rsidP="00FE1663">
            <w:pPr>
              <w:pStyle w:val="ExhibitText"/>
              <w:jc w:val="right"/>
              <w:rPr>
                <w:spacing w:val="-4"/>
                <w:sz w:val="18"/>
                <w:szCs w:val="18"/>
                <w:lang w:eastAsia="en-IN"/>
              </w:rPr>
            </w:pPr>
          </w:p>
        </w:tc>
        <w:tc>
          <w:tcPr>
            <w:tcW w:w="569" w:type="pct"/>
            <w:tcBorders>
              <w:top w:val="single" w:sz="4" w:space="0" w:color="auto"/>
            </w:tcBorders>
            <w:shd w:val="clear" w:color="auto" w:fill="auto"/>
            <w:noWrap/>
            <w:vAlign w:val="center"/>
            <w:hideMark/>
          </w:tcPr>
          <w:p w14:paraId="23A17EA4" w14:textId="77777777" w:rsidR="009A2813" w:rsidRPr="00FE1663" w:rsidRDefault="009A2813" w:rsidP="00FE1663">
            <w:pPr>
              <w:pStyle w:val="ExhibitText"/>
              <w:jc w:val="right"/>
              <w:rPr>
                <w:spacing w:val="-4"/>
                <w:sz w:val="18"/>
                <w:szCs w:val="18"/>
                <w:lang w:eastAsia="en-IN"/>
              </w:rPr>
            </w:pPr>
          </w:p>
        </w:tc>
      </w:tr>
      <w:tr w:rsidR="00C902DC" w:rsidRPr="00FE1663" w14:paraId="43E218E9" w14:textId="77777777" w:rsidTr="00C902DC">
        <w:trPr>
          <w:trHeight w:val="138"/>
          <w:jc w:val="center"/>
        </w:trPr>
        <w:tc>
          <w:tcPr>
            <w:tcW w:w="1433" w:type="pct"/>
            <w:shd w:val="clear" w:color="auto" w:fill="auto"/>
            <w:noWrap/>
            <w:vAlign w:val="center"/>
            <w:hideMark/>
          </w:tcPr>
          <w:p w14:paraId="35ED0426" w14:textId="44E28395" w:rsidR="009A2813" w:rsidRPr="00FE1663" w:rsidRDefault="001F162D" w:rsidP="00FE1663">
            <w:pPr>
              <w:pStyle w:val="ExhibitText"/>
              <w:jc w:val="left"/>
              <w:rPr>
                <w:spacing w:val="-4"/>
                <w:sz w:val="18"/>
                <w:szCs w:val="18"/>
                <w:lang w:eastAsia="en-IN"/>
              </w:rPr>
            </w:pPr>
            <w:r>
              <w:rPr>
                <w:spacing w:val="-4"/>
                <w:sz w:val="18"/>
                <w:szCs w:val="18"/>
                <w:lang w:eastAsia="en-IN"/>
              </w:rPr>
              <w:t>C</w:t>
            </w:r>
            <w:r w:rsidR="00A37354" w:rsidRPr="00FE1663">
              <w:rPr>
                <w:spacing w:val="-4"/>
                <w:sz w:val="18"/>
                <w:szCs w:val="18"/>
                <w:lang w:eastAsia="en-IN"/>
              </w:rPr>
              <w:t>ost of Materials Consumed And Contract Manufacturing Charges</w:t>
            </w:r>
          </w:p>
        </w:tc>
        <w:tc>
          <w:tcPr>
            <w:tcW w:w="591" w:type="pct"/>
            <w:shd w:val="clear" w:color="auto" w:fill="auto"/>
            <w:noWrap/>
            <w:vAlign w:val="center"/>
            <w:hideMark/>
          </w:tcPr>
          <w:p w14:paraId="60C4E531"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1,633.04</w:t>
            </w:r>
          </w:p>
        </w:tc>
        <w:tc>
          <w:tcPr>
            <w:tcW w:w="602" w:type="pct"/>
            <w:shd w:val="clear" w:color="auto" w:fill="auto"/>
            <w:noWrap/>
            <w:vAlign w:val="center"/>
            <w:hideMark/>
          </w:tcPr>
          <w:p w14:paraId="7C997C43"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1,040.42</w:t>
            </w:r>
          </w:p>
        </w:tc>
        <w:tc>
          <w:tcPr>
            <w:tcW w:w="602" w:type="pct"/>
            <w:vAlign w:val="center"/>
          </w:tcPr>
          <w:p w14:paraId="27411306"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247.56</w:t>
            </w:r>
          </w:p>
        </w:tc>
        <w:tc>
          <w:tcPr>
            <w:tcW w:w="602" w:type="pct"/>
            <w:vAlign w:val="center"/>
          </w:tcPr>
          <w:p w14:paraId="06838A40"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203.52</w:t>
            </w:r>
          </w:p>
        </w:tc>
        <w:tc>
          <w:tcPr>
            <w:tcW w:w="602" w:type="pct"/>
            <w:shd w:val="clear" w:color="auto" w:fill="auto"/>
            <w:noWrap/>
            <w:vAlign w:val="center"/>
            <w:hideMark/>
          </w:tcPr>
          <w:p w14:paraId="7F5B6E25"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237.84</w:t>
            </w:r>
          </w:p>
        </w:tc>
        <w:tc>
          <w:tcPr>
            <w:tcW w:w="569" w:type="pct"/>
            <w:shd w:val="clear" w:color="auto" w:fill="auto"/>
            <w:noWrap/>
            <w:vAlign w:val="center"/>
            <w:hideMark/>
          </w:tcPr>
          <w:p w14:paraId="719D8AC8"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544.70</w:t>
            </w:r>
          </w:p>
        </w:tc>
      </w:tr>
      <w:tr w:rsidR="00C902DC" w:rsidRPr="00FE1663" w14:paraId="32039EF7" w14:textId="77777777" w:rsidTr="00C902DC">
        <w:trPr>
          <w:trHeight w:val="138"/>
          <w:jc w:val="center"/>
        </w:trPr>
        <w:tc>
          <w:tcPr>
            <w:tcW w:w="1433" w:type="pct"/>
            <w:shd w:val="clear" w:color="auto" w:fill="auto"/>
            <w:noWrap/>
            <w:vAlign w:val="center"/>
            <w:hideMark/>
          </w:tcPr>
          <w:p w14:paraId="53E27F08" w14:textId="12CCF3DF" w:rsidR="009A2813" w:rsidRPr="00FE1663" w:rsidRDefault="009A2813" w:rsidP="00FE1663">
            <w:pPr>
              <w:pStyle w:val="ExhibitText"/>
              <w:jc w:val="left"/>
              <w:rPr>
                <w:spacing w:val="-4"/>
                <w:sz w:val="18"/>
                <w:szCs w:val="18"/>
                <w:lang w:eastAsia="en-IN"/>
              </w:rPr>
            </w:pPr>
            <w:r w:rsidRPr="00FE1663">
              <w:rPr>
                <w:spacing w:val="-4"/>
                <w:sz w:val="18"/>
                <w:szCs w:val="18"/>
                <w:lang w:eastAsia="en-IN"/>
              </w:rPr>
              <w:t xml:space="preserve">Cost </w:t>
            </w:r>
            <w:r w:rsidR="00A37354" w:rsidRPr="00FE1663">
              <w:rPr>
                <w:spacing w:val="-4"/>
                <w:sz w:val="18"/>
                <w:szCs w:val="18"/>
                <w:lang w:eastAsia="en-IN"/>
              </w:rPr>
              <w:t>of Production of Television Serials and Portal</w:t>
            </w:r>
          </w:p>
        </w:tc>
        <w:tc>
          <w:tcPr>
            <w:tcW w:w="591" w:type="pct"/>
            <w:shd w:val="clear" w:color="auto" w:fill="auto"/>
            <w:noWrap/>
            <w:vAlign w:val="center"/>
            <w:hideMark/>
          </w:tcPr>
          <w:p w14:paraId="33302E53"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2,437.79</w:t>
            </w:r>
          </w:p>
        </w:tc>
        <w:tc>
          <w:tcPr>
            <w:tcW w:w="602" w:type="pct"/>
            <w:shd w:val="clear" w:color="auto" w:fill="auto"/>
            <w:noWrap/>
            <w:vAlign w:val="center"/>
            <w:hideMark/>
          </w:tcPr>
          <w:p w14:paraId="5A6DE684"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3,955.33</w:t>
            </w:r>
          </w:p>
        </w:tc>
        <w:tc>
          <w:tcPr>
            <w:tcW w:w="602" w:type="pct"/>
            <w:vAlign w:val="center"/>
          </w:tcPr>
          <w:p w14:paraId="453130EB"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5,178.11</w:t>
            </w:r>
          </w:p>
        </w:tc>
        <w:tc>
          <w:tcPr>
            <w:tcW w:w="602" w:type="pct"/>
            <w:vAlign w:val="center"/>
          </w:tcPr>
          <w:p w14:paraId="0B2E6E7B"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7,059.48</w:t>
            </w:r>
          </w:p>
        </w:tc>
        <w:tc>
          <w:tcPr>
            <w:tcW w:w="602" w:type="pct"/>
            <w:shd w:val="clear" w:color="auto" w:fill="auto"/>
            <w:noWrap/>
            <w:vAlign w:val="center"/>
            <w:hideMark/>
          </w:tcPr>
          <w:p w14:paraId="0F5126A0"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6,766.82</w:t>
            </w:r>
          </w:p>
        </w:tc>
        <w:tc>
          <w:tcPr>
            <w:tcW w:w="569" w:type="pct"/>
            <w:shd w:val="clear" w:color="auto" w:fill="auto"/>
            <w:noWrap/>
            <w:vAlign w:val="center"/>
            <w:hideMark/>
          </w:tcPr>
          <w:p w14:paraId="3743759B"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6,324.87</w:t>
            </w:r>
          </w:p>
        </w:tc>
      </w:tr>
      <w:tr w:rsidR="00C902DC" w:rsidRPr="00FE1663" w14:paraId="12543546" w14:textId="77777777" w:rsidTr="00C902DC">
        <w:trPr>
          <w:trHeight w:val="138"/>
          <w:jc w:val="center"/>
        </w:trPr>
        <w:tc>
          <w:tcPr>
            <w:tcW w:w="1433" w:type="pct"/>
            <w:shd w:val="clear" w:color="auto" w:fill="auto"/>
            <w:noWrap/>
            <w:vAlign w:val="center"/>
            <w:hideMark/>
          </w:tcPr>
          <w:p w14:paraId="4FF63389" w14:textId="2A1143AB" w:rsidR="009A2813" w:rsidRPr="00FE1663" w:rsidRDefault="0094635D" w:rsidP="00FE1663">
            <w:pPr>
              <w:pStyle w:val="ExhibitText"/>
              <w:jc w:val="left"/>
              <w:rPr>
                <w:spacing w:val="-4"/>
                <w:sz w:val="18"/>
                <w:szCs w:val="18"/>
                <w:lang w:eastAsia="en-IN"/>
              </w:rPr>
            </w:pPr>
            <w:r>
              <w:rPr>
                <w:spacing w:val="-4"/>
                <w:sz w:val="18"/>
                <w:szCs w:val="18"/>
                <w:lang w:eastAsia="en-IN"/>
              </w:rPr>
              <w:t xml:space="preserve">Increase </w:t>
            </w:r>
            <w:r w:rsidR="00A37354">
              <w:rPr>
                <w:spacing w:val="-4"/>
                <w:sz w:val="18"/>
                <w:szCs w:val="18"/>
                <w:lang w:eastAsia="en-IN"/>
              </w:rPr>
              <w:t>(Decrease)</w:t>
            </w:r>
            <w:r w:rsidR="00A37354" w:rsidRPr="00FE1663">
              <w:rPr>
                <w:spacing w:val="-4"/>
                <w:sz w:val="18"/>
                <w:szCs w:val="18"/>
                <w:lang w:eastAsia="en-IN"/>
              </w:rPr>
              <w:t xml:space="preserve"> in Inventories of Finished Goods and Work in Progress</w:t>
            </w:r>
          </w:p>
        </w:tc>
        <w:tc>
          <w:tcPr>
            <w:tcW w:w="591" w:type="pct"/>
            <w:shd w:val="clear" w:color="auto" w:fill="auto"/>
            <w:noWrap/>
            <w:vAlign w:val="center"/>
            <w:hideMark/>
          </w:tcPr>
          <w:p w14:paraId="3323E563" w14:textId="3EE6B9AA" w:rsidR="009A2813" w:rsidRPr="00FE1663" w:rsidRDefault="009F42B3" w:rsidP="00FE1663">
            <w:pPr>
              <w:pStyle w:val="ExhibitText"/>
              <w:jc w:val="right"/>
              <w:rPr>
                <w:spacing w:val="-4"/>
                <w:sz w:val="18"/>
                <w:szCs w:val="18"/>
                <w:lang w:eastAsia="en-IN"/>
              </w:rPr>
            </w:pPr>
            <w:r>
              <w:rPr>
                <w:spacing w:val="-4"/>
                <w:sz w:val="18"/>
                <w:szCs w:val="18"/>
                <w:lang w:eastAsia="en-IN"/>
              </w:rPr>
              <w:t>(</w:t>
            </w:r>
            <w:r w:rsidR="009A2813" w:rsidRPr="00FE1663">
              <w:rPr>
                <w:spacing w:val="-4"/>
                <w:sz w:val="18"/>
                <w:szCs w:val="18"/>
                <w:lang w:eastAsia="en-IN"/>
              </w:rPr>
              <w:t>18.26</w:t>
            </w:r>
            <w:r>
              <w:rPr>
                <w:spacing w:val="-4"/>
                <w:sz w:val="18"/>
                <w:szCs w:val="18"/>
                <w:lang w:eastAsia="en-IN"/>
              </w:rPr>
              <w:t>)</w:t>
            </w:r>
          </w:p>
        </w:tc>
        <w:tc>
          <w:tcPr>
            <w:tcW w:w="602" w:type="pct"/>
            <w:shd w:val="clear" w:color="auto" w:fill="auto"/>
            <w:noWrap/>
            <w:vAlign w:val="center"/>
            <w:hideMark/>
          </w:tcPr>
          <w:p w14:paraId="0323DFE9"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479.94</w:t>
            </w:r>
          </w:p>
        </w:tc>
        <w:tc>
          <w:tcPr>
            <w:tcW w:w="602" w:type="pct"/>
            <w:vAlign w:val="center"/>
          </w:tcPr>
          <w:p w14:paraId="12519210"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471.61</w:t>
            </w:r>
          </w:p>
        </w:tc>
        <w:tc>
          <w:tcPr>
            <w:tcW w:w="602" w:type="pct"/>
            <w:vAlign w:val="center"/>
          </w:tcPr>
          <w:p w14:paraId="5E5D2DEE" w14:textId="74F58175" w:rsidR="009A2813" w:rsidRPr="00FE1663" w:rsidRDefault="009F42B3" w:rsidP="00FE1663">
            <w:pPr>
              <w:pStyle w:val="ExhibitText"/>
              <w:jc w:val="right"/>
              <w:rPr>
                <w:spacing w:val="-4"/>
                <w:sz w:val="18"/>
                <w:szCs w:val="18"/>
                <w:lang w:eastAsia="en-IN"/>
              </w:rPr>
            </w:pPr>
            <w:r>
              <w:rPr>
                <w:spacing w:val="-4"/>
                <w:sz w:val="18"/>
                <w:szCs w:val="18"/>
                <w:lang w:eastAsia="en-IN"/>
              </w:rPr>
              <w:t>(</w:t>
            </w:r>
            <w:r w:rsidR="009A2813" w:rsidRPr="00FE1663">
              <w:rPr>
                <w:spacing w:val="-4"/>
                <w:sz w:val="18"/>
                <w:szCs w:val="18"/>
                <w:lang w:eastAsia="en-IN"/>
              </w:rPr>
              <w:t>274.67</w:t>
            </w:r>
            <w:r>
              <w:rPr>
                <w:spacing w:val="-4"/>
                <w:sz w:val="18"/>
                <w:szCs w:val="18"/>
                <w:lang w:eastAsia="en-IN"/>
              </w:rPr>
              <w:t>)</w:t>
            </w:r>
          </w:p>
        </w:tc>
        <w:tc>
          <w:tcPr>
            <w:tcW w:w="602" w:type="pct"/>
            <w:shd w:val="clear" w:color="auto" w:fill="auto"/>
            <w:noWrap/>
            <w:vAlign w:val="center"/>
            <w:hideMark/>
          </w:tcPr>
          <w:p w14:paraId="37B7E432"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383.21</w:t>
            </w:r>
          </w:p>
        </w:tc>
        <w:tc>
          <w:tcPr>
            <w:tcW w:w="569" w:type="pct"/>
            <w:shd w:val="clear" w:color="auto" w:fill="auto"/>
            <w:noWrap/>
            <w:vAlign w:val="center"/>
            <w:hideMark/>
          </w:tcPr>
          <w:p w14:paraId="24BA18C0" w14:textId="5C28A3CD" w:rsidR="009A2813" w:rsidRPr="00FE1663" w:rsidRDefault="009F42B3" w:rsidP="00FE1663">
            <w:pPr>
              <w:pStyle w:val="ExhibitText"/>
              <w:jc w:val="right"/>
              <w:rPr>
                <w:spacing w:val="-4"/>
                <w:sz w:val="18"/>
                <w:szCs w:val="18"/>
                <w:lang w:eastAsia="en-IN"/>
              </w:rPr>
            </w:pPr>
            <w:r>
              <w:rPr>
                <w:spacing w:val="-4"/>
                <w:sz w:val="18"/>
                <w:szCs w:val="18"/>
                <w:lang w:eastAsia="en-IN"/>
              </w:rPr>
              <w:t>(</w:t>
            </w:r>
            <w:r w:rsidR="009A2813" w:rsidRPr="00FE1663">
              <w:rPr>
                <w:spacing w:val="-4"/>
                <w:sz w:val="18"/>
                <w:szCs w:val="18"/>
                <w:lang w:eastAsia="en-IN"/>
              </w:rPr>
              <w:t>892.38</w:t>
            </w:r>
            <w:r>
              <w:rPr>
                <w:spacing w:val="-4"/>
                <w:sz w:val="18"/>
                <w:szCs w:val="18"/>
                <w:lang w:eastAsia="en-IN"/>
              </w:rPr>
              <w:t>)</w:t>
            </w:r>
          </w:p>
        </w:tc>
      </w:tr>
      <w:tr w:rsidR="00C902DC" w:rsidRPr="00FE1663" w14:paraId="447DB26A" w14:textId="77777777" w:rsidTr="00C902DC">
        <w:trPr>
          <w:trHeight w:val="138"/>
          <w:jc w:val="center"/>
        </w:trPr>
        <w:tc>
          <w:tcPr>
            <w:tcW w:w="1433" w:type="pct"/>
            <w:shd w:val="clear" w:color="auto" w:fill="auto"/>
            <w:noWrap/>
            <w:vAlign w:val="center"/>
            <w:hideMark/>
          </w:tcPr>
          <w:p w14:paraId="438C88C2" w14:textId="51402F38" w:rsidR="009A2813" w:rsidRPr="00FE1663" w:rsidRDefault="009A2813" w:rsidP="00FE1663">
            <w:pPr>
              <w:pStyle w:val="ExhibitText"/>
              <w:jc w:val="left"/>
              <w:rPr>
                <w:spacing w:val="-4"/>
                <w:sz w:val="18"/>
                <w:szCs w:val="18"/>
                <w:lang w:eastAsia="en-IN"/>
              </w:rPr>
            </w:pPr>
            <w:r w:rsidRPr="00FE1663">
              <w:rPr>
                <w:spacing w:val="-4"/>
                <w:sz w:val="18"/>
                <w:szCs w:val="18"/>
                <w:lang w:eastAsia="en-IN"/>
              </w:rPr>
              <w:t xml:space="preserve">Employee </w:t>
            </w:r>
            <w:r w:rsidR="00A37354" w:rsidRPr="00FE1663">
              <w:rPr>
                <w:spacing w:val="-4"/>
                <w:sz w:val="18"/>
                <w:szCs w:val="18"/>
                <w:lang w:eastAsia="en-IN"/>
              </w:rPr>
              <w:t>Benefits Expense</w:t>
            </w:r>
          </w:p>
        </w:tc>
        <w:tc>
          <w:tcPr>
            <w:tcW w:w="591" w:type="pct"/>
            <w:shd w:val="clear" w:color="auto" w:fill="auto"/>
            <w:noWrap/>
            <w:vAlign w:val="center"/>
            <w:hideMark/>
          </w:tcPr>
          <w:p w14:paraId="01675B83"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2,477.89</w:t>
            </w:r>
          </w:p>
        </w:tc>
        <w:tc>
          <w:tcPr>
            <w:tcW w:w="602" w:type="pct"/>
            <w:shd w:val="clear" w:color="auto" w:fill="auto"/>
            <w:noWrap/>
            <w:vAlign w:val="center"/>
            <w:hideMark/>
          </w:tcPr>
          <w:p w14:paraId="752E6CAE"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3,017.82</w:t>
            </w:r>
          </w:p>
        </w:tc>
        <w:tc>
          <w:tcPr>
            <w:tcW w:w="602" w:type="pct"/>
            <w:vAlign w:val="center"/>
          </w:tcPr>
          <w:p w14:paraId="110C42FB"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2,981.27</w:t>
            </w:r>
          </w:p>
        </w:tc>
        <w:tc>
          <w:tcPr>
            <w:tcW w:w="602" w:type="pct"/>
            <w:vAlign w:val="center"/>
          </w:tcPr>
          <w:p w14:paraId="1E724844"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2,977.91</w:t>
            </w:r>
          </w:p>
        </w:tc>
        <w:tc>
          <w:tcPr>
            <w:tcW w:w="602" w:type="pct"/>
            <w:shd w:val="clear" w:color="auto" w:fill="auto"/>
            <w:noWrap/>
            <w:vAlign w:val="center"/>
            <w:hideMark/>
          </w:tcPr>
          <w:p w14:paraId="214B0B35"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4,035.95</w:t>
            </w:r>
          </w:p>
        </w:tc>
        <w:tc>
          <w:tcPr>
            <w:tcW w:w="569" w:type="pct"/>
            <w:shd w:val="clear" w:color="auto" w:fill="auto"/>
            <w:noWrap/>
            <w:vAlign w:val="center"/>
            <w:hideMark/>
          </w:tcPr>
          <w:p w14:paraId="56F9B410"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3,843.51</w:t>
            </w:r>
          </w:p>
        </w:tc>
      </w:tr>
      <w:tr w:rsidR="00C902DC" w:rsidRPr="00FE1663" w14:paraId="60AF6E9F" w14:textId="77777777" w:rsidTr="00C902DC">
        <w:trPr>
          <w:trHeight w:val="138"/>
          <w:jc w:val="center"/>
        </w:trPr>
        <w:tc>
          <w:tcPr>
            <w:tcW w:w="1433" w:type="pct"/>
            <w:shd w:val="clear" w:color="auto" w:fill="auto"/>
            <w:noWrap/>
            <w:vAlign w:val="center"/>
          </w:tcPr>
          <w:p w14:paraId="253255DD" w14:textId="584DE74A" w:rsidR="009A2813" w:rsidRPr="00FE1663" w:rsidRDefault="009A2813" w:rsidP="00FE1663">
            <w:pPr>
              <w:pStyle w:val="ExhibitText"/>
              <w:jc w:val="left"/>
              <w:rPr>
                <w:spacing w:val="-4"/>
                <w:sz w:val="18"/>
                <w:szCs w:val="18"/>
                <w:lang w:eastAsia="en-IN"/>
              </w:rPr>
            </w:pPr>
            <w:r w:rsidRPr="00FE1663">
              <w:rPr>
                <w:spacing w:val="-4"/>
                <w:sz w:val="18"/>
                <w:szCs w:val="18"/>
                <w:lang w:eastAsia="en-IN"/>
              </w:rPr>
              <w:t xml:space="preserve">Finance </w:t>
            </w:r>
            <w:r w:rsidR="00A37354" w:rsidRPr="00FE1663">
              <w:rPr>
                <w:spacing w:val="-4"/>
                <w:sz w:val="18"/>
                <w:szCs w:val="18"/>
                <w:lang w:eastAsia="en-IN"/>
              </w:rPr>
              <w:t>Cost</w:t>
            </w:r>
          </w:p>
        </w:tc>
        <w:tc>
          <w:tcPr>
            <w:tcW w:w="591" w:type="pct"/>
            <w:shd w:val="clear" w:color="auto" w:fill="auto"/>
            <w:noWrap/>
            <w:vAlign w:val="center"/>
          </w:tcPr>
          <w:p w14:paraId="1714D275"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393.27</w:t>
            </w:r>
          </w:p>
        </w:tc>
        <w:tc>
          <w:tcPr>
            <w:tcW w:w="602" w:type="pct"/>
            <w:shd w:val="clear" w:color="auto" w:fill="auto"/>
            <w:noWrap/>
            <w:vAlign w:val="center"/>
          </w:tcPr>
          <w:p w14:paraId="14DA9DCF"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264.48</w:t>
            </w:r>
          </w:p>
        </w:tc>
        <w:tc>
          <w:tcPr>
            <w:tcW w:w="602" w:type="pct"/>
            <w:vAlign w:val="center"/>
          </w:tcPr>
          <w:p w14:paraId="21E4D6BB"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278.38</w:t>
            </w:r>
          </w:p>
        </w:tc>
        <w:tc>
          <w:tcPr>
            <w:tcW w:w="602" w:type="pct"/>
            <w:vAlign w:val="center"/>
          </w:tcPr>
          <w:p w14:paraId="630E972D"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51.26</w:t>
            </w:r>
          </w:p>
        </w:tc>
        <w:tc>
          <w:tcPr>
            <w:tcW w:w="602" w:type="pct"/>
            <w:shd w:val="clear" w:color="auto" w:fill="auto"/>
            <w:noWrap/>
            <w:vAlign w:val="center"/>
          </w:tcPr>
          <w:p w14:paraId="41CA91FB"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36.05</w:t>
            </w:r>
          </w:p>
        </w:tc>
        <w:tc>
          <w:tcPr>
            <w:tcW w:w="569" w:type="pct"/>
            <w:shd w:val="clear" w:color="auto" w:fill="auto"/>
            <w:noWrap/>
            <w:vAlign w:val="center"/>
          </w:tcPr>
          <w:p w14:paraId="134F34F6"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26.96</w:t>
            </w:r>
          </w:p>
        </w:tc>
      </w:tr>
      <w:tr w:rsidR="00C902DC" w:rsidRPr="00FE1663" w14:paraId="2E93ED6A" w14:textId="77777777" w:rsidTr="00C902DC">
        <w:trPr>
          <w:trHeight w:val="138"/>
          <w:jc w:val="center"/>
        </w:trPr>
        <w:tc>
          <w:tcPr>
            <w:tcW w:w="1433" w:type="pct"/>
            <w:shd w:val="clear" w:color="auto" w:fill="auto"/>
            <w:noWrap/>
            <w:vAlign w:val="center"/>
            <w:hideMark/>
          </w:tcPr>
          <w:p w14:paraId="4533BEE0" w14:textId="7C304E3A" w:rsidR="009A2813" w:rsidRPr="00FE1663" w:rsidRDefault="009A2813" w:rsidP="00FE1663">
            <w:pPr>
              <w:pStyle w:val="ExhibitText"/>
              <w:jc w:val="left"/>
              <w:rPr>
                <w:spacing w:val="-4"/>
                <w:sz w:val="18"/>
                <w:szCs w:val="18"/>
                <w:lang w:eastAsia="en-IN"/>
              </w:rPr>
            </w:pPr>
            <w:r w:rsidRPr="00FE1663">
              <w:rPr>
                <w:spacing w:val="-4"/>
                <w:sz w:val="18"/>
                <w:szCs w:val="18"/>
                <w:lang w:eastAsia="en-IN"/>
              </w:rPr>
              <w:t xml:space="preserve">Depreciation </w:t>
            </w:r>
            <w:r w:rsidR="00A37354">
              <w:rPr>
                <w:spacing w:val="-4"/>
                <w:sz w:val="18"/>
                <w:szCs w:val="18"/>
                <w:lang w:eastAsia="en-IN"/>
              </w:rPr>
              <w:t>and</w:t>
            </w:r>
            <w:r w:rsidR="00A37354" w:rsidRPr="00FE1663">
              <w:rPr>
                <w:spacing w:val="-4"/>
                <w:sz w:val="18"/>
                <w:szCs w:val="18"/>
                <w:lang w:eastAsia="en-IN"/>
              </w:rPr>
              <w:t xml:space="preserve"> Amorti</w:t>
            </w:r>
            <w:r w:rsidR="00A37354">
              <w:rPr>
                <w:spacing w:val="-4"/>
                <w:sz w:val="18"/>
                <w:szCs w:val="18"/>
                <w:lang w:eastAsia="en-IN"/>
              </w:rPr>
              <w:t>z</w:t>
            </w:r>
            <w:r w:rsidR="00A37354" w:rsidRPr="00FE1663">
              <w:rPr>
                <w:spacing w:val="-4"/>
                <w:sz w:val="18"/>
                <w:szCs w:val="18"/>
                <w:lang w:eastAsia="en-IN"/>
              </w:rPr>
              <w:t>ation Expense</w:t>
            </w:r>
          </w:p>
        </w:tc>
        <w:tc>
          <w:tcPr>
            <w:tcW w:w="591" w:type="pct"/>
            <w:shd w:val="clear" w:color="auto" w:fill="auto"/>
            <w:noWrap/>
            <w:vAlign w:val="center"/>
            <w:hideMark/>
          </w:tcPr>
          <w:p w14:paraId="6D2E6D8A"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1,119.18</w:t>
            </w:r>
          </w:p>
        </w:tc>
        <w:tc>
          <w:tcPr>
            <w:tcW w:w="602" w:type="pct"/>
            <w:shd w:val="clear" w:color="auto" w:fill="auto"/>
            <w:noWrap/>
            <w:vAlign w:val="center"/>
            <w:hideMark/>
          </w:tcPr>
          <w:p w14:paraId="292D42FE"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1,188.03</w:t>
            </w:r>
          </w:p>
        </w:tc>
        <w:tc>
          <w:tcPr>
            <w:tcW w:w="602" w:type="pct"/>
            <w:vAlign w:val="center"/>
          </w:tcPr>
          <w:p w14:paraId="486FC77D"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280.79</w:t>
            </w:r>
          </w:p>
        </w:tc>
        <w:tc>
          <w:tcPr>
            <w:tcW w:w="602" w:type="pct"/>
            <w:vAlign w:val="center"/>
          </w:tcPr>
          <w:p w14:paraId="0344EF9D"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538.87</w:t>
            </w:r>
          </w:p>
        </w:tc>
        <w:tc>
          <w:tcPr>
            <w:tcW w:w="602" w:type="pct"/>
            <w:shd w:val="clear" w:color="auto" w:fill="auto"/>
            <w:noWrap/>
            <w:vAlign w:val="center"/>
            <w:hideMark/>
          </w:tcPr>
          <w:p w14:paraId="06A90E6A"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526.02</w:t>
            </w:r>
          </w:p>
        </w:tc>
        <w:tc>
          <w:tcPr>
            <w:tcW w:w="569" w:type="pct"/>
            <w:shd w:val="clear" w:color="auto" w:fill="auto"/>
            <w:noWrap/>
            <w:vAlign w:val="center"/>
            <w:hideMark/>
          </w:tcPr>
          <w:p w14:paraId="1E9AAAB7"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393.29</w:t>
            </w:r>
          </w:p>
        </w:tc>
      </w:tr>
      <w:tr w:rsidR="00C902DC" w:rsidRPr="00FE1663" w14:paraId="0B54C2D5" w14:textId="77777777" w:rsidTr="00C902DC">
        <w:trPr>
          <w:trHeight w:val="138"/>
          <w:jc w:val="center"/>
        </w:trPr>
        <w:tc>
          <w:tcPr>
            <w:tcW w:w="1433" w:type="pct"/>
            <w:tcBorders>
              <w:bottom w:val="nil"/>
            </w:tcBorders>
            <w:shd w:val="clear" w:color="auto" w:fill="auto"/>
            <w:noWrap/>
            <w:vAlign w:val="center"/>
            <w:hideMark/>
          </w:tcPr>
          <w:p w14:paraId="7C07B5E9" w14:textId="32099B33" w:rsidR="009A2813" w:rsidRPr="00FE1663" w:rsidRDefault="009A2813" w:rsidP="00FE1663">
            <w:pPr>
              <w:pStyle w:val="ExhibitText"/>
              <w:jc w:val="left"/>
              <w:rPr>
                <w:spacing w:val="-4"/>
                <w:sz w:val="18"/>
                <w:szCs w:val="18"/>
                <w:lang w:eastAsia="en-IN"/>
              </w:rPr>
            </w:pPr>
            <w:r w:rsidRPr="00FE1663">
              <w:rPr>
                <w:spacing w:val="-4"/>
                <w:sz w:val="18"/>
                <w:szCs w:val="18"/>
                <w:lang w:eastAsia="en-IN"/>
              </w:rPr>
              <w:t xml:space="preserve">Other </w:t>
            </w:r>
            <w:r w:rsidR="00A37354" w:rsidRPr="00FE1663">
              <w:rPr>
                <w:spacing w:val="-4"/>
                <w:sz w:val="18"/>
                <w:szCs w:val="18"/>
                <w:lang w:eastAsia="en-IN"/>
              </w:rPr>
              <w:t>Expenses</w:t>
            </w:r>
          </w:p>
        </w:tc>
        <w:tc>
          <w:tcPr>
            <w:tcW w:w="591" w:type="pct"/>
            <w:tcBorders>
              <w:bottom w:val="nil"/>
            </w:tcBorders>
            <w:shd w:val="clear" w:color="auto" w:fill="auto"/>
            <w:noWrap/>
            <w:vAlign w:val="center"/>
            <w:hideMark/>
          </w:tcPr>
          <w:p w14:paraId="4EDAAF41"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6,788.69</w:t>
            </w:r>
          </w:p>
        </w:tc>
        <w:tc>
          <w:tcPr>
            <w:tcW w:w="602" w:type="pct"/>
            <w:tcBorders>
              <w:bottom w:val="nil"/>
            </w:tcBorders>
            <w:shd w:val="clear" w:color="auto" w:fill="auto"/>
            <w:noWrap/>
            <w:vAlign w:val="center"/>
            <w:hideMark/>
          </w:tcPr>
          <w:p w14:paraId="36823FBC"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7,098.48</w:t>
            </w:r>
          </w:p>
        </w:tc>
        <w:tc>
          <w:tcPr>
            <w:tcW w:w="602" w:type="pct"/>
            <w:tcBorders>
              <w:bottom w:val="nil"/>
            </w:tcBorders>
            <w:vAlign w:val="center"/>
          </w:tcPr>
          <w:p w14:paraId="3DD3D116"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5,319.42</w:t>
            </w:r>
          </w:p>
        </w:tc>
        <w:tc>
          <w:tcPr>
            <w:tcW w:w="602" w:type="pct"/>
            <w:tcBorders>
              <w:bottom w:val="nil"/>
            </w:tcBorders>
            <w:vAlign w:val="center"/>
          </w:tcPr>
          <w:p w14:paraId="0208FEE8"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6,541.13</w:t>
            </w:r>
          </w:p>
        </w:tc>
        <w:tc>
          <w:tcPr>
            <w:tcW w:w="602" w:type="pct"/>
            <w:tcBorders>
              <w:bottom w:val="nil"/>
            </w:tcBorders>
            <w:shd w:val="clear" w:color="auto" w:fill="auto"/>
            <w:noWrap/>
            <w:vAlign w:val="center"/>
            <w:hideMark/>
          </w:tcPr>
          <w:p w14:paraId="2E27A974"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8,551.38</w:t>
            </w:r>
          </w:p>
        </w:tc>
        <w:tc>
          <w:tcPr>
            <w:tcW w:w="569" w:type="pct"/>
            <w:tcBorders>
              <w:bottom w:val="nil"/>
            </w:tcBorders>
            <w:shd w:val="clear" w:color="auto" w:fill="auto"/>
            <w:noWrap/>
            <w:vAlign w:val="center"/>
            <w:hideMark/>
          </w:tcPr>
          <w:p w14:paraId="429C9033"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10,124.31</w:t>
            </w:r>
          </w:p>
        </w:tc>
      </w:tr>
      <w:tr w:rsidR="00C902DC" w:rsidRPr="00FE1663" w14:paraId="154BA0AE" w14:textId="77777777" w:rsidTr="00C902DC">
        <w:trPr>
          <w:trHeight w:val="138"/>
          <w:jc w:val="center"/>
        </w:trPr>
        <w:tc>
          <w:tcPr>
            <w:tcW w:w="1433" w:type="pct"/>
            <w:tcBorders>
              <w:top w:val="nil"/>
              <w:bottom w:val="single" w:sz="4" w:space="0" w:color="auto"/>
            </w:tcBorders>
            <w:shd w:val="clear" w:color="auto" w:fill="auto"/>
            <w:noWrap/>
            <w:vAlign w:val="center"/>
            <w:hideMark/>
          </w:tcPr>
          <w:p w14:paraId="4DC311BC" w14:textId="1994F63E" w:rsidR="009A2813" w:rsidRPr="00FE1663" w:rsidRDefault="009A2813" w:rsidP="00FE1663">
            <w:pPr>
              <w:pStyle w:val="ExhibitText"/>
              <w:jc w:val="left"/>
              <w:rPr>
                <w:b/>
                <w:spacing w:val="-4"/>
                <w:sz w:val="18"/>
                <w:szCs w:val="18"/>
                <w:lang w:eastAsia="en-IN"/>
              </w:rPr>
            </w:pPr>
            <w:r w:rsidRPr="00FE1663">
              <w:rPr>
                <w:b/>
                <w:spacing w:val="-4"/>
                <w:sz w:val="18"/>
                <w:szCs w:val="18"/>
                <w:lang w:eastAsia="en-IN"/>
              </w:rPr>
              <w:t xml:space="preserve">Total </w:t>
            </w:r>
            <w:r w:rsidR="0094635D">
              <w:rPr>
                <w:b/>
                <w:spacing w:val="-4"/>
                <w:sz w:val="18"/>
                <w:szCs w:val="18"/>
                <w:lang w:eastAsia="en-IN"/>
              </w:rPr>
              <w:t>E</w:t>
            </w:r>
            <w:r w:rsidRPr="00FE1663">
              <w:rPr>
                <w:b/>
                <w:spacing w:val="-4"/>
                <w:sz w:val="18"/>
                <w:szCs w:val="18"/>
                <w:lang w:eastAsia="en-IN"/>
              </w:rPr>
              <w:t>xpenses</w:t>
            </w:r>
          </w:p>
        </w:tc>
        <w:tc>
          <w:tcPr>
            <w:tcW w:w="591" w:type="pct"/>
            <w:tcBorders>
              <w:top w:val="nil"/>
              <w:bottom w:val="single" w:sz="4" w:space="0" w:color="auto"/>
            </w:tcBorders>
            <w:shd w:val="clear" w:color="auto" w:fill="auto"/>
            <w:noWrap/>
            <w:vAlign w:val="center"/>
            <w:hideMark/>
          </w:tcPr>
          <w:p w14:paraId="4F8C4784" w14:textId="77777777" w:rsidR="009A2813" w:rsidRPr="00FE1663" w:rsidRDefault="009A2813" w:rsidP="00FE1663">
            <w:pPr>
              <w:pStyle w:val="ExhibitText"/>
              <w:jc w:val="right"/>
              <w:rPr>
                <w:b/>
                <w:spacing w:val="-4"/>
                <w:sz w:val="18"/>
                <w:szCs w:val="18"/>
                <w:lang w:eastAsia="en-IN"/>
              </w:rPr>
            </w:pPr>
            <w:r w:rsidRPr="00FE1663">
              <w:rPr>
                <w:b/>
                <w:spacing w:val="-4"/>
                <w:sz w:val="18"/>
                <w:szCs w:val="18"/>
                <w:lang w:eastAsia="en-IN"/>
              </w:rPr>
              <w:t>14,831.60</w:t>
            </w:r>
          </w:p>
        </w:tc>
        <w:tc>
          <w:tcPr>
            <w:tcW w:w="602" w:type="pct"/>
            <w:tcBorders>
              <w:top w:val="nil"/>
              <w:bottom w:val="single" w:sz="4" w:space="0" w:color="auto"/>
            </w:tcBorders>
            <w:shd w:val="clear" w:color="auto" w:fill="auto"/>
            <w:noWrap/>
            <w:vAlign w:val="center"/>
            <w:hideMark/>
          </w:tcPr>
          <w:p w14:paraId="53A07436" w14:textId="77777777" w:rsidR="009A2813" w:rsidRPr="00FE1663" w:rsidRDefault="009A2813" w:rsidP="00FE1663">
            <w:pPr>
              <w:pStyle w:val="ExhibitText"/>
              <w:jc w:val="right"/>
              <w:rPr>
                <w:b/>
                <w:spacing w:val="-4"/>
                <w:sz w:val="18"/>
                <w:szCs w:val="18"/>
                <w:lang w:eastAsia="en-IN"/>
              </w:rPr>
            </w:pPr>
            <w:r w:rsidRPr="00FE1663">
              <w:rPr>
                <w:b/>
                <w:spacing w:val="-4"/>
                <w:sz w:val="18"/>
                <w:szCs w:val="18"/>
                <w:lang w:eastAsia="en-IN"/>
              </w:rPr>
              <w:t>17,044.50</w:t>
            </w:r>
          </w:p>
        </w:tc>
        <w:tc>
          <w:tcPr>
            <w:tcW w:w="602" w:type="pct"/>
            <w:tcBorders>
              <w:top w:val="nil"/>
              <w:bottom w:val="single" w:sz="4" w:space="0" w:color="auto"/>
            </w:tcBorders>
            <w:vAlign w:val="center"/>
          </w:tcPr>
          <w:p w14:paraId="4D970C9D" w14:textId="77777777" w:rsidR="009A2813" w:rsidRPr="00FE1663" w:rsidRDefault="009A2813" w:rsidP="00FE1663">
            <w:pPr>
              <w:pStyle w:val="ExhibitText"/>
              <w:jc w:val="right"/>
              <w:rPr>
                <w:b/>
                <w:spacing w:val="-4"/>
                <w:sz w:val="18"/>
                <w:szCs w:val="18"/>
                <w:lang w:eastAsia="en-IN"/>
              </w:rPr>
            </w:pPr>
            <w:r w:rsidRPr="00FE1663">
              <w:rPr>
                <w:b/>
                <w:spacing w:val="-4"/>
                <w:sz w:val="18"/>
                <w:szCs w:val="18"/>
                <w:lang w:eastAsia="en-IN"/>
              </w:rPr>
              <w:t>14,757.14</w:t>
            </w:r>
          </w:p>
        </w:tc>
        <w:tc>
          <w:tcPr>
            <w:tcW w:w="602" w:type="pct"/>
            <w:tcBorders>
              <w:top w:val="nil"/>
              <w:bottom w:val="single" w:sz="4" w:space="0" w:color="auto"/>
            </w:tcBorders>
            <w:vAlign w:val="center"/>
          </w:tcPr>
          <w:p w14:paraId="36CBCA70" w14:textId="77777777" w:rsidR="009A2813" w:rsidRPr="00FE1663" w:rsidRDefault="009A2813" w:rsidP="00FE1663">
            <w:pPr>
              <w:pStyle w:val="ExhibitText"/>
              <w:jc w:val="right"/>
              <w:rPr>
                <w:b/>
                <w:spacing w:val="-4"/>
                <w:sz w:val="18"/>
                <w:szCs w:val="18"/>
                <w:lang w:eastAsia="en-IN"/>
              </w:rPr>
            </w:pPr>
            <w:r w:rsidRPr="00FE1663">
              <w:rPr>
                <w:b/>
                <w:spacing w:val="-4"/>
                <w:sz w:val="18"/>
                <w:szCs w:val="18"/>
                <w:lang w:eastAsia="en-IN"/>
              </w:rPr>
              <w:t>17,097.50</w:t>
            </w:r>
          </w:p>
        </w:tc>
        <w:tc>
          <w:tcPr>
            <w:tcW w:w="602" w:type="pct"/>
            <w:tcBorders>
              <w:top w:val="nil"/>
              <w:bottom w:val="single" w:sz="4" w:space="0" w:color="auto"/>
            </w:tcBorders>
            <w:shd w:val="clear" w:color="auto" w:fill="auto"/>
            <w:noWrap/>
            <w:vAlign w:val="center"/>
            <w:hideMark/>
          </w:tcPr>
          <w:p w14:paraId="4321F7A4" w14:textId="77777777" w:rsidR="009A2813" w:rsidRPr="00FE1663" w:rsidRDefault="009A2813" w:rsidP="00FE1663">
            <w:pPr>
              <w:pStyle w:val="ExhibitText"/>
              <w:jc w:val="right"/>
              <w:rPr>
                <w:b/>
                <w:spacing w:val="-4"/>
                <w:sz w:val="18"/>
                <w:szCs w:val="18"/>
                <w:lang w:eastAsia="en-IN"/>
              </w:rPr>
            </w:pPr>
            <w:r w:rsidRPr="00FE1663">
              <w:rPr>
                <w:b/>
                <w:spacing w:val="-4"/>
                <w:sz w:val="18"/>
                <w:szCs w:val="18"/>
                <w:lang w:eastAsia="en-IN"/>
              </w:rPr>
              <w:t>20,537.27</w:t>
            </w:r>
          </w:p>
        </w:tc>
        <w:tc>
          <w:tcPr>
            <w:tcW w:w="569" w:type="pct"/>
            <w:tcBorders>
              <w:top w:val="nil"/>
              <w:bottom w:val="single" w:sz="4" w:space="0" w:color="auto"/>
            </w:tcBorders>
            <w:shd w:val="clear" w:color="auto" w:fill="auto"/>
            <w:noWrap/>
            <w:vAlign w:val="center"/>
            <w:hideMark/>
          </w:tcPr>
          <w:p w14:paraId="092616F6" w14:textId="77777777" w:rsidR="009A2813" w:rsidRPr="00FE1663" w:rsidRDefault="009A2813" w:rsidP="00FE1663">
            <w:pPr>
              <w:pStyle w:val="ExhibitText"/>
              <w:jc w:val="right"/>
              <w:rPr>
                <w:b/>
                <w:spacing w:val="-4"/>
                <w:sz w:val="18"/>
                <w:szCs w:val="18"/>
                <w:lang w:eastAsia="en-IN"/>
              </w:rPr>
            </w:pPr>
            <w:r w:rsidRPr="00FE1663">
              <w:rPr>
                <w:b/>
                <w:spacing w:val="-4"/>
                <w:sz w:val="18"/>
                <w:szCs w:val="18"/>
                <w:lang w:eastAsia="en-IN"/>
              </w:rPr>
              <w:t>20,365.26</w:t>
            </w:r>
          </w:p>
        </w:tc>
      </w:tr>
      <w:tr w:rsidR="00C902DC" w:rsidRPr="00FE1663" w14:paraId="0A8B7E28" w14:textId="77777777" w:rsidTr="00C902DC">
        <w:trPr>
          <w:trHeight w:val="138"/>
          <w:jc w:val="center"/>
        </w:trPr>
        <w:tc>
          <w:tcPr>
            <w:tcW w:w="1433" w:type="pct"/>
            <w:tcBorders>
              <w:top w:val="single" w:sz="4" w:space="0" w:color="auto"/>
            </w:tcBorders>
            <w:shd w:val="clear" w:color="auto" w:fill="auto"/>
            <w:noWrap/>
            <w:vAlign w:val="center"/>
            <w:hideMark/>
          </w:tcPr>
          <w:p w14:paraId="115FE75D" w14:textId="7AEFA6E6" w:rsidR="009A2813" w:rsidRPr="00FE1663" w:rsidRDefault="00907684" w:rsidP="00FE1663">
            <w:pPr>
              <w:pStyle w:val="ExhibitText"/>
              <w:jc w:val="left"/>
              <w:rPr>
                <w:spacing w:val="-4"/>
                <w:sz w:val="18"/>
                <w:szCs w:val="18"/>
                <w:lang w:eastAsia="en-IN"/>
              </w:rPr>
            </w:pPr>
            <w:r w:rsidRPr="00FE1663">
              <w:rPr>
                <w:spacing w:val="-4"/>
                <w:sz w:val="18"/>
                <w:szCs w:val="18"/>
                <w:lang w:eastAsia="en-IN"/>
              </w:rPr>
              <w:t>Profit</w:t>
            </w:r>
            <w:r w:rsidR="0094635D">
              <w:rPr>
                <w:spacing w:val="-4"/>
                <w:sz w:val="18"/>
                <w:szCs w:val="18"/>
                <w:lang w:eastAsia="en-IN"/>
              </w:rPr>
              <w:t xml:space="preserve"> </w:t>
            </w:r>
            <w:r w:rsidRPr="00FE1663">
              <w:rPr>
                <w:spacing w:val="-4"/>
                <w:sz w:val="18"/>
                <w:szCs w:val="18"/>
                <w:lang w:eastAsia="en-IN"/>
              </w:rPr>
              <w:t>(loss)</w:t>
            </w:r>
            <w:r w:rsidR="005022FE" w:rsidRPr="00FE1663">
              <w:rPr>
                <w:spacing w:val="-4"/>
                <w:sz w:val="18"/>
                <w:szCs w:val="18"/>
                <w:lang w:eastAsia="en-IN"/>
              </w:rPr>
              <w:t xml:space="preserve"> </w:t>
            </w:r>
            <w:r w:rsidR="00A37354">
              <w:rPr>
                <w:spacing w:val="-4"/>
                <w:sz w:val="18"/>
                <w:szCs w:val="18"/>
                <w:lang w:eastAsia="en-IN"/>
              </w:rPr>
              <w:t>B</w:t>
            </w:r>
            <w:r w:rsidR="00A37354" w:rsidRPr="00FE1663">
              <w:rPr>
                <w:spacing w:val="-4"/>
                <w:sz w:val="18"/>
                <w:szCs w:val="18"/>
                <w:lang w:eastAsia="en-IN"/>
              </w:rPr>
              <w:t>efore Exceptional Items and Tax</w:t>
            </w:r>
          </w:p>
        </w:tc>
        <w:tc>
          <w:tcPr>
            <w:tcW w:w="591" w:type="pct"/>
            <w:tcBorders>
              <w:top w:val="single" w:sz="4" w:space="0" w:color="auto"/>
            </w:tcBorders>
            <w:shd w:val="clear" w:color="auto" w:fill="auto"/>
            <w:noWrap/>
            <w:vAlign w:val="center"/>
            <w:hideMark/>
          </w:tcPr>
          <w:p w14:paraId="273B9E72"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745.31</w:t>
            </w:r>
          </w:p>
        </w:tc>
        <w:tc>
          <w:tcPr>
            <w:tcW w:w="602" w:type="pct"/>
            <w:tcBorders>
              <w:top w:val="single" w:sz="4" w:space="0" w:color="auto"/>
            </w:tcBorders>
            <w:shd w:val="clear" w:color="auto" w:fill="auto"/>
            <w:noWrap/>
            <w:vAlign w:val="center"/>
            <w:hideMark/>
          </w:tcPr>
          <w:p w14:paraId="353A5614"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1,401.70</w:t>
            </w:r>
          </w:p>
        </w:tc>
        <w:tc>
          <w:tcPr>
            <w:tcW w:w="602" w:type="pct"/>
            <w:tcBorders>
              <w:top w:val="single" w:sz="4" w:space="0" w:color="auto"/>
            </w:tcBorders>
            <w:vAlign w:val="center"/>
          </w:tcPr>
          <w:p w14:paraId="1A050EDD"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2,611.40</w:t>
            </w:r>
          </w:p>
        </w:tc>
        <w:tc>
          <w:tcPr>
            <w:tcW w:w="602" w:type="pct"/>
            <w:tcBorders>
              <w:top w:val="single" w:sz="4" w:space="0" w:color="auto"/>
            </w:tcBorders>
            <w:vAlign w:val="center"/>
          </w:tcPr>
          <w:p w14:paraId="4F1806B5"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1,796.80</w:t>
            </w:r>
          </w:p>
        </w:tc>
        <w:tc>
          <w:tcPr>
            <w:tcW w:w="602" w:type="pct"/>
            <w:tcBorders>
              <w:top w:val="single" w:sz="4" w:space="0" w:color="auto"/>
            </w:tcBorders>
            <w:shd w:val="clear" w:color="auto" w:fill="auto"/>
            <w:noWrap/>
            <w:vAlign w:val="center"/>
            <w:hideMark/>
          </w:tcPr>
          <w:p w14:paraId="67C62019"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1,939.29</w:t>
            </w:r>
          </w:p>
        </w:tc>
        <w:tc>
          <w:tcPr>
            <w:tcW w:w="569" w:type="pct"/>
            <w:tcBorders>
              <w:top w:val="single" w:sz="4" w:space="0" w:color="auto"/>
            </w:tcBorders>
            <w:shd w:val="clear" w:color="auto" w:fill="auto"/>
            <w:noWrap/>
            <w:vAlign w:val="center"/>
            <w:hideMark/>
          </w:tcPr>
          <w:p w14:paraId="36CA50D3" w14:textId="77777777" w:rsidR="009A2813" w:rsidRPr="00FE1663" w:rsidRDefault="009A2813" w:rsidP="00FE1663">
            <w:pPr>
              <w:pStyle w:val="ExhibitText"/>
              <w:jc w:val="right"/>
              <w:rPr>
                <w:spacing w:val="-4"/>
                <w:sz w:val="18"/>
                <w:szCs w:val="18"/>
                <w:lang w:eastAsia="en-IN"/>
              </w:rPr>
            </w:pPr>
            <w:r w:rsidRPr="00FE1663">
              <w:rPr>
                <w:spacing w:val="-4"/>
                <w:sz w:val="18"/>
                <w:szCs w:val="18"/>
                <w:lang w:eastAsia="en-IN"/>
              </w:rPr>
              <w:t>1,606.51</w:t>
            </w:r>
          </w:p>
        </w:tc>
      </w:tr>
      <w:tr w:rsidR="00C902DC" w:rsidRPr="00FE1663" w14:paraId="487E8E16" w14:textId="77777777" w:rsidTr="00C902DC">
        <w:trPr>
          <w:trHeight w:val="138"/>
          <w:jc w:val="center"/>
        </w:trPr>
        <w:tc>
          <w:tcPr>
            <w:tcW w:w="1433" w:type="pct"/>
            <w:shd w:val="clear" w:color="auto" w:fill="auto"/>
            <w:noWrap/>
            <w:vAlign w:val="center"/>
          </w:tcPr>
          <w:p w14:paraId="24736D4B" w14:textId="50FB00FD" w:rsidR="009A2813" w:rsidRPr="00FE1663" w:rsidRDefault="009A2813" w:rsidP="00FE1663">
            <w:pPr>
              <w:pStyle w:val="ExhibitText"/>
              <w:jc w:val="left"/>
              <w:rPr>
                <w:spacing w:val="-4"/>
                <w:sz w:val="18"/>
                <w:szCs w:val="18"/>
                <w:lang w:eastAsia="en-IN"/>
              </w:rPr>
            </w:pPr>
            <w:r w:rsidRPr="00FE1663">
              <w:rPr>
                <w:spacing w:val="-4"/>
                <w:sz w:val="18"/>
                <w:szCs w:val="18"/>
                <w:lang w:eastAsia="en-IN"/>
              </w:rPr>
              <w:t xml:space="preserve">Exceptional </w:t>
            </w:r>
            <w:r w:rsidR="00A37354" w:rsidRPr="00FE1663">
              <w:rPr>
                <w:spacing w:val="-4"/>
                <w:sz w:val="18"/>
                <w:szCs w:val="18"/>
                <w:lang w:eastAsia="en-IN"/>
              </w:rPr>
              <w:t>Items</w:t>
            </w:r>
          </w:p>
        </w:tc>
        <w:tc>
          <w:tcPr>
            <w:tcW w:w="591" w:type="pct"/>
            <w:shd w:val="clear" w:color="auto" w:fill="auto"/>
            <w:noWrap/>
            <w:vAlign w:val="center"/>
          </w:tcPr>
          <w:p w14:paraId="7B34A8E4" w14:textId="6BF273A6" w:rsidR="009A2813" w:rsidRPr="00FE1663" w:rsidRDefault="00A37354" w:rsidP="00FE1663">
            <w:pPr>
              <w:pStyle w:val="ExhibitText"/>
              <w:jc w:val="right"/>
              <w:rPr>
                <w:spacing w:val="-4"/>
                <w:sz w:val="18"/>
                <w:szCs w:val="18"/>
                <w:lang w:eastAsia="en-IN"/>
              </w:rPr>
            </w:pPr>
            <w:r w:rsidRPr="00FE1663">
              <w:rPr>
                <w:spacing w:val="-4"/>
                <w:sz w:val="18"/>
                <w:szCs w:val="18"/>
                <w:lang w:eastAsia="en-IN"/>
              </w:rPr>
              <w:t>Nil</w:t>
            </w:r>
          </w:p>
        </w:tc>
        <w:tc>
          <w:tcPr>
            <w:tcW w:w="602" w:type="pct"/>
            <w:shd w:val="clear" w:color="auto" w:fill="auto"/>
            <w:noWrap/>
            <w:vAlign w:val="center"/>
          </w:tcPr>
          <w:p w14:paraId="2E401A15" w14:textId="470A4F3E" w:rsidR="009A2813" w:rsidRPr="00FE1663" w:rsidRDefault="00A37354" w:rsidP="00FE1663">
            <w:pPr>
              <w:pStyle w:val="ExhibitText"/>
              <w:jc w:val="right"/>
              <w:rPr>
                <w:spacing w:val="-4"/>
                <w:sz w:val="18"/>
                <w:szCs w:val="18"/>
                <w:lang w:eastAsia="en-IN"/>
              </w:rPr>
            </w:pPr>
            <w:r w:rsidRPr="00FE1663">
              <w:rPr>
                <w:spacing w:val="-4"/>
                <w:sz w:val="18"/>
                <w:szCs w:val="18"/>
                <w:lang w:eastAsia="en-IN"/>
              </w:rPr>
              <w:t>327.17</w:t>
            </w:r>
          </w:p>
        </w:tc>
        <w:tc>
          <w:tcPr>
            <w:tcW w:w="602" w:type="pct"/>
            <w:vAlign w:val="center"/>
          </w:tcPr>
          <w:p w14:paraId="6C3556CB" w14:textId="5D7BB41F" w:rsidR="009A2813" w:rsidRPr="00FE1663" w:rsidRDefault="00A37354" w:rsidP="00FE1663">
            <w:pPr>
              <w:pStyle w:val="ExhibitText"/>
              <w:jc w:val="right"/>
              <w:rPr>
                <w:spacing w:val="-4"/>
                <w:sz w:val="18"/>
                <w:szCs w:val="18"/>
                <w:lang w:eastAsia="en-IN"/>
              </w:rPr>
            </w:pPr>
            <w:r w:rsidRPr="00FE1663">
              <w:rPr>
                <w:spacing w:val="-4"/>
                <w:sz w:val="18"/>
                <w:szCs w:val="18"/>
                <w:lang w:eastAsia="en-IN"/>
              </w:rPr>
              <w:t>885.63</w:t>
            </w:r>
          </w:p>
        </w:tc>
        <w:tc>
          <w:tcPr>
            <w:tcW w:w="602" w:type="pct"/>
            <w:vAlign w:val="center"/>
          </w:tcPr>
          <w:p w14:paraId="554F884E" w14:textId="2C609F34" w:rsidR="009A2813" w:rsidRPr="00FE1663" w:rsidRDefault="00A37354" w:rsidP="00FE1663">
            <w:pPr>
              <w:pStyle w:val="ExhibitText"/>
              <w:jc w:val="right"/>
              <w:rPr>
                <w:spacing w:val="-4"/>
                <w:sz w:val="18"/>
                <w:szCs w:val="18"/>
                <w:lang w:eastAsia="en-IN"/>
              </w:rPr>
            </w:pPr>
            <w:r w:rsidRPr="00FE1663">
              <w:rPr>
                <w:spacing w:val="-4"/>
                <w:sz w:val="18"/>
                <w:szCs w:val="18"/>
                <w:lang w:eastAsia="en-IN"/>
              </w:rPr>
              <w:t>261.39</w:t>
            </w:r>
          </w:p>
        </w:tc>
        <w:tc>
          <w:tcPr>
            <w:tcW w:w="602" w:type="pct"/>
            <w:shd w:val="clear" w:color="auto" w:fill="auto"/>
            <w:noWrap/>
            <w:vAlign w:val="center"/>
          </w:tcPr>
          <w:p w14:paraId="672CFB2A" w14:textId="49363B0A" w:rsidR="009A2813" w:rsidRPr="00FE1663" w:rsidRDefault="00A37354" w:rsidP="00FE1663">
            <w:pPr>
              <w:pStyle w:val="ExhibitText"/>
              <w:jc w:val="right"/>
              <w:rPr>
                <w:spacing w:val="-4"/>
                <w:sz w:val="18"/>
                <w:szCs w:val="18"/>
                <w:lang w:eastAsia="en-IN"/>
              </w:rPr>
            </w:pPr>
            <w:r w:rsidRPr="00FE1663">
              <w:rPr>
                <w:spacing w:val="-4"/>
                <w:sz w:val="18"/>
                <w:szCs w:val="18"/>
                <w:lang w:eastAsia="en-IN"/>
              </w:rPr>
              <w:t>960.09</w:t>
            </w:r>
          </w:p>
        </w:tc>
        <w:tc>
          <w:tcPr>
            <w:tcW w:w="569" w:type="pct"/>
            <w:shd w:val="clear" w:color="auto" w:fill="auto"/>
            <w:noWrap/>
            <w:vAlign w:val="center"/>
          </w:tcPr>
          <w:p w14:paraId="43AC6A80" w14:textId="7E332DFF" w:rsidR="009A2813" w:rsidRPr="00FE1663" w:rsidRDefault="00A37354" w:rsidP="00FE1663">
            <w:pPr>
              <w:pStyle w:val="ExhibitText"/>
              <w:jc w:val="right"/>
              <w:rPr>
                <w:spacing w:val="-4"/>
                <w:sz w:val="18"/>
                <w:szCs w:val="18"/>
                <w:lang w:eastAsia="en-IN"/>
              </w:rPr>
            </w:pPr>
            <w:r>
              <w:rPr>
                <w:spacing w:val="-4"/>
                <w:sz w:val="18"/>
                <w:szCs w:val="18"/>
                <w:lang w:eastAsia="en-IN"/>
              </w:rPr>
              <w:t>N</w:t>
            </w:r>
            <w:r w:rsidRPr="00FE1663">
              <w:rPr>
                <w:spacing w:val="-4"/>
                <w:sz w:val="18"/>
                <w:szCs w:val="18"/>
                <w:lang w:eastAsia="en-IN"/>
              </w:rPr>
              <w:t>il</w:t>
            </w:r>
          </w:p>
        </w:tc>
      </w:tr>
      <w:tr w:rsidR="00C902DC" w:rsidRPr="00FE1663" w14:paraId="2DBD0F08" w14:textId="77777777" w:rsidTr="00C902DC">
        <w:trPr>
          <w:trHeight w:val="138"/>
          <w:jc w:val="center"/>
        </w:trPr>
        <w:tc>
          <w:tcPr>
            <w:tcW w:w="1433" w:type="pct"/>
            <w:shd w:val="clear" w:color="auto" w:fill="auto"/>
            <w:noWrap/>
            <w:vAlign w:val="center"/>
          </w:tcPr>
          <w:p w14:paraId="3A1DB6D0" w14:textId="7FB44292" w:rsidR="009A2813" w:rsidRPr="00FE1663" w:rsidRDefault="009A2813" w:rsidP="00FE1663">
            <w:pPr>
              <w:pStyle w:val="ExhibitText"/>
              <w:jc w:val="left"/>
              <w:rPr>
                <w:spacing w:val="-4"/>
                <w:sz w:val="18"/>
                <w:szCs w:val="18"/>
                <w:lang w:eastAsia="en-IN"/>
              </w:rPr>
            </w:pPr>
            <w:r w:rsidRPr="00FE1663">
              <w:rPr>
                <w:spacing w:val="-4"/>
                <w:sz w:val="18"/>
                <w:szCs w:val="18"/>
                <w:lang w:eastAsia="en-IN"/>
              </w:rPr>
              <w:t>Profit</w:t>
            </w:r>
            <w:r w:rsidR="0094635D">
              <w:rPr>
                <w:spacing w:val="-4"/>
                <w:sz w:val="18"/>
                <w:szCs w:val="18"/>
                <w:lang w:eastAsia="en-IN"/>
              </w:rPr>
              <w:t xml:space="preserve"> </w:t>
            </w:r>
            <w:r w:rsidR="00A37354" w:rsidRPr="00FE1663">
              <w:rPr>
                <w:spacing w:val="-4"/>
                <w:sz w:val="18"/>
                <w:szCs w:val="18"/>
                <w:lang w:eastAsia="en-IN"/>
              </w:rPr>
              <w:t xml:space="preserve">(Loss) </w:t>
            </w:r>
            <w:r w:rsidR="00A37354">
              <w:rPr>
                <w:spacing w:val="-4"/>
                <w:sz w:val="18"/>
                <w:szCs w:val="18"/>
                <w:lang w:eastAsia="en-IN"/>
              </w:rPr>
              <w:t>B</w:t>
            </w:r>
            <w:r w:rsidR="00A37354" w:rsidRPr="00FE1663">
              <w:rPr>
                <w:spacing w:val="-4"/>
                <w:sz w:val="18"/>
                <w:szCs w:val="18"/>
                <w:lang w:eastAsia="en-IN"/>
              </w:rPr>
              <w:t>efore Tax</w:t>
            </w:r>
          </w:p>
        </w:tc>
        <w:tc>
          <w:tcPr>
            <w:tcW w:w="591" w:type="pct"/>
            <w:shd w:val="clear" w:color="auto" w:fill="auto"/>
            <w:noWrap/>
            <w:vAlign w:val="center"/>
          </w:tcPr>
          <w:p w14:paraId="20FB14B8" w14:textId="2A4F4162" w:rsidR="009A2813" w:rsidRPr="00FE1663" w:rsidRDefault="00A37354" w:rsidP="00FE1663">
            <w:pPr>
              <w:pStyle w:val="ExhibitText"/>
              <w:jc w:val="right"/>
              <w:rPr>
                <w:spacing w:val="-4"/>
                <w:sz w:val="18"/>
                <w:szCs w:val="18"/>
                <w:lang w:eastAsia="en-IN"/>
              </w:rPr>
            </w:pPr>
            <w:r w:rsidRPr="00FE1663">
              <w:rPr>
                <w:spacing w:val="-4"/>
                <w:sz w:val="18"/>
                <w:szCs w:val="18"/>
                <w:lang w:eastAsia="en-IN"/>
              </w:rPr>
              <w:t>745.31</w:t>
            </w:r>
          </w:p>
        </w:tc>
        <w:tc>
          <w:tcPr>
            <w:tcW w:w="602" w:type="pct"/>
            <w:shd w:val="clear" w:color="auto" w:fill="auto"/>
            <w:noWrap/>
            <w:vAlign w:val="center"/>
          </w:tcPr>
          <w:p w14:paraId="5B569170" w14:textId="1AB2FBD9" w:rsidR="009A2813" w:rsidRPr="00FE1663" w:rsidRDefault="00A37354" w:rsidP="00FE1663">
            <w:pPr>
              <w:pStyle w:val="ExhibitText"/>
              <w:jc w:val="right"/>
              <w:rPr>
                <w:spacing w:val="-4"/>
                <w:sz w:val="18"/>
                <w:szCs w:val="18"/>
                <w:lang w:eastAsia="en-IN"/>
              </w:rPr>
            </w:pPr>
            <w:r w:rsidRPr="00FE1663">
              <w:rPr>
                <w:spacing w:val="-4"/>
                <w:sz w:val="18"/>
                <w:szCs w:val="18"/>
                <w:lang w:eastAsia="en-IN"/>
              </w:rPr>
              <w:t>1,074.53</w:t>
            </w:r>
          </w:p>
        </w:tc>
        <w:tc>
          <w:tcPr>
            <w:tcW w:w="602" w:type="pct"/>
            <w:vAlign w:val="center"/>
          </w:tcPr>
          <w:p w14:paraId="2316512D" w14:textId="4F24A338" w:rsidR="009A2813" w:rsidRPr="00FE1663" w:rsidRDefault="00A37354" w:rsidP="00FE1663">
            <w:pPr>
              <w:pStyle w:val="ExhibitText"/>
              <w:jc w:val="right"/>
              <w:rPr>
                <w:spacing w:val="-4"/>
                <w:sz w:val="18"/>
                <w:szCs w:val="18"/>
                <w:lang w:eastAsia="en-IN"/>
              </w:rPr>
            </w:pPr>
            <w:r w:rsidRPr="00FE1663">
              <w:rPr>
                <w:spacing w:val="-4"/>
                <w:sz w:val="18"/>
                <w:szCs w:val="18"/>
                <w:lang w:eastAsia="en-IN"/>
              </w:rPr>
              <w:t>1,725.77</w:t>
            </w:r>
          </w:p>
        </w:tc>
        <w:tc>
          <w:tcPr>
            <w:tcW w:w="602" w:type="pct"/>
            <w:vAlign w:val="center"/>
          </w:tcPr>
          <w:p w14:paraId="2A34FCDF" w14:textId="60F595E3" w:rsidR="009A2813" w:rsidRPr="00FE1663" w:rsidRDefault="00A37354" w:rsidP="00FE1663">
            <w:pPr>
              <w:pStyle w:val="ExhibitText"/>
              <w:jc w:val="right"/>
              <w:rPr>
                <w:spacing w:val="-4"/>
                <w:sz w:val="18"/>
                <w:szCs w:val="18"/>
                <w:lang w:eastAsia="en-IN"/>
              </w:rPr>
            </w:pPr>
            <w:r w:rsidRPr="00FE1663">
              <w:rPr>
                <w:spacing w:val="-4"/>
                <w:sz w:val="18"/>
                <w:szCs w:val="18"/>
                <w:lang w:eastAsia="en-IN"/>
              </w:rPr>
              <w:t>1,535.41</w:t>
            </w:r>
          </w:p>
        </w:tc>
        <w:tc>
          <w:tcPr>
            <w:tcW w:w="602" w:type="pct"/>
            <w:shd w:val="clear" w:color="auto" w:fill="auto"/>
            <w:noWrap/>
            <w:vAlign w:val="center"/>
          </w:tcPr>
          <w:p w14:paraId="4DD5C277" w14:textId="11AB06C8" w:rsidR="009A2813" w:rsidRPr="00FE1663" w:rsidRDefault="00A37354" w:rsidP="00FE1663">
            <w:pPr>
              <w:pStyle w:val="ExhibitText"/>
              <w:jc w:val="right"/>
              <w:rPr>
                <w:spacing w:val="-4"/>
                <w:sz w:val="18"/>
                <w:szCs w:val="18"/>
                <w:lang w:eastAsia="en-IN"/>
              </w:rPr>
            </w:pPr>
            <w:r w:rsidRPr="00FE1663">
              <w:rPr>
                <w:spacing w:val="-4"/>
                <w:sz w:val="18"/>
                <w:szCs w:val="18"/>
                <w:lang w:eastAsia="en-IN"/>
              </w:rPr>
              <w:t>979.20</w:t>
            </w:r>
          </w:p>
        </w:tc>
        <w:tc>
          <w:tcPr>
            <w:tcW w:w="569" w:type="pct"/>
            <w:shd w:val="clear" w:color="auto" w:fill="auto"/>
            <w:noWrap/>
            <w:vAlign w:val="center"/>
          </w:tcPr>
          <w:p w14:paraId="1C9225B3" w14:textId="21F60CD0" w:rsidR="009A2813" w:rsidRPr="00FE1663" w:rsidRDefault="00A37354" w:rsidP="00FE1663">
            <w:pPr>
              <w:pStyle w:val="ExhibitText"/>
              <w:jc w:val="right"/>
              <w:rPr>
                <w:spacing w:val="-4"/>
                <w:sz w:val="18"/>
                <w:szCs w:val="18"/>
                <w:lang w:eastAsia="en-IN"/>
              </w:rPr>
            </w:pPr>
            <w:r w:rsidRPr="00FE1663">
              <w:rPr>
                <w:spacing w:val="-4"/>
                <w:sz w:val="18"/>
                <w:szCs w:val="18"/>
                <w:lang w:eastAsia="en-IN"/>
              </w:rPr>
              <w:t>1,606.51</w:t>
            </w:r>
          </w:p>
        </w:tc>
      </w:tr>
      <w:tr w:rsidR="00C902DC" w:rsidRPr="00FE1663" w14:paraId="32CE7146" w14:textId="77777777" w:rsidTr="00C902DC">
        <w:trPr>
          <w:trHeight w:val="138"/>
          <w:jc w:val="center"/>
        </w:trPr>
        <w:tc>
          <w:tcPr>
            <w:tcW w:w="1433" w:type="pct"/>
            <w:shd w:val="clear" w:color="auto" w:fill="auto"/>
            <w:noWrap/>
            <w:vAlign w:val="center"/>
            <w:hideMark/>
          </w:tcPr>
          <w:p w14:paraId="48F678ED" w14:textId="107AC8F5" w:rsidR="009A2813" w:rsidRPr="00FE1663" w:rsidRDefault="009A2813" w:rsidP="00FE1663">
            <w:pPr>
              <w:pStyle w:val="ExhibitText"/>
              <w:jc w:val="left"/>
              <w:rPr>
                <w:spacing w:val="-4"/>
                <w:sz w:val="18"/>
                <w:szCs w:val="18"/>
                <w:lang w:eastAsia="en-IN"/>
              </w:rPr>
            </w:pPr>
            <w:r w:rsidRPr="00FE1663">
              <w:rPr>
                <w:spacing w:val="-4"/>
                <w:sz w:val="18"/>
                <w:szCs w:val="18"/>
                <w:lang w:eastAsia="en-IN"/>
              </w:rPr>
              <w:t xml:space="preserve">Tax </w:t>
            </w:r>
            <w:r w:rsidR="00A37354">
              <w:rPr>
                <w:spacing w:val="-4"/>
                <w:sz w:val="18"/>
                <w:szCs w:val="18"/>
                <w:lang w:eastAsia="en-IN"/>
              </w:rPr>
              <w:t>E</w:t>
            </w:r>
            <w:r w:rsidR="00A37354" w:rsidRPr="00FE1663">
              <w:rPr>
                <w:spacing w:val="-4"/>
                <w:sz w:val="18"/>
                <w:szCs w:val="18"/>
                <w:lang w:eastAsia="en-IN"/>
              </w:rPr>
              <w:t>xpenses</w:t>
            </w:r>
          </w:p>
        </w:tc>
        <w:tc>
          <w:tcPr>
            <w:tcW w:w="591" w:type="pct"/>
            <w:shd w:val="clear" w:color="auto" w:fill="auto"/>
            <w:noWrap/>
            <w:vAlign w:val="center"/>
            <w:hideMark/>
          </w:tcPr>
          <w:p w14:paraId="3289FFD4" w14:textId="77777777" w:rsidR="009A2813" w:rsidRPr="00FE1663" w:rsidRDefault="009A2813" w:rsidP="00FE1663">
            <w:pPr>
              <w:pStyle w:val="ExhibitText"/>
              <w:jc w:val="right"/>
              <w:rPr>
                <w:spacing w:val="-4"/>
                <w:sz w:val="18"/>
                <w:szCs w:val="18"/>
                <w:lang w:eastAsia="en-IN"/>
              </w:rPr>
            </w:pPr>
          </w:p>
        </w:tc>
        <w:tc>
          <w:tcPr>
            <w:tcW w:w="602" w:type="pct"/>
            <w:shd w:val="clear" w:color="auto" w:fill="auto"/>
            <w:noWrap/>
            <w:vAlign w:val="center"/>
            <w:hideMark/>
          </w:tcPr>
          <w:p w14:paraId="732838C9" w14:textId="77777777" w:rsidR="009A2813" w:rsidRPr="00FE1663" w:rsidRDefault="009A2813" w:rsidP="00FE1663">
            <w:pPr>
              <w:pStyle w:val="ExhibitText"/>
              <w:jc w:val="right"/>
              <w:rPr>
                <w:spacing w:val="-4"/>
                <w:sz w:val="18"/>
                <w:szCs w:val="18"/>
                <w:lang w:eastAsia="en-IN"/>
              </w:rPr>
            </w:pPr>
          </w:p>
        </w:tc>
        <w:tc>
          <w:tcPr>
            <w:tcW w:w="602" w:type="pct"/>
            <w:vAlign w:val="center"/>
          </w:tcPr>
          <w:p w14:paraId="69176FE0" w14:textId="77777777" w:rsidR="009A2813" w:rsidRPr="00FE1663" w:rsidRDefault="009A2813" w:rsidP="00FE1663">
            <w:pPr>
              <w:pStyle w:val="ExhibitText"/>
              <w:jc w:val="right"/>
              <w:rPr>
                <w:spacing w:val="-4"/>
                <w:sz w:val="18"/>
                <w:szCs w:val="18"/>
                <w:lang w:eastAsia="en-IN"/>
              </w:rPr>
            </w:pPr>
          </w:p>
        </w:tc>
        <w:tc>
          <w:tcPr>
            <w:tcW w:w="602" w:type="pct"/>
            <w:vAlign w:val="center"/>
          </w:tcPr>
          <w:p w14:paraId="432BE421" w14:textId="77777777" w:rsidR="009A2813" w:rsidRPr="00FE1663" w:rsidRDefault="009A2813" w:rsidP="00FE1663">
            <w:pPr>
              <w:pStyle w:val="ExhibitText"/>
              <w:jc w:val="right"/>
              <w:rPr>
                <w:spacing w:val="-4"/>
                <w:sz w:val="18"/>
                <w:szCs w:val="18"/>
                <w:lang w:eastAsia="en-IN"/>
              </w:rPr>
            </w:pPr>
          </w:p>
        </w:tc>
        <w:tc>
          <w:tcPr>
            <w:tcW w:w="602" w:type="pct"/>
            <w:shd w:val="clear" w:color="auto" w:fill="auto"/>
            <w:noWrap/>
            <w:vAlign w:val="center"/>
            <w:hideMark/>
          </w:tcPr>
          <w:p w14:paraId="05DB9438" w14:textId="77777777" w:rsidR="009A2813" w:rsidRPr="00FE1663" w:rsidRDefault="009A2813" w:rsidP="00FE1663">
            <w:pPr>
              <w:pStyle w:val="ExhibitText"/>
              <w:jc w:val="right"/>
              <w:rPr>
                <w:spacing w:val="-4"/>
                <w:sz w:val="18"/>
                <w:szCs w:val="18"/>
                <w:lang w:eastAsia="en-IN"/>
              </w:rPr>
            </w:pPr>
          </w:p>
        </w:tc>
        <w:tc>
          <w:tcPr>
            <w:tcW w:w="569" w:type="pct"/>
            <w:shd w:val="clear" w:color="auto" w:fill="auto"/>
            <w:noWrap/>
            <w:vAlign w:val="center"/>
            <w:hideMark/>
          </w:tcPr>
          <w:p w14:paraId="53D1CDBB" w14:textId="77777777" w:rsidR="009A2813" w:rsidRPr="00FE1663" w:rsidRDefault="009A2813" w:rsidP="00FE1663">
            <w:pPr>
              <w:pStyle w:val="ExhibitText"/>
              <w:jc w:val="right"/>
              <w:rPr>
                <w:spacing w:val="-4"/>
                <w:sz w:val="18"/>
                <w:szCs w:val="18"/>
                <w:lang w:eastAsia="en-IN"/>
              </w:rPr>
            </w:pPr>
          </w:p>
        </w:tc>
      </w:tr>
      <w:tr w:rsidR="00C902DC" w:rsidRPr="00FE1663" w14:paraId="723730D6" w14:textId="77777777" w:rsidTr="00C902DC">
        <w:trPr>
          <w:trHeight w:val="25"/>
          <w:jc w:val="center"/>
        </w:trPr>
        <w:tc>
          <w:tcPr>
            <w:tcW w:w="1433" w:type="pct"/>
            <w:shd w:val="clear" w:color="auto" w:fill="auto"/>
            <w:noWrap/>
            <w:vAlign w:val="center"/>
            <w:hideMark/>
          </w:tcPr>
          <w:p w14:paraId="34DC6B50" w14:textId="1E065F91" w:rsidR="009A2813" w:rsidRPr="00FE1663" w:rsidRDefault="009A2813" w:rsidP="00FE1663">
            <w:pPr>
              <w:pStyle w:val="ExhibitText"/>
              <w:jc w:val="left"/>
              <w:rPr>
                <w:spacing w:val="-4"/>
                <w:sz w:val="18"/>
                <w:szCs w:val="18"/>
                <w:lang w:eastAsia="en-IN"/>
              </w:rPr>
            </w:pPr>
            <w:r w:rsidRPr="00FE1663">
              <w:rPr>
                <w:spacing w:val="-4"/>
                <w:sz w:val="18"/>
                <w:szCs w:val="18"/>
                <w:lang w:eastAsia="en-IN"/>
              </w:rPr>
              <w:t xml:space="preserve">Current </w:t>
            </w:r>
            <w:r w:rsidR="00A37354" w:rsidRPr="00FE1663">
              <w:rPr>
                <w:spacing w:val="-4"/>
                <w:sz w:val="18"/>
                <w:szCs w:val="18"/>
                <w:lang w:eastAsia="en-IN"/>
              </w:rPr>
              <w:t>Tax</w:t>
            </w:r>
          </w:p>
        </w:tc>
        <w:tc>
          <w:tcPr>
            <w:tcW w:w="591" w:type="pct"/>
            <w:shd w:val="clear" w:color="auto" w:fill="auto"/>
            <w:noWrap/>
            <w:vAlign w:val="center"/>
            <w:hideMark/>
          </w:tcPr>
          <w:p w14:paraId="070DB096" w14:textId="2D46DF1C" w:rsidR="009A2813" w:rsidRPr="00FE1663" w:rsidRDefault="00A37354" w:rsidP="00FE1663">
            <w:pPr>
              <w:pStyle w:val="ExhibitText"/>
              <w:jc w:val="right"/>
              <w:rPr>
                <w:spacing w:val="-4"/>
                <w:sz w:val="18"/>
                <w:szCs w:val="18"/>
                <w:lang w:eastAsia="en-IN"/>
              </w:rPr>
            </w:pPr>
            <w:r w:rsidRPr="00FE1663">
              <w:rPr>
                <w:spacing w:val="-4"/>
                <w:sz w:val="18"/>
                <w:szCs w:val="18"/>
                <w:lang w:eastAsia="en-IN"/>
              </w:rPr>
              <w:t>475.25</w:t>
            </w:r>
          </w:p>
        </w:tc>
        <w:tc>
          <w:tcPr>
            <w:tcW w:w="602" w:type="pct"/>
            <w:shd w:val="clear" w:color="auto" w:fill="auto"/>
            <w:noWrap/>
            <w:vAlign w:val="center"/>
            <w:hideMark/>
          </w:tcPr>
          <w:p w14:paraId="333C19C6" w14:textId="4F191B57" w:rsidR="009A2813" w:rsidRPr="00FE1663" w:rsidRDefault="00A37354" w:rsidP="00FE1663">
            <w:pPr>
              <w:pStyle w:val="ExhibitText"/>
              <w:jc w:val="right"/>
              <w:rPr>
                <w:spacing w:val="-4"/>
                <w:sz w:val="18"/>
                <w:szCs w:val="18"/>
                <w:lang w:eastAsia="en-IN"/>
              </w:rPr>
            </w:pPr>
            <w:r w:rsidRPr="00FE1663">
              <w:rPr>
                <w:spacing w:val="-4"/>
                <w:sz w:val="18"/>
                <w:szCs w:val="18"/>
                <w:lang w:eastAsia="en-IN"/>
              </w:rPr>
              <w:t>470.00</w:t>
            </w:r>
          </w:p>
        </w:tc>
        <w:tc>
          <w:tcPr>
            <w:tcW w:w="602" w:type="pct"/>
            <w:vAlign w:val="center"/>
          </w:tcPr>
          <w:p w14:paraId="23B58C03" w14:textId="5E607D60" w:rsidR="009A2813" w:rsidRPr="00FE1663" w:rsidRDefault="00A37354" w:rsidP="00FE1663">
            <w:pPr>
              <w:pStyle w:val="ExhibitText"/>
              <w:jc w:val="right"/>
              <w:rPr>
                <w:spacing w:val="-4"/>
                <w:sz w:val="18"/>
                <w:szCs w:val="18"/>
                <w:lang w:eastAsia="en-IN"/>
              </w:rPr>
            </w:pPr>
            <w:r w:rsidRPr="00FE1663">
              <w:rPr>
                <w:spacing w:val="-4"/>
                <w:sz w:val="18"/>
                <w:szCs w:val="18"/>
                <w:lang w:eastAsia="en-IN"/>
              </w:rPr>
              <w:t>635.10</w:t>
            </w:r>
          </w:p>
        </w:tc>
        <w:tc>
          <w:tcPr>
            <w:tcW w:w="602" w:type="pct"/>
            <w:vAlign w:val="center"/>
          </w:tcPr>
          <w:p w14:paraId="06C902B8" w14:textId="17D23139" w:rsidR="009A2813" w:rsidRPr="00FE1663" w:rsidRDefault="00A37354" w:rsidP="00FE1663">
            <w:pPr>
              <w:pStyle w:val="ExhibitText"/>
              <w:jc w:val="right"/>
              <w:rPr>
                <w:spacing w:val="-4"/>
                <w:sz w:val="18"/>
                <w:szCs w:val="18"/>
                <w:lang w:eastAsia="en-IN"/>
              </w:rPr>
            </w:pPr>
            <w:r w:rsidRPr="00FE1663">
              <w:rPr>
                <w:spacing w:val="-4"/>
                <w:sz w:val="18"/>
                <w:szCs w:val="18"/>
                <w:lang w:eastAsia="en-IN"/>
              </w:rPr>
              <w:t>Nil</w:t>
            </w:r>
          </w:p>
        </w:tc>
        <w:tc>
          <w:tcPr>
            <w:tcW w:w="602" w:type="pct"/>
            <w:shd w:val="clear" w:color="auto" w:fill="auto"/>
            <w:noWrap/>
            <w:vAlign w:val="center"/>
            <w:hideMark/>
          </w:tcPr>
          <w:p w14:paraId="687A0616" w14:textId="2D946FA6" w:rsidR="009A2813" w:rsidRPr="00FE1663" w:rsidRDefault="00A37354" w:rsidP="00FE1663">
            <w:pPr>
              <w:pStyle w:val="ExhibitText"/>
              <w:jc w:val="right"/>
              <w:rPr>
                <w:spacing w:val="-4"/>
                <w:sz w:val="18"/>
                <w:szCs w:val="18"/>
                <w:lang w:eastAsia="en-IN"/>
              </w:rPr>
            </w:pPr>
            <w:r w:rsidRPr="00FE1663">
              <w:rPr>
                <w:spacing w:val="-4"/>
                <w:sz w:val="18"/>
                <w:szCs w:val="18"/>
                <w:lang w:eastAsia="en-IN"/>
              </w:rPr>
              <w:t>527.44</w:t>
            </w:r>
          </w:p>
        </w:tc>
        <w:tc>
          <w:tcPr>
            <w:tcW w:w="569" w:type="pct"/>
            <w:shd w:val="clear" w:color="auto" w:fill="auto"/>
            <w:noWrap/>
            <w:vAlign w:val="center"/>
            <w:hideMark/>
          </w:tcPr>
          <w:p w14:paraId="2C487181" w14:textId="7A0E7AFE" w:rsidR="009A2813" w:rsidRPr="00FE1663" w:rsidRDefault="00A37354" w:rsidP="00FE1663">
            <w:pPr>
              <w:pStyle w:val="ExhibitText"/>
              <w:jc w:val="right"/>
              <w:rPr>
                <w:spacing w:val="-4"/>
                <w:sz w:val="18"/>
                <w:szCs w:val="18"/>
                <w:lang w:eastAsia="en-IN"/>
              </w:rPr>
            </w:pPr>
            <w:r w:rsidRPr="00FE1663">
              <w:rPr>
                <w:spacing w:val="-4"/>
                <w:sz w:val="18"/>
                <w:szCs w:val="18"/>
                <w:lang w:eastAsia="en-IN"/>
              </w:rPr>
              <w:t>995.56</w:t>
            </w:r>
          </w:p>
        </w:tc>
      </w:tr>
      <w:tr w:rsidR="00C902DC" w:rsidRPr="00FE1663" w14:paraId="0AC76224" w14:textId="77777777" w:rsidTr="00C902DC">
        <w:trPr>
          <w:trHeight w:val="71"/>
          <w:jc w:val="center"/>
        </w:trPr>
        <w:tc>
          <w:tcPr>
            <w:tcW w:w="1433" w:type="pct"/>
            <w:shd w:val="clear" w:color="auto" w:fill="auto"/>
            <w:noWrap/>
            <w:vAlign w:val="center"/>
          </w:tcPr>
          <w:p w14:paraId="4A596CD0" w14:textId="0A15B305" w:rsidR="009A2813" w:rsidRPr="00FE1663" w:rsidRDefault="009A2813" w:rsidP="00FE1663">
            <w:pPr>
              <w:pStyle w:val="ExhibitText"/>
              <w:jc w:val="left"/>
              <w:rPr>
                <w:spacing w:val="-4"/>
                <w:sz w:val="18"/>
                <w:szCs w:val="18"/>
                <w:lang w:eastAsia="en-IN"/>
              </w:rPr>
            </w:pPr>
            <w:r w:rsidRPr="00FE1663">
              <w:rPr>
                <w:spacing w:val="-4"/>
                <w:sz w:val="18"/>
                <w:szCs w:val="18"/>
                <w:lang w:eastAsia="en-IN"/>
              </w:rPr>
              <w:t xml:space="preserve">Excess </w:t>
            </w:r>
            <w:r w:rsidR="00A37354" w:rsidRPr="00FE1663">
              <w:rPr>
                <w:spacing w:val="-4"/>
                <w:sz w:val="18"/>
                <w:szCs w:val="18"/>
                <w:lang w:eastAsia="en-IN"/>
              </w:rPr>
              <w:t>Provision of Earlier Years Written Back</w:t>
            </w:r>
          </w:p>
        </w:tc>
        <w:tc>
          <w:tcPr>
            <w:tcW w:w="591" w:type="pct"/>
            <w:shd w:val="clear" w:color="auto" w:fill="auto"/>
            <w:noWrap/>
            <w:vAlign w:val="center"/>
          </w:tcPr>
          <w:p w14:paraId="63B05721" w14:textId="77A5F147" w:rsidR="009A2813" w:rsidRPr="00FE1663" w:rsidRDefault="00A37354" w:rsidP="00FE1663">
            <w:pPr>
              <w:pStyle w:val="ExhibitText"/>
              <w:jc w:val="right"/>
              <w:rPr>
                <w:spacing w:val="-4"/>
                <w:sz w:val="18"/>
                <w:szCs w:val="18"/>
                <w:lang w:eastAsia="en-IN"/>
              </w:rPr>
            </w:pPr>
            <w:r w:rsidRPr="00FE1663">
              <w:rPr>
                <w:spacing w:val="-4"/>
                <w:sz w:val="18"/>
                <w:szCs w:val="18"/>
                <w:lang w:eastAsia="en-IN"/>
              </w:rPr>
              <w:t>Nil</w:t>
            </w:r>
          </w:p>
        </w:tc>
        <w:tc>
          <w:tcPr>
            <w:tcW w:w="602" w:type="pct"/>
            <w:shd w:val="clear" w:color="auto" w:fill="auto"/>
            <w:noWrap/>
            <w:vAlign w:val="center"/>
          </w:tcPr>
          <w:p w14:paraId="7F0B7895" w14:textId="359A762F" w:rsidR="009A2813" w:rsidRPr="00FE1663" w:rsidRDefault="00A37354" w:rsidP="00FE1663">
            <w:pPr>
              <w:pStyle w:val="ExhibitText"/>
              <w:jc w:val="right"/>
              <w:rPr>
                <w:spacing w:val="-4"/>
                <w:sz w:val="18"/>
                <w:szCs w:val="18"/>
                <w:lang w:eastAsia="en-IN"/>
              </w:rPr>
            </w:pPr>
            <w:r w:rsidRPr="00FE1663">
              <w:rPr>
                <w:spacing w:val="-4"/>
                <w:sz w:val="18"/>
                <w:szCs w:val="18"/>
                <w:lang w:eastAsia="en-IN"/>
              </w:rPr>
              <w:t>Nil</w:t>
            </w:r>
          </w:p>
        </w:tc>
        <w:tc>
          <w:tcPr>
            <w:tcW w:w="602" w:type="pct"/>
            <w:vAlign w:val="center"/>
          </w:tcPr>
          <w:p w14:paraId="761DE609" w14:textId="68BE4CB1" w:rsidR="009A2813" w:rsidRPr="00FE1663" w:rsidRDefault="00A37354" w:rsidP="00FE1663">
            <w:pPr>
              <w:pStyle w:val="ExhibitText"/>
              <w:jc w:val="right"/>
              <w:rPr>
                <w:spacing w:val="-4"/>
                <w:sz w:val="18"/>
                <w:szCs w:val="18"/>
                <w:lang w:eastAsia="en-IN"/>
              </w:rPr>
            </w:pPr>
            <w:r>
              <w:rPr>
                <w:spacing w:val="-4"/>
                <w:sz w:val="18"/>
                <w:szCs w:val="18"/>
                <w:lang w:eastAsia="en-IN"/>
              </w:rPr>
              <w:t>N</w:t>
            </w:r>
            <w:r w:rsidRPr="00FE1663">
              <w:rPr>
                <w:spacing w:val="-4"/>
                <w:sz w:val="18"/>
                <w:szCs w:val="18"/>
                <w:lang w:eastAsia="en-IN"/>
              </w:rPr>
              <w:t>il</w:t>
            </w:r>
          </w:p>
        </w:tc>
        <w:tc>
          <w:tcPr>
            <w:tcW w:w="602" w:type="pct"/>
            <w:vAlign w:val="center"/>
          </w:tcPr>
          <w:p w14:paraId="740ED57C" w14:textId="43FCD685" w:rsidR="009A2813" w:rsidRPr="00FE1663" w:rsidRDefault="00A37354" w:rsidP="00FE1663">
            <w:pPr>
              <w:pStyle w:val="ExhibitText"/>
              <w:jc w:val="right"/>
              <w:rPr>
                <w:spacing w:val="-4"/>
                <w:sz w:val="18"/>
                <w:szCs w:val="18"/>
                <w:lang w:eastAsia="en-IN"/>
              </w:rPr>
            </w:pPr>
            <w:r w:rsidRPr="00FE1663">
              <w:rPr>
                <w:spacing w:val="-4"/>
                <w:sz w:val="18"/>
                <w:szCs w:val="18"/>
                <w:lang w:eastAsia="en-IN"/>
              </w:rPr>
              <w:t>Nil</w:t>
            </w:r>
          </w:p>
        </w:tc>
        <w:tc>
          <w:tcPr>
            <w:tcW w:w="602" w:type="pct"/>
            <w:shd w:val="clear" w:color="auto" w:fill="auto"/>
            <w:noWrap/>
            <w:vAlign w:val="center"/>
          </w:tcPr>
          <w:p w14:paraId="7820FDBD" w14:textId="0A9D6DA7" w:rsidR="009A2813" w:rsidRPr="00FE1663" w:rsidRDefault="00A37354" w:rsidP="00FE1663">
            <w:pPr>
              <w:pStyle w:val="ExhibitText"/>
              <w:jc w:val="right"/>
              <w:rPr>
                <w:spacing w:val="-4"/>
                <w:sz w:val="18"/>
                <w:szCs w:val="18"/>
                <w:lang w:eastAsia="en-IN"/>
              </w:rPr>
            </w:pPr>
            <w:r w:rsidRPr="00FE1663">
              <w:rPr>
                <w:spacing w:val="-4"/>
                <w:sz w:val="18"/>
                <w:szCs w:val="18"/>
                <w:lang w:eastAsia="en-IN"/>
              </w:rPr>
              <w:t>Nil</w:t>
            </w:r>
          </w:p>
        </w:tc>
        <w:tc>
          <w:tcPr>
            <w:tcW w:w="569" w:type="pct"/>
            <w:shd w:val="clear" w:color="auto" w:fill="auto"/>
            <w:noWrap/>
            <w:vAlign w:val="center"/>
          </w:tcPr>
          <w:p w14:paraId="24B33A11" w14:textId="44906819" w:rsidR="009A2813" w:rsidRPr="00FE1663" w:rsidRDefault="00A37354" w:rsidP="00FE1663">
            <w:pPr>
              <w:pStyle w:val="ExhibitText"/>
              <w:jc w:val="right"/>
              <w:rPr>
                <w:spacing w:val="-4"/>
                <w:sz w:val="18"/>
                <w:szCs w:val="18"/>
                <w:lang w:eastAsia="en-IN"/>
              </w:rPr>
            </w:pPr>
            <w:r>
              <w:rPr>
                <w:spacing w:val="-4"/>
                <w:sz w:val="18"/>
                <w:szCs w:val="18"/>
                <w:lang w:eastAsia="en-IN"/>
              </w:rPr>
              <w:t>(</w:t>
            </w:r>
            <w:r w:rsidRPr="00FE1663">
              <w:rPr>
                <w:spacing w:val="-4"/>
                <w:sz w:val="18"/>
                <w:szCs w:val="18"/>
                <w:lang w:eastAsia="en-IN"/>
              </w:rPr>
              <w:t>187.60</w:t>
            </w:r>
            <w:r>
              <w:rPr>
                <w:spacing w:val="-4"/>
                <w:sz w:val="18"/>
                <w:szCs w:val="18"/>
                <w:lang w:eastAsia="en-IN"/>
              </w:rPr>
              <w:t>)</w:t>
            </w:r>
          </w:p>
        </w:tc>
      </w:tr>
      <w:tr w:rsidR="00C902DC" w:rsidRPr="00FE1663" w14:paraId="6FE64E42" w14:textId="77777777" w:rsidTr="00C902DC">
        <w:trPr>
          <w:trHeight w:val="138"/>
          <w:jc w:val="center"/>
        </w:trPr>
        <w:tc>
          <w:tcPr>
            <w:tcW w:w="1433" w:type="pct"/>
            <w:tcBorders>
              <w:bottom w:val="nil"/>
            </w:tcBorders>
            <w:shd w:val="clear" w:color="auto" w:fill="auto"/>
            <w:noWrap/>
            <w:vAlign w:val="center"/>
            <w:hideMark/>
          </w:tcPr>
          <w:p w14:paraId="1E0CA8E4" w14:textId="08855A34" w:rsidR="009A2813" w:rsidRPr="00FE1663" w:rsidRDefault="009A2813" w:rsidP="00FE1663">
            <w:pPr>
              <w:pStyle w:val="ExhibitText"/>
              <w:jc w:val="left"/>
              <w:rPr>
                <w:spacing w:val="-4"/>
                <w:sz w:val="18"/>
                <w:szCs w:val="18"/>
                <w:lang w:eastAsia="en-IN"/>
              </w:rPr>
            </w:pPr>
            <w:r w:rsidRPr="00FE1663">
              <w:rPr>
                <w:spacing w:val="-4"/>
                <w:sz w:val="18"/>
                <w:szCs w:val="18"/>
                <w:lang w:eastAsia="en-IN"/>
              </w:rPr>
              <w:t xml:space="preserve">Deferred </w:t>
            </w:r>
            <w:r w:rsidR="00A37354" w:rsidRPr="00FE1663">
              <w:rPr>
                <w:spacing w:val="-4"/>
                <w:sz w:val="18"/>
                <w:szCs w:val="18"/>
                <w:lang w:eastAsia="en-IN"/>
              </w:rPr>
              <w:t>Tax Charge</w:t>
            </w:r>
            <w:r w:rsidR="00A37354">
              <w:rPr>
                <w:spacing w:val="-4"/>
                <w:sz w:val="18"/>
                <w:szCs w:val="18"/>
                <w:lang w:eastAsia="en-IN"/>
              </w:rPr>
              <w:t xml:space="preserve"> (</w:t>
            </w:r>
            <w:r w:rsidR="00A37354" w:rsidRPr="00FE1663">
              <w:rPr>
                <w:spacing w:val="-4"/>
                <w:sz w:val="18"/>
                <w:szCs w:val="18"/>
                <w:lang w:eastAsia="en-IN"/>
              </w:rPr>
              <w:t>Credit</w:t>
            </w:r>
            <w:r w:rsidR="00A37354">
              <w:rPr>
                <w:spacing w:val="-4"/>
                <w:sz w:val="18"/>
                <w:szCs w:val="18"/>
                <w:lang w:eastAsia="en-IN"/>
              </w:rPr>
              <w:t>)</w:t>
            </w:r>
          </w:p>
        </w:tc>
        <w:tc>
          <w:tcPr>
            <w:tcW w:w="591" w:type="pct"/>
            <w:tcBorders>
              <w:bottom w:val="nil"/>
            </w:tcBorders>
            <w:shd w:val="clear" w:color="auto" w:fill="auto"/>
            <w:noWrap/>
            <w:vAlign w:val="center"/>
            <w:hideMark/>
          </w:tcPr>
          <w:p w14:paraId="66B7F3F0" w14:textId="0C22A233" w:rsidR="009A2813" w:rsidRPr="00FE1663" w:rsidRDefault="00A37354" w:rsidP="00FE1663">
            <w:pPr>
              <w:pStyle w:val="ExhibitText"/>
              <w:jc w:val="right"/>
              <w:rPr>
                <w:spacing w:val="-4"/>
                <w:sz w:val="18"/>
                <w:szCs w:val="18"/>
                <w:lang w:eastAsia="en-IN"/>
              </w:rPr>
            </w:pPr>
            <w:r w:rsidRPr="00FE1663">
              <w:rPr>
                <w:spacing w:val="-4"/>
                <w:sz w:val="18"/>
                <w:szCs w:val="18"/>
                <w:lang w:eastAsia="en-IN"/>
              </w:rPr>
              <w:t>409.43</w:t>
            </w:r>
          </w:p>
        </w:tc>
        <w:tc>
          <w:tcPr>
            <w:tcW w:w="602" w:type="pct"/>
            <w:tcBorders>
              <w:bottom w:val="nil"/>
            </w:tcBorders>
            <w:shd w:val="clear" w:color="auto" w:fill="auto"/>
            <w:noWrap/>
            <w:vAlign w:val="center"/>
            <w:hideMark/>
          </w:tcPr>
          <w:p w14:paraId="3A163879" w14:textId="7AE4EC75" w:rsidR="009A2813" w:rsidRPr="00FE1663" w:rsidRDefault="00A37354" w:rsidP="00FE1663">
            <w:pPr>
              <w:pStyle w:val="ExhibitText"/>
              <w:jc w:val="right"/>
              <w:rPr>
                <w:spacing w:val="-4"/>
                <w:sz w:val="18"/>
                <w:szCs w:val="18"/>
                <w:lang w:eastAsia="en-IN"/>
              </w:rPr>
            </w:pPr>
            <w:r>
              <w:rPr>
                <w:spacing w:val="-4"/>
                <w:sz w:val="18"/>
                <w:szCs w:val="18"/>
                <w:lang w:eastAsia="en-IN"/>
              </w:rPr>
              <w:t>(</w:t>
            </w:r>
            <w:r w:rsidRPr="00FE1663">
              <w:rPr>
                <w:spacing w:val="-4"/>
                <w:sz w:val="18"/>
                <w:szCs w:val="18"/>
                <w:lang w:eastAsia="en-IN"/>
              </w:rPr>
              <w:t>483.45</w:t>
            </w:r>
            <w:r>
              <w:rPr>
                <w:spacing w:val="-4"/>
                <w:sz w:val="18"/>
                <w:szCs w:val="18"/>
                <w:lang w:eastAsia="en-IN"/>
              </w:rPr>
              <w:t>)</w:t>
            </w:r>
          </w:p>
        </w:tc>
        <w:tc>
          <w:tcPr>
            <w:tcW w:w="602" w:type="pct"/>
            <w:tcBorders>
              <w:bottom w:val="nil"/>
            </w:tcBorders>
            <w:vAlign w:val="center"/>
          </w:tcPr>
          <w:p w14:paraId="01813E39" w14:textId="452740B9" w:rsidR="009A2813" w:rsidRPr="00FE1663" w:rsidRDefault="00A37354" w:rsidP="00FE1663">
            <w:pPr>
              <w:pStyle w:val="ExhibitText"/>
              <w:jc w:val="right"/>
              <w:rPr>
                <w:spacing w:val="-4"/>
                <w:sz w:val="18"/>
                <w:szCs w:val="18"/>
                <w:lang w:eastAsia="en-IN"/>
              </w:rPr>
            </w:pPr>
            <w:r>
              <w:rPr>
                <w:spacing w:val="-4"/>
                <w:sz w:val="18"/>
                <w:szCs w:val="18"/>
                <w:lang w:eastAsia="en-IN"/>
              </w:rPr>
              <w:t>(</w:t>
            </w:r>
            <w:r w:rsidRPr="00FE1663">
              <w:rPr>
                <w:spacing w:val="-4"/>
                <w:sz w:val="18"/>
                <w:szCs w:val="18"/>
                <w:lang w:eastAsia="en-IN"/>
              </w:rPr>
              <w:t>118.10</w:t>
            </w:r>
            <w:r>
              <w:rPr>
                <w:spacing w:val="-4"/>
                <w:sz w:val="18"/>
                <w:szCs w:val="18"/>
                <w:lang w:eastAsia="en-IN"/>
              </w:rPr>
              <w:t>)</w:t>
            </w:r>
          </w:p>
        </w:tc>
        <w:tc>
          <w:tcPr>
            <w:tcW w:w="602" w:type="pct"/>
            <w:tcBorders>
              <w:bottom w:val="nil"/>
            </w:tcBorders>
            <w:vAlign w:val="center"/>
          </w:tcPr>
          <w:p w14:paraId="563CB007" w14:textId="2B99596B" w:rsidR="009A2813" w:rsidRPr="00FE1663" w:rsidRDefault="00A37354" w:rsidP="00FE1663">
            <w:pPr>
              <w:pStyle w:val="ExhibitText"/>
              <w:jc w:val="right"/>
              <w:rPr>
                <w:spacing w:val="-4"/>
                <w:sz w:val="18"/>
                <w:szCs w:val="18"/>
                <w:lang w:eastAsia="en-IN"/>
              </w:rPr>
            </w:pPr>
            <w:r>
              <w:rPr>
                <w:spacing w:val="-4"/>
                <w:sz w:val="18"/>
                <w:szCs w:val="18"/>
                <w:lang w:eastAsia="en-IN"/>
              </w:rPr>
              <w:t>(</w:t>
            </w:r>
            <w:r w:rsidRPr="00FE1663">
              <w:rPr>
                <w:spacing w:val="-4"/>
                <w:sz w:val="18"/>
                <w:szCs w:val="18"/>
                <w:lang w:eastAsia="en-IN"/>
              </w:rPr>
              <w:t>33.10</w:t>
            </w:r>
            <w:r>
              <w:rPr>
                <w:spacing w:val="-4"/>
                <w:sz w:val="18"/>
                <w:szCs w:val="18"/>
                <w:lang w:eastAsia="en-IN"/>
              </w:rPr>
              <w:t>)</w:t>
            </w:r>
          </w:p>
        </w:tc>
        <w:tc>
          <w:tcPr>
            <w:tcW w:w="602" w:type="pct"/>
            <w:tcBorders>
              <w:bottom w:val="nil"/>
            </w:tcBorders>
            <w:shd w:val="clear" w:color="auto" w:fill="auto"/>
            <w:noWrap/>
            <w:vAlign w:val="center"/>
            <w:hideMark/>
          </w:tcPr>
          <w:p w14:paraId="7139D389" w14:textId="01DB3FB2" w:rsidR="009A2813" w:rsidRPr="00FE1663" w:rsidRDefault="00A37354" w:rsidP="00FE1663">
            <w:pPr>
              <w:pStyle w:val="ExhibitText"/>
              <w:jc w:val="right"/>
              <w:rPr>
                <w:spacing w:val="-4"/>
                <w:sz w:val="18"/>
                <w:szCs w:val="18"/>
                <w:lang w:eastAsia="en-IN"/>
              </w:rPr>
            </w:pPr>
            <w:r>
              <w:rPr>
                <w:spacing w:val="-4"/>
                <w:sz w:val="18"/>
                <w:szCs w:val="18"/>
                <w:lang w:eastAsia="en-IN"/>
              </w:rPr>
              <w:t>(</w:t>
            </w:r>
            <w:r w:rsidRPr="00FE1663">
              <w:rPr>
                <w:spacing w:val="-4"/>
                <w:sz w:val="18"/>
                <w:szCs w:val="18"/>
                <w:lang w:eastAsia="en-IN"/>
              </w:rPr>
              <w:t>302.67</w:t>
            </w:r>
            <w:r>
              <w:rPr>
                <w:spacing w:val="-4"/>
                <w:sz w:val="18"/>
                <w:szCs w:val="18"/>
                <w:lang w:eastAsia="en-IN"/>
              </w:rPr>
              <w:t>)</w:t>
            </w:r>
          </w:p>
        </w:tc>
        <w:tc>
          <w:tcPr>
            <w:tcW w:w="569" w:type="pct"/>
            <w:tcBorders>
              <w:bottom w:val="nil"/>
            </w:tcBorders>
            <w:shd w:val="clear" w:color="auto" w:fill="auto"/>
            <w:noWrap/>
            <w:vAlign w:val="center"/>
            <w:hideMark/>
          </w:tcPr>
          <w:p w14:paraId="52750FA7" w14:textId="4E3EFEB9" w:rsidR="009A2813" w:rsidRPr="00FE1663" w:rsidRDefault="00A37354" w:rsidP="00FE1663">
            <w:pPr>
              <w:pStyle w:val="ExhibitText"/>
              <w:jc w:val="right"/>
              <w:rPr>
                <w:spacing w:val="-4"/>
                <w:sz w:val="18"/>
                <w:szCs w:val="18"/>
                <w:lang w:eastAsia="en-IN"/>
              </w:rPr>
            </w:pPr>
            <w:r w:rsidRPr="00FE1663">
              <w:rPr>
                <w:spacing w:val="-4"/>
                <w:sz w:val="18"/>
                <w:szCs w:val="18"/>
                <w:lang w:eastAsia="en-IN"/>
              </w:rPr>
              <w:t>27.46</w:t>
            </w:r>
          </w:p>
        </w:tc>
      </w:tr>
      <w:tr w:rsidR="00C902DC" w:rsidRPr="00FE1663" w14:paraId="13799951" w14:textId="77777777" w:rsidTr="00C902DC">
        <w:trPr>
          <w:trHeight w:val="138"/>
          <w:jc w:val="center"/>
        </w:trPr>
        <w:tc>
          <w:tcPr>
            <w:tcW w:w="1433" w:type="pct"/>
            <w:tcBorders>
              <w:top w:val="nil"/>
              <w:bottom w:val="single" w:sz="4" w:space="0" w:color="auto"/>
            </w:tcBorders>
            <w:shd w:val="clear" w:color="auto" w:fill="auto"/>
            <w:noWrap/>
            <w:vAlign w:val="center"/>
            <w:hideMark/>
          </w:tcPr>
          <w:p w14:paraId="71553CF3" w14:textId="6DD842E9" w:rsidR="009A2813" w:rsidRPr="00FE1663" w:rsidRDefault="009A2813" w:rsidP="00FE1663">
            <w:pPr>
              <w:pStyle w:val="ExhibitText"/>
              <w:jc w:val="left"/>
              <w:rPr>
                <w:b/>
                <w:spacing w:val="-4"/>
                <w:sz w:val="18"/>
                <w:szCs w:val="18"/>
                <w:lang w:eastAsia="en-IN"/>
              </w:rPr>
            </w:pPr>
            <w:r w:rsidRPr="00FE1663">
              <w:rPr>
                <w:b/>
                <w:spacing w:val="-4"/>
                <w:sz w:val="18"/>
                <w:szCs w:val="18"/>
                <w:lang w:eastAsia="en-IN"/>
              </w:rPr>
              <w:t xml:space="preserve">Profit </w:t>
            </w:r>
            <w:r w:rsidR="00A37354" w:rsidRPr="00FE1663">
              <w:rPr>
                <w:b/>
                <w:spacing w:val="-4"/>
                <w:sz w:val="18"/>
                <w:szCs w:val="18"/>
                <w:lang w:eastAsia="en-IN"/>
              </w:rPr>
              <w:t xml:space="preserve">(Loss) for the Year </w:t>
            </w:r>
          </w:p>
        </w:tc>
        <w:tc>
          <w:tcPr>
            <w:tcW w:w="591" w:type="pct"/>
            <w:tcBorders>
              <w:top w:val="nil"/>
              <w:bottom w:val="single" w:sz="4" w:space="0" w:color="auto"/>
            </w:tcBorders>
            <w:shd w:val="clear" w:color="auto" w:fill="auto"/>
            <w:noWrap/>
            <w:vAlign w:val="center"/>
            <w:hideMark/>
          </w:tcPr>
          <w:p w14:paraId="6E102398" w14:textId="58997147" w:rsidR="009A2813" w:rsidRPr="00FE1663" w:rsidRDefault="00A37354" w:rsidP="00FE1663">
            <w:pPr>
              <w:pStyle w:val="ExhibitText"/>
              <w:jc w:val="right"/>
              <w:rPr>
                <w:b/>
                <w:spacing w:val="-4"/>
                <w:sz w:val="18"/>
                <w:szCs w:val="18"/>
                <w:lang w:eastAsia="en-IN"/>
              </w:rPr>
            </w:pPr>
            <w:r>
              <w:rPr>
                <w:b/>
                <w:spacing w:val="-4"/>
                <w:sz w:val="18"/>
                <w:szCs w:val="18"/>
                <w:lang w:eastAsia="en-IN"/>
              </w:rPr>
              <w:t>(</w:t>
            </w:r>
            <w:r w:rsidRPr="00FE1663">
              <w:rPr>
                <w:b/>
                <w:spacing w:val="-4"/>
                <w:sz w:val="18"/>
                <w:szCs w:val="18"/>
                <w:lang w:eastAsia="en-IN"/>
              </w:rPr>
              <w:t>139.37</w:t>
            </w:r>
            <w:r>
              <w:rPr>
                <w:b/>
                <w:spacing w:val="-4"/>
                <w:sz w:val="18"/>
                <w:szCs w:val="18"/>
                <w:lang w:eastAsia="en-IN"/>
              </w:rPr>
              <w:t>)</w:t>
            </w:r>
          </w:p>
        </w:tc>
        <w:tc>
          <w:tcPr>
            <w:tcW w:w="602" w:type="pct"/>
            <w:tcBorders>
              <w:top w:val="nil"/>
              <w:bottom w:val="single" w:sz="4" w:space="0" w:color="auto"/>
            </w:tcBorders>
            <w:shd w:val="clear" w:color="auto" w:fill="auto"/>
            <w:noWrap/>
            <w:vAlign w:val="center"/>
            <w:hideMark/>
          </w:tcPr>
          <w:p w14:paraId="7C327F04" w14:textId="0281DA18" w:rsidR="009A2813" w:rsidRPr="00FE1663" w:rsidRDefault="00A37354" w:rsidP="00FE1663">
            <w:pPr>
              <w:pStyle w:val="ExhibitText"/>
              <w:jc w:val="right"/>
              <w:rPr>
                <w:b/>
                <w:spacing w:val="-4"/>
                <w:sz w:val="18"/>
                <w:szCs w:val="18"/>
                <w:lang w:eastAsia="en-IN"/>
              </w:rPr>
            </w:pPr>
            <w:r w:rsidRPr="00FE1663">
              <w:rPr>
                <w:b/>
                <w:spacing w:val="-4"/>
                <w:sz w:val="18"/>
                <w:szCs w:val="18"/>
                <w:lang w:eastAsia="en-IN"/>
              </w:rPr>
              <w:t>1,087.98</w:t>
            </w:r>
          </w:p>
        </w:tc>
        <w:tc>
          <w:tcPr>
            <w:tcW w:w="602" w:type="pct"/>
            <w:tcBorders>
              <w:top w:val="nil"/>
              <w:bottom w:val="single" w:sz="4" w:space="0" w:color="auto"/>
            </w:tcBorders>
            <w:vAlign w:val="center"/>
          </w:tcPr>
          <w:p w14:paraId="383FC5F3" w14:textId="740B2E4D" w:rsidR="009A2813" w:rsidRPr="00FE1663" w:rsidRDefault="00A37354" w:rsidP="00FE1663">
            <w:pPr>
              <w:pStyle w:val="ExhibitText"/>
              <w:jc w:val="right"/>
              <w:rPr>
                <w:b/>
                <w:spacing w:val="-4"/>
                <w:sz w:val="18"/>
                <w:szCs w:val="18"/>
                <w:lang w:eastAsia="en-IN"/>
              </w:rPr>
            </w:pPr>
            <w:r w:rsidRPr="00FE1663">
              <w:rPr>
                <w:b/>
                <w:spacing w:val="-4"/>
                <w:sz w:val="18"/>
                <w:szCs w:val="18"/>
                <w:lang w:eastAsia="en-IN"/>
              </w:rPr>
              <w:t>1,208.77</w:t>
            </w:r>
          </w:p>
        </w:tc>
        <w:tc>
          <w:tcPr>
            <w:tcW w:w="602" w:type="pct"/>
            <w:tcBorders>
              <w:top w:val="nil"/>
              <w:bottom w:val="single" w:sz="4" w:space="0" w:color="auto"/>
            </w:tcBorders>
            <w:vAlign w:val="center"/>
          </w:tcPr>
          <w:p w14:paraId="0199BABF" w14:textId="293FA9C2" w:rsidR="009A2813" w:rsidRPr="00FE1663" w:rsidRDefault="00A37354" w:rsidP="00FE1663">
            <w:pPr>
              <w:pStyle w:val="ExhibitText"/>
              <w:jc w:val="right"/>
              <w:rPr>
                <w:b/>
                <w:spacing w:val="-4"/>
                <w:sz w:val="18"/>
                <w:szCs w:val="18"/>
                <w:lang w:eastAsia="en-IN"/>
              </w:rPr>
            </w:pPr>
            <w:r w:rsidRPr="00FE1663">
              <w:rPr>
                <w:b/>
                <w:spacing w:val="-4"/>
                <w:sz w:val="18"/>
                <w:szCs w:val="18"/>
                <w:lang w:eastAsia="en-IN"/>
              </w:rPr>
              <w:t>1,568.51</w:t>
            </w:r>
          </w:p>
        </w:tc>
        <w:tc>
          <w:tcPr>
            <w:tcW w:w="602" w:type="pct"/>
            <w:tcBorders>
              <w:top w:val="nil"/>
              <w:bottom w:val="single" w:sz="4" w:space="0" w:color="auto"/>
            </w:tcBorders>
            <w:shd w:val="clear" w:color="auto" w:fill="auto"/>
            <w:noWrap/>
            <w:vAlign w:val="center"/>
            <w:hideMark/>
          </w:tcPr>
          <w:p w14:paraId="019DDF19" w14:textId="63ABDFA6" w:rsidR="009A2813" w:rsidRPr="00FE1663" w:rsidRDefault="00A37354" w:rsidP="00FE1663">
            <w:pPr>
              <w:pStyle w:val="ExhibitText"/>
              <w:jc w:val="right"/>
              <w:rPr>
                <w:b/>
                <w:spacing w:val="-4"/>
                <w:sz w:val="18"/>
                <w:szCs w:val="18"/>
                <w:lang w:eastAsia="en-IN"/>
              </w:rPr>
            </w:pPr>
            <w:r w:rsidRPr="00FE1663">
              <w:rPr>
                <w:b/>
                <w:spacing w:val="-4"/>
                <w:sz w:val="18"/>
                <w:szCs w:val="18"/>
                <w:lang w:eastAsia="en-IN"/>
              </w:rPr>
              <w:t>754.43</w:t>
            </w:r>
          </w:p>
        </w:tc>
        <w:tc>
          <w:tcPr>
            <w:tcW w:w="569" w:type="pct"/>
            <w:tcBorders>
              <w:top w:val="nil"/>
              <w:bottom w:val="single" w:sz="4" w:space="0" w:color="auto"/>
            </w:tcBorders>
            <w:shd w:val="clear" w:color="auto" w:fill="auto"/>
            <w:noWrap/>
            <w:vAlign w:val="center"/>
            <w:hideMark/>
          </w:tcPr>
          <w:p w14:paraId="20846DEB" w14:textId="724F957B" w:rsidR="009A2813" w:rsidRPr="00FE1663" w:rsidRDefault="00A37354" w:rsidP="00FE1663">
            <w:pPr>
              <w:pStyle w:val="ExhibitText"/>
              <w:jc w:val="right"/>
              <w:rPr>
                <w:b/>
                <w:spacing w:val="-4"/>
                <w:sz w:val="18"/>
                <w:szCs w:val="18"/>
                <w:lang w:eastAsia="en-IN"/>
              </w:rPr>
            </w:pPr>
            <w:r w:rsidRPr="00FE1663">
              <w:rPr>
                <w:b/>
                <w:spacing w:val="-4"/>
                <w:sz w:val="18"/>
                <w:szCs w:val="18"/>
                <w:lang w:eastAsia="en-IN"/>
              </w:rPr>
              <w:t>771.09</w:t>
            </w:r>
          </w:p>
        </w:tc>
      </w:tr>
      <w:tr w:rsidR="00C902DC" w:rsidRPr="00FE1663" w14:paraId="3684B709" w14:textId="77777777" w:rsidTr="00C902DC">
        <w:trPr>
          <w:trHeight w:val="54"/>
          <w:jc w:val="center"/>
        </w:trPr>
        <w:tc>
          <w:tcPr>
            <w:tcW w:w="1433" w:type="pct"/>
            <w:tcBorders>
              <w:top w:val="single" w:sz="4" w:space="0" w:color="auto"/>
            </w:tcBorders>
            <w:shd w:val="clear" w:color="auto" w:fill="auto"/>
            <w:noWrap/>
            <w:vAlign w:val="center"/>
            <w:hideMark/>
          </w:tcPr>
          <w:p w14:paraId="3AFB6173" w14:textId="77777777" w:rsidR="009A2813" w:rsidRPr="00FE1663" w:rsidRDefault="009A2813" w:rsidP="00FE1663">
            <w:pPr>
              <w:pStyle w:val="ExhibitText"/>
              <w:jc w:val="left"/>
              <w:rPr>
                <w:b/>
                <w:spacing w:val="-4"/>
                <w:sz w:val="18"/>
                <w:szCs w:val="18"/>
                <w:lang w:eastAsia="en-IN"/>
              </w:rPr>
            </w:pPr>
            <w:r w:rsidRPr="00FE1663">
              <w:rPr>
                <w:b/>
                <w:spacing w:val="-4"/>
                <w:sz w:val="18"/>
                <w:szCs w:val="18"/>
                <w:lang w:eastAsia="en-IN"/>
              </w:rPr>
              <w:t>Basic Earnings per equity Shares</w:t>
            </w:r>
          </w:p>
        </w:tc>
        <w:tc>
          <w:tcPr>
            <w:tcW w:w="591" w:type="pct"/>
            <w:tcBorders>
              <w:top w:val="single" w:sz="4" w:space="0" w:color="auto"/>
            </w:tcBorders>
            <w:shd w:val="clear" w:color="auto" w:fill="auto"/>
            <w:noWrap/>
            <w:vAlign w:val="center"/>
            <w:hideMark/>
          </w:tcPr>
          <w:p w14:paraId="58D650A1" w14:textId="004A3948" w:rsidR="009A2813" w:rsidRPr="00FE1663" w:rsidRDefault="009F42B3" w:rsidP="00FE1663">
            <w:pPr>
              <w:pStyle w:val="ExhibitText"/>
              <w:jc w:val="right"/>
              <w:rPr>
                <w:b/>
                <w:spacing w:val="-4"/>
                <w:sz w:val="18"/>
                <w:szCs w:val="18"/>
                <w:lang w:eastAsia="en-IN"/>
              </w:rPr>
            </w:pPr>
            <w:r>
              <w:rPr>
                <w:b/>
                <w:spacing w:val="-4"/>
                <w:sz w:val="18"/>
                <w:szCs w:val="18"/>
                <w:lang w:eastAsia="en-IN"/>
              </w:rPr>
              <w:t>(</w:t>
            </w:r>
            <w:r w:rsidR="009A2813" w:rsidRPr="00FE1663">
              <w:rPr>
                <w:b/>
                <w:spacing w:val="-4"/>
                <w:sz w:val="18"/>
                <w:szCs w:val="18"/>
                <w:lang w:eastAsia="en-IN"/>
              </w:rPr>
              <w:t>0.80</w:t>
            </w:r>
            <w:r>
              <w:rPr>
                <w:b/>
                <w:spacing w:val="-4"/>
                <w:sz w:val="18"/>
                <w:szCs w:val="18"/>
                <w:lang w:eastAsia="en-IN"/>
              </w:rPr>
              <w:t>)</w:t>
            </w:r>
          </w:p>
        </w:tc>
        <w:tc>
          <w:tcPr>
            <w:tcW w:w="602" w:type="pct"/>
            <w:tcBorders>
              <w:top w:val="single" w:sz="4" w:space="0" w:color="auto"/>
            </w:tcBorders>
            <w:shd w:val="clear" w:color="auto" w:fill="auto"/>
            <w:noWrap/>
            <w:vAlign w:val="center"/>
            <w:hideMark/>
          </w:tcPr>
          <w:p w14:paraId="30E01C89" w14:textId="77777777" w:rsidR="009A2813" w:rsidRPr="00FE1663" w:rsidRDefault="009A2813" w:rsidP="00FE1663">
            <w:pPr>
              <w:pStyle w:val="ExhibitText"/>
              <w:jc w:val="right"/>
              <w:rPr>
                <w:b/>
                <w:spacing w:val="-4"/>
                <w:sz w:val="18"/>
                <w:szCs w:val="18"/>
                <w:lang w:eastAsia="en-IN"/>
              </w:rPr>
            </w:pPr>
            <w:r w:rsidRPr="00FE1663">
              <w:rPr>
                <w:b/>
                <w:spacing w:val="-4"/>
                <w:sz w:val="18"/>
                <w:szCs w:val="18"/>
                <w:lang w:eastAsia="en-IN"/>
              </w:rPr>
              <w:t>6.25</w:t>
            </w:r>
          </w:p>
        </w:tc>
        <w:tc>
          <w:tcPr>
            <w:tcW w:w="602" w:type="pct"/>
            <w:tcBorders>
              <w:top w:val="single" w:sz="4" w:space="0" w:color="auto"/>
            </w:tcBorders>
            <w:vAlign w:val="center"/>
          </w:tcPr>
          <w:p w14:paraId="20B38AC3" w14:textId="77777777" w:rsidR="009A2813" w:rsidRPr="00FE1663" w:rsidRDefault="009A2813" w:rsidP="00FE1663">
            <w:pPr>
              <w:pStyle w:val="ExhibitText"/>
              <w:jc w:val="right"/>
              <w:rPr>
                <w:b/>
                <w:spacing w:val="-4"/>
                <w:sz w:val="18"/>
                <w:szCs w:val="18"/>
                <w:lang w:eastAsia="en-IN"/>
              </w:rPr>
            </w:pPr>
            <w:r w:rsidRPr="00FE1663">
              <w:rPr>
                <w:b/>
                <w:spacing w:val="-4"/>
                <w:sz w:val="18"/>
                <w:szCs w:val="18"/>
                <w:lang w:eastAsia="en-IN"/>
              </w:rPr>
              <w:t>6.95</w:t>
            </w:r>
          </w:p>
        </w:tc>
        <w:tc>
          <w:tcPr>
            <w:tcW w:w="602" w:type="pct"/>
            <w:tcBorders>
              <w:top w:val="single" w:sz="4" w:space="0" w:color="auto"/>
            </w:tcBorders>
            <w:vAlign w:val="center"/>
          </w:tcPr>
          <w:p w14:paraId="22DF3043" w14:textId="77777777" w:rsidR="009A2813" w:rsidRPr="00FE1663" w:rsidRDefault="009A2813" w:rsidP="00FE1663">
            <w:pPr>
              <w:pStyle w:val="ExhibitText"/>
              <w:jc w:val="right"/>
              <w:rPr>
                <w:b/>
                <w:spacing w:val="-4"/>
                <w:sz w:val="18"/>
                <w:szCs w:val="18"/>
                <w:lang w:eastAsia="en-IN"/>
              </w:rPr>
            </w:pPr>
            <w:r w:rsidRPr="00FE1663">
              <w:rPr>
                <w:b/>
                <w:spacing w:val="-4"/>
                <w:sz w:val="18"/>
                <w:szCs w:val="18"/>
                <w:lang w:eastAsia="en-IN"/>
              </w:rPr>
              <w:t>9.01</w:t>
            </w:r>
          </w:p>
        </w:tc>
        <w:tc>
          <w:tcPr>
            <w:tcW w:w="602" w:type="pct"/>
            <w:tcBorders>
              <w:top w:val="single" w:sz="4" w:space="0" w:color="auto"/>
            </w:tcBorders>
            <w:shd w:val="clear" w:color="auto" w:fill="auto"/>
            <w:noWrap/>
            <w:vAlign w:val="center"/>
            <w:hideMark/>
          </w:tcPr>
          <w:p w14:paraId="674B3083" w14:textId="77777777" w:rsidR="009A2813" w:rsidRPr="00FE1663" w:rsidRDefault="009A2813" w:rsidP="00FE1663">
            <w:pPr>
              <w:pStyle w:val="ExhibitText"/>
              <w:jc w:val="right"/>
              <w:rPr>
                <w:b/>
                <w:spacing w:val="-4"/>
                <w:sz w:val="18"/>
                <w:szCs w:val="18"/>
                <w:lang w:eastAsia="en-IN"/>
              </w:rPr>
            </w:pPr>
            <w:r w:rsidRPr="00FE1663">
              <w:rPr>
                <w:b/>
                <w:spacing w:val="-4"/>
                <w:sz w:val="18"/>
                <w:szCs w:val="18"/>
                <w:lang w:eastAsia="en-IN"/>
              </w:rPr>
              <w:t>4.34</w:t>
            </w:r>
          </w:p>
        </w:tc>
        <w:tc>
          <w:tcPr>
            <w:tcW w:w="569" w:type="pct"/>
            <w:tcBorders>
              <w:top w:val="single" w:sz="4" w:space="0" w:color="auto"/>
            </w:tcBorders>
            <w:shd w:val="clear" w:color="auto" w:fill="auto"/>
            <w:noWrap/>
            <w:vAlign w:val="center"/>
            <w:hideMark/>
          </w:tcPr>
          <w:p w14:paraId="4A90F7F1" w14:textId="77777777" w:rsidR="009A2813" w:rsidRPr="00FE1663" w:rsidRDefault="009A2813" w:rsidP="00FE1663">
            <w:pPr>
              <w:pStyle w:val="ExhibitText"/>
              <w:jc w:val="right"/>
              <w:rPr>
                <w:b/>
                <w:spacing w:val="-4"/>
                <w:sz w:val="18"/>
                <w:szCs w:val="18"/>
                <w:lang w:eastAsia="en-IN"/>
              </w:rPr>
            </w:pPr>
            <w:r w:rsidRPr="00FE1663">
              <w:rPr>
                <w:b/>
                <w:spacing w:val="-4"/>
                <w:sz w:val="18"/>
                <w:szCs w:val="18"/>
                <w:lang w:eastAsia="en-IN"/>
              </w:rPr>
              <w:t>4.43</w:t>
            </w:r>
          </w:p>
        </w:tc>
      </w:tr>
    </w:tbl>
    <w:p w14:paraId="7AAE4A6E" w14:textId="77777777" w:rsidR="00395521" w:rsidRDefault="00395521" w:rsidP="00B32701">
      <w:pPr>
        <w:pStyle w:val="Footnote"/>
      </w:pPr>
    </w:p>
    <w:p w14:paraId="0B6A4C69" w14:textId="0D02CB91" w:rsidR="00395521" w:rsidRDefault="00A37354">
      <w:pPr>
        <w:pStyle w:val="Footnote"/>
      </w:pPr>
      <w:r>
        <w:t xml:space="preserve">Note: ₹ = INR = Indian rupees; </w:t>
      </w:r>
      <w:r w:rsidR="00395521">
        <w:t xml:space="preserve">Net revenue from </w:t>
      </w:r>
      <w:r w:rsidR="009F42B3">
        <w:t>o</w:t>
      </w:r>
      <w:r w:rsidR="00395521">
        <w:t xml:space="preserve">perations </w:t>
      </w:r>
      <w:r w:rsidR="00395521">
        <w:rPr>
          <w:lang w:val="en-IN"/>
        </w:rPr>
        <w:t>calculated as gross revenue from operations less excise duty</w:t>
      </w:r>
      <w:r w:rsidR="009F42B3">
        <w:rPr>
          <w:lang w:val="en-IN"/>
        </w:rPr>
        <w:t>.</w:t>
      </w:r>
      <w:r w:rsidR="00395521">
        <w:t xml:space="preserve"> </w:t>
      </w:r>
    </w:p>
    <w:p w14:paraId="1C6EAFFC" w14:textId="01BAA22E" w:rsidR="009A2813" w:rsidRPr="003F4C13" w:rsidRDefault="009A2813" w:rsidP="00395521">
      <w:pPr>
        <w:pStyle w:val="Footnote"/>
      </w:pPr>
      <w:r w:rsidRPr="003F4C13">
        <w:t xml:space="preserve">Source: </w:t>
      </w:r>
      <w:r w:rsidR="00A37354" w:rsidRPr="00A37354">
        <w:t>Compiled by case authors based on c</w:t>
      </w:r>
      <w:r w:rsidRPr="003F4C13">
        <w:t>ompany annual reports</w:t>
      </w:r>
      <w:r w:rsidR="009F42B3">
        <w:t>.</w:t>
      </w:r>
    </w:p>
    <w:p w14:paraId="5407689B" w14:textId="3B44D1BC" w:rsidR="009A2813" w:rsidRDefault="009A2813" w:rsidP="00395521">
      <w:pPr>
        <w:pStyle w:val="ExhibitText"/>
      </w:pPr>
    </w:p>
    <w:sectPr w:rsidR="009A2813" w:rsidSect="00201D06">
      <w:headerReference w:type="default" r:id="rId17"/>
      <w:pgSz w:w="12240" w:h="15840" w:code="1"/>
      <w:pgMar w:top="1080" w:right="1440" w:bottom="1440" w:left="1440" w:header="108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C043F1" w16cid:durableId="215BFB35"/>
  <w16cid:commentId w16cid:paraId="3555F272" w16cid:durableId="215BFB4B"/>
  <w16cid:commentId w16cid:paraId="53924101" w16cid:durableId="215BFB36"/>
  <w16cid:commentId w16cid:paraId="1F2DA3CF" w16cid:durableId="215BFB78"/>
  <w16cid:commentId w16cid:paraId="02C45941" w16cid:durableId="215BFB37"/>
  <w16cid:commentId w16cid:paraId="24CF7EC5" w16cid:durableId="215BFBF3"/>
  <w16cid:commentId w16cid:paraId="31CADF8E" w16cid:durableId="215BFB38"/>
  <w16cid:commentId w16cid:paraId="0AE0206B" w16cid:durableId="215BFC06"/>
  <w16cid:commentId w16cid:paraId="10145FE3" w16cid:durableId="215BFB39"/>
  <w16cid:commentId w16cid:paraId="00C8F488" w16cid:durableId="215BFBD0"/>
  <w16cid:commentId w16cid:paraId="7812B735" w16cid:durableId="215BFB3A"/>
  <w16cid:commentId w16cid:paraId="358C91F5" w16cid:durableId="215BFC18"/>
  <w16cid:commentId w16cid:paraId="4942A41A" w16cid:durableId="215BFB3B"/>
  <w16cid:commentId w16cid:paraId="391BEF52" w16cid:durableId="215BFC1E"/>
  <w16cid:commentId w16cid:paraId="7A900C0B" w16cid:durableId="215BFB3C"/>
  <w16cid:commentId w16cid:paraId="48890980" w16cid:durableId="215BFE40"/>
  <w16cid:commentId w16cid:paraId="3320728C" w16cid:durableId="215BFB3D"/>
  <w16cid:commentId w16cid:paraId="056641A6" w16cid:durableId="215BFE4D"/>
  <w16cid:commentId w16cid:paraId="2ADD1A70" w16cid:durableId="215BFB3E"/>
  <w16cid:commentId w16cid:paraId="53462733" w16cid:durableId="215BFE5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25C0AC" w14:textId="77777777" w:rsidR="00E95045" w:rsidRDefault="00E95045" w:rsidP="00D75295">
      <w:r>
        <w:separator/>
      </w:r>
    </w:p>
  </w:endnote>
  <w:endnote w:type="continuationSeparator" w:id="0">
    <w:p w14:paraId="67E74B26" w14:textId="77777777" w:rsidR="00E95045" w:rsidRDefault="00E95045"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IveyVHWLogos">
    <w:altName w:val="Courier New"/>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FC3E37" w14:textId="77777777" w:rsidR="00E95045" w:rsidRDefault="00E95045" w:rsidP="00D75295">
      <w:r>
        <w:separator/>
      </w:r>
    </w:p>
  </w:footnote>
  <w:footnote w:type="continuationSeparator" w:id="0">
    <w:p w14:paraId="10A1E123" w14:textId="77777777" w:rsidR="00E95045" w:rsidRDefault="00E95045" w:rsidP="00D75295">
      <w:r>
        <w:continuationSeparator/>
      </w:r>
    </w:p>
  </w:footnote>
  <w:footnote w:id="1">
    <w:p w14:paraId="41E2ACFA" w14:textId="5EE7D6DA" w:rsidR="00E95045" w:rsidRPr="00E117D9" w:rsidRDefault="00E95045" w:rsidP="00E117D9">
      <w:pPr>
        <w:pStyle w:val="Footnote"/>
        <w:rPr>
          <w:lang w:val="en-US"/>
        </w:rPr>
      </w:pPr>
      <w:r>
        <w:rPr>
          <w:rStyle w:val="FootnoteReference"/>
        </w:rPr>
        <w:footnoteRef/>
      </w:r>
      <w:r>
        <w:t xml:space="preserve"> </w:t>
      </w:r>
      <w:r w:rsidRPr="00E117D9">
        <w:rPr>
          <w:spacing w:val="-4"/>
        </w:rPr>
        <w:t>This case was awarded an honourable mention in the ISB-Ivey Global Case Competition 2018. The prize was sponsored by ISB.</w:t>
      </w:r>
    </w:p>
  </w:footnote>
  <w:footnote w:id="2">
    <w:p w14:paraId="17FAD588" w14:textId="770D4CD3" w:rsidR="00E95045" w:rsidRPr="00B67D2A" w:rsidRDefault="00E95045" w:rsidP="00B67D2A">
      <w:pPr>
        <w:pStyle w:val="Footnote"/>
        <w:rPr>
          <w:spacing w:val="-4"/>
          <w:lang w:val="en-IN"/>
        </w:rPr>
      </w:pPr>
      <w:r w:rsidRPr="005022FE">
        <w:rPr>
          <w:rStyle w:val="FootnoteReference"/>
        </w:rPr>
        <w:footnoteRef/>
      </w:r>
      <w:r w:rsidRPr="00B67D2A">
        <w:rPr>
          <w:spacing w:val="-4"/>
        </w:rPr>
        <w:t xml:space="preserve"> </w:t>
      </w:r>
      <w:r>
        <w:rPr>
          <w:spacing w:val="-4"/>
        </w:rPr>
        <w:t>₹ = INR = Indian rupees; ₹</w:t>
      </w:r>
      <w:r w:rsidRPr="00262460">
        <w:rPr>
          <w:spacing w:val="-4"/>
          <w:lang w:val="en-IN"/>
        </w:rPr>
        <w:t>1 =</w:t>
      </w:r>
      <w:r w:rsidRPr="00327A07">
        <w:rPr>
          <w:spacing w:val="-4"/>
          <w:lang w:val="en-IN"/>
        </w:rPr>
        <w:t xml:space="preserve"> US$</w:t>
      </w:r>
      <w:r w:rsidRPr="00262460">
        <w:rPr>
          <w:spacing w:val="-4"/>
          <w:lang w:val="en-IN"/>
        </w:rPr>
        <w:t xml:space="preserve">0.015 </w:t>
      </w:r>
      <w:r w:rsidRPr="00327A07">
        <w:rPr>
          <w:spacing w:val="-4"/>
          <w:lang w:val="en-IN"/>
        </w:rPr>
        <w:t xml:space="preserve">and US$1 = ₹66.83 </w:t>
      </w:r>
      <w:r w:rsidRPr="00262460">
        <w:rPr>
          <w:spacing w:val="-4"/>
          <w:lang w:val="en-IN"/>
        </w:rPr>
        <w:t xml:space="preserve">on </w:t>
      </w:r>
      <w:r w:rsidRPr="00327A07">
        <w:rPr>
          <w:spacing w:val="-4"/>
          <w:lang w:val="en-IN"/>
        </w:rPr>
        <w:t>May 5</w:t>
      </w:r>
      <w:r w:rsidRPr="00262460">
        <w:rPr>
          <w:spacing w:val="-4"/>
          <w:lang w:val="en-IN"/>
        </w:rPr>
        <w:t>, 2018</w:t>
      </w:r>
      <w:r>
        <w:rPr>
          <w:spacing w:val="-4"/>
          <w:lang w:val="en-IN"/>
        </w:rPr>
        <w:t xml:space="preserve">. </w:t>
      </w:r>
      <w:proofErr w:type="spellStart"/>
      <w:r w:rsidRPr="004114F0">
        <w:rPr>
          <w:spacing w:val="-4"/>
          <w:lang w:val="en-IN"/>
        </w:rPr>
        <w:t>Aniek</w:t>
      </w:r>
      <w:proofErr w:type="spellEnd"/>
      <w:r w:rsidRPr="004114F0">
        <w:rPr>
          <w:spacing w:val="-4"/>
          <w:lang w:val="en-IN"/>
        </w:rPr>
        <w:t xml:space="preserve"> Paul</w:t>
      </w:r>
      <w:r>
        <w:rPr>
          <w:spacing w:val="-4"/>
          <w:lang w:val="en-IN"/>
        </w:rPr>
        <w:t>,</w:t>
      </w:r>
      <w:r w:rsidRPr="004114F0">
        <w:rPr>
          <w:spacing w:val="-4"/>
          <w:lang w:val="en-IN"/>
        </w:rPr>
        <w:t xml:space="preserve"> </w:t>
      </w:r>
      <w:r w:rsidRPr="00B67D2A">
        <w:rPr>
          <w:spacing w:val="-4"/>
        </w:rPr>
        <w:t>“</w:t>
      </w:r>
      <w:proofErr w:type="spellStart"/>
      <w:r w:rsidRPr="00B67D2A">
        <w:rPr>
          <w:spacing w:val="-4"/>
        </w:rPr>
        <w:t>Saregama</w:t>
      </w:r>
      <w:proofErr w:type="spellEnd"/>
      <w:r w:rsidRPr="00B67D2A">
        <w:rPr>
          <w:spacing w:val="-4"/>
        </w:rPr>
        <w:t xml:space="preserve"> Rises from </w:t>
      </w:r>
      <w:r>
        <w:rPr>
          <w:spacing w:val="-4"/>
        </w:rPr>
        <w:t>I</w:t>
      </w:r>
      <w:r w:rsidRPr="00B67D2A">
        <w:rPr>
          <w:spacing w:val="-4"/>
        </w:rPr>
        <w:t xml:space="preserve">ts Ashes </w:t>
      </w:r>
      <w:proofErr w:type="gramStart"/>
      <w:r w:rsidRPr="00B67D2A">
        <w:rPr>
          <w:spacing w:val="-4"/>
        </w:rPr>
        <w:t>Like</w:t>
      </w:r>
      <w:proofErr w:type="gramEnd"/>
      <w:r w:rsidRPr="00B67D2A">
        <w:rPr>
          <w:spacing w:val="-4"/>
        </w:rPr>
        <w:t xml:space="preserve"> a Phoenix Riding </w:t>
      </w:r>
      <w:proofErr w:type="spellStart"/>
      <w:r w:rsidRPr="00B67D2A">
        <w:rPr>
          <w:spacing w:val="-4"/>
        </w:rPr>
        <w:t>Carvaan</w:t>
      </w:r>
      <w:proofErr w:type="spellEnd"/>
      <w:r w:rsidRPr="00B67D2A">
        <w:rPr>
          <w:spacing w:val="-4"/>
        </w:rPr>
        <w:t>,” Live Mint, May 18, 2018, accessed May 26, 2018,</w:t>
      </w:r>
      <w:r>
        <w:rPr>
          <w:spacing w:val="-4"/>
        </w:rPr>
        <w:t xml:space="preserve"> </w:t>
      </w:r>
      <w:r w:rsidRPr="00B67D2A">
        <w:rPr>
          <w:spacing w:val="-4"/>
        </w:rPr>
        <w:t>www.livemint.com/Consumer/lohWBttSc8QMFhznMVPqhM/Saregama-rises-from-its-ashes-like-a-phoenix-riding-Carvaan.html</w:t>
      </w:r>
      <w:r w:rsidRPr="009A2813">
        <w:rPr>
          <w:spacing w:val="-4"/>
        </w:rPr>
        <w:t xml:space="preserve">. </w:t>
      </w:r>
    </w:p>
  </w:footnote>
  <w:footnote w:id="3">
    <w:p w14:paraId="0CDE7B6E" w14:textId="4BEFD430" w:rsidR="00E95045" w:rsidRPr="00B67D2A" w:rsidRDefault="00E95045" w:rsidP="00B67D2A">
      <w:pPr>
        <w:pStyle w:val="Footnote"/>
        <w:rPr>
          <w:spacing w:val="-4"/>
          <w:lang w:val="en-IN"/>
        </w:rPr>
      </w:pPr>
      <w:r w:rsidRPr="005022FE">
        <w:rPr>
          <w:rStyle w:val="FootnoteReference"/>
        </w:rPr>
        <w:footnoteRef/>
      </w:r>
      <w:r>
        <w:rPr>
          <w:spacing w:val="-4"/>
        </w:rPr>
        <w:t xml:space="preserve"> </w:t>
      </w:r>
      <w:proofErr w:type="spellStart"/>
      <w:r>
        <w:rPr>
          <w:spacing w:val="-4"/>
        </w:rPr>
        <w:t>Saregama</w:t>
      </w:r>
      <w:proofErr w:type="spellEnd"/>
      <w:r>
        <w:rPr>
          <w:spacing w:val="-4"/>
        </w:rPr>
        <w:t xml:space="preserve"> </w:t>
      </w:r>
      <w:r w:rsidRPr="00B67D2A">
        <w:rPr>
          <w:spacing w:val="-4"/>
        </w:rPr>
        <w:t>India</w:t>
      </w:r>
      <w:r>
        <w:rPr>
          <w:spacing w:val="-4"/>
        </w:rPr>
        <w:t xml:space="preserve"> Limited</w:t>
      </w:r>
      <w:r w:rsidRPr="00B67D2A">
        <w:rPr>
          <w:spacing w:val="-4"/>
        </w:rPr>
        <w:t>,</w:t>
      </w:r>
      <w:r>
        <w:rPr>
          <w:spacing w:val="-4"/>
        </w:rPr>
        <w:t xml:space="preserve"> </w:t>
      </w:r>
      <w:r w:rsidRPr="00B67D2A">
        <w:rPr>
          <w:i/>
          <w:spacing w:val="-4"/>
        </w:rPr>
        <w:t>Annual</w:t>
      </w:r>
      <w:r>
        <w:rPr>
          <w:i/>
          <w:spacing w:val="-4"/>
        </w:rPr>
        <w:t xml:space="preserve"> </w:t>
      </w:r>
      <w:r w:rsidRPr="00B67D2A">
        <w:rPr>
          <w:i/>
          <w:spacing w:val="-4"/>
        </w:rPr>
        <w:t>Report</w:t>
      </w:r>
      <w:r>
        <w:rPr>
          <w:i/>
          <w:spacing w:val="-4"/>
        </w:rPr>
        <w:t xml:space="preserve"> </w:t>
      </w:r>
      <w:r w:rsidRPr="00B67D2A">
        <w:rPr>
          <w:i/>
          <w:spacing w:val="-4"/>
        </w:rPr>
        <w:t>2017</w:t>
      </w:r>
      <w:r>
        <w:rPr>
          <w:i/>
          <w:spacing w:val="-4"/>
        </w:rPr>
        <w:t>–</w:t>
      </w:r>
      <w:r w:rsidRPr="00B67D2A">
        <w:rPr>
          <w:i/>
          <w:spacing w:val="-4"/>
        </w:rPr>
        <w:t>18</w:t>
      </w:r>
      <w:r w:rsidRPr="00B67D2A">
        <w:rPr>
          <w:spacing w:val="-4"/>
        </w:rPr>
        <w:t>,</w:t>
      </w:r>
      <w:r>
        <w:rPr>
          <w:spacing w:val="-4"/>
        </w:rPr>
        <w:t xml:space="preserve"> </w:t>
      </w:r>
      <w:r w:rsidRPr="00B67D2A">
        <w:rPr>
          <w:spacing w:val="-4"/>
        </w:rPr>
        <w:t>May</w:t>
      </w:r>
      <w:r>
        <w:rPr>
          <w:spacing w:val="-4"/>
        </w:rPr>
        <w:t xml:space="preserve"> </w:t>
      </w:r>
      <w:r w:rsidRPr="00B67D2A">
        <w:rPr>
          <w:spacing w:val="-4"/>
        </w:rPr>
        <w:t>29,</w:t>
      </w:r>
      <w:r>
        <w:rPr>
          <w:spacing w:val="-4"/>
        </w:rPr>
        <w:t xml:space="preserve"> </w:t>
      </w:r>
      <w:r w:rsidRPr="00B67D2A">
        <w:rPr>
          <w:spacing w:val="-4"/>
        </w:rPr>
        <w:t>2018,</w:t>
      </w:r>
      <w:r>
        <w:rPr>
          <w:spacing w:val="-4"/>
        </w:rPr>
        <w:t xml:space="preserve"> </w:t>
      </w:r>
      <w:r w:rsidRPr="00B67D2A">
        <w:rPr>
          <w:spacing w:val="-4"/>
        </w:rPr>
        <w:t>accessed</w:t>
      </w:r>
      <w:r>
        <w:rPr>
          <w:spacing w:val="-4"/>
        </w:rPr>
        <w:t xml:space="preserve"> </w:t>
      </w:r>
      <w:r w:rsidRPr="00B67D2A">
        <w:rPr>
          <w:spacing w:val="-4"/>
        </w:rPr>
        <w:t>May</w:t>
      </w:r>
      <w:r>
        <w:rPr>
          <w:spacing w:val="-4"/>
        </w:rPr>
        <w:t xml:space="preserve"> </w:t>
      </w:r>
      <w:r w:rsidRPr="00B67D2A">
        <w:rPr>
          <w:spacing w:val="-4"/>
        </w:rPr>
        <w:t>30,</w:t>
      </w:r>
      <w:r>
        <w:rPr>
          <w:spacing w:val="-4"/>
        </w:rPr>
        <w:t xml:space="preserve"> </w:t>
      </w:r>
      <w:r w:rsidRPr="00B67D2A">
        <w:rPr>
          <w:spacing w:val="-4"/>
        </w:rPr>
        <w:t>2018,</w:t>
      </w:r>
      <w:r>
        <w:rPr>
          <w:spacing w:val="-4"/>
        </w:rPr>
        <w:t xml:space="preserve"> </w:t>
      </w:r>
      <w:r w:rsidRPr="00B67D2A">
        <w:rPr>
          <w:spacing w:val="-4"/>
        </w:rPr>
        <w:t>https://r.saregama.com/resources/pdf/investor/Annual_Report_2017-18.pdf</w:t>
      </w:r>
      <w:r w:rsidRPr="009A2813">
        <w:rPr>
          <w:spacing w:val="-4"/>
        </w:rPr>
        <w:t>.</w:t>
      </w:r>
    </w:p>
  </w:footnote>
  <w:footnote w:id="4">
    <w:p w14:paraId="76AFDC2F" w14:textId="3F1E152F" w:rsidR="00E95045" w:rsidRDefault="00E95045" w:rsidP="00327A07">
      <w:pPr>
        <w:pStyle w:val="Footnote"/>
      </w:pPr>
      <w:r>
        <w:rPr>
          <w:rStyle w:val="FootnoteReference"/>
        </w:rPr>
        <w:footnoteRef/>
      </w:r>
      <w:r>
        <w:t xml:space="preserve"> All dollar amounts are in USD unless otherwise specified.</w:t>
      </w:r>
    </w:p>
  </w:footnote>
  <w:footnote w:id="5">
    <w:p w14:paraId="6B7F913A" w14:textId="26670744" w:rsidR="00E95045" w:rsidRPr="00B67D2A" w:rsidRDefault="00E95045" w:rsidP="00B67D2A">
      <w:pPr>
        <w:pStyle w:val="Footnote"/>
        <w:rPr>
          <w:spacing w:val="-4"/>
          <w:lang w:val="en-IN"/>
        </w:rPr>
      </w:pPr>
      <w:r w:rsidRPr="005022FE">
        <w:rPr>
          <w:rStyle w:val="FootnoteReference"/>
        </w:rPr>
        <w:footnoteRef/>
      </w:r>
      <w:r w:rsidRPr="00B67D2A">
        <w:rPr>
          <w:spacing w:val="-4"/>
        </w:rPr>
        <w:t xml:space="preserve"> Gaurav </w:t>
      </w:r>
      <w:proofErr w:type="spellStart"/>
      <w:r w:rsidRPr="00B67D2A">
        <w:rPr>
          <w:spacing w:val="-4"/>
        </w:rPr>
        <w:t>Laghate</w:t>
      </w:r>
      <w:proofErr w:type="spellEnd"/>
      <w:r w:rsidRPr="00B67D2A">
        <w:rPr>
          <w:spacing w:val="-4"/>
        </w:rPr>
        <w:t xml:space="preserve">, “In Media and Entertainment Sector, World’s No Match for India,” </w:t>
      </w:r>
      <w:r w:rsidRPr="00B67D2A">
        <w:rPr>
          <w:i/>
          <w:spacing w:val="-4"/>
        </w:rPr>
        <w:t xml:space="preserve">Economic Times, </w:t>
      </w:r>
      <w:r w:rsidRPr="00B67D2A">
        <w:rPr>
          <w:spacing w:val="-4"/>
        </w:rPr>
        <w:t xml:space="preserve">June 8, 2017, accessed May 6, 2018, https://economictimes.indiatimes.com/industry/media/entertainment/media/in-media-and-entertainment-worlds-no-match-for-india/articleshow/59043473.cms. </w:t>
      </w:r>
    </w:p>
  </w:footnote>
  <w:footnote w:id="6">
    <w:p w14:paraId="7DABC59D" w14:textId="419B0F25" w:rsidR="00E95045" w:rsidRPr="00B67D2A" w:rsidRDefault="00E95045" w:rsidP="00BB032E">
      <w:pPr>
        <w:pStyle w:val="Footnote"/>
        <w:rPr>
          <w:spacing w:val="-4"/>
          <w:lang w:val="en-IN"/>
        </w:rPr>
      </w:pPr>
      <w:r w:rsidRPr="005022FE">
        <w:rPr>
          <w:rStyle w:val="FootnoteReference"/>
        </w:rPr>
        <w:footnoteRef/>
      </w:r>
      <w:r w:rsidRPr="00B67D2A">
        <w:rPr>
          <w:spacing w:val="-4"/>
        </w:rPr>
        <w:t xml:space="preserve"> “The State of the Media and Entertainment Sector in India,” Live Mint, October 23, 2017, accessed May 6, 2018, </w:t>
      </w:r>
      <w:r w:rsidRPr="00143D60">
        <w:rPr>
          <w:spacing w:val="-4"/>
        </w:rPr>
        <w:t>www.livemint.com/Consumer/Gd1QhKIlEb6kotghQ0ameK/The-state-of-the-media-and-entertainment-sector-in-India.html</w:t>
      </w:r>
      <w:r w:rsidRPr="00B67D2A">
        <w:rPr>
          <w:spacing w:val="-4"/>
        </w:rPr>
        <w:t xml:space="preserve">. </w:t>
      </w:r>
    </w:p>
  </w:footnote>
  <w:footnote w:id="7">
    <w:p w14:paraId="4CE62A1E" w14:textId="15DF5D05" w:rsidR="00E95045" w:rsidRPr="000C63C1" w:rsidRDefault="00E95045" w:rsidP="00327A07">
      <w:pPr>
        <w:pStyle w:val="Footnote"/>
        <w:rPr>
          <w:spacing w:val="-4"/>
        </w:rPr>
      </w:pPr>
      <w:r w:rsidRPr="000C63C1">
        <w:rPr>
          <w:rStyle w:val="FootnoteReference"/>
          <w:spacing w:val="-4"/>
        </w:rPr>
        <w:footnoteRef/>
      </w:r>
      <w:r w:rsidRPr="000C63C1">
        <w:rPr>
          <w:spacing w:val="-4"/>
        </w:rPr>
        <w:t xml:space="preserve"> Super Cassettes Industries Private Limited did business as T-Series.</w:t>
      </w:r>
    </w:p>
  </w:footnote>
  <w:footnote w:id="8">
    <w:p w14:paraId="18567F9C" w14:textId="006873AD" w:rsidR="00E95045" w:rsidRPr="000C63C1" w:rsidRDefault="00E95045" w:rsidP="00327A07">
      <w:pPr>
        <w:pStyle w:val="Footnote"/>
        <w:rPr>
          <w:spacing w:val="-4"/>
        </w:rPr>
      </w:pPr>
      <w:r w:rsidRPr="000C63C1">
        <w:rPr>
          <w:rStyle w:val="FootnoteReference"/>
          <w:spacing w:val="-4"/>
        </w:rPr>
        <w:footnoteRef/>
      </w:r>
      <w:r w:rsidRPr="000C63C1">
        <w:rPr>
          <w:spacing w:val="-4"/>
        </w:rPr>
        <w:t xml:space="preserve"> A paisa was worth one one-hundredth of a rupee.</w:t>
      </w:r>
    </w:p>
  </w:footnote>
  <w:footnote w:id="9">
    <w:p w14:paraId="2CB71E2C" w14:textId="63BF9991" w:rsidR="00E95045" w:rsidRPr="00AA0758" w:rsidRDefault="00E95045" w:rsidP="00B32701">
      <w:pPr>
        <w:pStyle w:val="Footnote"/>
        <w:rPr>
          <w:spacing w:val="-4"/>
        </w:rPr>
      </w:pPr>
      <w:r w:rsidRPr="000C63C1">
        <w:rPr>
          <w:rStyle w:val="FootnoteReference"/>
          <w:spacing w:val="-4"/>
        </w:rPr>
        <w:footnoteRef/>
      </w:r>
      <w:r w:rsidRPr="000C63C1">
        <w:rPr>
          <w:rStyle w:val="FootnoteReference"/>
          <w:spacing w:val="-4"/>
        </w:rPr>
        <w:t xml:space="preserve"> </w:t>
      </w:r>
      <w:r w:rsidRPr="000C63C1">
        <w:rPr>
          <w:spacing w:val="-4"/>
        </w:rPr>
        <w:t>“</w:t>
      </w:r>
      <w:proofErr w:type="spellStart"/>
      <w:r w:rsidRPr="000C63C1">
        <w:rPr>
          <w:spacing w:val="-4"/>
        </w:rPr>
        <w:t>Saregama</w:t>
      </w:r>
      <w:proofErr w:type="spellEnd"/>
      <w:r w:rsidRPr="000C63C1">
        <w:rPr>
          <w:spacing w:val="-4"/>
        </w:rPr>
        <w:t xml:space="preserve"> India Ltd. – Company History,” </w:t>
      </w:r>
      <w:r w:rsidRPr="000C63C1">
        <w:rPr>
          <w:i/>
          <w:spacing w:val="-4"/>
        </w:rPr>
        <w:t>Business Standard</w:t>
      </w:r>
      <w:r w:rsidRPr="000C63C1">
        <w:rPr>
          <w:spacing w:val="-4"/>
        </w:rPr>
        <w:t>, accessed August 21, 2019, www.business-standard.com/company/saregama-india-204/information/company-history.</w:t>
      </w:r>
      <w:r w:rsidRPr="00AA0758">
        <w:rPr>
          <w:spacing w:val="-4"/>
        </w:rPr>
        <w:t xml:space="preserve"> </w:t>
      </w:r>
    </w:p>
  </w:footnote>
  <w:footnote w:id="10">
    <w:p w14:paraId="70672139" w14:textId="5AA8948C" w:rsidR="00E95045" w:rsidRPr="00B67D2A" w:rsidRDefault="00E95045">
      <w:pPr>
        <w:pStyle w:val="Footnote"/>
      </w:pPr>
      <w:r w:rsidRPr="00AA0758">
        <w:rPr>
          <w:rStyle w:val="FootnoteReference"/>
          <w:spacing w:val="-4"/>
        </w:rPr>
        <w:footnoteRef/>
      </w:r>
      <w:r w:rsidRPr="00AA0758">
        <w:rPr>
          <w:spacing w:val="-4"/>
        </w:rPr>
        <w:t xml:space="preserve"> The company name was built from the first four notes of the seven-note Indian musical scale: </w:t>
      </w:r>
      <w:proofErr w:type="gramStart"/>
      <w:r w:rsidRPr="00AA0758">
        <w:rPr>
          <w:spacing w:val="-4"/>
        </w:rPr>
        <w:t>Sa</w:t>
      </w:r>
      <w:proofErr w:type="gramEnd"/>
      <w:r w:rsidRPr="00AA0758">
        <w:rPr>
          <w:spacing w:val="-4"/>
        </w:rPr>
        <w:t>, Re, Ga, and Ma.</w:t>
      </w:r>
    </w:p>
  </w:footnote>
  <w:footnote w:id="11">
    <w:p w14:paraId="744A8AAD" w14:textId="596F29B5" w:rsidR="00E95045" w:rsidRPr="00907684" w:rsidRDefault="00E95045" w:rsidP="00B67D2A">
      <w:pPr>
        <w:pStyle w:val="Footnote"/>
        <w:rPr>
          <w:spacing w:val="-6"/>
          <w:lang w:val="en-IN"/>
        </w:rPr>
      </w:pPr>
      <w:r w:rsidRPr="00907684">
        <w:rPr>
          <w:rStyle w:val="FootnoteReference"/>
          <w:spacing w:val="-6"/>
        </w:rPr>
        <w:t>11</w:t>
      </w:r>
      <w:r w:rsidRPr="00907684">
        <w:rPr>
          <w:spacing w:val="-6"/>
        </w:rPr>
        <w:t xml:space="preserve"> </w:t>
      </w:r>
      <w:proofErr w:type="spellStart"/>
      <w:r>
        <w:rPr>
          <w:spacing w:val="-6"/>
        </w:rPr>
        <w:t>Arkamoy</w:t>
      </w:r>
      <w:proofErr w:type="spellEnd"/>
      <w:r>
        <w:rPr>
          <w:spacing w:val="-6"/>
        </w:rPr>
        <w:t xml:space="preserve"> Dutta </w:t>
      </w:r>
      <w:proofErr w:type="spellStart"/>
      <w:r>
        <w:rPr>
          <w:spacing w:val="-6"/>
        </w:rPr>
        <w:t>Majumdar</w:t>
      </w:r>
      <w:proofErr w:type="spellEnd"/>
      <w:r w:rsidRPr="00907684">
        <w:rPr>
          <w:spacing w:val="-6"/>
        </w:rPr>
        <w:t xml:space="preserve">, “We </w:t>
      </w:r>
      <w:r>
        <w:rPr>
          <w:spacing w:val="-6"/>
        </w:rPr>
        <w:t>A</w:t>
      </w:r>
      <w:r w:rsidRPr="00907684">
        <w:rPr>
          <w:spacing w:val="-6"/>
        </w:rPr>
        <w:t xml:space="preserve">re a Leaner, More Efficient Company Today: </w:t>
      </w:r>
      <w:proofErr w:type="spellStart"/>
      <w:r w:rsidRPr="00907684">
        <w:rPr>
          <w:spacing w:val="-6"/>
        </w:rPr>
        <w:t>Sanjiv</w:t>
      </w:r>
      <w:proofErr w:type="spellEnd"/>
      <w:r w:rsidRPr="00907684">
        <w:rPr>
          <w:spacing w:val="-6"/>
        </w:rPr>
        <w:t xml:space="preserve"> </w:t>
      </w:r>
      <w:proofErr w:type="spellStart"/>
      <w:r w:rsidRPr="00907684">
        <w:rPr>
          <w:spacing w:val="-6"/>
        </w:rPr>
        <w:t>Goenka</w:t>
      </w:r>
      <w:proofErr w:type="spellEnd"/>
      <w:r w:rsidRPr="00907684">
        <w:rPr>
          <w:spacing w:val="-6"/>
        </w:rPr>
        <w:t>,” Live Mint, September 29, 2016, accessed May 7, 2018,</w:t>
      </w:r>
      <w:r>
        <w:rPr>
          <w:spacing w:val="-6"/>
        </w:rPr>
        <w:t xml:space="preserve"> </w:t>
      </w:r>
      <w:r w:rsidRPr="00143D60">
        <w:rPr>
          <w:spacing w:val="-6"/>
        </w:rPr>
        <w:t>www.livemint.com/Companies/eF9OWXXuWEDjvYaKUpX4NN/We-are-a-more-leaner-efficient-company-today-Sanjiv-Goenka.html</w:t>
      </w:r>
      <w:r w:rsidRPr="00907684">
        <w:rPr>
          <w:spacing w:val="-6"/>
        </w:rPr>
        <w:t>.</w:t>
      </w:r>
    </w:p>
  </w:footnote>
  <w:footnote w:id="12">
    <w:p w14:paraId="2E73D794" w14:textId="0973476E" w:rsidR="00E95045" w:rsidRPr="00907684" w:rsidRDefault="00E95045" w:rsidP="0048697B">
      <w:pPr>
        <w:pStyle w:val="Footnote"/>
        <w:rPr>
          <w:spacing w:val="-6"/>
          <w:lang w:val="en-IN"/>
        </w:rPr>
      </w:pPr>
      <w:r w:rsidRPr="005022FE">
        <w:rPr>
          <w:rStyle w:val="FootnoteReference"/>
        </w:rPr>
        <w:footnoteRef/>
      </w:r>
      <w:r w:rsidRPr="00907684">
        <w:rPr>
          <w:spacing w:val="-6"/>
        </w:rPr>
        <w:t xml:space="preserve"> </w:t>
      </w:r>
      <w:r w:rsidRPr="00907684">
        <w:rPr>
          <w:spacing w:val="-6"/>
          <w:lang w:val="en-IN"/>
        </w:rPr>
        <w:t>“RP</w:t>
      </w:r>
      <w:r>
        <w:rPr>
          <w:spacing w:val="-6"/>
          <w:lang w:val="en-IN"/>
        </w:rPr>
        <w:t>–</w:t>
      </w:r>
      <w:proofErr w:type="spellStart"/>
      <w:r w:rsidRPr="00907684">
        <w:rPr>
          <w:spacing w:val="-6"/>
          <w:lang w:val="en-IN"/>
        </w:rPr>
        <w:t>Sanjiv</w:t>
      </w:r>
      <w:proofErr w:type="spellEnd"/>
      <w:r w:rsidRPr="00907684">
        <w:rPr>
          <w:spacing w:val="-6"/>
          <w:lang w:val="en-IN"/>
        </w:rPr>
        <w:t xml:space="preserve"> </w:t>
      </w:r>
      <w:proofErr w:type="spellStart"/>
      <w:r w:rsidRPr="00907684">
        <w:rPr>
          <w:spacing w:val="-6"/>
          <w:lang w:val="en-IN"/>
        </w:rPr>
        <w:t>Goenka</w:t>
      </w:r>
      <w:proofErr w:type="spellEnd"/>
      <w:r w:rsidRPr="00907684">
        <w:rPr>
          <w:spacing w:val="-6"/>
          <w:lang w:val="en-IN"/>
        </w:rPr>
        <w:t xml:space="preserve"> Group Enters FMCG,” </w:t>
      </w:r>
      <w:r w:rsidRPr="00327A07">
        <w:rPr>
          <w:i/>
          <w:iCs/>
          <w:spacing w:val="-6"/>
          <w:lang w:val="en-IN"/>
        </w:rPr>
        <w:t>Hindu</w:t>
      </w:r>
      <w:r w:rsidRPr="00907684">
        <w:rPr>
          <w:spacing w:val="-6"/>
          <w:lang w:val="en-IN"/>
        </w:rPr>
        <w:t xml:space="preserve">, April 10, 2017, accessed June 2, 2018, </w:t>
      </w:r>
      <w:r w:rsidRPr="00143D60">
        <w:rPr>
          <w:spacing w:val="-6"/>
          <w:lang w:val="en-IN"/>
        </w:rPr>
        <w:t>www.thehindu.com/business/Industry/rp-sanjiv-goenka-group-enters-fmcg/article17911708.ece</w:t>
      </w:r>
      <w:r w:rsidRPr="00907684">
        <w:rPr>
          <w:spacing w:val="-6"/>
          <w:lang w:val="en-IN"/>
        </w:rPr>
        <w:t>.</w:t>
      </w:r>
    </w:p>
  </w:footnote>
  <w:footnote w:id="13">
    <w:p w14:paraId="4DE6152B" w14:textId="7B1D71F9" w:rsidR="00E95045" w:rsidRPr="00907684" w:rsidRDefault="00E95045" w:rsidP="00B67D2A">
      <w:pPr>
        <w:pStyle w:val="Footnote"/>
        <w:rPr>
          <w:spacing w:val="-6"/>
        </w:rPr>
      </w:pPr>
      <w:r w:rsidRPr="005022FE">
        <w:rPr>
          <w:rStyle w:val="FootnoteReference"/>
        </w:rPr>
        <w:footnoteRef/>
      </w:r>
      <w:r w:rsidRPr="00907684">
        <w:rPr>
          <w:spacing w:val="-6"/>
        </w:rPr>
        <w:t xml:space="preserve"> </w:t>
      </w:r>
      <w:r>
        <w:rPr>
          <w:spacing w:val="-6"/>
        </w:rPr>
        <w:t xml:space="preserve">He had a B Tech (engineering degree) from the Indian Institute of Technology, </w:t>
      </w:r>
      <w:proofErr w:type="spellStart"/>
      <w:r>
        <w:rPr>
          <w:spacing w:val="-6"/>
        </w:rPr>
        <w:t>Roorkee</w:t>
      </w:r>
      <w:proofErr w:type="spellEnd"/>
      <w:r>
        <w:rPr>
          <w:spacing w:val="-6"/>
        </w:rPr>
        <w:t xml:space="preserve">, an </w:t>
      </w:r>
      <w:r w:rsidRPr="00907684">
        <w:rPr>
          <w:spacing w:val="-6"/>
        </w:rPr>
        <w:t xml:space="preserve">MBA from </w:t>
      </w:r>
      <w:r>
        <w:rPr>
          <w:spacing w:val="-6"/>
        </w:rPr>
        <w:t>the Indian Institute of Management Lucknow, and 10 years’ experience as chief marketing officer and chief commercial officer at the s</w:t>
      </w:r>
      <w:r w:rsidRPr="00907684">
        <w:rPr>
          <w:spacing w:val="-6"/>
        </w:rPr>
        <w:t xml:space="preserve">atellite TV </w:t>
      </w:r>
      <w:proofErr w:type="gramStart"/>
      <w:r>
        <w:rPr>
          <w:spacing w:val="-6"/>
        </w:rPr>
        <w:t>c</w:t>
      </w:r>
      <w:r w:rsidRPr="00907684">
        <w:rPr>
          <w:spacing w:val="-6"/>
        </w:rPr>
        <w:t>ompany</w:t>
      </w:r>
      <w:proofErr w:type="gramEnd"/>
      <w:r w:rsidRPr="00907684">
        <w:rPr>
          <w:spacing w:val="-6"/>
        </w:rPr>
        <w:t xml:space="preserve"> Tata Sky Ltd.</w:t>
      </w:r>
    </w:p>
  </w:footnote>
  <w:footnote w:id="14">
    <w:p w14:paraId="7FB8048E" w14:textId="12B3151E" w:rsidR="00E95045" w:rsidRPr="00B67D2A" w:rsidRDefault="00E95045" w:rsidP="00B67D2A">
      <w:pPr>
        <w:pStyle w:val="Footnote"/>
        <w:rPr>
          <w:spacing w:val="-4"/>
          <w:lang w:val="en-IN"/>
        </w:rPr>
      </w:pPr>
      <w:r w:rsidRPr="005022FE">
        <w:rPr>
          <w:rStyle w:val="FootnoteReference"/>
        </w:rPr>
        <w:footnoteRef/>
      </w:r>
      <w:r w:rsidRPr="00907684">
        <w:rPr>
          <w:spacing w:val="-6"/>
        </w:rPr>
        <w:t xml:space="preserve"> </w:t>
      </w:r>
      <w:r w:rsidRPr="00907684">
        <w:rPr>
          <w:spacing w:val="-6"/>
          <w:lang w:val="en-IN"/>
        </w:rPr>
        <w:t xml:space="preserve">Legendary Indian playback singers accredited for most of </w:t>
      </w:r>
      <w:r>
        <w:rPr>
          <w:spacing w:val="-6"/>
          <w:lang w:val="en-IN"/>
        </w:rPr>
        <w:t xml:space="preserve">the </w:t>
      </w:r>
      <w:r w:rsidRPr="00907684">
        <w:rPr>
          <w:spacing w:val="-6"/>
          <w:lang w:val="en-IN"/>
        </w:rPr>
        <w:t>hit Bollywood music produced in the last century.</w:t>
      </w:r>
    </w:p>
  </w:footnote>
  <w:footnote w:id="15">
    <w:p w14:paraId="3DF35D33" w14:textId="4996384A" w:rsidR="00E95045" w:rsidRPr="00B67D2A" w:rsidRDefault="00E95045" w:rsidP="000D62A0">
      <w:pPr>
        <w:pStyle w:val="Footnote"/>
        <w:rPr>
          <w:spacing w:val="-4"/>
          <w:lang w:val="en-IN"/>
        </w:rPr>
      </w:pPr>
      <w:r w:rsidRPr="005022FE">
        <w:rPr>
          <w:rStyle w:val="FootnoteReference"/>
        </w:rPr>
        <w:footnoteRef/>
      </w:r>
      <w:r w:rsidRPr="00B67D2A">
        <w:rPr>
          <w:spacing w:val="-4"/>
        </w:rPr>
        <w:t xml:space="preserve"> Rajesh Naidu, “</w:t>
      </w:r>
      <w:proofErr w:type="spellStart"/>
      <w:r w:rsidRPr="00B67D2A">
        <w:rPr>
          <w:spacing w:val="-4"/>
        </w:rPr>
        <w:t>Saregama</w:t>
      </w:r>
      <w:proofErr w:type="spellEnd"/>
      <w:r w:rsidRPr="00B67D2A">
        <w:rPr>
          <w:spacing w:val="-4"/>
        </w:rPr>
        <w:t xml:space="preserve"> Connects with Consumers, Hits the Right Notes,” </w:t>
      </w:r>
      <w:r w:rsidRPr="00B67D2A">
        <w:rPr>
          <w:i/>
          <w:spacing w:val="-4"/>
        </w:rPr>
        <w:t xml:space="preserve">Economic Times, </w:t>
      </w:r>
      <w:r w:rsidRPr="00B67D2A">
        <w:rPr>
          <w:spacing w:val="-4"/>
        </w:rPr>
        <w:t>November 30, 2017, accessed May 6, 2018, https://economictimes.indiatimes.com/markets/stocks/news/saregama-connects-with-consumers-hits-the-right-notes/articleshow/61858145.cms.</w:t>
      </w:r>
    </w:p>
  </w:footnote>
  <w:footnote w:id="16">
    <w:p w14:paraId="29929D69" w14:textId="77777777" w:rsidR="00E95045" w:rsidRPr="00B67D2A" w:rsidRDefault="00E95045" w:rsidP="00B67D2A">
      <w:pPr>
        <w:pStyle w:val="Footnote"/>
        <w:rPr>
          <w:spacing w:val="-4"/>
          <w:lang w:val="en-IN"/>
        </w:rPr>
      </w:pPr>
      <w:r w:rsidRPr="005022FE">
        <w:rPr>
          <w:rStyle w:val="FootnoteReference"/>
        </w:rPr>
        <w:footnoteRef/>
      </w:r>
      <w:r w:rsidRPr="00B67D2A">
        <w:rPr>
          <w:spacing w:val="-4"/>
        </w:rPr>
        <w:t xml:space="preserve"> Ibid.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39E163BE" w:rsidR="00E95045" w:rsidRPr="00C92CC4" w:rsidRDefault="00E95045"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B308B">
      <w:rPr>
        <w:rFonts w:ascii="Arial" w:hAnsi="Arial"/>
        <w:b/>
        <w:noProof/>
      </w:rPr>
      <w:t>14</w:t>
    </w:r>
    <w:r>
      <w:rPr>
        <w:rFonts w:ascii="Arial" w:hAnsi="Arial"/>
        <w:b/>
      </w:rPr>
      <w:fldChar w:fldCharType="end"/>
    </w:r>
    <w:r>
      <w:rPr>
        <w:rFonts w:ascii="Arial" w:hAnsi="Arial"/>
        <w:b/>
      </w:rPr>
      <w:tab/>
      <w:t>9B19A054</w:t>
    </w:r>
  </w:p>
  <w:p w14:paraId="2B53C0A0" w14:textId="77777777" w:rsidR="00E95045" w:rsidRDefault="00E95045" w:rsidP="00D13667">
    <w:pPr>
      <w:pStyle w:val="Header"/>
      <w:tabs>
        <w:tab w:val="clear" w:pos="4680"/>
      </w:tabs>
      <w:rPr>
        <w:sz w:val="18"/>
        <w:szCs w:val="18"/>
      </w:rPr>
    </w:pPr>
  </w:p>
  <w:p w14:paraId="47119730" w14:textId="77777777" w:rsidR="00E95045" w:rsidRPr="00C92CC4" w:rsidRDefault="00E95045" w:rsidP="00D13667">
    <w:pPr>
      <w:pStyle w:val="Header"/>
      <w:tabs>
        <w:tab w:val="clear" w:pos="468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436C2D" w14:textId="5376F191" w:rsidR="00E95045" w:rsidRPr="00C92CC4" w:rsidRDefault="00E95045" w:rsidP="00A00DD4">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B308B">
      <w:rPr>
        <w:rFonts w:ascii="Arial" w:hAnsi="Arial"/>
        <w:b/>
        <w:noProof/>
      </w:rPr>
      <w:t>16</w:t>
    </w:r>
    <w:r>
      <w:rPr>
        <w:rFonts w:ascii="Arial" w:hAnsi="Arial"/>
        <w:b/>
      </w:rPr>
      <w:fldChar w:fldCharType="end"/>
    </w:r>
    <w:r>
      <w:rPr>
        <w:rFonts w:ascii="Arial" w:hAnsi="Arial"/>
        <w:b/>
      </w:rPr>
      <w:tab/>
      <w:t>9B19A054</w:t>
    </w:r>
  </w:p>
  <w:p w14:paraId="6899E9C4" w14:textId="77777777" w:rsidR="00E95045" w:rsidRDefault="00E95045" w:rsidP="00A00DD4">
    <w:pPr>
      <w:pStyle w:val="Header"/>
      <w:tabs>
        <w:tab w:val="clear" w:pos="4680"/>
        <w:tab w:val="clear" w:pos="9360"/>
        <w:tab w:val="right" w:pos="12960"/>
      </w:tabs>
      <w:rPr>
        <w:sz w:val="18"/>
        <w:szCs w:val="18"/>
      </w:rPr>
    </w:pPr>
  </w:p>
  <w:p w14:paraId="73A9E1DC" w14:textId="77777777" w:rsidR="00E95045" w:rsidRPr="00C92CC4" w:rsidRDefault="00E95045" w:rsidP="00A00DD4">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3D9EB1" w14:textId="09957A33" w:rsidR="00E95045" w:rsidRPr="00C92CC4" w:rsidRDefault="00E95045" w:rsidP="00201D06">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B308B">
      <w:rPr>
        <w:rFonts w:ascii="Arial" w:hAnsi="Arial"/>
        <w:b/>
        <w:noProof/>
      </w:rPr>
      <w:t>18</w:t>
    </w:r>
    <w:r>
      <w:rPr>
        <w:rFonts w:ascii="Arial" w:hAnsi="Arial"/>
        <w:b/>
      </w:rPr>
      <w:fldChar w:fldCharType="end"/>
    </w:r>
    <w:r>
      <w:rPr>
        <w:rFonts w:ascii="Arial" w:hAnsi="Arial"/>
        <w:b/>
      </w:rPr>
      <w:tab/>
      <w:t>9B19A054</w:t>
    </w:r>
  </w:p>
  <w:p w14:paraId="61FDAB50" w14:textId="77777777" w:rsidR="00E95045" w:rsidRDefault="00E95045" w:rsidP="00201D06">
    <w:pPr>
      <w:pStyle w:val="Header"/>
      <w:tabs>
        <w:tab w:val="clear" w:pos="4680"/>
      </w:tabs>
      <w:rPr>
        <w:sz w:val="18"/>
        <w:szCs w:val="18"/>
      </w:rPr>
    </w:pPr>
  </w:p>
  <w:p w14:paraId="5BA2130C" w14:textId="77777777" w:rsidR="00E95045" w:rsidRPr="00C92CC4" w:rsidRDefault="00E95045" w:rsidP="00201D06">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9BA0D8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2ACA44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6EAD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82438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5AB0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D6EB8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9AEDF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404267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0281A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054DC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BA5F2F"/>
    <w:multiLevelType w:val="hybridMultilevel"/>
    <w:tmpl w:val="2F44A976"/>
    <w:lvl w:ilvl="0" w:tplc="3B1E440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8E54230"/>
    <w:multiLevelType w:val="hybridMultilevel"/>
    <w:tmpl w:val="556A49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E762BAE"/>
    <w:multiLevelType w:val="hybridMultilevel"/>
    <w:tmpl w:val="F99A4474"/>
    <w:lvl w:ilvl="0" w:tplc="D07E317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634ACB"/>
    <w:multiLevelType w:val="hybridMultilevel"/>
    <w:tmpl w:val="69507B4C"/>
    <w:lvl w:ilvl="0" w:tplc="94062D4E">
      <w:start w:val="17"/>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AA97DF6"/>
    <w:multiLevelType w:val="hybridMultilevel"/>
    <w:tmpl w:val="1DFE06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6"/>
  </w:num>
  <w:num w:numId="3">
    <w:abstractNumId w:val="13"/>
  </w:num>
  <w:num w:numId="4">
    <w:abstractNumId w:val="23"/>
  </w:num>
  <w:num w:numId="5">
    <w:abstractNumId w:val="14"/>
  </w:num>
  <w:num w:numId="6">
    <w:abstractNumId w:val="20"/>
  </w:num>
  <w:num w:numId="7">
    <w:abstractNumId w:val="11"/>
  </w:num>
  <w:num w:numId="8">
    <w:abstractNumId w:val="26"/>
  </w:num>
  <w:num w:numId="9">
    <w:abstractNumId w:val="21"/>
  </w:num>
  <w:num w:numId="10">
    <w:abstractNumId w:val="12"/>
  </w:num>
  <w:num w:numId="11">
    <w:abstractNumId w:val="18"/>
  </w:num>
  <w:num w:numId="12">
    <w:abstractNumId w:val="19"/>
  </w:num>
  <w:num w:numId="13">
    <w:abstractNumId w:val="17"/>
  </w:num>
  <w:num w:numId="14">
    <w:abstractNumId w:val="22"/>
  </w:num>
  <w:num w:numId="15">
    <w:abstractNumId w:val="10"/>
  </w:num>
  <w:num w:numId="16">
    <w:abstractNumId w:val="25"/>
  </w:num>
  <w:num w:numId="17">
    <w:abstractNumId w:val="15"/>
  </w:num>
  <w:num w:numId="18">
    <w:abstractNumId w:val="0"/>
  </w:num>
  <w:num w:numId="19">
    <w:abstractNumId w:val="1"/>
  </w:num>
  <w:num w:numId="20">
    <w:abstractNumId w:val="2"/>
  </w:num>
  <w:num w:numId="21">
    <w:abstractNumId w:val="3"/>
  </w:num>
  <w:num w:numId="22">
    <w:abstractNumId w:val="8"/>
  </w:num>
  <w:num w:numId="23">
    <w:abstractNumId w:val="4"/>
  </w:num>
  <w:num w:numId="24">
    <w:abstractNumId w:val="5"/>
  </w:num>
  <w:num w:numId="25">
    <w:abstractNumId w:val="6"/>
  </w:num>
  <w:num w:numId="26">
    <w:abstractNumId w:val="7"/>
  </w:num>
  <w:num w:numId="27">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21F4"/>
    <w:rsid w:val="00011F65"/>
    <w:rsid w:val="00013360"/>
    <w:rsid w:val="00016759"/>
    <w:rsid w:val="00017DC8"/>
    <w:rsid w:val="000216CE"/>
    <w:rsid w:val="00024ED4"/>
    <w:rsid w:val="00025DC7"/>
    <w:rsid w:val="00035F09"/>
    <w:rsid w:val="00044ECC"/>
    <w:rsid w:val="000531D3"/>
    <w:rsid w:val="0005646B"/>
    <w:rsid w:val="00056C1D"/>
    <w:rsid w:val="00057DA6"/>
    <w:rsid w:val="000615D1"/>
    <w:rsid w:val="000668A2"/>
    <w:rsid w:val="00072810"/>
    <w:rsid w:val="00076750"/>
    <w:rsid w:val="0008102D"/>
    <w:rsid w:val="00086B26"/>
    <w:rsid w:val="0008758B"/>
    <w:rsid w:val="00091AB4"/>
    <w:rsid w:val="00091F2F"/>
    <w:rsid w:val="00094C0E"/>
    <w:rsid w:val="000A146D"/>
    <w:rsid w:val="000C5EAF"/>
    <w:rsid w:val="000C63C1"/>
    <w:rsid w:val="000D2A2F"/>
    <w:rsid w:val="000D5F2E"/>
    <w:rsid w:val="000D62A0"/>
    <w:rsid w:val="000D7091"/>
    <w:rsid w:val="000D7864"/>
    <w:rsid w:val="000F0C22"/>
    <w:rsid w:val="000F0D2D"/>
    <w:rsid w:val="000F5FBA"/>
    <w:rsid w:val="000F6B09"/>
    <w:rsid w:val="000F6FDC"/>
    <w:rsid w:val="001038E0"/>
    <w:rsid w:val="00104567"/>
    <w:rsid w:val="00104916"/>
    <w:rsid w:val="00104AA7"/>
    <w:rsid w:val="0011014A"/>
    <w:rsid w:val="00121894"/>
    <w:rsid w:val="0012732D"/>
    <w:rsid w:val="00135D83"/>
    <w:rsid w:val="001412C3"/>
    <w:rsid w:val="00143D60"/>
    <w:rsid w:val="00143F25"/>
    <w:rsid w:val="001510F0"/>
    <w:rsid w:val="00152682"/>
    <w:rsid w:val="00154FC9"/>
    <w:rsid w:val="00166D63"/>
    <w:rsid w:val="00171364"/>
    <w:rsid w:val="00183D0B"/>
    <w:rsid w:val="001901C0"/>
    <w:rsid w:val="0019241A"/>
    <w:rsid w:val="00192A18"/>
    <w:rsid w:val="00193E4A"/>
    <w:rsid w:val="001A2061"/>
    <w:rsid w:val="001A22D1"/>
    <w:rsid w:val="001A752D"/>
    <w:rsid w:val="001A757E"/>
    <w:rsid w:val="001B5032"/>
    <w:rsid w:val="001B6B3A"/>
    <w:rsid w:val="001B78AE"/>
    <w:rsid w:val="001C296F"/>
    <w:rsid w:val="001C5A05"/>
    <w:rsid w:val="001C5FDA"/>
    <w:rsid w:val="001C7777"/>
    <w:rsid w:val="001D344B"/>
    <w:rsid w:val="001E2FD8"/>
    <w:rsid w:val="001E364F"/>
    <w:rsid w:val="001E417B"/>
    <w:rsid w:val="001F162D"/>
    <w:rsid w:val="001F4222"/>
    <w:rsid w:val="001F4943"/>
    <w:rsid w:val="001F63AD"/>
    <w:rsid w:val="00201D06"/>
    <w:rsid w:val="00203AA1"/>
    <w:rsid w:val="00213E98"/>
    <w:rsid w:val="002236C4"/>
    <w:rsid w:val="00230150"/>
    <w:rsid w:val="0023081A"/>
    <w:rsid w:val="00233111"/>
    <w:rsid w:val="00242F49"/>
    <w:rsid w:val="0024766D"/>
    <w:rsid w:val="0025224B"/>
    <w:rsid w:val="00262460"/>
    <w:rsid w:val="00265FA8"/>
    <w:rsid w:val="00275A9F"/>
    <w:rsid w:val="0027733F"/>
    <w:rsid w:val="00282670"/>
    <w:rsid w:val="002A5643"/>
    <w:rsid w:val="002B1447"/>
    <w:rsid w:val="002B1E54"/>
    <w:rsid w:val="002B40FF"/>
    <w:rsid w:val="002C10B4"/>
    <w:rsid w:val="002C1FE5"/>
    <w:rsid w:val="002C36A2"/>
    <w:rsid w:val="002C4E29"/>
    <w:rsid w:val="002D0B42"/>
    <w:rsid w:val="002E0041"/>
    <w:rsid w:val="002E7876"/>
    <w:rsid w:val="002F460C"/>
    <w:rsid w:val="002F48D6"/>
    <w:rsid w:val="003053E0"/>
    <w:rsid w:val="00317391"/>
    <w:rsid w:val="00317AF2"/>
    <w:rsid w:val="00317BAE"/>
    <w:rsid w:val="00326216"/>
    <w:rsid w:val="00327918"/>
    <w:rsid w:val="00327A07"/>
    <w:rsid w:val="00336580"/>
    <w:rsid w:val="00337963"/>
    <w:rsid w:val="00347DB3"/>
    <w:rsid w:val="0035051F"/>
    <w:rsid w:val="00354899"/>
    <w:rsid w:val="00355FD6"/>
    <w:rsid w:val="00364A5C"/>
    <w:rsid w:val="00367200"/>
    <w:rsid w:val="00373FB1"/>
    <w:rsid w:val="00395521"/>
    <w:rsid w:val="00396C76"/>
    <w:rsid w:val="003A15F9"/>
    <w:rsid w:val="003A3D78"/>
    <w:rsid w:val="003B30D8"/>
    <w:rsid w:val="003B7EF2"/>
    <w:rsid w:val="003C3FA4"/>
    <w:rsid w:val="003C4980"/>
    <w:rsid w:val="003C6D16"/>
    <w:rsid w:val="003D0BA1"/>
    <w:rsid w:val="003D3F54"/>
    <w:rsid w:val="003E4D71"/>
    <w:rsid w:val="003E51A3"/>
    <w:rsid w:val="003F2B0C"/>
    <w:rsid w:val="003F548A"/>
    <w:rsid w:val="003F7BCF"/>
    <w:rsid w:val="004105B2"/>
    <w:rsid w:val="004109E8"/>
    <w:rsid w:val="0041145A"/>
    <w:rsid w:val="004114F0"/>
    <w:rsid w:val="00412900"/>
    <w:rsid w:val="004221E4"/>
    <w:rsid w:val="004273F8"/>
    <w:rsid w:val="00432E92"/>
    <w:rsid w:val="004355A3"/>
    <w:rsid w:val="00441ACB"/>
    <w:rsid w:val="00442895"/>
    <w:rsid w:val="00442DB1"/>
    <w:rsid w:val="004440AE"/>
    <w:rsid w:val="004454A3"/>
    <w:rsid w:val="00446546"/>
    <w:rsid w:val="00452769"/>
    <w:rsid w:val="00454FA7"/>
    <w:rsid w:val="0045667B"/>
    <w:rsid w:val="00465348"/>
    <w:rsid w:val="00473C31"/>
    <w:rsid w:val="00474302"/>
    <w:rsid w:val="0048697B"/>
    <w:rsid w:val="0049332D"/>
    <w:rsid w:val="0049456F"/>
    <w:rsid w:val="00496F23"/>
    <w:rsid w:val="00497261"/>
    <w:rsid w:val="004974C1"/>
    <w:rsid w:val="004979A5"/>
    <w:rsid w:val="004A25E0"/>
    <w:rsid w:val="004A77B5"/>
    <w:rsid w:val="004B1CCB"/>
    <w:rsid w:val="004B632F"/>
    <w:rsid w:val="004D3FB1"/>
    <w:rsid w:val="004D5DDF"/>
    <w:rsid w:val="004D6274"/>
    <w:rsid w:val="004D6F21"/>
    <w:rsid w:val="004D73A5"/>
    <w:rsid w:val="005022FE"/>
    <w:rsid w:val="00502AF1"/>
    <w:rsid w:val="00510668"/>
    <w:rsid w:val="005133B4"/>
    <w:rsid w:val="005160F1"/>
    <w:rsid w:val="00516831"/>
    <w:rsid w:val="005208CC"/>
    <w:rsid w:val="00521E8E"/>
    <w:rsid w:val="00524369"/>
    <w:rsid w:val="00524F2F"/>
    <w:rsid w:val="00527E5C"/>
    <w:rsid w:val="00530F0E"/>
    <w:rsid w:val="00532CF5"/>
    <w:rsid w:val="005463D9"/>
    <w:rsid w:val="005528CB"/>
    <w:rsid w:val="00555F9F"/>
    <w:rsid w:val="00566771"/>
    <w:rsid w:val="00575A54"/>
    <w:rsid w:val="00581281"/>
    <w:rsid w:val="00581E2E"/>
    <w:rsid w:val="00584F15"/>
    <w:rsid w:val="0059514B"/>
    <w:rsid w:val="005A1B0F"/>
    <w:rsid w:val="005A5A64"/>
    <w:rsid w:val="005A6200"/>
    <w:rsid w:val="005B308B"/>
    <w:rsid w:val="005B4CE6"/>
    <w:rsid w:val="005B5EFE"/>
    <w:rsid w:val="005C26E5"/>
    <w:rsid w:val="005D207B"/>
    <w:rsid w:val="005E3021"/>
    <w:rsid w:val="0061267D"/>
    <w:rsid w:val="00615236"/>
    <w:rsid w:val="006163F7"/>
    <w:rsid w:val="006179A3"/>
    <w:rsid w:val="0062450F"/>
    <w:rsid w:val="00627C63"/>
    <w:rsid w:val="0063066B"/>
    <w:rsid w:val="0063350B"/>
    <w:rsid w:val="00637E3B"/>
    <w:rsid w:val="00642C9E"/>
    <w:rsid w:val="00647532"/>
    <w:rsid w:val="00652106"/>
    <w:rsid w:val="00652606"/>
    <w:rsid w:val="00665C4C"/>
    <w:rsid w:val="00673B90"/>
    <w:rsid w:val="006750E3"/>
    <w:rsid w:val="00676402"/>
    <w:rsid w:val="00686419"/>
    <w:rsid w:val="006946EE"/>
    <w:rsid w:val="006951E3"/>
    <w:rsid w:val="006A3CFB"/>
    <w:rsid w:val="006A58A9"/>
    <w:rsid w:val="006A606D"/>
    <w:rsid w:val="006B34BC"/>
    <w:rsid w:val="006C0371"/>
    <w:rsid w:val="006C08B6"/>
    <w:rsid w:val="006C0B1A"/>
    <w:rsid w:val="006C3B13"/>
    <w:rsid w:val="006C6065"/>
    <w:rsid w:val="006C7F9F"/>
    <w:rsid w:val="006D1E24"/>
    <w:rsid w:val="006E2F6D"/>
    <w:rsid w:val="006E58F6"/>
    <w:rsid w:val="006E5F69"/>
    <w:rsid w:val="006E77E1"/>
    <w:rsid w:val="006F131D"/>
    <w:rsid w:val="006F1951"/>
    <w:rsid w:val="006F575B"/>
    <w:rsid w:val="006F6966"/>
    <w:rsid w:val="00702B0B"/>
    <w:rsid w:val="007032C3"/>
    <w:rsid w:val="00703EB1"/>
    <w:rsid w:val="0070410B"/>
    <w:rsid w:val="00711642"/>
    <w:rsid w:val="00717400"/>
    <w:rsid w:val="00727271"/>
    <w:rsid w:val="00731D57"/>
    <w:rsid w:val="00742AB3"/>
    <w:rsid w:val="0074417E"/>
    <w:rsid w:val="007507C6"/>
    <w:rsid w:val="00751705"/>
    <w:rsid w:val="00751E0B"/>
    <w:rsid w:val="00752BCD"/>
    <w:rsid w:val="0076349D"/>
    <w:rsid w:val="00766DA1"/>
    <w:rsid w:val="00775E90"/>
    <w:rsid w:val="00780D94"/>
    <w:rsid w:val="00786227"/>
    <w:rsid w:val="007866A6"/>
    <w:rsid w:val="00796896"/>
    <w:rsid w:val="007A130D"/>
    <w:rsid w:val="007C42D9"/>
    <w:rsid w:val="007D1A2D"/>
    <w:rsid w:val="007D2C51"/>
    <w:rsid w:val="007D32E6"/>
    <w:rsid w:val="007D4102"/>
    <w:rsid w:val="007D50E8"/>
    <w:rsid w:val="007E54A7"/>
    <w:rsid w:val="007F43B7"/>
    <w:rsid w:val="00813E85"/>
    <w:rsid w:val="00821FFC"/>
    <w:rsid w:val="008271CA"/>
    <w:rsid w:val="00831CE8"/>
    <w:rsid w:val="00836047"/>
    <w:rsid w:val="00836BFF"/>
    <w:rsid w:val="00843B79"/>
    <w:rsid w:val="008467D5"/>
    <w:rsid w:val="00847A65"/>
    <w:rsid w:val="008760A5"/>
    <w:rsid w:val="00880112"/>
    <w:rsid w:val="0088140E"/>
    <w:rsid w:val="00885BFC"/>
    <w:rsid w:val="00897980"/>
    <w:rsid w:val="008A0C4F"/>
    <w:rsid w:val="008A4DC4"/>
    <w:rsid w:val="008B06E0"/>
    <w:rsid w:val="008B438C"/>
    <w:rsid w:val="008B581F"/>
    <w:rsid w:val="008B73DC"/>
    <w:rsid w:val="008B76D0"/>
    <w:rsid w:val="008C1843"/>
    <w:rsid w:val="008C5C61"/>
    <w:rsid w:val="008C675B"/>
    <w:rsid w:val="008D06CA"/>
    <w:rsid w:val="008D3A46"/>
    <w:rsid w:val="008E59B5"/>
    <w:rsid w:val="008F2339"/>
    <w:rsid w:val="008F2385"/>
    <w:rsid w:val="009066D7"/>
    <w:rsid w:val="009067A4"/>
    <w:rsid w:val="00907684"/>
    <w:rsid w:val="00926512"/>
    <w:rsid w:val="00930885"/>
    <w:rsid w:val="0093190D"/>
    <w:rsid w:val="00931B65"/>
    <w:rsid w:val="00933D68"/>
    <w:rsid w:val="009340DB"/>
    <w:rsid w:val="0094460D"/>
    <w:rsid w:val="0094618C"/>
    <w:rsid w:val="0094635D"/>
    <w:rsid w:val="009515AC"/>
    <w:rsid w:val="0095684B"/>
    <w:rsid w:val="00972498"/>
    <w:rsid w:val="0097481F"/>
    <w:rsid w:val="00974CC6"/>
    <w:rsid w:val="00976AD4"/>
    <w:rsid w:val="0099025A"/>
    <w:rsid w:val="00995009"/>
    <w:rsid w:val="00995547"/>
    <w:rsid w:val="00995BA5"/>
    <w:rsid w:val="009A14BC"/>
    <w:rsid w:val="009A2813"/>
    <w:rsid w:val="009A312F"/>
    <w:rsid w:val="009A5348"/>
    <w:rsid w:val="009B0AB7"/>
    <w:rsid w:val="009C535F"/>
    <w:rsid w:val="009C76D5"/>
    <w:rsid w:val="009D0C91"/>
    <w:rsid w:val="009D3ED0"/>
    <w:rsid w:val="009D5080"/>
    <w:rsid w:val="009E138D"/>
    <w:rsid w:val="009E68D3"/>
    <w:rsid w:val="009F42B3"/>
    <w:rsid w:val="009F437C"/>
    <w:rsid w:val="009F46AF"/>
    <w:rsid w:val="009F7AA4"/>
    <w:rsid w:val="00A00DD4"/>
    <w:rsid w:val="00A06B3A"/>
    <w:rsid w:val="00A10AD7"/>
    <w:rsid w:val="00A13A3B"/>
    <w:rsid w:val="00A22F16"/>
    <w:rsid w:val="00A323B0"/>
    <w:rsid w:val="00A3666D"/>
    <w:rsid w:val="00A37354"/>
    <w:rsid w:val="00A559DB"/>
    <w:rsid w:val="00A569EA"/>
    <w:rsid w:val="00A63926"/>
    <w:rsid w:val="00A676A0"/>
    <w:rsid w:val="00A67A64"/>
    <w:rsid w:val="00A7312E"/>
    <w:rsid w:val="00A83FF8"/>
    <w:rsid w:val="00A87A4F"/>
    <w:rsid w:val="00AA0758"/>
    <w:rsid w:val="00AB27F6"/>
    <w:rsid w:val="00AB47B6"/>
    <w:rsid w:val="00AB5332"/>
    <w:rsid w:val="00AB57BE"/>
    <w:rsid w:val="00AC1DC1"/>
    <w:rsid w:val="00AC3350"/>
    <w:rsid w:val="00AD5656"/>
    <w:rsid w:val="00AE45ED"/>
    <w:rsid w:val="00AF05DA"/>
    <w:rsid w:val="00AF0757"/>
    <w:rsid w:val="00AF2402"/>
    <w:rsid w:val="00AF35FC"/>
    <w:rsid w:val="00AF5556"/>
    <w:rsid w:val="00B03639"/>
    <w:rsid w:val="00B0652A"/>
    <w:rsid w:val="00B06A20"/>
    <w:rsid w:val="00B22474"/>
    <w:rsid w:val="00B27515"/>
    <w:rsid w:val="00B32701"/>
    <w:rsid w:val="00B34A4D"/>
    <w:rsid w:val="00B40937"/>
    <w:rsid w:val="00B423EF"/>
    <w:rsid w:val="00B453DE"/>
    <w:rsid w:val="00B52404"/>
    <w:rsid w:val="00B600FD"/>
    <w:rsid w:val="00B6212A"/>
    <w:rsid w:val="00B62497"/>
    <w:rsid w:val="00B67D2A"/>
    <w:rsid w:val="00B72597"/>
    <w:rsid w:val="00B75957"/>
    <w:rsid w:val="00B87DC0"/>
    <w:rsid w:val="00B901F9"/>
    <w:rsid w:val="00B90F03"/>
    <w:rsid w:val="00BA2A76"/>
    <w:rsid w:val="00BB032E"/>
    <w:rsid w:val="00BC4D98"/>
    <w:rsid w:val="00BC7DC7"/>
    <w:rsid w:val="00BD0E9A"/>
    <w:rsid w:val="00BD6EFB"/>
    <w:rsid w:val="00BE3DF5"/>
    <w:rsid w:val="00BF4B4A"/>
    <w:rsid w:val="00BF5EAB"/>
    <w:rsid w:val="00BF6E29"/>
    <w:rsid w:val="00BF6F00"/>
    <w:rsid w:val="00C02410"/>
    <w:rsid w:val="00C1584D"/>
    <w:rsid w:val="00C15BE2"/>
    <w:rsid w:val="00C162E9"/>
    <w:rsid w:val="00C307CE"/>
    <w:rsid w:val="00C3447F"/>
    <w:rsid w:val="00C34CBC"/>
    <w:rsid w:val="00C351E2"/>
    <w:rsid w:val="00C44714"/>
    <w:rsid w:val="00C4697D"/>
    <w:rsid w:val="00C528AE"/>
    <w:rsid w:val="00C5699F"/>
    <w:rsid w:val="00C579A7"/>
    <w:rsid w:val="00C67102"/>
    <w:rsid w:val="00C7323D"/>
    <w:rsid w:val="00C81491"/>
    <w:rsid w:val="00C81676"/>
    <w:rsid w:val="00C85C5D"/>
    <w:rsid w:val="00C902DC"/>
    <w:rsid w:val="00C92CC4"/>
    <w:rsid w:val="00C962BC"/>
    <w:rsid w:val="00CA0AFB"/>
    <w:rsid w:val="00CA2CE1"/>
    <w:rsid w:val="00CA3976"/>
    <w:rsid w:val="00CA50E3"/>
    <w:rsid w:val="00CA757B"/>
    <w:rsid w:val="00CC1787"/>
    <w:rsid w:val="00CC182C"/>
    <w:rsid w:val="00CC478B"/>
    <w:rsid w:val="00CC72CB"/>
    <w:rsid w:val="00CD0824"/>
    <w:rsid w:val="00CD2908"/>
    <w:rsid w:val="00CD4DFE"/>
    <w:rsid w:val="00CE11B3"/>
    <w:rsid w:val="00D03A82"/>
    <w:rsid w:val="00D13667"/>
    <w:rsid w:val="00D15344"/>
    <w:rsid w:val="00D162D5"/>
    <w:rsid w:val="00D23F57"/>
    <w:rsid w:val="00D31160"/>
    <w:rsid w:val="00D31BEC"/>
    <w:rsid w:val="00D325D0"/>
    <w:rsid w:val="00D35A53"/>
    <w:rsid w:val="00D529B3"/>
    <w:rsid w:val="00D54151"/>
    <w:rsid w:val="00D63150"/>
    <w:rsid w:val="00D636BA"/>
    <w:rsid w:val="00D64A32"/>
    <w:rsid w:val="00D64EFC"/>
    <w:rsid w:val="00D66310"/>
    <w:rsid w:val="00D668F9"/>
    <w:rsid w:val="00D74826"/>
    <w:rsid w:val="00D75295"/>
    <w:rsid w:val="00D76CE9"/>
    <w:rsid w:val="00D90868"/>
    <w:rsid w:val="00D97F12"/>
    <w:rsid w:val="00DA3525"/>
    <w:rsid w:val="00DA6095"/>
    <w:rsid w:val="00DB42E7"/>
    <w:rsid w:val="00DB58E9"/>
    <w:rsid w:val="00DC05CD"/>
    <w:rsid w:val="00DC09D8"/>
    <w:rsid w:val="00DC593D"/>
    <w:rsid w:val="00DC65DB"/>
    <w:rsid w:val="00DD12A0"/>
    <w:rsid w:val="00DD66F1"/>
    <w:rsid w:val="00DE01A6"/>
    <w:rsid w:val="00DE2BA0"/>
    <w:rsid w:val="00DE6F44"/>
    <w:rsid w:val="00DE7A98"/>
    <w:rsid w:val="00DF32C2"/>
    <w:rsid w:val="00E117D9"/>
    <w:rsid w:val="00E24DBE"/>
    <w:rsid w:val="00E471A7"/>
    <w:rsid w:val="00E513AB"/>
    <w:rsid w:val="00E53C7E"/>
    <w:rsid w:val="00E61252"/>
    <w:rsid w:val="00E635CF"/>
    <w:rsid w:val="00E7665C"/>
    <w:rsid w:val="00E95045"/>
    <w:rsid w:val="00EA24EA"/>
    <w:rsid w:val="00EB1E3B"/>
    <w:rsid w:val="00EB413D"/>
    <w:rsid w:val="00EC29E2"/>
    <w:rsid w:val="00EC6E0A"/>
    <w:rsid w:val="00ED347C"/>
    <w:rsid w:val="00ED4E18"/>
    <w:rsid w:val="00ED5A5A"/>
    <w:rsid w:val="00ED6554"/>
    <w:rsid w:val="00ED7922"/>
    <w:rsid w:val="00EE02C4"/>
    <w:rsid w:val="00EE1F37"/>
    <w:rsid w:val="00EE3C19"/>
    <w:rsid w:val="00EE5DFD"/>
    <w:rsid w:val="00F0159C"/>
    <w:rsid w:val="00F105B7"/>
    <w:rsid w:val="00F119FC"/>
    <w:rsid w:val="00F13220"/>
    <w:rsid w:val="00F17A21"/>
    <w:rsid w:val="00F313DF"/>
    <w:rsid w:val="00F353D6"/>
    <w:rsid w:val="00F36FC2"/>
    <w:rsid w:val="00F37B27"/>
    <w:rsid w:val="00F413CE"/>
    <w:rsid w:val="00F447A0"/>
    <w:rsid w:val="00F46556"/>
    <w:rsid w:val="00F50644"/>
    <w:rsid w:val="00F50E91"/>
    <w:rsid w:val="00F5353F"/>
    <w:rsid w:val="00F56799"/>
    <w:rsid w:val="00F57D29"/>
    <w:rsid w:val="00F60786"/>
    <w:rsid w:val="00F64227"/>
    <w:rsid w:val="00F75B77"/>
    <w:rsid w:val="00F91BC7"/>
    <w:rsid w:val="00F920B9"/>
    <w:rsid w:val="00F96201"/>
    <w:rsid w:val="00F97F4F"/>
    <w:rsid w:val="00FA1BBC"/>
    <w:rsid w:val="00FA5170"/>
    <w:rsid w:val="00FB47C5"/>
    <w:rsid w:val="00FC091F"/>
    <w:rsid w:val="00FD0B18"/>
    <w:rsid w:val="00FD2FAD"/>
    <w:rsid w:val="00FE1663"/>
    <w:rsid w:val="00FE5F8D"/>
    <w:rsid w:val="00FE714F"/>
    <w:rsid w:val="00FF6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022FE"/>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5022FE"/>
    <w:pPr>
      <w:keepNext/>
    </w:pPr>
    <w:rPr>
      <w:rFonts w:ascii="Arial" w:hAnsi="Arial" w:cs="Arial"/>
      <w:b/>
      <w:caps/>
      <w:sz w:val="20"/>
      <w:szCs w:val="20"/>
    </w:rPr>
  </w:style>
  <w:style w:type="character" w:customStyle="1" w:styleId="Casehead1Char">
    <w:name w:val="Casehead 1 Char"/>
    <w:basedOn w:val="BodyTextMainChar"/>
    <w:link w:val="Casehead1"/>
    <w:rsid w:val="005022FE"/>
    <w:rPr>
      <w:rFonts w:ascii="Arial" w:eastAsia="Times New Roman" w:hAnsi="Arial" w:cs="Arial"/>
      <w:b/>
      <w:caps/>
      <w:sz w:val="20"/>
      <w:szCs w:val="20"/>
      <w:lang w:val="en-GB"/>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lang w:val="en-GB"/>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lang w:val="en-GB"/>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lang w:val="en-GB"/>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497261"/>
    <w:rPr>
      <w:b w:val="0"/>
      <w:color w:val="auto"/>
      <w:vertAlign w:val="superscript"/>
    </w:rPr>
  </w:style>
  <w:style w:type="paragraph" w:customStyle="1" w:styleId="Footnote">
    <w:name w:val="Footnote"/>
    <w:basedOn w:val="FootnoteText"/>
    <w:link w:val="FootnoteChar"/>
    <w:qFormat/>
    <w:rsid w:val="00497261"/>
    <w:pPr>
      <w:jc w:val="both"/>
    </w:pPr>
    <w:rPr>
      <w:rFonts w:ascii="Arial" w:hAnsi="Arial" w:cs="Arial"/>
      <w:sz w:val="17"/>
      <w:szCs w:val="17"/>
    </w:rPr>
  </w:style>
  <w:style w:type="character" w:customStyle="1" w:styleId="FootnoteChar">
    <w:name w:val="Footnote Char"/>
    <w:basedOn w:val="FootnoteTextChar"/>
    <w:link w:val="Footnote"/>
    <w:rsid w:val="00497261"/>
    <w:rPr>
      <w:rFonts w:ascii="Arial" w:eastAsia="Times New Roman" w:hAnsi="Arial" w:cs="Arial"/>
      <w:sz w:val="17"/>
      <w:szCs w:val="17"/>
      <w:lang w:val="en-GB"/>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next w:val="ExhibitText"/>
    <w:link w:val="ExhibitHeadingChar"/>
    <w:qFormat/>
    <w:rsid w:val="005022FE"/>
    <w:pPr>
      <w:keepNext/>
      <w:jc w:val="center"/>
    </w:pPr>
    <w:rPr>
      <w:rFonts w:ascii="Arial" w:hAnsi="Arial" w:cs="Arial"/>
      <w:b/>
      <w:caps/>
      <w:sz w:val="20"/>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character" w:customStyle="1" w:styleId="ExhibitHeadingChar">
    <w:name w:val="Exhibit Heading Char"/>
    <w:basedOn w:val="BodyTextMainChar"/>
    <w:link w:val="ExhibitHeading"/>
    <w:rsid w:val="005022FE"/>
    <w:rPr>
      <w:rFonts w:ascii="Arial" w:eastAsia="Times New Roman" w:hAnsi="Arial" w:cs="Arial"/>
      <w:b/>
      <w:caps/>
      <w:sz w:val="20"/>
      <w:szCs w:val="20"/>
      <w:lang w:val="en-GB"/>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paragraph" w:customStyle="1" w:styleId="BodyTextIndent1">
    <w:name w:val="Body Text Indent1"/>
    <w:basedOn w:val="Normal"/>
    <w:link w:val="BodyTextIndentCharChar"/>
    <w:rsid w:val="00ED7922"/>
    <w:pPr>
      <w:spacing w:after="120"/>
      <w:ind w:left="360"/>
    </w:p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paragraph" w:customStyle="1" w:styleId="CommentSubject1">
    <w:name w:val="Comment Subject1"/>
    <w:basedOn w:val="CommentText"/>
    <w:next w:val="CommentText"/>
    <w:link w:val="CommentSubjectChar1"/>
    <w:rsid w:val="00ED7922"/>
    <w:rPr>
      <w:b/>
      <w:bCs/>
      <w:kern w:val="2"/>
      <w:sz w:val="22"/>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paragraph" w:customStyle="1" w:styleId="BodyTextIndent31">
    <w:name w:val="Body Text Indent 31"/>
    <w:basedOn w:val="Normal"/>
    <w:link w:val="BodyTextIndent3CharChar"/>
    <w:rsid w:val="00ED7922"/>
    <w:pPr>
      <w:spacing w:after="120"/>
      <w:ind w:left="360"/>
    </w:pPr>
    <w:rPr>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styleId="NormalWeb">
    <w:name w:val="Normal (Web)"/>
    <w:basedOn w:val="Normal"/>
    <w:uiPriority w:val="99"/>
    <w:semiHidden/>
    <w:unhideWhenUsed/>
    <w:rsid w:val="00D35A53"/>
    <w:rPr>
      <w:sz w:val="24"/>
      <w:szCs w:val="24"/>
    </w:rPr>
  </w:style>
  <w:style w:type="character" w:styleId="Hyperlink">
    <w:name w:val="Hyperlink"/>
    <w:basedOn w:val="DefaultParagraphFont"/>
    <w:uiPriority w:val="99"/>
    <w:unhideWhenUsed/>
    <w:rsid w:val="00A22F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763394">
      <w:bodyDiv w:val="1"/>
      <w:marLeft w:val="0"/>
      <w:marRight w:val="0"/>
      <w:marTop w:val="0"/>
      <w:marBottom w:val="0"/>
      <w:divBdr>
        <w:top w:val="none" w:sz="0" w:space="0" w:color="auto"/>
        <w:left w:val="none" w:sz="0" w:space="0" w:color="auto"/>
        <w:bottom w:val="none" w:sz="0" w:space="0" w:color="auto"/>
        <w:right w:val="none" w:sz="0" w:space="0" w:color="auto"/>
      </w:divBdr>
    </w:div>
    <w:div w:id="892154750">
      <w:bodyDiv w:val="1"/>
      <w:marLeft w:val="0"/>
      <w:marRight w:val="0"/>
      <w:marTop w:val="0"/>
      <w:marBottom w:val="0"/>
      <w:divBdr>
        <w:top w:val="none" w:sz="0" w:space="0" w:color="auto"/>
        <w:left w:val="none" w:sz="0" w:space="0" w:color="auto"/>
        <w:bottom w:val="none" w:sz="0" w:space="0" w:color="auto"/>
        <w:right w:val="none" w:sz="0" w:space="0" w:color="auto"/>
      </w:divBdr>
      <w:divsChild>
        <w:div w:id="718825537">
          <w:marLeft w:val="0"/>
          <w:marRight w:val="0"/>
          <w:marTop w:val="0"/>
          <w:marBottom w:val="0"/>
          <w:divBdr>
            <w:top w:val="none" w:sz="0" w:space="0" w:color="auto"/>
            <w:left w:val="none" w:sz="0" w:space="0" w:color="auto"/>
            <w:bottom w:val="none" w:sz="0" w:space="0" w:color="auto"/>
            <w:right w:val="none" w:sz="0" w:space="0" w:color="auto"/>
          </w:divBdr>
          <w:divsChild>
            <w:div w:id="10685939">
              <w:marLeft w:val="0"/>
              <w:marRight w:val="0"/>
              <w:marTop w:val="0"/>
              <w:marBottom w:val="0"/>
              <w:divBdr>
                <w:top w:val="none" w:sz="0" w:space="0" w:color="auto"/>
                <w:left w:val="none" w:sz="0" w:space="0" w:color="auto"/>
                <w:bottom w:val="none" w:sz="0" w:space="0" w:color="auto"/>
                <w:right w:val="none" w:sz="0" w:space="0" w:color="auto"/>
              </w:divBdr>
              <w:divsChild>
                <w:div w:id="207693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176907">
      <w:bodyDiv w:val="1"/>
      <w:marLeft w:val="0"/>
      <w:marRight w:val="0"/>
      <w:marTop w:val="0"/>
      <w:marBottom w:val="0"/>
      <w:divBdr>
        <w:top w:val="none" w:sz="0" w:space="0" w:color="auto"/>
        <w:left w:val="none" w:sz="0" w:space="0" w:color="auto"/>
        <w:bottom w:val="none" w:sz="0" w:space="0" w:color="auto"/>
        <w:right w:val="none" w:sz="0" w:space="0" w:color="auto"/>
      </w:divBdr>
    </w:div>
    <w:div w:id="1339768979">
      <w:bodyDiv w:val="1"/>
      <w:marLeft w:val="0"/>
      <w:marRight w:val="0"/>
      <w:marTop w:val="0"/>
      <w:marBottom w:val="0"/>
      <w:divBdr>
        <w:top w:val="none" w:sz="0" w:space="0" w:color="auto"/>
        <w:left w:val="none" w:sz="0" w:space="0" w:color="auto"/>
        <w:bottom w:val="none" w:sz="0" w:space="0" w:color="auto"/>
        <w:right w:val="none" w:sz="0" w:space="0" w:color="auto"/>
      </w:divBdr>
      <w:divsChild>
        <w:div w:id="30032969">
          <w:marLeft w:val="0"/>
          <w:marRight w:val="0"/>
          <w:marTop w:val="0"/>
          <w:marBottom w:val="0"/>
          <w:divBdr>
            <w:top w:val="none" w:sz="0" w:space="0" w:color="auto"/>
            <w:left w:val="none" w:sz="0" w:space="0" w:color="auto"/>
            <w:bottom w:val="none" w:sz="0" w:space="0" w:color="auto"/>
            <w:right w:val="none" w:sz="0" w:space="0" w:color="auto"/>
          </w:divBdr>
          <w:divsChild>
            <w:div w:id="342168934">
              <w:marLeft w:val="0"/>
              <w:marRight w:val="0"/>
              <w:marTop w:val="0"/>
              <w:marBottom w:val="0"/>
              <w:divBdr>
                <w:top w:val="none" w:sz="0" w:space="0" w:color="auto"/>
                <w:left w:val="none" w:sz="0" w:space="0" w:color="auto"/>
                <w:bottom w:val="none" w:sz="0" w:space="0" w:color="auto"/>
                <w:right w:val="none" w:sz="0" w:space="0" w:color="auto"/>
              </w:divBdr>
              <w:divsChild>
                <w:div w:id="95560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ivey.ca\pubsshared\CASES\A-CasesPending\Saregama%20India%20Ltd%20Repositioning%20the%20Value%20Proposition\data%20for%20case%20Exhibit%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ivey.ca\pubsshared\CASES\A-CasesPending\Saregama%20India%20Ltd%20Repositioning%20the%20Value%20Proposition\data%20for%20case%20Exhibit%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Share!$D$4:$D$11</c:f>
              <c:strCache>
                <c:ptCount val="8"/>
                <c:pt idx="0">
                  <c:v>TV</c:v>
                </c:pt>
                <c:pt idx="1">
                  <c:v>Print</c:v>
                </c:pt>
                <c:pt idx="2">
                  <c:v>Films</c:v>
                </c:pt>
                <c:pt idx="3">
                  <c:v>Digital</c:v>
                </c:pt>
                <c:pt idx="4">
                  <c:v>Organized Events</c:v>
                </c:pt>
                <c:pt idx="5">
                  <c:v>Music </c:v>
                </c:pt>
                <c:pt idx="6">
                  <c:v>Radio</c:v>
                </c:pt>
                <c:pt idx="7">
                  <c:v>Others</c:v>
                </c:pt>
              </c:strCache>
            </c:strRef>
          </c:cat>
          <c:val>
            <c:numRef>
              <c:f>Share!$E$4:$E$11</c:f>
              <c:numCache>
                <c:formatCode>General</c:formatCode>
                <c:ptCount val="8"/>
                <c:pt idx="0">
                  <c:v>46</c:v>
                </c:pt>
                <c:pt idx="1">
                  <c:v>23</c:v>
                </c:pt>
                <c:pt idx="2">
                  <c:v>11</c:v>
                </c:pt>
                <c:pt idx="3">
                  <c:v>6</c:v>
                </c:pt>
                <c:pt idx="4">
                  <c:v>4</c:v>
                </c:pt>
                <c:pt idx="5">
                  <c:v>2</c:v>
                </c:pt>
                <c:pt idx="6">
                  <c:v>1</c:v>
                </c:pt>
                <c:pt idx="7">
                  <c:v>7</c:v>
                </c:pt>
              </c:numCache>
            </c:numRef>
          </c:val>
          <c:extLst>
            <c:ext xmlns:c16="http://schemas.microsoft.com/office/drawing/2014/chart" uri="{C3380CC4-5D6E-409C-BE32-E72D297353CC}">
              <c16:uniqueId val="{00000000-91DC-4CCB-AE8A-D235805A2D5D}"/>
            </c:ext>
          </c:extLst>
        </c:ser>
        <c:dLbls>
          <c:dLblPos val="outEnd"/>
          <c:showLegendKey val="0"/>
          <c:showVal val="1"/>
          <c:showCatName val="0"/>
          <c:showSerName val="0"/>
          <c:showPercent val="0"/>
          <c:showBubbleSize val="0"/>
        </c:dLbls>
        <c:gapWidth val="219"/>
        <c:overlap val="-27"/>
        <c:axId val="535838424"/>
        <c:axId val="535838816"/>
      </c:barChart>
      <c:catAx>
        <c:axId val="535838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535838816"/>
        <c:crosses val="autoZero"/>
        <c:auto val="1"/>
        <c:lblAlgn val="ctr"/>
        <c:lblOffset val="100"/>
        <c:noMultiLvlLbl val="0"/>
      </c:catAx>
      <c:valAx>
        <c:axId val="535838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CA" b="1">
                    <a:solidFill>
                      <a:sysClr val="windowText" lastClr="000000"/>
                    </a:solidFill>
                  </a:rPr>
                  <a:t>Percentage</a:t>
                </a:r>
                <a:r>
                  <a:rPr lang="en-CA" b="1" baseline="0">
                    <a:solidFill>
                      <a:sysClr val="windowText" lastClr="000000"/>
                    </a:solidFill>
                  </a:rPr>
                  <a:t> of share</a:t>
                </a:r>
                <a:endParaRPr lang="en-CA" b="1">
                  <a:solidFill>
                    <a:sysClr val="windowText" lastClr="000000"/>
                  </a:solidFill>
                </a:endParaRPr>
              </a:p>
            </c:rich>
          </c:tx>
          <c:layout>
            <c:manualLayout>
              <c:xMode val="edge"/>
              <c:yMode val="edge"/>
              <c:x val="1.2365593275995779E-2"/>
              <c:y val="0.20846663792059714"/>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535838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clustered"/>
        <c:varyColors val="0"/>
        <c:ser>
          <c:idx val="0"/>
          <c:order val="0"/>
          <c:tx>
            <c:v>2011-2016</c:v>
          </c:tx>
          <c:invertIfNegative val="0"/>
          <c:dLbls>
            <c:dLbl>
              <c:idx val="0"/>
              <c:layout/>
              <c:tx>
                <c:rich>
                  <a:bodyPr/>
                  <a:lstStyle/>
                  <a:p>
                    <a:r>
                      <a:rPr lang="en-US" baseline="0"/>
                      <a:t> </a:t>
                    </a:r>
                    <a:fld id="{48A88A72-83AB-483E-8003-0B41B973E3EB}" type="VALUE">
                      <a:rPr lang="en-US" baseline="0"/>
                      <a:pPr/>
                      <a:t>[VALUE]</a:t>
                    </a:fld>
                    <a:endParaRPr lang="en-US" baseline="0"/>
                  </a:p>
                </c:rich>
              </c:tx>
              <c:dLblPos val="outEnd"/>
              <c:showLegendKey val="0"/>
              <c:showVal val="1"/>
              <c:showCatName val="1"/>
              <c:showSerName val="0"/>
              <c:showPercent val="0"/>
              <c:showBubbleSize val="0"/>
              <c:extLst>
                <c:ext xmlns:c15="http://schemas.microsoft.com/office/drawing/2012/chart" uri="{CE6537A1-D6FC-4f65-9D91-7224C49458BB}">
                  <c15:layout/>
                  <c15:dlblFieldTable/>
                  <c15:showDataLabelsRange val="0"/>
                </c:ext>
                <c:ext xmlns:c16="http://schemas.microsoft.com/office/drawing/2014/chart" uri="{C3380CC4-5D6E-409C-BE32-E72D297353CC}">
                  <c16:uniqueId val="{00000000-A555-46D8-B158-247CC2AA0BF5}"/>
                </c:ext>
              </c:extLst>
            </c:dLbl>
            <c:dLbl>
              <c:idx val="1"/>
              <c:layout/>
              <c:tx>
                <c:rich>
                  <a:bodyPr/>
                  <a:lstStyle/>
                  <a:p>
                    <a:r>
                      <a:rPr lang="en-US" baseline="0"/>
                      <a:t> </a:t>
                    </a:r>
                    <a:fld id="{A00F3F24-146A-4E68-83D4-B61E101EB10C}" type="VALUE">
                      <a:rPr lang="en-US" baseline="0"/>
                      <a:pPr/>
                      <a:t>[VALUE]</a:t>
                    </a:fld>
                    <a:endParaRPr lang="en-US" baseline="0"/>
                  </a:p>
                </c:rich>
              </c:tx>
              <c:dLblPos val="outEnd"/>
              <c:showLegendKey val="0"/>
              <c:showVal val="1"/>
              <c:showCatName val="1"/>
              <c:showSerName val="0"/>
              <c:showPercent val="0"/>
              <c:showBubbleSize val="0"/>
              <c:extLst>
                <c:ext xmlns:c15="http://schemas.microsoft.com/office/drawing/2012/chart" uri="{CE6537A1-D6FC-4f65-9D91-7224C49458BB}">
                  <c15:layout/>
                  <c15:dlblFieldTable/>
                  <c15:showDataLabelsRange val="0"/>
                </c:ext>
                <c:ext xmlns:c16="http://schemas.microsoft.com/office/drawing/2014/chart" uri="{C3380CC4-5D6E-409C-BE32-E72D297353CC}">
                  <c16:uniqueId val="{00000001-A555-46D8-B158-247CC2AA0BF5}"/>
                </c:ext>
              </c:extLst>
            </c:dLbl>
            <c:dLbl>
              <c:idx val="2"/>
              <c:layout/>
              <c:tx>
                <c:rich>
                  <a:bodyPr/>
                  <a:lstStyle/>
                  <a:p>
                    <a:fld id="{5E56EE2E-FCAC-4DEE-8FF4-865612016F87}" type="VALUE">
                      <a:rPr lang="en-US" baseline="0"/>
                      <a:pPr/>
                      <a:t>[VALUE]</a:t>
                    </a:fld>
                    <a:endParaRPr lang="en-CA"/>
                  </a:p>
                </c:rich>
              </c:tx>
              <c:dLblPos val="outEnd"/>
              <c:showLegendKey val="0"/>
              <c:showVal val="1"/>
              <c:showCatName val="1"/>
              <c:showSerName val="0"/>
              <c:showPercent val="0"/>
              <c:showBubbleSize val="0"/>
              <c:extLst>
                <c:ext xmlns:c15="http://schemas.microsoft.com/office/drawing/2012/chart" uri="{CE6537A1-D6FC-4f65-9D91-7224C49458BB}">
                  <c15:layout/>
                  <c15:dlblFieldTable/>
                  <c15:showDataLabelsRange val="0"/>
                </c:ext>
                <c:ext xmlns:c16="http://schemas.microsoft.com/office/drawing/2014/chart" uri="{C3380CC4-5D6E-409C-BE32-E72D297353CC}">
                  <c16:uniqueId val="{00000002-A555-46D8-B158-247CC2AA0BF5}"/>
                </c:ext>
              </c:extLst>
            </c:dLbl>
            <c:dLbl>
              <c:idx val="3"/>
              <c:layout/>
              <c:tx>
                <c:rich>
                  <a:bodyPr/>
                  <a:lstStyle/>
                  <a:p>
                    <a:fld id="{DA0AF52F-57D1-4583-82D5-D2C2D5D76A13}" type="VALUE">
                      <a:rPr lang="en-US" baseline="0"/>
                      <a:pPr/>
                      <a:t>[VALUE]</a:t>
                    </a:fld>
                    <a:endParaRPr lang="en-CA"/>
                  </a:p>
                </c:rich>
              </c:tx>
              <c:dLblPos val="outEnd"/>
              <c:showLegendKey val="0"/>
              <c:showVal val="1"/>
              <c:showCatName val="1"/>
              <c:showSerName val="0"/>
              <c:showPercent val="0"/>
              <c:showBubbleSize val="0"/>
              <c:extLst>
                <c:ext xmlns:c15="http://schemas.microsoft.com/office/drawing/2012/chart" uri="{CE6537A1-D6FC-4f65-9D91-7224C49458BB}">
                  <c15:layout/>
                  <c15:dlblFieldTable/>
                  <c15:showDataLabelsRange val="0"/>
                </c:ext>
                <c:ext xmlns:c16="http://schemas.microsoft.com/office/drawing/2014/chart" uri="{C3380CC4-5D6E-409C-BE32-E72D297353CC}">
                  <c16:uniqueId val="{00000003-A555-46D8-B158-247CC2AA0BF5}"/>
                </c:ext>
              </c:extLst>
            </c:dLbl>
            <c:dLbl>
              <c:idx val="4"/>
              <c:layout/>
              <c:tx>
                <c:rich>
                  <a:bodyPr/>
                  <a:lstStyle/>
                  <a:p>
                    <a:fld id="{D2AEA166-873B-4A6C-A851-2E8C79C29DF0}" type="VALUE">
                      <a:rPr lang="en-US" baseline="0"/>
                      <a:pPr/>
                      <a:t>[VALUE]</a:t>
                    </a:fld>
                    <a:endParaRPr lang="en-CA"/>
                  </a:p>
                </c:rich>
              </c:tx>
              <c:dLblPos val="outEnd"/>
              <c:showLegendKey val="0"/>
              <c:showVal val="1"/>
              <c:showCatName val="1"/>
              <c:showSerName val="0"/>
              <c:showPercent val="0"/>
              <c:showBubbleSize val="0"/>
              <c:extLst>
                <c:ext xmlns:c15="http://schemas.microsoft.com/office/drawing/2012/chart" uri="{CE6537A1-D6FC-4f65-9D91-7224C49458BB}">
                  <c15:layout/>
                  <c15:dlblFieldTable/>
                  <c15:showDataLabelsRange val="0"/>
                </c:ext>
                <c:ext xmlns:c16="http://schemas.microsoft.com/office/drawing/2014/chart" uri="{C3380CC4-5D6E-409C-BE32-E72D297353CC}">
                  <c16:uniqueId val="{00000004-A555-46D8-B158-247CC2AA0BF5}"/>
                </c:ext>
              </c:extLst>
            </c:dLbl>
            <c:dLbl>
              <c:idx val="5"/>
              <c:layout/>
              <c:tx>
                <c:rich>
                  <a:bodyPr/>
                  <a:lstStyle/>
                  <a:p>
                    <a:fld id="{5E8E8F49-A185-4A59-AB2B-C3885ADE8B50}" type="VALUE">
                      <a:rPr lang="en-US" baseline="0"/>
                      <a:pPr/>
                      <a:t>[VALUE]</a:t>
                    </a:fld>
                    <a:endParaRPr lang="en-CA"/>
                  </a:p>
                </c:rich>
              </c:tx>
              <c:dLblPos val="outEnd"/>
              <c:showLegendKey val="0"/>
              <c:showVal val="1"/>
              <c:showCatName val="1"/>
              <c:showSerName val="0"/>
              <c:showPercent val="0"/>
              <c:showBubbleSize val="0"/>
              <c:extLst>
                <c:ext xmlns:c15="http://schemas.microsoft.com/office/drawing/2012/chart" uri="{CE6537A1-D6FC-4f65-9D91-7224C49458BB}">
                  <c15:layout/>
                  <c15:dlblFieldTable/>
                  <c15:showDataLabelsRange val="0"/>
                </c:ext>
                <c:ext xmlns:c16="http://schemas.microsoft.com/office/drawing/2014/chart" uri="{C3380CC4-5D6E-409C-BE32-E72D297353CC}">
                  <c16:uniqueId val="{00000005-A555-46D8-B158-247CC2AA0BF5}"/>
                </c:ext>
              </c:extLst>
            </c:dLbl>
            <c:dLbl>
              <c:idx val="6"/>
              <c:layout/>
              <c:tx>
                <c:rich>
                  <a:bodyPr/>
                  <a:lstStyle/>
                  <a:p>
                    <a:fld id="{8F9CC7D1-A946-4499-833A-CB3677D70C7F}" type="VALUE">
                      <a:rPr lang="en-US" baseline="0"/>
                      <a:pPr/>
                      <a:t>[VALUE]</a:t>
                    </a:fld>
                    <a:endParaRPr lang="en-CA"/>
                  </a:p>
                </c:rich>
              </c:tx>
              <c:dLblPos val="outEnd"/>
              <c:showLegendKey val="0"/>
              <c:showVal val="1"/>
              <c:showCatName val="1"/>
              <c:showSerName val="0"/>
              <c:showPercent val="0"/>
              <c:showBubbleSize val="0"/>
              <c:extLst>
                <c:ext xmlns:c15="http://schemas.microsoft.com/office/drawing/2012/chart" uri="{CE6537A1-D6FC-4f65-9D91-7224C49458BB}">
                  <c15:layout/>
                  <c15:dlblFieldTable/>
                  <c15:showDataLabelsRange val="0"/>
                </c:ext>
                <c:ext xmlns:c16="http://schemas.microsoft.com/office/drawing/2014/chart" uri="{C3380CC4-5D6E-409C-BE32-E72D297353CC}">
                  <c16:uniqueId val="{00000006-A555-46D8-B158-247CC2AA0BF5}"/>
                </c:ext>
              </c:extLst>
            </c:dLbl>
            <c:dLbl>
              <c:idx val="7"/>
              <c:layout/>
              <c:tx>
                <c:rich>
                  <a:bodyPr/>
                  <a:lstStyle/>
                  <a:p>
                    <a:fld id="{157C65A0-D9E4-4FB8-BBFC-BC320349C07F}" type="VALUE">
                      <a:rPr lang="en-US" baseline="0"/>
                      <a:pPr/>
                      <a:t>[VALUE]</a:t>
                    </a:fld>
                    <a:endParaRPr lang="en-CA"/>
                  </a:p>
                </c:rich>
              </c:tx>
              <c:dLblPos val="outEnd"/>
              <c:showLegendKey val="0"/>
              <c:showVal val="1"/>
              <c:showCatName val="1"/>
              <c:showSerName val="0"/>
              <c:showPercent val="0"/>
              <c:showBubbleSize val="0"/>
              <c:extLst>
                <c:ext xmlns:c15="http://schemas.microsoft.com/office/drawing/2012/chart" uri="{CE6537A1-D6FC-4f65-9D91-7224C49458BB}">
                  <c15:layout/>
                  <c15:dlblFieldTable/>
                  <c15:showDataLabelsRange val="0"/>
                </c:ext>
                <c:ext xmlns:c16="http://schemas.microsoft.com/office/drawing/2014/chart" uri="{C3380CC4-5D6E-409C-BE32-E72D297353CC}">
                  <c16:uniqueId val="{00000007-A555-46D8-B158-247CC2AA0BF5}"/>
                </c:ext>
              </c:extLst>
            </c:dLbl>
            <c:spPr>
              <a:noFill/>
              <a:ln>
                <a:noFill/>
              </a:ln>
              <a:effectLst/>
            </c:spPr>
            <c:dLblPos val="outEnd"/>
            <c:showLegendKey val="0"/>
            <c:showVal val="1"/>
            <c:showCatName val="1"/>
            <c:showSerName val="0"/>
            <c:showPercent val="0"/>
            <c:showBubbleSize val="0"/>
            <c:showLeaderLines val="0"/>
            <c:extLst>
              <c:ext xmlns:c15="http://schemas.microsoft.com/office/drawing/2012/chart" uri="{CE6537A1-D6FC-4f65-9D91-7224C49458BB}">
                <c15:showLeaderLines val="1"/>
              </c:ext>
            </c:extLst>
          </c:dLbls>
          <c:cat>
            <c:strRef>
              <c:f>Growth!$D$4:$D$11</c:f>
              <c:strCache>
                <c:ptCount val="8"/>
                <c:pt idx="0">
                  <c:v>Digital</c:v>
                </c:pt>
                <c:pt idx="1">
                  <c:v>Organized events</c:v>
                </c:pt>
                <c:pt idx="2">
                  <c:v>Radio</c:v>
                </c:pt>
                <c:pt idx="3">
                  <c:v>Media and entertainment industry</c:v>
                </c:pt>
                <c:pt idx="4">
                  <c:v>TV</c:v>
                </c:pt>
                <c:pt idx="5">
                  <c:v>Music</c:v>
                </c:pt>
                <c:pt idx="6">
                  <c:v>Films</c:v>
                </c:pt>
                <c:pt idx="7">
                  <c:v>Print</c:v>
                </c:pt>
              </c:strCache>
            </c:strRef>
          </c:cat>
          <c:val>
            <c:numRef>
              <c:f>Growth!$E$4:$E$11</c:f>
              <c:numCache>
                <c:formatCode>General</c:formatCode>
                <c:ptCount val="8"/>
                <c:pt idx="0">
                  <c:v>39</c:v>
                </c:pt>
                <c:pt idx="1">
                  <c:v>18</c:v>
                </c:pt>
                <c:pt idx="2">
                  <c:v>12</c:v>
                </c:pt>
                <c:pt idx="3">
                  <c:v>12</c:v>
                </c:pt>
                <c:pt idx="4">
                  <c:v>12</c:v>
                </c:pt>
                <c:pt idx="5">
                  <c:v>6</c:v>
                </c:pt>
                <c:pt idx="6">
                  <c:v>9</c:v>
                </c:pt>
                <c:pt idx="7">
                  <c:v>8</c:v>
                </c:pt>
              </c:numCache>
            </c:numRef>
          </c:val>
          <c:extLst>
            <c:ext xmlns:c16="http://schemas.microsoft.com/office/drawing/2014/chart" uri="{C3380CC4-5D6E-409C-BE32-E72D297353CC}">
              <c16:uniqueId val="{00000008-A555-46D8-B158-247CC2AA0BF5}"/>
            </c:ext>
          </c:extLst>
        </c:ser>
        <c:ser>
          <c:idx val="1"/>
          <c:order val="1"/>
          <c:tx>
            <c:v>2016-2021</c:v>
          </c:tx>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ext>
            </c:extLst>
          </c:dLbls>
          <c:cat>
            <c:strRef>
              <c:f>Growth!$D$4:$D$11</c:f>
              <c:strCache>
                <c:ptCount val="8"/>
                <c:pt idx="0">
                  <c:v>Digital</c:v>
                </c:pt>
                <c:pt idx="1">
                  <c:v>Organized events</c:v>
                </c:pt>
                <c:pt idx="2">
                  <c:v>Radio</c:v>
                </c:pt>
                <c:pt idx="3">
                  <c:v>Media and entertainment industry</c:v>
                </c:pt>
                <c:pt idx="4">
                  <c:v>TV</c:v>
                </c:pt>
                <c:pt idx="5">
                  <c:v>Music</c:v>
                </c:pt>
                <c:pt idx="6">
                  <c:v>Films</c:v>
                </c:pt>
                <c:pt idx="7">
                  <c:v>Print</c:v>
                </c:pt>
              </c:strCache>
            </c:strRef>
          </c:cat>
          <c:val>
            <c:numRef>
              <c:f>Growth!$F$4:$F$11</c:f>
              <c:numCache>
                <c:formatCode>General</c:formatCode>
                <c:ptCount val="8"/>
                <c:pt idx="0">
                  <c:v>26</c:v>
                </c:pt>
                <c:pt idx="1">
                  <c:v>16</c:v>
                </c:pt>
                <c:pt idx="2">
                  <c:v>14</c:v>
                </c:pt>
                <c:pt idx="3">
                  <c:v>12</c:v>
                </c:pt>
                <c:pt idx="4">
                  <c:v>11</c:v>
                </c:pt>
                <c:pt idx="5">
                  <c:v>11</c:v>
                </c:pt>
                <c:pt idx="6">
                  <c:v>10</c:v>
                </c:pt>
                <c:pt idx="7">
                  <c:v>7</c:v>
                </c:pt>
              </c:numCache>
            </c:numRef>
          </c:val>
          <c:extLst>
            <c:ext xmlns:c16="http://schemas.microsoft.com/office/drawing/2014/chart" uri="{C3380CC4-5D6E-409C-BE32-E72D297353CC}">
              <c16:uniqueId val="{00000009-A555-46D8-B158-247CC2AA0BF5}"/>
            </c:ext>
          </c:extLst>
        </c:ser>
        <c:dLbls>
          <c:dLblPos val="outEnd"/>
          <c:showLegendKey val="0"/>
          <c:showVal val="1"/>
          <c:showCatName val="0"/>
          <c:showSerName val="0"/>
          <c:showPercent val="0"/>
          <c:showBubbleSize val="0"/>
        </c:dLbls>
        <c:gapWidth val="100"/>
        <c:axId val="535816472"/>
        <c:axId val="535809808"/>
      </c:barChart>
      <c:catAx>
        <c:axId val="535816472"/>
        <c:scaling>
          <c:orientation val="minMax"/>
        </c:scaling>
        <c:delete val="0"/>
        <c:axPos val="b"/>
        <c:numFmt formatCode="General" sourceLinked="1"/>
        <c:majorTickMark val="out"/>
        <c:minorTickMark val="none"/>
        <c:tickLblPos val="nextTo"/>
        <c:crossAx val="535809808"/>
        <c:crosses val="autoZero"/>
        <c:auto val="1"/>
        <c:lblAlgn val="ctr"/>
        <c:lblOffset val="100"/>
        <c:noMultiLvlLbl val="0"/>
      </c:catAx>
      <c:valAx>
        <c:axId val="535809808"/>
        <c:scaling>
          <c:orientation val="minMax"/>
        </c:scaling>
        <c:delete val="0"/>
        <c:axPos val="l"/>
        <c:majorGridlines/>
        <c:title>
          <c:tx>
            <c:rich>
              <a:bodyPr/>
              <a:lstStyle/>
              <a:p>
                <a:pPr>
                  <a:defRPr/>
                </a:pPr>
                <a:r>
                  <a:rPr lang="en-CA"/>
                  <a:t>Growth rate (%)</a:t>
                </a:r>
              </a:p>
            </c:rich>
          </c:tx>
          <c:layout/>
          <c:overlay val="0"/>
        </c:title>
        <c:numFmt formatCode="General" sourceLinked="1"/>
        <c:majorTickMark val="out"/>
        <c:minorTickMark val="none"/>
        <c:tickLblPos val="nextTo"/>
        <c:crossAx val="535816472"/>
        <c:crosses val="autoZero"/>
        <c:crossBetween val="between"/>
      </c:valAx>
    </c:plotArea>
    <c:legend>
      <c:legendPos val="b"/>
      <c:layout/>
      <c:overlay val="0"/>
    </c:legend>
    <c:plotVisOnly val="1"/>
    <c:dispBlanksAs val="gap"/>
    <c:showDLblsOverMax val="0"/>
  </c:chart>
  <c:txPr>
    <a:bodyPr/>
    <a:lstStyle/>
    <a:p>
      <a:pPr>
        <a:defRPr baseline="0">
          <a:solidFill>
            <a:sysClr val="windowText" lastClr="000000"/>
          </a:solidFill>
          <a:latin typeface="Arial" panose="020B0604020202020204" pitchFamily="34" charset="0"/>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1A4CC8B-7D2F-4496-BC2D-663B867746E2}">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149110B-5B77-4B83-860F-760172CB19AE}">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C7935-907F-4D55-98C3-A0602DC06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18</Pages>
  <Words>7543</Words>
  <Characters>42997</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50440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Harnett, Kira</cp:lastModifiedBy>
  <cp:revision>16</cp:revision>
  <cp:lastPrinted>2019-08-28T18:10:00Z</cp:lastPrinted>
  <dcterms:created xsi:type="dcterms:W3CDTF">2019-10-24T18:49:00Z</dcterms:created>
  <dcterms:modified xsi:type="dcterms:W3CDTF">2019-10-31T17:06:00Z</dcterms:modified>
</cp:coreProperties>
</file>