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B1164D3" w:rsidR="00C02410" w:rsidRDefault="008102B3" w:rsidP="00C02410">
      <w:pPr>
        <w:pStyle w:val="ProductNumber"/>
      </w:pPr>
      <w:r>
        <w:t>9B19B007</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FACDAB6" w:rsidR="00013360" w:rsidRDefault="008102B3" w:rsidP="00013360">
      <w:pPr>
        <w:pStyle w:val="CaseTitle"/>
        <w:spacing w:after="0" w:line="240" w:lineRule="auto"/>
        <w:rPr>
          <w:sz w:val="20"/>
          <w:szCs w:val="20"/>
        </w:rPr>
      </w:pPr>
      <w:r w:rsidRPr="00EF5D87">
        <w:rPr>
          <w:rFonts w:ascii="Arial Bold" w:hAnsi="Arial Bold"/>
        </w:rPr>
        <w:t>to brew or not to brew: The Corkford brewery acquisition</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CC8086F" w:rsidR="00086B26" w:rsidRPr="00287D6F" w:rsidRDefault="008102B3" w:rsidP="00086B26">
      <w:pPr>
        <w:pStyle w:val="StyleCopyrightStatementAfter0ptBottomSinglesolidline1"/>
        <w:rPr>
          <w:lang w:val="en-GB"/>
        </w:rPr>
      </w:pPr>
      <w:r>
        <w:t xml:space="preserve">Brittney </w:t>
      </w:r>
      <w:r w:rsidR="005F6958">
        <w:t>MacKinnon</w:t>
      </w:r>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Mary Gillett and Chris Sturby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D68EDBD"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8102B3">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8102B3">
        <w:rPr>
          <w:rFonts w:cs="Arial"/>
          <w:iCs w:val="0"/>
          <w:color w:val="auto"/>
          <w:szCs w:val="16"/>
        </w:rPr>
        <w:t>19</w:t>
      </w:r>
      <w:r w:rsidRPr="00A323B0">
        <w:rPr>
          <w:rFonts w:cs="Arial"/>
          <w:iCs w:val="0"/>
          <w:color w:val="auto"/>
          <w:szCs w:val="16"/>
        </w:rPr>
        <w:t>-</w:t>
      </w:r>
      <w:r w:rsidR="00404BE4">
        <w:rPr>
          <w:rFonts w:cs="Arial"/>
          <w:iCs w:val="0"/>
          <w:color w:val="auto"/>
          <w:szCs w:val="16"/>
        </w:rPr>
        <w:t>10</w:t>
      </w:r>
      <w:r w:rsidRPr="00A323B0">
        <w:rPr>
          <w:rFonts w:cs="Arial"/>
          <w:iCs w:val="0"/>
          <w:color w:val="auto"/>
          <w:szCs w:val="16"/>
        </w:rPr>
        <w:t>-</w:t>
      </w:r>
      <w:r w:rsidR="00404BE4">
        <w:rPr>
          <w:rFonts w:cs="Arial"/>
          <w:iCs w:val="0"/>
          <w:color w:val="auto"/>
          <w:szCs w:val="16"/>
        </w:rPr>
        <w:t>03</w:t>
      </w:r>
      <w:bookmarkStart w:id="0" w:name="_GoBack"/>
      <w:bookmarkEnd w:id="0"/>
    </w:p>
    <w:p w14:paraId="0A2A54E4" w14:textId="77777777" w:rsidR="00751E0B" w:rsidRDefault="00751E0B" w:rsidP="00751E0B">
      <w:pPr>
        <w:pStyle w:val="StyleCopyrightStatementAfter0ptBottomSinglesolidline1"/>
        <w:rPr>
          <w:rFonts w:ascii="Times New Roman" w:hAnsi="Times New Roman"/>
          <w:sz w:val="20"/>
        </w:rPr>
      </w:pPr>
    </w:p>
    <w:p w14:paraId="09C7D4E4" w14:textId="77777777" w:rsidR="008102B3" w:rsidRPr="00F60786" w:rsidRDefault="008102B3" w:rsidP="00751E0B">
      <w:pPr>
        <w:pStyle w:val="StyleCopyrightStatementAfter0ptBottomSinglesolidline1"/>
        <w:rPr>
          <w:rFonts w:ascii="Times New Roman" w:hAnsi="Times New Roman"/>
          <w:sz w:val="20"/>
        </w:rPr>
      </w:pPr>
    </w:p>
    <w:p w14:paraId="293904B3" w14:textId="77777777" w:rsidR="007A6A98" w:rsidRPr="00DE1820" w:rsidRDefault="007A6A98" w:rsidP="007A6A98">
      <w:pPr>
        <w:pStyle w:val="BodyTextMain"/>
        <w:rPr>
          <w:lang w:val="en-GB"/>
        </w:rPr>
      </w:pPr>
      <w:r w:rsidRPr="00DE1820">
        <w:rPr>
          <w:lang w:val="en-GB"/>
        </w:rPr>
        <w:t xml:space="preserve">In the spring of 2017, James MacKinnon was reviewing his latest business opportunity. As the president and co-owner of MacKinnon Industries (MI), MacKinnon was intrigued by the opportunity to both diversify his business lines and bring a former family business back into the MacKinnon family. Beginning in 1990, MacKinnon had built up extensive experience acquiring and managing manufacturing businesses. He now had the opportunity to purchase </w:t>
      </w:r>
      <w:proofErr w:type="spellStart"/>
      <w:r w:rsidRPr="00DE1820">
        <w:rPr>
          <w:lang w:val="en-GB"/>
        </w:rPr>
        <w:t>Corkford</w:t>
      </w:r>
      <w:proofErr w:type="spellEnd"/>
      <w:r w:rsidRPr="00DE1820">
        <w:rPr>
          <w:lang w:val="en-GB"/>
        </w:rPr>
        <w:t xml:space="preserve"> Brewery Inc. (</w:t>
      </w:r>
      <w:proofErr w:type="spellStart"/>
      <w:r w:rsidRPr="00DE1820">
        <w:rPr>
          <w:lang w:val="en-GB"/>
        </w:rPr>
        <w:t>Corkford</w:t>
      </w:r>
      <w:proofErr w:type="spellEnd"/>
      <w:r w:rsidRPr="00DE1820">
        <w:rPr>
          <w:lang w:val="en-GB"/>
        </w:rPr>
        <w:t xml:space="preserve"> Brewery), including the land, building, and equipment, as well as four successful brands from </w:t>
      </w:r>
      <w:proofErr w:type="spellStart"/>
      <w:r w:rsidRPr="00DE1820">
        <w:rPr>
          <w:lang w:val="en-GB"/>
        </w:rPr>
        <w:t>Tanzer</w:t>
      </w:r>
      <w:proofErr w:type="spellEnd"/>
      <w:r w:rsidRPr="00DE1820">
        <w:rPr>
          <w:lang w:val="en-GB"/>
        </w:rPr>
        <w:t xml:space="preserve"> Brewing Company (</w:t>
      </w:r>
      <w:proofErr w:type="spellStart"/>
      <w:r w:rsidRPr="00DE1820">
        <w:rPr>
          <w:lang w:val="en-GB"/>
        </w:rPr>
        <w:t>Tanzer</w:t>
      </w:r>
      <w:proofErr w:type="spellEnd"/>
      <w:r w:rsidRPr="00DE1820">
        <w:rPr>
          <w:lang w:val="en-GB"/>
        </w:rPr>
        <w:t xml:space="preserve">), who owned </w:t>
      </w:r>
      <w:proofErr w:type="spellStart"/>
      <w:r w:rsidRPr="00DE1820">
        <w:rPr>
          <w:lang w:val="en-GB"/>
        </w:rPr>
        <w:t>Corkford</w:t>
      </w:r>
      <w:proofErr w:type="spellEnd"/>
      <w:r w:rsidRPr="00DE1820">
        <w:rPr>
          <w:lang w:val="en-GB"/>
        </w:rPr>
        <w:t xml:space="preserve"> Brewery. MacKinnon was very reluctant to pass up this opportunity. He was eager to assess the financial viability of the business venture under three different potential operating scenarios, assess the potential of adding ciders to the product mix, and consider the price that he would be willing to pay to acquire the business.</w:t>
      </w:r>
    </w:p>
    <w:p w14:paraId="0B7611A9" w14:textId="77777777" w:rsidR="007A6A98" w:rsidRPr="00DE1820" w:rsidRDefault="007A6A98" w:rsidP="007A6A98">
      <w:pPr>
        <w:pStyle w:val="BodyTextMain"/>
        <w:rPr>
          <w:lang w:val="en-GB"/>
        </w:rPr>
      </w:pPr>
    </w:p>
    <w:p w14:paraId="4B903093" w14:textId="77777777" w:rsidR="007A6A98" w:rsidRPr="00DE1820" w:rsidRDefault="007A6A98" w:rsidP="007A6A98">
      <w:pPr>
        <w:pStyle w:val="BodyTextMain"/>
        <w:rPr>
          <w:lang w:val="en-GB"/>
        </w:rPr>
      </w:pPr>
    </w:p>
    <w:p w14:paraId="75A4495F" w14:textId="77777777" w:rsidR="007A6A98" w:rsidRPr="00DE1820" w:rsidRDefault="007A6A98" w:rsidP="007A6A98">
      <w:pPr>
        <w:pStyle w:val="Casehead1"/>
        <w:rPr>
          <w:sz w:val="22"/>
          <w:szCs w:val="22"/>
          <w:lang w:val="en-GB"/>
        </w:rPr>
      </w:pPr>
      <w:r w:rsidRPr="00DE1820">
        <w:rPr>
          <w:lang w:val="en-GB"/>
        </w:rPr>
        <w:t>HISTORY AND BACKGROUND</w:t>
      </w:r>
    </w:p>
    <w:p w14:paraId="3A9FB6C6" w14:textId="77777777" w:rsidR="007A6A98" w:rsidRPr="00DE1820" w:rsidRDefault="007A6A98" w:rsidP="007A6A98">
      <w:pPr>
        <w:pStyle w:val="BodyTextMain"/>
        <w:rPr>
          <w:lang w:val="en-GB"/>
        </w:rPr>
      </w:pPr>
    </w:p>
    <w:p w14:paraId="1C33AE1C" w14:textId="77777777" w:rsidR="007A6A98" w:rsidRPr="00DE1820" w:rsidRDefault="007A6A98" w:rsidP="007A6A98">
      <w:pPr>
        <w:pStyle w:val="BodyTextMain"/>
        <w:rPr>
          <w:lang w:val="en-GB"/>
        </w:rPr>
      </w:pPr>
      <w:proofErr w:type="spellStart"/>
      <w:r w:rsidRPr="00DE1820">
        <w:rPr>
          <w:lang w:val="en-GB"/>
        </w:rPr>
        <w:t>Corkford</w:t>
      </w:r>
      <w:proofErr w:type="spellEnd"/>
      <w:r w:rsidRPr="00DE1820">
        <w:rPr>
          <w:lang w:val="en-GB"/>
        </w:rPr>
        <w:t xml:space="preserve"> Brewery began operations in </w:t>
      </w:r>
      <w:proofErr w:type="spellStart"/>
      <w:r w:rsidRPr="00DE1820">
        <w:rPr>
          <w:lang w:val="en-GB"/>
        </w:rPr>
        <w:t>Corkford</w:t>
      </w:r>
      <w:proofErr w:type="spellEnd"/>
      <w:r w:rsidRPr="00DE1820">
        <w:rPr>
          <w:lang w:val="en-GB"/>
        </w:rPr>
        <w:t xml:space="preserve">, Ontario, in 1870, when a European immigrant and relative of MacKinnon’s started the brewery. For the next 84 years, the MacKinnon family operated </w:t>
      </w:r>
      <w:proofErr w:type="spellStart"/>
      <w:r w:rsidRPr="00DE1820">
        <w:rPr>
          <w:lang w:val="en-GB"/>
        </w:rPr>
        <w:t>Corkford</w:t>
      </w:r>
      <w:proofErr w:type="spellEnd"/>
      <w:r w:rsidRPr="00DE1820">
        <w:rPr>
          <w:lang w:val="en-GB"/>
        </w:rPr>
        <w:t xml:space="preserve"> Brewery almost continuously, except from 1922 to 1924, when the brewery was closed during the prohibition period. The brewery was reopened in 1924 and was subsequently modernized. Sales at the brewery continued steadily, with spikes in 1958 and 1968, when beer sales elsewhere in Ontario were temporarily suspended due to striking unionized brewery employees. The brewery changed owners multiple times in the 1980s and 1990s. It was rebuilt and subsequently sold to </w:t>
      </w:r>
      <w:proofErr w:type="spellStart"/>
      <w:r w:rsidRPr="00DE1820">
        <w:rPr>
          <w:lang w:val="en-GB"/>
        </w:rPr>
        <w:t>Tanzer</w:t>
      </w:r>
      <w:proofErr w:type="spellEnd"/>
      <w:r w:rsidRPr="00DE1820">
        <w:rPr>
          <w:lang w:val="en-GB"/>
        </w:rPr>
        <w:t xml:space="preserve"> in 1997. The brewery had been a major employer in the small farming community of </w:t>
      </w:r>
      <w:proofErr w:type="spellStart"/>
      <w:r w:rsidRPr="00DE1820">
        <w:rPr>
          <w:lang w:val="en-GB"/>
        </w:rPr>
        <w:t>Corkford</w:t>
      </w:r>
      <w:proofErr w:type="spellEnd"/>
      <w:r w:rsidRPr="00DE1820">
        <w:rPr>
          <w:lang w:val="en-GB"/>
        </w:rPr>
        <w:t xml:space="preserve"> for many years. Despite changes in ownership and management, a steadfast commitment to quality and community had always remained the hallmark of the operation. In early 2017, the brewery was listed for sale. The community worried that the brewery would cease operations for good if a new owner could not be not found.</w:t>
      </w:r>
    </w:p>
    <w:p w14:paraId="05AB3C65" w14:textId="77777777" w:rsidR="007A6A98" w:rsidRPr="00DE1820" w:rsidRDefault="007A6A98" w:rsidP="007A6A98">
      <w:pPr>
        <w:pStyle w:val="BodyTextMain"/>
        <w:rPr>
          <w:lang w:val="en-GB"/>
        </w:rPr>
      </w:pPr>
    </w:p>
    <w:p w14:paraId="1538A877" w14:textId="77777777" w:rsidR="007A6A98" w:rsidRPr="00DE1820" w:rsidRDefault="007A6A98" w:rsidP="007A6A98">
      <w:pPr>
        <w:pStyle w:val="BodyTextMain"/>
        <w:rPr>
          <w:rFonts w:asciiTheme="majorBidi" w:hAnsiTheme="majorBidi" w:cstheme="majorBidi"/>
          <w:lang w:val="en-GB"/>
        </w:rPr>
      </w:pPr>
    </w:p>
    <w:p w14:paraId="39A3926E" w14:textId="77777777" w:rsidR="007A6A98" w:rsidRPr="00DE1820" w:rsidRDefault="007A6A98" w:rsidP="007A6A98">
      <w:pPr>
        <w:pStyle w:val="Casehead1"/>
        <w:rPr>
          <w:lang w:val="en-GB"/>
        </w:rPr>
      </w:pPr>
      <w:r w:rsidRPr="00DE1820">
        <w:rPr>
          <w:lang w:val="en-GB"/>
        </w:rPr>
        <w:t>MACKINNON INDUSTRIES</w:t>
      </w:r>
    </w:p>
    <w:p w14:paraId="53355E73" w14:textId="77777777" w:rsidR="007A6A98" w:rsidRPr="00DE1820" w:rsidRDefault="007A6A98" w:rsidP="007A6A98">
      <w:pPr>
        <w:pStyle w:val="BodyTextMain"/>
        <w:rPr>
          <w:lang w:val="en-GB"/>
        </w:rPr>
      </w:pPr>
    </w:p>
    <w:p w14:paraId="41754F79" w14:textId="77777777" w:rsidR="007A6A98" w:rsidRPr="00DE1820" w:rsidRDefault="007A6A98" w:rsidP="007A6A98">
      <w:pPr>
        <w:pStyle w:val="BodyTextMain"/>
        <w:rPr>
          <w:lang w:val="en-GB"/>
        </w:rPr>
      </w:pPr>
      <w:r w:rsidRPr="00DE1820">
        <w:rPr>
          <w:lang w:val="en-GB"/>
        </w:rPr>
        <w:t xml:space="preserve">MacKinnon was an active investor, owner, director, and manager of numerous businesses throughout his career. He was primarily involved in manufacturing businesses producing industrial components for </w:t>
      </w:r>
      <w:r w:rsidRPr="00DE1820">
        <w:rPr>
          <w:lang w:val="en-GB"/>
        </w:rPr>
        <w:lastRenderedPageBreak/>
        <w:t>major original equipment manufacturers. He had also been actively involved in numerous start-ups and early-stage companies</w:t>
      </w:r>
      <w:r>
        <w:rPr>
          <w:lang w:val="en-GB"/>
        </w:rPr>
        <w:t>,</w:t>
      </w:r>
      <w:r w:rsidRPr="00DE1820">
        <w:rPr>
          <w:lang w:val="en-GB"/>
        </w:rPr>
        <w:t xml:space="preserve"> where he had served various roles, from advisor to operator. MacKinnon was mainly involved in the operational and strategic side of the businesses in which he invested; his husband, Ian Rockwell, handled the accounting, finance, and data analytics roles. After almost three decades of successful acquisitions, the two men decided to expand their activities and founded MI as a holding company for a portfolio of operating companies.</w:t>
      </w:r>
      <w:r>
        <w:rPr>
          <w:lang w:val="en-GB"/>
        </w:rPr>
        <w:t xml:space="preserve"> </w:t>
      </w:r>
      <w:r w:rsidRPr="00DE1820">
        <w:rPr>
          <w:lang w:val="en-GB"/>
        </w:rPr>
        <w:t xml:space="preserve"> </w:t>
      </w:r>
    </w:p>
    <w:p w14:paraId="4C76ABCC" w14:textId="77777777" w:rsidR="007A6A98" w:rsidRPr="00DE1820" w:rsidRDefault="007A6A98" w:rsidP="007A6A98">
      <w:pPr>
        <w:pStyle w:val="BodyTextMain"/>
        <w:rPr>
          <w:rFonts w:asciiTheme="majorBidi" w:hAnsiTheme="majorBidi" w:cstheme="majorBidi"/>
          <w:color w:val="222222"/>
          <w:lang w:val="en-GB"/>
        </w:rPr>
      </w:pPr>
    </w:p>
    <w:p w14:paraId="7FA99EF3" w14:textId="77777777" w:rsidR="007A6A98" w:rsidRPr="00DE1820" w:rsidRDefault="007A6A98" w:rsidP="007A6A98">
      <w:pPr>
        <w:pStyle w:val="BodyTextMain"/>
        <w:rPr>
          <w:lang w:val="en-GB"/>
        </w:rPr>
      </w:pPr>
      <w:r w:rsidRPr="00DE1820">
        <w:rPr>
          <w:lang w:val="en-GB"/>
        </w:rPr>
        <w:t>By 2017, MI operated four manufacturing businesses in Ontario, serving distinct market segments around the world, and employed approximately 200 people. MI’s group of companies delivered industry-leading products in four unique, but related, markets. Although all of the businesses were separate operations, they were all centred around manufacturing and steel, thereby allowing MI to achieve economies of scale in the sourcing of raw materials.</w:t>
      </w:r>
    </w:p>
    <w:p w14:paraId="2943DB6C" w14:textId="77777777" w:rsidR="007A6A98" w:rsidRPr="00DE1820" w:rsidRDefault="007A6A98" w:rsidP="007A6A98">
      <w:pPr>
        <w:pStyle w:val="BodyTextMain"/>
        <w:rPr>
          <w:lang w:val="en-GB"/>
        </w:rPr>
      </w:pPr>
    </w:p>
    <w:p w14:paraId="2B457D8D" w14:textId="77777777" w:rsidR="007A6A98" w:rsidRPr="00DE1820" w:rsidRDefault="007A6A98" w:rsidP="007A6A98">
      <w:pPr>
        <w:pStyle w:val="BodyTextMain"/>
        <w:rPr>
          <w:lang w:val="en-GB"/>
        </w:rPr>
      </w:pPr>
      <w:r w:rsidRPr="00DE1820">
        <w:rPr>
          <w:lang w:val="en-GB"/>
        </w:rPr>
        <w:t xml:space="preserve">Throughout the nearly 30 years of MacKinnon’s career, he had developed a passion for acquiring family manufacturing businesses. MacKinnon </w:t>
      </w:r>
      <w:r>
        <w:rPr>
          <w:lang w:val="en-GB"/>
        </w:rPr>
        <w:t xml:space="preserve">had </w:t>
      </w:r>
      <w:r w:rsidRPr="00DE1820">
        <w:rPr>
          <w:lang w:val="en-GB"/>
        </w:rPr>
        <w:t xml:space="preserve">acquired and sold many such operations and had developed a strong, loyal management team with whom he was able to acquire, grow, and ultimately sell successful businesses. Including MacKinnon and Rockwell, there were five experienced principals in the organization, each </w:t>
      </w:r>
      <w:r>
        <w:rPr>
          <w:lang w:val="en-GB"/>
        </w:rPr>
        <w:t>with</w:t>
      </w:r>
      <w:r w:rsidRPr="00DE1820">
        <w:rPr>
          <w:lang w:val="en-GB"/>
        </w:rPr>
        <w:t xml:space="preserve"> a strong background in manufacturing and steel operations. </w:t>
      </w:r>
    </w:p>
    <w:p w14:paraId="23EE505C" w14:textId="77777777" w:rsidR="007A6A98" w:rsidRPr="00DE1820" w:rsidRDefault="007A6A98" w:rsidP="007A6A98">
      <w:pPr>
        <w:pStyle w:val="BodyTextMain"/>
        <w:rPr>
          <w:lang w:val="en-GB"/>
        </w:rPr>
      </w:pPr>
    </w:p>
    <w:p w14:paraId="088D8D80" w14:textId="77777777" w:rsidR="007A6A98" w:rsidRPr="00DE1820" w:rsidRDefault="007A6A98" w:rsidP="007A6A98">
      <w:pPr>
        <w:pStyle w:val="BodyTextMain"/>
        <w:rPr>
          <w:lang w:val="en-GB"/>
        </w:rPr>
      </w:pPr>
      <w:r w:rsidRPr="00DE1820">
        <w:rPr>
          <w:lang w:val="en-GB"/>
        </w:rPr>
        <w:t>MacKinnon spent a great deal of his time seeking out the next opportunity for acquisition. When considering new investment opportunities, he looked for companies that had sustainable and growing earnings and favourable cash flow and that could benefit from MI’s operating management experience. The companies were generally market leaders with a reputation for high quality. Target businesses also had to be generating a healthy return on assets that could be leveraged with prudent levels of debt.</w:t>
      </w:r>
    </w:p>
    <w:p w14:paraId="397A2431" w14:textId="77777777" w:rsidR="007A6A98" w:rsidRPr="00DE1820" w:rsidRDefault="007A6A98" w:rsidP="007A6A98">
      <w:pPr>
        <w:pStyle w:val="BodyTextMain"/>
        <w:rPr>
          <w:lang w:val="en-GB"/>
        </w:rPr>
      </w:pPr>
    </w:p>
    <w:p w14:paraId="1DCB4A96" w14:textId="77777777" w:rsidR="007A6A98" w:rsidRPr="00DE1820" w:rsidRDefault="007A6A98" w:rsidP="007A6A98">
      <w:pPr>
        <w:pStyle w:val="BodyTextMain"/>
        <w:rPr>
          <w:lang w:val="en-GB"/>
        </w:rPr>
      </w:pPr>
    </w:p>
    <w:p w14:paraId="1AF92DB8" w14:textId="77777777" w:rsidR="007A6A98" w:rsidRPr="00DE1820" w:rsidRDefault="007A6A98" w:rsidP="007A6A98">
      <w:pPr>
        <w:pStyle w:val="Casehead1"/>
        <w:rPr>
          <w:lang w:val="en-GB"/>
        </w:rPr>
      </w:pPr>
      <w:r w:rsidRPr="00DE1820">
        <w:rPr>
          <w:lang w:val="en-GB"/>
        </w:rPr>
        <w:t>TANZER BREWING COMPANY</w:t>
      </w:r>
    </w:p>
    <w:p w14:paraId="645B9B6C" w14:textId="77777777" w:rsidR="007A6A98" w:rsidRPr="00DE1820" w:rsidRDefault="007A6A98" w:rsidP="007A6A98">
      <w:pPr>
        <w:pStyle w:val="BodyTextMain"/>
        <w:rPr>
          <w:lang w:val="en-GB"/>
        </w:rPr>
      </w:pPr>
    </w:p>
    <w:p w14:paraId="29666530" w14:textId="77777777" w:rsidR="007A6A98" w:rsidRPr="00DE1820" w:rsidRDefault="007A6A98" w:rsidP="007A6A98">
      <w:pPr>
        <w:pStyle w:val="BodyTextMain"/>
        <w:rPr>
          <w:lang w:val="en-GB"/>
        </w:rPr>
      </w:pPr>
      <w:proofErr w:type="spellStart"/>
      <w:r w:rsidRPr="00DE1820">
        <w:rPr>
          <w:lang w:val="en-GB"/>
        </w:rPr>
        <w:t>Tanzer</w:t>
      </w:r>
      <w:proofErr w:type="spellEnd"/>
      <w:r w:rsidRPr="00DE1820">
        <w:rPr>
          <w:lang w:val="en-GB"/>
        </w:rPr>
        <w:t xml:space="preserve"> was an Ontario-based publicly traded company that was listed on the Toronto Stock Exchange. </w:t>
      </w:r>
      <w:proofErr w:type="spellStart"/>
      <w:r w:rsidRPr="00DE1820">
        <w:rPr>
          <w:lang w:val="en-GB"/>
        </w:rPr>
        <w:t>Tanzer</w:t>
      </w:r>
      <w:proofErr w:type="spellEnd"/>
      <w:r w:rsidRPr="00DE1820">
        <w:rPr>
          <w:lang w:val="en-GB"/>
        </w:rPr>
        <w:t xml:space="preserve"> produced and distributed beers, ciders, and other bottled alcoholic beverages. All of its production was located in Ontario</w:t>
      </w:r>
      <w:r>
        <w:rPr>
          <w:lang w:val="en-GB"/>
        </w:rPr>
        <w:t>,</w:t>
      </w:r>
      <w:r w:rsidRPr="00DE1820">
        <w:rPr>
          <w:lang w:val="en-GB"/>
        </w:rPr>
        <w:t xml:space="preserve"> and most of its sales occurred within the province. </w:t>
      </w:r>
      <w:proofErr w:type="spellStart"/>
      <w:r w:rsidRPr="00DE1820">
        <w:rPr>
          <w:lang w:val="en-GB"/>
        </w:rPr>
        <w:t>Tanzer’s</w:t>
      </w:r>
      <w:proofErr w:type="spellEnd"/>
      <w:r w:rsidRPr="00DE1820">
        <w:rPr>
          <w:lang w:val="en-GB"/>
        </w:rPr>
        <w:t xml:space="preserve"> products were distributed through </w:t>
      </w:r>
      <w:r>
        <w:rPr>
          <w:lang w:val="en-GB"/>
        </w:rPr>
        <w:t>the</w:t>
      </w:r>
      <w:r w:rsidRPr="00DE1820">
        <w:rPr>
          <w:lang w:val="en-GB"/>
        </w:rPr>
        <w:t xml:space="preserve"> Beer Store and the Liquor Control Board of Ontario (LCBO). Over the years, as demand for </w:t>
      </w:r>
      <w:proofErr w:type="spellStart"/>
      <w:r w:rsidRPr="00DE1820">
        <w:rPr>
          <w:lang w:val="en-GB"/>
        </w:rPr>
        <w:t>Tanzer’s</w:t>
      </w:r>
      <w:proofErr w:type="spellEnd"/>
      <w:r w:rsidRPr="00DE1820">
        <w:rPr>
          <w:lang w:val="en-GB"/>
        </w:rPr>
        <w:t xml:space="preserve"> products grew, the company increased its capacity through acquisitions of existing brewing facilities, such as its purchase of </w:t>
      </w:r>
      <w:proofErr w:type="spellStart"/>
      <w:r w:rsidRPr="00DE1820">
        <w:rPr>
          <w:lang w:val="en-GB"/>
        </w:rPr>
        <w:t>Corkford</w:t>
      </w:r>
      <w:proofErr w:type="spellEnd"/>
      <w:r w:rsidRPr="00DE1820">
        <w:rPr>
          <w:lang w:val="en-GB"/>
        </w:rPr>
        <w:t xml:space="preserve"> Brewery. However, after an expansion of a </w:t>
      </w:r>
      <w:proofErr w:type="spellStart"/>
      <w:r w:rsidRPr="00DE1820">
        <w:rPr>
          <w:lang w:val="en-GB"/>
        </w:rPr>
        <w:t>Tanzer</w:t>
      </w:r>
      <w:proofErr w:type="spellEnd"/>
      <w:r w:rsidRPr="00DE1820">
        <w:rPr>
          <w:lang w:val="en-GB"/>
        </w:rPr>
        <w:t xml:space="preserve"> facility adjacent to the company’s headquarters was completed, the </w:t>
      </w:r>
      <w:proofErr w:type="spellStart"/>
      <w:r w:rsidRPr="00DE1820">
        <w:rPr>
          <w:lang w:val="en-GB"/>
        </w:rPr>
        <w:t>Corkford</w:t>
      </w:r>
      <w:proofErr w:type="spellEnd"/>
      <w:r w:rsidRPr="00DE1820">
        <w:rPr>
          <w:lang w:val="en-GB"/>
        </w:rPr>
        <w:t xml:space="preserve"> site became redundant</w:t>
      </w:r>
      <w:r>
        <w:rPr>
          <w:lang w:val="en-GB"/>
        </w:rPr>
        <w:t>,</w:t>
      </w:r>
      <w:r w:rsidRPr="00DE1820">
        <w:rPr>
          <w:lang w:val="en-GB"/>
        </w:rPr>
        <w:t xml:space="preserve"> and </w:t>
      </w:r>
      <w:proofErr w:type="spellStart"/>
      <w:r w:rsidRPr="00DE1820">
        <w:rPr>
          <w:lang w:val="en-GB"/>
        </w:rPr>
        <w:t>Tanzer</w:t>
      </w:r>
      <w:proofErr w:type="spellEnd"/>
      <w:r w:rsidRPr="00DE1820">
        <w:rPr>
          <w:lang w:val="en-GB"/>
        </w:rPr>
        <w:t xml:space="preserve"> listed </w:t>
      </w:r>
      <w:proofErr w:type="spellStart"/>
      <w:r w:rsidRPr="00DE1820">
        <w:rPr>
          <w:lang w:val="en-GB"/>
        </w:rPr>
        <w:t>Corkford</w:t>
      </w:r>
      <w:proofErr w:type="spellEnd"/>
      <w:r w:rsidRPr="00DE1820">
        <w:rPr>
          <w:lang w:val="en-GB"/>
        </w:rPr>
        <w:t xml:space="preserve"> Brewery for sale.</w:t>
      </w:r>
    </w:p>
    <w:p w14:paraId="5844ABF1" w14:textId="77777777" w:rsidR="007A6A98" w:rsidRPr="00DE1820" w:rsidRDefault="007A6A98" w:rsidP="007A6A98">
      <w:pPr>
        <w:pStyle w:val="BodyTextMain"/>
        <w:rPr>
          <w:lang w:val="en-GB"/>
        </w:rPr>
      </w:pPr>
    </w:p>
    <w:p w14:paraId="5D851DA8" w14:textId="77777777" w:rsidR="007A6A98" w:rsidRPr="00DE1820" w:rsidRDefault="007A6A98" w:rsidP="007A6A98">
      <w:pPr>
        <w:pStyle w:val="BodyTextMain"/>
        <w:rPr>
          <w:rStyle w:val="Heading2Char"/>
          <w:rFonts w:ascii="Times New Roman" w:hAnsi="Times New Roman"/>
          <w:b w:val="0"/>
          <w:bCs w:val="0"/>
          <w:color w:val="auto"/>
          <w:sz w:val="22"/>
          <w:szCs w:val="22"/>
          <w:lang w:val="en-GB"/>
        </w:rPr>
      </w:pPr>
    </w:p>
    <w:p w14:paraId="56CF9F74" w14:textId="77777777" w:rsidR="007A6A98" w:rsidRPr="007A6A98" w:rsidRDefault="007A6A98" w:rsidP="007A6A98">
      <w:pPr>
        <w:pStyle w:val="Casehead1"/>
      </w:pPr>
      <w:r w:rsidRPr="007A6A98">
        <w:rPr>
          <w:rStyle w:val="Heading2Char"/>
          <w:rFonts w:cs="Arial"/>
          <w:b/>
          <w:bCs w:val="0"/>
          <w:color w:val="auto"/>
          <w:szCs w:val="20"/>
          <w:lang w:val="en-US" w:eastAsia="en-US"/>
        </w:rPr>
        <w:t>THE BEER INDUSTRY</w:t>
      </w:r>
    </w:p>
    <w:p w14:paraId="762514C8" w14:textId="77777777" w:rsidR="007A6A98" w:rsidRPr="00DE1820" w:rsidRDefault="007A6A98" w:rsidP="007A6A98">
      <w:pPr>
        <w:pStyle w:val="BodyTextMain"/>
        <w:rPr>
          <w:lang w:val="en-GB"/>
        </w:rPr>
      </w:pPr>
    </w:p>
    <w:p w14:paraId="079B2F3A" w14:textId="77777777" w:rsidR="007A6A98" w:rsidRPr="00DE1820" w:rsidRDefault="007A6A98" w:rsidP="007A6A98">
      <w:pPr>
        <w:pStyle w:val="Casehead2"/>
        <w:rPr>
          <w:lang w:val="en-GB"/>
        </w:rPr>
      </w:pPr>
      <w:r w:rsidRPr="00DE1820">
        <w:rPr>
          <w:lang w:val="en-GB"/>
        </w:rPr>
        <w:t xml:space="preserve">The Brewing Process and </w:t>
      </w:r>
      <w:proofErr w:type="spellStart"/>
      <w:r w:rsidRPr="00DE1820">
        <w:rPr>
          <w:lang w:val="en-GB"/>
        </w:rPr>
        <w:t>Brewmaster</w:t>
      </w:r>
      <w:proofErr w:type="spellEnd"/>
    </w:p>
    <w:p w14:paraId="676F6D34" w14:textId="77777777" w:rsidR="007A6A98" w:rsidRPr="00DE1820" w:rsidRDefault="007A6A98" w:rsidP="007A6A98">
      <w:pPr>
        <w:pStyle w:val="BodyTextMain"/>
        <w:rPr>
          <w:lang w:val="en-GB"/>
        </w:rPr>
      </w:pPr>
    </w:p>
    <w:p w14:paraId="38BD5961" w14:textId="77777777" w:rsidR="007A6A98" w:rsidRPr="00DE1820" w:rsidRDefault="007A6A98" w:rsidP="007A6A98">
      <w:pPr>
        <w:pStyle w:val="BodyTextMain"/>
        <w:rPr>
          <w:lang w:val="en-GB"/>
        </w:rPr>
      </w:pPr>
      <w:r w:rsidRPr="00DE1820">
        <w:rPr>
          <w:lang w:val="en-GB"/>
        </w:rPr>
        <w:t xml:space="preserve">Beer was typically made with barley, a grain that grew in abundance in the area within and surrounding the town of </w:t>
      </w:r>
      <w:proofErr w:type="spellStart"/>
      <w:r w:rsidRPr="00DE1820">
        <w:rPr>
          <w:lang w:val="en-GB"/>
        </w:rPr>
        <w:t>Corkford</w:t>
      </w:r>
      <w:proofErr w:type="spellEnd"/>
      <w:r w:rsidRPr="00DE1820">
        <w:rPr>
          <w:lang w:val="en-GB"/>
        </w:rPr>
        <w:t xml:space="preserve">. The town was located adjacent to a fresh water spring that allowed the brewery to draw fresh water locally for the brewing process. Despite the importance of both the barley and water source, the </w:t>
      </w:r>
      <w:proofErr w:type="spellStart"/>
      <w:r w:rsidRPr="00DE1820">
        <w:rPr>
          <w:lang w:val="en-GB"/>
        </w:rPr>
        <w:t>brewmaster</w:t>
      </w:r>
      <w:proofErr w:type="spellEnd"/>
      <w:r w:rsidRPr="00DE1820">
        <w:rPr>
          <w:lang w:val="en-GB"/>
        </w:rPr>
        <w:t xml:space="preserve"> was the true key to success. The </w:t>
      </w:r>
      <w:proofErr w:type="spellStart"/>
      <w:r w:rsidRPr="00DE1820">
        <w:rPr>
          <w:lang w:val="en-GB"/>
        </w:rPr>
        <w:t>brewmaster</w:t>
      </w:r>
      <w:proofErr w:type="spellEnd"/>
      <w:r w:rsidRPr="00DE1820">
        <w:rPr>
          <w:lang w:val="en-GB"/>
        </w:rPr>
        <w:t xml:space="preserve"> was responsible for creating the recipe and combining </w:t>
      </w:r>
      <w:r>
        <w:rPr>
          <w:lang w:val="en-GB"/>
        </w:rPr>
        <w:t xml:space="preserve">the malted barley with </w:t>
      </w:r>
      <w:r w:rsidRPr="00DE1820">
        <w:rPr>
          <w:lang w:val="en-GB"/>
        </w:rPr>
        <w:t xml:space="preserve">hops, yeast, and water in the perfect ratio </w:t>
      </w:r>
      <w:r>
        <w:rPr>
          <w:lang w:val="en-GB"/>
        </w:rPr>
        <w:t xml:space="preserve">and </w:t>
      </w:r>
      <w:r w:rsidRPr="00DE1820">
        <w:rPr>
          <w:lang w:val="en-GB"/>
        </w:rPr>
        <w:t>at the ideal temperature to make beer.</w:t>
      </w:r>
      <w:r w:rsidRPr="00DE1820">
        <w:rPr>
          <w:rStyle w:val="FootnoteReference"/>
          <w:rFonts w:asciiTheme="majorBidi" w:hAnsiTheme="majorBidi" w:cstheme="majorBidi"/>
          <w:color w:val="222222"/>
          <w:lang w:val="en-GB"/>
        </w:rPr>
        <w:footnoteReference w:id="1"/>
      </w:r>
      <w:r w:rsidRPr="00DE1820">
        <w:rPr>
          <w:lang w:val="en-GB"/>
        </w:rPr>
        <w:t xml:space="preserve"> The success of the brewery was very much dependent on the ability of the </w:t>
      </w:r>
      <w:proofErr w:type="spellStart"/>
      <w:r w:rsidRPr="00DE1820">
        <w:rPr>
          <w:lang w:val="en-GB"/>
        </w:rPr>
        <w:lastRenderedPageBreak/>
        <w:t>brewmaster</w:t>
      </w:r>
      <w:proofErr w:type="spellEnd"/>
      <w:r w:rsidRPr="00DE1820">
        <w:rPr>
          <w:lang w:val="en-GB"/>
        </w:rPr>
        <w:t xml:space="preserve"> to not only create an excellent beer but to do so consistently, batch after batch. There were only three </w:t>
      </w:r>
      <w:proofErr w:type="spellStart"/>
      <w:r w:rsidRPr="00DE1820">
        <w:rPr>
          <w:lang w:val="en-GB"/>
        </w:rPr>
        <w:t>brewmaster</w:t>
      </w:r>
      <w:proofErr w:type="spellEnd"/>
      <w:r w:rsidRPr="00DE1820">
        <w:rPr>
          <w:lang w:val="en-GB"/>
        </w:rPr>
        <w:t xml:space="preserve"> college programs in Canada where students were taught the complicated science of beer making.</w:t>
      </w:r>
      <w:r w:rsidRPr="00DE1820">
        <w:rPr>
          <w:rStyle w:val="FootnoteReference"/>
          <w:rFonts w:asciiTheme="majorBidi" w:hAnsiTheme="majorBidi" w:cstheme="majorBidi"/>
          <w:color w:val="222222"/>
          <w:lang w:val="en-GB"/>
        </w:rPr>
        <w:footnoteReference w:id="2"/>
      </w:r>
      <w:r w:rsidRPr="00DE1820">
        <w:rPr>
          <w:lang w:val="en-GB"/>
        </w:rPr>
        <w:t xml:space="preserve"> </w:t>
      </w:r>
      <w:proofErr w:type="spellStart"/>
      <w:r w:rsidRPr="00DE1820">
        <w:rPr>
          <w:lang w:val="en-GB"/>
        </w:rPr>
        <w:t>Corkford</w:t>
      </w:r>
      <w:proofErr w:type="spellEnd"/>
      <w:r w:rsidRPr="00DE1820">
        <w:rPr>
          <w:lang w:val="en-GB"/>
        </w:rPr>
        <w:t xml:space="preserve"> Brewery was lucky to have had the same </w:t>
      </w:r>
      <w:proofErr w:type="spellStart"/>
      <w:r w:rsidRPr="00DE1820">
        <w:rPr>
          <w:lang w:val="en-GB"/>
        </w:rPr>
        <w:t>brewmaster</w:t>
      </w:r>
      <w:proofErr w:type="spellEnd"/>
      <w:r w:rsidRPr="00DE1820">
        <w:rPr>
          <w:lang w:val="en-GB"/>
        </w:rPr>
        <w:t xml:space="preserve"> for quite some time</w:t>
      </w:r>
      <w:r>
        <w:rPr>
          <w:lang w:val="en-GB"/>
        </w:rPr>
        <w:t>, as this had resulted</w:t>
      </w:r>
      <w:r w:rsidRPr="00DE1820">
        <w:rPr>
          <w:lang w:val="en-GB"/>
        </w:rPr>
        <w:t xml:space="preserve"> </w:t>
      </w:r>
      <w:r>
        <w:rPr>
          <w:lang w:val="en-GB"/>
        </w:rPr>
        <w:t>in</w:t>
      </w:r>
      <w:r w:rsidRPr="00DE1820">
        <w:rPr>
          <w:lang w:val="en-GB"/>
        </w:rPr>
        <w:t xml:space="preserve"> a consistent and reliable product. Interestingly, long before the current </w:t>
      </w:r>
      <w:proofErr w:type="spellStart"/>
      <w:r w:rsidRPr="00DE1820">
        <w:rPr>
          <w:lang w:val="en-GB"/>
        </w:rPr>
        <w:t>brewmaster</w:t>
      </w:r>
      <w:proofErr w:type="spellEnd"/>
      <w:r w:rsidRPr="00DE1820">
        <w:rPr>
          <w:lang w:val="en-GB"/>
        </w:rPr>
        <w:t xml:space="preserve"> joined </w:t>
      </w:r>
      <w:proofErr w:type="spellStart"/>
      <w:r w:rsidRPr="00DE1820">
        <w:rPr>
          <w:lang w:val="en-GB"/>
        </w:rPr>
        <w:t>Corkford</w:t>
      </w:r>
      <w:proofErr w:type="spellEnd"/>
      <w:r w:rsidRPr="00DE1820">
        <w:rPr>
          <w:lang w:val="en-GB"/>
        </w:rPr>
        <w:t xml:space="preserve"> Brewery, MacKinnon’s great grandfather had once been the </w:t>
      </w:r>
      <w:proofErr w:type="spellStart"/>
      <w:r w:rsidRPr="00DE1820">
        <w:rPr>
          <w:lang w:val="en-GB"/>
        </w:rPr>
        <w:t>brewmaster</w:t>
      </w:r>
      <w:proofErr w:type="spellEnd"/>
      <w:r w:rsidRPr="00DE1820">
        <w:rPr>
          <w:lang w:val="en-GB"/>
        </w:rPr>
        <w:t xml:space="preserve"> at the </w:t>
      </w:r>
      <w:proofErr w:type="spellStart"/>
      <w:r w:rsidRPr="00DE1820">
        <w:rPr>
          <w:lang w:val="en-GB"/>
        </w:rPr>
        <w:t>Corkford</w:t>
      </w:r>
      <w:proofErr w:type="spellEnd"/>
      <w:r w:rsidRPr="00DE1820">
        <w:rPr>
          <w:lang w:val="en-GB"/>
        </w:rPr>
        <w:t xml:space="preserve"> site.</w:t>
      </w:r>
    </w:p>
    <w:p w14:paraId="531AB0E2" w14:textId="77777777" w:rsidR="007A6A98" w:rsidRPr="00DE1820" w:rsidRDefault="007A6A98" w:rsidP="007A6A98">
      <w:pPr>
        <w:pStyle w:val="BodyTextMain"/>
        <w:rPr>
          <w:lang w:val="en-GB"/>
        </w:rPr>
      </w:pPr>
    </w:p>
    <w:p w14:paraId="4200B55A" w14:textId="77777777" w:rsidR="007A6A98" w:rsidRPr="00DE1820" w:rsidRDefault="007A6A98" w:rsidP="007A6A98">
      <w:pPr>
        <w:pStyle w:val="BodyTextMain"/>
        <w:rPr>
          <w:lang w:val="en-GB"/>
        </w:rPr>
      </w:pPr>
    </w:p>
    <w:p w14:paraId="303A2313" w14:textId="77777777" w:rsidR="007A6A98" w:rsidRPr="00DE1820" w:rsidRDefault="007A6A98" w:rsidP="007A6A98">
      <w:pPr>
        <w:pStyle w:val="Casehead2"/>
        <w:rPr>
          <w:lang w:val="en-GB"/>
        </w:rPr>
      </w:pPr>
      <w:r w:rsidRPr="00DE1820">
        <w:rPr>
          <w:lang w:val="en-GB"/>
        </w:rPr>
        <w:t>Beer Industry Segments</w:t>
      </w:r>
    </w:p>
    <w:p w14:paraId="41606087" w14:textId="77777777" w:rsidR="007A6A98" w:rsidRPr="00DE1820" w:rsidRDefault="007A6A98" w:rsidP="007A6A98">
      <w:pPr>
        <w:pStyle w:val="BodyTextMain"/>
        <w:rPr>
          <w:lang w:val="en-GB"/>
        </w:rPr>
      </w:pPr>
    </w:p>
    <w:p w14:paraId="2963DF9B" w14:textId="77777777" w:rsidR="007A6A98" w:rsidRPr="00DE1820" w:rsidRDefault="007A6A98" w:rsidP="007A6A98">
      <w:pPr>
        <w:pStyle w:val="BodyTextMain"/>
        <w:rPr>
          <w:lang w:val="en-GB"/>
        </w:rPr>
      </w:pPr>
      <w:r w:rsidRPr="00DE1820">
        <w:rPr>
          <w:lang w:val="en-GB"/>
        </w:rPr>
        <w:t>The beer industry in Ontario traditionally had three market segments, based on the price and quality of the beer: value beer, mid-priced domestic beer, and premium beer. The value beer (lowest-priced segment) consumed in Ontario was generally made within the province or North America. It was made with lower quality raw materials and sold at a lower price. The minimum price for the majority of value beers was regulated by the government.</w:t>
      </w:r>
      <w:r w:rsidRPr="00DE1820">
        <w:rPr>
          <w:rStyle w:val="FootnoteReference"/>
          <w:rFonts w:asciiTheme="majorBidi" w:hAnsiTheme="majorBidi" w:cstheme="majorBidi"/>
          <w:color w:val="222222"/>
          <w:lang w:val="en-GB"/>
        </w:rPr>
        <w:footnoteReference w:id="3"/>
      </w:r>
      <w:r w:rsidRPr="00DE1820">
        <w:rPr>
          <w:lang w:val="en-GB"/>
        </w:rPr>
        <w:t xml:space="preserve"> Mid-priced domestic beer was made within Canada and was priced between the value and premium brands. With annual increases of the minimum price, the price </w:t>
      </w:r>
      <w:r>
        <w:rPr>
          <w:lang w:val="en-GB"/>
        </w:rPr>
        <w:t>points</w:t>
      </w:r>
      <w:r w:rsidRPr="00DE1820">
        <w:rPr>
          <w:lang w:val="en-GB"/>
        </w:rPr>
        <w:t xml:space="preserve"> of value brands and mid-priced brands were coming closer together, thus increasing competition within both groups. Premium beer was typically made locally or internationally and came with a higher price point. </w:t>
      </w:r>
    </w:p>
    <w:p w14:paraId="7785F880" w14:textId="77777777" w:rsidR="007A6A98" w:rsidRPr="00DE1820" w:rsidRDefault="007A6A98" w:rsidP="007A6A98">
      <w:pPr>
        <w:pStyle w:val="BodyTextMain"/>
        <w:rPr>
          <w:lang w:val="en-GB"/>
        </w:rPr>
      </w:pPr>
    </w:p>
    <w:p w14:paraId="699B335E" w14:textId="77777777" w:rsidR="007A6A98" w:rsidRPr="00BD2BF1" w:rsidRDefault="007A6A98" w:rsidP="007A6A98">
      <w:pPr>
        <w:pStyle w:val="BodyTextMain"/>
        <w:rPr>
          <w:spacing w:val="-2"/>
          <w:lang w:val="en-GB"/>
        </w:rPr>
      </w:pPr>
      <w:r w:rsidRPr="00BD2BF1">
        <w:rPr>
          <w:spacing w:val="-2"/>
          <w:lang w:val="en-GB"/>
        </w:rPr>
        <w:t>Craft beer had more recently emerged as a new segment in the industry, often with higher prices and higher quality than even premium beers. Craft beer was locally brewed in limited quantities with unique flavours, usually by smaller independent breweries. Craft beer brought significant innovation in recipes to the beer industry with the introduction of novel ingredients and brewing processes.</w:t>
      </w:r>
      <w:r w:rsidRPr="00BD2BF1">
        <w:rPr>
          <w:rStyle w:val="FootnoteReference"/>
          <w:rFonts w:cstheme="majorBidi"/>
          <w:color w:val="222222"/>
          <w:spacing w:val="-2"/>
          <w:lang w:val="en-GB"/>
        </w:rPr>
        <w:footnoteReference w:id="4"/>
      </w:r>
      <w:r w:rsidRPr="00BD2BF1">
        <w:rPr>
          <w:spacing w:val="-2"/>
          <w:lang w:val="en-GB"/>
        </w:rPr>
        <w:t xml:space="preserve"> In 2016–17, the LCBO reported only a 0.6 per cent increase in traditional beer sales but a 27.6 per cent increase in the sales of craft beers.</w:t>
      </w:r>
      <w:r w:rsidRPr="00BD2BF1">
        <w:rPr>
          <w:rStyle w:val="FootnoteReference"/>
          <w:rFonts w:cstheme="majorBidi"/>
          <w:color w:val="222222"/>
          <w:spacing w:val="-2"/>
          <w:lang w:val="en-GB"/>
        </w:rPr>
        <w:footnoteReference w:id="5"/>
      </w:r>
      <w:r w:rsidRPr="00BD2BF1">
        <w:rPr>
          <w:spacing w:val="-2"/>
          <w:lang w:val="en-GB"/>
        </w:rPr>
        <w:t xml:space="preserve"> Sales in the value brands also continued to be strong, whereas mid-priced beer sales declined.</w:t>
      </w:r>
      <w:r w:rsidRPr="00BD2BF1">
        <w:rPr>
          <w:rStyle w:val="FootnoteReference"/>
          <w:rFonts w:cstheme="majorBidi"/>
          <w:color w:val="222222"/>
          <w:spacing w:val="-2"/>
          <w:lang w:val="en-GB"/>
        </w:rPr>
        <w:footnoteReference w:id="6"/>
      </w:r>
    </w:p>
    <w:p w14:paraId="020E9A82" w14:textId="77777777" w:rsidR="007A6A98" w:rsidRPr="00DE1820" w:rsidRDefault="007A6A98" w:rsidP="007A6A98">
      <w:pPr>
        <w:pStyle w:val="BodyTextMain"/>
        <w:rPr>
          <w:lang w:val="en-GB"/>
        </w:rPr>
      </w:pPr>
    </w:p>
    <w:p w14:paraId="054A1C49" w14:textId="77777777" w:rsidR="007A6A98" w:rsidRPr="00DE1820" w:rsidRDefault="007A6A98" w:rsidP="007A6A98">
      <w:pPr>
        <w:pStyle w:val="BodyTextMain"/>
        <w:rPr>
          <w:lang w:val="en-GB"/>
        </w:rPr>
      </w:pPr>
    </w:p>
    <w:p w14:paraId="072BD2B3" w14:textId="77777777" w:rsidR="007A6A98" w:rsidRPr="00DE1820" w:rsidRDefault="007A6A98" w:rsidP="007A6A98">
      <w:pPr>
        <w:pStyle w:val="Casehead2"/>
        <w:rPr>
          <w:lang w:val="en-GB"/>
        </w:rPr>
      </w:pPr>
      <w:r w:rsidRPr="00DE1820">
        <w:rPr>
          <w:lang w:val="en-GB"/>
        </w:rPr>
        <w:t>Regulation and Distribution</w:t>
      </w:r>
    </w:p>
    <w:p w14:paraId="373ECDA7" w14:textId="77777777" w:rsidR="007A6A98" w:rsidRPr="00DE1820" w:rsidRDefault="007A6A98" w:rsidP="007A6A98">
      <w:pPr>
        <w:pStyle w:val="BodyTextMain"/>
        <w:rPr>
          <w:lang w:val="en-GB"/>
        </w:rPr>
      </w:pPr>
    </w:p>
    <w:p w14:paraId="7F644D75" w14:textId="77777777" w:rsidR="007A6A98" w:rsidRPr="00BD2BF1" w:rsidRDefault="007A6A98" w:rsidP="007A6A98">
      <w:pPr>
        <w:pStyle w:val="BodyTextMain"/>
        <w:rPr>
          <w:spacing w:val="-2"/>
          <w:lang w:val="en-GB"/>
        </w:rPr>
      </w:pPr>
      <w:r w:rsidRPr="00BD2BF1">
        <w:rPr>
          <w:spacing w:val="-2"/>
          <w:lang w:val="en-GB"/>
        </w:rPr>
        <w:t>The beer market was heavily regulated both by federal and provincial bodies, including the Canadian Food Inspection Agency and Health Canada.</w:t>
      </w:r>
      <w:r w:rsidRPr="00BD2BF1">
        <w:rPr>
          <w:rStyle w:val="FootnoteReference"/>
          <w:rFonts w:cstheme="majorBidi"/>
          <w:color w:val="222222"/>
          <w:spacing w:val="-2"/>
          <w:lang w:val="en-GB"/>
        </w:rPr>
        <w:footnoteReference w:id="7"/>
      </w:r>
      <w:r w:rsidRPr="00BD2BF1">
        <w:rPr>
          <w:spacing w:val="-2"/>
          <w:lang w:val="en-GB"/>
        </w:rPr>
        <w:t xml:space="preserve"> Regulations at the federal level changed frequently in regard to labelling and marketing restrictions, creating challenges for breweries.</w:t>
      </w:r>
      <w:r w:rsidRPr="00BD2BF1">
        <w:rPr>
          <w:rStyle w:val="FootnoteReference"/>
          <w:rFonts w:cstheme="majorBidi"/>
          <w:color w:val="222222"/>
          <w:spacing w:val="-2"/>
          <w:lang w:val="en-GB"/>
        </w:rPr>
        <w:footnoteReference w:id="8"/>
      </w:r>
      <w:r w:rsidRPr="00BD2BF1">
        <w:rPr>
          <w:spacing w:val="-2"/>
          <w:lang w:val="en-GB"/>
        </w:rPr>
        <w:t xml:space="preserve"> Regulations at the provincial level affected distribution channels for beer sales. For example, beer could be sold in Ontario at the Beer Store, the LCBO, selected grocery stores, the brewery’s own site, and bars and restaurants (see Exhibit 1).</w:t>
      </w:r>
    </w:p>
    <w:p w14:paraId="45FC8EAB" w14:textId="77777777" w:rsidR="007A6A98" w:rsidRPr="00DE1820" w:rsidRDefault="007A6A98" w:rsidP="007A6A98">
      <w:pPr>
        <w:pStyle w:val="BodyTextMain"/>
        <w:rPr>
          <w:lang w:val="en-GB"/>
        </w:rPr>
      </w:pPr>
    </w:p>
    <w:p w14:paraId="04FA180E" w14:textId="77777777" w:rsidR="007A6A98" w:rsidRPr="00DE1820" w:rsidRDefault="007A6A98" w:rsidP="007A6A98">
      <w:pPr>
        <w:pStyle w:val="BodyTextMain"/>
        <w:rPr>
          <w:lang w:val="en-GB"/>
        </w:rPr>
      </w:pPr>
    </w:p>
    <w:p w14:paraId="09799413" w14:textId="77777777" w:rsidR="007A6A98" w:rsidRPr="00DE1820" w:rsidRDefault="007A6A98" w:rsidP="007A6A98">
      <w:pPr>
        <w:pStyle w:val="Casehead2"/>
        <w:rPr>
          <w:lang w:val="en-GB"/>
        </w:rPr>
      </w:pPr>
      <w:r w:rsidRPr="00DE1820">
        <w:rPr>
          <w:lang w:val="en-GB"/>
        </w:rPr>
        <w:t>Market Size and Market Share</w:t>
      </w:r>
    </w:p>
    <w:p w14:paraId="18325F37" w14:textId="77777777" w:rsidR="007A6A98" w:rsidRPr="00DE1820" w:rsidRDefault="007A6A98" w:rsidP="007A6A98">
      <w:pPr>
        <w:pStyle w:val="BodyTextMain"/>
        <w:rPr>
          <w:lang w:val="en-GB"/>
        </w:rPr>
      </w:pPr>
    </w:p>
    <w:p w14:paraId="5F7B914D" w14:textId="77777777" w:rsidR="007A6A98" w:rsidRPr="00DE1820" w:rsidRDefault="007A6A98" w:rsidP="007A6A98">
      <w:pPr>
        <w:pStyle w:val="BodyTextMain"/>
        <w:rPr>
          <w:lang w:val="en-GB"/>
        </w:rPr>
      </w:pPr>
      <w:r w:rsidRPr="00DE1820">
        <w:rPr>
          <w:lang w:val="en-GB"/>
        </w:rPr>
        <w:t>The Canadian beer market was projected to grow at an annual rate of 3.2 per cent from 2013 through 2018. However, industry growth was forecasted to slow through to 2023</w:t>
      </w:r>
      <w:r>
        <w:rPr>
          <w:lang w:val="en-GB"/>
        </w:rPr>
        <w:t>,</w:t>
      </w:r>
      <w:r w:rsidRPr="00DE1820">
        <w:rPr>
          <w:lang w:val="en-GB"/>
        </w:rPr>
        <w:t xml:space="preserve"> as the craft beer market was </w:t>
      </w:r>
      <w:r w:rsidRPr="00DE1820">
        <w:rPr>
          <w:lang w:val="en-GB"/>
        </w:rPr>
        <w:lastRenderedPageBreak/>
        <w:t>expected to become saturated with microbreweries, causing consumers to continue to shift focus away from traditional light and premium beer brands.</w:t>
      </w:r>
      <w:r w:rsidRPr="00DE1820">
        <w:rPr>
          <w:rStyle w:val="FootnoteReference"/>
          <w:lang w:val="en-GB"/>
        </w:rPr>
        <w:footnoteReference w:id="9"/>
      </w:r>
      <w:r w:rsidRPr="00DE1820">
        <w:rPr>
          <w:lang w:val="en-GB"/>
        </w:rPr>
        <w:t xml:space="preserve"> Market share in the beer industry was still dominated by the historic mega-brewers Anheuser-Busch InBev and Molson Coors. However, the emergence of craft and microbreweries had shifted some market share away from these large breweries. In 2017, there were over 80 craft breweries in Ontario.</w:t>
      </w:r>
      <w:r w:rsidRPr="00DE1820">
        <w:rPr>
          <w:rStyle w:val="FootnoteReference"/>
          <w:lang w:val="en-GB"/>
        </w:rPr>
        <w:footnoteReference w:id="10"/>
      </w:r>
      <w:r w:rsidRPr="00DE1820">
        <w:rPr>
          <w:lang w:val="en-GB"/>
        </w:rPr>
        <w:t xml:space="preserve"> With new breweries sharing a limited portion of the industry’s market share, it was nearly impossible to capture a major portion of the Ontario beer industry (see Exhibit 2). Craft breweries had to compete on quality, new product offerings, brewery service, branding, marketing and advertising, and price.</w:t>
      </w:r>
    </w:p>
    <w:p w14:paraId="22822C63" w14:textId="77777777" w:rsidR="007A6A98" w:rsidRPr="00DE1820" w:rsidRDefault="007A6A98" w:rsidP="007A6A98">
      <w:pPr>
        <w:pStyle w:val="BodyTextMain"/>
        <w:rPr>
          <w:lang w:val="en-GB"/>
        </w:rPr>
      </w:pPr>
    </w:p>
    <w:p w14:paraId="76ED9DA4" w14:textId="77777777" w:rsidR="007A6A98" w:rsidRPr="00DE1820" w:rsidRDefault="007A6A98" w:rsidP="007A6A98">
      <w:pPr>
        <w:pStyle w:val="BodyTextMain"/>
        <w:rPr>
          <w:lang w:val="en-GB"/>
        </w:rPr>
      </w:pPr>
      <w:r w:rsidRPr="00DE1820">
        <w:rPr>
          <w:lang w:val="en-GB"/>
        </w:rPr>
        <w:t>MacKinnon was familiar with two significant craft beer competitors: Brick Brewing Co. Ltd. (Brick) and Big Rock Brewery Inc. (Big Rock). Located in Waterloo, Ontario, Brick operated a craft beer branch and competed in the value beer segment with its most successful brand, Laker.</w:t>
      </w:r>
      <w:r w:rsidRPr="00DE1820">
        <w:rPr>
          <w:rStyle w:val="FootnoteReference"/>
          <w:rFonts w:asciiTheme="majorBidi" w:hAnsiTheme="majorBidi" w:cstheme="majorBidi"/>
          <w:color w:val="222222"/>
          <w:lang w:val="en-GB"/>
        </w:rPr>
        <w:footnoteReference w:id="11"/>
      </w:r>
      <w:r w:rsidRPr="00DE1820">
        <w:rPr>
          <w:lang w:val="en-GB"/>
        </w:rPr>
        <w:t xml:space="preserve"> Brick was a publicly traded company that was listed on the Toronto Stock Exchange. Big Rock, another publicly traded brewery, produced premium craft beers and other alcoholic products. Headquartered in Calgary, Alberta,</w:t>
      </w:r>
      <w:r w:rsidRPr="00DE1820">
        <w:rPr>
          <w:rStyle w:val="FootnoteReference"/>
          <w:rFonts w:asciiTheme="majorBidi" w:hAnsiTheme="majorBidi" w:cstheme="majorBidi"/>
          <w:color w:val="222222"/>
          <w:lang w:val="en-GB"/>
        </w:rPr>
        <w:footnoteReference w:id="12"/>
      </w:r>
      <w:r w:rsidRPr="00DE1820">
        <w:rPr>
          <w:lang w:val="en-GB"/>
        </w:rPr>
        <w:t xml:space="preserve"> Big Rock sold its products across Canada and exported some products to South Korea (see Exhibit 3).</w:t>
      </w:r>
    </w:p>
    <w:p w14:paraId="14C587F4" w14:textId="77777777" w:rsidR="007A6A98" w:rsidRPr="00DE1820" w:rsidRDefault="007A6A98" w:rsidP="007A6A98">
      <w:pPr>
        <w:pStyle w:val="BodyTextMain"/>
        <w:rPr>
          <w:lang w:val="en-GB"/>
        </w:rPr>
      </w:pPr>
    </w:p>
    <w:p w14:paraId="78FD5A5A" w14:textId="77777777" w:rsidR="007A6A98" w:rsidRPr="00DE1820" w:rsidRDefault="007A6A98" w:rsidP="007A6A98">
      <w:pPr>
        <w:pStyle w:val="BodyTextMain"/>
        <w:rPr>
          <w:lang w:val="en-GB"/>
        </w:rPr>
      </w:pPr>
    </w:p>
    <w:p w14:paraId="2A80302C" w14:textId="77777777" w:rsidR="007A6A98" w:rsidRPr="00DE1820" w:rsidRDefault="007A6A98" w:rsidP="007A6A98">
      <w:pPr>
        <w:pStyle w:val="Casehead2"/>
        <w:rPr>
          <w:lang w:val="en-GB"/>
        </w:rPr>
      </w:pPr>
      <w:r w:rsidRPr="00DE1820">
        <w:rPr>
          <w:lang w:val="en-GB"/>
        </w:rPr>
        <w:t>Contract Brewing</w:t>
      </w:r>
    </w:p>
    <w:p w14:paraId="12C4DD08" w14:textId="77777777" w:rsidR="007A6A98" w:rsidRPr="00DE1820" w:rsidRDefault="007A6A98" w:rsidP="007A6A98">
      <w:pPr>
        <w:pStyle w:val="BodyTextMain"/>
        <w:rPr>
          <w:lang w:val="en-GB"/>
        </w:rPr>
      </w:pPr>
    </w:p>
    <w:p w14:paraId="2560359A" w14:textId="42D802B1" w:rsidR="007A6A98" w:rsidRPr="00DE1820" w:rsidRDefault="007A6A98" w:rsidP="007A6A98">
      <w:pPr>
        <w:pStyle w:val="BodyTextMain"/>
        <w:rPr>
          <w:lang w:val="en-GB"/>
        </w:rPr>
      </w:pPr>
      <w:r w:rsidRPr="00DE1820">
        <w:rPr>
          <w:lang w:val="en-GB"/>
        </w:rPr>
        <w:t xml:space="preserve">Unlike mainstream beers, craft beers were highly susceptible to seasonal fluctuations, with most sales occurring </w:t>
      </w:r>
      <w:r>
        <w:rPr>
          <w:lang w:val="en-GB"/>
        </w:rPr>
        <w:t xml:space="preserve">from </w:t>
      </w:r>
      <w:r w:rsidRPr="00DE1820">
        <w:rPr>
          <w:lang w:val="en-GB"/>
        </w:rPr>
        <w:t>May to October.</w:t>
      </w:r>
      <w:r w:rsidRPr="00DE1820">
        <w:rPr>
          <w:rStyle w:val="FootnoteReference"/>
          <w:rFonts w:asciiTheme="majorBidi" w:hAnsiTheme="majorBidi" w:cstheme="majorBidi"/>
          <w:color w:val="222222"/>
          <w:lang w:val="en-GB"/>
        </w:rPr>
        <w:footnoteReference w:id="13"/>
      </w:r>
      <w:r w:rsidRPr="00DE1820">
        <w:rPr>
          <w:lang w:val="en-GB"/>
        </w:rPr>
        <w:t xml:space="preserve"> To smooth out the seasonality effect and to achieve maximum capacity, many craft breweries relied on contract brewing, where larger breweries would rent out space to smaller, and often less established, breweries on a contract basis. The smaller breweries completed the full brewing process, including bottling, packaging, and storing at the larger brewery’s facility. MacKinnon estimated that contract brewing in Ontario was priced at approximately CA$120</w:t>
      </w:r>
      <w:r w:rsidRPr="00DE1820">
        <w:rPr>
          <w:rStyle w:val="FootnoteReference"/>
          <w:lang w:val="en-GB"/>
        </w:rPr>
        <w:footnoteReference w:id="14"/>
      </w:r>
      <w:r w:rsidRPr="00DE1820">
        <w:rPr>
          <w:lang w:val="en-GB"/>
        </w:rPr>
        <w:t xml:space="preserve"> per hectolitre (hl), or 100 litres. The customer (i.e., the smaller brewery) typically provided all raw materials except water, along with the recipe and packaging. The customer was also responsible for </w:t>
      </w:r>
      <w:r w:rsidR="00404BE4">
        <w:rPr>
          <w:lang w:val="en-GB"/>
        </w:rPr>
        <w:t>fees to Brewers Retail Inc.</w:t>
      </w:r>
      <w:r w:rsidRPr="00DE1820">
        <w:rPr>
          <w:lang w:val="en-GB"/>
        </w:rPr>
        <w:t xml:space="preserve"> The contract brewer essentially provided the labour and facility capacity.</w:t>
      </w:r>
    </w:p>
    <w:p w14:paraId="76F52989" w14:textId="77777777" w:rsidR="007A6A98" w:rsidRPr="00DE1820" w:rsidRDefault="007A6A98" w:rsidP="007A6A98">
      <w:pPr>
        <w:pStyle w:val="BodyTextMain"/>
        <w:rPr>
          <w:lang w:val="en-GB"/>
        </w:rPr>
      </w:pPr>
    </w:p>
    <w:p w14:paraId="36476FBF" w14:textId="77777777" w:rsidR="007A6A98" w:rsidRPr="00DE1820" w:rsidRDefault="007A6A98" w:rsidP="007A6A98">
      <w:pPr>
        <w:pStyle w:val="BodyTextMain"/>
        <w:rPr>
          <w:lang w:val="en-GB"/>
        </w:rPr>
      </w:pPr>
    </w:p>
    <w:p w14:paraId="6D96B957" w14:textId="77777777" w:rsidR="007A6A98" w:rsidRPr="007A6A98" w:rsidRDefault="007A6A98" w:rsidP="007A6A98">
      <w:pPr>
        <w:pStyle w:val="Casehead1"/>
      </w:pPr>
      <w:r w:rsidRPr="007A6A98">
        <w:rPr>
          <w:rStyle w:val="Heading2Char"/>
          <w:rFonts w:cs="Arial"/>
          <w:b/>
          <w:bCs w:val="0"/>
          <w:color w:val="auto"/>
          <w:szCs w:val="20"/>
          <w:lang w:val="en-US" w:eastAsia="en-US"/>
        </w:rPr>
        <w:t>CORKFORD BREWERY</w:t>
      </w:r>
      <w:r w:rsidRPr="007A6A98">
        <w:t xml:space="preserve"> </w:t>
      </w:r>
    </w:p>
    <w:p w14:paraId="4A513F55" w14:textId="77777777" w:rsidR="007A6A98" w:rsidRPr="00DE1820" w:rsidRDefault="007A6A98" w:rsidP="007A6A98">
      <w:pPr>
        <w:pStyle w:val="BodyTextMain"/>
        <w:rPr>
          <w:lang w:val="en-GB"/>
        </w:rPr>
      </w:pPr>
    </w:p>
    <w:p w14:paraId="29F77BF8" w14:textId="77777777" w:rsidR="007A6A98" w:rsidRPr="00DE1820" w:rsidRDefault="007A6A98" w:rsidP="007A6A98">
      <w:pPr>
        <w:pStyle w:val="BodyTextMain"/>
        <w:rPr>
          <w:lang w:val="en-GB"/>
        </w:rPr>
      </w:pPr>
      <w:proofErr w:type="spellStart"/>
      <w:r w:rsidRPr="00DE1820">
        <w:rPr>
          <w:lang w:val="en-GB"/>
        </w:rPr>
        <w:t>Corkford</w:t>
      </w:r>
      <w:proofErr w:type="spellEnd"/>
      <w:r w:rsidRPr="00DE1820">
        <w:rPr>
          <w:lang w:val="en-GB"/>
        </w:rPr>
        <w:t xml:space="preserve"> Brewery was one of Ontario’s oldest breweries. Located on approximately 8 hectares (20 acres) of land, it had the capacity to produce 50,000 hl of beer per year. There were three wells on the brewery’s site that provided access to high quality spring water, which was used in the brewing process, for the minimal cost of extraction of the water (rather than accessing the town’s water). </w:t>
      </w:r>
    </w:p>
    <w:p w14:paraId="165B95A4" w14:textId="77777777" w:rsidR="007A6A98" w:rsidRPr="00DE1820" w:rsidRDefault="007A6A98" w:rsidP="007A6A98">
      <w:pPr>
        <w:pStyle w:val="BodyTextMain"/>
        <w:rPr>
          <w:lang w:val="en-GB"/>
        </w:rPr>
      </w:pPr>
    </w:p>
    <w:p w14:paraId="52885F10" w14:textId="77777777" w:rsidR="007A6A98" w:rsidRPr="00DE1820" w:rsidRDefault="007A6A98" w:rsidP="007A6A98">
      <w:pPr>
        <w:pStyle w:val="BodyTextMain"/>
        <w:rPr>
          <w:lang w:val="en-GB"/>
        </w:rPr>
      </w:pPr>
      <w:proofErr w:type="spellStart"/>
      <w:r w:rsidRPr="00DE1820">
        <w:rPr>
          <w:lang w:val="en-GB"/>
        </w:rPr>
        <w:t>Tanzer</w:t>
      </w:r>
      <w:proofErr w:type="spellEnd"/>
      <w:r w:rsidRPr="00DE1820">
        <w:rPr>
          <w:lang w:val="en-GB"/>
        </w:rPr>
        <w:t xml:space="preserve"> brewed four different brands of beer at the </w:t>
      </w:r>
      <w:proofErr w:type="spellStart"/>
      <w:r w:rsidRPr="00DE1820">
        <w:rPr>
          <w:lang w:val="en-GB"/>
        </w:rPr>
        <w:t>Corkford</w:t>
      </w:r>
      <w:proofErr w:type="spellEnd"/>
      <w:r w:rsidRPr="00DE1820">
        <w:rPr>
          <w:lang w:val="en-GB"/>
        </w:rPr>
        <w:t xml:space="preserve"> Brewery site, all of which competed in the craft beer segment of the industry. Each brand was sold in cases of 24 beers exclusively through the Beer Store. </w:t>
      </w:r>
      <w:proofErr w:type="spellStart"/>
      <w:r w:rsidRPr="00DE1820">
        <w:rPr>
          <w:lang w:val="en-GB"/>
        </w:rPr>
        <w:t>Corkford</w:t>
      </w:r>
      <w:proofErr w:type="spellEnd"/>
      <w:r w:rsidRPr="00DE1820">
        <w:rPr>
          <w:lang w:val="en-GB"/>
        </w:rPr>
        <w:t xml:space="preserve"> Original Lager was </w:t>
      </w:r>
      <w:proofErr w:type="spellStart"/>
      <w:r w:rsidRPr="00DE1820">
        <w:rPr>
          <w:lang w:val="en-GB"/>
        </w:rPr>
        <w:t>Corkford</w:t>
      </w:r>
      <w:proofErr w:type="spellEnd"/>
      <w:r w:rsidRPr="00DE1820">
        <w:rPr>
          <w:lang w:val="en-GB"/>
        </w:rPr>
        <w:t xml:space="preserve"> Brewery’s first recipe, made with </w:t>
      </w:r>
      <w:proofErr w:type="spellStart"/>
      <w:r w:rsidRPr="00DE1820">
        <w:rPr>
          <w:lang w:val="en-GB"/>
        </w:rPr>
        <w:t>Corkford’s</w:t>
      </w:r>
      <w:proofErr w:type="spellEnd"/>
      <w:r w:rsidRPr="00DE1820">
        <w:rPr>
          <w:lang w:val="en-GB"/>
        </w:rPr>
        <w:t xml:space="preserve"> barley malt. </w:t>
      </w:r>
      <w:proofErr w:type="spellStart"/>
      <w:r w:rsidRPr="00DE1820">
        <w:rPr>
          <w:lang w:val="en-GB"/>
        </w:rPr>
        <w:t>Corkford</w:t>
      </w:r>
      <w:proofErr w:type="spellEnd"/>
      <w:r w:rsidRPr="00DE1820">
        <w:rPr>
          <w:lang w:val="en-GB"/>
        </w:rPr>
        <w:t xml:space="preserve"> Amber Ale was a pale ale brewed with amber malt, which gave the beer a light copper colour. </w:t>
      </w:r>
      <w:proofErr w:type="spellStart"/>
      <w:r w:rsidRPr="00DE1820">
        <w:rPr>
          <w:lang w:val="en-GB"/>
        </w:rPr>
        <w:lastRenderedPageBreak/>
        <w:t>Corkford</w:t>
      </w:r>
      <w:proofErr w:type="spellEnd"/>
      <w:r w:rsidRPr="00DE1820">
        <w:rPr>
          <w:lang w:val="en-GB"/>
        </w:rPr>
        <w:t xml:space="preserve"> Lime was a blonde brew with a squeeze of lime flavour. </w:t>
      </w:r>
      <w:proofErr w:type="spellStart"/>
      <w:r w:rsidRPr="00DE1820">
        <w:rPr>
          <w:lang w:val="en-GB"/>
        </w:rPr>
        <w:t>Corkford</w:t>
      </w:r>
      <w:proofErr w:type="spellEnd"/>
      <w:r w:rsidRPr="00DE1820">
        <w:rPr>
          <w:lang w:val="en-GB"/>
        </w:rPr>
        <w:t xml:space="preserve"> Platinum Light had less than 70 calories and was low in carbohydrates, sugar, and fat content. It had a dark colour and a strong flavour. Total production of the four brands was 5,000 hl per year (see Exhibit 4). </w:t>
      </w:r>
    </w:p>
    <w:p w14:paraId="54B3C247" w14:textId="77777777" w:rsidR="007A6A98" w:rsidRPr="00DE1820" w:rsidRDefault="007A6A98" w:rsidP="007A6A98">
      <w:pPr>
        <w:pStyle w:val="BodyTextMain"/>
        <w:rPr>
          <w:lang w:val="en-GB"/>
        </w:rPr>
      </w:pPr>
    </w:p>
    <w:p w14:paraId="0F30F2FD" w14:textId="77777777" w:rsidR="007A6A98" w:rsidRPr="00400F40" w:rsidRDefault="007A6A98" w:rsidP="007A6A98">
      <w:pPr>
        <w:pStyle w:val="BodyTextMain"/>
        <w:rPr>
          <w:spacing w:val="-2"/>
          <w:lang w:val="en-GB"/>
        </w:rPr>
      </w:pPr>
      <w:proofErr w:type="spellStart"/>
      <w:r w:rsidRPr="00400F40">
        <w:rPr>
          <w:spacing w:val="-2"/>
          <w:lang w:val="en-GB"/>
        </w:rPr>
        <w:t>Tanzer’s</w:t>
      </w:r>
      <w:proofErr w:type="spellEnd"/>
      <w:r w:rsidRPr="00400F40">
        <w:rPr>
          <w:spacing w:val="-2"/>
          <w:lang w:val="en-GB"/>
        </w:rPr>
        <w:t xml:space="preserve"> remaining capacity was used to brew some of the company’s other brands. After the sale of </w:t>
      </w:r>
      <w:proofErr w:type="spellStart"/>
      <w:r w:rsidRPr="00400F40">
        <w:rPr>
          <w:spacing w:val="-2"/>
          <w:lang w:val="en-GB"/>
        </w:rPr>
        <w:t>Corkford</w:t>
      </w:r>
      <w:proofErr w:type="spellEnd"/>
      <w:r w:rsidRPr="00400F40">
        <w:rPr>
          <w:spacing w:val="-2"/>
          <w:lang w:val="en-GB"/>
        </w:rPr>
        <w:t xml:space="preserve"> Brewery, </w:t>
      </w:r>
      <w:proofErr w:type="spellStart"/>
      <w:r w:rsidRPr="00400F40">
        <w:rPr>
          <w:spacing w:val="-2"/>
          <w:lang w:val="en-GB"/>
        </w:rPr>
        <w:t>Tanzer</w:t>
      </w:r>
      <w:proofErr w:type="spellEnd"/>
      <w:r w:rsidRPr="00400F40">
        <w:rPr>
          <w:spacing w:val="-2"/>
          <w:lang w:val="en-GB"/>
        </w:rPr>
        <w:t xml:space="preserve"> intended to relocate 45,000 hl in contract brewing to its own facilities. Most of the 18 workers the company employed at </w:t>
      </w:r>
      <w:proofErr w:type="spellStart"/>
      <w:r w:rsidRPr="00400F40">
        <w:rPr>
          <w:spacing w:val="-2"/>
          <w:lang w:val="en-GB"/>
        </w:rPr>
        <w:t>Corkford</w:t>
      </w:r>
      <w:proofErr w:type="spellEnd"/>
      <w:r w:rsidRPr="00400F40">
        <w:rPr>
          <w:spacing w:val="-2"/>
          <w:lang w:val="en-GB"/>
        </w:rPr>
        <w:t xml:space="preserve"> Brewery had been with the brewery for many years and were expected to remain after the sale. The workers were non-unionized, local, and took great pride in their contribution to the brewery and community. The staff consisted of the </w:t>
      </w:r>
      <w:proofErr w:type="spellStart"/>
      <w:r w:rsidRPr="00400F40">
        <w:rPr>
          <w:spacing w:val="-2"/>
          <w:lang w:val="en-GB"/>
        </w:rPr>
        <w:t>brewmaster</w:t>
      </w:r>
      <w:proofErr w:type="spellEnd"/>
      <w:r w:rsidRPr="00400F40">
        <w:rPr>
          <w:spacing w:val="-2"/>
          <w:lang w:val="en-GB"/>
        </w:rPr>
        <w:t xml:space="preserve">; an operations supervisor; 13 production workers, including four in blending and brewing and nine in packaging; two maintenance workers; and a quality control employee. The production staff worked 35 hours per week at an average hourly rate of $18.50. The workers were fully employed 48 weeks per year thanks to the contract brewing business that </w:t>
      </w:r>
      <w:proofErr w:type="spellStart"/>
      <w:r w:rsidRPr="00400F40">
        <w:rPr>
          <w:spacing w:val="-2"/>
          <w:lang w:val="en-GB"/>
        </w:rPr>
        <w:t>Tanzer</w:t>
      </w:r>
      <w:proofErr w:type="spellEnd"/>
      <w:r w:rsidRPr="00400F40">
        <w:rPr>
          <w:spacing w:val="-2"/>
          <w:lang w:val="en-GB"/>
        </w:rPr>
        <w:t xml:space="preserve"> ran at the brewery. These workers were considered casual, employed only when production work was available. However, to ensure availability of labour, </w:t>
      </w:r>
      <w:proofErr w:type="spellStart"/>
      <w:r w:rsidRPr="00400F40">
        <w:rPr>
          <w:spacing w:val="-2"/>
          <w:lang w:val="en-GB"/>
        </w:rPr>
        <w:t>Tanzer</w:t>
      </w:r>
      <w:proofErr w:type="spellEnd"/>
      <w:r w:rsidRPr="00400F40">
        <w:rPr>
          <w:spacing w:val="-2"/>
          <w:lang w:val="en-GB"/>
        </w:rPr>
        <w:t xml:space="preserve"> had always guaranteed a minimum of 30 weeks of work to these employees. The operations supervisor was paid an annual salary of $40,000; maintenance and quality control staff were each paid $35,000 per year.</w:t>
      </w:r>
    </w:p>
    <w:p w14:paraId="63E69B8A" w14:textId="77777777" w:rsidR="007A6A98" w:rsidRPr="00DE1820" w:rsidRDefault="007A6A98" w:rsidP="007A6A98">
      <w:pPr>
        <w:pStyle w:val="BodyTextMain"/>
        <w:rPr>
          <w:lang w:val="en-GB"/>
        </w:rPr>
      </w:pPr>
    </w:p>
    <w:p w14:paraId="20E9EFDA" w14:textId="77777777" w:rsidR="007A6A98" w:rsidRPr="00DE1820" w:rsidRDefault="007A6A98" w:rsidP="007A6A98">
      <w:pPr>
        <w:pStyle w:val="BodyTextMain"/>
        <w:rPr>
          <w:lang w:val="en-GB"/>
        </w:rPr>
      </w:pPr>
      <w:proofErr w:type="spellStart"/>
      <w:r w:rsidRPr="00DE1820">
        <w:rPr>
          <w:lang w:val="en-GB"/>
        </w:rPr>
        <w:t>Tanzer</w:t>
      </w:r>
      <w:proofErr w:type="spellEnd"/>
      <w:r w:rsidRPr="00DE1820">
        <w:rPr>
          <w:lang w:val="en-GB"/>
        </w:rPr>
        <w:t xml:space="preserve"> centrally managed all other administrative functions such as finance, human resources, and marketing. MacKinnon assumed that, after the acquisition, he would have to spend $250,000 per year to provide these functions at </w:t>
      </w:r>
      <w:proofErr w:type="spellStart"/>
      <w:r w:rsidRPr="00DE1820">
        <w:rPr>
          <w:lang w:val="en-GB"/>
        </w:rPr>
        <w:t>Corkford</w:t>
      </w:r>
      <w:proofErr w:type="spellEnd"/>
      <w:r w:rsidRPr="00DE1820">
        <w:rPr>
          <w:lang w:val="en-GB"/>
        </w:rPr>
        <w:t xml:space="preserve"> Brewery.</w:t>
      </w:r>
    </w:p>
    <w:p w14:paraId="49A33531" w14:textId="77777777" w:rsidR="007A6A98" w:rsidRPr="00DE1820" w:rsidRDefault="007A6A98" w:rsidP="007A6A98">
      <w:pPr>
        <w:pStyle w:val="BodyTextMain"/>
        <w:rPr>
          <w:lang w:val="en-GB"/>
        </w:rPr>
      </w:pPr>
    </w:p>
    <w:p w14:paraId="153C7F15" w14:textId="77777777" w:rsidR="007A6A98" w:rsidRPr="00DE1820" w:rsidRDefault="007A6A98" w:rsidP="007A6A98">
      <w:pPr>
        <w:pStyle w:val="BodyTextMain"/>
        <w:rPr>
          <w:lang w:val="en-GB"/>
        </w:rPr>
      </w:pPr>
      <w:r w:rsidRPr="00DE1820">
        <w:rPr>
          <w:lang w:val="en-GB"/>
        </w:rPr>
        <w:t xml:space="preserve">The </w:t>
      </w:r>
      <w:proofErr w:type="spellStart"/>
      <w:r w:rsidRPr="00DE1820">
        <w:rPr>
          <w:lang w:val="en-GB"/>
        </w:rPr>
        <w:t>brewmaster</w:t>
      </w:r>
      <w:proofErr w:type="spellEnd"/>
      <w:r w:rsidRPr="00DE1820">
        <w:rPr>
          <w:lang w:val="en-GB"/>
        </w:rPr>
        <w:t xml:space="preserve"> had been with </w:t>
      </w:r>
      <w:proofErr w:type="spellStart"/>
      <w:r w:rsidRPr="00DE1820">
        <w:rPr>
          <w:lang w:val="en-GB"/>
        </w:rPr>
        <w:t>Corkford</w:t>
      </w:r>
      <w:proofErr w:type="spellEnd"/>
      <w:r w:rsidRPr="00DE1820">
        <w:rPr>
          <w:lang w:val="en-GB"/>
        </w:rPr>
        <w:t xml:space="preserve"> Brewery for 26 years. Her experience launching new products had been invaluable, with the diversified product offerings of previous owners. She had a strong track record of leading the other employees, improving quality, reducing costs, and increasing output. As a result of her experience, the </w:t>
      </w:r>
      <w:proofErr w:type="spellStart"/>
      <w:r w:rsidRPr="00DE1820">
        <w:rPr>
          <w:lang w:val="en-GB"/>
        </w:rPr>
        <w:t>Corkford</w:t>
      </w:r>
      <w:proofErr w:type="spellEnd"/>
      <w:r w:rsidRPr="00DE1820">
        <w:rPr>
          <w:lang w:val="en-GB"/>
        </w:rPr>
        <w:t xml:space="preserve"> Brewery </w:t>
      </w:r>
      <w:proofErr w:type="spellStart"/>
      <w:r w:rsidRPr="00DE1820">
        <w:rPr>
          <w:lang w:val="en-GB"/>
        </w:rPr>
        <w:t>brewmaster</w:t>
      </w:r>
      <w:proofErr w:type="spellEnd"/>
      <w:r w:rsidRPr="00DE1820">
        <w:rPr>
          <w:lang w:val="en-GB"/>
        </w:rPr>
        <w:t xml:space="preserve"> was paid $45,000, an amount close to the upper end of the range for the craft beer industry.</w:t>
      </w:r>
    </w:p>
    <w:p w14:paraId="4CE3F9C8" w14:textId="77777777" w:rsidR="007A6A98" w:rsidRPr="00DE1820" w:rsidRDefault="007A6A98" w:rsidP="007A6A98">
      <w:pPr>
        <w:pStyle w:val="BodyTextMain"/>
        <w:rPr>
          <w:lang w:val="en-GB"/>
        </w:rPr>
      </w:pPr>
    </w:p>
    <w:p w14:paraId="60F24D7D" w14:textId="77777777" w:rsidR="007A6A98" w:rsidRPr="00DE1820" w:rsidRDefault="007A6A98" w:rsidP="007A6A98">
      <w:pPr>
        <w:pStyle w:val="BodyTextMain"/>
        <w:rPr>
          <w:color w:val="222222"/>
          <w:lang w:val="en-GB"/>
        </w:rPr>
      </w:pPr>
      <w:r>
        <w:rPr>
          <w:lang w:val="en-GB"/>
        </w:rPr>
        <w:t>Waste water</w:t>
      </w:r>
      <w:r w:rsidRPr="00DE1820">
        <w:rPr>
          <w:lang w:val="en-GB"/>
        </w:rPr>
        <w:t xml:space="preserve"> was managed under an agreement with the township of </w:t>
      </w:r>
      <w:proofErr w:type="spellStart"/>
      <w:r w:rsidRPr="00DE1820">
        <w:rPr>
          <w:lang w:val="en-GB"/>
        </w:rPr>
        <w:t>Corkford</w:t>
      </w:r>
      <w:proofErr w:type="spellEnd"/>
      <w:r w:rsidRPr="00DE1820">
        <w:rPr>
          <w:lang w:val="en-GB"/>
        </w:rPr>
        <w:t>, for which the brewery paid a flat fee of $25,000 per year. In addition, ongoing maintenance of the building and equipment averaged $100,000 per year. Miscellaneous overhead expenses, including power, utilities, and minor supplies</w:t>
      </w:r>
      <w:r>
        <w:rPr>
          <w:lang w:val="en-GB"/>
        </w:rPr>
        <w:t>,</w:t>
      </w:r>
      <w:r w:rsidRPr="00DE1820">
        <w:rPr>
          <w:lang w:val="en-GB"/>
        </w:rPr>
        <w:t xml:space="preserve"> was estimated at $200,000 per year.</w:t>
      </w:r>
      <w:r w:rsidRPr="00DE1820">
        <w:rPr>
          <w:color w:val="222222"/>
          <w:lang w:val="en-GB"/>
        </w:rPr>
        <w:t xml:space="preserve"> Delivery of non-contract product was provided by an external provider at a specific rate per hl. </w:t>
      </w:r>
      <w:proofErr w:type="spellStart"/>
      <w:r w:rsidRPr="00DE1820">
        <w:rPr>
          <w:color w:val="222222"/>
          <w:lang w:val="en-GB"/>
        </w:rPr>
        <w:t>Tanzer</w:t>
      </w:r>
      <w:proofErr w:type="spellEnd"/>
      <w:r w:rsidRPr="00DE1820">
        <w:rPr>
          <w:color w:val="222222"/>
          <w:lang w:val="en-GB"/>
        </w:rPr>
        <w:t xml:space="preserve"> arranged for the </w:t>
      </w:r>
      <w:r>
        <w:rPr>
          <w:color w:val="222222"/>
          <w:lang w:val="en-GB"/>
        </w:rPr>
        <w:t>pickup</w:t>
      </w:r>
      <w:r w:rsidRPr="00DE1820">
        <w:rPr>
          <w:color w:val="222222"/>
          <w:lang w:val="en-GB"/>
        </w:rPr>
        <w:t xml:space="preserve"> and delivery of its other brands brewed at </w:t>
      </w:r>
      <w:proofErr w:type="spellStart"/>
      <w:r w:rsidRPr="00DE1820">
        <w:rPr>
          <w:color w:val="222222"/>
          <w:lang w:val="en-GB"/>
        </w:rPr>
        <w:t>Corkford</w:t>
      </w:r>
      <w:proofErr w:type="spellEnd"/>
      <w:r w:rsidRPr="00DE1820">
        <w:rPr>
          <w:color w:val="222222"/>
          <w:lang w:val="en-GB"/>
        </w:rPr>
        <w:t xml:space="preserve"> Brewery. </w:t>
      </w:r>
    </w:p>
    <w:p w14:paraId="4A939A76" w14:textId="77777777" w:rsidR="007A6A98" w:rsidRPr="00DE1820" w:rsidRDefault="007A6A98" w:rsidP="007A6A98">
      <w:pPr>
        <w:pStyle w:val="BodyTextMain"/>
        <w:rPr>
          <w:lang w:val="en-GB"/>
        </w:rPr>
      </w:pPr>
    </w:p>
    <w:p w14:paraId="1B9989D8" w14:textId="77777777" w:rsidR="007A6A98" w:rsidRPr="00DE1820" w:rsidRDefault="007A6A98" w:rsidP="007A6A98">
      <w:pPr>
        <w:pStyle w:val="BodyTextMain"/>
        <w:rPr>
          <w:rStyle w:val="Heading2Char"/>
          <w:rFonts w:ascii="Times New Roman" w:hAnsi="Times New Roman"/>
          <w:b w:val="0"/>
          <w:bCs w:val="0"/>
          <w:color w:val="auto"/>
          <w:sz w:val="22"/>
          <w:szCs w:val="22"/>
          <w:lang w:val="en-GB"/>
        </w:rPr>
      </w:pPr>
    </w:p>
    <w:p w14:paraId="6C49E94D" w14:textId="77777777" w:rsidR="007A6A98" w:rsidRPr="007A6A98" w:rsidRDefault="007A6A98" w:rsidP="007A6A98">
      <w:pPr>
        <w:pStyle w:val="Casehead1"/>
      </w:pPr>
      <w:r w:rsidRPr="007A6A98">
        <w:rPr>
          <w:rStyle w:val="Heading2Char"/>
          <w:rFonts w:cs="Arial"/>
          <w:b/>
          <w:bCs w:val="0"/>
          <w:color w:val="auto"/>
          <w:szCs w:val="20"/>
          <w:lang w:val="en-US" w:eastAsia="en-US"/>
        </w:rPr>
        <w:t>CONSIDERING THE ACQUISITION</w:t>
      </w:r>
    </w:p>
    <w:p w14:paraId="6A8813E6" w14:textId="77777777" w:rsidR="007A6A98" w:rsidRPr="00DE1820" w:rsidRDefault="007A6A98" w:rsidP="00400F40">
      <w:pPr>
        <w:pStyle w:val="BodyTextMain"/>
        <w:rPr>
          <w:lang w:val="en-GB"/>
        </w:rPr>
      </w:pPr>
    </w:p>
    <w:p w14:paraId="0170522C" w14:textId="77777777" w:rsidR="007A6A98" w:rsidRPr="00DE1820" w:rsidRDefault="007A6A98" w:rsidP="007A6A98">
      <w:pPr>
        <w:pStyle w:val="BodyTextMain"/>
        <w:rPr>
          <w:lang w:val="en-GB"/>
        </w:rPr>
      </w:pPr>
      <w:r w:rsidRPr="00DE1820">
        <w:rPr>
          <w:lang w:val="en-GB"/>
        </w:rPr>
        <w:t xml:space="preserve">MacKinnon sat down to review the data provided by </w:t>
      </w:r>
      <w:proofErr w:type="spellStart"/>
      <w:r w:rsidRPr="00DE1820">
        <w:rPr>
          <w:lang w:val="en-GB"/>
        </w:rPr>
        <w:t>Tanzer</w:t>
      </w:r>
      <w:proofErr w:type="spellEnd"/>
      <w:r w:rsidRPr="00DE1820">
        <w:rPr>
          <w:lang w:val="en-GB"/>
        </w:rPr>
        <w:t xml:space="preserve"> regarding costs associated with operating </w:t>
      </w:r>
      <w:proofErr w:type="spellStart"/>
      <w:r w:rsidRPr="00DE1820">
        <w:rPr>
          <w:lang w:val="en-GB"/>
        </w:rPr>
        <w:t>Corkford</w:t>
      </w:r>
      <w:proofErr w:type="spellEnd"/>
      <w:r w:rsidRPr="00DE1820">
        <w:rPr>
          <w:lang w:val="en-GB"/>
        </w:rPr>
        <w:t xml:space="preserve"> Brewery (see Exhibit 5). MacKinnon had three options to consider regarding operating the facility and generating returns, including the expected return on assets of each option. He also knew that any future decisions regarding the brewery’s business model would affect the amount that he would be willing to pay for the brewery.</w:t>
      </w:r>
    </w:p>
    <w:p w14:paraId="4D0D1FE0" w14:textId="77777777" w:rsidR="007A6A98" w:rsidRPr="00DE1820" w:rsidRDefault="007A6A98" w:rsidP="007A6A98">
      <w:pPr>
        <w:pStyle w:val="BodyTextMain"/>
        <w:rPr>
          <w:lang w:val="en-GB"/>
        </w:rPr>
      </w:pPr>
    </w:p>
    <w:p w14:paraId="0B8CAF91" w14:textId="77777777" w:rsidR="007A6A98" w:rsidRPr="00DE1820" w:rsidRDefault="007A6A98" w:rsidP="007A6A98">
      <w:pPr>
        <w:pStyle w:val="BodyTextMain"/>
        <w:rPr>
          <w:lang w:val="en-GB"/>
        </w:rPr>
      </w:pPr>
      <w:r w:rsidRPr="00DE1820">
        <w:rPr>
          <w:lang w:val="en-GB"/>
        </w:rPr>
        <w:t xml:space="preserve">The first option MacKinnon considered was to continue the production of only the four </w:t>
      </w:r>
      <w:proofErr w:type="spellStart"/>
      <w:r w:rsidRPr="00DE1820">
        <w:rPr>
          <w:lang w:val="en-GB"/>
        </w:rPr>
        <w:t>Corkford</w:t>
      </w:r>
      <w:proofErr w:type="spellEnd"/>
      <w:r w:rsidRPr="00DE1820">
        <w:rPr>
          <w:lang w:val="en-GB"/>
        </w:rPr>
        <w:t xml:space="preserve"> Brewery brands. Despite </w:t>
      </w:r>
      <w:r>
        <w:rPr>
          <w:lang w:val="en-GB"/>
        </w:rPr>
        <w:t xml:space="preserve">the </w:t>
      </w:r>
      <w:r w:rsidRPr="00DE1820">
        <w:rPr>
          <w:lang w:val="en-GB"/>
        </w:rPr>
        <w:t xml:space="preserve">LCBO’s report of nearly 28 per cent growth for the craft beer industry, he expected the next year’s sales to remain unchanged from the current year. He also knew that he lacked </w:t>
      </w:r>
      <w:proofErr w:type="spellStart"/>
      <w:r w:rsidRPr="00DE1820">
        <w:rPr>
          <w:lang w:val="en-GB"/>
        </w:rPr>
        <w:t>Tanzer’s</w:t>
      </w:r>
      <w:proofErr w:type="spellEnd"/>
      <w:r w:rsidRPr="00DE1820">
        <w:rPr>
          <w:lang w:val="en-GB"/>
        </w:rPr>
        <w:t xml:space="preserve"> supply chain power, so he expected that he would pay 25 per cent more for raw materials.</w:t>
      </w:r>
    </w:p>
    <w:p w14:paraId="2F380ECA" w14:textId="77777777" w:rsidR="007A6A98" w:rsidRPr="00DE1820" w:rsidRDefault="007A6A98" w:rsidP="007A6A98">
      <w:pPr>
        <w:pStyle w:val="BodyTextMain"/>
        <w:rPr>
          <w:lang w:val="en-GB"/>
        </w:rPr>
      </w:pPr>
    </w:p>
    <w:p w14:paraId="149C2F4E" w14:textId="77777777" w:rsidR="007A6A98" w:rsidRPr="00DE1820" w:rsidRDefault="007A6A98" w:rsidP="007A6A98">
      <w:pPr>
        <w:pStyle w:val="BodyTextMain"/>
        <w:rPr>
          <w:lang w:val="en-GB"/>
        </w:rPr>
      </w:pPr>
      <w:r w:rsidRPr="00DE1820">
        <w:rPr>
          <w:lang w:val="en-GB"/>
        </w:rPr>
        <w:lastRenderedPageBreak/>
        <w:t>The second option MacKinnon considered was also based on existing brands. He was convinced that by focusing all production and marketing attention on only two of the existing brands, he could still achieve a total sales volume of 5,000 hl, split evenly between the two brands. However, he was unsure how to select which two brands to pursue.</w:t>
      </w:r>
      <w:r>
        <w:rPr>
          <w:lang w:val="en-GB"/>
        </w:rPr>
        <w:t xml:space="preserve"> </w:t>
      </w:r>
    </w:p>
    <w:p w14:paraId="46CF8798" w14:textId="77777777" w:rsidR="007A6A98" w:rsidRPr="00DE1820" w:rsidRDefault="007A6A98" w:rsidP="007A6A98">
      <w:pPr>
        <w:pStyle w:val="BodyTextMain"/>
        <w:rPr>
          <w:lang w:val="en-GB"/>
        </w:rPr>
      </w:pPr>
    </w:p>
    <w:p w14:paraId="2291BE44" w14:textId="77777777" w:rsidR="007A6A98" w:rsidRPr="00DE1820" w:rsidRDefault="007A6A98" w:rsidP="007A6A98">
      <w:pPr>
        <w:pStyle w:val="BodyTextMain"/>
        <w:rPr>
          <w:lang w:val="en-GB"/>
        </w:rPr>
      </w:pPr>
      <w:r w:rsidRPr="00DE1820">
        <w:rPr>
          <w:lang w:val="en-GB"/>
        </w:rPr>
        <w:t xml:space="preserve">The third option MacKinnon considered involved the four brands plus some contract brewing. He was intrigued by the idea of using some of the brewery’s capacity by securing brewing contracts. MacKinnon knew that </w:t>
      </w:r>
      <w:proofErr w:type="spellStart"/>
      <w:r w:rsidRPr="00DE1820">
        <w:rPr>
          <w:lang w:val="en-GB"/>
        </w:rPr>
        <w:t>Corkford</w:t>
      </w:r>
      <w:proofErr w:type="spellEnd"/>
      <w:r w:rsidRPr="00DE1820">
        <w:rPr>
          <w:lang w:val="en-GB"/>
        </w:rPr>
        <w:t xml:space="preserve"> Brewery would have significant excess capacity, given that </w:t>
      </w:r>
      <w:proofErr w:type="spellStart"/>
      <w:r w:rsidRPr="00DE1820">
        <w:rPr>
          <w:lang w:val="en-GB"/>
        </w:rPr>
        <w:t>Tanzer</w:t>
      </w:r>
      <w:proofErr w:type="spellEnd"/>
      <w:r w:rsidRPr="00DE1820">
        <w:rPr>
          <w:lang w:val="en-GB"/>
        </w:rPr>
        <w:t xml:space="preserve"> planned to move its contract brewing work to other facilities after the brewery’s sale. MacKinnon was anxious to get started building business connections, but he wondered if he could generate a healthy profit at the industry rate of $120 per hl for contract brewing. </w:t>
      </w:r>
    </w:p>
    <w:p w14:paraId="4C3D0DB2" w14:textId="77777777" w:rsidR="007A6A98" w:rsidRPr="00DE1820" w:rsidRDefault="007A6A98" w:rsidP="007A6A98">
      <w:pPr>
        <w:pStyle w:val="BodyTextMain"/>
        <w:rPr>
          <w:lang w:val="en-GB"/>
        </w:rPr>
      </w:pPr>
    </w:p>
    <w:p w14:paraId="5D433B15" w14:textId="77777777" w:rsidR="007A6A98" w:rsidRPr="00DE1820" w:rsidRDefault="007A6A98" w:rsidP="007A6A98">
      <w:pPr>
        <w:pStyle w:val="BodyTextMain"/>
        <w:rPr>
          <w:lang w:val="en-GB"/>
        </w:rPr>
      </w:pPr>
      <w:r w:rsidRPr="00DE1820">
        <w:rPr>
          <w:lang w:val="en-GB"/>
        </w:rPr>
        <w:t xml:space="preserve">MacKinnon estimated that he could realistically secure 10,000 hl worth of contract brewing, in addition to the four </w:t>
      </w:r>
      <w:proofErr w:type="spellStart"/>
      <w:r w:rsidRPr="00DE1820">
        <w:rPr>
          <w:lang w:val="en-GB"/>
        </w:rPr>
        <w:t>Corkford</w:t>
      </w:r>
      <w:proofErr w:type="spellEnd"/>
      <w:r w:rsidRPr="00DE1820">
        <w:rPr>
          <w:lang w:val="en-GB"/>
        </w:rPr>
        <w:t xml:space="preserve"> Brewery brands, but that administrative costs would likely increase by $200,000. Any contract brewing customer would be expected to have steady volume throughout the year and payment terms would be 60 days. </w:t>
      </w:r>
      <w:proofErr w:type="spellStart"/>
      <w:r w:rsidRPr="00DE1820">
        <w:rPr>
          <w:lang w:val="en-GB"/>
        </w:rPr>
        <w:t>Corkford</w:t>
      </w:r>
      <w:proofErr w:type="spellEnd"/>
      <w:r w:rsidRPr="00DE1820">
        <w:rPr>
          <w:lang w:val="en-GB"/>
        </w:rPr>
        <w:t xml:space="preserve"> Brewery would have to cover federal excise taxes and delivery fees but would not have to pay </w:t>
      </w:r>
      <w:r>
        <w:rPr>
          <w:lang w:val="en-GB"/>
        </w:rPr>
        <w:t>Brewers</w:t>
      </w:r>
      <w:r w:rsidRPr="00DE1820">
        <w:rPr>
          <w:lang w:val="en-GB"/>
        </w:rPr>
        <w:t xml:space="preserve"> Retail Inc. fees related to this product or stock any inventories.  </w:t>
      </w:r>
    </w:p>
    <w:p w14:paraId="773E712A" w14:textId="77777777" w:rsidR="007A6A98" w:rsidRPr="00DE1820" w:rsidRDefault="007A6A98" w:rsidP="007A6A98">
      <w:pPr>
        <w:pStyle w:val="BodyTextMain"/>
        <w:rPr>
          <w:lang w:val="en-GB"/>
        </w:rPr>
      </w:pPr>
    </w:p>
    <w:p w14:paraId="31883E9C" w14:textId="77777777" w:rsidR="007A6A98" w:rsidRPr="00DE1820" w:rsidRDefault="007A6A98" w:rsidP="007A6A98">
      <w:pPr>
        <w:pStyle w:val="BodyTextMain"/>
        <w:rPr>
          <w:lang w:val="en-GB"/>
        </w:rPr>
      </w:pPr>
      <w:r w:rsidRPr="00DE1820">
        <w:rPr>
          <w:lang w:val="en-GB"/>
        </w:rPr>
        <w:t xml:space="preserve">Without any contract brewing business, </w:t>
      </w:r>
      <w:proofErr w:type="spellStart"/>
      <w:r w:rsidRPr="00DE1820">
        <w:rPr>
          <w:lang w:val="en-GB"/>
        </w:rPr>
        <w:t>Corkford</w:t>
      </w:r>
      <w:proofErr w:type="spellEnd"/>
      <w:r w:rsidRPr="00DE1820">
        <w:rPr>
          <w:lang w:val="en-GB"/>
        </w:rPr>
        <w:t xml:space="preserve"> Brewery’s total assets consisted of $1.5 million in working capital and $5 million in property, plant, and equipment. If the brewery only produced </w:t>
      </w:r>
      <w:proofErr w:type="spellStart"/>
      <w:r w:rsidRPr="00DE1820">
        <w:rPr>
          <w:lang w:val="en-GB"/>
        </w:rPr>
        <w:t>Corkford</w:t>
      </w:r>
      <w:proofErr w:type="spellEnd"/>
      <w:r w:rsidRPr="00DE1820">
        <w:rPr>
          <w:lang w:val="en-GB"/>
        </w:rPr>
        <w:t xml:space="preserve"> Brewery brands, without contract brewing, the brewery could have excess equipment to sell for approximately $2 million. </w:t>
      </w:r>
    </w:p>
    <w:p w14:paraId="52D6C528" w14:textId="77777777" w:rsidR="007A6A98" w:rsidRPr="00DE1820" w:rsidRDefault="007A6A98" w:rsidP="007A6A98">
      <w:pPr>
        <w:pStyle w:val="BodyTextMain"/>
        <w:rPr>
          <w:lang w:val="en-GB"/>
        </w:rPr>
      </w:pPr>
    </w:p>
    <w:p w14:paraId="14566B3F" w14:textId="77777777" w:rsidR="007A6A98" w:rsidRPr="00DE1820" w:rsidRDefault="007A6A98" w:rsidP="007A6A98">
      <w:pPr>
        <w:pStyle w:val="BodyTextMain"/>
        <w:rPr>
          <w:lang w:val="en-GB"/>
        </w:rPr>
      </w:pPr>
      <w:r w:rsidRPr="00DE1820">
        <w:rPr>
          <w:lang w:val="en-GB"/>
        </w:rPr>
        <w:t xml:space="preserve">As an additional and independent consideration, MacKinnon knew that ciders were becoming very popular but would require investing in specific types of equipment for the facility. He was reasonably confident that he could sell 500 hl of cider at the same contribution as </w:t>
      </w:r>
      <w:proofErr w:type="spellStart"/>
      <w:r w:rsidRPr="00DE1820">
        <w:rPr>
          <w:lang w:val="en-GB"/>
        </w:rPr>
        <w:t>Corkford</w:t>
      </w:r>
      <w:proofErr w:type="spellEnd"/>
      <w:r w:rsidRPr="00DE1820">
        <w:rPr>
          <w:lang w:val="en-GB"/>
        </w:rPr>
        <w:t xml:space="preserve"> Original Lager, and he expected that no further changes would be required in the plant. The equipment would cost $1.25 million, it would have a useful life of 10 years, and it could qualify for the very lucrative 50 per cent capital cost allowance rate. Any increased profits would be taxed at the expected corporate rate of 25 per cent. Regardless of his production assumptions, MacKinnon wanted to consider whether the equipment investment made sense.</w:t>
      </w:r>
    </w:p>
    <w:p w14:paraId="525D0FF3" w14:textId="77777777" w:rsidR="007A6A98" w:rsidRPr="00DE1820" w:rsidRDefault="007A6A98" w:rsidP="007A6A98">
      <w:pPr>
        <w:pStyle w:val="BodyTextMain"/>
        <w:rPr>
          <w:lang w:val="en-GB"/>
        </w:rPr>
      </w:pPr>
    </w:p>
    <w:p w14:paraId="5739C2BB" w14:textId="77777777" w:rsidR="007A6A98" w:rsidRPr="00DE1820" w:rsidRDefault="007A6A98" w:rsidP="007A6A98">
      <w:pPr>
        <w:pStyle w:val="BodyTextMain"/>
        <w:rPr>
          <w:lang w:val="en-GB"/>
        </w:rPr>
      </w:pPr>
      <w:r w:rsidRPr="00DE1820">
        <w:rPr>
          <w:lang w:val="en-GB"/>
        </w:rPr>
        <w:t xml:space="preserve">Finally, MacKinnon considered how much he would potentially bid for the brewery. He knew he would have to negotiate a purchase price with </w:t>
      </w:r>
      <w:proofErr w:type="spellStart"/>
      <w:r w:rsidRPr="00DE1820">
        <w:rPr>
          <w:lang w:val="en-GB"/>
        </w:rPr>
        <w:t>Tanzer</w:t>
      </w:r>
      <w:proofErr w:type="spellEnd"/>
      <w:r w:rsidRPr="00DE1820">
        <w:rPr>
          <w:lang w:val="en-GB"/>
        </w:rPr>
        <w:t xml:space="preserve"> and that the three options would each lead to a different valuation of the brewery. He wanted to understand the range of values before he sat down with </w:t>
      </w:r>
      <w:proofErr w:type="spellStart"/>
      <w:r w:rsidRPr="00DE1820">
        <w:rPr>
          <w:lang w:val="en-GB"/>
        </w:rPr>
        <w:t>Tanzer’s</w:t>
      </w:r>
      <w:proofErr w:type="spellEnd"/>
      <w:r w:rsidRPr="00DE1820">
        <w:rPr>
          <w:lang w:val="en-GB"/>
        </w:rPr>
        <w:t xml:space="preserve"> negotiating team. As a starting point, he wanted to value the business assuming that the following year’s cash flows would be realized in perpetuity, with an expected 2–3 per cent growth rate.</w:t>
      </w:r>
      <w:r>
        <w:rPr>
          <w:lang w:val="en-GB"/>
        </w:rPr>
        <w:t xml:space="preserve"> </w:t>
      </w:r>
    </w:p>
    <w:p w14:paraId="5DF05786" w14:textId="77777777" w:rsidR="007A6A98" w:rsidRPr="00DE1820" w:rsidRDefault="007A6A98" w:rsidP="007A6A98">
      <w:pPr>
        <w:pStyle w:val="BodyTextMain"/>
        <w:rPr>
          <w:lang w:val="en-GB"/>
        </w:rPr>
      </w:pPr>
    </w:p>
    <w:p w14:paraId="685A967B" w14:textId="77777777" w:rsidR="007A6A98" w:rsidRDefault="007A6A98" w:rsidP="007A6A98">
      <w:pPr>
        <w:pStyle w:val="BodyTextMain"/>
        <w:rPr>
          <w:spacing w:val="-2"/>
          <w:lang w:val="en-GB"/>
        </w:rPr>
      </w:pPr>
      <w:r w:rsidRPr="00400F40">
        <w:rPr>
          <w:spacing w:val="-2"/>
          <w:lang w:val="en-GB"/>
        </w:rPr>
        <w:t xml:space="preserve">MacKinnon was unsure if this was the best way to diversify his current business, but he was drawn by the family connection and his enjoyment of beer. He wanted to be sure he was making a sound business decision and that it would generate the 10 per cent post-tax returns that he required from all his investments. MacKinnon opened up a cold bottle of </w:t>
      </w:r>
      <w:proofErr w:type="spellStart"/>
      <w:r w:rsidRPr="00400F40">
        <w:rPr>
          <w:spacing w:val="-2"/>
          <w:lang w:val="en-GB"/>
        </w:rPr>
        <w:t>Corkford</w:t>
      </w:r>
      <w:proofErr w:type="spellEnd"/>
      <w:r w:rsidRPr="00400F40">
        <w:rPr>
          <w:spacing w:val="-2"/>
          <w:lang w:val="en-GB"/>
        </w:rPr>
        <w:t xml:space="preserve"> Original Lager and settled in to consider his options.</w:t>
      </w:r>
    </w:p>
    <w:p w14:paraId="7062689F" w14:textId="77777777" w:rsidR="00307C07" w:rsidRDefault="00307C07" w:rsidP="007A6A98">
      <w:pPr>
        <w:pStyle w:val="BodyTextMain"/>
        <w:rPr>
          <w:spacing w:val="-2"/>
          <w:lang w:val="en-GB"/>
        </w:rPr>
      </w:pPr>
    </w:p>
    <w:p w14:paraId="0A549D51" w14:textId="4D0A4263" w:rsidR="00307C07" w:rsidRDefault="00307C07" w:rsidP="007A6A98">
      <w:pPr>
        <w:pStyle w:val="BodyTextMain"/>
        <w:rPr>
          <w:spacing w:val="-2"/>
          <w:lang w:val="en-GB"/>
        </w:rPr>
      </w:pPr>
      <w:r w:rsidRPr="00307C07">
        <w:rPr>
          <w:noProof/>
          <w:spacing w:val="-2"/>
          <w:lang w:val="en-GB" w:eastAsia="en-GB"/>
        </w:rPr>
        <mc:AlternateContent>
          <mc:Choice Requires="wps">
            <w:drawing>
              <wp:anchor distT="0" distB="0" distL="114300" distR="114300" simplePos="0" relativeHeight="251659264" behindDoc="0" locked="0" layoutInCell="1" allowOverlap="1" wp14:anchorId="1C691F73" wp14:editId="41259FF2">
                <wp:simplePos x="0" y="0"/>
                <wp:positionH relativeFrom="column">
                  <wp:posOffset>304800</wp:posOffset>
                </wp:positionH>
                <wp:positionV relativeFrom="paragraph">
                  <wp:posOffset>18415</wp:posOffset>
                </wp:positionV>
                <wp:extent cx="5295900" cy="1403985"/>
                <wp:effectExtent l="0" t="0" r="1905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3985"/>
                        </a:xfrm>
                        <a:prstGeom prst="rect">
                          <a:avLst/>
                        </a:prstGeom>
                        <a:solidFill>
                          <a:srgbClr val="FFFFFF"/>
                        </a:solidFill>
                        <a:ln w="9525">
                          <a:solidFill>
                            <a:srgbClr val="000000"/>
                          </a:solidFill>
                          <a:miter lim="800000"/>
                          <a:headEnd/>
                          <a:tailEnd/>
                        </a:ln>
                      </wps:spPr>
                      <wps:txbx>
                        <w:txbxContent>
                          <w:p w14:paraId="789101DC" w14:textId="7D09FC93" w:rsidR="00307C07" w:rsidRPr="00307C07" w:rsidRDefault="00307C07">
                            <w:pPr>
                              <w:rPr>
                                <w:rFonts w:ascii="Arial" w:hAnsi="Arial" w:cs="Arial"/>
                                <w:sz w:val="18"/>
                                <w:szCs w:val="18"/>
                              </w:rPr>
                            </w:pPr>
                            <w:r w:rsidRPr="00307C07">
                              <w:rPr>
                                <w:rFonts w:ascii="Arial" w:hAnsi="Arial" w:cs="Arial"/>
                                <w:sz w:val="18"/>
                                <w:szCs w:val="18"/>
                              </w:rPr>
                              <w:t>The Ivey Business School gratefully acknowledges the generous support of the CPA-Ivey Centre for Accounting &amp; the Public Interest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691F73" id="_x0000_t202" coordsize="21600,21600" o:spt="202" path="m,l,21600r21600,l21600,xe">
                <v:stroke joinstyle="miter"/>
                <v:path gradientshapeok="t" o:connecttype="rect"/>
              </v:shapetype>
              <v:shape id="Text Box 2" o:spid="_x0000_s1026" type="#_x0000_t202" style="position:absolute;left:0;text-align:left;margin-left:24pt;margin-top:1.45pt;width:41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xVJA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">
                <v:textbox style="mso-fit-shape-to-text:t">
                  <w:txbxContent>
                    <w:p w14:paraId="789101DC" w14:textId="7D09FC93" w:rsidR="00307C07" w:rsidRPr="00307C07" w:rsidRDefault="00307C07">
                      <w:pPr>
                        <w:rPr>
                          <w:rFonts w:ascii="Arial" w:hAnsi="Arial" w:cs="Arial"/>
                          <w:sz w:val="18"/>
                          <w:szCs w:val="18"/>
                        </w:rPr>
                      </w:pPr>
                      <w:r w:rsidRPr="00307C07">
                        <w:rPr>
                          <w:rFonts w:ascii="Arial" w:hAnsi="Arial" w:cs="Arial"/>
                          <w:sz w:val="18"/>
                          <w:szCs w:val="18"/>
                        </w:rPr>
                        <w:t>The Ivey Business School gratefully acknowledges the generous support of the CPA-Ivey Centre for Accounting &amp; the Public Interest in the development of this case</w:t>
                      </w:r>
                    </w:p>
                  </w:txbxContent>
                </v:textbox>
              </v:shape>
            </w:pict>
          </mc:Fallback>
        </mc:AlternateContent>
      </w:r>
    </w:p>
    <w:p w14:paraId="6B23E226" w14:textId="65CB8DC2" w:rsidR="00307C07" w:rsidRDefault="00307C07" w:rsidP="007A6A98">
      <w:pPr>
        <w:pStyle w:val="BodyTextMain"/>
        <w:rPr>
          <w:spacing w:val="-2"/>
          <w:lang w:val="en-GB"/>
        </w:rPr>
      </w:pPr>
    </w:p>
    <w:p w14:paraId="5AA7AEB5" w14:textId="77777777" w:rsidR="00307C07" w:rsidRDefault="00307C07" w:rsidP="007A6A98">
      <w:pPr>
        <w:pStyle w:val="BodyTextMain"/>
        <w:rPr>
          <w:spacing w:val="-2"/>
          <w:lang w:val="en-GB"/>
        </w:rPr>
      </w:pPr>
    </w:p>
    <w:p w14:paraId="66ED485B" w14:textId="77777777" w:rsidR="00307C07" w:rsidRPr="00400F40" w:rsidRDefault="00307C07" w:rsidP="007A6A98">
      <w:pPr>
        <w:pStyle w:val="BodyTextMain"/>
        <w:rPr>
          <w:spacing w:val="-2"/>
          <w:lang w:val="en-GB"/>
        </w:rPr>
      </w:pPr>
    </w:p>
    <w:p w14:paraId="764BCE9D" w14:textId="77777777" w:rsidR="007A6A98" w:rsidRPr="00DE1820" w:rsidRDefault="007A6A98" w:rsidP="007A6A98">
      <w:pPr>
        <w:pStyle w:val="BodyTextMain"/>
        <w:rPr>
          <w:lang w:val="en-GB"/>
        </w:rPr>
      </w:pPr>
      <w:r w:rsidRPr="00DE1820">
        <w:rPr>
          <w:lang w:val="en-GB"/>
        </w:rPr>
        <w:br w:type="page"/>
      </w:r>
    </w:p>
    <w:p w14:paraId="55424662" w14:textId="77777777" w:rsidR="007A6A98" w:rsidRPr="00DE1820" w:rsidRDefault="007A6A98" w:rsidP="007A6A98">
      <w:pPr>
        <w:pStyle w:val="Casehead1"/>
        <w:jc w:val="center"/>
        <w:rPr>
          <w:lang w:val="en-GB"/>
        </w:rPr>
      </w:pPr>
      <w:r w:rsidRPr="00DE1820">
        <w:rPr>
          <w:lang w:val="en-GB"/>
        </w:rPr>
        <w:lastRenderedPageBreak/>
        <w:t>Exhibit 1: Distribution of Beer in Canada in 2017</w:t>
      </w:r>
    </w:p>
    <w:p w14:paraId="6A930646" w14:textId="77777777" w:rsidR="007A6A98" w:rsidRPr="00DE1820" w:rsidRDefault="007A6A98" w:rsidP="007A6A98">
      <w:pPr>
        <w:pStyle w:val="BodyTextMain"/>
        <w:rPr>
          <w:lang w:val="en-GB"/>
        </w:rPr>
      </w:pPr>
    </w:p>
    <w:p w14:paraId="2564A21E" w14:textId="0EBDA835" w:rsidR="007A6A98" w:rsidRPr="00DE1820" w:rsidRDefault="002A365F" w:rsidP="007A6A98">
      <w:pPr>
        <w:jc w:val="center"/>
        <w:rPr>
          <w:rStyle w:val="BodyTextChar"/>
          <w:rFonts w:eastAsiaTheme="minorEastAsia"/>
          <w:lang w:val="en-GB"/>
        </w:rPr>
      </w:pPr>
      <w:r w:rsidRPr="002A365F">
        <w:rPr>
          <w:rFonts w:eastAsiaTheme="minorEastAsia"/>
          <w:noProof/>
          <w:lang w:val="en-GB" w:eastAsia="en-GB"/>
        </w:rPr>
        <w:drawing>
          <wp:inline distT="0" distB="0" distL="0" distR="0" wp14:anchorId="27D92869" wp14:editId="64373A9B">
            <wp:extent cx="5943600" cy="2029153"/>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9153"/>
                    </a:xfrm>
                    <a:prstGeom prst="rect">
                      <a:avLst/>
                    </a:prstGeom>
                    <a:noFill/>
                    <a:ln>
                      <a:noFill/>
                    </a:ln>
                  </pic:spPr>
                </pic:pic>
              </a:graphicData>
            </a:graphic>
          </wp:inline>
        </w:drawing>
      </w:r>
    </w:p>
    <w:p w14:paraId="35D03C2D" w14:textId="77777777" w:rsidR="002A365F" w:rsidRDefault="002A365F" w:rsidP="007A6A98">
      <w:pPr>
        <w:pStyle w:val="FootnoteText1"/>
        <w:rPr>
          <w:lang w:val="en-GB"/>
        </w:rPr>
      </w:pPr>
    </w:p>
    <w:p w14:paraId="20AC27F3" w14:textId="77777777" w:rsidR="007A6A98" w:rsidRPr="00DE1820" w:rsidRDefault="007A6A98" w:rsidP="007A6A98">
      <w:pPr>
        <w:pStyle w:val="FootnoteText1"/>
        <w:rPr>
          <w:lang w:val="en-GB"/>
        </w:rPr>
      </w:pPr>
      <w:r w:rsidRPr="00DE1820">
        <w:rPr>
          <w:lang w:val="en-GB"/>
        </w:rPr>
        <w:t>Note: The remaining 0.5 per cent of the market is Internet-based retailing.</w:t>
      </w:r>
    </w:p>
    <w:p w14:paraId="078560F5" w14:textId="77777777" w:rsidR="007A6A98" w:rsidRPr="00DE1820" w:rsidRDefault="007A6A98" w:rsidP="007A6A98">
      <w:pPr>
        <w:pStyle w:val="FootnoteText1"/>
        <w:rPr>
          <w:lang w:val="en-GB"/>
        </w:rPr>
      </w:pPr>
      <w:r w:rsidRPr="00DE1820">
        <w:rPr>
          <w:lang w:val="en-GB"/>
        </w:rPr>
        <w:t>Source: Created by the case authors using data from Euromonitor International, “Beer in Canada,” Passport, accessed January 10, 2019.</w:t>
      </w:r>
    </w:p>
    <w:p w14:paraId="22E55C04" w14:textId="77777777" w:rsidR="007A6A98" w:rsidRPr="00DE1820" w:rsidRDefault="007A6A98" w:rsidP="007A6A98">
      <w:pPr>
        <w:pStyle w:val="BodyTextMain"/>
        <w:rPr>
          <w:lang w:val="en-GB"/>
        </w:rPr>
      </w:pPr>
    </w:p>
    <w:p w14:paraId="5407C418" w14:textId="77777777" w:rsidR="007A6A98" w:rsidRPr="00DE1820" w:rsidRDefault="007A6A98" w:rsidP="007A6A98">
      <w:pPr>
        <w:pStyle w:val="BodyTextMain"/>
        <w:rPr>
          <w:lang w:val="en-GB"/>
        </w:rPr>
      </w:pPr>
    </w:p>
    <w:p w14:paraId="48FAA0DD" w14:textId="77777777" w:rsidR="007A6A98" w:rsidRPr="00DE1820" w:rsidRDefault="007A6A98" w:rsidP="007A6A98">
      <w:pPr>
        <w:pStyle w:val="Casehead1"/>
        <w:jc w:val="center"/>
        <w:rPr>
          <w:lang w:val="en-GB"/>
        </w:rPr>
      </w:pPr>
      <w:r w:rsidRPr="00DE1820">
        <w:rPr>
          <w:lang w:val="en-GB"/>
        </w:rPr>
        <w:t>Exhibit 2: Market Share</w:t>
      </w:r>
    </w:p>
    <w:p w14:paraId="51FA1773" w14:textId="77777777" w:rsidR="007A6A98" w:rsidRPr="00DE1820" w:rsidRDefault="007A6A98" w:rsidP="007A6A98">
      <w:pPr>
        <w:pStyle w:val="BodyTextMain"/>
        <w:rPr>
          <w:lang w:val="en-GB"/>
        </w:rPr>
      </w:pPr>
    </w:p>
    <w:p w14:paraId="02627677" w14:textId="77777777" w:rsidR="007A6A98" w:rsidRPr="00DE1820" w:rsidRDefault="007A6A98" w:rsidP="007A6A98">
      <w:pPr>
        <w:pStyle w:val="Casehead2"/>
        <w:jc w:val="center"/>
        <w:rPr>
          <w:i/>
          <w:lang w:val="en-GB"/>
        </w:rPr>
      </w:pPr>
      <w:r w:rsidRPr="00DE1820">
        <w:rPr>
          <w:lang w:val="en-GB"/>
        </w:rPr>
        <w:t>Canadian Beer Retail Market Share by Volume (%)</w:t>
      </w:r>
    </w:p>
    <w:p w14:paraId="166764FC" w14:textId="77777777" w:rsidR="007A6A98" w:rsidRPr="00DE1820" w:rsidRDefault="007A6A98" w:rsidP="007A6A98">
      <w:pPr>
        <w:pStyle w:val="BodyTextMain"/>
        <w:rPr>
          <w:lang w:val="en-GB"/>
        </w:rPr>
      </w:pPr>
    </w:p>
    <w:tbl>
      <w:tblPr>
        <w:tblStyle w:val="TableGrid"/>
        <w:tblW w:w="0" w:type="auto"/>
        <w:jc w:val="center"/>
        <w:tblLook w:val="04A0" w:firstRow="1" w:lastRow="0" w:firstColumn="1" w:lastColumn="0" w:noHBand="0" w:noVBand="1"/>
      </w:tblPr>
      <w:tblGrid>
        <w:gridCol w:w="3440"/>
        <w:gridCol w:w="1146"/>
        <w:gridCol w:w="1156"/>
      </w:tblGrid>
      <w:tr w:rsidR="007A6A98" w:rsidRPr="00DE1820" w14:paraId="542F9E6A" w14:textId="77777777" w:rsidTr="00FA6787">
        <w:trPr>
          <w:trHeight w:val="271"/>
          <w:jc w:val="center"/>
        </w:trPr>
        <w:tc>
          <w:tcPr>
            <w:tcW w:w="3440" w:type="dxa"/>
          </w:tcPr>
          <w:p w14:paraId="1799E268" w14:textId="77777777" w:rsidR="007A6A98" w:rsidRPr="00DE1820" w:rsidRDefault="007A6A98" w:rsidP="00FA6787">
            <w:pPr>
              <w:rPr>
                <w:rFonts w:ascii="Arial" w:hAnsi="Arial" w:cs="Arial"/>
                <w:b/>
                <w:lang w:val="en-GB"/>
              </w:rPr>
            </w:pPr>
            <w:r w:rsidRPr="00DE1820">
              <w:rPr>
                <w:rFonts w:ascii="Arial" w:hAnsi="Arial" w:cs="Arial"/>
                <w:b/>
                <w:lang w:val="en-GB"/>
              </w:rPr>
              <w:t>Company</w:t>
            </w:r>
          </w:p>
        </w:tc>
        <w:tc>
          <w:tcPr>
            <w:tcW w:w="1146" w:type="dxa"/>
          </w:tcPr>
          <w:p w14:paraId="058F6582" w14:textId="77777777" w:rsidR="007A6A98" w:rsidRPr="00DE1820" w:rsidRDefault="007A6A98" w:rsidP="00FA6787">
            <w:pPr>
              <w:jc w:val="center"/>
              <w:rPr>
                <w:rFonts w:ascii="Arial" w:hAnsi="Arial" w:cs="Arial"/>
                <w:b/>
                <w:bCs/>
                <w:lang w:val="en-GB"/>
              </w:rPr>
            </w:pPr>
            <w:r w:rsidRPr="00DE1820">
              <w:rPr>
                <w:rFonts w:ascii="Arial" w:hAnsi="Arial" w:cs="Arial"/>
                <w:b/>
                <w:bCs/>
                <w:lang w:val="en-GB"/>
              </w:rPr>
              <w:t>2016</w:t>
            </w:r>
          </w:p>
        </w:tc>
        <w:tc>
          <w:tcPr>
            <w:tcW w:w="1156" w:type="dxa"/>
          </w:tcPr>
          <w:p w14:paraId="6935E8C4" w14:textId="77777777" w:rsidR="007A6A98" w:rsidRPr="00DE1820" w:rsidRDefault="007A6A98" w:rsidP="00FA6787">
            <w:pPr>
              <w:jc w:val="center"/>
              <w:rPr>
                <w:rFonts w:ascii="Arial" w:hAnsi="Arial" w:cs="Arial"/>
                <w:b/>
                <w:bCs/>
                <w:lang w:val="en-GB"/>
              </w:rPr>
            </w:pPr>
            <w:r w:rsidRPr="00DE1820">
              <w:rPr>
                <w:rFonts w:ascii="Arial" w:hAnsi="Arial" w:cs="Arial"/>
                <w:b/>
                <w:bCs/>
                <w:lang w:val="en-GB"/>
              </w:rPr>
              <w:t>2017</w:t>
            </w:r>
          </w:p>
        </w:tc>
      </w:tr>
      <w:tr w:rsidR="007A6A98" w:rsidRPr="00DE1820" w14:paraId="4D31DE53" w14:textId="77777777" w:rsidTr="00FA6787">
        <w:trPr>
          <w:trHeight w:val="283"/>
          <w:jc w:val="center"/>
        </w:trPr>
        <w:tc>
          <w:tcPr>
            <w:tcW w:w="3440" w:type="dxa"/>
          </w:tcPr>
          <w:p w14:paraId="41DD21F9" w14:textId="77777777" w:rsidR="007A6A98" w:rsidRPr="00DE1820" w:rsidRDefault="007A6A98" w:rsidP="00FA6787">
            <w:pPr>
              <w:rPr>
                <w:rFonts w:ascii="Arial" w:hAnsi="Arial" w:cs="Arial"/>
                <w:lang w:val="en-GB"/>
              </w:rPr>
            </w:pPr>
            <w:r w:rsidRPr="00DE1820">
              <w:rPr>
                <w:rFonts w:ascii="Arial" w:hAnsi="Arial" w:cs="Arial"/>
                <w:lang w:val="en-GB"/>
              </w:rPr>
              <w:t>Anheuser-Busch InBev</w:t>
            </w:r>
          </w:p>
        </w:tc>
        <w:tc>
          <w:tcPr>
            <w:tcW w:w="1146" w:type="dxa"/>
          </w:tcPr>
          <w:p w14:paraId="5B6D22A6" w14:textId="77777777" w:rsidR="007A6A98" w:rsidRPr="00DE1820" w:rsidRDefault="007A6A98" w:rsidP="00FA6787">
            <w:pPr>
              <w:jc w:val="center"/>
              <w:rPr>
                <w:rFonts w:ascii="Arial" w:hAnsi="Arial" w:cs="Arial"/>
                <w:lang w:val="en-GB"/>
              </w:rPr>
            </w:pPr>
            <w:r w:rsidRPr="00DE1820">
              <w:rPr>
                <w:rFonts w:ascii="Arial" w:hAnsi="Arial" w:cs="Arial"/>
                <w:lang w:val="en-GB"/>
              </w:rPr>
              <w:t>47.3</w:t>
            </w:r>
          </w:p>
        </w:tc>
        <w:tc>
          <w:tcPr>
            <w:tcW w:w="1156" w:type="dxa"/>
          </w:tcPr>
          <w:p w14:paraId="04D7284E" w14:textId="77777777" w:rsidR="007A6A98" w:rsidRPr="00DE1820" w:rsidRDefault="007A6A98" w:rsidP="00FA6787">
            <w:pPr>
              <w:jc w:val="center"/>
              <w:rPr>
                <w:rFonts w:ascii="Arial" w:hAnsi="Arial" w:cs="Arial"/>
                <w:lang w:val="en-GB"/>
              </w:rPr>
            </w:pPr>
            <w:r w:rsidRPr="00DE1820">
              <w:rPr>
                <w:rFonts w:ascii="Arial" w:hAnsi="Arial" w:cs="Arial"/>
                <w:lang w:val="en-GB"/>
              </w:rPr>
              <w:t>47.2</w:t>
            </w:r>
          </w:p>
        </w:tc>
      </w:tr>
      <w:tr w:rsidR="007A6A98" w:rsidRPr="00DE1820" w14:paraId="74DF1517" w14:textId="77777777" w:rsidTr="00FA6787">
        <w:trPr>
          <w:trHeight w:val="271"/>
          <w:jc w:val="center"/>
        </w:trPr>
        <w:tc>
          <w:tcPr>
            <w:tcW w:w="3440" w:type="dxa"/>
          </w:tcPr>
          <w:p w14:paraId="0D2AF384" w14:textId="77777777" w:rsidR="007A6A98" w:rsidRPr="00DE1820" w:rsidRDefault="007A6A98" w:rsidP="00FA6787">
            <w:pPr>
              <w:rPr>
                <w:rFonts w:ascii="Arial" w:hAnsi="Arial" w:cs="Arial"/>
                <w:lang w:val="en-GB"/>
              </w:rPr>
            </w:pPr>
            <w:r w:rsidRPr="00DE1820">
              <w:rPr>
                <w:rFonts w:ascii="Arial" w:hAnsi="Arial" w:cs="Arial"/>
                <w:lang w:val="en-GB"/>
              </w:rPr>
              <w:t>Molson Coors Canada Inc.</w:t>
            </w:r>
          </w:p>
        </w:tc>
        <w:tc>
          <w:tcPr>
            <w:tcW w:w="1146" w:type="dxa"/>
          </w:tcPr>
          <w:p w14:paraId="43CCCEDE" w14:textId="77777777" w:rsidR="007A6A98" w:rsidRPr="00DE1820" w:rsidRDefault="007A6A98" w:rsidP="00FA6787">
            <w:pPr>
              <w:jc w:val="center"/>
              <w:rPr>
                <w:rFonts w:ascii="Arial" w:hAnsi="Arial" w:cs="Arial"/>
                <w:lang w:val="en-GB"/>
              </w:rPr>
            </w:pPr>
            <w:r w:rsidRPr="00DE1820">
              <w:rPr>
                <w:rFonts w:ascii="Arial" w:hAnsi="Arial" w:cs="Arial"/>
                <w:lang w:val="en-GB"/>
              </w:rPr>
              <w:t>36.3</w:t>
            </w:r>
          </w:p>
        </w:tc>
        <w:tc>
          <w:tcPr>
            <w:tcW w:w="1156" w:type="dxa"/>
          </w:tcPr>
          <w:p w14:paraId="2328F22B" w14:textId="77777777" w:rsidR="007A6A98" w:rsidRPr="00DE1820" w:rsidRDefault="007A6A98" w:rsidP="00FA6787">
            <w:pPr>
              <w:jc w:val="center"/>
              <w:rPr>
                <w:rFonts w:ascii="Arial" w:hAnsi="Arial" w:cs="Arial"/>
                <w:lang w:val="en-GB"/>
              </w:rPr>
            </w:pPr>
            <w:r w:rsidRPr="00DE1820">
              <w:rPr>
                <w:rFonts w:ascii="Arial" w:hAnsi="Arial" w:cs="Arial"/>
                <w:lang w:val="en-GB"/>
              </w:rPr>
              <w:t>36.1</w:t>
            </w:r>
          </w:p>
        </w:tc>
      </w:tr>
      <w:tr w:rsidR="007A6A98" w:rsidRPr="00DE1820" w14:paraId="2365FEA1" w14:textId="77777777" w:rsidTr="00FA6787">
        <w:trPr>
          <w:trHeight w:val="271"/>
          <w:jc w:val="center"/>
        </w:trPr>
        <w:tc>
          <w:tcPr>
            <w:tcW w:w="3440" w:type="dxa"/>
          </w:tcPr>
          <w:p w14:paraId="2D38F969" w14:textId="77777777" w:rsidR="007A6A98" w:rsidRPr="00DE1820" w:rsidRDefault="007A6A98" w:rsidP="00FA6787">
            <w:pPr>
              <w:rPr>
                <w:rFonts w:ascii="Arial" w:hAnsi="Arial" w:cs="Arial"/>
                <w:lang w:val="en-GB"/>
              </w:rPr>
            </w:pPr>
            <w:r w:rsidRPr="00DE1820">
              <w:rPr>
                <w:rFonts w:ascii="Arial" w:hAnsi="Arial" w:cs="Arial"/>
                <w:lang w:val="en-GB"/>
              </w:rPr>
              <w:t>Others</w:t>
            </w:r>
          </w:p>
        </w:tc>
        <w:tc>
          <w:tcPr>
            <w:tcW w:w="1146" w:type="dxa"/>
          </w:tcPr>
          <w:p w14:paraId="7DC4F3C1" w14:textId="77777777" w:rsidR="007A6A98" w:rsidRPr="00DE1820" w:rsidRDefault="007A6A98" w:rsidP="00FA6787">
            <w:pPr>
              <w:jc w:val="center"/>
              <w:rPr>
                <w:rFonts w:ascii="Arial" w:hAnsi="Arial" w:cs="Arial"/>
                <w:lang w:val="en-GB"/>
              </w:rPr>
            </w:pPr>
            <w:r w:rsidRPr="00DE1820">
              <w:rPr>
                <w:rFonts w:ascii="Arial" w:hAnsi="Arial" w:cs="Arial"/>
                <w:lang w:val="en-GB"/>
              </w:rPr>
              <w:t>16.4</w:t>
            </w:r>
          </w:p>
        </w:tc>
        <w:tc>
          <w:tcPr>
            <w:tcW w:w="1156" w:type="dxa"/>
          </w:tcPr>
          <w:p w14:paraId="07C81F50" w14:textId="77777777" w:rsidR="007A6A98" w:rsidRPr="00DE1820" w:rsidRDefault="007A6A98" w:rsidP="00FA6787">
            <w:pPr>
              <w:jc w:val="center"/>
              <w:rPr>
                <w:rFonts w:ascii="Arial" w:hAnsi="Arial" w:cs="Arial"/>
                <w:lang w:val="en-GB"/>
              </w:rPr>
            </w:pPr>
            <w:r w:rsidRPr="00DE1820">
              <w:rPr>
                <w:rFonts w:ascii="Arial" w:hAnsi="Arial" w:cs="Arial"/>
                <w:lang w:val="en-GB"/>
              </w:rPr>
              <w:t>16.7</w:t>
            </w:r>
          </w:p>
        </w:tc>
      </w:tr>
    </w:tbl>
    <w:p w14:paraId="1AE633AB" w14:textId="77777777" w:rsidR="007A6A98" w:rsidRPr="00DE1820" w:rsidRDefault="007A6A98" w:rsidP="007A6A98">
      <w:pPr>
        <w:pStyle w:val="BodyTextMain"/>
        <w:rPr>
          <w:lang w:val="en-GB"/>
        </w:rPr>
      </w:pPr>
    </w:p>
    <w:p w14:paraId="0C58DE0C" w14:textId="77777777" w:rsidR="007A6A98" w:rsidRPr="00DE1820" w:rsidRDefault="007A6A98" w:rsidP="007A6A98">
      <w:pPr>
        <w:pStyle w:val="Casehead2"/>
        <w:jc w:val="center"/>
        <w:rPr>
          <w:i/>
          <w:lang w:val="en-GB"/>
        </w:rPr>
      </w:pPr>
      <w:r w:rsidRPr="00DE1820">
        <w:rPr>
          <w:lang w:val="en-GB"/>
        </w:rPr>
        <w:t>Canadian Beer Retail Market Share by Value (%)</w:t>
      </w:r>
    </w:p>
    <w:p w14:paraId="484B2B4E" w14:textId="77777777" w:rsidR="007A6A98" w:rsidRPr="00DE1820" w:rsidRDefault="007A6A98" w:rsidP="007A6A98">
      <w:pPr>
        <w:pStyle w:val="BodyTextMain"/>
        <w:rPr>
          <w:lang w:val="en-GB"/>
        </w:rPr>
      </w:pPr>
    </w:p>
    <w:tbl>
      <w:tblPr>
        <w:tblStyle w:val="TableGrid"/>
        <w:tblW w:w="0" w:type="auto"/>
        <w:jc w:val="center"/>
        <w:tblLook w:val="04A0" w:firstRow="1" w:lastRow="0" w:firstColumn="1" w:lastColumn="0" w:noHBand="0" w:noVBand="1"/>
      </w:tblPr>
      <w:tblGrid>
        <w:gridCol w:w="3440"/>
        <w:gridCol w:w="1146"/>
        <w:gridCol w:w="1156"/>
      </w:tblGrid>
      <w:tr w:rsidR="007A6A98" w:rsidRPr="00DE1820" w14:paraId="7B84B66B" w14:textId="77777777" w:rsidTr="00FA6787">
        <w:trPr>
          <w:trHeight w:val="279"/>
          <w:jc w:val="center"/>
        </w:trPr>
        <w:tc>
          <w:tcPr>
            <w:tcW w:w="3440" w:type="dxa"/>
          </w:tcPr>
          <w:p w14:paraId="06C92AFA" w14:textId="77777777" w:rsidR="007A6A98" w:rsidRPr="00DE1820" w:rsidRDefault="007A6A98" w:rsidP="00FA6787">
            <w:pPr>
              <w:rPr>
                <w:rFonts w:ascii="Arial" w:hAnsi="Arial" w:cs="Arial"/>
                <w:b/>
                <w:lang w:val="en-GB"/>
              </w:rPr>
            </w:pPr>
            <w:r w:rsidRPr="00DE1820">
              <w:rPr>
                <w:rFonts w:ascii="Arial" w:hAnsi="Arial" w:cs="Arial"/>
                <w:b/>
                <w:lang w:val="en-GB"/>
              </w:rPr>
              <w:t>Company</w:t>
            </w:r>
          </w:p>
        </w:tc>
        <w:tc>
          <w:tcPr>
            <w:tcW w:w="1146" w:type="dxa"/>
          </w:tcPr>
          <w:p w14:paraId="6E8271EA" w14:textId="77777777" w:rsidR="007A6A98" w:rsidRPr="00DE1820" w:rsidRDefault="007A6A98" w:rsidP="00FA6787">
            <w:pPr>
              <w:jc w:val="center"/>
              <w:rPr>
                <w:rFonts w:ascii="Arial" w:hAnsi="Arial" w:cs="Arial"/>
                <w:b/>
                <w:bCs/>
                <w:lang w:val="en-GB"/>
              </w:rPr>
            </w:pPr>
            <w:r w:rsidRPr="00DE1820">
              <w:rPr>
                <w:rFonts w:ascii="Arial" w:hAnsi="Arial" w:cs="Arial"/>
                <w:b/>
                <w:bCs/>
                <w:lang w:val="en-GB"/>
              </w:rPr>
              <w:t>2016</w:t>
            </w:r>
          </w:p>
        </w:tc>
        <w:tc>
          <w:tcPr>
            <w:tcW w:w="1156" w:type="dxa"/>
          </w:tcPr>
          <w:p w14:paraId="1D590796" w14:textId="77777777" w:rsidR="007A6A98" w:rsidRPr="00DE1820" w:rsidRDefault="007A6A98" w:rsidP="00FA6787">
            <w:pPr>
              <w:jc w:val="center"/>
              <w:rPr>
                <w:rFonts w:ascii="Arial" w:hAnsi="Arial" w:cs="Arial"/>
                <w:b/>
                <w:bCs/>
                <w:lang w:val="en-GB"/>
              </w:rPr>
            </w:pPr>
            <w:r w:rsidRPr="00DE1820">
              <w:rPr>
                <w:rFonts w:ascii="Arial" w:hAnsi="Arial" w:cs="Arial"/>
                <w:b/>
                <w:bCs/>
                <w:lang w:val="en-GB"/>
              </w:rPr>
              <w:t>2017</w:t>
            </w:r>
          </w:p>
        </w:tc>
      </w:tr>
      <w:tr w:rsidR="007A6A98" w:rsidRPr="00DE1820" w14:paraId="57BE7E9F" w14:textId="77777777" w:rsidTr="00FA6787">
        <w:trPr>
          <w:trHeight w:val="291"/>
          <w:jc w:val="center"/>
        </w:trPr>
        <w:tc>
          <w:tcPr>
            <w:tcW w:w="3440" w:type="dxa"/>
          </w:tcPr>
          <w:p w14:paraId="2D57182A" w14:textId="77777777" w:rsidR="007A6A98" w:rsidRPr="00DE1820" w:rsidRDefault="007A6A98" w:rsidP="00FA6787">
            <w:pPr>
              <w:rPr>
                <w:rFonts w:ascii="Arial" w:hAnsi="Arial" w:cs="Arial"/>
                <w:lang w:val="en-GB"/>
              </w:rPr>
            </w:pPr>
            <w:r w:rsidRPr="00DE1820">
              <w:rPr>
                <w:rFonts w:ascii="Arial" w:hAnsi="Arial" w:cs="Arial"/>
                <w:lang w:val="en-GB"/>
              </w:rPr>
              <w:t>Anheuser-Busch InBev</w:t>
            </w:r>
          </w:p>
        </w:tc>
        <w:tc>
          <w:tcPr>
            <w:tcW w:w="1146" w:type="dxa"/>
          </w:tcPr>
          <w:p w14:paraId="0146CF50" w14:textId="77777777" w:rsidR="007A6A98" w:rsidRPr="00DE1820" w:rsidRDefault="007A6A98" w:rsidP="00FA6787">
            <w:pPr>
              <w:jc w:val="center"/>
              <w:rPr>
                <w:rFonts w:ascii="Arial" w:hAnsi="Arial" w:cs="Arial"/>
                <w:lang w:val="en-GB"/>
              </w:rPr>
            </w:pPr>
            <w:r w:rsidRPr="00DE1820">
              <w:rPr>
                <w:rFonts w:ascii="Arial" w:hAnsi="Arial" w:cs="Arial"/>
                <w:lang w:val="en-GB"/>
              </w:rPr>
              <w:t>45.3</w:t>
            </w:r>
          </w:p>
        </w:tc>
        <w:tc>
          <w:tcPr>
            <w:tcW w:w="1156" w:type="dxa"/>
          </w:tcPr>
          <w:p w14:paraId="148BF18E" w14:textId="77777777" w:rsidR="007A6A98" w:rsidRPr="00DE1820" w:rsidRDefault="007A6A98" w:rsidP="00FA6787">
            <w:pPr>
              <w:jc w:val="center"/>
              <w:rPr>
                <w:rFonts w:ascii="Arial" w:hAnsi="Arial" w:cs="Arial"/>
                <w:lang w:val="en-GB"/>
              </w:rPr>
            </w:pPr>
            <w:r w:rsidRPr="00DE1820">
              <w:rPr>
                <w:rFonts w:ascii="Arial" w:hAnsi="Arial" w:cs="Arial"/>
                <w:lang w:val="en-GB"/>
              </w:rPr>
              <w:t>44.8</w:t>
            </w:r>
          </w:p>
        </w:tc>
      </w:tr>
      <w:tr w:rsidR="007A6A98" w:rsidRPr="00DE1820" w14:paraId="23DB1F57" w14:textId="77777777" w:rsidTr="00FA6787">
        <w:trPr>
          <w:trHeight w:val="279"/>
          <w:jc w:val="center"/>
        </w:trPr>
        <w:tc>
          <w:tcPr>
            <w:tcW w:w="3440" w:type="dxa"/>
          </w:tcPr>
          <w:p w14:paraId="420C7B48" w14:textId="77777777" w:rsidR="007A6A98" w:rsidRPr="00DE1820" w:rsidRDefault="007A6A98" w:rsidP="00FA6787">
            <w:pPr>
              <w:rPr>
                <w:rFonts w:ascii="Arial" w:hAnsi="Arial" w:cs="Arial"/>
                <w:lang w:val="en-GB"/>
              </w:rPr>
            </w:pPr>
            <w:r w:rsidRPr="00DE1820">
              <w:rPr>
                <w:rFonts w:ascii="Arial" w:hAnsi="Arial" w:cs="Arial"/>
                <w:lang w:val="en-GB"/>
              </w:rPr>
              <w:t>Molson Coors Canada Inc.</w:t>
            </w:r>
          </w:p>
        </w:tc>
        <w:tc>
          <w:tcPr>
            <w:tcW w:w="1146" w:type="dxa"/>
          </w:tcPr>
          <w:p w14:paraId="73E24F65" w14:textId="77777777" w:rsidR="007A6A98" w:rsidRPr="00DE1820" w:rsidRDefault="007A6A98" w:rsidP="00FA6787">
            <w:pPr>
              <w:jc w:val="center"/>
              <w:rPr>
                <w:rFonts w:ascii="Arial" w:hAnsi="Arial" w:cs="Arial"/>
                <w:lang w:val="en-GB"/>
              </w:rPr>
            </w:pPr>
            <w:r w:rsidRPr="00DE1820">
              <w:rPr>
                <w:rFonts w:ascii="Arial" w:hAnsi="Arial" w:cs="Arial"/>
                <w:lang w:val="en-GB"/>
              </w:rPr>
              <w:t>38.0</w:t>
            </w:r>
          </w:p>
        </w:tc>
        <w:tc>
          <w:tcPr>
            <w:tcW w:w="1156" w:type="dxa"/>
          </w:tcPr>
          <w:p w14:paraId="4C0CD884" w14:textId="77777777" w:rsidR="007A6A98" w:rsidRPr="00DE1820" w:rsidRDefault="007A6A98" w:rsidP="00FA6787">
            <w:pPr>
              <w:jc w:val="center"/>
              <w:rPr>
                <w:rFonts w:ascii="Arial" w:hAnsi="Arial" w:cs="Arial"/>
                <w:lang w:val="en-GB"/>
              </w:rPr>
            </w:pPr>
            <w:r w:rsidRPr="00DE1820">
              <w:rPr>
                <w:rFonts w:ascii="Arial" w:hAnsi="Arial" w:cs="Arial"/>
                <w:lang w:val="en-GB"/>
              </w:rPr>
              <w:t>37.3</w:t>
            </w:r>
          </w:p>
        </w:tc>
      </w:tr>
      <w:tr w:rsidR="007A6A98" w:rsidRPr="00DE1820" w14:paraId="1EF34BBC" w14:textId="77777777" w:rsidTr="00FA6787">
        <w:trPr>
          <w:trHeight w:val="279"/>
          <w:jc w:val="center"/>
        </w:trPr>
        <w:tc>
          <w:tcPr>
            <w:tcW w:w="3440" w:type="dxa"/>
          </w:tcPr>
          <w:p w14:paraId="284E08D9" w14:textId="77777777" w:rsidR="007A6A98" w:rsidRPr="00DE1820" w:rsidRDefault="007A6A98" w:rsidP="00FA6787">
            <w:pPr>
              <w:rPr>
                <w:rFonts w:ascii="Arial" w:hAnsi="Arial" w:cs="Arial"/>
                <w:lang w:val="en-GB"/>
              </w:rPr>
            </w:pPr>
            <w:r w:rsidRPr="00DE1820">
              <w:rPr>
                <w:rFonts w:ascii="Arial" w:hAnsi="Arial" w:cs="Arial"/>
                <w:lang w:val="en-GB"/>
              </w:rPr>
              <w:t>Others</w:t>
            </w:r>
          </w:p>
        </w:tc>
        <w:tc>
          <w:tcPr>
            <w:tcW w:w="1146" w:type="dxa"/>
          </w:tcPr>
          <w:p w14:paraId="54B6482B" w14:textId="77777777" w:rsidR="007A6A98" w:rsidRPr="00DE1820" w:rsidRDefault="007A6A98" w:rsidP="00FA6787">
            <w:pPr>
              <w:jc w:val="center"/>
              <w:rPr>
                <w:rFonts w:ascii="Arial" w:hAnsi="Arial" w:cs="Arial"/>
                <w:lang w:val="en-GB"/>
              </w:rPr>
            </w:pPr>
            <w:r w:rsidRPr="00DE1820">
              <w:rPr>
                <w:rFonts w:ascii="Arial" w:hAnsi="Arial" w:cs="Arial"/>
                <w:lang w:val="en-GB"/>
              </w:rPr>
              <w:t>16.8</w:t>
            </w:r>
          </w:p>
        </w:tc>
        <w:tc>
          <w:tcPr>
            <w:tcW w:w="1156" w:type="dxa"/>
          </w:tcPr>
          <w:p w14:paraId="6FFB8391" w14:textId="77777777" w:rsidR="007A6A98" w:rsidRPr="00DE1820" w:rsidRDefault="007A6A98" w:rsidP="00FA6787">
            <w:pPr>
              <w:jc w:val="center"/>
              <w:rPr>
                <w:rFonts w:ascii="Arial" w:hAnsi="Arial" w:cs="Arial"/>
                <w:lang w:val="en-GB"/>
              </w:rPr>
            </w:pPr>
            <w:r w:rsidRPr="00DE1820">
              <w:rPr>
                <w:rFonts w:ascii="Arial" w:hAnsi="Arial" w:cs="Arial"/>
                <w:lang w:val="en-GB"/>
              </w:rPr>
              <w:t>17.9</w:t>
            </w:r>
          </w:p>
        </w:tc>
      </w:tr>
    </w:tbl>
    <w:p w14:paraId="76AD4116" w14:textId="77777777" w:rsidR="007A6A98" w:rsidRPr="00DE1820" w:rsidRDefault="007A6A98" w:rsidP="007A6A98">
      <w:pPr>
        <w:pStyle w:val="FootnoteText1"/>
        <w:rPr>
          <w:lang w:val="en-GB"/>
        </w:rPr>
      </w:pPr>
    </w:p>
    <w:p w14:paraId="6FA6E85E" w14:textId="77777777" w:rsidR="007A6A98" w:rsidRPr="00DE1820" w:rsidRDefault="007A6A98" w:rsidP="007A6A98">
      <w:pPr>
        <w:pStyle w:val="FootnoteText1"/>
        <w:rPr>
          <w:lang w:val="en-GB"/>
        </w:rPr>
      </w:pPr>
      <w:r w:rsidRPr="00DE1820">
        <w:rPr>
          <w:lang w:val="en-GB"/>
        </w:rPr>
        <w:t>Source: Created by the case authors using data from Mintel Market Sizes, “Beer in Canada 2017,” accessed January 10, 2019.</w:t>
      </w:r>
    </w:p>
    <w:p w14:paraId="712D5641" w14:textId="77777777" w:rsidR="007A6A98" w:rsidRPr="00DE1820" w:rsidRDefault="007A6A98" w:rsidP="007A6A98">
      <w:pPr>
        <w:pStyle w:val="BodyTextMain"/>
        <w:rPr>
          <w:lang w:val="en-GB"/>
        </w:rPr>
      </w:pPr>
    </w:p>
    <w:p w14:paraId="73530268" w14:textId="77777777" w:rsidR="007A6A98" w:rsidRPr="00DE1820" w:rsidRDefault="007A6A98" w:rsidP="007A6A98">
      <w:pPr>
        <w:pStyle w:val="BodyTextMain"/>
        <w:rPr>
          <w:lang w:val="en-GB"/>
        </w:rPr>
      </w:pPr>
      <w:r w:rsidRPr="00DE1820">
        <w:rPr>
          <w:lang w:val="en-GB"/>
        </w:rPr>
        <w:br w:type="page"/>
      </w:r>
    </w:p>
    <w:p w14:paraId="5290474B" w14:textId="77777777" w:rsidR="007A6A98" w:rsidRPr="00DE1820" w:rsidRDefault="007A6A98" w:rsidP="007A6A98">
      <w:pPr>
        <w:pStyle w:val="Casehead1"/>
        <w:jc w:val="center"/>
        <w:rPr>
          <w:lang w:val="en-GB"/>
        </w:rPr>
      </w:pPr>
      <w:r w:rsidRPr="00DE1820">
        <w:rPr>
          <w:lang w:val="en-GB"/>
        </w:rPr>
        <w:lastRenderedPageBreak/>
        <w:t>Exhibit 3: Select Competitor Information (CA$)</w:t>
      </w:r>
    </w:p>
    <w:p w14:paraId="040BD74D" w14:textId="77777777" w:rsidR="007A6A98" w:rsidRPr="00DE1820" w:rsidRDefault="007A6A98" w:rsidP="007A6A98">
      <w:pPr>
        <w:pStyle w:val="BodyTextMain"/>
        <w:rPr>
          <w:lang w:val="en-GB"/>
        </w:rPr>
      </w:pPr>
    </w:p>
    <w:p w14:paraId="554F4A49" w14:textId="77777777" w:rsidR="007A6A98" w:rsidRPr="007A6A98" w:rsidRDefault="007A6A98" w:rsidP="007A6A98">
      <w:pPr>
        <w:pStyle w:val="BodyText"/>
        <w:jc w:val="center"/>
        <w:rPr>
          <w:rStyle w:val="BodyTextMainChar"/>
        </w:rPr>
      </w:pPr>
      <w:bookmarkStart w:id="1" w:name="_MON_1608443404"/>
      <w:bookmarkEnd w:id="1"/>
      <w:r w:rsidRPr="00DE1820">
        <w:rPr>
          <w:noProof/>
          <w:lang w:val="en-GB" w:eastAsia="en-GB"/>
        </w:rPr>
        <w:drawing>
          <wp:inline distT="0" distB="0" distL="0" distR="0" wp14:anchorId="4E8A2F76" wp14:editId="5CC99FEA">
            <wp:extent cx="5913120" cy="2301240"/>
            <wp:effectExtent l="0" t="0" r="0" b="381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4408" cy="2301741"/>
                    </a:xfrm>
                    <a:prstGeom prst="rect">
                      <a:avLst/>
                    </a:prstGeom>
                    <a:noFill/>
                    <a:ln>
                      <a:noFill/>
                    </a:ln>
                  </pic:spPr>
                </pic:pic>
              </a:graphicData>
            </a:graphic>
          </wp:inline>
        </w:drawing>
      </w:r>
    </w:p>
    <w:p w14:paraId="5DE1BDE4" w14:textId="77777777" w:rsidR="007A6A98" w:rsidRPr="00DE1820" w:rsidRDefault="007A6A98" w:rsidP="007A6A98">
      <w:pPr>
        <w:pStyle w:val="FootnoteText1"/>
        <w:rPr>
          <w:lang w:val="en-GB"/>
        </w:rPr>
      </w:pPr>
    </w:p>
    <w:p w14:paraId="383EB8D5" w14:textId="77777777" w:rsidR="007A6A98" w:rsidRPr="00DE1820" w:rsidRDefault="007A6A98" w:rsidP="007A6A98">
      <w:pPr>
        <w:pStyle w:val="FootnoteText1"/>
        <w:rPr>
          <w:lang w:val="en-GB"/>
        </w:rPr>
      </w:pPr>
      <w:r w:rsidRPr="00DE1820">
        <w:rPr>
          <w:lang w:val="en-GB"/>
        </w:rPr>
        <w:t xml:space="preserve">Source: Created by the case authors using data from </w:t>
      </w:r>
      <w:proofErr w:type="spellStart"/>
      <w:r>
        <w:rPr>
          <w:lang w:val="en-GB"/>
        </w:rPr>
        <w:t>YCharts</w:t>
      </w:r>
      <w:proofErr w:type="spellEnd"/>
      <w:r>
        <w:rPr>
          <w:lang w:val="en-GB"/>
        </w:rPr>
        <w:t xml:space="preserve">, </w:t>
      </w:r>
      <w:r w:rsidRPr="00DE1820">
        <w:rPr>
          <w:lang w:val="en-GB"/>
        </w:rPr>
        <w:t>accessed January 10, 2019.</w:t>
      </w:r>
    </w:p>
    <w:p w14:paraId="59459786" w14:textId="77777777" w:rsidR="007A6A98" w:rsidRPr="00DE1820" w:rsidRDefault="007A6A98" w:rsidP="007A6A98">
      <w:pPr>
        <w:pStyle w:val="BodyTextMain"/>
        <w:rPr>
          <w:lang w:val="en-GB"/>
        </w:rPr>
      </w:pPr>
    </w:p>
    <w:p w14:paraId="5DD2C8D8" w14:textId="77777777" w:rsidR="007A6A98" w:rsidRPr="00DE1820" w:rsidRDefault="007A6A98" w:rsidP="007A6A98">
      <w:pPr>
        <w:pStyle w:val="BodyTextMain"/>
        <w:rPr>
          <w:lang w:val="en-GB"/>
        </w:rPr>
      </w:pPr>
    </w:p>
    <w:p w14:paraId="7A6FE626" w14:textId="77777777" w:rsidR="007A6A98" w:rsidRPr="00DE1820" w:rsidRDefault="007A6A98" w:rsidP="007A6A98">
      <w:pPr>
        <w:pStyle w:val="Casehead1"/>
        <w:rPr>
          <w:lang w:val="en-GB"/>
        </w:rPr>
      </w:pPr>
      <w:r w:rsidRPr="00DE1820">
        <w:rPr>
          <w:lang w:val="en-GB"/>
        </w:rPr>
        <w:t>Exhibit 4: Corkford Brewery Brands</w:t>
      </w:r>
      <w:r>
        <w:rPr>
          <w:lang w:val="en-GB"/>
        </w:rPr>
        <w:t>,</w:t>
      </w:r>
      <w:r w:rsidRPr="00DE1820">
        <w:rPr>
          <w:lang w:val="en-GB"/>
        </w:rPr>
        <w:t xml:space="preserve"> Volumes and Selling Price Details (CA$)</w:t>
      </w:r>
    </w:p>
    <w:p w14:paraId="31DD3E49" w14:textId="77777777" w:rsidR="007A6A98" w:rsidRPr="00DE1820" w:rsidRDefault="007A6A98" w:rsidP="007A6A98">
      <w:pPr>
        <w:pStyle w:val="BodyTextMain"/>
        <w:rPr>
          <w:lang w:val="en-GB"/>
        </w:rPr>
      </w:pPr>
    </w:p>
    <w:bookmarkStart w:id="2" w:name="_MON_1609058600"/>
    <w:bookmarkEnd w:id="2"/>
    <w:p w14:paraId="0FAB4160" w14:textId="77777777" w:rsidR="007A6A98" w:rsidRPr="007A6A98" w:rsidRDefault="007A6A98" w:rsidP="007A6A98">
      <w:pPr>
        <w:pStyle w:val="BodyText"/>
        <w:jc w:val="center"/>
        <w:rPr>
          <w:rStyle w:val="BodyTextMainChar"/>
        </w:rPr>
      </w:pPr>
      <w:r w:rsidRPr="00DE1820">
        <w:rPr>
          <w:noProof/>
          <w:lang w:val="en-GB"/>
        </w:rPr>
        <w:object w:dxaOrig="9622" w:dyaOrig="2033" w14:anchorId="26B6A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65pt;height:99pt;mso-width-percent:0;mso-height-percent:0;mso-width-percent:0;mso-height-percent:0" o:ole="">
            <v:imagedata r:id="rId11" o:title=""/>
          </v:shape>
          <o:OLEObject Type="Embed" ProgID="Excel.Sheet.12" ShapeID="_x0000_i1025" DrawAspect="Content" ObjectID="_1631597419" r:id="rId12"/>
        </w:object>
      </w:r>
    </w:p>
    <w:p w14:paraId="37F7C4F6" w14:textId="77777777" w:rsidR="007A6A98" w:rsidRPr="00DE1820" w:rsidRDefault="007A6A98" w:rsidP="007A6A98">
      <w:pPr>
        <w:pStyle w:val="FootnoteText1"/>
        <w:rPr>
          <w:lang w:val="en-GB"/>
        </w:rPr>
      </w:pPr>
    </w:p>
    <w:p w14:paraId="374BD6FA" w14:textId="77777777" w:rsidR="007A6A98" w:rsidRPr="00DE1820" w:rsidRDefault="007A6A98" w:rsidP="007A6A98">
      <w:pPr>
        <w:pStyle w:val="FootnoteText1"/>
        <w:rPr>
          <w:lang w:val="en-GB"/>
        </w:rPr>
      </w:pPr>
      <w:r w:rsidRPr="00DE1820">
        <w:rPr>
          <w:lang w:val="en-GB"/>
        </w:rPr>
        <w:t>Source: Company files.</w:t>
      </w:r>
    </w:p>
    <w:p w14:paraId="738304D7" w14:textId="77777777" w:rsidR="007A6A98" w:rsidRPr="00DE1820" w:rsidRDefault="007A6A98" w:rsidP="007A6A98">
      <w:pPr>
        <w:pStyle w:val="BodyText"/>
        <w:rPr>
          <w:rFonts w:eastAsiaTheme="majorEastAsia"/>
          <w:lang w:val="en-GB"/>
        </w:rPr>
      </w:pPr>
      <w:r w:rsidRPr="00DE1820">
        <w:rPr>
          <w:lang w:val="en-GB"/>
        </w:rPr>
        <w:br w:type="page"/>
      </w:r>
    </w:p>
    <w:p w14:paraId="045DAC03" w14:textId="77777777" w:rsidR="007A6A98" w:rsidRPr="00DE1820" w:rsidRDefault="007A6A98" w:rsidP="00015313">
      <w:pPr>
        <w:pStyle w:val="Casehead1"/>
        <w:jc w:val="center"/>
        <w:rPr>
          <w:lang w:val="en-GB"/>
        </w:rPr>
      </w:pPr>
      <w:r w:rsidRPr="00DE1820">
        <w:rPr>
          <w:lang w:val="en-GB"/>
        </w:rPr>
        <w:lastRenderedPageBreak/>
        <w:t>Exhibit 5: Tanzer’s Current UNIT Cost (PER HECTOLITRE) for the corkford Brewery Operation (CA$)</w:t>
      </w:r>
    </w:p>
    <w:p w14:paraId="189CA4F7" w14:textId="77777777" w:rsidR="007A6A98" w:rsidRPr="00DE1820" w:rsidRDefault="007A6A98" w:rsidP="00015313">
      <w:pPr>
        <w:pStyle w:val="BodyTextMain"/>
        <w:rPr>
          <w:lang w:val="en-GB"/>
        </w:rPr>
      </w:pPr>
    </w:p>
    <w:p w14:paraId="4C716235" w14:textId="77777777" w:rsidR="007A6A98" w:rsidRPr="00DE1820" w:rsidRDefault="007A6A98" w:rsidP="00015313">
      <w:pPr>
        <w:pStyle w:val="Casehead2"/>
        <w:jc w:val="center"/>
        <w:rPr>
          <w:lang w:val="en-GB"/>
        </w:rPr>
      </w:pPr>
      <w:r w:rsidRPr="00DE1820">
        <w:rPr>
          <w:lang w:val="en-GB"/>
        </w:rPr>
        <w:t>Unit Cost (per hectolitre)—Assumes volume of 50,000 hectolitres</w:t>
      </w:r>
    </w:p>
    <w:p w14:paraId="34D17A39" w14:textId="77777777" w:rsidR="007A6A98" w:rsidRPr="00DE1820" w:rsidRDefault="007A6A98" w:rsidP="00015313">
      <w:pPr>
        <w:pStyle w:val="BodyTextMain"/>
        <w:rPr>
          <w:lang w:val="en-GB"/>
        </w:rPr>
      </w:pPr>
    </w:p>
    <w:tbl>
      <w:tblPr>
        <w:tblW w:w="0" w:type="auto"/>
        <w:tblLayout w:type="fixed"/>
        <w:tblLook w:val="0000" w:firstRow="0" w:lastRow="0" w:firstColumn="0" w:lastColumn="0" w:noHBand="0" w:noVBand="0"/>
      </w:tblPr>
      <w:tblGrid>
        <w:gridCol w:w="236"/>
        <w:gridCol w:w="3472"/>
        <w:gridCol w:w="1170"/>
        <w:gridCol w:w="1080"/>
        <w:gridCol w:w="1170"/>
        <w:gridCol w:w="1080"/>
        <w:gridCol w:w="913"/>
        <w:gridCol w:w="167"/>
        <w:gridCol w:w="38"/>
      </w:tblGrid>
      <w:tr w:rsidR="00F87745" w:rsidRPr="00255568" w14:paraId="59C027BE" w14:textId="77777777" w:rsidTr="00F87745">
        <w:trPr>
          <w:gridAfter w:val="2"/>
          <w:wAfter w:w="205" w:type="dxa"/>
          <w:trHeight w:val="343"/>
        </w:trPr>
        <w:tc>
          <w:tcPr>
            <w:tcW w:w="236" w:type="dxa"/>
            <w:tcBorders>
              <w:top w:val="nil"/>
              <w:left w:val="nil"/>
              <w:bottom w:val="nil"/>
              <w:right w:val="nil"/>
            </w:tcBorders>
          </w:tcPr>
          <w:p w14:paraId="61BB5911" w14:textId="77777777" w:rsidR="00255568" w:rsidRPr="00255568" w:rsidRDefault="00255568" w:rsidP="00255568">
            <w:pPr>
              <w:autoSpaceDE w:val="0"/>
              <w:autoSpaceDN w:val="0"/>
              <w:adjustRightInd w:val="0"/>
              <w:jc w:val="right"/>
              <w:rPr>
                <w:rFonts w:ascii="Arial" w:eastAsiaTheme="minorHAnsi" w:hAnsi="Arial" w:cs="Arial"/>
                <w:color w:val="000000"/>
                <w:lang w:val="en-GB"/>
              </w:rPr>
            </w:pPr>
          </w:p>
        </w:tc>
        <w:tc>
          <w:tcPr>
            <w:tcW w:w="3472" w:type="dxa"/>
            <w:tcBorders>
              <w:top w:val="nil"/>
              <w:left w:val="nil"/>
              <w:bottom w:val="nil"/>
              <w:right w:val="nil"/>
            </w:tcBorders>
          </w:tcPr>
          <w:p w14:paraId="6B54D83C" w14:textId="77777777"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p>
        </w:tc>
        <w:tc>
          <w:tcPr>
            <w:tcW w:w="1170" w:type="dxa"/>
            <w:tcBorders>
              <w:top w:val="nil"/>
              <w:left w:val="nil"/>
              <w:bottom w:val="single" w:sz="4" w:space="0" w:color="auto"/>
              <w:right w:val="nil"/>
            </w:tcBorders>
          </w:tcPr>
          <w:p w14:paraId="30F867B0" w14:textId="77777777" w:rsidR="00255568" w:rsidRPr="00255568" w:rsidRDefault="00255568" w:rsidP="00255568">
            <w:pPr>
              <w:autoSpaceDE w:val="0"/>
              <w:autoSpaceDN w:val="0"/>
              <w:adjustRightInd w:val="0"/>
              <w:jc w:val="center"/>
              <w:rPr>
                <w:rFonts w:ascii="Arial" w:eastAsiaTheme="minorHAnsi" w:hAnsi="Arial" w:cs="Arial"/>
                <w:b/>
                <w:bCs/>
                <w:color w:val="000000"/>
                <w:sz w:val="18"/>
                <w:szCs w:val="18"/>
                <w:lang w:val="en-GB"/>
              </w:rPr>
            </w:pPr>
            <w:r w:rsidRPr="00255568">
              <w:rPr>
                <w:rFonts w:ascii="Arial" w:eastAsiaTheme="minorHAnsi" w:hAnsi="Arial" w:cs="Arial"/>
                <w:b/>
                <w:bCs/>
                <w:color w:val="000000"/>
                <w:sz w:val="18"/>
                <w:szCs w:val="18"/>
                <w:lang w:val="en-GB"/>
              </w:rPr>
              <w:t>Corkford Original Lager</w:t>
            </w:r>
          </w:p>
        </w:tc>
        <w:tc>
          <w:tcPr>
            <w:tcW w:w="1080" w:type="dxa"/>
            <w:tcBorders>
              <w:top w:val="nil"/>
              <w:left w:val="nil"/>
              <w:bottom w:val="single" w:sz="4" w:space="0" w:color="auto"/>
              <w:right w:val="nil"/>
            </w:tcBorders>
          </w:tcPr>
          <w:p w14:paraId="44AEA860" w14:textId="77777777" w:rsidR="00255568" w:rsidRPr="00255568" w:rsidRDefault="00255568" w:rsidP="00255568">
            <w:pPr>
              <w:autoSpaceDE w:val="0"/>
              <w:autoSpaceDN w:val="0"/>
              <w:adjustRightInd w:val="0"/>
              <w:jc w:val="center"/>
              <w:rPr>
                <w:rFonts w:ascii="Arial" w:eastAsiaTheme="minorHAnsi" w:hAnsi="Arial" w:cs="Arial"/>
                <w:b/>
                <w:bCs/>
                <w:color w:val="000000"/>
                <w:sz w:val="18"/>
                <w:szCs w:val="18"/>
                <w:lang w:val="en-GB"/>
              </w:rPr>
            </w:pPr>
            <w:r w:rsidRPr="00255568">
              <w:rPr>
                <w:rFonts w:ascii="Arial" w:eastAsiaTheme="minorHAnsi" w:hAnsi="Arial" w:cs="Arial"/>
                <w:b/>
                <w:bCs/>
                <w:color w:val="000000"/>
                <w:sz w:val="18"/>
                <w:szCs w:val="18"/>
                <w:lang w:val="en-GB"/>
              </w:rPr>
              <w:t>Corkford Amber Ale</w:t>
            </w:r>
          </w:p>
        </w:tc>
        <w:tc>
          <w:tcPr>
            <w:tcW w:w="1170" w:type="dxa"/>
            <w:tcBorders>
              <w:top w:val="nil"/>
              <w:left w:val="nil"/>
              <w:bottom w:val="single" w:sz="4" w:space="0" w:color="auto"/>
              <w:right w:val="nil"/>
            </w:tcBorders>
          </w:tcPr>
          <w:p w14:paraId="7B7E31C1" w14:textId="77777777" w:rsidR="00255568" w:rsidRPr="00255568" w:rsidRDefault="00255568" w:rsidP="00255568">
            <w:pPr>
              <w:autoSpaceDE w:val="0"/>
              <w:autoSpaceDN w:val="0"/>
              <w:adjustRightInd w:val="0"/>
              <w:jc w:val="center"/>
              <w:rPr>
                <w:rFonts w:ascii="Arial" w:eastAsiaTheme="minorHAnsi" w:hAnsi="Arial" w:cs="Arial"/>
                <w:b/>
                <w:bCs/>
                <w:color w:val="000000"/>
                <w:sz w:val="18"/>
                <w:szCs w:val="18"/>
                <w:lang w:val="en-GB"/>
              </w:rPr>
            </w:pPr>
            <w:r w:rsidRPr="00255568">
              <w:rPr>
                <w:rFonts w:ascii="Arial" w:eastAsiaTheme="minorHAnsi" w:hAnsi="Arial" w:cs="Arial"/>
                <w:b/>
                <w:bCs/>
                <w:color w:val="000000"/>
                <w:sz w:val="18"/>
                <w:szCs w:val="18"/>
                <w:lang w:val="en-GB"/>
              </w:rPr>
              <w:t>Corkford Lime</w:t>
            </w:r>
          </w:p>
        </w:tc>
        <w:tc>
          <w:tcPr>
            <w:tcW w:w="1080" w:type="dxa"/>
            <w:tcBorders>
              <w:top w:val="nil"/>
              <w:left w:val="nil"/>
              <w:bottom w:val="single" w:sz="4" w:space="0" w:color="auto"/>
              <w:right w:val="nil"/>
            </w:tcBorders>
          </w:tcPr>
          <w:p w14:paraId="3347B2DF" w14:textId="77777777" w:rsidR="00255568" w:rsidRPr="00255568" w:rsidRDefault="00255568" w:rsidP="00255568">
            <w:pPr>
              <w:autoSpaceDE w:val="0"/>
              <w:autoSpaceDN w:val="0"/>
              <w:adjustRightInd w:val="0"/>
              <w:jc w:val="center"/>
              <w:rPr>
                <w:rFonts w:ascii="Arial" w:eastAsiaTheme="minorHAnsi" w:hAnsi="Arial" w:cs="Arial"/>
                <w:b/>
                <w:bCs/>
                <w:color w:val="000000"/>
                <w:sz w:val="18"/>
                <w:szCs w:val="18"/>
                <w:lang w:val="en-GB"/>
              </w:rPr>
            </w:pPr>
            <w:r w:rsidRPr="00255568">
              <w:rPr>
                <w:rFonts w:ascii="Arial" w:eastAsiaTheme="minorHAnsi" w:hAnsi="Arial" w:cs="Arial"/>
                <w:b/>
                <w:bCs/>
                <w:color w:val="000000"/>
                <w:sz w:val="18"/>
                <w:szCs w:val="18"/>
                <w:lang w:val="en-GB"/>
              </w:rPr>
              <w:t>Corkford Platinum Light</w:t>
            </w:r>
          </w:p>
        </w:tc>
        <w:tc>
          <w:tcPr>
            <w:tcW w:w="913" w:type="dxa"/>
            <w:tcBorders>
              <w:top w:val="nil"/>
              <w:left w:val="nil"/>
              <w:bottom w:val="single" w:sz="4" w:space="0" w:color="auto"/>
              <w:right w:val="nil"/>
            </w:tcBorders>
          </w:tcPr>
          <w:p w14:paraId="60A5F54B" w14:textId="77777777" w:rsidR="00255568" w:rsidRPr="00255568" w:rsidRDefault="00255568" w:rsidP="00255568">
            <w:pPr>
              <w:autoSpaceDE w:val="0"/>
              <w:autoSpaceDN w:val="0"/>
              <w:adjustRightInd w:val="0"/>
              <w:jc w:val="center"/>
              <w:rPr>
                <w:rFonts w:ascii="Arial" w:eastAsiaTheme="minorHAnsi" w:hAnsi="Arial" w:cs="Arial"/>
                <w:b/>
                <w:bCs/>
                <w:color w:val="000000"/>
                <w:sz w:val="18"/>
                <w:szCs w:val="18"/>
                <w:lang w:val="en-GB"/>
              </w:rPr>
            </w:pPr>
            <w:r w:rsidRPr="00255568">
              <w:rPr>
                <w:rFonts w:ascii="Arial" w:eastAsiaTheme="minorHAnsi" w:hAnsi="Arial" w:cs="Arial"/>
                <w:b/>
                <w:bCs/>
                <w:color w:val="000000"/>
                <w:sz w:val="18"/>
                <w:szCs w:val="18"/>
                <w:lang w:val="en-GB"/>
              </w:rPr>
              <w:t>Tanzer Product</w:t>
            </w:r>
          </w:p>
        </w:tc>
      </w:tr>
      <w:tr w:rsidR="00255568" w:rsidRPr="00255568" w14:paraId="61AA1601" w14:textId="77777777" w:rsidTr="00F87745">
        <w:trPr>
          <w:trHeight w:val="173"/>
        </w:trPr>
        <w:tc>
          <w:tcPr>
            <w:tcW w:w="3708" w:type="dxa"/>
            <w:gridSpan w:val="2"/>
            <w:tcBorders>
              <w:top w:val="nil"/>
              <w:left w:val="nil"/>
              <w:bottom w:val="nil"/>
              <w:right w:val="nil"/>
            </w:tcBorders>
          </w:tcPr>
          <w:p w14:paraId="3BC19AA3" w14:textId="77777777" w:rsidR="00255568" w:rsidRPr="00255568" w:rsidRDefault="00255568" w:rsidP="00255568">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Raw material (ingredients, water, bottles, packaging)</w:t>
            </w:r>
          </w:p>
        </w:tc>
        <w:tc>
          <w:tcPr>
            <w:tcW w:w="1170" w:type="dxa"/>
            <w:tcBorders>
              <w:top w:val="single" w:sz="4" w:space="0" w:color="auto"/>
              <w:left w:val="nil"/>
              <w:bottom w:val="nil"/>
              <w:right w:val="nil"/>
            </w:tcBorders>
          </w:tcPr>
          <w:p w14:paraId="12B83A50" w14:textId="77777777" w:rsidR="005241BA" w:rsidRPr="005241BA" w:rsidRDefault="005241BA" w:rsidP="005241BA">
            <w:pPr>
              <w:autoSpaceDE w:val="0"/>
              <w:autoSpaceDN w:val="0"/>
              <w:adjustRightInd w:val="0"/>
              <w:jc w:val="right"/>
              <w:rPr>
                <w:rFonts w:ascii="Arial" w:eastAsiaTheme="minorHAnsi" w:hAnsi="Arial" w:cs="Arial"/>
                <w:color w:val="000000"/>
                <w:sz w:val="18"/>
                <w:szCs w:val="18"/>
                <w:lang w:val="en-GB"/>
              </w:rPr>
            </w:pPr>
          </w:p>
          <w:p w14:paraId="3D2E5E69" w14:textId="0EC60A66" w:rsidR="00255568" w:rsidRPr="00255568" w:rsidRDefault="00255568" w:rsidP="005241BA">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94.500 </w:t>
            </w:r>
          </w:p>
        </w:tc>
        <w:tc>
          <w:tcPr>
            <w:tcW w:w="1080" w:type="dxa"/>
            <w:tcBorders>
              <w:top w:val="single" w:sz="4" w:space="0" w:color="auto"/>
              <w:left w:val="nil"/>
              <w:bottom w:val="nil"/>
              <w:right w:val="nil"/>
            </w:tcBorders>
          </w:tcPr>
          <w:p w14:paraId="40A1CD54" w14:textId="7F703F8B" w:rsidR="005241BA" w:rsidRPr="005241BA" w:rsidRDefault="005241BA" w:rsidP="005241BA">
            <w:pPr>
              <w:autoSpaceDE w:val="0"/>
              <w:autoSpaceDN w:val="0"/>
              <w:adjustRightInd w:val="0"/>
              <w:jc w:val="right"/>
              <w:rPr>
                <w:rFonts w:ascii="Arial" w:eastAsiaTheme="minorHAnsi" w:hAnsi="Arial" w:cs="Arial"/>
                <w:color w:val="000000"/>
                <w:sz w:val="18"/>
                <w:szCs w:val="18"/>
                <w:lang w:val="en-GB"/>
              </w:rPr>
            </w:pPr>
          </w:p>
          <w:p w14:paraId="36E8A6C8" w14:textId="1A4EE72F" w:rsidR="00255568" w:rsidRPr="00255568" w:rsidRDefault="00255568" w:rsidP="005241BA">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97.650 </w:t>
            </w:r>
          </w:p>
        </w:tc>
        <w:tc>
          <w:tcPr>
            <w:tcW w:w="1170" w:type="dxa"/>
            <w:tcBorders>
              <w:top w:val="single" w:sz="4" w:space="0" w:color="auto"/>
              <w:left w:val="nil"/>
              <w:bottom w:val="nil"/>
              <w:right w:val="nil"/>
            </w:tcBorders>
          </w:tcPr>
          <w:p w14:paraId="6007BD7B" w14:textId="1042B5E7" w:rsidR="005241BA" w:rsidRPr="005241BA" w:rsidRDefault="005241BA" w:rsidP="005241BA">
            <w:pPr>
              <w:autoSpaceDE w:val="0"/>
              <w:autoSpaceDN w:val="0"/>
              <w:adjustRightInd w:val="0"/>
              <w:jc w:val="right"/>
              <w:rPr>
                <w:rFonts w:ascii="Arial" w:eastAsiaTheme="minorHAnsi" w:hAnsi="Arial" w:cs="Arial"/>
                <w:color w:val="000000"/>
                <w:sz w:val="18"/>
                <w:szCs w:val="18"/>
                <w:lang w:val="en-GB"/>
              </w:rPr>
            </w:pPr>
          </w:p>
          <w:p w14:paraId="165308D2" w14:textId="23FCF57F" w:rsidR="00255568" w:rsidRPr="00255568" w:rsidRDefault="00255568" w:rsidP="005241BA">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98.280 </w:t>
            </w:r>
          </w:p>
        </w:tc>
        <w:tc>
          <w:tcPr>
            <w:tcW w:w="1080" w:type="dxa"/>
            <w:tcBorders>
              <w:top w:val="single" w:sz="4" w:space="0" w:color="auto"/>
              <w:left w:val="nil"/>
              <w:bottom w:val="nil"/>
              <w:right w:val="nil"/>
            </w:tcBorders>
          </w:tcPr>
          <w:p w14:paraId="3A62CC7F" w14:textId="2A0EFDBB" w:rsidR="005241BA" w:rsidRPr="005241BA" w:rsidRDefault="005241BA" w:rsidP="005241BA">
            <w:pPr>
              <w:autoSpaceDE w:val="0"/>
              <w:autoSpaceDN w:val="0"/>
              <w:adjustRightInd w:val="0"/>
              <w:jc w:val="right"/>
              <w:rPr>
                <w:rFonts w:ascii="Arial" w:eastAsiaTheme="minorHAnsi" w:hAnsi="Arial" w:cs="Arial"/>
                <w:color w:val="000000"/>
                <w:sz w:val="18"/>
                <w:szCs w:val="18"/>
                <w:lang w:val="en-GB"/>
              </w:rPr>
            </w:pPr>
          </w:p>
          <w:p w14:paraId="0A8622AE" w14:textId="7B4C0949" w:rsidR="00255568" w:rsidRPr="00255568" w:rsidRDefault="00255568" w:rsidP="005241BA">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91.350 </w:t>
            </w:r>
          </w:p>
        </w:tc>
        <w:tc>
          <w:tcPr>
            <w:tcW w:w="1118" w:type="dxa"/>
            <w:gridSpan w:val="3"/>
            <w:tcBorders>
              <w:top w:val="single" w:sz="4" w:space="0" w:color="auto"/>
              <w:left w:val="nil"/>
              <w:bottom w:val="nil"/>
              <w:right w:val="nil"/>
            </w:tcBorders>
          </w:tcPr>
          <w:p w14:paraId="2F0D3DF7" w14:textId="77777777" w:rsidR="005241BA" w:rsidRPr="005241BA" w:rsidRDefault="005241BA" w:rsidP="005241BA">
            <w:pPr>
              <w:autoSpaceDE w:val="0"/>
              <w:autoSpaceDN w:val="0"/>
              <w:adjustRightInd w:val="0"/>
              <w:jc w:val="right"/>
              <w:rPr>
                <w:rFonts w:ascii="Arial" w:eastAsiaTheme="minorHAnsi" w:hAnsi="Arial" w:cs="Arial"/>
                <w:color w:val="000000"/>
                <w:sz w:val="18"/>
                <w:szCs w:val="18"/>
                <w:lang w:val="en-GB"/>
              </w:rPr>
            </w:pPr>
          </w:p>
          <w:p w14:paraId="56ED1E23" w14:textId="68DD8F30" w:rsidR="00255568" w:rsidRPr="00255568" w:rsidRDefault="00255568" w:rsidP="005241BA">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   10.000 </w:t>
            </w:r>
          </w:p>
        </w:tc>
      </w:tr>
      <w:tr w:rsidR="00255568" w:rsidRPr="00255568" w14:paraId="43AEA273" w14:textId="77777777" w:rsidTr="00F87745">
        <w:trPr>
          <w:trHeight w:val="173"/>
        </w:trPr>
        <w:tc>
          <w:tcPr>
            <w:tcW w:w="3708" w:type="dxa"/>
            <w:gridSpan w:val="2"/>
            <w:tcBorders>
              <w:top w:val="nil"/>
              <w:left w:val="nil"/>
              <w:bottom w:val="nil"/>
              <w:right w:val="nil"/>
            </w:tcBorders>
          </w:tcPr>
          <w:p w14:paraId="551B16C7" w14:textId="77777777" w:rsidR="00255568" w:rsidRPr="00255568" w:rsidRDefault="00255568" w:rsidP="00255568">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Direct labour</w:t>
            </w:r>
          </w:p>
        </w:tc>
        <w:tc>
          <w:tcPr>
            <w:tcW w:w="1170" w:type="dxa"/>
            <w:tcBorders>
              <w:top w:val="nil"/>
              <w:left w:val="nil"/>
              <w:bottom w:val="nil"/>
              <w:right w:val="nil"/>
            </w:tcBorders>
          </w:tcPr>
          <w:p w14:paraId="0CB633D8" w14:textId="5E89990F" w:rsidR="00255568" w:rsidRPr="00255568" w:rsidRDefault="00255568" w:rsidP="00F87745">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8.081 </w:t>
            </w:r>
          </w:p>
        </w:tc>
        <w:tc>
          <w:tcPr>
            <w:tcW w:w="1080" w:type="dxa"/>
            <w:tcBorders>
              <w:top w:val="nil"/>
              <w:left w:val="nil"/>
              <w:bottom w:val="nil"/>
              <w:right w:val="nil"/>
            </w:tcBorders>
          </w:tcPr>
          <w:p w14:paraId="44EF9520" w14:textId="5FC47488" w:rsidR="00255568" w:rsidRPr="00255568" w:rsidRDefault="00255568" w:rsidP="005241BA">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8.081 </w:t>
            </w:r>
          </w:p>
        </w:tc>
        <w:tc>
          <w:tcPr>
            <w:tcW w:w="1170" w:type="dxa"/>
            <w:tcBorders>
              <w:top w:val="nil"/>
              <w:left w:val="nil"/>
              <w:bottom w:val="nil"/>
              <w:right w:val="nil"/>
            </w:tcBorders>
          </w:tcPr>
          <w:p w14:paraId="3638B42F" w14:textId="42233957"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8.081 </w:t>
            </w:r>
          </w:p>
        </w:tc>
        <w:tc>
          <w:tcPr>
            <w:tcW w:w="1080" w:type="dxa"/>
            <w:tcBorders>
              <w:top w:val="nil"/>
              <w:left w:val="nil"/>
              <w:bottom w:val="nil"/>
              <w:right w:val="nil"/>
            </w:tcBorders>
          </w:tcPr>
          <w:p w14:paraId="38653475" w14:textId="04C8AF73" w:rsidR="00255568" w:rsidRPr="00255568" w:rsidRDefault="00255568" w:rsidP="005241BA">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8.081 </w:t>
            </w:r>
          </w:p>
        </w:tc>
        <w:tc>
          <w:tcPr>
            <w:tcW w:w="1118" w:type="dxa"/>
            <w:gridSpan w:val="3"/>
            <w:tcBorders>
              <w:top w:val="nil"/>
              <w:left w:val="nil"/>
              <w:bottom w:val="nil"/>
              <w:right w:val="nil"/>
            </w:tcBorders>
          </w:tcPr>
          <w:p w14:paraId="1D9A4DFD" w14:textId="30ADC291" w:rsidR="00255568" w:rsidRPr="00255568" w:rsidRDefault="00255568" w:rsidP="005241BA">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8.081 </w:t>
            </w:r>
          </w:p>
        </w:tc>
      </w:tr>
      <w:tr w:rsidR="00255568" w:rsidRPr="00255568" w14:paraId="65926622" w14:textId="77777777" w:rsidTr="00F87745">
        <w:trPr>
          <w:trHeight w:val="173"/>
        </w:trPr>
        <w:tc>
          <w:tcPr>
            <w:tcW w:w="3708" w:type="dxa"/>
            <w:gridSpan w:val="2"/>
            <w:tcBorders>
              <w:top w:val="nil"/>
              <w:left w:val="nil"/>
              <w:bottom w:val="nil"/>
              <w:right w:val="nil"/>
            </w:tcBorders>
          </w:tcPr>
          <w:p w14:paraId="1D9AF0D1" w14:textId="77777777" w:rsidR="00255568" w:rsidRPr="00255568" w:rsidRDefault="00255568" w:rsidP="00255568">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Indirect labour</w:t>
            </w:r>
          </w:p>
        </w:tc>
        <w:tc>
          <w:tcPr>
            <w:tcW w:w="1170" w:type="dxa"/>
            <w:tcBorders>
              <w:top w:val="nil"/>
              <w:left w:val="nil"/>
              <w:bottom w:val="nil"/>
              <w:right w:val="nil"/>
            </w:tcBorders>
          </w:tcPr>
          <w:p w14:paraId="38AAF42E" w14:textId="44D5FBB0" w:rsidR="00255568" w:rsidRPr="00255568" w:rsidRDefault="00255568" w:rsidP="00F87745">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3.</w:t>
            </w:r>
            <w:r w:rsidR="00404BE4">
              <w:rPr>
                <w:rFonts w:ascii="Arial" w:eastAsiaTheme="minorHAnsi" w:hAnsi="Arial" w:cs="Arial"/>
                <w:color w:val="000000"/>
                <w:sz w:val="18"/>
                <w:szCs w:val="18"/>
                <w:lang w:val="en-GB"/>
              </w:rPr>
              <w:t>8</w:t>
            </w:r>
            <w:r w:rsidRPr="00255568">
              <w:rPr>
                <w:rFonts w:ascii="Arial" w:eastAsiaTheme="minorHAnsi" w:hAnsi="Arial" w:cs="Arial"/>
                <w:color w:val="000000"/>
                <w:sz w:val="18"/>
                <w:szCs w:val="18"/>
                <w:lang w:val="en-GB"/>
              </w:rPr>
              <w:t xml:space="preserve">00 </w:t>
            </w:r>
          </w:p>
        </w:tc>
        <w:tc>
          <w:tcPr>
            <w:tcW w:w="1080" w:type="dxa"/>
            <w:tcBorders>
              <w:top w:val="nil"/>
              <w:left w:val="nil"/>
              <w:bottom w:val="nil"/>
              <w:right w:val="nil"/>
            </w:tcBorders>
          </w:tcPr>
          <w:p w14:paraId="11665CEF" w14:textId="170062A8"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3.</w:t>
            </w:r>
            <w:r w:rsidR="00404BE4">
              <w:rPr>
                <w:rFonts w:ascii="Arial" w:eastAsiaTheme="minorHAnsi" w:hAnsi="Arial" w:cs="Arial"/>
                <w:color w:val="000000"/>
                <w:sz w:val="18"/>
                <w:szCs w:val="18"/>
                <w:lang w:val="en-GB"/>
              </w:rPr>
              <w:t>8</w:t>
            </w:r>
            <w:r w:rsidRPr="00255568">
              <w:rPr>
                <w:rFonts w:ascii="Arial" w:eastAsiaTheme="minorHAnsi" w:hAnsi="Arial" w:cs="Arial"/>
                <w:color w:val="000000"/>
                <w:sz w:val="18"/>
                <w:szCs w:val="18"/>
                <w:lang w:val="en-GB"/>
              </w:rPr>
              <w:t xml:space="preserve">00 </w:t>
            </w:r>
          </w:p>
        </w:tc>
        <w:tc>
          <w:tcPr>
            <w:tcW w:w="1170" w:type="dxa"/>
            <w:tcBorders>
              <w:top w:val="nil"/>
              <w:left w:val="nil"/>
              <w:bottom w:val="nil"/>
              <w:right w:val="nil"/>
            </w:tcBorders>
          </w:tcPr>
          <w:p w14:paraId="1F07F699" w14:textId="0E3F4E17"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3.</w:t>
            </w:r>
            <w:r w:rsidR="00404BE4">
              <w:rPr>
                <w:rFonts w:ascii="Arial" w:eastAsiaTheme="minorHAnsi" w:hAnsi="Arial" w:cs="Arial"/>
                <w:color w:val="000000"/>
                <w:sz w:val="18"/>
                <w:szCs w:val="18"/>
                <w:lang w:val="en-GB"/>
              </w:rPr>
              <w:t>8</w:t>
            </w:r>
            <w:r w:rsidRPr="00255568">
              <w:rPr>
                <w:rFonts w:ascii="Arial" w:eastAsiaTheme="minorHAnsi" w:hAnsi="Arial" w:cs="Arial"/>
                <w:color w:val="000000"/>
                <w:sz w:val="18"/>
                <w:szCs w:val="18"/>
                <w:lang w:val="en-GB"/>
              </w:rPr>
              <w:t xml:space="preserve">00 </w:t>
            </w:r>
          </w:p>
        </w:tc>
        <w:tc>
          <w:tcPr>
            <w:tcW w:w="1080" w:type="dxa"/>
            <w:tcBorders>
              <w:top w:val="nil"/>
              <w:left w:val="nil"/>
              <w:bottom w:val="nil"/>
              <w:right w:val="nil"/>
            </w:tcBorders>
          </w:tcPr>
          <w:p w14:paraId="0F8C00C9" w14:textId="73F4EA7F" w:rsidR="00255568" w:rsidRPr="00255568" w:rsidRDefault="00255568" w:rsidP="005241BA">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3.</w:t>
            </w:r>
            <w:r w:rsidR="00404BE4">
              <w:rPr>
                <w:rFonts w:ascii="Arial" w:eastAsiaTheme="minorHAnsi" w:hAnsi="Arial" w:cs="Arial"/>
                <w:color w:val="000000"/>
                <w:sz w:val="18"/>
                <w:szCs w:val="18"/>
                <w:lang w:val="en-GB"/>
              </w:rPr>
              <w:t>8</w:t>
            </w:r>
            <w:r w:rsidRPr="00255568">
              <w:rPr>
                <w:rFonts w:ascii="Arial" w:eastAsiaTheme="minorHAnsi" w:hAnsi="Arial" w:cs="Arial"/>
                <w:color w:val="000000"/>
                <w:sz w:val="18"/>
                <w:szCs w:val="18"/>
                <w:lang w:val="en-GB"/>
              </w:rPr>
              <w:t xml:space="preserve">00 </w:t>
            </w:r>
          </w:p>
        </w:tc>
        <w:tc>
          <w:tcPr>
            <w:tcW w:w="1118" w:type="dxa"/>
            <w:gridSpan w:val="3"/>
            <w:tcBorders>
              <w:top w:val="nil"/>
              <w:left w:val="nil"/>
              <w:bottom w:val="nil"/>
              <w:right w:val="nil"/>
            </w:tcBorders>
          </w:tcPr>
          <w:p w14:paraId="0906D126" w14:textId="273FD145"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3.</w:t>
            </w:r>
            <w:r w:rsidR="00404BE4">
              <w:rPr>
                <w:rFonts w:ascii="Arial" w:eastAsiaTheme="minorHAnsi" w:hAnsi="Arial" w:cs="Arial"/>
                <w:color w:val="000000"/>
                <w:sz w:val="18"/>
                <w:szCs w:val="18"/>
                <w:lang w:val="en-GB"/>
              </w:rPr>
              <w:t>8</w:t>
            </w:r>
            <w:r w:rsidRPr="00255568">
              <w:rPr>
                <w:rFonts w:ascii="Arial" w:eastAsiaTheme="minorHAnsi" w:hAnsi="Arial" w:cs="Arial"/>
                <w:color w:val="000000"/>
                <w:sz w:val="18"/>
                <w:szCs w:val="18"/>
                <w:lang w:val="en-GB"/>
              </w:rPr>
              <w:t xml:space="preserve">00 </w:t>
            </w:r>
          </w:p>
        </w:tc>
      </w:tr>
      <w:tr w:rsidR="00255568" w:rsidRPr="00255568" w14:paraId="3DF59985" w14:textId="77777777" w:rsidTr="00F87745">
        <w:trPr>
          <w:trHeight w:val="173"/>
        </w:trPr>
        <w:tc>
          <w:tcPr>
            <w:tcW w:w="3708" w:type="dxa"/>
            <w:gridSpan w:val="2"/>
            <w:tcBorders>
              <w:top w:val="nil"/>
              <w:left w:val="nil"/>
              <w:bottom w:val="nil"/>
              <w:right w:val="nil"/>
            </w:tcBorders>
          </w:tcPr>
          <w:p w14:paraId="3C65238F" w14:textId="77777777" w:rsidR="00255568" w:rsidRPr="00255568" w:rsidRDefault="00255568" w:rsidP="00255568">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Overhead (waste water, maintenance, etc.)</w:t>
            </w:r>
          </w:p>
        </w:tc>
        <w:tc>
          <w:tcPr>
            <w:tcW w:w="1170" w:type="dxa"/>
            <w:tcBorders>
              <w:top w:val="nil"/>
              <w:left w:val="nil"/>
              <w:bottom w:val="nil"/>
              <w:right w:val="nil"/>
            </w:tcBorders>
          </w:tcPr>
          <w:p w14:paraId="3DA81CBD" w14:textId="1E6C632F"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6.500 </w:t>
            </w:r>
          </w:p>
        </w:tc>
        <w:tc>
          <w:tcPr>
            <w:tcW w:w="1080" w:type="dxa"/>
            <w:tcBorders>
              <w:top w:val="nil"/>
              <w:left w:val="nil"/>
              <w:bottom w:val="nil"/>
              <w:right w:val="nil"/>
            </w:tcBorders>
          </w:tcPr>
          <w:p w14:paraId="75636443" w14:textId="2ED7310D"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6.500 </w:t>
            </w:r>
          </w:p>
        </w:tc>
        <w:tc>
          <w:tcPr>
            <w:tcW w:w="1170" w:type="dxa"/>
            <w:tcBorders>
              <w:top w:val="nil"/>
              <w:left w:val="nil"/>
              <w:bottom w:val="nil"/>
              <w:right w:val="nil"/>
            </w:tcBorders>
          </w:tcPr>
          <w:p w14:paraId="010A43DF" w14:textId="5C7AE57C"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6.500 </w:t>
            </w:r>
          </w:p>
        </w:tc>
        <w:tc>
          <w:tcPr>
            <w:tcW w:w="1080" w:type="dxa"/>
            <w:tcBorders>
              <w:top w:val="nil"/>
              <w:left w:val="nil"/>
              <w:bottom w:val="nil"/>
              <w:right w:val="nil"/>
            </w:tcBorders>
          </w:tcPr>
          <w:p w14:paraId="01DA7A49" w14:textId="07932F6B"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6.500 </w:t>
            </w:r>
          </w:p>
        </w:tc>
        <w:tc>
          <w:tcPr>
            <w:tcW w:w="1118" w:type="dxa"/>
            <w:gridSpan w:val="3"/>
            <w:tcBorders>
              <w:top w:val="nil"/>
              <w:left w:val="nil"/>
              <w:bottom w:val="nil"/>
              <w:right w:val="nil"/>
            </w:tcBorders>
          </w:tcPr>
          <w:p w14:paraId="359205CF" w14:textId="536ECA3E"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6.500 </w:t>
            </w:r>
          </w:p>
        </w:tc>
      </w:tr>
      <w:tr w:rsidR="00255568" w:rsidRPr="00255568" w14:paraId="6AE45AC6" w14:textId="77777777" w:rsidTr="00F87745">
        <w:trPr>
          <w:trHeight w:val="173"/>
        </w:trPr>
        <w:tc>
          <w:tcPr>
            <w:tcW w:w="3708" w:type="dxa"/>
            <w:gridSpan w:val="2"/>
            <w:tcBorders>
              <w:top w:val="nil"/>
              <w:left w:val="nil"/>
              <w:bottom w:val="nil"/>
              <w:right w:val="nil"/>
            </w:tcBorders>
          </w:tcPr>
          <w:p w14:paraId="120F6134" w14:textId="77777777" w:rsidR="00255568" w:rsidRPr="00255568" w:rsidRDefault="00255568" w:rsidP="00255568">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Federal excise tax</w:t>
            </w:r>
          </w:p>
        </w:tc>
        <w:tc>
          <w:tcPr>
            <w:tcW w:w="1170" w:type="dxa"/>
            <w:tcBorders>
              <w:top w:val="nil"/>
              <w:left w:val="nil"/>
              <w:bottom w:val="nil"/>
              <w:right w:val="nil"/>
            </w:tcBorders>
          </w:tcPr>
          <w:p w14:paraId="675D8F60" w14:textId="5A65D502"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22.288 </w:t>
            </w:r>
          </w:p>
        </w:tc>
        <w:tc>
          <w:tcPr>
            <w:tcW w:w="1080" w:type="dxa"/>
            <w:tcBorders>
              <w:top w:val="nil"/>
              <w:left w:val="nil"/>
              <w:bottom w:val="nil"/>
              <w:right w:val="nil"/>
            </w:tcBorders>
          </w:tcPr>
          <w:p w14:paraId="0B523869" w14:textId="6AFE4215"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22.288 </w:t>
            </w:r>
          </w:p>
        </w:tc>
        <w:tc>
          <w:tcPr>
            <w:tcW w:w="1170" w:type="dxa"/>
            <w:tcBorders>
              <w:top w:val="nil"/>
              <w:left w:val="nil"/>
              <w:bottom w:val="nil"/>
              <w:right w:val="nil"/>
            </w:tcBorders>
          </w:tcPr>
          <w:p w14:paraId="6C4AC226" w14:textId="5FB22E08"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22.288 </w:t>
            </w:r>
          </w:p>
        </w:tc>
        <w:tc>
          <w:tcPr>
            <w:tcW w:w="1080" w:type="dxa"/>
            <w:tcBorders>
              <w:top w:val="nil"/>
              <w:left w:val="nil"/>
              <w:bottom w:val="nil"/>
              <w:right w:val="nil"/>
            </w:tcBorders>
          </w:tcPr>
          <w:p w14:paraId="0B0719E1" w14:textId="29B83E98"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22.288 </w:t>
            </w:r>
          </w:p>
        </w:tc>
        <w:tc>
          <w:tcPr>
            <w:tcW w:w="1118" w:type="dxa"/>
            <w:gridSpan w:val="3"/>
            <w:tcBorders>
              <w:top w:val="nil"/>
              <w:left w:val="nil"/>
              <w:bottom w:val="nil"/>
              <w:right w:val="nil"/>
            </w:tcBorders>
          </w:tcPr>
          <w:p w14:paraId="2A7879C6" w14:textId="1F8F4301"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22.288 </w:t>
            </w:r>
          </w:p>
        </w:tc>
      </w:tr>
      <w:tr w:rsidR="00255568" w:rsidRPr="00255568" w14:paraId="50F0A6CD" w14:textId="77777777" w:rsidTr="00F87745">
        <w:trPr>
          <w:trHeight w:val="173"/>
        </w:trPr>
        <w:tc>
          <w:tcPr>
            <w:tcW w:w="3708" w:type="dxa"/>
            <w:gridSpan w:val="2"/>
            <w:tcBorders>
              <w:top w:val="nil"/>
              <w:left w:val="nil"/>
              <w:bottom w:val="nil"/>
              <w:right w:val="nil"/>
            </w:tcBorders>
          </w:tcPr>
          <w:p w14:paraId="557B4076" w14:textId="77777777" w:rsidR="00255568" w:rsidRPr="00255568" w:rsidRDefault="00255568" w:rsidP="00255568">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BRI fees</w:t>
            </w:r>
          </w:p>
        </w:tc>
        <w:tc>
          <w:tcPr>
            <w:tcW w:w="1170" w:type="dxa"/>
            <w:tcBorders>
              <w:top w:val="nil"/>
              <w:left w:val="nil"/>
              <w:bottom w:val="nil"/>
              <w:right w:val="nil"/>
            </w:tcBorders>
          </w:tcPr>
          <w:p w14:paraId="58A5A2BC" w14:textId="39E41B5D"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42.780 </w:t>
            </w:r>
          </w:p>
        </w:tc>
        <w:tc>
          <w:tcPr>
            <w:tcW w:w="1080" w:type="dxa"/>
            <w:tcBorders>
              <w:top w:val="nil"/>
              <w:left w:val="nil"/>
              <w:bottom w:val="nil"/>
              <w:right w:val="nil"/>
            </w:tcBorders>
          </w:tcPr>
          <w:p w14:paraId="6560FBDB" w14:textId="750794CD"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42.780 </w:t>
            </w:r>
          </w:p>
        </w:tc>
        <w:tc>
          <w:tcPr>
            <w:tcW w:w="1170" w:type="dxa"/>
            <w:tcBorders>
              <w:top w:val="nil"/>
              <w:left w:val="nil"/>
              <w:bottom w:val="nil"/>
              <w:right w:val="nil"/>
            </w:tcBorders>
          </w:tcPr>
          <w:p w14:paraId="54AB0089" w14:textId="4C0CB574" w:rsidR="00255568" w:rsidRPr="00255568" w:rsidRDefault="00255568" w:rsidP="00F87745">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42.780 </w:t>
            </w:r>
          </w:p>
        </w:tc>
        <w:tc>
          <w:tcPr>
            <w:tcW w:w="1080" w:type="dxa"/>
            <w:tcBorders>
              <w:top w:val="nil"/>
              <w:left w:val="nil"/>
              <w:bottom w:val="nil"/>
              <w:right w:val="nil"/>
            </w:tcBorders>
          </w:tcPr>
          <w:p w14:paraId="3F406AE6" w14:textId="0524FF55"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42.780 </w:t>
            </w:r>
          </w:p>
        </w:tc>
        <w:tc>
          <w:tcPr>
            <w:tcW w:w="1118" w:type="dxa"/>
            <w:gridSpan w:val="3"/>
            <w:tcBorders>
              <w:top w:val="nil"/>
              <w:left w:val="nil"/>
              <w:bottom w:val="nil"/>
              <w:right w:val="nil"/>
            </w:tcBorders>
          </w:tcPr>
          <w:p w14:paraId="2551DF4F" w14:textId="767247A8"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   </w:t>
            </w:r>
          </w:p>
        </w:tc>
      </w:tr>
      <w:tr w:rsidR="00255568" w:rsidRPr="00255568" w14:paraId="54B5B2D5" w14:textId="77777777" w:rsidTr="00F87745">
        <w:trPr>
          <w:trHeight w:val="173"/>
        </w:trPr>
        <w:tc>
          <w:tcPr>
            <w:tcW w:w="3708" w:type="dxa"/>
            <w:gridSpan w:val="2"/>
            <w:tcBorders>
              <w:top w:val="nil"/>
              <w:left w:val="nil"/>
              <w:bottom w:val="nil"/>
              <w:right w:val="nil"/>
            </w:tcBorders>
          </w:tcPr>
          <w:p w14:paraId="3B3BDCCA" w14:textId="77777777" w:rsidR="00255568" w:rsidRPr="00255568" w:rsidRDefault="00255568" w:rsidP="00255568">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Delivery</w:t>
            </w:r>
          </w:p>
        </w:tc>
        <w:tc>
          <w:tcPr>
            <w:tcW w:w="1170" w:type="dxa"/>
            <w:tcBorders>
              <w:top w:val="nil"/>
              <w:left w:val="nil"/>
              <w:bottom w:val="single" w:sz="6" w:space="0" w:color="auto"/>
              <w:right w:val="nil"/>
            </w:tcBorders>
          </w:tcPr>
          <w:p w14:paraId="39354AD3" w14:textId="27503BA3" w:rsidR="00255568" w:rsidRPr="00255568" w:rsidRDefault="00255568" w:rsidP="00F87745">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18.000 </w:t>
            </w:r>
          </w:p>
        </w:tc>
        <w:tc>
          <w:tcPr>
            <w:tcW w:w="1080" w:type="dxa"/>
            <w:tcBorders>
              <w:top w:val="nil"/>
              <w:left w:val="nil"/>
              <w:bottom w:val="single" w:sz="6" w:space="0" w:color="auto"/>
              <w:right w:val="nil"/>
            </w:tcBorders>
          </w:tcPr>
          <w:p w14:paraId="4C8463A2" w14:textId="3021318B"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18.000 </w:t>
            </w:r>
          </w:p>
        </w:tc>
        <w:tc>
          <w:tcPr>
            <w:tcW w:w="1170" w:type="dxa"/>
            <w:tcBorders>
              <w:top w:val="nil"/>
              <w:left w:val="nil"/>
              <w:bottom w:val="single" w:sz="6" w:space="0" w:color="auto"/>
              <w:right w:val="nil"/>
            </w:tcBorders>
          </w:tcPr>
          <w:p w14:paraId="0DEF2CAD" w14:textId="32E60C40"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18.000 </w:t>
            </w:r>
          </w:p>
        </w:tc>
        <w:tc>
          <w:tcPr>
            <w:tcW w:w="1080" w:type="dxa"/>
            <w:tcBorders>
              <w:top w:val="nil"/>
              <w:left w:val="nil"/>
              <w:bottom w:val="single" w:sz="6" w:space="0" w:color="auto"/>
              <w:right w:val="nil"/>
            </w:tcBorders>
          </w:tcPr>
          <w:p w14:paraId="2B918EC3" w14:textId="7DC84F45"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18.000 </w:t>
            </w:r>
          </w:p>
        </w:tc>
        <w:tc>
          <w:tcPr>
            <w:tcW w:w="1118" w:type="dxa"/>
            <w:gridSpan w:val="3"/>
            <w:tcBorders>
              <w:top w:val="nil"/>
              <w:left w:val="nil"/>
              <w:bottom w:val="single" w:sz="6" w:space="0" w:color="auto"/>
              <w:right w:val="nil"/>
            </w:tcBorders>
          </w:tcPr>
          <w:p w14:paraId="0A1EA53C" w14:textId="04BCF01F"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   </w:t>
            </w:r>
          </w:p>
        </w:tc>
      </w:tr>
      <w:tr w:rsidR="00F87745" w:rsidRPr="00255568" w14:paraId="61B943C4" w14:textId="77777777" w:rsidTr="00F87745">
        <w:trPr>
          <w:gridAfter w:val="1"/>
          <w:wAfter w:w="38" w:type="dxa"/>
          <w:trHeight w:val="180"/>
        </w:trPr>
        <w:tc>
          <w:tcPr>
            <w:tcW w:w="236" w:type="dxa"/>
            <w:tcBorders>
              <w:top w:val="nil"/>
              <w:left w:val="nil"/>
              <w:bottom w:val="nil"/>
              <w:right w:val="nil"/>
            </w:tcBorders>
          </w:tcPr>
          <w:p w14:paraId="599A6C85" w14:textId="77777777" w:rsidR="00255568" w:rsidRPr="00255568" w:rsidRDefault="00255568" w:rsidP="00255568">
            <w:pPr>
              <w:autoSpaceDE w:val="0"/>
              <w:autoSpaceDN w:val="0"/>
              <w:adjustRightInd w:val="0"/>
              <w:jc w:val="right"/>
              <w:rPr>
                <w:rFonts w:ascii="Arial" w:eastAsiaTheme="minorHAnsi" w:hAnsi="Arial" w:cs="Arial"/>
                <w:color w:val="000000"/>
                <w:lang w:val="en-GB"/>
              </w:rPr>
            </w:pPr>
          </w:p>
        </w:tc>
        <w:tc>
          <w:tcPr>
            <w:tcW w:w="3472" w:type="dxa"/>
            <w:tcBorders>
              <w:top w:val="nil"/>
              <w:left w:val="nil"/>
              <w:bottom w:val="nil"/>
              <w:right w:val="nil"/>
            </w:tcBorders>
          </w:tcPr>
          <w:p w14:paraId="14420DAD" w14:textId="77777777"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p>
        </w:tc>
        <w:tc>
          <w:tcPr>
            <w:tcW w:w="1170" w:type="dxa"/>
            <w:tcBorders>
              <w:top w:val="single" w:sz="6" w:space="0" w:color="auto"/>
              <w:left w:val="nil"/>
              <w:bottom w:val="double" w:sz="6" w:space="0" w:color="auto"/>
              <w:right w:val="nil"/>
            </w:tcBorders>
          </w:tcPr>
          <w:p w14:paraId="451353C7" w14:textId="1DCAA5AB" w:rsidR="00255568" w:rsidRPr="00255568" w:rsidRDefault="00255568" w:rsidP="00F87745">
            <w:pPr>
              <w:autoSpaceDE w:val="0"/>
              <w:autoSpaceDN w:val="0"/>
              <w:adjustRightInd w:val="0"/>
              <w:ind w:right="-18"/>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$ 195.849 </w:t>
            </w:r>
          </w:p>
        </w:tc>
        <w:tc>
          <w:tcPr>
            <w:tcW w:w="1080" w:type="dxa"/>
            <w:tcBorders>
              <w:top w:val="single" w:sz="6" w:space="0" w:color="auto"/>
              <w:left w:val="nil"/>
              <w:bottom w:val="double" w:sz="6" w:space="0" w:color="auto"/>
              <w:right w:val="nil"/>
            </w:tcBorders>
          </w:tcPr>
          <w:p w14:paraId="1181E066" w14:textId="71CEF60B"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$ 198.999 </w:t>
            </w:r>
          </w:p>
        </w:tc>
        <w:tc>
          <w:tcPr>
            <w:tcW w:w="1170" w:type="dxa"/>
            <w:tcBorders>
              <w:top w:val="single" w:sz="6" w:space="0" w:color="auto"/>
              <w:left w:val="nil"/>
              <w:bottom w:val="double" w:sz="6" w:space="0" w:color="auto"/>
              <w:right w:val="nil"/>
            </w:tcBorders>
          </w:tcPr>
          <w:p w14:paraId="3E8A5A22" w14:textId="1E9A09CB"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$ 199.629 </w:t>
            </w:r>
          </w:p>
        </w:tc>
        <w:tc>
          <w:tcPr>
            <w:tcW w:w="1080" w:type="dxa"/>
            <w:tcBorders>
              <w:top w:val="single" w:sz="6" w:space="0" w:color="auto"/>
              <w:left w:val="nil"/>
              <w:bottom w:val="double" w:sz="6" w:space="0" w:color="auto"/>
              <w:right w:val="nil"/>
            </w:tcBorders>
          </w:tcPr>
          <w:p w14:paraId="5CB0A337" w14:textId="28464527" w:rsidR="00255568" w:rsidRPr="00255568" w:rsidRDefault="00255568" w:rsidP="00255568">
            <w:pPr>
              <w:autoSpaceDE w:val="0"/>
              <w:autoSpaceDN w:val="0"/>
              <w:adjustRightInd w:val="0"/>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$ 192.699 </w:t>
            </w:r>
          </w:p>
        </w:tc>
        <w:tc>
          <w:tcPr>
            <w:tcW w:w="1080" w:type="dxa"/>
            <w:gridSpan w:val="2"/>
            <w:tcBorders>
              <w:top w:val="single" w:sz="6" w:space="0" w:color="auto"/>
              <w:left w:val="nil"/>
              <w:bottom w:val="double" w:sz="6" w:space="0" w:color="auto"/>
              <w:right w:val="nil"/>
            </w:tcBorders>
          </w:tcPr>
          <w:p w14:paraId="7F725F26" w14:textId="44350E53" w:rsidR="00255568" w:rsidRPr="00255568" w:rsidRDefault="00255568" w:rsidP="00F87745">
            <w:pPr>
              <w:autoSpaceDE w:val="0"/>
              <w:autoSpaceDN w:val="0"/>
              <w:adjustRightInd w:val="0"/>
              <w:ind w:right="-18"/>
              <w:jc w:val="right"/>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 $   50.569 </w:t>
            </w:r>
          </w:p>
        </w:tc>
      </w:tr>
    </w:tbl>
    <w:p w14:paraId="4A46D089" w14:textId="5834CA43" w:rsidR="00F87745" w:rsidRPr="00255568" w:rsidRDefault="00F87745" w:rsidP="00255568">
      <w:pPr>
        <w:tabs>
          <w:tab w:val="left" w:pos="314"/>
          <w:tab w:val="left" w:pos="3432"/>
          <w:tab w:val="left" w:pos="4584"/>
          <w:tab w:val="left" w:pos="5739"/>
          <w:tab w:val="left" w:pos="6894"/>
          <w:tab w:val="left" w:pos="8046"/>
        </w:tabs>
        <w:autoSpaceDE w:val="0"/>
        <w:autoSpaceDN w:val="0"/>
        <w:adjustRightInd w:val="0"/>
        <w:ind w:left="78"/>
        <w:rPr>
          <w:rFonts w:ascii="Arial" w:eastAsiaTheme="minorHAnsi" w:hAnsi="Arial" w:cs="Arial"/>
          <w:color w:val="000000"/>
          <w:sz w:val="18"/>
          <w:szCs w:val="18"/>
          <w:lang w:val="en-GB"/>
        </w:rPr>
      </w:pPr>
    </w:p>
    <w:tbl>
      <w:tblPr>
        <w:tblW w:w="0" w:type="auto"/>
        <w:tblLayout w:type="fixed"/>
        <w:tblLook w:val="0000" w:firstRow="0" w:lastRow="0" w:firstColumn="0" w:lastColumn="0" w:noHBand="0" w:noVBand="0"/>
      </w:tblPr>
      <w:tblGrid>
        <w:gridCol w:w="78"/>
        <w:gridCol w:w="390"/>
        <w:gridCol w:w="2880"/>
        <w:gridCol w:w="6"/>
        <w:gridCol w:w="1271"/>
        <w:gridCol w:w="4537"/>
        <w:gridCol w:w="156"/>
        <w:gridCol w:w="11"/>
        <w:gridCol w:w="78"/>
      </w:tblGrid>
      <w:tr w:rsidR="00400F40" w:rsidRPr="00BD2BF1" w14:paraId="27755E28" w14:textId="77777777" w:rsidTr="00400F40">
        <w:trPr>
          <w:gridAfter w:val="3"/>
          <w:wAfter w:w="245" w:type="dxa"/>
          <w:trHeight w:val="173"/>
        </w:trPr>
        <w:tc>
          <w:tcPr>
            <w:tcW w:w="9162" w:type="dxa"/>
            <w:gridSpan w:val="6"/>
            <w:tcBorders>
              <w:top w:val="nil"/>
              <w:left w:val="nil"/>
              <w:bottom w:val="nil"/>
            </w:tcBorders>
          </w:tcPr>
          <w:p w14:paraId="06E8AE5A" w14:textId="77BF56B9" w:rsidR="00400F40" w:rsidRPr="00255568" w:rsidRDefault="00400F40" w:rsidP="00400F40">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Notes:</w:t>
            </w:r>
          </w:p>
        </w:tc>
      </w:tr>
      <w:tr w:rsidR="00400F40" w:rsidRPr="00BD2BF1" w14:paraId="7E30D0F7" w14:textId="77777777" w:rsidTr="00400F40">
        <w:trPr>
          <w:gridAfter w:val="1"/>
          <w:wAfter w:w="78" w:type="dxa"/>
          <w:trHeight w:val="173"/>
        </w:trPr>
        <w:tc>
          <w:tcPr>
            <w:tcW w:w="9329" w:type="dxa"/>
            <w:gridSpan w:val="8"/>
            <w:tcBorders>
              <w:top w:val="nil"/>
              <w:left w:val="nil"/>
              <w:bottom w:val="nil"/>
            </w:tcBorders>
          </w:tcPr>
          <w:p w14:paraId="16D82C86" w14:textId="2726152A" w:rsidR="00400F40" w:rsidRPr="00255568" w:rsidRDefault="00400F40" w:rsidP="00400F40">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1.  Federal excise tax is charged to brewers on a sliding scale as follows:</w:t>
            </w:r>
          </w:p>
        </w:tc>
      </w:tr>
      <w:tr w:rsidR="00400F40" w:rsidRPr="00255568" w14:paraId="3B42212A" w14:textId="77777777" w:rsidTr="00400F40">
        <w:trPr>
          <w:gridBefore w:val="1"/>
          <w:gridAfter w:val="2"/>
          <w:wBefore w:w="78" w:type="dxa"/>
          <w:wAfter w:w="89" w:type="dxa"/>
          <w:trHeight w:val="173"/>
        </w:trPr>
        <w:tc>
          <w:tcPr>
            <w:tcW w:w="390" w:type="dxa"/>
            <w:tcBorders>
              <w:top w:val="nil"/>
              <w:left w:val="nil"/>
              <w:bottom w:val="nil"/>
              <w:right w:val="nil"/>
            </w:tcBorders>
          </w:tcPr>
          <w:p w14:paraId="31CD8E17" w14:textId="77777777" w:rsidR="00400F40" w:rsidRPr="00255568" w:rsidRDefault="00400F40" w:rsidP="00255568">
            <w:pPr>
              <w:autoSpaceDE w:val="0"/>
              <w:autoSpaceDN w:val="0"/>
              <w:adjustRightInd w:val="0"/>
              <w:jc w:val="right"/>
              <w:rPr>
                <w:rFonts w:ascii="Arial" w:eastAsiaTheme="minorHAnsi" w:hAnsi="Arial" w:cs="Arial"/>
                <w:color w:val="000000"/>
                <w:sz w:val="18"/>
                <w:szCs w:val="18"/>
                <w:lang w:val="en-GB"/>
              </w:rPr>
            </w:pPr>
          </w:p>
        </w:tc>
        <w:tc>
          <w:tcPr>
            <w:tcW w:w="2880" w:type="dxa"/>
            <w:tcBorders>
              <w:top w:val="nil"/>
              <w:left w:val="nil"/>
              <w:right w:val="nil"/>
            </w:tcBorders>
          </w:tcPr>
          <w:p w14:paraId="35D0D3A9" w14:textId="77777777" w:rsidR="00400F40" w:rsidRPr="00255568" w:rsidRDefault="00400F40" w:rsidP="00255568">
            <w:pPr>
              <w:autoSpaceDE w:val="0"/>
              <w:autoSpaceDN w:val="0"/>
              <w:adjustRightInd w:val="0"/>
              <w:rPr>
                <w:rFonts w:ascii="Arial" w:eastAsiaTheme="minorHAnsi" w:hAnsi="Arial" w:cs="Arial"/>
                <w:color w:val="000000"/>
                <w:sz w:val="18"/>
                <w:szCs w:val="18"/>
                <w:u w:val="single"/>
                <w:lang w:val="en-GB"/>
              </w:rPr>
            </w:pPr>
            <w:r w:rsidRPr="00255568">
              <w:rPr>
                <w:rFonts w:ascii="Arial" w:eastAsiaTheme="minorHAnsi" w:hAnsi="Arial" w:cs="Arial"/>
                <w:color w:val="000000"/>
                <w:sz w:val="18"/>
                <w:szCs w:val="18"/>
                <w:u w:val="single"/>
                <w:lang w:val="en-GB"/>
              </w:rPr>
              <w:t>Volume Produced</w:t>
            </w:r>
          </w:p>
        </w:tc>
        <w:tc>
          <w:tcPr>
            <w:tcW w:w="1277" w:type="dxa"/>
            <w:gridSpan w:val="2"/>
            <w:tcBorders>
              <w:top w:val="nil"/>
              <w:left w:val="nil"/>
              <w:bottom w:val="single" w:sz="6" w:space="0" w:color="auto"/>
              <w:right w:val="nil"/>
            </w:tcBorders>
          </w:tcPr>
          <w:p w14:paraId="2754C2ED" w14:textId="77777777" w:rsidR="00400F40" w:rsidRPr="00255568" w:rsidRDefault="00400F40" w:rsidP="00255568">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Tax per hl</w:t>
            </w:r>
          </w:p>
        </w:tc>
        <w:tc>
          <w:tcPr>
            <w:tcW w:w="4693" w:type="dxa"/>
            <w:gridSpan w:val="2"/>
            <w:tcBorders>
              <w:top w:val="nil"/>
              <w:left w:val="nil"/>
              <w:bottom w:val="nil"/>
            </w:tcBorders>
          </w:tcPr>
          <w:p w14:paraId="28576172" w14:textId="77777777" w:rsidR="00400F40" w:rsidRPr="00255568" w:rsidRDefault="00400F40" w:rsidP="00255568">
            <w:pPr>
              <w:autoSpaceDE w:val="0"/>
              <w:autoSpaceDN w:val="0"/>
              <w:adjustRightInd w:val="0"/>
              <w:jc w:val="right"/>
              <w:rPr>
                <w:rFonts w:ascii="Arial" w:eastAsiaTheme="minorHAnsi" w:hAnsi="Arial" w:cs="Arial"/>
                <w:color w:val="000000"/>
                <w:sz w:val="18"/>
                <w:szCs w:val="18"/>
                <w:lang w:val="en-GB"/>
              </w:rPr>
            </w:pPr>
          </w:p>
        </w:tc>
      </w:tr>
      <w:tr w:rsidR="00400F40" w:rsidRPr="00BD2BF1" w14:paraId="7C49DA21" w14:textId="77777777" w:rsidTr="002B3138">
        <w:trPr>
          <w:gridAfter w:val="2"/>
          <w:wAfter w:w="89" w:type="dxa"/>
          <w:trHeight w:val="173"/>
        </w:trPr>
        <w:tc>
          <w:tcPr>
            <w:tcW w:w="468" w:type="dxa"/>
            <w:gridSpan w:val="2"/>
            <w:tcBorders>
              <w:top w:val="nil"/>
              <w:left w:val="nil"/>
              <w:bottom w:val="nil"/>
              <w:right w:val="nil"/>
            </w:tcBorders>
          </w:tcPr>
          <w:p w14:paraId="72FF1E6C" w14:textId="77777777" w:rsidR="00400F40" w:rsidRPr="00255568" w:rsidRDefault="00400F40" w:rsidP="00255568">
            <w:pPr>
              <w:autoSpaceDE w:val="0"/>
              <w:autoSpaceDN w:val="0"/>
              <w:adjustRightInd w:val="0"/>
              <w:jc w:val="right"/>
              <w:rPr>
                <w:rFonts w:ascii="Arial" w:eastAsiaTheme="minorHAnsi" w:hAnsi="Arial" w:cs="Arial"/>
                <w:color w:val="000000"/>
                <w:sz w:val="18"/>
                <w:szCs w:val="18"/>
                <w:lang w:val="en-GB"/>
              </w:rPr>
            </w:pPr>
          </w:p>
        </w:tc>
        <w:tc>
          <w:tcPr>
            <w:tcW w:w="2886" w:type="dxa"/>
            <w:gridSpan w:val="2"/>
            <w:tcBorders>
              <w:top w:val="nil"/>
              <w:left w:val="nil"/>
              <w:bottom w:val="nil"/>
              <w:right w:val="nil"/>
            </w:tcBorders>
          </w:tcPr>
          <w:p w14:paraId="403F1117" w14:textId="77777777" w:rsidR="00400F40" w:rsidRPr="00255568" w:rsidRDefault="00400F40" w:rsidP="00255568">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0 to 5,000 hl</w:t>
            </w:r>
          </w:p>
        </w:tc>
        <w:tc>
          <w:tcPr>
            <w:tcW w:w="5964" w:type="dxa"/>
            <w:gridSpan w:val="3"/>
            <w:tcBorders>
              <w:top w:val="nil"/>
              <w:left w:val="nil"/>
              <w:bottom w:val="nil"/>
            </w:tcBorders>
          </w:tcPr>
          <w:p w14:paraId="4D16BC7D" w14:textId="7EDBC191" w:rsidR="00400F40" w:rsidRPr="00255568" w:rsidRDefault="00400F40" w:rsidP="00400F40">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$6.368 per hl</w:t>
            </w:r>
          </w:p>
        </w:tc>
      </w:tr>
      <w:tr w:rsidR="00400F40" w:rsidRPr="00BD2BF1" w14:paraId="6E6AE708" w14:textId="77777777" w:rsidTr="003965F8">
        <w:trPr>
          <w:gridBefore w:val="1"/>
          <w:wBefore w:w="78" w:type="dxa"/>
          <w:trHeight w:val="173"/>
        </w:trPr>
        <w:tc>
          <w:tcPr>
            <w:tcW w:w="390" w:type="dxa"/>
            <w:tcBorders>
              <w:top w:val="nil"/>
              <w:left w:val="nil"/>
              <w:bottom w:val="nil"/>
              <w:right w:val="nil"/>
            </w:tcBorders>
          </w:tcPr>
          <w:p w14:paraId="38421235" w14:textId="77777777" w:rsidR="00400F40" w:rsidRPr="00255568" w:rsidRDefault="00400F40" w:rsidP="00255568">
            <w:pPr>
              <w:autoSpaceDE w:val="0"/>
              <w:autoSpaceDN w:val="0"/>
              <w:adjustRightInd w:val="0"/>
              <w:jc w:val="right"/>
              <w:rPr>
                <w:rFonts w:ascii="Arial" w:eastAsiaTheme="minorHAnsi" w:hAnsi="Arial" w:cs="Arial"/>
                <w:color w:val="000000"/>
                <w:sz w:val="18"/>
                <w:szCs w:val="18"/>
                <w:lang w:val="en-GB"/>
              </w:rPr>
            </w:pPr>
          </w:p>
        </w:tc>
        <w:tc>
          <w:tcPr>
            <w:tcW w:w="2880" w:type="dxa"/>
            <w:tcBorders>
              <w:top w:val="nil"/>
              <w:left w:val="nil"/>
              <w:bottom w:val="nil"/>
              <w:right w:val="nil"/>
            </w:tcBorders>
          </w:tcPr>
          <w:p w14:paraId="59C15C96" w14:textId="77777777" w:rsidR="00400F40" w:rsidRPr="00255568" w:rsidRDefault="00400F40" w:rsidP="005241BA">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5,000 to 50,000 hl</w:t>
            </w:r>
          </w:p>
        </w:tc>
        <w:tc>
          <w:tcPr>
            <w:tcW w:w="6059" w:type="dxa"/>
            <w:gridSpan w:val="6"/>
            <w:tcBorders>
              <w:top w:val="nil"/>
              <w:left w:val="nil"/>
              <w:bottom w:val="nil"/>
            </w:tcBorders>
          </w:tcPr>
          <w:p w14:paraId="12DC71C9" w14:textId="2712D798" w:rsidR="00400F40" w:rsidRPr="00255568" w:rsidRDefault="00400F40" w:rsidP="005241BA">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$22.288 per hl</w:t>
            </w:r>
            <w:r w:rsidRPr="00BD2BF1">
              <w:rPr>
                <w:rFonts w:ascii="Arial" w:eastAsiaTheme="minorHAnsi" w:hAnsi="Arial" w:cs="Arial"/>
                <w:color w:val="000000"/>
                <w:sz w:val="18"/>
                <w:szCs w:val="18"/>
                <w:lang w:val="en-GB"/>
              </w:rPr>
              <w:t xml:space="preserve"> </w:t>
            </w:r>
            <w:r w:rsidRPr="00255568">
              <w:rPr>
                <w:rFonts w:ascii="Arial" w:eastAsiaTheme="minorHAnsi" w:hAnsi="Arial" w:cs="Arial"/>
                <w:color w:val="000000"/>
                <w:sz w:val="18"/>
                <w:szCs w:val="18"/>
                <w:lang w:val="en-GB"/>
              </w:rPr>
              <w:t>(rate applicable to ALL volume, including first 5,000 hl)</w:t>
            </w:r>
          </w:p>
        </w:tc>
      </w:tr>
      <w:tr w:rsidR="00400F40" w:rsidRPr="00BD2BF1" w14:paraId="578701F6" w14:textId="77777777" w:rsidTr="00400F40">
        <w:trPr>
          <w:gridAfter w:val="1"/>
          <w:wAfter w:w="78" w:type="dxa"/>
          <w:trHeight w:val="173"/>
        </w:trPr>
        <w:tc>
          <w:tcPr>
            <w:tcW w:w="9329" w:type="dxa"/>
            <w:gridSpan w:val="8"/>
            <w:tcBorders>
              <w:top w:val="nil"/>
              <w:left w:val="nil"/>
              <w:bottom w:val="nil"/>
            </w:tcBorders>
          </w:tcPr>
          <w:p w14:paraId="149C9EDB" w14:textId="7EC7DBC0" w:rsidR="00400F40" w:rsidRPr="00255568" w:rsidRDefault="00400F40" w:rsidP="00400F40">
            <w:pPr>
              <w:autoSpaceDE w:val="0"/>
              <w:autoSpaceDN w:val="0"/>
              <w:adjustRightInd w:val="0"/>
              <w:rPr>
                <w:rFonts w:ascii="Arial" w:eastAsiaTheme="minorHAnsi" w:hAnsi="Arial" w:cs="Arial"/>
                <w:color w:val="000000"/>
                <w:sz w:val="18"/>
                <w:szCs w:val="18"/>
                <w:lang w:val="en-GB"/>
              </w:rPr>
            </w:pPr>
            <w:r w:rsidRPr="00255568">
              <w:rPr>
                <w:rFonts w:ascii="Arial" w:eastAsiaTheme="minorHAnsi" w:hAnsi="Arial" w:cs="Arial"/>
                <w:color w:val="000000"/>
                <w:sz w:val="18"/>
                <w:szCs w:val="18"/>
                <w:lang w:val="en-GB"/>
              </w:rPr>
              <w:t xml:space="preserve">2.  BRI fees are paid to the Beer Store as a </w:t>
            </w:r>
            <w:r>
              <w:rPr>
                <w:rFonts w:ascii="Arial" w:eastAsiaTheme="minorHAnsi" w:hAnsi="Arial" w:cs="Arial"/>
                <w:color w:val="000000"/>
                <w:sz w:val="18"/>
                <w:szCs w:val="18"/>
                <w:lang w:val="en-GB"/>
              </w:rPr>
              <w:t>“</w:t>
            </w:r>
            <w:r w:rsidRPr="00255568">
              <w:rPr>
                <w:rFonts w:ascii="Arial" w:eastAsiaTheme="minorHAnsi" w:hAnsi="Arial" w:cs="Arial"/>
                <w:color w:val="000000"/>
                <w:sz w:val="18"/>
                <w:szCs w:val="18"/>
                <w:lang w:val="en-GB"/>
              </w:rPr>
              <w:t>stocking charge</w:t>
            </w:r>
            <w:r>
              <w:rPr>
                <w:rFonts w:ascii="Arial" w:eastAsiaTheme="minorHAnsi" w:hAnsi="Arial" w:cs="Arial"/>
                <w:color w:val="000000"/>
                <w:sz w:val="18"/>
                <w:szCs w:val="18"/>
                <w:lang w:val="en-GB"/>
              </w:rPr>
              <w:t>”</w:t>
            </w:r>
            <w:r w:rsidRPr="00255568">
              <w:rPr>
                <w:rFonts w:ascii="Arial" w:eastAsiaTheme="minorHAnsi" w:hAnsi="Arial" w:cs="Arial"/>
                <w:color w:val="000000"/>
                <w:sz w:val="18"/>
                <w:szCs w:val="18"/>
                <w:lang w:val="en-GB"/>
              </w:rPr>
              <w:t xml:space="preserve"> at the rate of $42.78 per hl.</w:t>
            </w:r>
          </w:p>
        </w:tc>
      </w:tr>
    </w:tbl>
    <w:p w14:paraId="445849E2" w14:textId="77777777" w:rsidR="007A6A98" w:rsidRPr="00DE1820" w:rsidRDefault="007A6A98" w:rsidP="00D36DAB">
      <w:pPr>
        <w:pStyle w:val="FootnoteText1"/>
        <w:rPr>
          <w:rFonts w:eastAsiaTheme="majorEastAsia"/>
          <w:lang w:val="en-GB"/>
        </w:rPr>
      </w:pPr>
    </w:p>
    <w:p w14:paraId="0A174E41" w14:textId="77777777" w:rsidR="007A6A98" w:rsidRPr="00DE1820" w:rsidRDefault="007A6A98" w:rsidP="00D36DAB">
      <w:pPr>
        <w:pStyle w:val="FootnoteText1"/>
        <w:rPr>
          <w:rFonts w:eastAsiaTheme="majorEastAsia"/>
          <w:lang w:val="en-GB"/>
        </w:rPr>
      </w:pPr>
      <w:r w:rsidRPr="00DE1820">
        <w:rPr>
          <w:rFonts w:eastAsiaTheme="majorEastAsia"/>
          <w:lang w:val="en-GB"/>
        </w:rPr>
        <w:t xml:space="preserve">Note: hl = hectolitre; BRI = </w:t>
      </w:r>
      <w:r>
        <w:rPr>
          <w:rFonts w:eastAsiaTheme="majorEastAsia"/>
          <w:lang w:val="en-GB"/>
        </w:rPr>
        <w:t>Brewers</w:t>
      </w:r>
      <w:r w:rsidRPr="00DE1820">
        <w:rPr>
          <w:rFonts w:eastAsiaTheme="majorEastAsia"/>
          <w:lang w:val="en-GB"/>
        </w:rPr>
        <w:t xml:space="preserve"> Retail Inc.</w:t>
      </w:r>
    </w:p>
    <w:p w14:paraId="3B21BD59" w14:textId="77777777" w:rsidR="007A6A98" w:rsidRPr="00DE1820" w:rsidRDefault="007A6A98" w:rsidP="00D36DAB">
      <w:pPr>
        <w:pStyle w:val="FootnoteText1"/>
        <w:rPr>
          <w:rFonts w:eastAsiaTheme="majorEastAsia"/>
          <w:lang w:val="en-GB"/>
        </w:rPr>
      </w:pPr>
      <w:r w:rsidRPr="00DE1820">
        <w:rPr>
          <w:rFonts w:eastAsiaTheme="majorEastAsia"/>
          <w:lang w:val="en-GB"/>
        </w:rPr>
        <w:t>Source: Company files.</w:t>
      </w:r>
    </w:p>
    <w:p w14:paraId="30BD1326" w14:textId="77777777" w:rsidR="007A6A98" w:rsidRPr="00DE1820" w:rsidRDefault="007A6A98" w:rsidP="00D36DAB">
      <w:pPr>
        <w:pStyle w:val="BodyTextMain"/>
        <w:rPr>
          <w:rFonts w:eastAsiaTheme="majorEastAsia"/>
          <w:lang w:val="en-GB"/>
        </w:rPr>
      </w:pPr>
    </w:p>
    <w:p w14:paraId="28561747" w14:textId="77777777" w:rsidR="008102B3" w:rsidRPr="008102B3" w:rsidRDefault="008102B3" w:rsidP="00D36DAB">
      <w:pPr>
        <w:pStyle w:val="BodyTextMain"/>
      </w:pPr>
    </w:p>
    <w:sectPr w:rsidR="008102B3" w:rsidRPr="008102B3"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02C136E" w14:textId="77777777" w:rsidR="007A6A98" w:rsidRPr="00DE1820" w:rsidRDefault="007A6A98" w:rsidP="007A6A98">
      <w:pPr>
        <w:pStyle w:val="FootnoteText1"/>
        <w:rPr>
          <w:lang w:val="en-GB"/>
        </w:rPr>
      </w:pPr>
      <w:r w:rsidRPr="00DE1820">
        <w:rPr>
          <w:vertAlign w:val="superscript"/>
          <w:lang w:val="en-GB"/>
        </w:rPr>
        <w:footnoteRef/>
      </w:r>
      <w:r w:rsidRPr="00DE1820">
        <w:rPr>
          <w:lang w:val="en-GB"/>
        </w:rPr>
        <w:t xml:space="preserve"> “How Beer Is Made,” Beer Canada, accessed September 11, 2018, https://beercanada.com/beer-101/how-beer-made.</w:t>
      </w:r>
    </w:p>
  </w:footnote>
  <w:footnote w:id="2">
    <w:p w14:paraId="15F23FF3" w14:textId="77777777" w:rsidR="007A6A98" w:rsidRPr="00DE1820" w:rsidRDefault="007A6A98" w:rsidP="007A6A98">
      <w:pPr>
        <w:pStyle w:val="FootnoteText1"/>
        <w:rPr>
          <w:lang w:val="en-GB"/>
        </w:rPr>
      </w:pPr>
      <w:r w:rsidRPr="00DE1820">
        <w:rPr>
          <w:vertAlign w:val="superscript"/>
          <w:lang w:val="en-GB"/>
        </w:rPr>
        <w:footnoteRef/>
      </w:r>
      <w:r w:rsidRPr="00DE1820">
        <w:rPr>
          <w:lang w:val="en-GB"/>
        </w:rPr>
        <w:t xml:space="preserve"> “Rare </w:t>
      </w:r>
      <w:proofErr w:type="spellStart"/>
      <w:r w:rsidRPr="00DE1820">
        <w:rPr>
          <w:lang w:val="en-GB"/>
        </w:rPr>
        <w:t>Brewmaster</w:t>
      </w:r>
      <w:proofErr w:type="spellEnd"/>
      <w:r w:rsidRPr="00DE1820">
        <w:rPr>
          <w:lang w:val="en-GB"/>
        </w:rPr>
        <w:t xml:space="preserve"> Program Lures People from Around the World to Small Alberta Town of Olds,” Canadian Broadcasting Corporation, accessed September 9, 2018, www.cbc.ca/news/canada/calgary/olds-college-brewmaster-program-1.4465618.</w:t>
      </w:r>
    </w:p>
  </w:footnote>
  <w:footnote w:id="3">
    <w:p w14:paraId="098C10B7" w14:textId="77777777" w:rsidR="007A6A98" w:rsidRPr="00DE1820" w:rsidRDefault="007A6A98" w:rsidP="007A6A98">
      <w:pPr>
        <w:pStyle w:val="FootnoteText1"/>
        <w:rPr>
          <w:lang w:val="en-GB"/>
        </w:rPr>
      </w:pPr>
      <w:r w:rsidRPr="00DE1820">
        <w:rPr>
          <w:vertAlign w:val="superscript"/>
          <w:lang w:val="en-GB"/>
        </w:rPr>
        <w:footnoteRef/>
      </w:r>
      <w:r w:rsidRPr="00DE1820">
        <w:rPr>
          <w:lang w:val="en-GB"/>
        </w:rPr>
        <w:t xml:space="preserve"> Brick Brewing </w:t>
      </w:r>
      <w:r>
        <w:rPr>
          <w:lang w:val="en-GB"/>
        </w:rPr>
        <w:t>Co. Limited</w:t>
      </w:r>
      <w:r w:rsidRPr="00DE1820">
        <w:rPr>
          <w:lang w:val="en-GB"/>
        </w:rPr>
        <w:t xml:space="preserve">, </w:t>
      </w:r>
      <w:r w:rsidRPr="00DE1820">
        <w:rPr>
          <w:i/>
          <w:lang w:val="en-GB"/>
        </w:rPr>
        <w:t>Condensed Interim Financial Statements</w:t>
      </w:r>
      <w:r w:rsidRPr="00DE1820">
        <w:rPr>
          <w:lang w:val="en-GB"/>
        </w:rPr>
        <w:t>, accessed September 9, 2018, https://investorrelations.waterloobrewing.com/sites/waterloobrewinv/files/interim_financial_statements_-_english_q2.pdf.</w:t>
      </w:r>
    </w:p>
  </w:footnote>
  <w:footnote w:id="4">
    <w:p w14:paraId="5D6A023D" w14:textId="77777777" w:rsidR="007A6A98" w:rsidRPr="00DE1820" w:rsidRDefault="007A6A98" w:rsidP="007A6A98">
      <w:pPr>
        <w:pStyle w:val="FootnoteText1"/>
        <w:rPr>
          <w:lang w:val="en-GB"/>
        </w:rPr>
      </w:pPr>
      <w:r w:rsidRPr="00DE1820">
        <w:rPr>
          <w:vertAlign w:val="superscript"/>
          <w:lang w:val="en-GB"/>
        </w:rPr>
        <w:footnoteRef/>
      </w:r>
      <w:r w:rsidRPr="00DE1820">
        <w:rPr>
          <w:lang w:val="en-GB"/>
        </w:rPr>
        <w:t xml:space="preserve"> Mike </w:t>
      </w:r>
      <w:proofErr w:type="spellStart"/>
      <w:r w:rsidRPr="00DE1820">
        <w:rPr>
          <w:lang w:val="en-GB"/>
        </w:rPr>
        <w:t>Pomranz</w:t>
      </w:r>
      <w:proofErr w:type="spellEnd"/>
      <w:r w:rsidRPr="00DE1820">
        <w:rPr>
          <w:lang w:val="en-GB"/>
        </w:rPr>
        <w:t xml:space="preserve">, “Does Craft Beer Have Any Room Left for </w:t>
      </w:r>
      <w:proofErr w:type="gramStart"/>
      <w:r w:rsidRPr="00DE1820">
        <w:rPr>
          <w:lang w:val="en-GB"/>
        </w:rPr>
        <w:t>Innovation?</w:t>
      </w:r>
      <w:r>
        <w:rPr>
          <w:lang w:val="en-GB"/>
        </w:rPr>
        <w:t>,</w:t>
      </w:r>
      <w:proofErr w:type="gramEnd"/>
      <w:r w:rsidRPr="00DE1820">
        <w:rPr>
          <w:lang w:val="en-GB"/>
        </w:rPr>
        <w:t xml:space="preserve">” </w:t>
      </w:r>
      <w:r w:rsidRPr="00FA6787">
        <w:rPr>
          <w:i/>
          <w:lang w:val="en-GB"/>
        </w:rPr>
        <w:t>Food &amp; Wine</w:t>
      </w:r>
      <w:r w:rsidRPr="00DE1820">
        <w:rPr>
          <w:lang w:val="en-GB"/>
        </w:rPr>
        <w:t>, September 14, 2017, accessed September 14, 2018, www.foodandwine.com/articles/does-craft-beer-have-any-room-left-innovation.</w:t>
      </w:r>
    </w:p>
  </w:footnote>
  <w:footnote w:id="5">
    <w:p w14:paraId="46E4BC1F" w14:textId="77777777" w:rsidR="007A6A98" w:rsidRPr="00DE1820" w:rsidRDefault="007A6A98" w:rsidP="007A6A98">
      <w:pPr>
        <w:pStyle w:val="FootnoteText1"/>
        <w:rPr>
          <w:lang w:val="en-GB"/>
        </w:rPr>
      </w:pPr>
      <w:r w:rsidRPr="00DE1820">
        <w:rPr>
          <w:vertAlign w:val="superscript"/>
          <w:lang w:val="en-GB"/>
        </w:rPr>
        <w:footnoteRef/>
      </w:r>
      <w:r w:rsidRPr="00DE1820">
        <w:rPr>
          <w:lang w:val="en-GB"/>
        </w:rPr>
        <w:t xml:space="preserve"> Liquor Control Board of Ontario</w:t>
      </w:r>
      <w:r>
        <w:rPr>
          <w:lang w:val="en-GB"/>
        </w:rPr>
        <w:t>,</w:t>
      </w:r>
      <w:r w:rsidRPr="00DE1820">
        <w:rPr>
          <w:i/>
          <w:lang w:val="en-GB"/>
        </w:rPr>
        <w:t xml:space="preserve"> Transforming for the Future: LCBO Annual Report 2016–17</w:t>
      </w:r>
      <w:r w:rsidRPr="00DE1820">
        <w:rPr>
          <w:lang w:val="en-GB"/>
        </w:rPr>
        <w:t>, accessed September 12, 2018, www.lcbo.com/content/dam/lcbo/corporate-pages/about/pdf/LCBO_AR16-17-english.pdf.</w:t>
      </w:r>
    </w:p>
  </w:footnote>
  <w:footnote w:id="6">
    <w:p w14:paraId="5011C28F" w14:textId="77777777" w:rsidR="007A6A98" w:rsidRPr="00DE1820" w:rsidRDefault="007A6A98" w:rsidP="007A6A98">
      <w:pPr>
        <w:pStyle w:val="FootnoteText1"/>
        <w:rPr>
          <w:sz w:val="20"/>
          <w:szCs w:val="20"/>
          <w:lang w:val="en-GB"/>
        </w:rPr>
      </w:pPr>
      <w:r w:rsidRPr="00DE1820">
        <w:rPr>
          <w:vertAlign w:val="superscript"/>
          <w:lang w:val="en-GB"/>
        </w:rPr>
        <w:footnoteRef/>
      </w:r>
      <w:r w:rsidRPr="00DE1820">
        <w:rPr>
          <w:lang w:val="en-GB"/>
        </w:rPr>
        <w:t xml:space="preserve"> “Big Rock Brewery, Inc.: Consumer Packaged Goods—Company Profile, SWOT &amp; Financial Analysis,” </w:t>
      </w:r>
      <w:r w:rsidRPr="00FA6787">
        <w:rPr>
          <w:i/>
          <w:lang w:val="en-GB"/>
        </w:rPr>
        <w:t>The Drinks Business</w:t>
      </w:r>
      <w:r w:rsidRPr="00DE1820">
        <w:rPr>
          <w:lang w:val="en-GB"/>
        </w:rPr>
        <w:t>, accessed January 10, 2019, www.thedrinksbusiness.com/dbreport/big-rock-brewery-inc-consumer-packaged-goods-company-profile-swot-financial-analysis.</w:t>
      </w:r>
    </w:p>
  </w:footnote>
  <w:footnote w:id="7">
    <w:p w14:paraId="5461C4DC" w14:textId="2E875FC4" w:rsidR="007A6A98" w:rsidRPr="00DE1820" w:rsidRDefault="007A6A98" w:rsidP="007A6A98">
      <w:pPr>
        <w:pStyle w:val="FootnoteText1"/>
        <w:rPr>
          <w:lang w:val="en-GB"/>
        </w:rPr>
      </w:pPr>
      <w:r w:rsidRPr="00DE1820">
        <w:rPr>
          <w:vertAlign w:val="superscript"/>
          <w:lang w:val="en-GB"/>
        </w:rPr>
        <w:footnoteRef/>
      </w:r>
      <w:r w:rsidRPr="00DE1820">
        <w:rPr>
          <w:lang w:val="en-GB"/>
        </w:rPr>
        <w:t xml:space="preserve"> Ibid.</w:t>
      </w:r>
    </w:p>
  </w:footnote>
  <w:footnote w:id="8">
    <w:p w14:paraId="45CA0EC1" w14:textId="77777777" w:rsidR="007A6A98" w:rsidRPr="00DE1820" w:rsidRDefault="007A6A98" w:rsidP="007A6A98">
      <w:pPr>
        <w:pStyle w:val="FootnoteText1"/>
        <w:rPr>
          <w:lang w:val="en-GB"/>
        </w:rPr>
      </w:pPr>
      <w:r w:rsidRPr="00DE1820">
        <w:rPr>
          <w:vertAlign w:val="superscript"/>
          <w:lang w:val="en-GB"/>
        </w:rPr>
        <w:footnoteRef/>
      </w:r>
      <w:r w:rsidRPr="00DE1820">
        <w:rPr>
          <w:lang w:val="en-GB"/>
        </w:rPr>
        <w:t xml:space="preserve"> Ibid</w:t>
      </w:r>
      <w:r>
        <w:rPr>
          <w:lang w:val="en-GB"/>
        </w:rPr>
        <w:t>.</w:t>
      </w:r>
    </w:p>
  </w:footnote>
  <w:footnote w:id="9">
    <w:p w14:paraId="73A4CBFD" w14:textId="77777777" w:rsidR="007A6A98" w:rsidRPr="00DE1820" w:rsidRDefault="007A6A98" w:rsidP="007A6A98">
      <w:pPr>
        <w:pStyle w:val="FootnoteText1"/>
        <w:rPr>
          <w:lang w:val="en-GB"/>
        </w:rPr>
      </w:pPr>
      <w:r w:rsidRPr="00DE1820">
        <w:rPr>
          <w:vertAlign w:val="superscript"/>
          <w:lang w:val="en-GB"/>
        </w:rPr>
        <w:footnoteRef/>
      </w:r>
      <w:r w:rsidRPr="00DE1820">
        <w:rPr>
          <w:lang w:val="en-GB"/>
        </w:rPr>
        <w:t xml:space="preserve"> Lucie Couillard, Breweries in Canada: IBISWorld Industry Report 31212CA, October 2018, accessed January 10, 2019, www.ibisworld.ca/reports/reportdownload.aspx?cid=124&amp;rtid=101.</w:t>
      </w:r>
    </w:p>
  </w:footnote>
  <w:footnote w:id="10">
    <w:p w14:paraId="1432ACDD" w14:textId="704DF8B6" w:rsidR="007A6A98" w:rsidRPr="007A6A98" w:rsidRDefault="007A6A98" w:rsidP="007A6A98">
      <w:pPr>
        <w:pStyle w:val="FootnoteText1"/>
      </w:pPr>
      <w:r w:rsidRPr="00DE1820">
        <w:rPr>
          <w:rStyle w:val="FootnoteReference"/>
          <w:lang w:val="en-GB"/>
        </w:rPr>
        <w:footnoteRef/>
      </w:r>
      <w:r w:rsidRPr="00DE1820">
        <w:rPr>
          <w:lang w:val="en-GB"/>
        </w:rPr>
        <w:t xml:space="preserve"> “About Ontario Craft Brewers,” Ontario Craft Brewers, accessed September 14, 2018, </w:t>
      </w:r>
      <w:r w:rsidR="00400F40" w:rsidRPr="00400F40">
        <w:t>www.ontariocraftbrewers.com</w:t>
      </w:r>
      <w:r w:rsidR="00400F40">
        <w:br/>
      </w:r>
      <w:r w:rsidRPr="007A6A98">
        <w:t xml:space="preserve">/About.html. </w:t>
      </w:r>
    </w:p>
  </w:footnote>
  <w:footnote w:id="11">
    <w:p w14:paraId="771E48D0" w14:textId="77777777" w:rsidR="007A6A98" w:rsidRPr="00DE1820" w:rsidRDefault="007A6A98" w:rsidP="007A6A98">
      <w:pPr>
        <w:pStyle w:val="FootnoteText1"/>
        <w:rPr>
          <w:lang w:val="en-GB"/>
        </w:rPr>
      </w:pPr>
      <w:r w:rsidRPr="00DE1820">
        <w:rPr>
          <w:rStyle w:val="FootnoteReference"/>
          <w:lang w:val="en-GB"/>
        </w:rPr>
        <w:footnoteRef/>
      </w:r>
      <w:r w:rsidRPr="00DE1820">
        <w:rPr>
          <w:lang w:val="en-GB"/>
        </w:rPr>
        <w:t xml:space="preserve"> </w:t>
      </w:r>
      <w:r w:rsidRPr="00DE1820">
        <w:rPr>
          <w:i/>
          <w:lang w:val="en-GB"/>
        </w:rPr>
        <w:t>2017 Annual Report for Brick Brewing Co. Limited</w:t>
      </w:r>
      <w:r w:rsidRPr="00DE1820">
        <w:rPr>
          <w:lang w:val="en-GB"/>
        </w:rPr>
        <w:t>, Waterloo Brewing, accessed January 10, 2019, https://investorrelations.waterloobrewing.com/sites/waterloobrewinv/files/sbb0543_01_annual_report_pages_lr[4].pdf.</w:t>
      </w:r>
    </w:p>
  </w:footnote>
  <w:footnote w:id="12">
    <w:p w14:paraId="5FDC4C0C" w14:textId="77777777" w:rsidR="007A6A98" w:rsidRPr="00DE1820" w:rsidRDefault="007A6A98" w:rsidP="007A6A98">
      <w:pPr>
        <w:pStyle w:val="FootnoteText1"/>
        <w:rPr>
          <w:lang w:val="en-GB"/>
        </w:rPr>
      </w:pPr>
      <w:r w:rsidRPr="00DE1820">
        <w:rPr>
          <w:rStyle w:val="FootnoteReference"/>
          <w:lang w:val="en-GB"/>
        </w:rPr>
        <w:footnoteRef/>
      </w:r>
      <w:r w:rsidRPr="00DE1820">
        <w:rPr>
          <w:lang w:val="en-GB"/>
        </w:rPr>
        <w:t xml:space="preserve"> “Big Rock Brewery, Inc.: Consumer Packaged Goods—Company Profile, SWOT &amp; Financial Analysis,” op. cit</w:t>
      </w:r>
      <w:r>
        <w:rPr>
          <w:lang w:val="en-GB"/>
        </w:rPr>
        <w:t>.</w:t>
      </w:r>
    </w:p>
  </w:footnote>
  <w:footnote w:id="13">
    <w:p w14:paraId="215E4533" w14:textId="77777777" w:rsidR="007A6A98" w:rsidRPr="00DE1820" w:rsidRDefault="007A6A98" w:rsidP="007A6A98">
      <w:pPr>
        <w:pStyle w:val="FootnoteText1"/>
        <w:rPr>
          <w:lang w:val="en-GB"/>
        </w:rPr>
      </w:pPr>
      <w:r w:rsidRPr="00DE1820">
        <w:rPr>
          <w:vertAlign w:val="superscript"/>
          <w:lang w:val="en-GB"/>
        </w:rPr>
        <w:footnoteRef/>
      </w:r>
      <w:r w:rsidRPr="00DE1820">
        <w:rPr>
          <w:lang w:val="en-GB"/>
        </w:rPr>
        <w:t xml:space="preserve"> </w:t>
      </w:r>
      <w:r w:rsidRPr="00DE1820">
        <w:rPr>
          <w:i/>
          <w:lang w:val="en-GB"/>
        </w:rPr>
        <w:t>Brick Brewing Company: Condensed Interim Financial Statements</w:t>
      </w:r>
      <w:r w:rsidRPr="00DE1820">
        <w:rPr>
          <w:lang w:val="en-GB"/>
        </w:rPr>
        <w:t>, Waterloo Brewing, accessed September 9, 2018, https://investorrelations.waterloobrewing.com/sites/waterloobrewinv/files/interim_financial_statements_-_english_q2.pdf.</w:t>
      </w:r>
    </w:p>
  </w:footnote>
  <w:footnote w:id="14">
    <w:p w14:paraId="38916B07" w14:textId="77777777" w:rsidR="007A6A98" w:rsidRPr="00DE1820" w:rsidRDefault="007A6A98" w:rsidP="007A6A98">
      <w:pPr>
        <w:pStyle w:val="FootnoteText1"/>
        <w:rPr>
          <w:lang w:val="en-GB"/>
        </w:rPr>
      </w:pPr>
      <w:r w:rsidRPr="00DE1820">
        <w:rPr>
          <w:rStyle w:val="FootnoteReference"/>
          <w:lang w:val="en-GB"/>
        </w:rPr>
        <w:footnoteRef/>
      </w:r>
      <w:r w:rsidRPr="00DE1820">
        <w:rPr>
          <w:lang w:val="en-GB"/>
        </w:rPr>
        <w:t xml:space="preserve"> All currency amounts are in CA$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5DB85A0"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832C3">
      <w:rPr>
        <w:rFonts w:ascii="Arial" w:hAnsi="Arial"/>
        <w:b/>
        <w:noProof/>
      </w:rPr>
      <w:t>2</w:t>
    </w:r>
    <w:r>
      <w:rPr>
        <w:rFonts w:ascii="Arial" w:hAnsi="Arial"/>
        <w:b/>
      </w:rPr>
      <w:fldChar w:fldCharType="end"/>
    </w:r>
    <w:r>
      <w:rPr>
        <w:rFonts w:ascii="Arial" w:hAnsi="Arial"/>
        <w:b/>
      </w:rPr>
      <w:tab/>
    </w:r>
    <w:r w:rsidR="007A6A98">
      <w:rPr>
        <w:rFonts w:ascii="Arial" w:hAnsi="Arial"/>
        <w:b/>
      </w:rPr>
      <w:t>9B19B007</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FADC9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E024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0FA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3202B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5834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64DC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C60F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5014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8EC9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F23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295F88"/>
    <w:multiLevelType w:val="hybridMultilevel"/>
    <w:tmpl w:val="4CDC0ED4"/>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353"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21E13ED"/>
    <w:multiLevelType w:val="hybridMultilevel"/>
    <w:tmpl w:val="3228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24F1D"/>
    <w:multiLevelType w:val="hybridMultilevel"/>
    <w:tmpl w:val="936C3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FEF1B17"/>
    <w:multiLevelType w:val="hybridMultilevel"/>
    <w:tmpl w:val="D624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5554A"/>
    <w:multiLevelType w:val="hybridMultilevel"/>
    <w:tmpl w:val="88DE3044"/>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A647FA"/>
    <w:multiLevelType w:val="hybridMultilevel"/>
    <w:tmpl w:val="EB0A7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733D5"/>
    <w:multiLevelType w:val="hybridMultilevel"/>
    <w:tmpl w:val="AB660E34"/>
    <w:lvl w:ilvl="0" w:tplc="46DE0330">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085D3C"/>
    <w:multiLevelType w:val="hybridMultilevel"/>
    <w:tmpl w:val="33D25440"/>
    <w:lvl w:ilvl="0" w:tplc="66649C6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7"/>
  </w:num>
  <w:num w:numId="4">
    <w:abstractNumId w:val="26"/>
  </w:num>
  <w:num w:numId="5">
    <w:abstractNumId w:val="19"/>
  </w:num>
  <w:num w:numId="6">
    <w:abstractNumId w:val="23"/>
  </w:num>
  <w:num w:numId="7">
    <w:abstractNumId w:val="10"/>
  </w:num>
  <w:num w:numId="8">
    <w:abstractNumId w:val="29"/>
  </w:num>
  <w:num w:numId="9">
    <w:abstractNumId w:val="24"/>
  </w:num>
  <w:num w:numId="10">
    <w:abstractNumId w:val="15"/>
  </w:num>
  <w:num w:numId="11">
    <w:abstractNumId w:val="21"/>
  </w:num>
  <w:num w:numId="12">
    <w:abstractNumId w:val="22"/>
  </w:num>
  <w:num w:numId="13">
    <w:abstractNumId w:val="11"/>
  </w:num>
  <w:num w:numId="14">
    <w:abstractNumId w:val="12"/>
  </w:num>
  <w:num w:numId="15">
    <w:abstractNumId w:val="14"/>
  </w:num>
  <w:num w:numId="16">
    <w:abstractNumId w:val="25"/>
  </w:num>
  <w:num w:numId="17">
    <w:abstractNumId w:val="18"/>
  </w:num>
  <w:num w:numId="18">
    <w:abstractNumId w:val="16"/>
  </w:num>
  <w:num w:numId="19">
    <w:abstractNumId w:val="28"/>
  </w:num>
  <w:num w:numId="20">
    <w:abstractNumId w:val="13"/>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5313"/>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55568"/>
    <w:rsid w:val="00265FA8"/>
    <w:rsid w:val="002A365F"/>
    <w:rsid w:val="002B40FF"/>
    <w:rsid w:val="002C4E29"/>
    <w:rsid w:val="002F460C"/>
    <w:rsid w:val="002F48D6"/>
    <w:rsid w:val="00307C07"/>
    <w:rsid w:val="00317391"/>
    <w:rsid w:val="00326216"/>
    <w:rsid w:val="00336580"/>
    <w:rsid w:val="00354899"/>
    <w:rsid w:val="00355FD6"/>
    <w:rsid w:val="00364A5C"/>
    <w:rsid w:val="00373FB1"/>
    <w:rsid w:val="00396C76"/>
    <w:rsid w:val="003B30D8"/>
    <w:rsid w:val="003B7EF2"/>
    <w:rsid w:val="003C3FA4"/>
    <w:rsid w:val="003D0BA1"/>
    <w:rsid w:val="003F2B0C"/>
    <w:rsid w:val="00400F40"/>
    <w:rsid w:val="00404BE4"/>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1BA"/>
    <w:rsid w:val="00524F2F"/>
    <w:rsid w:val="00527E5C"/>
    <w:rsid w:val="00532CF5"/>
    <w:rsid w:val="005528CB"/>
    <w:rsid w:val="00566771"/>
    <w:rsid w:val="00581E2E"/>
    <w:rsid w:val="00584F15"/>
    <w:rsid w:val="0059514B"/>
    <w:rsid w:val="005A1B0F"/>
    <w:rsid w:val="005B4CE6"/>
    <w:rsid w:val="005B5EFE"/>
    <w:rsid w:val="005F6958"/>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A6A98"/>
    <w:rsid w:val="007D1A2D"/>
    <w:rsid w:val="007D32E6"/>
    <w:rsid w:val="007D4102"/>
    <w:rsid w:val="007E54A7"/>
    <w:rsid w:val="007F43B7"/>
    <w:rsid w:val="008102B3"/>
    <w:rsid w:val="00821FFC"/>
    <w:rsid w:val="008271CA"/>
    <w:rsid w:val="008467D5"/>
    <w:rsid w:val="008A4DC4"/>
    <w:rsid w:val="008B438C"/>
    <w:rsid w:val="008D06CA"/>
    <w:rsid w:val="008D3A46"/>
    <w:rsid w:val="008F2385"/>
    <w:rsid w:val="008F3A6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832C3"/>
    <w:rsid w:val="00AF35FC"/>
    <w:rsid w:val="00AF5556"/>
    <w:rsid w:val="00B03639"/>
    <w:rsid w:val="00B0652A"/>
    <w:rsid w:val="00B40937"/>
    <w:rsid w:val="00B423EF"/>
    <w:rsid w:val="00B453DE"/>
    <w:rsid w:val="00B62497"/>
    <w:rsid w:val="00B72597"/>
    <w:rsid w:val="00B87DC0"/>
    <w:rsid w:val="00B901F9"/>
    <w:rsid w:val="00BC4D98"/>
    <w:rsid w:val="00BD2BF1"/>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36DAB"/>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87745"/>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79AA937"/>
  <w15:docId w15:val="{940FDEE2-3A41-4755-B52F-F84544F2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qFormat/>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uiPriority w:val="10"/>
    <w:qFormat/>
    <w:rsid w:val="00711642"/>
    <w:pPr>
      <w:spacing w:after="240"/>
      <w:jc w:val="center"/>
    </w:pPr>
    <w:rPr>
      <w:b/>
      <w:sz w:val="24"/>
      <w:lang w:val="en-AU"/>
    </w:rPr>
  </w:style>
  <w:style w:type="character" w:customStyle="1" w:styleId="TitleChar">
    <w:name w:val="Title Char"/>
    <w:basedOn w:val="DefaultParagraphFont"/>
    <w:link w:val="Title"/>
    <w:uiPriority w:val="10"/>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7A6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551848">
      <w:bodyDiv w:val="1"/>
      <w:marLeft w:val="0"/>
      <w:marRight w:val="0"/>
      <w:marTop w:val="0"/>
      <w:marBottom w:val="0"/>
      <w:divBdr>
        <w:top w:val="none" w:sz="0" w:space="0" w:color="auto"/>
        <w:left w:val="none" w:sz="0" w:space="0" w:color="auto"/>
        <w:bottom w:val="none" w:sz="0" w:space="0" w:color="auto"/>
        <w:right w:val="none" w:sz="0" w:space="0" w:color="auto"/>
      </w:divBdr>
    </w:div>
    <w:div w:id="1058356069">
      <w:bodyDiv w:val="1"/>
      <w:marLeft w:val="0"/>
      <w:marRight w:val="0"/>
      <w:marTop w:val="0"/>
      <w:marBottom w:val="0"/>
      <w:divBdr>
        <w:top w:val="none" w:sz="0" w:space="0" w:color="auto"/>
        <w:left w:val="none" w:sz="0" w:space="0" w:color="auto"/>
        <w:bottom w:val="none" w:sz="0" w:space="0" w:color="auto"/>
        <w:right w:val="none" w:sz="0" w:space="0" w:color="auto"/>
      </w:divBdr>
    </w:div>
    <w:div w:id="1235430342">
      <w:bodyDiv w:val="1"/>
      <w:marLeft w:val="0"/>
      <w:marRight w:val="0"/>
      <w:marTop w:val="0"/>
      <w:marBottom w:val="0"/>
      <w:divBdr>
        <w:top w:val="none" w:sz="0" w:space="0" w:color="auto"/>
        <w:left w:val="none" w:sz="0" w:space="0" w:color="auto"/>
        <w:bottom w:val="none" w:sz="0" w:space="0" w:color="auto"/>
        <w:right w:val="none" w:sz="0" w:space="0" w:color="auto"/>
      </w:divBdr>
      <w:divsChild>
        <w:div w:id="1457792598">
          <w:marLeft w:val="547"/>
          <w:marRight w:val="0"/>
          <w:marTop w:val="0"/>
          <w:marBottom w:val="0"/>
          <w:divBdr>
            <w:top w:val="none" w:sz="0" w:space="0" w:color="auto"/>
            <w:left w:val="none" w:sz="0" w:space="0" w:color="auto"/>
            <w:bottom w:val="none" w:sz="0" w:space="0" w:color="auto"/>
            <w:right w:val="none" w:sz="0" w:space="0" w:color="auto"/>
          </w:divBdr>
        </w:div>
        <w:div w:id="713427994">
          <w:marLeft w:val="1166"/>
          <w:marRight w:val="0"/>
          <w:marTop w:val="0"/>
          <w:marBottom w:val="0"/>
          <w:divBdr>
            <w:top w:val="none" w:sz="0" w:space="0" w:color="auto"/>
            <w:left w:val="none" w:sz="0" w:space="0" w:color="auto"/>
            <w:bottom w:val="none" w:sz="0" w:space="0" w:color="auto"/>
            <w:right w:val="none" w:sz="0" w:space="0" w:color="auto"/>
          </w:divBdr>
        </w:div>
        <w:div w:id="1072508706">
          <w:marLeft w:val="1800"/>
          <w:marRight w:val="0"/>
          <w:marTop w:val="0"/>
          <w:marBottom w:val="0"/>
          <w:divBdr>
            <w:top w:val="none" w:sz="0" w:space="0" w:color="auto"/>
            <w:left w:val="none" w:sz="0" w:space="0" w:color="auto"/>
            <w:bottom w:val="none" w:sz="0" w:space="0" w:color="auto"/>
            <w:right w:val="none" w:sz="0" w:space="0" w:color="auto"/>
          </w:divBdr>
        </w:div>
        <w:div w:id="787773736">
          <w:marLeft w:val="1800"/>
          <w:marRight w:val="0"/>
          <w:marTop w:val="0"/>
          <w:marBottom w:val="0"/>
          <w:divBdr>
            <w:top w:val="none" w:sz="0" w:space="0" w:color="auto"/>
            <w:left w:val="none" w:sz="0" w:space="0" w:color="auto"/>
            <w:bottom w:val="none" w:sz="0" w:space="0" w:color="auto"/>
            <w:right w:val="none" w:sz="0" w:space="0" w:color="auto"/>
          </w:divBdr>
        </w:div>
        <w:div w:id="1981880952">
          <w:marLeft w:val="1800"/>
          <w:marRight w:val="0"/>
          <w:marTop w:val="0"/>
          <w:marBottom w:val="0"/>
          <w:divBdr>
            <w:top w:val="none" w:sz="0" w:space="0" w:color="auto"/>
            <w:left w:val="none" w:sz="0" w:space="0" w:color="auto"/>
            <w:bottom w:val="none" w:sz="0" w:space="0" w:color="auto"/>
            <w:right w:val="none" w:sz="0" w:space="0" w:color="auto"/>
          </w:divBdr>
        </w:div>
        <w:div w:id="1590502340">
          <w:marLeft w:val="1800"/>
          <w:marRight w:val="0"/>
          <w:marTop w:val="0"/>
          <w:marBottom w:val="0"/>
          <w:divBdr>
            <w:top w:val="none" w:sz="0" w:space="0" w:color="auto"/>
            <w:left w:val="none" w:sz="0" w:space="0" w:color="auto"/>
            <w:bottom w:val="none" w:sz="0" w:space="0" w:color="auto"/>
            <w:right w:val="none" w:sz="0" w:space="0" w:color="auto"/>
          </w:divBdr>
        </w:div>
        <w:div w:id="813906947">
          <w:marLeft w:val="1800"/>
          <w:marRight w:val="0"/>
          <w:marTop w:val="0"/>
          <w:marBottom w:val="0"/>
          <w:divBdr>
            <w:top w:val="none" w:sz="0" w:space="0" w:color="auto"/>
            <w:left w:val="none" w:sz="0" w:space="0" w:color="auto"/>
            <w:bottom w:val="none" w:sz="0" w:space="0" w:color="auto"/>
            <w:right w:val="none" w:sz="0" w:space="0" w:color="auto"/>
          </w:divBdr>
        </w:div>
        <w:div w:id="38093646">
          <w:marLeft w:val="1800"/>
          <w:marRight w:val="0"/>
          <w:marTop w:val="0"/>
          <w:marBottom w:val="0"/>
          <w:divBdr>
            <w:top w:val="none" w:sz="0" w:space="0" w:color="auto"/>
            <w:left w:val="none" w:sz="0" w:space="0" w:color="auto"/>
            <w:bottom w:val="none" w:sz="0" w:space="0" w:color="auto"/>
            <w:right w:val="none" w:sz="0" w:space="0" w:color="auto"/>
          </w:divBdr>
        </w:div>
        <w:div w:id="713577192">
          <w:marLeft w:val="1800"/>
          <w:marRight w:val="0"/>
          <w:marTop w:val="0"/>
          <w:marBottom w:val="0"/>
          <w:divBdr>
            <w:top w:val="none" w:sz="0" w:space="0" w:color="auto"/>
            <w:left w:val="none" w:sz="0" w:space="0" w:color="auto"/>
            <w:bottom w:val="none" w:sz="0" w:space="0" w:color="auto"/>
            <w:right w:val="none" w:sz="0" w:space="0" w:color="auto"/>
          </w:divBdr>
        </w:div>
        <w:div w:id="2031948021">
          <w:marLeft w:val="1800"/>
          <w:marRight w:val="0"/>
          <w:marTop w:val="0"/>
          <w:marBottom w:val="0"/>
          <w:divBdr>
            <w:top w:val="none" w:sz="0" w:space="0" w:color="auto"/>
            <w:left w:val="none" w:sz="0" w:space="0" w:color="auto"/>
            <w:bottom w:val="none" w:sz="0" w:space="0" w:color="auto"/>
            <w:right w:val="none" w:sz="0" w:space="0" w:color="auto"/>
          </w:divBdr>
        </w:div>
        <w:div w:id="143202628">
          <w:marLeft w:val="1800"/>
          <w:marRight w:val="0"/>
          <w:marTop w:val="0"/>
          <w:marBottom w:val="0"/>
          <w:divBdr>
            <w:top w:val="none" w:sz="0" w:space="0" w:color="auto"/>
            <w:left w:val="none" w:sz="0" w:space="0" w:color="auto"/>
            <w:bottom w:val="none" w:sz="0" w:space="0" w:color="auto"/>
            <w:right w:val="none" w:sz="0" w:space="0" w:color="auto"/>
          </w:divBdr>
        </w:div>
        <w:div w:id="1934044988">
          <w:marLeft w:val="1800"/>
          <w:marRight w:val="0"/>
          <w:marTop w:val="0"/>
          <w:marBottom w:val="0"/>
          <w:divBdr>
            <w:top w:val="none" w:sz="0" w:space="0" w:color="auto"/>
            <w:left w:val="none" w:sz="0" w:space="0" w:color="auto"/>
            <w:bottom w:val="none" w:sz="0" w:space="0" w:color="auto"/>
            <w:right w:val="none" w:sz="0" w:space="0" w:color="auto"/>
          </w:divBdr>
        </w:div>
        <w:div w:id="905069803">
          <w:marLeft w:val="1166"/>
          <w:marRight w:val="0"/>
          <w:marTop w:val="0"/>
          <w:marBottom w:val="0"/>
          <w:divBdr>
            <w:top w:val="none" w:sz="0" w:space="0" w:color="auto"/>
            <w:left w:val="none" w:sz="0" w:space="0" w:color="auto"/>
            <w:bottom w:val="none" w:sz="0" w:space="0" w:color="auto"/>
            <w:right w:val="none" w:sz="0" w:space="0" w:color="auto"/>
          </w:divBdr>
        </w:div>
        <w:div w:id="836110819">
          <w:marLeft w:val="1166"/>
          <w:marRight w:val="0"/>
          <w:marTop w:val="0"/>
          <w:marBottom w:val="0"/>
          <w:divBdr>
            <w:top w:val="none" w:sz="0" w:space="0" w:color="auto"/>
            <w:left w:val="none" w:sz="0" w:space="0" w:color="auto"/>
            <w:bottom w:val="none" w:sz="0" w:space="0" w:color="auto"/>
            <w:right w:val="none" w:sz="0" w:space="0" w:color="auto"/>
          </w:divBdr>
        </w:div>
        <w:div w:id="545684245">
          <w:marLeft w:val="1166"/>
          <w:marRight w:val="0"/>
          <w:marTop w:val="0"/>
          <w:marBottom w:val="0"/>
          <w:divBdr>
            <w:top w:val="none" w:sz="0" w:space="0" w:color="auto"/>
            <w:left w:val="none" w:sz="0" w:space="0" w:color="auto"/>
            <w:bottom w:val="none" w:sz="0" w:space="0" w:color="auto"/>
            <w:right w:val="none" w:sz="0" w:space="0" w:color="auto"/>
          </w:divBdr>
        </w:div>
        <w:div w:id="1879664352">
          <w:marLeft w:val="547"/>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70BD4-011C-4BDC-B0CE-F3F8D36B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10</cp:revision>
  <cp:lastPrinted>2015-03-04T20:34:00Z</cp:lastPrinted>
  <dcterms:created xsi:type="dcterms:W3CDTF">2019-05-28T13:26:00Z</dcterms:created>
  <dcterms:modified xsi:type="dcterms:W3CDTF">2019-10-03T12:44:00Z</dcterms:modified>
</cp:coreProperties>
</file>