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86BB99" w14:textId="1EB7491A" w:rsidR="00C478E4" w:rsidRPr="004326A5" w:rsidRDefault="004326A5" w:rsidP="008467D5">
      <w:pPr>
        <w:pBdr>
          <w:bottom w:val="single" w:sz="18" w:space="1" w:color="auto"/>
        </w:pBdr>
        <w:tabs>
          <w:tab w:val="left" w:pos="-1440"/>
          <w:tab w:val="left" w:pos="-720"/>
          <w:tab w:val="left" w:pos="1"/>
        </w:tabs>
        <w:jc w:val="both"/>
        <w:rPr>
          <w:rFonts w:ascii="Arial" w:hAnsi="Arial"/>
          <w:b/>
          <w:noProof/>
          <w:sz w:val="24"/>
          <w:lang w:val="en-CA" w:eastAsia="en-CA"/>
        </w:rPr>
      </w:pPr>
      <w:r w:rsidRPr="004326A5">
        <w:rPr>
          <w:rFonts w:ascii="Arial" w:hAnsi="Arial"/>
          <w:b/>
          <w:noProof/>
          <w:sz w:val="24"/>
          <w:lang w:val="en-US"/>
        </w:rPr>
        <w:drawing>
          <wp:inline distT="0" distB="0" distL="0" distR="0" wp14:anchorId="6FE6E436" wp14:editId="07CDCC6E">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4C02BF1" w14:textId="298C235F" w:rsidR="00D75295" w:rsidRPr="004326A5" w:rsidRDefault="004326A5" w:rsidP="003456D6">
      <w:pPr>
        <w:pStyle w:val="ProductNumber"/>
        <w:outlineLvl w:val="0"/>
        <w:rPr>
          <w:lang w:val="en-CA"/>
        </w:rPr>
      </w:pPr>
      <w:r w:rsidRPr="004326A5">
        <w:rPr>
          <w:lang w:val="en-CA"/>
        </w:rPr>
        <w:t>9B19B008</w:t>
      </w:r>
    </w:p>
    <w:p w14:paraId="7B6271E5" w14:textId="77777777" w:rsidR="00D75295" w:rsidRPr="004326A5" w:rsidRDefault="00D75295" w:rsidP="00D75295">
      <w:pPr>
        <w:jc w:val="right"/>
        <w:rPr>
          <w:rFonts w:ascii="Arial" w:hAnsi="Arial"/>
          <w:b/>
          <w:sz w:val="28"/>
          <w:szCs w:val="28"/>
          <w:lang w:val="en-CA"/>
        </w:rPr>
      </w:pPr>
    </w:p>
    <w:p w14:paraId="0AB86AFC" w14:textId="77777777" w:rsidR="00013360" w:rsidRPr="004326A5" w:rsidRDefault="00013360" w:rsidP="00D75295">
      <w:pPr>
        <w:jc w:val="right"/>
        <w:rPr>
          <w:rFonts w:ascii="Arial" w:hAnsi="Arial"/>
          <w:b/>
          <w:sz w:val="28"/>
          <w:szCs w:val="28"/>
          <w:lang w:val="en-CA"/>
        </w:rPr>
      </w:pPr>
    </w:p>
    <w:p w14:paraId="5FED04B6" w14:textId="0E64BAE3" w:rsidR="00874275" w:rsidRPr="004326A5" w:rsidRDefault="0030487D" w:rsidP="003456D6">
      <w:pPr>
        <w:pStyle w:val="CaseTitle"/>
        <w:spacing w:after="0" w:line="240" w:lineRule="auto"/>
        <w:outlineLvl w:val="0"/>
        <w:rPr>
          <w:sz w:val="20"/>
          <w:szCs w:val="20"/>
          <w:lang w:val="en-CA"/>
        </w:rPr>
      </w:pPr>
      <w:r w:rsidRPr="004326A5">
        <w:rPr>
          <w:rFonts w:eastAsia="Times New Roman"/>
          <w:szCs w:val="20"/>
          <w:lang w:val="en-CA"/>
        </w:rPr>
        <w:t>SEARS: A Struggle for survival</w:t>
      </w:r>
      <w:r w:rsidR="00874275" w:rsidRPr="004326A5">
        <w:rPr>
          <w:rStyle w:val="EndnoteReference"/>
          <w:b/>
          <w:color w:val="auto"/>
          <w:lang w:val="en-CA"/>
        </w:rPr>
        <w:endnoteReference w:id="1"/>
      </w:r>
    </w:p>
    <w:p w14:paraId="22DA98AE" w14:textId="77777777" w:rsidR="00874275" w:rsidRPr="004326A5" w:rsidRDefault="00874275" w:rsidP="00013360">
      <w:pPr>
        <w:pStyle w:val="CaseTitle"/>
        <w:spacing w:after="0" w:line="240" w:lineRule="auto"/>
        <w:rPr>
          <w:sz w:val="20"/>
          <w:szCs w:val="20"/>
          <w:lang w:val="en-CA"/>
        </w:rPr>
      </w:pPr>
    </w:p>
    <w:p w14:paraId="37200787" w14:textId="77777777" w:rsidR="00874275" w:rsidRPr="004326A5" w:rsidRDefault="00874275" w:rsidP="00013360">
      <w:pPr>
        <w:pStyle w:val="CaseTitle"/>
        <w:spacing w:after="0" w:line="240" w:lineRule="auto"/>
        <w:rPr>
          <w:sz w:val="20"/>
          <w:szCs w:val="20"/>
          <w:lang w:val="en-CA"/>
        </w:rPr>
      </w:pPr>
    </w:p>
    <w:p w14:paraId="62CDA859" w14:textId="77777777" w:rsidR="00874275" w:rsidRPr="004326A5" w:rsidRDefault="00C121B8" w:rsidP="00627C63">
      <w:pPr>
        <w:pStyle w:val="StyleCopyrightStatementAfter0ptBottomSinglesolidline1"/>
        <w:rPr>
          <w:lang w:val="en-CA"/>
        </w:rPr>
      </w:pPr>
      <w:hyperlink r:id="rId9" w:history="1">
        <w:r w:rsidR="00874275" w:rsidRPr="004326A5">
          <w:rPr>
            <w:rStyle w:val="Hyperlink"/>
            <w:color w:val="auto"/>
            <w:u w:val="none"/>
            <w:lang w:val="en-CA"/>
          </w:rPr>
          <w:t>Anupam Mehta</w:t>
        </w:r>
      </w:hyperlink>
      <w:r w:rsidR="00874275" w:rsidRPr="004326A5">
        <w:rPr>
          <w:color w:val="auto"/>
          <w:lang w:val="en-CA"/>
        </w:rPr>
        <w:t xml:space="preserve">, </w:t>
      </w:r>
      <w:hyperlink r:id="rId10" w:history="1">
        <w:r w:rsidR="00874275" w:rsidRPr="004326A5">
          <w:rPr>
            <w:rStyle w:val="Hyperlink"/>
            <w:color w:val="auto"/>
            <w:u w:val="none"/>
            <w:lang w:val="en-CA"/>
          </w:rPr>
          <w:t>Sanchit Taneja</w:t>
        </w:r>
      </w:hyperlink>
      <w:r w:rsidR="00874275" w:rsidRPr="004326A5">
        <w:rPr>
          <w:color w:val="auto"/>
          <w:lang w:val="en-CA"/>
        </w:rPr>
        <w:t xml:space="preserve">, and </w:t>
      </w:r>
      <w:hyperlink r:id="rId11" w:history="1">
        <w:r w:rsidR="00874275" w:rsidRPr="004326A5">
          <w:rPr>
            <w:rStyle w:val="Hyperlink"/>
            <w:color w:val="auto"/>
            <w:u w:val="none"/>
            <w:lang w:val="en-CA"/>
          </w:rPr>
          <w:t>Utkarsh Goyal</w:t>
        </w:r>
      </w:hyperlink>
      <w:r w:rsidR="00874275" w:rsidRPr="004326A5">
        <w:rPr>
          <w:color w:val="auto"/>
          <w:lang w:val="en-CA"/>
        </w:rPr>
        <w:t xml:space="preserve"> wrote this </w:t>
      </w:r>
      <w:r w:rsidR="00874275" w:rsidRPr="004326A5">
        <w:rPr>
          <w:lang w:val="en-CA"/>
        </w:rPr>
        <w:t>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06C0442A" w14:textId="40992D4F" w:rsidR="00874275" w:rsidRPr="004326A5" w:rsidRDefault="00874275" w:rsidP="00751E0B">
      <w:pPr>
        <w:pStyle w:val="StyleCopyrightStatementAfter0ptBottomSinglesolidline1"/>
        <w:rPr>
          <w:lang w:val="en-CA"/>
        </w:rPr>
      </w:pPr>
    </w:p>
    <w:p w14:paraId="674E310A" w14:textId="77777777" w:rsidR="004326A5" w:rsidRPr="004326A5" w:rsidRDefault="004326A5" w:rsidP="004326A5">
      <w:pPr>
        <w:pStyle w:val="StyleStyleCopyrightStatementAfter0ptBottomSinglesolid"/>
        <w:rPr>
          <w:rFonts w:cs="Arial"/>
          <w:color w:val="FFFFFF" w:themeColor="background1"/>
          <w:szCs w:val="16"/>
          <w:lang w:val="en-CA"/>
        </w:rPr>
      </w:pPr>
      <w:r w:rsidRPr="004326A5">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4326A5">
        <w:rPr>
          <w:rFonts w:cs="Arial"/>
          <w:color w:val="FFFFFF" w:themeColor="background1"/>
          <w:szCs w:val="16"/>
          <w:lang w:val="en-CA"/>
        </w:rPr>
        <w:t>i1v2e5y5pubs</w:t>
      </w:r>
    </w:p>
    <w:p w14:paraId="7A894EAC" w14:textId="77777777" w:rsidR="004326A5" w:rsidRPr="004326A5" w:rsidRDefault="004326A5" w:rsidP="004326A5">
      <w:pPr>
        <w:pStyle w:val="StyleStyleCopyrightStatementAfter0ptBottomSinglesolid"/>
        <w:rPr>
          <w:rFonts w:cs="Arial"/>
          <w:color w:val="FFFFFF" w:themeColor="background1"/>
          <w:szCs w:val="16"/>
          <w:lang w:val="en-CA"/>
        </w:rPr>
      </w:pPr>
    </w:p>
    <w:p w14:paraId="2E105D42" w14:textId="73166509" w:rsidR="00874275" w:rsidRPr="004326A5" w:rsidRDefault="004326A5" w:rsidP="005A07FE">
      <w:pPr>
        <w:pStyle w:val="StyleStyleCopyrightStatementAfter0ptBottomSinglesolid"/>
        <w:rPr>
          <w:rFonts w:cs="Arial"/>
          <w:color w:val="FFFFFF" w:themeColor="background1"/>
          <w:szCs w:val="16"/>
          <w:lang w:val="en-CA"/>
        </w:rPr>
      </w:pPr>
      <w:r w:rsidRPr="004326A5">
        <w:rPr>
          <w:rFonts w:cs="Arial"/>
          <w:iCs w:val="0"/>
          <w:color w:val="auto"/>
          <w:szCs w:val="16"/>
          <w:lang w:val="en-CA"/>
        </w:rPr>
        <w:t>Copyright © 2019, Ivey Business School Foundation</w:t>
      </w:r>
      <w:r w:rsidR="00874275" w:rsidRPr="004326A5">
        <w:rPr>
          <w:rFonts w:cs="Arial"/>
          <w:szCs w:val="16"/>
          <w:lang w:val="en-CA"/>
        </w:rPr>
        <w:tab/>
      </w:r>
      <w:r w:rsidR="00874275" w:rsidRPr="004326A5">
        <w:rPr>
          <w:lang w:val="en-CA"/>
        </w:rPr>
        <w:t>Version: 2019-</w:t>
      </w:r>
      <w:r w:rsidR="000567AC">
        <w:rPr>
          <w:lang w:val="en-CA"/>
        </w:rPr>
        <w:t>10</w:t>
      </w:r>
      <w:r w:rsidR="00874275" w:rsidRPr="004326A5">
        <w:rPr>
          <w:lang w:val="en-CA"/>
        </w:rPr>
        <w:t>-</w:t>
      </w:r>
      <w:r w:rsidR="000567AC">
        <w:rPr>
          <w:lang w:val="en-CA"/>
        </w:rPr>
        <w:t>07</w:t>
      </w:r>
    </w:p>
    <w:p w14:paraId="44D670B6" w14:textId="77777777" w:rsidR="00874275" w:rsidRPr="004326A5" w:rsidRDefault="00874275" w:rsidP="00751E0B">
      <w:pPr>
        <w:pStyle w:val="StyleCopyrightStatementAfter0ptBottomSinglesolidline1"/>
        <w:rPr>
          <w:rFonts w:ascii="Times New Roman" w:hAnsi="Times New Roman"/>
          <w:i w:val="0"/>
          <w:sz w:val="20"/>
          <w:lang w:val="en-CA"/>
        </w:rPr>
      </w:pPr>
    </w:p>
    <w:p w14:paraId="44BBFAE0" w14:textId="1F0DE76F" w:rsidR="00874275" w:rsidRPr="004326A5" w:rsidRDefault="00874275" w:rsidP="0030487D">
      <w:pPr>
        <w:pStyle w:val="BodyTextMain"/>
        <w:rPr>
          <w:rFonts w:eastAsia="Calibri"/>
          <w:lang w:val="en-CA"/>
        </w:rPr>
      </w:pPr>
    </w:p>
    <w:p w14:paraId="590B05D7" w14:textId="1AC682D1" w:rsidR="00874275" w:rsidRPr="004326A5" w:rsidRDefault="00874275" w:rsidP="00EC22E7">
      <w:pPr>
        <w:pStyle w:val="BodyTextMain"/>
        <w:rPr>
          <w:rFonts w:eastAsia="Calibri"/>
          <w:lang w:val="en-CA"/>
        </w:rPr>
      </w:pPr>
      <w:bookmarkStart w:id="0" w:name="_Hlk13042137"/>
      <w:r w:rsidRPr="004326A5">
        <w:rPr>
          <w:rFonts w:eastAsia="Calibri"/>
          <w:lang w:val="en-CA"/>
        </w:rPr>
        <w:t>On January 20, 2017, Moody’s Investors Service, an American credit rating agency, downgraded the Corporate Family Rating for Sears Holdings Corporation (Sears) from Caa1 to Caa2,</w:t>
      </w:r>
      <w:r w:rsidRPr="004326A5">
        <w:rPr>
          <w:rStyle w:val="EndnoteReference"/>
          <w:rFonts w:eastAsia="Calibri"/>
          <w:b w:val="0"/>
          <w:color w:val="auto"/>
          <w:lang w:val="en-CA"/>
        </w:rPr>
        <w:endnoteReference w:id="2"/>
      </w:r>
      <w:r w:rsidRPr="004326A5">
        <w:rPr>
          <w:rFonts w:eastAsia="Calibri"/>
          <w:lang w:val="en-CA"/>
        </w:rPr>
        <w:t xml:space="preserve"> stating that the company did not have enough money to stay in business and was relying on outside funding or sale of assets to sustain operations.</w:t>
      </w:r>
      <w:r w:rsidRPr="004326A5">
        <w:rPr>
          <w:rStyle w:val="EndnoteReference"/>
          <w:rFonts w:eastAsia="Calibri"/>
          <w:b w:val="0"/>
          <w:color w:val="auto"/>
          <w:lang w:val="en-CA"/>
        </w:rPr>
        <w:endnoteReference w:id="3"/>
      </w:r>
      <w:r w:rsidRPr="004326A5">
        <w:rPr>
          <w:rFonts w:eastAsia="Calibri"/>
          <w:lang w:val="en-CA"/>
        </w:rPr>
        <w:t xml:space="preserve"> Neil Saunders, chief executive of the research firm Conlumino Ltd., compared Sears to the Titanic and remarked, “While Sears </w:t>
      </w:r>
      <w:r w:rsidR="00C93305" w:rsidRPr="004326A5">
        <w:rPr>
          <w:rFonts w:eastAsia="Calibri"/>
          <w:lang w:val="en-CA"/>
        </w:rPr>
        <w:t>was once a titan of U</w:t>
      </w:r>
      <w:r w:rsidR="004326A5">
        <w:rPr>
          <w:rFonts w:eastAsia="Calibri"/>
          <w:lang w:val="en-CA"/>
        </w:rPr>
        <w:t>S</w:t>
      </w:r>
      <w:r w:rsidR="00C93305" w:rsidRPr="004326A5">
        <w:rPr>
          <w:rFonts w:eastAsia="Calibri"/>
          <w:lang w:val="en-CA"/>
        </w:rPr>
        <w:t xml:space="preserve"> retail,</w:t>
      </w:r>
      <w:r w:rsidRPr="004326A5">
        <w:rPr>
          <w:rFonts w:eastAsia="Calibri"/>
          <w:lang w:val="en-CA"/>
        </w:rPr>
        <w:t xml:space="preserve"> it now looks set to sink.”</w:t>
      </w:r>
      <w:r w:rsidRPr="004326A5">
        <w:rPr>
          <w:rFonts w:eastAsia="Calibri"/>
          <w:b/>
          <w:vertAlign w:val="superscript"/>
          <w:lang w:val="en-CA"/>
        </w:rPr>
        <w:t xml:space="preserve"> </w:t>
      </w:r>
      <w:r w:rsidRPr="004326A5">
        <w:rPr>
          <w:rStyle w:val="EndnoteReference"/>
          <w:rFonts w:eastAsia="Calibri"/>
          <w:b w:val="0"/>
          <w:color w:val="auto"/>
          <w:lang w:val="en-CA"/>
        </w:rPr>
        <w:endnoteReference w:id="4"/>
      </w:r>
      <w:r w:rsidRPr="004326A5">
        <w:rPr>
          <w:rFonts w:eastAsia="Calibri"/>
          <w:lang w:val="en-CA"/>
        </w:rPr>
        <w:t xml:space="preserve"> </w:t>
      </w:r>
    </w:p>
    <w:p w14:paraId="71C49737" w14:textId="77777777" w:rsidR="00874275" w:rsidRPr="004326A5" w:rsidRDefault="00874275" w:rsidP="00EC22E7">
      <w:pPr>
        <w:pStyle w:val="BodyTextMain"/>
        <w:rPr>
          <w:rFonts w:eastAsia="Calibri"/>
          <w:lang w:val="en-CA"/>
        </w:rPr>
      </w:pPr>
    </w:p>
    <w:p w14:paraId="72B83A7B" w14:textId="214EA3E5" w:rsidR="00874275" w:rsidRPr="004326A5" w:rsidRDefault="00874275" w:rsidP="00EC22E7">
      <w:pPr>
        <w:pStyle w:val="BodyTextMain"/>
        <w:rPr>
          <w:rFonts w:eastAsia="Calibri"/>
          <w:lang w:val="en-CA"/>
        </w:rPr>
      </w:pPr>
      <w:r w:rsidRPr="004326A5">
        <w:rPr>
          <w:rFonts w:eastAsia="Calibri"/>
          <w:lang w:val="en-CA"/>
        </w:rPr>
        <w:t>In light of Sears’ poor financial performance and con</w:t>
      </w:r>
      <w:bookmarkStart w:id="1" w:name="_GoBack"/>
      <w:bookmarkEnd w:id="1"/>
      <w:r w:rsidRPr="004326A5">
        <w:rPr>
          <w:rFonts w:eastAsia="Calibri"/>
          <w:lang w:val="en-CA"/>
        </w:rPr>
        <w:t xml:space="preserve">secutive losses on a yearly basis, Paul Clark, a new MBA graduate and junior analyst, was assigned the task of </w:t>
      </w:r>
      <w:r w:rsidR="00B27C58" w:rsidRPr="004326A5">
        <w:rPr>
          <w:rFonts w:eastAsia="Calibri"/>
          <w:lang w:val="en-CA"/>
        </w:rPr>
        <w:t>analy</w:t>
      </w:r>
      <w:r w:rsidR="00FE4DCF" w:rsidRPr="004326A5">
        <w:rPr>
          <w:rFonts w:eastAsia="Calibri"/>
          <w:lang w:val="en-CA"/>
        </w:rPr>
        <w:t>z</w:t>
      </w:r>
      <w:r w:rsidR="00B27C58" w:rsidRPr="004326A5">
        <w:rPr>
          <w:rFonts w:eastAsia="Calibri"/>
          <w:lang w:val="en-CA"/>
        </w:rPr>
        <w:t xml:space="preserve">ing </w:t>
      </w:r>
      <w:r w:rsidRPr="004326A5">
        <w:rPr>
          <w:rFonts w:eastAsia="Calibri"/>
          <w:lang w:val="en-CA"/>
        </w:rPr>
        <w:t xml:space="preserve">Sears’ financial status and </w:t>
      </w:r>
      <w:r w:rsidR="00B27C58" w:rsidRPr="004326A5">
        <w:rPr>
          <w:rFonts w:eastAsia="Calibri"/>
          <w:lang w:val="en-CA"/>
        </w:rPr>
        <w:t>assessing the possibility of</w:t>
      </w:r>
      <w:r w:rsidRPr="004326A5">
        <w:rPr>
          <w:rFonts w:eastAsia="Calibri"/>
          <w:lang w:val="en-CA"/>
        </w:rPr>
        <w:t xml:space="preserve"> Sears’ bankruptcy. </w:t>
      </w:r>
      <w:r w:rsidR="00FE4DCF" w:rsidRPr="004326A5">
        <w:rPr>
          <w:rFonts w:eastAsia="Calibri"/>
          <w:lang w:val="en-CA"/>
        </w:rPr>
        <w:t>Clark</w:t>
      </w:r>
      <w:r w:rsidRPr="004326A5">
        <w:rPr>
          <w:rFonts w:eastAsia="Calibri"/>
          <w:lang w:val="en-CA"/>
        </w:rPr>
        <w:t xml:space="preserve"> collected the company financials and additional information about the company’s strategic moves and prepared to write his report. </w:t>
      </w:r>
    </w:p>
    <w:bookmarkEnd w:id="0"/>
    <w:p w14:paraId="22D525FA" w14:textId="1028DC4C" w:rsidR="00874275" w:rsidRPr="004326A5" w:rsidRDefault="00874275" w:rsidP="0030487D">
      <w:pPr>
        <w:pStyle w:val="BodyTextMain"/>
        <w:rPr>
          <w:rFonts w:eastAsia="Calibri"/>
          <w:lang w:val="en-CA"/>
        </w:rPr>
      </w:pPr>
    </w:p>
    <w:p w14:paraId="0A9814C6" w14:textId="77777777" w:rsidR="00874275" w:rsidRPr="004326A5" w:rsidRDefault="00874275" w:rsidP="0030487D">
      <w:pPr>
        <w:pStyle w:val="BodyTextMain"/>
        <w:rPr>
          <w:rFonts w:eastAsia="Calibri"/>
          <w:lang w:val="en-CA"/>
        </w:rPr>
      </w:pPr>
    </w:p>
    <w:p w14:paraId="591035BE" w14:textId="77777777" w:rsidR="00874275" w:rsidRPr="004326A5" w:rsidRDefault="00874275" w:rsidP="00BC6597">
      <w:pPr>
        <w:pStyle w:val="Casehead1"/>
        <w:outlineLvl w:val="0"/>
        <w:rPr>
          <w:rFonts w:eastAsia="Calibri"/>
          <w:lang w:val="en-CA"/>
        </w:rPr>
      </w:pPr>
      <w:r w:rsidRPr="004326A5">
        <w:rPr>
          <w:rFonts w:eastAsia="Calibri"/>
          <w:lang w:val="en-CA"/>
        </w:rPr>
        <w:t>RETAIL INDUSTRY IN THE United States</w:t>
      </w:r>
    </w:p>
    <w:p w14:paraId="5DEA9D9A" w14:textId="77777777" w:rsidR="00874275" w:rsidRPr="004326A5" w:rsidRDefault="00874275" w:rsidP="00BC6597">
      <w:pPr>
        <w:pStyle w:val="BodyTextMain"/>
        <w:rPr>
          <w:rFonts w:eastAsia="Calibri"/>
          <w:lang w:val="en-CA"/>
        </w:rPr>
      </w:pPr>
    </w:p>
    <w:p w14:paraId="572E8146" w14:textId="31747FE7" w:rsidR="00874275" w:rsidRPr="0033293B" w:rsidRDefault="00874275" w:rsidP="0033293B">
      <w:pPr>
        <w:pStyle w:val="BodyTextMain"/>
        <w:ind w:left="720"/>
        <w:rPr>
          <w:rFonts w:eastAsia="Calibri"/>
        </w:rPr>
      </w:pPr>
      <w:r w:rsidRPr="0033293B">
        <w:rPr>
          <w:rFonts w:eastAsia="Calibri"/>
        </w:rPr>
        <w:t>With today’s shopper and her new shopping journeys, it’s becoming more important than ever to optimize a shopper’s visit to store or site. This can be through an understanding of what she’s shopping for and ensuring there’s available inventory on site, or at least a very convenient option—to the shopper—to deliver products to her.</w:t>
      </w:r>
      <w:r w:rsidR="0033293B" w:rsidRPr="0033293B">
        <w:rPr>
          <w:rStyle w:val="EndnoteReference"/>
          <w:rFonts w:eastAsia="Calibri"/>
          <w:b w:val="0"/>
          <w:color w:val="auto"/>
        </w:rPr>
        <w:endnoteReference w:id="5"/>
      </w:r>
    </w:p>
    <w:p w14:paraId="2E224F18" w14:textId="77777777" w:rsidR="00874275" w:rsidRPr="004326A5" w:rsidRDefault="00874275" w:rsidP="00BC6597">
      <w:pPr>
        <w:pStyle w:val="BodyTextMain"/>
        <w:rPr>
          <w:rFonts w:eastAsia="Calibri"/>
          <w:shd w:val="clear" w:color="auto" w:fill="FFFFFF"/>
          <w:lang w:val="en-CA"/>
        </w:rPr>
      </w:pPr>
    </w:p>
    <w:p w14:paraId="75411E70" w14:textId="63D743AB" w:rsidR="00874275" w:rsidRPr="004326A5" w:rsidRDefault="00874275" w:rsidP="00BC6597">
      <w:pPr>
        <w:pStyle w:val="BodyTextMain"/>
        <w:rPr>
          <w:rFonts w:eastAsia="Calibri"/>
          <w:shd w:val="clear" w:color="auto" w:fill="FFFFFF"/>
          <w:lang w:val="en-CA"/>
        </w:rPr>
      </w:pPr>
      <w:r w:rsidRPr="004326A5">
        <w:rPr>
          <w:rFonts w:eastAsia="Calibri"/>
          <w:lang w:val="en-CA"/>
        </w:rPr>
        <w:t xml:space="preserve">According to </w:t>
      </w:r>
      <w:r w:rsidR="00885DD2" w:rsidRPr="004326A5">
        <w:rPr>
          <w:rFonts w:eastAsia="Calibri"/>
          <w:lang w:val="en-CA"/>
        </w:rPr>
        <w:t xml:space="preserve">the </w:t>
      </w:r>
      <w:r w:rsidRPr="004326A5">
        <w:rPr>
          <w:rFonts w:eastAsia="Calibri"/>
          <w:lang w:val="en-CA"/>
        </w:rPr>
        <w:t>National Retail Foundation, the retail sector in the United States contribute</w:t>
      </w:r>
      <w:r w:rsidR="00885DD2" w:rsidRPr="004326A5">
        <w:rPr>
          <w:rFonts w:eastAsia="Calibri"/>
          <w:lang w:val="en-CA"/>
        </w:rPr>
        <w:t>d</w:t>
      </w:r>
      <w:r w:rsidRPr="004326A5">
        <w:rPr>
          <w:rFonts w:eastAsia="Calibri"/>
          <w:lang w:val="en-CA"/>
        </w:rPr>
        <w:t xml:space="preserve"> approximately </w:t>
      </w:r>
      <w:r w:rsidR="00885DD2" w:rsidRPr="004326A5">
        <w:rPr>
          <w:rFonts w:eastAsia="Calibri"/>
          <w:lang w:val="en-CA"/>
        </w:rPr>
        <w:t>US</w:t>
      </w:r>
      <w:r w:rsidRPr="004326A5">
        <w:rPr>
          <w:rFonts w:eastAsia="Calibri"/>
          <w:lang w:val="en-CA"/>
        </w:rPr>
        <w:t>$2.6 trillio</w:t>
      </w:r>
      <w:r w:rsidR="005A07FE" w:rsidRPr="004326A5">
        <w:rPr>
          <w:rFonts w:eastAsia="Calibri"/>
          <w:lang w:val="en-CA"/>
        </w:rPr>
        <w:t>n</w:t>
      </w:r>
      <w:r w:rsidR="005A07FE" w:rsidRPr="004326A5">
        <w:rPr>
          <w:rStyle w:val="EndnoteReference"/>
          <w:rFonts w:eastAsia="Calibri"/>
          <w:b w:val="0"/>
          <w:color w:val="auto"/>
          <w:lang w:val="en-CA"/>
        </w:rPr>
        <w:endnoteReference w:id="6"/>
      </w:r>
      <w:r w:rsidR="005A07FE" w:rsidRPr="004326A5">
        <w:rPr>
          <w:rFonts w:eastAsia="Calibri"/>
          <w:lang w:val="en-CA"/>
        </w:rPr>
        <w:t xml:space="preserve"> </w:t>
      </w:r>
      <w:r w:rsidRPr="004326A5">
        <w:rPr>
          <w:rFonts w:eastAsia="Calibri"/>
          <w:lang w:val="en-CA"/>
        </w:rPr>
        <w:t xml:space="preserve">to the annual gross domestic product </w:t>
      </w:r>
      <w:r w:rsidR="00885DD2" w:rsidRPr="004326A5">
        <w:rPr>
          <w:rFonts w:eastAsia="Calibri"/>
          <w:lang w:val="en-CA"/>
        </w:rPr>
        <w:t xml:space="preserve">in 2015 </w:t>
      </w:r>
      <w:r w:rsidRPr="004326A5">
        <w:rPr>
          <w:rFonts w:eastAsia="Calibri"/>
          <w:lang w:val="en-CA"/>
        </w:rPr>
        <w:t xml:space="preserve">and </w:t>
      </w:r>
      <w:r w:rsidR="00885DD2" w:rsidRPr="004326A5">
        <w:rPr>
          <w:rFonts w:eastAsia="Calibri"/>
          <w:lang w:val="en-CA"/>
        </w:rPr>
        <w:t>wa</w:t>
      </w:r>
      <w:r w:rsidRPr="004326A5">
        <w:rPr>
          <w:rFonts w:eastAsia="Calibri"/>
          <w:lang w:val="en-CA"/>
        </w:rPr>
        <w:t xml:space="preserve">s the largest </w:t>
      </w:r>
      <w:r w:rsidRPr="004326A5">
        <w:rPr>
          <w:rFonts w:eastAsia="Calibri"/>
          <w:shd w:val="clear" w:color="auto" w:fill="FFFFFF"/>
          <w:lang w:val="en-CA"/>
        </w:rPr>
        <w:t xml:space="preserve">private sector employer in the country. With an estimated 40 million Americans employed in the retail industry, one in four jobs in </w:t>
      </w:r>
      <w:r w:rsidR="00885DD2" w:rsidRPr="004326A5">
        <w:rPr>
          <w:rFonts w:eastAsia="Calibri"/>
          <w:shd w:val="clear" w:color="auto" w:fill="FFFFFF"/>
          <w:lang w:val="en-CA"/>
        </w:rPr>
        <w:t xml:space="preserve">the </w:t>
      </w:r>
      <w:r w:rsidRPr="004326A5">
        <w:rPr>
          <w:rFonts w:eastAsia="Calibri"/>
          <w:shd w:val="clear" w:color="auto" w:fill="FFFFFF"/>
          <w:lang w:val="en-CA"/>
        </w:rPr>
        <w:t xml:space="preserve">United States </w:t>
      </w:r>
      <w:r w:rsidR="00885DD2" w:rsidRPr="004326A5">
        <w:rPr>
          <w:rFonts w:eastAsia="Calibri"/>
          <w:shd w:val="clear" w:color="auto" w:fill="FFFFFF"/>
          <w:lang w:val="en-CA"/>
        </w:rPr>
        <w:t>was</w:t>
      </w:r>
      <w:r w:rsidRPr="004326A5">
        <w:rPr>
          <w:rFonts w:eastAsia="Calibri"/>
          <w:shd w:val="clear" w:color="auto" w:fill="FFFFFF"/>
          <w:lang w:val="en-CA"/>
        </w:rPr>
        <w:t xml:space="preserve"> in the retail sector.</w:t>
      </w:r>
      <w:r w:rsidRPr="004326A5">
        <w:rPr>
          <w:rStyle w:val="EndnoteReference"/>
          <w:rFonts w:eastAsia="Calibri"/>
          <w:b w:val="0"/>
          <w:color w:val="auto"/>
          <w:lang w:val="en-CA"/>
        </w:rPr>
        <w:endnoteReference w:id="7"/>
      </w:r>
    </w:p>
    <w:p w14:paraId="5E399CE8" w14:textId="77777777" w:rsidR="00874275" w:rsidRPr="004326A5" w:rsidRDefault="00874275" w:rsidP="00BC6597">
      <w:pPr>
        <w:pStyle w:val="BodyTextMain"/>
        <w:rPr>
          <w:rFonts w:eastAsia="Calibri"/>
          <w:shd w:val="clear" w:color="auto" w:fill="FFFFFF"/>
          <w:lang w:val="en-CA"/>
        </w:rPr>
      </w:pPr>
    </w:p>
    <w:p w14:paraId="6345519C" w14:textId="212C5506" w:rsidR="00874275" w:rsidRPr="004326A5" w:rsidRDefault="00874275" w:rsidP="00BC6597">
      <w:pPr>
        <w:pStyle w:val="BodyTextMain"/>
        <w:rPr>
          <w:rFonts w:eastAsia="Calibri"/>
          <w:shd w:val="clear" w:color="auto" w:fill="FFFFFF"/>
          <w:lang w:val="en-CA"/>
        </w:rPr>
      </w:pPr>
      <w:r w:rsidRPr="004326A5">
        <w:rPr>
          <w:rFonts w:eastAsia="Calibri"/>
          <w:shd w:val="clear" w:color="auto" w:fill="FFFFFF"/>
          <w:lang w:val="en-CA"/>
        </w:rPr>
        <w:t xml:space="preserve">Many retail stores closed in 2016 due to a consumer shift toward e-shopping and online retail. E-shopping and off-price retailing had become major trends in the sector because they tended to be convenient and offer innumerable </w:t>
      </w:r>
      <w:r w:rsidR="004326A5" w:rsidRPr="004326A5">
        <w:rPr>
          <w:rFonts w:eastAsia="Calibri"/>
          <w:shd w:val="clear" w:color="auto" w:fill="FFFFFF"/>
          <w:lang w:val="en-CA"/>
        </w:rPr>
        <w:t>benefits</w:t>
      </w:r>
      <w:r w:rsidRPr="004326A5">
        <w:rPr>
          <w:rFonts w:eastAsia="Calibri"/>
          <w:shd w:val="clear" w:color="auto" w:fill="FFFFFF"/>
          <w:lang w:val="en-CA"/>
        </w:rPr>
        <w:t>, such as discounts, offers, and free doorstep deliveries to the consumers. Internet sales had risen 23 per cent in 2015.</w:t>
      </w:r>
      <w:r w:rsidRPr="004326A5">
        <w:rPr>
          <w:rStyle w:val="EndnoteReference"/>
          <w:rFonts w:eastAsia="Calibri"/>
          <w:b w:val="0"/>
          <w:color w:val="auto"/>
          <w:lang w:val="en-CA"/>
        </w:rPr>
        <w:endnoteReference w:id="8"/>
      </w:r>
      <w:r w:rsidRPr="004326A5">
        <w:rPr>
          <w:rFonts w:eastAsia="Calibri"/>
          <w:shd w:val="clear" w:color="auto" w:fill="FFFFFF"/>
          <w:lang w:val="en-CA"/>
        </w:rPr>
        <w:t xml:space="preserve"> The discounts available on branded merchandise at off-price stores drove the market demand. E-commerce was projected to contribute 9.8 per cent of the total country’s retail sales by 2019, making the Internet the preferred medium of procurement.</w:t>
      </w:r>
      <w:r w:rsidRPr="004326A5">
        <w:rPr>
          <w:rStyle w:val="EndnoteReference"/>
          <w:rFonts w:eastAsia="Calibri"/>
          <w:b w:val="0"/>
          <w:color w:val="auto"/>
          <w:lang w:val="en-CA"/>
        </w:rPr>
        <w:endnoteReference w:id="9"/>
      </w:r>
      <w:r w:rsidRPr="004326A5">
        <w:rPr>
          <w:rFonts w:eastAsia="Calibri"/>
          <w:shd w:val="clear" w:color="auto" w:fill="FFFFFF"/>
          <w:lang w:val="en-CA"/>
        </w:rPr>
        <w:t xml:space="preserve"> Call it “the Amazon effect,” said Steve </w:t>
      </w:r>
      <w:r w:rsidRPr="004326A5">
        <w:rPr>
          <w:rFonts w:eastAsia="Calibri"/>
          <w:shd w:val="clear" w:color="auto" w:fill="FFFFFF"/>
          <w:lang w:val="en-CA"/>
        </w:rPr>
        <w:lastRenderedPageBreak/>
        <w:t xml:space="preserve">King. “As malls, big retail chains, even mom-and-pop </w:t>
      </w:r>
      <w:r w:rsidR="00C93305" w:rsidRPr="004326A5">
        <w:rPr>
          <w:rFonts w:eastAsia="Calibri"/>
          <w:shd w:val="clear" w:color="auto" w:fill="FFFFFF"/>
          <w:lang w:val="en-CA"/>
        </w:rPr>
        <w:t>neighbourhood</w:t>
      </w:r>
      <w:r w:rsidRPr="004326A5">
        <w:rPr>
          <w:rFonts w:eastAsia="Calibri"/>
          <w:shd w:val="clear" w:color="auto" w:fill="FFFFFF"/>
          <w:lang w:val="en-CA"/>
        </w:rPr>
        <w:t xml:space="preserve"> stores see consumers buying more and more online, they’re trying to figure out a new business model.”</w:t>
      </w:r>
      <w:r w:rsidRPr="004326A5">
        <w:rPr>
          <w:rStyle w:val="EndnoteReference"/>
          <w:rFonts w:eastAsia="Calibri"/>
          <w:b w:val="0"/>
          <w:color w:val="auto"/>
          <w:lang w:val="en-CA"/>
        </w:rPr>
        <w:endnoteReference w:id="10"/>
      </w:r>
    </w:p>
    <w:p w14:paraId="7558CBFF" w14:textId="77777777" w:rsidR="00874275" w:rsidRPr="004326A5" w:rsidRDefault="00874275" w:rsidP="00BC6597">
      <w:pPr>
        <w:pStyle w:val="BodyTextMain"/>
        <w:rPr>
          <w:rFonts w:eastAsia="Calibri"/>
          <w:i/>
          <w:shd w:val="clear" w:color="auto" w:fill="FFFFFF"/>
          <w:lang w:val="en-CA"/>
        </w:rPr>
      </w:pPr>
    </w:p>
    <w:p w14:paraId="6A96FF47" w14:textId="5BD5120B" w:rsidR="00874275" w:rsidRPr="0033293B" w:rsidRDefault="00874275" w:rsidP="0033293B">
      <w:pPr>
        <w:pStyle w:val="BodyTextMain"/>
        <w:ind w:left="720"/>
      </w:pPr>
      <w:r w:rsidRPr="0033293B">
        <w:t>The future of retail is all about using technology to strengthen customer relationships and improve the customer experience, while making the day-to-day o</w:t>
      </w:r>
      <w:r w:rsidRPr="0033293B">
        <w:rPr>
          <w:rFonts w:eastAsia="Calibri"/>
        </w:rPr>
        <w:t>perations easier for merchants.</w:t>
      </w:r>
      <w:r w:rsidR="0033293B" w:rsidRPr="0033293B">
        <w:rPr>
          <w:rStyle w:val="EndnoteReference"/>
          <w:b w:val="0"/>
          <w:color w:val="auto"/>
        </w:rPr>
        <w:endnoteReference w:id="11"/>
      </w:r>
      <w:r w:rsidRPr="0033293B">
        <w:t xml:space="preserve"> </w:t>
      </w:r>
    </w:p>
    <w:p w14:paraId="1D3AE43E" w14:textId="1324E6E5" w:rsidR="00874275" w:rsidRPr="004326A5" w:rsidRDefault="00874275" w:rsidP="00BC6597">
      <w:pPr>
        <w:pStyle w:val="BodyTextMain"/>
        <w:rPr>
          <w:rFonts w:eastAsia="Calibri"/>
          <w:b/>
          <w:i/>
          <w:shd w:val="clear" w:color="auto" w:fill="FFFFFF"/>
          <w:lang w:val="en-CA"/>
        </w:rPr>
      </w:pPr>
    </w:p>
    <w:p w14:paraId="7752D4EB" w14:textId="6DA9DC64" w:rsidR="00874275" w:rsidRPr="004326A5" w:rsidRDefault="00874275" w:rsidP="00BC6597">
      <w:pPr>
        <w:pStyle w:val="BodyTextMain"/>
        <w:rPr>
          <w:rFonts w:eastAsia="Calibri"/>
          <w:shd w:val="clear" w:color="auto" w:fill="FFFFFF"/>
          <w:lang w:val="en-CA"/>
        </w:rPr>
      </w:pPr>
      <w:r w:rsidRPr="004326A5">
        <w:rPr>
          <w:rFonts w:eastAsia="Calibri"/>
          <w:lang w:val="en-CA"/>
        </w:rPr>
        <w:t>Another major worry for the retailers in the United States was the rapid expansion of low-price international retailers like Primark, the Irish fast fashion retailer; Aldi, a German discount supermarket chain; and Lidl Stiftung &amp; Co. KG, another German global discount supermarket chain.</w:t>
      </w:r>
      <w:r w:rsidRPr="004326A5">
        <w:rPr>
          <w:rStyle w:val="EndnoteReference"/>
          <w:rFonts w:eastAsia="Calibri"/>
          <w:b w:val="0"/>
          <w:color w:val="auto"/>
          <w:lang w:val="en-CA"/>
        </w:rPr>
        <w:endnoteReference w:id="12"/>
      </w:r>
      <w:r w:rsidRPr="004326A5">
        <w:rPr>
          <w:rFonts w:eastAsia="Calibri"/>
          <w:lang w:val="en-CA"/>
        </w:rPr>
        <w:t xml:space="preserve"> These competitors raised the bar</w:t>
      </w:r>
      <w:r w:rsidRPr="004326A5">
        <w:rPr>
          <w:rFonts w:eastAsia="Calibri"/>
          <w:shd w:val="clear" w:color="auto" w:fill="FFFFFF"/>
          <w:lang w:val="en-CA"/>
        </w:rPr>
        <w:t xml:space="preserve"> and led to increased competition in an already cutthroat industry.</w:t>
      </w:r>
      <w:r w:rsidRPr="004326A5" w:rsidDel="00C54F6B">
        <w:rPr>
          <w:rFonts w:eastAsia="Calibri"/>
          <w:shd w:val="clear" w:color="auto" w:fill="FFFFFF"/>
          <w:vertAlign w:val="superscript"/>
          <w:lang w:val="en-CA"/>
        </w:rPr>
        <w:t xml:space="preserve"> </w:t>
      </w:r>
    </w:p>
    <w:p w14:paraId="3FBF36A1" w14:textId="77777777" w:rsidR="00874275" w:rsidRPr="004326A5" w:rsidRDefault="00874275" w:rsidP="00BC6597">
      <w:pPr>
        <w:pStyle w:val="BodyTextMain"/>
        <w:rPr>
          <w:rFonts w:eastAsia="Calibri"/>
          <w:lang w:val="en-CA"/>
        </w:rPr>
      </w:pPr>
    </w:p>
    <w:p w14:paraId="661E9D64" w14:textId="77777777" w:rsidR="00874275" w:rsidRPr="004326A5" w:rsidRDefault="00874275" w:rsidP="0030487D">
      <w:pPr>
        <w:pStyle w:val="BodyTextMain"/>
        <w:rPr>
          <w:rFonts w:eastAsia="Calibri"/>
          <w:lang w:val="en-CA"/>
        </w:rPr>
      </w:pPr>
    </w:p>
    <w:p w14:paraId="3F8900A9" w14:textId="694D4154" w:rsidR="00874275" w:rsidRPr="004326A5" w:rsidRDefault="00874275" w:rsidP="003456D6">
      <w:pPr>
        <w:pStyle w:val="Casehead1"/>
        <w:outlineLvl w:val="0"/>
        <w:rPr>
          <w:rFonts w:eastAsia="Calibri"/>
          <w:lang w:val="en-CA"/>
        </w:rPr>
      </w:pPr>
      <w:r w:rsidRPr="004326A5">
        <w:rPr>
          <w:rFonts w:eastAsia="Calibri"/>
          <w:lang w:val="en-CA"/>
        </w:rPr>
        <w:t>Sears Holdings Corporation</w:t>
      </w:r>
    </w:p>
    <w:p w14:paraId="05EB2C7D" w14:textId="77777777" w:rsidR="00874275" w:rsidRPr="004326A5" w:rsidRDefault="00874275" w:rsidP="0030487D">
      <w:pPr>
        <w:pStyle w:val="BodyTextMain"/>
        <w:rPr>
          <w:rFonts w:eastAsia="Calibri"/>
          <w:lang w:val="en-CA"/>
        </w:rPr>
      </w:pPr>
    </w:p>
    <w:p w14:paraId="2A1669C3" w14:textId="6BF2FA7C" w:rsidR="00874275" w:rsidRPr="004326A5" w:rsidRDefault="00874275" w:rsidP="0030487D">
      <w:pPr>
        <w:pStyle w:val="BodyTextMain"/>
        <w:rPr>
          <w:lang w:val="en-CA"/>
        </w:rPr>
      </w:pPr>
      <w:r w:rsidRPr="004326A5">
        <w:rPr>
          <w:bCs/>
          <w:kern w:val="36"/>
          <w:bdr w:val="none" w:sz="0" w:space="0" w:color="auto" w:frame="1"/>
          <w:lang w:val="en-CA"/>
        </w:rPr>
        <w:t>Founded by Richard Warren Sears as a small wristwatch business in 1886,</w:t>
      </w:r>
      <w:r w:rsidRPr="004326A5">
        <w:rPr>
          <w:rStyle w:val="EndnoteReference"/>
          <w:b w:val="0"/>
          <w:color w:val="auto"/>
          <w:lang w:val="en-CA"/>
        </w:rPr>
        <w:endnoteReference w:id="13"/>
      </w:r>
      <w:r w:rsidRPr="004326A5">
        <w:rPr>
          <w:bCs/>
          <w:kern w:val="36"/>
          <w:bdr w:val="none" w:sz="0" w:space="0" w:color="auto" w:frame="1"/>
          <w:lang w:val="en-CA"/>
        </w:rPr>
        <w:t xml:space="preserve"> Sears operated a chain </w:t>
      </w:r>
      <w:r w:rsidR="00C93305" w:rsidRPr="004326A5">
        <w:rPr>
          <w:bCs/>
          <w:kern w:val="36"/>
          <w:bdr w:val="none" w:sz="0" w:space="0" w:color="auto" w:frame="1"/>
          <w:lang w:val="en-CA"/>
        </w:rPr>
        <w:t>of department</w:t>
      </w:r>
      <w:r w:rsidRPr="004326A5">
        <w:rPr>
          <w:bCs/>
          <w:kern w:val="36"/>
          <w:bdr w:val="none" w:sz="0" w:space="0" w:color="auto" w:frame="1"/>
          <w:lang w:val="en-CA"/>
        </w:rPr>
        <w:t xml:space="preserve"> stores, attaining its current form after merging with Kmart Corporation in 2005.</w:t>
      </w:r>
      <w:bookmarkStart w:id="2" w:name="_Ref482349682"/>
      <w:r w:rsidRPr="004326A5">
        <w:rPr>
          <w:rStyle w:val="EndnoteReference"/>
          <w:b w:val="0"/>
          <w:color w:val="auto"/>
          <w:lang w:val="en-CA"/>
        </w:rPr>
        <w:endnoteReference w:id="14"/>
      </w:r>
      <w:bookmarkEnd w:id="2"/>
      <w:r w:rsidRPr="004326A5">
        <w:rPr>
          <w:bCs/>
          <w:kern w:val="36"/>
          <w:bdr w:val="none" w:sz="0" w:space="0" w:color="auto" w:frame="1"/>
          <w:lang w:val="en-CA"/>
        </w:rPr>
        <w:t xml:space="preserve"> The integrated retailer provided merchandise and related services in brick and mortar stores and on an established, high-tech e-commerce platform.</w:t>
      </w:r>
      <w:r w:rsidRPr="004326A5">
        <w:rPr>
          <w:rStyle w:val="EndnoteReference"/>
          <w:b w:val="0"/>
          <w:color w:val="auto"/>
          <w:lang w:val="en-CA"/>
        </w:rPr>
        <w:endnoteReference w:id="15"/>
      </w:r>
      <w:r w:rsidRPr="004326A5" w:rsidDel="00494F57">
        <w:rPr>
          <w:lang w:val="en-CA"/>
        </w:rPr>
        <w:t xml:space="preserve"> </w:t>
      </w:r>
    </w:p>
    <w:p w14:paraId="38E43A14" w14:textId="77777777" w:rsidR="00874275" w:rsidRPr="004326A5" w:rsidRDefault="00874275" w:rsidP="0030487D">
      <w:pPr>
        <w:pStyle w:val="BodyTextMain"/>
        <w:rPr>
          <w:bCs/>
          <w:kern w:val="36"/>
          <w:bdr w:val="none" w:sz="0" w:space="0" w:color="auto" w:frame="1"/>
          <w:lang w:val="en-CA"/>
        </w:rPr>
      </w:pPr>
    </w:p>
    <w:p w14:paraId="2694DBBF" w14:textId="35577172" w:rsidR="00874275" w:rsidRPr="004326A5" w:rsidRDefault="00874275" w:rsidP="001358C5">
      <w:pPr>
        <w:pStyle w:val="BodyTextMain"/>
        <w:rPr>
          <w:lang w:val="en-CA"/>
        </w:rPr>
      </w:pPr>
      <w:r w:rsidRPr="004326A5">
        <w:rPr>
          <w:bdr w:val="none" w:sz="0" w:space="0" w:color="auto" w:frame="1"/>
          <w:lang w:val="en-CA"/>
        </w:rPr>
        <w:t xml:space="preserve">In January 2017, Sears operated 1,430 full-line and specialty retail stores across the United States and employed approximately 140,000 </w:t>
      </w:r>
      <w:r w:rsidR="009E16B0" w:rsidRPr="004326A5">
        <w:rPr>
          <w:bdr w:val="none" w:sz="0" w:space="0" w:color="auto" w:frame="1"/>
          <w:lang w:val="en-CA"/>
        </w:rPr>
        <w:t xml:space="preserve">full- and part-time </w:t>
      </w:r>
      <w:r w:rsidRPr="004326A5">
        <w:rPr>
          <w:bdr w:val="none" w:sz="0" w:space="0" w:color="auto" w:frame="1"/>
          <w:lang w:val="en-CA"/>
        </w:rPr>
        <w:t>employees. It also operated several websites, including sears.com and kmart.com, and it owned Shop Your Way, a social shopping forum where members earned points and received many other benefits by shopping on the web portal shopyourway.com. Sears was the largest provider of appliance</w:t>
      </w:r>
      <w:r w:rsidR="00B27C58" w:rsidRPr="004326A5">
        <w:rPr>
          <w:bdr w:val="none" w:sz="0" w:space="0" w:color="auto" w:frame="1"/>
          <w:lang w:val="en-CA"/>
        </w:rPr>
        <w:t>s</w:t>
      </w:r>
      <w:r w:rsidR="00523CE1" w:rsidRPr="004326A5">
        <w:rPr>
          <w:bdr w:val="none" w:sz="0" w:space="0" w:color="auto" w:frame="1"/>
          <w:lang w:val="en-CA"/>
        </w:rPr>
        <w:t xml:space="preserve">, home services, garden </w:t>
      </w:r>
      <w:r w:rsidR="00C93305" w:rsidRPr="004326A5">
        <w:rPr>
          <w:bdr w:val="none" w:sz="0" w:space="0" w:color="auto" w:frame="1"/>
          <w:lang w:val="en-CA"/>
        </w:rPr>
        <w:t>equipment</w:t>
      </w:r>
      <w:r w:rsidR="00523CE1" w:rsidRPr="004326A5">
        <w:rPr>
          <w:bdr w:val="none" w:sz="0" w:space="0" w:color="auto" w:frame="1"/>
          <w:lang w:val="en-CA"/>
        </w:rPr>
        <w:t xml:space="preserve">, fitness </w:t>
      </w:r>
      <w:r w:rsidR="00C93305" w:rsidRPr="004326A5">
        <w:rPr>
          <w:bdr w:val="none" w:sz="0" w:space="0" w:color="auto" w:frame="1"/>
          <w:lang w:val="en-CA"/>
        </w:rPr>
        <w:t>equipment</w:t>
      </w:r>
      <w:r w:rsidR="00E40D20" w:rsidRPr="004326A5">
        <w:rPr>
          <w:bdr w:val="none" w:sz="0" w:space="0" w:color="auto" w:frame="1"/>
          <w:lang w:val="en-CA"/>
        </w:rPr>
        <w:t>,</w:t>
      </w:r>
      <w:r w:rsidRPr="004326A5">
        <w:rPr>
          <w:bdr w:val="none" w:sz="0" w:space="0" w:color="auto" w:frame="1"/>
          <w:lang w:val="en-CA"/>
        </w:rPr>
        <w:t xml:space="preserve"> and product repair services, dealing with approximately </w:t>
      </w:r>
      <w:r w:rsidR="00523CE1" w:rsidRPr="004326A5">
        <w:rPr>
          <w:bdr w:val="none" w:sz="0" w:space="0" w:color="auto" w:frame="1"/>
          <w:lang w:val="en-CA"/>
        </w:rPr>
        <w:t>14</w:t>
      </w:r>
      <w:r w:rsidRPr="004326A5">
        <w:rPr>
          <w:bdr w:val="none" w:sz="0" w:space="0" w:color="auto" w:frame="1"/>
          <w:lang w:val="en-CA"/>
        </w:rPr>
        <w:t xml:space="preserve"> million service </w:t>
      </w:r>
      <w:r w:rsidR="00523CE1" w:rsidRPr="004326A5">
        <w:rPr>
          <w:bdr w:val="none" w:sz="0" w:space="0" w:color="auto" w:frame="1"/>
          <w:lang w:val="en-CA"/>
        </w:rPr>
        <w:t xml:space="preserve">and installation </w:t>
      </w:r>
      <w:r w:rsidRPr="004326A5">
        <w:rPr>
          <w:bdr w:val="none" w:sz="0" w:space="0" w:color="auto" w:frame="1"/>
          <w:lang w:val="en-CA"/>
        </w:rPr>
        <w:t>calls annually. Its proprietary brands included Kenmore, Craftsman, and Diehard</w:t>
      </w:r>
      <w:r w:rsidR="00E40D20" w:rsidRPr="004326A5">
        <w:rPr>
          <w:bdr w:val="none" w:sz="0" w:space="0" w:color="auto" w:frame="1"/>
          <w:lang w:val="en-CA"/>
        </w:rPr>
        <w:t>. L</w:t>
      </w:r>
      <w:r w:rsidRPr="004326A5">
        <w:rPr>
          <w:bdr w:val="none" w:sz="0" w:space="0" w:color="auto" w:frame="1"/>
          <w:lang w:val="en-CA"/>
        </w:rPr>
        <w:t>abels such as Jaclyn Smith, Joe Boxer</w:t>
      </w:r>
      <w:r w:rsidR="00E40D20" w:rsidRPr="004326A5">
        <w:rPr>
          <w:bdr w:val="none" w:sz="0" w:space="0" w:color="auto" w:frame="1"/>
          <w:lang w:val="en-CA"/>
        </w:rPr>
        <w:t>,</w:t>
      </w:r>
      <w:r w:rsidRPr="004326A5">
        <w:rPr>
          <w:bdr w:val="none" w:sz="0" w:space="0" w:color="auto" w:frame="1"/>
          <w:lang w:val="en-CA"/>
        </w:rPr>
        <w:t xml:space="preserve"> </w:t>
      </w:r>
      <w:r w:rsidR="00523CE1" w:rsidRPr="004326A5">
        <w:rPr>
          <w:rFonts w:ascii="Times" w:hAnsi="Times"/>
          <w:color w:val="1D262B"/>
          <w:shd w:val="clear" w:color="auto" w:fill="FFFFFF"/>
          <w:lang w:val="en-CA"/>
        </w:rPr>
        <w:t xml:space="preserve">and The Country Living Home Collection </w:t>
      </w:r>
      <w:r w:rsidRPr="004326A5">
        <w:rPr>
          <w:bdr w:val="none" w:sz="0" w:space="0" w:color="auto" w:frame="1"/>
          <w:lang w:val="en-CA"/>
        </w:rPr>
        <w:t>were also offered in Sears’ stores.</w:t>
      </w:r>
      <w:r w:rsidRPr="004326A5">
        <w:rPr>
          <w:rStyle w:val="EndnoteReference"/>
          <w:b w:val="0"/>
          <w:color w:val="auto"/>
          <w:lang w:val="en-CA"/>
        </w:rPr>
        <w:endnoteReference w:id="16"/>
      </w:r>
      <w:r w:rsidRPr="004326A5" w:rsidDel="00494F57">
        <w:rPr>
          <w:lang w:val="en-CA"/>
        </w:rPr>
        <w:t xml:space="preserve"> </w:t>
      </w:r>
    </w:p>
    <w:p w14:paraId="37BEF6FE" w14:textId="77777777" w:rsidR="00874275" w:rsidRPr="004326A5" w:rsidRDefault="00874275" w:rsidP="001358C5">
      <w:pPr>
        <w:pStyle w:val="BodyTextMain"/>
        <w:rPr>
          <w:bdr w:val="none" w:sz="0" w:space="0" w:color="auto" w:frame="1"/>
          <w:lang w:val="en-CA"/>
        </w:rPr>
      </w:pPr>
    </w:p>
    <w:p w14:paraId="3416487D" w14:textId="56E33B94" w:rsidR="00874275" w:rsidRPr="004326A5" w:rsidRDefault="00874275" w:rsidP="0030487D">
      <w:pPr>
        <w:pStyle w:val="BodyTextMain"/>
        <w:rPr>
          <w:rFonts w:eastAsia="Calibri"/>
          <w:lang w:val="en-CA"/>
        </w:rPr>
      </w:pPr>
      <w:r w:rsidRPr="004326A5">
        <w:rPr>
          <w:bCs/>
          <w:kern w:val="36"/>
          <w:bdr w:val="none" w:sz="0" w:space="0" w:color="auto" w:frame="1"/>
          <w:lang w:val="en-CA"/>
        </w:rPr>
        <w:t xml:space="preserve">Sears was listed on the Nasdaq National Market under the symbol SHLD and, as of April 1, 2017, had a </w:t>
      </w:r>
      <w:r w:rsidRPr="004326A5">
        <w:rPr>
          <w:rFonts w:eastAsia="Calibri"/>
          <w:lang w:val="en-CA"/>
        </w:rPr>
        <w:t>market capitalization of US$1.1 billion.</w:t>
      </w:r>
      <w:r w:rsidRPr="004326A5">
        <w:rPr>
          <w:rStyle w:val="EndnoteReference"/>
          <w:rFonts w:eastAsia="Calibri"/>
          <w:b w:val="0"/>
          <w:color w:val="auto"/>
          <w:lang w:val="en-CA"/>
        </w:rPr>
        <w:endnoteReference w:id="17"/>
      </w:r>
    </w:p>
    <w:p w14:paraId="55E7B18F" w14:textId="77777777" w:rsidR="00874275" w:rsidRPr="004326A5" w:rsidRDefault="00874275" w:rsidP="0030487D">
      <w:pPr>
        <w:pStyle w:val="BodyTextMain"/>
        <w:rPr>
          <w:rFonts w:eastAsia="Calibri"/>
          <w:lang w:val="en-CA"/>
        </w:rPr>
      </w:pPr>
    </w:p>
    <w:p w14:paraId="3493A619" w14:textId="77777777" w:rsidR="00874275" w:rsidRPr="004326A5" w:rsidRDefault="00874275" w:rsidP="0030487D">
      <w:pPr>
        <w:pStyle w:val="BodyTextMain"/>
        <w:rPr>
          <w:rFonts w:eastAsia="Calibri"/>
          <w:lang w:val="en-CA"/>
        </w:rPr>
      </w:pPr>
    </w:p>
    <w:p w14:paraId="1F57DD2F" w14:textId="66717A93" w:rsidR="00874275" w:rsidRPr="004326A5" w:rsidRDefault="00874275" w:rsidP="006E42DF">
      <w:pPr>
        <w:pStyle w:val="Casehead2"/>
        <w:rPr>
          <w:rFonts w:eastAsia="Calibri"/>
          <w:lang w:val="en-CA"/>
        </w:rPr>
      </w:pPr>
      <w:r w:rsidRPr="004326A5">
        <w:rPr>
          <w:rFonts w:eastAsia="Calibri"/>
          <w:lang w:val="en-CA"/>
        </w:rPr>
        <w:t>Sears over the Years</w:t>
      </w:r>
    </w:p>
    <w:p w14:paraId="08CD0E39" w14:textId="77777777" w:rsidR="00874275" w:rsidRPr="004326A5" w:rsidRDefault="00874275" w:rsidP="0030487D">
      <w:pPr>
        <w:pStyle w:val="BodyTextMain"/>
        <w:rPr>
          <w:rFonts w:eastAsia="Calibri"/>
          <w:lang w:val="en-CA"/>
        </w:rPr>
      </w:pPr>
    </w:p>
    <w:p w14:paraId="3DA75263" w14:textId="637216BE" w:rsidR="00874275" w:rsidRPr="004326A5" w:rsidRDefault="00BD5015" w:rsidP="003456D6">
      <w:pPr>
        <w:pStyle w:val="BodyTextMain"/>
        <w:outlineLvl w:val="0"/>
        <w:rPr>
          <w:rFonts w:eastAsia="Calibri"/>
          <w:spacing w:val="-2"/>
          <w:kern w:val="22"/>
          <w:lang w:val="en-CA"/>
        </w:rPr>
      </w:pPr>
      <w:r w:rsidRPr="004326A5">
        <w:rPr>
          <w:rFonts w:eastAsia="Calibri"/>
          <w:spacing w:val="-2"/>
          <w:kern w:val="22"/>
          <w:lang w:val="en-CA"/>
        </w:rPr>
        <w:t>After its start in the</w:t>
      </w:r>
      <w:r w:rsidR="00874275" w:rsidRPr="004326A5">
        <w:rPr>
          <w:rFonts w:eastAsia="Calibri"/>
          <w:spacing w:val="-2"/>
          <w:kern w:val="22"/>
          <w:lang w:val="en-CA"/>
        </w:rPr>
        <w:t xml:space="preserve"> </w:t>
      </w:r>
      <w:r w:rsidR="009E16B0" w:rsidRPr="004326A5">
        <w:rPr>
          <w:rFonts w:eastAsia="Calibri"/>
          <w:spacing w:val="-2"/>
          <w:kern w:val="22"/>
          <w:lang w:val="en-CA"/>
        </w:rPr>
        <w:t xml:space="preserve">late </w:t>
      </w:r>
      <w:r w:rsidR="00874275" w:rsidRPr="004326A5">
        <w:rPr>
          <w:rFonts w:eastAsia="Calibri"/>
          <w:spacing w:val="-2"/>
          <w:kern w:val="22"/>
          <w:lang w:val="en-CA"/>
        </w:rPr>
        <w:t>1800s, Sears soon transformed into a catalogue-based retailer commanding immense popularity across the United States. Sears products became a sensation across cities with millions of households filled with items ordered from the Sears catalogue.</w:t>
      </w:r>
      <w:r w:rsidR="00874275" w:rsidRPr="004326A5">
        <w:rPr>
          <w:rStyle w:val="EndnoteReference"/>
          <w:rFonts w:eastAsia="Calibri"/>
          <w:b w:val="0"/>
          <w:color w:val="auto"/>
          <w:spacing w:val="-2"/>
          <w:kern w:val="22"/>
          <w:lang w:val="en-CA"/>
        </w:rPr>
        <w:endnoteReference w:id="18"/>
      </w:r>
      <w:r w:rsidR="00874275" w:rsidRPr="004326A5">
        <w:rPr>
          <w:rFonts w:eastAsia="Calibri"/>
          <w:spacing w:val="-2"/>
          <w:kern w:val="22"/>
          <w:lang w:val="en-CA"/>
        </w:rPr>
        <w:t xml:space="preserve"> In 1918, three towns in central Illinois were home to a revolution when kit homes from </w:t>
      </w:r>
      <w:r w:rsidRPr="004326A5">
        <w:rPr>
          <w:rFonts w:eastAsia="Calibri"/>
          <w:spacing w:val="-2"/>
          <w:kern w:val="22"/>
          <w:lang w:val="en-CA"/>
        </w:rPr>
        <w:t xml:space="preserve">the </w:t>
      </w:r>
      <w:r w:rsidR="00874275" w:rsidRPr="004326A5">
        <w:rPr>
          <w:rFonts w:eastAsia="Calibri"/>
          <w:spacing w:val="-2"/>
          <w:kern w:val="22"/>
          <w:lang w:val="en-CA"/>
        </w:rPr>
        <w:t>catalogue were ordered by Standard Oil Company and built as complete neighbourhoods for Standard Oil’s employees. The largest collection, in Carlinville, became known as “Standard Addition.”</w:t>
      </w:r>
      <w:r w:rsidR="00874275" w:rsidRPr="004326A5">
        <w:rPr>
          <w:rStyle w:val="EndnoteReference"/>
          <w:rFonts w:eastAsia="Calibri"/>
          <w:b w:val="0"/>
          <w:color w:val="auto"/>
          <w:spacing w:val="-2"/>
          <w:kern w:val="22"/>
          <w:lang w:val="en-CA"/>
        </w:rPr>
        <w:endnoteReference w:id="19"/>
      </w:r>
      <w:r w:rsidR="00874275" w:rsidRPr="004326A5">
        <w:rPr>
          <w:rFonts w:eastAsia="Calibri"/>
          <w:spacing w:val="-2"/>
          <w:kern w:val="22"/>
          <w:lang w:val="en-CA"/>
        </w:rPr>
        <w:t xml:space="preserve"> By 1940, Sears had sold about 70,000 of these kit houses in over 447 styles.</w:t>
      </w:r>
      <w:r w:rsidR="00874275" w:rsidRPr="004326A5">
        <w:rPr>
          <w:rStyle w:val="EndnoteReference"/>
          <w:rFonts w:eastAsia="Calibri"/>
          <w:b w:val="0"/>
          <w:color w:val="auto"/>
          <w:spacing w:val="-2"/>
          <w:kern w:val="22"/>
          <w:lang w:val="en-CA"/>
        </w:rPr>
        <w:endnoteReference w:id="20"/>
      </w:r>
    </w:p>
    <w:p w14:paraId="571063D9" w14:textId="77777777" w:rsidR="00874275" w:rsidRPr="004326A5" w:rsidRDefault="00874275" w:rsidP="003456D6">
      <w:pPr>
        <w:pStyle w:val="BodyTextMain"/>
        <w:outlineLvl w:val="0"/>
        <w:rPr>
          <w:rFonts w:eastAsia="Calibri"/>
          <w:lang w:val="en-CA"/>
        </w:rPr>
      </w:pPr>
    </w:p>
    <w:p w14:paraId="2AD36B67" w14:textId="4DC35FE7" w:rsidR="00874275" w:rsidRDefault="00874275" w:rsidP="003456D6">
      <w:pPr>
        <w:pStyle w:val="BodyTextMain"/>
        <w:outlineLvl w:val="0"/>
        <w:rPr>
          <w:rFonts w:eastAsia="Calibri"/>
          <w:spacing w:val="-2"/>
          <w:kern w:val="22"/>
          <w:lang w:val="en-CA"/>
        </w:rPr>
      </w:pPr>
      <w:r w:rsidRPr="004326A5">
        <w:rPr>
          <w:rFonts w:eastAsia="Calibri"/>
          <w:spacing w:val="-2"/>
          <w:kern w:val="22"/>
          <w:lang w:val="en-CA"/>
        </w:rPr>
        <w:t>Sears opened its first brick-and-mortar store in 1925, in Chicago. Rapidly expanding all over the country, the company had more than 300 stores in just five years.</w:t>
      </w:r>
      <w:r w:rsidRPr="004326A5">
        <w:rPr>
          <w:rStyle w:val="EndnoteReference"/>
          <w:rFonts w:eastAsia="Calibri"/>
          <w:b w:val="0"/>
          <w:color w:val="auto"/>
          <w:spacing w:val="-2"/>
          <w:kern w:val="22"/>
          <w:lang w:val="en-CA"/>
        </w:rPr>
        <w:endnoteReference w:id="21"/>
      </w:r>
      <w:r w:rsidRPr="004326A5">
        <w:rPr>
          <w:rFonts w:eastAsia="Calibri"/>
          <w:spacing w:val="-2"/>
          <w:kern w:val="22"/>
          <w:lang w:val="en-CA"/>
        </w:rPr>
        <w:t xml:space="preserve"> During the mid-</w:t>
      </w:r>
      <w:r w:rsidR="00E40D20" w:rsidRPr="004326A5">
        <w:rPr>
          <w:rFonts w:eastAsia="Calibri"/>
          <w:spacing w:val="-2"/>
          <w:kern w:val="22"/>
          <w:lang w:val="en-CA"/>
        </w:rPr>
        <w:t xml:space="preserve">20th </w:t>
      </w:r>
      <w:r w:rsidRPr="004326A5">
        <w:rPr>
          <w:rFonts w:eastAsia="Calibri"/>
          <w:spacing w:val="-2"/>
          <w:kern w:val="22"/>
          <w:lang w:val="en-CA"/>
        </w:rPr>
        <w:t>century, Sears diversified by entering real estate, insurance, online services, and credit card businesses, transforming the retailer into a conglomerate. It started Allstate Insurance Company in 1931, added Dean Witter Reynolds (stock brokerage) and Coldwell Banker (real estate) in 1981, started Prodigy Communications Corporation (an online services platform) as a joint venture with IBM in 1984, and introduced Discover credit cards in 1985.</w:t>
      </w:r>
      <w:r w:rsidR="00EC68A6" w:rsidRPr="004326A5">
        <w:rPr>
          <w:rStyle w:val="EndnoteReference"/>
          <w:rFonts w:eastAsia="Calibri"/>
          <w:b w:val="0"/>
          <w:color w:val="auto"/>
          <w:spacing w:val="-2"/>
          <w:kern w:val="22"/>
          <w:lang w:val="en-CA"/>
        </w:rPr>
        <w:endnoteReference w:id="22"/>
      </w:r>
    </w:p>
    <w:p w14:paraId="5B42EFF7" w14:textId="77777777" w:rsidR="0033293B" w:rsidRPr="004326A5" w:rsidRDefault="0033293B" w:rsidP="003456D6">
      <w:pPr>
        <w:pStyle w:val="BodyTextMain"/>
        <w:outlineLvl w:val="0"/>
        <w:rPr>
          <w:rFonts w:eastAsia="Calibri"/>
          <w:spacing w:val="-2"/>
          <w:kern w:val="22"/>
          <w:lang w:val="en-CA"/>
        </w:rPr>
      </w:pPr>
    </w:p>
    <w:p w14:paraId="2F1AC137" w14:textId="72125CC8" w:rsidR="00874275" w:rsidRPr="004326A5" w:rsidRDefault="00874275" w:rsidP="003456D6">
      <w:pPr>
        <w:pStyle w:val="BodyTextMain"/>
        <w:outlineLvl w:val="0"/>
        <w:rPr>
          <w:rFonts w:eastAsia="Calibri"/>
          <w:lang w:val="en-CA"/>
        </w:rPr>
      </w:pPr>
      <w:r w:rsidRPr="004326A5">
        <w:rPr>
          <w:rFonts w:eastAsia="Calibri"/>
          <w:lang w:val="en-CA"/>
        </w:rPr>
        <w:t xml:space="preserve">Soon after, in 1993, Sears closed the catalogue business because people began to prefer to buy their general merchandise products in stores. When competing retailers such as Walmart Inc. entered the sector, Sears </w:t>
      </w:r>
      <w:r w:rsidRPr="004326A5">
        <w:rPr>
          <w:rFonts w:eastAsia="Calibri"/>
          <w:lang w:val="en-CA"/>
        </w:rPr>
        <w:lastRenderedPageBreak/>
        <w:t xml:space="preserve">was pressured to place heavy discounts on its products. The company was forced to lay off thousands of employees as it closed hundreds of stores and its catalogue business. Private label brands and </w:t>
      </w:r>
      <w:r w:rsidR="00BD5015" w:rsidRPr="004326A5">
        <w:rPr>
          <w:rFonts w:eastAsia="Calibri"/>
          <w:lang w:val="en-CA"/>
        </w:rPr>
        <w:t xml:space="preserve">the </w:t>
      </w:r>
      <w:r w:rsidRPr="004326A5">
        <w:rPr>
          <w:rFonts w:eastAsia="Calibri"/>
          <w:lang w:val="en-CA"/>
        </w:rPr>
        <w:t>credit card, which contributed 60 per cent of the company</w:t>
      </w:r>
      <w:r w:rsidRPr="004326A5">
        <w:rPr>
          <w:rFonts w:ascii="Helvetica" w:eastAsia="Helvetica" w:hAnsi="Helvetica" w:cs="Helvetica"/>
          <w:lang w:val="en-CA"/>
        </w:rPr>
        <w:t>’</w:t>
      </w:r>
      <w:r w:rsidRPr="004326A5">
        <w:rPr>
          <w:rFonts w:eastAsia="Calibri"/>
          <w:lang w:val="en-CA"/>
        </w:rPr>
        <w:t>s profits, declined, with the company disposing of both businesses in 2003.</w:t>
      </w:r>
      <w:r w:rsidRPr="004326A5">
        <w:rPr>
          <w:rStyle w:val="EndnoteReference"/>
          <w:rFonts w:eastAsia="Calibri"/>
          <w:b w:val="0"/>
          <w:color w:val="auto"/>
          <w:lang w:val="en-CA"/>
        </w:rPr>
        <w:endnoteReference w:id="23"/>
      </w:r>
    </w:p>
    <w:p w14:paraId="307322C3" w14:textId="77777777" w:rsidR="00874275" w:rsidRPr="004326A5" w:rsidRDefault="00874275" w:rsidP="003456D6">
      <w:pPr>
        <w:pStyle w:val="BodyTextMain"/>
        <w:outlineLvl w:val="0"/>
        <w:rPr>
          <w:rFonts w:eastAsia="Calibri"/>
          <w:lang w:val="en-CA"/>
        </w:rPr>
      </w:pPr>
    </w:p>
    <w:p w14:paraId="4C096D21" w14:textId="6F12AA43" w:rsidR="00874275" w:rsidRPr="004326A5" w:rsidRDefault="00874275" w:rsidP="003456D6">
      <w:pPr>
        <w:pStyle w:val="BodyTextMain"/>
        <w:outlineLvl w:val="0"/>
        <w:rPr>
          <w:rFonts w:eastAsia="Calibri"/>
          <w:lang w:val="en-CA"/>
        </w:rPr>
      </w:pPr>
      <w:r w:rsidRPr="004326A5">
        <w:rPr>
          <w:rFonts w:eastAsia="Calibri"/>
          <w:lang w:val="en-CA"/>
        </w:rPr>
        <w:t>That same year, the company entered the hypermarkets category by opening the Sears Grand stores. These oversized stores averaged 200,000 square feet and were located at standalone locations. The aim was to provide a single source shopping location near people</w:t>
      </w:r>
      <w:r w:rsidRPr="004326A5">
        <w:rPr>
          <w:rFonts w:ascii="Helvetica" w:eastAsia="Helvetica" w:hAnsi="Helvetica" w:cs="Helvetica"/>
          <w:lang w:val="en-CA"/>
        </w:rPr>
        <w:t>’</w:t>
      </w:r>
      <w:r w:rsidRPr="004326A5">
        <w:rPr>
          <w:rFonts w:eastAsia="Calibri"/>
          <w:lang w:val="en-CA"/>
        </w:rPr>
        <w:t>s homes in the suburbs, offering a broad range of products to satisfy a range of consumer needs.</w:t>
      </w:r>
      <w:r w:rsidRPr="004326A5">
        <w:rPr>
          <w:rStyle w:val="EndnoteReference"/>
          <w:rFonts w:eastAsia="Calibri"/>
          <w:b w:val="0"/>
          <w:color w:val="auto"/>
          <w:lang w:val="en-CA"/>
        </w:rPr>
        <w:endnoteReference w:id="24"/>
      </w:r>
    </w:p>
    <w:p w14:paraId="20AC601C" w14:textId="77777777" w:rsidR="00874275" w:rsidRPr="004326A5" w:rsidRDefault="00874275" w:rsidP="003456D6">
      <w:pPr>
        <w:pStyle w:val="BodyTextMain"/>
        <w:outlineLvl w:val="0"/>
        <w:rPr>
          <w:rFonts w:eastAsia="Calibri"/>
          <w:lang w:val="en-CA"/>
        </w:rPr>
      </w:pPr>
    </w:p>
    <w:p w14:paraId="20F704F1" w14:textId="0639FE0D" w:rsidR="00874275" w:rsidRPr="004326A5" w:rsidRDefault="00874275" w:rsidP="00265CF4">
      <w:pPr>
        <w:pStyle w:val="BodyTextMain"/>
        <w:outlineLvl w:val="0"/>
        <w:rPr>
          <w:rFonts w:eastAsia="Calibri"/>
          <w:lang w:val="en-CA"/>
        </w:rPr>
      </w:pPr>
      <w:r w:rsidRPr="004326A5">
        <w:rPr>
          <w:rFonts w:eastAsia="Calibri"/>
          <w:lang w:val="en-CA"/>
        </w:rPr>
        <w:t>In late 2004, Edward Lampert, chair of Kmart and the largest shareholder in both Kmart and Sears, led the merger of the two retailers. Kmart bought Sears for $11 billion, and several hundred Kmart stores were rebranded as Sears.</w:t>
      </w:r>
      <w:r w:rsidRPr="004326A5">
        <w:rPr>
          <w:rStyle w:val="EndnoteReference"/>
          <w:rFonts w:eastAsia="Calibri"/>
          <w:b w:val="0"/>
          <w:color w:val="auto"/>
          <w:lang w:val="en-CA"/>
        </w:rPr>
        <w:endnoteReference w:id="25"/>
      </w:r>
      <w:r w:rsidRPr="004326A5">
        <w:rPr>
          <w:rFonts w:eastAsia="Calibri"/>
          <w:lang w:val="en-CA"/>
        </w:rPr>
        <w:t xml:space="preserve"> Ironically, it was also at this time that e-commerce began to gain traction and brick-and-mortar retailers began losing their appeal to consumers.</w:t>
      </w:r>
      <w:r w:rsidRPr="004326A5">
        <w:rPr>
          <w:rStyle w:val="EndnoteReference"/>
          <w:rFonts w:eastAsia="Calibri"/>
          <w:b w:val="0"/>
          <w:color w:val="auto"/>
          <w:lang w:val="en-CA"/>
        </w:rPr>
        <w:endnoteReference w:id="26"/>
      </w:r>
      <w:r w:rsidRPr="004326A5">
        <w:rPr>
          <w:rFonts w:eastAsia="Calibri"/>
          <w:lang w:val="en-CA"/>
        </w:rPr>
        <w:t xml:space="preserve"> It was no surprise, then, that the company struggled after the merger. </w:t>
      </w:r>
    </w:p>
    <w:p w14:paraId="7659F35A" w14:textId="77777777" w:rsidR="00874275" w:rsidRPr="004326A5" w:rsidRDefault="00874275" w:rsidP="00265CF4">
      <w:pPr>
        <w:pStyle w:val="BodyTextMain"/>
        <w:outlineLvl w:val="0"/>
        <w:rPr>
          <w:rFonts w:eastAsia="Calibri"/>
          <w:lang w:val="en-CA"/>
        </w:rPr>
      </w:pPr>
    </w:p>
    <w:p w14:paraId="634516F7" w14:textId="24B3531D" w:rsidR="00874275" w:rsidRPr="004326A5" w:rsidRDefault="00874275">
      <w:pPr>
        <w:pStyle w:val="BodyTextMain"/>
        <w:outlineLvl w:val="0"/>
        <w:rPr>
          <w:rFonts w:eastAsia="Calibri"/>
          <w:lang w:val="en-CA"/>
        </w:rPr>
      </w:pPr>
      <w:r w:rsidRPr="004326A5">
        <w:rPr>
          <w:rFonts w:eastAsia="Calibri"/>
          <w:lang w:val="en-CA"/>
        </w:rPr>
        <w:t xml:space="preserve">Sears became </w:t>
      </w:r>
      <w:r w:rsidR="00E40D20" w:rsidRPr="004326A5">
        <w:rPr>
          <w:rFonts w:eastAsia="Calibri"/>
          <w:lang w:val="en-CA"/>
        </w:rPr>
        <w:t xml:space="preserve">a </w:t>
      </w:r>
      <w:r w:rsidRPr="004326A5">
        <w:rPr>
          <w:rFonts w:eastAsia="Calibri"/>
          <w:lang w:val="en-CA"/>
        </w:rPr>
        <w:t>loss</w:t>
      </w:r>
      <w:r w:rsidR="00E40D20" w:rsidRPr="004326A5">
        <w:rPr>
          <w:rFonts w:eastAsia="Calibri"/>
          <w:lang w:val="en-CA"/>
        </w:rPr>
        <w:t>-</w:t>
      </w:r>
      <w:r w:rsidRPr="004326A5">
        <w:rPr>
          <w:rFonts w:eastAsia="Calibri"/>
          <w:lang w:val="en-CA"/>
        </w:rPr>
        <w:t xml:space="preserve">making </w:t>
      </w:r>
      <w:r w:rsidR="00E40D20" w:rsidRPr="004326A5">
        <w:rPr>
          <w:rFonts w:eastAsia="Calibri"/>
          <w:lang w:val="en-CA"/>
        </w:rPr>
        <w:t xml:space="preserve">store </w:t>
      </w:r>
      <w:r w:rsidRPr="004326A5">
        <w:rPr>
          <w:rFonts w:eastAsia="Calibri"/>
          <w:lang w:val="en-CA"/>
        </w:rPr>
        <w:t>from 2010 onward, struggling to cope with the changing retail industry and adapt to changing consumer expectations. The company introduced several programs to attract consumer attention but failed in its efforts. One of the programs was AdYourWay, an online service that provided customers with deals and offers of interest and alerted them of price drops on chosen products in the store. Another was MyGofer, a platform that enabled customers to buy daily basics and a range of other items online and pick them up from a physical store later the same day.</w:t>
      </w:r>
      <w:r w:rsidRPr="004326A5">
        <w:rPr>
          <w:rStyle w:val="EndnoteReference"/>
          <w:rFonts w:eastAsia="Calibri"/>
          <w:b w:val="0"/>
          <w:color w:val="auto"/>
          <w:lang w:val="en-CA"/>
        </w:rPr>
        <w:endnoteReference w:id="27"/>
      </w:r>
    </w:p>
    <w:p w14:paraId="6C8EEB9A" w14:textId="77777777" w:rsidR="00874275" w:rsidRPr="004326A5" w:rsidRDefault="00874275" w:rsidP="0030487D">
      <w:pPr>
        <w:pStyle w:val="BodyTextMain"/>
        <w:rPr>
          <w:rFonts w:eastAsia="Calibri"/>
          <w:lang w:val="en-CA"/>
        </w:rPr>
      </w:pPr>
    </w:p>
    <w:p w14:paraId="41F16609" w14:textId="70BCCBD6" w:rsidR="00874275" w:rsidRPr="004326A5" w:rsidRDefault="00204513" w:rsidP="006671DF">
      <w:pPr>
        <w:pStyle w:val="BodyTextMain"/>
        <w:rPr>
          <w:rFonts w:eastAsia="Calibri"/>
          <w:lang w:val="en-CA"/>
        </w:rPr>
      </w:pPr>
      <w:r w:rsidRPr="004326A5">
        <w:rPr>
          <w:rFonts w:eastAsia="Calibri"/>
          <w:lang w:val="en-CA"/>
        </w:rPr>
        <w:t>I</w:t>
      </w:r>
      <w:r w:rsidR="00874275" w:rsidRPr="004326A5">
        <w:rPr>
          <w:rFonts w:eastAsia="Calibri"/>
          <w:lang w:val="en-CA"/>
        </w:rPr>
        <w:t xml:space="preserve">n 2013, the company </w:t>
      </w:r>
      <w:r w:rsidRPr="004326A5">
        <w:rPr>
          <w:rFonts w:eastAsia="Calibri"/>
          <w:lang w:val="en-CA"/>
        </w:rPr>
        <w:t>was launched through</w:t>
      </w:r>
      <w:r w:rsidR="00874275" w:rsidRPr="004326A5">
        <w:rPr>
          <w:rFonts w:eastAsia="Calibri"/>
          <w:lang w:val="en-CA"/>
        </w:rPr>
        <w:t xml:space="preserve"> major changes in efforts to revive the business</w:t>
      </w:r>
      <w:r w:rsidRPr="004326A5">
        <w:rPr>
          <w:rFonts w:eastAsia="Calibri"/>
          <w:lang w:val="en-CA"/>
        </w:rPr>
        <w:t xml:space="preserve">, </w:t>
      </w:r>
      <w:r w:rsidR="00874275" w:rsidRPr="004326A5">
        <w:rPr>
          <w:rFonts w:eastAsia="Calibri"/>
          <w:lang w:val="en-CA"/>
        </w:rPr>
        <w:t>described as a “paradigm shift from traditional retailing to a member-centric company.”</w:t>
      </w:r>
      <w:r w:rsidRPr="004326A5">
        <w:rPr>
          <w:rStyle w:val="EndnoteReference"/>
          <w:rFonts w:eastAsia="Calibri"/>
          <w:b w:val="0"/>
          <w:color w:val="auto"/>
          <w:lang w:val="en-CA"/>
        </w:rPr>
        <w:endnoteReference w:id="28"/>
      </w:r>
      <w:r w:rsidR="00874275" w:rsidRPr="004326A5">
        <w:rPr>
          <w:rFonts w:eastAsia="Calibri"/>
          <w:lang w:val="en-CA"/>
        </w:rPr>
        <w:t xml:space="preserve"> The effort was to focus on the company’s core customers and members, providing them value through an integrated retail experience consisting of physical stores, service businesses, a credit card, and its Shop Your Way platform. Sears was investing significantly in online e-commerce platforms, membership programs, and the technology needed to support these initiatives to stay abreast of the shift toward online shopping and the use of mobile technology and social media.</w:t>
      </w:r>
      <w:r w:rsidR="00874275" w:rsidRPr="004326A5">
        <w:rPr>
          <w:rStyle w:val="EndnoteReference"/>
          <w:rFonts w:eastAsia="Calibri"/>
          <w:b w:val="0"/>
          <w:color w:val="auto"/>
          <w:lang w:val="en-CA"/>
        </w:rPr>
        <w:endnoteReference w:id="29"/>
      </w:r>
      <w:r w:rsidR="00874275" w:rsidRPr="004326A5" w:rsidDel="00C82D2F">
        <w:rPr>
          <w:lang w:val="en-CA"/>
        </w:rPr>
        <w:t xml:space="preserve"> </w:t>
      </w:r>
    </w:p>
    <w:p w14:paraId="64E4411B" w14:textId="17F636E6" w:rsidR="00874275" w:rsidRPr="004326A5" w:rsidRDefault="00874275" w:rsidP="006671DF">
      <w:pPr>
        <w:pStyle w:val="BodyTextMain"/>
        <w:rPr>
          <w:lang w:val="en-CA"/>
        </w:rPr>
      </w:pPr>
    </w:p>
    <w:p w14:paraId="5BA4CBE0" w14:textId="5C2E44AA" w:rsidR="00874275" w:rsidRPr="004326A5" w:rsidRDefault="00874275" w:rsidP="006671DF">
      <w:pPr>
        <w:pStyle w:val="BodyTextMain"/>
        <w:rPr>
          <w:lang w:val="en-CA"/>
        </w:rPr>
      </w:pPr>
    </w:p>
    <w:p w14:paraId="6C5F5076" w14:textId="77777777" w:rsidR="00874275" w:rsidRPr="004326A5" w:rsidRDefault="00874275" w:rsidP="008E1540">
      <w:pPr>
        <w:pStyle w:val="Casehead2"/>
        <w:rPr>
          <w:rFonts w:eastAsia="Calibri"/>
          <w:lang w:val="en-CA"/>
        </w:rPr>
      </w:pPr>
      <w:r w:rsidRPr="004326A5">
        <w:rPr>
          <w:rFonts w:eastAsia="Calibri"/>
          <w:lang w:val="en-CA"/>
        </w:rPr>
        <w:t>Financial Performance</w:t>
      </w:r>
    </w:p>
    <w:p w14:paraId="1F9E9E67" w14:textId="77777777" w:rsidR="00874275" w:rsidRPr="004326A5" w:rsidRDefault="00874275" w:rsidP="008E1540">
      <w:pPr>
        <w:pStyle w:val="BodyTextMain"/>
        <w:rPr>
          <w:rFonts w:eastAsia="Calibri"/>
          <w:lang w:val="en-CA"/>
        </w:rPr>
      </w:pPr>
    </w:p>
    <w:p w14:paraId="232F9FAD" w14:textId="77777777" w:rsidR="00874275" w:rsidRPr="004326A5" w:rsidRDefault="00874275" w:rsidP="00954EF1">
      <w:pPr>
        <w:pStyle w:val="BodyTextMain"/>
        <w:rPr>
          <w:rFonts w:eastAsia="Calibri"/>
          <w:shd w:val="clear" w:color="auto" w:fill="FFFFFF"/>
          <w:lang w:val="en-CA"/>
        </w:rPr>
      </w:pPr>
      <w:r w:rsidRPr="004326A5">
        <w:rPr>
          <w:rFonts w:eastAsia="Calibri"/>
          <w:lang w:val="en-CA"/>
        </w:rPr>
        <w:t>The struggle for Sears started during the 2009 recession without any recovery by 2017. The intense pressure in the retail industry coupled with the lack of a coherent turnaround strategy led to Sears’ consistent decline over the years. Between fiscal year (FY) 2012/13 and FY 2016/17, the company closed a large number of</w:t>
      </w:r>
      <w:r w:rsidRPr="004326A5">
        <w:rPr>
          <w:rFonts w:eastAsia="Calibri"/>
          <w:shd w:val="clear" w:color="auto" w:fill="FFFFFF"/>
          <w:lang w:val="en-CA"/>
        </w:rPr>
        <w:t xml:space="preserve"> </w:t>
      </w:r>
      <w:r w:rsidRPr="004326A5">
        <w:rPr>
          <w:rFonts w:eastAsia="Calibri"/>
          <w:lang w:val="en-CA"/>
        </w:rPr>
        <w:t>stores and laid off more than 40 per cent of its staff (see Exhibit 2).</w:t>
      </w:r>
      <w:r w:rsidRPr="004326A5">
        <w:rPr>
          <w:rStyle w:val="EndnoteReference"/>
          <w:rFonts w:eastAsia="Calibri"/>
          <w:b w:val="0"/>
          <w:color w:val="auto"/>
          <w:lang w:val="en-CA"/>
        </w:rPr>
        <w:endnoteReference w:id="30"/>
      </w:r>
    </w:p>
    <w:p w14:paraId="750D638C" w14:textId="77777777" w:rsidR="00874275" w:rsidRPr="004326A5" w:rsidRDefault="00874275" w:rsidP="008E1540">
      <w:pPr>
        <w:pStyle w:val="BodyTextMain"/>
        <w:rPr>
          <w:rFonts w:eastAsia="Calibri"/>
          <w:shd w:val="clear" w:color="auto" w:fill="FFFFFF"/>
          <w:lang w:val="en-CA"/>
        </w:rPr>
      </w:pPr>
    </w:p>
    <w:p w14:paraId="1DB0D870" w14:textId="67A0742A" w:rsidR="00874275" w:rsidRPr="004326A5" w:rsidRDefault="00874275" w:rsidP="000B780E">
      <w:pPr>
        <w:pStyle w:val="BodyTextMain"/>
        <w:rPr>
          <w:rFonts w:eastAsia="Calibri"/>
          <w:shd w:val="clear" w:color="auto" w:fill="FFFFFF"/>
          <w:lang w:val="en-CA"/>
        </w:rPr>
      </w:pPr>
      <w:r w:rsidRPr="000B780E">
        <w:rPr>
          <w:rFonts w:eastAsia="Calibri"/>
          <w:lang w:val="en-CA"/>
        </w:rPr>
        <w:t>The company’s revenue declined continuously from FY 201</w:t>
      </w:r>
      <w:r w:rsidR="00146555" w:rsidRPr="000B780E">
        <w:rPr>
          <w:rFonts w:eastAsia="Calibri"/>
          <w:lang w:val="en-CA"/>
        </w:rPr>
        <w:t>1</w:t>
      </w:r>
      <w:r w:rsidRPr="000B780E">
        <w:rPr>
          <w:rFonts w:eastAsia="Calibri"/>
          <w:lang w:val="en-CA"/>
        </w:rPr>
        <w:t xml:space="preserve">/12 to FY 2016/17. Despite a simultaneous decline in the total costs and expenses of the company during the same period, the company’s operating margins continued to suffer </w:t>
      </w:r>
      <w:r w:rsidR="00146555" w:rsidRPr="000B780E">
        <w:rPr>
          <w:rFonts w:eastAsia="Calibri"/>
          <w:lang w:val="en-CA"/>
        </w:rPr>
        <w:t>as a result of</w:t>
      </w:r>
      <w:r w:rsidRPr="000B780E">
        <w:rPr>
          <w:rFonts w:eastAsia="Calibri"/>
          <w:lang w:val="en-CA"/>
        </w:rPr>
        <w:t xml:space="preserve"> </w:t>
      </w:r>
      <w:r w:rsidR="00146555" w:rsidRPr="000B780E">
        <w:rPr>
          <w:rFonts w:eastAsia="Calibri"/>
          <w:lang w:val="en-CA"/>
        </w:rPr>
        <w:t>a</w:t>
      </w:r>
      <w:r w:rsidRPr="000B780E">
        <w:rPr>
          <w:rFonts w:eastAsia="Calibri"/>
          <w:lang w:val="en-CA"/>
        </w:rPr>
        <w:t xml:space="preserve"> steeper decline in the company’s revenue as compared to the reduction in costs. This deterioration of the company’s profitability also led to the erosion of the company’s</w:t>
      </w:r>
      <w:r w:rsidRPr="004326A5">
        <w:rPr>
          <w:rFonts w:eastAsia="Calibri"/>
          <w:shd w:val="clear" w:color="auto" w:fill="FFFFFF"/>
          <w:lang w:val="en-CA"/>
        </w:rPr>
        <w:t xml:space="preserve"> </w:t>
      </w:r>
      <w:r w:rsidRPr="000B780E">
        <w:rPr>
          <w:rFonts w:eastAsia="Calibri"/>
          <w:lang w:val="en-CA"/>
        </w:rPr>
        <w:t>equity capital over the period (see Exhibit</w:t>
      </w:r>
      <w:r w:rsidR="00A87EB6" w:rsidRPr="000B780E">
        <w:rPr>
          <w:rFonts w:eastAsia="Calibri"/>
          <w:lang w:val="en-CA"/>
        </w:rPr>
        <w:t>s</w:t>
      </w:r>
      <w:r w:rsidRPr="000B780E">
        <w:rPr>
          <w:rFonts w:eastAsia="Calibri"/>
          <w:lang w:val="en-CA"/>
        </w:rPr>
        <w:t xml:space="preserve"> 3 and 4).</w:t>
      </w:r>
      <w:r w:rsidRPr="004326A5">
        <w:rPr>
          <w:rStyle w:val="EndnoteReference"/>
          <w:rFonts w:eastAsia="Calibri"/>
          <w:b w:val="0"/>
          <w:color w:val="auto"/>
          <w:lang w:val="en-CA"/>
        </w:rPr>
        <w:endnoteReference w:id="31"/>
      </w:r>
    </w:p>
    <w:p w14:paraId="246C0DCA" w14:textId="77777777" w:rsidR="00874275" w:rsidRPr="0033293B" w:rsidRDefault="00874275" w:rsidP="008E1540">
      <w:pPr>
        <w:pStyle w:val="BodyTextMain"/>
        <w:rPr>
          <w:rFonts w:eastAsia="Calibri"/>
          <w:sz w:val="18"/>
          <w:szCs w:val="18"/>
          <w:shd w:val="clear" w:color="auto" w:fill="FFFFFF"/>
          <w:lang w:val="en-CA"/>
        </w:rPr>
      </w:pPr>
    </w:p>
    <w:p w14:paraId="6059D4B3" w14:textId="0E12806B" w:rsidR="00874275" w:rsidRPr="004326A5" w:rsidRDefault="00874275" w:rsidP="008E1540">
      <w:pPr>
        <w:pStyle w:val="BodyTextMain"/>
        <w:rPr>
          <w:rFonts w:eastAsia="Calibri"/>
          <w:shd w:val="clear" w:color="auto" w:fill="FFFFFF"/>
          <w:lang w:val="en-CA"/>
        </w:rPr>
      </w:pPr>
      <w:r w:rsidRPr="004326A5">
        <w:rPr>
          <w:rFonts w:eastAsia="Calibri"/>
          <w:shd w:val="clear" w:color="auto" w:fill="FFFFFF"/>
          <w:lang w:val="en-CA"/>
        </w:rPr>
        <w:t>Deterioration of the profitability was also accompanied by erosion of the company’s asset base and cash reserves. During the same period, Sears’ borrowings (long-term as well as short-term) increased significantly. The company had been forced to borrow to fund its operations and meet its financial obligations, which was evident from the increasing cash flows from the company’s investing and financing activities (see Exhibit</w:t>
      </w:r>
      <w:r w:rsidR="005B1040" w:rsidRPr="004326A5">
        <w:rPr>
          <w:rFonts w:eastAsia="Calibri"/>
          <w:shd w:val="clear" w:color="auto" w:fill="FFFFFF"/>
          <w:lang w:val="en-CA"/>
        </w:rPr>
        <w:t>s</w:t>
      </w:r>
      <w:r w:rsidRPr="004326A5">
        <w:rPr>
          <w:rFonts w:eastAsia="Calibri"/>
          <w:shd w:val="clear" w:color="auto" w:fill="FFFFFF"/>
          <w:lang w:val="en-CA"/>
        </w:rPr>
        <w:t xml:space="preserve"> 4 and 5).</w:t>
      </w:r>
      <w:r w:rsidRPr="004326A5">
        <w:rPr>
          <w:rStyle w:val="EndnoteReference"/>
          <w:rFonts w:eastAsia="Calibri"/>
          <w:b w:val="0"/>
          <w:color w:val="auto"/>
          <w:lang w:val="en-CA"/>
        </w:rPr>
        <w:endnoteReference w:id="32"/>
      </w:r>
      <w:r w:rsidRPr="004326A5">
        <w:rPr>
          <w:rFonts w:eastAsia="Calibri"/>
          <w:shd w:val="clear" w:color="auto" w:fill="FFFFFF"/>
          <w:lang w:val="en-CA"/>
        </w:rPr>
        <w:t xml:space="preserve"> </w:t>
      </w:r>
    </w:p>
    <w:p w14:paraId="019AF5C5" w14:textId="5E11D682" w:rsidR="00874275" w:rsidRPr="004326A5" w:rsidRDefault="00874275" w:rsidP="008E1540">
      <w:pPr>
        <w:pStyle w:val="BodyTextMain"/>
        <w:rPr>
          <w:rFonts w:eastAsia="Calibri"/>
          <w:shd w:val="clear" w:color="auto" w:fill="FFFFFF"/>
          <w:vertAlign w:val="superscript"/>
          <w:lang w:val="en-CA"/>
        </w:rPr>
      </w:pPr>
      <w:r w:rsidRPr="004326A5">
        <w:rPr>
          <w:rFonts w:eastAsia="Calibri"/>
          <w:shd w:val="clear" w:color="auto" w:fill="FFFFFF"/>
          <w:lang w:val="en-CA"/>
        </w:rPr>
        <w:lastRenderedPageBreak/>
        <w:t xml:space="preserve">Apart from poor financial performance, Sears also experienced an unusual number of high-level departures. According to LinkedIn data, at least 67 executives at the vice-president level or higher left during 2015–17. Fifteen of them left after fewer than two years of service, and seven left after fewer than 12 months, </w:t>
      </w:r>
      <w:r w:rsidR="00146555" w:rsidRPr="004326A5">
        <w:rPr>
          <w:rFonts w:eastAsia="Calibri"/>
          <w:shd w:val="clear" w:color="auto" w:fill="FFFFFF"/>
          <w:lang w:val="en-CA"/>
        </w:rPr>
        <w:t>according to</w:t>
      </w:r>
      <w:r w:rsidRPr="004326A5">
        <w:rPr>
          <w:rFonts w:eastAsia="Calibri"/>
          <w:shd w:val="clear" w:color="auto" w:fill="FFFFFF"/>
          <w:lang w:val="en-CA"/>
        </w:rPr>
        <w:t xml:space="preserve"> employee profiles.</w:t>
      </w:r>
      <w:r w:rsidRPr="004326A5">
        <w:rPr>
          <w:rStyle w:val="EndnoteReference"/>
          <w:rFonts w:eastAsia="Calibri"/>
          <w:b w:val="0"/>
          <w:color w:val="auto"/>
          <w:lang w:val="en-CA"/>
        </w:rPr>
        <w:endnoteReference w:id="33"/>
      </w:r>
      <w:r w:rsidRPr="004326A5" w:rsidDel="0083486A">
        <w:rPr>
          <w:rFonts w:eastAsia="Calibri"/>
          <w:shd w:val="clear" w:color="auto" w:fill="FFFFFF"/>
          <w:vertAlign w:val="superscript"/>
          <w:lang w:val="en-CA"/>
        </w:rPr>
        <w:t xml:space="preserve"> </w:t>
      </w:r>
    </w:p>
    <w:p w14:paraId="760D03FF" w14:textId="77777777" w:rsidR="00874275" w:rsidRPr="004326A5" w:rsidRDefault="00874275" w:rsidP="006671DF">
      <w:pPr>
        <w:pStyle w:val="BodyTextMain"/>
        <w:rPr>
          <w:lang w:val="en-CA"/>
        </w:rPr>
      </w:pPr>
    </w:p>
    <w:p w14:paraId="23A2A0D9" w14:textId="77777777" w:rsidR="00874275" w:rsidRPr="004326A5" w:rsidRDefault="00874275" w:rsidP="006671DF">
      <w:pPr>
        <w:pStyle w:val="BodyTextMain"/>
        <w:rPr>
          <w:lang w:val="en-CA"/>
        </w:rPr>
      </w:pPr>
    </w:p>
    <w:p w14:paraId="310157DC" w14:textId="30DBFE74" w:rsidR="00874275" w:rsidRPr="004326A5" w:rsidRDefault="00874275" w:rsidP="003456D6">
      <w:pPr>
        <w:pStyle w:val="Casehead1"/>
        <w:outlineLvl w:val="0"/>
        <w:rPr>
          <w:rFonts w:eastAsia="Calibri"/>
          <w:lang w:val="en-CA"/>
        </w:rPr>
      </w:pPr>
      <w:r w:rsidRPr="004326A5">
        <w:rPr>
          <w:rFonts w:eastAsia="Calibri"/>
          <w:lang w:val="en-CA"/>
        </w:rPr>
        <w:t>Edward Lampert, Chief Executive Officer</w:t>
      </w:r>
    </w:p>
    <w:p w14:paraId="1B946126" w14:textId="77777777" w:rsidR="00874275" w:rsidRPr="0033293B" w:rsidRDefault="00874275" w:rsidP="006671DF">
      <w:pPr>
        <w:pStyle w:val="BodyTextMain"/>
        <w:keepNext/>
        <w:rPr>
          <w:rFonts w:eastAsia="Calibri"/>
          <w:sz w:val="18"/>
          <w:szCs w:val="18"/>
          <w:lang w:val="en-CA"/>
        </w:rPr>
      </w:pPr>
    </w:p>
    <w:p w14:paraId="265FBA8F" w14:textId="2709C10B" w:rsidR="00874275" w:rsidRPr="004326A5" w:rsidRDefault="00874275" w:rsidP="00E91B37">
      <w:pPr>
        <w:pStyle w:val="BodyTextMain"/>
        <w:rPr>
          <w:rFonts w:eastAsia="Calibri"/>
          <w:spacing w:val="-4"/>
          <w:kern w:val="22"/>
          <w:lang w:val="en-CA"/>
        </w:rPr>
      </w:pPr>
      <w:r w:rsidRPr="004326A5">
        <w:rPr>
          <w:rFonts w:eastAsia="Calibri"/>
          <w:spacing w:val="-4"/>
          <w:kern w:val="22"/>
          <w:lang w:val="en-CA"/>
        </w:rPr>
        <w:t xml:space="preserve">Lampert, a former Wall Street prodigy, took over Sears’ reins as chairman of the company’s board of directors after the merger with Kmart was completed in 2005. In February 2013, he took on the additional responsibility of </w:t>
      </w:r>
      <w:r w:rsidR="002869B2" w:rsidRPr="004326A5">
        <w:rPr>
          <w:rFonts w:eastAsia="Calibri"/>
          <w:spacing w:val="-4"/>
          <w:kern w:val="22"/>
          <w:lang w:val="en-CA"/>
        </w:rPr>
        <w:t xml:space="preserve">Sears’ chief executive officer (CEO) </w:t>
      </w:r>
      <w:r w:rsidRPr="004326A5">
        <w:rPr>
          <w:rFonts w:eastAsia="Calibri"/>
          <w:spacing w:val="-4"/>
          <w:kern w:val="22"/>
          <w:lang w:val="en-CA"/>
        </w:rPr>
        <w:t>after Louis D’Ambrosio stepped down due to family health matters.</w:t>
      </w:r>
      <w:r w:rsidRPr="004326A5">
        <w:rPr>
          <w:rStyle w:val="EndnoteReference"/>
          <w:rFonts w:eastAsia="Calibri"/>
          <w:b w:val="0"/>
          <w:color w:val="auto"/>
          <w:spacing w:val="-4"/>
          <w:kern w:val="22"/>
          <w:lang w:val="en-CA"/>
        </w:rPr>
        <w:endnoteReference w:id="34"/>
      </w:r>
    </w:p>
    <w:p w14:paraId="4184CBED" w14:textId="77777777" w:rsidR="00874275" w:rsidRPr="0033293B" w:rsidRDefault="00874275" w:rsidP="0030487D">
      <w:pPr>
        <w:pStyle w:val="BodyTextMain"/>
        <w:rPr>
          <w:rFonts w:eastAsia="Calibri"/>
          <w:sz w:val="18"/>
          <w:szCs w:val="18"/>
          <w:lang w:val="en-CA"/>
        </w:rPr>
      </w:pPr>
    </w:p>
    <w:p w14:paraId="1E9023FB" w14:textId="3423A026" w:rsidR="00874275" w:rsidRPr="004326A5" w:rsidRDefault="00874275" w:rsidP="00E91B37">
      <w:pPr>
        <w:pStyle w:val="BodyTextMain"/>
        <w:rPr>
          <w:rFonts w:eastAsia="Calibri"/>
          <w:shd w:val="clear" w:color="auto" w:fill="FFFFFF"/>
          <w:lang w:val="en-CA"/>
        </w:rPr>
      </w:pPr>
      <w:r w:rsidRPr="004326A5">
        <w:rPr>
          <w:rFonts w:eastAsia="Calibri"/>
          <w:lang w:val="en-CA"/>
        </w:rPr>
        <w:t>An economics major from Yale University, Lampert started his career as an intern at Goldman Sachs in 1984 and went on to become renowned on Wall Street, riding on the success of his hedge fund, ESL Investments Inc.</w:t>
      </w:r>
      <w:r w:rsidRPr="004326A5">
        <w:rPr>
          <w:rStyle w:val="EndnoteReference"/>
          <w:rFonts w:eastAsia="Calibri"/>
          <w:b w:val="0"/>
          <w:color w:val="auto"/>
          <w:lang w:val="en-CA"/>
        </w:rPr>
        <w:endnoteReference w:id="35"/>
      </w:r>
      <w:r w:rsidRPr="004326A5">
        <w:rPr>
          <w:rFonts w:eastAsia="Calibri"/>
          <w:lang w:val="en-CA"/>
        </w:rPr>
        <w:t xml:space="preserve"> Lampert drew comparisons with Warren Buffet for his investment style.</w:t>
      </w:r>
      <w:r w:rsidRPr="004326A5">
        <w:rPr>
          <w:rStyle w:val="EndnoteReference"/>
          <w:rFonts w:eastAsia="Calibri"/>
          <w:b w:val="0"/>
          <w:color w:val="auto"/>
          <w:lang w:val="en-CA"/>
        </w:rPr>
        <w:endnoteReference w:id="36"/>
      </w:r>
    </w:p>
    <w:p w14:paraId="1AC128B5" w14:textId="77777777" w:rsidR="00874275" w:rsidRPr="0033293B" w:rsidRDefault="00874275" w:rsidP="0030487D">
      <w:pPr>
        <w:pStyle w:val="BodyTextMain"/>
        <w:rPr>
          <w:rFonts w:eastAsia="Calibri"/>
          <w:sz w:val="18"/>
          <w:szCs w:val="18"/>
          <w:shd w:val="clear" w:color="auto" w:fill="FFFFFF"/>
          <w:lang w:val="en-CA"/>
        </w:rPr>
      </w:pPr>
    </w:p>
    <w:p w14:paraId="7F435708" w14:textId="4F8A2A79" w:rsidR="00874275" w:rsidRPr="004326A5" w:rsidRDefault="00874275" w:rsidP="0030487D">
      <w:pPr>
        <w:pStyle w:val="BodyTextMain"/>
        <w:rPr>
          <w:rFonts w:eastAsia="Calibri"/>
          <w:spacing w:val="-4"/>
          <w:kern w:val="22"/>
          <w:lang w:val="en-CA"/>
        </w:rPr>
      </w:pPr>
      <w:r w:rsidRPr="004326A5">
        <w:rPr>
          <w:rFonts w:eastAsia="Calibri"/>
          <w:spacing w:val="-4"/>
          <w:kern w:val="22"/>
          <w:lang w:val="en-CA"/>
        </w:rPr>
        <w:t>Lampert was Sears’ top shareholder, owning about 48 per cent of the company’s stock, including shares held by ESL Investments. He was also the company’s principal creditor.</w:t>
      </w:r>
      <w:r w:rsidRPr="004326A5">
        <w:rPr>
          <w:rStyle w:val="EndnoteReference"/>
          <w:rFonts w:eastAsia="Calibri"/>
          <w:b w:val="0"/>
          <w:color w:val="auto"/>
          <w:spacing w:val="-4"/>
          <w:kern w:val="22"/>
          <w:lang w:val="en-CA"/>
        </w:rPr>
        <w:endnoteReference w:id="37"/>
      </w:r>
      <w:r w:rsidRPr="004326A5">
        <w:rPr>
          <w:rFonts w:eastAsia="Calibri"/>
          <w:spacing w:val="-4"/>
          <w:kern w:val="22"/>
          <w:lang w:val="en-CA"/>
        </w:rPr>
        <w:t xml:space="preserve"> Yet</w:t>
      </w:r>
      <w:r w:rsidR="005B1040" w:rsidRPr="004326A5">
        <w:rPr>
          <w:rFonts w:eastAsia="Calibri"/>
          <w:spacing w:val="-4"/>
          <w:kern w:val="22"/>
          <w:lang w:val="en-CA"/>
        </w:rPr>
        <w:t>,</w:t>
      </w:r>
      <w:r w:rsidR="00C121B8">
        <w:rPr>
          <w:rFonts w:eastAsia="Calibri"/>
          <w:spacing w:val="-4"/>
          <w:kern w:val="22"/>
          <w:lang w:val="en-CA"/>
        </w:rPr>
        <w:t xml:space="preserve"> Lamp</w:t>
      </w:r>
      <w:r w:rsidRPr="004326A5">
        <w:rPr>
          <w:rFonts w:eastAsia="Calibri"/>
          <w:spacing w:val="-4"/>
          <w:kern w:val="22"/>
          <w:lang w:val="en-CA"/>
        </w:rPr>
        <w:t>ert was rarely seen in the office, only visiting once a year for the shareholders’ meeting and, according to interviews with Sears employees, running the company through video conferencing the rest of the year. “The only way you see Eddie is through a screen. We used to joke about who had to go upstairs to get fixed and see Oz,” said one former executive.</w:t>
      </w:r>
      <w:bookmarkStart w:id="3" w:name="_Ref482355635"/>
      <w:r w:rsidRPr="004326A5">
        <w:rPr>
          <w:rStyle w:val="EndnoteReference"/>
          <w:rFonts w:eastAsia="Calibri"/>
          <w:b w:val="0"/>
          <w:color w:val="auto"/>
          <w:spacing w:val="-4"/>
          <w:kern w:val="22"/>
          <w:lang w:val="en-CA"/>
        </w:rPr>
        <w:endnoteReference w:id="38"/>
      </w:r>
      <w:bookmarkEnd w:id="3"/>
    </w:p>
    <w:p w14:paraId="556EBF59" w14:textId="77777777" w:rsidR="00874275" w:rsidRPr="0033293B" w:rsidRDefault="00874275" w:rsidP="0030487D">
      <w:pPr>
        <w:pStyle w:val="BodyTextMain"/>
        <w:rPr>
          <w:rFonts w:eastAsia="Calibri"/>
          <w:sz w:val="18"/>
          <w:szCs w:val="18"/>
          <w:lang w:val="en-CA"/>
        </w:rPr>
      </w:pPr>
    </w:p>
    <w:p w14:paraId="14AF9379" w14:textId="0E884E23" w:rsidR="00874275" w:rsidRPr="004326A5" w:rsidRDefault="002869B2" w:rsidP="000E2DFA">
      <w:pPr>
        <w:pStyle w:val="BodyTextMain"/>
        <w:rPr>
          <w:rFonts w:eastAsia="Calibri"/>
          <w:spacing w:val="-2"/>
          <w:kern w:val="22"/>
          <w:vertAlign w:val="superscript"/>
          <w:lang w:val="en-CA"/>
        </w:rPr>
      </w:pPr>
      <w:r w:rsidRPr="004326A5">
        <w:rPr>
          <w:rFonts w:eastAsia="Calibri"/>
          <w:spacing w:val="-2"/>
          <w:kern w:val="22"/>
          <w:lang w:val="en-CA"/>
        </w:rPr>
        <w:t xml:space="preserve">As CEO, </w:t>
      </w:r>
      <w:r w:rsidR="00874275" w:rsidRPr="004326A5">
        <w:rPr>
          <w:rFonts w:eastAsia="Calibri"/>
          <w:spacing w:val="-2"/>
          <w:kern w:val="22"/>
          <w:lang w:val="en-CA"/>
        </w:rPr>
        <w:t xml:space="preserve">Lampert led the company through major changes in efforts to revive the business. </w:t>
      </w:r>
      <w:r w:rsidRPr="004326A5">
        <w:rPr>
          <w:rFonts w:eastAsia="Calibri"/>
          <w:spacing w:val="-2"/>
          <w:kern w:val="22"/>
          <w:lang w:val="en-CA"/>
        </w:rPr>
        <w:t xml:space="preserve">It was his idea to transform Sears from </w:t>
      </w:r>
      <w:r w:rsidR="00874275" w:rsidRPr="004326A5">
        <w:rPr>
          <w:rFonts w:eastAsia="Calibri"/>
          <w:spacing w:val="-2"/>
          <w:kern w:val="22"/>
          <w:lang w:val="en-CA"/>
        </w:rPr>
        <w:t xml:space="preserve">traditional retailing to a </w:t>
      </w:r>
      <w:r w:rsidRPr="004326A5">
        <w:rPr>
          <w:rFonts w:eastAsia="Calibri"/>
          <w:spacing w:val="-2"/>
          <w:kern w:val="22"/>
          <w:lang w:val="en-CA"/>
        </w:rPr>
        <w:t>membership company, investing in the e-commerce platforms and technology needed to make the transition.</w:t>
      </w:r>
      <w:r w:rsidR="00874275" w:rsidRPr="004326A5">
        <w:rPr>
          <w:rFonts w:eastAsia="Calibri"/>
          <w:spacing w:val="-2"/>
          <w:kern w:val="22"/>
          <w:lang w:val="en-CA"/>
        </w:rPr>
        <w:t xml:space="preserve"> Nonetheless, Lampert’s leadership drew criticism from various quarters of the market. Critics asserted that Lampert was stripping the company of its most valuable properties and brands behind the veil of making Sears an “asset-light” organization. According to a lawsuit filed</w:t>
      </w:r>
      <w:r w:rsidR="00FC7262" w:rsidRPr="004326A5">
        <w:rPr>
          <w:rFonts w:eastAsia="Calibri"/>
          <w:spacing w:val="-2"/>
          <w:kern w:val="22"/>
          <w:lang w:val="en-CA"/>
        </w:rPr>
        <w:t xml:space="preserve"> by </w:t>
      </w:r>
      <w:r w:rsidR="00552016" w:rsidRPr="004326A5">
        <w:rPr>
          <w:rFonts w:eastAsia="Calibri"/>
          <w:spacing w:val="-2"/>
          <w:kern w:val="22"/>
          <w:lang w:val="en-CA"/>
        </w:rPr>
        <w:t>Sears shareholders</w:t>
      </w:r>
      <w:r w:rsidR="00874275" w:rsidRPr="004326A5">
        <w:rPr>
          <w:rFonts w:eastAsia="Calibri"/>
          <w:spacing w:val="-2"/>
          <w:kern w:val="22"/>
          <w:lang w:val="en-CA"/>
        </w:rPr>
        <w:t xml:space="preserve"> in June 2015, Sears was selling its remaining valuable prime real estate to a trust controlled by Lampert, increasing the rental and debt burden on the company.</w:t>
      </w:r>
      <w:r w:rsidR="00874275" w:rsidRPr="004326A5">
        <w:rPr>
          <w:rStyle w:val="EndnoteReference"/>
          <w:rFonts w:eastAsia="Calibri"/>
          <w:b w:val="0"/>
          <w:color w:val="auto"/>
          <w:spacing w:val="-2"/>
          <w:kern w:val="22"/>
          <w:lang w:val="en-CA"/>
        </w:rPr>
        <w:endnoteReference w:id="39"/>
      </w:r>
      <w:r w:rsidR="00874275" w:rsidRPr="004326A5">
        <w:rPr>
          <w:rFonts w:eastAsia="Calibri"/>
          <w:spacing w:val="-2"/>
          <w:kern w:val="22"/>
          <w:lang w:val="en-CA"/>
        </w:rPr>
        <w:t xml:space="preserve"> “He’s moving money from one pocket to the other pocket, and he’s protected himself on both sides,” one former vice-president said.</w:t>
      </w:r>
      <w:r w:rsidR="00874275" w:rsidRPr="004326A5">
        <w:rPr>
          <w:rStyle w:val="EndnoteReference"/>
          <w:rFonts w:eastAsia="Calibri"/>
          <w:b w:val="0"/>
          <w:color w:val="auto"/>
          <w:spacing w:val="-2"/>
          <w:kern w:val="22"/>
          <w:lang w:val="en-CA"/>
        </w:rPr>
        <w:endnoteReference w:id="40"/>
      </w:r>
      <w:r w:rsidR="00874275" w:rsidRPr="004326A5" w:rsidDel="0083486A">
        <w:rPr>
          <w:rFonts w:eastAsia="Calibri"/>
          <w:spacing w:val="-2"/>
          <w:kern w:val="22"/>
          <w:vertAlign w:val="superscript"/>
          <w:lang w:val="en-CA"/>
        </w:rPr>
        <w:t xml:space="preserve"> </w:t>
      </w:r>
    </w:p>
    <w:p w14:paraId="2EB95024" w14:textId="77777777" w:rsidR="00874275" w:rsidRPr="0033293B" w:rsidRDefault="00874275" w:rsidP="0030487D">
      <w:pPr>
        <w:pStyle w:val="BodyTextMain"/>
        <w:rPr>
          <w:rFonts w:eastAsia="Calibri"/>
          <w:sz w:val="18"/>
          <w:szCs w:val="18"/>
          <w:lang w:val="en-CA"/>
        </w:rPr>
      </w:pPr>
    </w:p>
    <w:p w14:paraId="16443DFC" w14:textId="1E2A5CF3" w:rsidR="00874275" w:rsidRPr="004326A5" w:rsidRDefault="00874275" w:rsidP="0030487D">
      <w:pPr>
        <w:pStyle w:val="BodyTextMain"/>
        <w:rPr>
          <w:rFonts w:eastAsia="Calibri"/>
          <w:lang w:val="en-CA"/>
        </w:rPr>
      </w:pPr>
      <w:r w:rsidRPr="004326A5">
        <w:rPr>
          <w:rFonts w:eastAsia="Calibri"/>
          <w:lang w:val="en-CA"/>
        </w:rPr>
        <w:t>In 2014, Lampert spun off the clothing brand Lands</w:t>
      </w:r>
      <w:r w:rsidRPr="004326A5">
        <w:rPr>
          <w:rFonts w:ascii="Helvetica" w:eastAsia="Helvetica" w:hAnsi="Helvetica" w:cs="Helvetica"/>
          <w:lang w:val="en-CA"/>
        </w:rPr>
        <w:t>’</w:t>
      </w:r>
      <w:r w:rsidRPr="004326A5">
        <w:rPr>
          <w:rFonts w:eastAsia="Calibri"/>
          <w:lang w:val="en-CA"/>
        </w:rPr>
        <w:t xml:space="preserve"> End into a separate company. (Sears had acquired the company and its brand in 2002.) ESL Investments took a large stake in the newly independent company, which had a market capitalization many times that of Sears. Also in 2014, Lampert spun off Sears Canada Inc.</w:t>
      </w:r>
      <w:r w:rsidR="002609B8" w:rsidRPr="004326A5">
        <w:rPr>
          <w:rFonts w:eastAsia="Calibri"/>
          <w:lang w:val="en-CA"/>
        </w:rPr>
        <w:t>,</w:t>
      </w:r>
      <w:r w:rsidR="00F70054" w:rsidRPr="004326A5">
        <w:rPr>
          <w:rStyle w:val="EndnoteReference"/>
          <w:rFonts w:eastAsia="Calibri"/>
          <w:b w:val="0"/>
          <w:color w:val="auto"/>
          <w:lang w:val="en-CA"/>
        </w:rPr>
        <w:endnoteReference w:id="41"/>
      </w:r>
      <w:r w:rsidRPr="004326A5">
        <w:rPr>
          <w:rFonts w:eastAsia="Calibri"/>
          <w:lang w:val="en-CA"/>
        </w:rPr>
        <w:t xml:space="preserve"> one of Sears’ subsidiaries, with ESL Investments being the largest shareholder in that entity too.</w:t>
      </w:r>
      <w:r w:rsidRPr="004326A5">
        <w:rPr>
          <w:rStyle w:val="EndnoteReference"/>
          <w:rFonts w:eastAsia="Calibri"/>
          <w:b w:val="0"/>
          <w:color w:val="auto"/>
          <w:lang w:val="en-CA"/>
        </w:rPr>
        <w:endnoteReference w:id="42"/>
      </w:r>
      <w:r w:rsidRPr="004326A5">
        <w:rPr>
          <w:rFonts w:eastAsia="Calibri"/>
          <w:lang w:val="en-CA"/>
        </w:rPr>
        <w:t xml:space="preserve"> Sears Canada </w:t>
      </w:r>
      <w:r w:rsidR="002609B8" w:rsidRPr="004326A5">
        <w:rPr>
          <w:rFonts w:eastAsia="Calibri"/>
          <w:lang w:val="en-CA"/>
        </w:rPr>
        <w:t xml:space="preserve">Inc. </w:t>
      </w:r>
      <w:r w:rsidRPr="004326A5">
        <w:rPr>
          <w:rFonts w:eastAsia="Calibri"/>
          <w:lang w:val="en-CA"/>
        </w:rPr>
        <w:t>was one of the biggest e-commerce retailers in Canada with sales of over $500 million—more than Walmart or any other online retailer in the country.</w:t>
      </w:r>
      <w:r w:rsidRPr="004326A5">
        <w:rPr>
          <w:rStyle w:val="EndnoteReference"/>
          <w:rFonts w:eastAsia="Calibri"/>
          <w:b w:val="0"/>
          <w:color w:val="auto"/>
          <w:lang w:val="en-CA"/>
        </w:rPr>
        <w:endnoteReference w:id="43"/>
      </w:r>
      <w:r w:rsidRPr="004326A5">
        <w:rPr>
          <w:rFonts w:eastAsia="Calibri"/>
          <w:lang w:val="en-CA"/>
        </w:rPr>
        <w:t xml:space="preserve"> </w:t>
      </w:r>
    </w:p>
    <w:p w14:paraId="530ABC45" w14:textId="77777777" w:rsidR="00874275" w:rsidRPr="0033293B" w:rsidRDefault="00874275" w:rsidP="0030487D">
      <w:pPr>
        <w:pStyle w:val="BodyTextMain"/>
        <w:rPr>
          <w:rFonts w:eastAsia="Calibri"/>
          <w:sz w:val="18"/>
          <w:szCs w:val="18"/>
          <w:lang w:val="en-CA"/>
        </w:rPr>
      </w:pPr>
    </w:p>
    <w:p w14:paraId="5DE58718" w14:textId="3ED8E7D0" w:rsidR="00874275" w:rsidRDefault="00874275" w:rsidP="0030487D">
      <w:pPr>
        <w:pStyle w:val="BodyTextMain"/>
        <w:rPr>
          <w:rFonts w:eastAsia="Calibri"/>
          <w:lang w:val="en-CA"/>
        </w:rPr>
      </w:pPr>
      <w:r w:rsidRPr="004326A5">
        <w:rPr>
          <w:rFonts w:eastAsia="Calibri"/>
          <w:lang w:val="en-CA"/>
        </w:rPr>
        <w:t>In another business move that favoured his own interests, Lampert directed a real estate transaction in 2015 that transferred 235 Sears stores to Seritage Growth Pro</w:t>
      </w:r>
      <w:r w:rsidR="00C121B8">
        <w:rPr>
          <w:rFonts w:eastAsia="Calibri"/>
          <w:lang w:val="en-CA"/>
        </w:rPr>
        <w:t>perties, a company owned by Lamp</w:t>
      </w:r>
      <w:r w:rsidRPr="004326A5">
        <w:rPr>
          <w:rFonts w:eastAsia="Calibri"/>
          <w:lang w:val="en-CA"/>
        </w:rPr>
        <w:t>ert and other investors. Seritage paid $2.7 billion for the stores, shut down several of them—most</w:t>
      </w:r>
      <w:r w:rsidR="002609B8" w:rsidRPr="004326A5">
        <w:rPr>
          <w:rFonts w:eastAsia="Calibri"/>
          <w:lang w:val="en-CA"/>
        </w:rPr>
        <w:t>ly</w:t>
      </w:r>
      <w:r w:rsidRPr="004326A5">
        <w:rPr>
          <w:rFonts w:eastAsia="Calibri"/>
          <w:lang w:val="en-CA"/>
        </w:rPr>
        <w:t xml:space="preserve"> prime locations</w:t>
      </w:r>
      <w:r w:rsidR="002609B8" w:rsidRPr="004326A5">
        <w:rPr>
          <w:rFonts w:eastAsia="Calibri"/>
          <w:lang w:val="en-CA"/>
        </w:rPr>
        <w:t>—</w:t>
      </w:r>
      <w:r w:rsidRPr="004326A5">
        <w:rPr>
          <w:rFonts w:eastAsia="Calibri"/>
          <w:lang w:val="en-CA"/>
        </w:rPr>
        <w:t xml:space="preserve">and transformed the properties into more usable office and commercial space, </w:t>
      </w:r>
      <w:r w:rsidR="00B1414D" w:rsidRPr="004326A5">
        <w:rPr>
          <w:rFonts w:eastAsia="Calibri"/>
          <w:lang w:val="en-CA"/>
        </w:rPr>
        <w:t xml:space="preserve">all </w:t>
      </w:r>
      <w:r w:rsidRPr="004326A5">
        <w:rPr>
          <w:rFonts w:eastAsia="Calibri"/>
          <w:lang w:val="en-CA"/>
        </w:rPr>
        <w:t>while continuing to collect rent from Sears for the stores that remained opened.</w:t>
      </w:r>
      <w:r w:rsidRPr="004326A5">
        <w:rPr>
          <w:rStyle w:val="EndnoteReference"/>
          <w:rFonts w:eastAsia="Calibri"/>
          <w:b w:val="0"/>
          <w:color w:val="auto"/>
          <w:lang w:val="en-CA"/>
        </w:rPr>
        <w:endnoteReference w:id="44"/>
      </w:r>
    </w:p>
    <w:p w14:paraId="5FBBD77A" w14:textId="77777777" w:rsidR="004326A5" w:rsidRPr="0033293B" w:rsidRDefault="004326A5" w:rsidP="0030487D">
      <w:pPr>
        <w:pStyle w:val="BodyTextMain"/>
        <w:rPr>
          <w:rFonts w:eastAsia="Calibri"/>
          <w:sz w:val="18"/>
          <w:szCs w:val="18"/>
          <w:lang w:val="en-CA"/>
        </w:rPr>
      </w:pPr>
    </w:p>
    <w:p w14:paraId="7446D00E" w14:textId="0E9C3242" w:rsidR="00874275" w:rsidRPr="004326A5" w:rsidRDefault="00874275" w:rsidP="0030487D">
      <w:pPr>
        <w:pStyle w:val="BodyTextMain"/>
        <w:rPr>
          <w:rFonts w:eastAsia="Calibri"/>
          <w:vertAlign w:val="superscript"/>
          <w:lang w:val="en-CA"/>
        </w:rPr>
      </w:pPr>
      <w:r w:rsidRPr="004326A5">
        <w:rPr>
          <w:rFonts w:eastAsia="Calibri"/>
          <w:lang w:val="en-CA"/>
        </w:rPr>
        <w:t>In 2017, Lampert sold Craftsman, Sears</w:t>
      </w:r>
      <w:r w:rsidR="002609B8" w:rsidRPr="004326A5">
        <w:rPr>
          <w:rFonts w:eastAsia="Calibri"/>
          <w:lang w:val="en-CA"/>
        </w:rPr>
        <w:t>’</w:t>
      </w:r>
      <w:r w:rsidRPr="004326A5">
        <w:rPr>
          <w:rFonts w:eastAsia="Calibri"/>
          <w:lang w:val="en-CA"/>
        </w:rPr>
        <w:t xml:space="preserve"> popular in-house tool brand, to Stanley Black &amp; Decker Inc. The deal was to provide Sears with cash and ongoing payments to tackle the company’s increasing debt and decreasing sales.</w:t>
      </w:r>
      <w:r w:rsidRPr="004326A5">
        <w:rPr>
          <w:rStyle w:val="EndnoteReference"/>
          <w:rFonts w:eastAsia="Calibri"/>
          <w:b w:val="0"/>
          <w:color w:val="auto"/>
          <w:lang w:val="en-CA"/>
        </w:rPr>
        <w:endnoteReference w:id="45"/>
      </w:r>
      <w:r w:rsidRPr="004326A5">
        <w:rPr>
          <w:rFonts w:eastAsia="Calibri"/>
          <w:lang w:val="en-CA"/>
        </w:rPr>
        <w:t xml:space="preserve"> Forty per ce</w:t>
      </w:r>
      <w:r w:rsidR="00C121B8">
        <w:rPr>
          <w:rFonts w:eastAsia="Calibri"/>
          <w:lang w:val="en-CA"/>
        </w:rPr>
        <w:t>nt of that debt was held by Lamp</w:t>
      </w:r>
      <w:r w:rsidRPr="004326A5">
        <w:rPr>
          <w:rFonts w:eastAsia="Calibri"/>
          <w:lang w:val="en-CA"/>
        </w:rPr>
        <w:t>ert’s hedge fund. The loans, worth about $1.1 billion, were secured by Sears and Kmart real estate.</w:t>
      </w:r>
      <w:r w:rsidRPr="004326A5">
        <w:rPr>
          <w:rStyle w:val="EndnoteReference"/>
          <w:rFonts w:eastAsia="Calibri"/>
          <w:b w:val="0"/>
          <w:color w:val="auto"/>
          <w:lang w:val="en-CA"/>
        </w:rPr>
        <w:endnoteReference w:id="46"/>
      </w:r>
      <w:r w:rsidRPr="004326A5">
        <w:rPr>
          <w:rFonts w:eastAsia="Calibri"/>
          <w:lang w:val="en-CA"/>
        </w:rPr>
        <w:t xml:space="preserve"> Ned Weinberger, a lawyer representing Sears’ shareholders noted, “Eddie Lampert used his position at Sears as its CEO and controlling shareholder to further his and his hedge fund’s interests rather than the best interests of the company [by spinning off its] crown-jewel assets to the REIT </w:t>
      </w:r>
      <w:r w:rsidR="00B1414D" w:rsidRPr="004326A5">
        <w:rPr>
          <w:rFonts w:eastAsia="Calibri"/>
          <w:lang w:val="en-CA"/>
        </w:rPr>
        <w:t xml:space="preserve">[real estate investment trust] </w:t>
      </w:r>
      <w:r w:rsidRPr="004326A5">
        <w:rPr>
          <w:rFonts w:eastAsia="Calibri"/>
          <w:lang w:val="en-CA"/>
        </w:rPr>
        <w:t>at an unfair price.”</w:t>
      </w:r>
      <w:r w:rsidRPr="004326A5">
        <w:rPr>
          <w:rStyle w:val="EndnoteReference"/>
          <w:rFonts w:eastAsia="Calibri"/>
          <w:b w:val="0"/>
          <w:color w:val="auto"/>
          <w:lang w:val="en-CA"/>
        </w:rPr>
        <w:endnoteReference w:id="47"/>
      </w:r>
      <w:r w:rsidRPr="004326A5" w:rsidDel="0083486A">
        <w:rPr>
          <w:rFonts w:eastAsia="Calibri"/>
          <w:vertAlign w:val="superscript"/>
          <w:lang w:val="en-CA"/>
        </w:rPr>
        <w:t xml:space="preserve"> </w:t>
      </w:r>
    </w:p>
    <w:p w14:paraId="5BA8A1B8" w14:textId="3482EFE6" w:rsidR="00874275" w:rsidRPr="004326A5" w:rsidRDefault="00874275" w:rsidP="0030487D">
      <w:pPr>
        <w:pStyle w:val="BodyTextMain"/>
        <w:rPr>
          <w:rFonts w:eastAsia="Calibri"/>
          <w:lang w:val="en-CA"/>
        </w:rPr>
      </w:pPr>
      <w:r w:rsidRPr="004326A5">
        <w:rPr>
          <w:rFonts w:eastAsia="Calibri"/>
          <w:lang w:val="en-CA"/>
        </w:rPr>
        <w:lastRenderedPageBreak/>
        <w:t>Some analysts questioned whether Lampert really had an interest in retail. After becoming chair of Sears, Lampert avoided giving control of the department store chain to a seasoned retail executive. Instead, he brought in executives from the supermarket, restaurant, and telecommunications industries before taking over as CEO himself in 2013—the fifth CEO in seven years. “Eddie buys a once-great retailer but seems to be allergic to retailers,” said Erik Gordon, a professor at the University of Michigan’s Ross School of Business. “Eddie is a brilliant guy, but that doesn’t make him a retailer.”</w:t>
      </w:r>
      <w:r w:rsidRPr="004326A5">
        <w:rPr>
          <w:rStyle w:val="EndnoteReference"/>
          <w:rFonts w:eastAsia="Calibri"/>
          <w:b w:val="0"/>
          <w:color w:val="auto"/>
          <w:lang w:val="en-CA"/>
        </w:rPr>
        <w:endnoteReference w:id="48"/>
      </w:r>
    </w:p>
    <w:p w14:paraId="6F50FAC4" w14:textId="77777777" w:rsidR="00874275" w:rsidRPr="004326A5" w:rsidRDefault="00874275" w:rsidP="00D74967">
      <w:pPr>
        <w:pStyle w:val="BodyTextMain"/>
        <w:rPr>
          <w:rFonts w:eastAsia="Calibri"/>
          <w:lang w:val="en-CA"/>
        </w:rPr>
      </w:pPr>
    </w:p>
    <w:p w14:paraId="158EC3C9" w14:textId="6F26A2A3" w:rsidR="00874275" w:rsidRPr="004326A5" w:rsidRDefault="00874275" w:rsidP="0030487D">
      <w:pPr>
        <w:pStyle w:val="BodyTextMain"/>
        <w:rPr>
          <w:lang w:val="en-CA"/>
        </w:rPr>
      </w:pPr>
    </w:p>
    <w:p w14:paraId="20F9BFAD" w14:textId="77777777" w:rsidR="00874275" w:rsidRPr="004326A5" w:rsidRDefault="00874275" w:rsidP="003456D6">
      <w:pPr>
        <w:pStyle w:val="Casehead1"/>
        <w:outlineLvl w:val="0"/>
        <w:rPr>
          <w:rFonts w:eastAsia="Calibri"/>
          <w:shd w:val="clear" w:color="auto" w:fill="FFFFFF"/>
          <w:lang w:val="en-CA"/>
        </w:rPr>
      </w:pPr>
      <w:r w:rsidRPr="004326A5">
        <w:rPr>
          <w:rFonts w:eastAsia="Calibri"/>
          <w:shd w:val="clear" w:color="auto" w:fill="FFFFFF"/>
          <w:lang w:val="en-CA"/>
        </w:rPr>
        <w:t>GOING BANKRUPT?</w:t>
      </w:r>
    </w:p>
    <w:p w14:paraId="283B1888" w14:textId="77777777" w:rsidR="00874275" w:rsidRPr="004326A5" w:rsidRDefault="00874275" w:rsidP="0030487D">
      <w:pPr>
        <w:pStyle w:val="BodyTextMain"/>
        <w:rPr>
          <w:rFonts w:eastAsia="Calibri"/>
          <w:shd w:val="clear" w:color="auto" w:fill="FFFFFF"/>
          <w:lang w:val="en-CA"/>
        </w:rPr>
      </w:pPr>
    </w:p>
    <w:p w14:paraId="7E28D439" w14:textId="590B6B12" w:rsidR="00874275" w:rsidRPr="004326A5" w:rsidRDefault="00874275" w:rsidP="00E91B37">
      <w:pPr>
        <w:pStyle w:val="BodyTextMain"/>
        <w:rPr>
          <w:rFonts w:eastAsia="Calibri"/>
          <w:shd w:val="clear" w:color="auto" w:fill="FFFFFF"/>
          <w:lang w:val="en-CA"/>
        </w:rPr>
      </w:pPr>
      <w:r w:rsidRPr="004326A5">
        <w:rPr>
          <w:rFonts w:eastAsia="Calibri"/>
          <w:lang w:val="en-CA"/>
        </w:rPr>
        <w:t>Amid bankruptcy fears in 2017, Sears’ management announced key strategic measures to transform the existing business into an asset-light, rental-based model with enhanced focus on customer service and memberships, ultimately yielding greater financial flexibility and improved long-term operating</w:t>
      </w:r>
      <w:r w:rsidRPr="004326A5">
        <w:rPr>
          <w:rFonts w:eastAsia="Calibri"/>
          <w:shd w:val="clear" w:color="auto" w:fill="FFFFFF"/>
          <w:lang w:val="en-CA"/>
        </w:rPr>
        <w:t xml:space="preserve"> </w:t>
      </w:r>
      <w:r w:rsidRPr="004326A5">
        <w:rPr>
          <w:rFonts w:eastAsia="Calibri"/>
          <w:lang w:val="en-CA"/>
        </w:rPr>
        <w:t xml:space="preserve">performance of the business. The </w:t>
      </w:r>
      <w:r w:rsidR="00532D10" w:rsidRPr="004326A5">
        <w:rPr>
          <w:rFonts w:eastAsia="Calibri"/>
          <w:lang w:val="en-CA"/>
        </w:rPr>
        <w:t xml:space="preserve">company </w:t>
      </w:r>
      <w:r w:rsidR="0024231D" w:rsidRPr="004326A5">
        <w:rPr>
          <w:rFonts w:eastAsia="Calibri"/>
          <w:lang w:val="en-CA"/>
        </w:rPr>
        <w:t>took</w:t>
      </w:r>
      <w:r w:rsidR="00532D10" w:rsidRPr="004326A5">
        <w:rPr>
          <w:rFonts w:eastAsia="Calibri"/>
          <w:lang w:val="en-CA"/>
        </w:rPr>
        <w:t xml:space="preserve"> the </w:t>
      </w:r>
      <w:r w:rsidRPr="004326A5">
        <w:rPr>
          <w:rFonts w:eastAsia="Calibri"/>
          <w:lang w:val="en-CA"/>
        </w:rPr>
        <w:t>following steps to achieve this transformation:</w:t>
      </w:r>
    </w:p>
    <w:p w14:paraId="7F627F19" w14:textId="77777777" w:rsidR="00874275" w:rsidRPr="004326A5" w:rsidRDefault="00874275" w:rsidP="00E91B37">
      <w:pPr>
        <w:pStyle w:val="BodyTextMain"/>
        <w:rPr>
          <w:rFonts w:eastAsia="Calibri"/>
          <w:shd w:val="clear" w:color="auto" w:fill="FFFFFF"/>
          <w:lang w:val="en-CA"/>
        </w:rPr>
      </w:pPr>
    </w:p>
    <w:p w14:paraId="00B2CD9C" w14:textId="06E74318" w:rsidR="00874275" w:rsidRPr="004326A5" w:rsidRDefault="0024231D" w:rsidP="00E91B37">
      <w:pPr>
        <w:pStyle w:val="BodyTextMain"/>
        <w:numPr>
          <w:ilvl w:val="0"/>
          <w:numId w:val="41"/>
        </w:numPr>
        <w:rPr>
          <w:rFonts w:eastAsia="Calibri"/>
          <w:shd w:val="clear" w:color="auto" w:fill="FFFFFF"/>
          <w:lang w:val="en-CA"/>
        </w:rPr>
      </w:pPr>
      <w:r w:rsidRPr="004326A5">
        <w:rPr>
          <w:rFonts w:eastAsia="Calibri"/>
          <w:lang w:val="en-CA"/>
        </w:rPr>
        <w:t>A</w:t>
      </w:r>
      <w:r w:rsidR="00874275" w:rsidRPr="004326A5">
        <w:rPr>
          <w:rFonts w:eastAsia="Calibri"/>
          <w:lang w:val="en-CA"/>
        </w:rPr>
        <w:t>n additional 150 stores</w:t>
      </w:r>
      <w:r w:rsidRPr="004326A5">
        <w:rPr>
          <w:rFonts w:eastAsia="Calibri"/>
          <w:lang w:val="en-CA"/>
        </w:rPr>
        <w:t xml:space="preserve"> were closed and sold: </w:t>
      </w:r>
      <w:r w:rsidR="00874275" w:rsidRPr="004326A5">
        <w:rPr>
          <w:rFonts w:eastAsia="Calibri"/>
          <w:lang w:val="en-CA"/>
        </w:rPr>
        <w:t>108 Kmart and 42 Sears stores.</w:t>
      </w:r>
    </w:p>
    <w:p w14:paraId="66867FF5" w14:textId="5EF4F0CF" w:rsidR="00874275" w:rsidRPr="004326A5" w:rsidRDefault="0024231D" w:rsidP="00E91B37">
      <w:pPr>
        <w:pStyle w:val="BodyTextMain"/>
        <w:numPr>
          <w:ilvl w:val="0"/>
          <w:numId w:val="41"/>
        </w:numPr>
        <w:rPr>
          <w:rFonts w:eastAsia="Calibri"/>
          <w:shd w:val="clear" w:color="auto" w:fill="FFFFFF"/>
          <w:lang w:val="en-CA"/>
        </w:rPr>
      </w:pPr>
      <w:r w:rsidRPr="004326A5">
        <w:rPr>
          <w:rFonts w:eastAsia="Calibri"/>
          <w:lang w:val="en-CA"/>
        </w:rPr>
        <w:t>T</w:t>
      </w:r>
      <w:r w:rsidR="00874275" w:rsidRPr="004326A5">
        <w:rPr>
          <w:rFonts w:eastAsia="Calibri"/>
          <w:lang w:val="en-CA"/>
        </w:rPr>
        <w:t xml:space="preserve">he Craftsman business </w:t>
      </w:r>
      <w:r w:rsidRPr="004326A5">
        <w:rPr>
          <w:rFonts w:eastAsia="Calibri"/>
          <w:lang w:val="en-CA"/>
        </w:rPr>
        <w:t xml:space="preserve">was sold </w:t>
      </w:r>
      <w:r w:rsidR="00874275" w:rsidRPr="004326A5">
        <w:rPr>
          <w:rFonts w:eastAsia="Calibri"/>
          <w:lang w:val="en-CA"/>
        </w:rPr>
        <w:t xml:space="preserve">for $775 million, </w:t>
      </w:r>
      <w:r w:rsidRPr="004326A5">
        <w:rPr>
          <w:rFonts w:eastAsia="Calibri"/>
          <w:lang w:val="en-CA"/>
        </w:rPr>
        <w:t>and the</w:t>
      </w:r>
      <w:r w:rsidR="00874275" w:rsidRPr="004326A5">
        <w:rPr>
          <w:rFonts w:eastAsia="Calibri"/>
          <w:lang w:val="en-CA"/>
        </w:rPr>
        <w:t xml:space="preserve"> use of a royalty-free, perpetual licence for the Craftsman brand </w:t>
      </w:r>
      <w:r w:rsidRPr="004326A5">
        <w:rPr>
          <w:rFonts w:eastAsia="Calibri"/>
          <w:lang w:val="en-CA"/>
        </w:rPr>
        <w:t xml:space="preserve">was secured </w:t>
      </w:r>
      <w:r w:rsidR="00874275" w:rsidRPr="004326A5">
        <w:rPr>
          <w:rFonts w:eastAsia="Calibri"/>
          <w:lang w:val="en-CA"/>
        </w:rPr>
        <w:t>for 15 years. Sears would also benefit from a 15-year royalty stream</w:t>
      </w:r>
      <w:r w:rsidR="00874275" w:rsidRPr="004326A5">
        <w:rPr>
          <w:rFonts w:eastAsia="Calibri"/>
          <w:shd w:val="clear" w:color="auto" w:fill="FFFFFF"/>
          <w:lang w:val="en-CA"/>
        </w:rPr>
        <w:t xml:space="preserve"> </w:t>
      </w:r>
      <w:r w:rsidR="00874275" w:rsidRPr="004326A5">
        <w:rPr>
          <w:rFonts w:eastAsia="Calibri"/>
          <w:lang w:val="en-CA"/>
        </w:rPr>
        <w:t>on all third-party Craftsman sales to new customers.</w:t>
      </w:r>
    </w:p>
    <w:p w14:paraId="50E7D33D" w14:textId="298C1388" w:rsidR="00874275" w:rsidRPr="004326A5" w:rsidRDefault="00E8622C" w:rsidP="00E91B37">
      <w:pPr>
        <w:pStyle w:val="BodyTextMain"/>
        <w:numPr>
          <w:ilvl w:val="0"/>
          <w:numId w:val="41"/>
        </w:numPr>
        <w:rPr>
          <w:rFonts w:eastAsia="Calibri"/>
          <w:shd w:val="clear" w:color="auto" w:fill="FFFFFF"/>
          <w:lang w:val="en-CA"/>
        </w:rPr>
      </w:pPr>
      <w:r w:rsidRPr="004326A5">
        <w:rPr>
          <w:rFonts w:eastAsia="Calibri"/>
          <w:lang w:val="en-CA"/>
        </w:rPr>
        <w:t>A</w:t>
      </w:r>
      <w:r w:rsidR="00874275" w:rsidRPr="004326A5">
        <w:rPr>
          <w:rFonts w:eastAsia="Calibri"/>
          <w:lang w:val="en-CA"/>
        </w:rPr>
        <w:t xml:space="preserve"> $500 million loan </w:t>
      </w:r>
      <w:r w:rsidRPr="004326A5">
        <w:rPr>
          <w:rFonts w:eastAsia="Calibri"/>
          <w:lang w:val="en-CA"/>
        </w:rPr>
        <w:t xml:space="preserve">was secured, </w:t>
      </w:r>
      <w:r w:rsidR="00874275" w:rsidRPr="004326A5">
        <w:rPr>
          <w:rFonts w:eastAsia="Calibri"/>
          <w:lang w:val="en-CA"/>
        </w:rPr>
        <w:t>backed by $800 million in real estate properties and a $500 million credit facility extended by Citibank to generate approximately $1 billion of liquidity for other general purposes. The credit facility was backed by affiliates of ESL Investments.</w:t>
      </w:r>
    </w:p>
    <w:p w14:paraId="6BD14437" w14:textId="2F80217E" w:rsidR="00C93305" w:rsidRPr="004326A5" w:rsidRDefault="00E8622C" w:rsidP="00E91B37">
      <w:pPr>
        <w:pStyle w:val="BodyTextMain"/>
        <w:numPr>
          <w:ilvl w:val="0"/>
          <w:numId w:val="41"/>
        </w:numPr>
        <w:rPr>
          <w:lang w:val="en-CA"/>
        </w:rPr>
      </w:pPr>
      <w:r w:rsidRPr="004326A5">
        <w:rPr>
          <w:rFonts w:eastAsia="Calibri"/>
          <w:lang w:val="en-CA"/>
        </w:rPr>
        <w:t>O</w:t>
      </w:r>
      <w:r w:rsidR="00874275" w:rsidRPr="004326A5">
        <w:rPr>
          <w:rFonts w:eastAsia="Calibri"/>
          <w:lang w:val="en-CA"/>
        </w:rPr>
        <w:t>ther</w:t>
      </w:r>
      <w:r w:rsidR="0020211C" w:rsidRPr="004326A5">
        <w:rPr>
          <w:rFonts w:eastAsia="Calibri"/>
          <w:lang w:val="en-CA"/>
        </w:rPr>
        <w:t xml:space="preserve"> unit</w:t>
      </w:r>
      <w:r w:rsidR="00874275" w:rsidRPr="004326A5">
        <w:rPr>
          <w:rFonts w:eastAsia="Calibri"/>
          <w:lang w:val="en-CA"/>
        </w:rPr>
        <w:t>s of the company</w:t>
      </w:r>
      <w:r w:rsidR="00874275" w:rsidRPr="004326A5">
        <w:rPr>
          <w:rFonts w:ascii="Helvetica" w:eastAsia="Helvetica" w:hAnsi="Helvetica" w:cs="Helvetica"/>
          <w:lang w:val="en-CA"/>
        </w:rPr>
        <w:t>’</w:t>
      </w:r>
      <w:r w:rsidR="00874275" w:rsidRPr="004326A5">
        <w:rPr>
          <w:rFonts w:eastAsia="Calibri"/>
          <w:lang w:val="en-CA"/>
        </w:rPr>
        <w:t xml:space="preserve">s properties </w:t>
      </w:r>
      <w:r w:rsidRPr="004326A5">
        <w:rPr>
          <w:rFonts w:eastAsia="Calibri"/>
          <w:lang w:val="en-CA"/>
        </w:rPr>
        <w:t xml:space="preserve">were sold </w:t>
      </w:r>
      <w:r w:rsidR="00874275" w:rsidRPr="004326A5">
        <w:rPr>
          <w:rFonts w:eastAsia="Calibri"/>
          <w:lang w:val="en-CA"/>
        </w:rPr>
        <w:t>with the goal of raising $1 billion for increased liquidity.</w:t>
      </w:r>
      <w:r w:rsidR="00874275" w:rsidRPr="004326A5">
        <w:rPr>
          <w:rStyle w:val="EndnoteReference"/>
          <w:rFonts w:eastAsia="Calibri"/>
          <w:b w:val="0"/>
          <w:color w:val="auto"/>
          <w:lang w:val="en-CA"/>
        </w:rPr>
        <w:endnoteReference w:id="49"/>
      </w:r>
      <w:r w:rsidR="00874275" w:rsidRPr="004326A5">
        <w:rPr>
          <w:rFonts w:eastAsia="Calibri"/>
          <w:shd w:val="clear" w:color="auto" w:fill="FFFFFF"/>
          <w:lang w:val="en-CA"/>
        </w:rPr>
        <w:t xml:space="preserve"> </w:t>
      </w:r>
    </w:p>
    <w:p w14:paraId="7F6AFACB" w14:textId="77777777" w:rsidR="00C93305" w:rsidRPr="004326A5" w:rsidRDefault="00C93305" w:rsidP="00C93305">
      <w:pPr>
        <w:pStyle w:val="BodyTextMain"/>
        <w:ind w:left="360"/>
        <w:rPr>
          <w:lang w:val="en-CA"/>
        </w:rPr>
      </w:pPr>
    </w:p>
    <w:p w14:paraId="2F624A0A" w14:textId="4C1C941D" w:rsidR="00874275" w:rsidRPr="004326A5" w:rsidRDefault="00874275" w:rsidP="00C93305">
      <w:pPr>
        <w:pStyle w:val="BodyTextMain"/>
        <w:rPr>
          <w:lang w:val="en-CA"/>
        </w:rPr>
      </w:pPr>
      <w:r w:rsidRPr="0033293B">
        <w:rPr>
          <w:rFonts w:eastAsia="Calibri"/>
          <w:lang w:val="en-CA"/>
        </w:rPr>
        <w:t>On February 10, 2017, when announcing the next phase of strategic transformations, Lampert provided an optimistic report:</w:t>
      </w:r>
    </w:p>
    <w:p w14:paraId="0BA6FF24" w14:textId="77777777" w:rsidR="00874275" w:rsidRPr="004326A5" w:rsidRDefault="00874275" w:rsidP="0030487D">
      <w:pPr>
        <w:pStyle w:val="BodyTextMain"/>
        <w:rPr>
          <w:rFonts w:eastAsia="Calibri"/>
          <w:shd w:val="clear" w:color="auto" w:fill="FFFFFF"/>
          <w:lang w:val="en-CA"/>
        </w:rPr>
      </w:pPr>
    </w:p>
    <w:p w14:paraId="18390D0D" w14:textId="71F2BF1B" w:rsidR="00874275" w:rsidRPr="004326A5" w:rsidRDefault="00874275" w:rsidP="00C478E4">
      <w:pPr>
        <w:pStyle w:val="BodyTextMain"/>
        <w:ind w:left="720"/>
        <w:rPr>
          <w:rFonts w:eastAsia="Calibri"/>
          <w:spacing w:val="-2"/>
          <w:kern w:val="22"/>
          <w:lang w:val="en-CA"/>
        </w:rPr>
      </w:pPr>
      <w:r w:rsidRPr="004326A5">
        <w:rPr>
          <w:rFonts w:eastAsia="Calibri"/>
          <w:spacing w:val="-2"/>
          <w:kern w:val="22"/>
          <w:lang w:val="en-CA"/>
        </w:rPr>
        <w:t>In the first several weeks of 2017, we undertook a series of transactions to optimize our capital structure and unlock value across our wide range of assets. Furthermore, we intend to use net proceeds from our announced Craftsman and real estate transactions, as well as from improvements in the operating performance of the Company, to meaningfully reduce our outstanding obligations and their associated expenses.</w:t>
      </w:r>
      <w:r w:rsidRPr="004326A5">
        <w:rPr>
          <w:rStyle w:val="EndnoteReference"/>
          <w:rFonts w:eastAsia="Calibri"/>
          <w:b w:val="0"/>
          <w:color w:val="auto"/>
          <w:spacing w:val="-2"/>
          <w:kern w:val="22"/>
          <w:lang w:val="en-CA"/>
        </w:rPr>
        <w:endnoteReference w:id="50"/>
      </w:r>
    </w:p>
    <w:p w14:paraId="5FB678AC" w14:textId="77777777" w:rsidR="00874275" w:rsidRPr="004326A5" w:rsidRDefault="00874275" w:rsidP="00DA2A7C">
      <w:pPr>
        <w:pStyle w:val="BodyTextMain"/>
        <w:rPr>
          <w:rFonts w:eastAsia="Calibri"/>
          <w:shd w:val="clear" w:color="auto" w:fill="FFFFFF"/>
          <w:lang w:val="en-CA"/>
        </w:rPr>
      </w:pPr>
    </w:p>
    <w:p w14:paraId="76404D3A" w14:textId="528B4954" w:rsidR="00874275" w:rsidRPr="004326A5" w:rsidRDefault="00874275" w:rsidP="00DA2A7C">
      <w:pPr>
        <w:pStyle w:val="BodyTextMain"/>
        <w:rPr>
          <w:rFonts w:eastAsia="Calibri"/>
          <w:shd w:val="clear" w:color="auto" w:fill="FFFFFF"/>
          <w:vertAlign w:val="superscript"/>
          <w:lang w:val="en-CA"/>
        </w:rPr>
      </w:pPr>
      <w:r w:rsidRPr="00DA2A7C">
        <w:rPr>
          <w:rFonts w:eastAsia="Calibri"/>
          <w:lang w:val="en-CA"/>
        </w:rPr>
        <w:t>However, these measures failed to impress the markets, which remained skeptical of the company’s performance. When announcing the downgrade of Sears’ rating to Caa2, Moody’s analysts noted, “While the company continues to take substantial steps to improve its liquidity profile, it remains uncertain if its operational strategies will be sufficient for its cash burn to approach break-even levels.” Moody’s report had considered the recent announcements on increasing liquidity through asset divestitures, additional loans, and the sale of the Craftsman brand.</w:t>
      </w:r>
      <w:r w:rsidRPr="004326A5">
        <w:rPr>
          <w:rStyle w:val="EndnoteReference"/>
          <w:rFonts w:eastAsia="Calibri"/>
          <w:b w:val="0"/>
          <w:color w:val="auto"/>
          <w:lang w:val="en-CA"/>
        </w:rPr>
        <w:endnoteReference w:id="51"/>
      </w:r>
      <w:r w:rsidRPr="004326A5" w:rsidDel="0083486A">
        <w:rPr>
          <w:rFonts w:eastAsia="Calibri"/>
          <w:shd w:val="clear" w:color="auto" w:fill="FFFFFF"/>
          <w:vertAlign w:val="superscript"/>
          <w:lang w:val="en-CA"/>
        </w:rPr>
        <w:t xml:space="preserve"> </w:t>
      </w:r>
    </w:p>
    <w:p w14:paraId="1BDF95BF" w14:textId="77777777" w:rsidR="00874275" w:rsidRPr="004326A5" w:rsidRDefault="00874275" w:rsidP="0030487D">
      <w:pPr>
        <w:pStyle w:val="BodyTextMain"/>
        <w:rPr>
          <w:rFonts w:eastAsia="Calibri"/>
          <w:shd w:val="clear" w:color="auto" w:fill="FFFFFF"/>
          <w:lang w:val="en-CA"/>
        </w:rPr>
      </w:pPr>
    </w:p>
    <w:p w14:paraId="6B80749C" w14:textId="48DC7C45" w:rsidR="00874275" w:rsidRPr="004326A5" w:rsidRDefault="00874275" w:rsidP="00E91B37">
      <w:pPr>
        <w:pStyle w:val="BodyTextMain"/>
        <w:rPr>
          <w:rFonts w:eastAsia="Calibri"/>
          <w:shd w:val="clear" w:color="auto" w:fill="FFFFFF"/>
          <w:lang w:val="en-CA"/>
        </w:rPr>
      </w:pPr>
      <w:r w:rsidRPr="004326A5">
        <w:rPr>
          <w:rFonts w:eastAsia="Calibri"/>
          <w:lang w:val="en-CA"/>
        </w:rPr>
        <w:t>Fitch Ratings Inc. downgraded the ratings of Sears Roebuck Acceptance Corporation (SRAC), a financial subsidiary of Sears, from CC/RR4 to C/RR6</w:t>
      </w:r>
      <w:r w:rsidRPr="004326A5">
        <w:rPr>
          <w:rFonts w:ascii="Helvetica" w:eastAsia="Helvetica" w:hAnsi="Helvetica" w:cs="Helvetica"/>
          <w:lang w:val="en-CA"/>
        </w:rPr>
        <w:t>.</w:t>
      </w:r>
      <w:r w:rsidRPr="004326A5">
        <w:rPr>
          <w:rStyle w:val="EndnoteReference"/>
          <w:rFonts w:eastAsia="Helvetica"/>
          <w:b w:val="0"/>
          <w:color w:val="auto"/>
          <w:lang w:val="en-CA"/>
        </w:rPr>
        <w:endnoteReference w:id="52"/>
      </w:r>
      <w:r w:rsidRPr="004326A5">
        <w:rPr>
          <w:rFonts w:eastAsia="Calibri"/>
          <w:lang w:val="en-CA"/>
        </w:rPr>
        <w:t xml:space="preserve"> Fitch Ratings maintained a rating of CC for long-term issuer defaults on Sears Holdings Corporation and its subsidiaries. Analysts at Fitch Ratings expected the overall top line of Sears to decline 12–13 per cent in FY 2016/17</w:t>
      </w:r>
      <w:r w:rsidR="0020211C" w:rsidRPr="004326A5">
        <w:rPr>
          <w:rFonts w:eastAsia="Calibri"/>
          <w:lang w:val="en-CA"/>
        </w:rPr>
        <w:t>,</w:t>
      </w:r>
      <w:r w:rsidRPr="004326A5">
        <w:rPr>
          <w:rFonts w:eastAsia="Calibri"/>
          <w:lang w:val="en-CA"/>
        </w:rPr>
        <w:t xml:space="preserve"> as Sears continued to close stores</w:t>
      </w:r>
      <w:r w:rsidR="0020211C" w:rsidRPr="004326A5">
        <w:rPr>
          <w:rFonts w:eastAsia="Calibri"/>
          <w:lang w:val="en-CA"/>
        </w:rPr>
        <w:t>. The</w:t>
      </w:r>
      <w:r w:rsidRPr="004326A5">
        <w:rPr>
          <w:rFonts w:eastAsia="Calibri"/>
          <w:lang w:val="en-CA"/>
        </w:rPr>
        <w:t xml:space="preserve"> result</w:t>
      </w:r>
      <w:r w:rsidR="0020211C" w:rsidRPr="004326A5">
        <w:rPr>
          <w:rFonts w:eastAsia="Calibri"/>
          <w:lang w:val="en-CA"/>
        </w:rPr>
        <w:t xml:space="preserve"> was</w:t>
      </w:r>
      <w:r w:rsidRPr="004326A5">
        <w:rPr>
          <w:rFonts w:eastAsia="Calibri"/>
          <w:lang w:val="en-CA"/>
        </w:rPr>
        <w:t xml:space="preserve"> an expected EBITDA</w:t>
      </w:r>
      <w:r w:rsidR="001358C5" w:rsidRPr="004326A5">
        <w:rPr>
          <w:rStyle w:val="EndnoteReference"/>
          <w:rFonts w:eastAsia="Calibri"/>
          <w:b w:val="0"/>
          <w:color w:val="auto"/>
          <w:lang w:val="en-CA"/>
        </w:rPr>
        <w:endnoteReference w:id="53"/>
      </w:r>
      <w:r w:rsidR="00E8622C" w:rsidRPr="004326A5">
        <w:rPr>
          <w:rFonts w:eastAsia="Calibri"/>
          <w:lang w:val="en-CA"/>
        </w:rPr>
        <w:t xml:space="preserve"> </w:t>
      </w:r>
      <w:r w:rsidRPr="004326A5">
        <w:rPr>
          <w:rFonts w:eastAsia="Calibri"/>
          <w:lang w:val="en-CA"/>
        </w:rPr>
        <w:t xml:space="preserve">of </w:t>
      </w:r>
      <w:r w:rsidR="0020211C" w:rsidRPr="004326A5">
        <w:rPr>
          <w:rFonts w:eastAsia="Calibri"/>
          <w:lang w:val="en-CA"/>
        </w:rPr>
        <w:t xml:space="preserve">between </w:t>
      </w:r>
      <w:r w:rsidRPr="004326A5">
        <w:rPr>
          <w:rFonts w:eastAsia="Calibri"/>
          <w:lang w:val="en-CA"/>
        </w:rPr>
        <w:t xml:space="preserve">−$950 million </w:t>
      </w:r>
      <w:r w:rsidR="0020211C" w:rsidRPr="004326A5">
        <w:rPr>
          <w:rFonts w:eastAsia="Calibri"/>
          <w:lang w:val="en-CA"/>
        </w:rPr>
        <w:t>and</w:t>
      </w:r>
      <w:r w:rsidRPr="004326A5">
        <w:rPr>
          <w:rFonts w:eastAsia="Calibri"/>
          <w:lang w:val="en-CA"/>
        </w:rPr>
        <w:t xml:space="preserve"> −$1 billion in 2016 and 2017. The analysts also expected a significant cash burn of approximately $800 million in 2016 and $1 billion in 2017 toward interest expenses,</w:t>
      </w:r>
      <w:r w:rsidRPr="004326A5">
        <w:rPr>
          <w:rFonts w:eastAsia="Calibri"/>
          <w:shd w:val="clear" w:color="auto" w:fill="FFFFFF"/>
          <w:lang w:val="en-CA"/>
        </w:rPr>
        <w:t xml:space="preserve"> </w:t>
      </w:r>
      <w:r w:rsidRPr="004326A5">
        <w:rPr>
          <w:rFonts w:eastAsia="Calibri"/>
          <w:lang w:val="en-CA"/>
        </w:rPr>
        <w:t>capital expenditures, and pension plan contributions.</w:t>
      </w:r>
      <w:r w:rsidRPr="004326A5">
        <w:rPr>
          <w:rStyle w:val="EndnoteReference"/>
          <w:rFonts w:eastAsia="Calibri"/>
          <w:b w:val="0"/>
          <w:color w:val="auto"/>
          <w:lang w:val="en-CA"/>
        </w:rPr>
        <w:endnoteReference w:id="54"/>
      </w:r>
    </w:p>
    <w:p w14:paraId="3A0675AA" w14:textId="77777777" w:rsidR="00874275" w:rsidRPr="004326A5" w:rsidRDefault="00874275" w:rsidP="00E91B37">
      <w:pPr>
        <w:pStyle w:val="BodyTextMain"/>
        <w:rPr>
          <w:rFonts w:eastAsia="Calibri"/>
          <w:shd w:val="clear" w:color="auto" w:fill="FFFFFF"/>
          <w:lang w:val="en-CA"/>
        </w:rPr>
      </w:pPr>
    </w:p>
    <w:p w14:paraId="24DCD14D" w14:textId="31EF87DF" w:rsidR="00874275" w:rsidRPr="004326A5" w:rsidRDefault="00874275" w:rsidP="00E91B37">
      <w:pPr>
        <w:pStyle w:val="BodyTextMain"/>
        <w:rPr>
          <w:rFonts w:eastAsia="Calibri"/>
          <w:shd w:val="clear" w:color="auto" w:fill="FFFFFF"/>
          <w:lang w:val="en-CA"/>
        </w:rPr>
      </w:pPr>
      <w:r w:rsidRPr="004326A5">
        <w:rPr>
          <w:rFonts w:eastAsia="Calibri"/>
          <w:lang w:val="en-CA"/>
        </w:rPr>
        <w:lastRenderedPageBreak/>
        <w:t xml:space="preserve">The views of these rating agencies were further supported by industry watchers and analysts from other agencies. </w:t>
      </w:r>
      <w:r w:rsidRPr="004326A5">
        <w:rPr>
          <w:rFonts w:eastAsia="Calibri"/>
          <w:i/>
          <w:lang w:val="en-CA"/>
        </w:rPr>
        <w:t>Forbes</w:t>
      </w:r>
      <w:r w:rsidRPr="004326A5">
        <w:rPr>
          <w:rFonts w:eastAsia="Calibri"/>
          <w:lang w:val="en-CA"/>
        </w:rPr>
        <w:t xml:space="preserve"> writer Paula Rosenblum asserted, “It remains a mystery how that [turnaround of Sears] will be supported after selling off iconic brands, without a seasoned merchant at the helm and spinning off parts of the business that actually added value.” She added, “This has indeed been the world’s longest liquidation sale.”</w:t>
      </w:r>
      <w:r w:rsidRPr="004326A5">
        <w:rPr>
          <w:rStyle w:val="EndnoteReference"/>
          <w:rFonts w:eastAsia="Calibri"/>
          <w:b w:val="0"/>
          <w:color w:val="auto"/>
          <w:lang w:val="en-CA"/>
        </w:rPr>
        <w:endnoteReference w:id="55"/>
      </w:r>
      <w:r w:rsidRPr="004326A5">
        <w:rPr>
          <w:rFonts w:eastAsia="Calibri"/>
          <w:vertAlign w:val="superscript"/>
          <w:lang w:val="en-CA"/>
        </w:rPr>
        <w:t xml:space="preserve"> </w:t>
      </w:r>
      <w:r w:rsidRPr="004326A5">
        <w:rPr>
          <w:rFonts w:eastAsia="Calibri"/>
          <w:lang w:val="en-CA"/>
        </w:rPr>
        <w:t>Van Conway, an expert in bankruptcy and debt restructuring, said, “They are going out</w:t>
      </w:r>
      <w:r w:rsidRPr="004326A5">
        <w:rPr>
          <w:rFonts w:eastAsia="Calibri"/>
          <w:shd w:val="clear" w:color="auto" w:fill="FFFFFF"/>
          <w:lang w:val="en-CA"/>
        </w:rPr>
        <w:t xml:space="preserve"> </w:t>
      </w:r>
      <w:r w:rsidRPr="004326A5">
        <w:rPr>
          <w:rFonts w:eastAsia="Calibri"/>
          <w:lang w:val="en-CA"/>
        </w:rPr>
        <w:t>of business. This snowball is 90 per cent of the way to the bottom of the hill. The game’s over.”</w:t>
      </w:r>
      <w:r w:rsidRPr="004326A5">
        <w:rPr>
          <w:rStyle w:val="EndnoteReference"/>
          <w:rFonts w:eastAsia="Calibri"/>
          <w:b w:val="0"/>
          <w:color w:val="auto"/>
          <w:lang w:val="en-CA"/>
        </w:rPr>
        <w:endnoteReference w:id="56"/>
      </w:r>
      <w:r w:rsidRPr="004326A5">
        <w:rPr>
          <w:rFonts w:eastAsia="Calibri"/>
          <w:shd w:val="clear" w:color="auto" w:fill="FFFFFF"/>
          <w:lang w:val="en-CA"/>
        </w:rPr>
        <w:t xml:space="preserve"> </w:t>
      </w:r>
    </w:p>
    <w:p w14:paraId="465648F2" w14:textId="70D08A9B" w:rsidR="00874275" w:rsidRPr="004326A5" w:rsidRDefault="00874275" w:rsidP="00E91B37">
      <w:pPr>
        <w:pStyle w:val="BodyTextMain"/>
        <w:rPr>
          <w:rFonts w:eastAsia="Calibri"/>
          <w:shd w:val="clear" w:color="auto" w:fill="FFFFFF"/>
          <w:lang w:val="en-CA"/>
        </w:rPr>
      </w:pPr>
    </w:p>
    <w:p w14:paraId="0B62436A" w14:textId="68DB8C35" w:rsidR="00874275" w:rsidRPr="004326A5" w:rsidRDefault="00874275" w:rsidP="00E91B37">
      <w:pPr>
        <w:pStyle w:val="BodyTextMain"/>
        <w:rPr>
          <w:rFonts w:eastAsia="Calibri"/>
          <w:shd w:val="clear" w:color="auto" w:fill="FFFFFF"/>
          <w:lang w:val="en-CA"/>
        </w:rPr>
      </w:pPr>
      <w:r w:rsidRPr="004326A5">
        <w:rPr>
          <w:rFonts w:eastAsia="Calibri"/>
          <w:lang w:val="en-CA"/>
        </w:rPr>
        <w:t xml:space="preserve">Considering Sears’ past financial performance and its deteriorating revenues, Clark knew that he needed to not just analyze the financial health of the company but also the risk of bankruptcy. Given the views of the analysts, industry watchers, rating agencies, and Sears’ management, could the company still avert bankruptcy? Calculating the bankruptcy risk score, particularly the Altman Z-score, was the best way forward, he thought. The Altman bankruptcy prediction model had been one of the most commonly used tools for bankruptcy prediction. Clark created a template for calculating the Altman Z-score (see Exhibit </w:t>
      </w:r>
      <w:r w:rsidR="00C478E4" w:rsidRPr="004326A5">
        <w:rPr>
          <w:rFonts w:eastAsia="Calibri"/>
          <w:lang w:val="en-CA"/>
        </w:rPr>
        <w:t>6</w:t>
      </w:r>
      <w:r w:rsidRPr="004326A5">
        <w:rPr>
          <w:rFonts w:eastAsia="Calibri"/>
          <w:lang w:val="en-CA"/>
        </w:rPr>
        <w:t>)</w:t>
      </w:r>
      <w:r w:rsidR="009D05BF" w:rsidRPr="004326A5">
        <w:rPr>
          <w:rFonts w:eastAsia="Calibri"/>
          <w:lang w:val="en-CA"/>
        </w:rPr>
        <w:t>. He then</w:t>
      </w:r>
      <w:r w:rsidRPr="004326A5">
        <w:rPr>
          <w:rFonts w:eastAsia="Calibri"/>
          <w:lang w:val="en-CA"/>
        </w:rPr>
        <w:t xml:space="preserve"> gathered his other tools of financial analysis and set to work.</w:t>
      </w:r>
    </w:p>
    <w:p w14:paraId="6B562264" w14:textId="77777777" w:rsidR="00874275" w:rsidRPr="004326A5" w:rsidRDefault="00874275" w:rsidP="0030487D">
      <w:pPr>
        <w:pStyle w:val="BodyTextMain"/>
        <w:rPr>
          <w:rFonts w:eastAsia="Calibri"/>
          <w:shd w:val="clear" w:color="auto" w:fill="FFFFFF"/>
          <w:lang w:val="en-CA"/>
        </w:rPr>
      </w:pPr>
    </w:p>
    <w:p w14:paraId="699221AA" w14:textId="2328B0A8" w:rsidR="00874275" w:rsidRPr="004326A5" w:rsidRDefault="00874275" w:rsidP="003456D6">
      <w:pPr>
        <w:pStyle w:val="ExhibitHeading"/>
        <w:outlineLvl w:val="0"/>
        <w:rPr>
          <w:rFonts w:eastAsia="Calibri"/>
          <w:shd w:val="clear" w:color="auto" w:fill="FFFFFF"/>
          <w:lang w:val="en-CA"/>
        </w:rPr>
      </w:pPr>
      <w:r w:rsidRPr="004326A5">
        <w:rPr>
          <w:lang w:val="en-CA"/>
        </w:rPr>
        <w:br w:type="page"/>
      </w:r>
      <w:r w:rsidRPr="004326A5">
        <w:rPr>
          <w:rFonts w:eastAsia="Calibri"/>
          <w:shd w:val="clear" w:color="auto" w:fill="FFFFFF"/>
          <w:lang w:val="en-CA"/>
        </w:rPr>
        <w:lastRenderedPageBreak/>
        <w:t xml:space="preserve">EXHIBIT 1: SEARS </w:t>
      </w:r>
      <w:r w:rsidR="00103220" w:rsidRPr="004326A5">
        <w:rPr>
          <w:rFonts w:eastAsia="Calibri"/>
          <w:shd w:val="clear" w:color="auto" w:fill="FFFFFF"/>
          <w:lang w:val="en-CA"/>
        </w:rPr>
        <w:t xml:space="preserve">Holdings Corporation </w:t>
      </w:r>
      <w:r w:rsidRPr="004326A5">
        <w:rPr>
          <w:rFonts w:eastAsia="Calibri"/>
          <w:shd w:val="clear" w:color="auto" w:fill="FFFFFF"/>
          <w:lang w:val="en-CA"/>
        </w:rPr>
        <w:t>SHARE PRICES, JANUARY 2012 TO APRIL 2017 (in US</w:t>
      </w:r>
      <w:r w:rsidR="009D05BF" w:rsidRPr="004326A5">
        <w:rPr>
          <w:rFonts w:eastAsia="Calibri"/>
          <w:shd w:val="clear" w:color="auto" w:fill="FFFFFF"/>
          <w:lang w:val="en-CA"/>
        </w:rPr>
        <w:t>$</w:t>
      </w:r>
      <w:r w:rsidRPr="004326A5">
        <w:rPr>
          <w:rFonts w:eastAsia="Calibri"/>
          <w:shd w:val="clear" w:color="auto" w:fill="FFFFFF"/>
          <w:lang w:val="en-CA"/>
        </w:rPr>
        <w:t>)</w:t>
      </w:r>
    </w:p>
    <w:p w14:paraId="26226A60" w14:textId="77777777" w:rsidR="00874275" w:rsidRPr="004326A5" w:rsidRDefault="00874275" w:rsidP="0030487D">
      <w:pPr>
        <w:pStyle w:val="ExhibitText"/>
        <w:rPr>
          <w:rFonts w:eastAsia="Calibri"/>
          <w:shd w:val="clear" w:color="auto" w:fill="FFFFFF"/>
          <w:lang w:val="en-CA"/>
        </w:rPr>
      </w:pPr>
    </w:p>
    <w:p w14:paraId="1157A2C5" w14:textId="77777777" w:rsidR="00874275" w:rsidRPr="004326A5" w:rsidRDefault="00874275" w:rsidP="006671DF">
      <w:pPr>
        <w:pStyle w:val="ExhibitText"/>
        <w:jc w:val="center"/>
        <w:rPr>
          <w:rFonts w:eastAsia="Calibri"/>
          <w:shd w:val="clear" w:color="auto" w:fill="FFFFFF"/>
          <w:lang w:val="en-CA"/>
        </w:rPr>
      </w:pPr>
      <w:r w:rsidRPr="004326A5">
        <w:rPr>
          <w:rFonts w:eastAsia="Calibri"/>
          <w:noProof/>
          <w:lang w:val="en-US"/>
        </w:rPr>
        <w:drawing>
          <wp:inline distT="0" distB="0" distL="0" distR="0" wp14:anchorId="3B5AF8EC" wp14:editId="6FDAFE60">
            <wp:extent cx="5076825" cy="3148013"/>
            <wp:effectExtent l="0" t="0" r="3175" b="1905"/>
            <wp:docPr id="1" name="Chart 1">
              <a:extLst xmlns:a="http://schemas.openxmlformats.org/drawingml/2006/main">
                <a:ext uri="{FF2B5EF4-FFF2-40B4-BE49-F238E27FC236}">
                  <a16:creationId xmlns:a16="http://schemas.microsoft.com/office/drawing/2014/main" id="{78ED7293-D280-4868-96AC-08AA44C605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FC3A56A" w14:textId="77777777" w:rsidR="00874275" w:rsidRPr="004326A5" w:rsidRDefault="00874275" w:rsidP="006671DF">
      <w:pPr>
        <w:pStyle w:val="ExhibitText"/>
        <w:rPr>
          <w:rFonts w:eastAsia="Calibri"/>
          <w:shd w:val="clear" w:color="auto" w:fill="FFFFFF"/>
          <w:lang w:val="en-CA"/>
        </w:rPr>
      </w:pPr>
    </w:p>
    <w:p w14:paraId="53C8C2B0" w14:textId="428BDE02" w:rsidR="00C5069A" w:rsidRPr="004326A5" w:rsidRDefault="00C5069A" w:rsidP="00E02724">
      <w:pPr>
        <w:pStyle w:val="Footnote"/>
        <w:rPr>
          <w:rFonts w:eastAsia="Calibri"/>
          <w:shd w:val="clear" w:color="auto" w:fill="FFFFFF"/>
          <w:lang w:val="en-CA"/>
        </w:rPr>
      </w:pPr>
      <w:r w:rsidRPr="004326A5">
        <w:rPr>
          <w:rFonts w:eastAsia="Calibri"/>
          <w:shd w:val="clear" w:color="auto" w:fill="FFFFFF"/>
          <w:lang w:val="en-CA"/>
        </w:rPr>
        <w:t>Note: SHLD = Sears Holdings Corporation</w:t>
      </w:r>
      <w:r w:rsidR="004326A5">
        <w:rPr>
          <w:rFonts w:eastAsia="Calibri"/>
          <w:shd w:val="clear" w:color="auto" w:fill="FFFFFF"/>
          <w:lang w:val="en-CA"/>
        </w:rPr>
        <w:t>.</w:t>
      </w:r>
    </w:p>
    <w:p w14:paraId="6A0C1463" w14:textId="500E686B" w:rsidR="00874275" w:rsidRPr="004326A5" w:rsidRDefault="00874275" w:rsidP="00E02724">
      <w:pPr>
        <w:pStyle w:val="Footnote"/>
        <w:rPr>
          <w:rFonts w:eastAsia="Calibri"/>
          <w:shd w:val="clear" w:color="auto" w:fill="FFFFFF"/>
          <w:lang w:val="en-CA"/>
        </w:rPr>
      </w:pPr>
      <w:r w:rsidRPr="004326A5">
        <w:rPr>
          <w:rFonts w:eastAsia="Calibri"/>
          <w:shd w:val="clear" w:color="auto" w:fill="FFFFFF"/>
          <w:lang w:val="en-CA"/>
        </w:rPr>
        <w:t>Source: Created by the case authors based on “Sears Share Price,” Yahoo Finance, accessed April 2, 2017, https://finance.yahoo.com/quote/SHLD/history?p=SHLD.</w:t>
      </w:r>
    </w:p>
    <w:p w14:paraId="6C771C56" w14:textId="77777777" w:rsidR="00874275" w:rsidRPr="004326A5" w:rsidRDefault="00874275" w:rsidP="0030487D">
      <w:pPr>
        <w:pStyle w:val="ExhibitText"/>
        <w:rPr>
          <w:rFonts w:eastAsia="Calibri"/>
          <w:shd w:val="clear" w:color="auto" w:fill="FFFFFF"/>
          <w:lang w:val="en-CA"/>
        </w:rPr>
      </w:pPr>
    </w:p>
    <w:p w14:paraId="3087118B" w14:textId="77777777" w:rsidR="00874275" w:rsidRPr="004326A5" w:rsidRDefault="00874275" w:rsidP="0030487D">
      <w:pPr>
        <w:pStyle w:val="ExhibitText"/>
        <w:rPr>
          <w:rFonts w:eastAsia="Calibri"/>
          <w:shd w:val="clear" w:color="auto" w:fill="FFFFFF"/>
          <w:lang w:val="en-CA"/>
        </w:rPr>
      </w:pPr>
    </w:p>
    <w:p w14:paraId="48B8D68A" w14:textId="5C520F94" w:rsidR="00874275" w:rsidRPr="004326A5" w:rsidRDefault="00874275" w:rsidP="003456D6">
      <w:pPr>
        <w:pStyle w:val="ExhibitHeading"/>
        <w:outlineLvl w:val="0"/>
        <w:rPr>
          <w:rFonts w:eastAsia="Calibri"/>
          <w:shd w:val="clear" w:color="auto" w:fill="FFFFFF"/>
          <w:lang w:val="en-CA"/>
        </w:rPr>
      </w:pPr>
      <w:r w:rsidRPr="004326A5">
        <w:rPr>
          <w:rFonts w:eastAsia="Calibri"/>
          <w:shd w:val="clear" w:color="auto" w:fill="FFFFFF"/>
          <w:lang w:val="en-CA"/>
        </w:rPr>
        <w:t xml:space="preserve">EXHIBIT 2: SEARS </w:t>
      </w:r>
      <w:r w:rsidR="00C5069A" w:rsidRPr="004326A5">
        <w:rPr>
          <w:rFonts w:eastAsia="Calibri"/>
          <w:shd w:val="clear" w:color="auto" w:fill="FFFFFF"/>
          <w:lang w:val="en-CA"/>
        </w:rPr>
        <w:t xml:space="preserve">Holdings Corporation </w:t>
      </w:r>
      <w:r w:rsidRPr="004326A5">
        <w:rPr>
          <w:rFonts w:eastAsia="Calibri"/>
          <w:shd w:val="clear" w:color="auto" w:fill="FFFFFF"/>
          <w:lang w:val="en-CA"/>
        </w:rPr>
        <w:t>FIVE-YEAR RECORD</w:t>
      </w:r>
    </w:p>
    <w:p w14:paraId="760B4C30" w14:textId="77777777" w:rsidR="00874275" w:rsidRPr="004326A5" w:rsidRDefault="00874275" w:rsidP="0030487D">
      <w:pPr>
        <w:pStyle w:val="ExhibitText"/>
        <w:rPr>
          <w:rFonts w:eastAsia="Calibri"/>
          <w:shd w:val="clear" w:color="auto" w:fill="FFFFFF"/>
          <w:lang w:val="en-CA"/>
        </w:rPr>
      </w:pPr>
    </w:p>
    <w:tbl>
      <w:tblPr>
        <w:tblStyle w:val="IVEYTable"/>
        <w:tblW w:w="5004" w:type="pct"/>
        <w:tblBorders>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1332"/>
        <w:gridCol w:w="1332"/>
        <w:gridCol w:w="1332"/>
        <w:gridCol w:w="1332"/>
        <w:gridCol w:w="1329"/>
      </w:tblGrid>
      <w:tr w:rsidR="00874275" w:rsidRPr="004326A5" w14:paraId="7F70155A" w14:textId="77777777" w:rsidTr="001358C5">
        <w:trPr>
          <w:cnfStyle w:val="100000000000" w:firstRow="1" w:lastRow="0" w:firstColumn="0" w:lastColumn="0" w:oddVBand="0" w:evenVBand="0" w:oddHBand="0" w:evenHBand="0" w:firstRowFirstColumn="0" w:firstRowLastColumn="0" w:lastRowFirstColumn="0" w:lastRowLastColumn="0"/>
          <w:trHeight w:val="288"/>
        </w:trPr>
        <w:tc>
          <w:tcPr>
            <w:tcW w:w="1442" w:type="pct"/>
            <w:tcBorders>
              <w:bottom w:val="none" w:sz="0" w:space="0" w:color="auto"/>
            </w:tcBorders>
            <w:noWrap/>
            <w:hideMark/>
          </w:tcPr>
          <w:p w14:paraId="2A76C865" w14:textId="77777777" w:rsidR="00874275" w:rsidRPr="004326A5" w:rsidRDefault="00874275" w:rsidP="00582D9B">
            <w:pPr>
              <w:pStyle w:val="ExhibitText"/>
              <w:jc w:val="left"/>
              <w:rPr>
                <w:sz w:val="18"/>
                <w:szCs w:val="18"/>
                <w:lang w:val="en-CA"/>
              </w:rPr>
            </w:pPr>
          </w:p>
        </w:tc>
        <w:tc>
          <w:tcPr>
            <w:tcW w:w="712" w:type="pct"/>
            <w:tcBorders>
              <w:bottom w:val="none" w:sz="0" w:space="0" w:color="auto"/>
            </w:tcBorders>
          </w:tcPr>
          <w:p w14:paraId="011EB0AB" w14:textId="527FCFC2" w:rsidR="00874275" w:rsidRPr="004326A5" w:rsidRDefault="00874275" w:rsidP="00582D9B">
            <w:pPr>
              <w:pStyle w:val="ExhibitText"/>
              <w:jc w:val="center"/>
              <w:rPr>
                <w:b/>
                <w:bCs/>
                <w:color w:val="000000"/>
                <w:sz w:val="18"/>
                <w:szCs w:val="18"/>
                <w:lang w:val="en-CA"/>
              </w:rPr>
            </w:pPr>
            <w:r w:rsidRPr="004326A5">
              <w:rPr>
                <w:b/>
                <w:bCs/>
                <w:color w:val="000000"/>
                <w:sz w:val="18"/>
                <w:szCs w:val="18"/>
                <w:lang w:val="en-CA"/>
              </w:rPr>
              <w:t>FY 2012/13</w:t>
            </w:r>
          </w:p>
        </w:tc>
        <w:tc>
          <w:tcPr>
            <w:tcW w:w="712" w:type="pct"/>
            <w:tcBorders>
              <w:bottom w:val="none" w:sz="0" w:space="0" w:color="auto"/>
            </w:tcBorders>
          </w:tcPr>
          <w:p w14:paraId="71EF566E" w14:textId="1C10B38E" w:rsidR="00874275" w:rsidRPr="004326A5" w:rsidRDefault="00874275" w:rsidP="00582D9B">
            <w:pPr>
              <w:pStyle w:val="ExhibitText"/>
              <w:jc w:val="center"/>
              <w:rPr>
                <w:b/>
                <w:bCs/>
                <w:color w:val="000000"/>
                <w:sz w:val="18"/>
                <w:szCs w:val="18"/>
                <w:lang w:val="en-CA"/>
              </w:rPr>
            </w:pPr>
            <w:r w:rsidRPr="004326A5">
              <w:rPr>
                <w:b/>
                <w:bCs/>
                <w:color w:val="000000"/>
                <w:sz w:val="18"/>
                <w:szCs w:val="18"/>
                <w:lang w:val="en-CA"/>
              </w:rPr>
              <w:t>FY 2013/14</w:t>
            </w:r>
          </w:p>
        </w:tc>
        <w:tc>
          <w:tcPr>
            <w:tcW w:w="712" w:type="pct"/>
            <w:tcBorders>
              <w:bottom w:val="none" w:sz="0" w:space="0" w:color="auto"/>
            </w:tcBorders>
          </w:tcPr>
          <w:p w14:paraId="13EF6056" w14:textId="259C929F" w:rsidR="00874275" w:rsidRPr="004326A5" w:rsidRDefault="00874275" w:rsidP="00582D9B">
            <w:pPr>
              <w:pStyle w:val="ExhibitText"/>
              <w:jc w:val="center"/>
              <w:rPr>
                <w:b/>
                <w:bCs/>
                <w:color w:val="000000"/>
                <w:sz w:val="18"/>
                <w:szCs w:val="18"/>
                <w:lang w:val="en-CA"/>
              </w:rPr>
            </w:pPr>
            <w:r w:rsidRPr="004326A5">
              <w:rPr>
                <w:b/>
                <w:bCs/>
                <w:color w:val="000000"/>
                <w:sz w:val="18"/>
                <w:szCs w:val="18"/>
                <w:lang w:val="en-CA"/>
              </w:rPr>
              <w:t>FY 2014/15</w:t>
            </w:r>
          </w:p>
        </w:tc>
        <w:tc>
          <w:tcPr>
            <w:tcW w:w="712" w:type="pct"/>
            <w:tcBorders>
              <w:bottom w:val="none" w:sz="0" w:space="0" w:color="auto"/>
            </w:tcBorders>
          </w:tcPr>
          <w:p w14:paraId="45F09256" w14:textId="6205B8BF" w:rsidR="00874275" w:rsidRPr="004326A5" w:rsidRDefault="00874275" w:rsidP="00582D9B">
            <w:pPr>
              <w:pStyle w:val="ExhibitText"/>
              <w:jc w:val="center"/>
              <w:rPr>
                <w:b/>
                <w:bCs/>
                <w:color w:val="000000"/>
                <w:sz w:val="18"/>
                <w:szCs w:val="18"/>
                <w:lang w:val="en-CA"/>
              </w:rPr>
            </w:pPr>
            <w:r w:rsidRPr="004326A5">
              <w:rPr>
                <w:b/>
                <w:bCs/>
                <w:color w:val="000000"/>
                <w:sz w:val="18"/>
                <w:szCs w:val="18"/>
                <w:lang w:val="en-CA"/>
              </w:rPr>
              <w:t>FY 2015/16</w:t>
            </w:r>
          </w:p>
        </w:tc>
        <w:tc>
          <w:tcPr>
            <w:tcW w:w="712" w:type="pct"/>
            <w:tcBorders>
              <w:bottom w:val="none" w:sz="0" w:space="0" w:color="auto"/>
            </w:tcBorders>
            <w:noWrap/>
            <w:hideMark/>
          </w:tcPr>
          <w:p w14:paraId="29F2A761" w14:textId="4846246F" w:rsidR="00874275" w:rsidRPr="004326A5" w:rsidRDefault="00874275" w:rsidP="00582D9B">
            <w:pPr>
              <w:pStyle w:val="ExhibitText"/>
              <w:jc w:val="center"/>
              <w:rPr>
                <w:b/>
                <w:bCs/>
                <w:color w:val="000000"/>
                <w:sz w:val="18"/>
                <w:szCs w:val="18"/>
                <w:lang w:val="en-CA"/>
              </w:rPr>
            </w:pPr>
            <w:r w:rsidRPr="004326A5">
              <w:rPr>
                <w:b/>
                <w:bCs/>
                <w:color w:val="000000"/>
                <w:sz w:val="18"/>
                <w:szCs w:val="18"/>
                <w:lang w:val="en-CA"/>
              </w:rPr>
              <w:t>FY 2016/17</w:t>
            </w:r>
          </w:p>
        </w:tc>
      </w:tr>
      <w:tr w:rsidR="00874275" w:rsidRPr="004326A5" w14:paraId="731419B3" w14:textId="77777777" w:rsidTr="001358C5">
        <w:trPr>
          <w:trHeight w:val="288"/>
        </w:trPr>
        <w:tc>
          <w:tcPr>
            <w:tcW w:w="1442" w:type="pct"/>
            <w:noWrap/>
            <w:hideMark/>
          </w:tcPr>
          <w:p w14:paraId="09F01F66" w14:textId="12B62288" w:rsidR="00874275" w:rsidRPr="004326A5" w:rsidRDefault="00874275" w:rsidP="00582D9B">
            <w:pPr>
              <w:pStyle w:val="ExhibitText"/>
              <w:jc w:val="left"/>
              <w:rPr>
                <w:color w:val="000000"/>
                <w:sz w:val="18"/>
                <w:szCs w:val="18"/>
                <w:lang w:val="en-CA"/>
              </w:rPr>
            </w:pPr>
            <w:r w:rsidRPr="004326A5">
              <w:rPr>
                <w:color w:val="000000"/>
                <w:sz w:val="18"/>
                <w:szCs w:val="18"/>
                <w:lang w:val="en-CA"/>
              </w:rPr>
              <w:t>Revenue (in US$ millions)</w:t>
            </w:r>
          </w:p>
        </w:tc>
        <w:tc>
          <w:tcPr>
            <w:tcW w:w="712" w:type="pct"/>
          </w:tcPr>
          <w:p w14:paraId="7E9896B6" w14:textId="0C523499" w:rsidR="00874275" w:rsidRPr="004326A5" w:rsidRDefault="00874275" w:rsidP="00582D9B">
            <w:pPr>
              <w:pStyle w:val="ExhibitText"/>
              <w:jc w:val="right"/>
              <w:rPr>
                <w:color w:val="000000"/>
                <w:sz w:val="18"/>
                <w:szCs w:val="18"/>
                <w:lang w:val="en-CA"/>
              </w:rPr>
            </w:pPr>
            <w:r w:rsidRPr="004326A5">
              <w:rPr>
                <w:color w:val="000000"/>
                <w:sz w:val="18"/>
                <w:szCs w:val="18"/>
                <w:lang w:val="en-CA"/>
              </w:rPr>
              <w:t xml:space="preserve"> 39,854 </w:t>
            </w:r>
          </w:p>
        </w:tc>
        <w:tc>
          <w:tcPr>
            <w:tcW w:w="712" w:type="pct"/>
          </w:tcPr>
          <w:p w14:paraId="224CC077" w14:textId="47C514DE" w:rsidR="00874275" w:rsidRPr="004326A5" w:rsidRDefault="00874275" w:rsidP="00582D9B">
            <w:pPr>
              <w:pStyle w:val="ExhibitText"/>
              <w:jc w:val="right"/>
              <w:rPr>
                <w:color w:val="000000"/>
                <w:sz w:val="18"/>
                <w:szCs w:val="18"/>
                <w:lang w:val="en-CA"/>
              </w:rPr>
            </w:pPr>
            <w:r w:rsidRPr="004326A5">
              <w:rPr>
                <w:color w:val="000000"/>
                <w:sz w:val="18"/>
                <w:szCs w:val="18"/>
                <w:lang w:val="en-CA"/>
              </w:rPr>
              <w:t xml:space="preserve"> 36,188 </w:t>
            </w:r>
          </w:p>
        </w:tc>
        <w:tc>
          <w:tcPr>
            <w:tcW w:w="712" w:type="pct"/>
          </w:tcPr>
          <w:p w14:paraId="411CDBEC" w14:textId="02B19B22" w:rsidR="00874275" w:rsidRPr="004326A5" w:rsidRDefault="00874275" w:rsidP="00582D9B">
            <w:pPr>
              <w:pStyle w:val="ExhibitText"/>
              <w:jc w:val="right"/>
              <w:rPr>
                <w:color w:val="000000"/>
                <w:sz w:val="18"/>
                <w:szCs w:val="18"/>
                <w:lang w:val="en-CA"/>
              </w:rPr>
            </w:pPr>
            <w:r w:rsidRPr="004326A5">
              <w:rPr>
                <w:color w:val="000000"/>
                <w:sz w:val="18"/>
                <w:szCs w:val="18"/>
                <w:lang w:val="en-CA"/>
              </w:rPr>
              <w:t xml:space="preserve"> 31,198 </w:t>
            </w:r>
          </w:p>
        </w:tc>
        <w:tc>
          <w:tcPr>
            <w:tcW w:w="712" w:type="pct"/>
          </w:tcPr>
          <w:p w14:paraId="3974BEAE" w14:textId="108D5FD7" w:rsidR="00874275" w:rsidRPr="004326A5" w:rsidRDefault="00874275" w:rsidP="00582D9B">
            <w:pPr>
              <w:pStyle w:val="ExhibitText"/>
              <w:jc w:val="right"/>
              <w:rPr>
                <w:color w:val="000000"/>
                <w:sz w:val="18"/>
                <w:szCs w:val="18"/>
                <w:lang w:val="en-CA"/>
              </w:rPr>
            </w:pPr>
            <w:r w:rsidRPr="004326A5">
              <w:rPr>
                <w:color w:val="000000"/>
                <w:sz w:val="18"/>
                <w:szCs w:val="18"/>
                <w:lang w:val="en-CA"/>
              </w:rPr>
              <w:t xml:space="preserve"> 25,146 </w:t>
            </w:r>
          </w:p>
        </w:tc>
        <w:tc>
          <w:tcPr>
            <w:tcW w:w="712" w:type="pct"/>
            <w:noWrap/>
            <w:hideMark/>
          </w:tcPr>
          <w:p w14:paraId="5BF14FB7" w14:textId="392AC92E" w:rsidR="00874275" w:rsidRPr="004326A5" w:rsidRDefault="00874275" w:rsidP="00582D9B">
            <w:pPr>
              <w:pStyle w:val="ExhibitText"/>
              <w:jc w:val="right"/>
              <w:rPr>
                <w:color w:val="000000"/>
                <w:sz w:val="18"/>
                <w:szCs w:val="18"/>
                <w:lang w:val="en-CA"/>
              </w:rPr>
            </w:pPr>
            <w:r w:rsidRPr="004326A5">
              <w:rPr>
                <w:color w:val="000000"/>
                <w:sz w:val="18"/>
                <w:szCs w:val="18"/>
                <w:lang w:val="en-CA"/>
              </w:rPr>
              <w:t xml:space="preserve"> 22,138 </w:t>
            </w:r>
          </w:p>
        </w:tc>
      </w:tr>
      <w:tr w:rsidR="00874275" w:rsidRPr="004326A5" w14:paraId="71D7BD7D" w14:textId="77777777" w:rsidTr="001358C5">
        <w:trPr>
          <w:trHeight w:val="288"/>
        </w:trPr>
        <w:tc>
          <w:tcPr>
            <w:tcW w:w="1442" w:type="pct"/>
            <w:noWrap/>
            <w:hideMark/>
          </w:tcPr>
          <w:p w14:paraId="652ADDE3" w14:textId="77777777" w:rsidR="00874275" w:rsidRPr="004326A5" w:rsidRDefault="00874275" w:rsidP="00582D9B">
            <w:pPr>
              <w:pStyle w:val="ExhibitText"/>
              <w:jc w:val="left"/>
              <w:rPr>
                <w:color w:val="000000"/>
                <w:sz w:val="18"/>
                <w:szCs w:val="18"/>
                <w:lang w:val="en-CA"/>
              </w:rPr>
            </w:pPr>
            <w:r w:rsidRPr="004326A5">
              <w:rPr>
                <w:color w:val="000000"/>
                <w:sz w:val="18"/>
                <w:szCs w:val="18"/>
                <w:lang w:val="en-CA"/>
              </w:rPr>
              <w:t>Revenue Growth (%)</w:t>
            </w:r>
          </w:p>
        </w:tc>
        <w:tc>
          <w:tcPr>
            <w:tcW w:w="712" w:type="pct"/>
          </w:tcPr>
          <w:p w14:paraId="6B1BAEE1" w14:textId="051261CD" w:rsidR="00874275" w:rsidRPr="004326A5" w:rsidRDefault="00874275" w:rsidP="00582D9B">
            <w:pPr>
              <w:pStyle w:val="ExhibitText"/>
              <w:jc w:val="right"/>
              <w:rPr>
                <w:color w:val="000000"/>
                <w:sz w:val="18"/>
                <w:szCs w:val="18"/>
                <w:lang w:val="en-CA"/>
              </w:rPr>
            </w:pPr>
            <w:r w:rsidRPr="004326A5">
              <w:rPr>
                <w:color w:val="000000"/>
                <w:sz w:val="18"/>
                <w:szCs w:val="18"/>
                <w:lang w:val="en-CA"/>
              </w:rPr>
              <w:t xml:space="preserve"> — </w:t>
            </w:r>
          </w:p>
        </w:tc>
        <w:tc>
          <w:tcPr>
            <w:tcW w:w="712" w:type="pct"/>
          </w:tcPr>
          <w:p w14:paraId="5632B0C3" w14:textId="2D3EA0A2" w:rsidR="00874275" w:rsidRPr="004326A5" w:rsidRDefault="00874275" w:rsidP="00582D9B">
            <w:pPr>
              <w:pStyle w:val="ExhibitText"/>
              <w:jc w:val="right"/>
              <w:rPr>
                <w:color w:val="000000"/>
                <w:sz w:val="18"/>
                <w:szCs w:val="18"/>
                <w:lang w:val="en-CA"/>
              </w:rPr>
            </w:pPr>
            <w:r w:rsidRPr="004326A5">
              <w:rPr>
                <w:color w:val="000000"/>
                <w:sz w:val="18"/>
                <w:szCs w:val="18"/>
                <w:lang w:val="en-CA"/>
              </w:rPr>
              <w:t>−9.20%</w:t>
            </w:r>
          </w:p>
        </w:tc>
        <w:tc>
          <w:tcPr>
            <w:tcW w:w="712" w:type="pct"/>
          </w:tcPr>
          <w:p w14:paraId="73564788" w14:textId="56A5324E" w:rsidR="00874275" w:rsidRPr="004326A5" w:rsidRDefault="00874275" w:rsidP="00582D9B">
            <w:pPr>
              <w:pStyle w:val="ExhibitText"/>
              <w:jc w:val="right"/>
              <w:rPr>
                <w:color w:val="000000"/>
                <w:sz w:val="18"/>
                <w:szCs w:val="18"/>
                <w:lang w:val="en-CA"/>
              </w:rPr>
            </w:pPr>
            <w:r w:rsidRPr="004326A5">
              <w:rPr>
                <w:color w:val="000000"/>
                <w:sz w:val="18"/>
                <w:szCs w:val="18"/>
                <w:lang w:val="en-CA"/>
              </w:rPr>
              <w:t>−13.79%</w:t>
            </w:r>
          </w:p>
        </w:tc>
        <w:tc>
          <w:tcPr>
            <w:tcW w:w="712" w:type="pct"/>
          </w:tcPr>
          <w:p w14:paraId="4E334CB0" w14:textId="1A87B0CE" w:rsidR="00874275" w:rsidRPr="004326A5" w:rsidRDefault="00874275" w:rsidP="00582D9B">
            <w:pPr>
              <w:pStyle w:val="ExhibitText"/>
              <w:jc w:val="right"/>
              <w:rPr>
                <w:color w:val="000000"/>
                <w:sz w:val="18"/>
                <w:szCs w:val="18"/>
                <w:lang w:val="en-CA"/>
              </w:rPr>
            </w:pPr>
            <w:r w:rsidRPr="004326A5">
              <w:rPr>
                <w:color w:val="000000"/>
                <w:sz w:val="18"/>
                <w:szCs w:val="18"/>
                <w:lang w:val="en-CA"/>
              </w:rPr>
              <w:t>−19.40%</w:t>
            </w:r>
          </w:p>
        </w:tc>
        <w:tc>
          <w:tcPr>
            <w:tcW w:w="712" w:type="pct"/>
            <w:noWrap/>
            <w:hideMark/>
          </w:tcPr>
          <w:p w14:paraId="388F4307" w14:textId="629699D6" w:rsidR="00874275" w:rsidRPr="004326A5" w:rsidRDefault="00874275" w:rsidP="00582D9B">
            <w:pPr>
              <w:pStyle w:val="ExhibitText"/>
              <w:jc w:val="right"/>
              <w:rPr>
                <w:color w:val="000000"/>
                <w:sz w:val="18"/>
                <w:szCs w:val="18"/>
                <w:lang w:val="en-CA"/>
              </w:rPr>
            </w:pPr>
            <w:r w:rsidRPr="004326A5">
              <w:rPr>
                <w:color w:val="000000"/>
                <w:sz w:val="18"/>
                <w:szCs w:val="18"/>
                <w:lang w:val="en-CA"/>
              </w:rPr>
              <w:t>−11.96%</w:t>
            </w:r>
          </w:p>
        </w:tc>
      </w:tr>
      <w:tr w:rsidR="00874275" w:rsidRPr="004326A5" w14:paraId="67DAC868" w14:textId="77777777" w:rsidTr="001358C5">
        <w:trPr>
          <w:trHeight w:val="288"/>
        </w:trPr>
        <w:tc>
          <w:tcPr>
            <w:tcW w:w="1442" w:type="pct"/>
            <w:noWrap/>
            <w:hideMark/>
          </w:tcPr>
          <w:p w14:paraId="7C8D4836" w14:textId="67312FA8" w:rsidR="00874275" w:rsidRPr="004326A5" w:rsidRDefault="00874275" w:rsidP="00582D9B">
            <w:pPr>
              <w:pStyle w:val="ExhibitText"/>
              <w:jc w:val="left"/>
              <w:rPr>
                <w:color w:val="000000"/>
                <w:sz w:val="18"/>
                <w:szCs w:val="18"/>
                <w:lang w:val="en-CA"/>
              </w:rPr>
            </w:pPr>
            <w:r w:rsidRPr="004326A5">
              <w:rPr>
                <w:color w:val="000000"/>
                <w:sz w:val="18"/>
                <w:szCs w:val="18"/>
                <w:lang w:val="en-CA"/>
              </w:rPr>
              <w:t>Profit/(Loss) (in US$ millions)</w:t>
            </w:r>
          </w:p>
        </w:tc>
        <w:tc>
          <w:tcPr>
            <w:tcW w:w="712" w:type="pct"/>
          </w:tcPr>
          <w:p w14:paraId="405A9834" w14:textId="6BFA696B" w:rsidR="00874275" w:rsidRPr="004326A5" w:rsidRDefault="00874275" w:rsidP="00582D9B">
            <w:pPr>
              <w:pStyle w:val="ExhibitText"/>
              <w:jc w:val="right"/>
              <w:rPr>
                <w:color w:val="000000"/>
                <w:sz w:val="18"/>
                <w:szCs w:val="18"/>
                <w:lang w:val="en-CA"/>
              </w:rPr>
            </w:pPr>
            <w:r w:rsidRPr="004326A5">
              <w:rPr>
                <w:color w:val="000000"/>
                <w:sz w:val="18"/>
                <w:szCs w:val="18"/>
                <w:lang w:val="en-CA"/>
              </w:rPr>
              <w:t xml:space="preserve"> (1,054)</w:t>
            </w:r>
          </w:p>
        </w:tc>
        <w:tc>
          <w:tcPr>
            <w:tcW w:w="712" w:type="pct"/>
          </w:tcPr>
          <w:p w14:paraId="20A6EC98" w14:textId="1B02CDFF" w:rsidR="00874275" w:rsidRPr="004326A5" w:rsidRDefault="00874275" w:rsidP="00582D9B">
            <w:pPr>
              <w:pStyle w:val="ExhibitText"/>
              <w:jc w:val="right"/>
              <w:rPr>
                <w:color w:val="000000"/>
                <w:sz w:val="18"/>
                <w:szCs w:val="18"/>
                <w:lang w:val="en-CA"/>
              </w:rPr>
            </w:pPr>
            <w:r w:rsidRPr="004326A5">
              <w:rPr>
                <w:color w:val="000000"/>
                <w:sz w:val="18"/>
                <w:szCs w:val="18"/>
                <w:lang w:val="en-CA"/>
              </w:rPr>
              <w:t xml:space="preserve"> (1,116)</w:t>
            </w:r>
          </w:p>
        </w:tc>
        <w:tc>
          <w:tcPr>
            <w:tcW w:w="712" w:type="pct"/>
          </w:tcPr>
          <w:p w14:paraId="248B51BB" w14:textId="754B3856" w:rsidR="00874275" w:rsidRPr="004326A5" w:rsidRDefault="00874275" w:rsidP="00582D9B">
            <w:pPr>
              <w:pStyle w:val="ExhibitText"/>
              <w:jc w:val="right"/>
              <w:rPr>
                <w:color w:val="000000"/>
                <w:sz w:val="18"/>
                <w:szCs w:val="18"/>
                <w:lang w:val="en-CA"/>
              </w:rPr>
            </w:pPr>
            <w:r w:rsidRPr="004326A5">
              <w:rPr>
                <w:color w:val="000000"/>
                <w:sz w:val="18"/>
                <w:szCs w:val="18"/>
                <w:lang w:val="en-CA"/>
              </w:rPr>
              <w:t xml:space="preserve"> (1,810)</w:t>
            </w:r>
          </w:p>
        </w:tc>
        <w:tc>
          <w:tcPr>
            <w:tcW w:w="712" w:type="pct"/>
          </w:tcPr>
          <w:p w14:paraId="449F00D4" w14:textId="65A9CE17" w:rsidR="00874275" w:rsidRPr="004326A5" w:rsidRDefault="00874275" w:rsidP="00582D9B">
            <w:pPr>
              <w:pStyle w:val="ExhibitText"/>
              <w:jc w:val="right"/>
              <w:rPr>
                <w:color w:val="000000"/>
                <w:sz w:val="18"/>
                <w:szCs w:val="18"/>
                <w:lang w:val="en-CA"/>
              </w:rPr>
            </w:pPr>
            <w:r w:rsidRPr="004326A5">
              <w:rPr>
                <w:color w:val="000000"/>
                <w:sz w:val="18"/>
                <w:szCs w:val="18"/>
                <w:lang w:val="en-CA"/>
              </w:rPr>
              <w:t xml:space="preserve"> (1,128)</w:t>
            </w:r>
          </w:p>
        </w:tc>
        <w:tc>
          <w:tcPr>
            <w:tcW w:w="712" w:type="pct"/>
            <w:noWrap/>
            <w:hideMark/>
          </w:tcPr>
          <w:p w14:paraId="53183DB8" w14:textId="2111D82D" w:rsidR="00874275" w:rsidRPr="004326A5" w:rsidRDefault="00874275" w:rsidP="00582D9B">
            <w:pPr>
              <w:pStyle w:val="ExhibitText"/>
              <w:jc w:val="right"/>
              <w:rPr>
                <w:color w:val="000000"/>
                <w:sz w:val="18"/>
                <w:szCs w:val="18"/>
                <w:lang w:val="en-CA"/>
              </w:rPr>
            </w:pPr>
            <w:r w:rsidRPr="004326A5">
              <w:rPr>
                <w:color w:val="000000"/>
                <w:sz w:val="18"/>
                <w:szCs w:val="18"/>
                <w:lang w:val="en-CA"/>
              </w:rPr>
              <w:t xml:space="preserve"> (2,221)</w:t>
            </w:r>
          </w:p>
        </w:tc>
      </w:tr>
      <w:tr w:rsidR="00874275" w:rsidRPr="004326A5" w14:paraId="6727DCDC" w14:textId="77777777" w:rsidTr="001358C5">
        <w:trPr>
          <w:trHeight w:val="288"/>
        </w:trPr>
        <w:tc>
          <w:tcPr>
            <w:tcW w:w="1442" w:type="pct"/>
            <w:noWrap/>
            <w:hideMark/>
          </w:tcPr>
          <w:p w14:paraId="4F472256" w14:textId="77777777" w:rsidR="00874275" w:rsidRPr="004326A5" w:rsidRDefault="00874275" w:rsidP="00582D9B">
            <w:pPr>
              <w:pStyle w:val="ExhibitText"/>
              <w:jc w:val="left"/>
              <w:rPr>
                <w:color w:val="000000"/>
                <w:sz w:val="18"/>
                <w:szCs w:val="18"/>
                <w:lang w:val="en-CA"/>
              </w:rPr>
            </w:pPr>
            <w:r w:rsidRPr="004326A5">
              <w:rPr>
                <w:color w:val="000000"/>
                <w:sz w:val="18"/>
                <w:szCs w:val="18"/>
                <w:lang w:val="en-CA"/>
              </w:rPr>
              <w:t>Number of Stores</w:t>
            </w:r>
          </w:p>
        </w:tc>
        <w:tc>
          <w:tcPr>
            <w:tcW w:w="712" w:type="pct"/>
          </w:tcPr>
          <w:p w14:paraId="5270EE14" w14:textId="00AB19C6" w:rsidR="00874275" w:rsidRPr="004326A5" w:rsidRDefault="00874275" w:rsidP="00582D9B">
            <w:pPr>
              <w:pStyle w:val="ExhibitText"/>
              <w:jc w:val="right"/>
              <w:rPr>
                <w:color w:val="000000"/>
                <w:sz w:val="18"/>
                <w:szCs w:val="18"/>
                <w:lang w:val="en-CA"/>
              </w:rPr>
            </w:pPr>
            <w:r w:rsidRPr="004326A5">
              <w:rPr>
                <w:color w:val="000000"/>
                <w:sz w:val="18"/>
                <w:szCs w:val="18"/>
                <w:lang w:val="en-CA"/>
              </w:rPr>
              <w:t xml:space="preserve"> 2,019 </w:t>
            </w:r>
          </w:p>
        </w:tc>
        <w:tc>
          <w:tcPr>
            <w:tcW w:w="712" w:type="pct"/>
          </w:tcPr>
          <w:p w14:paraId="309A0382" w14:textId="55A568CE" w:rsidR="00874275" w:rsidRPr="004326A5" w:rsidRDefault="00874275" w:rsidP="00582D9B">
            <w:pPr>
              <w:pStyle w:val="ExhibitText"/>
              <w:jc w:val="right"/>
              <w:rPr>
                <w:color w:val="000000"/>
                <w:sz w:val="18"/>
                <w:szCs w:val="18"/>
                <w:lang w:val="en-CA"/>
              </w:rPr>
            </w:pPr>
            <w:r w:rsidRPr="004326A5">
              <w:rPr>
                <w:color w:val="000000"/>
                <w:sz w:val="18"/>
                <w:szCs w:val="18"/>
                <w:lang w:val="en-CA"/>
              </w:rPr>
              <w:t xml:space="preserve"> 1,980 </w:t>
            </w:r>
          </w:p>
        </w:tc>
        <w:tc>
          <w:tcPr>
            <w:tcW w:w="712" w:type="pct"/>
          </w:tcPr>
          <w:p w14:paraId="7FC3F95B" w14:textId="61BD2B8F" w:rsidR="00874275" w:rsidRPr="004326A5" w:rsidRDefault="00874275" w:rsidP="00582D9B">
            <w:pPr>
              <w:pStyle w:val="ExhibitText"/>
              <w:jc w:val="right"/>
              <w:rPr>
                <w:color w:val="000000"/>
                <w:sz w:val="18"/>
                <w:szCs w:val="18"/>
                <w:lang w:val="en-CA"/>
              </w:rPr>
            </w:pPr>
            <w:r w:rsidRPr="004326A5">
              <w:rPr>
                <w:color w:val="000000"/>
                <w:sz w:val="18"/>
                <w:szCs w:val="18"/>
                <w:lang w:val="en-CA"/>
              </w:rPr>
              <w:t xml:space="preserve"> 1,672 </w:t>
            </w:r>
          </w:p>
        </w:tc>
        <w:tc>
          <w:tcPr>
            <w:tcW w:w="712" w:type="pct"/>
          </w:tcPr>
          <w:p w14:paraId="5B18E6F9" w14:textId="3E543946" w:rsidR="00874275" w:rsidRPr="004326A5" w:rsidRDefault="00874275" w:rsidP="00582D9B">
            <w:pPr>
              <w:pStyle w:val="ExhibitText"/>
              <w:jc w:val="right"/>
              <w:rPr>
                <w:color w:val="000000"/>
                <w:sz w:val="18"/>
                <w:szCs w:val="18"/>
                <w:lang w:val="en-CA"/>
              </w:rPr>
            </w:pPr>
            <w:r w:rsidRPr="004326A5">
              <w:rPr>
                <w:color w:val="000000"/>
                <w:sz w:val="18"/>
                <w:szCs w:val="18"/>
                <w:lang w:val="en-CA"/>
              </w:rPr>
              <w:t xml:space="preserve"> 1,725 </w:t>
            </w:r>
          </w:p>
        </w:tc>
        <w:tc>
          <w:tcPr>
            <w:tcW w:w="712" w:type="pct"/>
            <w:noWrap/>
            <w:hideMark/>
          </w:tcPr>
          <w:p w14:paraId="76FD0DF0" w14:textId="22EF8DA0" w:rsidR="00874275" w:rsidRPr="004326A5" w:rsidRDefault="00874275" w:rsidP="00582D9B">
            <w:pPr>
              <w:pStyle w:val="ExhibitText"/>
              <w:jc w:val="right"/>
              <w:rPr>
                <w:color w:val="000000"/>
                <w:sz w:val="18"/>
                <w:szCs w:val="18"/>
                <w:lang w:val="en-CA"/>
              </w:rPr>
            </w:pPr>
            <w:r w:rsidRPr="004326A5">
              <w:rPr>
                <w:color w:val="000000"/>
                <w:sz w:val="18"/>
                <w:szCs w:val="18"/>
                <w:lang w:val="en-CA"/>
              </w:rPr>
              <w:t xml:space="preserve"> 1,430 </w:t>
            </w:r>
          </w:p>
        </w:tc>
      </w:tr>
      <w:tr w:rsidR="00874275" w:rsidRPr="004326A5" w14:paraId="01DEA0D1" w14:textId="77777777" w:rsidTr="001358C5">
        <w:trPr>
          <w:trHeight w:val="288"/>
        </w:trPr>
        <w:tc>
          <w:tcPr>
            <w:tcW w:w="1442" w:type="pct"/>
            <w:noWrap/>
            <w:hideMark/>
          </w:tcPr>
          <w:p w14:paraId="7F50C673" w14:textId="77777777" w:rsidR="00874275" w:rsidRPr="004326A5" w:rsidRDefault="00874275" w:rsidP="00582D9B">
            <w:pPr>
              <w:pStyle w:val="ExhibitText"/>
              <w:jc w:val="left"/>
              <w:rPr>
                <w:color w:val="000000"/>
                <w:sz w:val="18"/>
                <w:szCs w:val="18"/>
                <w:lang w:val="en-CA"/>
              </w:rPr>
            </w:pPr>
            <w:r w:rsidRPr="004326A5">
              <w:rPr>
                <w:color w:val="000000"/>
                <w:sz w:val="18"/>
                <w:szCs w:val="18"/>
                <w:lang w:val="en-CA"/>
              </w:rPr>
              <w:t>Number of Employees</w:t>
            </w:r>
          </w:p>
        </w:tc>
        <w:tc>
          <w:tcPr>
            <w:tcW w:w="712" w:type="pct"/>
          </w:tcPr>
          <w:p w14:paraId="7A6322B2" w14:textId="3F08639F" w:rsidR="00874275" w:rsidRPr="004326A5" w:rsidRDefault="00874275" w:rsidP="00582D9B">
            <w:pPr>
              <w:pStyle w:val="ExhibitText"/>
              <w:jc w:val="right"/>
              <w:rPr>
                <w:color w:val="000000"/>
                <w:sz w:val="18"/>
                <w:szCs w:val="18"/>
                <w:lang w:val="en-CA"/>
              </w:rPr>
            </w:pPr>
            <w:r w:rsidRPr="004326A5">
              <w:rPr>
                <w:color w:val="000000"/>
                <w:sz w:val="18"/>
                <w:szCs w:val="18"/>
                <w:lang w:val="en-CA"/>
              </w:rPr>
              <w:t xml:space="preserve"> 246,000 </w:t>
            </w:r>
          </w:p>
        </w:tc>
        <w:tc>
          <w:tcPr>
            <w:tcW w:w="712" w:type="pct"/>
          </w:tcPr>
          <w:p w14:paraId="58E68402" w14:textId="45B29761" w:rsidR="00874275" w:rsidRPr="004326A5" w:rsidRDefault="00874275" w:rsidP="00582D9B">
            <w:pPr>
              <w:pStyle w:val="ExhibitText"/>
              <w:jc w:val="right"/>
              <w:rPr>
                <w:color w:val="000000"/>
                <w:sz w:val="18"/>
                <w:szCs w:val="18"/>
                <w:lang w:val="en-CA"/>
              </w:rPr>
            </w:pPr>
            <w:r w:rsidRPr="004326A5">
              <w:rPr>
                <w:color w:val="000000"/>
                <w:sz w:val="18"/>
                <w:szCs w:val="18"/>
                <w:lang w:val="en-CA"/>
              </w:rPr>
              <w:t xml:space="preserve"> 226,000 </w:t>
            </w:r>
          </w:p>
        </w:tc>
        <w:tc>
          <w:tcPr>
            <w:tcW w:w="712" w:type="pct"/>
          </w:tcPr>
          <w:p w14:paraId="2E5BF781" w14:textId="313CF194" w:rsidR="00874275" w:rsidRPr="004326A5" w:rsidRDefault="00874275" w:rsidP="00582D9B">
            <w:pPr>
              <w:pStyle w:val="ExhibitText"/>
              <w:jc w:val="right"/>
              <w:rPr>
                <w:color w:val="000000"/>
                <w:sz w:val="18"/>
                <w:szCs w:val="18"/>
                <w:lang w:val="en-CA"/>
              </w:rPr>
            </w:pPr>
            <w:r w:rsidRPr="004326A5">
              <w:rPr>
                <w:color w:val="000000"/>
                <w:sz w:val="18"/>
                <w:szCs w:val="18"/>
                <w:lang w:val="en-CA"/>
              </w:rPr>
              <w:t xml:space="preserve"> 178,000 </w:t>
            </w:r>
          </w:p>
        </w:tc>
        <w:tc>
          <w:tcPr>
            <w:tcW w:w="712" w:type="pct"/>
          </w:tcPr>
          <w:p w14:paraId="74E75F3D" w14:textId="40260201" w:rsidR="00874275" w:rsidRPr="004326A5" w:rsidRDefault="00874275" w:rsidP="00582D9B">
            <w:pPr>
              <w:pStyle w:val="ExhibitText"/>
              <w:jc w:val="right"/>
              <w:rPr>
                <w:color w:val="000000"/>
                <w:sz w:val="18"/>
                <w:szCs w:val="18"/>
                <w:lang w:val="en-CA"/>
              </w:rPr>
            </w:pPr>
            <w:r w:rsidRPr="004326A5">
              <w:rPr>
                <w:color w:val="000000"/>
                <w:sz w:val="18"/>
                <w:szCs w:val="18"/>
                <w:lang w:val="en-CA"/>
              </w:rPr>
              <w:t xml:space="preserve"> 196,000 </w:t>
            </w:r>
          </w:p>
        </w:tc>
        <w:tc>
          <w:tcPr>
            <w:tcW w:w="712" w:type="pct"/>
            <w:noWrap/>
            <w:hideMark/>
          </w:tcPr>
          <w:p w14:paraId="58DA2482" w14:textId="6561D2F8" w:rsidR="00874275" w:rsidRPr="004326A5" w:rsidRDefault="00874275" w:rsidP="00582D9B">
            <w:pPr>
              <w:pStyle w:val="ExhibitText"/>
              <w:jc w:val="right"/>
              <w:rPr>
                <w:color w:val="000000"/>
                <w:sz w:val="18"/>
                <w:szCs w:val="18"/>
                <w:lang w:val="en-CA"/>
              </w:rPr>
            </w:pPr>
            <w:r w:rsidRPr="004326A5">
              <w:rPr>
                <w:color w:val="000000"/>
                <w:sz w:val="18"/>
                <w:szCs w:val="18"/>
                <w:lang w:val="en-CA"/>
              </w:rPr>
              <w:t xml:space="preserve"> 140,000 </w:t>
            </w:r>
          </w:p>
        </w:tc>
      </w:tr>
    </w:tbl>
    <w:p w14:paraId="54CC362F" w14:textId="77777777" w:rsidR="00874275" w:rsidRPr="004326A5" w:rsidRDefault="00874275" w:rsidP="006671DF">
      <w:pPr>
        <w:pStyle w:val="ExhibitText"/>
        <w:rPr>
          <w:rFonts w:eastAsia="Calibri"/>
          <w:shd w:val="clear" w:color="auto" w:fill="FFFFFF"/>
          <w:lang w:val="en-CA"/>
        </w:rPr>
      </w:pPr>
    </w:p>
    <w:p w14:paraId="39479520" w14:textId="44C22C18" w:rsidR="00874275" w:rsidRPr="004326A5" w:rsidRDefault="00874275" w:rsidP="00C93305">
      <w:pPr>
        <w:pStyle w:val="Footnote"/>
        <w:jc w:val="both"/>
        <w:rPr>
          <w:rFonts w:eastAsia="Calibri"/>
          <w:shd w:val="clear" w:color="auto" w:fill="FFFFFF"/>
          <w:lang w:val="en-CA"/>
        </w:rPr>
      </w:pPr>
      <w:r w:rsidRPr="004326A5">
        <w:rPr>
          <w:rFonts w:eastAsia="Calibri"/>
          <w:shd w:val="clear" w:color="auto" w:fill="FFFFFF"/>
          <w:lang w:val="en-CA"/>
        </w:rPr>
        <w:t>Source: Compiled by the case authors based on Sears Holdings Corporation, “Form 10-K for the Fiscal Year Ended January 28, 2017,” 2, 5, 58, 2016, accessed April 8, 2017, https://searsholdings.com/docs/investor/SHC_2016_Form_10-K.pdf; Sears Holdings Corporation, “Form 10-K for the Fiscal Year Ended January 30, 2016,” 2, 5, 56, accessed March 21, 2017, https://searsholdings.com/docs/investor/SHC_2015_Form_10-K.pdf; Sears Holdings Corporation, “Form 10-K for the Fiscal Year Ended January 31, 2015,” 2, 6, 64, accessed March 21, 2017, https://searsholdings.com/docs/investor/SHC_2014_Form_10-K.pdf; Sears Holdings Corporation, “Form 10-K for the Fiscal Year Ended February 1, 2014,” 2, 6, 63, accessed March 21, 2017, https://searsholdings.com/docs/investor/SHC_2013_Form_10-K.pdf; and Sears Holdings Corporation, “Form 10-K for the Fiscal Year Ended February 2, 2013,” 2, 6, 56, accessed March 21, 2017, https://searsholdings.com/docs/investor/SHC_2012_Form_10-K.pdf.</w:t>
      </w:r>
    </w:p>
    <w:p w14:paraId="0A30B443" w14:textId="77777777" w:rsidR="00874275" w:rsidRPr="004326A5" w:rsidRDefault="00874275" w:rsidP="0030487D">
      <w:pPr>
        <w:spacing w:after="160" w:line="259" w:lineRule="auto"/>
        <w:rPr>
          <w:rFonts w:ascii="Arial" w:eastAsia="Calibri" w:hAnsi="Arial" w:cs="Arial"/>
          <w:b/>
          <w:sz w:val="22"/>
          <w:szCs w:val="22"/>
          <w:shd w:val="clear" w:color="auto" w:fill="FFFFFF"/>
          <w:lang w:val="en-CA"/>
        </w:rPr>
      </w:pPr>
      <w:r w:rsidRPr="004326A5">
        <w:rPr>
          <w:rFonts w:ascii="Arial" w:eastAsia="Calibri" w:hAnsi="Arial" w:cs="Arial"/>
          <w:b/>
          <w:sz w:val="22"/>
          <w:szCs w:val="22"/>
          <w:shd w:val="clear" w:color="auto" w:fill="FFFFFF"/>
          <w:lang w:val="en-CA"/>
        </w:rPr>
        <w:br w:type="page"/>
      </w:r>
    </w:p>
    <w:p w14:paraId="09801455" w14:textId="7C359219" w:rsidR="00874275" w:rsidRPr="004326A5" w:rsidRDefault="00874275" w:rsidP="003456D6">
      <w:pPr>
        <w:pStyle w:val="ExhibitHeading"/>
        <w:outlineLvl w:val="0"/>
        <w:rPr>
          <w:rFonts w:eastAsia="Calibri"/>
          <w:shd w:val="clear" w:color="auto" w:fill="FFFFFF"/>
          <w:lang w:val="en-CA"/>
        </w:rPr>
      </w:pPr>
      <w:r w:rsidRPr="004326A5">
        <w:rPr>
          <w:rFonts w:eastAsia="Calibri"/>
          <w:shd w:val="clear" w:color="auto" w:fill="FFFFFF"/>
          <w:lang w:val="en-CA"/>
        </w:rPr>
        <w:lastRenderedPageBreak/>
        <w:t xml:space="preserve">EXHIBIT 3: SEARS </w:t>
      </w:r>
      <w:r w:rsidR="00C5069A" w:rsidRPr="004326A5">
        <w:rPr>
          <w:rFonts w:eastAsia="Calibri"/>
          <w:shd w:val="clear" w:color="auto" w:fill="FFFFFF"/>
          <w:lang w:val="en-CA"/>
        </w:rPr>
        <w:t xml:space="preserve">Holdings Corporation </w:t>
      </w:r>
      <w:r w:rsidRPr="004326A5">
        <w:rPr>
          <w:rFonts w:eastAsia="Calibri"/>
          <w:shd w:val="clear" w:color="auto" w:fill="FFFFFF"/>
          <w:lang w:val="en-CA"/>
        </w:rPr>
        <w:t>CONSOLIDATED STATEMENT OF OPERATIONS (in US$ millions)</w:t>
      </w:r>
    </w:p>
    <w:p w14:paraId="1198B7E1" w14:textId="77777777" w:rsidR="00874275" w:rsidRPr="004326A5" w:rsidRDefault="00874275" w:rsidP="00E02724">
      <w:pPr>
        <w:pStyle w:val="ExhibitText"/>
        <w:rPr>
          <w:rFonts w:eastAsia="Calibri"/>
          <w:shd w:val="clear" w:color="auto" w:fill="FFFFFF"/>
          <w:lang w:val="en-CA"/>
        </w:rPr>
      </w:pPr>
    </w:p>
    <w:tbl>
      <w:tblPr>
        <w:tblStyle w:val="IVEYTable"/>
        <w:tblpPr w:leftFromText="187" w:rightFromText="187" w:vertAnchor="text" w:horzAnchor="margin" w:tblpXSpec="center" w:tblpY="93"/>
        <w:tblW w:w="5000" w:type="pct"/>
        <w:tblBorders>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0"/>
        <w:gridCol w:w="949"/>
        <w:gridCol w:w="948"/>
        <w:gridCol w:w="948"/>
        <w:gridCol w:w="948"/>
        <w:gridCol w:w="948"/>
        <w:gridCol w:w="949"/>
      </w:tblGrid>
      <w:tr w:rsidR="00874275" w:rsidRPr="004326A5" w14:paraId="77A84ACA" w14:textId="77777777" w:rsidTr="001358C5">
        <w:trPr>
          <w:cnfStyle w:val="100000000000" w:firstRow="1" w:lastRow="0" w:firstColumn="0" w:lastColumn="0" w:oddVBand="0" w:evenVBand="0" w:oddHBand="0" w:evenHBand="0" w:firstRowFirstColumn="0" w:firstRowLastColumn="0" w:lastRowFirstColumn="0" w:lastRowLastColumn="0"/>
          <w:trHeight w:val="288"/>
        </w:trPr>
        <w:tc>
          <w:tcPr>
            <w:tcW w:w="3659" w:type="dxa"/>
            <w:tcBorders>
              <w:bottom w:val="none" w:sz="0" w:space="0" w:color="auto"/>
            </w:tcBorders>
            <w:noWrap/>
          </w:tcPr>
          <w:p w14:paraId="2AD2F2A7" w14:textId="53E48D57" w:rsidR="00874275" w:rsidRPr="004326A5" w:rsidRDefault="00874275" w:rsidP="00443F33">
            <w:pPr>
              <w:rPr>
                <w:rFonts w:ascii="Arial" w:eastAsia="Calibri" w:hAnsi="Arial" w:cs="Arial"/>
                <w:b/>
                <w:bCs/>
                <w:sz w:val="18"/>
                <w:szCs w:val="18"/>
                <w:lang w:val="en-CA"/>
              </w:rPr>
            </w:pPr>
            <w:r w:rsidRPr="004326A5">
              <w:rPr>
                <w:rFonts w:ascii="Arial" w:eastAsia="Calibri" w:hAnsi="Arial" w:cs="Arial"/>
                <w:b/>
                <w:bCs/>
                <w:sz w:val="18"/>
                <w:szCs w:val="18"/>
                <w:lang w:val="en-CA"/>
              </w:rPr>
              <w:t>Fiscal Year End</w:t>
            </w:r>
            <w:r w:rsidR="00A05594" w:rsidRPr="004326A5">
              <w:rPr>
                <w:rFonts w:ascii="Arial" w:eastAsia="Calibri" w:hAnsi="Arial" w:cs="Arial"/>
                <w:b/>
                <w:bCs/>
                <w:sz w:val="18"/>
                <w:szCs w:val="18"/>
                <w:lang w:val="en-CA"/>
              </w:rPr>
              <w:t>s</w:t>
            </w:r>
            <w:r w:rsidRPr="004326A5">
              <w:rPr>
                <w:rFonts w:ascii="Arial" w:eastAsia="Calibri" w:hAnsi="Arial" w:cs="Arial"/>
                <w:b/>
                <w:bCs/>
                <w:sz w:val="18"/>
                <w:szCs w:val="18"/>
                <w:lang w:val="en-CA"/>
              </w:rPr>
              <w:t xml:space="preserve"> in January</w:t>
            </w:r>
          </w:p>
        </w:tc>
        <w:tc>
          <w:tcPr>
            <w:tcW w:w="950" w:type="dxa"/>
            <w:tcBorders>
              <w:bottom w:val="none" w:sz="0" w:space="0" w:color="auto"/>
            </w:tcBorders>
          </w:tcPr>
          <w:p w14:paraId="66E886B3" w14:textId="4B869420"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2011/12</w:t>
            </w:r>
          </w:p>
        </w:tc>
        <w:tc>
          <w:tcPr>
            <w:tcW w:w="950" w:type="dxa"/>
            <w:tcBorders>
              <w:bottom w:val="none" w:sz="0" w:space="0" w:color="auto"/>
            </w:tcBorders>
          </w:tcPr>
          <w:p w14:paraId="1B823598" w14:textId="3B8F6ABE"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2012/13</w:t>
            </w:r>
          </w:p>
        </w:tc>
        <w:tc>
          <w:tcPr>
            <w:tcW w:w="950" w:type="dxa"/>
            <w:tcBorders>
              <w:bottom w:val="none" w:sz="0" w:space="0" w:color="auto"/>
            </w:tcBorders>
          </w:tcPr>
          <w:p w14:paraId="1150ED2A" w14:textId="60328C12"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2013/14</w:t>
            </w:r>
          </w:p>
        </w:tc>
        <w:tc>
          <w:tcPr>
            <w:tcW w:w="950" w:type="dxa"/>
            <w:tcBorders>
              <w:bottom w:val="none" w:sz="0" w:space="0" w:color="auto"/>
            </w:tcBorders>
          </w:tcPr>
          <w:p w14:paraId="5BDA3771" w14:textId="6C99EC55"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2014/15</w:t>
            </w:r>
          </w:p>
        </w:tc>
        <w:tc>
          <w:tcPr>
            <w:tcW w:w="950" w:type="dxa"/>
            <w:tcBorders>
              <w:bottom w:val="none" w:sz="0" w:space="0" w:color="auto"/>
            </w:tcBorders>
          </w:tcPr>
          <w:p w14:paraId="7C36D834" w14:textId="1A743942"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2015/16</w:t>
            </w:r>
          </w:p>
        </w:tc>
        <w:tc>
          <w:tcPr>
            <w:tcW w:w="951" w:type="dxa"/>
            <w:tcBorders>
              <w:bottom w:val="none" w:sz="0" w:space="0" w:color="auto"/>
            </w:tcBorders>
          </w:tcPr>
          <w:p w14:paraId="79B3C82E" w14:textId="28205A59" w:rsidR="00874275" w:rsidRPr="004326A5" w:rsidRDefault="00874275" w:rsidP="00443F33">
            <w:pPr>
              <w:jc w:val="right"/>
              <w:rPr>
                <w:rFonts w:ascii="Arial" w:eastAsia="Calibri" w:hAnsi="Arial" w:cs="Arial"/>
                <w:b/>
                <w:bCs/>
                <w:sz w:val="18"/>
                <w:szCs w:val="18"/>
                <w:lang w:val="en-CA"/>
              </w:rPr>
            </w:pPr>
            <w:r w:rsidRPr="004326A5">
              <w:rPr>
                <w:rFonts w:ascii="Arial" w:eastAsia="Calibri" w:hAnsi="Arial" w:cs="Arial"/>
                <w:b/>
                <w:sz w:val="18"/>
                <w:szCs w:val="18"/>
                <w:lang w:val="en-CA"/>
              </w:rPr>
              <w:t>2016/17</w:t>
            </w:r>
          </w:p>
        </w:tc>
      </w:tr>
      <w:tr w:rsidR="00874275" w:rsidRPr="004326A5" w14:paraId="3DC9AD05" w14:textId="77777777" w:rsidTr="001358C5">
        <w:trPr>
          <w:trHeight w:val="288"/>
        </w:trPr>
        <w:tc>
          <w:tcPr>
            <w:tcW w:w="3659" w:type="dxa"/>
            <w:noWrap/>
          </w:tcPr>
          <w:p w14:paraId="0E4A2963" w14:textId="77777777" w:rsidR="00874275" w:rsidRPr="004326A5" w:rsidRDefault="00874275" w:rsidP="00443F33">
            <w:pPr>
              <w:rPr>
                <w:rFonts w:ascii="Arial" w:eastAsia="Calibri" w:hAnsi="Arial" w:cs="Arial"/>
                <w:b/>
                <w:sz w:val="18"/>
                <w:szCs w:val="18"/>
                <w:lang w:val="en-CA"/>
              </w:rPr>
            </w:pPr>
            <w:r w:rsidRPr="004326A5">
              <w:rPr>
                <w:rFonts w:ascii="Arial" w:eastAsia="Calibri" w:hAnsi="Arial" w:cs="Arial"/>
                <w:b/>
                <w:sz w:val="18"/>
                <w:szCs w:val="18"/>
                <w:lang w:val="en-CA"/>
              </w:rPr>
              <w:t>Revenues</w:t>
            </w:r>
          </w:p>
        </w:tc>
        <w:tc>
          <w:tcPr>
            <w:tcW w:w="950" w:type="dxa"/>
          </w:tcPr>
          <w:p w14:paraId="536725B7" w14:textId="77777777" w:rsidR="00874275" w:rsidRPr="004326A5" w:rsidRDefault="00874275" w:rsidP="00443F33">
            <w:pPr>
              <w:jc w:val="right"/>
              <w:rPr>
                <w:rFonts w:ascii="Arial" w:eastAsia="Calibri" w:hAnsi="Arial" w:cs="Arial"/>
                <w:sz w:val="18"/>
                <w:szCs w:val="18"/>
                <w:lang w:val="en-CA"/>
              </w:rPr>
            </w:pPr>
          </w:p>
        </w:tc>
        <w:tc>
          <w:tcPr>
            <w:tcW w:w="950" w:type="dxa"/>
          </w:tcPr>
          <w:p w14:paraId="040A04BB" w14:textId="77777777" w:rsidR="00874275" w:rsidRPr="004326A5" w:rsidRDefault="00874275" w:rsidP="00443F33">
            <w:pPr>
              <w:jc w:val="right"/>
              <w:rPr>
                <w:rFonts w:ascii="Arial" w:eastAsia="Calibri" w:hAnsi="Arial" w:cs="Arial"/>
                <w:sz w:val="18"/>
                <w:szCs w:val="18"/>
                <w:lang w:val="en-CA"/>
              </w:rPr>
            </w:pPr>
          </w:p>
        </w:tc>
        <w:tc>
          <w:tcPr>
            <w:tcW w:w="950" w:type="dxa"/>
          </w:tcPr>
          <w:p w14:paraId="6E4ECD11" w14:textId="77777777" w:rsidR="00874275" w:rsidRPr="004326A5" w:rsidRDefault="00874275" w:rsidP="00443F33">
            <w:pPr>
              <w:jc w:val="right"/>
              <w:rPr>
                <w:rFonts w:ascii="Arial" w:eastAsia="Calibri" w:hAnsi="Arial" w:cs="Arial"/>
                <w:sz w:val="18"/>
                <w:szCs w:val="18"/>
                <w:lang w:val="en-CA"/>
              </w:rPr>
            </w:pPr>
          </w:p>
        </w:tc>
        <w:tc>
          <w:tcPr>
            <w:tcW w:w="950" w:type="dxa"/>
          </w:tcPr>
          <w:p w14:paraId="26F381B6" w14:textId="77777777" w:rsidR="00874275" w:rsidRPr="004326A5" w:rsidRDefault="00874275" w:rsidP="00443F33">
            <w:pPr>
              <w:jc w:val="right"/>
              <w:rPr>
                <w:rFonts w:ascii="Arial" w:eastAsia="Calibri" w:hAnsi="Arial" w:cs="Arial"/>
                <w:sz w:val="18"/>
                <w:szCs w:val="18"/>
                <w:lang w:val="en-CA"/>
              </w:rPr>
            </w:pPr>
          </w:p>
        </w:tc>
        <w:tc>
          <w:tcPr>
            <w:tcW w:w="950" w:type="dxa"/>
          </w:tcPr>
          <w:p w14:paraId="32259A0A" w14:textId="77777777" w:rsidR="00874275" w:rsidRPr="004326A5" w:rsidRDefault="00874275" w:rsidP="00443F33">
            <w:pPr>
              <w:jc w:val="right"/>
              <w:rPr>
                <w:rFonts w:ascii="Arial" w:eastAsia="Calibri" w:hAnsi="Arial" w:cs="Arial"/>
                <w:sz w:val="18"/>
                <w:szCs w:val="18"/>
                <w:lang w:val="en-CA"/>
              </w:rPr>
            </w:pPr>
          </w:p>
        </w:tc>
        <w:tc>
          <w:tcPr>
            <w:tcW w:w="951" w:type="dxa"/>
          </w:tcPr>
          <w:p w14:paraId="4E227422" w14:textId="5F1134DB" w:rsidR="00874275" w:rsidRPr="004326A5" w:rsidRDefault="00874275" w:rsidP="00443F33">
            <w:pPr>
              <w:jc w:val="right"/>
              <w:rPr>
                <w:rFonts w:ascii="Arial" w:eastAsia="Calibri" w:hAnsi="Arial" w:cs="Arial"/>
                <w:sz w:val="18"/>
                <w:szCs w:val="18"/>
                <w:lang w:val="en-CA"/>
              </w:rPr>
            </w:pPr>
          </w:p>
        </w:tc>
      </w:tr>
      <w:tr w:rsidR="00874275" w:rsidRPr="004326A5" w14:paraId="40A13050" w14:textId="77777777" w:rsidTr="001358C5">
        <w:trPr>
          <w:trHeight w:val="288"/>
        </w:trPr>
        <w:tc>
          <w:tcPr>
            <w:tcW w:w="3659" w:type="dxa"/>
            <w:noWrap/>
          </w:tcPr>
          <w:p w14:paraId="7CFF71D4" w14:textId="77777777" w:rsidR="00874275" w:rsidRPr="004326A5" w:rsidRDefault="00874275" w:rsidP="00443F33">
            <w:pPr>
              <w:ind w:left="144"/>
              <w:rPr>
                <w:rFonts w:ascii="Arial" w:eastAsia="Calibri" w:hAnsi="Arial" w:cs="Arial"/>
                <w:sz w:val="18"/>
                <w:szCs w:val="18"/>
                <w:lang w:val="en-CA"/>
              </w:rPr>
            </w:pPr>
            <w:r w:rsidRPr="004326A5">
              <w:rPr>
                <w:rFonts w:ascii="Arial" w:eastAsia="Calibri" w:hAnsi="Arial" w:cs="Arial"/>
                <w:sz w:val="18"/>
                <w:szCs w:val="18"/>
                <w:lang w:val="en-CA"/>
              </w:rPr>
              <w:t>Merchandise Sales and Services</w:t>
            </w:r>
          </w:p>
        </w:tc>
        <w:tc>
          <w:tcPr>
            <w:tcW w:w="950" w:type="dxa"/>
          </w:tcPr>
          <w:p w14:paraId="343FD5D3" w14:textId="04ED7B3A"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41,567</w:t>
            </w:r>
          </w:p>
        </w:tc>
        <w:tc>
          <w:tcPr>
            <w:tcW w:w="950" w:type="dxa"/>
          </w:tcPr>
          <w:p w14:paraId="12AA55C0" w14:textId="07FEBDCA"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39,854</w:t>
            </w:r>
          </w:p>
        </w:tc>
        <w:tc>
          <w:tcPr>
            <w:tcW w:w="950" w:type="dxa"/>
          </w:tcPr>
          <w:p w14:paraId="7B5C6500" w14:textId="0E348441"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36,188</w:t>
            </w:r>
          </w:p>
        </w:tc>
        <w:tc>
          <w:tcPr>
            <w:tcW w:w="950" w:type="dxa"/>
          </w:tcPr>
          <w:p w14:paraId="05ACCD1F" w14:textId="680C60CD"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31,198</w:t>
            </w:r>
          </w:p>
        </w:tc>
        <w:tc>
          <w:tcPr>
            <w:tcW w:w="950" w:type="dxa"/>
          </w:tcPr>
          <w:p w14:paraId="16592E70" w14:textId="77C5590A"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25,146</w:t>
            </w:r>
          </w:p>
        </w:tc>
        <w:tc>
          <w:tcPr>
            <w:tcW w:w="951" w:type="dxa"/>
          </w:tcPr>
          <w:p w14:paraId="6EBECA20" w14:textId="67933B5C"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22,138</w:t>
            </w:r>
          </w:p>
        </w:tc>
      </w:tr>
      <w:tr w:rsidR="00874275" w:rsidRPr="004326A5" w14:paraId="00A98B74" w14:textId="77777777" w:rsidTr="001358C5">
        <w:trPr>
          <w:trHeight w:val="288"/>
        </w:trPr>
        <w:tc>
          <w:tcPr>
            <w:tcW w:w="3659" w:type="dxa"/>
            <w:noWrap/>
          </w:tcPr>
          <w:p w14:paraId="02C73BAB" w14:textId="77777777" w:rsidR="00874275" w:rsidRPr="004326A5" w:rsidRDefault="00874275" w:rsidP="00443F33">
            <w:pPr>
              <w:rPr>
                <w:rFonts w:ascii="Arial" w:eastAsia="Calibri" w:hAnsi="Arial" w:cs="Arial"/>
                <w:b/>
                <w:sz w:val="18"/>
                <w:szCs w:val="18"/>
                <w:lang w:val="en-CA"/>
              </w:rPr>
            </w:pPr>
            <w:r w:rsidRPr="004326A5">
              <w:rPr>
                <w:rFonts w:ascii="Arial" w:eastAsia="Calibri" w:hAnsi="Arial" w:cs="Arial"/>
                <w:b/>
                <w:sz w:val="18"/>
                <w:szCs w:val="18"/>
                <w:lang w:val="en-CA"/>
              </w:rPr>
              <w:t>Costs and Expenses</w:t>
            </w:r>
          </w:p>
        </w:tc>
        <w:tc>
          <w:tcPr>
            <w:tcW w:w="950" w:type="dxa"/>
          </w:tcPr>
          <w:p w14:paraId="2650FE9E" w14:textId="77777777" w:rsidR="00874275" w:rsidRPr="004326A5" w:rsidRDefault="00874275" w:rsidP="00443F33">
            <w:pPr>
              <w:jc w:val="right"/>
              <w:rPr>
                <w:rFonts w:ascii="Arial" w:eastAsia="Calibri" w:hAnsi="Arial" w:cs="Arial"/>
                <w:sz w:val="18"/>
                <w:szCs w:val="18"/>
                <w:lang w:val="en-CA"/>
              </w:rPr>
            </w:pPr>
          </w:p>
        </w:tc>
        <w:tc>
          <w:tcPr>
            <w:tcW w:w="950" w:type="dxa"/>
          </w:tcPr>
          <w:p w14:paraId="7380816A" w14:textId="77777777" w:rsidR="00874275" w:rsidRPr="004326A5" w:rsidRDefault="00874275" w:rsidP="00443F33">
            <w:pPr>
              <w:jc w:val="right"/>
              <w:rPr>
                <w:rFonts w:ascii="Arial" w:eastAsia="Calibri" w:hAnsi="Arial" w:cs="Arial"/>
                <w:sz w:val="18"/>
                <w:szCs w:val="18"/>
                <w:lang w:val="en-CA"/>
              </w:rPr>
            </w:pPr>
          </w:p>
        </w:tc>
        <w:tc>
          <w:tcPr>
            <w:tcW w:w="950" w:type="dxa"/>
          </w:tcPr>
          <w:p w14:paraId="46497356" w14:textId="77777777" w:rsidR="00874275" w:rsidRPr="004326A5" w:rsidRDefault="00874275" w:rsidP="00443F33">
            <w:pPr>
              <w:jc w:val="right"/>
              <w:rPr>
                <w:rFonts w:ascii="Arial" w:eastAsia="Calibri" w:hAnsi="Arial" w:cs="Arial"/>
                <w:sz w:val="18"/>
                <w:szCs w:val="18"/>
                <w:lang w:val="en-CA"/>
              </w:rPr>
            </w:pPr>
          </w:p>
        </w:tc>
        <w:tc>
          <w:tcPr>
            <w:tcW w:w="950" w:type="dxa"/>
          </w:tcPr>
          <w:p w14:paraId="00385E11" w14:textId="77777777" w:rsidR="00874275" w:rsidRPr="004326A5" w:rsidRDefault="00874275" w:rsidP="00443F33">
            <w:pPr>
              <w:jc w:val="right"/>
              <w:rPr>
                <w:rFonts w:ascii="Arial" w:eastAsia="Calibri" w:hAnsi="Arial" w:cs="Arial"/>
                <w:sz w:val="18"/>
                <w:szCs w:val="18"/>
                <w:lang w:val="en-CA"/>
              </w:rPr>
            </w:pPr>
          </w:p>
        </w:tc>
        <w:tc>
          <w:tcPr>
            <w:tcW w:w="950" w:type="dxa"/>
          </w:tcPr>
          <w:p w14:paraId="0AA7E15F" w14:textId="77777777" w:rsidR="00874275" w:rsidRPr="004326A5" w:rsidRDefault="00874275" w:rsidP="00443F33">
            <w:pPr>
              <w:jc w:val="right"/>
              <w:rPr>
                <w:rFonts w:ascii="Arial" w:eastAsia="Calibri" w:hAnsi="Arial" w:cs="Arial"/>
                <w:sz w:val="18"/>
                <w:szCs w:val="18"/>
                <w:lang w:val="en-CA"/>
              </w:rPr>
            </w:pPr>
          </w:p>
        </w:tc>
        <w:tc>
          <w:tcPr>
            <w:tcW w:w="951" w:type="dxa"/>
          </w:tcPr>
          <w:p w14:paraId="3048B0FD" w14:textId="76573562" w:rsidR="00874275" w:rsidRPr="004326A5" w:rsidRDefault="00874275" w:rsidP="00443F33">
            <w:pPr>
              <w:jc w:val="right"/>
              <w:rPr>
                <w:rFonts w:ascii="Arial" w:eastAsia="Calibri" w:hAnsi="Arial" w:cs="Arial"/>
                <w:sz w:val="18"/>
                <w:szCs w:val="18"/>
                <w:lang w:val="en-CA"/>
              </w:rPr>
            </w:pPr>
          </w:p>
        </w:tc>
      </w:tr>
      <w:tr w:rsidR="00874275" w:rsidRPr="004326A5" w14:paraId="48A2BBFB" w14:textId="77777777" w:rsidTr="001358C5">
        <w:trPr>
          <w:trHeight w:val="288"/>
        </w:trPr>
        <w:tc>
          <w:tcPr>
            <w:tcW w:w="3659" w:type="dxa"/>
            <w:noWrap/>
          </w:tcPr>
          <w:p w14:paraId="0357918C" w14:textId="7D6B27BC" w:rsidR="00874275" w:rsidRPr="004326A5" w:rsidRDefault="00874275" w:rsidP="00443F33">
            <w:pPr>
              <w:ind w:left="144"/>
              <w:rPr>
                <w:rFonts w:ascii="Arial" w:eastAsia="Calibri" w:hAnsi="Arial" w:cs="Arial"/>
                <w:bCs/>
                <w:sz w:val="18"/>
                <w:szCs w:val="18"/>
                <w:lang w:val="en-CA"/>
              </w:rPr>
            </w:pPr>
            <w:r w:rsidRPr="004326A5">
              <w:rPr>
                <w:rFonts w:ascii="Arial" w:eastAsia="Calibri" w:hAnsi="Arial" w:cs="Arial"/>
                <w:sz w:val="18"/>
                <w:szCs w:val="18"/>
                <w:lang w:val="en-CA"/>
              </w:rPr>
              <w:t>Cost of Sales, Buying, and Occupancy</w:t>
            </w:r>
          </w:p>
        </w:tc>
        <w:tc>
          <w:tcPr>
            <w:tcW w:w="950" w:type="dxa"/>
          </w:tcPr>
          <w:p w14:paraId="457FBA79" w14:textId="259D0D41"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(30,966)</w:t>
            </w:r>
          </w:p>
        </w:tc>
        <w:tc>
          <w:tcPr>
            <w:tcW w:w="950" w:type="dxa"/>
          </w:tcPr>
          <w:p w14:paraId="098B9AF1" w14:textId="52C39BCA"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(29,340)</w:t>
            </w:r>
          </w:p>
        </w:tc>
        <w:tc>
          <w:tcPr>
            <w:tcW w:w="950" w:type="dxa"/>
          </w:tcPr>
          <w:p w14:paraId="7A3B201E" w14:textId="0FC272CE"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(27,433)</w:t>
            </w:r>
          </w:p>
        </w:tc>
        <w:tc>
          <w:tcPr>
            <w:tcW w:w="950" w:type="dxa"/>
          </w:tcPr>
          <w:p w14:paraId="1E97AA82" w14:textId="3DEA9647"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(24,049)</w:t>
            </w:r>
          </w:p>
        </w:tc>
        <w:tc>
          <w:tcPr>
            <w:tcW w:w="950" w:type="dxa"/>
          </w:tcPr>
          <w:p w14:paraId="23845F03" w14:textId="68F5BA15"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(19,336)</w:t>
            </w:r>
          </w:p>
        </w:tc>
        <w:tc>
          <w:tcPr>
            <w:tcW w:w="951" w:type="dxa"/>
          </w:tcPr>
          <w:p w14:paraId="51776860" w14:textId="657DBB39"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(17,452)</w:t>
            </w:r>
          </w:p>
        </w:tc>
      </w:tr>
      <w:tr w:rsidR="00874275" w:rsidRPr="004326A5" w14:paraId="5F08F371" w14:textId="77777777" w:rsidTr="001358C5">
        <w:trPr>
          <w:trHeight w:val="288"/>
        </w:trPr>
        <w:tc>
          <w:tcPr>
            <w:tcW w:w="3659" w:type="dxa"/>
            <w:noWrap/>
          </w:tcPr>
          <w:p w14:paraId="2612760F" w14:textId="77777777" w:rsidR="00874275" w:rsidRPr="004326A5" w:rsidRDefault="00874275" w:rsidP="00443F33">
            <w:pPr>
              <w:rPr>
                <w:rFonts w:ascii="Arial" w:eastAsia="Calibri" w:hAnsi="Arial" w:cs="Arial"/>
                <w:b/>
                <w:sz w:val="18"/>
                <w:szCs w:val="18"/>
                <w:lang w:val="en-CA"/>
              </w:rPr>
            </w:pPr>
            <w:r w:rsidRPr="004326A5">
              <w:rPr>
                <w:rFonts w:ascii="Arial" w:eastAsia="Calibri" w:hAnsi="Arial" w:cs="Arial"/>
                <w:b/>
                <w:sz w:val="18"/>
                <w:szCs w:val="18"/>
                <w:lang w:val="en-CA"/>
              </w:rPr>
              <w:t>Gross Margin</w:t>
            </w:r>
          </w:p>
        </w:tc>
        <w:tc>
          <w:tcPr>
            <w:tcW w:w="950" w:type="dxa"/>
          </w:tcPr>
          <w:p w14:paraId="304FB38B" w14:textId="15123E66"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 xml:space="preserve"> 10,601 </w:t>
            </w:r>
          </w:p>
        </w:tc>
        <w:tc>
          <w:tcPr>
            <w:tcW w:w="950" w:type="dxa"/>
          </w:tcPr>
          <w:p w14:paraId="2F06E1C3" w14:textId="353C7112"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 xml:space="preserve"> 10,514 </w:t>
            </w:r>
          </w:p>
        </w:tc>
        <w:tc>
          <w:tcPr>
            <w:tcW w:w="950" w:type="dxa"/>
          </w:tcPr>
          <w:p w14:paraId="09F2C75E" w14:textId="31BAFD5D"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 xml:space="preserve"> 8,755 </w:t>
            </w:r>
          </w:p>
        </w:tc>
        <w:tc>
          <w:tcPr>
            <w:tcW w:w="950" w:type="dxa"/>
          </w:tcPr>
          <w:p w14:paraId="12280D43" w14:textId="6B93FAA8"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 xml:space="preserve"> 7,149 </w:t>
            </w:r>
          </w:p>
        </w:tc>
        <w:tc>
          <w:tcPr>
            <w:tcW w:w="950" w:type="dxa"/>
          </w:tcPr>
          <w:p w14:paraId="63F1CB11" w14:textId="35F0B5BC"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 xml:space="preserve"> 5,810 </w:t>
            </w:r>
          </w:p>
        </w:tc>
        <w:tc>
          <w:tcPr>
            <w:tcW w:w="951" w:type="dxa"/>
          </w:tcPr>
          <w:p w14:paraId="2D47EA2D" w14:textId="283DBFBF"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 xml:space="preserve"> 4,686 </w:t>
            </w:r>
          </w:p>
        </w:tc>
      </w:tr>
      <w:tr w:rsidR="00874275" w:rsidRPr="004326A5" w14:paraId="35D8F0B7" w14:textId="77777777" w:rsidTr="001358C5">
        <w:trPr>
          <w:trHeight w:val="288"/>
        </w:trPr>
        <w:tc>
          <w:tcPr>
            <w:tcW w:w="3659" w:type="dxa"/>
            <w:noWrap/>
          </w:tcPr>
          <w:p w14:paraId="75702DEE" w14:textId="77777777" w:rsidR="00874275" w:rsidRPr="004326A5" w:rsidRDefault="00874275" w:rsidP="00443F33">
            <w:pPr>
              <w:ind w:left="144"/>
              <w:rPr>
                <w:rFonts w:ascii="Arial" w:eastAsia="Calibri" w:hAnsi="Arial" w:cs="Arial"/>
                <w:sz w:val="18"/>
                <w:szCs w:val="18"/>
                <w:lang w:val="en-CA"/>
              </w:rPr>
            </w:pPr>
            <w:r w:rsidRPr="004326A5">
              <w:rPr>
                <w:rFonts w:ascii="Arial" w:eastAsia="Calibri" w:hAnsi="Arial" w:cs="Arial"/>
                <w:sz w:val="18"/>
                <w:szCs w:val="18"/>
                <w:lang w:val="en-CA"/>
              </w:rPr>
              <w:t>Selling and Administrative Expenses</w:t>
            </w:r>
          </w:p>
        </w:tc>
        <w:tc>
          <w:tcPr>
            <w:tcW w:w="950" w:type="dxa"/>
          </w:tcPr>
          <w:p w14:paraId="48493CE6" w14:textId="77F082FA"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(10,664)</w:t>
            </w:r>
          </w:p>
        </w:tc>
        <w:tc>
          <w:tcPr>
            <w:tcW w:w="950" w:type="dxa"/>
          </w:tcPr>
          <w:p w14:paraId="14381F12" w14:textId="6ACA8D76"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(10,660)</w:t>
            </w:r>
          </w:p>
        </w:tc>
        <w:tc>
          <w:tcPr>
            <w:tcW w:w="950" w:type="dxa"/>
          </w:tcPr>
          <w:p w14:paraId="759D9482" w14:textId="6D9698EC"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(9,384)</w:t>
            </w:r>
          </w:p>
        </w:tc>
        <w:tc>
          <w:tcPr>
            <w:tcW w:w="950" w:type="dxa"/>
          </w:tcPr>
          <w:p w14:paraId="57FE07CE" w14:textId="2703E935"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(8,220)</w:t>
            </w:r>
          </w:p>
        </w:tc>
        <w:tc>
          <w:tcPr>
            <w:tcW w:w="950" w:type="dxa"/>
          </w:tcPr>
          <w:p w14:paraId="2A9A8F74" w14:textId="6E78BBAB"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(6,857)</w:t>
            </w:r>
          </w:p>
        </w:tc>
        <w:tc>
          <w:tcPr>
            <w:tcW w:w="951" w:type="dxa"/>
          </w:tcPr>
          <w:p w14:paraId="6B9EEDA2" w14:textId="4E082C5B"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(6,109)</w:t>
            </w:r>
          </w:p>
        </w:tc>
      </w:tr>
      <w:tr w:rsidR="00874275" w:rsidRPr="004326A5" w14:paraId="47A3C6DD" w14:textId="77777777" w:rsidTr="001358C5">
        <w:trPr>
          <w:trHeight w:val="288"/>
        </w:trPr>
        <w:tc>
          <w:tcPr>
            <w:tcW w:w="3659" w:type="dxa"/>
            <w:noWrap/>
          </w:tcPr>
          <w:p w14:paraId="5E975C05" w14:textId="77777777" w:rsidR="00874275" w:rsidRPr="004326A5" w:rsidRDefault="00874275" w:rsidP="00443F33">
            <w:pPr>
              <w:ind w:left="144"/>
              <w:rPr>
                <w:rFonts w:ascii="Arial" w:eastAsia="Calibri" w:hAnsi="Arial" w:cs="Arial"/>
                <w:sz w:val="18"/>
                <w:szCs w:val="18"/>
                <w:lang w:val="en-CA"/>
              </w:rPr>
            </w:pPr>
            <w:r w:rsidRPr="004326A5">
              <w:rPr>
                <w:rFonts w:ascii="Arial" w:eastAsia="Calibri" w:hAnsi="Arial" w:cs="Arial"/>
                <w:sz w:val="18"/>
                <w:szCs w:val="18"/>
                <w:lang w:val="en-CA"/>
              </w:rPr>
              <w:t>Depreciation and Amortization</w:t>
            </w:r>
          </w:p>
        </w:tc>
        <w:tc>
          <w:tcPr>
            <w:tcW w:w="950" w:type="dxa"/>
          </w:tcPr>
          <w:p w14:paraId="16E80B55" w14:textId="60DDAC4D"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(853)</w:t>
            </w:r>
          </w:p>
        </w:tc>
        <w:tc>
          <w:tcPr>
            <w:tcW w:w="950" w:type="dxa"/>
          </w:tcPr>
          <w:p w14:paraId="2BD34C90" w14:textId="77A1E478"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(830)</w:t>
            </w:r>
          </w:p>
        </w:tc>
        <w:tc>
          <w:tcPr>
            <w:tcW w:w="950" w:type="dxa"/>
          </w:tcPr>
          <w:p w14:paraId="5F43BD82" w14:textId="45758228"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(732)</w:t>
            </w:r>
          </w:p>
        </w:tc>
        <w:tc>
          <w:tcPr>
            <w:tcW w:w="950" w:type="dxa"/>
          </w:tcPr>
          <w:p w14:paraId="52CBCBF3" w14:textId="5C165890"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(581)</w:t>
            </w:r>
          </w:p>
        </w:tc>
        <w:tc>
          <w:tcPr>
            <w:tcW w:w="950" w:type="dxa"/>
          </w:tcPr>
          <w:p w14:paraId="2EC3C88D" w14:textId="28C48F2D"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(422)</w:t>
            </w:r>
          </w:p>
        </w:tc>
        <w:tc>
          <w:tcPr>
            <w:tcW w:w="951" w:type="dxa"/>
          </w:tcPr>
          <w:p w14:paraId="6FB206DA" w14:textId="067E1A4E"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(375)</w:t>
            </w:r>
          </w:p>
        </w:tc>
      </w:tr>
      <w:tr w:rsidR="00874275" w:rsidRPr="004326A5" w14:paraId="7B3F3A90" w14:textId="77777777" w:rsidTr="001358C5">
        <w:trPr>
          <w:trHeight w:val="288"/>
        </w:trPr>
        <w:tc>
          <w:tcPr>
            <w:tcW w:w="3659" w:type="dxa"/>
            <w:noWrap/>
          </w:tcPr>
          <w:p w14:paraId="7110DC45" w14:textId="77777777" w:rsidR="00874275" w:rsidRPr="004326A5" w:rsidRDefault="00874275" w:rsidP="00443F33">
            <w:pPr>
              <w:ind w:left="144"/>
              <w:rPr>
                <w:rFonts w:ascii="Arial" w:eastAsia="Calibri" w:hAnsi="Arial" w:cs="Arial"/>
                <w:sz w:val="18"/>
                <w:szCs w:val="18"/>
                <w:lang w:val="en-CA"/>
              </w:rPr>
            </w:pPr>
            <w:r w:rsidRPr="004326A5">
              <w:rPr>
                <w:rFonts w:ascii="Arial" w:eastAsia="Calibri" w:hAnsi="Arial" w:cs="Arial"/>
                <w:sz w:val="18"/>
                <w:szCs w:val="18"/>
                <w:lang w:val="en-CA"/>
              </w:rPr>
              <w:t>Impairment Charges</w:t>
            </w:r>
          </w:p>
        </w:tc>
        <w:tc>
          <w:tcPr>
            <w:tcW w:w="950" w:type="dxa"/>
          </w:tcPr>
          <w:p w14:paraId="3EABE0AD" w14:textId="3327ED00"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(649)</w:t>
            </w:r>
          </w:p>
        </w:tc>
        <w:tc>
          <w:tcPr>
            <w:tcW w:w="950" w:type="dxa"/>
          </w:tcPr>
          <w:p w14:paraId="2BBDD071" w14:textId="18C6D27F"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(330)</w:t>
            </w:r>
          </w:p>
        </w:tc>
        <w:tc>
          <w:tcPr>
            <w:tcW w:w="950" w:type="dxa"/>
          </w:tcPr>
          <w:p w14:paraId="15A8B264" w14:textId="480F0C13"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(233)</w:t>
            </w:r>
          </w:p>
        </w:tc>
        <w:tc>
          <w:tcPr>
            <w:tcW w:w="950" w:type="dxa"/>
          </w:tcPr>
          <w:p w14:paraId="3829E4FC" w14:textId="605082FF"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(63)</w:t>
            </w:r>
          </w:p>
        </w:tc>
        <w:tc>
          <w:tcPr>
            <w:tcW w:w="950" w:type="dxa"/>
          </w:tcPr>
          <w:p w14:paraId="79F2C689" w14:textId="17B57529"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(274)</w:t>
            </w:r>
          </w:p>
        </w:tc>
        <w:tc>
          <w:tcPr>
            <w:tcW w:w="951" w:type="dxa"/>
          </w:tcPr>
          <w:p w14:paraId="2EDF2C44" w14:textId="27F19520"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(427)</w:t>
            </w:r>
          </w:p>
        </w:tc>
      </w:tr>
      <w:tr w:rsidR="00874275" w:rsidRPr="004326A5" w14:paraId="0D299D77" w14:textId="77777777" w:rsidTr="001358C5">
        <w:trPr>
          <w:trHeight w:val="288"/>
        </w:trPr>
        <w:tc>
          <w:tcPr>
            <w:tcW w:w="3659" w:type="dxa"/>
            <w:noWrap/>
          </w:tcPr>
          <w:p w14:paraId="43B69DAC" w14:textId="40CF1A99" w:rsidR="00874275" w:rsidRPr="004326A5" w:rsidRDefault="00874275" w:rsidP="00443F33">
            <w:pPr>
              <w:ind w:left="144"/>
              <w:rPr>
                <w:rFonts w:ascii="Arial" w:eastAsia="Calibri" w:hAnsi="Arial" w:cs="Arial"/>
                <w:sz w:val="18"/>
                <w:szCs w:val="18"/>
                <w:lang w:val="en-CA"/>
              </w:rPr>
            </w:pPr>
            <w:r w:rsidRPr="004326A5">
              <w:rPr>
                <w:rFonts w:ascii="Arial" w:eastAsia="Calibri" w:hAnsi="Arial" w:cs="Arial"/>
                <w:sz w:val="18"/>
                <w:szCs w:val="18"/>
                <w:lang w:val="en-CA"/>
              </w:rPr>
              <w:t>Gain on Sales of Assets</w:t>
            </w:r>
          </w:p>
        </w:tc>
        <w:tc>
          <w:tcPr>
            <w:tcW w:w="950" w:type="dxa"/>
          </w:tcPr>
          <w:p w14:paraId="70591D9C" w14:textId="1DBBE97A"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64 </w:t>
            </w:r>
          </w:p>
        </w:tc>
        <w:tc>
          <w:tcPr>
            <w:tcW w:w="950" w:type="dxa"/>
          </w:tcPr>
          <w:p w14:paraId="07C53CFC" w14:textId="1E861234"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468 </w:t>
            </w:r>
          </w:p>
        </w:tc>
        <w:tc>
          <w:tcPr>
            <w:tcW w:w="950" w:type="dxa"/>
          </w:tcPr>
          <w:p w14:paraId="6DDDC54E" w14:textId="044F230D"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667 </w:t>
            </w:r>
          </w:p>
        </w:tc>
        <w:tc>
          <w:tcPr>
            <w:tcW w:w="950" w:type="dxa"/>
          </w:tcPr>
          <w:p w14:paraId="211EBEFC" w14:textId="0BBE660E"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207 </w:t>
            </w:r>
          </w:p>
        </w:tc>
        <w:tc>
          <w:tcPr>
            <w:tcW w:w="950" w:type="dxa"/>
          </w:tcPr>
          <w:p w14:paraId="2607A546" w14:textId="275C6822"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743 </w:t>
            </w:r>
          </w:p>
        </w:tc>
        <w:tc>
          <w:tcPr>
            <w:tcW w:w="951" w:type="dxa"/>
          </w:tcPr>
          <w:p w14:paraId="4FCBB6F6" w14:textId="71B774C5"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247 </w:t>
            </w:r>
          </w:p>
        </w:tc>
      </w:tr>
      <w:tr w:rsidR="00874275" w:rsidRPr="004326A5" w14:paraId="120E776A" w14:textId="77777777" w:rsidTr="001358C5">
        <w:trPr>
          <w:trHeight w:val="288"/>
        </w:trPr>
        <w:tc>
          <w:tcPr>
            <w:tcW w:w="3659" w:type="dxa"/>
            <w:noWrap/>
          </w:tcPr>
          <w:p w14:paraId="108A9E4C" w14:textId="77777777" w:rsidR="00874275" w:rsidRPr="004326A5" w:rsidRDefault="00874275" w:rsidP="003C2993">
            <w:pPr>
              <w:rPr>
                <w:rFonts w:ascii="Arial" w:eastAsia="Calibri" w:hAnsi="Arial" w:cs="Arial"/>
                <w:b/>
                <w:sz w:val="18"/>
                <w:szCs w:val="18"/>
                <w:lang w:val="en-CA"/>
              </w:rPr>
            </w:pPr>
            <w:r w:rsidRPr="004326A5">
              <w:rPr>
                <w:rFonts w:ascii="Arial" w:eastAsia="Calibri" w:hAnsi="Arial" w:cs="Arial"/>
                <w:b/>
                <w:sz w:val="18"/>
                <w:szCs w:val="18"/>
                <w:lang w:val="en-CA"/>
              </w:rPr>
              <w:t>Total Costs and Expenses</w:t>
            </w:r>
          </w:p>
        </w:tc>
        <w:tc>
          <w:tcPr>
            <w:tcW w:w="950" w:type="dxa"/>
          </w:tcPr>
          <w:p w14:paraId="0081CE13" w14:textId="4CF8A3F1"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(43,068)</w:t>
            </w:r>
          </w:p>
        </w:tc>
        <w:tc>
          <w:tcPr>
            <w:tcW w:w="950" w:type="dxa"/>
          </w:tcPr>
          <w:p w14:paraId="72F90896" w14:textId="187513FC"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(40,692)</w:t>
            </w:r>
          </w:p>
        </w:tc>
        <w:tc>
          <w:tcPr>
            <w:tcW w:w="950" w:type="dxa"/>
          </w:tcPr>
          <w:p w14:paraId="116BEF44" w14:textId="6B005DA5"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(37,115)</w:t>
            </w:r>
          </w:p>
        </w:tc>
        <w:tc>
          <w:tcPr>
            <w:tcW w:w="950" w:type="dxa"/>
          </w:tcPr>
          <w:p w14:paraId="72CEBA4F" w14:textId="225DCC67"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(32,706)</w:t>
            </w:r>
          </w:p>
        </w:tc>
        <w:tc>
          <w:tcPr>
            <w:tcW w:w="950" w:type="dxa"/>
          </w:tcPr>
          <w:p w14:paraId="04AC57FC" w14:textId="1F13A9B5"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(26,146)</w:t>
            </w:r>
          </w:p>
        </w:tc>
        <w:tc>
          <w:tcPr>
            <w:tcW w:w="951" w:type="dxa"/>
          </w:tcPr>
          <w:p w14:paraId="30E788B3" w14:textId="0E5C4413"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(24,116)</w:t>
            </w:r>
          </w:p>
        </w:tc>
      </w:tr>
      <w:tr w:rsidR="00874275" w:rsidRPr="004326A5" w14:paraId="39F2A300" w14:textId="77777777" w:rsidTr="001358C5">
        <w:trPr>
          <w:trHeight w:val="288"/>
        </w:trPr>
        <w:tc>
          <w:tcPr>
            <w:tcW w:w="3659" w:type="dxa"/>
            <w:noWrap/>
          </w:tcPr>
          <w:p w14:paraId="5007CD29" w14:textId="77777777" w:rsidR="00874275" w:rsidRPr="004326A5" w:rsidRDefault="00874275" w:rsidP="00443F33">
            <w:pPr>
              <w:rPr>
                <w:rFonts w:ascii="Arial" w:eastAsia="Calibri" w:hAnsi="Arial" w:cs="Arial"/>
                <w:b/>
                <w:sz w:val="18"/>
                <w:szCs w:val="18"/>
                <w:lang w:val="en-CA"/>
              </w:rPr>
            </w:pPr>
            <w:r w:rsidRPr="004326A5">
              <w:rPr>
                <w:rFonts w:ascii="Arial" w:eastAsia="Calibri" w:hAnsi="Arial" w:cs="Arial"/>
                <w:b/>
                <w:sz w:val="18"/>
                <w:szCs w:val="18"/>
                <w:lang w:val="en-CA"/>
              </w:rPr>
              <w:t>Operating Loss</w:t>
            </w:r>
          </w:p>
        </w:tc>
        <w:tc>
          <w:tcPr>
            <w:tcW w:w="950" w:type="dxa"/>
          </w:tcPr>
          <w:p w14:paraId="2C2DCD8B" w14:textId="79B63E59"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 xml:space="preserve"> (1,501)</w:t>
            </w:r>
          </w:p>
        </w:tc>
        <w:tc>
          <w:tcPr>
            <w:tcW w:w="950" w:type="dxa"/>
          </w:tcPr>
          <w:p w14:paraId="4FEFE284" w14:textId="5E8C5BC6"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 xml:space="preserve"> (838)</w:t>
            </w:r>
          </w:p>
        </w:tc>
        <w:tc>
          <w:tcPr>
            <w:tcW w:w="950" w:type="dxa"/>
          </w:tcPr>
          <w:p w14:paraId="073D2813" w14:textId="08157E6D"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 xml:space="preserve"> (927)</w:t>
            </w:r>
          </w:p>
        </w:tc>
        <w:tc>
          <w:tcPr>
            <w:tcW w:w="950" w:type="dxa"/>
          </w:tcPr>
          <w:p w14:paraId="2C78B938" w14:textId="0377506E"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 xml:space="preserve"> (1,508)</w:t>
            </w:r>
          </w:p>
        </w:tc>
        <w:tc>
          <w:tcPr>
            <w:tcW w:w="950" w:type="dxa"/>
          </w:tcPr>
          <w:p w14:paraId="4A9E0198" w14:textId="506257EC"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 xml:space="preserve"> (1,000)</w:t>
            </w:r>
          </w:p>
        </w:tc>
        <w:tc>
          <w:tcPr>
            <w:tcW w:w="951" w:type="dxa"/>
          </w:tcPr>
          <w:p w14:paraId="56568BD0" w14:textId="62B8122C"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 xml:space="preserve"> (1,978)</w:t>
            </w:r>
          </w:p>
        </w:tc>
      </w:tr>
      <w:tr w:rsidR="00874275" w:rsidRPr="004326A5" w14:paraId="3C403ECF" w14:textId="77777777" w:rsidTr="001358C5">
        <w:trPr>
          <w:trHeight w:val="288"/>
        </w:trPr>
        <w:tc>
          <w:tcPr>
            <w:tcW w:w="3659" w:type="dxa"/>
            <w:noWrap/>
          </w:tcPr>
          <w:p w14:paraId="2C640B39" w14:textId="77777777" w:rsidR="00874275" w:rsidRPr="004326A5" w:rsidRDefault="00874275" w:rsidP="00443F33">
            <w:pPr>
              <w:ind w:left="144"/>
              <w:rPr>
                <w:rFonts w:ascii="Arial" w:eastAsia="Calibri" w:hAnsi="Arial" w:cs="Arial"/>
                <w:sz w:val="18"/>
                <w:szCs w:val="18"/>
                <w:lang w:val="en-CA"/>
              </w:rPr>
            </w:pPr>
            <w:r w:rsidRPr="004326A5">
              <w:rPr>
                <w:rFonts w:ascii="Arial" w:eastAsia="Calibri" w:hAnsi="Arial" w:cs="Arial"/>
                <w:sz w:val="18"/>
                <w:szCs w:val="18"/>
                <w:lang w:val="en-CA"/>
              </w:rPr>
              <w:t>Interest Expense</w:t>
            </w:r>
          </w:p>
        </w:tc>
        <w:tc>
          <w:tcPr>
            <w:tcW w:w="950" w:type="dxa"/>
          </w:tcPr>
          <w:p w14:paraId="64AC0733" w14:textId="5F82C874"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(289)</w:t>
            </w:r>
          </w:p>
        </w:tc>
        <w:tc>
          <w:tcPr>
            <w:tcW w:w="950" w:type="dxa"/>
          </w:tcPr>
          <w:p w14:paraId="4AA23AF5" w14:textId="49A9A1BB"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(267)</w:t>
            </w:r>
          </w:p>
        </w:tc>
        <w:tc>
          <w:tcPr>
            <w:tcW w:w="950" w:type="dxa"/>
          </w:tcPr>
          <w:p w14:paraId="6D910DD6" w14:textId="3B9FDC43"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(254)</w:t>
            </w:r>
          </w:p>
        </w:tc>
        <w:tc>
          <w:tcPr>
            <w:tcW w:w="950" w:type="dxa"/>
          </w:tcPr>
          <w:p w14:paraId="28444771" w14:textId="13554A9B"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(313)</w:t>
            </w:r>
          </w:p>
        </w:tc>
        <w:tc>
          <w:tcPr>
            <w:tcW w:w="950" w:type="dxa"/>
          </w:tcPr>
          <w:p w14:paraId="3B64E620" w14:textId="67D3EA66"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(323)</w:t>
            </w:r>
          </w:p>
        </w:tc>
        <w:tc>
          <w:tcPr>
            <w:tcW w:w="951" w:type="dxa"/>
          </w:tcPr>
          <w:p w14:paraId="150F437B" w14:textId="2AAFF55E"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(404)</w:t>
            </w:r>
          </w:p>
        </w:tc>
      </w:tr>
      <w:tr w:rsidR="00874275" w:rsidRPr="004326A5" w14:paraId="79F628D5" w14:textId="77777777" w:rsidTr="001358C5">
        <w:trPr>
          <w:trHeight w:val="288"/>
        </w:trPr>
        <w:tc>
          <w:tcPr>
            <w:tcW w:w="3659" w:type="dxa"/>
            <w:noWrap/>
          </w:tcPr>
          <w:p w14:paraId="07B670CE" w14:textId="77777777" w:rsidR="00874275" w:rsidRPr="004326A5" w:rsidRDefault="00874275" w:rsidP="00443F33">
            <w:pPr>
              <w:ind w:left="144"/>
              <w:rPr>
                <w:rFonts w:ascii="Arial" w:eastAsia="Calibri" w:hAnsi="Arial" w:cs="Arial"/>
                <w:sz w:val="18"/>
                <w:szCs w:val="18"/>
                <w:lang w:val="en-CA"/>
              </w:rPr>
            </w:pPr>
            <w:r w:rsidRPr="004326A5">
              <w:rPr>
                <w:rFonts w:ascii="Arial" w:eastAsia="Calibri" w:hAnsi="Arial" w:cs="Arial"/>
                <w:sz w:val="18"/>
                <w:szCs w:val="18"/>
                <w:lang w:val="en-CA"/>
              </w:rPr>
              <w:t>Interest and Investment Income</w:t>
            </w:r>
          </w:p>
        </w:tc>
        <w:tc>
          <w:tcPr>
            <w:tcW w:w="950" w:type="dxa"/>
          </w:tcPr>
          <w:p w14:paraId="43DE9167" w14:textId="3750E82D"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41 </w:t>
            </w:r>
          </w:p>
        </w:tc>
        <w:tc>
          <w:tcPr>
            <w:tcW w:w="950" w:type="dxa"/>
          </w:tcPr>
          <w:p w14:paraId="7E8BC9EF" w14:textId="0BAE64DE"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94 </w:t>
            </w:r>
          </w:p>
        </w:tc>
        <w:tc>
          <w:tcPr>
            <w:tcW w:w="950" w:type="dxa"/>
          </w:tcPr>
          <w:p w14:paraId="7A78C455" w14:textId="7ED1C6CF"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207 </w:t>
            </w:r>
          </w:p>
        </w:tc>
        <w:tc>
          <w:tcPr>
            <w:tcW w:w="950" w:type="dxa"/>
          </w:tcPr>
          <w:p w14:paraId="5DA0BB8E" w14:textId="4A1BCA17"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132 </w:t>
            </w:r>
          </w:p>
        </w:tc>
        <w:tc>
          <w:tcPr>
            <w:tcW w:w="950" w:type="dxa"/>
          </w:tcPr>
          <w:p w14:paraId="45E1925F" w14:textId="47D439F3"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(62)</w:t>
            </w:r>
          </w:p>
        </w:tc>
        <w:tc>
          <w:tcPr>
            <w:tcW w:w="951" w:type="dxa"/>
          </w:tcPr>
          <w:p w14:paraId="7D124DFF" w14:textId="28DD1E56"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(26)</w:t>
            </w:r>
          </w:p>
        </w:tc>
      </w:tr>
      <w:tr w:rsidR="00874275" w:rsidRPr="004326A5" w14:paraId="26204EC6" w14:textId="77777777" w:rsidTr="001358C5">
        <w:trPr>
          <w:trHeight w:val="288"/>
        </w:trPr>
        <w:tc>
          <w:tcPr>
            <w:tcW w:w="3659" w:type="dxa"/>
            <w:noWrap/>
          </w:tcPr>
          <w:p w14:paraId="73897D8B" w14:textId="77777777" w:rsidR="00874275" w:rsidRPr="004326A5" w:rsidRDefault="00874275" w:rsidP="00443F33">
            <w:pPr>
              <w:ind w:left="144"/>
              <w:rPr>
                <w:rFonts w:ascii="Arial" w:eastAsia="Calibri" w:hAnsi="Arial" w:cs="Arial"/>
                <w:sz w:val="18"/>
                <w:szCs w:val="18"/>
                <w:lang w:val="en-CA"/>
              </w:rPr>
            </w:pPr>
            <w:r w:rsidRPr="004326A5">
              <w:rPr>
                <w:rFonts w:ascii="Arial" w:eastAsia="Calibri" w:hAnsi="Arial" w:cs="Arial"/>
                <w:sz w:val="18"/>
                <w:szCs w:val="18"/>
                <w:lang w:val="en-CA"/>
              </w:rPr>
              <w:t>Other Income (Loss)</w:t>
            </w:r>
          </w:p>
        </w:tc>
        <w:tc>
          <w:tcPr>
            <w:tcW w:w="950" w:type="dxa"/>
          </w:tcPr>
          <w:p w14:paraId="723C456B" w14:textId="35E7DE9D"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(2)</w:t>
            </w:r>
          </w:p>
        </w:tc>
        <w:tc>
          <w:tcPr>
            <w:tcW w:w="950" w:type="dxa"/>
          </w:tcPr>
          <w:p w14:paraId="42572C75" w14:textId="3C605BA3"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1 </w:t>
            </w:r>
          </w:p>
        </w:tc>
        <w:tc>
          <w:tcPr>
            <w:tcW w:w="950" w:type="dxa"/>
          </w:tcPr>
          <w:p w14:paraId="5142D84B" w14:textId="50C4F68C"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2 </w:t>
            </w:r>
          </w:p>
        </w:tc>
        <w:tc>
          <w:tcPr>
            <w:tcW w:w="950" w:type="dxa"/>
          </w:tcPr>
          <w:p w14:paraId="397CF957" w14:textId="2724AD86"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4 </w:t>
            </w:r>
          </w:p>
        </w:tc>
        <w:tc>
          <w:tcPr>
            <w:tcW w:w="950" w:type="dxa"/>
          </w:tcPr>
          <w:p w14:paraId="4FB8DBBE" w14:textId="643C3CF1"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 </w:t>
            </w:r>
          </w:p>
        </w:tc>
        <w:tc>
          <w:tcPr>
            <w:tcW w:w="951" w:type="dxa"/>
          </w:tcPr>
          <w:p w14:paraId="7CA23B99" w14:textId="79B92B23"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13 </w:t>
            </w:r>
          </w:p>
        </w:tc>
      </w:tr>
      <w:tr w:rsidR="00874275" w:rsidRPr="004326A5" w14:paraId="45747653" w14:textId="77777777" w:rsidTr="001358C5">
        <w:trPr>
          <w:trHeight w:val="288"/>
        </w:trPr>
        <w:tc>
          <w:tcPr>
            <w:tcW w:w="3659" w:type="dxa"/>
            <w:noWrap/>
          </w:tcPr>
          <w:p w14:paraId="407ABAE0" w14:textId="360306A8" w:rsidR="00874275" w:rsidRPr="004326A5" w:rsidRDefault="00874275" w:rsidP="00443F33">
            <w:pPr>
              <w:rPr>
                <w:rFonts w:ascii="Arial" w:eastAsia="Calibri" w:hAnsi="Arial" w:cs="Arial"/>
                <w:b/>
                <w:sz w:val="18"/>
                <w:szCs w:val="18"/>
                <w:lang w:val="en-CA"/>
              </w:rPr>
            </w:pPr>
            <w:r w:rsidRPr="004326A5">
              <w:rPr>
                <w:rFonts w:ascii="Arial" w:eastAsia="Calibri" w:hAnsi="Arial" w:cs="Arial"/>
                <w:b/>
                <w:sz w:val="18"/>
                <w:szCs w:val="18"/>
                <w:lang w:val="en-CA"/>
              </w:rPr>
              <w:t xml:space="preserve">Loss from </w:t>
            </w:r>
            <w:r w:rsidR="009D05BF" w:rsidRPr="004326A5">
              <w:rPr>
                <w:rFonts w:ascii="Arial" w:eastAsia="Calibri" w:hAnsi="Arial" w:cs="Arial"/>
                <w:b/>
                <w:sz w:val="18"/>
                <w:szCs w:val="18"/>
                <w:lang w:val="en-CA"/>
              </w:rPr>
              <w:t>C</w:t>
            </w:r>
            <w:r w:rsidRPr="004326A5">
              <w:rPr>
                <w:rFonts w:ascii="Arial" w:eastAsia="Calibri" w:hAnsi="Arial" w:cs="Arial"/>
                <w:b/>
                <w:sz w:val="18"/>
                <w:szCs w:val="18"/>
                <w:lang w:val="en-CA"/>
              </w:rPr>
              <w:t xml:space="preserve">ontinuing </w:t>
            </w:r>
            <w:r w:rsidR="009D05BF" w:rsidRPr="004326A5">
              <w:rPr>
                <w:rFonts w:ascii="Arial" w:eastAsia="Calibri" w:hAnsi="Arial" w:cs="Arial"/>
                <w:b/>
                <w:sz w:val="18"/>
                <w:szCs w:val="18"/>
                <w:lang w:val="en-CA"/>
              </w:rPr>
              <w:t>O</w:t>
            </w:r>
            <w:r w:rsidRPr="004326A5">
              <w:rPr>
                <w:rFonts w:ascii="Arial" w:eastAsia="Calibri" w:hAnsi="Arial" w:cs="Arial"/>
                <w:b/>
                <w:sz w:val="18"/>
                <w:szCs w:val="18"/>
                <w:lang w:val="en-CA"/>
              </w:rPr>
              <w:t xml:space="preserve">perations before </w:t>
            </w:r>
            <w:r w:rsidR="009D05BF" w:rsidRPr="004326A5">
              <w:rPr>
                <w:rFonts w:ascii="Arial" w:eastAsia="Calibri" w:hAnsi="Arial" w:cs="Arial"/>
                <w:b/>
                <w:sz w:val="18"/>
                <w:szCs w:val="18"/>
                <w:lang w:val="en-CA"/>
              </w:rPr>
              <w:t>I</w:t>
            </w:r>
            <w:r w:rsidRPr="004326A5">
              <w:rPr>
                <w:rFonts w:ascii="Arial" w:eastAsia="Calibri" w:hAnsi="Arial" w:cs="Arial"/>
                <w:b/>
                <w:sz w:val="18"/>
                <w:szCs w:val="18"/>
                <w:lang w:val="en-CA"/>
              </w:rPr>
              <w:t xml:space="preserve">ncome </w:t>
            </w:r>
            <w:r w:rsidR="009D05BF" w:rsidRPr="004326A5">
              <w:rPr>
                <w:rFonts w:ascii="Arial" w:eastAsia="Calibri" w:hAnsi="Arial" w:cs="Arial"/>
                <w:b/>
                <w:sz w:val="18"/>
                <w:szCs w:val="18"/>
                <w:lang w:val="en-CA"/>
              </w:rPr>
              <w:t>T</w:t>
            </w:r>
            <w:r w:rsidRPr="004326A5">
              <w:rPr>
                <w:rFonts w:ascii="Arial" w:eastAsia="Calibri" w:hAnsi="Arial" w:cs="Arial"/>
                <w:b/>
                <w:sz w:val="18"/>
                <w:szCs w:val="18"/>
                <w:lang w:val="en-CA"/>
              </w:rPr>
              <w:t>axes</w:t>
            </w:r>
          </w:p>
        </w:tc>
        <w:tc>
          <w:tcPr>
            <w:tcW w:w="950" w:type="dxa"/>
          </w:tcPr>
          <w:p w14:paraId="70321144" w14:textId="1B5405D4"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 xml:space="preserve"> (1,751)</w:t>
            </w:r>
          </w:p>
        </w:tc>
        <w:tc>
          <w:tcPr>
            <w:tcW w:w="950" w:type="dxa"/>
          </w:tcPr>
          <w:p w14:paraId="3E693E75" w14:textId="57A83E86"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 xml:space="preserve"> (1,010)</w:t>
            </w:r>
          </w:p>
        </w:tc>
        <w:tc>
          <w:tcPr>
            <w:tcW w:w="950" w:type="dxa"/>
          </w:tcPr>
          <w:p w14:paraId="538783AD" w14:textId="2F3342BC"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 xml:space="preserve"> (972)</w:t>
            </w:r>
          </w:p>
        </w:tc>
        <w:tc>
          <w:tcPr>
            <w:tcW w:w="950" w:type="dxa"/>
          </w:tcPr>
          <w:p w14:paraId="77827239" w14:textId="4521A700"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 xml:space="preserve"> (1,685)</w:t>
            </w:r>
          </w:p>
        </w:tc>
        <w:tc>
          <w:tcPr>
            <w:tcW w:w="950" w:type="dxa"/>
          </w:tcPr>
          <w:p w14:paraId="15320A4D" w14:textId="65C7D0F3"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 xml:space="preserve"> (1,385)</w:t>
            </w:r>
          </w:p>
        </w:tc>
        <w:tc>
          <w:tcPr>
            <w:tcW w:w="951" w:type="dxa"/>
          </w:tcPr>
          <w:p w14:paraId="3F5FFF03" w14:textId="01D2F5F3"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 xml:space="preserve"> (2,395)</w:t>
            </w:r>
          </w:p>
        </w:tc>
      </w:tr>
      <w:tr w:rsidR="00874275" w:rsidRPr="004326A5" w14:paraId="5BD35A30" w14:textId="77777777" w:rsidTr="001358C5">
        <w:trPr>
          <w:trHeight w:val="288"/>
        </w:trPr>
        <w:tc>
          <w:tcPr>
            <w:tcW w:w="3659" w:type="dxa"/>
            <w:noWrap/>
          </w:tcPr>
          <w:p w14:paraId="1FEC2213" w14:textId="77777777" w:rsidR="00874275" w:rsidRPr="004326A5" w:rsidRDefault="00874275" w:rsidP="00443F33">
            <w:pPr>
              <w:ind w:left="144"/>
              <w:rPr>
                <w:rFonts w:ascii="Arial" w:eastAsia="Calibri" w:hAnsi="Arial" w:cs="Arial"/>
                <w:sz w:val="18"/>
                <w:szCs w:val="18"/>
                <w:lang w:val="en-CA"/>
              </w:rPr>
            </w:pPr>
            <w:r w:rsidRPr="004326A5">
              <w:rPr>
                <w:rFonts w:ascii="Arial" w:eastAsia="Calibri" w:hAnsi="Arial" w:cs="Arial"/>
                <w:sz w:val="18"/>
                <w:szCs w:val="18"/>
                <w:lang w:val="en-CA"/>
              </w:rPr>
              <w:t>Income Tax Expense</w:t>
            </w:r>
          </w:p>
        </w:tc>
        <w:tc>
          <w:tcPr>
            <w:tcW w:w="950" w:type="dxa"/>
          </w:tcPr>
          <w:p w14:paraId="1EF791DC" w14:textId="017052DD"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(1,369)</w:t>
            </w:r>
          </w:p>
        </w:tc>
        <w:tc>
          <w:tcPr>
            <w:tcW w:w="950" w:type="dxa"/>
          </w:tcPr>
          <w:p w14:paraId="6F2B11B6" w14:textId="6C73915D"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(44)</w:t>
            </w:r>
          </w:p>
        </w:tc>
        <w:tc>
          <w:tcPr>
            <w:tcW w:w="950" w:type="dxa"/>
          </w:tcPr>
          <w:p w14:paraId="1679293A" w14:textId="5C93F306"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(144)</w:t>
            </w:r>
          </w:p>
        </w:tc>
        <w:tc>
          <w:tcPr>
            <w:tcW w:w="950" w:type="dxa"/>
          </w:tcPr>
          <w:p w14:paraId="556DA7E4" w14:textId="3710831E"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(125)</w:t>
            </w:r>
          </w:p>
        </w:tc>
        <w:tc>
          <w:tcPr>
            <w:tcW w:w="950" w:type="dxa"/>
          </w:tcPr>
          <w:p w14:paraId="18CB5A43" w14:textId="3DA7E50D"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257 </w:t>
            </w:r>
          </w:p>
        </w:tc>
        <w:tc>
          <w:tcPr>
            <w:tcW w:w="951" w:type="dxa"/>
          </w:tcPr>
          <w:p w14:paraId="40E3F72A" w14:textId="3BC1E718"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174 </w:t>
            </w:r>
          </w:p>
        </w:tc>
      </w:tr>
      <w:tr w:rsidR="00874275" w:rsidRPr="004326A5" w14:paraId="56955989" w14:textId="77777777" w:rsidTr="001358C5">
        <w:trPr>
          <w:trHeight w:val="288"/>
        </w:trPr>
        <w:tc>
          <w:tcPr>
            <w:tcW w:w="3659" w:type="dxa"/>
            <w:noWrap/>
          </w:tcPr>
          <w:p w14:paraId="5637BB07" w14:textId="39686F6D" w:rsidR="00874275" w:rsidRPr="004326A5" w:rsidRDefault="00874275" w:rsidP="00443F33">
            <w:pPr>
              <w:rPr>
                <w:rFonts w:ascii="Arial" w:eastAsia="Calibri" w:hAnsi="Arial" w:cs="Arial"/>
                <w:b/>
                <w:sz w:val="18"/>
                <w:szCs w:val="18"/>
                <w:lang w:val="en-CA"/>
              </w:rPr>
            </w:pPr>
            <w:r w:rsidRPr="004326A5">
              <w:rPr>
                <w:rFonts w:ascii="Arial" w:eastAsia="Calibri" w:hAnsi="Arial" w:cs="Arial"/>
                <w:b/>
                <w:sz w:val="18"/>
                <w:szCs w:val="18"/>
                <w:lang w:val="en-CA"/>
              </w:rPr>
              <w:t xml:space="preserve">Loss from </w:t>
            </w:r>
            <w:r w:rsidR="009D05BF" w:rsidRPr="004326A5">
              <w:rPr>
                <w:rFonts w:ascii="Arial" w:eastAsia="Calibri" w:hAnsi="Arial" w:cs="Arial"/>
                <w:b/>
                <w:sz w:val="18"/>
                <w:szCs w:val="18"/>
                <w:lang w:val="en-CA"/>
              </w:rPr>
              <w:t>C</w:t>
            </w:r>
            <w:r w:rsidRPr="004326A5">
              <w:rPr>
                <w:rFonts w:ascii="Arial" w:eastAsia="Calibri" w:hAnsi="Arial" w:cs="Arial"/>
                <w:b/>
                <w:sz w:val="18"/>
                <w:szCs w:val="18"/>
                <w:lang w:val="en-CA"/>
              </w:rPr>
              <w:t xml:space="preserve">ontinuing </w:t>
            </w:r>
            <w:r w:rsidR="009D05BF" w:rsidRPr="004326A5">
              <w:rPr>
                <w:rFonts w:ascii="Arial" w:eastAsia="Calibri" w:hAnsi="Arial" w:cs="Arial"/>
                <w:b/>
                <w:sz w:val="18"/>
                <w:szCs w:val="18"/>
                <w:lang w:val="en-CA"/>
              </w:rPr>
              <w:t>O</w:t>
            </w:r>
            <w:r w:rsidRPr="004326A5">
              <w:rPr>
                <w:rFonts w:ascii="Arial" w:eastAsia="Calibri" w:hAnsi="Arial" w:cs="Arial"/>
                <w:b/>
                <w:sz w:val="18"/>
                <w:szCs w:val="18"/>
                <w:lang w:val="en-CA"/>
              </w:rPr>
              <w:t>perations</w:t>
            </w:r>
          </w:p>
        </w:tc>
        <w:tc>
          <w:tcPr>
            <w:tcW w:w="950" w:type="dxa"/>
          </w:tcPr>
          <w:p w14:paraId="0718B784" w14:textId="4D278847"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 xml:space="preserve"> (3,120)</w:t>
            </w:r>
          </w:p>
        </w:tc>
        <w:tc>
          <w:tcPr>
            <w:tcW w:w="950" w:type="dxa"/>
          </w:tcPr>
          <w:p w14:paraId="37257AFB" w14:textId="289C9233"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 xml:space="preserve"> (1,054)</w:t>
            </w:r>
          </w:p>
        </w:tc>
        <w:tc>
          <w:tcPr>
            <w:tcW w:w="950" w:type="dxa"/>
          </w:tcPr>
          <w:p w14:paraId="4EE02920" w14:textId="32DF0705"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 xml:space="preserve"> (1,116)</w:t>
            </w:r>
          </w:p>
        </w:tc>
        <w:tc>
          <w:tcPr>
            <w:tcW w:w="950" w:type="dxa"/>
          </w:tcPr>
          <w:p w14:paraId="18834A49" w14:textId="0F82E0C1"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 xml:space="preserve"> (1,810)</w:t>
            </w:r>
          </w:p>
        </w:tc>
        <w:tc>
          <w:tcPr>
            <w:tcW w:w="950" w:type="dxa"/>
          </w:tcPr>
          <w:p w14:paraId="162A61F7" w14:textId="6D0AF757"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 xml:space="preserve"> (1,128)</w:t>
            </w:r>
          </w:p>
        </w:tc>
        <w:tc>
          <w:tcPr>
            <w:tcW w:w="951" w:type="dxa"/>
          </w:tcPr>
          <w:p w14:paraId="330EE258" w14:textId="4C528E50"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 xml:space="preserve"> (2,221)</w:t>
            </w:r>
          </w:p>
        </w:tc>
      </w:tr>
      <w:tr w:rsidR="00874275" w:rsidRPr="004326A5" w14:paraId="2F255C36" w14:textId="77777777" w:rsidTr="001358C5">
        <w:trPr>
          <w:trHeight w:val="288"/>
        </w:trPr>
        <w:tc>
          <w:tcPr>
            <w:tcW w:w="3659" w:type="dxa"/>
            <w:noWrap/>
          </w:tcPr>
          <w:p w14:paraId="3A98C824" w14:textId="52D59FDC" w:rsidR="00874275" w:rsidRPr="004326A5" w:rsidRDefault="00874275" w:rsidP="00443F33">
            <w:pPr>
              <w:ind w:left="144"/>
              <w:rPr>
                <w:rFonts w:ascii="Arial" w:eastAsia="Calibri" w:hAnsi="Arial" w:cs="Arial"/>
                <w:sz w:val="18"/>
                <w:szCs w:val="18"/>
                <w:lang w:val="en-CA"/>
              </w:rPr>
            </w:pPr>
            <w:r w:rsidRPr="004326A5">
              <w:rPr>
                <w:rFonts w:ascii="Arial" w:eastAsia="Calibri" w:hAnsi="Arial" w:cs="Arial"/>
                <w:sz w:val="18"/>
                <w:szCs w:val="18"/>
                <w:lang w:val="en-CA"/>
              </w:rPr>
              <w:t xml:space="preserve">Loss from </w:t>
            </w:r>
            <w:r w:rsidR="009D05BF" w:rsidRPr="004326A5">
              <w:rPr>
                <w:rFonts w:ascii="Arial" w:eastAsia="Calibri" w:hAnsi="Arial" w:cs="Arial"/>
                <w:sz w:val="18"/>
                <w:szCs w:val="18"/>
                <w:lang w:val="en-CA"/>
              </w:rPr>
              <w:t>D</w:t>
            </w:r>
            <w:r w:rsidRPr="004326A5">
              <w:rPr>
                <w:rFonts w:ascii="Arial" w:eastAsia="Calibri" w:hAnsi="Arial" w:cs="Arial"/>
                <w:sz w:val="18"/>
                <w:szCs w:val="18"/>
                <w:lang w:val="en-CA"/>
              </w:rPr>
              <w:t xml:space="preserve">iscontinued </w:t>
            </w:r>
            <w:r w:rsidR="009D05BF" w:rsidRPr="004326A5">
              <w:rPr>
                <w:rFonts w:ascii="Arial" w:eastAsia="Calibri" w:hAnsi="Arial" w:cs="Arial"/>
                <w:sz w:val="18"/>
                <w:szCs w:val="18"/>
                <w:lang w:val="en-CA"/>
              </w:rPr>
              <w:t>O</w:t>
            </w:r>
            <w:r w:rsidRPr="004326A5">
              <w:rPr>
                <w:rFonts w:ascii="Arial" w:eastAsia="Calibri" w:hAnsi="Arial" w:cs="Arial"/>
                <w:sz w:val="18"/>
                <w:szCs w:val="18"/>
                <w:lang w:val="en-CA"/>
              </w:rPr>
              <w:t xml:space="preserve">perations, </w:t>
            </w:r>
            <w:r w:rsidR="00A05594" w:rsidRPr="004326A5">
              <w:rPr>
                <w:rFonts w:ascii="Arial" w:eastAsia="Calibri" w:hAnsi="Arial" w:cs="Arial"/>
                <w:sz w:val="18"/>
                <w:szCs w:val="18"/>
                <w:lang w:val="en-CA"/>
              </w:rPr>
              <w:br/>
            </w:r>
            <w:r w:rsidR="009D05BF" w:rsidRPr="004326A5">
              <w:rPr>
                <w:rFonts w:ascii="Arial" w:eastAsia="Calibri" w:hAnsi="Arial" w:cs="Arial"/>
                <w:sz w:val="18"/>
                <w:szCs w:val="18"/>
                <w:lang w:val="en-CA"/>
              </w:rPr>
              <w:t>N</w:t>
            </w:r>
            <w:r w:rsidRPr="004326A5">
              <w:rPr>
                <w:rFonts w:ascii="Arial" w:eastAsia="Calibri" w:hAnsi="Arial" w:cs="Arial"/>
                <w:sz w:val="18"/>
                <w:szCs w:val="18"/>
                <w:lang w:val="en-CA"/>
              </w:rPr>
              <w:t xml:space="preserve">et of </w:t>
            </w:r>
            <w:r w:rsidR="009D05BF" w:rsidRPr="004326A5">
              <w:rPr>
                <w:rFonts w:ascii="Arial" w:eastAsia="Calibri" w:hAnsi="Arial" w:cs="Arial"/>
                <w:sz w:val="18"/>
                <w:szCs w:val="18"/>
                <w:lang w:val="en-CA"/>
              </w:rPr>
              <w:t>T</w:t>
            </w:r>
            <w:r w:rsidRPr="004326A5">
              <w:rPr>
                <w:rFonts w:ascii="Arial" w:eastAsia="Calibri" w:hAnsi="Arial" w:cs="Arial"/>
                <w:sz w:val="18"/>
                <w:szCs w:val="18"/>
                <w:lang w:val="en-CA"/>
              </w:rPr>
              <w:t>ax</w:t>
            </w:r>
          </w:p>
        </w:tc>
        <w:tc>
          <w:tcPr>
            <w:tcW w:w="950" w:type="dxa"/>
          </w:tcPr>
          <w:p w14:paraId="22780E18" w14:textId="00A3FB24"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(27)</w:t>
            </w:r>
          </w:p>
        </w:tc>
        <w:tc>
          <w:tcPr>
            <w:tcW w:w="950" w:type="dxa"/>
          </w:tcPr>
          <w:p w14:paraId="779FDBF1" w14:textId="75FACFD3"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 </w:t>
            </w:r>
          </w:p>
        </w:tc>
        <w:tc>
          <w:tcPr>
            <w:tcW w:w="950" w:type="dxa"/>
          </w:tcPr>
          <w:p w14:paraId="12536884" w14:textId="3203CF88"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 </w:t>
            </w:r>
          </w:p>
        </w:tc>
        <w:tc>
          <w:tcPr>
            <w:tcW w:w="950" w:type="dxa"/>
          </w:tcPr>
          <w:p w14:paraId="57845B60" w14:textId="573D743D"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w:t>
            </w:r>
          </w:p>
        </w:tc>
        <w:tc>
          <w:tcPr>
            <w:tcW w:w="950" w:type="dxa"/>
          </w:tcPr>
          <w:p w14:paraId="6EBB3535" w14:textId="6BA12E36"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 </w:t>
            </w:r>
          </w:p>
        </w:tc>
        <w:tc>
          <w:tcPr>
            <w:tcW w:w="951" w:type="dxa"/>
          </w:tcPr>
          <w:p w14:paraId="1242F216" w14:textId="2176B698"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 </w:t>
            </w:r>
          </w:p>
        </w:tc>
      </w:tr>
      <w:tr w:rsidR="00874275" w:rsidRPr="004326A5" w14:paraId="7E4191C3" w14:textId="77777777" w:rsidTr="001358C5">
        <w:trPr>
          <w:trHeight w:val="288"/>
        </w:trPr>
        <w:tc>
          <w:tcPr>
            <w:tcW w:w="3659" w:type="dxa"/>
            <w:noWrap/>
          </w:tcPr>
          <w:p w14:paraId="474F493A" w14:textId="77777777" w:rsidR="00874275" w:rsidRPr="004326A5" w:rsidRDefault="00874275" w:rsidP="00443F33">
            <w:pPr>
              <w:rPr>
                <w:rFonts w:ascii="Arial" w:eastAsia="Calibri" w:hAnsi="Arial" w:cs="Arial"/>
                <w:b/>
                <w:sz w:val="18"/>
                <w:szCs w:val="18"/>
                <w:lang w:val="en-CA"/>
              </w:rPr>
            </w:pPr>
            <w:r w:rsidRPr="004326A5">
              <w:rPr>
                <w:rFonts w:ascii="Arial" w:eastAsia="Calibri" w:hAnsi="Arial" w:cs="Arial"/>
                <w:b/>
                <w:sz w:val="18"/>
                <w:szCs w:val="18"/>
                <w:lang w:val="en-CA"/>
              </w:rPr>
              <w:t>Net Loss</w:t>
            </w:r>
          </w:p>
        </w:tc>
        <w:tc>
          <w:tcPr>
            <w:tcW w:w="950" w:type="dxa"/>
          </w:tcPr>
          <w:p w14:paraId="000C07E6" w14:textId="2DE64FDF"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 xml:space="preserve"> (3,147)</w:t>
            </w:r>
          </w:p>
        </w:tc>
        <w:tc>
          <w:tcPr>
            <w:tcW w:w="950" w:type="dxa"/>
          </w:tcPr>
          <w:p w14:paraId="1DDD0A24" w14:textId="62DCE822"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 xml:space="preserve"> (1,054)</w:t>
            </w:r>
          </w:p>
        </w:tc>
        <w:tc>
          <w:tcPr>
            <w:tcW w:w="950" w:type="dxa"/>
          </w:tcPr>
          <w:p w14:paraId="5B44D888" w14:textId="44DAC0CD"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 xml:space="preserve"> (1,116)</w:t>
            </w:r>
          </w:p>
        </w:tc>
        <w:tc>
          <w:tcPr>
            <w:tcW w:w="950" w:type="dxa"/>
          </w:tcPr>
          <w:p w14:paraId="5625CE14" w14:textId="16A19723"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 xml:space="preserve"> (1,810)</w:t>
            </w:r>
          </w:p>
        </w:tc>
        <w:tc>
          <w:tcPr>
            <w:tcW w:w="950" w:type="dxa"/>
          </w:tcPr>
          <w:p w14:paraId="3B70345C" w14:textId="4E449E16"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 xml:space="preserve"> (1,128)</w:t>
            </w:r>
          </w:p>
        </w:tc>
        <w:tc>
          <w:tcPr>
            <w:tcW w:w="951" w:type="dxa"/>
          </w:tcPr>
          <w:p w14:paraId="47B90618" w14:textId="1EF51696"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 xml:space="preserve"> (2,221)</w:t>
            </w:r>
          </w:p>
        </w:tc>
      </w:tr>
      <w:tr w:rsidR="00874275" w:rsidRPr="004326A5" w14:paraId="3FCF03CC" w14:textId="77777777" w:rsidTr="001358C5">
        <w:trPr>
          <w:trHeight w:val="288"/>
        </w:trPr>
        <w:tc>
          <w:tcPr>
            <w:tcW w:w="3659" w:type="dxa"/>
            <w:noWrap/>
          </w:tcPr>
          <w:p w14:paraId="3481E598" w14:textId="1C358675" w:rsidR="00874275" w:rsidRPr="004326A5" w:rsidRDefault="00874275" w:rsidP="00443F33">
            <w:pPr>
              <w:ind w:left="144"/>
              <w:rPr>
                <w:rFonts w:ascii="Arial" w:eastAsia="Calibri" w:hAnsi="Arial" w:cs="Arial"/>
                <w:sz w:val="18"/>
                <w:szCs w:val="18"/>
                <w:lang w:val="en-CA"/>
              </w:rPr>
            </w:pPr>
            <w:r w:rsidRPr="004326A5">
              <w:rPr>
                <w:rFonts w:ascii="Arial" w:eastAsia="Calibri" w:hAnsi="Arial" w:cs="Arial"/>
                <w:sz w:val="18"/>
                <w:szCs w:val="18"/>
                <w:lang w:val="en-CA"/>
              </w:rPr>
              <w:t xml:space="preserve">(Income) Loss </w:t>
            </w:r>
            <w:r w:rsidR="009D05BF" w:rsidRPr="004326A5">
              <w:rPr>
                <w:rFonts w:ascii="Arial" w:eastAsia="Calibri" w:hAnsi="Arial" w:cs="Arial"/>
                <w:sz w:val="18"/>
                <w:szCs w:val="18"/>
                <w:lang w:val="en-CA"/>
              </w:rPr>
              <w:t>A</w:t>
            </w:r>
            <w:r w:rsidRPr="004326A5">
              <w:rPr>
                <w:rFonts w:ascii="Arial" w:eastAsia="Calibri" w:hAnsi="Arial" w:cs="Arial"/>
                <w:sz w:val="18"/>
                <w:szCs w:val="18"/>
                <w:lang w:val="en-CA"/>
              </w:rPr>
              <w:t xml:space="preserve">ttributable to </w:t>
            </w:r>
            <w:r w:rsidR="00A05594" w:rsidRPr="004326A5">
              <w:rPr>
                <w:rFonts w:ascii="Arial" w:eastAsia="Calibri" w:hAnsi="Arial" w:cs="Arial"/>
                <w:sz w:val="18"/>
                <w:szCs w:val="18"/>
                <w:lang w:val="en-CA"/>
              </w:rPr>
              <w:br/>
            </w:r>
            <w:r w:rsidR="009D05BF" w:rsidRPr="004326A5">
              <w:rPr>
                <w:rFonts w:ascii="Arial" w:eastAsia="Calibri" w:hAnsi="Arial" w:cs="Arial"/>
                <w:sz w:val="18"/>
                <w:szCs w:val="18"/>
                <w:lang w:val="en-CA"/>
              </w:rPr>
              <w:t>N</w:t>
            </w:r>
            <w:r w:rsidRPr="004326A5">
              <w:rPr>
                <w:rFonts w:ascii="Arial" w:eastAsia="Calibri" w:hAnsi="Arial" w:cs="Arial"/>
                <w:sz w:val="18"/>
                <w:szCs w:val="18"/>
                <w:lang w:val="en-CA"/>
              </w:rPr>
              <w:t xml:space="preserve">on-controlling </w:t>
            </w:r>
            <w:r w:rsidR="009D05BF" w:rsidRPr="004326A5">
              <w:rPr>
                <w:rFonts w:ascii="Arial" w:eastAsia="Calibri" w:hAnsi="Arial" w:cs="Arial"/>
                <w:sz w:val="18"/>
                <w:szCs w:val="18"/>
                <w:lang w:val="en-CA"/>
              </w:rPr>
              <w:t>I</w:t>
            </w:r>
            <w:r w:rsidRPr="004326A5">
              <w:rPr>
                <w:rFonts w:ascii="Arial" w:eastAsia="Calibri" w:hAnsi="Arial" w:cs="Arial"/>
                <w:sz w:val="18"/>
                <w:szCs w:val="18"/>
                <w:lang w:val="en-CA"/>
              </w:rPr>
              <w:t>nterests</w:t>
            </w:r>
          </w:p>
        </w:tc>
        <w:tc>
          <w:tcPr>
            <w:tcW w:w="950" w:type="dxa"/>
          </w:tcPr>
          <w:p w14:paraId="215CC97E" w14:textId="7792F5E7"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7 </w:t>
            </w:r>
          </w:p>
        </w:tc>
        <w:tc>
          <w:tcPr>
            <w:tcW w:w="950" w:type="dxa"/>
          </w:tcPr>
          <w:p w14:paraId="39254BE8" w14:textId="4FC2413C"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124 </w:t>
            </w:r>
          </w:p>
        </w:tc>
        <w:tc>
          <w:tcPr>
            <w:tcW w:w="950" w:type="dxa"/>
          </w:tcPr>
          <w:p w14:paraId="0B7E51E5" w14:textId="172346B3"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(249)</w:t>
            </w:r>
          </w:p>
        </w:tc>
        <w:tc>
          <w:tcPr>
            <w:tcW w:w="950" w:type="dxa"/>
          </w:tcPr>
          <w:p w14:paraId="0826B7FC" w14:textId="502FE9BD"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128 </w:t>
            </w:r>
          </w:p>
        </w:tc>
        <w:tc>
          <w:tcPr>
            <w:tcW w:w="950" w:type="dxa"/>
          </w:tcPr>
          <w:p w14:paraId="36337E59" w14:textId="39718E74"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(1)</w:t>
            </w:r>
          </w:p>
        </w:tc>
        <w:tc>
          <w:tcPr>
            <w:tcW w:w="951" w:type="dxa"/>
          </w:tcPr>
          <w:p w14:paraId="7651C684" w14:textId="6247AB20" w:rsidR="00874275" w:rsidRPr="004326A5" w:rsidRDefault="00874275" w:rsidP="00443F33">
            <w:pPr>
              <w:jc w:val="right"/>
              <w:rPr>
                <w:rFonts w:ascii="Arial" w:eastAsia="Calibri" w:hAnsi="Arial" w:cs="Arial"/>
                <w:sz w:val="18"/>
                <w:szCs w:val="18"/>
                <w:lang w:val="en-CA"/>
              </w:rPr>
            </w:pPr>
            <w:r w:rsidRPr="004326A5">
              <w:rPr>
                <w:rFonts w:ascii="Arial" w:eastAsia="Calibri" w:hAnsi="Arial" w:cs="Arial"/>
                <w:sz w:val="18"/>
                <w:szCs w:val="18"/>
                <w:lang w:val="en-CA"/>
              </w:rPr>
              <w:t xml:space="preserve"> — </w:t>
            </w:r>
          </w:p>
        </w:tc>
      </w:tr>
      <w:tr w:rsidR="00874275" w:rsidRPr="004326A5" w14:paraId="44665E7C" w14:textId="77777777" w:rsidTr="001358C5">
        <w:trPr>
          <w:trHeight w:val="288"/>
        </w:trPr>
        <w:tc>
          <w:tcPr>
            <w:tcW w:w="3659" w:type="dxa"/>
            <w:noWrap/>
          </w:tcPr>
          <w:p w14:paraId="03D16D60" w14:textId="19F784EA" w:rsidR="00874275" w:rsidRPr="004326A5" w:rsidRDefault="00874275" w:rsidP="00443F33">
            <w:pPr>
              <w:rPr>
                <w:rFonts w:ascii="Arial" w:eastAsia="Calibri" w:hAnsi="Arial" w:cs="Arial"/>
                <w:b/>
                <w:sz w:val="18"/>
                <w:szCs w:val="18"/>
                <w:lang w:val="en-CA"/>
              </w:rPr>
            </w:pPr>
            <w:r w:rsidRPr="004326A5">
              <w:rPr>
                <w:rFonts w:ascii="Arial" w:eastAsia="Calibri" w:hAnsi="Arial" w:cs="Arial"/>
                <w:b/>
                <w:sz w:val="18"/>
                <w:szCs w:val="18"/>
                <w:lang w:val="en-CA"/>
              </w:rPr>
              <w:t xml:space="preserve">Net Loss </w:t>
            </w:r>
            <w:r w:rsidR="009D05BF" w:rsidRPr="004326A5">
              <w:rPr>
                <w:rFonts w:ascii="Arial" w:eastAsia="Calibri" w:hAnsi="Arial" w:cs="Arial"/>
                <w:b/>
                <w:sz w:val="18"/>
                <w:szCs w:val="18"/>
                <w:lang w:val="en-CA"/>
              </w:rPr>
              <w:t>A</w:t>
            </w:r>
            <w:r w:rsidRPr="004326A5">
              <w:rPr>
                <w:rFonts w:ascii="Arial" w:eastAsia="Calibri" w:hAnsi="Arial" w:cs="Arial"/>
                <w:b/>
                <w:sz w:val="18"/>
                <w:szCs w:val="18"/>
                <w:lang w:val="en-CA"/>
              </w:rPr>
              <w:t xml:space="preserve">ttributable to </w:t>
            </w:r>
            <w:r w:rsidR="009D05BF" w:rsidRPr="004326A5">
              <w:rPr>
                <w:rFonts w:ascii="Arial" w:eastAsia="Calibri" w:hAnsi="Arial" w:cs="Arial"/>
                <w:b/>
                <w:sz w:val="18"/>
                <w:szCs w:val="18"/>
                <w:lang w:val="en-CA"/>
              </w:rPr>
              <w:t>S</w:t>
            </w:r>
            <w:r w:rsidRPr="004326A5">
              <w:rPr>
                <w:rFonts w:ascii="Arial" w:eastAsia="Calibri" w:hAnsi="Arial" w:cs="Arial"/>
                <w:b/>
                <w:sz w:val="18"/>
                <w:szCs w:val="18"/>
                <w:lang w:val="en-CA"/>
              </w:rPr>
              <w:t>hareholders</w:t>
            </w:r>
          </w:p>
        </w:tc>
        <w:tc>
          <w:tcPr>
            <w:tcW w:w="950" w:type="dxa"/>
          </w:tcPr>
          <w:p w14:paraId="51D1F98E" w14:textId="5BF086BB"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 xml:space="preserve"> (3,140)</w:t>
            </w:r>
          </w:p>
        </w:tc>
        <w:tc>
          <w:tcPr>
            <w:tcW w:w="950" w:type="dxa"/>
          </w:tcPr>
          <w:p w14:paraId="65BE3F5C" w14:textId="6A4D6F50"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 xml:space="preserve"> (930)</w:t>
            </w:r>
          </w:p>
        </w:tc>
        <w:tc>
          <w:tcPr>
            <w:tcW w:w="950" w:type="dxa"/>
          </w:tcPr>
          <w:p w14:paraId="2EB628CF" w14:textId="3F5C0CC8"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 xml:space="preserve"> (1,365)</w:t>
            </w:r>
          </w:p>
        </w:tc>
        <w:tc>
          <w:tcPr>
            <w:tcW w:w="950" w:type="dxa"/>
          </w:tcPr>
          <w:p w14:paraId="7FCF935D" w14:textId="5926D133"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 xml:space="preserve"> (1,682)</w:t>
            </w:r>
          </w:p>
        </w:tc>
        <w:tc>
          <w:tcPr>
            <w:tcW w:w="950" w:type="dxa"/>
          </w:tcPr>
          <w:p w14:paraId="69F7357E" w14:textId="5472D786"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 xml:space="preserve"> (1,129)</w:t>
            </w:r>
          </w:p>
        </w:tc>
        <w:tc>
          <w:tcPr>
            <w:tcW w:w="951" w:type="dxa"/>
          </w:tcPr>
          <w:p w14:paraId="145D9B33" w14:textId="7082EE27" w:rsidR="00874275" w:rsidRPr="004326A5" w:rsidRDefault="00874275" w:rsidP="00443F33">
            <w:pPr>
              <w:jc w:val="right"/>
              <w:rPr>
                <w:rFonts w:ascii="Arial" w:eastAsia="Calibri" w:hAnsi="Arial" w:cs="Arial"/>
                <w:b/>
                <w:sz w:val="18"/>
                <w:szCs w:val="18"/>
                <w:lang w:val="en-CA"/>
              </w:rPr>
            </w:pPr>
            <w:r w:rsidRPr="004326A5">
              <w:rPr>
                <w:rFonts w:ascii="Arial" w:eastAsia="Calibri" w:hAnsi="Arial" w:cs="Arial"/>
                <w:b/>
                <w:sz w:val="18"/>
                <w:szCs w:val="18"/>
                <w:lang w:val="en-CA"/>
              </w:rPr>
              <w:t xml:space="preserve"> (2,221)</w:t>
            </w:r>
          </w:p>
        </w:tc>
      </w:tr>
    </w:tbl>
    <w:p w14:paraId="2643A17A" w14:textId="77777777" w:rsidR="00874275" w:rsidRPr="004326A5" w:rsidRDefault="00874275" w:rsidP="00E02724">
      <w:pPr>
        <w:pStyle w:val="ExhibitText"/>
        <w:rPr>
          <w:rFonts w:eastAsia="Calibri"/>
          <w:shd w:val="clear" w:color="auto" w:fill="FFFFFF"/>
          <w:lang w:val="en-CA"/>
        </w:rPr>
      </w:pPr>
    </w:p>
    <w:p w14:paraId="0B96846A" w14:textId="59E762C5" w:rsidR="00874275" w:rsidRPr="004326A5" w:rsidRDefault="00874275" w:rsidP="00790BD6">
      <w:pPr>
        <w:pStyle w:val="Footnote"/>
        <w:jc w:val="both"/>
        <w:rPr>
          <w:rFonts w:eastAsia="Calibri"/>
          <w:shd w:val="clear" w:color="auto" w:fill="FFFFFF"/>
          <w:lang w:val="en-CA"/>
        </w:rPr>
      </w:pPr>
      <w:r w:rsidRPr="00790BD6">
        <w:rPr>
          <w:rFonts w:eastAsia="Calibri"/>
          <w:lang w:val="en-CA"/>
        </w:rPr>
        <w:t xml:space="preserve">Source: Compiled by the case authors based on Sears Holdings Corporation, “Form 10-K for the Fiscal Year Ended January 28, 2017,” 2, 5, 58, 2016, accessed April 8, 2017, https://searsholdings.com/docs/investor/SHC_2016_Form_10-K.pdf; Sears Holdings Corporation, “Form 10-K for the Fiscal Year Ended January 30, 2016,” 2, 5, 56, accessed March 21, 2017, https://searsholdings.com/docs/investor/SHC_2015_Form_10-K.pdf; Sears Holdings Corporation, “Form 10-K for the Fiscal Year Ended January 31, 2015,” 2, 6, 64, accessed March 21, 2017, https://searsholdings.com/docs/investor/SHC_2014_Form_10-K.pdf; Sears Holdings Corporation, “Form 10-K for the Fiscal Year Ended February 1, 2014,” 2, 6, 63, accessed March 21, 2017, https://searsholdings.com/docs/investor/SHC_2013_Form_10-K.pdf; Sears Holdings Corporation, “Form 10-K for the Fiscal Year Ended February 2, 2013,” 2, 6, 56, accessed March 21, 2017, https://searsholdings.com/docs/investor/SHC_2012_Form_10-K.pdf; and Sears Holdings Corporation, “Form 10-K for the Fiscal Year Ended </w:t>
      </w:r>
      <w:r w:rsidR="00C93305" w:rsidRPr="00790BD6">
        <w:rPr>
          <w:rFonts w:eastAsia="Calibri"/>
          <w:lang w:val="en-CA"/>
        </w:rPr>
        <w:t>January</w:t>
      </w:r>
      <w:r w:rsidRPr="00790BD6">
        <w:rPr>
          <w:rFonts w:eastAsia="Calibri"/>
          <w:lang w:val="en-CA"/>
        </w:rPr>
        <w:t xml:space="preserve"> 28, 2012,” 54, accessed March 21, 2017,</w:t>
      </w:r>
      <w:r w:rsidRPr="004326A5">
        <w:rPr>
          <w:rFonts w:eastAsia="Calibri"/>
          <w:shd w:val="clear" w:color="auto" w:fill="FFFFFF"/>
          <w:lang w:val="en-CA"/>
        </w:rPr>
        <w:t xml:space="preserve"> </w:t>
      </w:r>
      <w:r w:rsidRPr="00790BD6">
        <w:rPr>
          <w:rFonts w:eastAsia="Calibri"/>
          <w:lang w:val="en-CA"/>
        </w:rPr>
        <w:t>https://searsholdings.com/docs/investor/SHC_2011_Form_10-K.pdf.</w:t>
      </w:r>
    </w:p>
    <w:p w14:paraId="286287BD" w14:textId="77777777" w:rsidR="00874275" w:rsidRPr="004326A5" w:rsidRDefault="00874275" w:rsidP="0030487D">
      <w:pPr>
        <w:spacing w:after="160" w:line="259" w:lineRule="auto"/>
        <w:rPr>
          <w:rFonts w:ascii="Arial" w:eastAsia="Calibri" w:hAnsi="Arial" w:cs="Arial"/>
          <w:b/>
          <w:sz w:val="22"/>
          <w:szCs w:val="22"/>
          <w:shd w:val="clear" w:color="auto" w:fill="FFFFFF"/>
          <w:lang w:val="en-CA"/>
        </w:rPr>
      </w:pPr>
      <w:r w:rsidRPr="004326A5">
        <w:rPr>
          <w:rFonts w:ascii="Arial" w:eastAsia="Calibri" w:hAnsi="Arial" w:cs="Arial"/>
          <w:b/>
          <w:sz w:val="22"/>
          <w:szCs w:val="22"/>
          <w:shd w:val="clear" w:color="auto" w:fill="FFFFFF"/>
          <w:lang w:val="en-CA"/>
        </w:rPr>
        <w:br w:type="page"/>
      </w:r>
    </w:p>
    <w:p w14:paraId="66FE1E19" w14:textId="6EAE3843" w:rsidR="00874275" w:rsidRPr="004326A5" w:rsidRDefault="00874275" w:rsidP="003456D6">
      <w:pPr>
        <w:pStyle w:val="ExhibitHeading"/>
        <w:outlineLvl w:val="0"/>
        <w:rPr>
          <w:rFonts w:eastAsia="Calibri"/>
          <w:shd w:val="clear" w:color="auto" w:fill="FFFFFF"/>
          <w:lang w:val="en-CA"/>
        </w:rPr>
      </w:pPr>
      <w:r w:rsidRPr="004326A5">
        <w:rPr>
          <w:rFonts w:eastAsia="Calibri"/>
          <w:shd w:val="clear" w:color="auto" w:fill="FFFFFF"/>
          <w:lang w:val="en-CA"/>
        </w:rPr>
        <w:lastRenderedPageBreak/>
        <w:t xml:space="preserve">EXHIBIT 4: SEARS </w:t>
      </w:r>
      <w:r w:rsidR="00C5069A" w:rsidRPr="004326A5">
        <w:rPr>
          <w:rFonts w:eastAsia="Calibri"/>
          <w:shd w:val="clear" w:color="auto" w:fill="FFFFFF"/>
          <w:lang w:val="en-CA"/>
        </w:rPr>
        <w:t xml:space="preserve">Holdings Corporation </w:t>
      </w:r>
      <w:r w:rsidRPr="004326A5">
        <w:rPr>
          <w:rFonts w:eastAsia="Calibri"/>
          <w:shd w:val="clear" w:color="auto" w:fill="FFFFFF"/>
          <w:lang w:val="en-CA"/>
        </w:rPr>
        <w:t xml:space="preserve">CONSOLIDATED BALANCE SHEET </w:t>
      </w:r>
      <w:r w:rsidR="00C5069A" w:rsidRPr="004326A5">
        <w:rPr>
          <w:rFonts w:eastAsia="Calibri"/>
          <w:shd w:val="clear" w:color="auto" w:fill="FFFFFF"/>
          <w:lang w:val="en-CA"/>
        </w:rPr>
        <w:br/>
      </w:r>
      <w:r w:rsidRPr="004326A5">
        <w:rPr>
          <w:rFonts w:eastAsia="Calibri"/>
          <w:shd w:val="clear" w:color="auto" w:fill="FFFFFF"/>
          <w:lang w:val="en-CA"/>
        </w:rPr>
        <w:t>(in US$ millions)</w:t>
      </w:r>
    </w:p>
    <w:p w14:paraId="3DD58704" w14:textId="77777777" w:rsidR="00874275" w:rsidRPr="004326A5" w:rsidRDefault="00874275" w:rsidP="00E02724">
      <w:pPr>
        <w:pStyle w:val="ExhibitText"/>
        <w:rPr>
          <w:rFonts w:eastAsia="Calibri"/>
          <w:shd w:val="clear" w:color="auto" w:fill="FFFFFF"/>
          <w:lang w:val="en-CA"/>
        </w:rPr>
      </w:pPr>
    </w:p>
    <w:tbl>
      <w:tblPr>
        <w:tblStyle w:val="IVEYTable"/>
        <w:tblW w:w="5000" w:type="pct"/>
        <w:tblBorders>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9"/>
        <w:gridCol w:w="955"/>
        <w:gridCol w:w="954"/>
        <w:gridCol w:w="953"/>
        <w:gridCol w:w="953"/>
        <w:gridCol w:w="953"/>
        <w:gridCol w:w="953"/>
      </w:tblGrid>
      <w:tr w:rsidR="00874275" w:rsidRPr="004326A5" w14:paraId="6FA3A902" w14:textId="77777777" w:rsidTr="001358C5">
        <w:trPr>
          <w:cnfStyle w:val="100000000000" w:firstRow="1" w:lastRow="0" w:firstColumn="0" w:lastColumn="0" w:oddVBand="0" w:evenVBand="0" w:oddHBand="0" w:evenHBand="0" w:firstRowFirstColumn="0" w:firstRowLastColumn="0" w:lastRowFirstColumn="0" w:lastRowLastColumn="0"/>
          <w:trHeight w:val="80"/>
          <w:tblHeader/>
        </w:trPr>
        <w:tc>
          <w:tcPr>
            <w:tcW w:w="3628" w:type="dxa"/>
            <w:tcBorders>
              <w:bottom w:val="none" w:sz="0" w:space="0" w:color="auto"/>
            </w:tcBorders>
            <w:noWrap/>
          </w:tcPr>
          <w:p w14:paraId="43A96770" w14:textId="2E539F1C" w:rsidR="00874275" w:rsidRPr="004326A5" w:rsidRDefault="00874275" w:rsidP="00874275">
            <w:pPr>
              <w:rPr>
                <w:rFonts w:ascii="Arial" w:hAnsi="Arial" w:cs="Arial"/>
                <w:b/>
                <w:bCs/>
                <w:sz w:val="18"/>
                <w:szCs w:val="18"/>
                <w:lang w:val="en-CA"/>
              </w:rPr>
            </w:pPr>
            <w:r w:rsidRPr="004326A5">
              <w:rPr>
                <w:rFonts w:ascii="Arial" w:hAnsi="Arial" w:cs="Arial"/>
                <w:b/>
                <w:bCs/>
                <w:sz w:val="18"/>
                <w:szCs w:val="18"/>
                <w:lang w:val="en-CA"/>
              </w:rPr>
              <w:t xml:space="preserve">Fiscal Year </w:t>
            </w:r>
            <w:r w:rsidR="006A4008" w:rsidRPr="004326A5">
              <w:rPr>
                <w:rFonts w:ascii="Arial" w:hAnsi="Arial" w:cs="Arial"/>
                <w:b/>
                <w:bCs/>
                <w:sz w:val="18"/>
                <w:szCs w:val="18"/>
                <w:lang w:val="en-CA"/>
              </w:rPr>
              <w:t>E</w:t>
            </w:r>
            <w:r w:rsidRPr="004326A5">
              <w:rPr>
                <w:rFonts w:ascii="Arial" w:hAnsi="Arial" w:cs="Arial"/>
                <w:b/>
                <w:bCs/>
                <w:sz w:val="18"/>
                <w:szCs w:val="18"/>
                <w:lang w:val="en-CA"/>
              </w:rPr>
              <w:t>nd</w:t>
            </w:r>
            <w:r w:rsidR="00A05594" w:rsidRPr="004326A5">
              <w:rPr>
                <w:rFonts w:ascii="Arial" w:hAnsi="Arial" w:cs="Arial"/>
                <w:b/>
                <w:bCs/>
                <w:sz w:val="18"/>
                <w:szCs w:val="18"/>
                <w:lang w:val="en-CA"/>
              </w:rPr>
              <w:t>s</w:t>
            </w:r>
            <w:r w:rsidRPr="004326A5">
              <w:rPr>
                <w:rFonts w:ascii="Arial" w:hAnsi="Arial" w:cs="Arial"/>
                <w:b/>
                <w:bCs/>
                <w:sz w:val="18"/>
                <w:szCs w:val="18"/>
                <w:lang w:val="en-CA"/>
              </w:rPr>
              <w:t xml:space="preserve"> in January</w:t>
            </w:r>
          </w:p>
        </w:tc>
        <w:tc>
          <w:tcPr>
            <w:tcW w:w="956" w:type="dxa"/>
            <w:tcBorders>
              <w:bottom w:val="none" w:sz="0" w:space="0" w:color="auto"/>
            </w:tcBorders>
          </w:tcPr>
          <w:p w14:paraId="6BD83016" w14:textId="44BD58E8" w:rsidR="00874275" w:rsidRPr="004326A5" w:rsidRDefault="00874275" w:rsidP="00874275">
            <w:pPr>
              <w:jc w:val="right"/>
              <w:rPr>
                <w:rFonts w:ascii="Arial" w:hAnsi="Arial" w:cs="Arial"/>
                <w:b/>
                <w:sz w:val="18"/>
                <w:szCs w:val="18"/>
                <w:lang w:val="en-CA"/>
              </w:rPr>
            </w:pPr>
            <w:r w:rsidRPr="004326A5">
              <w:rPr>
                <w:rFonts w:ascii="Arial" w:hAnsi="Arial" w:cs="Arial"/>
                <w:b/>
                <w:sz w:val="18"/>
                <w:szCs w:val="18"/>
                <w:lang w:val="en-CA"/>
              </w:rPr>
              <w:t>2011/12</w:t>
            </w:r>
          </w:p>
        </w:tc>
        <w:tc>
          <w:tcPr>
            <w:tcW w:w="956" w:type="dxa"/>
            <w:tcBorders>
              <w:bottom w:val="none" w:sz="0" w:space="0" w:color="auto"/>
            </w:tcBorders>
          </w:tcPr>
          <w:p w14:paraId="5A374395" w14:textId="116606C8" w:rsidR="00874275" w:rsidRPr="004326A5" w:rsidRDefault="00874275" w:rsidP="00874275">
            <w:pPr>
              <w:jc w:val="right"/>
              <w:rPr>
                <w:rFonts w:ascii="Arial" w:hAnsi="Arial" w:cs="Arial"/>
                <w:b/>
                <w:sz w:val="18"/>
                <w:szCs w:val="18"/>
                <w:lang w:val="en-CA"/>
              </w:rPr>
            </w:pPr>
            <w:r w:rsidRPr="004326A5">
              <w:rPr>
                <w:rFonts w:ascii="Arial" w:hAnsi="Arial" w:cs="Arial"/>
                <w:b/>
                <w:sz w:val="18"/>
                <w:szCs w:val="18"/>
                <w:lang w:val="en-CA"/>
              </w:rPr>
              <w:t>2012/13</w:t>
            </w:r>
          </w:p>
        </w:tc>
        <w:tc>
          <w:tcPr>
            <w:tcW w:w="955" w:type="dxa"/>
            <w:tcBorders>
              <w:bottom w:val="none" w:sz="0" w:space="0" w:color="auto"/>
            </w:tcBorders>
          </w:tcPr>
          <w:p w14:paraId="4C2A87F4" w14:textId="0C8219C9" w:rsidR="00874275" w:rsidRPr="004326A5" w:rsidRDefault="00874275" w:rsidP="00874275">
            <w:pPr>
              <w:jc w:val="right"/>
              <w:rPr>
                <w:rFonts w:ascii="Arial" w:hAnsi="Arial" w:cs="Arial"/>
                <w:b/>
                <w:sz w:val="18"/>
                <w:szCs w:val="18"/>
                <w:lang w:val="en-CA"/>
              </w:rPr>
            </w:pPr>
            <w:r w:rsidRPr="004326A5">
              <w:rPr>
                <w:rFonts w:ascii="Arial" w:hAnsi="Arial" w:cs="Arial"/>
                <w:b/>
                <w:sz w:val="18"/>
                <w:szCs w:val="18"/>
                <w:lang w:val="en-CA"/>
              </w:rPr>
              <w:t>2013/14</w:t>
            </w:r>
          </w:p>
        </w:tc>
        <w:tc>
          <w:tcPr>
            <w:tcW w:w="955" w:type="dxa"/>
            <w:tcBorders>
              <w:bottom w:val="none" w:sz="0" w:space="0" w:color="auto"/>
            </w:tcBorders>
          </w:tcPr>
          <w:p w14:paraId="0AA266A1" w14:textId="2BADBFFD" w:rsidR="00874275" w:rsidRPr="004326A5" w:rsidRDefault="00874275" w:rsidP="00874275">
            <w:pPr>
              <w:jc w:val="right"/>
              <w:rPr>
                <w:rFonts w:ascii="Arial" w:hAnsi="Arial" w:cs="Arial"/>
                <w:b/>
                <w:sz w:val="18"/>
                <w:szCs w:val="18"/>
                <w:lang w:val="en-CA"/>
              </w:rPr>
            </w:pPr>
            <w:r w:rsidRPr="004326A5">
              <w:rPr>
                <w:rFonts w:ascii="Arial" w:hAnsi="Arial" w:cs="Arial"/>
                <w:b/>
                <w:sz w:val="18"/>
                <w:szCs w:val="18"/>
                <w:lang w:val="en-CA"/>
              </w:rPr>
              <w:t>2014/15</w:t>
            </w:r>
          </w:p>
        </w:tc>
        <w:tc>
          <w:tcPr>
            <w:tcW w:w="955" w:type="dxa"/>
            <w:tcBorders>
              <w:bottom w:val="none" w:sz="0" w:space="0" w:color="auto"/>
            </w:tcBorders>
          </w:tcPr>
          <w:p w14:paraId="06E65524" w14:textId="452A3009" w:rsidR="00874275" w:rsidRPr="004326A5" w:rsidRDefault="00874275" w:rsidP="00874275">
            <w:pPr>
              <w:jc w:val="right"/>
              <w:rPr>
                <w:rFonts w:ascii="Arial" w:hAnsi="Arial" w:cs="Arial"/>
                <w:b/>
                <w:sz w:val="18"/>
                <w:szCs w:val="18"/>
                <w:lang w:val="en-CA"/>
              </w:rPr>
            </w:pPr>
            <w:r w:rsidRPr="004326A5">
              <w:rPr>
                <w:rFonts w:ascii="Arial" w:hAnsi="Arial" w:cs="Arial"/>
                <w:b/>
                <w:sz w:val="18"/>
                <w:szCs w:val="18"/>
                <w:lang w:val="en-CA"/>
              </w:rPr>
              <w:t>2015/16</w:t>
            </w:r>
          </w:p>
        </w:tc>
        <w:tc>
          <w:tcPr>
            <w:tcW w:w="955" w:type="dxa"/>
            <w:tcBorders>
              <w:bottom w:val="none" w:sz="0" w:space="0" w:color="auto"/>
            </w:tcBorders>
          </w:tcPr>
          <w:p w14:paraId="54F21C5D" w14:textId="337E1487" w:rsidR="00874275" w:rsidRPr="004326A5" w:rsidRDefault="00874275" w:rsidP="00874275">
            <w:pPr>
              <w:jc w:val="right"/>
              <w:rPr>
                <w:rFonts w:ascii="Arial" w:hAnsi="Arial" w:cs="Arial"/>
                <w:b/>
                <w:sz w:val="18"/>
                <w:szCs w:val="18"/>
                <w:lang w:val="en-CA"/>
              </w:rPr>
            </w:pPr>
            <w:r w:rsidRPr="004326A5">
              <w:rPr>
                <w:rFonts w:ascii="Arial" w:hAnsi="Arial" w:cs="Arial"/>
                <w:b/>
                <w:sz w:val="18"/>
                <w:szCs w:val="18"/>
                <w:lang w:val="en-CA"/>
              </w:rPr>
              <w:t>2016/17</w:t>
            </w:r>
          </w:p>
        </w:tc>
      </w:tr>
      <w:tr w:rsidR="00874275" w:rsidRPr="004326A5" w14:paraId="70EDBE34" w14:textId="77777777" w:rsidTr="001358C5">
        <w:trPr>
          <w:trHeight w:val="56"/>
        </w:trPr>
        <w:tc>
          <w:tcPr>
            <w:tcW w:w="3628" w:type="dxa"/>
            <w:noWrap/>
          </w:tcPr>
          <w:p w14:paraId="7497B140" w14:textId="77777777" w:rsidR="00874275" w:rsidRPr="004326A5" w:rsidRDefault="00874275" w:rsidP="00874275">
            <w:pPr>
              <w:rPr>
                <w:rFonts w:ascii="Arial" w:hAnsi="Arial" w:cs="Arial"/>
                <w:b/>
                <w:sz w:val="18"/>
                <w:szCs w:val="18"/>
                <w:lang w:val="en-CA"/>
              </w:rPr>
            </w:pPr>
            <w:r w:rsidRPr="004326A5">
              <w:rPr>
                <w:rFonts w:ascii="Arial" w:hAnsi="Arial" w:cs="Arial"/>
                <w:b/>
                <w:sz w:val="18"/>
                <w:szCs w:val="18"/>
                <w:lang w:val="en-CA"/>
              </w:rPr>
              <w:t>Assets</w:t>
            </w:r>
          </w:p>
        </w:tc>
        <w:tc>
          <w:tcPr>
            <w:tcW w:w="956" w:type="dxa"/>
          </w:tcPr>
          <w:p w14:paraId="71FA2CFB" w14:textId="77777777" w:rsidR="00874275" w:rsidRPr="004326A5" w:rsidRDefault="00874275" w:rsidP="00874275">
            <w:pPr>
              <w:jc w:val="right"/>
              <w:rPr>
                <w:rFonts w:ascii="Arial" w:eastAsia="SimSun" w:hAnsi="Arial" w:cs="Arial"/>
                <w:sz w:val="18"/>
                <w:szCs w:val="18"/>
                <w:lang w:val="en-CA"/>
              </w:rPr>
            </w:pPr>
          </w:p>
        </w:tc>
        <w:tc>
          <w:tcPr>
            <w:tcW w:w="956" w:type="dxa"/>
          </w:tcPr>
          <w:p w14:paraId="50ED63EF" w14:textId="77777777" w:rsidR="00874275" w:rsidRPr="004326A5" w:rsidRDefault="00874275" w:rsidP="00874275">
            <w:pPr>
              <w:jc w:val="right"/>
              <w:rPr>
                <w:rFonts w:ascii="Arial" w:eastAsia="SimSun" w:hAnsi="Arial" w:cs="Arial"/>
                <w:sz w:val="18"/>
                <w:szCs w:val="18"/>
                <w:lang w:val="en-CA"/>
              </w:rPr>
            </w:pPr>
          </w:p>
        </w:tc>
        <w:tc>
          <w:tcPr>
            <w:tcW w:w="955" w:type="dxa"/>
          </w:tcPr>
          <w:p w14:paraId="3FEBC9B0" w14:textId="77777777" w:rsidR="00874275" w:rsidRPr="004326A5" w:rsidRDefault="00874275" w:rsidP="00874275">
            <w:pPr>
              <w:jc w:val="right"/>
              <w:rPr>
                <w:rFonts w:ascii="Arial" w:eastAsia="SimSun" w:hAnsi="Arial" w:cs="Arial"/>
                <w:sz w:val="18"/>
                <w:szCs w:val="18"/>
                <w:lang w:val="en-CA"/>
              </w:rPr>
            </w:pPr>
          </w:p>
        </w:tc>
        <w:tc>
          <w:tcPr>
            <w:tcW w:w="955" w:type="dxa"/>
          </w:tcPr>
          <w:p w14:paraId="49D9A534" w14:textId="77777777" w:rsidR="00874275" w:rsidRPr="004326A5" w:rsidRDefault="00874275" w:rsidP="00874275">
            <w:pPr>
              <w:jc w:val="right"/>
              <w:rPr>
                <w:rFonts w:ascii="Arial" w:eastAsia="SimSun" w:hAnsi="Arial" w:cs="Arial"/>
                <w:sz w:val="18"/>
                <w:szCs w:val="18"/>
                <w:lang w:val="en-CA"/>
              </w:rPr>
            </w:pPr>
          </w:p>
        </w:tc>
        <w:tc>
          <w:tcPr>
            <w:tcW w:w="955" w:type="dxa"/>
          </w:tcPr>
          <w:p w14:paraId="012C81CA" w14:textId="77777777" w:rsidR="00874275" w:rsidRPr="004326A5" w:rsidRDefault="00874275" w:rsidP="00874275">
            <w:pPr>
              <w:jc w:val="right"/>
              <w:rPr>
                <w:rFonts w:ascii="Arial" w:eastAsia="SimSun" w:hAnsi="Arial" w:cs="Arial"/>
                <w:sz w:val="18"/>
                <w:szCs w:val="18"/>
                <w:lang w:val="en-CA"/>
              </w:rPr>
            </w:pPr>
          </w:p>
        </w:tc>
        <w:tc>
          <w:tcPr>
            <w:tcW w:w="955" w:type="dxa"/>
          </w:tcPr>
          <w:p w14:paraId="7A77EA71" w14:textId="4D5CEE3D" w:rsidR="00874275" w:rsidRPr="004326A5" w:rsidRDefault="00874275" w:rsidP="00874275">
            <w:pPr>
              <w:jc w:val="right"/>
              <w:rPr>
                <w:rFonts w:ascii="Arial" w:eastAsia="SimSun" w:hAnsi="Arial" w:cs="Arial"/>
                <w:sz w:val="18"/>
                <w:szCs w:val="18"/>
                <w:lang w:val="en-CA"/>
              </w:rPr>
            </w:pPr>
          </w:p>
        </w:tc>
      </w:tr>
      <w:tr w:rsidR="00874275" w:rsidRPr="004326A5" w14:paraId="6C82A770" w14:textId="77777777" w:rsidTr="001358C5">
        <w:trPr>
          <w:trHeight w:val="56"/>
        </w:trPr>
        <w:tc>
          <w:tcPr>
            <w:tcW w:w="3628" w:type="dxa"/>
            <w:noWrap/>
          </w:tcPr>
          <w:p w14:paraId="6BA6C3D4" w14:textId="77777777" w:rsidR="00874275" w:rsidRPr="004326A5" w:rsidRDefault="00874275" w:rsidP="00874275">
            <w:pPr>
              <w:rPr>
                <w:rFonts w:ascii="Arial" w:hAnsi="Arial" w:cs="Arial"/>
                <w:b/>
                <w:sz w:val="18"/>
                <w:szCs w:val="18"/>
                <w:lang w:val="en-CA"/>
              </w:rPr>
            </w:pPr>
            <w:r w:rsidRPr="004326A5">
              <w:rPr>
                <w:rFonts w:ascii="Arial" w:hAnsi="Arial" w:cs="Arial"/>
                <w:b/>
                <w:sz w:val="18"/>
                <w:szCs w:val="18"/>
                <w:lang w:val="en-CA"/>
              </w:rPr>
              <w:t>Current Assets</w:t>
            </w:r>
          </w:p>
        </w:tc>
        <w:tc>
          <w:tcPr>
            <w:tcW w:w="956" w:type="dxa"/>
          </w:tcPr>
          <w:p w14:paraId="7FF807D9" w14:textId="77777777" w:rsidR="00874275" w:rsidRPr="004326A5" w:rsidRDefault="00874275" w:rsidP="00874275">
            <w:pPr>
              <w:jc w:val="right"/>
              <w:rPr>
                <w:rFonts w:ascii="Arial" w:eastAsia="SimSun" w:hAnsi="Arial" w:cs="Arial"/>
                <w:sz w:val="18"/>
                <w:szCs w:val="18"/>
                <w:lang w:val="en-CA"/>
              </w:rPr>
            </w:pPr>
          </w:p>
        </w:tc>
        <w:tc>
          <w:tcPr>
            <w:tcW w:w="956" w:type="dxa"/>
          </w:tcPr>
          <w:p w14:paraId="5E224D15" w14:textId="77777777" w:rsidR="00874275" w:rsidRPr="004326A5" w:rsidRDefault="00874275" w:rsidP="00874275">
            <w:pPr>
              <w:jc w:val="right"/>
              <w:rPr>
                <w:rFonts w:ascii="Arial" w:eastAsia="SimSun" w:hAnsi="Arial" w:cs="Arial"/>
                <w:sz w:val="18"/>
                <w:szCs w:val="18"/>
                <w:lang w:val="en-CA"/>
              </w:rPr>
            </w:pPr>
          </w:p>
        </w:tc>
        <w:tc>
          <w:tcPr>
            <w:tcW w:w="955" w:type="dxa"/>
          </w:tcPr>
          <w:p w14:paraId="074BF41D" w14:textId="77777777" w:rsidR="00874275" w:rsidRPr="004326A5" w:rsidRDefault="00874275" w:rsidP="00874275">
            <w:pPr>
              <w:jc w:val="right"/>
              <w:rPr>
                <w:rFonts w:ascii="Arial" w:eastAsia="SimSun" w:hAnsi="Arial" w:cs="Arial"/>
                <w:sz w:val="18"/>
                <w:szCs w:val="18"/>
                <w:lang w:val="en-CA"/>
              </w:rPr>
            </w:pPr>
          </w:p>
        </w:tc>
        <w:tc>
          <w:tcPr>
            <w:tcW w:w="955" w:type="dxa"/>
          </w:tcPr>
          <w:p w14:paraId="46DAF255" w14:textId="77777777" w:rsidR="00874275" w:rsidRPr="004326A5" w:rsidRDefault="00874275" w:rsidP="00874275">
            <w:pPr>
              <w:jc w:val="right"/>
              <w:rPr>
                <w:rFonts w:ascii="Arial" w:eastAsia="SimSun" w:hAnsi="Arial" w:cs="Arial"/>
                <w:sz w:val="18"/>
                <w:szCs w:val="18"/>
                <w:lang w:val="en-CA"/>
              </w:rPr>
            </w:pPr>
          </w:p>
        </w:tc>
        <w:tc>
          <w:tcPr>
            <w:tcW w:w="955" w:type="dxa"/>
          </w:tcPr>
          <w:p w14:paraId="61FBBCC1" w14:textId="77777777" w:rsidR="00874275" w:rsidRPr="004326A5" w:rsidRDefault="00874275" w:rsidP="00874275">
            <w:pPr>
              <w:jc w:val="right"/>
              <w:rPr>
                <w:rFonts w:ascii="Arial" w:eastAsia="SimSun" w:hAnsi="Arial" w:cs="Arial"/>
                <w:sz w:val="18"/>
                <w:szCs w:val="18"/>
                <w:lang w:val="en-CA"/>
              </w:rPr>
            </w:pPr>
          </w:p>
        </w:tc>
        <w:tc>
          <w:tcPr>
            <w:tcW w:w="955" w:type="dxa"/>
          </w:tcPr>
          <w:p w14:paraId="77B38E6E" w14:textId="237BDDE1" w:rsidR="00874275" w:rsidRPr="004326A5" w:rsidRDefault="00874275" w:rsidP="00874275">
            <w:pPr>
              <w:jc w:val="right"/>
              <w:rPr>
                <w:rFonts w:ascii="Arial" w:eastAsia="SimSun" w:hAnsi="Arial" w:cs="Arial"/>
                <w:sz w:val="18"/>
                <w:szCs w:val="18"/>
                <w:lang w:val="en-CA"/>
              </w:rPr>
            </w:pPr>
          </w:p>
        </w:tc>
      </w:tr>
      <w:tr w:rsidR="00874275" w:rsidRPr="004326A5" w14:paraId="528F418A" w14:textId="77777777" w:rsidTr="001358C5">
        <w:trPr>
          <w:trHeight w:val="288"/>
        </w:trPr>
        <w:tc>
          <w:tcPr>
            <w:tcW w:w="3628" w:type="dxa"/>
            <w:noWrap/>
          </w:tcPr>
          <w:p w14:paraId="6B5E6919" w14:textId="77777777" w:rsidR="00874275" w:rsidRPr="004326A5" w:rsidRDefault="00874275" w:rsidP="00874275">
            <w:pPr>
              <w:ind w:left="144"/>
              <w:rPr>
                <w:rFonts w:ascii="Arial" w:hAnsi="Arial" w:cs="Arial"/>
                <w:sz w:val="18"/>
                <w:szCs w:val="18"/>
                <w:lang w:val="en-CA"/>
              </w:rPr>
            </w:pPr>
            <w:r w:rsidRPr="004326A5">
              <w:rPr>
                <w:rFonts w:ascii="Arial" w:hAnsi="Arial" w:cs="Arial"/>
                <w:sz w:val="18"/>
                <w:szCs w:val="18"/>
                <w:lang w:val="en-CA"/>
              </w:rPr>
              <w:t>Cash and Cash Equivalents</w:t>
            </w:r>
          </w:p>
        </w:tc>
        <w:tc>
          <w:tcPr>
            <w:tcW w:w="956" w:type="dxa"/>
          </w:tcPr>
          <w:p w14:paraId="0CF312F2" w14:textId="2F0892FA"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747 </w:t>
            </w:r>
          </w:p>
        </w:tc>
        <w:tc>
          <w:tcPr>
            <w:tcW w:w="956" w:type="dxa"/>
          </w:tcPr>
          <w:p w14:paraId="037AECA0" w14:textId="121EEC6B"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609 </w:t>
            </w:r>
          </w:p>
        </w:tc>
        <w:tc>
          <w:tcPr>
            <w:tcW w:w="955" w:type="dxa"/>
          </w:tcPr>
          <w:p w14:paraId="50D8DFC1" w14:textId="7623F32E"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1,028 </w:t>
            </w:r>
          </w:p>
        </w:tc>
        <w:tc>
          <w:tcPr>
            <w:tcW w:w="955" w:type="dxa"/>
          </w:tcPr>
          <w:p w14:paraId="14556400" w14:textId="43AB1750"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250 </w:t>
            </w:r>
          </w:p>
        </w:tc>
        <w:tc>
          <w:tcPr>
            <w:tcW w:w="955" w:type="dxa"/>
          </w:tcPr>
          <w:p w14:paraId="3D9F0AB4" w14:textId="7E81A2F5"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238 </w:t>
            </w:r>
          </w:p>
        </w:tc>
        <w:tc>
          <w:tcPr>
            <w:tcW w:w="955" w:type="dxa"/>
          </w:tcPr>
          <w:p w14:paraId="1FF2D633" w14:textId="1185306A"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286 </w:t>
            </w:r>
          </w:p>
        </w:tc>
      </w:tr>
      <w:tr w:rsidR="00874275" w:rsidRPr="004326A5" w14:paraId="41941B3C" w14:textId="77777777" w:rsidTr="001358C5">
        <w:trPr>
          <w:trHeight w:val="288"/>
        </w:trPr>
        <w:tc>
          <w:tcPr>
            <w:tcW w:w="3628" w:type="dxa"/>
            <w:noWrap/>
          </w:tcPr>
          <w:p w14:paraId="5CD22D70" w14:textId="77777777" w:rsidR="00874275" w:rsidRPr="004326A5" w:rsidRDefault="00874275" w:rsidP="00874275">
            <w:pPr>
              <w:ind w:left="144"/>
              <w:rPr>
                <w:rFonts w:ascii="Arial" w:hAnsi="Arial" w:cs="Arial"/>
                <w:sz w:val="18"/>
                <w:szCs w:val="18"/>
                <w:lang w:val="en-CA"/>
              </w:rPr>
            </w:pPr>
            <w:r w:rsidRPr="004326A5">
              <w:rPr>
                <w:rFonts w:ascii="Arial" w:hAnsi="Arial" w:cs="Arial"/>
                <w:sz w:val="18"/>
                <w:szCs w:val="18"/>
                <w:lang w:val="en-CA"/>
              </w:rPr>
              <w:t>Restricted Cash</w:t>
            </w:r>
          </w:p>
        </w:tc>
        <w:tc>
          <w:tcPr>
            <w:tcW w:w="956" w:type="dxa"/>
          </w:tcPr>
          <w:p w14:paraId="510E2455" w14:textId="76FB3A5D"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7 </w:t>
            </w:r>
          </w:p>
        </w:tc>
        <w:tc>
          <w:tcPr>
            <w:tcW w:w="956" w:type="dxa"/>
          </w:tcPr>
          <w:p w14:paraId="78880EC1" w14:textId="47607C78"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9 </w:t>
            </w:r>
          </w:p>
        </w:tc>
        <w:tc>
          <w:tcPr>
            <w:tcW w:w="955" w:type="dxa"/>
          </w:tcPr>
          <w:p w14:paraId="2535626D" w14:textId="5C3530A2"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10 </w:t>
            </w:r>
          </w:p>
        </w:tc>
        <w:tc>
          <w:tcPr>
            <w:tcW w:w="955" w:type="dxa"/>
          </w:tcPr>
          <w:p w14:paraId="7263C001" w14:textId="0622DDA4"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 </w:t>
            </w:r>
          </w:p>
        </w:tc>
        <w:tc>
          <w:tcPr>
            <w:tcW w:w="955" w:type="dxa"/>
          </w:tcPr>
          <w:p w14:paraId="25735AD9" w14:textId="029D7E73"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w:t>
            </w:r>
          </w:p>
        </w:tc>
        <w:tc>
          <w:tcPr>
            <w:tcW w:w="955" w:type="dxa"/>
          </w:tcPr>
          <w:p w14:paraId="06260785" w14:textId="6F08B926"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w:t>
            </w:r>
          </w:p>
        </w:tc>
      </w:tr>
      <w:tr w:rsidR="00874275" w:rsidRPr="004326A5" w14:paraId="27BC6B44" w14:textId="77777777" w:rsidTr="001358C5">
        <w:trPr>
          <w:trHeight w:val="288"/>
        </w:trPr>
        <w:tc>
          <w:tcPr>
            <w:tcW w:w="3628" w:type="dxa"/>
            <w:noWrap/>
          </w:tcPr>
          <w:p w14:paraId="69E5B3BF" w14:textId="77777777" w:rsidR="00874275" w:rsidRPr="004326A5" w:rsidRDefault="00874275" w:rsidP="00874275">
            <w:pPr>
              <w:ind w:left="144"/>
              <w:rPr>
                <w:rFonts w:ascii="Arial" w:hAnsi="Arial" w:cs="Arial"/>
                <w:sz w:val="18"/>
                <w:szCs w:val="18"/>
                <w:lang w:val="en-CA"/>
              </w:rPr>
            </w:pPr>
            <w:r w:rsidRPr="004326A5">
              <w:rPr>
                <w:rFonts w:ascii="Arial" w:hAnsi="Arial" w:cs="Arial"/>
                <w:sz w:val="18"/>
                <w:szCs w:val="18"/>
                <w:lang w:val="en-CA"/>
              </w:rPr>
              <w:t>Accounts Receivables</w:t>
            </w:r>
          </w:p>
        </w:tc>
        <w:tc>
          <w:tcPr>
            <w:tcW w:w="956" w:type="dxa"/>
          </w:tcPr>
          <w:p w14:paraId="2FA58F2F" w14:textId="1EFAEECF"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695 </w:t>
            </w:r>
          </w:p>
        </w:tc>
        <w:tc>
          <w:tcPr>
            <w:tcW w:w="956" w:type="dxa"/>
          </w:tcPr>
          <w:p w14:paraId="36379532" w14:textId="5B93D8E4"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635 </w:t>
            </w:r>
          </w:p>
        </w:tc>
        <w:tc>
          <w:tcPr>
            <w:tcW w:w="955" w:type="dxa"/>
          </w:tcPr>
          <w:p w14:paraId="04B6E4BD" w14:textId="7F9799AE"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553 </w:t>
            </w:r>
          </w:p>
        </w:tc>
        <w:tc>
          <w:tcPr>
            <w:tcW w:w="955" w:type="dxa"/>
          </w:tcPr>
          <w:p w14:paraId="13664B0D" w14:textId="3F688426"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429 </w:t>
            </w:r>
          </w:p>
        </w:tc>
        <w:tc>
          <w:tcPr>
            <w:tcW w:w="955" w:type="dxa"/>
          </w:tcPr>
          <w:p w14:paraId="69A595AD" w14:textId="40607614"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419 </w:t>
            </w:r>
          </w:p>
        </w:tc>
        <w:tc>
          <w:tcPr>
            <w:tcW w:w="955" w:type="dxa"/>
          </w:tcPr>
          <w:p w14:paraId="2C2D9642" w14:textId="5570F64C"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466 </w:t>
            </w:r>
          </w:p>
        </w:tc>
      </w:tr>
      <w:tr w:rsidR="00874275" w:rsidRPr="004326A5" w14:paraId="471EC251" w14:textId="77777777" w:rsidTr="001358C5">
        <w:trPr>
          <w:trHeight w:val="288"/>
        </w:trPr>
        <w:tc>
          <w:tcPr>
            <w:tcW w:w="3628" w:type="dxa"/>
            <w:noWrap/>
          </w:tcPr>
          <w:p w14:paraId="026BDAB6" w14:textId="77777777" w:rsidR="00874275" w:rsidRPr="004326A5" w:rsidRDefault="00874275" w:rsidP="00874275">
            <w:pPr>
              <w:ind w:left="144"/>
              <w:rPr>
                <w:rFonts w:ascii="Arial" w:hAnsi="Arial" w:cs="Arial"/>
                <w:sz w:val="18"/>
                <w:szCs w:val="18"/>
                <w:lang w:val="en-CA"/>
              </w:rPr>
            </w:pPr>
            <w:r w:rsidRPr="004326A5">
              <w:rPr>
                <w:rFonts w:ascii="Arial" w:hAnsi="Arial" w:cs="Arial"/>
                <w:sz w:val="18"/>
                <w:szCs w:val="18"/>
                <w:lang w:val="en-CA"/>
              </w:rPr>
              <w:t>Merchandise Inventories</w:t>
            </w:r>
          </w:p>
        </w:tc>
        <w:tc>
          <w:tcPr>
            <w:tcW w:w="956" w:type="dxa"/>
          </w:tcPr>
          <w:p w14:paraId="3523539C" w14:textId="1BA839C4"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8,407 </w:t>
            </w:r>
          </w:p>
        </w:tc>
        <w:tc>
          <w:tcPr>
            <w:tcW w:w="956" w:type="dxa"/>
          </w:tcPr>
          <w:p w14:paraId="3AB8DD76" w14:textId="51F47FBD"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7,558 </w:t>
            </w:r>
          </w:p>
        </w:tc>
        <w:tc>
          <w:tcPr>
            <w:tcW w:w="955" w:type="dxa"/>
          </w:tcPr>
          <w:p w14:paraId="65FB2030" w14:textId="75EF9873"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7,034 </w:t>
            </w:r>
          </w:p>
        </w:tc>
        <w:tc>
          <w:tcPr>
            <w:tcW w:w="955" w:type="dxa"/>
          </w:tcPr>
          <w:p w14:paraId="54F681F4" w14:textId="27A27395"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4,943 </w:t>
            </w:r>
          </w:p>
        </w:tc>
        <w:tc>
          <w:tcPr>
            <w:tcW w:w="955" w:type="dxa"/>
          </w:tcPr>
          <w:p w14:paraId="1B3EA797" w14:textId="4F9EAABE"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5,172 </w:t>
            </w:r>
          </w:p>
        </w:tc>
        <w:tc>
          <w:tcPr>
            <w:tcW w:w="955" w:type="dxa"/>
          </w:tcPr>
          <w:p w14:paraId="7EB224C5" w14:textId="106C0669"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3,959 </w:t>
            </w:r>
          </w:p>
        </w:tc>
      </w:tr>
      <w:tr w:rsidR="00874275" w:rsidRPr="004326A5" w14:paraId="1B2704C6" w14:textId="77777777" w:rsidTr="001358C5">
        <w:trPr>
          <w:trHeight w:val="288"/>
        </w:trPr>
        <w:tc>
          <w:tcPr>
            <w:tcW w:w="3628" w:type="dxa"/>
            <w:noWrap/>
          </w:tcPr>
          <w:p w14:paraId="02116D3B" w14:textId="77777777" w:rsidR="00874275" w:rsidRPr="004326A5" w:rsidRDefault="00874275" w:rsidP="00874275">
            <w:pPr>
              <w:ind w:left="144"/>
              <w:rPr>
                <w:rFonts w:ascii="Arial" w:hAnsi="Arial" w:cs="Arial"/>
                <w:sz w:val="18"/>
                <w:szCs w:val="18"/>
                <w:lang w:val="en-CA"/>
              </w:rPr>
            </w:pPr>
            <w:r w:rsidRPr="004326A5">
              <w:rPr>
                <w:rFonts w:ascii="Arial" w:hAnsi="Arial" w:cs="Arial"/>
                <w:sz w:val="18"/>
                <w:szCs w:val="18"/>
                <w:lang w:val="en-CA"/>
              </w:rPr>
              <w:t>Prepaid Expenses and Other Current Assets</w:t>
            </w:r>
          </w:p>
        </w:tc>
        <w:tc>
          <w:tcPr>
            <w:tcW w:w="956" w:type="dxa"/>
          </w:tcPr>
          <w:p w14:paraId="10AC7E7E" w14:textId="1FBCE162"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388 </w:t>
            </w:r>
          </w:p>
        </w:tc>
        <w:tc>
          <w:tcPr>
            <w:tcW w:w="956" w:type="dxa"/>
          </w:tcPr>
          <w:p w14:paraId="749E96DE" w14:textId="2BD5587E"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454 </w:t>
            </w:r>
          </w:p>
        </w:tc>
        <w:tc>
          <w:tcPr>
            <w:tcW w:w="955" w:type="dxa"/>
          </w:tcPr>
          <w:p w14:paraId="44BF099A" w14:textId="03B877E1"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334 </w:t>
            </w:r>
          </w:p>
        </w:tc>
        <w:tc>
          <w:tcPr>
            <w:tcW w:w="955" w:type="dxa"/>
          </w:tcPr>
          <w:p w14:paraId="43E1C7FE" w14:textId="1E38E370"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241 </w:t>
            </w:r>
          </w:p>
        </w:tc>
        <w:tc>
          <w:tcPr>
            <w:tcW w:w="955" w:type="dxa"/>
          </w:tcPr>
          <w:p w14:paraId="7392B52B" w14:textId="15090DD2"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216 </w:t>
            </w:r>
          </w:p>
        </w:tc>
        <w:tc>
          <w:tcPr>
            <w:tcW w:w="955" w:type="dxa"/>
          </w:tcPr>
          <w:p w14:paraId="71980EB4" w14:textId="4DAFFD3C"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285 </w:t>
            </w:r>
          </w:p>
        </w:tc>
      </w:tr>
      <w:tr w:rsidR="00874275" w:rsidRPr="004326A5" w14:paraId="5B2E0A66" w14:textId="77777777" w:rsidTr="001358C5">
        <w:trPr>
          <w:trHeight w:val="56"/>
        </w:trPr>
        <w:tc>
          <w:tcPr>
            <w:tcW w:w="3628" w:type="dxa"/>
            <w:noWrap/>
          </w:tcPr>
          <w:p w14:paraId="42EEF0ED" w14:textId="77777777" w:rsidR="00874275" w:rsidRPr="004326A5" w:rsidRDefault="00874275" w:rsidP="00874275">
            <w:pPr>
              <w:ind w:left="144"/>
              <w:rPr>
                <w:rFonts w:ascii="Arial" w:hAnsi="Arial" w:cs="Arial"/>
                <w:b/>
                <w:sz w:val="18"/>
                <w:szCs w:val="18"/>
                <w:lang w:val="en-CA"/>
              </w:rPr>
            </w:pPr>
            <w:r w:rsidRPr="004326A5">
              <w:rPr>
                <w:rFonts w:ascii="Arial" w:hAnsi="Arial" w:cs="Arial"/>
                <w:b/>
                <w:sz w:val="18"/>
                <w:szCs w:val="18"/>
                <w:lang w:val="en-CA"/>
              </w:rPr>
              <w:t>Total Current Assets</w:t>
            </w:r>
          </w:p>
        </w:tc>
        <w:tc>
          <w:tcPr>
            <w:tcW w:w="956" w:type="dxa"/>
          </w:tcPr>
          <w:p w14:paraId="170304DB" w14:textId="2C1F2387"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10,244 </w:t>
            </w:r>
          </w:p>
        </w:tc>
        <w:tc>
          <w:tcPr>
            <w:tcW w:w="956" w:type="dxa"/>
          </w:tcPr>
          <w:p w14:paraId="644285D0" w14:textId="32B0A3A7"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9,265 </w:t>
            </w:r>
          </w:p>
        </w:tc>
        <w:tc>
          <w:tcPr>
            <w:tcW w:w="955" w:type="dxa"/>
          </w:tcPr>
          <w:p w14:paraId="06DB1CC4" w14:textId="56DBAF34"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8,959 </w:t>
            </w:r>
          </w:p>
        </w:tc>
        <w:tc>
          <w:tcPr>
            <w:tcW w:w="955" w:type="dxa"/>
          </w:tcPr>
          <w:p w14:paraId="019BDE47" w14:textId="0779FE08"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5,863 </w:t>
            </w:r>
          </w:p>
        </w:tc>
        <w:tc>
          <w:tcPr>
            <w:tcW w:w="955" w:type="dxa"/>
          </w:tcPr>
          <w:p w14:paraId="6CCDDAA8" w14:textId="1764001E"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6,045 </w:t>
            </w:r>
          </w:p>
        </w:tc>
        <w:tc>
          <w:tcPr>
            <w:tcW w:w="955" w:type="dxa"/>
          </w:tcPr>
          <w:p w14:paraId="639D9B7F" w14:textId="5E3D32AC"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4,996 </w:t>
            </w:r>
          </w:p>
        </w:tc>
      </w:tr>
      <w:tr w:rsidR="00874275" w:rsidRPr="004326A5" w14:paraId="417B83DD" w14:textId="77777777" w:rsidTr="001358C5">
        <w:trPr>
          <w:trHeight w:val="56"/>
        </w:trPr>
        <w:tc>
          <w:tcPr>
            <w:tcW w:w="3628" w:type="dxa"/>
            <w:noWrap/>
          </w:tcPr>
          <w:p w14:paraId="1051DF46" w14:textId="77777777" w:rsidR="00874275" w:rsidRPr="004326A5" w:rsidRDefault="00874275" w:rsidP="00874275">
            <w:pPr>
              <w:rPr>
                <w:rFonts w:ascii="Arial" w:hAnsi="Arial" w:cs="Arial"/>
                <w:b/>
                <w:sz w:val="18"/>
                <w:szCs w:val="18"/>
                <w:lang w:val="en-CA"/>
              </w:rPr>
            </w:pPr>
            <w:r w:rsidRPr="004326A5">
              <w:rPr>
                <w:rFonts w:ascii="Arial" w:hAnsi="Arial" w:cs="Arial"/>
                <w:b/>
                <w:sz w:val="18"/>
                <w:szCs w:val="18"/>
                <w:lang w:val="en-CA"/>
              </w:rPr>
              <w:t>Property and Equipment</w:t>
            </w:r>
          </w:p>
        </w:tc>
        <w:tc>
          <w:tcPr>
            <w:tcW w:w="956" w:type="dxa"/>
          </w:tcPr>
          <w:p w14:paraId="07DAAF94" w14:textId="77777777" w:rsidR="00874275" w:rsidRPr="004326A5" w:rsidRDefault="00874275" w:rsidP="00874275">
            <w:pPr>
              <w:jc w:val="right"/>
              <w:rPr>
                <w:rFonts w:ascii="Arial" w:eastAsia="SimSun" w:hAnsi="Arial" w:cs="Arial"/>
                <w:sz w:val="18"/>
                <w:szCs w:val="18"/>
                <w:lang w:val="en-CA"/>
              </w:rPr>
            </w:pPr>
          </w:p>
        </w:tc>
        <w:tc>
          <w:tcPr>
            <w:tcW w:w="956" w:type="dxa"/>
          </w:tcPr>
          <w:p w14:paraId="1229B743" w14:textId="77777777" w:rsidR="00874275" w:rsidRPr="004326A5" w:rsidRDefault="00874275" w:rsidP="00874275">
            <w:pPr>
              <w:jc w:val="right"/>
              <w:rPr>
                <w:rFonts w:ascii="Arial" w:eastAsia="SimSun" w:hAnsi="Arial" w:cs="Arial"/>
                <w:sz w:val="18"/>
                <w:szCs w:val="18"/>
                <w:lang w:val="en-CA"/>
              </w:rPr>
            </w:pPr>
          </w:p>
        </w:tc>
        <w:tc>
          <w:tcPr>
            <w:tcW w:w="955" w:type="dxa"/>
          </w:tcPr>
          <w:p w14:paraId="4026FE06" w14:textId="77777777" w:rsidR="00874275" w:rsidRPr="004326A5" w:rsidRDefault="00874275" w:rsidP="00874275">
            <w:pPr>
              <w:jc w:val="right"/>
              <w:rPr>
                <w:rFonts w:ascii="Arial" w:eastAsia="SimSun" w:hAnsi="Arial" w:cs="Arial"/>
                <w:sz w:val="18"/>
                <w:szCs w:val="18"/>
                <w:lang w:val="en-CA"/>
              </w:rPr>
            </w:pPr>
          </w:p>
        </w:tc>
        <w:tc>
          <w:tcPr>
            <w:tcW w:w="955" w:type="dxa"/>
          </w:tcPr>
          <w:p w14:paraId="632D4171" w14:textId="77777777" w:rsidR="00874275" w:rsidRPr="004326A5" w:rsidRDefault="00874275" w:rsidP="00874275">
            <w:pPr>
              <w:jc w:val="right"/>
              <w:rPr>
                <w:rFonts w:ascii="Arial" w:eastAsia="SimSun" w:hAnsi="Arial" w:cs="Arial"/>
                <w:sz w:val="18"/>
                <w:szCs w:val="18"/>
                <w:lang w:val="en-CA"/>
              </w:rPr>
            </w:pPr>
          </w:p>
        </w:tc>
        <w:tc>
          <w:tcPr>
            <w:tcW w:w="955" w:type="dxa"/>
          </w:tcPr>
          <w:p w14:paraId="2CAADB35" w14:textId="77777777" w:rsidR="00874275" w:rsidRPr="004326A5" w:rsidRDefault="00874275" w:rsidP="00874275">
            <w:pPr>
              <w:jc w:val="right"/>
              <w:rPr>
                <w:rFonts w:ascii="Arial" w:eastAsia="SimSun" w:hAnsi="Arial" w:cs="Arial"/>
                <w:sz w:val="18"/>
                <w:szCs w:val="18"/>
                <w:lang w:val="en-CA"/>
              </w:rPr>
            </w:pPr>
          </w:p>
        </w:tc>
        <w:tc>
          <w:tcPr>
            <w:tcW w:w="955" w:type="dxa"/>
          </w:tcPr>
          <w:p w14:paraId="2FEF2958" w14:textId="304A47A2" w:rsidR="00874275" w:rsidRPr="004326A5" w:rsidRDefault="00874275" w:rsidP="00874275">
            <w:pPr>
              <w:jc w:val="right"/>
              <w:rPr>
                <w:rFonts w:ascii="Arial" w:eastAsia="SimSun" w:hAnsi="Arial" w:cs="Arial"/>
                <w:sz w:val="18"/>
                <w:szCs w:val="18"/>
                <w:lang w:val="en-CA"/>
              </w:rPr>
            </w:pPr>
          </w:p>
        </w:tc>
      </w:tr>
      <w:tr w:rsidR="00874275" w:rsidRPr="004326A5" w14:paraId="6DE06ECD" w14:textId="77777777" w:rsidTr="001358C5">
        <w:trPr>
          <w:trHeight w:val="288"/>
        </w:trPr>
        <w:tc>
          <w:tcPr>
            <w:tcW w:w="3628" w:type="dxa"/>
            <w:noWrap/>
          </w:tcPr>
          <w:p w14:paraId="3A7E9D10" w14:textId="77777777" w:rsidR="00874275" w:rsidRPr="004326A5" w:rsidRDefault="00874275" w:rsidP="00874275">
            <w:pPr>
              <w:ind w:left="144"/>
              <w:rPr>
                <w:rFonts w:ascii="Arial" w:hAnsi="Arial" w:cs="Arial"/>
                <w:sz w:val="18"/>
                <w:szCs w:val="18"/>
                <w:lang w:val="en-CA"/>
              </w:rPr>
            </w:pPr>
            <w:r w:rsidRPr="004326A5">
              <w:rPr>
                <w:rFonts w:ascii="Arial" w:hAnsi="Arial" w:cs="Arial"/>
                <w:sz w:val="18"/>
                <w:szCs w:val="18"/>
                <w:lang w:val="en-CA"/>
              </w:rPr>
              <w:t>Land</w:t>
            </w:r>
          </w:p>
        </w:tc>
        <w:tc>
          <w:tcPr>
            <w:tcW w:w="956" w:type="dxa"/>
          </w:tcPr>
          <w:p w14:paraId="51FA4C9C" w14:textId="41A2AAFD"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1,924 </w:t>
            </w:r>
          </w:p>
        </w:tc>
        <w:tc>
          <w:tcPr>
            <w:tcW w:w="956" w:type="dxa"/>
          </w:tcPr>
          <w:p w14:paraId="68BA8E38" w14:textId="3D831B41"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1,875 </w:t>
            </w:r>
          </w:p>
        </w:tc>
        <w:tc>
          <w:tcPr>
            <w:tcW w:w="955" w:type="dxa"/>
          </w:tcPr>
          <w:p w14:paraId="230906FE" w14:textId="44DD4E22"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1,850 </w:t>
            </w:r>
          </w:p>
        </w:tc>
        <w:tc>
          <w:tcPr>
            <w:tcW w:w="955" w:type="dxa"/>
          </w:tcPr>
          <w:p w14:paraId="2B885BB6" w14:textId="6E13312D"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1,701 </w:t>
            </w:r>
          </w:p>
        </w:tc>
        <w:tc>
          <w:tcPr>
            <w:tcW w:w="955" w:type="dxa"/>
          </w:tcPr>
          <w:p w14:paraId="219547E7" w14:textId="726535AB"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827 </w:t>
            </w:r>
          </w:p>
        </w:tc>
        <w:tc>
          <w:tcPr>
            <w:tcW w:w="955" w:type="dxa"/>
          </w:tcPr>
          <w:p w14:paraId="265C383E" w14:textId="31A8536D"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770 </w:t>
            </w:r>
          </w:p>
        </w:tc>
      </w:tr>
      <w:tr w:rsidR="00874275" w:rsidRPr="004326A5" w14:paraId="2D9804B7" w14:textId="77777777" w:rsidTr="001358C5">
        <w:trPr>
          <w:trHeight w:val="288"/>
        </w:trPr>
        <w:tc>
          <w:tcPr>
            <w:tcW w:w="3628" w:type="dxa"/>
            <w:noWrap/>
          </w:tcPr>
          <w:p w14:paraId="56079DE4" w14:textId="77777777" w:rsidR="00874275" w:rsidRPr="004326A5" w:rsidRDefault="00874275" w:rsidP="00874275">
            <w:pPr>
              <w:ind w:left="144"/>
              <w:rPr>
                <w:rFonts w:ascii="Arial" w:hAnsi="Arial" w:cs="Arial"/>
                <w:sz w:val="18"/>
                <w:szCs w:val="18"/>
                <w:lang w:val="en-CA"/>
              </w:rPr>
            </w:pPr>
            <w:r w:rsidRPr="004326A5">
              <w:rPr>
                <w:rFonts w:ascii="Arial" w:hAnsi="Arial" w:cs="Arial"/>
                <w:sz w:val="18"/>
                <w:szCs w:val="18"/>
                <w:lang w:val="en-CA"/>
              </w:rPr>
              <w:t>Buildings and Improvement</w:t>
            </w:r>
          </w:p>
        </w:tc>
        <w:tc>
          <w:tcPr>
            <w:tcW w:w="956" w:type="dxa"/>
          </w:tcPr>
          <w:p w14:paraId="35479D16" w14:textId="1886878D"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6,186 </w:t>
            </w:r>
          </w:p>
        </w:tc>
        <w:tc>
          <w:tcPr>
            <w:tcW w:w="956" w:type="dxa"/>
          </w:tcPr>
          <w:p w14:paraId="02EF827D" w14:textId="69B9616E"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6,072 </w:t>
            </w:r>
          </w:p>
        </w:tc>
        <w:tc>
          <w:tcPr>
            <w:tcW w:w="955" w:type="dxa"/>
          </w:tcPr>
          <w:p w14:paraId="2C5215F0" w14:textId="790B4BEF"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5,405 </w:t>
            </w:r>
          </w:p>
        </w:tc>
        <w:tc>
          <w:tcPr>
            <w:tcW w:w="955" w:type="dxa"/>
          </w:tcPr>
          <w:p w14:paraId="297DF71F" w14:textId="715274FE"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4,701 </w:t>
            </w:r>
          </w:p>
        </w:tc>
        <w:tc>
          <w:tcPr>
            <w:tcW w:w="955" w:type="dxa"/>
          </w:tcPr>
          <w:p w14:paraId="1119DC07" w14:textId="2FC8D8DC"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3,140 </w:t>
            </w:r>
          </w:p>
        </w:tc>
        <w:tc>
          <w:tcPr>
            <w:tcW w:w="955" w:type="dxa"/>
          </w:tcPr>
          <w:p w14:paraId="7D41118F" w14:textId="76F43172"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2,954 </w:t>
            </w:r>
          </w:p>
        </w:tc>
      </w:tr>
      <w:tr w:rsidR="00874275" w:rsidRPr="004326A5" w14:paraId="77F5E610" w14:textId="77777777" w:rsidTr="001358C5">
        <w:trPr>
          <w:trHeight w:val="288"/>
        </w:trPr>
        <w:tc>
          <w:tcPr>
            <w:tcW w:w="3628" w:type="dxa"/>
            <w:noWrap/>
          </w:tcPr>
          <w:p w14:paraId="3BF9B73F" w14:textId="29D72EB8" w:rsidR="00874275" w:rsidRPr="004326A5" w:rsidRDefault="00874275" w:rsidP="00874275">
            <w:pPr>
              <w:ind w:left="144"/>
              <w:rPr>
                <w:rFonts w:ascii="Arial" w:hAnsi="Arial" w:cs="Arial"/>
                <w:sz w:val="18"/>
                <w:szCs w:val="18"/>
                <w:lang w:val="en-CA"/>
              </w:rPr>
            </w:pPr>
            <w:r w:rsidRPr="004326A5">
              <w:rPr>
                <w:rFonts w:ascii="Arial" w:hAnsi="Arial" w:cs="Arial"/>
                <w:sz w:val="18"/>
                <w:szCs w:val="18"/>
                <w:lang w:val="en-CA"/>
              </w:rPr>
              <w:t>Furniture, Fixture, and Equipment</w:t>
            </w:r>
          </w:p>
        </w:tc>
        <w:tc>
          <w:tcPr>
            <w:tcW w:w="956" w:type="dxa"/>
          </w:tcPr>
          <w:p w14:paraId="2DFEA3CB" w14:textId="7C0AE551"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2,786 </w:t>
            </w:r>
          </w:p>
        </w:tc>
        <w:tc>
          <w:tcPr>
            <w:tcW w:w="956" w:type="dxa"/>
          </w:tcPr>
          <w:p w14:paraId="3E1A67F8" w14:textId="07DBAA7B"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2,950 </w:t>
            </w:r>
          </w:p>
        </w:tc>
        <w:tc>
          <w:tcPr>
            <w:tcW w:w="955" w:type="dxa"/>
          </w:tcPr>
          <w:p w14:paraId="4B840B0F" w14:textId="416D0B02"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2,587 </w:t>
            </w:r>
          </w:p>
        </w:tc>
        <w:tc>
          <w:tcPr>
            <w:tcW w:w="955" w:type="dxa"/>
          </w:tcPr>
          <w:p w14:paraId="61745810" w14:textId="035F38FA"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1,629 </w:t>
            </w:r>
          </w:p>
        </w:tc>
        <w:tc>
          <w:tcPr>
            <w:tcW w:w="955" w:type="dxa"/>
          </w:tcPr>
          <w:p w14:paraId="21269A6C" w14:textId="47342D96"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1,352 </w:t>
            </w:r>
          </w:p>
        </w:tc>
        <w:tc>
          <w:tcPr>
            <w:tcW w:w="955" w:type="dxa"/>
          </w:tcPr>
          <w:p w14:paraId="75F7D2C3" w14:textId="281AA487"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1,133 </w:t>
            </w:r>
          </w:p>
        </w:tc>
      </w:tr>
      <w:tr w:rsidR="00874275" w:rsidRPr="004326A5" w14:paraId="7DF1820A" w14:textId="77777777" w:rsidTr="001358C5">
        <w:trPr>
          <w:trHeight w:val="288"/>
        </w:trPr>
        <w:tc>
          <w:tcPr>
            <w:tcW w:w="3628" w:type="dxa"/>
            <w:noWrap/>
          </w:tcPr>
          <w:p w14:paraId="2F87F4B1" w14:textId="77777777" w:rsidR="00874275" w:rsidRPr="004326A5" w:rsidRDefault="00874275" w:rsidP="00874275">
            <w:pPr>
              <w:ind w:left="144"/>
              <w:rPr>
                <w:rFonts w:ascii="Arial" w:hAnsi="Arial" w:cs="Arial"/>
                <w:sz w:val="18"/>
                <w:szCs w:val="18"/>
                <w:lang w:val="en-CA"/>
              </w:rPr>
            </w:pPr>
            <w:r w:rsidRPr="004326A5">
              <w:rPr>
                <w:rFonts w:ascii="Arial" w:hAnsi="Arial" w:cs="Arial"/>
                <w:sz w:val="18"/>
                <w:szCs w:val="18"/>
                <w:lang w:val="en-CA"/>
              </w:rPr>
              <w:t>Capital Leases</w:t>
            </w:r>
          </w:p>
        </w:tc>
        <w:tc>
          <w:tcPr>
            <w:tcW w:w="956" w:type="dxa"/>
          </w:tcPr>
          <w:p w14:paraId="1A6A85B0" w14:textId="490C3E00"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314 </w:t>
            </w:r>
          </w:p>
        </w:tc>
        <w:tc>
          <w:tcPr>
            <w:tcW w:w="956" w:type="dxa"/>
          </w:tcPr>
          <w:p w14:paraId="012688ED" w14:textId="1127EB48"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347 </w:t>
            </w:r>
          </w:p>
        </w:tc>
        <w:tc>
          <w:tcPr>
            <w:tcW w:w="955" w:type="dxa"/>
          </w:tcPr>
          <w:p w14:paraId="2B1B0947" w14:textId="0F4C16E2"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267 </w:t>
            </w:r>
          </w:p>
        </w:tc>
        <w:tc>
          <w:tcPr>
            <w:tcW w:w="955" w:type="dxa"/>
          </w:tcPr>
          <w:p w14:paraId="4440F481" w14:textId="7719764E"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282 </w:t>
            </w:r>
          </w:p>
        </w:tc>
        <w:tc>
          <w:tcPr>
            <w:tcW w:w="955" w:type="dxa"/>
          </w:tcPr>
          <w:p w14:paraId="2F662B6C" w14:textId="37C5C024"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272 </w:t>
            </w:r>
          </w:p>
        </w:tc>
        <w:tc>
          <w:tcPr>
            <w:tcW w:w="955" w:type="dxa"/>
          </w:tcPr>
          <w:p w14:paraId="0DC2EDF7" w14:textId="60FEF0BB"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224 </w:t>
            </w:r>
          </w:p>
        </w:tc>
      </w:tr>
      <w:tr w:rsidR="00874275" w:rsidRPr="004326A5" w14:paraId="7B64DDF4" w14:textId="77777777" w:rsidTr="001358C5">
        <w:trPr>
          <w:trHeight w:val="62"/>
        </w:trPr>
        <w:tc>
          <w:tcPr>
            <w:tcW w:w="3628" w:type="dxa"/>
            <w:noWrap/>
          </w:tcPr>
          <w:p w14:paraId="3516AF1F" w14:textId="77777777" w:rsidR="00874275" w:rsidRPr="004326A5" w:rsidRDefault="00874275" w:rsidP="00874275">
            <w:pPr>
              <w:ind w:left="144"/>
              <w:rPr>
                <w:rFonts w:ascii="Arial" w:hAnsi="Arial" w:cs="Arial"/>
                <w:b/>
                <w:sz w:val="18"/>
                <w:szCs w:val="18"/>
                <w:lang w:val="en-CA"/>
              </w:rPr>
            </w:pPr>
            <w:r w:rsidRPr="004326A5">
              <w:rPr>
                <w:rFonts w:ascii="Arial" w:hAnsi="Arial" w:cs="Arial"/>
                <w:b/>
                <w:sz w:val="18"/>
                <w:szCs w:val="18"/>
                <w:lang w:val="en-CA"/>
              </w:rPr>
              <w:t>Gross Property and Equipment</w:t>
            </w:r>
          </w:p>
        </w:tc>
        <w:tc>
          <w:tcPr>
            <w:tcW w:w="956" w:type="dxa"/>
          </w:tcPr>
          <w:p w14:paraId="668E9327" w14:textId="75B35D4A"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11,210 </w:t>
            </w:r>
          </w:p>
        </w:tc>
        <w:tc>
          <w:tcPr>
            <w:tcW w:w="956" w:type="dxa"/>
          </w:tcPr>
          <w:p w14:paraId="735A5484" w14:textId="4379DE48"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11,244 </w:t>
            </w:r>
          </w:p>
        </w:tc>
        <w:tc>
          <w:tcPr>
            <w:tcW w:w="955" w:type="dxa"/>
          </w:tcPr>
          <w:p w14:paraId="721AE98A" w14:textId="751696B1"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10,109 </w:t>
            </w:r>
          </w:p>
        </w:tc>
        <w:tc>
          <w:tcPr>
            <w:tcW w:w="955" w:type="dxa"/>
          </w:tcPr>
          <w:p w14:paraId="538DF809" w14:textId="26DC83FA"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8,313 </w:t>
            </w:r>
          </w:p>
        </w:tc>
        <w:tc>
          <w:tcPr>
            <w:tcW w:w="955" w:type="dxa"/>
          </w:tcPr>
          <w:p w14:paraId="7CD4BEFC" w14:textId="3868E717"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5,591 </w:t>
            </w:r>
          </w:p>
        </w:tc>
        <w:tc>
          <w:tcPr>
            <w:tcW w:w="955" w:type="dxa"/>
          </w:tcPr>
          <w:p w14:paraId="42490AE8" w14:textId="7D9CA0E0"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5,081 </w:t>
            </w:r>
          </w:p>
        </w:tc>
      </w:tr>
      <w:tr w:rsidR="00874275" w:rsidRPr="004326A5" w14:paraId="7F375C1F" w14:textId="77777777" w:rsidTr="001358C5">
        <w:trPr>
          <w:trHeight w:val="288"/>
        </w:trPr>
        <w:tc>
          <w:tcPr>
            <w:tcW w:w="3628" w:type="dxa"/>
            <w:noWrap/>
          </w:tcPr>
          <w:p w14:paraId="67A3D6EB" w14:textId="77777777" w:rsidR="00874275" w:rsidRPr="004326A5" w:rsidRDefault="00874275" w:rsidP="00874275">
            <w:pPr>
              <w:ind w:left="144"/>
              <w:rPr>
                <w:rFonts w:ascii="Arial" w:hAnsi="Arial" w:cs="Arial"/>
                <w:sz w:val="18"/>
                <w:szCs w:val="18"/>
                <w:lang w:val="en-CA"/>
              </w:rPr>
            </w:pPr>
            <w:r w:rsidRPr="004326A5">
              <w:rPr>
                <w:rFonts w:ascii="Arial" w:hAnsi="Arial" w:cs="Arial"/>
                <w:sz w:val="18"/>
                <w:szCs w:val="18"/>
                <w:lang w:val="en-CA"/>
              </w:rPr>
              <w:t>Less: Accumulated Depreciation and Amortization</w:t>
            </w:r>
          </w:p>
        </w:tc>
        <w:tc>
          <w:tcPr>
            <w:tcW w:w="956" w:type="dxa"/>
          </w:tcPr>
          <w:p w14:paraId="322B74CE" w14:textId="7D0ED12C"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(4,633)</w:t>
            </w:r>
          </w:p>
        </w:tc>
        <w:tc>
          <w:tcPr>
            <w:tcW w:w="956" w:type="dxa"/>
          </w:tcPr>
          <w:p w14:paraId="3F3FC770" w14:textId="355141AE"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(5,191)</w:t>
            </w:r>
          </w:p>
        </w:tc>
        <w:tc>
          <w:tcPr>
            <w:tcW w:w="955" w:type="dxa"/>
          </w:tcPr>
          <w:p w14:paraId="42F0D4BF" w14:textId="7EA00626"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(4,715)</w:t>
            </w:r>
          </w:p>
        </w:tc>
        <w:tc>
          <w:tcPr>
            <w:tcW w:w="955" w:type="dxa"/>
          </w:tcPr>
          <w:p w14:paraId="7FFEC473" w14:textId="74BFC830"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(3,864)</w:t>
            </w:r>
          </w:p>
        </w:tc>
        <w:tc>
          <w:tcPr>
            <w:tcW w:w="955" w:type="dxa"/>
          </w:tcPr>
          <w:p w14:paraId="5C9C0852" w14:textId="2B76382C"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(2,960)</w:t>
            </w:r>
          </w:p>
        </w:tc>
        <w:tc>
          <w:tcPr>
            <w:tcW w:w="955" w:type="dxa"/>
          </w:tcPr>
          <w:p w14:paraId="1378EA30" w14:textId="08AFD571"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(2,841)</w:t>
            </w:r>
          </w:p>
        </w:tc>
      </w:tr>
      <w:tr w:rsidR="00874275" w:rsidRPr="004326A5" w14:paraId="47D89DCE" w14:textId="77777777" w:rsidTr="001358C5">
        <w:trPr>
          <w:trHeight w:val="56"/>
        </w:trPr>
        <w:tc>
          <w:tcPr>
            <w:tcW w:w="3628" w:type="dxa"/>
            <w:noWrap/>
          </w:tcPr>
          <w:p w14:paraId="09D6033B" w14:textId="77777777" w:rsidR="00874275" w:rsidRPr="004326A5" w:rsidRDefault="00874275" w:rsidP="00874275">
            <w:pPr>
              <w:ind w:left="144"/>
              <w:rPr>
                <w:rFonts w:ascii="Arial" w:hAnsi="Arial" w:cs="Arial"/>
                <w:b/>
                <w:sz w:val="18"/>
                <w:szCs w:val="18"/>
                <w:lang w:val="en-CA"/>
              </w:rPr>
            </w:pPr>
            <w:r w:rsidRPr="004326A5">
              <w:rPr>
                <w:rFonts w:ascii="Arial" w:hAnsi="Arial" w:cs="Arial"/>
                <w:b/>
                <w:sz w:val="18"/>
                <w:szCs w:val="18"/>
                <w:lang w:val="en-CA"/>
              </w:rPr>
              <w:t>Total Property and Equipment, Net</w:t>
            </w:r>
          </w:p>
        </w:tc>
        <w:tc>
          <w:tcPr>
            <w:tcW w:w="956" w:type="dxa"/>
          </w:tcPr>
          <w:p w14:paraId="7C14EAC6" w14:textId="3C7B7767"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6,577 </w:t>
            </w:r>
          </w:p>
        </w:tc>
        <w:tc>
          <w:tcPr>
            <w:tcW w:w="956" w:type="dxa"/>
          </w:tcPr>
          <w:p w14:paraId="11627791" w14:textId="09517BAB"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6,053 </w:t>
            </w:r>
          </w:p>
        </w:tc>
        <w:tc>
          <w:tcPr>
            <w:tcW w:w="955" w:type="dxa"/>
          </w:tcPr>
          <w:p w14:paraId="299A0187" w14:textId="5C18D7C3"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5,394 </w:t>
            </w:r>
          </w:p>
        </w:tc>
        <w:tc>
          <w:tcPr>
            <w:tcW w:w="955" w:type="dxa"/>
          </w:tcPr>
          <w:p w14:paraId="423332CC" w14:textId="7C6FC661"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4,449 </w:t>
            </w:r>
          </w:p>
        </w:tc>
        <w:tc>
          <w:tcPr>
            <w:tcW w:w="955" w:type="dxa"/>
          </w:tcPr>
          <w:p w14:paraId="114175E0" w14:textId="7155A927"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2,631 </w:t>
            </w:r>
          </w:p>
        </w:tc>
        <w:tc>
          <w:tcPr>
            <w:tcW w:w="955" w:type="dxa"/>
          </w:tcPr>
          <w:p w14:paraId="7246AC8C" w14:textId="68F81B70"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2,240 </w:t>
            </w:r>
          </w:p>
        </w:tc>
      </w:tr>
      <w:tr w:rsidR="00874275" w:rsidRPr="004326A5" w14:paraId="581D63BA" w14:textId="77777777" w:rsidTr="001358C5">
        <w:trPr>
          <w:trHeight w:val="288"/>
        </w:trPr>
        <w:tc>
          <w:tcPr>
            <w:tcW w:w="3628" w:type="dxa"/>
            <w:noWrap/>
          </w:tcPr>
          <w:p w14:paraId="5C2AB17D" w14:textId="77777777" w:rsidR="00874275" w:rsidRPr="004326A5" w:rsidRDefault="00874275" w:rsidP="00874275">
            <w:pPr>
              <w:rPr>
                <w:rFonts w:ascii="Arial" w:hAnsi="Arial" w:cs="Arial"/>
                <w:sz w:val="18"/>
                <w:szCs w:val="18"/>
                <w:lang w:val="en-CA"/>
              </w:rPr>
            </w:pPr>
            <w:r w:rsidRPr="004326A5">
              <w:rPr>
                <w:rFonts w:ascii="Arial" w:hAnsi="Arial" w:cs="Arial"/>
                <w:sz w:val="18"/>
                <w:szCs w:val="18"/>
                <w:lang w:val="en-CA"/>
              </w:rPr>
              <w:t>Goodwill</w:t>
            </w:r>
          </w:p>
        </w:tc>
        <w:tc>
          <w:tcPr>
            <w:tcW w:w="956" w:type="dxa"/>
          </w:tcPr>
          <w:p w14:paraId="437312A6" w14:textId="67A06BFA"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841 </w:t>
            </w:r>
          </w:p>
        </w:tc>
        <w:tc>
          <w:tcPr>
            <w:tcW w:w="956" w:type="dxa"/>
          </w:tcPr>
          <w:p w14:paraId="32FF1B42" w14:textId="1601FF3A"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379 </w:t>
            </w:r>
          </w:p>
        </w:tc>
        <w:tc>
          <w:tcPr>
            <w:tcW w:w="955" w:type="dxa"/>
          </w:tcPr>
          <w:p w14:paraId="77F5BDC0" w14:textId="401A4CB3"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379 </w:t>
            </w:r>
          </w:p>
        </w:tc>
        <w:tc>
          <w:tcPr>
            <w:tcW w:w="955" w:type="dxa"/>
          </w:tcPr>
          <w:p w14:paraId="005158D1" w14:textId="671A7BA2"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269 </w:t>
            </w:r>
          </w:p>
        </w:tc>
        <w:tc>
          <w:tcPr>
            <w:tcW w:w="955" w:type="dxa"/>
          </w:tcPr>
          <w:p w14:paraId="05B45888" w14:textId="7E472DB5"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269 </w:t>
            </w:r>
          </w:p>
        </w:tc>
        <w:tc>
          <w:tcPr>
            <w:tcW w:w="955" w:type="dxa"/>
          </w:tcPr>
          <w:p w14:paraId="6CE7F774" w14:textId="1753D237"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269 </w:t>
            </w:r>
          </w:p>
        </w:tc>
      </w:tr>
      <w:tr w:rsidR="00874275" w:rsidRPr="004326A5" w14:paraId="4AFA6300" w14:textId="77777777" w:rsidTr="001358C5">
        <w:trPr>
          <w:trHeight w:val="288"/>
        </w:trPr>
        <w:tc>
          <w:tcPr>
            <w:tcW w:w="3628" w:type="dxa"/>
            <w:noWrap/>
          </w:tcPr>
          <w:p w14:paraId="7A87A88A" w14:textId="77777777" w:rsidR="00874275" w:rsidRPr="004326A5" w:rsidRDefault="00874275" w:rsidP="00874275">
            <w:pPr>
              <w:rPr>
                <w:rFonts w:ascii="Arial" w:hAnsi="Arial" w:cs="Arial"/>
                <w:sz w:val="18"/>
                <w:szCs w:val="18"/>
                <w:lang w:val="en-CA"/>
              </w:rPr>
            </w:pPr>
            <w:r w:rsidRPr="004326A5">
              <w:rPr>
                <w:rFonts w:ascii="Arial" w:hAnsi="Arial" w:cs="Arial"/>
                <w:sz w:val="18"/>
                <w:szCs w:val="18"/>
                <w:lang w:val="en-CA"/>
              </w:rPr>
              <w:t>Trade Names and Other Intangible Assets</w:t>
            </w:r>
          </w:p>
        </w:tc>
        <w:tc>
          <w:tcPr>
            <w:tcW w:w="956" w:type="dxa"/>
          </w:tcPr>
          <w:p w14:paraId="6903313E" w14:textId="105B538E"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2,937 </w:t>
            </w:r>
          </w:p>
        </w:tc>
        <w:tc>
          <w:tcPr>
            <w:tcW w:w="956" w:type="dxa"/>
          </w:tcPr>
          <w:p w14:paraId="54B2EDE5" w14:textId="65A91F12"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2,881 </w:t>
            </w:r>
          </w:p>
        </w:tc>
        <w:tc>
          <w:tcPr>
            <w:tcW w:w="955" w:type="dxa"/>
          </w:tcPr>
          <w:p w14:paraId="48872175" w14:textId="4BFD4857"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2,850 </w:t>
            </w:r>
          </w:p>
        </w:tc>
        <w:tc>
          <w:tcPr>
            <w:tcW w:w="955" w:type="dxa"/>
          </w:tcPr>
          <w:p w14:paraId="761907D5" w14:textId="7E05F48D"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2,097 </w:t>
            </w:r>
          </w:p>
        </w:tc>
        <w:tc>
          <w:tcPr>
            <w:tcW w:w="955" w:type="dxa"/>
          </w:tcPr>
          <w:p w14:paraId="28401A51" w14:textId="0BB1725E"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1,909 </w:t>
            </w:r>
          </w:p>
        </w:tc>
        <w:tc>
          <w:tcPr>
            <w:tcW w:w="955" w:type="dxa"/>
          </w:tcPr>
          <w:p w14:paraId="4159AB65" w14:textId="72B516FF"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1,521 </w:t>
            </w:r>
          </w:p>
        </w:tc>
      </w:tr>
      <w:tr w:rsidR="00874275" w:rsidRPr="004326A5" w14:paraId="7226E966" w14:textId="77777777" w:rsidTr="001358C5">
        <w:trPr>
          <w:trHeight w:val="288"/>
        </w:trPr>
        <w:tc>
          <w:tcPr>
            <w:tcW w:w="3628" w:type="dxa"/>
            <w:noWrap/>
          </w:tcPr>
          <w:p w14:paraId="02B4CDD9" w14:textId="77777777" w:rsidR="00874275" w:rsidRPr="004326A5" w:rsidRDefault="00874275" w:rsidP="00874275">
            <w:pPr>
              <w:rPr>
                <w:rFonts w:ascii="Arial" w:hAnsi="Arial" w:cs="Arial"/>
                <w:sz w:val="18"/>
                <w:szCs w:val="18"/>
                <w:lang w:val="en-CA"/>
              </w:rPr>
            </w:pPr>
            <w:r w:rsidRPr="004326A5">
              <w:rPr>
                <w:rFonts w:ascii="Arial" w:hAnsi="Arial" w:cs="Arial"/>
                <w:sz w:val="18"/>
                <w:szCs w:val="18"/>
                <w:lang w:val="en-CA"/>
              </w:rPr>
              <w:t>Other Assets</w:t>
            </w:r>
          </w:p>
        </w:tc>
        <w:tc>
          <w:tcPr>
            <w:tcW w:w="956" w:type="dxa"/>
          </w:tcPr>
          <w:p w14:paraId="19B9281F" w14:textId="1AA11A1F"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782 </w:t>
            </w:r>
          </w:p>
        </w:tc>
        <w:tc>
          <w:tcPr>
            <w:tcW w:w="956" w:type="dxa"/>
          </w:tcPr>
          <w:p w14:paraId="6A971B17" w14:textId="2419EEED"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762 </w:t>
            </w:r>
          </w:p>
        </w:tc>
        <w:tc>
          <w:tcPr>
            <w:tcW w:w="955" w:type="dxa"/>
          </w:tcPr>
          <w:p w14:paraId="4E7889DF" w14:textId="4ECD1F3A"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679 </w:t>
            </w:r>
          </w:p>
        </w:tc>
        <w:tc>
          <w:tcPr>
            <w:tcW w:w="955" w:type="dxa"/>
          </w:tcPr>
          <w:p w14:paraId="128F7F39" w14:textId="4583CB58"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507 </w:t>
            </w:r>
          </w:p>
        </w:tc>
        <w:tc>
          <w:tcPr>
            <w:tcW w:w="955" w:type="dxa"/>
          </w:tcPr>
          <w:p w14:paraId="794E3741" w14:textId="317D2C22"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483 </w:t>
            </w:r>
          </w:p>
        </w:tc>
        <w:tc>
          <w:tcPr>
            <w:tcW w:w="955" w:type="dxa"/>
          </w:tcPr>
          <w:p w14:paraId="6D499EF3" w14:textId="3E3E5BA2"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336 </w:t>
            </w:r>
          </w:p>
        </w:tc>
      </w:tr>
      <w:tr w:rsidR="00874275" w:rsidRPr="004326A5" w14:paraId="01E7F8F9" w14:textId="77777777" w:rsidTr="001358C5">
        <w:trPr>
          <w:trHeight w:val="56"/>
        </w:trPr>
        <w:tc>
          <w:tcPr>
            <w:tcW w:w="3628" w:type="dxa"/>
            <w:noWrap/>
          </w:tcPr>
          <w:p w14:paraId="59D4D801" w14:textId="77777777" w:rsidR="00874275" w:rsidRPr="004326A5" w:rsidRDefault="00874275" w:rsidP="00874275">
            <w:pPr>
              <w:rPr>
                <w:rFonts w:ascii="Arial" w:hAnsi="Arial" w:cs="Arial"/>
                <w:b/>
                <w:sz w:val="18"/>
                <w:szCs w:val="18"/>
                <w:lang w:val="en-CA"/>
              </w:rPr>
            </w:pPr>
            <w:r w:rsidRPr="004326A5">
              <w:rPr>
                <w:rFonts w:ascii="Arial" w:hAnsi="Arial" w:cs="Arial"/>
                <w:b/>
                <w:sz w:val="18"/>
                <w:szCs w:val="18"/>
                <w:lang w:val="en-CA"/>
              </w:rPr>
              <w:t>Total Assets</w:t>
            </w:r>
          </w:p>
        </w:tc>
        <w:tc>
          <w:tcPr>
            <w:tcW w:w="956" w:type="dxa"/>
          </w:tcPr>
          <w:p w14:paraId="4498F45A" w14:textId="3173DF32"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21,381 </w:t>
            </w:r>
          </w:p>
        </w:tc>
        <w:tc>
          <w:tcPr>
            <w:tcW w:w="956" w:type="dxa"/>
          </w:tcPr>
          <w:p w14:paraId="42BAFDBB" w14:textId="11EFB778"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19,340 </w:t>
            </w:r>
          </w:p>
        </w:tc>
        <w:tc>
          <w:tcPr>
            <w:tcW w:w="955" w:type="dxa"/>
          </w:tcPr>
          <w:p w14:paraId="286FC94C" w14:textId="2E33C3F2"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18,261 </w:t>
            </w:r>
          </w:p>
        </w:tc>
        <w:tc>
          <w:tcPr>
            <w:tcW w:w="955" w:type="dxa"/>
          </w:tcPr>
          <w:p w14:paraId="5F2AA5B3" w14:textId="6C1CCE33"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13,185 </w:t>
            </w:r>
          </w:p>
        </w:tc>
        <w:tc>
          <w:tcPr>
            <w:tcW w:w="955" w:type="dxa"/>
          </w:tcPr>
          <w:p w14:paraId="594472E1" w14:textId="2A12DFBB"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11,337 </w:t>
            </w:r>
          </w:p>
        </w:tc>
        <w:tc>
          <w:tcPr>
            <w:tcW w:w="955" w:type="dxa"/>
          </w:tcPr>
          <w:p w14:paraId="556F7235" w14:textId="48AABDE9"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9,362 </w:t>
            </w:r>
          </w:p>
        </w:tc>
      </w:tr>
      <w:tr w:rsidR="00874275" w:rsidRPr="004326A5" w14:paraId="2F5C3AD3" w14:textId="77777777" w:rsidTr="001358C5">
        <w:trPr>
          <w:trHeight w:val="56"/>
        </w:trPr>
        <w:tc>
          <w:tcPr>
            <w:tcW w:w="3628" w:type="dxa"/>
            <w:noWrap/>
          </w:tcPr>
          <w:p w14:paraId="3B470BD3" w14:textId="77777777" w:rsidR="00874275" w:rsidRPr="004326A5" w:rsidRDefault="00874275" w:rsidP="00874275">
            <w:pPr>
              <w:rPr>
                <w:rFonts w:ascii="Arial" w:hAnsi="Arial" w:cs="Arial"/>
                <w:b/>
                <w:sz w:val="18"/>
                <w:szCs w:val="18"/>
                <w:lang w:val="en-CA"/>
              </w:rPr>
            </w:pPr>
            <w:r w:rsidRPr="004326A5">
              <w:rPr>
                <w:rFonts w:ascii="Arial" w:hAnsi="Arial" w:cs="Arial"/>
                <w:b/>
                <w:sz w:val="18"/>
                <w:szCs w:val="18"/>
                <w:lang w:val="en-CA"/>
              </w:rPr>
              <w:t>Liabilities and Equity</w:t>
            </w:r>
          </w:p>
        </w:tc>
        <w:tc>
          <w:tcPr>
            <w:tcW w:w="956" w:type="dxa"/>
          </w:tcPr>
          <w:p w14:paraId="317B6264" w14:textId="77777777" w:rsidR="00874275" w:rsidRPr="004326A5" w:rsidRDefault="00874275" w:rsidP="00874275">
            <w:pPr>
              <w:jc w:val="right"/>
              <w:rPr>
                <w:rFonts w:ascii="Arial" w:eastAsia="SimSun" w:hAnsi="Arial" w:cs="Arial"/>
                <w:sz w:val="18"/>
                <w:szCs w:val="18"/>
                <w:lang w:val="en-CA"/>
              </w:rPr>
            </w:pPr>
          </w:p>
        </w:tc>
        <w:tc>
          <w:tcPr>
            <w:tcW w:w="956" w:type="dxa"/>
          </w:tcPr>
          <w:p w14:paraId="3BC6077C" w14:textId="77777777" w:rsidR="00874275" w:rsidRPr="004326A5" w:rsidRDefault="00874275" w:rsidP="00874275">
            <w:pPr>
              <w:jc w:val="right"/>
              <w:rPr>
                <w:rFonts w:ascii="Arial" w:eastAsia="SimSun" w:hAnsi="Arial" w:cs="Arial"/>
                <w:sz w:val="18"/>
                <w:szCs w:val="18"/>
                <w:lang w:val="en-CA"/>
              </w:rPr>
            </w:pPr>
          </w:p>
        </w:tc>
        <w:tc>
          <w:tcPr>
            <w:tcW w:w="955" w:type="dxa"/>
          </w:tcPr>
          <w:p w14:paraId="46A8FB0B" w14:textId="77777777" w:rsidR="00874275" w:rsidRPr="004326A5" w:rsidRDefault="00874275" w:rsidP="00874275">
            <w:pPr>
              <w:jc w:val="right"/>
              <w:rPr>
                <w:rFonts w:ascii="Arial" w:eastAsia="SimSun" w:hAnsi="Arial" w:cs="Arial"/>
                <w:sz w:val="18"/>
                <w:szCs w:val="18"/>
                <w:lang w:val="en-CA"/>
              </w:rPr>
            </w:pPr>
          </w:p>
        </w:tc>
        <w:tc>
          <w:tcPr>
            <w:tcW w:w="955" w:type="dxa"/>
          </w:tcPr>
          <w:p w14:paraId="2D5D68F3" w14:textId="77777777" w:rsidR="00874275" w:rsidRPr="004326A5" w:rsidRDefault="00874275" w:rsidP="00874275">
            <w:pPr>
              <w:jc w:val="right"/>
              <w:rPr>
                <w:rFonts w:ascii="Arial" w:eastAsia="SimSun" w:hAnsi="Arial" w:cs="Arial"/>
                <w:sz w:val="18"/>
                <w:szCs w:val="18"/>
                <w:lang w:val="en-CA"/>
              </w:rPr>
            </w:pPr>
          </w:p>
        </w:tc>
        <w:tc>
          <w:tcPr>
            <w:tcW w:w="955" w:type="dxa"/>
          </w:tcPr>
          <w:p w14:paraId="10B4D75D" w14:textId="77777777" w:rsidR="00874275" w:rsidRPr="004326A5" w:rsidRDefault="00874275" w:rsidP="00874275">
            <w:pPr>
              <w:jc w:val="right"/>
              <w:rPr>
                <w:rFonts w:ascii="Arial" w:eastAsia="SimSun" w:hAnsi="Arial" w:cs="Arial"/>
                <w:sz w:val="18"/>
                <w:szCs w:val="18"/>
                <w:lang w:val="en-CA"/>
              </w:rPr>
            </w:pPr>
          </w:p>
        </w:tc>
        <w:tc>
          <w:tcPr>
            <w:tcW w:w="955" w:type="dxa"/>
          </w:tcPr>
          <w:p w14:paraId="2F9D6D4E" w14:textId="31F7F669" w:rsidR="00874275" w:rsidRPr="004326A5" w:rsidRDefault="00874275" w:rsidP="00874275">
            <w:pPr>
              <w:jc w:val="right"/>
              <w:rPr>
                <w:rFonts w:ascii="Arial" w:eastAsia="SimSun" w:hAnsi="Arial" w:cs="Arial"/>
                <w:sz w:val="18"/>
                <w:szCs w:val="18"/>
                <w:lang w:val="en-CA"/>
              </w:rPr>
            </w:pPr>
          </w:p>
        </w:tc>
      </w:tr>
      <w:tr w:rsidR="00874275" w:rsidRPr="004326A5" w14:paraId="648FAB31" w14:textId="77777777" w:rsidTr="001358C5">
        <w:trPr>
          <w:trHeight w:val="56"/>
        </w:trPr>
        <w:tc>
          <w:tcPr>
            <w:tcW w:w="3628" w:type="dxa"/>
            <w:noWrap/>
          </w:tcPr>
          <w:p w14:paraId="00496E9F" w14:textId="77777777" w:rsidR="00874275" w:rsidRPr="004326A5" w:rsidRDefault="00874275" w:rsidP="00874275">
            <w:pPr>
              <w:rPr>
                <w:rFonts w:ascii="Arial" w:hAnsi="Arial" w:cs="Arial"/>
                <w:b/>
                <w:sz w:val="18"/>
                <w:szCs w:val="18"/>
                <w:lang w:val="en-CA"/>
              </w:rPr>
            </w:pPr>
            <w:r w:rsidRPr="004326A5">
              <w:rPr>
                <w:rFonts w:ascii="Arial" w:hAnsi="Arial" w:cs="Arial"/>
                <w:b/>
                <w:sz w:val="18"/>
                <w:szCs w:val="18"/>
                <w:lang w:val="en-CA"/>
              </w:rPr>
              <w:t>Liabilities</w:t>
            </w:r>
          </w:p>
        </w:tc>
        <w:tc>
          <w:tcPr>
            <w:tcW w:w="956" w:type="dxa"/>
          </w:tcPr>
          <w:p w14:paraId="22201679" w14:textId="77777777" w:rsidR="00874275" w:rsidRPr="004326A5" w:rsidRDefault="00874275" w:rsidP="00874275">
            <w:pPr>
              <w:jc w:val="right"/>
              <w:rPr>
                <w:rFonts w:ascii="Arial" w:eastAsia="SimSun" w:hAnsi="Arial" w:cs="Arial"/>
                <w:sz w:val="18"/>
                <w:szCs w:val="18"/>
                <w:lang w:val="en-CA"/>
              </w:rPr>
            </w:pPr>
          </w:p>
        </w:tc>
        <w:tc>
          <w:tcPr>
            <w:tcW w:w="956" w:type="dxa"/>
          </w:tcPr>
          <w:p w14:paraId="7B57C257" w14:textId="77777777" w:rsidR="00874275" w:rsidRPr="004326A5" w:rsidRDefault="00874275" w:rsidP="00874275">
            <w:pPr>
              <w:jc w:val="right"/>
              <w:rPr>
                <w:rFonts w:ascii="Arial" w:eastAsia="SimSun" w:hAnsi="Arial" w:cs="Arial"/>
                <w:sz w:val="18"/>
                <w:szCs w:val="18"/>
                <w:lang w:val="en-CA"/>
              </w:rPr>
            </w:pPr>
          </w:p>
        </w:tc>
        <w:tc>
          <w:tcPr>
            <w:tcW w:w="955" w:type="dxa"/>
          </w:tcPr>
          <w:p w14:paraId="15614F46" w14:textId="77777777" w:rsidR="00874275" w:rsidRPr="004326A5" w:rsidRDefault="00874275" w:rsidP="00874275">
            <w:pPr>
              <w:jc w:val="right"/>
              <w:rPr>
                <w:rFonts w:ascii="Arial" w:eastAsia="SimSun" w:hAnsi="Arial" w:cs="Arial"/>
                <w:sz w:val="18"/>
                <w:szCs w:val="18"/>
                <w:lang w:val="en-CA"/>
              </w:rPr>
            </w:pPr>
          </w:p>
        </w:tc>
        <w:tc>
          <w:tcPr>
            <w:tcW w:w="955" w:type="dxa"/>
          </w:tcPr>
          <w:p w14:paraId="74C10B04" w14:textId="77777777" w:rsidR="00874275" w:rsidRPr="004326A5" w:rsidRDefault="00874275" w:rsidP="00874275">
            <w:pPr>
              <w:jc w:val="right"/>
              <w:rPr>
                <w:rFonts w:ascii="Arial" w:eastAsia="SimSun" w:hAnsi="Arial" w:cs="Arial"/>
                <w:sz w:val="18"/>
                <w:szCs w:val="18"/>
                <w:lang w:val="en-CA"/>
              </w:rPr>
            </w:pPr>
          </w:p>
        </w:tc>
        <w:tc>
          <w:tcPr>
            <w:tcW w:w="955" w:type="dxa"/>
          </w:tcPr>
          <w:p w14:paraId="73FB277F" w14:textId="77777777" w:rsidR="00874275" w:rsidRPr="004326A5" w:rsidRDefault="00874275" w:rsidP="00874275">
            <w:pPr>
              <w:jc w:val="right"/>
              <w:rPr>
                <w:rFonts w:ascii="Arial" w:eastAsia="SimSun" w:hAnsi="Arial" w:cs="Arial"/>
                <w:sz w:val="18"/>
                <w:szCs w:val="18"/>
                <w:lang w:val="en-CA"/>
              </w:rPr>
            </w:pPr>
          </w:p>
        </w:tc>
        <w:tc>
          <w:tcPr>
            <w:tcW w:w="955" w:type="dxa"/>
          </w:tcPr>
          <w:p w14:paraId="1C25858F" w14:textId="04B6CDA0" w:rsidR="00874275" w:rsidRPr="004326A5" w:rsidRDefault="00874275" w:rsidP="00874275">
            <w:pPr>
              <w:jc w:val="right"/>
              <w:rPr>
                <w:rFonts w:ascii="Arial" w:eastAsia="SimSun" w:hAnsi="Arial" w:cs="Arial"/>
                <w:sz w:val="18"/>
                <w:szCs w:val="18"/>
                <w:lang w:val="en-CA"/>
              </w:rPr>
            </w:pPr>
          </w:p>
        </w:tc>
      </w:tr>
      <w:tr w:rsidR="00874275" w:rsidRPr="004326A5" w14:paraId="59AE7203" w14:textId="77777777" w:rsidTr="001358C5">
        <w:trPr>
          <w:trHeight w:val="56"/>
        </w:trPr>
        <w:tc>
          <w:tcPr>
            <w:tcW w:w="3628" w:type="dxa"/>
            <w:noWrap/>
          </w:tcPr>
          <w:p w14:paraId="76A76EE8" w14:textId="77777777" w:rsidR="00874275" w:rsidRPr="004326A5" w:rsidRDefault="00874275" w:rsidP="00874275">
            <w:pPr>
              <w:rPr>
                <w:rFonts w:ascii="Arial" w:hAnsi="Arial" w:cs="Arial"/>
                <w:b/>
                <w:sz w:val="18"/>
                <w:szCs w:val="18"/>
                <w:lang w:val="en-CA"/>
              </w:rPr>
            </w:pPr>
            <w:r w:rsidRPr="004326A5">
              <w:rPr>
                <w:rFonts w:ascii="Arial" w:hAnsi="Arial" w:cs="Arial"/>
                <w:b/>
                <w:sz w:val="18"/>
                <w:szCs w:val="18"/>
                <w:lang w:val="en-CA"/>
              </w:rPr>
              <w:t>Current Liabilities</w:t>
            </w:r>
          </w:p>
        </w:tc>
        <w:tc>
          <w:tcPr>
            <w:tcW w:w="956" w:type="dxa"/>
          </w:tcPr>
          <w:p w14:paraId="6F8ECD49" w14:textId="77777777" w:rsidR="00874275" w:rsidRPr="004326A5" w:rsidRDefault="00874275" w:rsidP="00874275">
            <w:pPr>
              <w:jc w:val="right"/>
              <w:rPr>
                <w:rFonts w:ascii="Arial" w:eastAsia="SimSun" w:hAnsi="Arial" w:cs="Arial"/>
                <w:sz w:val="18"/>
                <w:szCs w:val="18"/>
                <w:lang w:val="en-CA"/>
              </w:rPr>
            </w:pPr>
          </w:p>
        </w:tc>
        <w:tc>
          <w:tcPr>
            <w:tcW w:w="956" w:type="dxa"/>
          </w:tcPr>
          <w:p w14:paraId="2F46C2E6" w14:textId="77777777" w:rsidR="00874275" w:rsidRPr="004326A5" w:rsidRDefault="00874275" w:rsidP="00874275">
            <w:pPr>
              <w:jc w:val="right"/>
              <w:rPr>
                <w:rFonts w:ascii="Arial" w:eastAsia="SimSun" w:hAnsi="Arial" w:cs="Arial"/>
                <w:sz w:val="18"/>
                <w:szCs w:val="18"/>
                <w:lang w:val="en-CA"/>
              </w:rPr>
            </w:pPr>
          </w:p>
        </w:tc>
        <w:tc>
          <w:tcPr>
            <w:tcW w:w="955" w:type="dxa"/>
          </w:tcPr>
          <w:p w14:paraId="7647E382" w14:textId="77777777" w:rsidR="00874275" w:rsidRPr="004326A5" w:rsidRDefault="00874275" w:rsidP="00874275">
            <w:pPr>
              <w:jc w:val="right"/>
              <w:rPr>
                <w:rFonts w:ascii="Arial" w:eastAsia="SimSun" w:hAnsi="Arial" w:cs="Arial"/>
                <w:sz w:val="18"/>
                <w:szCs w:val="18"/>
                <w:lang w:val="en-CA"/>
              </w:rPr>
            </w:pPr>
          </w:p>
        </w:tc>
        <w:tc>
          <w:tcPr>
            <w:tcW w:w="955" w:type="dxa"/>
          </w:tcPr>
          <w:p w14:paraId="56B456DA" w14:textId="77777777" w:rsidR="00874275" w:rsidRPr="004326A5" w:rsidRDefault="00874275" w:rsidP="00874275">
            <w:pPr>
              <w:jc w:val="right"/>
              <w:rPr>
                <w:rFonts w:ascii="Arial" w:eastAsia="SimSun" w:hAnsi="Arial" w:cs="Arial"/>
                <w:sz w:val="18"/>
                <w:szCs w:val="18"/>
                <w:lang w:val="en-CA"/>
              </w:rPr>
            </w:pPr>
          </w:p>
        </w:tc>
        <w:tc>
          <w:tcPr>
            <w:tcW w:w="955" w:type="dxa"/>
          </w:tcPr>
          <w:p w14:paraId="4BB884A0" w14:textId="77777777" w:rsidR="00874275" w:rsidRPr="004326A5" w:rsidRDefault="00874275" w:rsidP="00874275">
            <w:pPr>
              <w:jc w:val="right"/>
              <w:rPr>
                <w:rFonts w:ascii="Arial" w:eastAsia="SimSun" w:hAnsi="Arial" w:cs="Arial"/>
                <w:sz w:val="18"/>
                <w:szCs w:val="18"/>
                <w:lang w:val="en-CA"/>
              </w:rPr>
            </w:pPr>
          </w:p>
        </w:tc>
        <w:tc>
          <w:tcPr>
            <w:tcW w:w="955" w:type="dxa"/>
          </w:tcPr>
          <w:p w14:paraId="1056C101" w14:textId="05273212" w:rsidR="00874275" w:rsidRPr="004326A5" w:rsidRDefault="00874275" w:rsidP="00874275">
            <w:pPr>
              <w:jc w:val="right"/>
              <w:rPr>
                <w:rFonts w:ascii="Arial" w:eastAsia="SimSun" w:hAnsi="Arial" w:cs="Arial"/>
                <w:sz w:val="18"/>
                <w:szCs w:val="18"/>
                <w:lang w:val="en-CA"/>
              </w:rPr>
            </w:pPr>
          </w:p>
        </w:tc>
      </w:tr>
      <w:tr w:rsidR="00874275" w:rsidRPr="004326A5" w14:paraId="740B0C82" w14:textId="77777777" w:rsidTr="001358C5">
        <w:trPr>
          <w:trHeight w:val="288"/>
        </w:trPr>
        <w:tc>
          <w:tcPr>
            <w:tcW w:w="3628" w:type="dxa"/>
            <w:noWrap/>
          </w:tcPr>
          <w:p w14:paraId="1458B0F0" w14:textId="3CB3C990" w:rsidR="00874275" w:rsidRPr="004326A5" w:rsidRDefault="00874275" w:rsidP="00874275">
            <w:pPr>
              <w:ind w:left="144"/>
              <w:rPr>
                <w:rFonts w:ascii="Arial" w:hAnsi="Arial" w:cs="Arial"/>
                <w:sz w:val="18"/>
                <w:szCs w:val="18"/>
                <w:lang w:val="en-CA"/>
              </w:rPr>
            </w:pPr>
            <w:r w:rsidRPr="004326A5">
              <w:rPr>
                <w:rFonts w:ascii="Arial" w:hAnsi="Arial" w:cs="Arial"/>
                <w:sz w:val="18"/>
                <w:szCs w:val="18"/>
                <w:lang w:val="en-CA"/>
              </w:rPr>
              <w:t>Short-Term Borrowings</w:t>
            </w:r>
          </w:p>
        </w:tc>
        <w:tc>
          <w:tcPr>
            <w:tcW w:w="956" w:type="dxa"/>
          </w:tcPr>
          <w:p w14:paraId="75A84A55" w14:textId="45464307"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1,175 </w:t>
            </w:r>
          </w:p>
        </w:tc>
        <w:tc>
          <w:tcPr>
            <w:tcW w:w="956" w:type="dxa"/>
          </w:tcPr>
          <w:p w14:paraId="18A80F8F" w14:textId="345E2101"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1,094 </w:t>
            </w:r>
          </w:p>
        </w:tc>
        <w:tc>
          <w:tcPr>
            <w:tcW w:w="955" w:type="dxa"/>
          </w:tcPr>
          <w:p w14:paraId="170BCE16" w14:textId="12F0E685"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1,332 </w:t>
            </w:r>
          </w:p>
        </w:tc>
        <w:tc>
          <w:tcPr>
            <w:tcW w:w="955" w:type="dxa"/>
          </w:tcPr>
          <w:p w14:paraId="1C542E7D" w14:textId="281F7590"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614 </w:t>
            </w:r>
          </w:p>
        </w:tc>
        <w:tc>
          <w:tcPr>
            <w:tcW w:w="955" w:type="dxa"/>
          </w:tcPr>
          <w:p w14:paraId="193DB4A3" w14:textId="311DD86F"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797 </w:t>
            </w:r>
          </w:p>
        </w:tc>
        <w:tc>
          <w:tcPr>
            <w:tcW w:w="955" w:type="dxa"/>
          </w:tcPr>
          <w:p w14:paraId="2988A47B" w14:textId="5848734D"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 </w:t>
            </w:r>
          </w:p>
        </w:tc>
      </w:tr>
      <w:tr w:rsidR="00874275" w:rsidRPr="004326A5" w14:paraId="3748F565" w14:textId="77777777" w:rsidTr="001358C5">
        <w:trPr>
          <w:trHeight w:val="288"/>
        </w:trPr>
        <w:tc>
          <w:tcPr>
            <w:tcW w:w="3628" w:type="dxa"/>
            <w:noWrap/>
          </w:tcPr>
          <w:p w14:paraId="66EBCCA3" w14:textId="6E7C3094" w:rsidR="00874275" w:rsidRPr="004326A5" w:rsidRDefault="00874275" w:rsidP="00874275">
            <w:pPr>
              <w:ind w:left="144"/>
              <w:rPr>
                <w:rFonts w:ascii="Arial" w:hAnsi="Arial" w:cs="Arial"/>
                <w:sz w:val="18"/>
                <w:szCs w:val="18"/>
                <w:lang w:val="en-CA"/>
              </w:rPr>
            </w:pPr>
            <w:r w:rsidRPr="004326A5">
              <w:rPr>
                <w:rFonts w:ascii="Arial" w:hAnsi="Arial" w:cs="Arial"/>
                <w:sz w:val="18"/>
                <w:szCs w:val="18"/>
                <w:lang w:val="en-CA"/>
              </w:rPr>
              <w:t>Current Portion of Long-Term Debt and Capitalized Lease Obligations</w:t>
            </w:r>
          </w:p>
        </w:tc>
        <w:tc>
          <w:tcPr>
            <w:tcW w:w="956" w:type="dxa"/>
          </w:tcPr>
          <w:p w14:paraId="1BB754E4" w14:textId="3386306C"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230 </w:t>
            </w:r>
          </w:p>
        </w:tc>
        <w:tc>
          <w:tcPr>
            <w:tcW w:w="956" w:type="dxa"/>
          </w:tcPr>
          <w:p w14:paraId="29C5D05F" w14:textId="1A24F5DD"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83 </w:t>
            </w:r>
          </w:p>
        </w:tc>
        <w:tc>
          <w:tcPr>
            <w:tcW w:w="955" w:type="dxa"/>
          </w:tcPr>
          <w:p w14:paraId="52D53ABD" w14:textId="3EC83A5C"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83 </w:t>
            </w:r>
          </w:p>
        </w:tc>
        <w:tc>
          <w:tcPr>
            <w:tcW w:w="955" w:type="dxa"/>
          </w:tcPr>
          <w:p w14:paraId="5854AF1B" w14:textId="59EDD2AD"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75 </w:t>
            </w:r>
          </w:p>
        </w:tc>
        <w:tc>
          <w:tcPr>
            <w:tcW w:w="955" w:type="dxa"/>
          </w:tcPr>
          <w:p w14:paraId="26F3A961" w14:textId="6104E972"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71 </w:t>
            </w:r>
          </w:p>
        </w:tc>
        <w:tc>
          <w:tcPr>
            <w:tcW w:w="955" w:type="dxa"/>
          </w:tcPr>
          <w:p w14:paraId="7F167B54" w14:textId="6F478CDB"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590 </w:t>
            </w:r>
          </w:p>
        </w:tc>
      </w:tr>
      <w:tr w:rsidR="00874275" w:rsidRPr="004326A5" w14:paraId="7D3CB64D" w14:textId="77777777" w:rsidTr="001358C5">
        <w:trPr>
          <w:trHeight w:val="288"/>
        </w:trPr>
        <w:tc>
          <w:tcPr>
            <w:tcW w:w="3628" w:type="dxa"/>
            <w:noWrap/>
          </w:tcPr>
          <w:p w14:paraId="04FB0088" w14:textId="77777777" w:rsidR="00874275" w:rsidRPr="004326A5" w:rsidRDefault="00874275" w:rsidP="00874275">
            <w:pPr>
              <w:ind w:left="144"/>
              <w:rPr>
                <w:rFonts w:ascii="Arial" w:hAnsi="Arial" w:cs="Arial"/>
                <w:sz w:val="18"/>
                <w:szCs w:val="18"/>
                <w:lang w:val="en-CA"/>
              </w:rPr>
            </w:pPr>
            <w:r w:rsidRPr="004326A5">
              <w:rPr>
                <w:rFonts w:ascii="Arial" w:hAnsi="Arial" w:cs="Arial"/>
                <w:sz w:val="18"/>
                <w:szCs w:val="18"/>
                <w:lang w:val="en-CA"/>
              </w:rPr>
              <w:t>Merchandise Payable</w:t>
            </w:r>
          </w:p>
        </w:tc>
        <w:tc>
          <w:tcPr>
            <w:tcW w:w="956" w:type="dxa"/>
          </w:tcPr>
          <w:p w14:paraId="3C3E0B83" w14:textId="3DFC60A6"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2,912 </w:t>
            </w:r>
          </w:p>
        </w:tc>
        <w:tc>
          <w:tcPr>
            <w:tcW w:w="956" w:type="dxa"/>
          </w:tcPr>
          <w:p w14:paraId="7E0A8AE7" w14:textId="16F8D23D"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2,761 </w:t>
            </w:r>
          </w:p>
        </w:tc>
        <w:tc>
          <w:tcPr>
            <w:tcW w:w="955" w:type="dxa"/>
          </w:tcPr>
          <w:p w14:paraId="4F837590" w14:textId="22739E2F"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2,496 </w:t>
            </w:r>
          </w:p>
        </w:tc>
        <w:tc>
          <w:tcPr>
            <w:tcW w:w="955" w:type="dxa"/>
          </w:tcPr>
          <w:p w14:paraId="660DC669" w14:textId="13B82DFD"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1,621 </w:t>
            </w:r>
          </w:p>
        </w:tc>
        <w:tc>
          <w:tcPr>
            <w:tcW w:w="955" w:type="dxa"/>
          </w:tcPr>
          <w:p w14:paraId="12DB0F2F" w14:textId="147CB36D"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1,574 </w:t>
            </w:r>
          </w:p>
        </w:tc>
        <w:tc>
          <w:tcPr>
            <w:tcW w:w="955" w:type="dxa"/>
          </w:tcPr>
          <w:p w14:paraId="2C5016E8" w14:textId="6CB5BB30"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1,048 </w:t>
            </w:r>
          </w:p>
        </w:tc>
      </w:tr>
      <w:tr w:rsidR="00874275" w:rsidRPr="004326A5" w14:paraId="6D50057F" w14:textId="77777777" w:rsidTr="001358C5">
        <w:trPr>
          <w:trHeight w:val="288"/>
        </w:trPr>
        <w:tc>
          <w:tcPr>
            <w:tcW w:w="3628" w:type="dxa"/>
            <w:noWrap/>
          </w:tcPr>
          <w:p w14:paraId="1D2A9286" w14:textId="77777777" w:rsidR="00874275" w:rsidRPr="004326A5" w:rsidRDefault="00874275" w:rsidP="00874275">
            <w:pPr>
              <w:ind w:left="144"/>
              <w:rPr>
                <w:rFonts w:ascii="Arial" w:hAnsi="Arial" w:cs="Arial"/>
                <w:sz w:val="18"/>
                <w:szCs w:val="18"/>
                <w:lang w:val="en-CA"/>
              </w:rPr>
            </w:pPr>
            <w:r w:rsidRPr="004326A5">
              <w:rPr>
                <w:rFonts w:ascii="Arial" w:hAnsi="Arial" w:cs="Arial"/>
                <w:sz w:val="18"/>
                <w:szCs w:val="18"/>
                <w:lang w:val="en-CA"/>
              </w:rPr>
              <w:t>Other Current Liabilities</w:t>
            </w:r>
          </w:p>
        </w:tc>
        <w:tc>
          <w:tcPr>
            <w:tcW w:w="956" w:type="dxa"/>
          </w:tcPr>
          <w:p w14:paraId="164F932A" w14:textId="161489BD"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2,892 </w:t>
            </w:r>
          </w:p>
        </w:tc>
        <w:tc>
          <w:tcPr>
            <w:tcW w:w="956" w:type="dxa"/>
          </w:tcPr>
          <w:p w14:paraId="42B7C30A" w14:textId="62A6356A"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2,683 </w:t>
            </w:r>
          </w:p>
        </w:tc>
        <w:tc>
          <w:tcPr>
            <w:tcW w:w="955" w:type="dxa"/>
          </w:tcPr>
          <w:p w14:paraId="58302BF8" w14:textId="488844D8"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2,527 </w:t>
            </w:r>
          </w:p>
        </w:tc>
        <w:tc>
          <w:tcPr>
            <w:tcW w:w="955" w:type="dxa"/>
          </w:tcPr>
          <w:p w14:paraId="3B436E9B" w14:textId="1BC8EF0C"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2,087 </w:t>
            </w:r>
          </w:p>
        </w:tc>
        <w:tc>
          <w:tcPr>
            <w:tcW w:w="955" w:type="dxa"/>
          </w:tcPr>
          <w:p w14:paraId="1B45A0DC" w14:textId="0EFC1D7D"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1,925 </w:t>
            </w:r>
          </w:p>
        </w:tc>
        <w:tc>
          <w:tcPr>
            <w:tcW w:w="955" w:type="dxa"/>
          </w:tcPr>
          <w:p w14:paraId="0543DD8C" w14:textId="78E24388"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1,956 </w:t>
            </w:r>
          </w:p>
        </w:tc>
      </w:tr>
      <w:tr w:rsidR="00874275" w:rsidRPr="004326A5" w14:paraId="49E58D28" w14:textId="77777777" w:rsidTr="001358C5">
        <w:trPr>
          <w:trHeight w:val="288"/>
        </w:trPr>
        <w:tc>
          <w:tcPr>
            <w:tcW w:w="3628" w:type="dxa"/>
            <w:noWrap/>
          </w:tcPr>
          <w:p w14:paraId="31EFD8E4" w14:textId="77777777" w:rsidR="00874275" w:rsidRPr="004326A5" w:rsidRDefault="00874275" w:rsidP="00874275">
            <w:pPr>
              <w:ind w:left="144"/>
              <w:rPr>
                <w:rFonts w:ascii="Arial" w:hAnsi="Arial" w:cs="Arial"/>
                <w:sz w:val="18"/>
                <w:szCs w:val="18"/>
                <w:lang w:val="en-CA"/>
              </w:rPr>
            </w:pPr>
            <w:r w:rsidRPr="004326A5">
              <w:rPr>
                <w:rFonts w:ascii="Arial" w:hAnsi="Arial" w:cs="Arial"/>
                <w:sz w:val="18"/>
                <w:szCs w:val="18"/>
                <w:lang w:val="en-CA"/>
              </w:rPr>
              <w:t>Unearned Revenues</w:t>
            </w:r>
          </w:p>
        </w:tc>
        <w:tc>
          <w:tcPr>
            <w:tcW w:w="956" w:type="dxa"/>
          </w:tcPr>
          <w:p w14:paraId="34F84122" w14:textId="2CF4CB70"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964 </w:t>
            </w:r>
          </w:p>
        </w:tc>
        <w:tc>
          <w:tcPr>
            <w:tcW w:w="956" w:type="dxa"/>
          </w:tcPr>
          <w:p w14:paraId="1915774A" w14:textId="1D5C19BF"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931 </w:t>
            </w:r>
          </w:p>
        </w:tc>
        <w:tc>
          <w:tcPr>
            <w:tcW w:w="955" w:type="dxa"/>
          </w:tcPr>
          <w:p w14:paraId="4E91C31A" w14:textId="2EC5EF28"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900 </w:t>
            </w:r>
          </w:p>
        </w:tc>
        <w:tc>
          <w:tcPr>
            <w:tcW w:w="955" w:type="dxa"/>
          </w:tcPr>
          <w:p w14:paraId="30C96DF5" w14:textId="06875250"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818 </w:t>
            </w:r>
          </w:p>
        </w:tc>
        <w:tc>
          <w:tcPr>
            <w:tcW w:w="955" w:type="dxa"/>
          </w:tcPr>
          <w:p w14:paraId="74164BC2" w14:textId="7904036C"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787 </w:t>
            </w:r>
          </w:p>
        </w:tc>
        <w:tc>
          <w:tcPr>
            <w:tcW w:w="955" w:type="dxa"/>
          </w:tcPr>
          <w:p w14:paraId="59607121" w14:textId="5938D37D"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748 </w:t>
            </w:r>
          </w:p>
        </w:tc>
      </w:tr>
      <w:tr w:rsidR="00874275" w:rsidRPr="004326A5" w14:paraId="487E70B0" w14:textId="77777777" w:rsidTr="001358C5">
        <w:trPr>
          <w:trHeight w:val="288"/>
        </w:trPr>
        <w:tc>
          <w:tcPr>
            <w:tcW w:w="3628" w:type="dxa"/>
            <w:noWrap/>
          </w:tcPr>
          <w:p w14:paraId="06652647" w14:textId="77777777" w:rsidR="00874275" w:rsidRPr="004326A5" w:rsidRDefault="00874275" w:rsidP="00874275">
            <w:pPr>
              <w:ind w:left="144"/>
              <w:rPr>
                <w:rFonts w:ascii="Arial" w:hAnsi="Arial" w:cs="Arial"/>
                <w:sz w:val="18"/>
                <w:szCs w:val="18"/>
                <w:lang w:val="en-CA"/>
              </w:rPr>
            </w:pPr>
            <w:r w:rsidRPr="004326A5">
              <w:rPr>
                <w:rFonts w:ascii="Arial" w:hAnsi="Arial" w:cs="Arial"/>
                <w:sz w:val="18"/>
                <w:szCs w:val="18"/>
                <w:lang w:val="en-CA"/>
              </w:rPr>
              <w:t>Other Taxes</w:t>
            </w:r>
          </w:p>
        </w:tc>
        <w:tc>
          <w:tcPr>
            <w:tcW w:w="956" w:type="dxa"/>
          </w:tcPr>
          <w:p w14:paraId="75849DF7" w14:textId="462D4EDF"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523 </w:t>
            </w:r>
          </w:p>
        </w:tc>
        <w:tc>
          <w:tcPr>
            <w:tcW w:w="956" w:type="dxa"/>
          </w:tcPr>
          <w:p w14:paraId="50421724" w14:textId="71547FFD"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480 </w:t>
            </w:r>
          </w:p>
        </w:tc>
        <w:tc>
          <w:tcPr>
            <w:tcW w:w="955" w:type="dxa"/>
          </w:tcPr>
          <w:p w14:paraId="37E1B554" w14:textId="7A749F74"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460 </w:t>
            </w:r>
          </w:p>
        </w:tc>
        <w:tc>
          <w:tcPr>
            <w:tcW w:w="955" w:type="dxa"/>
          </w:tcPr>
          <w:p w14:paraId="2BF20EE1" w14:textId="106D8E53"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380 </w:t>
            </w:r>
          </w:p>
        </w:tc>
        <w:tc>
          <w:tcPr>
            <w:tcW w:w="955" w:type="dxa"/>
          </w:tcPr>
          <w:p w14:paraId="4474BA91" w14:textId="2A043D39"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284 </w:t>
            </w:r>
          </w:p>
        </w:tc>
        <w:tc>
          <w:tcPr>
            <w:tcW w:w="955" w:type="dxa"/>
          </w:tcPr>
          <w:p w14:paraId="717A3719" w14:textId="16653A27"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339 </w:t>
            </w:r>
          </w:p>
        </w:tc>
      </w:tr>
      <w:tr w:rsidR="00874275" w:rsidRPr="004326A5" w14:paraId="276C3159" w14:textId="77777777" w:rsidTr="001358C5">
        <w:trPr>
          <w:trHeight w:val="288"/>
        </w:trPr>
        <w:tc>
          <w:tcPr>
            <w:tcW w:w="3628" w:type="dxa"/>
            <w:noWrap/>
          </w:tcPr>
          <w:p w14:paraId="35B5F5EA" w14:textId="2D609547" w:rsidR="00874275" w:rsidRPr="004326A5" w:rsidRDefault="00874275" w:rsidP="00874275">
            <w:pPr>
              <w:ind w:left="144"/>
              <w:rPr>
                <w:rFonts w:ascii="Arial" w:hAnsi="Arial" w:cs="Arial"/>
                <w:sz w:val="18"/>
                <w:szCs w:val="18"/>
                <w:lang w:val="en-CA"/>
              </w:rPr>
            </w:pPr>
            <w:r w:rsidRPr="004326A5">
              <w:rPr>
                <w:rFonts w:ascii="Arial" w:hAnsi="Arial" w:cs="Arial"/>
                <w:sz w:val="18"/>
                <w:szCs w:val="18"/>
                <w:lang w:val="en-CA"/>
              </w:rPr>
              <w:t>Short-Term Deferred Tax Liabilities</w:t>
            </w:r>
          </w:p>
        </w:tc>
        <w:tc>
          <w:tcPr>
            <w:tcW w:w="956" w:type="dxa"/>
          </w:tcPr>
          <w:p w14:paraId="37BF2B31" w14:textId="533789EB"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516 </w:t>
            </w:r>
          </w:p>
        </w:tc>
        <w:tc>
          <w:tcPr>
            <w:tcW w:w="956" w:type="dxa"/>
          </w:tcPr>
          <w:p w14:paraId="2141F73F" w14:textId="51BEF150"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382 </w:t>
            </w:r>
          </w:p>
        </w:tc>
        <w:tc>
          <w:tcPr>
            <w:tcW w:w="955" w:type="dxa"/>
          </w:tcPr>
          <w:p w14:paraId="479C840F" w14:textId="671621BF"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387 </w:t>
            </w:r>
          </w:p>
        </w:tc>
        <w:tc>
          <w:tcPr>
            <w:tcW w:w="955" w:type="dxa"/>
          </w:tcPr>
          <w:p w14:paraId="08507479" w14:textId="6D4B93D7"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w:t>
            </w:r>
          </w:p>
        </w:tc>
        <w:tc>
          <w:tcPr>
            <w:tcW w:w="955" w:type="dxa"/>
          </w:tcPr>
          <w:p w14:paraId="4B0DCE38" w14:textId="07739126"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w:t>
            </w:r>
          </w:p>
        </w:tc>
        <w:tc>
          <w:tcPr>
            <w:tcW w:w="955" w:type="dxa"/>
          </w:tcPr>
          <w:p w14:paraId="20A7F404" w14:textId="779423F6"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w:t>
            </w:r>
          </w:p>
        </w:tc>
      </w:tr>
      <w:tr w:rsidR="00874275" w:rsidRPr="004326A5" w14:paraId="3D2A8362" w14:textId="77777777" w:rsidTr="001358C5">
        <w:trPr>
          <w:trHeight w:val="89"/>
        </w:trPr>
        <w:tc>
          <w:tcPr>
            <w:tcW w:w="3628" w:type="dxa"/>
            <w:noWrap/>
          </w:tcPr>
          <w:p w14:paraId="7CADFDB1" w14:textId="77777777" w:rsidR="00874275" w:rsidRPr="004326A5" w:rsidRDefault="00874275" w:rsidP="00874275">
            <w:pPr>
              <w:ind w:left="144"/>
              <w:rPr>
                <w:rFonts w:ascii="Arial" w:hAnsi="Arial" w:cs="Arial"/>
                <w:b/>
                <w:sz w:val="18"/>
                <w:szCs w:val="18"/>
                <w:lang w:val="en-CA"/>
              </w:rPr>
            </w:pPr>
            <w:r w:rsidRPr="004326A5">
              <w:rPr>
                <w:rFonts w:ascii="Arial" w:hAnsi="Arial" w:cs="Arial"/>
                <w:b/>
                <w:sz w:val="18"/>
                <w:szCs w:val="18"/>
                <w:lang w:val="en-CA"/>
              </w:rPr>
              <w:t>Total Current Liabilities</w:t>
            </w:r>
          </w:p>
        </w:tc>
        <w:tc>
          <w:tcPr>
            <w:tcW w:w="956" w:type="dxa"/>
          </w:tcPr>
          <w:p w14:paraId="6C4B8440" w14:textId="14B2CC19"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9,212 </w:t>
            </w:r>
          </w:p>
        </w:tc>
        <w:tc>
          <w:tcPr>
            <w:tcW w:w="956" w:type="dxa"/>
          </w:tcPr>
          <w:p w14:paraId="5904D205" w14:textId="253C7330"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8,414 </w:t>
            </w:r>
          </w:p>
        </w:tc>
        <w:tc>
          <w:tcPr>
            <w:tcW w:w="955" w:type="dxa"/>
          </w:tcPr>
          <w:p w14:paraId="702EA6BA" w14:textId="571978EC"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8,185 </w:t>
            </w:r>
          </w:p>
        </w:tc>
        <w:tc>
          <w:tcPr>
            <w:tcW w:w="955" w:type="dxa"/>
          </w:tcPr>
          <w:p w14:paraId="012B5DF9" w14:textId="66D4D85C"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5,595 </w:t>
            </w:r>
          </w:p>
        </w:tc>
        <w:tc>
          <w:tcPr>
            <w:tcW w:w="955" w:type="dxa"/>
          </w:tcPr>
          <w:p w14:paraId="6C9B21D6" w14:textId="3CEBAA43"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5,438 </w:t>
            </w:r>
          </w:p>
        </w:tc>
        <w:tc>
          <w:tcPr>
            <w:tcW w:w="955" w:type="dxa"/>
          </w:tcPr>
          <w:p w14:paraId="39EA71C0" w14:textId="6BAD2617"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4,681 </w:t>
            </w:r>
          </w:p>
        </w:tc>
      </w:tr>
      <w:tr w:rsidR="00874275" w:rsidRPr="004326A5" w14:paraId="61C95823" w14:textId="77777777" w:rsidTr="001358C5">
        <w:trPr>
          <w:trHeight w:val="288"/>
        </w:trPr>
        <w:tc>
          <w:tcPr>
            <w:tcW w:w="3628" w:type="dxa"/>
            <w:noWrap/>
          </w:tcPr>
          <w:p w14:paraId="22FF25D6" w14:textId="09348750" w:rsidR="00874275" w:rsidRPr="004326A5" w:rsidRDefault="00874275" w:rsidP="00874275">
            <w:pPr>
              <w:rPr>
                <w:rFonts w:ascii="Arial" w:hAnsi="Arial" w:cs="Arial"/>
                <w:sz w:val="18"/>
                <w:szCs w:val="18"/>
                <w:lang w:val="en-CA"/>
              </w:rPr>
            </w:pPr>
            <w:r w:rsidRPr="004326A5">
              <w:rPr>
                <w:rFonts w:ascii="Arial" w:hAnsi="Arial" w:cs="Arial"/>
                <w:sz w:val="18"/>
                <w:szCs w:val="18"/>
                <w:lang w:val="en-CA"/>
              </w:rPr>
              <w:t>Long-Term Debt and Capitalized Lease Obligations</w:t>
            </w:r>
          </w:p>
        </w:tc>
        <w:tc>
          <w:tcPr>
            <w:tcW w:w="956" w:type="dxa"/>
          </w:tcPr>
          <w:p w14:paraId="0D51175C" w14:textId="2A4C98C0"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2,088 </w:t>
            </w:r>
          </w:p>
        </w:tc>
        <w:tc>
          <w:tcPr>
            <w:tcW w:w="956" w:type="dxa"/>
          </w:tcPr>
          <w:p w14:paraId="16296F80" w14:textId="1B1BCC36"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1,943 </w:t>
            </w:r>
          </w:p>
        </w:tc>
        <w:tc>
          <w:tcPr>
            <w:tcW w:w="955" w:type="dxa"/>
          </w:tcPr>
          <w:p w14:paraId="652FC602" w14:textId="0740DC17"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2,834 </w:t>
            </w:r>
          </w:p>
        </w:tc>
        <w:tc>
          <w:tcPr>
            <w:tcW w:w="955" w:type="dxa"/>
          </w:tcPr>
          <w:p w14:paraId="3A30D22F" w14:textId="0E7D25D4"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3,087 </w:t>
            </w:r>
          </w:p>
        </w:tc>
        <w:tc>
          <w:tcPr>
            <w:tcW w:w="955" w:type="dxa"/>
          </w:tcPr>
          <w:p w14:paraId="135218EE" w14:textId="37EF92FF"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2,108 </w:t>
            </w:r>
          </w:p>
        </w:tc>
        <w:tc>
          <w:tcPr>
            <w:tcW w:w="955" w:type="dxa"/>
          </w:tcPr>
          <w:p w14:paraId="315B576A" w14:textId="166DF4B9"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3,573 </w:t>
            </w:r>
          </w:p>
        </w:tc>
      </w:tr>
      <w:tr w:rsidR="00874275" w:rsidRPr="004326A5" w14:paraId="67881623" w14:textId="77777777" w:rsidTr="001358C5">
        <w:trPr>
          <w:trHeight w:val="288"/>
        </w:trPr>
        <w:tc>
          <w:tcPr>
            <w:tcW w:w="3628" w:type="dxa"/>
            <w:noWrap/>
          </w:tcPr>
          <w:p w14:paraId="044724F0" w14:textId="77777777" w:rsidR="00874275" w:rsidRPr="004326A5" w:rsidRDefault="00874275" w:rsidP="00874275">
            <w:pPr>
              <w:rPr>
                <w:rFonts w:ascii="Arial" w:hAnsi="Arial" w:cs="Arial"/>
                <w:sz w:val="18"/>
                <w:szCs w:val="18"/>
                <w:lang w:val="en-CA"/>
              </w:rPr>
            </w:pPr>
            <w:r w:rsidRPr="004326A5">
              <w:rPr>
                <w:rFonts w:ascii="Arial" w:hAnsi="Arial" w:cs="Arial"/>
                <w:sz w:val="18"/>
                <w:szCs w:val="18"/>
                <w:lang w:val="en-CA"/>
              </w:rPr>
              <w:t>Pension and Post-Retirement Benefits</w:t>
            </w:r>
          </w:p>
        </w:tc>
        <w:tc>
          <w:tcPr>
            <w:tcW w:w="956" w:type="dxa"/>
          </w:tcPr>
          <w:p w14:paraId="6085A593" w14:textId="578CC408"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2,738 </w:t>
            </w:r>
          </w:p>
        </w:tc>
        <w:tc>
          <w:tcPr>
            <w:tcW w:w="956" w:type="dxa"/>
          </w:tcPr>
          <w:p w14:paraId="7EB0F79C" w14:textId="1475E9F1"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2,730 </w:t>
            </w:r>
          </w:p>
        </w:tc>
        <w:tc>
          <w:tcPr>
            <w:tcW w:w="955" w:type="dxa"/>
          </w:tcPr>
          <w:p w14:paraId="57099025" w14:textId="5E48167A"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1,942 </w:t>
            </w:r>
          </w:p>
        </w:tc>
        <w:tc>
          <w:tcPr>
            <w:tcW w:w="955" w:type="dxa"/>
          </w:tcPr>
          <w:p w14:paraId="4DC62282" w14:textId="7220F8C6"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2,404 </w:t>
            </w:r>
          </w:p>
        </w:tc>
        <w:tc>
          <w:tcPr>
            <w:tcW w:w="955" w:type="dxa"/>
          </w:tcPr>
          <w:p w14:paraId="5767593F" w14:textId="7CE7257D"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2,206 </w:t>
            </w:r>
          </w:p>
        </w:tc>
        <w:tc>
          <w:tcPr>
            <w:tcW w:w="955" w:type="dxa"/>
          </w:tcPr>
          <w:p w14:paraId="3860C615" w14:textId="4F930D05"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1,750 </w:t>
            </w:r>
          </w:p>
        </w:tc>
      </w:tr>
      <w:tr w:rsidR="00874275" w:rsidRPr="004326A5" w14:paraId="282C4642" w14:textId="77777777" w:rsidTr="001358C5">
        <w:trPr>
          <w:trHeight w:val="73"/>
        </w:trPr>
        <w:tc>
          <w:tcPr>
            <w:tcW w:w="0" w:type="dxa"/>
            <w:noWrap/>
          </w:tcPr>
          <w:p w14:paraId="6AC626BC" w14:textId="590BB48F" w:rsidR="00874275" w:rsidRPr="004326A5" w:rsidRDefault="00874275" w:rsidP="00874275">
            <w:pPr>
              <w:rPr>
                <w:rFonts w:ascii="Arial" w:hAnsi="Arial" w:cs="Arial"/>
                <w:sz w:val="18"/>
                <w:szCs w:val="18"/>
                <w:lang w:val="en-CA"/>
              </w:rPr>
            </w:pPr>
            <w:r w:rsidRPr="004326A5">
              <w:rPr>
                <w:rFonts w:ascii="Arial" w:hAnsi="Arial" w:cs="Arial"/>
                <w:sz w:val="18"/>
                <w:szCs w:val="18"/>
                <w:lang w:val="en-CA"/>
              </w:rPr>
              <w:t>Deferred Gain on Sales</w:t>
            </w:r>
            <w:r w:rsidR="005245A6" w:rsidRPr="004326A5">
              <w:rPr>
                <w:rFonts w:ascii="Arial" w:hAnsi="Arial" w:cs="Arial"/>
                <w:sz w:val="18"/>
                <w:szCs w:val="18"/>
                <w:lang w:val="en-CA"/>
              </w:rPr>
              <w:t xml:space="preserve"> </w:t>
            </w:r>
            <w:r w:rsidRPr="004326A5">
              <w:rPr>
                <w:rFonts w:ascii="Arial" w:hAnsi="Arial" w:cs="Arial"/>
                <w:sz w:val="18"/>
                <w:szCs w:val="18"/>
                <w:lang w:val="en-CA"/>
              </w:rPr>
              <w:t>Leaseback</w:t>
            </w:r>
          </w:p>
        </w:tc>
        <w:tc>
          <w:tcPr>
            <w:tcW w:w="0" w:type="dxa"/>
          </w:tcPr>
          <w:p w14:paraId="35F54305" w14:textId="3F37ADC0"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 </w:t>
            </w:r>
          </w:p>
        </w:tc>
        <w:tc>
          <w:tcPr>
            <w:tcW w:w="0" w:type="dxa"/>
          </w:tcPr>
          <w:p w14:paraId="473FA31F" w14:textId="56118699"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w:t>
            </w:r>
          </w:p>
        </w:tc>
        <w:tc>
          <w:tcPr>
            <w:tcW w:w="0" w:type="dxa"/>
          </w:tcPr>
          <w:p w14:paraId="02FACCCC" w14:textId="79659257"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w:t>
            </w:r>
          </w:p>
        </w:tc>
        <w:tc>
          <w:tcPr>
            <w:tcW w:w="0" w:type="dxa"/>
          </w:tcPr>
          <w:p w14:paraId="78FCE680" w14:textId="48AC0FFC"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w:t>
            </w:r>
          </w:p>
        </w:tc>
        <w:tc>
          <w:tcPr>
            <w:tcW w:w="0" w:type="dxa"/>
          </w:tcPr>
          <w:p w14:paraId="1986E129" w14:textId="4A9618FB"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753 </w:t>
            </w:r>
          </w:p>
        </w:tc>
        <w:tc>
          <w:tcPr>
            <w:tcW w:w="0" w:type="dxa"/>
          </w:tcPr>
          <w:p w14:paraId="4EC8FB53" w14:textId="32D7BD53"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563 </w:t>
            </w:r>
          </w:p>
        </w:tc>
      </w:tr>
      <w:tr w:rsidR="00874275" w:rsidRPr="004326A5" w14:paraId="70F83229" w14:textId="77777777" w:rsidTr="001358C5">
        <w:trPr>
          <w:trHeight w:val="288"/>
        </w:trPr>
        <w:tc>
          <w:tcPr>
            <w:tcW w:w="3628" w:type="dxa"/>
            <w:noWrap/>
          </w:tcPr>
          <w:p w14:paraId="4590285E" w14:textId="311AC56A" w:rsidR="00874275" w:rsidRPr="004326A5" w:rsidRDefault="00874275" w:rsidP="00874275">
            <w:pPr>
              <w:rPr>
                <w:rFonts w:ascii="Arial" w:hAnsi="Arial" w:cs="Arial"/>
                <w:sz w:val="18"/>
                <w:szCs w:val="18"/>
                <w:lang w:val="en-CA"/>
              </w:rPr>
            </w:pPr>
            <w:r w:rsidRPr="004326A5">
              <w:rPr>
                <w:rFonts w:ascii="Arial" w:hAnsi="Arial" w:cs="Arial"/>
                <w:sz w:val="18"/>
                <w:szCs w:val="18"/>
                <w:lang w:val="en-CA"/>
              </w:rPr>
              <w:t>Sale</w:t>
            </w:r>
            <w:r w:rsidR="005245A6" w:rsidRPr="004326A5">
              <w:rPr>
                <w:rFonts w:ascii="Arial" w:hAnsi="Arial" w:cs="Arial"/>
                <w:sz w:val="18"/>
                <w:szCs w:val="18"/>
                <w:lang w:val="en-CA"/>
              </w:rPr>
              <w:t xml:space="preserve">s </w:t>
            </w:r>
            <w:r w:rsidRPr="004326A5">
              <w:rPr>
                <w:rFonts w:ascii="Arial" w:hAnsi="Arial" w:cs="Arial"/>
                <w:sz w:val="18"/>
                <w:szCs w:val="18"/>
                <w:lang w:val="en-CA"/>
              </w:rPr>
              <w:t>Leaseback Financing Obligations</w:t>
            </w:r>
          </w:p>
        </w:tc>
        <w:tc>
          <w:tcPr>
            <w:tcW w:w="956" w:type="dxa"/>
          </w:tcPr>
          <w:p w14:paraId="5F8214F7" w14:textId="49F9D4FA"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w:t>
            </w:r>
          </w:p>
        </w:tc>
        <w:tc>
          <w:tcPr>
            <w:tcW w:w="956" w:type="dxa"/>
          </w:tcPr>
          <w:p w14:paraId="10E78864" w14:textId="106C5C4E"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w:t>
            </w:r>
          </w:p>
        </w:tc>
        <w:tc>
          <w:tcPr>
            <w:tcW w:w="955" w:type="dxa"/>
          </w:tcPr>
          <w:p w14:paraId="17B6DF28" w14:textId="281DDBE0"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w:t>
            </w:r>
          </w:p>
        </w:tc>
        <w:tc>
          <w:tcPr>
            <w:tcW w:w="955" w:type="dxa"/>
          </w:tcPr>
          <w:p w14:paraId="078FFF3B" w14:textId="1C88FB6A"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w:t>
            </w:r>
          </w:p>
        </w:tc>
        <w:tc>
          <w:tcPr>
            <w:tcW w:w="955" w:type="dxa"/>
          </w:tcPr>
          <w:p w14:paraId="3E3A6A53" w14:textId="7B4936A9"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164 </w:t>
            </w:r>
          </w:p>
        </w:tc>
        <w:tc>
          <w:tcPr>
            <w:tcW w:w="955" w:type="dxa"/>
          </w:tcPr>
          <w:p w14:paraId="4669888C" w14:textId="6678AAB9"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235 </w:t>
            </w:r>
          </w:p>
        </w:tc>
      </w:tr>
      <w:tr w:rsidR="00874275" w:rsidRPr="004326A5" w14:paraId="2FFD5F34" w14:textId="77777777" w:rsidTr="001358C5">
        <w:trPr>
          <w:trHeight w:val="288"/>
        </w:trPr>
        <w:tc>
          <w:tcPr>
            <w:tcW w:w="3628" w:type="dxa"/>
            <w:noWrap/>
          </w:tcPr>
          <w:p w14:paraId="7CA94008" w14:textId="6B1449D3" w:rsidR="00874275" w:rsidRPr="004326A5" w:rsidRDefault="00874275" w:rsidP="00874275">
            <w:pPr>
              <w:rPr>
                <w:rFonts w:ascii="Arial" w:hAnsi="Arial" w:cs="Arial"/>
                <w:sz w:val="18"/>
                <w:szCs w:val="18"/>
                <w:lang w:val="en-CA"/>
              </w:rPr>
            </w:pPr>
            <w:r w:rsidRPr="004326A5">
              <w:rPr>
                <w:rFonts w:ascii="Arial" w:hAnsi="Arial" w:cs="Arial"/>
                <w:sz w:val="18"/>
                <w:szCs w:val="18"/>
                <w:lang w:val="en-CA"/>
              </w:rPr>
              <w:t>Other Long-</w:t>
            </w:r>
            <w:r w:rsidR="005245A6" w:rsidRPr="004326A5">
              <w:rPr>
                <w:rFonts w:ascii="Arial" w:hAnsi="Arial" w:cs="Arial"/>
                <w:sz w:val="18"/>
                <w:szCs w:val="18"/>
                <w:lang w:val="en-CA"/>
              </w:rPr>
              <w:t>T</w:t>
            </w:r>
            <w:r w:rsidRPr="004326A5">
              <w:rPr>
                <w:rFonts w:ascii="Arial" w:hAnsi="Arial" w:cs="Arial"/>
                <w:sz w:val="18"/>
                <w:szCs w:val="18"/>
                <w:lang w:val="en-CA"/>
              </w:rPr>
              <w:t>erm Liabilities</w:t>
            </w:r>
          </w:p>
        </w:tc>
        <w:tc>
          <w:tcPr>
            <w:tcW w:w="956" w:type="dxa"/>
          </w:tcPr>
          <w:p w14:paraId="57693363" w14:textId="7D02A4A0"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2,186 </w:t>
            </w:r>
          </w:p>
        </w:tc>
        <w:tc>
          <w:tcPr>
            <w:tcW w:w="956" w:type="dxa"/>
          </w:tcPr>
          <w:p w14:paraId="3D604BC4" w14:textId="6F2166C5"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2,126 </w:t>
            </w:r>
          </w:p>
        </w:tc>
        <w:tc>
          <w:tcPr>
            <w:tcW w:w="955" w:type="dxa"/>
          </w:tcPr>
          <w:p w14:paraId="389E895B" w14:textId="768E6954"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2,008 </w:t>
            </w:r>
          </w:p>
        </w:tc>
        <w:tc>
          <w:tcPr>
            <w:tcW w:w="955" w:type="dxa"/>
          </w:tcPr>
          <w:p w14:paraId="2785D627" w14:textId="42EBE43E"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1,849 </w:t>
            </w:r>
          </w:p>
        </w:tc>
        <w:tc>
          <w:tcPr>
            <w:tcW w:w="955" w:type="dxa"/>
          </w:tcPr>
          <w:p w14:paraId="487CA83E" w14:textId="42C2FDA9"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1,731 </w:t>
            </w:r>
          </w:p>
        </w:tc>
        <w:tc>
          <w:tcPr>
            <w:tcW w:w="955" w:type="dxa"/>
          </w:tcPr>
          <w:p w14:paraId="040A7DE7" w14:textId="620DDA4D"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1,641 </w:t>
            </w:r>
          </w:p>
        </w:tc>
      </w:tr>
      <w:tr w:rsidR="00874275" w:rsidRPr="004326A5" w14:paraId="746877D2" w14:textId="77777777" w:rsidTr="001358C5">
        <w:trPr>
          <w:trHeight w:val="288"/>
        </w:trPr>
        <w:tc>
          <w:tcPr>
            <w:tcW w:w="3628" w:type="dxa"/>
            <w:noWrap/>
          </w:tcPr>
          <w:p w14:paraId="263A27A8" w14:textId="4E21DF95" w:rsidR="00874275" w:rsidRPr="004326A5" w:rsidRDefault="00874275" w:rsidP="00874275">
            <w:pPr>
              <w:rPr>
                <w:rFonts w:ascii="Arial" w:hAnsi="Arial" w:cs="Arial"/>
                <w:sz w:val="18"/>
                <w:szCs w:val="18"/>
                <w:lang w:val="en-CA"/>
              </w:rPr>
            </w:pPr>
            <w:r w:rsidRPr="004326A5">
              <w:rPr>
                <w:rFonts w:ascii="Arial" w:hAnsi="Arial" w:cs="Arial"/>
                <w:sz w:val="18"/>
                <w:szCs w:val="18"/>
                <w:lang w:val="en-CA"/>
              </w:rPr>
              <w:t>Long-Term Deferred Tax Liabilities</w:t>
            </w:r>
          </w:p>
        </w:tc>
        <w:tc>
          <w:tcPr>
            <w:tcW w:w="956" w:type="dxa"/>
          </w:tcPr>
          <w:p w14:paraId="6C1D8FDB" w14:textId="69727EBD"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816 </w:t>
            </w:r>
          </w:p>
        </w:tc>
        <w:tc>
          <w:tcPr>
            <w:tcW w:w="956" w:type="dxa"/>
          </w:tcPr>
          <w:p w14:paraId="7C000237" w14:textId="6F709950"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955 </w:t>
            </w:r>
          </w:p>
        </w:tc>
        <w:tc>
          <w:tcPr>
            <w:tcW w:w="955" w:type="dxa"/>
          </w:tcPr>
          <w:p w14:paraId="1A533507" w14:textId="506BB978"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1,109 </w:t>
            </w:r>
          </w:p>
        </w:tc>
        <w:tc>
          <w:tcPr>
            <w:tcW w:w="955" w:type="dxa"/>
          </w:tcPr>
          <w:p w14:paraId="3329AA05" w14:textId="6E9FF37D"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1,195 </w:t>
            </w:r>
          </w:p>
        </w:tc>
        <w:tc>
          <w:tcPr>
            <w:tcW w:w="955" w:type="dxa"/>
          </w:tcPr>
          <w:p w14:paraId="081A7E4B" w14:textId="4D8A176F"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893 </w:t>
            </w:r>
          </w:p>
        </w:tc>
        <w:tc>
          <w:tcPr>
            <w:tcW w:w="955" w:type="dxa"/>
          </w:tcPr>
          <w:p w14:paraId="201022BD" w14:textId="714F3E6B"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743 </w:t>
            </w:r>
          </w:p>
        </w:tc>
      </w:tr>
      <w:tr w:rsidR="00874275" w:rsidRPr="004326A5" w14:paraId="49BFB4BD" w14:textId="77777777" w:rsidTr="001358C5">
        <w:trPr>
          <w:trHeight w:val="56"/>
        </w:trPr>
        <w:tc>
          <w:tcPr>
            <w:tcW w:w="3628" w:type="dxa"/>
            <w:noWrap/>
          </w:tcPr>
          <w:p w14:paraId="66C9A33B" w14:textId="77777777" w:rsidR="00874275" w:rsidRPr="004326A5" w:rsidRDefault="00874275" w:rsidP="00874275">
            <w:pPr>
              <w:rPr>
                <w:rFonts w:ascii="Arial" w:hAnsi="Arial" w:cs="Arial"/>
                <w:b/>
                <w:sz w:val="18"/>
                <w:szCs w:val="18"/>
                <w:lang w:val="en-CA"/>
              </w:rPr>
            </w:pPr>
            <w:r w:rsidRPr="004326A5">
              <w:rPr>
                <w:rFonts w:ascii="Arial" w:hAnsi="Arial" w:cs="Arial"/>
                <w:b/>
                <w:sz w:val="18"/>
                <w:szCs w:val="18"/>
                <w:lang w:val="en-CA"/>
              </w:rPr>
              <w:t>Total Liabilities</w:t>
            </w:r>
          </w:p>
        </w:tc>
        <w:tc>
          <w:tcPr>
            <w:tcW w:w="956" w:type="dxa"/>
          </w:tcPr>
          <w:p w14:paraId="2BEB5DA0" w14:textId="68751929"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17,040 </w:t>
            </w:r>
          </w:p>
        </w:tc>
        <w:tc>
          <w:tcPr>
            <w:tcW w:w="956" w:type="dxa"/>
          </w:tcPr>
          <w:p w14:paraId="736CC0FA" w14:textId="4DB674BE"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16,168 </w:t>
            </w:r>
          </w:p>
        </w:tc>
        <w:tc>
          <w:tcPr>
            <w:tcW w:w="955" w:type="dxa"/>
          </w:tcPr>
          <w:p w14:paraId="2209E010" w14:textId="4FB71778"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16,078 </w:t>
            </w:r>
          </w:p>
        </w:tc>
        <w:tc>
          <w:tcPr>
            <w:tcW w:w="955" w:type="dxa"/>
          </w:tcPr>
          <w:p w14:paraId="35338E2A" w14:textId="094D01DE"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14,130 </w:t>
            </w:r>
          </w:p>
        </w:tc>
        <w:tc>
          <w:tcPr>
            <w:tcW w:w="955" w:type="dxa"/>
          </w:tcPr>
          <w:p w14:paraId="6EE32227" w14:textId="45B1CB66"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13,293 </w:t>
            </w:r>
          </w:p>
        </w:tc>
        <w:tc>
          <w:tcPr>
            <w:tcW w:w="955" w:type="dxa"/>
          </w:tcPr>
          <w:p w14:paraId="6087F6A8" w14:textId="7B6BBA9D"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13,186 </w:t>
            </w:r>
          </w:p>
        </w:tc>
      </w:tr>
    </w:tbl>
    <w:p w14:paraId="4666F4EA" w14:textId="77777777" w:rsidR="00874275" w:rsidRPr="004326A5" w:rsidRDefault="00874275">
      <w:pPr>
        <w:spacing w:after="200" w:line="276" w:lineRule="auto"/>
        <w:rPr>
          <w:lang w:val="en-CA"/>
        </w:rPr>
      </w:pPr>
      <w:r w:rsidRPr="004326A5">
        <w:rPr>
          <w:lang w:val="en-CA"/>
        </w:rPr>
        <w:br w:type="page"/>
      </w:r>
    </w:p>
    <w:p w14:paraId="1C59577E" w14:textId="04610716" w:rsidR="00874275" w:rsidRPr="004326A5" w:rsidRDefault="00874275" w:rsidP="004274DB">
      <w:pPr>
        <w:pStyle w:val="ExhibitHeading"/>
        <w:rPr>
          <w:lang w:val="en-CA"/>
        </w:rPr>
      </w:pPr>
      <w:r w:rsidRPr="004326A5">
        <w:rPr>
          <w:lang w:val="en-CA"/>
        </w:rPr>
        <w:lastRenderedPageBreak/>
        <w:t xml:space="preserve">Exhibit 4 </w:t>
      </w:r>
      <w:r w:rsidR="006A4008" w:rsidRPr="004326A5">
        <w:rPr>
          <w:lang w:val="en-CA"/>
        </w:rPr>
        <w:t>(</w:t>
      </w:r>
      <w:r w:rsidRPr="004326A5">
        <w:rPr>
          <w:lang w:val="en-CA"/>
        </w:rPr>
        <w:t>continued</w:t>
      </w:r>
      <w:r w:rsidR="006A4008" w:rsidRPr="004326A5">
        <w:rPr>
          <w:lang w:val="en-CA"/>
        </w:rPr>
        <w:t>)</w:t>
      </w:r>
    </w:p>
    <w:p w14:paraId="7254DEC9" w14:textId="77777777" w:rsidR="00874275" w:rsidRPr="004326A5" w:rsidRDefault="00874275" w:rsidP="004274DB">
      <w:pPr>
        <w:pStyle w:val="ExhibitText"/>
        <w:rPr>
          <w:lang w:val="en-CA"/>
        </w:rPr>
      </w:pPr>
    </w:p>
    <w:tbl>
      <w:tblPr>
        <w:tblStyle w:val="IVEYTable"/>
        <w:tblW w:w="5000" w:type="pct"/>
        <w:tblBorders>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9"/>
        <w:gridCol w:w="955"/>
        <w:gridCol w:w="954"/>
        <w:gridCol w:w="953"/>
        <w:gridCol w:w="953"/>
        <w:gridCol w:w="953"/>
        <w:gridCol w:w="953"/>
      </w:tblGrid>
      <w:tr w:rsidR="00874275" w:rsidRPr="004326A5" w14:paraId="30C07A5B" w14:textId="77777777" w:rsidTr="001358C5">
        <w:trPr>
          <w:cnfStyle w:val="100000000000" w:firstRow="1" w:lastRow="0" w:firstColumn="0" w:lastColumn="0" w:oddVBand="0" w:evenVBand="0" w:oddHBand="0" w:evenHBand="0" w:firstRowFirstColumn="0" w:firstRowLastColumn="0" w:lastRowFirstColumn="0" w:lastRowLastColumn="0"/>
          <w:trHeight w:val="288"/>
          <w:tblHeader/>
        </w:trPr>
        <w:tc>
          <w:tcPr>
            <w:tcW w:w="3628" w:type="dxa"/>
            <w:tcBorders>
              <w:bottom w:val="none" w:sz="0" w:space="0" w:color="auto"/>
            </w:tcBorders>
            <w:noWrap/>
          </w:tcPr>
          <w:p w14:paraId="2835A04C" w14:textId="1B5B6CAE" w:rsidR="00874275" w:rsidRPr="004326A5" w:rsidRDefault="00874275" w:rsidP="00874275">
            <w:pPr>
              <w:rPr>
                <w:rFonts w:ascii="Arial" w:hAnsi="Arial" w:cs="Arial"/>
                <w:b/>
                <w:bCs/>
                <w:sz w:val="18"/>
                <w:szCs w:val="18"/>
                <w:lang w:val="en-CA"/>
              </w:rPr>
            </w:pPr>
            <w:r w:rsidRPr="004326A5">
              <w:rPr>
                <w:rFonts w:ascii="Arial" w:hAnsi="Arial" w:cs="Arial"/>
                <w:b/>
                <w:bCs/>
                <w:sz w:val="18"/>
                <w:szCs w:val="18"/>
                <w:lang w:val="en-CA"/>
              </w:rPr>
              <w:t xml:space="preserve">Fiscal Year </w:t>
            </w:r>
            <w:r w:rsidR="006A4008" w:rsidRPr="004326A5">
              <w:rPr>
                <w:rFonts w:ascii="Arial" w:hAnsi="Arial" w:cs="Arial"/>
                <w:b/>
                <w:bCs/>
                <w:sz w:val="18"/>
                <w:szCs w:val="18"/>
                <w:lang w:val="en-CA"/>
              </w:rPr>
              <w:t>E</w:t>
            </w:r>
            <w:r w:rsidRPr="004326A5">
              <w:rPr>
                <w:rFonts w:ascii="Arial" w:hAnsi="Arial" w:cs="Arial"/>
                <w:b/>
                <w:bCs/>
                <w:sz w:val="18"/>
                <w:szCs w:val="18"/>
                <w:lang w:val="en-CA"/>
              </w:rPr>
              <w:t>nd</w:t>
            </w:r>
            <w:r w:rsidR="00A05594" w:rsidRPr="004326A5">
              <w:rPr>
                <w:rFonts w:ascii="Arial" w:hAnsi="Arial" w:cs="Arial"/>
                <w:b/>
                <w:bCs/>
                <w:sz w:val="18"/>
                <w:szCs w:val="18"/>
                <w:lang w:val="en-CA"/>
              </w:rPr>
              <w:t>s</w:t>
            </w:r>
            <w:r w:rsidRPr="004326A5">
              <w:rPr>
                <w:rFonts w:ascii="Arial" w:hAnsi="Arial" w:cs="Arial"/>
                <w:b/>
                <w:bCs/>
                <w:sz w:val="18"/>
                <w:szCs w:val="18"/>
                <w:lang w:val="en-CA"/>
              </w:rPr>
              <w:t xml:space="preserve"> in January</w:t>
            </w:r>
          </w:p>
        </w:tc>
        <w:tc>
          <w:tcPr>
            <w:tcW w:w="956" w:type="dxa"/>
            <w:tcBorders>
              <w:bottom w:val="none" w:sz="0" w:space="0" w:color="auto"/>
            </w:tcBorders>
          </w:tcPr>
          <w:p w14:paraId="2C534EC4" w14:textId="77777777" w:rsidR="00874275" w:rsidRPr="004326A5" w:rsidRDefault="00874275" w:rsidP="00874275">
            <w:pPr>
              <w:jc w:val="right"/>
              <w:rPr>
                <w:rFonts w:ascii="Arial" w:hAnsi="Arial" w:cs="Arial"/>
                <w:b/>
                <w:sz w:val="18"/>
                <w:szCs w:val="18"/>
                <w:lang w:val="en-CA"/>
              </w:rPr>
            </w:pPr>
            <w:r w:rsidRPr="004326A5">
              <w:rPr>
                <w:rFonts w:ascii="Arial" w:hAnsi="Arial" w:cs="Arial"/>
                <w:b/>
                <w:sz w:val="18"/>
                <w:szCs w:val="18"/>
                <w:lang w:val="en-CA"/>
              </w:rPr>
              <w:t>2011/12</w:t>
            </w:r>
          </w:p>
        </w:tc>
        <w:tc>
          <w:tcPr>
            <w:tcW w:w="956" w:type="dxa"/>
            <w:tcBorders>
              <w:bottom w:val="none" w:sz="0" w:space="0" w:color="auto"/>
            </w:tcBorders>
          </w:tcPr>
          <w:p w14:paraId="13016FCD" w14:textId="77777777" w:rsidR="00874275" w:rsidRPr="004326A5" w:rsidRDefault="00874275" w:rsidP="00874275">
            <w:pPr>
              <w:jc w:val="right"/>
              <w:rPr>
                <w:rFonts w:ascii="Arial" w:hAnsi="Arial" w:cs="Arial"/>
                <w:b/>
                <w:sz w:val="18"/>
                <w:szCs w:val="18"/>
                <w:lang w:val="en-CA"/>
              </w:rPr>
            </w:pPr>
            <w:r w:rsidRPr="004326A5">
              <w:rPr>
                <w:rFonts w:ascii="Arial" w:hAnsi="Arial" w:cs="Arial"/>
                <w:b/>
                <w:sz w:val="18"/>
                <w:szCs w:val="18"/>
                <w:lang w:val="en-CA"/>
              </w:rPr>
              <w:t>2012/13</w:t>
            </w:r>
          </w:p>
        </w:tc>
        <w:tc>
          <w:tcPr>
            <w:tcW w:w="955" w:type="dxa"/>
            <w:tcBorders>
              <w:bottom w:val="none" w:sz="0" w:space="0" w:color="auto"/>
            </w:tcBorders>
          </w:tcPr>
          <w:p w14:paraId="392AC099" w14:textId="77777777" w:rsidR="00874275" w:rsidRPr="004326A5" w:rsidRDefault="00874275" w:rsidP="00874275">
            <w:pPr>
              <w:jc w:val="right"/>
              <w:rPr>
                <w:rFonts w:ascii="Arial" w:hAnsi="Arial" w:cs="Arial"/>
                <w:b/>
                <w:sz w:val="18"/>
                <w:szCs w:val="18"/>
                <w:lang w:val="en-CA"/>
              </w:rPr>
            </w:pPr>
            <w:r w:rsidRPr="004326A5">
              <w:rPr>
                <w:rFonts w:ascii="Arial" w:hAnsi="Arial" w:cs="Arial"/>
                <w:b/>
                <w:sz w:val="18"/>
                <w:szCs w:val="18"/>
                <w:lang w:val="en-CA"/>
              </w:rPr>
              <w:t>2013/14</w:t>
            </w:r>
          </w:p>
        </w:tc>
        <w:tc>
          <w:tcPr>
            <w:tcW w:w="955" w:type="dxa"/>
            <w:tcBorders>
              <w:bottom w:val="none" w:sz="0" w:space="0" w:color="auto"/>
            </w:tcBorders>
          </w:tcPr>
          <w:p w14:paraId="382B7F1B" w14:textId="77777777" w:rsidR="00874275" w:rsidRPr="004326A5" w:rsidRDefault="00874275" w:rsidP="00874275">
            <w:pPr>
              <w:jc w:val="right"/>
              <w:rPr>
                <w:rFonts w:ascii="Arial" w:hAnsi="Arial" w:cs="Arial"/>
                <w:b/>
                <w:sz w:val="18"/>
                <w:szCs w:val="18"/>
                <w:lang w:val="en-CA"/>
              </w:rPr>
            </w:pPr>
            <w:r w:rsidRPr="004326A5">
              <w:rPr>
                <w:rFonts w:ascii="Arial" w:hAnsi="Arial" w:cs="Arial"/>
                <w:b/>
                <w:sz w:val="18"/>
                <w:szCs w:val="18"/>
                <w:lang w:val="en-CA"/>
              </w:rPr>
              <w:t>2014/15</w:t>
            </w:r>
          </w:p>
        </w:tc>
        <w:tc>
          <w:tcPr>
            <w:tcW w:w="955" w:type="dxa"/>
            <w:tcBorders>
              <w:bottom w:val="none" w:sz="0" w:space="0" w:color="auto"/>
            </w:tcBorders>
          </w:tcPr>
          <w:p w14:paraId="77B7FA42" w14:textId="77777777" w:rsidR="00874275" w:rsidRPr="004326A5" w:rsidRDefault="00874275" w:rsidP="00874275">
            <w:pPr>
              <w:jc w:val="right"/>
              <w:rPr>
                <w:rFonts w:ascii="Arial" w:hAnsi="Arial" w:cs="Arial"/>
                <w:b/>
                <w:sz w:val="18"/>
                <w:szCs w:val="18"/>
                <w:lang w:val="en-CA"/>
              </w:rPr>
            </w:pPr>
            <w:r w:rsidRPr="004326A5">
              <w:rPr>
                <w:rFonts w:ascii="Arial" w:hAnsi="Arial" w:cs="Arial"/>
                <w:b/>
                <w:sz w:val="18"/>
                <w:szCs w:val="18"/>
                <w:lang w:val="en-CA"/>
              </w:rPr>
              <w:t>2015/16</w:t>
            </w:r>
          </w:p>
        </w:tc>
        <w:tc>
          <w:tcPr>
            <w:tcW w:w="955" w:type="dxa"/>
            <w:tcBorders>
              <w:bottom w:val="none" w:sz="0" w:space="0" w:color="auto"/>
            </w:tcBorders>
          </w:tcPr>
          <w:p w14:paraId="6808B2CE" w14:textId="77777777" w:rsidR="00874275" w:rsidRPr="004326A5" w:rsidRDefault="00874275" w:rsidP="00874275">
            <w:pPr>
              <w:jc w:val="right"/>
              <w:rPr>
                <w:rFonts w:ascii="Arial" w:hAnsi="Arial" w:cs="Arial"/>
                <w:b/>
                <w:sz w:val="18"/>
                <w:szCs w:val="18"/>
                <w:lang w:val="en-CA"/>
              </w:rPr>
            </w:pPr>
            <w:r w:rsidRPr="004326A5">
              <w:rPr>
                <w:rFonts w:ascii="Arial" w:hAnsi="Arial" w:cs="Arial"/>
                <w:b/>
                <w:sz w:val="18"/>
                <w:szCs w:val="18"/>
                <w:lang w:val="en-CA"/>
              </w:rPr>
              <w:t>2016/17</w:t>
            </w:r>
          </w:p>
        </w:tc>
      </w:tr>
      <w:tr w:rsidR="00874275" w:rsidRPr="004326A5" w14:paraId="69FF8218" w14:textId="77777777" w:rsidTr="001358C5">
        <w:trPr>
          <w:trHeight w:val="288"/>
        </w:trPr>
        <w:tc>
          <w:tcPr>
            <w:tcW w:w="3628" w:type="dxa"/>
            <w:noWrap/>
          </w:tcPr>
          <w:p w14:paraId="46CDBFB9" w14:textId="77777777" w:rsidR="00874275" w:rsidRPr="004326A5" w:rsidRDefault="00874275" w:rsidP="00874275">
            <w:pPr>
              <w:rPr>
                <w:rFonts w:ascii="Arial" w:hAnsi="Arial" w:cs="Arial"/>
                <w:b/>
                <w:sz w:val="18"/>
                <w:szCs w:val="18"/>
                <w:lang w:val="en-CA"/>
              </w:rPr>
            </w:pPr>
            <w:r w:rsidRPr="004326A5">
              <w:rPr>
                <w:rFonts w:ascii="Arial" w:hAnsi="Arial" w:cs="Arial"/>
                <w:b/>
                <w:sz w:val="18"/>
                <w:szCs w:val="18"/>
                <w:lang w:val="en-CA"/>
              </w:rPr>
              <w:t>Equity</w:t>
            </w:r>
          </w:p>
        </w:tc>
        <w:tc>
          <w:tcPr>
            <w:tcW w:w="956" w:type="dxa"/>
          </w:tcPr>
          <w:p w14:paraId="1111A4A3" w14:textId="77777777" w:rsidR="00874275" w:rsidRPr="004326A5" w:rsidRDefault="00874275" w:rsidP="00874275">
            <w:pPr>
              <w:jc w:val="right"/>
              <w:rPr>
                <w:rFonts w:ascii="Arial" w:eastAsia="SimSun" w:hAnsi="Arial" w:cs="Arial"/>
                <w:sz w:val="18"/>
                <w:szCs w:val="18"/>
                <w:lang w:val="en-CA"/>
              </w:rPr>
            </w:pPr>
          </w:p>
        </w:tc>
        <w:tc>
          <w:tcPr>
            <w:tcW w:w="956" w:type="dxa"/>
          </w:tcPr>
          <w:p w14:paraId="1FF9C35A" w14:textId="77777777" w:rsidR="00874275" w:rsidRPr="004326A5" w:rsidRDefault="00874275" w:rsidP="00874275">
            <w:pPr>
              <w:jc w:val="right"/>
              <w:rPr>
                <w:rFonts w:ascii="Arial" w:eastAsia="SimSun" w:hAnsi="Arial" w:cs="Arial"/>
                <w:sz w:val="18"/>
                <w:szCs w:val="18"/>
                <w:lang w:val="en-CA"/>
              </w:rPr>
            </w:pPr>
          </w:p>
        </w:tc>
        <w:tc>
          <w:tcPr>
            <w:tcW w:w="955" w:type="dxa"/>
          </w:tcPr>
          <w:p w14:paraId="53DAA17D" w14:textId="77777777" w:rsidR="00874275" w:rsidRPr="004326A5" w:rsidRDefault="00874275" w:rsidP="00874275">
            <w:pPr>
              <w:jc w:val="right"/>
              <w:rPr>
                <w:rFonts w:ascii="Arial" w:eastAsia="SimSun" w:hAnsi="Arial" w:cs="Arial"/>
                <w:sz w:val="18"/>
                <w:szCs w:val="18"/>
                <w:lang w:val="en-CA"/>
              </w:rPr>
            </w:pPr>
          </w:p>
        </w:tc>
        <w:tc>
          <w:tcPr>
            <w:tcW w:w="955" w:type="dxa"/>
          </w:tcPr>
          <w:p w14:paraId="0F8BA2FE" w14:textId="77777777" w:rsidR="00874275" w:rsidRPr="004326A5" w:rsidRDefault="00874275" w:rsidP="00874275">
            <w:pPr>
              <w:jc w:val="right"/>
              <w:rPr>
                <w:rFonts w:ascii="Arial" w:eastAsia="SimSun" w:hAnsi="Arial" w:cs="Arial"/>
                <w:sz w:val="18"/>
                <w:szCs w:val="18"/>
                <w:lang w:val="en-CA"/>
              </w:rPr>
            </w:pPr>
          </w:p>
        </w:tc>
        <w:tc>
          <w:tcPr>
            <w:tcW w:w="955" w:type="dxa"/>
          </w:tcPr>
          <w:p w14:paraId="58095F93" w14:textId="77777777" w:rsidR="00874275" w:rsidRPr="004326A5" w:rsidRDefault="00874275" w:rsidP="00874275">
            <w:pPr>
              <w:jc w:val="right"/>
              <w:rPr>
                <w:rFonts w:ascii="Arial" w:eastAsia="SimSun" w:hAnsi="Arial" w:cs="Arial"/>
                <w:sz w:val="18"/>
                <w:szCs w:val="18"/>
                <w:lang w:val="en-CA"/>
              </w:rPr>
            </w:pPr>
          </w:p>
        </w:tc>
        <w:tc>
          <w:tcPr>
            <w:tcW w:w="955" w:type="dxa"/>
          </w:tcPr>
          <w:p w14:paraId="5E40F273" w14:textId="1AA21B98" w:rsidR="00874275" w:rsidRPr="004326A5" w:rsidRDefault="00874275" w:rsidP="00874275">
            <w:pPr>
              <w:jc w:val="right"/>
              <w:rPr>
                <w:rFonts w:ascii="Arial" w:eastAsia="SimSun" w:hAnsi="Arial" w:cs="Arial"/>
                <w:sz w:val="18"/>
                <w:szCs w:val="18"/>
                <w:lang w:val="en-CA"/>
              </w:rPr>
            </w:pPr>
          </w:p>
        </w:tc>
      </w:tr>
      <w:tr w:rsidR="00874275" w:rsidRPr="004326A5" w14:paraId="3EFD7626" w14:textId="77777777" w:rsidTr="001358C5">
        <w:trPr>
          <w:trHeight w:val="288"/>
        </w:trPr>
        <w:tc>
          <w:tcPr>
            <w:tcW w:w="3628" w:type="dxa"/>
            <w:noWrap/>
          </w:tcPr>
          <w:p w14:paraId="0A2ECBBB" w14:textId="6C6F19EB" w:rsidR="00874275" w:rsidRPr="004326A5" w:rsidRDefault="00874275" w:rsidP="00874275">
            <w:pPr>
              <w:rPr>
                <w:rFonts w:ascii="Arial" w:hAnsi="Arial" w:cs="Arial"/>
                <w:b/>
                <w:sz w:val="18"/>
                <w:szCs w:val="18"/>
                <w:lang w:val="en-CA"/>
              </w:rPr>
            </w:pPr>
            <w:r w:rsidRPr="004326A5">
              <w:rPr>
                <w:rFonts w:ascii="Arial" w:hAnsi="Arial" w:cs="Arial"/>
                <w:b/>
                <w:sz w:val="18"/>
                <w:szCs w:val="18"/>
                <w:lang w:val="en-CA"/>
              </w:rPr>
              <w:t>Sears Equity</w:t>
            </w:r>
          </w:p>
        </w:tc>
        <w:tc>
          <w:tcPr>
            <w:tcW w:w="956" w:type="dxa"/>
          </w:tcPr>
          <w:p w14:paraId="47344F3A" w14:textId="77777777" w:rsidR="00874275" w:rsidRPr="004326A5" w:rsidRDefault="00874275" w:rsidP="00874275">
            <w:pPr>
              <w:jc w:val="right"/>
              <w:rPr>
                <w:rFonts w:ascii="Arial" w:eastAsia="SimSun" w:hAnsi="Arial" w:cs="Arial"/>
                <w:sz w:val="18"/>
                <w:szCs w:val="18"/>
                <w:lang w:val="en-CA"/>
              </w:rPr>
            </w:pPr>
          </w:p>
        </w:tc>
        <w:tc>
          <w:tcPr>
            <w:tcW w:w="956" w:type="dxa"/>
          </w:tcPr>
          <w:p w14:paraId="555782AE" w14:textId="77777777" w:rsidR="00874275" w:rsidRPr="004326A5" w:rsidRDefault="00874275" w:rsidP="00874275">
            <w:pPr>
              <w:jc w:val="right"/>
              <w:rPr>
                <w:rFonts w:ascii="Arial" w:eastAsia="SimSun" w:hAnsi="Arial" w:cs="Arial"/>
                <w:sz w:val="18"/>
                <w:szCs w:val="18"/>
                <w:lang w:val="en-CA"/>
              </w:rPr>
            </w:pPr>
          </w:p>
        </w:tc>
        <w:tc>
          <w:tcPr>
            <w:tcW w:w="955" w:type="dxa"/>
          </w:tcPr>
          <w:p w14:paraId="081B45EC" w14:textId="77777777" w:rsidR="00874275" w:rsidRPr="004326A5" w:rsidRDefault="00874275" w:rsidP="00874275">
            <w:pPr>
              <w:jc w:val="right"/>
              <w:rPr>
                <w:rFonts w:ascii="Arial" w:eastAsia="SimSun" w:hAnsi="Arial" w:cs="Arial"/>
                <w:sz w:val="18"/>
                <w:szCs w:val="18"/>
                <w:lang w:val="en-CA"/>
              </w:rPr>
            </w:pPr>
          </w:p>
        </w:tc>
        <w:tc>
          <w:tcPr>
            <w:tcW w:w="955" w:type="dxa"/>
          </w:tcPr>
          <w:p w14:paraId="2CE89605" w14:textId="77777777" w:rsidR="00874275" w:rsidRPr="004326A5" w:rsidRDefault="00874275" w:rsidP="00874275">
            <w:pPr>
              <w:jc w:val="right"/>
              <w:rPr>
                <w:rFonts w:ascii="Arial" w:eastAsia="SimSun" w:hAnsi="Arial" w:cs="Arial"/>
                <w:sz w:val="18"/>
                <w:szCs w:val="18"/>
                <w:lang w:val="en-CA"/>
              </w:rPr>
            </w:pPr>
          </w:p>
        </w:tc>
        <w:tc>
          <w:tcPr>
            <w:tcW w:w="955" w:type="dxa"/>
          </w:tcPr>
          <w:p w14:paraId="0EA69BB5" w14:textId="77777777" w:rsidR="00874275" w:rsidRPr="004326A5" w:rsidRDefault="00874275" w:rsidP="00874275">
            <w:pPr>
              <w:jc w:val="right"/>
              <w:rPr>
                <w:rFonts w:ascii="Arial" w:eastAsia="SimSun" w:hAnsi="Arial" w:cs="Arial"/>
                <w:sz w:val="18"/>
                <w:szCs w:val="18"/>
                <w:lang w:val="en-CA"/>
              </w:rPr>
            </w:pPr>
          </w:p>
        </w:tc>
        <w:tc>
          <w:tcPr>
            <w:tcW w:w="955" w:type="dxa"/>
          </w:tcPr>
          <w:p w14:paraId="404A85D2" w14:textId="7AA45D92" w:rsidR="00874275" w:rsidRPr="004326A5" w:rsidRDefault="00874275" w:rsidP="00874275">
            <w:pPr>
              <w:jc w:val="right"/>
              <w:rPr>
                <w:rFonts w:ascii="Arial" w:eastAsia="SimSun" w:hAnsi="Arial" w:cs="Arial"/>
                <w:sz w:val="18"/>
                <w:szCs w:val="18"/>
                <w:lang w:val="en-CA"/>
              </w:rPr>
            </w:pPr>
          </w:p>
        </w:tc>
      </w:tr>
      <w:tr w:rsidR="00874275" w:rsidRPr="004326A5" w14:paraId="78B616A0" w14:textId="77777777" w:rsidTr="001358C5">
        <w:trPr>
          <w:trHeight w:val="288"/>
        </w:trPr>
        <w:tc>
          <w:tcPr>
            <w:tcW w:w="3628" w:type="dxa"/>
            <w:noWrap/>
          </w:tcPr>
          <w:p w14:paraId="1CAA5E42" w14:textId="77777777" w:rsidR="00874275" w:rsidRPr="004326A5" w:rsidRDefault="00874275" w:rsidP="00874275">
            <w:pPr>
              <w:ind w:left="144"/>
              <w:rPr>
                <w:rFonts w:ascii="Arial" w:hAnsi="Arial" w:cs="Arial"/>
                <w:sz w:val="18"/>
                <w:szCs w:val="18"/>
                <w:lang w:val="en-CA"/>
              </w:rPr>
            </w:pPr>
            <w:r w:rsidRPr="004326A5">
              <w:rPr>
                <w:rFonts w:ascii="Arial" w:hAnsi="Arial" w:cs="Arial"/>
                <w:sz w:val="18"/>
                <w:szCs w:val="18"/>
                <w:lang w:val="en-CA"/>
              </w:rPr>
              <w:t>Preferred Stock</w:t>
            </w:r>
          </w:p>
        </w:tc>
        <w:tc>
          <w:tcPr>
            <w:tcW w:w="956" w:type="dxa"/>
          </w:tcPr>
          <w:p w14:paraId="1ADB7138" w14:textId="7D422C80"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 </w:t>
            </w:r>
          </w:p>
        </w:tc>
        <w:tc>
          <w:tcPr>
            <w:tcW w:w="956" w:type="dxa"/>
          </w:tcPr>
          <w:p w14:paraId="5A634BA5" w14:textId="6EB22C80"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 </w:t>
            </w:r>
          </w:p>
        </w:tc>
        <w:tc>
          <w:tcPr>
            <w:tcW w:w="955" w:type="dxa"/>
          </w:tcPr>
          <w:p w14:paraId="16269D6A" w14:textId="44620A09"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 </w:t>
            </w:r>
          </w:p>
        </w:tc>
        <w:tc>
          <w:tcPr>
            <w:tcW w:w="955" w:type="dxa"/>
          </w:tcPr>
          <w:p w14:paraId="56C0DE5C" w14:textId="0027C587"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 </w:t>
            </w:r>
          </w:p>
        </w:tc>
        <w:tc>
          <w:tcPr>
            <w:tcW w:w="955" w:type="dxa"/>
          </w:tcPr>
          <w:p w14:paraId="0B489EA4" w14:textId="10D17FBF"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 </w:t>
            </w:r>
          </w:p>
        </w:tc>
        <w:tc>
          <w:tcPr>
            <w:tcW w:w="955" w:type="dxa"/>
          </w:tcPr>
          <w:p w14:paraId="4EEEC445" w14:textId="501E829A"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 </w:t>
            </w:r>
          </w:p>
        </w:tc>
      </w:tr>
      <w:tr w:rsidR="00874275" w:rsidRPr="004326A5" w14:paraId="24B7E7AB" w14:textId="77777777" w:rsidTr="001358C5">
        <w:trPr>
          <w:trHeight w:val="288"/>
        </w:trPr>
        <w:tc>
          <w:tcPr>
            <w:tcW w:w="3628" w:type="dxa"/>
            <w:noWrap/>
          </w:tcPr>
          <w:p w14:paraId="7C8EFBEC" w14:textId="77777777" w:rsidR="00874275" w:rsidRPr="004326A5" w:rsidRDefault="00874275" w:rsidP="00874275">
            <w:pPr>
              <w:ind w:left="144"/>
              <w:rPr>
                <w:rFonts w:ascii="Arial" w:hAnsi="Arial" w:cs="Arial"/>
                <w:sz w:val="18"/>
                <w:szCs w:val="18"/>
                <w:lang w:val="en-CA"/>
              </w:rPr>
            </w:pPr>
            <w:r w:rsidRPr="004326A5">
              <w:rPr>
                <w:rFonts w:ascii="Arial" w:hAnsi="Arial" w:cs="Arial"/>
                <w:sz w:val="18"/>
                <w:szCs w:val="18"/>
                <w:lang w:val="en-CA"/>
              </w:rPr>
              <w:t>Common Stock</w:t>
            </w:r>
          </w:p>
        </w:tc>
        <w:tc>
          <w:tcPr>
            <w:tcW w:w="956" w:type="dxa"/>
          </w:tcPr>
          <w:p w14:paraId="7A3AA67E" w14:textId="641CE2F4"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 </w:t>
            </w:r>
          </w:p>
        </w:tc>
        <w:tc>
          <w:tcPr>
            <w:tcW w:w="956" w:type="dxa"/>
          </w:tcPr>
          <w:p w14:paraId="463D3CBC" w14:textId="60897F36"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 </w:t>
            </w:r>
          </w:p>
        </w:tc>
        <w:tc>
          <w:tcPr>
            <w:tcW w:w="955" w:type="dxa"/>
          </w:tcPr>
          <w:p w14:paraId="3FE0CDB2" w14:textId="76ECAA00"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 </w:t>
            </w:r>
          </w:p>
        </w:tc>
        <w:tc>
          <w:tcPr>
            <w:tcW w:w="955" w:type="dxa"/>
          </w:tcPr>
          <w:p w14:paraId="0A7B6A54" w14:textId="339F401C"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 </w:t>
            </w:r>
          </w:p>
        </w:tc>
        <w:tc>
          <w:tcPr>
            <w:tcW w:w="955" w:type="dxa"/>
          </w:tcPr>
          <w:p w14:paraId="590D57EE" w14:textId="13778E05"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 </w:t>
            </w:r>
          </w:p>
        </w:tc>
        <w:tc>
          <w:tcPr>
            <w:tcW w:w="955" w:type="dxa"/>
          </w:tcPr>
          <w:p w14:paraId="14637A0F" w14:textId="7BFAA15D"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 </w:t>
            </w:r>
          </w:p>
        </w:tc>
      </w:tr>
      <w:tr w:rsidR="00874275" w:rsidRPr="004326A5" w14:paraId="7AF21E6C" w14:textId="77777777" w:rsidTr="001358C5">
        <w:trPr>
          <w:trHeight w:val="288"/>
        </w:trPr>
        <w:tc>
          <w:tcPr>
            <w:tcW w:w="3628" w:type="dxa"/>
            <w:noWrap/>
          </w:tcPr>
          <w:p w14:paraId="3E3F54A0" w14:textId="1D6522E9" w:rsidR="00874275" w:rsidRPr="004326A5" w:rsidRDefault="00874275" w:rsidP="00874275">
            <w:pPr>
              <w:ind w:left="144"/>
              <w:rPr>
                <w:rFonts w:ascii="Arial" w:hAnsi="Arial" w:cs="Arial"/>
                <w:sz w:val="18"/>
                <w:szCs w:val="18"/>
                <w:lang w:val="en-CA"/>
              </w:rPr>
            </w:pPr>
            <w:r w:rsidRPr="004326A5">
              <w:rPr>
                <w:rFonts w:ascii="Arial" w:hAnsi="Arial" w:cs="Arial"/>
                <w:sz w:val="18"/>
                <w:szCs w:val="18"/>
                <w:lang w:val="en-CA"/>
              </w:rPr>
              <w:t xml:space="preserve">Treasury Stock, at </w:t>
            </w:r>
            <w:r w:rsidR="006A4008" w:rsidRPr="004326A5">
              <w:rPr>
                <w:rFonts w:ascii="Arial" w:hAnsi="Arial" w:cs="Arial"/>
                <w:sz w:val="18"/>
                <w:szCs w:val="18"/>
                <w:lang w:val="en-CA"/>
              </w:rPr>
              <w:t>C</w:t>
            </w:r>
            <w:r w:rsidRPr="004326A5">
              <w:rPr>
                <w:rFonts w:ascii="Arial" w:hAnsi="Arial" w:cs="Arial"/>
                <w:sz w:val="18"/>
                <w:szCs w:val="18"/>
                <w:lang w:val="en-CA"/>
              </w:rPr>
              <w:t>ost</w:t>
            </w:r>
          </w:p>
        </w:tc>
        <w:tc>
          <w:tcPr>
            <w:tcW w:w="956" w:type="dxa"/>
          </w:tcPr>
          <w:p w14:paraId="503A5665" w14:textId="433BA0CD"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(5,981)</w:t>
            </w:r>
          </w:p>
        </w:tc>
        <w:tc>
          <w:tcPr>
            <w:tcW w:w="956" w:type="dxa"/>
          </w:tcPr>
          <w:p w14:paraId="2F123C54" w14:textId="15E230EF"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(5,970)</w:t>
            </w:r>
          </w:p>
        </w:tc>
        <w:tc>
          <w:tcPr>
            <w:tcW w:w="955" w:type="dxa"/>
          </w:tcPr>
          <w:p w14:paraId="693C7DE5" w14:textId="7042AB0C"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(5,963)</w:t>
            </w:r>
          </w:p>
        </w:tc>
        <w:tc>
          <w:tcPr>
            <w:tcW w:w="955" w:type="dxa"/>
          </w:tcPr>
          <w:p w14:paraId="20C87350" w14:textId="7F6B3887"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(5,949)</w:t>
            </w:r>
          </w:p>
        </w:tc>
        <w:tc>
          <w:tcPr>
            <w:tcW w:w="955" w:type="dxa"/>
          </w:tcPr>
          <w:p w14:paraId="61546CFB" w14:textId="6C900F95"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(5,928)</w:t>
            </w:r>
          </w:p>
        </w:tc>
        <w:tc>
          <w:tcPr>
            <w:tcW w:w="955" w:type="dxa"/>
          </w:tcPr>
          <w:p w14:paraId="1E9E5F3C" w14:textId="6FF33C12"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(5,891)</w:t>
            </w:r>
          </w:p>
        </w:tc>
      </w:tr>
      <w:tr w:rsidR="00874275" w:rsidRPr="004326A5" w14:paraId="473F6D74" w14:textId="77777777" w:rsidTr="001358C5">
        <w:trPr>
          <w:trHeight w:val="288"/>
        </w:trPr>
        <w:tc>
          <w:tcPr>
            <w:tcW w:w="3628" w:type="dxa"/>
            <w:noWrap/>
          </w:tcPr>
          <w:p w14:paraId="35860328" w14:textId="77777777" w:rsidR="00874275" w:rsidRPr="004326A5" w:rsidRDefault="00874275" w:rsidP="00874275">
            <w:pPr>
              <w:ind w:left="144"/>
              <w:rPr>
                <w:rFonts w:ascii="Arial" w:hAnsi="Arial" w:cs="Arial"/>
                <w:sz w:val="18"/>
                <w:szCs w:val="18"/>
                <w:lang w:val="en-CA"/>
              </w:rPr>
            </w:pPr>
            <w:r w:rsidRPr="004326A5">
              <w:rPr>
                <w:rFonts w:ascii="Arial" w:hAnsi="Arial" w:cs="Arial"/>
                <w:sz w:val="18"/>
                <w:szCs w:val="18"/>
                <w:lang w:val="en-CA"/>
              </w:rPr>
              <w:t>Capital in Excess of Par Value</w:t>
            </w:r>
          </w:p>
        </w:tc>
        <w:tc>
          <w:tcPr>
            <w:tcW w:w="956" w:type="dxa"/>
          </w:tcPr>
          <w:p w14:paraId="54446D7C" w14:textId="6194C378"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10,005 </w:t>
            </w:r>
          </w:p>
        </w:tc>
        <w:tc>
          <w:tcPr>
            <w:tcW w:w="956" w:type="dxa"/>
          </w:tcPr>
          <w:p w14:paraId="6747FB3D" w14:textId="217BED09"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9,298 </w:t>
            </w:r>
          </w:p>
        </w:tc>
        <w:tc>
          <w:tcPr>
            <w:tcW w:w="955" w:type="dxa"/>
          </w:tcPr>
          <w:p w14:paraId="0931335F" w14:textId="48A8DEAC"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9,298 </w:t>
            </w:r>
          </w:p>
        </w:tc>
        <w:tc>
          <w:tcPr>
            <w:tcW w:w="955" w:type="dxa"/>
          </w:tcPr>
          <w:p w14:paraId="25E72AC5" w14:textId="4F648263"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9,189 </w:t>
            </w:r>
          </w:p>
        </w:tc>
        <w:tc>
          <w:tcPr>
            <w:tcW w:w="955" w:type="dxa"/>
          </w:tcPr>
          <w:p w14:paraId="51560DB5" w14:textId="6DB2C90D"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9,173 </w:t>
            </w:r>
          </w:p>
        </w:tc>
        <w:tc>
          <w:tcPr>
            <w:tcW w:w="955" w:type="dxa"/>
          </w:tcPr>
          <w:p w14:paraId="7133DAFD" w14:textId="7EE5CF7E"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9,130 </w:t>
            </w:r>
          </w:p>
        </w:tc>
      </w:tr>
      <w:tr w:rsidR="00874275" w:rsidRPr="004326A5" w14:paraId="0C1EFAE8" w14:textId="77777777" w:rsidTr="001358C5">
        <w:trPr>
          <w:trHeight w:val="288"/>
        </w:trPr>
        <w:tc>
          <w:tcPr>
            <w:tcW w:w="3628" w:type="dxa"/>
            <w:noWrap/>
          </w:tcPr>
          <w:p w14:paraId="6756C34B" w14:textId="23C5A7BC" w:rsidR="00874275" w:rsidRPr="004326A5" w:rsidRDefault="00874275" w:rsidP="00874275">
            <w:pPr>
              <w:ind w:left="144"/>
              <w:rPr>
                <w:rFonts w:ascii="Arial" w:hAnsi="Arial" w:cs="Arial"/>
                <w:sz w:val="18"/>
                <w:szCs w:val="18"/>
                <w:lang w:val="en-CA"/>
              </w:rPr>
            </w:pPr>
            <w:r w:rsidRPr="004326A5">
              <w:rPr>
                <w:rFonts w:ascii="Arial" w:hAnsi="Arial" w:cs="Arial"/>
                <w:sz w:val="18"/>
                <w:szCs w:val="18"/>
                <w:lang w:val="en-CA"/>
              </w:rPr>
              <w:t>Retained Earnings Deficit</w:t>
            </w:r>
          </w:p>
        </w:tc>
        <w:tc>
          <w:tcPr>
            <w:tcW w:w="956" w:type="dxa"/>
          </w:tcPr>
          <w:p w14:paraId="20F54314" w14:textId="231BBB1F"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1,865 </w:t>
            </w:r>
          </w:p>
        </w:tc>
        <w:tc>
          <w:tcPr>
            <w:tcW w:w="956" w:type="dxa"/>
          </w:tcPr>
          <w:p w14:paraId="3C5F47D0" w14:textId="2A412C31"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885 </w:t>
            </w:r>
          </w:p>
        </w:tc>
        <w:tc>
          <w:tcPr>
            <w:tcW w:w="955" w:type="dxa"/>
          </w:tcPr>
          <w:p w14:paraId="0CDFC103" w14:textId="11735B4E"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(480)</w:t>
            </w:r>
          </w:p>
        </w:tc>
        <w:tc>
          <w:tcPr>
            <w:tcW w:w="955" w:type="dxa"/>
          </w:tcPr>
          <w:p w14:paraId="04343A71" w14:textId="5DEAE6CE"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(2,162)</w:t>
            </w:r>
          </w:p>
        </w:tc>
        <w:tc>
          <w:tcPr>
            <w:tcW w:w="955" w:type="dxa"/>
          </w:tcPr>
          <w:p w14:paraId="7FC53782" w14:textId="7ED7F6B9"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(3,291)</w:t>
            </w:r>
          </w:p>
        </w:tc>
        <w:tc>
          <w:tcPr>
            <w:tcW w:w="955" w:type="dxa"/>
          </w:tcPr>
          <w:p w14:paraId="068F1161" w14:textId="6D58B92F"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(5,512)</w:t>
            </w:r>
          </w:p>
        </w:tc>
      </w:tr>
      <w:tr w:rsidR="00874275" w:rsidRPr="004326A5" w14:paraId="41153AC6" w14:textId="77777777" w:rsidTr="001358C5">
        <w:trPr>
          <w:trHeight w:val="288"/>
        </w:trPr>
        <w:tc>
          <w:tcPr>
            <w:tcW w:w="3628" w:type="dxa"/>
            <w:noWrap/>
          </w:tcPr>
          <w:p w14:paraId="1B8C6017" w14:textId="77777777" w:rsidR="00874275" w:rsidRPr="004326A5" w:rsidRDefault="00874275" w:rsidP="00874275">
            <w:pPr>
              <w:ind w:left="144"/>
              <w:rPr>
                <w:rFonts w:ascii="Arial" w:hAnsi="Arial" w:cs="Arial"/>
                <w:sz w:val="18"/>
                <w:szCs w:val="18"/>
                <w:lang w:val="en-CA"/>
              </w:rPr>
            </w:pPr>
            <w:r w:rsidRPr="004326A5">
              <w:rPr>
                <w:rFonts w:ascii="Arial" w:hAnsi="Arial" w:cs="Arial"/>
                <w:sz w:val="18"/>
                <w:szCs w:val="18"/>
                <w:lang w:val="en-CA"/>
              </w:rPr>
              <w:t>Accumulated Other Comprehensive Loss</w:t>
            </w:r>
          </w:p>
        </w:tc>
        <w:tc>
          <w:tcPr>
            <w:tcW w:w="956" w:type="dxa"/>
          </w:tcPr>
          <w:p w14:paraId="37C407FE" w14:textId="79E656A5"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(1,609)</w:t>
            </w:r>
          </w:p>
        </w:tc>
        <w:tc>
          <w:tcPr>
            <w:tcW w:w="956" w:type="dxa"/>
          </w:tcPr>
          <w:p w14:paraId="36EA156E" w14:textId="214916F0"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(1,459)</w:t>
            </w:r>
          </w:p>
        </w:tc>
        <w:tc>
          <w:tcPr>
            <w:tcW w:w="955" w:type="dxa"/>
          </w:tcPr>
          <w:p w14:paraId="320BBD11" w14:textId="11828B9E"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(1,117)</w:t>
            </w:r>
          </w:p>
        </w:tc>
        <w:tc>
          <w:tcPr>
            <w:tcW w:w="955" w:type="dxa"/>
          </w:tcPr>
          <w:p w14:paraId="7E346028" w14:textId="17A55AAF"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(2,030)</w:t>
            </w:r>
          </w:p>
        </w:tc>
        <w:tc>
          <w:tcPr>
            <w:tcW w:w="955" w:type="dxa"/>
          </w:tcPr>
          <w:p w14:paraId="39F8CA3B" w14:textId="3E2112EA"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(1,918)</w:t>
            </w:r>
          </w:p>
        </w:tc>
        <w:tc>
          <w:tcPr>
            <w:tcW w:w="955" w:type="dxa"/>
          </w:tcPr>
          <w:p w14:paraId="734F029B" w14:textId="4BEF64BF"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(1,552)</w:t>
            </w:r>
          </w:p>
        </w:tc>
      </w:tr>
      <w:tr w:rsidR="00874275" w:rsidRPr="004326A5" w14:paraId="3B645C2F" w14:textId="77777777" w:rsidTr="001358C5">
        <w:trPr>
          <w:trHeight w:val="288"/>
        </w:trPr>
        <w:tc>
          <w:tcPr>
            <w:tcW w:w="3628" w:type="dxa"/>
            <w:noWrap/>
          </w:tcPr>
          <w:p w14:paraId="667C9A17" w14:textId="388FC107" w:rsidR="00874275" w:rsidRPr="004326A5" w:rsidRDefault="00874275" w:rsidP="00874275">
            <w:pPr>
              <w:ind w:left="144"/>
              <w:rPr>
                <w:rFonts w:ascii="Arial" w:hAnsi="Arial" w:cs="Arial"/>
                <w:b/>
                <w:sz w:val="18"/>
                <w:szCs w:val="18"/>
                <w:lang w:val="en-CA"/>
              </w:rPr>
            </w:pPr>
            <w:r w:rsidRPr="004326A5">
              <w:rPr>
                <w:rFonts w:ascii="Arial" w:hAnsi="Arial" w:cs="Arial"/>
                <w:b/>
                <w:sz w:val="18"/>
                <w:szCs w:val="18"/>
                <w:lang w:val="en-CA"/>
              </w:rPr>
              <w:t>Total Sears Equity (Deficit)</w:t>
            </w:r>
          </w:p>
        </w:tc>
        <w:tc>
          <w:tcPr>
            <w:tcW w:w="956" w:type="dxa"/>
          </w:tcPr>
          <w:p w14:paraId="4671EA6E" w14:textId="1496F599"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4,281 </w:t>
            </w:r>
          </w:p>
        </w:tc>
        <w:tc>
          <w:tcPr>
            <w:tcW w:w="956" w:type="dxa"/>
          </w:tcPr>
          <w:p w14:paraId="6ABCBCA2" w14:textId="0C01C570"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2,755 </w:t>
            </w:r>
          </w:p>
        </w:tc>
        <w:tc>
          <w:tcPr>
            <w:tcW w:w="955" w:type="dxa"/>
          </w:tcPr>
          <w:p w14:paraId="32A95132" w14:textId="5832DC6D"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1,739 </w:t>
            </w:r>
          </w:p>
        </w:tc>
        <w:tc>
          <w:tcPr>
            <w:tcW w:w="955" w:type="dxa"/>
          </w:tcPr>
          <w:p w14:paraId="26215445" w14:textId="3D94A9FD"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(951)</w:t>
            </w:r>
          </w:p>
        </w:tc>
        <w:tc>
          <w:tcPr>
            <w:tcW w:w="955" w:type="dxa"/>
          </w:tcPr>
          <w:p w14:paraId="0EF6F5CA" w14:textId="15DF70A7"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(1,963)</w:t>
            </w:r>
          </w:p>
        </w:tc>
        <w:tc>
          <w:tcPr>
            <w:tcW w:w="955" w:type="dxa"/>
          </w:tcPr>
          <w:p w14:paraId="55304E3A" w14:textId="187300EB"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(3,824)</w:t>
            </w:r>
          </w:p>
        </w:tc>
      </w:tr>
      <w:tr w:rsidR="00874275" w:rsidRPr="004326A5" w14:paraId="6AA00FD3" w14:textId="77777777" w:rsidTr="001358C5">
        <w:trPr>
          <w:trHeight w:val="288"/>
        </w:trPr>
        <w:tc>
          <w:tcPr>
            <w:tcW w:w="3628" w:type="dxa"/>
            <w:noWrap/>
          </w:tcPr>
          <w:p w14:paraId="1431430E" w14:textId="330CDE68" w:rsidR="00874275" w:rsidRPr="004326A5" w:rsidRDefault="00874275" w:rsidP="00874275">
            <w:pPr>
              <w:rPr>
                <w:rFonts w:ascii="Arial" w:hAnsi="Arial" w:cs="Arial"/>
                <w:sz w:val="18"/>
                <w:szCs w:val="18"/>
                <w:lang w:val="en-CA"/>
              </w:rPr>
            </w:pPr>
            <w:r w:rsidRPr="004326A5">
              <w:rPr>
                <w:rFonts w:ascii="Arial" w:hAnsi="Arial" w:cs="Arial"/>
                <w:sz w:val="18"/>
                <w:szCs w:val="18"/>
                <w:lang w:val="en-CA"/>
              </w:rPr>
              <w:t>Non</w:t>
            </w:r>
            <w:r w:rsidR="00C93305" w:rsidRPr="004326A5">
              <w:rPr>
                <w:rFonts w:ascii="Arial" w:hAnsi="Arial" w:cs="Arial"/>
                <w:sz w:val="18"/>
                <w:szCs w:val="18"/>
                <w:lang w:val="en-CA"/>
              </w:rPr>
              <w:t>-</w:t>
            </w:r>
            <w:r w:rsidRPr="004326A5">
              <w:rPr>
                <w:rFonts w:ascii="Arial" w:hAnsi="Arial" w:cs="Arial"/>
                <w:sz w:val="18"/>
                <w:szCs w:val="18"/>
                <w:lang w:val="en-CA"/>
              </w:rPr>
              <w:t>controlling Interest</w:t>
            </w:r>
          </w:p>
        </w:tc>
        <w:tc>
          <w:tcPr>
            <w:tcW w:w="956" w:type="dxa"/>
          </w:tcPr>
          <w:p w14:paraId="509E0E62" w14:textId="7E58B995"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60 </w:t>
            </w:r>
          </w:p>
        </w:tc>
        <w:tc>
          <w:tcPr>
            <w:tcW w:w="956" w:type="dxa"/>
          </w:tcPr>
          <w:p w14:paraId="65D517A6" w14:textId="3B0021C5"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417 </w:t>
            </w:r>
          </w:p>
        </w:tc>
        <w:tc>
          <w:tcPr>
            <w:tcW w:w="955" w:type="dxa"/>
          </w:tcPr>
          <w:p w14:paraId="28E8FAF5" w14:textId="323F2BFF"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444 </w:t>
            </w:r>
          </w:p>
        </w:tc>
        <w:tc>
          <w:tcPr>
            <w:tcW w:w="955" w:type="dxa"/>
          </w:tcPr>
          <w:p w14:paraId="158A17E7" w14:textId="0B4A3484"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6 </w:t>
            </w:r>
          </w:p>
        </w:tc>
        <w:tc>
          <w:tcPr>
            <w:tcW w:w="955" w:type="dxa"/>
          </w:tcPr>
          <w:p w14:paraId="3A248A4A" w14:textId="37F181BF"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7 </w:t>
            </w:r>
          </w:p>
        </w:tc>
        <w:tc>
          <w:tcPr>
            <w:tcW w:w="955" w:type="dxa"/>
          </w:tcPr>
          <w:p w14:paraId="40E62A9B" w14:textId="7DECFBE3" w:rsidR="00874275" w:rsidRPr="004326A5" w:rsidRDefault="00874275" w:rsidP="00874275">
            <w:pPr>
              <w:jc w:val="right"/>
              <w:rPr>
                <w:rFonts w:ascii="Arial" w:eastAsia="SimSun" w:hAnsi="Arial" w:cs="Arial"/>
                <w:sz w:val="18"/>
                <w:szCs w:val="18"/>
                <w:lang w:val="en-CA"/>
              </w:rPr>
            </w:pPr>
            <w:r w:rsidRPr="004326A5">
              <w:rPr>
                <w:rFonts w:ascii="Arial" w:eastAsia="SimSun" w:hAnsi="Arial" w:cs="Arial"/>
                <w:sz w:val="18"/>
                <w:szCs w:val="18"/>
                <w:lang w:val="en-CA"/>
              </w:rPr>
              <w:t xml:space="preserve"> — </w:t>
            </w:r>
          </w:p>
        </w:tc>
      </w:tr>
      <w:tr w:rsidR="00874275" w:rsidRPr="004326A5" w14:paraId="2BDB97BA" w14:textId="77777777" w:rsidTr="001358C5">
        <w:trPr>
          <w:trHeight w:val="288"/>
        </w:trPr>
        <w:tc>
          <w:tcPr>
            <w:tcW w:w="3628" w:type="dxa"/>
            <w:noWrap/>
          </w:tcPr>
          <w:p w14:paraId="198C06FE" w14:textId="77777777" w:rsidR="00874275" w:rsidRPr="004326A5" w:rsidRDefault="00874275" w:rsidP="00874275">
            <w:pPr>
              <w:rPr>
                <w:rFonts w:ascii="Arial" w:hAnsi="Arial" w:cs="Arial"/>
                <w:b/>
                <w:sz w:val="18"/>
                <w:szCs w:val="18"/>
                <w:lang w:val="en-CA"/>
              </w:rPr>
            </w:pPr>
            <w:r w:rsidRPr="004326A5">
              <w:rPr>
                <w:rFonts w:ascii="Arial" w:hAnsi="Arial" w:cs="Arial"/>
                <w:b/>
                <w:sz w:val="18"/>
                <w:szCs w:val="18"/>
                <w:lang w:val="en-CA"/>
              </w:rPr>
              <w:t>Total Equity</w:t>
            </w:r>
          </w:p>
        </w:tc>
        <w:tc>
          <w:tcPr>
            <w:tcW w:w="956" w:type="dxa"/>
          </w:tcPr>
          <w:p w14:paraId="795C3E4A" w14:textId="2CD48284"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4,341 </w:t>
            </w:r>
          </w:p>
        </w:tc>
        <w:tc>
          <w:tcPr>
            <w:tcW w:w="956" w:type="dxa"/>
          </w:tcPr>
          <w:p w14:paraId="03563F78" w14:textId="0F1C525E"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3,172 </w:t>
            </w:r>
          </w:p>
        </w:tc>
        <w:tc>
          <w:tcPr>
            <w:tcW w:w="955" w:type="dxa"/>
          </w:tcPr>
          <w:p w14:paraId="79E7EE59" w14:textId="3C87ACC7"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2,183 </w:t>
            </w:r>
          </w:p>
        </w:tc>
        <w:tc>
          <w:tcPr>
            <w:tcW w:w="955" w:type="dxa"/>
          </w:tcPr>
          <w:p w14:paraId="0945F303" w14:textId="38CD6B1E"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(945)</w:t>
            </w:r>
          </w:p>
        </w:tc>
        <w:tc>
          <w:tcPr>
            <w:tcW w:w="955" w:type="dxa"/>
          </w:tcPr>
          <w:p w14:paraId="17C22CBC" w14:textId="470B5660"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(1,956)</w:t>
            </w:r>
          </w:p>
        </w:tc>
        <w:tc>
          <w:tcPr>
            <w:tcW w:w="955" w:type="dxa"/>
          </w:tcPr>
          <w:p w14:paraId="2BF502FC" w14:textId="26DA1772"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(3,824)</w:t>
            </w:r>
          </w:p>
        </w:tc>
      </w:tr>
      <w:tr w:rsidR="00874275" w:rsidRPr="004326A5" w14:paraId="65852864" w14:textId="77777777" w:rsidTr="001358C5">
        <w:trPr>
          <w:trHeight w:val="288"/>
        </w:trPr>
        <w:tc>
          <w:tcPr>
            <w:tcW w:w="3628" w:type="dxa"/>
            <w:noWrap/>
          </w:tcPr>
          <w:p w14:paraId="225875D7" w14:textId="77777777" w:rsidR="00874275" w:rsidRPr="004326A5" w:rsidRDefault="00874275" w:rsidP="00874275">
            <w:pPr>
              <w:rPr>
                <w:rFonts w:ascii="Arial" w:hAnsi="Arial" w:cs="Arial"/>
                <w:b/>
                <w:sz w:val="18"/>
                <w:szCs w:val="18"/>
                <w:lang w:val="en-CA"/>
              </w:rPr>
            </w:pPr>
            <w:r w:rsidRPr="004326A5">
              <w:rPr>
                <w:rFonts w:ascii="Arial" w:hAnsi="Arial" w:cs="Arial"/>
                <w:b/>
                <w:sz w:val="18"/>
                <w:szCs w:val="18"/>
                <w:lang w:val="en-CA"/>
              </w:rPr>
              <w:t>Total Liabilities and Equity</w:t>
            </w:r>
          </w:p>
        </w:tc>
        <w:tc>
          <w:tcPr>
            <w:tcW w:w="956" w:type="dxa"/>
          </w:tcPr>
          <w:p w14:paraId="286AC966" w14:textId="6F9FBF51"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21,381 </w:t>
            </w:r>
          </w:p>
        </w:tc>
        <w:tc>
          <w:tcPr>
            <w:tcW w:w="956" w:type="dxa"/>
          </w:tcPr>
          <w:p w14:paraId="4CB4CD61" w14:textId="4C90A4C8"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19,340 </w:t>
            </w:r>
          </w:p>
        </w:tc>
        <w:tc>
          <w:tcPr>
            <w:tcW w:w="955" w:type="dxa"/>
          </w:tcPr>
          <w:p w14:paraId="60A8311E" w14:textId="3BFC31A6"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18,261 </w:t>
            </w:r>
          </w:p>
        </w:tc>
        <w:tc>
          <w:tcPr>
            <w:tcW w:w="955" w:type="dxa"/>
          </w:tcPr>
          <w:p w14:paraId="199B7F79" w14:textId="3B933C75"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13,185 </w:t>
            </w:r>
          </w:p>
        </w:tc>
        <w:tc>
          <w:tcPr>
            <w:tcW w:w="955" w:type="dxa"/>
          </w:tcPr>
          <w:p w14:paraId="6152DDFC" w14:textId="18FD807C"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11,337 </w:t>
            </w:r>
          </w:p>
        </w:tc>
        <w:tc>
          <w:tcPr>
            <w:tcW w:w="955" w:type="dxa"/>
          </w:tcPr>
          <w:p w14:paraId="36AD8695" w14:textId="0F3AE43E" w:rsidR="00874275" w:rsidRPr="004326A5" w:rsidRDefault="00874275" w:rsidP="00874275">
            <w:pPr>
              <w:jc w:val="right"/>
              <w:rPr>
                <w:rFonts w:ascii="Arial" w:eastAsia="SimSun" w:hAnsi="Arial" w:cs="Arial"/>
                <w:b/>
                <w:sz w:val="18"/>
                <w:szCs w:val="18"/>
                <w:lang w:val="en-CA"/>
              </w:rPr>
            </w:pPr>
            <w:r w:rsidRPr="004326A5">
              <w:rPr>
                <w:rFonts w:ascii="Arial" w:eastAsia="SimSun" w:hAnsi="Arial" w:cs="Arial"/>
                <w:b/>
                <w:sz w:val="18"/>
                <w:szCs w:val="18"/>
                <w:lang w:val="en-CA"/>
              </w:rPr>
              <w:t xml:space="preserve"> 9,362 </w:t>
            </w:r>
          </w:p>
        </w:tc>
      </w:tr>
    </w:tbl>
    <w:p w14:paraId="67A593A6" w14:textId="77777777" w:rsidR="00874275" w:rsidRPr="004326A5" w:rsidRDefault="00874275" w:rsidP="00E02724">
      <w:pPr>
        <w:pStyle w:val="ExhibitText"/>
        <w:rPr>
          <w:rFonts w:eastAsia="Calibri"/>
          <w:shd w:val="clear" w:color="auto" w:fill="FFFFFF"/>
          <w:lang w:val="en-CA"/>
        </w:rPr>
      </w:pPr>
    </w:p>
    <w:p w14:paraId="4A581943" w14:textId="62280C2E" w:rsidR="00874275" w:rsidRPr="004326A5" w:rsidRDefault="00874275" w:rsidP="00790BD6">
      <w:pPr>
        <w:pStyle w:val="Footnote"/>
        <w:jc w:val="both"/>
        <w:rPr>
          <w:rFonts w:eastAsia="Calibri"/>
          <w:shd w:val="clear" w:color="auto" w:fill="FFFFFF"/>
          <w:lang w:val="en-CA"/>
        </w:rPr>
      </w:pPr>
      <w:r w:rsidRPr="00790BD6">
        <w:rPr>
          <w:rFonts w:eastAsia="Calibri"/>
          <w:lang w:val="en-CA"/>
        </w:rPr>
        <w:t xml:space="preserve">Source: Compiled by the case authors based on Sears Holdings Corporation, “Form 10-K for the Fiscal Year Ended January 28, 2017,” 2, 5, 58, 2016, accessed April 8, 2017, https://searsholdings.com/docs/investor/SHC_2016_Form_10-K.pdf; Sears Holdings Corporation, “Form 10-K for the Fiscal Year Ended January 30, 2016,” 2, 5, 56, accessed March 21, 2017, https://searsholdings.com/docs/investor/SHC_2015_Form_10-K.pdf; Sears Holdings Corporation, “Form 10-K for the Fiscal Year Ended January 31, 2015,” 2, 6, 64, accessed March 21, 2017, https://searsholdings.com/docs/investor/SHC_2014_Form_10-K.pdf; Sears Holdings Corporation, “Form 10-K for the Fiscal Year Ended February 1, 2014,” 2, 6, 63, accessed March 21, 2017, https://searsholdings.com/docs/investor/SHC_2013_Form_10-K.pdf; Sears Holdings Corporation, “Form 10-K for the Fiscal Year Ended February 2, 2013,” 2, 6, 56, accessed March 21, 2017, https://searsholdings.com/docs/investor/SHC_2012_Form_10-K.pdf; and Sears Holdings Corporation, “Form 10-K for the Fiscal Year Ended </w:t>
      </w:r>
      <w:r w:rsidR="00C93305" w:rsidRPr="00790BD6">
        <w:rPr>
          <w:rFonts w:eastAsia="Calibri"/>
          <w:lang w:val="en-CA"/>
        </w:rPr>
        <w:t>January</w:t>
      </w:r>
      <w:r w:rsidRPr="00790BD6">
        <w:rPr>
          <w:rFonts w:eastAsia="Calibri"/>
          <w:lang w:val="en-CA"/>
        </w:rPr>
        <w:t xml:space="preserve"> 28, 2012,” 54, accessed March 21, 2017,</w:t>
      </w:r>
      <w:r w:rsidRPr="004326A5">
        <w:rPr>
          <w:rFonts w:eastAsia="Calibri"/>
          <w:shd w:val="clear" w:color="auto" w:fill="FFFFFF"/>
          <w:lang w:val="en-CA"/>
        </w:rPr>
        <w:t xml:space="preserve"> </w:t>
      </w:r>
      <w:r w:rsidRPr="00790BD6">
        <w:rPr>
          <w:rFonts w:eastAsia="Calibri"/>
          <w:lang w:val="en-CA"/>
        </w:rPr>
        <w:t>https://searsholdings.com/docs/investor/SHC_2011_Form_10-K.pdf.</w:t>
      </w:r>
    </w:p>
    <w:p w14:paraId="30CDEF97" w14:textId="49623F73" w:rsidR="00874275" w:rsidRPr="004326A5" w:rsidRDefault="00874275">
      <w:pPr>
        <w:spacing w:after="200" w:line="276" w:lineRule="auto"/>
        <w:rPr>
          <w:rFonts w:ascii="Arial" w:eastAsia="Calibri" w:hAnsi="Arial" w:cs="Arial"/>
          <w:shd w:val="clear" w:color="auto" w:fill="FFFFFF"/>
          <w:lang w:val="en-CA"/>
        </w:rPr>
      </w:pPr>
      <w:r w:rsidRPr="004326A5">
        <w:rPr>
          <w:rFonts w:eastAsia="Calibri"/>
          <w:shd w:val="clear" w:color="auto" w:fill="FFFFFF"/>
          <w:lang w:val="en-CA"/>
        </w:rPr>
        <w:br w:type="page"/>
      </w:r>
    </w:p>
    <w:p w14:paraId="64A135FC" w14:textId="2CB15761" w:rsidR="00874275" w:rsidRPr="004326A5" w:rsidRDefault="00874275" w:rsidP="003456D6">
      <w:pPr>
        <w:pStyle w:val="ExhibitHeading"/>
        <w:outlineLvl w:val="0"/>
        <w:rPr>
          <w:rFonts w:eastAsia="Calibri"/>
          <w:shd w:val="clear" w:color="auto" w:fill="FFFFFF"/>
          <w:lang w:val="en-CA"/>
        </w:rPr>
      </w:pPr>
      <w:r w:rsidRPr="004326A5">
        <w:rPr>
          <w:rFonts w:eastAsia="Calibri"/>
          <w:shd w:val="clear" w:color="auto" w:fill="FFFFFF"/>
          <w:lang w:val="en-CA"/>
        </w:rPr>
        <w:lastRenderedPageBreak/>
        <w:t xml:space="preserve">EXHIBIT 5: SEARS </w:t>
      </w:r>
      <w:r w:rsidR="00C5069A" w:rsidRPr="004326A5">
        <w:rPr>
          <w:rFonts w:eastAsia="Calibri"/>
          <w:shd w:val="clear" w:color="auto" w:fill="FFFFFF"/>
          <w:lang w:val="en-CA"/>
        </w:rPr>
        <w:t xml:space="preserve">Holdings Corporation </w:t>
      </w:r>
      <w:r w:rsidRPr="004326A5">
        <w:rPr>
          <w:rFonts w:eastAsia="Calibri"/>
          <w:shd w:val="clear" w:color="auto" w:fill="FFFFFF"/>
          <w:lang w:val="en-CA"/>
        </w:rPr>
        <w:t>CASH FLOW STATEMENT (in US$ millions)</w:t>
      </w:r>
    </w:p>
    <w:p w14:paraId="17A0EF8C" w14:textId="77777777" w:rsidR="00874275" w:rsidRPr="004326A5" w:rsidRDefault="00874275" w:rsidP="00022021">
      <w:pPr>
        <w:pStyle w:val="ExhibitText"/>
        <w:rPr>
          <w:rFonts w:eastAsia="Calibri"/>
          <w:shd w:val="clear" w:color="auto" w:fill="FFFFFF"/>
          <w:lang w:val="en-CA"/>
        </w:rPr>
      </w:pPr>
    </w:p>
    <w:tbl>
      <w:tblPr>
        <w:tblStyle w:val="IVEYTable"/>
        <w:tblW w:w="5000" w:type="pct"/>
        <w:tblBorders>
          <w:left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3601"/>
        <w:gridCol w:w="959"/>
        <w:gridCol w:w="958"/>
        <w:gridCol w:w="958"/>
        <w:gridCol w:w="958"/>
        <w:gridCol w:w="958"/>
        <w:gridCol w:w="958"/>
      </w:tblGrid>
      <w:tr w:rsidR="00874275" w:rsidRPr="004326A5" w14:paraId="1E647822" w14:textId="77777777" w:rsidTr="001358C5">
        <w:trPr>
          <w:cnfStyle w:val="100000000000" w:firstRow="1" w:lastRow="0" w:firstColumn="0" w:lastColumn="0" w:oddVBand="0" w:evenVBand="0" w:oddHBand="0" w:evenHBand="0" w:firstRowFirstColumn="0" w:firstRowLastColumn="0" w:lastRowFirstColumn="0" w:lastRowLastColumn="0"/>
          <w:trHeight w:val="51"/>
        </w:trPr>
        <w:tc>
          <w:tcPr>
            <w:tcW w:w="3600" w:type="dxa"/>
            <w:tcBorders>
              <w:bottom w:val="none" w:sz="0" w:space="0" w:color="auto"/>
            </w:tcBorders>
            <w:noWrap/>
          </w:tcPr>
          <w:p w14:paraId="14129006" w14:textId="28B5760C" w:rsidR="00874275" w:rsidRPr="004326A5" w:rsidRDefault="00874275" w:rsidP="00874275">
            <w:pPr>
              <w:rPr>
                <w:rFonts w:ascii="Arial" w:hAnsi="Arial" w:cs="Arial"/>
                <w:b/>
                <w:bCs/>
                <w:sz w:val="18"/>
                <w:szCs w:val="18"/>
                <w:lang w:val="en-CA"/>
              </w:rPr>
            </w:pPr>
            <w:r w:rsidRPr="004326A5">
              <w:rPr>
                <w:rFonts w:ascii="Arial" w:hAnsi="Arial" w:cs="Arial"/>
                <w:b/>
                <w:bCs/>
                <w:sz w:val="18"/>
                <w:szCs w:val="18"/>
                <w:lang w:val="en-CA"/>
              </w:rPr>
              <w:t xml:space="preserve">Fiscal Year </w:t>
            </w:r>
            <w:r w:rsidR="006A4008" w:rsidRPr="004326A5">
              <w:rPr>
                <w:rFonts w:ascii="Arial" w:hAnsi="Arial" w:cs="Arial"/>
                <w:b/>
                <w:bCs/>
                <w:sz w:val="18"/>
                <w:szCs w:val="18"/>
                <w:lang w:val="en-CA"/>
              </w:rPr>
              <w:t>E</w:t>
            </w:r>
            <w:r w:rsidRPr="004326A5">
              <w:rPr>
                <w:rFonts w:ascii="Arial" w:hAnsi="Arial" w:cs="Arial"/>
                <w:b/>
                <w:bCs/>
                <w:sz w:val="18"/>
                <w:szCs w:val="18"/>
                <w:lang w:val="en-CA"/>
              </w:rPr>
              <w:t>nd</w:t>
            </w:r>
            <w:r w:rsidR="00A05594" w:rsidRPr="004326A5">
              <w:rPr>
                <w:rFonts w:ascii="Arial" w:hAnsi="Arial" w:cs="Arial"/>
                <w:b/>
                <w:bCs/>
                <w:sz w:val="18"/>
                <w:szCs w:val="18"/>
                <w:lang w:val="en-CA"/>
              </w:rPr>
              <w:t>s</w:t>
            </w:r>
            <w:r w:rsidRPr="004326A5">
              <w:rPr>
                <w:rFonts w:ascii="Arial" w:hAnsi="Arial" w:cs="Arial"/>
                <w:b/>
                <w:bCs/>
                <w:sz w:val="18"/>
                <w:szCs w:val="18"/>
                <w:lang w:val="en-CA"/>
              </w:rPr>
              <w:t xml:space="preserve"> in January </w:t>
            </w:r>
          </w:p>
        </w:tc>
        <w:tc>
          <w:tcPr>
            <w:tcW w:w="960" w:type="dxa"/>
            <w:tcBorders>
              <w:bottom w:val="none" w:sz="0" w:space="0" w:color="auto"/>
            </w:tcBorders>
          </w:tcPr>
          <w:p w14:paraId="12D9189E" w14:textId="7D1FDC6D" w:rsidR="00874275" w:rsidRPr="004326A5" w:rsidRDefault="00874275" w:rsidP="00874275">
            <w:pPr>
              <w:jc w:val="right"/>
              <w:rPr>
                <w:rFonts w:ascii="Arial" w:hAnsi="Arial" w:cs="Arial"/>
                <w:b/>
                <w:sz w:val="18"/>
                <w:szCs w:val="18"/>
                <w:lang w:val="en-CA"/>
              </w:rPr>
            </w:pPr>
            <w:r w:rsidRPr="004326A5">
              <w:rPr>
                <w:rFonts w:ascii="Arial" w:hAnsi="Arial" w:cs="Arial"/>
                <w:b/>
                <w:sz w:val="18"/>
                <w:szCs w:val="18"/>
                <w:lang w:val="en-CA"/>
              </w:rPr>
              <w:t>2011/12</w:t>
            </w:r>
          </w:p>
        </w:tc>
        <w:tc>
          <w:tcPr>
            <w:tcW w:w="960" w:type="dxa"/>
            <w:tcBorders>
              <w:bottom w:val="none" w:sz="0" w:space="0" w:color="auto"/>
            </w:tcBorders>
          </w:tcPr>
          <w:p w14:paraId="5D9CAE51" w14:textId="7BCCAF60" w:rsidR="00874275" w:rsidRPr="004326A5" w:rsidRDefault="00874275" w:rsidP="00874275">
            <w:pPr>
              <w:jc w:val="right"/>
              <w:rPr>
                <w:rFonts w:ascii="Arial" w:hAnsi="Arial" w:cs="Arial"/>
                <w:b/>
                <w:sz w:val="18"/>
                <w:szCs w:val="18"/>
                <w:lang w:val="en-CA"/>
              </w:rPr>
            </w:pPr>
            <w:r w:rsidRPr="004326A5">
              <w:rPr>
                <w:rFonts w:ascii="Arial" w:hAnsi="Arial" w:cs="Arial"/>
                <w:b/>
                <w:sz w:val="18"/>
                <w:szCs w:val="18"/>
                <w:lang w:val="en-CA"/>
              </w:rPr>
              <w:t>2012/13</w:t>
            </w:r>
          </w:p>
        </w:tc>
        <w:tc>
          <w:tcPr>
            <w:tcW w:w="960" w:type="dxa"/>
            <w:tcBorders>
              <w:bottom w:val="none" w:sz="0" w:space="0" w:color="auto"/>
            </w:tcBorders>
          </w:tcPr>
          <w:p w14:paraId="78AF9614" w14:textId="77CD67AB" w:rsidR="00874275" w:rsidRPr="004326A5" w:rsidRDefault="00874275" w:rsidP="00874275">
            <w:pPr>
              <w:jc w:val="right"/>
              <w:rPr>
                <w:rFonts w:ascii="Arial" w:hAnsi="Arial" w:cs="Arial"/>
                <w:b/>
                <w:sz w:val="18"/>
                <w:szCs w:val="18"/>
                <w:lang w:val="en-CA"/>
              </w:rPr>
            </w:pPr>
            <w:r w:rsidRPr="004326A5">
              <w:rPr>
                <w:rFonts w:ascii="Arial" w:hAnsi="Arial" w:cs="Arial"/>
                <w:b/>
                <w:sz w:val="18"/>
                <w:szCs w:val="18"/>
                <w:lang w:val="en-CA"/>
              </w:rPr>
              <w:t>2013/14</w:t>
            </w:r>
          </w:p>
        </w:tc>
        <w:tc>
          <w:tcPr>
            <w:tcW w:w="960" w:type="dxa"/>
            <w:tcBorders>
              <w:bottom w:val="none" w:sz="0" w:space="0" w:color="auto"/>
            </w:tcBorders>
          </w:tcPr>
          <w:p w14:paraId="63EBC37E" w14:textId="39DF0EA2" w:rsidR="00874275" w:rsidRPr="004326A5" w:rsidRDefault="00874275" w:rsidP="00874275">
            <w:pPr>
              <w:jc w:val="right"/>
              <w:rPr>
                <w:rFonts w:ascii="Arial" w:hAnsi="Arial" w:cs="Arial"/>
                <w:b/>
                <w:sz w:val="18"/>
                <w:szCs w:val="18"/>
                <w:lang w:val="en-CA"/>
              </w:rPr>
            </w:pPr>
            <w:r w:rsidRPr="004326A5">
              <w:rPr>
                <w:rFonts w:ascii="Arial" w:hAnsi="Arial" w:cs="Arial"/>
                <w:b/>
                <w:sz w:val="18"/>
                <w:szCs w:val="18"/>
                <w:lang w:val="en-CA"/>
              </w:rPr>
              <w:t>2014/15</w:t>
            </w:r>
          </w:p>
        </w:tc>
        <w:tc>
          <w:tcPr>
            <w:tcW w:w="960" w:type="dxa"/>
            <w:tcBorders>
              <w:bottom w:val="none" w:sz="0" w:space="0" w:color="auto"/>
            </w:tcBorders>
          </w:tcPr>
          <w:p w14:paraId="7E6222EF" w14:textId="5AE2F412" w:rsidR="00874275" w:rsidRPr="004326A5" w:rsidRDefault="00874275" w:rsidP="00874275">
            <w:pPr>
              <w:jc w:val="right"/>
              <w:rPr>
                <w:rFonts w:ascii="Arial" w:hAnsi="Arial" w:cs="Arial"/>
                <w:b/>
                <w:sz w:val="18"/>
                <w:szCs w:val="18"/>
                <w:lang w:val="en-CA"/>
              </w:rPr>
            </w:pPr>
            <w:r w:rsidRPr="004326A5">
              <w:rPr>
                <w:rFonts w:ascii="Arial" w:hAnsi="Arial" w:cs="Arial"/>
                <w:b/>
                <w:sz w:val="18"/>
                <w:szCs w:val="18"/>
                <w:lang w:val="en-CA"/>
              </w:rPr>
              <w:t>2015/16</w:t>
            </w:r>
          </w:p>
        </w:tc>
        <w:tc>
          <w:tcPr>
            <w:tcW w:w="960" w:type="dxa"/>
            <w:tcBorders>
              <w:bottom w:val="none" w:sz="0" w:space="0" w:color="auto"/>
            </w:tcBorders>
          </w:tcPr>
          <w:p w14:paraId="272BF891" w14:textId="1A3F02FB" w:rsidR="00874275" w:rsidRPr="004326A5" w:rsidRDefault="00874275" w:rsidP="00874275">
            <w:pPr>
              <w:jc w:val="right"/>
              <w:rPr>
                <w:rFonts w:ascii="Arial" w:hAnsi="Arial" w:cs="Arial"/>
                <w:b/>
                <w:sz w:val="18"/>
                <w:szCs w:val="18"/>
                <w:lang w:val="en-CA"/>
              </w:rPr>
            </w:pPr>
            <w:r w:rsidRPr="004326A5">
              <w:rPr>
                <w:rFonts w:ascii="Arial" w:hAnsi="Arial" w:cs="Arial"/>
                <w:b/>
                <w:sz w:val="18"/>
                <w:szCs w:val="18"/>
                <w:lang w:val="en-CA"/>
              </w:rPr>
              <w:t>2016/17</w:t>
            </w:r>
          </w:p>
        </w:tc>
      </w:tr>
      <w:tr w:rsidR="00874275" w:rsidRPr="004326A5" w14:paraId="51478E18" w14:textId="77777777" w:rsidTr="001358C5">
        <w:trPr>
          <w:trHeight w:val="288"/>
        </w:trPr>
        <w:tc>
          <w:tcPr>
            <w:tcW w:w="3600" w:type="dxa"/>
            <w:noWrap/>
          </w:tcPr>
          <w:p w14:paraId="0F616FAB" w14:textId="0B622AC8" w:rsidR="00874275" w:rsidRPr="004326A5" w:rsidRDefault="00874275" w:rsidP="00874275">
            <w:pPr>
              <w:rPr>
                <w:rFonts w:ascii="Arial" w:hAnsi="Arial" w:cs="Arial"/>
                <w:sz w:val="18"/>
                <w:szCs w:val="18"/>
                <w:lang w:val="en-CA"/>
              </w:rPr>
            </w:pPr>
            <w:r w:rsidRPr="004326A5">
              <w:rPr>
                <w:rFonts w:ascii="Arial" w:hAnsi="Arial" w:cs="Arial"/>
                <w:b/>
                <w:bCs/>
                <w:color w:val="000000"/>
                <w:sz w:val="18"/>
                <w:szCs w:val="18"/>
                <w:lang w:val="en-CA"/>
              </w:rPr>
              <w:t>C</w:t>
            </w:r>
            <w:r w:rsidR="006A4008" w:rsidRPr="004326A5">
              <w:rPr>
                <w:rFonts w:ascii="Arial" w:hAnsi="Arial" w:cs="Arial"/>
                <w:b/>
                <w:bCs/>
                <w:color w:val="000000"/>
                <w:sz w:val="18"/>
                <w:szCs w:val="18"/>
                <w:lang w:val="en-CA"/>
              </w:rPr>
              <w:t>ash</w:t>
            </w:r>
            <w:r w:rsidRPr="004326A5">
              <w:rPr>
                <w:rFonts w:ascii="Arial" w:hAnsi="Arial" w:cs="Arial"/>
                <w:b/>
                <w:bCs/>
                <w:color w:val="000000"/>
                <w:sz w:val="18"/>
                <w:szCs w:val="18"/>
                <w:lang w:val="en-CA"/>
              </w:rPr>
              <w:t xml:space="preserve"> F</w:t>
            </w:r>
            <w:r w:rsidR="006A4008" w:rsidRPr="004326A5">
              <w:rPr>
                <w:rFonts w:ascii="Arial" w:hAnsi="Arial" w:cs="Arial"/>
                <w:b/>
                <w:bCs/>
                <w:color w:val="000000"/>
                <w:sz w:val="18"/>
                <w:szCs w:val="18"/>
                <w:lang w:val="en-CA"/>
              </w:rPr>
              <w:t>low</w:t>
            </w:r>
            <w:r w:rsidRPr="004326A5">
              <w:rPr>
                <w:rFonts w:ascii="Arial" w:hAnsi="Arial" w:cs="Arial"/>
                <w:b/>
                <w:bCs/>
                <w:color w:val="000000"/>
                <w:sz w:val="18"/>
                <w:szCs w:val="18"/>
                <w:lang w:val="en-CA"/>
              </w:rPr>
              <w:t xml:space="preserve"> </w:t>
            </w:r>
            <w:r w:rsidR="006A4008" w:rsidRPr="004326A5">
              <w:rPr>
                <w:rFonts w:ascii="Arial" w:hAnsi="Arial" w:cs="Arial"/>
                <w:b/>
                <w:bCs/>
                <w:color w:val="000000"/>
                <w:sz w:val="18"/>
                <w:szCs w:val="18"/>
                <w:lang w:val="en-CA"/>
              </w:rPr>
              <w:t>from</w:t>
            </w:r>
            <w:r w:rsidRPr="004326A5">
              <w:rPr>
                <w:rFonts w:ascii="Arial" w:hAnsi="Arial" w:cs="Arial"/>
                <w:b/>
                <w:bCs/>
                <w:color w:val="000000"/>
                <w:sz w:val="18"/>
                <w:szCs w:val="18"/>
                <w:lang w:val="en-CA"/>
              </w:rPr>
              <w:t xml:space="preserve"> O</w:t>
            </w:r>
            <w:r w:rsidR="006A4008" w:rsidRPr="004326A5">
              <w:rPr>
                <w:rFonts w:ascii="Arial" w:hAnsi="Arial" w:cs="Arial"/>
                <w:b/>
                <w:bCs/>
                <w:color w:val="000000"/>
                <w:sz w:val="18"/>
                <w:szCs w:val="18"/>
                <w:lang w:val="en-CA"/>
              </w:rPr>
              <w:t>perating</w:t>
            </w:r>
            <w:r w:rsidRPr="004326A5">
              <w:rPr>
                <w:rFonts w:ascii="Arial" w:hAnsi="Arial" w:cs="Arial"/>
                <w:b/>
                <w:bCs/>
                <w:color w:val="000000"/>
                <w:sz w:val="18"/>
                <w:szCs w:val="18"/>
                <w:lang w:val="en-CA"/>
              </w:rPr>
              <w:t xml:space="preserve"> A</w:t>
            </w:r>
            <w:r w:rsidR="006A4008" w:rsidRPr="004326A5">
              <w:rPr>
                <w:rFonts w:ascii="Arial" w:hAnsi="Arial" w:cs="Arial"/>
                <w:b/>
                <w:bCs/>
                <w:color w:val="000000"/>
                <w:sz w:val="18"/>
                <w:szCs w:val="18"/>
                <w:lang w:val="en-CA"/>
              </w:rPr>
              <w:t>ctivities</w:t>
            </w:r>
          </w:p>
        </w:tc>
        <w:tc>
          <w:tcPr>
            <w:tcW w:w="960" w:type="dxa"/>
          </w:tcPr>
          <w:p w14:paraId="5BE7977B" w14:textId="4A584E50"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w:t>
            </w:r>
          </w:p>
        </w:tc>
        <w:tc>
          <w:tcPr>
            <w:tcW w:w="960" w:type="dxa"/>
          </w:tcPr>
          <w:p w14:paraId="2A192803" w14:textId="7670F34E"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w:t>
            </w:r>
          </w:p>
        </w:tc>
        <w:tc>
          <w:tcPr>
            <w:tcW w:w="960" w:type="dxa"/>
          </w:tcPr>
          <w:p w14:paraId="1A5279B9" w14:textId="1E0EFC6A"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w:t>
            </w:r>
          </w:p>
        </w:tc>
        <w:tc>
          <w:tcPr>
            <w:tcW w:w="960" w:type="dxa"/>
          </w:tcPr>
          <w:p w14:paraId="3062CA74" w14:textId="3D413977"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w:t>
            </w:r>
          </w:p>
        </w:tc>
        <w:tc>
          <w:tcPr>
            <w:tcW w:w="960" w:type="dxa"/>
          </w:tcPr>
          <w:p w14:paraId="48552D83" w14:textId="4FBA4A27"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w:t>
            </w:r>
          </w:p>
        </w:tc>
        <w:tc>
          <w:tcPr>
            <w:tcW w:w="960" w:type="dxa"/>
          </w:tcPr>
          <w:p w14:paraId="2805B941" w14:textId="15E3342C" w:rsidR="00874275" w:rsidRPr="004326A5" w:rsidRDefault="00874275" w:rsidP="00874275">
            <w:pPr>
              <w:jc w:val="right"/>
              <w:rPr>
                <w:rFonts w:ascii="Arial" w:eastAsia="SimSun" w:hAnsi="Arial" w:cs="Arial"/>
                <w:sz w:val="18"/>
                <w:szCs w:val="18"/>
                <w:lang w:val="en-CA"/>
              </w:rPr>
            </w:pPr>
            <w:r w:rsidRPr="004326A5">
              <w:rPr>
                <w:rFonts w:ascii="Arial" w:hAnsi="Arial" w:cs="Arial"/>
                <w:b/>
                <w:bCs/>
                <w:color w:val="000000"/>
                <w:sz w:val="18"/>
                <w:szCs w:val="18"/>
                <w:lang w:val="en-CA"/>
              </w:rPr>
              <w:t xml:space="preserve"> </w:t>
            </w:r>
          </w:p>
        </w:tc>
      </w:tr>
      <w:tr w:rsidR="00874275" w:rsidRPr="004326A5" w14:paraId="073BCABD" w14:textId="77777777" w:rsidTr="001358C5">
        <w:trPr>
          <w:trHeight w:val="288"/>
        </w:trPr>
        <w:tc>
          <w:tcPr>
            <w:tcW w:w="3600" w:type="dxa"/>
            <w:noWrap/>
          </w:tcPr>
          <w:p w14:paraId="4122FF91" w14:textId="500FF254" w:rsidR="00874275" w:rsidRPr="004326A5" w:rsidRDefault="00874275" w:rsidP="00874275">
            <w:pPr>
              <w:rPr>
                <w:rFonts w:ascii="Arial" w:hAnsi="Arial" w:cs="Arial"/>
                <w:sz w:val="18"/>
                <w:szCs w:val="18"/>
                <w:lang w:val="en-CA"/>
              </w:rPr>
            </w:pPr>
            <w:r w:rsidRPr="004326A5">
              <w:rPr>
                <w:rFonts w:ascii="Arial" w:hAnsi="Arial" w:cs="Arial"/>
                <w:b/>
                <w:bCs/>
                <w:color w:val="000000"/>
                <w:sz w:val="18"/>
                <w:szCs w:val="18"/>
                <w:lang w:val="en-CA"/>
              </w:rPr>
              <w:t>Net Income (</w:t>
            </w:r>
            <w:r w:rsidR="006A4008" w:rsidRPr="004326A5">
              <w:rPr>
                <w:rFonts w:ascii="Arial" w:hAnsi="Arial" w:cs="Arial"/>
                <w:b/>
                <w:bCs/>
                <w:color w:val="000000"/>
                <w:sz w:val="18"/>
                <w:szCs w:val="18"/>
                <w:lang w:val="en-CA"/>
              </w:rPr>
              <w:t>L</w:t>
            </w:r>
            <w:r w:rsidRPr="004326A5">
              <w:rPr>
                <w:rFonts w:ascii="Arial" w:hAnsi="Arial" w:cs="Arial"/>
                <w:b/>
                <w:bCs/>
                <w:color w:val="000000"/>
                <w:sz w:val="18"/>
                <w:szCs w:val="18"/>
                <w:lang w:val="en-CA"/>
              </w:rPr>
              <w:t xml:space="preserve">oss) </w:t>
            </w:r>
          </w:p>
        </w:tc>
        <w:tc>
          <w:tcPr>
            <w:tcW w:w="960" w:type="dxa"/>
          </w:tcPr>
          <w:p w14:paraId="6910DFBC" w14:textId="38C131B3"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(3,147)</w:t>
            </w:r>
          </w:p>
        </w:tc>
        <w:tc>
          <w:tcPr>
            <w:tcW w:w="960" w:type="dxa"/>
          </w:tcPr>
          <w:p w14:paraId="5C68303E" w14:textId="6632EACC"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(1,054)</w:t>
            </w:r>
          </w:p>
        </w:tc>
        <w:tc>
          <w:tcPr>
            <w:tcW w:w="960" w:type="dxa"/>
          </w:tcPr>
          <w:p w14:paraId="51D9D25F" w14:textId="3FF63A8F"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(1,116)</w:t>
            </w:r>
          </w:p>
        </w:tc>
        <w:tc>
          <w:tcPr>
            <w:tcW w:w="960" w:type="dxa"/>
          </w:tcPr>
          <w:p w14:paraId="106108E0" w14:textId="0A465131"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(1,810)</w:t>
            </w:r>
          </w:p>
        </w:tc>
        <w:tc>
          <w:tcPr>
            <w:tcW w:w="960" w:type="dxa"/>
          </w:tcPr>
          <w:p w14:paraId="08A42D5E" w14:textId="38BB9E6C"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(1,128)</w:t>
            </w:r>
          </w:p>
        </w:tc>
        <w:tc>
          <w:tcPr>
            <w:tcW w:w="960" w:type="dxa"/>
          </w:tcPr>
          <w:p w14:paraId="76B33723" w14:textId="06BFD6E8" w:rsidR="00874275" w:rsidRPr="004326A5" w:rsidRDefault="00874275" w:rsidP="00874275">
            <w:pPr>
              <w:jc w:val="right"/>
              <w:rPr>
                <w:rFonts w:ascii="Arial" w:eastAsia="SimSun" w:hAnsi="Arial" w:cs="Arial"/>
                <w:sz w:val="18"/>
                <w:szCs w:val="18"/>
                <w:lang w:val="en-CA"/>
              </w:rPr>
            </w:pPr>
            <w:r w:rsidRPr="004326A5">
              <w:rPr>
                <w:rFonts w:ascii="Arial" w:hAnsi="Arial" w:cs="Arial"/>
                <w:b/>
                <w:bCs/>
                <w:color w:val="000000"/>
                <w:sz w:val="18"/>
                <w:szCs w:val="18"/>
                <w:lang w:val="en-CA"/>
              </w:rPr>
              <w:t xml:space="preserve"> (2,221)</w:t>
            </w:r>
          </w:p>
        </w:tc>
      </w:tr>
      <w:tr w:rsidR="00874275" w:rsidRPr="004326A5" w14:paraId="75CBCD45" w14:textId="77777777" w:rsidTr="001358C5">
        <w:trPr>
          <w:trHeight w:val="288"/>
        </w:trPr>
        <w:tc>
          <w:tcPr>
            <w:tcW w:w="3600" w:type="dxa"/>
            <w:noWrap/>
          </w:tcPr>
          <w:p w14:paraId="1BDD5987" w14:textId="5A974D30"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 xml:space="preserve">Income from Discontinued Operations, Net of Tax </w:t>
            </w:r>
          </w:p>
        </w:tc>
        <w:tc>
          <w:tcPr>
            <w:tcW w:w="960" w:type="dxa"/>
          </w:tcPr>
          <w:p w14:paraId="65FB5BA6" w14:textId="669C6350"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27 </w:t>
            </w:r>
          </w:p>
        </w:tc>
        <w:tc>
          <w:tcPr>
            <w:tcW w:w="960" w:type="dxa"/>
          </w:tcPr>
          <w:p w14:paraId="0470C8D3" w14:textId="52D18DDC"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3E028ED0" w14:textId="4C3C13FA"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4E73ACA7" w14:textId="37D73C9B"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0162A872" w14:textId="573CD788"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15C0519C" w14:textId="54255259"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r>
      <w:tr w:rsidR="00874275" w:rsidRPr="004326A5" w14:paraId="124FF01D" w14:textId="77777777" w:rsidTr="001358C5">
        <w:trPr>
          <w:trHeight w:val="288"/>
        </w:trPr>
        <w:tc>
          <w:tcPr>
            <w:tcW w:w="3600" w:type="dxa"/>
            <w:noWrap/>
          </w:tcPr>
          <w:p w14:paraId="268EBFDC" w14:textId="0ED058C9"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Income (</w:t>
            </w:r>
            <w:r w:rsidR="006A4008" w:rsidRPr="004326A5">
              <w:rPr>
                <w:rFonts w:ascii="Arial" w:hAnsi="Arial" w:cs="Arial"/>
                <w:color w:val="000000"/>
                <w:sz w:val="18"/>
                <w:szCs w:val="18"/>
                <w:lang w:val="en-CA"/>
              </w:rPr>
              <w:t>L</w:t>
            </w:r>
            <w:r w:rsidRPr="004326A5">
              <w:rPr>
                <w:rFonts w:ascii="Arial" w:hAnsi="Arial" w:cs="Arial"/>
                <w:color w:val="000000"/>
                <w:sz w:val="18"/>
                <w:szCs w:val="18"/>
                <w:lang w:val="en-CA"/>
              </w:rPr>
              <w:t xml:space="preserve">oss) from Continuing Operations </w:t>
            </w:r>
          </w:p>
        </w:tc>
        <w:tc>
          <w:tcPr>
            <w:tcW w:w="960" w:type="dxa"/>
          </w:tcPr>
          <w:p w14:paraId="1E7019A3" w14:textId="189AD240"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(3,120)</w:t>
            </w:r>
          </w:p>
        </w:tc>
        <w:tc>
          <w:tcPr>
            <w:tcW w:w="960" w:type="dxa"/>
          </w:tcPr>
          <w:p w14:paraId="054AA426" w14:textId="5BD058AF"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(1,054)</w:t>
            </w:r>
          </w:p>
        </w:tc>
        <w:tc>
          <w:tcPr>
            <w:tcW w:w="960" w:type="dxa"/>
          </w:tcPr>
          <w:p w14:paraId="0667DED6" w14:textId="5667F3DF"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(1,116)</w:t>
            </w:r>
          </w:p>
        </w:tc>
        <w:tc>
          <w:tcPr>
            <w:tcW w:w="960" w:type="dxa"/>
          </w:tcPr>
          <w:p w14:paraId="6C635CB4" w14:textId="55182C8F"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(1,810)</w:t>
            </w:r>
          </w:p>
        </w:tc>
        <w:tc>
          <w:tcPr>
            <w:tcW w:w="960" w:type="dxa"/>
          </w:tcPr>
          <w:p w14:paraId="22E706C2" w14:textId="351ABB3F"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(1,128)</w:t>
            </w:r>
          </w:p>
        </w:tc>
        <w:tc>
          <w:tcPr>
            <w:tcW w:w="960" w:type="dxa"/>
          </w:tcPr>
          <w:p w14:paraId="4D63350F" w14:textId="40E4C1AE"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(2,221)</w:t>
            </w:r>
          </w:p>
        </w:tc>
      </w:tr>
      <w:tr w:rsidR="00874275" w:rsidRPr="004326A5" w14:paraId="46DCE6A3" w14:textId="77777777" w:rsidTr="001358C5">
        <w:trPr>
          <w:trHeight w:val="288"/>
        </w:trPr>
        <w:tc>
          <w:tcPr>
            <w:tcW w:w="3600" w:type="dxa"/>
            <w:noWrap/>
          </w:tcPr>
          <w:p w14:paraId="1FBB3977" w14:textId="11DE50B8" w:rsidR="00874275" w:rsidRPr="004326A5" w:rsidRDefault="00874275" w:rsidP="00874275">
            <w:pPr>
              <w:rPr>
                <w:rFonts w:ascii="Arial" w:hAnsi="Arial" w:cs="Arial"/>
                <w:sz w:val="18"/>
                <w:szCs w:val="18"/>
                <w:lang w:val="en-CA"/>
              </w:rPr>
            </w:pPr>
            <w:r w:rsidRPr="004326A5">
              <w:rPr>
                <w:rFonts w:ascii="Arial" w:hAnsi="Arial" w:cs="Arial"/>
                <w:b/>
                <w:bCs/>
                <w:color w:val="000000"/>
                <w:sz w:val="18"/>
                <w:szCs w:val="18"/>
                <w:lang w:val="en-CA"/>
              </w:rPr>
              <w:t xml:space="preserve">Adjustments to </w:t>
            </w:r>
            <w:r w:rsidR="00951A70" w:rsidRPr="004326A5">
              <w:rPr>
                <w:rFonts w:ascii="Arial" w:hAnsi="Arial" w:cs="Arial"/>
                <w:b/>
                <w:bCs/>
                <w:color w:val="000000"/>
                <w:sz w:val="18"/>
                <w:szCs w:val="18"/>
                <w:lang w:val="en-CA"/>
              </w:rPr>
              <w:t>R</w:t>
            </w:r>
            <w:r w:rsidRPr="004326A5">
              <w:rPr>
                <w:rFonts w:ascii="Arial" w:hAnsi="Arial" w:cs="Arial"/>
                <w:b/>
                <w:bCs/>
                <w:color w:val="000000"/>
                <w:sz w:val="18"/>
                <w:szCs w:val="18"/>
                <w:lang w:val="en-CA"/>
              </w:rPr>
              <w:t xml:space="preserve">econcile </w:t>
            </w:r>
            <w:r w:rsidR="00951A70" w:rsidRPr="004326A5">
              <w:rPr>
                <w:rFonts w:ascii="Arial" w:hAnsi="Arial" w:cs="Arial"/>
                <w:b/>
                <w:bCs/>
                <w:color w:val="000000"/>
                <w:sz w:val="18"/>
                <w:szCs w:val="18"/>
                <w:lang w:val="en-CA"/>
              </w:rPr>
              <w:t>N</w:t>
            </w:r>
            <w:r w:rsidRPr="004326A5">
              <w:rPr>
                <w:rFonts w:ascii="Arial" w:hAnsi="Arial" w:cs="Arial"/>
                <w:b/>
                <w:bCs/>
                <w:color w:val="000000"/>
                <w:sz w:val="18"/>
                <w:szCs w:val="18"/>
                <w:lang w:val="en-CA"/>
              </w:rPr>
              <w:t xml:space="preserve">et </w:t>
            </w:r>
            <w:r w:rsidR="00951A70" w:rsidRPr="004326A5">
              <w:rPr>
                <w:rFonts w:ascii="Arial" w:hAnsi="Arial" w:cs="Arial"/>
                <w:b/>
                <w:bCs/>
                <w:color w:val="000000"/>
                <w:sz w:val="18"/>
                <w:szCs w:val="18"/>
                <w:lang w:val="en-CA"/>
              </w:rPr>
              <w:t>I</w:t>
            </w:r>
            <w:r w:rsidRPr="004326A5">
              <w:rPr>
                <w:rFonts w:ascii="Arial" w:hAnsi="Arial" w:cs="Arial"/>
                <w:b/>
                <w:bCs/>
                <w:color w:val="000000"/>
                <w:sz w:val="18"/>
                <w:szCs w:val="18"/>
                <w:lang w:val="en-CA"/>
              </w:rPr>
              <w:t xml:space="preserve">ncome to </w:t>
            </w:r>
            <w:r w:rsidR="00951A70" w:rsidRPr="004326A5">
              <w:rPr>
                <w:rFonts w:ascii="Arial" w:hAnsi="Arial" w:cs="Arial"/>
                <w:b/>
                <w:bCs/>
                <w:color w:val="000000"/>
                <w:sz w:val="18"/>
                <w:szCs w:val="18"/>
                <w:lang w:val="en-CA"/>
              </w:rPr>
              <w:t>N</w:t>
            </w:r>
            <w:r w:rsidRPr="004326A5">
              <w:rPr>
                <w:rFonts w:ascii="Arial" w:hAnsi="Arial" w:cs="Arial"/>
                <w:b/>
                <w:bCs/>
                <w:color w:val="000000"/>
                <w:sz w:val="18"/>
                <w:szCs w:val="18"/>
                <w:lang w:val="en-CA"/>
              </w:rPr>
              <w:t xml:space="preserve">et </w:t>
            </w:r>
            <w:r w:rsidR="00951A70" w:rsidRPr="004326A5">
              <w:rPr>
                <w:rFonts w:ascii="Arial" w:hAnsi="Arial" w:cs="Arial"/>
                <w:b/>
                <w:bCs/>
                <w:color w:val="000000"/>
                <w:sz w:val="18"/>
                <w:szCs w:val="18"/>
                <w:lang w:val="en-CA"/>
              </w:rPr>
              <w:t>C</w:t>
            </w:r>
            <w:r w:rsidRPr="004326A5">
              <w:rPr>
                <w:rFonts w:ascii="Arial" w:hAnsi="Arial" w:cs="Arial"/>
                <w:b/>
                <w:bCs/>
                <w:color w:val="000000"/>
                <w:sz w:val="18"/>
                <w:szCs w:val="18"/>
                <w:lang w:val="en-CA"/>
              </w:rPr>
              <w:t xml:space="preserve">ash </w:t>
            </w:r>
            <w:r w:rsidR="00951A70" w:rsidRPr="004326A5">
              <w:rPr>
                <w:rFonts w:ascii="Arial" w:hAnsi="Arial" w:cs="Arial"/>
                <w:b/>
                <w:bCs/>
                <w:color w:val="000000"/>
                <w:sz w:val="18"/>
                <w:szCs w:val="18"/>
                <w:lang w:val="en-CA"/>
              </w:rPr>
              <w:t>U</w:t>
            </w:r>
            <w:r w:rsidRPr="004326A5">
              <w:rPr>
                <w:rFonts w:ascii="Arial" w:hAnsi="Arial" w:cs="Arial"/>
                <w:b/>
                <w:bCs/>
                <w:color w:val="000000"/>
                <w:sz w:val="18"/>
                <w:szCs w:val="18"/>
                <w:lang w:val="en-CA"/>
              </w:rPr>
              <w:t xml:space="preserve">sed in </w:t>
            </w:r>
            <w:r w:rsidR="00951A70" w:rsidRPr="004326A5">
              <w:rPr>
                <w:rFonts w:ascii="Arial" w:hAnsi="Arial" w:cs="Arial"/>
                <w:b/>
                <w:bCs/>
                <w:color w:val="000000"/>
                <w:sz w:val="18"/>
                <w:szCs w:val="18"/>
                <w:lang w:val="en-CA"/>
              </w:rPr>
              <w:t>O</w:t>
            </w:r>
            <w:r w:rsidRPr="004326A5">
              <w:rPr>
                <w:rFonts w:ascii="Arial" w:hAnsi="Arial" w:cs="Arial"/>
                <w:b/>
                <w:bCs/>
                <w:color w:val="000000"/>
                <w:sz w:val="18"/>
                <w:szCs w:val="18"/>
                <w:lang w:val="en-CA"/>
              </w:rPr>
              <w:t xml:space="preserve">perating </w:t>
            </w:r>
            <w:r w:rsidR="00951A70" w:rsidRPr="004326A5">
              <w:rPr>
                <w:rFonts w:ascii="Arial" w:hAnsi="Arial" w:cs="Arial"/>
                <w:b/>
                <w:bCs/>
                <w:color w:val="000000"/>
                <w:sz w:val="18"/>
                <w:szCs w:val="18"/>
                <w:lang w:val="en-CA"/>
              </w:rPr>
              <w:t>A</w:t>
            </w:r>
            <w:r w:rsidRPr="004326A5">
              <w:rPr>
                <w:rFonts w:ascii="Arial" w:hAnsi="Arial" w:cs="Arial"/>
                <w:b/>
                <w:bCs/>
                <w:color w:val="000000"/>
                <w:sz w:val="18"/>
                <w:szCs w:val="18"/>
                <w:lang w:val="en-CA"/>
              </w:rPr>
              <w:t>ctivities</w:t>
            </w:r>
          </w:p>
        </w:tc>
        <w:tc>
          <w:tcPr>
            <w:tcW w:w="960" w:type="dxa"/>
          </w:tcPr>
          <w:p w14:paraId="4BF900A9" w14:textId="0680A118"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p>
        </w:tc>
        <w:tc>
          <w:tcPr>
            <w:tcW w:w="960" w:type="dxa"/>
          </w:tcPr>
          <w:p w14:paraId="4A958F47" w14:textId="62E708B7"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p>
        </w:tc>
        <w:tc>
          <w:tcPr>
            <w:tcW w:w="960" w:type="dxa"/>
          </w:tcPr>
          <w:p w14:paraId="79631C7D" w14:textId="6D038807"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p>
        </w:tc>
        <w:tc>
          <w:tcPr>
            <w:tcW w:w="960" w:type="dxa"/>
          </w:tcPr>
          <w:p w14:paraId="7E15E66A" w14:textId="1B724CDB"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p>
        </w:tc>
        <w:tc>
          <w:tcPr>
            <w:tcW w:w="960" w:type="dxa"/>
          </w:tcPr>
          <w:p w14:paraId="1DF7A31B" w14:textId="5D8E3BD2"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p>
        </w:tc>
        <w:tc>
          <w:tcPr>
            <w:tcW w:w="960" w:type="dxa"/>
          </w:tcPr>
          <w:p w14:paraId="6C985528" w14:textId="13FAF78D"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w:t>
            </w:r>
          </w:p>
        </w:tc>
      </w:tr>
      <w:tr w:rsidR="00874275" w:rsidRPr="004326A5" w14:paraId="7AE3D7F3" w14:textId="77777777" w:rsidTr="001358C5">
        <w:trPr>
          <w:trHeight w:val="288"/>
        </w:trPr>
        <w:tc>
          <w:tcPr>
            <w:tcW w:w="3600" w:type="dxa"/>
            <w:noWrap/>
          </w:tcPr>
          <w:p w14:paraId="2388C818" w14:textId="544F349C"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 xml:space="preserve">Deferred Tax Valuation Allowance </w:t>
            </w:r>
          </w:p>
        </w:tc>
        <w:tc>
          <w:tcPr>
            <w:tcW w:w="960" w:type="dxa"/>
          </w:tcPr>
          <w:p w14:paraId="1CF2762E" w14:textId="0FB0BFE8"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1,798 </w:t>
            </w:r>
          </w:p>
        </w:tc>
        <w:tc>
          <w:tcPr>
            <w:tcW w:w="960" w:type="dxa"/>
          </w:tcPr>
          <w:p w14:paraId="18811C71" w14:textId="544637D6"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237 </w:t>
            </w:r>
          </w:p>
        </w:tc>
        <w:tc>
          <w:tcPr>
            <w:tcW w:w="960" w:type="dxa"/>
          </w:tcPr>
          <w:p w14:paraId="06D3C747" w14:textId="3B866277"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720 </w:t>
            </w:r>
          </w:p>
        </w:tc>
        <w:tc>
          <w:tcPr>
            <w:tcW w:w="960" w:type="dxa"/>
          </w:tcPr>
          <w:p w14:paraId="010F7501" w14:textId="0AFB3E69"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835 </w:t>
            </w:r>
          </w:p>
        </w:tc>
        <w:tc>
          <w:tcPr>
            <w:tcW w:w="960" w:type="dxa"/>
          </w:tcPr>
          <w:p w14:paraId="6915A919" w14:textId="3499E29F"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217 </w:t>
            </w:r>
          </w:p>
        </w:tc>
        <w:tc>
          <w:tcPr>
            <w:tcW w:w="960" w:type="dxa"/>
          </w:tcPr>
          <w:p w14:paraId="51710221" w14:textId="40391634"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836 </w:t>
            </w:r>
          </w:p>
        </w:tc>
      </w:tr>
      <w:tr w:rsidR="00874275" w:rsidRPr="004326A5" w14:paraId="79A2D6DF" w14:textId="77777777" w:rsidTr="001358C5">
        <w:trPr>
          <w:trHeight w:val="288"/>
        </w:trPr>
        <w:tc>
          <w:tcPr>
            <w:tcW w:w="3600" w:type="dxa"/>
            <w:noWrap/>
          </w:tcPr>
          <w:p w14:paraId="11E06EDB" w14:textId="18CB635C"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 xml:space="preserve">Tax Benefit </w:t>
            </w:r>
            <w:r w:rsidR="00630AD6" w:rsidRPr="004326A5">
              <w:rPr>
                <w:rFonts w:ascii="Arial" w:hAnsi="Arial" w:cs="Arial"/>
                <w:color w:val="000000"/>
                <w:sz w:val="18"/>
                <w:szCs w:val="18"/>
                <w:lang w:val="en-CA"/>
              </w:rPr>
              <w:t>R</w:t>
            </w:r>
            <w:r w:rsidRPr="004326A5">
              <w:rPr>
                <w:rFonts w:ascii="Arial" w:hAnsi="Arial" w:cs="Arial"/>
                <w:color w:val="000000"/>
                <w:sz w:val="18"/>
                <w:szCs w:val="18"/>
                <w:lang w:val="en-CA"/>
              </w:rPr>
              <w:t>esulting from Other Comprehensive Income Allocation</w:t>
            </w:r>
          </w:p>
        </w:tc>
        <w:tc>
          <w:tcPr>
            <w:tcW w:w="960" w:type="dxa"/>
          </w:tcPr>
          <w:p w14:paraId="2166C848" w14:textId="4DAF82F5"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5109BF8A" w14:textId="613FD63B"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15F941E9" w14:textId="2D7C34B1"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(97)</w:t>
            </w:r>
          </w:p>
        </w:tc>
        <w:tc>
          <w:tcPr>
            <w:tcW w:w="960" w:type="dxa"/>
          </w:tcPr>
          <w:p w14:paraId="61B9CE75" w14:textId="690A7E7B"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7EDB8967" w14:textId="52A327D9"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6A09787C" w14:textId="7F05069C"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(71)</w:t>
            </w:r>
          </w:p>
        </w:tc>
      </w:tr>
      <w:tr w:rsidR="00874275" w:rsidRPr="004326A5" w14:paraId="3D6C4D04" w14:textId="77777777" w:rsidTr="001358C5">
        <w:trPr>
          <w:trHeight w:val="288"/>
        </w:trPr>
        <w:tc>
          <w:tcPr>
            <w:tcW w:w="3600" w:type="dxa"/>
            <w:noWrap/>
          </w:tcPr>
          <w:p w14:paraId="771A14C1" w14:textId="77777777"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 xml:space="preserve">Depreciation and Amortization </w:t>
            </w:r>
          </w:p>
        </w:tc>
        <w:tc>
          <w:tcPr>
            <w:tcW w:w="960" w:type="dxa"/>
          </w:tcPr>
          <w:p w14:paraId="44AD3178" w14:textId="585F24B0"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853 </w:t>
            </w:r>
          </w:p>
        </w:tc>
        <w:tc>
          <w:tcPr>
            <w:tcW w:w="960" w:type="dxa"/>
          </w:tcPr>
          <w:p w14:paraId="42C0F364" w14:textId="2F3DFD5F"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830 </w:t>
            </w:r>
          </w:p>
        </w:tc>
        <w:tc>
          <w:tcPr>
            <w:tcW w:w="960" w:type="dxa"/>
          </w:tcPr>
          <w:p w14:paraId="50CDCE15" w14:textId="10FE2C64"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732 </w:t>
            </w:r>
          </w:p>
        </w:tc>
        <w:tc>
          <w:tcPr>
            <w:tcW w:w="960" w:type="dxa"/>
          </w:tcPr>
          <w:p w14:paraId="12F00AE7" w14:textId="0AEE4715"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581 </w:t>
            </w:r>
          </w:p>
        </w:tc>
        <w:tc>
          <w:tcPr>
            <w:tcW w:w="960" w:type="dxa"/>
          </w:tcPr>
          <w:p w14:paraId="0FC4A88D" w14:textId="6FB471E8"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422 </w:t>
            </w:r>
          </w:p>
        </w:tc>
        <w:tc>
          <w:tcPr>
            <w:tcW w:w="960" w:type="dxa"/>
          </w:tcPr>
          <w:p w14:paraId="3E9B381C" w14:textId="473322A3"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375 </w:t>
            </w:r>
          </w:p>
        </w:tc>
      </w:tr>
      <w:tr w:rsidR="00874275" w:rsidRPr="004326A5" w14:paraId="39B10D0D" w14:textId="77777777" w:rsidTr="001358C5">
        <w:trPr>
          <w:trHeight w:val="288"/>
        </w:trPr>
        <w:tc>
          <w:tcPr>
            <w:tcW w:w="3600" w:type="dxa"/>
            <w:noWrap/>
          </w:tcPr>
          <w:p w14:paraId="7ED37368" w14:textId="77777777"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Impairment Charges</w:t>
            </w:r>
          </w:p>
        </w:tc>
        <w:tc>
          <w:tcPr>
            <w:tcW w:w="960" w:type="dxa"/>
          </w:tcPr>
          <w:p w14:paraId="6122CD7A" w14:textId="550F606F"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649 </w:t>
            </w:r>
          </w:p>
        </w:tc>
        <w:tc>
          <w:tcPr>
            <w:tcW w:w="960" w:type="dxa"/>
          </w:tcPr>
          <w:p w14:paraId="3DEB628A" w14:textId="782DFCF3"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330 </w:t>
            </w:r>
          </w:p>
        </w:tc>
        <w:tc>
          <w:tcPr>
            <w:tcW w:w="960" w:type="dxa"/>
          </w:tcPr>
          <w:p w14:paraId="630DDE6E" w14:textId="01F9B3C0"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233 </w:t>
            </w:r>
          </w:p>
        </w:tc>
        <w:tc>
          <w:tcPr>
            <w:tcW w:w="960" w:type="dxa"/>
          </w:tcPr>
          <w:p w14:paraId="0BB0CC70" w14:textId="7229B842"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63 </w:t>
            </w:r>
          </w:p>
        </w:tc>
        <w:tc>
          <w:tcPr>
            <w:tcW w:w="960" w:type="dxa"/>
          </w:tcPr>
          <w:p w14:paraId="6511B3EE" w14:textId="7882D3E1"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274 </w:t>
            </w:r>
          </w:p>
        </w:tc>
        <w:tc>
          <w:tcPr>
            <w:tcW w:w="960" w:type="dxa"/>
          </w:tcPr>
          <w:p w14:paraId="10FF5EA3" w14:textId="0682DAD4"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427 </w:t>
            </w:r>
          </w:p>
        </w:tc>
      </w:tr>
      <w:tr w:rsidR="00874275" w:rsidRPr="004326A5" w14:paraId="7D08FA15" w14:textId="77777777" w:rsidTr="001358C5">
        <w:trPr>
          <w:trHeight w:val="288"/>
        </w:trPr>
        <w:tc>
          <w:tcPr>
            <w:tcW w:w="3600" w:type="dxa"/>
            <w:noWrap/>
          </w:tcPr>
          <w:p w14:paraId="584E7EBE" w14:textId="77777777"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 xml:space="preserve">Gain on Sales of Assets </w:t>
            </w:r>
          </w:p>
        </w:tc>
        <w:tc>
          <w:tcPr>
            <w:tcW w:w="960" w:type="dxa"/>
          </w:tcPr>
          <w:p w14:paraId="00506095" w14:textId="49F35CC3"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(64)</w:t>
            </w:r>
          </w:p>
        </w:tc>
        <w:tc>
          <w:tcPr>
            <w:tcW w:w="960" w:type="dxa"/>
          </w:tcPr>
          <w:p w14:paraId="7086424E" w14:textId="174DF582"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(468)</w:t>
            </w:r>
          </w:p>
        </w:tc>
        <w:tc>
          <w:tcPr>
            <w:tcW w:w="960" w:type="dxa"/>
          </w:tcPr>
          <w:p w14:paraId="769F1499" w14:textId="637181CC"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(667)</w:t>
            </w:r>
          </w:p>
        </w:tc>
        <w:tc>
          <w:tcPr>
            <w:tcW w:w="960" w:type="dxa"/>
          </w:tcPr>
          <w:p w14:paraId="3E9489CF" w14:textId="458EAEB1"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(207)</w:t>
            </w:r>
          </w:p>
        </w:tc>
        <w:tc>
          <w:tcPr>
            <w:tcW w:w="960" w:type="dxa"/>
          </w:tcPr>
          <w:p w14:paraId="2C3C8E07" w14:textId="4E074FA8"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(743)</w:t>
            </w:r>
          </w:p>
        </w:tc>
        <w:tc>
          <w:tcPr>
            <w:tcW w:w="960" w:type="dxa"/>
          </w:tcPr>
          <w:p w14:paraId="566122C0" w14:textId="7330A526"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(247)</w:t>
            </w:r>
          </w:p>
        </w:tc>
      </w:tr>
      <w:tr w:rsidR="00874275" w:rsidRPr="004326A5" w14:paraId="7D7D6E43" w14:textId="77777777" w:rsidTr="001358C5">
        <w:trPr>
          <w:trHeight w:val="288"/>
        </w:trPr>
        <w:tc>
          <w:tcPr>
            <w:tcW w:w="3600" w:type="dxa"/>
            <w:noWrap/>
          </w:tcPr>
          <w:p w14:paraId="5C6EFE6C" w14:textId="77777777"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Gain on Sales of Investment</w:t>
            </w:r>
          </w:p>
        </w:tc>
        <w:tc>
          <w:tcPr>
            <w:tcW w:w="960" w:type="dxa"/>
          </w:tcPr>
          <w:p w14:paraId="6169E564" w14:textId="583C90A3"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4ECE3663" w14:textId="24D04030"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(28)</w:t>
            </w:r>
          </w:p>
        </w:tc>
        <w:tc>
          <w:tcPr>
            <w:tcW w:w="960" w:type="dxa"/>
          </w:tcPr>
          <w:p w14:paraId="4C53064D" w14:textId="148D6008"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(169)</w:t>
            </w:r>
          </w:p>
        </w:tc>
        <w:tc>
          <w:tcPr>
            <w:tcW w:w="960" w:type="dxa"/>
          </w:tcPr>
          <w:p w14:paraId="7E6CF5DB" w14:textId="0DD099BD"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(105)</w:t>
            </w:r>
          </w:p>
        </w:tc>
        <w:tc>
          <w:tcPr>
            <w:tcW w:w="960" w:type="dxa"/>
          </w:tcPr>
          <w:p w14:paraId="614611ED" w14:textId="2685B121"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29236CBF" w14:textId="71E918C0"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r>
      <w:tr w:rsidR="00874275" w:rsidRPr="004326A5" w14:paraId="06AA57D0" w14:textId="77777777" w:rsidTr="001358C5">
        <w:trPr>
          <w:trHeight w:val="288"/>
        </w:trPr>
        <w:tc>
          <w:tcPr>
            <w:tcW w:w="3600" w:type="dxa"/>
            <w:noWrap/>
          </w:tcPr>
          <w:p w14:paraId="4FFC0496" w14:textId="16676ED2"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Pension and Post-</w:t>
            </w:r>
            <w:r w:rsidR="00630AD6" w:rsidRPr="004326A5">
              <w:rPr>
                <w:rFonts w:ascii="Arial" w:hAnsi="Arial" w:cs="Arial"/>
                <w:color w:val="000000"/>
                <w:sz w:val="18"/>
                <w:szCs w:val="18"/>
                <w:lang w:val="en-CA"/>
              </w:rPr>
              <w:t>R</w:t>
            </w:r>
            <w:r w:rsidRPr="004326A5">
              <w:rPr>
                <w:rFonts w:ascii="Arial" w:hAnsi="Arial" w:cs="Arial"/>
                <w:color w:val="000000"/>
                <w:sz w:val="18"/>
                <w:szCs w:val="18"/>
                <w:lang w:val="en-CA"/>
              </w:rPr>
              <w:t xml:space="preserve">etirement Plan Contributions </w:t>
            </w:r>
          </w:p>
        </w:tc>
        <w:tc>
          <w:tcPr>
            <w:tcW w:w="960" w:type="dxa"/>
          </w:tcPr>
          <w:p w14:paraId="1F7F5C60" w14:textId="187C3AFA"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(390)</w:t>
            </w:r>
          </w:p>
        </w:tc>
        <w:tc>
          <w:tcPr>
            <w:tcW w:w="960" w:type="dxa"/>
          </w:tcPr>
          <w:p w14:paraId="76BB97DC" w14:textId="643B419C"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(593)</w:t>
            </w:r>
          </w:p>
        </w:tc>
        <w:tc>
          <w:tcPr>
            <w:tcW w:w="960" w:type="dxa"/>
          </w:tcPr>
          <w:p w14:paraId="45D5F909" w14:textId="0EA9D320"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(426)</w:t>
            </w:r>
          </w:p>
        </w:tc>
        <w:tc>
          <w:tcPr>
            <w:tcW w:w="960" w:type="dxa"/>
          </w:tcPr>
          <w:p w14:paraId="45C125EB" w14:textId="16A6AE8C"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(450)</w:t>
            </w:r>
          </w:p>
        </w:tc>
        <w:tc>
          <w:tcPr>
            <w:tcW w:w="960" w:type="dxa"/>
          </w:tcPr>
          <w:p w14:paraId="780BF236" w14:textId="356B8346"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(311)</w:t>
            </w:r>
          </w:p>
        </w:tc>
        <w:tc>
          <w:tcPr>
            <w:tcW w:w="960" w:type="dxa"/>
          </w:tcPr>
          <w:p w14:paraId="1248DF43" w14:textId="582AABC1"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(334)</w:t>
            </w:r>
          </w:p>
        </w:tc>
      </w:tr>
      <w:tr w:rsidR="00874275" w:rsidRPr="004326A5" w14:paraId="481E1D34" w14:textId="77777777" w:rsidTr="001358C5">
        <w:trPr>
          <w:trHeight w:val="288"/>
        </w:trPr>
        <w:tc>
          <w:tcPr>
            <w:tcW w:w="3600" w:type="dxa"/>
            <w:noWrap/>
          </w:tcPr>
          <w:p w14:paraId="4FF789D9" w14:textId="19132584"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Pension and Post-</w:t>
            </w:r>
            <w:r w:rsidR="00630AD6" w:rsidRPr="004326A5">
              <w:rPr>
                <w:rFonts w:ascii="Arial" w:hAnsi="Arial" w:cs="Arial"/>
                <w:color w:val="000000"/>
                <w:sz w:val="18"/>
                <w:szCs w:val="18"/>
                <w:lang w:val="en-CA"/>
              </w:rPr>
              <w:t>R</w:t>
            </w:r>
            <w:r w:rsidRPr="004326A5">
              <w:rPr>
                <w:rFonts w:ascii="Arial" w:hAnsi="Arial" w:cs="Arial"/>
                <w:color w:val="000000"/>
                <w:sz w:val="18"/>
                <w:szCs w:val="18"/>
                <w:lang w:val="en-CA"/>
              </w:rPr>
              <w:t>etirement Plan Settlement</w:t>
            </w:r>
          </w:p>
        </w:tc>
        <w:tc>
          <w:tcPr>
            <w:tcW w:w="960" w:type="dxa"/>
          </w:tcPr>
          <w:p w14:paraId="6222E5B5" w14:textId="0E92E769"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2DD7EA45" w14:textId="5050E526"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455 </w:t>
            </w:r>
          </w:p>
        </w:tc>
        <w:tc>
          <w:tcPr>
            <w:tcW w:w="960" w:type="dxa"/>
          </w:tcPr>
          <w:p w14:paraId="1DE93FA2" w14:textId="34C4724C"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13872022" w14:textId="6F61AE90"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33EEAB2D" w14:textId="1172CC2B"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66702804" w14:textId="7C0F38DA"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r>
      <w:tr w:rsidR="00874275" w:rsidRPr="004326A5" w14:paraId="5EEF3820" w14:textId="77777777" w:rsidTr="001358C5">
        <w:trPr>
          <w:trHeight w:val="288"/>
        </w:trPr>
        <w:tc>
          <w:tcPr>
            <w:tcW w:w="3600" w:type="dxa"/>
            <w:noWrap/>
          </w:tcPr>
          <w:p w14:paraId="4653336D" w14:textId="6F04FBFA"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Mark-to-</w:t>
            </w:r>
            <w:r w:rsidR="00630AD6" w:rsidRPr="004326A5">
              <w:rPr>
                <w:rFonts w:ascii="Arial" w:hAnsi="Arial" w:cs="Arial"/>
                <w:color w:val="000000"/>
                <w:sz w:val="18"/>
                <w:szCs w:val="18"/>
                <w:lang w:val="en-CA"/>
              </w:rPr>
              <w:t>M</w:t>
            </w:r>
            <w:r w:rsidRPr="004326A5">
              <w:rPr>
                <w:rFonts w:ascii="Arial" w:hAnsi="Arial" w:cs="Arial"/>
                <w:color w:val="000000"/>
                <w:sz w:val="18"/>
                <w:szCs w:val="18"/>
                <w:lang w:val="en-CA"/>
              </w:rPr>
              <w:t>arket Adjustments of Financial Instruments</w:t>
            </w:r>
          </w:p>
        </w:tc>
        <w:tc>
          <w:tcPr>
            <w:tcW w:w="960" w:type="dxa"/>
          </w:tcPr>
          <w:p w14:paraId="1440CD72" w14:textId="2D439E88"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5B5615E1" w14:textId="162592DD"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27B97520" w14:textId="3A7FD864"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0C2A1971" w14:textId="1E87540A"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(3)</w:t>
            </w:r>
          </w:p>
        </w:tc>
        <w:tc>
          <w:tcPr>
            <w:tcW w:w="960" w:type="dxa"/>
          </w:tcPr>
          <w:p w14:paraId="672697F9" w14:textId="754C7960"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66 </w:t>
            </w:r>
          </w:p>
        </w:tc>
        <w:tc>
          <w:tcPr>
            <w:tcW w:w="960" w:type="dxa"/>
          </w:tcPr>
          <w:p w14:paraId="00E8A6C8" w14:textId="6629A833"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15 </w:t>
            </w:r>
          </w:p>
        </w:tc>
      </w:tr>
      <w:tr w:rsidR="00874275" w:rsidRPr="004326A5" w14:paraId="7B5A64A5" w14:textId="77777777" w:rsidTr="001358C5">
        <w:trPr>
          <w:trHeight w:val="288"/>
        </w:trPr>
        <w:tc>
          <w:tcPr>
            <w:tcW w:w="3600" w:type="dxa"/>
            <w:noWrap/>
          </w:tcPr>
          <w:p w14:paraId="1A49167E" w14:textId="6F3EFD9E"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Amortization of Deferred Gain on Sale</w:t>
            </w:r>
            <w:r w:rsidR="00952ED1" w:rsidRPr="004326A5">
              <w:rPr>
                <w:rFonts w:ascii="Arial" w:hAnsi="Arial" w:cs="Arial"/>
                <w:color w:val="000000"/>
                <w:sz w:val="18"/>
                <w:szCs w:val="18"/>
                <w:lang w:val="en-CA"/>
              </w:rPr>
              <w:t xml:space="preserve">s </w:t>
            </w:r>
            <w:r w:rsidR="006A4008" w:rsidRPr="004326A5">
              <w:rPr>
                <w:rFonts w:ascii="Arial" w:hAnsi="Arial" w:cs="Arial"/>
                <w:color w:val="000000"/>
                <w:sz w:val="18"/>
                <w:szCs w:val="18"/>
                <w:lang w:val="en-CA"/>
              </w:rPr>
              <w:t>L</w:t>
            </w:r>
            <w:r w:rsidRPr="004326A5">
              <w:rPr>
                <w:rFonts w:ascii="Arial" w:hAnsi="Arial" w:cs="Arial"/>
                <w:color w:val="000000"/>
                <w:sz w:val="18"/>
                <w:szCs w:val="18"/>
                <w:lang w:val="en-CA"/>
              </w:rPr>
              <w:t>easeback</w:t>
            </w:r>
          </w:p>
        </w:tc>
        <w:tc>
          <w:tcPr>
            <w:tcW w:w="960" w:type="dxa"/>
          </w:tcPr>
          <w:p w14:paraId="10E22567" w14:textId="559D3F55"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582BD594" w14:textId="0C9372E7"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74292A3D" w14:textId="0FABC54A"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240BE0DD" w14:textId="4BBC524B"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150CA6FD" w14:textId="11D95C93"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(52)</w:t>
            </w:r>
          </w:p>
        </w:tc>
        <w:tc>
          <w:tcPr>
            <w:tcW w:w="960" w:type="dxa"/>
          </w:tcPr>
          <w:p w14:paraId="00F0A4B6" w14:textId="4EA1176E"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(88)</w:t>
            </w:r>
          </w:p>
        </w:tc>
      </w:tr>
      <w:tr w:rsidR="00874275" w:rsidRPr="004326A5" w14:paraId="6F083682" w14:textId="77777777" w:rsidTr="001358C5">
        <w:trPr>
          <w:trHeight w:val="288"/>
        </w:trPr>
        <w:tc>
          <w:tcPr>
            <w:tcW w:w="3600" w:type="dxa"/>
            <w:noWrap/>
          </w:tcPr>
          <w:p w14:paraId="55D3F7D0" w14:textId="55571D28"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 xml:space="preserve">Amortization of Debt Issuance </w:t>
            </w:r>
            <w:r w:rsidR="00951A70" w:rsidRPr="004326A5">
              <w:rPr>
                <w:rFonts w:ascii="Arial" w:hAnsi="Arial" w:cs="Arial"/>
                <w:color w:val="000000"/>
                <w:sz w:val="18"/>
                <w:szCs w:val="18"/>
                <w:lang w:val="en-CA"/>
              </w:rPr>
              <w:t>C</w:t>
            </w:r>
            <w:r w:rsidRPr="004326A5">
              <w:rPr>
                <w:rFonts w:ascii="Arial" w:hAnsi="Arial" w:cs="Arial"/>
                <w:color w:val="000000"/>
                <w:sz w:val="18"/>
                <w:szCs w:val="18"/>
                <w:lang w:val="en-CA"/>
              </w:rPr>
              <w:t xml:space="preserve">osts and </w:t>
            </w:r>
            <w:r w:rsidR="00951A70" w:rsidRPr="004326A5">
              <w:rPr>
                <w:rFonts w:ascii="Arial" w:hAnsi="Arial" w:cs="Arial"/>
                <w:color w:val="000000"/>
                <w:sz w:val="18"/>
                <w:szCs w:val="18"/>
                <w:lang w:val="en-CA"/>
              </w:rPr>
              <w:t>A</w:t>
            </w:r>
            <w:r w:rsidRPr="004326A5">
              <w:rPr>
                <w:rFonts w:ascii="Arial" w:hAnsi="Arial" w:cs="Arial"/>
                <w:color w:val="000000"/>
                <w:sz w:val="18"/>
                <w:szCs w:val="18"/>
                <w:lang w:val="en-CA"/>
              </w:rPr>
              <w:t xml:space="preserve">ccretion of </w:t>
            </w:r>
            <w:r w:rsidR="00951A70" w:rsidRPr="004326A5">
              <w:rPr>
                <w:rFonts w:ascii="Arial" w:hAnsi="Arial" w:cs="Arial"/>
                <w:color w:val="000000"/>
                <w:sz w:val="18"/>
                <w:szCs w:val="18"/>
                <w:lang w:val="en-CA"/>
              </w:rPr>
              <w:t>D</w:t>
            </w:r>
            <w:r w:rsidRPr="004326A5">
              <w:rPr>
                <w:rFonts w:ascii="Arial" w:hAnsi="Arial" w:cs="Arial"/>
                <w:color w:val="000000"/>
                <w:sz w:val="18"/>
                <w:szCs w:val="18"/>
                <w:lang w:val="en-CA"/>
              </w:rPr>
              <w:t xml:space="preserve">ebt </w:t>
            </w:r>
            <w:r w:rsidR="00951A70" w:rsidRPr="004326A5">
              <w:rPr>
                <w:rFonts w:ascii="Arial" w:hAnsi="Arial" w:cs="Arial"/>
                <w:color w:val="000000"/>
                <w:sz w:val="18"/>
                <w:szCs w:val="18"/>
                <w:lang w:val="en-CA"/>
              </w:rPr>
              <w:t>D</w:t>
            </w:r>
            <w:r w:rsidRPr="004326A5">
              <w:rPr>
                <w:rFonts w:ascii="Arial" w:hAnsi="Arial" w:cs="Arial"/>
                <w:color w:val="000000"/>
                <w:sz w:val="18"/>
                <w:szCs w:val="18"/>
                <w:lang w:val="en-CA"/>
              </w:rPr>
              <w:t>iscount</w:t>
            </w:r>
          </w:p>
        </w:tc>
        <w:tc>
          <w:tcPr>
            <w:tcW w:w="960" w:type="dxa"/>
          </w:tcPr>
          <w:p w14:paraId="7295D265" w14:textId="0A067980"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2B1179CD" w14:textId="356FE18B"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282B4278" w14:textId="202C5442"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7B39E3FB" w14:textId="5FA93BBF"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373D8728" w14:textId="7A65EB12"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3FD6D9BA" w14:textId="216EEB17"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81 </w:t>
            </w:r>
          </w:p>
        </w:tc>
      </w:tr>
      <w:tr w:rsidR="00874275" w:rsidRPr="004326A5" w14:paraId="14F27795" w14:textId="77777777" w:rsidTr="001358C5">
        <w:trPr>
          <w:trHeight w:val="288"/>
        </w:trPr>
        <w:tc>
          <w:tcPr>
            <w:tcW w:w="3600" w:type="dxa"/>
            <w:noWrap/>
          </w:tcPr>
          <w:p w14:paraId="29200EDE" w14:textId="77777777"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 xml:space="preserve">Settlement of Canadian Dollar Hedges </w:t>
            </w:r>
          </w:p>
        </w:tc>
        <w:tc>
          <w:tcPr>
            <w:tcW w:w="960" w:type="dxa"/>
          </w:tcPr>
          <w:p w14:paraId="639259C3" w14:textId="32F805D4"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6EA04580" w14:textId="694312CD"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6 </w:t>
            </w:r>
          </w:p>
        </w:tc>
        <w:tc>
          <w:tcPr>
            <w:tcW w:w="960" w:type="dxa"/>
          </w:tcPr>
          <w:p w14:paraId="3F5AD59C" w14:textId="6ABD03D3"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9 </w:t>
            </w:r>
          </w:p>
        </w:tc>
        <w:tc>
          <w:tcPr>
            <w:tcW w:w="960" w:type="dxa"/>
          </w:tcPr>
          <w:p w14:paraId="5883BAF9" w14:textId="43C6F92D"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8 </w:t>
            </w:r>
          </w:p>
        </w:tc>
        <w:tc>
          <w:tcPr>
            <w:tcW w:w="960" w:type="dxa"/>
          </w:tcPr>
          <w:p w14:paraId="3EA4EBB9" w14:textId="70046C41"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4DE71504" w14:textId="74B9FC6F"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r>
      <w:tr w:rsidR="00874275" w:rsidRPr="004326A5" w14:paraId="584283A6" w14:textId="77777777" w:rsidTr="001358C5">
        <w:trPr>
          <w:trHeight w:val="288"/>
        </w:trPr>
        <w:tc>
          <w:tcPr>
            <w:tcW w:w="3600" w:type="dxa"/>
            <w:noWrap/>
          </w:tcPr>
          <w:p w14:paraId="34E25AF5" w14:textId="1E163439" w:rsidR="00874275" w:rsidRPr="004326A5" w:rsidRDefault="00874275" w:rsidP="00874275">
            <w:pPr>
              <w:rPr>
                <w:rFonts w:ascii="Arial" w:hAnsi="Arial" w:cs="Arial"/>
                <w:sz w:val="18"/>
                <w:szCs w:val="18"/>
                <w:lang w:val="en-CA"/>
              </w:rPr>
            </w:pPr>
            <w:r w:rsidRPr="004326A5">
              <w:rPr>
                <w:rFonts w:ascii="Arial" w:hAnsi="Arial" w:cs="Arial"/>
                <w:b/>
                <w:bCs/>
                <w:color w:val="000000"/>
                <w:sz w:val="18"/>
                <w:szCs w:val="18"/>
                <w:lang w:val="en-CA"/>
              </w:rPr>
              <w:t>Change in Operating Assets and Liabilities (Net of Acquisitions and Dispositions)</w:t>
            </w:r>
          </w:p>
        </w:tc>
        <w:tc>
          <w:tcPr>
            <w:tcW w:w="960" w:type="dxa"/>
          </w:tcPr>
          <w:p w14:paraId="5DC015F1" w14:textId="2CA8A96D"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p>
        </w:tc>
        <w:tc>
          <w:tcPr>
            <w:tcW w:w="960" w:type="dxa"/>
          </w:tcPr>
          <w:p w14:paraId="6517DDDC" w14:textId="4D353E41"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p>
        </w:tc>
        <w:tc>
          <w:tcPr>
            <w:tcW w:w="960" w:type="dxa"/>
          </w:tcPr>
          <w:p w14:paraId="113299DC" w14:textId="7048A212"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p>
        </w:tc>
        <w:tc>
          <w:tcPr>
            <w:tcW w:w="960" w:type="dxa"/>
          </w:tcPr>
          <w:p w14:paraId="736C4B5E" w14:textId="435206AB"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p>
        </w:tc>
        <w:tc>
          <w:tcPr>
            <w:tcW w:w="960" w:type="dxa"/>
          </w:tcPr>
          <w:p w14:paraId="44998808" w14:textId="38E0CA0C"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p>
        </w:tc>
        <w:tc>
          <w:tcPr>
            <w:tcW w:w="960" w:type="dxa"/>
          </w:tcPr>
          <w:p w14:paraId="6AC83BF2" w14:textId="57F3F20B"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w:t>
            </w:r>
          </w:p>
        </w:tc>
      </w:tr>
      <w:tr w:rsidR="00874275" w:rsidRPr="004326A5" w14:paraId="5F60BC22" w14:textId="77777777" w:rsidTr="001358C5">
        <w:trPr>
          <w:trHeight w:val="288"/>
        </w:trPr>
        <w:tc>
          <w:tcPr>
            <w:tcW w:w="3600" w:type="dxa"/>
            <w:noWrap/>
          </w:tcPr>
          <w:p w14:paraId="0AC1526C" w14:textId="77777777"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 xml:space="preserve">Deferred Income Taxes </w:t>
            </w:r>
          </w:p>
        </w:tc>
        <w:tc>
          <w:tcPr>
            <w:tcW w:w="960" w:type="dxa"/>
          </w:tcPr>
          <w:p w14:paraId="5BD7984D" w14:textId="5D78805B"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(533)</w:t>
            </w:r>
          </w:p>
        </w:tc>
        <w:tc>
          <w:tcPr>
            <w:tcW w:w="960" w:type="dxa"/>
          </w:tcPr>
          <w:p w14:paraId="2ABD055D" w14:textId="0EA22027"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(206)</w:t>
            </w:r>
          </w:p>
        </w:tc>
        <w:tc>
          <w:tcPr>
            <w:tcW w:w="960" w:type="dxa"/>
          </w:tcPr>
          <w:p w14:paraId="44CCFA57" w14:textId="2D7E8660"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(441)</w:t>
            </w:r>
          </w:p>
        </w:tc>
        <w:tc>
          <w:tcPr>
            <w:tcW w:w="960" w:type="dxa"/>
          </w:tcPr>
          <w:p w14:paraId="7DF7D957" w14:textId="3CD6A75C"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(719)</w:t>
            </w:r>
          </w:p>
        </w:tc>
        <w:tc>
          <w:tcPr>
            <w:tcW w:w="960" w:type="dxa"/>
          </w:tcPr>
          <w:p w14:paraId="32EE55D6" w14:textId="22B40D5F"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(519)</w:t>
            </w:r>
          </w:p>
        </w:tc>
        <w:tc>
          <w:tcPr>
            <w:tcW w:w="960" w:type="dxa"/>
          </w:tcPr>
          <w:p w14:paraId="3583A7EA" w14:textId="5104744C"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(987)</w:t>
            </w:r>
          </w:p>
        </w:tc>
      </w:tr>
      <w:tr w:rsidR="00874275" w:rsidRPr="004326A5" w14:paraId="1DBDA061" w14:textId="77777777" w:rsidTr="001358C5">
        <w:trPr>
          <w:trHeight w:val="288"/>
        </w:trPr>
        <w:tc>
          <w:tcPr>
            <w:tcW w:w="3600" w:type="dxa"/>
            <w:noWrap/>
          </w:tcPr>
          <w:p w14:paraId="1D1E4742" w14:textId="77777777"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Merchandise Inventories</w:t>
            </w:r>
          </w:p>
        </w:tc>
        <w:tc>
          <w:tcPr>
            <w:tcW w:w="960" w:type="dxa"/>
          </w:tcPr>
          <w:p w14:paraId="42F01873" w14:textId="72E10104"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545 </w:t>
            </w:r>
          </w:p>
        </w:tc>
        <w:tc>
          <w:tcPr>
            <w:tcW w:w="960" w:type="dxa"/>
          </w:tcPr>
          <w:p w14:paraId="426E2DB4" w14:textId="7CB83827"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427 </w:t>
            </w:r>
          </w:p>
        </w:tc>
        <w:tc>
          <w:tcPr>
            <w:tcW w:w="960" w:type="dxa"/>
          </w:tcPr>
          <w:p w14:paraId="28CE1E34" w14:textId="69F5D1D6"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446 </w:t>
            </w:r>
          </w:p>
        </w:tc>
        <w:tc>
          <w:tcPr>
            <w:tcW w:w="960" w:type="dxa"/>
          </w:tcPr>
          <w:p w14:paraId="1AA01EB4" w14:textId="11DF5B14"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1,091 </w:t>
            </w:r>
          </w:p>
        </w:tc>
        <w:tc>
          <w:tcPr>
            <w:tcW w:w="960" w:type="dxa"/>
          </w:tcPr>
          <w:p w14:paraId="001BDA1E" w14:textId="7071B546"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(229)</w:t>
            </w:r>
          </w:p>
        </w:tc>
        <w:tc>
          <w:tcPr>
            <w:tcW w:w="960" w:type="dxa"/>
          </w:tcPr>
          <w:p w14:paraId="2DA07FD3" w14:textId="7C5FBE7E"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1,213 </w:t>
            </w:r>
          </w:p>
        </w:tc>
      </w:tr>
      <w:tr w:rsidR="00874275" w:rsidRPr="004326A5" w14:paraId="5E956343" w14:textId="77777777" w:rsidTr="001358C5">
        <w:trPr>
          <w:trHeight w:val="288"/>
        </w:trPr>
        <w:tc>
          <w:tcPr>
            <w:tcW w:w="3600" w:type="dxa"/>
            <w:noWrap/>
          </w:tcPr>
          <w:p w14:paraId="0EBE5DD7" w14:textId="77777777"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Merchandise Payables</w:t>
            </w:r>
          </w:p>
        </w:tc>
        <w:tc>
          <w:tcPr>
            <w:tcW w:w="960" w:type="dxa"/>
          </w:tcPr>
          <w:p w14:paraId="21DB958F" w14:textId="3CF0EE1D"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(134)</w:t>
            </w:r>
          </w:p>
        </w:tc>
        <w:tc>
          <w:tcPr>
            <w:tcW w:w="960" w:type="dxa"/>
          </w:tcPr>
          <w:p w14:paraId="75C1B7C8" w14:textId="424F3504"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(117)</w:t>
            </w:r>
          </w:p>
        </w:tc>
        <w:tc>
          <w:tcPr>
            <w:tcW w:w="960" w:type="dxa"/>
          </w:tcPr>
          <w:p w14:paraId="164A4428" w14:textId="167FEB17"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(230)</w:t>
            </w:r>
          </w:p>
        </w:tc>
        <w:tc>
          <w:tcPr>
            <w:tcW w:w="960" w:type="dxa"/>
          </w:tcPr>
          <w:p w14:paraId="604A0EC9" w14:textId="40B5BBE6"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(528)</w:t>
            </w:r>
          </w:p>
        </w:tc>
        <w:tc>
          <w:tcPr>
            <w:tcW w:w="960" w:type="dxa"/>
          </w:tcPr>
          <w:p w14:paraId="4AAA7C22" w14:textId="55442E5F"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(47)</w:t>
            </w:r>
          </w:p>
        </w:tc>
        <w:tc>
          <w:tcPr>
            <w:tcW w:w="960" w:type="dxa"/>
          </w:tcPr>
          <w:p w14:paraId="3822C837" w14:textId="478B6B91"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(526)</w:t>
            </w:r>
          </w:p>
        </w:tc>
      </w:tr>
      <w:tr w:rsidR="00874275" w:rsidRPr="004326A5" w14:paraId="05D11A31" w14:textId="77777777" w:rsidTr="001358C5">
        <w:trPr>
          <w:trHeight w:val="288"/>
        </w:trPr>
        <w:tc>
          <w:tcPr>
            <w:tcW w:w="3600" w:type="dxa"/>
            <w:noWrap/>
          </w:tcPr>
          <w:p w14:paraId="240DF28F" w14:textId="77777777"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Income and Other Taxes</w:t>
            </w:r>
          </w:p>
        </w:tc>
        <w:tc>
          <w:tcPr>
            <w:tcW w:w="960" w:type="dxa"/>
          </w:tcPr>
          <w:p w14:paraId="67954174" w14:textId="01EBAB86"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(50)</w:t>
            </w:r>
          </w:p>
        </w:tc>
        <w:tc>
          <w:tcPr>
            <w:tcW w:w="960" w:type="dxa"/>
          </w:tcPr>
          <w:p w14:paraId="5C5D75A3" w14:textId="73B1B63D"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(63)</w:t>
            </w:r>
          </w:p>
        </w:tc>
        <w:tc>
          <w:tcPr>
            <w:tcW w:w="960" w:type="dxa"/>
          </w:tcPr>
          <w:p w14:paraId="49ACF68B" w14:textId="446A9DDB"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63 </w:t>
            </w:r>
          </w:p>
        </w:tc>
        <w:tc>
          <w:tcPr>
            <w:tcW w:w="960" w:type="dxa"/>
          </w:tcPr>
          <w:p w14:paraId="17F18799" w14:textId="16F631C9"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(110)</w:t>
            </w:r>
          </w:p>
        </w:tc>
        <w:tc>
          <w:tcPr>
            <w:tcW w:w="960" w:type="dxa"/>
          </w:tcPr>
          <w:p w14:paraId="1C372C1D" w14:textId="33B3DABD"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(95)</w:t>
            </w:r>
          </w:p>
        </w:tc>
        <w:tc>
          <w:tcPr>
            <w:tcW w:w="960" w:type="dxa"/>
          </w:tcPr>
          <w:p w14:paraId="461F1D08" w14:textId="09690024"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80 </w:t>
            </w:r>
          </w:p>
        </w:tc>
      </w:tr>
      <w:tr w:rsidR="00874275" w:rsidRPr="004326A5" w14:paraId="65015D3A" w14:textId="77777777" w:rsidTr="001358C5">
        <w:trPr>
          <w:trHeight w:val="288"/>
        </w:trPr>
        <w:tc>
          <w:tcPr>
            <w:tcW w:w="3600" w:type="dxa"/>
            <w:noWrap/>
          </w:tcPr>
          <w:p w14:paraId="41E67D47" w14:textId="46AEEDEF"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Mark-to-</w:t>
            </w:r>
            <w:r w:rsidR="00951A70" w:rsidRPr="004326A5">
              <w:rPr>
                <w:rFonts w:ascii="Arial" w:hAnsi="Arial" w:cs="Arial"/>
                <w:color w:val="000000"/>
                <w:sz w:val="18"/>
                <w:szCs w:val="18"/>
                <w:lang w:val="en-CA"/>
              </w:rPr>
              <w:t>M</w:t>
            </w:r>
            <w:r w:rsidRPr="004326A5">
              <w:rPr>
                <w:rFonts w:ascii="Arial" w:hAnsi="Arial" w:cs="Arial"/>
                <w:color w:val="000000"/>
                <w:sz w:val="18"/>
                <w:szCs w:val="18"/>
                <w:lang w:val="en-CA"/>
              </w:rPr>
              <w:t xml:space="preserve">arket Adjustment and Settlements on Sears Canada </w:t>
            </w:r>
            <w:r w:rsidR="004326A5">
              <w:rPr>
                <w:rFonts w:ascii="Arial" w:hAnsi="Arial" w:cs="Arial"/>
                <w:color w:val="000000"/>
                <w:sz w:val="18"/>
                <w:szCs w:val="18"/>
                <w:lang w:val="en-CA"/>
              </w:rPr>
              <w:t>US</w:t>
            </w:r>
            <w:r w:rsidRPr="004326A5">
              <w:rPr>
                <w:rFonts w:ascii="Arial" w:hAnsi="Arial" w:cs="Arial"/>
                <w:color w:val="000000"/>
                <w:sz w:val="18"/>
                <w:szCs w:val="18"/>
                <w:lang w:val="en-CA"/>
              </w:rPr>
              <w:t xml:space="preserve"> Dollar Collar Contracts</w:t>
            </w:r>
          </w:p>
        </w:tc>
        <w:tc>
          <w:tcPr>
            <w:tcW w:w="960" w:type="dxa"/>
          </w:tcPr>
          <w:p w14:paraId="7958CF78" w14:textId="491FF71D"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2 </w:t>
            </w:r>
          </w:p>
        </w:tc>
        <w:tc>
          <w:tcPr>
            <w:tcW w:w="960" w:type="dxa"/>
          </w:tcPr>
          <w:p w14:paraId="50EB26FD" w14:textId="03A92F8F"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1 </w:t>
            </w:r>
          </w:p>
        </w:tc>
        <w:tc>
          <w:tcPr>
            <w:tcW w:w="960" w:type="dxa"/>
          </w:tcPr>
          <w:p w14:paraId="09A0BBE9" w14:textId="6C3C0F6E"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19EF0DB3" w14:textId="5728D589"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2FF39FD5" w14:textId="5494DC3C"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4260DE77" w14:textId="6DD1C01D"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r>
      <w:tr w:rsidR="00874275" w:rsidRPr="004326A5" w14:paraId="2BF3824E" w14:textId="77777777" w:rsidTr="001358C5">
        <w:trPr>
          <w:trHeight w:val="288"/>
        </w:trPr>
        <w:tc>
          <w:tcPr>
            <w:tcW w:w="3600" w:type="dxa"/>
            <w:noWrap/>
          </w:tcPr>
          <w:p w14:paraId="00627615" w14:textId="2E74F5F8"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Mark-to-</w:t>
            </w:r>
            <w:r w:rsidR="00951A70" w:rsidRPr="004326A5">
              <w:rPr>
                <w:rFonts w:ascii="Arial" w:hAnsi="Arial" w:cs="Arial"/>
                <w:color w:val="000000"/>
                <w:sz w:val="18"/>
                <w:szCs w:val="18"/>
                <w:lang w:val="en-CA"/>
              </w:rPr>
              <w:t>M</w:t>
            </w:r>
            <w:r w:rsidRPr="004326A5">
              <w:rPr>
                <w:rFonts w:ascii="Arial" w:hAnsi="Arial" w:cs="Arial"/>
                <w:color w:val="000000"/>
                <w:sz w:val="18"/>
                <w:szCs w:val="18"/>
                <w:lang w:val="en-CA"/>
              </w:rPr>
              <w:t xml:space="preserve">arket Adjustment and Settlements on Sears Canada </w:t>
            </w:r>
            <w:r w:rsidR="004326A5">
              <w:rPr>
                <w:rFonts w:ascii="Arial" w:hAnsi="Arial" w:cs="Arial"/>
                <w:color w:val="000000"/>
                <w:sz w:val="18"/>
                <w:szCs w:val="18"/>
                <w:lang w:val="en-CA"/>
              </w:rPr>
              <w:t>US</w:t>
            </w:r>
            <w:r w:rsidRPr="004326A5">
              <w:rPr>
                <w:rFonts w:ascii="Arial" w:hAnsi="Arial" w:cs="Arial"/>
                <w:color w:val="000000"/>
                <w:sz w:val="18"/>
                <w:szCs w:val="18"/>
                <w:lang w:val="en-CA"/>
              </w:rPr>
              <w:t xml:space="preserve"> Derivatives Instrument</w:t>
            </w:r>
          </w:p>
        </w:tc>
        <w:tc>
          <w:tcPr>
            <w:tcW w:w="960" w:type="dxa"/>
          </w:tcPr>
          <w:p w14:paraId="553F50D2" w14:textId="53A60E11"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04749654" w14:textId="24768C20"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4BC3080B" w14:textId="55514098"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(6)</w:t>
            </w:r>
          </w:p>
        </w:tc>
        <w:tc>
          <w:tcPr>
            <w:tcW w:w="960" w:type="dxa"/>
          </w:tcPr>
          <w:p w14:paraId="6200712A" w14:textId="72EA7B51"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3EEC0FF0" w14:textId="2889CE82"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5C58A858" w14:textId="49C42346"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r>
      <w:tr w:rsidR="00874275" w:rsidRPr="004326A5" w14:paraId="12785952" w14:textId="77777777" w:rsidTr="001358C5">
        <w:trPr>
          <w:trHeight w:val="288"/>
        </w:trPr>
        <w:tc>
          <w:tcPr>
            <w:tcW w:w="3600" w:type="dxa"/>
            <w:noWrap/>
          </w:tcPr>
          <w:p w14:paraId="37DAA3CF" w14:textId="77777777"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Other Operating Assets</w:t>
            </w:r>
          </w:p>
        </w:tc>
        <w:tc>
          <w:tcPr>
            <w:tcW w:w="960" w:type="dxa"/>
          </w:tcPr>
          <w:p w14:paraId="6D36E579" w14:textId="4CF7C4FE"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67 </w:t>
            </w:r>
          </w:p>
        </w:tc>
        <w:tc>
          <w:tcPr>
            <w:tcW w:w="960" w:type="dxa"/>
          </w:tcPr>
          <w:p w14:paraId="321B3A74" w14:textId="61117E56"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(100)</w:t>
            </w:r>
          </w:p>
        </w:tc>
        <w:tc>
          <w:tcPr>
            <w:tcW w:w="960" w:type="dxa"/>
          </w:tcPr>
          <w:p w14:paraId="09D83173" w14:textId="2927DF7C"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43 </w:t>
            </w:r>
          </w:p>
        </w:tc>
        <w:tc>
          <w:tcPr>
            <w:tcW w:w="960" w:type="dxa"/>
          </w:tcPr>
          <w:p w14:paraId="5F28DC28" w14:textId="77694E2E"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(37)</w:t>
            </w:r>
          </w:p>
        </w:tc>
        <w:tc>
          <w:tcPr>
            <w:tcW w:w="960" w:type="dxa"/>
          </w:tcPr>
          <w:p w14:paraId="1715B66E" w14:textId="6FC0B049"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68 </w:t>
            </w:r>
          </w:p>
        </w:tc>
        <w:tc>
          <w:tcPr>
            <w:tcW w:w="960" w:type="dxa"/>
          </w:tcPr>
          <w:p w14:paraId="59CAFBE3" w14:textId="012C2F0D"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(52)</w:t>
            </w:r>
          </w:p>
        </w:tc>
      </w:tr>
      <w:tr w:rsidR="00874275" w:rsidRPr="004326A5" w14:paraId="72651F23" w14:textId="77777777" w:rsidTr="001358C5">
        <w:trPr>
          <w:trHeight w:val="288"/>
        </w:trPr>
        <w:tc>
          <w:tcPr>
            <w:tcW w:w="3600" w:type="dxa"/>
            <w:noWrap/>
          </w:tcPr>
          <w:p w14:paraId="2E075411" w14:textId="77777777"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Other Operating Liabilities</w:t>
            </w:r>
          </w:p>
        </w:tc>
        <w:tc>
          <w:tcPr>
            <w:tcW w:w="960" w:type="dxa"/>
          </w:tcPr>
          <w:p w14:paraId="3609641C" w14:textId="584D32DE"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70 </w:t>
            </w:r>
          </w:p>
        </w:tc>
        <w:tc>
          <w:tcPr>
            <w:tcW w:w="960" w:type="dxa"/>
          </w:tcPr>
          <w:p w14:paraId="26FD608F" w14:textId="77288C85"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40 </w:t>
            </w:r>
          </w:p>
        </w:tc>
        <w:tc>
          <w:tcPr>
            <w:tcW w:w="960" w:type="dxa"/>
          </w:tcPr>
          <w:p w14:paraId="4BEEA033" w14:textId="79B570D5"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(203)</w:t>
            </w:r>
          </w:p>
        </w:tc>
        <w:tc>
          <w:tcPr>
            <w:tcW w:w="960" w:type="dxa"/>
          </w:tcPr>
          <w:p w14:paraId="47300C62" w14:textId="1DE936F2"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4 </w:t>
            </w:r>
          </w:p>
        </w:tc>
        <w:tc>
          <w:tcPr>
            <w:tcW w:w="960" w:type="dxa"/>
          </w:tcPr>
          <w:p w14:paraId="3B7D5A77" w14:textId="4E37E105"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(90)</w:t>
            </w:r>
          </w:p>
        </w:tc>
        <w:tc>
          <w:tcPr>
            <w:tcW w:w="960" w:type="dxa"/>
          </w:tcPr>
          <w:p w14:paraId="6A30C945" w14:textId="37044FFC"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118 </w:t>
            </w:r>
          </w:p>
        </w:tc>
      </w:tr>
    </w:tbl>
    <w:p w14:paraId="69C8A414" w14:textId="77777777" w:rsidR="00591102" w:rsidRPr="004326A5" w:rsidRDefault="00591102">
      <w:pPr>
        <w:spacing w:after="200" w:line="276" w:lineRule="auto"/>
        <w:rPr>
          <w:lang w:val="en-CA"/>
        </w:rPr>
      </w:pPr>
      <w:r w:rsidRPr="004326A5">
        <w:rPr>
          <w:lang w:val="en-CA"/>
        </w:rPr>
        <w:br w:type="page"/>
      </w:r>
    </w:p>
    <w:p w14:paraId="72D1E47E" w14:textId="5E94831E" w:rsidR="00591102" w:rsidRPr="004326A5" w:rsidRDefault="004064CB" w:rsidP="006E42DF">
      <w:pPr>
        <w:pStyle w:val="ExhibitHeading"/>
        <w:rPr>
          <w:lang w:val="en-CA"/>
        </w:rPr>
      </w:pPr>
      <w:r w:rsidRPr="004326A5">
        <w:rPr>
          <w:lang w:val="en-CA"/>
        </w:rPr>
        <w:lastRenderedPageBreak/>
        <w:t xml:space="preserve">Exhibit 5 </w:t>
      </w:r>
      <w:r w:rsidR="006A4008" w:rsidRPr="004326A5">
        <w:rPr>
          <w:lang w:val="en-CA"/>
        </w:rPr>
        <w:t>(</w:t>
      </w:r>
      <w:r w:rsidRPr="004326A5">
        <w:rPr>
          <w:lang w:val="en-CA"/>
        </w:rPr>
        <w:t>Continued</w:t>
      </w:r>
      <w:r w:rsidR="006A4008" w:rsidRPr="004326A5">
        <w:rPr>
          <w:lang w:val="en-CA"/>
        </w:rPr>
        <w:t>)</w:t>
      </w:r>
    </w:p>
    <w:p w14:paraId="44F667DA" w14:textId="77777777" w:rsidR="004064CB" w:rsidRPr="004326A5" w:rsidRDefault="004064CB">
      <w:pPr>
        <w:rPr>
          <w:lang w:val="en-CA"/>
        </w:rPr>
      </w:pPr>
    </w:p>
    <w:tbl>
      <w:tblPr>
        <w:tblStyle w:val="IVEYTable"/>
        <w:tblW w:w="5000" w:type="pct"/>
        <w:tblBorders>
          <w:left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3601"/>
        <w:gridCol w:w="959"/>
        <w:gridCol w:w="958"/>
        <w:gridCol w:w="958"/>
        <w:gridCol w:w="958"/>
        <w:gridCol w:w="958"/>
        <w:gridCol w:w="958"/>
      </w:tblGrid>
      <w:tr w:rsidR="00591102" w:rsidRPr="004326A5" w14:paraId="7A5E7796" w14:textId="77777777" w:rsidTr="001358C5">
        <w:trPr>
          <w:cnfStyle w:val="100000000000" w:firstRow="1" w:lastRow="0" w:firstColumn="0" w:lastColumn="0" w:oddVBand="0" w:evenVBand="0" w:oddHBand="0" w:evenHBand="0" w:firstRowFirstColumn="0" w:firstRowLastColumn="0" w:lastRowFirstColumn="0" w:lastRowLastColumn="0"/>
          <w:trHeight w:val="288"/>
        </w:trPr>
        <w:tc>
          <w:tcPr>
            <w:tcW w:w="3600" w:type="dxa"/>
            <w:tcBorders>
              <w:bottom w:val="none" w:sz="0" w:space="0" w:color="auto"/>
            </w:tcBorders>
            <w:noWrap/>
          </w:tcPr>
          <w:p w14:paraId="4ACF0F74" w14:textId="39A5F4BF" w:rsidR="00591102" w:rsidRPr="004326A5" w:rsidRDefault="00591102" w:rsidP="00885DD2">
            <w:pPr>
              <w:rPr>
                <w:rFonts w:ascii="Arial" w:hAnsi="Arial" w:cs="Arial"/>
                <w:b/>
                <w:bCs/>
                <w:sz w:val="18"/>
                <w:szCs w:val="18"/>
                <w:lang w:val="en-CA"/>
              </w:rPr>
            </w:pPr>
            <w:r w:rsidRPr="004326A5">
              <w:rPr>
                <w:rFonts w:ascii="Arial" w:hAnsi="Arial" w:cs="Arial"/>
                <w:b/>
                <w:bCs/>
                <w:sz w:val="18"/>
                <w:szCs w:val="18"/>
                <w:lang w:val="en-CA"/>
              </w:rPr>
              <w:t xml:space="preserve">Fiscal Year ends in January </w:t>
            </w:r>
          </w:p>
        </w:tc>
        <w:tc>
          <w:tcPr>
            <w:tcW w:w="960" w:type="dxa"/>
            <w:tcBorders>
              <w:bottom w:val="none" w:sz="0" w:space="0" w:color="auto"/>
            </w:tcBorders>
          </w:tcPr>
          <w:p w14:paraId="0490A3BF" w14:textId="77777777" w:rsidR="00591102" w:rsidRPr="004326A5" w:rsidRDefault="00591102" w:rsidP="00885DD2">
            <w:pPr>
              <w:jc w:val="right"/>
              <w:rPr>
                <w:rFonts w:ascii="Arial" w:hAnsi="Arial" w:cs="Arial"/>
                <w:b/>
                <w:sz w:val="18"/>
                <w:szCs w:val="18"/>
                <w:lang w:val="en-CA"/>
              </w:rPr>
            </w:pPr>
            <w:r w:rsidRPr="004326A5">
              <w:rPr>
                <w:rFonts w:ascii="Arial" w:hAnsi="Arial" w:cs="Arial"/>
                <w:b/>
                <w:sz w:val="18"/>
                <w:szCs w:val="18"/>
                <w:lang w:val="en-CA"/>
              </w:rPr>
              <w:t>2011/12</w:t>
            </w:r>
          </w:p>
        </w:tc>
        <w:tc>
          <w:tcPr>
            <w:tcW w:w="960" w:type="dxa"/>
            <w:tcBorders>
              <w:bottom w:val="none" w:sz="0" w:space="0" w:color="auto"/>
            </w:tcBorders>
          </w:tcPr>
          <w:p w14:paraId="3BE67841" w14:textId="77777777" w:rsidR="00591102" w:rsidRPr="004326A5" w:rsidRDefault="00591102" w:rsidP="00885DD2">
            <w:pPr>
              <w:jc w:val="right"/>
              <w:rPr>
                <w:rFonts w:ascii="Arial" w:hAnsi="Arial" w:cs="Arial"/>
                <w:b/>
                <w:sz w:val="18"/>
                <w:szCs w:val="18"/>
                <w:lang w:val="en-CA"/>
              </w:rPr>
            </w:pPr>
            <w:r w:rsidRPr="004326A5">
              <w:rPr>
                <w:rFonts w:ascii="Arial" w:hAnsi="Arial" w:cs="Arial"/>
                <w:b/>
                <w:sz w:val="18"/>
                <w:szCs w:val="18"/>
                <w:lang w:val="en-CA"/>
              </w:rPr>
              <w:t>2012/13</w:t>
            </w:r>
          </w:p>
        </w:tc>
        <w:tc>
          <w:tcPr>
            <w:tcW w:w="960" w:type="dxa"/>
            <w:tcBorders>
              <w:bottom w:val="none" w:sz="0" w:space="0" w:color="auto"/>
            </w:tcBorders>
          </w:tcPr>
          <w:p w14:paraId="13A0335A" w14:textId="77777777" w:rsidR="00591102" w:rsidRPr="004326A5" w:rsidRDefault="00591102" w:rsidP="00885DD2">
            <w:pPr>
              <w:jc w:val="right"/>
              <w:rPr>
                <w:rFonts w:ascii="Arial" w:hAnsi="Arial" w:cs="Arial"/>
                <w:b/>
                <w:sz w:val="18"/>
                <w:szCs w:val="18"/>
                <w:lang w:val="en-CA"/>
              </w:rPr>
            </w:pPr>
            <w:r w:rsidRPr="004326A5">
              <w:rPr>
                <w:rFonts w:ascii="Arial" w:hAnsi="Arial" w:cs="Arial"/>
                <w:b/>
                <w:sz w:val="18"/>
                <w:szCs w:val="18"/>
                <w:lang w:val="en-CA"/>
              </w:rPr>
              <w:t>2013/14</w:t>
            </w:r>
          </w:p>
        </w:tc>
        <w:tc>
          <w:tcPr>
            <w:tcW w:w="960" w:type="dxa"/>
            <w:tcBorders>
              <w:bottom w:val="none" w:sz="0" w:space="0" w:color="auto"/>
            </w:tcBorders>
          </w:tcPr>
          <w:p w14:paraId="03DEC017" w14:textId="77777777" w:rsidR="00591102" w:rsidRPr="004326A5" w:rsidRDefault="00591102" w:rsidP="00885DD2">
            <w:pPr>
              <w:jc w:val="right"/>
              <w:rPr>
                <w:rFonts w:ascii="Arial" w:hAnsi="Arial" w:cs="Arial"/>
                <w:b/>
                <w:sz w:val="18"/>
                <w:szCs w:val="18"/>
                <w:lang w:val="en-CA"/>
              </w:rPr>
            </w:pPr>
            <w:r w:rsidRPr="004326A5">
              <w:rPr>
                <w:rFonts w:ascii="Arial" w:hAnsi="Arial" w:cs="Arial"/>
                <w:b/>
                <w:sz w:val="18"/>
                <w:szCs w:val="18"/>
                <w:lang w:val="en-CA"/>
              </w:rPr>
              <w:t>2014/15</w:t>
            </w:r>
          </w:p>
        </w:tc>
        <w:tc>
          <w:tcPr>
            <w:tcW w:w="960" w:type="dxa"/>
            <w:tcBorders>
              <w:bottom w:val="none" w:sz="0" w:space="0" w:color="auto"/>
            </w:tcBorders>
          </w:tcPr>
          <w:p w14:paraId="137BF545" w14:textId="77777777" w:rsidR="00591102" w:rsidRPr="004326A5" w:rsidRDefault="00591102" w:rsidP="00885DD2">
            <w:pPr>
              <w:jc w:val="right"/>
              <w:rPr>
                <w:rFonts w:ascii="Arial" w:hAnsi="Arial" w:cs="Arial"/>
                <w:b/>
                <w:sz w:val="18"/>
                <w:szCs w:val="18"/>
                <w:lang w:val="en-CA"/>
              </w:rPr>
            </w:pPr>
            <w:r w:rsidRPr="004326A5">
              <w:rPr>
                <w:rFonts w:ascii="Arial" w:hAnsi="Arial" w:cs="Arial"/>
                <w:b/>
                <w:sz w:val="18"/>
                <w:szCs w:val="18"/>
                <w:lang w:val="en-CA"/>
              </w:rPr>
              <w:t>2015/16</w:t>
            </w:r>
          </w:p>
        </w:tc>
        <w:tc>
          <w:tcPr>
            <w:tcW w:w="960" w:type="dxa"/>
            <w:tcBorders>
              <w:bottom w:val="none" w:sz="0" w:space="0" w:color="auto"/>
            </w:tcBorders>
          </w:tcPr>
          <w:p w14:paraId="157D136A" w14:textId="77777777" w:rsidR="00591102" w:rsidRPr="004326A5" w:rsidRDefault="00591102" w:rsidP="00885DD2">
            <w:pPr>
              <w:jc w:val="right"/>
              <w:rPr>
                <w:rFonts w:ascii="Arial" w:hAnsi="Arial" w:cs="Arial"/>
                <w:b/>
                <w:sz w:val="18"/>
                <w:szCs w:val="18"/>
                <w:lang w:val="en-CA"/>
              </w:rPr>
            </w:pPr>
            <w:r w:rsidRPr="004326A5">
              <w:rPr>
                <w:rFonts w:ascii="Arial" w:hAnsi="Arial" w:cs="Arial"/>
                <w:b/>
                <w:sz w:val="18"/>
                <w:szCs w:val="18"/>
                <w:lang w:val="en-CA"/>
              </w:rPr>
              <w:t>2016/17</w:t>
            </w:r>
          </w:p>
        </w:tc>
      </w:tr>
      <w:tr w:rsidR="00874275" w:rsidRPr="004326A5" w14:paraId="608C90FB" w14:textId="77777777" w:rsidTr="001358C5">
        <w:trPr>
          <w:trHeight w:val="288"/>
        </w:trPr>
        <w:tc>
          <w:tcPr>
            <w:tcW w:w="3600" w:type="dxa"/>
            <w:noWrap/>
          </w:tcPr>
          <w:p w14:paraId="2C686C57" w14:textId="1817D034" w:rsidR="00874275" w:rsidRPr="004326A5" w:rsidRDefault="00874275" w:rsidP="00874275">
            <w:pPr>
              <w:rPr>
                <w:rFonts w:ascii="Arial" w:hAnsi="Arial" w:cs="Arial"/>
                <w:sz w:val="18"/>
                <w:szCs w:val="18"/>
                <w:lang w:val="en-CA"/>
              </w:rPr>
            </w:pPr>
            <w:r w:rsidRPr="004326A5">
              <w:rPr>
                <w:rFonts w:ascii="Arial" w:hAnsi="Arial" w:cs="Arial"/>
                <w:b/>
                <w:bCs/>
                <w:color w:val="000000"/>
                <w:sz w:val="18"/>
                <w:szCs w:val="18"/>
                <w:lang w:val="en-CA"/>
              </w:rPr>
              <w:t xml:space="preserve">Net Cash </w:t>
            </w:r>
            <w:r w:rsidR="00951A70" w:rsidRPr="004326A5">
              <w:rPr>
                <w:rFonts w:ascii="Arial" w:hAnsi="Arial" w:cs="Arial"/>
                <w:b/>
                <w:bCs/>
                <w:color w:val="000000"/>
                <w:sz w:val="18"/>
                <w:szCs w:val="18"/>
                <w:lang w:val="en-CA"/>
              </w:rPr>
              <w:t>P</w:t>
            </w:r>
            <w:r w:rsidRPr="004326A5">
              <w:rPr>
                <w:rFonts w:ascii="Arial" w:hAnsi="Arial" w:cs="Arial"/>
                <w:b/>
                <w:bCs/>
                <w:color w:val="000000"/>
                <w:sz w:val="18"/>
                <w:szCs w:val="18"/>
                <w:lang w:val="en-CA"/>
              </w:rPr>
              <w:t>rovided by (</w:t>
            </w:r>
            <w:r w:rsidR="00622359" w:rsidRPr="004326A5">
              <w:rPr>
                <w:rFonts w:ascii="Arial" w:hAnsi="Arial" w:cs="Arial"/>
                <w:b/>
                <w:bCs/>
                <w:color w:val="000000"/>
                <w:sz w:val="18"/>
                <w:szCs w:val="18"/>
                <w:lang w:val="en-CA"/>
              </w:rPr>
              <w:t>u</w:t>
            </w:r>
            <w:r w:rsidRPr="004326A5">
              <w:rPr>
                <w:rFonts w:ascii="Arial" w:hAnsi="Arial" w:cs="Arial"/>
                <w:b/>
                <w:bCs/>
                <w:color w:val="000000"/>
                <w:sz w:val="18"/>
                <w:szCs w:val="18"/>
                <w:lang w:val="en-CA"/>
              </w:rPr>
              <w:t xml:space="preserve">sed </w:t>
            </w:r>
            <w:r w:rsidR="00622359" w:rsidRPr="004326A5">
              <w:rPr>
                <w:rFonts w:ascii="Arial" w:hAnsi="Arial" w:cs="Arial"/>
                <w:b/>
                <w:bCs/>
                <w:color w:val="000000"/>
                <w:sz w:val="18"/>
                <w:szCs w:val="18"/>
                <w:lang w:val="en-CA"/>
              </w:rPr>
              <w:t>i</w:t>
            </w:r>
            <w:r w:rsidRPr="004326A5">
              <w:rPr>
                <w:rFonts w:ascii="Arial" w:hAnsi="Arial" w:cs="Arial"/>
                <w:b/>
                <w:bCs/>
                <w:color w:val="000000"/>
                <w:sz w:val="18"/>
                <w:szCs w:val="18"/>
                <w:lang w:val="en-CA"/>
              </w:rPr>
              <w:t>n) Operating Activities</w:t>
            </w:r>
            <w:r w:rsidR="00951A70" w:rsidRPr="004326A5">
              <w:rPr>
                <w:rFonts w:ascii="Arial" w:hAnsi="Arial" w:cs="Arial"/>
                <w:b/>
                <w:bCs/>
                <w:color w:val="000000"/>
                <w:sz w:val="18"/>
                <w:szCs w:val="18"/>
                <w:lang w:val="en-CA"/>
              </w:rPr>
              <w:t>—</w:t>
            </w:r>
            <w:r w:rsidRPr="004326A5">
              <w:rPr>
                <w:rFonts w:ascii="Arial" w:hAnsi="Arial" w:cs="Arial"/>
                <w:b/>
                <w:bCs/>
                <w:color w:val="000000"/>
                <w:sz w:val="18"/>
                <w:szCs w:val="18"/>
                <w:lang w:val="en-CA"/>
              </w:rPr>
              <w:t>Continuing Operations</w:t>
            </w:r>
          </w:p>
        </w:tc>
        <w:tc>
          <w:tcPr>
            <w:tcW w:w="960" w:type="dxa"/>
          </w:tcPr>
          <w:p w14:paraId="6D998305" w14:textId="24A54C63"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(307)</w:t>
            </w:r>
          </w:p>
        </w:tc>
        <w:tc>
          <w:tcPr>
            <w:tcW w:w="960" w:type="dxa"/>
          </w:tcPr>
          <w:p w14:paraId="572202C6" w14:textId="69A3BE01"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(303)</w:t>
            </w:r>
          </w:p>
        </w:tc>
        <w:tc>
          <w:tcPr>
            <w:tcW w:w="960" w:type="dxa"/>
          </w:tcPr>
          <w:p w14:paraId="2723C92B" w14:textId="40B6A4F3"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(1,109)</w:t>
            </w:r>
          </w:p>
        </w:tc>
        <w:tc>
          <w:tcPr>
            <w:tcW w:w="960" w:type="dxa"/>
          </w:tcPr>
          <w:p w14:paraId="5DC49DCE" w14:textId="16ED9BB0"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(1,387)</w:t>
            </w:r>
          </w:p>
        </w:tc>
        <w:tc>
          <w:tcPr>
            <w:tcW w:w="960" w:type="dxa"/>
          </w:tcPr>
          <w:p w14:paraId="686BF3F6" w14:textId="50C06A70"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(2,167)</w:t>
            </w:r>
          </w:p>
        </w:tc>
        <w:tc>
          <w:tcPr>
            <w:tcW w:w="960" w:type="dxa"/>
          </w:tcPr>
          <w:p w14:paraId="3D110B5D" w14:textId="53045634" w:rsidR="00874275" w:rsidRPr="004326A5" w:rsidRDefault="00874275" w:rsidP="00874275">
            <w:pPr>
              <w:jc w:val="right"/>
              <w:rPr>
                <w:rFonts w:ascii="Arial" w:eastAsia="SimSun" w:hAnsi="Arial" w:cs="Arial"/>
                <w:sz w:val="18"/>
                <w:szCs w:val="18"/>
                <w:lang w:val="en-CA"/>
              </w:rPr>
            </w:pPr>
            <w:r w:rsidRPr="004326A5">
              <w:rPr>
                <w:rFonts w:ascii="Arial" w:hAnsi="Arial" w:cs="Arial"/>
                <w:b/>
                <w:bCs/>
                <w:color w:val="000000"/>
                <w:sz w:val="18"/>
                <w:szCs w:val="18"/>
                <w:lang w:val="en-CA"/>
              </w:rPr>
              <w:t xml:space="preserve"> (1,381)</w:t>
            </w:r>
          </w:p>
        </w:tc>
      </w:tr>
      <w:tr w:rsidR="00874275" w:rsidRPr="004326A5" w14:paraId="48049E9A" w14:textId="77777777" w:rsidTr="001358C5">
        <w:trPr>
          <w:trHeight w:val="288"/>
        </w:trPr>
        <w:tc>
          <w:tcPr>
            <w:tcW w:w="3600" w:type="dxa"/>
            <w:noWrap/>
          </w:tcPr>
          <w:p w14:paraId="0BA2E872" w14:textId="2E62DCB7"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Net Cash provided by Operating Activities</w:t>
            </w:r>
            <w:r w:rsidR="00622359" w:rsidRPr="004326A5">
              <w:rPr>
                <w:rFonts w:ascii="Arial" w:hAnsi="Arial" w:cs="Arial"/>
                <w:color w:val="000000"/>
                <w:sz w:val="18"/>
                <w:szCs w:val="18"/>
                <w:lang w:val="en-CA"/>
              </w:rPr>
              <w:t>—</w:t>
            </w:r>
            <w:r w:rsidRPr="004326A5">
              <w:rPr>
                <w:rFonts w:ascii="Arial" w:hAnsi="Arial" w:cs="Arial"/>
                <w:color w:val="000000"/>
                <w:sz w:val="18"/>
                <w:szCs w:val="18"/>
                <w:lang w:val="en-CA"/>
              </w:rPr>
              <w:t>Discontinued Operations</w:t>
            </w:r>
          </w:p>
        </w:tc>
        <w:tc>
          <w:tcPr>
            <w:tcW w:w="960" w:type="dxa"/>
          </w:tcPr>
          <w:p w14:paraId="1A83244A" w14:textId="74702E5B"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32 </w:t>
            </w:r>
          </w:p>
        </w:tc>
        <w:tc>
          <w:tcPr>
            <w:tcW w:w="960" w:type="dxa"/>
          </w:tcPr>
          <w:p w14:paraId="4D7C8F3F" w14:textId="21BA1EB1"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66B30ABC" w14:textId="7C382757"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64303E08" w14:textId="114A39E8"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5CB5C38D" w14:textId="679C3226"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03BC092D" w14:textId="6E3CD6D6"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r>
      <w:tr w:rsidR="00874275" w:rsidRPr="004326A5" w14:paraId="64445C82" w14:textId="77777777" w:rsidTr="001358C5">
        <w:trPr>
          <w:trHeight w:val="288"/>
        </w:trPr>
        <w:tc>
          <w:tcPr>
            <w:tcW w:w="3600" w:type="dxa"/>
            <w:noWrap/>
          </w:tcPr>
          <w:p w14:paraId="74455907" w14:textId="2F0AB353" w:rsidR="00874275" w:rsidRPr="004326A5" w:rsidRDefault="00874275" w:rsidP="00874275">
            <w:pPr>
              <w:rPr>
                <w:rFonts w:ascii="Arial" w:hAnsi="Arial" w:cs="Arial"/>
                <w:sz w:val="18"/>
                <w:szCs w:val="18"/>
                <w:lang w:val="en-CA"/>
              </w:rPr>
            </w:pPr>
            <w:r w:rsidRPr="004326A5">
              <w:rPr>
                <w:rFonts w:ascii="Arial" w:hAnsi="Arial" w:cs="Arial"/>
                <w:b/>
                <w:bCs/>
                <w:color w:val="000000"/>
                <w:sz w:val="18"/>
                <w:szCs w:val="18"/>
                <w:lang w:val="en-CA"/>
              </w:rPr>
              <w:t xml:space="preserve">Net Cash </w:t>
            </w:r>
            <w:r w:rsidR="00622359" w:rsidRPr="004326A5">
              <w:rPr>
                <w:rFonts w:ascii="Arial" w:hAnsi="Arial" w:cs="Arial"/>
                <w:b/>
                <w:bCs/>
                <w:color w:val="000000"/>
                <w:sz w:val="18"/>
                <w:szCs w:val="18"/>
                <w:lang w:val="en-CA"/>
              </w:rPr>
              <w:t>P</w:t>
            </w:r>
            <w:r w:rsidRPr="004326A5">
              <w:rPr>
                <w:rFonts w:ascii="Arial" w:hAnsi="Arial" w:cs="Arial"/>
                <w:b/>
                <w:bCs/>
                <w:color w:val="000000"/>
                <w:sz w:val="18"/>
                <w:szCs w:val="18"/>
                <w:lang w:val="en-CA"/>
              </w:rPr>
              <w:t>rovided by (used in) Operating Activities</w:t>
            </w:r>
          </w:p>
        </w:tc>
        <w:tc>
          <w:tcPr>
            <w:tcW w:w="960" w:type="dxa"/>
          </w:tcPr>
          <w:p w14:paraId="7AF84D90" w14:textId="0EAF4256"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(275)</w:t>
            </w:r>
          </w:p>
        </w:tc>
        <w:tc>
          <w:tcPr>
            <w:tcW w:w="960" w:type="dxa"/>
          </w:tcPr>
          <w:p w14:paraId="3DCB03AF" w14:textId="763EAC8E"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(303)</w:t>
            </w:r>
          </w:p>
        </w:tc>
        <w:tc>
          <w:tcPr>
            <w:tcW w:w="960" w:type="dxa"/>
          </w:tcPr>
          <w:p w14:paraId="58B502A9" w14:textId="4B9E6A32"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(1,109)</w:t>
            </w:r>
          </w:p>
        </w:tc>
        <w:tc>
          <w:tcPr>
            <w:tcW w:w="960" w:type="dxa"/>
          </w:tcPr>
          <w:p w14:paraId="118C9A37" w14:textId="56606B34"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(1,387)</w:t>
            </w:r>
          </w:p>
        </w:tc>
        <w:tc>
          <w:tcPr>
            <w:tcW w:w="960" w:type="dxa"/>
          </w:tcPr>
          <w:p w14:paraId="7A03253B" w14:textId="64C7D1EA"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(2,167)</w:t>
            </w:r>
          </w:p>
        </w:tc>
        <w:tc>
          <w:tcPr>
            <w:tcW w:w="960" w:type="dxa"/>
          </w:tcPr>
          <w:p w14:paraId="23754EA4" w14:textId="441BCFE4" w:rsidR="00874275" w:rsidRPr="004326A5" w:rsidRDefault="00874275" w:rsidP="00874275">
            <w:pPr>
              <w:jc w:val="right"/>
              <w:rPr>
                <w:rFonts w:ascii="Arial" w:eastAsia="SimSun" w:hAnsi="Arial" w:cs="Arial"/>
                <w:sz w:val="18"/>
                <w:szCs w:val="18"/>
                <w:lang w:val="en-CA"/>
              </w:rPr>
            </w:pPr>
            <w:r w:rsidRPr="004326A5">
              <w:rPr>
                <w:rFonts w:ascii="Arial" w:hAnsi="Arial" w:cs="Arial"/>
                <w:b/>
                <w:bCs/>
                <w:color w:val="000000"/>
                <w:sz w:val="18"/>
                <w:szCs w:val="18"/>
                <w:lang w:val="en-CA"/>
              </w:rPr>
              <w:t xml:space="preserve"> (1,381)</w:t>
            </w:r>
          </w:p>
        </w:tc>
      </w:tr>
      <w:tr w:rsidR="00874275" w:rsidRPr="004326A5" w14:paraId="12ACEA57" w14:textId="77777777" w:rsidTr="001358C5">
        <w:trPr>
          <w:trHeight w:val="288"/>
        </w:trPr>
        <w:tc>
          <w:tcPr>
            <w:tcW w:w="3600" w:type="dxa"/>
            <w:noWrap/>
          </w:tcPr>
          <w:p w14:paraId="533B6CF6" w14:textId="67029F11" w:rsidR="00874275" w:rsidRPr="004326A5" w:rsidRDefault="00A05594" w:rsidP="00874275">
            <w:pPr>
              <w:rPr>
                <w:rFonts w:ascii="Arial" w:hAnsi="Arial" w:cs="Arial"/>
                <w:sz w:val="18"/>
                <w:szCs w:val="18"/>
                <w:lang w:val="en-CA"/>
              </w:rPr>
            </w:pPr>
            <w:r w:rsidRPr="004326A5">
              <w:rPr>
                <w:rFonts w:ascii="Arial" w:hAnsi="Arial" w:cs="Arial"/>
                <w:b/>
                <w:bCs/>
                <w:color w:val="000000"/>
                <w:sz w:val="18"/>
                <w:szCs w:val="18"/>
                <w:lang w:val="en-CA"/>
              </w:rPr>
              <w:t xml:space="preserve">Cash Flows from Investing Activities </w:t>
            </w:r>
          </w:p>
        </w:tc>
        <w:tc>
          <w:tcPr>
            <w:tcW w:w="960" w:type="dxa"/>
          </w:tcPr>
          <w:p w14:paraId="5DE5D70C" w14:textId="6A3D66CE"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p>
        </w:tc>
        <w:tc>
          <w:tcPr>
            <w:tcW w:w="960" w:type="dxa"/>
          </w:tcPr>
          <w:p w14:paraId="3F7C9E08" w14:textId="7DBBA9BB"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p>
        </w:tc>
        <w:tc>
          <w:tcPr>
            <w:tcW w:w="960" w:type="dxa"/>
          </w:tcPr>
          <w:p w14:paraId="6CF2DA18" w14:textId="5FAB6F77"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p>
        </w:tc>
        <w:tc>
          <w:tcPr>
            <w:tcW w:w="960" w:type="dxa"/>
          </w:tcPr>
          <w:p w14:paraId="6A187610" w14:textId="5AAD2C55"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p>
        </w:tc>
        <w:tc>
          <w:tcPr>
            <w:tcW w:w="960" w:type="dxa"/>
          </w:tcPr>
          <w:p w14:paraId="7CAB9987" w14:textId="2F16CABC"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p>
        </w:tc>
        <w:tc>
          <w:tcPr>
            <w:tcW w:w="960" w:type="dxa"/>
          </w:tcPr>
          <w:p w14:paraId="29CFFBE6" w14:textId="7656D80E"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w:t>
            </w:r>
          </w:p>
        </w:tc>
      </w:tr>
      <w:tr w:rsidR="00874275" w:rsidRPr="004326A5" w14:paraId="4E112FD8" w14:textId="77777777" w:rsidTr="001358C5">
        <w:trPr>
          <w:trHeight w:val="288"/>
        </w:trPr>
        <w:tc>
          <w:tcPr>
            <w:tcW w:w="3600" w:type="dxa"/>
            <w:noWrap/>
          </w:tcPr>
          <w:p w14:paraId="0EA6D6D6" w14:textId="77777777"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 xml:space="preserve">Proceeds from Sales of Property and Investments </w:t>
            </w:r>
          </w:p>
        </w:tc>
        <w:tc>
          <w:tcPr>
            <w:tcW w:w="960" w:type="dxa"/>
          </w:tcPr>
          <w:p w14:paraId="716ECE57" w14:textId="509DDDC1"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72 </w:t>
            </w:r>
          </w:p>
        </w:tc>
        <w:tc>
          <w:tcPr>
            <w:tcW w:w="960" w:type="dxa"/>
          </w:tcPr>
          <w:p w14:paraId="3E595447" w14:textId="236B58A1"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532 </w:t>
            </w:r>
          </w:p>
        </w:tc>
        <w:tc>
          <w:tcPr>
            <w:tcW w:w="960" w:type="dxa"/>
          </w:tcPr>
          <w:p w14:paraId="5DD1C63F" w14:textId="4EE01540"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995 </w:t>
            </w:r>
          </w:p>
        </w:tc>
        <w:tc>
          <w:tcPr>
            <w:tcW w:w="960" w:type="dxa"/>
          </w:tcPr>
          <w:p w14:paraId="1CBABA8B" w14:textId="408AA6B9"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424 </w:t>
            </w:r>
          </w:p>
        </w:tc>
        <w:tc>
          <w:tcPr>
            <w:tcW w:w="960" w:type="dxa"/>
          </w:tcPr>
          <w:p w14:paraId="1D47A1E5" w14:textId="186C5A0D"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2,730 </w:t>
            </w:r>
          </w:p>
        </w:tc>
        <w:tc>
          <w:tcPr>
            <w:tcW w:w="960" w:type="dxa"/>
          </w:tcPr>
          <w:p w14:paraId="318C914E" w14:textId="5E2DC767"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386 </w:t>
            </w:r>
          </w:p>
        </w:tc>
      </w:tr>
      <w:tr w:rsidR="00874275" w:rsidRPr="004326A5" w14:paraId="2A70B440" w14:textId="77777777" w:rsidTr="001358C5">
        <w:trPr>
          <w:trHeight w:val="288"/>
        </w:trPr>
        <w:tc>
          <w:tcPr>
            <w:tcW w:w="3600" w:type="dxa"/>
            <w:noWrap/>
          </w:tcPr>
          <w:p w14:paraId="04655E32" w14:textId="77777777"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Net Increase in Investments and Restricted Cash</w:t>
            </w:r>
          </w:p>
        </w:tc>
        <w:tc>
          <w:tcPr>
            <w:tcW w:w="960" w:type="dxa"/>
          </w:tcPr>
          <w:p w14:paraId="5D722388" w14:textId="535104B0"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8 </w:t>
            </w:r>
          </w:p>
        </w:tc>
        <w:tc>
          <w:tcPr>
            <w:tcW w:w="960" w:type="dxa"/>
          </w:tcPr>
          <w:p w14:paraId="020399CC" w14:textId="6833EF54"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37 </w:t>
            </w:r>
          </w:p>
        </w:tc>
        <w:tc>
          <w:tcPr>
            <w:tcW w:w="960" w:type="dxa"/>
          </w:tcPr>
          <w:p w14:paraId="041D2960" w14:textId="059C1D1B"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(2)</w:t>
            </w:r>
          </w:p>
        </w:tc>
        <w:tc>
          <w:tcPr>
            <w:tcW w:w="960" w:type="dxa"/>
          </w:tcPr>
          <w:p w14:paraId="24B944B2" w14:textId="488E3A10"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78C9F6CB" w14:textId="13565986"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3FDB46C8" w14:textId="72B517C2"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r>
      <w:tr w:rsidR="00874275" w:rsidRPr="004326A5" w14:paraId="465C6299" w14:textId="77777777" w:rsidTr="001358C5">
        <w:trPr>
          <w:trHeight w:val="288"/>
        </w:trPr>
        <w:tc>
          <w:tcPr>
            <w:tcW w:w="3600" w:type="dxa"/>
            <w:noWrap/>
          </w:tcPr>
          <w:p w14:paraId="40BFD1F1" w14:textId="77777777"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Purchases of Property and Equipment</w:t>
            </w:r>
          </w:p>
        </w:tc>
        <w:tc>
          <w:tcPr>
            <w:tcW w:w="960" w:type="dxa"/>
          </w:tcPr>
          <w:p w14:paraId="292A9557" w14:textId="662DAA07"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(432)</w:t>
            </w:r>
          </w:p>
        </w:tc>
        <w:tc>
          <w:tcPr>
            <w:tcW w:w="960" w:type="dxa"/>
          </w:tcPr>
          <w:p w14:paraId="47327D13" w14:textId="2B71575D"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(378)</w:t>
            </w:r>
          </w:p>
        </w:tc>
        <w:tc>
          <w:tcPr>
            <w:tcW w:w="960" w:type="dxa"/>
          </w:tcPr>
          <w:p w14:paraId="52EC5708" w14:textId="51155B04"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(329)</w:t>
            </w:r>
          </w:p>
        </w:tc>
        <w:tc>
          <w:tcPr>
            <w:tcW w:w="960" w:type="dxa"/>
          </w:tcPr>
          <w:p w14:paraId="29D4748B" w14:textId="63AC0826"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(270)</w:t>
            </w:r>
          </w:p>
        </w:tc>
        <w:tc>
          <w:tcPr>
            <w:tcW w:w="960" w:type="dxa"/>
          </w:tcPr>
          <w:p w14:paraId="640403E3" w14:textId="713B63E8"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(211)</w:t>
            </w:r>
          </w:p>
        </w:tc>
        <w:tc>
          <w:tcPr>
            <w:tcW w:w="960" w:type="dxa"/>
          </w:tcPr>
          <w:p w14:paraId="19E5EA76" w14:textId="770DB5CA"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(142)</w:t>
            </w:r>
          </w:p>
        </w:tc>
      </w:tr>
      <w:tr w:rsidR="00874275" w:rsidRPr="004326A5" w14:paraId="29F9E393" w14:textId="77777777" w:rsidTr="001358C5">
        <w:trPr>
          <w:trHeight w:val="288"/>
        </w:trPr>
        <w:tc>
          <w:tcPr>
            <w:tcW w:w="3600" w:type="dxa"/>
            <w:noWrap/>
          </w:tcPr>
          <w:p w14:paraId="613F5C40" w14:textId="02770552"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Re-</w:t>
            </w:r>
            <w:r w:rsidR="00622359" w:rsidRPr="004326A5">
              <w:rPr>
                <w:rFonts w:ascii="Arial" w:hAnsi="Arial" w:cs="Arial"/>
                <w:color w:val="000000"/>
                <w:sz w:val="18"/>
                <w:szCs w:val="18"/>
                <w:lang w:val="en-CA"/>
              </w:rPr>
              <w:t>C</w:t>
            </w:r>
            <w:r w:rsidRPr="004326A5">
              <w:rPr>
                <w:rFonts w:ascii="Arial" w:hAnsi="Arial" w:cs="Arial"/>
                <w:color w:val="000000"/>
                <w:sz w:val="18"/>
                <w:szCs w:val="18"/>
                <w:lang w:val="en-CA"/>
              </w:rPr>
              <w:t>onsolidation (De-</w:t>
            </w:r>
            <w:r w:rsidR="00A05594" w:rsidRPr="004326A5">
              <w:rPr>
                <w:rFonts w:ascii="Arial" w:hAnsi="Arial" w:cs="Arial"/>
                <w:color w:val="000000"/>
                <w:sz w:val="18"/>
                <w:szCs w:val="18"/>
                <w:lang w:val="en-CA"/>
              </w:rPr>
              <w:t>c</w:t>
            </w:r>
            <w:r w:rsidRPr="004326A5">
              <w:rPr>
                <w:rFonts w:ascii="Arial" w:hAnsi="Arial" w:cs="Arial"/>
                <w:color w:val="000000"/>
                <w:sz w:val="18"/>
                <w:szCs w:val="18"/>
                <w:lang w:val="en-CA"/>
              </w:rPr>
              <w:t xml:space="preserve">onsolidation) of Sears Canada </w:t>
            </w:r>
            <w:r w:rsidR="00622359" w:rsidRPr="004326A5">
              <w:rPr>
                <w:rFonts w:ascii="Arial" w:hAnsi="Arial" w:cs="Arial"/>
                <w:color w:val="000000"/>
                <w:sz w:val="18"/>
                <w:szCs w:val="18"/>
                <w:lang w:val="en-CA"/>
              </w:rPr>
              <w:t>C</w:t>
            </w:r>
            <w:r w:rsidRPr="004326A5">
              <w:rPr>
                <w:rFonts w:ascii="Arial" w:hAnsi="Arial" w:cs="Arial"/>
                <w:color w:val="000000"/>
                <w:sz w:val="18"/>
                <w:szCs w:val="18"/>
                <w:lang w:val="en-CA"/>
              </w:rPr>
              <w:t>ash</w:t>
            </w:r>
          </w:p>
        </w:tc>
        <w:tc>
          <w:tcPr>
            <w:tcW w:w="960" w:type="dxa"/>
          </w:tcPr>
          <w:p w14:paraId="3399D549" w14:textId="285D6284"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35B7485E" w14:textId="2199314E"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0444AE2B" w14:textId="0D053E87"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32AB89C7" w14:textId="59C17F55"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(207)</w:t>
            </w:r>
          </w:p>
        </w:tc>
        <w:tc>
          <w:tcPr>
            <w:tcW w:w="960" w:type="dxa"/>
          </w:tcPr>
          <w:p w14:paraId="2BE07275" w14:textId="1D3C7592"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56C2E6D4" w14:textId="3377222E"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r>
      <w:tr w:rsidR="00874275" w:rsidRPr="004326A5" w14:paraId="43BBAD87" w14:textId="77777777" w:rsidTr="001358C5">
        <w:trPr>
          <w:trHeight w:val="288"/>
        </w:trPr>
        <w:tc>
          <w:tcPr>
            <w:tcW w:w="3600" w:type="dxa"/>
            <w:noWrap/>
          </w:tcPr>
          <w:p w14:paraId="729C394B" w14:textId="77777777"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Proceeds from Sears Canada Rights Offering</w:t>
            </w:r>
          </w:p>
        </w:tc>
        <w:tc>
          <w:tcPr>
            <w:tcW w:w="960" w:type="dxa"/>
          </w:tcPr>
          <w:p w14:paraId="77E76694" w14:textId="7C6704C4"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262F317C" w14:textId="172ECD0A"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290DDDF2" w14:textId="797CB998"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72FF363F" w14:textId="6F3EBE70"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380 </w:t>
            </w:r>
          </w:p>
        </w:tc>
        <w:tc>
          <w:tcPr>
            <w:tcW w:w="960" w:type="dxa"/>
          </w:tcPr>
          <w:p w14:paraId="28B21014" w14:textId="40E8E891"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6E4EE99B" w14:textId="422ECF54"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r>
      <w:tr w:rsidR="00874275" w:rsidRPr="004326A5" w14:paraId="7075FE52" w14:textId="77777777" w:rsidTr="001358C5">
        <w:trPr>
          <w:trHeight w:val="288"/>
        </w:trPr>
        <w:tc>
          <w:tcPr>
            <w:tcW w:w="3600" w:type="dxa"/>
            <w:noWrap/>
          </w:tcPr>
          <w:p w14:paraId="11FCDBFA" w14:textId="34432EEC" w:rsidR="00874275" w:rsidRPr="004326A5" w:rsidRDefault="00874275" w:rsidP="00874275">
            <w:pPr>
              <w:rPr>
                <w:rFonts w:ascii="Arial" w:hAnsi="Arial" w:cs="Arial"/>
                <w:sz w:val="18"/>
                <w:szCs w:val="18"/>
                <w:lang w:val="en-CA"/>
              </w:rPr>
            </w:pPr>
            <w:r w:rsidRPr="004326A5">
              <w:rPr>
                <w:rFonts w:ascii="Arial" w:hAnsi="Arial" w:cs="Arial"/>
                <w:b/>
                <w:bCs/>
                <w:color w:val="000000"/>
                <w:sz w:val="18"/>
                <w:szCs w:val="18"/>
                <w:lang w:val="en-CA"/>
              </w:rPr>
              <w:t xml:space="preserve">Net Cash </w:t>
            </w:r>
            <w:r w:rsidR="00EF47E1" w:rsidRPr="004326A5">
              <w:rPr>
                <w:rFonts w:ascii="Arial" w:hAnsi="Arial" w:cs="Arial"/>
                <w:b/>
                <w:bCs/>
                <w:color w:val="000000"/>
                <w:sz w:val="18"/>
                <w:szCs w:val="18"/>
                <w:lang w:val="en-CA"/>
              </w:rPr>
              <w:t>U</w:t>
            </w:r>
            <w:r w:rsidRPr="004326A5">
              <w:rPr>
                <w:rFonts w:ascii="Arial" w:hAnsi="Arial" w:cs="Arial"/>
                <w:b/>
                <w:bCs/>
                <w:color w:val="000000"/>
                <w:sz w:val="18"/>
                <w:szCs w:val="18"/>
                <w:lang w:val="en-CA"/>
              </w:rPr>
              <w:t>sed in Investing Activities</w:t>
            </w:r>
            <w:r w:rsidR="00EF47E1" w:rsidRPr="004326A5">
              <w:rPr>
                <w:rFonts w:ascii="Arial" w:hAnsi="Arial" w:cs="Arial"/>
                <w:b/>
                <w:bCs/>
                <w:color w:val="000000"/>
                <w:sz w:val="18"/>
                <w:szCs w:val="18"/>
                <w:lang w:val="en-CA"/>
              </w:rPr>
              <w:t>—</w:t>
            </w:r>
            <w:r w:rsidRPr="004326A5">
              <w:rPr>
                <w:rFonts w:ascii="Arial" w:hAnsi="Arial" w:cs="Arial"/>
                <w:b/>
                <w:bCs/>
                <w:color w:val="000000"/>
                <w:sz w:val="18"/>
                <w:szCs w:val="18"/>
                <w:lang w:val="en-CA"/>
              </w:rPr>
              <w:t xml:space="preserve">Continuing Operations </w:t>
            </w:r>
          </w:p>
        </w:tc>
        <w:tc>
          <w:tcPr>
            <w:tcW w:w="960" w:type="dxa"/>
          </w:tcPr>
          <w:p w14:paraId="444E2EB8" w14:textId="6EF26E59"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(352)</w:t>
            </w:r>
          </w:p>
        </w:tc>
        <w:tc>
          <w:tcPr>
            <w:tcW w:w="960" w:type="dxa"/>
          </w:tcPr>
          <w:p w14:paraId="7D51315D" w14:textId="649B4A84"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191 </w:t>
            </w:r>
          </w:p>
        </w:tc>
        <w:tc>
          <w:tcPr>
            <w:tcW w:w="960" w:type="dxa"/>
          </w:tcPr>
          <w:p w14:paraId="1E63EDEE" w14:textId="44C1FFB8"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664 </w:t>
            </w:r>
          </w:p>
        </w:tc>
        <w:tc>
          <w:tcPr>
            <w:tcW w:w="960" w:type="dxa"/>
          </w:tcPr>
          <w:p w14:paraId="4276E28E" w14:textId="551CB15E"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327 </w:t>
            </w:r>
          </w:p>
        </w:tc>
        <w:tc>
          <w:tcPr>
            <w:tcW w:w="960" w:type="dxa"/>
          </w:tcPr>
          <w:p w14:paraId="22FACA3E" w14:textId="15E2EF00"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2,519 </w:t>
            </w:r>
          </w:p>
        </w:tc>
        <w:tc>
          <w:tcPr>
            <w:tcW w:w="960" w:type="dxa"/>
          </w:tcPr>
          <w:p w14:paraId="2C8FC7AF" w14:textId="521FA49C" w:rsidR="00874275" w:rsidRPr="004326A5" w:rsidRDefault="00874275" w:rsidP="00874275">
            <w:pPr>
              <w:jc w:val="right"/>
              <w:rPr>
                <w:rFonts w:ascii="Arial" w:eastAsia="SimSun" w:hAnsi="Arial" w:cs="Arial"/>
                <w:sz w:val="18"/>
                <w:szCs w:val="18"/>
                <w:lang w:val="en-CA"/>
              </w:rPr>
            </w:pPr>
            <w:r w:rsidRPr="004326A5">
              <w:rPr>
                <w:rFonts w:ascii="Arial" w:hAnsi="Arial" w:cs="Arial"/>
                <w:b/>
                <w:bCs/>
                <w:color w:val="000000"/>
                <w:sz w:val="18"/>
                <w:szCs w:val="18"/>
                <w:lang w:val="en-CA"/>
              </w:rPr>
              <w:t xml:space="preserve"> 244 </w:t>
            </w:r>
          </w:p>
        </w:tc>
      </w:tr>
      <w:tr w:rsidR="00874275" w:rsidRPr="004326A5" w14:paraId="577F719A" w14:textId="77777777" w:rsidTr="001358C5">
        <w:trPr>
          <w:trHeight w:val="288"/>
        </w:trPr>
        <w:tc>
          <w:tcPr>
            <w:tcW w:w="3600" w:type="dxa"/>
            <w:noWrap/>
          </w:tcPr>
          <w:p w14:paraId="79AA85DF" w14:textId="2B13D216"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 xml:space="preserve">Net Cash </w:t>
            </w:r>
            <w:r w:rsidR="00EF47E1" w:rsidRPr="004326A5">
              <w:rPr>
                <w:rFonts w:ascii="Arial" w:hAnsi="Arial" w:cs="Arial"/>
                <w:color w:val="000000"/>
                <w:sz w:val="18"/>
                <w:szCs w:val="18"/>
                <w:lang w:val="en-CA"/>
              </w:rPr>
              <w:t>P</w:t>
            </w:r>
            <w:r w:rsidRPr="004326A5">
              <w:rPr>
                <w:rFonts w:ascii="Arial" w:hAnsi="Arial" w:cs="Arial"/>
                <w:color w:val="000000"/>
                <w:sz w:val="18"/>
                <w:szCs w:val="18"/>
                <w:lang w:val="en-CA"/>
              </w:rPr>
              <w:t>rovided by (</w:t>
            </w:r>
            <w:r w:rsidR="00A05594" w:rsidRPr="004326A5">
              <w:rPr>
                <w:rFonts w:ascii="Arial" w:hAnsi="Arial" w:cs="Arial"/>
                <w:color w:val="000000"/>
                <w:sz w:val="18"/>
                <w:szCs w:val="18"/>
                <w:lang w:val="en-CA"/>
              </w:rPr>
              <w:t>U</w:t>
            </w:r>
            <w:r w:rsidRPr="004326A5">
              <w:rPr>
                <w:rFonts w:ascii="Arial" w:hAnsi="Arial" w:cs="Arial"/>
                <w:color w:val="000000"/>
                <w:sz w:val="18"/>
                <w:szCs w:val="18"/>
                <w:lang w:val="en-CA"/>
              </w:rPr>
              <w:t>sed in) Investing Activities</w:t>
            </w:r>
            <w:r w:rsidR="00EF47E1" w:rsidRPr="004326A5">
              <w:rPr>
                <w:rFonts w:ascii="Arial" w:hAnsi="Arial" w:cs="Arial"/>
                <w:color w:val="000000"/>
                <w:sz w:val="18"/>
                <w:szCs w:val="18"/>
                <w:lang w:val="en-CA"/>
              </w:rPr>
              <w:t>—</w:t>
            </w:r>
            <w:r w:rsidRPr="004326A5">
              <w:rPr>
                <w:rFonts w:ascii="Arial" w:hAnsi="Arial" w:cs="Arial"/>
                <w:color w:val="000000"/>
                <w:sz w:val="18"/>
                <w:szCs w:val="18"/>
                <w:lang w:val="en-CA"/>
              </w:rPr>
              <w:t>Continuing Operations</w:t>
            </w:r>
          </w:p>
        </w:tc>
        <w:tc>
          <w:tcPr>
            <w:tcW w:w="960" w:type="dxa"/>
          </w:tcPr>
          <w:p w14:paraId="26782B41" w14:textId="65803A2D"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43 </w:t>
            </w:r>
          </w:p>
        </w:tc>
        <w:tc>
          <w:tcPr>
            <w:tcW w:w="960" w:type="dxa"/>
          </w:tcPr>
          <w:p w14:paraId="56CF99C3" w14:textId="18D49C64"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20FE4FD7" w14:textId="2F8057C2"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1B1EA4D0" w14:textId="69B3867D"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0C46D4F7" w14:textId="273B6186"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1DDEC668" w14:textId="2C190BAD"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r>
      <w:tr w:rsidR="00874275" w:rsidRPr="004326A5" w14:paraId="74522FF1" w14:textId="77777777" w:rsidTr="001358C5">
        <w:trPr>
          <w:trHeight w:val="288"/>
        </w:trPr>
        <w:tc>
          <w:tcPr>
            <w:tcW w:w="3600" w:type="dxa"/>
            <w:noWrap/>
          </w:tcPr>
          <w:p w14:paraId="4F36148F" w14:textId="39326500" w:rsidR="00874275" w:rsidRPr="004326A5" w:rsidRDefault="00874275" w:rsidP="00874275">
            <w:pPr>
              <w:rPr>
                <w:rFonts w:ascii="Arial" w:hAnsi="Arial" w:cs="Arial"/>
                <w:sz w:val="18"/>
                <w:szCs w:val="18"/>
                <w:lang w:val="en-CA"/>
              </w:rPr>
            </w:pPr>
            <w:r w:rsidRPr="004326A5">
              <w:rPr>
                <w:rFonts w:ascii="Arial" w:hAnsi="Arial" w:cs="Arial"/>
                <w:b/>
                <w:bCs/>
                <w:color w:val="000000"/>
                <w:sz w:val="18"/>
                <w:szCs w:val="18"/>
                <w:lang w:val="en-CA"/>
              </w:rPr>
              <w:t xml:space="preserve">Net Cash </w:t>
            </w:r>
            <w:r w:rsidR="00EF47E1" w:rsidRPr="004326A5">
              <w:rPr>
                <w:rFonts w:ascii="Arial" w:hAnsi="Arial" w:cs="Arial"/>
                <w:b/>
                <w:bCs/>
                <w:color w:val="000000"/>
                <w:sz w:val="18"/>
                <w:szCs w:val="18"/>
                <w:lang w:val="en-CA"/>
              </w:rPr>
              <w:t>U</w:t>
            </w:r>
            <w:r w:rsidRPr="004326A5">
              <w:rPr>
                <w:rFonts w:ascii="Arial" w:hAnsi="Arial" w:cs="Arial"/>
                <w:b/>
                <w:bCs/>
                <w:color w:val="000000"/>
                <w:sz w:val="18"/>
                <w:szCs w:val="18"/>
                <w:lang w:val="en-CA"/>
              </w:rPr>
              <w:t>sed in Investing Activities</w:t>
            </w:r>
          </w:p>
        </w:tc>
        <w:tc>
          <w:tcPr>
            <w:tcW w:w="960" w:type="dxa"/>
          </w:tcPr>
          <w:p w14:paraId="4A5D99C6" w14:textId="0344B548"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(309)</w:t>
            </w:r>
          </w:p>
        </w:tc>
        <w:tc>
          <w:tcPr>
            <w:tcW w:w="960" w:type="dxa"/>
          </w:tcPr>
          <w:p w14:paraId="4D43220B" w14:textId="282FEC46"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191 </w:t>
            </w:r>
          </w:p>
        </w:tc>
        <w:tc>
          <w:tcPr>
            <w:tcW w:w="960" w:type="dxa"/>
          </w:tcPr>
          <w:p w14:paraId="4351D261" w14:textId="6DA0D332"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664 </w:t>
            </w:r>
          </w:p>
        </w:tc>
        <w:tc>
          <w:tcPr>
            <w:tcW w:w="960" w:type="dxa"/>
          </w:tcPr>
          <w:p w14:paraId="4606D81A" w14:textId="05F138D8"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327 </w:t>
            </w:r>
          </w:p>
        </w:tc>
        <w:tc>
          <w:tcPr>
            <w:tcW w:w="960" w:type="dxa"/>
          </w:tcPr>
          <w:p w14:paraId="783DA89C" w14:textId="5BF487BB"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2,519 </w:t>
            </w:r>
          </w:p>
        </w:tc>
        <w:tc>
          <w:tcPr>
            <w:tcW w:w="960" w:type="dxa"/>
          </w:tcPr>
          <w:p w14:paraId="68BF9633" w14:textId="1464C09B" w:rsidR="00874275" w:rsidRPr="004326A5" w:rsidRDefault="00874275" w:rsidP="00874275">
            <w:pPr>
              <w:jc w:val="right"/>
              <w:rPr>
                <w:rFonts w:ascii="Arial" w:eastAsia="SimSun" w:hAnsi="Arial" w:cs="Arial"/>
                <w:sz w:val="18"/>
                <w:szCs w:val="18"/>
                <w:lang w:val="en-CA"/>
              </w:rPr>
            </w:pPr>
            <w:r w:rsidRPr="004326A5">
              <w:rPr>
                <w:rFonts w:ascii="Arial" w:hAnsi="Arial" w:cs="Arial"/>
                <w:b/>
                <w:bCs/>
                <w:color w:val="000000"/>
                <w:sz w:val="18"/>
                <w:szCs w:val="18"/>
                <w:lang w:val="en-CA"/>
              </w:rPr>
              <w:t xml:space="preserve"> 244 </w:t>
            </w:r>
          </w:p>
        </w:tc>
      </w:tr>
      <w:tr w:rsidR="00874275" w:rsidRPr="004326A5" w14:paraId="437F0F22" w14:textId="77777777" w:rsidTr="001358C5">
        <w:trPr>
          <w:trHeight w:val="288"/>
        </w:trPr>
        <w:tc>
          <w:tcPr>
            <w:tcW w:w="3600" w:type="dxa"/>
            <w:noWrap/>
          </w:tcPr>
          <w:p w14:paraId="3123C7DB" w14:textId="243EC3AB" w:rsidR="00874275" w:rsidRPr="004326A5" w:rsidRDefault="00A05594" w:rsidP="00874275">
            <w:pPr>
              <w:rPr>
                <w:rFonts w:ascii="Arial" w:hAnsi="Arial" w:cs="Arial"/>
                <w:sz w:val="18"/>
                <w:szCs w:val="18"/>
                <w:lang w:val="en-CA"/>
              </w:rPr>
            </w:pPr>
            <w:r w:rsidRPr="004326A5">
              <w:rPr>
                <w:rFonts w:ascii="Arial" w:hAnsi="Arial" w:cs="Arial"/>
                <w:b/>
                <w:bCs/>
                <w:color w:val="000000"/>
                <w:sz w:val="18"/>
                <w:szCs w:val="18"/>
                <w:lang w:val="en-CA"/>
              </w:rPr>
              <w:t xml:space="preserve">Cash Flows from Financing Activities </w:t>
            </w:r>
          </w:p>
        </w:tc>
        <w:tc>
          <w:tcPr>
            <w:tcW w:w="960" w:type="dxa"/>
          </w:tcPr>
          <w:p w14:paraId="48E11C95" w14:textId="42E8D462"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p>
        </w:tc>
        <w:tc>
          <w:tcPr>
            <w:tcW w:w="960" w:type="dxa"/>
          </w:tcPr>
          <w:p w14:paraId="32EB4049" w14:textId="67DD2356"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p>
        </w:tc>
        <w:tc>
          <w:tcPr>
            <w:tcW w:w="960" w:type="dxa"/>
          </w:tcPr>
          <w:p w14:paraId="6C9B3B7A" w14:textId="34CC813F"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p>
        </w:tc>
        <w:tc>
          <w:tcPr>
            <w:tcW w:w="960" w:type="dxa"/>
          </w:tcPr>
          <w:p w14:paraId="725B2A3C" w14:textId="3257CBA8"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p>
        </w:tc>
        <w:tc>
          <w:tcPr>
            <w:tcW w:w="960" w:type="dxa"/>
          </w:tcPr>
          <w:p w14:paraId="362A4C19" w14:textId="0238CC65"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p>
        </w:tc>
        <w:tc>
          <w:tcPr>
            <w:tcW w:w="960" w:type="dxa"/>
          </w:tcPr>
          <w:p w14:paraId="44B6D8E0" w14:textId="2442EA7C"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w:t>
            </w:r>
          </w:p>
        </w:tc>
      </w:tr>
      <w:tr w:rsidR="00874275" w:rsidRPr="004326A5" w14:paraId="46DB4454" w14:textId="77777777" w:rsidTr="001358C5">
        <w:trPr>
          <w:trHeight w:val="288"/>
        </w:trPr>
        <w:tc>
          <w:tcPr>
            <w:tcW w:w="3600" w:type="dxa"/>
            <w:noWrap/>
          </w:tcPr>
          <w:p w14:paraId="7C745A79" w14:textId="77777777"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 xml:space="preserve">Proceeds from Debt Issuances </w:t>
            </w:r>
          </w:p>
        </w:tc>
        <w:tc>
          <w:tcPr>
            <w:tcW w:w="960" w:type="dxa"/>
          </w:tcPr>
          <w:p w14:paraId="7F23647A" w14:textId="7928838C"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104 </w:t>
            </w:r>
          </w:p>
        </w:tc>
        <w:tc>
          <w:tcPr>
            <w:tcW w:w="960" w:type="dxa"/>
          </w:tcPr>
          <w:p w14:paraId="5FC22A5B" w14:textId="29A194AD"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5 </w:t>
            </w:r>
          </w:p>
        </w:tc>
        <w:tc>
          <w:tcPr>
            <w:tcW w:w="960" w:type="dxa"/>
          </w:tcPr>
          <w:p w14:paraId="7FE07E86" w14:textId="24871BAA"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994 </w:t>
            </w:r>
          </w:p>
        </w:tc>
        <w:tc>
          <w:tcPr>
            <w:tcW w:w="960" w:type="dxa"/>
          </w:tcPr>
          <w:p w14:paraId="22629C9D" w14:textId="6D2CCC50"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1,025 </w:t>
            </w:r>
          </w:p>
        </w:tc>
        <w:tc>
          <w:tcPr>
            <w:tcW w:w="960" w:type="dxa"/>
          </w:tcPr>
          <w:p w14:paraId="59CEADCA" w14:textId="57E1B5F3"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16BFCCF8" w14:textId="0FB625A4"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2,028 </w:t>
            </w:r>
          </w:p>
        </w:tc>
      </w:tr>
      <w:tr w:rsidR="00874275" w:rsidRPr="004326A5" w14:paraId="2ACA7440" w14:textId="77777777" w:rsidTr="001358C5">
        <w:trPr>
          <w:trHeight w:val="288"/>
        </w:trPr>
        <w:tc>
          <w:tcPr>
            <w:tcW w:w="3600" w:type="dxa"/>
            <w:noWrap/>
          </w:tcPr>
          <w:p w14:paraId="64D9234E" w14:textId="090E1DC5"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Repayments of Long-</w:t>
            </w:r>
            <w:r w:rsidR="00EF47E1" w:rsidRPr="004326A5">
              <w:rPr>
                <w:rFonts w:ascii="Arial" w:hAnsi="Arial" w:cs="Arial"/>
                <w:color w:val="000000"/>
                <w:sz w:val="18"/>
                <w:szCs w:val="18"/>
                <w:lang w:val="en-CA"/>
              </w:rPr>
              <w:t>T</w:t>
            </w:r>
            <w:r w:rsidRPr="004326A5">
              <w:rPr>
                <w:rFonts w:ascii="Arial" w:hAnsi="Arial" w:cs="Arial"/>
                <w:color w:val="000000"/>
                <w:sz w:val="18"/>
                <w:szCs w:val="18"/>
                <w:lang w:val="en-CA"/>
              </w:rPr>
              <w:t>erm Debt</w:t>
            </w:r>
          </w:p>
        </w:tc>
        <w:tc>
          <w:tcPr>
            <w:tcW w:w="960" w:type="dxa"/>
          </w:tcPr>
          <w:p w14:paraId="288F60A7" w14:textId="224B8ACC"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(611)</w:t>
            </w:r>
          </w:p>
        </w:tc>
        <w:tc>
          <w:tcPr>
            <w:tcW w:w="960" w:type="dxa"/>
          </w:tcPr>
          <w:p w14:paraId="4409A86E" w14:textId="36D1830B"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(335)</w:t>
            </w:r>
          </w:p>
        </w:tc>
        <w:tc>
          <w:tcPr>
            <w:tcW w:w="960" w:type="dxa"/>
          </w:tcPr>
          <w:p w14:paraId="04C489D1" w14:textId="6E3D1110"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(83)</w:t>
            </w:r>
          </w:p>
        </w:tc>
        <w:tc>
          <w:tcPr>
            <w:tcW w:w="960" w:type="dxa"/>
          </w:tcPr>
          <w:p w14:paraId="099A9476" w14:textId="6AA7028F"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(80)</w:t>
            </w:r>
          </w:p>
        </w:tc>
        <w:tc>
          <w:tcPr>
            <w:tcW w:w="960" w:type="dxa"/>
          </w:tcPr>
          <w:p w14:paraId="0BC8BAD9" w14:textId="73FD91C3"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(1,405)</w:t>
            </w:r>
          </w:p>
        </w:tc>
        <w:tc>
          <w:tcPr>
            <w:tcW w:w="960" w:type="dxa"/>
          </w:tcPr>
          <w:p w14:paraId="792C4A8A" w14:textId="68EDF479"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(66)</w:t>
            </w:r>
          </w:p>
        </w:tc>
      </w:tr>
      <w:tr w:rsidR="00874275" w:rsidRPr="004326A5" w14:paraId="4D7F2A84" w14:textId="77777777" w:rsidTr="001358C5">
        <w:trPr>
          <w:trHeight w:val="288"/>
        </w:trPr>
        <w:tc>
          <w:tcPr>
            <w:tcW w:w="3600" w:type="dxa"/>
            <w:noWrap/>
          </w:tcPr>
          <w:p w14:paraId="33DA7B8A" w14:textId="0467D592" w:rsidR="00874275" w:rsidRPr="004326A5" w:rsidRDefault="00874275" w:rsidP="00874275">
            <w:pPr>
              <w:rPr>
                <w:rFonts w:ascii="Arial" w:hAnsi="Arial" w:cs="Arial"/>
                <w:color w:val="000000"/>
                <w:sz w:val="18"/>
                <w:szCs w:val="18"/>
                <w:lang w:val="en-CA"/>
              </w:rPr>
            </w:pPr>
            <w:r w:rsidRPr="004326A5">
              <w:rPr>
                <w:rFonts w:ascii="Arial" w:hAnsi="Arial" w:cs="Arial"/>
                <w:color w:val="000000"/>
                <w:sz w:val="18"/>
                <w:szCs w:val="18"/>
                <w:lang w:val="en-CA"/>
              </w:rPr>
              <w:t>Increase</w:t>
            </w:r>
            <w:r w:rsidR="00EF47E1" w:rsidRPr="004326A5">
              <w:rPr>
                <w:rFonts w:ascii="Arial" w:hAnsi="Arial" w:cs="Arial"/>
                <w:color w:val="000000"/>
                <w:sz w:val="18"/>
                <w:szCs w:val="18"/>
                <w:lang w:val="en-CA"/>
              </w:rPr>
              <w:t xml:space="preserve"> </w:t>
            </w:r>
            <w:r w:rsidRPr="004326A5">
              <w:rPr>
                <w:rFonts w:ascii="Arial" w:hAnsi="Arial" w:cs="Arial"/>
                <w:color w:val="000000"/>
                <w:sz w:val="18"/>
                <w:szCs w:val="18"/>
                <w:lang w:val="en-CA"/>
              </w:rPr>
              <w:t>(</w:t>
            </w:r>
            <w:r w:rsidR="00EF47E1" w:rsidRPr="004326A5">
              <w:rPr>
                <w:rFonts w:ascii="Arial" w:hAnsi="Arial" w:cs="Arial"/>
                <w:color w:val="000000"/>
                <w:sz w:val="18"/>
                <w:szCs w:val="18"/>
                <w:lang w:val="en-CA"/>
              </w:rPr>
              <w:t>D</w:t>
            </w:r>
            <w:r w:rsidRPr="004326A5">
              <w:rPr>
                <w:rFonts w:ascii="Arial" w:hAnsi="Arial" w:cs="Arial"/>
                <w:color w:val="000000"/>
                <w:sz w:val="18"/>
                <w:szCs w:val="18"/>
                <w:lang w:val="en-CA"/>
              </w:rPr>
              <w:t>ecrease) in Short-</w:t>
            </w:r>
            <w:r w:rsidR="00EF47E1" w:rsidRPr="004326A5">
              <w:rPr>
                <w:rFonts w:ascii="Arial" w:hAnsi="Arial" w:cs="Arial"/>
                <w:color w:val="000000"/>
                <w:sz w:val="18"/>
                <w:szCs w:val="18"/>
                <w:lang w:val="en-CA"/>
              </w:rPr>
              <w:t>T</w:t>
            </w:r>
            <w:r w:rsidRPr="004326A5">
              <w:rPr>
                <w:rFonts w:ascii="Arial" w:hAnsi="Arial" w:cs="Arial"/>
                <w:color w:val="000000"/>
                <w:sz w:val="18"/>
                <w:szCs w:val="18"/>
                <w:lang w:val="en-CA"/>
              </w:rPr>
              <w:t xml:space="preserve">erm Borrowings, </w:t>
            </w:r>
            <w:r w:rsidR="00A05594" w:rsidRPr="004326A5">
              <w:rPr>
                <w:rFonts w:ascii="Arial" w:hAnsi="Arial" w:cs="Arial"/>
                <w:color w:val="000000"/>
                <w:sz w:val="18"/>
                <w:szCs w:val="18"/>
                <w:lang w:val="en-CA"/>
              </w:rPr>
              <w:t>P</w:t>
            </w:r>
            <w:r w:rsidRPr="004326A5">
              <w:rPr>
                <w:rFonts w:ascii="Arial" w:hAnsi="Arial" w:cs="Arial"/>
                <w:color w:val="000000"/>
                <w:sz w:val="18"/>
                <w:szCs w:val="18"/>
                <w:lang w:val="en-CA"/>
              </w:rPr>
              <w:t xml:space="preserve">rimarily 90 </w:t>
            </w:r>
            <w:r w:rsidR="00A05594" w:rsidRPr="004326A5">
              <w:rPr>
                <w:rFonts w:ascii="Arial" w:hAnsi="Arial" w:cs="Arial"/>
                <w:color w:val="000000"/>
                <w:sz w:val="18"/>
                <w:szCs w:val="18"/>
                <w:lang w:val="en-CA"/>
              </w:rPr>
              <w:t>D</w:t>
            </w:r>
            <w:r w:rsidRPr="004326A5">
              <w:rPr>
                <w:rFonts w:ascii="Arial" w:hAnsi="Arial" w:cs="Arial"/>
                <w:color w:val="000000"/>
                <w:sz w:val="18"/>
                <w:szCs w:val="18"/>
                <w:lang w:val="en-CA"/>
              </w:rPr>
              <w:t xml:space="preserve">ays or </w:t>
            </w:r>
            <w:r w:rsidR="00A05594" w:rsidRPr="004326A5">
              <w:rPr>
                <w:rFonts w:ascii="Arial" w:hAnsi="Arial" w:cs="Arial"/>
                <w:color w:val="000000"/>
                <w:sz w:val="18"/>
                <w:szCs w:val="18"/>
                <w:lang w:val="en-CA"/>
              </w:rPr>
              <w:t>L</w:t>
            </w:r>
            <w:r w:rsidRPr="004326A5">
              <w:rPr>
                <w:rFonts w:ascii="Arial" w:hAnsi="Arial" w:cs="Arial"/>
                <w:color w:val="000000"/>
                <w:sz w:val="18"/>
                <w:szCs w:val="18"/>
                <w:lang w:val="en-CA"/>
              </w:rPr>
              <w:t>ess</w:t>
            </w:r>
          </w:p>
        </w:tc>
        <w:tc>
          <w:tcPr>
            <w:tcW w:w="960" w:type="dxa"/>
          </w:tcPr>
          <w:p w14:paraId="6980EDCD" w14:textId="47186E2E"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815 </w:t>
            </w:r>
          </w:p>
        </w:tc>
        <w:tc>
          <w:tcPr>
            <w:tcW w:w="960" w:type="dxa"/>
          </w:tcPr>
          <w:p w14:paraId="32AFA2EC" w14:textId="1E9D20CE"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(81)</w:t>
            </w:r>
          </w:p>
        </w:tc>
        <w:tc>
          <w:tcPr>
            <w:tcW w:w="960" w:type="dxa"/>
          </w:tcPr>
          <w:p w14:paraId="10BFC96E" w14:textId="37C47784"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238 </w:t>
            </w:r>
          </w:p>
        </w:tc>
        <w:tc>
          <w:tcPr>
            <w:tcW w:w="960" w:type="dxa"/>
          </w:tcPr>
          <w:p w14:paraId="0F5A183C" w14:textId="241A1E90"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(1,117)</w:t>
            </w:r>
          </w:p>
        </w:tc>
        <w:tc>
          <w:tcPr>
            <w:tcW w:w="960" w:type="dxa"/>
          </w:tcPr>
          <w:p w14:paraId="6AD2F293" w14:textId="61CDE178"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583 </w:t>
            </w:r>
          </w:p>
        </w:tc>
        <w:tc>
          <w:tcPr>
            <w:tcW w:w="960" w:type="dxa"/>
          </w:tcPr>
          <w:p w14:paraId="5FC23120" w14:textId="2EB4D819"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(797)</w:t>
            </w:r>
          </w:p>
        </w:tc>
      </w:tr>
      <w:tr w:rsidR="00874275" w:rsidRPr="004326A5" w14:paraId="76DCA65C" w14:textId="77777777" w:rsidTr="001358C5">
        <w:trPr>
          <w:trHeight w:val="288"/>
        </w:trPr>
        <w:tc>
          <w:tcPr>
            <w:tcW w:w="3600" w:type="dxa"/>
            <w:noWrap/>
          </w:tcPr>
          <w:p w14:paraId="228ED6D5" w14:textId="1E78F49E"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Proceeds from Sale</w:t>
            </w:r>
            <w:r w:rsidR="00A05594" w:rsidRPr="004326A5">
              <w:rPr>
                <w:rFonts w:ascii="Arial" w:hAnsi="Arial" w:cs="Arial"/>
                <w:color w:val="000000"/>
                <w:sz w:val="18"/>
                <w:szCs w:val="18"/>
                <w:lang w:val="en-CA"/>
              </w:rPr>
              <w:t xml:space="preserve">s </w:t>
            </w:r>
            <w:r w:rsidR="00EF47E1" w:rsidRPr="004326A5">
              <w:rPr>
                <w:rFonts w:ascii="Arial" w:hAnsi="Arial" w:cs="Arial"/>
                <w:color w:val="000000"/>
                <w:sz w:val="18"/>
                <w:szCs w:val="18"/>
                <w:lang w:val="en-CA"/>
              </w:rPr>
              <w:t>L</w:t>
            </w:r>
            <w:r w:rsidRPr="004326A5">
              <w:rPr>
                <w:rFonts w:ascii="Arial" w:hAnsi="Arial" w:cs="Arial"/>
                <w:color w:val="000000"/>
                <w:sz w:val="18"/>
                <w:szCs w:val="18"/>
                <w:lang w:val="en-CA"/>
              </w:rPr>
              <w:t>easeback Financing</w:t>
            </w:r>
          </w:p>
        </w:tc>
        <w:tc>
          <w:tcPr>
            <w:tcW w:w="960" w:type="dxa"/>
          </w:tcPr>
          <w:p w14:paraId="4E0D5CB8" w14:textId="0B7869A7"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78DAFFDD" w14:textId="2579E54A"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001E64AF" w14:textId="505E1582"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26D57005" w14:textId="446BFCF6"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4FB98C87" w14:textId="324FADB5"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508 </w:t>
            </w:r>
          </w:p>
        </w:tc>
        <w:tc>
          <w:tcPr>
            <w:tcW w:w="960" w:type="dxa"/>
          </w:tcPr>
          <w:p w14:paraId="5CD46ACA" w14:textId="39B0D3C9"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71 </w:t>
            </w:r>
          </w:p>
        </w:tc>
      </w:tr>
      <w:tr w:rsidR="00874275" w:rsidRPr="004326A5" w14:paraId="669F5FA5" w14:textId="77777777" w:rsidTr="001358C5">
        <w:trPr>
          <w:trHeight w:val="288"/>
        </w:trPr>
        <w:tc>
          <w:tcPr>
            <w:tcW w:w="3600" w:type="dxa"/>
            <w:noWrap/>
          </w:tcPr>
          <w:p w14:paraId="09E70412" w14:textId="214D1C2E"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 xml:space="preserve">Lands’ End Inc. </w:t>
            </w:r>
            <w:r w:rsidR="00EF47E1" w:rsidRPr="004326A5">
              <w:rPr>
                <w:rFonts w:ascii="Arial" w:hAnsi="Arial" w:cs="Arial"/>
                <w:color w:val="000000"/>
                <w:sz w:val="18"/>
                <w:szCs w:val="18"/>
                <w:lang w:val="en-CA"/>
              </w:rPr>
              <w:t>P</w:t>
            </w:r>
            <w:r w:rsidRPr="004326A5">
              <w:rPr>
                <w:rFonts w:ascii="Arial" w:hAnsi="Arial" w:cs="Arial"/>
                <w:color w:val="000000"/>
                <w:sz w:val="18"/>
                <w:szCs w:val="18"/>
                <w:lang w:val="en-CA"/>
              </w:rPr>
              <w:t>re-</w:t>
            </w:r>
            <w:r w:rsidR="00A05594" w:rsidRPr="004326A5">
              <w:rPr>
                <w:rFonts w:ascii="Arial" w:hAnsi="Arial" w:cs="Arial"/>
                <w:color w:val="000000"/>
                <w:sz w:val="18"/>
                <w:szCs w:val="18"/>
                <w:lang w:val="en-CA"/>
              </w:rPr>
              <w:t>s</w:t>
            </w:r>
            <w:r w:rsidRPr="004326A5">
              <w:rPr>
                <w:rFonts w:ascii="Arial" w:hAnsi="Arial" w:cs="Arial"/>
                <w:color w:val="000000"/>
                <w:sz w:val="18"/>
                <w:szCs w:val="18"/>
                <w:lang w:val="en-CA"/>
              </w:rPr>
              <w:t>eparation Funding</w:t>
            </w:r>
          </w:p>
        </w:tc>
        <w:tc>
          <w:tcPr>
            <w:tcW w:w="960" w:type="dxa"/>
          </w:tcPr>
          <w:p w14:paraId="43DCD103" w14:textId="30E94F65"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25927548" w14:textId="0197B408"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62762861" w14:textId="33E23E52"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152B628B" w14:textId="12E6EC7E"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515 </w:t>
            </w:r>
          </w:p>
        </w:tc>
        <w:tc>
          <w:tcPr>
            <w:tcW w:w="960" w:type="dxa"/>
          </w:tcPr>
          <w:p w14:paraId="67C5C4D1" w14:textId="097D981A"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7E93E8B2" w14:textId="3240C0ED"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r>
      <w:tr w:rsidR="00874275" w:rsidRPr="004326A5" w14:paraId="28E97E49" w14:textId="77777777" w:rsidTr="001358C5">
        <w:trPr>
          <w:trHeight w:val="288"/>
        </w:trPr>
        <w:tc>
          <w:tcPr>
            <w:tcW w:w="3600" w:type="dxa"/>
            <w:noWrap/>
          </w:tcPr>
          <w:p w14:paraId="0B25367B" w14:textId="79360B04"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Separation of Lands’ End Inc</w:t>
            </w:r>
            <w:r w:rsidR="00EF47E1" w:rsidRPr="004326A5">
              <w:rPr>
                <w:rFonts w:ascii="Arial" w:hAnsi="Arial" w:cs="Arial"/>
                <w:color w:val="000000"/>
                <w:sz w:val="18"/>
                <w:szCs w:val="18"/>
                <w:lang w:val="en-CA"/>
              </w:rPr>
              <w:t>.</w:t>
            </w:r>
          </w:p>
        </w:tc>
        <w:tc>
          <w:tcPr>
            <w:tcW w:w="960" w:type="dxa"/>
          </w:tcPr>
          <w:p w14:paraId="25143B7B" w14:textId="29518284"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5CF3237E" w14:textId="3708CCF5"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67F3A512" w14:textId="67ABA606"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34F3BDB5" w14:textId="400B6268"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(31)</w:t>
            </w:r>
          </w:p>
        </w:tc>
        <w:tc>
          <w:tcPr>
            <w:tcW w:w="960" w:type="dxa"/>
          </w:tcPr>
          <w:p w14:paraId="4198481B" w14:textId="3F0D17E9"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2DA7B1A0" w14:textId="745B166A"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r>
      <w:tr w:rsidR="00874275" w:rsidRPr="004326A5" w14:paraId="532ED403" w14:textId="77777777" w:rsidTr="001358C5">
        <w:trPr>
          <w:trHeight w:val="288"/>
        </w:trPr>
        <w:tc>
          <w:tcPr>
            <w:tcW w:w="3600" w:type="dxa"/>
            <w:noWrap/>
          </w:tcPr>
          <w:p w14:paraId="209E8CC4" w14:textId="77777777"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Debt Issuance Costs</w:t>
            </w:r>
          </w:p>
        </w:tc>
        <w:tc>
          <w:tcPr>
            <w:tcW w:w="960" w:type="dxa"/>
          </w:tcPr>
          <w:p w14:paraId="29383D07" w14:textId="11F842A2"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(35)</w:t>
            </w:r>
          </w:p>
        </w:tc>
        <w:tc>
          <w:tcPr>
            <w:tcW w:w="960" w:type="dxa"/>
          </w:tcPr>
          <w:p w14:paraId="47441F03" w14:textId="1A13F17D"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(3)</w:t>
            </w:r>
          </w:p>
        </w:tc>
        <w:tc>
          <w:tcPr>
            <w:tcW w:w="960" w:type="dxa"/>
          </w:tcPr>
          <w:p w14:paraId="5E32C406" w14:textId="00E2309F"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(14)</w:t>
            </w:r>
          </w:p>
        </w:tc>
        <w:tc>
          <w:tcPr>
            <w:tcW w:w="960" w:type="dxa"/>
          </w:tcPr>
          <w:p w14:paraId="6F6ADFB1" w14:textId="0FCB184F"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(27)</w:t>
            </w:r>
          </w:p>
        </w:tc>
        <w:tc>
          <w:tcPr>
            <w:tcW w:w="960" w:type="dxa"/>
          </w:tcPr>
          <w:p w14:paraId="1938BCE2" w14:textId="1220D994"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(50)</w:t>
            </w:r>
          </w:p>
        </w:tc>
        <w:tc>
          <w:tcPr>
            <w:tcW w:w="960" w:type="dxa"/>
          </w:tcPr>
          <w:p w14:paraId="7D8AF14C" w14:textId="0A1315D2"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(51)</w:t>
            </w:r>
          </w:p>
        </w:tc>
      </w:tr>
      <w:tr w:rsidR="00874275" w:rsidRPr="004326A5" w14:paraId="19F07DDE" w14:textId="77777777" w:rsidTr="001358C5">
        <w:trPr>
          <w:trHeight w:val="288"/>
        </w:trPr>
        <w:tc>
          <w:tcPr>
            <w:tcW w:w="3600" w:type="dxa"/>
            <w:noWrap/>
          </w:tcPr>
          <w:p w14:paraId="46885AF8" w14:textId="263ECED4"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 xml:space="preserve">Sears </w:t>
            </w:r>
            <w:r w:rsidR="00EF47E1" w:rsidRPr="004326A5">
              <w:rPr>
                <w:rFonts w:ascii="Arial" w:hAnsi="Arial" w:cs="Arial"/>
                <w:color w:val="000000"/>
                <w:sz w:val="18"/>
                <w:szCs w:val="18"/>
                <w:lang w:val="en-CA"/>
              </w:rPr>
              <w:t>H</w:t>
            </w:r>
            <w:r w:rsidRPr="004326A5">
              <w:rPr>
                <w:rFonts w:ascii="Arial" w:hAnsi="Arial" w:cs="Arial"/>
                <w:color w:val="000000"/>
                <w:sz w:val="18"/>
                <w:szCs w:val="18"/>
                <w:lang w:val="en-CA"/>
              </w:rPr>
              <w:t xml:space="preserve">ometown and </w:t>
            </w:r>
            <w:r w:rsidR="00EF47E1" w:rsidRPr="004326A5">
              <w:rPr>
                <w:rFonts w:ascii="Arial" w:hAnsi="Arial" w:cs="Arial"/>
                <w:color w:val="000000"/>
                <w:sz w:val="18"/>
                <w:szCs w:val="18"/>
                <w:lang w:val="en-CA"/>
              </w:rPr>
              <w:t>O</w:t>
            </w:r>
            <w:r w:rsidRPr="004326A5">
              <w:rPr>
                <w:rFonts w:ascii="Arial" w:hAnsi="Arial" w:cs="Arial"/>
                <w:color w:val="000000"/>
                <w:sz w:val="18"/>
                <w:szCs w:val="18"/>
                <w:lang w:val="en-CA"/>
              </w:rPr>
              <w:t xml:space="preserve">utlet </w:t>
            </w:r>
            <w:r w:rsidR="00EF47E1" w:rsidRPr="004326A5">
              <w:rPr>
                <w:rFonts w:ascii="Arial" w:hAnsi="Arial" w:cs="Arial"/>
                <w:color w:val="000000"/>
                <w:sz w:val="18"/>
                <w:szCs w:val="18"/>
                <w:lang w:val="en-CA"/>
              </w:rPr>
              <w:t>S</w:t>
            </w:r>
            <w:r w:rsidRPr="004326A5">
              <w:rPr>
                <w:rFonts w:ascii="Arial" w:hAnsi="Arial" w:cs="Arial"/>
                <w:color w:val="000000"/>
                <w:sz w:val="18"/>
                <w:szCs w:val="18"/>
                <w:lang w:val="en-CA"/>
              </w:rPr>
              <w:t xml:space="preserve">tore </w:t>
            </w:r>
            <w:r w:rsidR="00EF47E1" w:rsidRPr="004326A5">
              <w:rPr>
                <w:rFonts w:ascii="Arial" w:hAnsi="Arial" w:cs="Arial"/>
                <w:color w:val="000000"/>
                <w:sz w:val="18"/>
                <w:szCs w:val="18"/>
                <w:lang w:val="en-CA"/>
              </w:rPr>
              <w:t>Inc</w:t>
            </w:r>
            <w:r w:rsidRPr="004326A5">
              <w:rPr>
                <w:rFonts w:ascii="Arial" w:hAnsi="Arial" w:cs="Arial"/>
                <w:color w:val="000000"/>
                <w:sz w:val="18"/>
                <w:szCs w:val="18"/>
                <w:lang w:val="en-CA"/>
              </w:rPr>
              <w:t xml:space="preserve">. </w:t>
            </w:r>
            <w:r w:rsidR="00EF47E1" w:rsidRPr="004326A5">
              <w:rPr>
                <w:rFonts w:ascii="Arial" w:hAnsi="Arial" w:cs="Arial"/>
                <w:color w:val="000000"/>
                <w:sz w:val="18"/>
                <w:szCs w:val="18"/>
                <w:lang w:val="en-CA"/>
              </w:rPr>
              <w:t>P</w:t>
            </w:r>
            <w:r w:rsidRPr="004326A5">
              <w:rPr>
                <w:rFonts w:ascii="Arial" w:hAnsi="Arial" w:cs="Arial"/>
                <w:color w:val="000000"/>
                <w:sz w:val="18"/>
                <w:szCs w:val="18"/>
                <w:lang w:val="en-CA"/>
              </w:rPr>
              <w:t>re</w:t>
            </w:r>
            <w:r w:rsidR="00EF47E1" w:rsidRPr="004326A5">
              <w:rPr>
                <w:rFonts w:ascii="Arial" w:hAnsi="Arial" w:cs="Arial"/>
                <w:color w:val="000000"/>
                <w:sz w:val="18"/>
                <w:szCs w:val="18"/>
                <w:lang w:val="en-CA"/>
              </w:rPr>
              <w:t>–</w:t>
            </w:r>
            <w:r w:rsidR="00A05594" w:rsidRPr="004326A5">
              <w:rPr>
                <w:rFonts w:ascii="Arial" w:hAnsi="Arial" w:cs="Arial"/>
                <w:color w:val="000000"/>
                <w:sz w:val="18"/>
                <w:szCs w:val="18"/>
                <w:lang w:val="en-CA"/>
              </w:rPr>
              <w:t>s</w:t>
            </w:r>
            <w:r w:rsidRPr="004326A5">
              <w:rPr>
                <w:rFonts w:ascii="Arial" w:hAnsi="Arial" w:cs="Arial"/>
                <w:color w:val="000000"/>
                <w:sz w:val="18"/>
                <w:szCs w:val="18"/>
                <w:lang w:val="en-CA"/>
              </w:rPr>
              <w:t xml:space="preserve">eparation </w:t>
            </w:r>
            <w:r w:rsidR="00EF47E1" w:rsidRPr="004326A5">
              <w:rPr>
                <w:rFonts w:ascii="Arial" w:hAnsi="Arial" w:cs="Arial"/>
                <w:color w:val="000000"/>
                <w:sz w:val="18"/>
                <w:szCs w:val="18"/>
                <w:lang w:val="en-CA"/>
              </w:rPr>
              <w:t>F</w:t>
            </w:r>
            <w:r w:rsidRPr="004326A5">
              <w:rPr>
                <w:rFonts w:ascii="Arial" w:hAnsi="Arial" w:cs="Arial"/>
                <w:color w:val="000000"/>
                <w:sz w:val="18"/>
                <w:szCs w:val="18"/>
                <w:lang w:val="en-CA"/>
              </w:rPr>
              <w:t>unding</w:t>
            </w:r>
          </w:p>
        </w:tc>
        <w:tc>
          <w:tcPr>
            <w:tcW w:w="960" w:type="dxa"/>
          </w:tcPr>
          <w:p w14:paraId="645A75D3" w14:textId="53479D4C"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4AA6585F" w14:textId="0A2403AF"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100 </w:t>
            </w:r>
          </w:p>
        </w:tc>
        <w:tc>
          <w:tcPr>
            <w:tcW w:w="960" w:type="dxa"/>
          </w:tcPr>
          <w:p w14:paraId="25A93AAA" w14:textId="7D6A4AA4"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16C124A6" w14:textId="71BE7434"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5A8655F1" w14:textId="327CEE32"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7816BACD" w14:textId="7DCABF04"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r>
      <w:tr w:rsidR="00874275" w:rsidRPr="004326A5" w14:paraId="219F4155" w14:textId="77777777" w:rsidTr="001358C5">
        <w:trPr>
          <w:trHeight w:val="288"/>
        </w:trPr>
        <w:tc>
          <w:tcPr>
            <w:tcW w:w="3600" w:type="dxa"/>
            <w:noWrap/>
          </w:tcPr>
          <w:p w14:paraId="3A196FD0" w14:textId="7DC7C31F"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 xml:space="preserve">Proceeds from </w:t>
            </w:r>
            <w:r w:rsidR="00EF47E1" w:rsidRPr="004326A5">
              <w:rPr>
                <w:rFonts w:ascii="Arial" w:hAnsi="Arial" w:cs="Arial"/>
                <w:color w:val="000000"/>
                <w:sz w:val="18"/>
                <w:szCs w:val="18"/>
                <w:lang w:val="en-CA"/>
              </w:rPr>
              <w:t>S</w:t>
            </w:r>
            <w:r w:rsidRPr="004326A5">
              <w:rPr>
                <w:rFonts w:ascii="Arial" w:hAnsi="Arial" w:cs="Arial"/>
                <w:color w:val="000000"/>
                <w:sz w:val="18"/>
                <w:szCs w:val="18"/>
                <w:lang w:val="en-CA"/>
              </w:rPr>
              <w:t xml:space="preserve">ale of </w:t>
            </w:r>
            <w:r w:rsidR="00EF47E1" w:rsidRPr="004326A5">
              <w:rPr>
                <w:rFonts w:ascii="Arial" w:hAnsi="Arial" w:cs="Arial"/>
                <w:color w:val="000000"/>
                <w:sz w:val="18"/>
                <w:szCs w:val="18"/>
                <w:lang w:val="en-CA"/>
              </w:rPr>
              <w:t>H</w:t>
            </w:r>
            <w:r w:rsidRPr="004326A5">
              <w:rPr>
                <w:rFonts w:ascii="Arial" w:hAnsi="Arial" w:cs="Arial"/>
                <w:color w:val="000000"/>
                <w:sz w:val="18"/>
                <w:szCs w:val="18"/>
                <w:lang w:val="en-CA"/>
              </w:rPr>
              <w:t xml:space="preserve">ometown and </w:t>
            </w:r>
            <w:r w:rsidR="00EF47E1" w:rsidRPr="004326A5">
              <w:rPr>
                <w:rFonts w:ascii="Arial" w:hAnsi="Arial" w:cs="Arial"/>
                <w:color w:val="000000"/>
                <w:sz w:val="18"/>
                <w:szCs w:val="18"/>
                <w:lang w:val="en-CA"/>
              </w:rPr>
              <w:t>O</w:t>
            </w:r>
            <w:r w:rsidRPr="004326A5">
              <w:rPr>
                <w:rFonts w:ascii="Arial" w:hAnsi="Arial" w:cs="Arial"/>
                <w:color w:val="000000"/>
                <w:sz w:val="18"/>
                <w:szCs w:val="18"/>
                <w:lang w:val="en-CA"/>
              </w:rPr>
              <w:t xml:space="preserve">utlet </w:t>
            </w:r>
            <w:r w:rsidR="00EF47E1" w:rsidRPr="004326A5">
              <w:rPr>
                <w:rFonts w:ascii="Arial" w:hAnsi="Arial" w:cs="Arial"/>
                <w:color w:val="000000"/>
                <w:sz w:val="18"/>
                <w:szCs w:val="18"/>
                <w:lang w:val="en-CA"/>
              </w:rPr>
              <w:t>S</w:t>
            </w:r>
            <w:r w:rsidRPr="004326A5">
              <w:rPr>
                <w:rFonts w:ascii="Arial" w:hAnsi="Arial" w:cs="Arial"/>
                <w:color w:val="000000"/>
                <w:sz w:val="18"/>
                <w:szCs w:val="18"/>
                <w:lang w:val="en-CA"/>
              </w:rPr>
              <w:t xml:space="preserve">tore </w:t>
            </w:r>
            <w:r w:rsidR="00EF47E1" w:rsidRPr="004326A5">
              <w:rPr>
                <w:rFonts w:ascii="Arial" w:hAnsi="Arial" w:cs="Arial"/>
                <w:color w:val="000000"/>
                <w:sz w:val="18"/>
                <w:szCs w:val="18"/>
                <w:lang w:val="en-CA"/>
              </w:rPr>
              <w:t>Inc</w:t>
            </w:r>
            <w:r w:rsidRPr="004326A5">
              <w:rPr>
                <w:rFonts w:ascii="Arial" w:hAnsi="Arial" w:cs="Arial"/>
                <w:color w:val="000000"/>
                <w:sz w:val="18"/>
                <w:szCs w:val="18"/>
                <w:lang w:val="en-CA"/>
              </w:rPr>
              <w:t>.</w:t>
            </w:r>
          </w:p>
        </w:tc>
        <w:tc>
          <w:tcPr>
            <w:tcW w:w="960" w:type="dxa"/>
          </w:tcPr>
          <w:p w14:paraId="741C15D2" w14:textId="73956622"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0D411EF0" w14:textId="22ADF7B0"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347 </w:t>
            </w:r>
          </w:p>
        </w:tc>
        <w:tc>
          <w:tcPr>
            <w:tcW w:w="960" w:type="dxa"/>
          </w:tcPr>
          <w:p w14:paraId="6BF65F96" w14:textId="457C1984"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5D5AEFA3" w14:textId="44EBBDD6"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6F63FC7C" w14:textId="22DE8F43"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7CE340F2" w14:textId="4F2AD2FB"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r>
      <w:tr w:rsidR="00874275" w:rsidRPr="004326A5" w14:paraId="052AE352" w14:textId="77777777" w:rsidTr="001358C5">
        <w:trPr>
          <w:trHeight w:val="288"/>
        </w:trPr>
        <w:tc>
          <w:tcPr>
            <w:tcW w:w="3600" w:type="dxa"/>
            <w:noWrap/>
          </w:tcPr>
          <w:p w14:paraId="759A0CD4" w14:textId="38ECD8A0"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 xml:space="preserve">Purchase of Sears Canada </w:t>
            </w:r>
            <w:r w:rsidR="00EF47E1" w:rsidRPr="004326A5">
              <w:rPr>
                <w:rFonts w:ascii="Arial" w:hAnsi="Arial" w:cs="Arial"/>
                <w:color w:val="000000"/>
                <w:sz w:val="18"/>
                <w:szCs w:val="18"/>
                <w:lang w:val="en-CA"/>
              </w:rPr>
              <w:t>S</w:t>
            </w:r>
            <w:r w:rsidRPr="004326A5">
              <w:rPr>
                <w:rFonts w:ascii="Arial" w:hAnsi="Arial" w:cs="Arial"/>
                <w:color w:val="000000"/>
                <w:sz w:val="18"/>
                <w:szCs w:val="18"/>
                <w:lang w:val="en-CA"/>
              </w:rPr>
              <w:t xml:space="preserve">hares </w:t>
            </w:r>
          </w:p>
        </w:tc>
        <w:tc>
          <w:tcPr>
            <w:tcW w:w="960" w:type="dxa"/>
          </w:tcPr>
          <w:p w14:paraId="21E76814" w14:textId="554B6804"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(43)</w:t>
            </w:r>
          </w:p>
        </w:tc>
        <w:tc>
          <w:tcPr>
            <w:tcW w:w="960" w:type="dxa"/>
          </w:tcPr>
          <w:p w14:paraId="1513FBE1" w14:textId="0703EDBD"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(10)</w:t>
            </w:r>
          </w:p>
        </w:tc>
        <w:tc>
          <w:tcPr>
            <w:tcW w:w="960" w:type="dxa"/>
          </w:tcPr>
          <w:p w14:paraId="40BB1573" w14:textId="713F4C1C"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417D8B6E" w14:textId="2457D425"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6D660696" w14:textId="58726096"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31EB0EA3" w14:textId="36F04FD5"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r>
      <w:tr w:rsidR="00874275" w:rsidRPr="004326A5" w14:paraId="63D6F306" w14:textId="77777777" w:rsidTr="001358C5">
        <w:trPr>
          <w:trHeight w:val="288"/>
        </w:trPr>
        <w:tc>
          <w:tcPr>
            <w:tcW w:w="3600" w:type="dxa"/>
            <w:noWrap/>
          </w:tcPr>
          <w:p w14:paraId="595F6A60" w14:textId="529164BF"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 xml:space="preserve">Sears Canada Dividends Paid to </w:t>
            </w:r>
            <w:r w:rsidR="00A05594" w:rsidRPr="004326A5">
              <w:rPr>
                <w:rFonts w:ascii="Arial" w:hAnsi="Arial" w:cs="Arial"/>
                <w:color w:val="000000"/>
                <w:sz w:val="18"/>
                <w:szCs w:val="18"/>
                <w:lang w:val="en-CA"/>
              </w:rPr>
              <w:br/>
            </w:r>
            <w:r w:rsidRPr="004326A5">
              <w:rPr>
                <w:rFonts w:ascii="Arial" w:hAnsi="Arial" w:cs="Arial"/>
                <w:color w:val="000000"/>
                <w:sz w:val="18"/>
                <w:szCs w:val="18"/>
                <w:lang w:val="en-CA"/>
              </w:rPr>
              <w:t>Non-</w:t>
            </w:r>
            <w:r w:rsidR="00A05594" w:rsidRPr="004326A5">
              <w:rPr>
                <w:rFonts w:ascii="Arial" w:hAnsi="Arial" w:cs="Arial"/>
                <w:color w:val="000000"/>
                <w:sz w:val="18"/>
                <w:szCs w:val="18"/>
                <w:lang w:val="en-CA"/>
              </w:rPr>
              <w:t>c</w:t>
            </w:r>
            <w:r w:rsidRPr="004326A5">
              <w:rPr>
                <w:rFonts w:ascii="Arial" w:hAnsi="Arial" w:cs="Arial"/>
                <w:color w:val="000000"/>
                <w:sz w:val="18"/>
                <w:szCs w:val="18"/>
                <w:lang w:val="en-CA"/>
              </w:rPr>
              <w:t xml:space="preserve">ontrolling Interest </w:t>
            </w:r>
          </w:p>
        </w:tc>
        <w:tc>
          <w:tcPr>
            <w:tcW w:w="960" w:type="dxa"/>
          </w:tcPr>
          <w:p w14:paraId="54F50359" w14:textId="1A6D327D"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6F8B5065" w14:textId="3CC4141F"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(50)</w:t>
            </w:r>
          </w:p>
        </w:tc>
        <w:tc>
          <w:tcPr>
            <w:tcW w:w="960" w:type="dxa"/>
          </w:tcPr>
          <w:p w14:paraId="0AF321C9" w14:textId="104726B1"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(233)</w:t>
            </w:r>
          </w:p>
        </w:tc>
        <w:tc>
          <w:tcPr>
            <w:tcW w:w="960" w:type="dxa"/>
          </w:tcPr>
          <w:p w14:paraId="1D4CA90C" w14:textId="6A36A3AC"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685158CB" w14:textId="4D31FB83"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3C80B772" w14:textId="118ABE5D"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r>
      <w:tr w:rsidR="00874275" w:rsidRPr="004326A5" w14:paraId="3158115C" w14:textId="77777777" w:rsidTr="001358C5">
        <w:trPr>
          <w:trHeight w:val="288"/>
        </w:trPr>
        <w:tc>
          <w:tcPr>
            <w:tcW w:w="3600" w:type="dxa"/>
            <w:noWrap/>
          </w:tcPr>
          <w:p w14:paraId="48361614" w14:textId="5EC39A28"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 xml:space="preserve">Purchase of </w:t>
            </w:r>
            <w:r w:rsidR="00B27972" w:rsidRPr="004326A5">
              <w:rPr>
                <w:rFonts w:ascii="Arial" w:hAnsi="Arial" w:cs="Arial"/>
                <w:color w:val="000000"/>
                <w:sz w:val="18"/>
                <w:szCs w:val="18"/>
                <w:lang w:val="en-CA"/>
              </w:rPr>
              <w:t>T</w:t>
            </w:r>
            <w:r w:rsidRPr="004326A5">
              <w:rPr>
                <w:rFonts w:ascii="Arial" w:hAnsi="Arial" w:cs="Arial"/>
                <w:color w:val="000000"/>
                <w:sz w:val="18"/>
                <w:szCs w:val="18"/>
                <w:lang w:val="en-CA"/>
              </w:rPr>
              <w:t xml:space="preserve">reasury </w:t>
            </w:r>
            <w:r w:rsidR="00B27972" w:rsidRPr="004326A5">
              <w:rPr>
                <w:rFonts w:ascii="Arial" w:hAnsi="Arial" w:cs="Arial"/>
                <w:color w:val="000000"/>
                <w:sz w:val="18"/>
                <w:szCs w:val="18"/>
                <w:lang w:val="en-CA"/>
              </w:rPr>
              <w:t>S</w:t>
            </w:r>
            <w:r w:rsidRPr="004326A5">
              <w:rPr>
                <w:rFonts w:ascii="Arial" w:hAnsi="Arial" w:cs="Arial"/>
                <w:color w:val="000000"/>
                <w:sz w:val="18"/>
                <w:szCs w:val="18"/>
                <w:lang w:val="en-CA"/>
              </w:rPr>
              <w:t xml:space="preserve">tock </w:t>
            </w:r>
          </w:p>
        </w:tc>
        <w:tc>
          <w:tcPr>
            <w:tcW w:w="960" w:type="dxa"/>
          </w:tcPr>
          <w:p w14:paraId="2AEB790E" w14:textId="2E50ACA5"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(183)</w:t>
            </w:r>
          </w:p>
        </w:tc>
        <w:tc>
          <w:tcPr>
            <w:tcW w:w="960" w:type="dxa"/>
          </w:tcPr>
          <w:p w14:paraId="3B7E7FA2" w14:textId="10FDD5B0"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0DF65779" w14:textId="74FB7CA7"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4929616E" w14:textId="6EEA09F4"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04BE6BDB" w14:textId="238CB613"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60" w:type="dxa"/>
          </w:tcPr>
          <w:p w14:paraId="5DF9E27E" w14:textId="6831C80C"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r>
    </w:tbl>
    <w:p w14:paraId="3E590B3E" w14:textId="77777777" w:rsidR="00D52A13" w:rsidRPr="004326A5" w:rsidRDefault="00D52A13">
      <w:pPr>
        <w:spacing w:after="200" w:line="276" w:lineRule="auto"/>
        <w:rPr>
          <w:lang w:val="en-CA"/>
        </w:rPr>
      </w:pPr>
      <w:r w:rsidRPr="004326A5">
        <w:rPr>
          <w:lang w:val="en-CA"/>
        </w:rPr>
        <w:br w:type="page"/>
      </w:r>
    </w:p>
    <w:p w14:paraId="7F47EC39" w14:textId="2ED2C309" w:rsidR="004064CB" w:rsidRPr="004326A5" w:rsidRDefault="00D52A13" w:rsidP="00D52A13">
      <w:pPr>
        <w:pStyle w:val="ExhibitHeading"/>
        <w:rPr>
          <w:lang w:val="en-CA"/>
        </w:rPr>
      </w:pPr>
      <w:r w:rsidRPr="004326A5">
        <w:rPr>
          <w:lang w:val="en-CA"/>
        </w:rPr>
        <w:lastRenderedPageBreak/>
        <w:t xml:space="preserve">Exhibit 5 </w:t>
      </w:r>
      <w:r w:rsidR="006A4008" w:rsidRPr="004326A5">
        <w:rPr>
          <w:lang w:val="en-CA"/>
        </w:rPr>
        <w:t>(</w:t>
      </w:r>
      <w:r w:rsidRPr="004326A5">
        <w:rPr>
          <w:lang w:val="en-CA"/>
        </w:rPr>
        <w:t>Continued</w:t>
      </w:r>
      <w:r w:rsidR="006A4008" w:rsidRPr="004326A5">
        <w:rPr>
          <w:lang w:val="en-CA"/>
        </w:rPr>
        <w:t>)</w:t>
      </w:r>
    </w:p>
    <w:p w14:paraId="4C3F6F63" w14:textId="77777777" w:rsidR="00D52A13" w:rsidRPr="004326A5" w:rsidRDefault="00D52A13" w:rsidP="006E42DF">
      <w:pPr>
        <w:pStyle w:val="ExhibitText"/>
        <w:rPr>
          <w:lang w:val="en-CA"/>
        </w:rPr>
      </w:pPr>
    </w:p>
    <w:tbl>
      <w:tblPr>
        <w:tblStyle w:val="IVEYTable"/>
        <w:tblW w:w="5000" w:type="pct"/>
        <w:tblBorders>
          <w:left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3601"/>
        <w:gridCol w:w="959"/>
        <w:gridCol w:w="958"/>
        <w:gridCol w:w="958"/>
        <w:gridCol w:w="958"/>
        <w:gridCol w:w="958"/>
        <w:gridCol w:w="958"/>
      </w:tblGrid>
      <w:tr w:rsidR="00D52A13" w:rsidRPr="004326A5" w14:paraId="0FABF88C" w14:textId="77777777" w:rsidTr="001358C5">
        <w:trPr>
          <w:cnfStyle w:val="100000000000" w:firstRow="1" w:lastRow="0" w:firstColumn="0" w:lastColumn="0" w:oddVBand="0" w:evenVBand="0" w:oddHBand="0" w:evenHBand="0" w:firstRowFirstColumn="0" w:firstRowLastColumn="0" w:lastRowFirstColumn="0" w:lastRowLastColumn="0"/>
          <w:trHeight w:val="288"/>
        </w:trPr>
        <w:tc>
          <w:tcPr>
            <w:tcW w:w="3601" w:type="dxa"/>
            <w:tcBorders>
              <w:bottom w:val="none" w:sz="0" w:space="0" w:color="auto"/>
            </w:tcBorders>
            <w:noWrap/>
          </w:tcPr>
          <w:p w14:paraId="1D33E182" w14:textId="65B94048" w:rsidR="00D52A13" w:rsidRPr="004326A5" w:rsidRDefault="00D52A13" w:rsidP="00885DD2">
            <w:pPr>
              <w:rPr>
                <w:rFonts w:ascii="Arial" w:hAnsi="Arial" w:cs="Arial"/>
                <w:b/>
                <w:bCs/>
                <w:sz w:val="18"/>
                <w:szCs w:val="18"/>
                <w:lang w:val="en-CA"/>
              </w:rPr>
            </w:pPr>
            <w:r w:rsidRPr="004326A5">
              <w:rPr>
                <w:rFonts w:ascii="Arial" w:hAnsi="Arial" w:cs="Arial"/>
                <w:b/>
                <w:bCs/>
                <w:sz w:val="18"/>
                <w:szCs w:val="18"/>
                <w:lang w:val="en-CA"/>
              </w:rPr>
              <w:t xml:space="preserve">Fiscal Year </w:t>
            </w:r>
            <w:r w:rsidR="006A4008" w:rsidRPr="004326A5">
              <w:rPr>
                <w:rFonts w:ascii="Arial" w:hAnsi="Arial" w:cs="Arial"/>
                <w:b/>
                <w:bCs/>
                <w:sz w:val="18"/>
                <w:szCs w:val="18"/>
                <w:lang w:val="en-CA"/>
              </w:rPr>
              <w:t>E</w:t>
            </w:r>
            <w:r w:rsidRPr="004326A5">
              <w:rPr>
                <w:rFonts w:ascii="Arial" w:hAnsi="Arial" w:cs="Arial"/>
                <w:b/>
                <w:bCs/>
                <w:sz w:val="18"/>
                <w:szCs w:val="18"/>
                <w:lang w:val="en-CA"/>
              </w:rPr>
              <w:t>nd</w:t>
            </w:r>
            <w:r w:rsidR="00A05594" w:rsidRPr="004326A5">
              <w:rPr>
                <w:rFonts w:ascii="Arial" w:hAnsi="Arial" w:cs="Arial"/>
                <w:b/>
                <w:bCs/>
                <w:sz w:val="18"/>
                <w:szCs w:val="18"/>
                <w:lang w:val="en-CA"/>
              </w:rPr>
              <w:t>s</w:t>
            </w:r>
            <w:r w:rsidRPr="004326A5">
              <w:rPr>
                <w:rFonts w:ascii="Arial" w:hAnsi="Arial" w:cs="Arial"/>
                <w:b/>
                <w:bCs/>
                <w:sz w:val="18"/>
                <w:szCs w:val="18"/>
                <w:lang w:val="en-CA"/>
              </w:rPr>
              <w:t xml:space="preserve"> in January </w:t>
            </w:r>
          </w:p>
        </w:tc>
        <w:tc>
          <w:tcPr>
            <w:tcW w:w="959" w:type="dxa"/>
            <w:tcBorders>
              <w:bottom w:val="none" w:sz="0" w:space="0" w:color="auto"/>
            </w:tcBorders>
          </w:tcPr>
          <w:p w14:paraId="6A5EF242" w14:textId="77777777" w:rsidR="00D52A13" w:rsidRPr="004326A5" w:rsidRDefault="00D52A13" w:rsidP="00885DD2">
            <w:pPr>
              <w:jc w:val="right"/>
              <w:rPr>
                <w:rFonts w:ascii="Arial" w:hAnsi="Arial" w:cs="Arial"/>
                <w:b/>
                <w:sz w:val="18"/>
                <w:szCs w:val="18"/>
                <w:lang w:val="en-CA"/>
              </w:rPr>
            </w:pPr>
            <w:r w:rsidRPr="004326A5">
              <w:rPr>
                <w:rFonts w:ascii="Arial" w:hAnsi="Arial" w:cs="Arial"/>
                <w:b/>
                <w:sz w:val="18"/>
                <w:szCs w:val="18"/>
                <w:lang w:val="en-CA"/>
              </w:rPr>
              <w:t>2011/12</w:t>
            </w:r>
          </w:p>
        </w:tc>
        <w:tc>
          <w:tcPr>
            <w:tcW w:w="958" w:type="dxa"/>
            <w:tcBorders>
              <w:bottom w:val="none" w:sz="0" w:space="0" w:color="auto"/>
            </w:tcBorders>
          </w:tcPr>
          <w:p w14:paraId="5780AEBF" w14:textId="77777777" w:rsidR="00D52A13" w:rsidRPr="004326A5" w:rsidRDefault="00D52A13" w:rsidP="00885DD2">
            <w:pPr>
              <w:jc w:val="right"/>
              <w:rPr>
                <w:rFonts w:ascii="Arial" w:hAnsi="Arial" w:cs="Arial"/>
                <w:b/>
                <w:sz w:val="18"/>
                <w:szCs w:val="18"/>
                <w:lang w:val="en-CA"/>
              </w:rPr>
            </w:pPr>
            <w:r w:rsidRPr="004326A5">
              <w:rPr>
                <w:rFonts w:ascii="Arial" w:hAnsi="Arial" w:cs="Arial"/>
                <w:b/>
                <w:sz w:val="18"/>
                <w:szCs w:val="18"/>
                <w:lang w:val="en-CA"/>
              </w:rPr>
              <w:t>2012/13</w:t>
            </w:r>
          </w:p>
        </w:tc>
        <w:tc>
          <w:tcPr>
            <w:tcW w:w="958" w:type="dxa"/>
            <w:tcBorders>
              <w:bottom w:val="none" w:sz="0" w:space="0" w:color="auto"/>
            </w:tcBorders>
          </w:tcPr>
          <w:p w14:paraId="7EBCB298" w14:textId="77777777" w:rsidR="00D52A13" w:rsidRPr="004326A5" w:rsidRDefault="00D52A13" w:rsidP="00885DD2">
            <w:pPr>
              <w:jc w:val="right"/>
              <w:rPr>
                <w:rFonts w:ascii="Arial" w:hAnsi="Arial" w:cs="Arial"/>
                <w:b/>
                <w:sz w:val="18"/>
                <w:szCs w:val="18"/>
                <w:lang w:val="en-CA"/>
              </w:rPr>
            </w:pPr>
            <w:r w:rsidRPr="004326A5">
              <w:rPr>
                <w:rFonts w:ascii="Arial" w:hAnsi="Arial" w:cs="Arial"/>
                <w:b/>
                <w:sz w:val="18"/>
                <w:szCs w:val="18"/>
                <w:lang w:val="en-CA"/>
              </w:rPr>
              <w:t>2013/14</w:t>
            </w:r>
          </w:p>
        </w:tc>
        <w:tc>
          <w:tcPr>
            <w:tcW w:w="958" w:type="dxa"/>
            <w:tcBorders>
              <w:bottom w:val="none" w:sz="0" w:space="0" w:color="auto"/>
            </w:tcBorders>
          </w:tcPr>
          <w:p w14:paraId="281C6FED" w14:textId="77777777" w:rsidR="00D52A13" w:rsidRPr="004326A5" w:rsidRDefault="00D52A13" w:rsidP="00885DD2">
            <w:pPr>
              <w:jc w:val="right"/>
              <w:rPr>
                <w:rFonts w:ascii="Arial" w:hAnsi="Arial" w:cs="Arial"/>
                <w:b/>
                <w:sz w:val="18"/>
                <w:szCs w:val="18"/>
                <w:lang w:val="en-CA"/>
              </w:rPr>
            </w:pPr>
            <w:r w:rsidRPr="004326A5">
              <w:rPr>
                <w:rFonts w:ascii="Arial" w:hAnsi="Arial" w:cs="Arial"/>
                <w:b/>
                <w:sz w:val="18"/>
                <w:szCs w:val="18"/>
                <w:lang w:val="en-CA"/>
              </w:rPr>
              <w:t>2014/15</w:t>
            </w:r>
          </w:p>
        </w:tc>
        <w:tc>
          <w:tcPr>
            <w:tcW w:w="958" w:type="dxa"/>
            <w:tcBorders>
              <w:bottom w:val="none" w:sz="0" w:space="0" w:color="auto"/>
            </w:tcBorders>
          </w:tcPr>
          <w:p w14:paraId="65FE9091" w14:textId="77777777" w:rsidR="00D52A13" w:rsidRPr="004326A5" w:rsidRDefault="00D52A13" w:rsidP="00885DD2">
            <w:pPr>
              <w:jc w:val="right"/>
              <w:rPr>
                <w:rFonts w:ascii="Arial" w:hAnsi="Arial" w:cs="Arial"/>
                <w:b/>
                <w:sz w:val="18"/>
                <w:szCs w:val="18"/>
                <w:lang w:val="en-CA"/>
              </w:rPr>
            </w:pPr>
            <w:r w:rsidRPr="004326A5">
              <w:rPr>
                <w:rFonts w:ascii="Arial" w:hAnsi="Arial" w:cs="Arial"/>
                <w:b/>
                <w:sz w:val="18"/>
                <w:szCs w:val="18"/>
                <w:lang w:val="en-CA"/>
              </w:rPr>
              <w:t>2015/16</w:t>
            </w:r>
          </w:p>
        </w:tc>
        <w:tc>
          <w:tcPr>
            <w:tcW w:w="958" w:type="dxa"/>
            <w:tcBorders>
              <w:bottom w:val="none" w:sz="0" w:space="0" w:color="auto"/>
            </w:tcBorders>
          </w:tcPr>
          <w:p w14:paraId="71FCF0BA" w14:textId="77777777" w:rsidR="00D52A13" w:rsidRPr="004326A5" w:rsidRDefault="00D52A13" w:rsidP="00885DD2">
            <w:pPr>
              <w:jc w:val="right"/>
              <w:rPr>
                <w:rFonts w:ascii="Arial" w:hAnsi="Arial" w:cs="Arial"/>
                <w:b/>
                <w:sz w:val="18"/>
                <w:szCs w:val="18"/>
                <w:lang w:val="en-CA"/>
              </w:rPr>
            </w:pPr>
            <w:r w:rsidRPr="004326A5">
              <w:rPr>
                <w:rFonts w:ascii="Arial" w:hAnsi="Arial" w:cs="Arial"/>
                <w:b/>
                <w:sz w:val="18"/>
                <w:szCs w:val="18"/>
                <w:lang w:val="en-CA"/>
              </w:rPr>
              <w:t>2016/17</w:t>
            </w:r>
          </w:p>
        </w:tc>
      </w:tr>
      <w:tr w:rsidR="00874275" w:rsidRPr="004326A5" w14:paraId="45BEE901" w14:textId="77777777" w:rsidTr="001358C5">
        <w:trPr>
          <w:trHeight w:val="288"/>
        </w:trPr>
        <w:tc>
          <w:tcPr>
            <w:tcW w:w="3601" w:type="dxa"/>
            <w:noWrap/>
          </w:tcPr>
          <w:p w14:paraId="1A9ED3EF" w14:textId="0EE3F229" w:rsidR="00874275" w:rsidRPr="004326A5" w:rsidRDefault="00874275" w:rsidP="00874275">
            <w:pPr>
              <w:rPr>
                <w:rFonts w:ascii="Arial" w:hAnsi="Arial" w:cs="Arial"/>
                <w:sz w:val="18"/>
                <w:szCs w:val="18"/>
                <w:lang w:val="en-CA"/>
              </w:rPr>
            </w:pPr>
            <w:r w:rsidRPr="004326A5">
              <w:rPr>
                <w:rFonts w:ascii="Arial" w:hAnsi="Arial" w:cs="Arial"/>
                <w:b/>
                <w:bCs/>
                <w:color w:val="000000"/>
                <w:sz w:val="18"/>
                <w:szCs w:val="18"/>
                <w:lang w:val="en-CA"/>
              </w:rPr>
              <w:t xml:space="preserve">Net Cash </w:t>
            </w:r>
            <w:r w:rsidR="00B27972" w:rsidRPr="004326A5">
              <w:rPr>
                <w:rFonts w:ascii="Arial" w:hAnsi="Arial" w:cs="Arial"/>
                <w:b/>
                <w:bCs/>
                <w:color w:val="000000"/>
                <w:sz w:val="18"/>
                <w:szCs w:val="18"/>
                <w:lang w:val="en-CA"/>
              </w:rPr>
              <w:t>P</w:t>
            </w:r>
            <w:r w:rsidRPr="004326A5">
              <w:rPr>
                <w:rFonts w:ascii="Arial" w:hAnsi="Arial" w:cs="Arial"/>
                <w:b/>
                <w:bCs/>
                <w:color w:val="000000"/>
                <w:sz w:val="18"/>
                <w:szCs w:val="18"/>
                <w:lang w:val="en-CA"/>
              </w:rPr>
              <w:t>rovided by (</w:t>
            </w:r>
            <w:r w:rsidR="006A4008" w:rsidRPr="004326A5">
              <w:rPr>
                <w:rFonts w:ascii="Arial" w:hAnsi="Arial" w:cs="Arial"/>
                <w:b/>
                <w:bCs/>
                <w:color w:val="000000"/>
                <w:sz w:val="18"/>
                <w:szCs w:val="18"/>
                <w:lang w:val="en-CA"/>
              </w:rPr>
              <w:t>U</w:t>
            </w:r>
            <w:r w:rsidRPr="004326A5">
              <w:rPr>
                <w:rFonts w:ascii="Arial" w:hAnsi="Arial" w:cs="Arial"/>
                <w:b/>
                <w:bCs/>
                <w:color w:val="000000"/>
                <w:sz w:val="18"/>
                <w:szCs w:val="18"/>
                <w:lang w:val="en-CA"/>
              </w:rPr>
              <w:t>sed in) Financing Activities</w:t>
            </w:r>
            <w:r w:rsidR="00B27972" w:rsidRPr="004326A5">
              <w:rPr>
                <w:rFonts w:ascii="Arial" w:hAnsi="Arial" w:cs="Arial"/>
                <w:b/>
                <w:bCs/>
                <w:color w:val="000000"/>
                <w:sz w:val="18"/>
                <w:szCs w:val="18"/>
                <w:lang w:val="en-CA"/>
              </w:rPr>
              <w:t>—</w:t>
            </w:r>
            <w:r w:rsidRPr="004326A5">
              <w:rPr>
                <w:rFonts w:ascii="Arial" w:hAnsi="Arial" w:cs="Arial"/>
                <w:b/>
                <w:bCs/>
                <w:color w:val="000000"/>
                <w:sz w:val="18"/>
                <w:szCs w:val="18"/>
                <w:lang w:val="en-CA"/>
              </w:rPr>
              <w:t xml:space="preserve">Continuing Operations </w:t>
            </w:r>
          </w:p>
        </w:tc>
        <w:tc>
          <w:tcPr>
            <w:tcW w:w="959" w:type="dxa"/>
          </w:tcPr>
          <w:p w14:paraId="77B05890" w14:textId="67FC121A"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47 </w:t>
            </w:r>
          </w:p>
        </w:tc>
        <w:tc>
          <w:tcPr>
            <w:tcW w:w="958" w:type="dxa"/>
          </w:tcPr>
          <w:p w14:paraId="5713BC7A" w14:textId="6E7C086D"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(27)</w:t>
            </w:r>
          </w:p>
        </w:tc>
        <w:tc>
          <w:tcPr>
            <w:tcW w:w="958" w:type="dxa"/>
          </w:tcPr>
          <w:p w14:paraId="48183289" w14:textId="759CDA03"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902 </w:t>
            </w:r>
          </w:p>
        </w:tc>
        <w:tc>
          <w:tcPr>
            <w:tcW w:w="958" w:type="dxa"/>
          </w:tcPr>
          <w:p w14:paraId="2AF92640" w14:textId="21429740"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285 </w:t>
            </w:r>
          </w:p>
        </w:tc>
        <w:tc>
          <w:tcPr>
            <w:tcW w:w="958" w:type="dxa"/>
          </w:tcPr>
          <w:p w14:paraId="614C2E21" w14:textId="4F7679EC"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(364)</w:t>
            </w:r>
          </w:p>
        </w:tc>
        <w:tc>
          <w:tcPr>
            <w:tcW w:w="958" w:type="dxa"/>
          </w:tcPr>
          <w:p w14:paraId="5A3545AC" w14:textId="183C6DC7" w:rsidR="00874275" w:rsidRPr="004326A5" w:rsidRDefault="00874275" w:rsidP="00874275">
            <w:pPr>
              <w:jc w:val="right"/>
              <w:rPr>
                <w:rFonts w:ascii="Arial" w:eastAsia="SimSun" w:hAnsi="Arial" w:cs="Arial"/>
                <w:sz w:val="18"/>
                <w:szCs w:val="18"/>
                <w:lang w:val="en-CA"/>
              </w:rPr>
            </w:pPr>
            <w:r w:rsidRPr="004326A5">
              <w:rPr>
                <w:rFonts w:ascii="Arial" w:hAnsi="Arial" w:cs="Arial"/>
                <w:b/>
                <w:bCs/>
                <w:color w:val="000000"/>
                <w:sz w:val="18"/>
                <w:szCs w:val="18"/>
                <w:lang w:val="en-CA"/>
              </w:rPr>
              <w:t xml:space="preserve"> 1,185 </w:t>
            </w:r>
          </w:p>
        </w:tc>
      </w:tr>
      <w:tr w:rsidR="00874275" w:rsidRPr="004326A5" w14:paraId="47D952FB" w14:textId="77777777" w:rsidTr="001358C5">
        <w:trPr>
          <w:trHeight w:val="288"/>
        </w:trPr>
        <w:tc>
          <w:tcPr>
            <w:tcW w:w="3601" w:type="dxa"/>
            <w:noWrap/>
          </w:tcPr>
          <w:p w14:paraId="47FDACB2" w14:textId="01DA9504"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 xml:space="preserve">Net Cash </w:t>
            </w:r>
            <w:r w:rsidR="00B27972" w:rsidRPr="004326A5">
              <w:rPr>
                <w:rFonts w:ascii="Arial" w:hAnsi="Arial" w:cs="Arial"/>
                <w:color w:val="000000"/>
                <w:sz w:val="18"/>
                <w:szCs w:val="18"/>
                <w:lang w:val="en-CA"/>
              </w:rPr>
              <w:t>U</w:t>
            </w:r>
            <w:r w:rsidRPr="004326A5">
              <w:rPr>
                <w:rFonts w:ascii="Arial" w:hAnsi="Arial" w:cs="Arial"/>
                <w:color w:val="000000"/>
                <w:sz w:val="18"/>
                <w:szCs w:val="18"/>
                <w:lang w:val="en-CA"/>
              </w:rPr>
              <w:t>sed in Financing Activities</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Discontinued Operations </w:t>
            </w:r>
          </w:p>
        </w:tc>
        <w:tc>
          <w:tcPr>
            <w:tcW w:w="959" w:type="dxa"/>
          </w:tcPr>
          <w:p w14:paraId="69AB45FE" w14:textId="4C4F5952"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(75)</w:t>
            </w:r>
          </w:p>
        </w:tc>
        <w:tc>
          <w:tcPr>
            <w:tcW w:w="958" w:type="dxa"/>
          </w:tcPr>
          <w:p w14:paraId="4C5682EC" w14:textId="39936BC2"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58" w:type="dxa"/>
          </w:tcPr>
          <w:p w14:paraId="335F7125" w14:textId="6799B8E2"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58" w:type="dxa"/>
          </w:tcPr>
          <w:p w14:paraId="4FD26537" w14:textId="0F56AAEB"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58" w:type="dxa"/>
          </w:tcPr>
          <w:p w14:paraId="09ADF224" w14:textId="0AE7B3AB"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58" w:type="dxa"/>
          </w:tcPr>
          <w:p w14:paraId="69D700A1" w14:textId="75E466BB"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r>
      <w:tr w:rsidR="00874275" w:rsidRPr="004326A5" w14:paraId="2F00117C" w14:textId="77777777" w:rsidTr="001358C5">
        <w:trPr>
          <w:trHeight w:val="288"/>
        </w:trPr>
        <w:tc>
          <w:tcPr>
            <w:tcW w:w="3601" w:type="dxa"/>
            <w:noWrap/>
          </w:tcPr>
          <w:p w14:paraId="77514DE8" w14:textId="59CDC6DD" w:rsidR="00874275" w:rsidRPr="004326A5" w:rsidRDefault="00874275" w:rsidP="00874275">
            <w:pPr>
              <w:rPr>
                <w:rFonts w:ascii="Arial" w:hAnsi="Arial" w:cs="Arial"/>
                <w:sz w:val="18"/>
                <w:szCs w:val="18"/>
                <w:lang w:val="en-CA"/>
              </w:rPr>
            </w:pPr>
            <w:r w:rsidRPr="004326A5">
              <w:rPr>
                <w:rFonts w:ascii="Arial" w:hAnsi="Arial" w:cs="Arial"/>
                <w:b/>
                <w:bCs/>
                <w:color w:val="000000"/>
                <w:sz w:val="18"/>
                <w:szCs w:val="18"/>
                <w:lang w:val="en-CA"/>
              </w:rPr>
              <w:t xml:space="preserve">Net </w:t>
            </w:r>
            <w:r w:rsidR="00B27972" w:rsidRPr="004326A5">
              <w:rPr>
                <w:rFonts w:ascii="Arial" w:hAnsi="Arial" w:cs="Arial"/>
                <w:b/>
                <w:bCs/>
                <w:color w:val="000000"/>
                <w:sz w:val="18"/>
                <w:szCs w:val="18"/>
                <w:lang w:val="en-CA"/>
              </w:rPr>
              <w:t>C</w:t>
            </w:r>
            <w:r w:rsidRPr="004326A5">
              <w:rPr>
                <w:rFonts w:ascii="Arial" w:hAnsi="Arial" w:cs="Arial"/>
                <w:b/>
                <w:bCs/>
                <w:color w:val="000000"/>
                <w:sz w:val="18"/>
                <w:szCs w:val="18"/>
                <w:lang w:val="en-CA"/>
              </w:rPr>
              <w:t xml:space="preserve">ash </w:t>
            </w:r>
            <w:r w:rsidR="00B27972" w:rsidRPr="004326A5">
              <w:rPr>
                <w:rFonts w:ascii="Arial" w:hAnsi="Arial" w:cs="Arial"/>
                <w:b/>
                <w:bCs/>
                <w:color w:val="000000"/>
                <w:sz w:val="18"/>
                <w:szCs w:val="18"/>
                <w:lang w:val="en-CA"/>
              </w:rPr>
              <w:t>P</w:t>
            </w:r>
            <w:r w:rsidRPr="004326A5">
              <w:rPr>
                <w:rFonts w:ascii="Arial" w:hAnsi="Arial" w:cs="Arial"/>
                <w:b/>
                <w:bCs/>
                <w:color w:val="000000"/>
                <w:sz w:val="18"/>
                <w:szCs w:val="18"/>
                <w:lang w:val="en-CA"/>
              </w:rPr>
              <w:t>rovided by (</w:t>
            </w:r>
            <w:r w:rsidR="006A4008" w:rsidRPr="004326A5">
              <w:rPr>
                <w:rFonts w:ascii="Arial" w:hAnsi="Arial" w:cs="Arial"/>
                <w:b/>
                <w:bCs/>
                <w:color w:val="000000"/>
                <w:sz w:val="18"/>
                <w:szCs w:val="18"/>
                <w:lang w:val="en-CA"/>
              </w:rPr>
              <w:t>U</w:t>
            </w:r>
            <w:r w:rsidRPr="004326A5">
              <w:rPr>
                <w:rFonts w:ascii="Arial" w:hAnsi="Arial" w:cs="Arial"/>
                <w:b/>
                <w:bCs/>
                <w:color w:val="000000"/>
                <w:sz w:val="18"/>
                <w:szCs w:val="18"/>
                <w:lang w:val="en-CA"/>
              </w:rPr>
              <w:t xml:space="preserve">sed in) Financing Activities </w:t>
            </w:r>
          </w:p>
        </w:tc>
        <w:tc>
          <w:tcPr>
            <w:tcW w:w="959" w:type="dxa"/>
          </w:tcPr>
          <w:p w14:paraId="73C40A84" w14:textId="1B226B85"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(28)</w:t>
            </w:r>
          </w:p>
        </w:tc>
        <w:tc>
          <w:tcPr>
            <w:tcW w:w="958" w:type="dxa"/>
          </w:tcPr>
          <w:p w14:paraId="72014BB0" w14:textId="147D241C"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(27)</w:t>
            </w:r>
          </w:p>
        </w:tc>
        <w:tc>
          <w:tcPr>
            <w:tcW w:w="958" w:type="dxa"/>
          </w:tcPr>
          <w:p w14:paraId="42C2D823" w14:textId="36C49B69"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902 </w:t>
            </w:r>
          </w:p>
        </w:tc>
        <w:tc>
          <w:tcPr>
            <w:tcW w:w="958" w:type="dxa"/>
          </w:tcPr>
          <w:p w14:paraId="71CAD1E3" w14:textId="35A72CB4"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285 </w:t>
            </w:r>
          </w:p>
        </w:tc>
        <w:tc>
          <w:tcPr>
            <w:tcW w:w="958" w:type="dxa"/>
          </w:tcPr>
          <w:p w14:paraId="31C7272D" w14:textId="49EAE9E1"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(364)</w:t>
            </w:r>
          </w:p>
        </w:tc>
        <w:tc>
          <w:tcPr>
            <w:tcW w:w="958" w:type="dxa"/>
          </w:tcPr>
          <w:p w14:paraId="0526BE9D" w14:textId="712EF703" w:rsidR="00874275" w:rsidRPr="004326A5" w:rsidRDefault="00874275" w:rsidP="00874275">
            <w:pPr>
              <w:jc w:val="right"/>
              <w:rPr>
                <w:rFonts w:ascii="Arial" w:eastAsia="SimSun" w:hAnsi="Arial" w:cs="Arial"/>
                <w:sz w:val="18"/>
                <w:szCs w:val="18"/>
                <w:lang w:val="en-CA"/>
              </w:rPr>
            </w:pPr>
            <w:r w:rsidRPr="004326A5">
              <w:rPr>
                <w:rFonts w:ascii="Arial" w:hAnsi="Arial" w:cs="Arial"/>
                <w:b/>
                <w:bCs/>
                <w:color w:val="000000"/>
                <w:sz w:val="18"/>
                <w:szCs w:val="18"/>
                <w:lang w:val="en-CA"/>
              </w:rPr>
              <w:t xml:space="preserve"> 1,185 </w:t>
            </w:r>
          </w:p>
        </w:tc>
      </w:tr>
      <w:tr w:rsidR="00874275" w:rsidRPr="004326A5" w14:paraId="28480E5C" w14:textId="77777777" w:rsidTr="001358C5">
        <w:trPr>
          <w:trHeight w:val="288"/>
        </w:trPr>
        <w:tc>
          <w:tcPr>
            <w:tcW w:w="3601" w:type="dxa"/>
            <w:noWrap/>
          </w:tcPr>
          <w:p w14:paraId="2580C2B6" w14:textId="699E1E62" w:rsidR="00874275" w:rsidRPr="004326A5" w:rsidRDefault="00874275" w:rsidP="00874275">
            <w:pPr>
              <w:rPr>
                <w:rFonts w:ascii="Arial" w:hAnsi="Arial" w:cs="Arial"/>
                <w:sz w:val="18"/>
                <w:szCs w:val="18"/>
                <w:lang w:val="en-CA"/>
              </w:rPr>
            </w:pPr>
            <w:r w:rsidRPr="004326A5">
              <w:rPr>
                <w:rFonts w:ascii="Arial" w:hAnsi="Arial" w:cs="Arial"/>
                <w:color w:val="000000"/>
                <w:sz w:val="18"/>
                <w:szCs w:val="18"/>
                <w:lang w:val="en-CA"/>
              </w:rPr>
              <w:t xml:space="preserve">Effect of </w:t>
            </w:r>
            <w:r w:rsidR="00B27972" w:rsidRPr="004326A5">
              <w:rPr>
                <w:rFonts w:ascii="Arial" w:hAnsi="Arial" w:cs="Arial"/>
                <w:color w:val="000000"/>
                <w:sz w:val="18"/>
                <w:szCs w:val="18"/>
                <w:lang w:val="en-CA"/>
              </w:rPr>
              <w:t xml:space="preserve">Exchange Rate Changes on Cash and Cash Equivalents </w:t>
            </w:r>
          </w:p>
        </w:tc>
        <w:tc>
          <w:tcPr>
            <w:tcW w:w="959" w:type="dxa"/>
          </w:tcPr>
          <w:p w14:paraId="33ACE802" w14:textId="72008791"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58" w:type="dxa"/>
          </w:tcPr>
          <w:p w14:paraId="728FC8E5" w14:textId="46D195D9"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1 </w:t>
            </w:r>
          </w:p>
        </w:tc>
        <w:tc>
          <w:tcPr>
            <w:tcW w:w="958" w:type="dxa"/>
          </w:tcPr>
          <w:p w14:paraId="53BF4742" w14:textId="7E2C0CF7"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(38)</w:t>
            </w:r>
          </w:p>
        </w:tc>
        <w:tc>
          <w:tcPr>
            <w:tcW w:w="958" w:type="dxa"/>
          </w:tcPr>
          <w:p w14:paraId="3810521C" w14:textId="3ED3FC2E"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(3)</w:t>
            </w:r>
          </w:p>
        </w:tc>
        <w:tc>
          <w:tcPr>
            <w:tcW w:w="958" w:type="dxa"/>
          </w:tcPr>
          <w:p w14:paraId="68C15ADF" w14:textId="195DAA15"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c>
          <w:tcPr>
            <w:tcW w:w="958" w:type="dxa"/>
          </w:tcPr>
          <w:p w14:paraId="57BA7773" w14:textId="3952AA64"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w:t>
            </w:r>
            <w:r w:rsidR="00B27972" w:rsidRPr="004326A5">
              <w:rPr>
                <w:rFonts w:ascii="Arial" w:hAnsi="Arial" w:cs="Arial"/>
                <w:color w:val="000000"/>
                <w:sz w:val="18"/>
                <w:szCs w:val="18"/>
                <w:lang w:val="en-CA"/>
              </w:rPr>
              <w:t>—</w:t>
            </w:r>
            <w:r w:rsidRPr="004326A5">
              <w:rPr>
                <w:rFonts w:ascii="Arial" w:hAnsi="Arial" w:cs="Arial"/>
                <w:color w:val="000000"/>
                <w:sz w:val="18"/>
                <w:szCs w:val="18"/>
                <w:lang w:val="en-CA"/>
              </w:rPr>
              <w:t xml:space="preserve"> </w:t>
            </w:r>
          </w:p>
        </w:tc>
      </w:tr>
      <w:tr w:rsidR="00874275" w:rsidRPr="004326A5" w14:paraId="79F648E9" w14:textId="77777777" w:rsidTr="001358C5">
        <w:trPr>
          <w:trHeight w:val="288"/>
        </w:trPr>
        <w:tc>
          <w:tcPr>
            <w:tcW w:w="3601" w:type="dxa"/>
            <w:noWrap/>
          </w:tcPr>
          <w:p w14:paraId="6F5BB8F5" w14:textId="79441DE6" w:rsidR="00874275" w:rsidRPr="004326A5" w:rsidRDefault="006A4008" w:rsidP="00874275">
            <w:pPr>
              <w:rPr>
                <w:rFonts w:ascii="Arial" w:hAnsi="Arial" w:cs="Arial"/>
                <w:sz w:val="18"/>
                <w:szCs w:val="18"/>
                <w:lang w:val="en-CA"/>
              </w:rPr>
            </w:pPr>
            <w:r w:rsidRPr="004326A5">
              <w:rPr>
                <w:rFonts w:ascii="Arial" w:hAnsi="Arial" w:cs="Arial"/>
                <w:b/>
                <w:bCs/>
                <w:color w:val="000000"/>
                <w:sz w:val="18"/>
                <w:szCs w:val="18"/>
                <w:lang w:val="en-CA"/>
              </w:rPr>
              <w:t>Net Increase (Decrease) in Cash and Cash Equivalents</w:t>
            </w:r>
          </w:p>
        </w:tc>
        <w:tc>
          <w:tcPr>
            <w:tcW w:w="959" w:type="dxa"/>
          </w:tcPr>
          <w:p w14:paraId="35B4158C" w14:textId="039F8B44"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(612)</w:t>
            </w:r>
          </w:p>
        </w:tc>
        <w:tc>
          <w:tcPr>
            <w:tcW w:w="958" w:type="dxa"/>
          </w:tcPr>
          <w:p w14:paraId="53C17F4C" w14:textId="716E8CC8"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(138)</w:t>
            </w:r>
          </w:p>
        </w:tc>
        <w:tc>
          <w:tcPr>
            <w:tcW w:w="958" w:type="dxa"/>
          </w:tcPr>
          <w:p w14:paraId="44AC04DF" w14:textId="7AFA63E7"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419 </w:t>
            </w:r>
          </w:p>
        </w:tc>
        <w:tc>
          <w:tcPr>
            <w:tcW w:w="958" w:type="dxa"/>
          </w:tcPr>
          <w:p w14:paraId="335ED0EF" w14:textId="657E3C50"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(778)</w:t>
            </w:r>
          </w:p>
        </w:tc>
        <w:tc>
          <w:tcPr>
            <w:tcW w:w="958" w:type="dxa"/>
          </w:tcPr>
          <w:p w14:paraId="02272EE7" w14:textId="3250D4F5"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(12)</w:t>
            </w:r>
          </w:p>
        </w:tc>
        <w:tc>
          <w:tcPr>
            <w:tcW w:w="958" w:type="dxa"/>
          </w:tcPr>
          <w:p w14:paraId="2CD39188" w14:textId="5CC81053" w:rsidR="00874275" w:rsidRPr="004326A5" w:rsidRDefault="00874275" w:rsidP="00874275">
            <w:pPr>
              <w:jc w:val="right"/>
              <w:rPr>
                <w:rFonts w:ascii="Arial" w:eastAsia="SimSun" w:hAnsi="Arial" w:cs="Arial"/>
                <w:sz w:val="18"/>
                <w:szCs w:val="18"/>
                <w:lang w:val="en-CA"/>
              </w:rPr>
            </w:pPr>
            <w:r w:rsidRPr="004326A5">
              <w:rPr>
                <w:rFonts w:ascii="Arial" w:hAnsi="Arial" w:cs="Arial"/>
                <w:b/>
                <w:bCs/>
                <w:color w:val="000000"/>
                <w:sz w:val="18"/>
                <w:szCs w:val="18"/>
                <w:lang w:val="en-CA"/>
              </w:rPr>
              <w:t xml:space="preserve"> 48 </w:t>
            </w:r>
          </w:p>
        </w:tc>
      </w:tr>
      <w:tr w:rsidR="00874275" w:rsidRPr="004326A5" w14:paraId="5B3FDF99" w14:textId="77777777" w:rsidTr="001358C5">
        <w:trPr>
          <w:trHeight w:val="288"/>
        </w:trPr>
        <w:tc>
          <w:tcPr>
            <w:tcW w:w="3601" w:type="dxa"/>
            <w:noWrap/>
          </w:tcPr>
          <w:p w14:paraId="2AB76DCA" w14:textId="453C0B9F" w:rsidR="00874275" w:rsidRPr="004326A5" w:rsidRDefault="006A4008" w:rsidP="00874275">
            <w:pPr>
              <w:rPr>
                <w:rFonts w:ascii="Arial" w:hAnsi="Arial" w:cs="Arial"/>
                <w:sz w:val="18"/>
                <w:szCs w:val="18"/>
                <w:lang w:val="en-CA"/>
              </w:rPr>
            </w:pPr>
            <w:r w:rsidRPr="004326A5">
              <w:rPr>
                <w:rFonts w:ascii="Arial" w:hAnsi="Arial" w:cs="Arial"/>
                <w:color w:val="000000"/>
                <w:sz w:val="18"/>
                <w:szCs w:val="18"/>
                <w:lang w:val="en-CA"/>
              </w:rPr>
              <w:t>Cash and Cash Equivalents, Beginning of Year</w:t>
            </w:r>
            <w:r w:rsidR="00874275" w:rsidRPr="004326A5">
              <w:rPr>
                <w:rFonts w:ascii="Arial" w:hAnsi="Arial" w:cs="Arial"/>
                <w:color w:val="000000"/>
                <w:sz w:val="18"/>
                <w:szCs w:val="18"/>
                <w:lang w:val="en-CA"/>
              </w:rPr>
              <w:t xml:space="preserve"> </w:t>
            </w:r>
          </w:p>
        </w:tc>
        <w:tc>
          <w:tcPr>
            <w:tcW w:w="959" w:type="dxa"/>
          </w:tcPr>
          <w:p w14:paraId="2857ACFB" w14:textId="2D62216E"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1,359 </w:t>
            </w:r>
          </w:p>
        </w:tc>
        <w:tc>
          <w:tcPr>
            <w:tcW w:w="958" w:type="dxa"/>
          </w:tcPr>
          <w:p w14:paraId="0EF157DC" w14:textId="794F29DC"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747 </w:t>
            </w:r>
          </w:p>
        </w:tc>
        <w:tc>
          <w:tcPr>
            <w:tcW w:w="958" w:type="dxa"/>
          </w:tcPr>
          <w:p w14:paraId="6F995208" w14:textId="50223ECE"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609 </w:t>
            </w:r>
          </w:p>
        </w:tc>
        <w:tc>
          <w:tcPr>
            <w:tcW w:w="958" w:type="dxa"/>
          </w:tcPr>
          <w:p w14:paraId="3D9CFC2F" w14:textId="4AF7975B"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1,028 </w:t>
            </w:r>
          </w:p>
        </w:tc>
        <w:tc>
          <w:tcPr>
            <w:tcW w:w="958" w:type="dxa"/>
          </w:tcPr>
          <w:p w14:paraId="6932E976" w14:textId="2D308631" w:rsidR="00874275" w:rsidRPr="004326A5" w:rsidRDefault="00874275" w:rsidP="00874275">
            <w:pPr>
              <w:jc w:val="right"/>
              <w:rPr>
                <w:rFonts w:ascii="Arial" w:hAnsi="Arial" w:cs="Arial"/>
                <w:color w:val="000000"/>
                <w:sz w:val="18"/>
                <w:szCs w:val="18"/>
                <w:lang w:val="en-CA"/>
              </w:rPr>
            </w:pPr>
            <w:r w:rsidRPr="004326A5">
              <w:rPr>
                <w:rFonts w:ascii="Arial" w:hAnsi="Arial" w:cs="Arial"/>
                <w:color w:val="000000"/>
                <w:sz w:val="18"/>
                <w:szCs w:val="18"/>
                <w:lang w:val="en-CA"/>
              </w:rPr>
              <w:t xml:space="preserve"> 250 </w:t>
            </w:r>
          </w:p>
        </w:tc>
        <w:tc>
          <w:tcPr>
            <w:tcW w:w="958" w:type="dxa"/>
          </w:tcPr>
          <w:p w14:paraId="59FB9DEC" w14:textId="59C4AD22" w:rsidR="00874275" w:rsidRPr="004326A5" w:rsidRDefault="00874275" w:rsidP="00874275">
            <w:pPr>
              <w:jc w:val="right"/>
              <w:rPr>
                <w:rFonts w:ascii="Arial" w:eastAsia="SimSun" w:hAnsi="Arial" w:cs="Arial"/>
                <w:sz w:val="18"/>
                <w:szCs w:val="18"/>
                <w:lang w:val="en-CA"/>
              </w:rPr>
            </w:pPr>
            <w:r w:rsidRPr="004326A5">
              <w:rPr>
                <w:rFonts w:ascii="Arial" w:hAnsi="Arial" w:cs="Arial"/>
                <w:color w:val="000000"/>
                <w:sz w:val="18"/>
                <w:szCs w:val="18"/>
                <w:lang w:val="en-CA"/>
              </w:rPr>
              <w:t xml:space="preserve"> 238 </w:t>
            </w:r>
          </w:p>
        </w:tc>
      </w:tr>
      <w:tr w:rsidR="00874275" w:rsidRPr="004326A5" w14:paraId="446604BC" w14:textId="77777777" w:rsidTr="001358C5">
        <w:trPr>
          <w:trHeight w:val="288"/>
        </w:trPr>
        <w:tc>
          <w:tcPr>
            <w:tcW w:w="3601" w:type="dxa"/>
            <w:noWrap/>
          </w:tcPr>
          <w:p w14:paraId="3C71C939" w14:textId="2B96B166" w:rsidR="00874275" w:rsidRPr="004326A5" w:rsidRDefault="006A4008" w:rsidP="00874275">
            <w:pPr>
              <w:rPr>
                <w:rFonts w:ascii="Arial" w:hAnsi="Arial" w:cs="Arial"/>
                <w:sz w:val="18"/>
                <w:szCs w:val="18"/>
                <w:lang w:val="en-CA"/>
              </w:rPr>
            </w:pPr>
            <w:r w:rsidRPr="004326A5">
              <w:rPr>
                <w:rFonts w:ascii="Arial" w:hAnsi="Arial" w:cs="Arial"/>
                <w:b/>
                <w:bCs/>
                <w:color w:val="000000"/>
                <w:sz w:val="18"/>
                <w:szCs w:val="18"/>
                <w:lang w:val="en-CA"/>
              </w:rPr>
              <w:t>Cash and Cash Equivalents, End of Year</w:t>
            </w:r>
          </w:p>
        </w:tc>
        <w:tc>
          <w:tcPr>
            <w:tcW w:w="959" w:type="dxa"/>
          </w:tcPr>
          <w:p w14:paraId="34F8DDB0" w14:textId="28A944F1"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747 </w:t>
            </w:r>
          </w:p>
        </w:tc>
        <w:tc>
          <w:tcPr>
            <w:tcW w:w="958" w:type="dxa"/>
          </w:tcPr>
          <w:p w14:paraId="139CAAEE" w14:textId="6D05CD50"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609 </w:t>
            </w:r>
          </w:p>
        </w:tc>
        <w:tc>
          <w:tcPr>
            <w:tcW w:w="958" w:type="dxa"/>
          </w:tcPr>
          <w:p w14:paraId="07108B71" w14:textId="4CD04DF6"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1,028 </w:t>
            </w:r>
          </w:p>
        </w:tc>
        <w:tc>
          <w:tcPr>
            <w:tcW w:w="958" w:type="dxa"/>
          </w:tcPr>
          <w:p w14:paraId="2E22831B" w14:textId="177651D5"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250 </w:t>
            </w:r>
          </w:p>
        </w:tc>
        <w:tc>
          <w:tcPr>
            <w:tcW w:w="958" w:type="dxa"/>
          </w:tcPr>
          <w:p w14:paraId="04675F2E" w14:textId="3998CEC8" w:rsidR="00874275" w:rsidRPr="004326A5" w:rsidRDefault="00874275" w:rsidP="00874275">
            <w:pPr>
              <w:jc w:val="right"/>
              <w:rPr>
                <w:rFonts w:ascii="Arial" w:hAnsi="Arial" w:cs="Arial"/>
                <w:b/>
                <w:bCs/>
                <w:color w:val="000000"/>
                <w:sz w:val="18"/>
                <w:szCs w:val="18"/>
                <w:lang w:val="en-CA"/>
              </w:rPr>
            </w:pPr>
            <w:r w:rsidRPr="004326A5">
              <w:rPr>
                <w:rFonts w:ascii="Arial" w:hAnsi="Arial" w:cs="Arial"/>
                <w:b/>
                <w:bCs/>
                <w:color w:val="000000"/>
                <w:sz w:val="18"/>
                <w:szCs w:val="18"/>
                <w:lang w:val="en-CA"/>
              </w:rPr>
              <w:t xml:space="preserve"> 238 </w:t>
            </w:r>
          </w:p>
        </w:tc>
        <w:tc>
          <w:tcPr>
            <w:tcW w:w="958" w:type="dxa"/>
          </w:tcPr>
          <w:p w14:paraId="744164F9" w14:textId="61333439" w:rsidR="00874275" w:rsidRPr="004326A5" w:rsidRDefault="00874275" w:rsidP="00874275">
            <w:pPr>
              <w:jc w:val="right"/>
              <w:rPr>
                <w:rFonts w:ascii="Arial" w:eastAsia="SimSun" w:hAnsi="Arial" w:cs="Arial"/>
                <w:sz w:val="18"/>
                <w:szCs w:val="18"/>
                <w:lang w:val="en-CA"/>
              </w:rPr>
            </w:pPr>
            <w:r w:rsidRPr="004326A5">
              <w:rPr>
                <w:rFonts w:ascii="Arial" w:hAnsi="Arial" w:cs="Arial"/>
                <w:b/>
                <w:bCs/>
                <w:color w:val="000000"/>
                <w:sz w:val="18"/>
                <w:szCs w:val="18"/>
                <w:lang w:val="en-CA"/>
              </w:rPr>
              <w:t xml:space="preserve"> 286 </w:t>
            </w:r>
          </w:p>
        </w:tc>
      </w:tr>
    </w:tbl>
    <w:p w14:paraId="2BDE98E1" w14:textId="77777777" w:rsidR="00874275" w:rsidRPr="004326A5" w:rsidRDefault="00874275" w:rsidP="00E02724">
      <w:pPr>
        <w:pStyle w:val="ExhibitText"/>
        <w:rPr>
          <w:rFonts w:eastAsia="Calibri"/>
          <w:shd w:val="clear" w:color="auto" w:fill="FFFFFF"/>
          <w:lang w:val="en-CA"/>
        </w:rPr>
      </w:pPr>
    </w:p>
    <w:p w14:paraId="6B0B1D0C" w14:textId="669BF0F1" w:rsidR="00874275" w:rsidRPr="004326A5" w:rsidRDefault="00874275" w:rsidP="0033293B">
      <w:pPr>
        <w:pStyle w:val="Footnote"/>
        <w:jc w:val="both"/>
        <w:rPr>
          <w:sz w:val="22"/>
          <w:szCs w:val="22"/>
          <w:lang w:val="en-CA"/>
        </w:rPr>
      </w:pPr>
      <w:r w:rsidRPr="0033293B">
        <w:rPr>
          <w:rFonts w:eastAsia="Calibri"/>
          <w:lang w:val="en-CA"/>
        </w:rPr>
        <w:t>Source: Compiled by the case authors, based on Sears Holdings Corporation, “Form 10-K for the Fiscal Year Ended January 28, 2017,” 61, accessed April 8, 2017, https://</w:t>
      </w:r>
      <w:r w:rsidRPr="0033293B">
        <w:rPr>
          <w:rFonts w:ascii="Times New Roman" w:eastAsia="Calibri" w:hAnsi="Times New Roman" w:cs="Times New Roman"/>
          <w:sz w:val="20"/>
          <w:szCs w:val="20"/>
          <w:lang w:val="en-CA"/>
        </w:rPr>
        <w:t xml:space="preserve"> </w:t>
      </w:r>
      <w:r w:rsidRPr="0033293B">
        <w:rPr>
          <w:rFonts w:eastAsia="Calibri"/>
          <w:lang w:val="en-CA"/>
        </w:rPr>
        <w:t>searsholdings.com/docs/investor /SHC_2016_Form_10-K.pdf; Sears Holdings Corporation, “Form 10-K for the Fiscal Year Ended January 30, 2016,” 59, accessed March 21, 2017, https://searsholdings.com/docs/investor/SHC_2015_Form_10-K.pdf; Sears Holdings Corporation, “Form 10-K for the Fiscal Year Ended January 31, 2015,” 67, accessed March 21, 2017, https://searsholdings.com/docs/investor/SHC_2014_Form_10-K.pdf; Sears Holdings Corporation, “Form 10-K for the Fiscal Year Ended February 1, 2014,” 66, accessed March 21, 2017, https://searsholdings.com/docs/investor/SHC_2013_Form_10-K.pdf; Sears Holdings Corporation, “Form 10-K for the Fiscal Year Ended February 2, 2013,” 59, accessed March 21, 2017, https://searsholdings.com/docs/investor/SHC_2012_Form _10-K.pdf; and Sears Holdings Corporation, “Form 10-K for the Fiscal Year Ended January 28, 2012,” 56, accessed March 21,</w:t>
      </w:r>
      <w:r w:rsidRPr="004326A5">
        <w:rPr>
          <w:rFonts w:eastAsia="Calibri"/>
          <w:shd w:val="clear" w:color="auto" w:fill="FFFFFF"/>
          <w:lang w:val="en-CA"/>
        </w:rPr>
        <w:t xml:space="preserve"> </w:t>
      </w:r>
      <w:r w:rsidRPr="0033293B">
        <w:rPr>
          <w:rFonts w:eastAsia="Calibri"/>
          <w:lang w:val="en-CA"/>
        </w:rPr>
        <w:t>2017, https://searsholdings.com/docs/investor/SHC_2011_Form_10-K.pdf.</w:t>
      </w:r>
      <w:r w:rsidRPr="004326A5">
        <w:rPr>
          <w:rFonts w:eastAsia="Calibri"/>
          <w:shd w:val="clear" w:color="auto" w:fill="FFFFFF"/>
          <w:lang w:val="en-CA"/>
        </w:rPr>
        <w:t xml:space="preserve"> </w:t>
      </w:r>
    </w:p>
    <w:p w14:paraId="0777467D" w14:textId="509B65C8" w:rsidR="001358C5" w:rsidRPr="004326A5" w:rsidRDefault="001358C5" w:rsidP="001358C5">
      <w:pPr>
        <w:pStyle w:val="ExhibitText"/>
        <w:rPr>
          <w:rFonts w:eastAsia="Calibri"/>
          <w:shd w:val="clear" w:color="auto" w:fill="FFFFFF"/>
          <w:lang w:val="en-CA"/>
        </w:rPr>
      </w:pPr>
    </w:p>
    <w:p w14:paraId="749C7C86" w14:textId="77777777" w:rsidR="001358C5" w:rsidRPr="004326A5" w:rsidRDefault="001358C5" w:rsidP="001358C5">
      <w:pPr>
        <w:pStyle w:val="ExhibitText"/>
        <w:rPr>
          <w:rFonts w:eastAsia="Calibri"/>
          <w:shd w:val="clear" w:color="auto" w:fill="FFFFFF"/>
          <w:lang w:val="en-CA"/>
        </w:rPr>
      </w:pPr>
    </w:p>
    <w:p w14:paraId="5F656B41" w14:textId="4F205957" w:rsidR="00874275" w:rsidRPr="004326A5" w:rsidRDefault="00874275" w:rsidP="00A56160">
      <w:pPr>
        <w:pStyle w:val="ExhibitHeading"/>
        <w:outlineLvl w:val="0"/>
        <w:rPr>
          <w:rFonts w:eastAsia="Calibri"/>
          <w:shd w:val="clear" w:color="auto" w:fill="FFFFFF"/>
          <w:lang w:val="en-CA"/>
        </w:rPr>
      </w:pPr>
      <w:r w:rsidRPr="0033293B">
        <w:rPr>
          <w:rFonts w:eastAsia="Calibri"/>
          <w:lang w:val="en-CA"/>
        </w:rPr>
        <w:t xml:space="preserve">EXHIBIT </w:t>
      </w:r>
      <w:r w:rsidR="00C478E4" w:rsidRPr="0033293B">
        <w:rPr>
          <w:rFonts w:eastAsia="Calibri"/>
          <w:lang w:val="en-CA"/>
        </w:rPr>
        <w:t>6</w:t>
      </w:r>
      <w:r w:rsidRPr="0033293B">
        <w:rPr>
          <w:rFonts w:eastAsia="Calibri"/>
          <w:lang w:val="en-CA"/>
        </w:rPr>
        <w:t>: A</w:t>
      </w:r>
      <w:r w:rsidR="00B43F82" w:rsidRPr="0033293B">
        <w:rPr>
          <w:rFonts w:eastAsia="Calibri"/>
          <w:lang w:val="en-CA"/>
        </w:rPr>
        <w:t>l</w:t>
      </w:r>
      <w:r w:rsidRPr="0033293B">
        <w:rPr>
          <w:rFonts w:eastAsia="Calibri"/>
          <w:lang w:val="en-CA"/>
        </w:rPr>
        <w:t>tman Z-score</w:t>
      </w:r>
    </w:p>
    <w:p w14:paraId="1A426C1D" w14:textId="080708F4" w:rsidR="00A56160" w:rsidRPr="004326A5" w:rsidRDefault="00A56160" w:rsidP="00F145B1">
      <w:pPr>
        <w:pStyle w:val="ExhibitHeading"/>
        <w:jc w:val="left"/>
        <w:outlineLvl w:val="0"/>
        <w:rPr>
          <w:lang w:val="en-CA"/>
        </w:rPr>
      </w:pPr>
    </w:p>
    <w:p w14:paraId="664F3B26" w14:textId="77777777" w:rsidR="00F05632" w:rsidRPr="004326A5" w:rsidRDefault="00F05632" w:rsidP="00F05632">
      <w:pPr>
        <w:pStyle w:val="ExhibitText"/>
        <w:rPr>
          <w:lang w:val="en-CA"/>
        </w:rPr>
      </w:pPr>
      <w:r w:rsidRPr="004326A5">
        <w:rPr>
          <w:lang w:val="en-CA"/>
        </w:rPr>
        <w:t>Z-score = (1.2×A) + (1.4×B) + (3.3×C) + (0.6×D) + (1.0×E)</w:t>
      </w:r>
    </w:p>
    <w:p w14:paraId="089D0909" w14:textId="77777777" w:rsidR="00F05632" w:rsidRPr="004326A5" w:rsidRDefault="00F05632" w:rsidP="00F05632">
      <w:pPr>
        <w:pStyle w:val="ExhibitText"/>
        <w:rPr>
          <w:lang w:val="en-CA"/>
        </w:rPr>
      </w:pPr>
    </w:p>
    <w:p w14:paraId="0B7044C9" w14:textId="77777777" w:rsidR="00F05632" w:rsidRPr="004326A5" w:rsidRDefault="00F05632" w:rsidP="00F05632">
      <w:pPr>
        <w:pStyle w:val="ExhibitText"/>
        <w:rPr>
          <w:lang w:val="en-CA"/>
        </w:rPr>
      </w:pPr>
      <w:r w:rsidRPr="004326A5">
        <w:rPr>
          <w:lang w:val="en-CA"/>
        </w:rPr>
        <w:t>where,</w:t>
      </w:r>
    </w:p>
    <w:p w14:paraId="6D0B946E" w14:textId="77777777" w:rsidR="00F05632" w:rsidRPr="004326A5" w:rsidRDefault="00F05632" w:rsidP="00F05632">
      <w:pPr>
        <w:pStyle w:val="ExhibitText"/>
        <w:rPr>
          <w:lang w:val="en-CA"/>
        </w:rPr>
      </w:pPr>
    </w:p>
    <w:p w14:paraId="704A2FC0" w14:textId="77777777" w:rsidR="00F05632" w:rsidRPr="004326A5" w:rsidRDefault="00F05632" w:rsidP="00F05632">
      <w:pPr>
        <w:pStyle w:val="ExhibitText"/>
        <w:rPr>
          <w:b/>
          <w:u w:val="single"/>
          <w:lang w:val="en-CA"/>
        </w:rPr>
      </w:pPr>
      <w:r w:rsidRPr="004326A5">
        <w:rPr>
          <w:lang w:val="en-CA"/>
        </w:rPr>
        <w:t>A = working capital ÷ total assets (liquidity)</w:t>
      </w:r>
    </w:p>
    <w:p w14:paraId="6916D940" w14:textId="77777777" w:rsidR="00F05632" w:rsidRPr="004326A5" w:rsidRDefault="00F05632" w:rsidP="00F05632">
      <w:pPr>
        <w:pStyle w:val="ExhibitText"/>
        <w:rPr>
          <w:lang w:val="en-CA"/>
        </w:rPr>
      </w:pPr>
      <w:r w:rsidRPr="004326A5">
        <w:rPr>
          <w:lang w:val="en-CA"/>
        </w:rPr>
        <w:t>B = retained earnings ÷ total assets (solvency)</w:t>
      </w:r>
    </w:p>
    <w:p w14:paraId="2C9959DF" w14:textId="77777777" w:rsidR="00F05632" w:rsidRPr="004326A5" w:rsidRDefault="00F05632" w:rsidP="00F05632">
      <w:pPr>
        <w:pStyle w:val="ExhibitText"/>
        <w:rPr>
          <w:lang w:val="en-CA"/>
        </w:rPr>
      </w:pPr>
      <w:r w:rsidRPr="004326A5">
        <w:rPr>
          <w:lang w:val="en-CA"/>
        </w:rPr>
        <w:t>C = earnings before interest and taxes ÷ total assets (profitability)</w:t>
      </w:r>
    </w:p>
    <w:p w14:paraId="12198FE3" w14:textId="77777777" w:rsidR="00F05632" w:rsidRPr="004326A5" w:rsidRDefault="00F05632" w:rsidP="00F05632">
      <w:pPr>
        <w:pStyle w:val="ExhibitText"/>
        <w:rPr>
          <w:lang w:val="en-CA"/>
        </w:rPr>
      </w:pPr>
      <w:r w:rsidRPr="004326A5">
        <w:rPr>
          <w:lang w:val="en-CA"/>
        </w:rPr>
        <w:t>D = market value of equity ÷ total liabilities (leverage)</w:t>
      </w:r>
    </w:p>
    <w:p w14:paraId="79B1C310" w14:textId="77777777" w:rsidR="00F05632" w:rsidRPr="004326A5" w:rsidRDefault="00F05632" w:rsidP="00F05632">
      <w:pPr>
        <w:pStyle w:val="ExhibitText"/>
        <w:rPr>
          <w:lang w:val="en-CA"/>
        </w:rPr>
      </w:pPr>
      <w:r w:rsidRPr="004326A5">
        <w:rPr>
          <w:lang w:val="en-CA"/>
        </w:rPr>
        <w:t>E = sales ÷ total assets (activity)</w:t>
      </w:r>
    </w:p>
    <w:p w14:paraId="32437C32" w14:textId="77777777" w:rsidR="00F05632" w:rsidRPr="004326A5" w:rsidRDefault="00F05632" w:rsidP="006E42DF">
      <w:pPr>
        <w:pStyle w:val="ExhibitText"/>
        <w:rPr>
          <w:lang w:val="en-CA"/>
        </w:rPr>
      </w:pPr>
    </w:p>
    <w:p w14:paraId="3739669D" w14:textId="02F90D2D" w:rsidR="00D74967" w:rsidRPr="004326A5" w:rsidRDefault="00874275" w:rsidP="006E42DF">
      <w:pPr>
        <w:pStyle w:val="Footnote"/>
        <w:rPr>
          <w:b/>
          <w:caps/>
          <w:lang w:val="en-CA"/>
        </w:rPr>
      </w:pPr>
      <w:r w:rsidRPr="004326A5">
        <w:rPr>
          <w:lang w:val="en-CA"/>
        </w:rPr>
        <w:t xml:space="preserve">Source: Edward I. Altman, “Financial Ratios, Discriminant Analysis and the Prediction of Corporate Bankruptcy,” </w:t>
      </w:r>
      <w:r w:rsidRPr="004326A5">
        <w:rPr>
          <w:i/>
          <w:lang w:val="en-CA"/>
        </w:rPr>
        <w:t>Journal of Finance</w:t>
      </w:r>
      <w:r w:rsidRPr="004326A5">
        <w:rPr>
          <w:lang w:val="en-CA"/>
        </w:rPr>
        <w:t xml:space="preserve"> 23, no. 4 (1968): 589–609, doi:10.2307/2978933</w:t>
      </w:r>
      <w:r w:rsidR="006A4008" w:rsidRPr="004326A5">
        <w:rPr>
          <w:lang w:val="en-CA"/>
        </w:rPr>
        <w:t>;</w:t>
      </w:r>
      <w:r w:rsidR="00F05632" w:rsidRPr="004326A5">
        <w:rPr>
          <w:lang w:val="en-CA"/>
        </w:rPr>
        <w:t xml:space="preserve"> </w:t>
      </w:r>
      <w:r w:rsidR="00F211E5" w:rsidRPr="004326A5">
        <w:rPr>
          <w:lang w:val="en-CA"/>
        </w:rPr>
        <w:t>“The Altman Z-Score: Is It Possible to Predict Corporate Bankruptcy Using a Formula?,” Business Insider, April 13, 2011, accessed April 14, 2017, www.businessinsider.com/the-altman-z-score-is-it-possible-to-predict-corporate-bankruptcy-using-a-formula-2011-4.</w:t>
      </w:r>
      <w:r w:rsidR="00D74967" w:rsidRPr="004326A5">
        <w:rPr>
          <w:lang w:val="en-CA"/>
        </w:rPr>
        <w:br w:type="page"/>
      </w:r>
    </w:p>
    <w:p w14:paraId="246634D2" w14:textId="013A5E1E" w:rsidR="0030487D" w:rsidRPr="004326A5" w:rsidRDefault="00E02724" w:rsidP="003456D6">
      <w:pPr>
        <w:pStyle w:val="ExhibitHeading"/>
        <w:jc w:val="left"/>
        <w:outlineLvl w:val="0"/>
        <w:rPr>
          <w:lang w:val="en-CA"/>
        </w:rPr>
      </w:pPr>
      <w:r w:rsidRPr="004326A5">
        <w:rPr>
          <w:lang w:val="en-CA"/>
        </w:rPr>
        <w:lastRenderedPageBreak/>
        <w:t>ENDNOTES</w:t>
      </w:r>
    </w:p>
    <w:sectPr w:rsidR="0030487D" w:rsidRPr="004326A5" w:rsidSect="006A0538">
      <w:headerReference w:type="default" r:id="rId13"/>
      <w:footnotePr>
        <w:numFmt w:val="chicago"/>
        <w:numRestart w:val="eachPage"/>
      </w:footnotePr>
      <w:endnotePr>
        <w:numFmt w:val="decimal"/>
      </w:endnotePr>
      <w:type w:val="continuous"/>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2FC0A8" w16cid:durableId="20C69DAD"/>
  <w16cid:commentId w16cid:paraId="11B8675F" w16cid:durableId="20C70205"/>
  <w16cid:commentId w16cid:paraId="1F9DA60C" w16cid:durableId="20C6AD29"/>
  <w16cid:commentId w16cid:paraId="0A480693" w16cid:durableId="20C69DFA"/>
  <w16cid:commentId w16cid:paraId="317CE96A" w16cid:durableId="20C6A3B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1BFDBD" w14:textId="77777777" w:rsidR="00C121B8" w:rsidRDefault="00C121B8" w:rsidP="00D75295">
      <w:r>
        <w:separator/>
      </w:r>
    </w:p>
  </w:endnote>
  <w:endnote w:type="continuationSeparator" w:id="0">
    <w:p w14:paraId="560C706E" w14:textId="77777777" w:rsidR="00C121B8" w:rsidRDefault="00C121B8" w:rsidP="00D75295">
      <w:r>
        <w:continuationSeparator/>
      </w:r>
    </w:p>
  </w:endnote>
  <w:endnote w:id="1">
    <w:p w14:paraId="5881919C" w14:textId="161F5E99" w:rsidR="00C121B8" w:rsidRPr="001358C5" w:rsidRDefault="00C121B8" w:rsidP="00C93305">
      <w:pPr>
        <w:pStyle w:val="Footnote"/>
        <w:jc w:val="both"/>
        <w:rPr>
          <w:lang w:val="en-US"/>
        </w:rPr>
      </w:pPr>
      <w:r w:rsidRPr="001358C5">
        <w:rPr>
          <w:rStyle w:val="EndnoteReference"/>
          <w:b w:val="0"/>
          <w:color w:val="auto"/>
        </w:rPr>
        <w:endnoteRef/>
      </w:r>
      <w:r w:rsidRPr="001358C5">
        <w:t xml:space="preserve"> </w:t>
      </w:r>
      <w:r w:rsidRPr="001358C5">
        <w:rPr>
          <w:rStyle w:val="FootnoteChar"/>
          <w:rFonts w:eastAsia="Calibri"/>
        </w:rPr>
        <w:t xml:space="preserve">This case has been written on the basis of published sources only. Consequently, the interpretation and perspectives presented in this case are not necessarily those of Sears </w:t>
      </w:r>
      <w:r w:rsidRPr="001358C5">
        <w:rPr>
          <w:rStyle w:val="FootnoteChar"/>
          <w:rFonts w:eastAsia="Calibri"/>
          <w:lang w:val="en-US"/>
        </w:rPr>
        <w:t xml:space="preserve">Holdings Corporation </w:t>
      </w:r>
      <w:r w:rsidRPr="001358C5">
        <w:rPr>
          <w:rStyle w:val="FootnoteChar"/>
          <w:rFonts w:eastAsia="Calibri"/>
        </w:rPr>
        <w:t>or any of its employees.</w:t>
      </w:r>
    </w:p>
  </w:endnote>
  <w:endnote w:id="2">
    <w:p w14:paraId="77BF2050" w14:textId="6ACF5E10" w:rsidR="00C121B8" w:rsidRPr="00487E72" w:rsidRDefault="00C121B8" w:rsidP="00C93305">
      <w:pPr>
        <w:pStyle w:val="Footnote"/>
        <w:jc w:val="both"/>
      </w:pPr>
      <w:r w:rsidRPr="001358C5">
        <w:rPr>
          <w:rStyle w:val="EndnoteReference"/>
          <w:b w:val="0"/>
          <w:color w:val="auto"/>
        </w:rPr>
        <w:endnoteRef/>
      </w:r>
      <w:r w:rsidRPr="001358C5">
        <w:t xml:space="preserve"> Moody’s Investor Service, “Moody’s Downgrades Sears Holdings Corporate Family Rating to Caa2,” press release, January 20, 2017, accessed May 21, 2017, www.moodys.com/research/Moodys-downgrades-Sears-Holdings-Corporate-Family-Rating-to-Caa2--PR_360948. A Corporate Family Rating (CFR) was an assessment of the financial obligations</w:t>
      </w:r>
      <w:r>
        <w:t xml:space="preserve"> of a whole corporate family, assessing the obligations of all affiliates as if they were consolidated as one entity with a single class of debt. A rating of Caa indicated that financial obligations were “judged to be of poor standing [and] subject to very high credit risk.” Numerical modifiers rank the rating from 1 (the higher end of the rating category) to 3 (lower end of the rating category). Moody’s Investors Service, </w:t>
      </w:r>
      <w:r w:rsidRPr="006E42DF">
        <w:rPr>
          <w:i/>
        </w:rPr>
        <w:t>Rating Symbols and Definitions</w:t>
      </w:r>
      <w:r>
        <w:t xml:space="preserve">, 2010, 4 and 11, accessed May 8, 2019, </w:t>
      </w:r>
      <w:r w:rsidRPr="00A86096">
        <w:t>www.umassp.edu/sites/umassp.edu/files/content/resources/budget-office/finance/Moodys_Ratings.pdf</w:t>
      </w:r>
      <w:r>
        <w:t>.</w:t>
      </w:r>
    </w:p>
  </w:endnote>
  <w:endnote w:id="3">
    <w:p w14:paraId="7A47A760" w14:textId="305883A0" w:rsidR="00C121B8" w:rsidRPr="00487E72" w:rsidRDefault="00C121B8" w:rsidP="00C93305">
      <w:pPr>
        <w:pStyle w:val="Footnote"/>
        <w:jc w:val="both"/>
        <w:rPr>
          <w:lang w:val="en-IN"/>
        </w:rPr>
      </w:pPr>
      <w:r w:rsidRPr="001358C5">
        <w:rPr>
          <w:rStyle w:val="EndnoteReference"/>
          <w:b w:val="0"/>
          <w:color w:val="auto"/>
        </w:rPr>
        <w:endnoteRef/>
      </w:r>
      <w:r w:rsidRPr="00487E72">
        <w:t xml:space="preserve"> Hayley Peterson, </w:t>
      </w:r>
      <w:r>
        <w:t>“</w:t>
      </w:r>
      <w:r w:rsidRPr="00487E72">
        <w:t>Moody</w:t>
      </w:r>
      <w:r>
        <w:t>’</w:t>
      </w:r>
      <w:r w:rsidRPr="00487E72">
        <w:t>s: Sears</w:t>
      </w:r>
      <w:r>
        <w:t>’</w:t>
      </w:r>
      <w:r w:rsidRPr="00487E72">
        <w:t xml:space="preserve"> and Kmart</w:t>
      </w:r>
      <w:r>
        <w:t>’</w:t>
      </w:r>
      <w:r w:rsidRPr="00487E72">
        <w:t xml:space="preserve">s </w:t>
      </w:r>
      <w:r>
        <w:t>S</w:t>
      </w:r>
      <w:r w:rsidRPr="00487E72">
        <w:t xml:space="preserve">hutdown is </w:t>
      </w:r>
      <w:r>
        <w:t>I</w:t>
      </w:r>
      <w:r w:rsidRPr="00487E72">
        <w:t>mminent,</w:t>
      </w:r>
      <w:r>
        <w:t>”</w:t>
      </w:r>
      <w:r w:rsidRPr="00487E72">
        <w:t xml:space="preserve"> </w:t>
      </w:r>
      <w:r w:rsidRPr="00487E72">
        <w:rPr>
          <w:i/>
        </w:rPr>
        <w:t>Business Insider</w:t>
      </w:r>
      <w:r w:rsidRPr="00487E72">
        <w:t>, September 14, 2016, accessed May 20, 2017, www.businessinsider.in/Moodys-Sears-and-Kmarts-shutdown-is-imminent/articleshow/54333307.cms.</w:t>
      </w:r>
    </w:p>
  </w:endnote>
  <w:endnote w:id="4">
    <w:p w14:paraId="29ED1A11" w14:textId="4EBE55AF" w:rsidR="00C121B8" w:rsidRPr="00C93305" w:rsidRDefault="00C121B8" w:rsidP="00C93305">
      <w:pPr>
        <w:pStyle w:val="Footnote"/>
        <w:jc w:val="both"/>
        <w:rPr>
          <w:spacing w:val="-4"/>
          <w:kern w:val="17"/>
          <w:lang w:val="en-IN"/>
        </w:rPr>
      </w:pPr>
      <w:r w:rsidRPr="00C93305">
        <w:rPr>
          <w:rStyle w:val="EndnoteReference"/>
          <w:b w:val="0"/>
          <w:color w:val="auto"/>
          <w:spacing w:val="-4"/>
          <w:kern w:val="17"/>
        </w:rPr>
        <w:endnoteRef/>
      </w:r>
      <w:r w:rsidRPr="00C93305">
        <w:rPr>
          <w:spacing w:val="-4"/>
          <w:kern w:val="17"/>
        </w:rPr>
        <w:t xml:space="preserve"> Daphne Howland, “Sears’ 20th Straight Quarterly Decline Cues More Store Closures,” Retail Dive, December 8, 2016, accessed May 15, 2017, www.retaildive.com/news/sears-20th-straight-quarterly-decline-cues-more-store-closures/431961.</w:t>
      </w:r>
    </w:p>
  </w:endnote>
  <w:endnote w:id="5">
    <w:p w14:paraId="676A41F1" w14:textId="77777777" w:rsidR="00C121B8" w:rsidRPr="00487E72" w:rsidRDefault="00C121B8" w:rsidP="0033293B">
      <w:pPr>
        <w:pStyle w:val="Footnote"/>
        <w:jc w:val="both"/>
      </w:pPr>
      <w:r w:rsidRPr="001358C5">
        <w:rPr>
          <w:rStyle w:val="EndnoteReference"/>
          <w:b w:val="0"/>
          <w:color w:val="auto"/>
        </w:rPr>
        <w:endnoteRef/>
      </w:r>
      <w:r w:rsidRPr="00487E72">
        <w:t xml:space="preserve"> </w:t>
      </w:r>
      <w:r>
        <w:t xml:space="preserve">Bridget Johns, as reported in </w:t>
      </w:r>
      <w:r w:rsidRPr="00487E72">
        <w:t xml:space="preserve">Francesca Nicasio, </w:t>
      </w:r>
      <w:r>
        <w:t>“</w:t>
      </w:r>
      <w:r w:rsidRPr="00487E72">
        <w:t xml:space="preserve">14 Retail Experts Talk </w:t>
      </w:r>
      <w:r>
        <w:t>a</w:t>
      </w:r>
      <w:r w:rsidRPr="00487E72">
        <w:t>bout the Future of Shopping and What You Can Do to Prepare,</w:t>
      </w:r>
      <w:r>
        <w:t>”</w:t>
      </w:r>
      <w:r w:rsidRPr="00487E72">
        <w:t xml:space="preserve"> Vend </w:t>
      </w:r>
      <w:r>
        <w:t>(b</w:t>
      </w:r>
      <w:r w:rsidRPr="00487E72">
        <w:t>log</w:t>
      </w:r>
      <w:r>
        <w:t>)</w:t>
      </w:r>
      <w:r w:rsidRPr="00487E72">
        <w:t xml:space="preserve">, </w:t>
      </w:r>
      <w:r>
        <w:t>September 9</w:t>
      </w:r>
      <w:r w:rsidRPr="00487E72">
        <w:t>, 201</w:t>
      </w:r>
      <w:r>
        <w:t>5</w:t>
      </w:r>
      <w:r w:rsidRPr="00487E72">
        <w:t>, accessed April 21, 2017, https://blog.vendhq.com/post/64901828192/retail-experts-on-the-future-of-shopping.</w:t>
      </w:r>
    </w:p>
  </w:endnote>
  <w:endnote w:id="6">
    <w:p w14:paraId="1F9A39D8" w14:textId="386250EA" w:rsidR="00C121B8" w:rsidRPr="005A07FE" w:rsidRDefault="00C121B8" w:rsidP="00C93305">
      <w:pPr>
        <w:pStyle w:val="Footnote"/>
        <w:jc w:val="both"/>
        <w:rPr>
          <w:lang w:val="en-US"/>
        </w:rPr>
      </w:pPr>
      <w:r w:rsidRPr="001358C5">
        <w:rPr>
          <w:rStyle w:val="EndnoteReference"/>
          <w:b w:val="0"/>
          <w:color w:val="auto"/>
        </w:rPr>
        <w:endnoteRef/>
      </w:r>
      <w:r>
        <w:t xml:space="preserve"> </w:t>
      </w:r>
      <w:r w:rsidRPr="005A07FE">
        <w:t xml:space="preserve">All </w:t>
      </w:r>
      <w:r>
        <w:t>currency</w:t>
      </w:r>
      <w:r w:rsidRPr="005A07FE">
        <w:t xml:space="preserve"> amounts are in US</w:t>
      </w:r>
      <w:r>
        <w:t>$</w:t>
      </w:r>
      <w:r w:rsidRPr="005A07FE">
        <w:t xml:space="preserve"> unless otherwise s</w:t>
      </w:r>
      <w:r>
        <w:t>pecifi</w:t>
      </w:r>
      <w:r w:rsidRPr="005A07FE">
        <w:t>ed.</w:t>
      </w:r>
    </w:p>
  </w:endnote>
  <w:endnote w:id="7">
    <w:p w14:paraId="6E20E0A2" w14:textId="577048E9" w:rsidR="00C121B8" w:rsidRPr="00C93305" w:rsidRDefault="00C121B8" w:rsidP="00C93305">
      <w:pPr>
        <w:pStyle w:val="Footnote"/>
        <w:jc w:val="both"/>
        <w:rPr>
          <w:spacing w:val="-4"/>
          <w:kern w:val="17"/>
          <w:lang w:val="en-IN"/>
        </w:rPr>
      </w:pPr>
      <w:r w:rsidRPr="00C93305">
        <w:rPr>
          <w:rStyle w:val="EndnoteReference"/>
          <w:b w:val="0"/>
          <w:color w:val="auto"/>
          <w:spacing w:val="-4"/>
          <w:kern w:val="17"/>
        </w:rPr>
        <w:endnoteRef/>
      </w:r>
      <w:r w:rsidRPr="00C93305">
        <w:rPr>
          <w:spacing w:val="-4"/>
          <w:kern w:val="17"/>
        </w:rPr>
        <w:t xml:space="preserve"> National Retail Foundation, “August retail jobs increase nearly 90,000 over 2017,” National Retail Foundation, September 6, 2018, accessed November 1, 2018, https://nrf.com/media-center/press-releases/august-retail-jobs-increase-nearly-90000-over-2017</w:t>
      </w:r>
      <w:r w:rsidRPr="00C93305" w:rsidDel="00CC2E12">
        <w:rPr>
          <w:spacing w:val="-4"/>
          <w:kern w:val="17"/>
        </w:rPr>
        <w:t xml:space="preserve">. </w:t>
      </w:r>
    </w:p>
  </w:endnote>
  <w:endnote w:id="8">
    <w:p w14:paraId="7E568781" w14:textId="2EC6F66D" w:rsidR="00C121B8" w:rsidRPr="00487E72" w:rsidRDefault="00C121B8" w:rsidP="00C93305">
      <w:pPr>
        <w:pStyle w:val="Footnote"/>
        <w:jc w:val="both"/>
      </w:pPr>
      <w:r w:rsidRPr="00C93305">
        <w:rPr>
          <w:rStyle w:val="EndnoteReference"/>
          <w:b w:val="0"/>
          <w:color w:val="auto"/>
        </w:rPr>
        <w:endnoteRef/>
      </w:r>
      <w:r w:rsidRPr="00C93305">
        <w:t xml:space="preserve"> Walter</w:t>
      </w:r>
      <w:r w:rsidRPr="00487E72">
        <w:t xml:space="preserve"> Loeb, </w:t>
      </w:r>
      <w:r>
        <w:t>“</w:t>
      </w:r>
      <w:r w:rsidRPr="00487E72">
        <w:t xml:space="preserve">Why Retailers Must Restructure </w:t>
      </w:r>
      <w:r>
        <w:t>i</w:t>
      </w:r>
      <w:r w:rsidRPr="00487E72">
        <w:t>n 2016,</w:t>
      </w:r>
      <w:r>
        <w:t>”</w:t>
      </w:r>
      <w:r w:rsidRPr="00487E72">
        <w:t xml:space="preserve"> </w:t>
      </w:r>
      <w:r w:rsidRPr="00487E72">
        <w:rPr>
          <w:i/>
        </w:rPr>
        <w:t>Forbes</w:t>
      </w:r>
      <w:r w:rsidRPr="00487E72">
        <w:t>, January 5, 2016, accessed May 11, 2017, www.forbes.com/sites/walterloeb/2016/01/04/every-sign-is-saying-retailers-must-restructure-in-2016/#15fc824a1316.</w:t>
      </w:r>
    </w:p>
  </w:endnote>
  <w:endnote w:id="9">
    <w:p w14:paraId="58996C5A" w14:textId="21E89023" w:rsidR="00C121B8" w:rsidRPr="00487E72" w:rsidRDefault="00C121B8" w:rsidP="00C93305">
      <w:pPr>
        <w:pStyle w:val="Footnote"/>
        <w:jc w:val="both"/>
      </w:pPr>
      <w:r w:rsidRPr="001358C5">
        <w:rPr>
          <w:rStyle w:val="EndnoteReference"/>
          <w:b w:val="0"/>
          <w:color w:val="auto"/>
        </w:rPr>
        <w:endnoteRef/>
      </w:r>
      <w:r w:rsidRPr="00487E72">
        <w:t xml:space="preserve"> </w:t>
      </w:r>
      <w:r>
        <w:t>“</w:t>
      </w:r>
      <w:r w:rsidRPr="00487E72">
        <w:t>US Retail Sales to Near $5 Trillion in 2016,</w:t>
      </w:r>
      <w:r>
        <w:t>”</w:t>
      </w:r>
      <w:r w:rsidRPr="00487E72">
        <w:t xml:space="preserve"> </w:t>
      </w:r>
      <w:r>
        <w:t>e</w:t>
      </w:r>
      <w:r w:rsidRPr="00487E72">
        <w:t>Marketer, December 21, 2015, accessed April 28, 2017, www.emarketer.com/Article/US-Retail-Sales-Near-5-Trillion-2016/1013368.</w:t>
      </w:r>
    </w:p>
  </w:endnote>
  <w:endnote w:id="10">
    <w:p w14:paraId="10DEA8B7" w14:textId="71EE4EB3" w:rsidR="00C121B8" w:rsidRPr="00487E72" w:rsidRDefault="00C121B8" w:rsidP="00C93305">
      <w:pPr>
        <w:pStyle w:val="Footnote"/>
        <w:jc w:val="both"/>
      </w:pPr>
      <w:r w:rsidRPr="001358C5">
        <w:rPr>
          <w:rStyle w:val="EndnoteReference"/>
          <w:b w:val="0"/>
          <w:color w:val="auto"/>
        </w:rPr>
        <w:endnoteRef/>
      </w:r>
      <w:r w:rsidRPr="00487E72">
        <w:t xml:space="preserve"> Mike Irwin, </w:t>
      </w:r>
      <w:r>
        <w:t>“</w:t>
      </w:r>
      <w:r w:rsidRPr="00487E72">
        <w:t xml:space="preserve">Shift in </w:t>
      </w:r>
      <w:r>
        <w:t>S</w:t>
      </w:r>
      <w:r w:rsidRPr="00487E72">
        <w:t>hopping</w:t>
      </w:r>
      <w:r>
        <w:t xml:space="preserve">: </w:t>
      </w:r>
      <w:r w:rsidRPr="00487E72">
        <w:t xml:space="preserve">Business </w:t>
      </w:r>
      <w:r>
        <w:t>C</w:t>
      </w:r>
      <w:r w:rsidRPr="00487E72">
        <w:t xml:space="preserve">losures the </w:t>
      </w:r>
      <w:r>
        <w:t>R</w:t>
      </w:r>
      <w:r w:rsidRPr="00487E72">
        <w:t xml:space="preserve">esult of </w:t>
      </w:r>
      <w:r>
        <w:t>C</w:t>
      </w:r>
      <w:r w:rsidRPr="00487E72">
        <w:t xml:space="preserve">hanging </w:t>
      </w:r>
      <w:r>
        <w:t>C</w:t>
      </w:r>
      <w:r w:rsidRPr="00487E72">
        <w:t xml:space="preserve">onsumer </w:t>
      </w:r>
      <w:r>
        <w:t>P</w:t>
      </w:r>
      <w:r w:rsidRPr="00487E72">
        <w:t>atterns,</w:t>
      </w:r>
      <w:r>
        <w:t>”</w:t>
      </w:r>
      <w:r w:rsidRPr="00487E72">
        <w:t xml:space="preserve"> </w:t>
      </w:r>
      <w:r w:rsidRPr="00487E72">
        <w:rPr>
          <w:i/>
        </w:rPr>
        <w:t>Wenatchee World</w:t>
      </w:r>
      <w:r w:rsidRPr="00487E72">
        <w:t>, January 7, 2017, accessed May 8, 2017, www.wenatcheeworld.com/news/2017/jan/07/shift-in-shoppingstring-of-business-closures-result-of-changing-consumer-patterns.</w:t>
      </w:r>
    </w:p>
  </w:endnote>
  <w:endnote w:id="11">
    <w:p w14:paraId="52F1EF6E" w14:textId="77777777" w:rsidR="00C121B8" w:rsidRPr="00487E72" w:rsidRDefault="00C121B8" w:rsidP="0033293B">
      <w:pPr>
        <w:pStyle w:val="Footnote"/>
        <w:jc w:val="both"/>
      </w:pPr>
      <w:r w:rsidRPr="001358C5">
        <w:rPr>
          <w:rStyle w:val="EndnoteReference"/>
          <w:b w:val="0"/>
          <w:color w:val="auto"/>
        </w:rPr>
        <w:endnoteRef/>
      </w:r>
      <w:r w:rsidRPr="00487E72">
        <w:t xml:space="preserve"> </w:t>
      </w:r>
      <w:r>
        <w:t xml:space="preserve">Brent Spicer, as reported in </w:t>
      </w:r>
      <w:r w:rsidRPr="00487E72">
        <w:t xml:space="preserve">Francesca Nicasio, </w:t>
      </w:r>
      <w:r>
        <w:t>“</w:t>
      </w:r>
      <w:r w:rsidRPr="00487E72">
        <w:t xml:space="preserve">14 Retail Experts Talk </w:t>
      </w:r>
      <w:r>
        <w:t>a</w:t>
      </w:r>
      <w:r w:rsidRPr="00487E72">
        <w:t>bout the Future of Shopping and What You Can Do to Prepare,</w:t>
      </w:r>
      <w:r>
        <w:t>”</w:t>
      </w:r>
      <w:r w:rsidRPr="00487E72">
        <w:t xml:space="preserve"> Vend </w:t>
      </w:r>
      <w:r>
        <w:t>(b</w:t>
      </w:r>
      <w:r w:rsidRPr="00487E72">
        <w:t>log</w:t>
      </w:r>
      <w:r>
        <w:t>)</w:t>
      </w:r>
      <w:r w:rsidRPr="00487E72">
        <w:t>, July 5, 2016, accessed April 21, 2017, https://blog.vendhq.com/post/64901828192/retail-experts-on-the-future-of-shopping.</w:t>
      </w:r>
    </w:p>
  </w:endnote>
  <w:endnote w:id="12">
    <w:p w14:paraId="69662F13" w14:textId="7842C629" w:rsidR="00C121B8" w:rsidRPr="00C93305" w:rsidRDefault="00C121B8" w:rsidP="00C93305">
      <w:pPr>
        <w:pStyle w:val="Footnote"/>
        <w:jc w:val="both"/>
        <w:rPr>
          <w:spacing w:val="-4"/>
          <w:kern w:val="17"/>
        </w:rPr>
      </w:pPr>
      <w:r w:rsidRPr="00C93305">
        <w:rPr>
          <w:rStyle w:val="EndnoteReference"/>
          <w:b w:val="0"/>
          <w:color w:val="auto"/>
          <w:spacing w:val="-4"/>
          <w:kern w:val="17"/>
        </w:rPr>
        <w:endnoteRef/>
      </w:r>
      <w:r w:rsidRPr="00C93305">
        <w:rPr>
          <w:b/>
          <w:spacing w:val="-4"/>
          <w:kern w:val="17"/>
        </w:rPr>
        <w:t xml:space="preserve"> </w:t>
      </w:r>
      <w:r w:rsidRPr="00C93305">
        <w:rPr>
          <w:spacing w:val="-4"/>
          <w:kern w:val="17"/>
        </w:rPr>
        <w:t>Andrea Felsted, and Sarah Halzack, “European Discounters Are Coming for Your Retail Sales, America,” Bloomberg, October 16, 2017, accessed April 21, 2017, www.bloomberg.com/gadfly/articles/2017-10-16/aldi-lidl-and-primark-invade-u-s-retail.</w:t>
      </w:r>
    </w:p>
  </w:endnote>
  <w:endnote w:id="13">
    <w:p w14:paraId="07AC1A48" w14:textId="40A413A2" w:rsidR="00C121B8" w:rsidRPr="00487E72" w:rsidRDefault="00C121B8" w:rsidP="00C93305">
      <w:pPr>
        <w:pStyle w:val="Footnote"/>
        <w:jc w:val="both"/>
        <w:rPr>
          <w:lang w:val="en-IN"/>
        </w:rPr>
      </w:pPr>
      <w:r w:rsidRPr="001358C5">
        <w:rPr>
          <w:rStyle w:val="EndnoteReference"/>
          <w:b w:val="0"/>
          <w:color w:val="auto"/>
        </w:rPr>
        <w:endnoteRef/>
      </w:r>
      <w:r w:rsidRPr="001358C5">
        <w:rPr>
          <w:b/>
        </w:rPr>
        <w:t xml:space="preserve"> </w:t>
      </w:r>
      <w:r>
        <w:t>“</w:t>
      </w:r>
      <w:r w:rsidRPr="00487E72">
        <w:t xml:space="preserve">Sears </w:t>
      </w:r>
      <w:r>
        <w:t xml:space="preserve">History—1886,” Sears Archives, </w:t>
      </w:r>
      <w:r w:rsidRPr="00487E72">
        <w:t xml:space="preserve">accessed May </w:t>
      </w:r>
      <w:r>
        <w:t>10, 2019</w:t>
      </w:r>
      <w:r w:rsidRPr="00487E72">
        <w:t xml:space="preserve">, </w:t>
      </w:r>
      <w:r w:rsidRPr="00DC6DC6">
        <w:t>http://searsarchives.com/history/history1886.htm</w:t>
      </w:r>
      <w:r w:rsidRPr="00487E72">
        <w:t>.</w:t>
      </w:r>
    </w:p>
  </w:endnote>
  <w:endnote w:id="14">
    <w:p w14:paraId="7078EE35" w14:textId="33C5E09F" w:rsidR="00C121B8" w:rsidRPr="00487E72" w:rsidRDefault="00C121B8" w:rsidP="00C93305">
      <w:pPr>
        <w:pStyle w:val="Footnote"/>
        <w:jc w:val="both"/>
      </w:pPr>
      <w:r w:rsidRPr="001358C5">
        <w:rPr>
          <w:rStyle w:val="EndnoteReference"/>
          <w:b w:val="0"/>
          <w:color w:val="auto"/>
        </w:rPr>
        <w:endnoteRef/>
      </w:r>
      <w:r w:rsidRPr="00487E72">
        <w:t xml:space="preserve"> Sears Holding</w:t>
      </w:r>
      <w:r>
        <w:t>s</w:t>
      </w:r>
      <w:r w:rsidRPr="00487E72">
        <w:t xml:space="preserve"> Corporation, </w:t>
      </w:r>
      <w:r>
        <w:rPr>
          <w:rFonts w:ascii="Helvetica" w:eastAsia="Helvetica" w:hAnsi="Helvetica" w:cs="Helvetica"/>
        </w:rPr>
        <w:t>“</w:t>
      </w:r>
      <w:r w:rsidRPr="00487E72">
        <w:t>Form 10-</w:t>
      </w:r>
      <w:r>
        <w:t xml:space="preserve">K for the Fiscal Year Ended </w:t>
      </w:r>
      <w:r w:rsidRPr="00487E72">
        <w:rPr>
          <w:rFonts w:ascii="Helvetica" w:eastAsia="Helvetica" w:hAnsi="Helvetica" w:cs="Helvetica"/>
        </w:rPr>
        <w:t>January 28, 2017,</w:t>
      </w:r>
      <w:r>
        <w:rPr>
          <w:rFonts w:ascii="Helvetica" w:eastAsia="Helvetica" w:hAnsi="Helvetica" w:cs="Helvetica"/>
        </w:rPr>
        <w:t>”</w:t>
      </w:r>
      <w:r w:rsidRPr="00487E72">
        <w:rPr>
          <w:rFonts w:ascii="Helvetica" w:eastAsia="Helvetica" w:hAnsi="Helvetica" w:cs="Helvetica"/>
        </w:rPr>
        <w:t xml:space="preserve"> accessed May 21, 2017</w:t>
      </w:r>
      <w:r>
        <w:rPr>
          <w:rFonts w:ascii="Helvetica" w:eastAsia="Helvetica" w:hAnsi="Helvetica" w:cs="Helvetica"/>
        </w:rPr>
        <w:t>,</w:t>
      </w:r>
      <w:r w:rsidRPr="00487E72">
        <w:t xml:space="preserve"> http://searsholdings.com/docs/investor/SHC_2016_Form_10-K.pdf.</w:t>
      </w:r>
    </w:p>
  </w:endnote>
  <w:endnote w:id="15">
    <w:p w14:paraId="6A574DFA" w14:textId="6235FB4B" w:rsidR="00C121B8" w:rsidRPr="00487E72" w:rsidRDefault="00C121B8" w:rsidP="00C93305">
      <w:pPr>
        <w:pStyle w:val="Footnote"/>
        <w:jc w:val="both"/>
      </w:pPr>
      <w:r w:rsidRPr="001358C5">
        <w:rPr>
          <w:rStyle w:val="EndnoteReference"/>
          <w:b w:val="0"/>
          <w:color w:val="auto"/>
        </w:rPr>
        <w:endnoteRef/>
      </w:r>
      <w:r w:rsidRPr="00487E72">
        <w:t xml:space="preserve"> </w:t>
      </w:r>
      <w:r>
        <w:t>“</w:t>
      </w:r>
      <w:r w:rsidRPr="00487E72">
        <w:t>Sears History</w:t>
      </w:r>
      <w:r>
        <w:t>—1980s to Today</w:t>
      </w:r>
      <w:r w:rsidRPr="00487E72">
        <w:t>,</w:t>
      </w:r>
      <w:r>
        <w:t>”</w:t>
      </w:r>
      <w:r w:rsidRPr="00487E72">
        <w:t xml:space="preserve"> </w:t>
      </w:r>
      <w:r>
        <w:t>Sears Archives</w:t>
      </w:r>
      <w:r w:rsidRPr="00487E72">
        <w:t xml:space="preserve">, accessed May </w:t>
      </w:r>
      <w:r>
        <w:t>10, 2019</w:t>
      </w:r>
      <w:r w:rsidRPr="00487E72">
        <w:t xml:space="preserve">, </w:t>
      </w:r>
      <w:r w:rsidRPr="00CE516D">
        <w:t>http://searsarchives.com/history/history1980s.htm</w:t>
      </w:r>
      <w:r w:rsidRPr="00487E72">
        <w:t>.</w:t>
      </w:r>
    </w:p>
  </w:endnote>
  <w:endnote w:id="16">
    <w:p w14:paraId="32577139" w14:textId="77BD5BFE" w:rsidR="00C121B8" w:rsidRPr="00487E72" w:rsidRDefault="00C121B8" w:rsidP="00C93305">
      <w:pPr>
        <w:pStyle w:val="Footnote"/>
        <w:jc w:val="both"/>
      </w:pPr>
      <w:r w:rsidRPr="001358C5">
        <w:rPr>
          <w:rStyle w:val="EndnoteReference"/>
          <w:b w:val="0"/>
          <w:color w:val="auto"/>
        </w:rPr>
        <w:endnoteRef/>
      </w:r>
      <w:r w:rsidRPr="00487E72">
        <w:t xml:space="preserve"> </w:t>
      </w:r>
      <w:r>
        <w:t>“Our Brands</w:t>
      </w:r>
      <w:r w:rsidRPr="00487E72">
        <w:t>,</w:t>
      </w:r>
      <w:r>
        <w:t>”</w:t>
      </w:r>
      <w:r w:rsidRPr="00487E72">
        <w:t xml:space="preserve"> Sears Holdings</w:t>
      </w:r>
      <w:r>
        <w:t xml:space="preserve"> Corporation</w:t>
      </w:r>
      <w:r w:rsidRPr="00487E72">
        <w:t xml:space="preserve">, accessed May 21, 2017, </w:t>
      </w:r>
      <w:r w:rsidRPr="00523CE1">
        <w:t>https://searsholdings.com/brands</w:t>
      </w:r>
      <w:r w:rsidRPr="00487E72">
        <w:t>.</w:t>
      </w:r>
    </w:p>
  </w:endnote>
  <w:endnote w:id="17">
    <w:p w14:paraId="5F9F65C8" w14:textId="34B9004A" w:rsidR="00C121B8" w:rsidRPr="00176C75" w:rsidRDefault="00C121B8" w:rsidP="00C93305">
      <w:pPr>
        <w:pStyle w:val="Footnote"/>
        <w:jc w:val="both"/>
        <w:rPr>
          <w:lang w:val="en-IN"/>
        </w:rPr>
      </w:pPr>
      <w:r w:rsidRPr="001358C5">
        <w:rPr>
          <w:rStyle w:val="EndnoteReference"/>
          <w:b w:val="0"/>
          <w:color w:val="auto"/>
        </w:rPr>
        <w:endnoteRef/>
      </w:r>
      <w:r w:rsidRPr="00487E72">
        <w:t xml:space="preserve"> </w:t>
      </w:r>
      <w:r>
        <w:t>“</w:t>
      </w:r>
      <w:r w:rsidRPr="00487E72">
        <w:t>Sear</w:t>
      </w:r>
      <w:r w:rsidRPr="00176C75">
        <w:t>s Holdings Corporation Common Stock (SHLD),</w:t>
      </w:r>
      <w:r>
        <w:t>”</w:t>
      </w:r>
      <w:r w:rsidRPr="00176C75">
        <w:t xml:space="preserve"> Nasdaq, accessed August 21, 2017, www.nasdaq.com/symbol/shld.</w:t>
      </w:r>
    </w:p>
  </w:endnote>
  <w:endnote w:id="18">
    <w:p w14:paraId="01108DD7" w14:textId="384CF837" w:rsidR="00C121B8" w:rsidRPr="00B9683F" w:rsidRDefault="00C121B8" w:rsidP="00C93305">
      <w:pPr>
        <w:pStyle w:val="Footnote"/>
        <w:jc w:val="both"/>
        <w:rPr>
          <w:lang w:val="en-US"/>
        </w:rPr>
      </w:pPr>
      <w:r w:rsidRPr="001358C5">
        <w:rPr>
          <w:rStyle w:val="EndnoteReference"/>
          <w:b w:val="0"/>
          <w:color w:val="auto"/>
        </w:rPr>
        <w:endnoteRef/>
      </w:r>
      <w:r w:rsidRPr="00B9683F">
        <w:t xml:space="preserve"> </w:t>
      </w:r>
      <w:r w:rsidRPr="00B9683F">
        <w:rPr>
          <w:lang w:val="en-US"/>
        </w:rPr>
        <w:t xml:space="preserve">Associated Press, </w:t>
      </w:r>
      <w:r>
        <w:rPr>
          <w:rFonts w:eastAsia="Helvetica"/>
          <w:lang w:val="en-US"/>
        </w:rPr>
        <w:t>“</w:t>
      </w:r>
      <w:r w:rsidRPr="00B9683F">
        <w:rPr>
          <w:rFonts w:eastAsia="Helvetica"/>
          <w:lang w:val="en-US"/>
        </w:rPr>
        <w:t>For Sears Houses, a Catalogue Like No Other,</w:t>
      </w:r>
      <w:r>
        <w:rPr>
          <w:rFonts w:eastAsia="Helvetica"/>
          <w:lang w:val="en-US"/>
        </w:rPr>
        <w:t>”</w:t>
      </w:r>
      <w:r w:rsidRPr="00B9683F">
        <w:rPr>
          <w:rFonts w:eastAsia="Helvetica"/>
          <w:lang w:val="en-US"/>
        </w:rPr>
        <w:t xml:space="preserve"> </w:t>
      </w:r>
      <w:r w:rsidRPr="006E42DF">
        <w:rPr>
          <w:rFonts w:eastAsia="Helvetica"/>
          <w:i/>
          <w:lang w:val="en-US"/>
        </w:rPr>
        <w:t>New York Times</w:t>
      </w:r>
      <w:r w:rsidRPr="00B9683F">
        <w:rPr>
          <w:rFonts w:eastAsia="Helvetica"/>
          <w:lang w:val="en-US"/>
        </w:rPr>
        <w:t>, accessed Nov</w:t>
      </w:r>
      <w:r>
        <w:rPr>
          <w:rFonts w:eastAsia="Helvetica"/>
          <w:lang w:val="en-US"/>
        </w:rPr>
        <w:t>ember</w:t>
      </w:r>
      <w:r w:rsidRPr="00B9683F">
        <w:rPr>
          <w:rFonts w:eastAsia="Helvetica"/>
          <w:lang w:val="en-US"/>
        </w:rPr>
        <w:t xml:space="preserve"> 29, 2018, www.nytimes.com/1993/02/07/us/for-sears-houses-a-catalogue-like-no-other.html</w:t>
      </w:r>
      <w:r>
        <w:rPr>
          <w:rFonts w:eastAsia="Helvetica"/>
          <w:lang w:val="en-US"/>
        </w:rPr>
        <w:t>.</w:t>
      </w:r>
    </w:p>
  </w:endnote>
  <w:endnote w:id="19">
    <w:p w14:paraId="03A6A09E" w14:textId="7BDB2DF1" w:rsidR="00C121B8" w:rsidRDefault="00C121B8" w:rsidP="00C93305">
      <w:pPr>
        <w:pStyle w:val="Footnote"/>
        <w:jc w:val="both"/>
      </w:pPr>
      <w:r w:rsidRPr="001358C5">
        <w:rPr>
          <w:rStyle w:val="EndnoteReference"/>
          <w:b w:val="0"/>
          <w:color w:val="auto"/>
        </w:rPr>
        <w:endnoteRef/>
      </w:r>
      <w:r>
        <w:t xml:space="preserve"> “A Sad Story That Needs a Good Ending: Carlinville’s ‘Standard Addition,’” Sears Modern Homes (blog), September 23, 2013, accessed May 8, 2019, </w:t>
      </w:r>
      <w:r w:rsidRPr="004138D7">
        <w:t>www.searshomes.org/index.php/tag/standard-addition-in-carlinville</w:t>
      </w:r>
      <w:r>
        <w:t>.</w:t>
      </w:r>
    </w:p>
  </w:endnote>
  <w:endnote w:id="20">
    <w:p w14:paraId="731E1EF5" w14:textId="227E8032" w:rsidR="00C121B8" w:rsidRPr="00B9683F" w:rsidRDefault="00C121B8" w:rsidP="00C93305">
      <w:pPr>
        <w:pStyle w:val="Footnote"/>
        <w:jc w:val="both"/>
        <w:rPr>
          <w:lang w:val="en-US"/>
        </w:rPr>
      </w:pPr>
      <w:r w:rsidRPr="001358C5">
        <w:rPr>
          <w:rStyle w:val="EndnoteReference"/>
          <w:b w:val="0"/>
          <w:color w:val="auto"/>
        </w:rPr>
        <w:endnoteRef/>
      </w:r>
      <w:r w:rsidRPr="001358C5">
        <w:rPr>
          <w:b/>
        </w:rPr>
        <w:t xml:space="preserve"> </w:t>
      </w:r>
      <w:r>
        <w:rPr>
          <w:lang w:val="en-US"/>
        </w:rPr>
        <w:t>Tiffany Hsu</w:t>
      </w:r>
      <w:r w:rsidRPr="00AF439C">
        <w:rPr>
          <w:lang w:val="en-US"/>
        </w:rPr>
        <w:t xml:space="preserve">, </w:t>
      </w:r>
      <w:r>
        <w:rPr>
          <w:rFonts w:eastAsia="Helvetica"/>
          <w:lang w:val="en-US"/>
        </w:rPr>
        <w:t>“</w:t>
      </w:r>
      <w:r w:rsidRPr="00F36701">
        <w:rPr>
          <w:rFonts w:eastAsia="Helvetica"/>
          <w:lang w:val="en-US"/>
        </w:rPr>
        <w:t xml:space="preserve">Sears Went </w:t>
      </w:r>
      <w:r>
        <w:rPr>
          <w:rFonts w:eastAsia="Helvetica"/>
          <w:lang w:val="en-US"/>
        </w:rPr>
        <w:t>f</w:t>
      </w:r>
      <w:r w:rsidRPr="00F36701">
        <w:rPr>
          <w:rFonts w:eastAsia="Helvetica"/>
          <w:lang w:val="en-US"/>
        </w:rPr>
        <w:t>rom Gilded-Age Boom to Digital-Age Bankruptcy</w:t>
      </w:r>
      <w:r w:rsidRPr="00AF439C">
        <w:rPr>
          <w:rFonts w:eastAsia="Helvetica"/>
          <w:lang w:val="en-US"/>
        </w:rPr>
        <w:t>,</w:t>
      </w:r>
      <w:r>
        <w:rPr>
          <w:rFonts w:eastAsia="Helvetica"/>
          <w:lang w:val="en-US"/>
        </w:rPr>
        <w:t>”</w:t>
      </w:r>
      <w:r w:rsidRPr="00AF439C">
        <w:rPr>
          <w:rFonts w:eastAsia="Helvetica"/>
          <w:lang w:val="en-US"/>
        </w:rPr>
        <w:t xml:space="preserve"> </w:t>
      </w:r>
      <w:r w:rsidRPr="006E42DF">
        <w:rPr>
          <w:rFonts w:eastAsia="Helvetica"/>
          <w:i/>
          <w:lang w:val="en-US"/>
        </w:rPr>
        <w:t>New York Times</w:t>
      </w:r>
      <w:r w:rsidRPr="00AF439C">
        <w:rPr>
          <w:rFonts w:eastAsia="Helvetica"/>
          <w:lang w:val="en-US"/>
        </w:rPr>
        <w:t xml:space="preserve">, </w:t>
      </w:r>
      <w:r>
        <w:rPr>
          <w:rFonts w:eastAsia="Helvetica"/>
          <w:lang w:val="en-US"/>
        </w:rPr>
        <w:t xml:space="preserve">October 15, 2018, </w:t>
      </w:r>
      <w:r w:rsidRPr="00AF439C">
        <w:rPr>
          <w:rFonts w:eastAsia="Helvetica"/>
          <w:lang w:val="en-US"/>
        </w:rPr>
        <w:t xml:space="preserve">accessed Nov 29, 2018, </w:t>
      </w:r>
      <w:r w:rsidRPr="00F36701">
        <w:rPr>
          <w:rFonts w:eastAsia="Helvetica"/>
          <w:lang w:val="en-US"/>
        </w:rPr>
        <w:t>www.nytimes.com/2018/10/15/business/sears-bankrupt-history-timeline.html</w:t>
      </w:r>
    </w:p>
  </w:endnote>
  <w:endnote w:id="21">
    <w:p w14:paraId="6596A380" w14:textId="01DEAF42" w:rsidR="00C121B8" w:rsidRPr="00B9683F" w:rsidRDefault="00C121B8" w:rsidP="00C93305">
      <w:pPr>
        <w:pStyle w:val="Footnote"/>
        <w:jc w:val="both"/>
        <w:rPr>
          <w:lang w:val="en-US"/>
        </w:rPr>
      </w:pPr>
      <w:r w:rsidRPr="001358C5">
        <w:rPr>
          <w:rStyle w:val="EndnoteReference"/>
          <w:b w:val="0"/>
          <w:color w:val="auto"/>
        </w:rPr>
        <w:endnoteRef/>
      </w:r>
      <w:r>
        <w:t xml:space="preserve"> </w:t>
      </w:r>
      <w:r>
        <w:rPr>
          <w:lang w:val="en-US"/>
        </w:rPr>
        <w:t xml:space="preserve">Tiffany </w:t>
      </w:r>
      <w:r>
        <w:t xml:space="preserve">Hsu, op. cit. </w:t>
      </w:r>
    </w:p>
  </w:endnote>
  <w:endnote w:id="22">
    <w:p w14:paraId="2D7E2CF8" w14:textId="6E764580" w:rsidR="00C121B8" w:rsidRPr="009F3D65" w:rsidRDefault="00C121B8" w:rsidP="00C93305">
      <w:pPr>
        <w:pStyle w:val="Footnote"/>
        <w:jc w:val="both"/>
        <w:rPr>
          <w:b/>
          <w:color w:val="FF0000"/>
          <w:vertAlign w:val="superscript"/>
        </w:rPr>
      </w:pPr>
      <w:r w:rsidRPr="001358C5">
        <w:rPr>
          <w:rStyle w:val="EndnoteReference"/>
          <w:b w:val="0"/>
          <w:color w:val="auto"/>
        </w:rPr>
        <w:endnoteRef/>
      </w:r>
      <w:r w:rsidRPr="001358C5">
        <w:rPr>
          <w:rStyle w:val="EndnoteReference"/>
          <w:b w:val="0"/>
          <w:color w:val="auto"/>
        </w:rPr>
        <w:t xml:space="preserve"> </w:t>
      </w:r>
      <w:r>
        <w:t>“Sears, Roebuck and Co.—Company Profile, Information, Business Description, History, Background Information on Sears, Roebuck and Co.,” Reference for Business, accessed May 21, 2017,</w:t>
      </w:r>
      <w:r>
        <w:rPr>
          <w:rStyle w:val="EndnoteReference"/>
          <w:b w:val="0"/>
          <w:vertAlign w:val="baseline"/>
        </w:rPr>
        <w:t xml:space="preserve"> </w:t>
      </w:r>
      <w:hyperlink r:id="rId1" w:history="1">
        <w:r w:rsidRPr="009F3D65">
          <w:t>www.referenceforbusiness.com/history2/88/Sears-Roebuck-and-Co.html</w:t>
        </w:r>
      </w:hyperlink>
    </w:p>
  </w:endnote>
  <w:endnote w:id="23">
    <w:p w14:paraId="5F0B4CAD" w14:textId="1FD1C360" w:rsidR="00C121B8" w:rsidRPr="00B9683F" w:rsidRDefault="00C121B8" w:rsidP="00C93305">
      <w:pPr>
        <w:pStyle w:val="Footnote"/>
        <w:jc w:val="both"/>
        <w:rPr>
          <w:lang w:val="en-US"/>
        </w:rPr>
      </w:pPr>
      <w:r w:rsidRPr="001358C5">
        <w:rPr>
          <w:rStyle w:val="EndnoteReference"/>
          <w:b w:val="0"/>
          <w:color w:val="auto"/>
        </w:rPr>
        <w:endnoteRef/>
      </w:r>
      <w:r w:rsidRPr="001358C5">
        <w:rPr>
          <w:b/>
        </w:rPr>
        <w:t xml:space="preserve"> </w:t>
      </w:r>
      <w:r>
        <w:rPr>
          <w:lang w:val="en-US"/>
        </w:rPr>
        <w:t xml:space="preserve">Tiffany </w:t>
      </w:r>
      <w:r>
        <w:t xml:space="preserve">Hsu, op. cit. </w:t>
      </w:r>
    </w:p>
  </w:endnote>
  <w:endnote w:id="24">
    <w:p w14:paraId="4F896742" w14:textId="4A5538CF" w:rsidR="00C121B8" w:rsidRPr="00B9683F" w:rsidRDefault="00C121B8" w:rsidP="00C93305">
      <w:pPr>
        <w:pStyle w:val="Footnote"/>
        <w:jc w:val="both"/>
        <w:rPr>
          <w:lang w:val="en-US"/>
        </w:rPr>
      </w:pPr>
      <w:r w:rsidRPr="001358C5">
        <w:rPr>
          <w:rStyle w:val="EndnoteReference"/>
          <w:b w:val="0"/>
          <w:color w:val="auto"/>
        </w:rPr>
        <w:endnoteRef/>
      </w:r>
      <w:r>
        <w:t xml:space="preserve"> </w:t>
      </w:r>
      <w:r>
        <w:rPr>
          <w:lang w:val="en-US"/>
        </w:rPr>
        <w:t>Lorene Yue</w:t>
      </w:r>
      <w:r w:rsidRPr="00AF439C">
        <w:rPr>
          <w:lang w:val="en-US"/>
        </w:rPr>
        <w:t xml:space="preserve">, </w:t>
      </w:r>
      <w:r>
        <w:rPr>
          <w:rFonts w:eastAsia="Helvetica"/>
          <w:lang w:val="en-US"/>
        </w:rPr>
        <w:t>“</w:t>
      </w:r>
      <w:r w:rsidRPr="00DF266B">
        <w:rPr>
          <w:rFonts w:eastAsia="Helvetica"/>
          <w:lang w:val="en-US"/>
        </w:rPr>
        <w:t>Sears</w:t>
      </w:r>
      <w:r>
        <w:rPr>
          <w:rFonts w:eastAsia="Helvetica"/>
          <w:lang w:val="en-US"/>
        </w:rPr>
        <w:t>’</w:t>
      </w:r>
      <w:r w:rsidRPr="00DF266B">
        <w:rPr>
          <w:rFonts w:eastAsia="Helvetica"/>
          <w:lang w:val="en-US"/>
        </w:rPr>
        <w:t xml:space="preserve"> Grand </w:t>
      </w:r>
      <w:r>
        <w:rPr>
          <w:rFonts w:eastAsia="Helvetica"/>
          <w:lang w:val="en-US"/>
        </w:rPr>
        <w:t>I</w:t>
      </w:r>
      <w:r w:rsidRPr="00DF266B">
        <w:rPr>
          <w:rFonts w:eastAsia="Helvetica"/>
          <w:lang w:val="en-US"/>
        </w:rPr>
        <w:t xml:space="preserve">dea </w:t>
      </w:r>
      <w:r>
        <w:rPr>
          <w:rFonts w:eastAsia="Helvetica"/>
          <w:lang w:val="en-US"/>
        </w:rPr>
        <w:t>S</w:t>
      </w:r>
      <w:r w:rsidRPr="00DF266B">
        <w:rPr>
          <w:rFonts w:eastAsia="Helvetica"/>
          <w:lang w:val="en-US"/>
        </w:rPr>
        <w:t xml:space="preserve">et to </w:t>
      </w:r>
      <w:r>
        <w:rPr>
          <w:rFonts w:eastAsia="Helvetica"/>
          <w:lang w:val="en-US"/>
        </w:rPr>
        <w:t>D</w:t>
      </w:r>
      <w:r w:rsidRPr="00DF266B">
        <w:rPr>
          <w:rFonts w:eastAsia="Helvetica"/>
          <w:lang w:val="en-US"/>
        </w:rPr>
        <w:t>ebut</w:t>
      </w:r>
      <w:r w:rsidRPr="00AF439C">
        <w:rPr>
          <w:rFonts w:eastAsia="Helvetica"/>
          <w:lang w:val="en-US"/>
        </w:rPr>
        <w:t>,</w:t>
      </w:r>
      <w:r>
        <w:rPr>
          <w:rFonts w:eastAsia="Helvetica"/>
          <w:lang w:val="en-US"/>
        </w:rPr>
        <w:t>”</w:t>
      </w:r>
      <w:r w:rsidRPr="00AF439C">
        <w:rPr>
          <w:rFonts w:eastAsia="Helvetica"/>
          <w:lang w:val="en-US"/>
        </w:rPr>
        <w:t xml:space="preserve"> </w:t>
      </w:r>
      <w:r w:rsidRPr="006E42DF">
        <w:rPr>
          <w:rFonts w:eastAsia="Helvetica"/>
          <w:i/>
          <w:lang w:val="en-US"/>
        </w:rPr>
        <w:t>Chicago Tribune</w:t>
      </w:r>
      <w:r w:rsidRPr="00AF439C">
        <w:rPr>
          <w:rFonts w:eastAsia="Helvetica"/>
          <w:lang w:val="en-US"/>
        </w:rPr>
        <w:t xml:space="preserve">, </w:t>
      </w:r>
      <w:r>
        <w:rPr>
          <w:rFonts w:eastAsia="Helvetica"/>
          <w:lang w:val="en-US"/>
        </w:rPr>
        <w:t xml:space="preserve">September 19, 2003, </w:t>
      </w:r>
      <w:r w:rsidRPr="00AF439C">
        <w:rPr>
          <w:rFonts w:eastAsia="Helvetica"/>
          <w:lang w:val="en-US"/>
        </w:rPr>
        <w:t xml:space="preserve">accessed </w:t>
      </w:r>
      <w:r>
        <w:rPr>
          <w:rFonts w:eastAsia="Helvetica"/>
          <w:lang w:val="en-US"/>
        </w:rPr>
        <w:t>May</w:t>
      </w:r>
      <w:r w:rsidRPr="00AF439C">
        <w:rPr>
          <w:rFonts w:eastAsia="Helvetica"/>
          <w:lang w:val="en-US"/>
        </w:rPr>
        <w:t xml:space="preserve"> 2</w:t>
      </w:r>
      <w:r>
        <w:rPr>
          <w:rFonts w:eastAsia="Helvetica"/>
          <w:lang w:val="en-US"/>
        </w:rPr>
        <w:t>7</w:t>
      </w:r>
      <w:r w:rsidRPr="00AF439C">
        <w:rPr>
          <w:rFonts w:eastAsia="Helvetica"/>
          <w:lang w:val="en-US"/>
        </w:rPr>
        <w:t>, 201</w:t>
      </w:r>
      <w:r>
        <w:rPr>
          <w:rFonts w:eastAsia="Helvetica"/>
          <w:lang w:val="en-US"/>
        </w:rPr>
        <w:t>7</w:t>
      </w:r>
      <w:r w:rsidRPr="00AF439C">
        <w:rPr>
          <w:rFonts w:eastAsia="Helvetica"/>
          <w:lang w:val="en-US"/>
        </w:rPr>
        <w:t xml:space="preserve">, </w:t>
      </w:r>
      <w:r w:rsidRPr="00DF266B">
        <w:rPr>
          <w:rFonts w:eastAsia="Helvetica"/>
          <w:lang w:val="en-US"/>
        </w:rPr>
        <w:t>www.chicagotribune.com/news/ct-xpm-2003-09-19-0309190340-story.html</w:t>
      </w:r>
      <w:r>
        <w:rPr>
          <w:rFonts w:eastAsia="Helvetica"/>
          <w:lang w:val="en-US"/>
        </w:rPr>
        <w:t>.</w:t>
      </w:r>
    </w:p>
  </w:endnote>
  <w:endnote w:id="25">
    <w:p w14:paraId="4EB54969" w14:textId="42713A09" w:rsidR="00C121B8" w:rsidRDefault="00C121B8" w:rsidP="00C93305">
      <w:pPr>
        <w:pStyle w:val="Footnote"/>
        <w:jc w:val="both"/>
      </w:pPr>
      <w:r w:rsidRPr="001358C5">
        <w:rPr>
          <w:rStyle w:val="EndnoteReference"/>
          <w:b w:val="0"/>
          <w:color w:val="auto"/>
        </w:rPr>
        <w:endnoteRef/>
      </w:r>
      <w:r>
        <w:t xml:space="preserve"> “Kmart to Acquire Sears in $11 Billion Deal,” NBC News, November 17, 2004, accessed May 8, 2019, </w:t>
      </w:r>
      <w:r w:rsidRPr="00955380">
        <w:t>www.nbcnews.com/id/6509683/ns/business-stocks_and_economy/t/kmart-acquire-sears-billion-deal</w:t>
      </w:r>
      <w:r>
        <w:t xml:space="preserve">; and Yuval Rosenberg, “The Man Behind the Deal,” CNN Money, November 17, 2004, accessed May 8, 2019, </w:t>
      </w:r>
      <w:r w:rsidRPr="00265CF4">
        <w:t>https://money.cnn.com/2004/11/17/news/newsmakers/lampert</w:t>
      </w:r>
      <w:r>
        <w:t>.</w:t>
      </w:r>
    </w:p>
  </w:endnote>
  <w:endnote w:id="26">
    <w:p w14:paraId="654B23B8" w14:textId="4D41088D" w:rsidR="00C121B8" w:rsidRPr="00B9683F" w:rsidRDefault="00C121B8" w:rsidP="00C93305">
      <w:pPr>
        <w:pStyle w:val="Footnote"/>
        <w:jc w:val="both"/>
        <w:rPr>
          <w:lang w:val="en-US"/>
        </w:rPr>
      </w:pPr>
      <w:r w:rsidRPr="001358C5">
        <w:rPr>
          <w:rStyle w:val="EndnoteReference"/>
          <w:b w:val="0"/>
          <w:color w:val="auto"/>
        </w:rPr>
        <w:endnoteRef/>
      </w:r>
      <w:r>
        <w:t xml:space="preserve"> </w:t>
      </w:r>
      <w:r>
        <w:rPr>
          <w:lang w:val="en-US"/>
        </w:rPr>
        <w:t xml:space="preserve">Tiffany </w:t>
      </w:r>
      <w:r w:rsidRPr="006E42DF">
        <w:rPr>
          <w:rStyle w:val="FootnoteChar"/>
        </w:rPr>
        <w:t>Hsu</w:t>
      </w:r>
      <w:r>
        <w:t xml:space="preserve">, op. cit. </w:t>
      </w:r>
    </w:p>
  </w:endnote>
  <w:endnote w:id="27">
    <w:p w14:paraId="0EA63465" w14:textId="0CCC4723" w:rsidR="00C121B8" w:rsidRPr="00B9683F" w:rsidRDefault="00C121B8" w:rsidP="00C93305">
      <w:pPr>
        <w:pStyle w:val="Footnote"/>
        <w:jc w:val="both"/>
        <w:rPr>
          <w:lang w:val="en-US"/>
        </w:rPr>
      </w:pPr>
      <w:r w:rsidRPr="001358C5">
        <w:rPr>
          <w:rStyle w:val="EndnoteReference"/>
          <w:b w:val="0"/>
          <w:color w:val="auto"/>
        </w:rPr>
        <w:endnoteRef/>
      </w:r>
      <w:r>
        <w:t xml:space="preserve"> </w:t>
      </w:r>
      <w:r>
        <w:rPr>
          <w:lang w:val="en-US"/>
        </w:rPr>
        <w:t>Stephanie Clifford</w:t>
      </w:r>
      <w:r w:rsidRPr="00AF439C">
        <w:rPr>
          <w:lang w:val="en-US"/>
        </w:rPr>
        <w:t xml:space="preserve">, </w:t>
      </w:r>
      <w:r>
        <w:rPr>
          <w:rFonts w:eastAsia="Helvetica"/>
          <w:lang w:val="en-US"/>
        </w:rPr>
        <w:t>“</w:t>
      </w:r>
      <w:r w:rsidRPr="00D35ED0">
        <w:rPr>
          <w:rFonts w:eastAsia="Helvetica"/>
          <w:lang w:val="en-US"/>
        </w:rPr>
        <w:t>A Tough Sell at Sears</w:t>
      </w:r>
      <w:r w:rsidRPr="00AF439C">
        <w:rPr>
          <w:rFonts w:eastAsia="Helvetica"/>
          <w:lang w:val="en-US"/>
        </w:rPr>
        <w:t>,</w:t>
      </w:r>
      <w:r>
        <w:rPr>
          <w:rFonts w:eastAsia="Helvetica"/>
          <w:lang w:val="en-US"/>
        </w:rPr>
        <w:t>”</w:t>
      </w:r>
      <w:r w:rsidRPr="00AF439C">
        <w:rPr>
          <w:rFonts w:eastAsia="Helvetica"/>
          <w:lang w:val="en-US"/>
        </w:rPr>
        <w:t xml:space="preserve"> </w:t>
      </w:r>
      <w:r w:rsidRPr="006E42DF">
        <w:rPr>
          <w:rFonts w:eastAsia="Helvetica"/>
          <w:i/>
          <w:lang w:val="en-US"/>
        </w:rPr>
        <w:t>New York Times</w:t>
      </w:r>
      <w:r w:rsidRPr="00AF439C">
        <w:rPr>
          <w:rFonts w:eastAsia="Helvetica"/>
          <w:lang w:val="en-US"/>
        </w:rPr>
        <w:t xml:space="preserve">, </w:t>
      </w:r>
      <w:r>
        <w:rPr>
          <w:rFonts w:eastAsia="Helvetica"/>
          <w:lang w:val="en-US"/>
        </w:rPr>
        <w:t xml:space="preserve">December 21, 2010, </w:t>
      </w:r>
      <w:r w:rsidRPr="00AF439C">
        <w:rPr>
          <w:rFonts w:eastAsia="Helvetica"/>
          <w:lang w:val="en-US"/>
        </w:rPr>
        <w:t xml:space="preserve">accessed </w:t>
      </w:r>
      <w:r>
        <w:rPr>
          <w:rFonts w:eastAsia="Helvetica"/>
          <w:lang w:val="en-US"/>
        </w:rPr>
        <w:t>May</w:t>
      </w:r>
      <w:r w:rsidRPr="00AF439C">
        <w:rPr>
          <w:rFonts w:eastAsia="Helvetica"/>
          <w:lang w:val="en-US"/>
        </w:rPr>
        <w:t xml:space="preserve"> 2</w:t>
      </w:r>
      <w:r>
        <w:rPr>
          <w:rFonts w:eastAsia="Helvetica"/>
          <w:lang w:val="en-US"/>
        </w:rPr>
        <w:t>8</w:t>
      </w:r>
      <w:r w:rsidRPr="00AF439C">
        <w:rPr>
          <w:rFonts w:eastAsia="Helvetica"/>
          <w:lang w:val="en-US"/>
        </w:rPr>
        <w:t>, 201</w:t>
      </w:r>
      <w:r>
        <w:rPr>
          <w:rFonts w:eastAsia="Helvetica"/>
          <w:lang w:val="en-US"/>
        </w:rPr>
        <w:t>7</w:t>
      </w:r>
      <w:r w:rsidRPr="00AF439C">
        <w:rPr>
          <w:rFonts w:eastAsia="Helvetica"/>
          <w:lang w:val="en-US"/>
        </w:rPr>
        <w:t xml:space="preserve">, </w:t>
      </w:r>
      <w:r w:rsidRPr="00D35ED0">
        <w:rPr>
          <w:rFonts w:eastAsia="Helvetica"/>
          <w:lang w:val="en-US"/>
        </w:rPr>
        <w:t>www.nytimes.com/2010/12/22/business/22sears.html</w:t>
      </w:r>
      <w:r>
        <w:rPr>
          <w:rFonts w:eastAsia="Helvetica"/>
          <w:lang w:val="en-US"/>
        </w:rPr>
        <w:t>.</w:t>
      </w:r>
    </w:p>
  </w:endnote>
  <w:endnote w:id="28">
    <w:p w14:paraId="67536462" w14:textId="0F788919" w:rsidR="00C121B8" w:rsidRDefault="00C121B8" w:rsidP="00C93305">
      <w:pPr>
        <w:pStyle w:val="Footnote"/>
        <w:jc w:val="both"/>
      </w:pPr>
      <w:r w:rsidRPr="001358C5">
        <w:rPr>
          <w:rStyle w:val="EndnoteReference"/>
          <w:b w:val="0"/>
          <w:color w:val="auto"/>
        </w:rPr>
        <w:endnoteRef/>
      </w:r>
      <w:r>
        <w:t xml:space="preserve"> Eddie Lampert, “Update on Our Transformation,” SHC Speaks (blog for Sears Holdings), September 13, 2018, accessed May 8, 2019, </w:t>
      </w:r>
      <w:r w:rsidRPr="000448D9">
        <w:t>https://blog.searsholdings.com/eddie-lampert/update-on-our-transformation</w:t>
      </w:r>
      <w:r>
        <w:t>.</w:t>
      </w:r>
    </w:p>
  </w:endnote>
  <w:endnote w:id="29">
    <w:p w14:paraId="1934C569" w14:textId="504E4D7B" w:rsidR="00C121B8" w:rsidRPr="00487E72" w:rsidRDefault="00C121B8" w:rsidP="00C93305">
      <w:pPr>
        <w:pStyle w:val="Footnote"/>
        <w:jc w:val="both"/>
      </w:pPr>
      <w:r w:rsidRPr="001358C5">
        <w:rPr>
          <w:rStyle w:val="EndnoteReference"/>
          <w:b w:val="0"/>
          <w:color w:val="auto"/>
        </w:rPr>
        <w:endnoteRef/>
      </w:r>
      <w:r w:rsidRPr="00487E72">
        <w:t xml:space="preserve"> </w:t>
      </w:r>
      <w:r>
        <w:t xml:space="preserve">Ibid. </w:t>
      </w:r>
    </w:p>
  </w:endnote>
  <w:endnote w:id="30">
    <w:p w14:paraId="45670B1B" w14:textId="35E71FE9" w:rsidR="00C121B8" w:rsidRPr="00487E72" w:rsidRDefault="00C121B8" w:rsidP="00C93305">
      <w:pPr>
        <w:pStyle w:val="Footnote"/>
        <w:jc w:val="both"/>
      </w:pPr>
      <w:r w:rsidRPr="001358C5">
        <w:rPr>
          <w:rStyle w:val="EndnoteReference"/>
          <w:b w:val="0"/>
          <w:color w:val="auto"/>
        </w:rPr>
        <w:endnoteRef/>
      </w:r>
      <w:r w:rsidRPr="00487E72">
        <w:t xml:space="preserve"> </w:t>
      </w:r>
      <w:r w:rsidRPr="00487E72">
        <w:rPr>
          <w:shd w:val="clear" w:color="auto" w:fill="FFFFFF"/>
        </w:rPr>
        <w:t xml:space="preserve">Sears Holdings Corporation, </w:t>
      </w:r>
      <w:r>
        <w:rPr>
          <w:rFonts w:ascii="Helvetica" w:eastAsia="Helvetica" w:hAnsi="Helvetica" w:cs="Helvetica"/>
          <w:shd w:val="clear" w:color="auto" w:fill="FFFFFF"/>
        </w:rPr>
        <w:t>“</w:t>
      </w:r>
      <w:r w:rsidRPr="00487E72">
        <w:rPr>
          <w:rFonts w:ascii="Helvetica" w:eastAsia="Helvetica" w:hAnsi="Helvetica" w:cs="Helvetica"/>
          <w:shd w:val="clear" w:color="auto" w:fill="FFFFFF"/>
        </w:rPr>
        <w:t xml:space="preserve">Form 10-K </w:t>
      </w:r>
      <w:r>
        <w:rPr>
          <w:rFonts w:ascii="Helvetica" w:eastAsia="Helvetica" w:hAnsi="Helvetica" w:cs="Helvetica"/>
          <w:shd w:val="clear" w:color="auto" w:fill="FFFFFF"/>
        </w:rPr>
        <w:t>for the Fiscal Year Ended January 28, 2017</w:t>
      </w:r>
      <w:r w:rsidRPr="00487E72">
        <w:rPr>
          <w:rFonts w:ascii="Helvetica" w:eastAsia="Helvetica" w:hAnsi="Helvetica" w:cs="Helvetica"/>
          <w:shd w:val="clear" w:color="auto" w:fill="FFFFFF"/>
        </w:rPr>
        <w:t>,</w:t>
      </w:r>
      <w:r>
        <w:rPr>
          <w:rFonts w:ascii="Helvetica" w:eastAsia="Helvetica" w:hAnsi="Helvetica" w:cs="Helvetica"/>
          <w:shd w:val="clear" w:color="auto" w:fill="FFFFFF"/>
        </w:rPr>
        <w:t>”</w:t>
      </w:r>
      <w:r w:rsidRPr="00487E72">
        <w:rPr>
          <w:rFonts w:ascii="Helvetica" w:eastAsia="Helvetica" w:hAnsi="Helvetica" w:cs="Helvetica"/>
          <w:shd w:val="clear" w:color="auto" w:fill="FFFFFF"/>
        </w:rPr>
        <w:t xml:space="preserve"> </w:t>
      </w:r>
      <w:r w:rsidRPr="00487E72">
        <w:rPr>
          <w:shd w:val="clear" w:color="auto" w:fill="FFFFFF"/>
        </w:rPr>
        <w:t>2,</w:t>
      </w:r>
      <w:r>
        <w:rPr>
          <w:shd w:val="clear" w:color="auto" w:fill="FFFFFF"/>
        </w:rPr>
        <w:t xml:space="preserve"> </w:t>
      </w:r>
      <w:r w:rsidRPr="00487E72">
        <w:rPr>
          <w:shd w:val="clear" w:color="auto" w:fill="FFFFFF"/>
        </w:rPr>
        <w:t>5,</w:t>
      </w:r>
      <w:r>
        <w:rPr>
          <w:shd w:val="clear" w:color="auto" w:fill="FFFFFF"/>
        </w:rPr>
        <w:t xml:space="preserve"> </w:t>
      </w:r>
      <w:r w:rsidRPr="00487E72">
        <w:rPr>
          <w:shd w:val="clear" w:color="auto" w:fill="FFFFFF"/>
        </w:rPr>
        <w:t xml:space="preserve">58, accessed April 8, 2017, https://searsholdings.com/docs/investor/SHC_2016_Form_10-K.pdf; </w:t>
      </w:r>
      <w:r>
        <w:rPr>
          <w:shd w:val="clear" w:color="auto" w:fill="FFFFFF"/>
        </w:rPr>
        <w:t xml:space="preserve">and </w:t>
      </w:r>
      <w:r w:rsidRPr="00487E72">
        <w:rPr>
          <w:shd w:val="clear" w:color="auto" w:fill="FFFFFF"/>
        </w:rPr>
        <w:t xml:space="preserve">Sears Holdings Corporation, </w:t>
      </w:r>
      <w:r>
        <w:rPr>
          <w:rFonts w:ascii="Helvetica" w:eastAsia="Helvetica" w:hAnsi="Helvetica" w:cs="Helvetica"/>
          <w:shd w:val="clear" w:color="auto" w:fill="FFFFFF"/>
        </w:rPr>
        <w:t>“</w:t>
      </w:r>
      <w:r w:rsidRPr="00487E72">
        <w:rPr>
          <w:rFonts w:ascii="Helvetica" w:eastAsia="Helvetica" w:hAnsi="Helvetica" w:cs="Helvetica"/>
          <w:shd w:val="clear" w:color="auto" w:fill="FFFFFF"/>
        </w:rPr>
        <w:t xml:space="preserve">Form 10-K </w:t>
      </w:r>
      <w:r>
        <w:rPr>
          <w:rFonts w:ascii="Helvetica" w:eastAsia="Helvetica" w:hAnsi="Helvetica" w:cs="Helvetica"/>
          <w:shd w:val="clear" w:color="auto" w:fill="FFFFFF"/>
        </w:rPr>
        <w:t>for the Fiscal Year Ended February 2, 2013</w:t>
      </w:r>
      <w:r w:rsidRPr="00487E72">
        <w:rPr>
          <w:rFonts w:ascii="Helvetica" w:eastAsia="Helvetica" w:hAnsi="Helvetica" w:cs="Helvetica"/>
          <w:shd w:val="clear" w:color="auto" w:fill="FFFFFF"/>
        </w:rPr>
        <w:t>,</w:t>
      </w:r>
      <w:r>
        <w:rPr>
          <w:rFonts w:ascii="Helvetica" w:eastAsia="Helvetica" w:hAnsi="Helvetica" w:cs="Helvetica"/>
          <w:shd w:val="clear" w:color="auto" w:fill="FFFFFF"/>
        </w:rPr>
        <w:t>”</w:t>
      </w:r>
      <w:r w:rsidRPr="00487E72">
        <w:rPr>
          <w:rFonts w:ascii="Helvetica" w:eastAsia="Helvetica" w:hAnsi="Helvetica" w:cs="Helvetica"/>
          <w:shd w:val="clear" w:color="auto" w:fill="FFFFFF"/>
        </w:rPr>
        <w:t xml:space="preserve"> </w:t>
      </w:r>
      <w:r w:rsidRPr="00487E72">
        <w:rPr>
          <w:shd w:val="clear" w:color="auto" w:fill="FFFFFF"/>
        </w:rPr>
        <w:t>2,</w:t>
      </w:r>
      <w:r>
        <w:rPr>
          <w:shd w:val="clear" w:color="auto" w:fill="FFFFFF"/>
        </w:rPr>
        <w:t xml:space="preserve"> </w:t>
      </w:r>
      <w:r w:rsidRPr="00487E72">
        <w:rPr>
          <w:shd w:val="clear" w:color="auto" w:fill="FFFFFF"/>
        </w:rPr>
        <w:t>6,</w:t>
      </w:r>
      <w:r>
        <w:rPr>
          <w:shd w:val="clear" w:color="auto" w:fill="FFFFFF"/>
        </w:rPr>
        <w:t xml:space="preserve"> </w:t>
      </w:r>
      <w:r w:rsidRPr="00487E72">
        <w:rPr>
          <w:shd w:val="clear" w:color="auto" w:fill="FFFFFF"/>
        </w:rPr>
        <w:t>56, accessed March 21, 2017, https://searsholdings.com/docs/investor/SHC_2012_Form_10-K.pdf.</w:t>
      </w:r>
    </w:p>
  </w:endnote>
  <w:endnote w:id="31">
    <w:p w14:paraId="1D21EEA7" w14:textId="1D86802B" w:rsidR="00C121B8" w:rsidRPr="00487E72" w:rsidRDefault="00C121B8" w:rsidP="00C93305">
      <w:pPr>
        <w:pStyle w:val="Footnote"/>
        <w:jc w:val="both"/>
      </w:pPr>
      <w:r w:rsidRPr="001358C5">
        <w:rPr>
          <w:rStyle w:val="EndnoteReference"/>
          <w:b w:val="0"/>
          <w:color w:val="auto"/>
        </w:rPr>
        <w:endnoteRef/>
      </w:r>
      <w:r w:rsidRPr="00487E72">
        <w:t xml:space="preserve"> </w:t>
      </w:r>
      <w:r w:rsidRPr="00487E72">
        <w:rPr>
          <w:shd w:val="clear" w:color="auto" w:fill="FFFFFF"/>
        </w:rPr>
        <w:t xml:space="preserve">Sears Holdings Corporation, </w:t>
      </w:r>
      <w:r>
        <w:rPr>
          <w:rFonts w:ascii="Helvetica" w:eastAsia="Helvetica" w:hAnsi="Helvetica" w:cs="Helvetica"/>
          <w:shd w:val="clear" w:color="auto" w:fill="FFFFFF"/>
        </w:rPr>
        <w:t>“</w:t>
      </w:r>
      <w:r w:rsidRPr="00487E72">
        <w:rPr>
          <w:rFonts w:ascii="Helvetica" w:eastAsia="Helvetica" w:hAnsi="Helvetica" w:cs="Helvetica"/>
          <w:shd w:val="clear" w:color="auto" w:fill="FFFFFF"/>
        </w:rPr>
        <w:t>Form 10-K</w:t>
      </w:r>
      <w:r>
        <w:rPr>
          <w:rFonts w:ascii="Helvetica" w:eastAsia="Helvetica" w:hAnsi="Helvetica" w:cs="Helvetica"/>
          <w:shd w:val="clear" w:color="auto" w:fill="FFFFFF"/>
        </w:rPr>
        <w:t xml:space="preserve"> for the Fiscal Year Ended January 28, 2017</w:t>
      </w:r>
      <w:r w:rsidRPr="00487E72">
        <w:rPr>
          <w:rFonts w:ascii="Helvetica" w:eastAsia="Helvetica" w:hAnsi="Helvetica" w:cs="Helvetica"/>
          <w:shd w:val="clear" w:color="auto" w:fill="FFFFFF"/>
        </w:rPr>
        <w:t>,</w:t>
      </w:r>
      <w:r>
        <w:rPr>
          <w:rFonts w:ascii="Helvetica" w:eastAsia="Helvetica" w:hAnsi="Helvetica" w:cs="Helvetica"/>
          <w:shd w:val="clear" w:color="auto" w:fill="FFFFFF"/>
        </w:rPr>
        <w:t>”</w:t>
      </w:r>
      <w:r w:rsidRPr="00487E72">
        <w:rPr>
          <w:rFonts w:ascii="Helvetica" w:eastAsia="Helvetica" w:hAnsi="Helvetica" w:cs="Helvetica"/>
          <w:shd w:val="clear" w:color="auto" w:fill="FFFFFF"/>
        </w:rPr>
        <w:t xml:space="preserve"> 58, accessed April 8, 2017, https://searsholdings.com/docs/investor/SHC_2016_Form_10-K.pdf; </w:t>
      </w:r>
      <w:r>
        <w:rPr>
          <w:rFonts w:ascii="Helvetica" w:eastAsia="Helvetica" w:hAnsi="Helvetica" w:cs="Helvetica"/>
          <w:shd w:val="clear" w:color="auto" w:fill="FFFFFF"/>
        </w:rPr>
        <w:t xml:space="preserve">and </w:t>
      </w:r>
      <w:r w:rsidRPr="00487E72">
        <w:rPr>
          <w:shd w:val="clear" w:color="auto" w:fill="FFFFFF"/>
        </w:rPr>
        <w:t xml:space="preserve">Sears Holdings Corporation, </w:t>
      </w:r>
      <w:r>
        <w:rPr>
          <w:rFonts w:ascii="Helvetica" w:eastAsia="Helvetica" w:hAnsi="Helvetica" w:cs="Helvetica"/>
          <w:shd w:val="clear" w:color="auto" w:fill="FFFFFF"/>
        </w:rPr>
        <w:t>“</w:t>
      </w:r>
      <w:r w:rsidRPr="00487E72">
        <w:rPr>
          <w:shd w:val="clear" w:color="auto" w:fill="FFFFFF"/>
        </w:rPr>
        <w:t xml:space="preserve">Form 10-K </w:t>
      </w:r>
      <w:r>
        <w:rPr>
          <w:shd w:val="clear" w:color="auto" w:fill="FFFFFF"/>
        </w:rPr>
        <w:t>for the Fiscal Year Ended January 28, 2012</w:t>
      </w:r>
      <w:r w:rsidRPr="00487E72">
        <w:rPr>
          <w:shd w:val="clear" w:color="auto" w:fill="FFFFFF"/>
        </w:rPr>
        <w:t>,</w:t>
      </w:r>
      <w:r>
        <w:rPr>
          <w:rFonts w:ascii="Helvetica" w:eastAsia="Helvetica" w:hAnsi="Helvetica" w:cs="Helvetica"/>
          <w:shd w:val="clear" w:color="auto" w:fill="FFFFFF"/>
        </w:rPr>
        <w:t>”</w:t>
      </w:r>
      <w:r w:rsidRPr="00487E72">
        <w:rPr>
          <w:rFonts w:ascii="Helvetica" w:eastAsia="Helvetica" w:hAnsi="Helvetica" w:cs="Helvetica"/>
          <w:shd w:val="clear" w:color="auto" w:fill="FFFFFF"/>
        </w:rPr>
        <w:t xml:space="preserve"> 54, accessed March 21, 2017, https://searsholdings.com/docs/investor/SHC_2011_Form_10-K.pdf.</w:t>
      </w:r>
    </w:p>
  </w:endnote>
  <w:endnote w:id="32">
    <w:p w14:paraId="39CD44C0" w14:textId="4ACC0249" w:rsidR="00C121B8" w:rsidRPr="00487E72" w:rsidRDefault="00C121B8" w:rsidP="00C93305">
      <w:pPr>
        <w:pStyle w:val="Footnote"/>
        <w:jc w:val="both"/>
      </w:pPr>
      <w:r w:rsidRPr="001358C5">
        <w:rPr>
          <w:rStyle w:val="EndnoteReference"/>
          <w:b w:val="0"/>
          <w:color w:val="auto"/>
        </w:rPr>
        <w:endnoteRef/>
      </w:r>
      <w:r w:rsidRPr="00487E72">
        <w:t xml:space="preserve"> </w:t>
      </w:r>
      <w:r>
        <w:rPr>
          <w:shd w:val="clear" w:color="auto" w:fill="FFFFFF"/>
        </w:rPr>
        <w:t>Ibid.</w:t>
      </w:r>
    </w:p>
  </w:endnote>
  <w:endnote w:id="33">
    <w:p w14:paraId="12D3498D" w14:textId="13D1B15B" w:rsidR="00C121B8" w:rsidRPr="00487E72" w:rsidRDefault="00C121B8" w:rsidP="00C93305">
      <w:pPr>
        <w:pStyle w:val="Footnote"/>
        <w:jc w:val="both"/>
      </w:pPr>
      <w:r w:rsidRPr="001358C5">
        <w:rPr>
          <w:rStyle w:val="EndnoteReference"/>
          <w:b w:val="0"/>
          <w:color w:val="auto"/>
        </w:rPr>
        <w:endnoteRef/>
      </w:r>
      <w:r w:rsidRPr="00487E72">
        <w:t xml:space="preserve"> </w:t>
      </w:r>
      <w:r>
        <w:t xml:space="preserve">LinkedIn data reported by </w:t>
      </w:r>
      <w:r w:rsidRPr="00487E72">
        <w:t xml:space="preserve">Hayley Peterson, </w:t>
      </w:r>
      <w:r>
        <w:t>“</w:t>
      </w:r>
      <w:r w:rsidRPr="009F1DA7">
        <w:t>Inside Sears’ Death Spiral: How a Billionaire Who Was ‘the Next Warren Buffet’ Drove an Iconic American Brand to the Brink of Bankruptcy</w:t>
      </w:r>
      <w:r w:rsidRPr="00487E72">
        <w:t>,</w:t>
      </w:r>
      <w:r>
        <w:t>”</w:t>
      </w:r>
      <w:r w:rsidRPr="00487E72">
        <w:t xml:space="preserve"> </w:t>
      </w:r>
      <w:r w:rsidRPr="00487E72">
        <w:rPr>
          <w:i/>
        </w:rPr>
        <w:t>Business Insider</w:t>
      </w:r>
      <w:r w:rsidRPr="00487E72">
        <w:t>, January 8, 2017, accessed May 12, 2017, www.businessinsider.in/Inside-Sears-death-spiral-how-a-billionaire-who-was-the-next-Warren-Buffet-drove-an-iconic-American-brand-to-the-brink-of-bankruptcy/articleshow/56405670.cms.</w:t>
      </w:r>
    </w:p>
  </w:endnote>
  <w:endnote w:id="34">
    <w:p w14:paraId="188601E6" w14:textId="388B1AAB" w:rsidR="00C121B8" w:rsidRPr="00487E72" w:rsidRDefault="00C121B8" w:rsidP="00C93305">
      <w:pPr>
        <w:pStyle w:val="Footnote"/>
        <w:jc w:val="both"/>
        <w:rPr>
          <w:lang w:val="en-IN"/>
        </w:rPr>
      </w:pPr>
      <w:r w:rsidRPr="001358C5">
        <w:rPr>
          <w:rStyle w:val="EndnoteReference"/>
          <w:b w:val="0"/>
          <w:color w:val="auto"/>
        </w:rPr>
        <w:endnoteRef/>
      </w:r>
      <w:r w:rsidRPr="00487E72">
        <w:t xml:space="preserve"> Corilyn Shropshire, </w:t>
      </w:r>
      <w:r>
        <w:t>“</w:t>
      </w:r>
      <w:r w:rsidRPr="00487E72">
        <w:t>Sears CEO D</w:t>
      </w:r>
      <w:r>
        <w:t>’</w:t>
      </w:r>
      <w:r w:rsidRPr="00487E72">
        <w:t xml:space="preserve">Ambrosio to </w:t>
      </w:r>
      <w:r>
        <w:t>S</w:t>
      </w:r>
      <w:r w:rsidRPr="00487E72">
        <w:t xml:space="preserve">tep </w:t>
      </w:r>
      <w:r>
        <w:t>D</w:t>
      </w:r>
      <w:r w:rsidRPr="00487E72">
        <w:t>own,</w:t>
      </w:r>
      <w:r>
        <w:t>”</w:t>
      </w:r>
      <w:r w:rsidRPr="00487E72">
        <w:t xml:space="preserve"> </w:t>
      </w:r>
      <w:r w:rsidRPr="006E42DF">
        <w:rPr>
          <w:i/>
        </w:rPr>
        <w:t>Chicago Tribune</w:t>
      </w:r>
      <w:r w:rsidRPr="00487E72">
        <w:t>, January 8, 2013, accessed May 23, 2017, http://articles.chicagotribune.com/2013-01-08/business/chi-sears-ceo-dambrosio-to-step-down-20130107_1_sears-holdings-chairman-edward-lampert-kmart-and-sears-roebuck.</w:t>
      </w:r>
    </w:p>
  </w:endnote>
  <w:endnote w:id="35">
    <w:p w14:paraId="419BB149" w14:textId="6E8DA6E7" w:rsidR="00C121B8" w:rsidRDefault="00C121B8" w:rsidP="00C93305">
      <w:pPr>
        <w:pStyle w:val="Footnote"/>
        <w:jc w:val="both"/>
      </w:pPr>
      <w:r w:rsidRPr="001358C5">
        <w:rPr>
          <w:rStyle w:val="EndnoteReference"/>
          <w:b w:val="0"/>
          <w:color w:val="auto"/>
        </w:rPr>
        <w:endnoteRef/>
      </w:r>
      <w:r>
        <w:t xml:space="preserve"> Yuval Rosenberg, “The Man Behind the Deal,” CNN Money, November 17, 2004, accessed May 8, 2019, </w:t>
      </w:r>
      <w:r w:rsidRPr="00487E72">
        <w:t>www.businessinsider.in/Warren-Buffett-predicted-the-fall-of-Eddie-Lampert-and-Sears-over-10-years-ago/articleshow/56295377.cms</w:t>
      </w:r>
      <w:r>
        <w:t>.</w:t>
      </w:r>
    </w:p>
  </w:endnote>
  <w:endnote w:id="36">
    <w:p w14:paraId="6803833C" w14:textId="4B48EA9F" w:rsidR="00C121B8" w:rsidRPr="00487E72" w:rsidRDefault="00C121B8" w:rsidP="00C93305">
      <w:pPr>
        <w:pStyle w:val="Footnote"/>
        <w:jc w:val="both"/>
        <w:rPr>
          <w:lang w:val="en-IN"/>
        </w:rPr>
      </w:pPr>
      <w:r w:rsidRPr="001358C5">
        <w:rPr>
          <w:rStyle w:val="EndnoteReference"/>
          <w:b w:val="0"/>
          <w:color w:val="auto"/>
        </w:rPr>
        <w:endnoteRef/>
      </w:r>
      <w:r w:rsidRPr="00487E72">
        <w:t xml:space="preserve"> Bob Bryan, </w:t>
      </w:r>
      <w:r>
        <w:t>“</w:t>
      </w:r>
      <w:r w:rsidRPr="009F1DA7">
        <w:t>Warren Buffett Predicted the Fall of Eddie Lampert and Sears over 10 Years Ago</w:t>
      </w:r>
      <w:r w:rsidRPr="00487E72">
        <w:t>,</w:t>
      </w:r>
      <w:r>
        <w:t>”</w:t>
      </w:r>
      <w:r w:rsidRPr="00487E72">
        <w:t xml:space="preserve"> </w:t>
      </w:r>
      <w:r w:rsidRPr="006E42DF">
        <w:rPr>
          <w:i/>
        </w:rPr>
        <w:t>Business Insider</w:t>
      </w:r>
      <w:r w:rsidRPr="00487E72">
        <w:t>, January 2, 2017, accessed May 23, 2017, www.businessinsider.in/Warren-Buffett-predicted-the-fall-of-Eddie-Lampert-and-Sears-over-10-years-ago/articleshow/56295377.cms.</w:t>
      </w:r>
    </w:p>
  </w:endnote>
  <w:endnote w:id="37">
    <w:p w14:paraId="69CE74DA" w14:textId="475DB598" w:rsidR="00C121B8" w:rsidRPr="00487E72" w:rsidRDefault="00C121B8" w:rsidP="00C93305">
      <w:pPr>
        <w:pStyle w:val="Footnote"/>
        <w:jc w:val="both"/>
        <w:rPr>
          <w:lang w:val="en-IN"/>
        </w:rPr>
      </w:pPr>
      <w:r w:rsidRPr="00C93305">
        <w:rPr>
          <w:rStyle w:val="EndnoteReference"/>
          <w:b w:val="0"/>
          <w:color w:val="auto"/>
        </w:rPr>
        <w:endnoteRef/>
      </w:r>
      <w:r w:rsidRPr="00487E72">
        <w:t xml:space="preserve"> Nathan Bomey, </w:t>
      </w:r>
      <w:r>
        <w:t>“</w:t>
      </w:r>
      <w:r w:rsidRPr="00487E72">
        <w:t xml:space="preserve">How Sears CEO Lampert </w:t>
      </w:r>
      <w:r>
        <w:t>C</w:t>
      </w:r>
      <w:r w:rsidRPr="00487E72">
        <w:t xml:space="preserve">ashes in as </w:t>
      </w:r>
      <w:r>
        <w:t>S</w:t>
      </w:r>
      <w:r w:rsidRPr="00487E72">
        <w:t xml:space="preserve">tores </w:t>
      </w:r>
      <w:r>
        <w:t>C</w:t>
      </w:r>
      <w:r w:rsidRPr="00487E72">
        <w:t xml:space="preserve">ash </w:t>
      </w:r>
      <w:r>
        <w:t>O</w:t>
      </w:r>
      <w:r w:rsidRPr="00487E72">
        <w:t>ut,</w:t>
      </w:r>
      <w:r>
        <w:t>”</w:t>
      </w:r>
      <w:r w:rsidRPr="00487E72">
        <w:t xml:space="preserve"> CNBC, March 22, 2017, accessed May 24, 2017, www.cnbc.com/2017/03/22/how-sears-ceo-lampert-cashes-in-as-stores-cash-out.html.</w:t>
      </w:r>
    </w:p>
  </w:endnote>
  <w:endnote w:id="38">
    <w:p w14:paraId="3065CA27" w14:textId="36338CCE" w:rsidR="00C121B8" w:rsidRPr="00487E72" w:rsidRDefault="00C121B8" w:rsidP="00C93305">
      <w:pPr>
        <w:pStyle w:val="Footnote"/>
        <w:jc w:val="both"/>
        <w:rPr>
          <w:lang w:val="en-IN"/>
        </w:rPr>
      </w:pPr>
      <w:r w:rsidRPr="00C93305">
        <w:rPr>
          <w:rStyle w:val="EndnoteReference"/>
          <w:b w:val="0"/>
          <w:color w:val="auto"/>
        </w:rPr>
        <w:endnoteRef/>
      </w:r>
      <w:r w:rsidRPr="00487E72">
        <w:t xml:space="preserve"> Hayley Peterson, </w:t>
      </w:r>
      <w:r>
        <w:t>“</w:t>
      </w:r>
      <w:r w:rsidRPr="00487E72">
        <w:t>Inside Sears</w:t>
      </w:r>
      <w:r>
        <w:t>’</w:t>
      </w:r>
      <w:r w:rsidRPr="00487E72">
        <w:t xml:space="preserve"> </w:t>
      </w:r>
      <w:r>
        <w:t>D</w:t>
      </w:r>
      <w:r w:rsidRPr="00487E72">
        <w:t xml:space="preserve">eath </w:t>
      </w:r>
      <w:r>
        <w:t>S</w:t>
      </w:r>
      <w:r w:rsidRPr="00487E72">
        <w:t>piral:</w:t>
      </w:r>
      <w:r>
        <w:t>,” op. cit.</w:t>
      </w:r>
      <w:r w:rsidRPr="00487E72">
        <w:t xml:space="preserve"> </w:t>
      </w:r>
    </w:p>
  </w:endnote>
  <w:endnote w:id="39">
    <w:p w14:paraId="4C0916C7" w14:textId="710C6E45" w:rsidR="00C121B8" w:rsidRPr="00487E72" w:rsidRDefault="00C121B8" w:rsidP="00C93305">
      <w:pPr>
        <w:pStyle w:val="Footnote"/>
        <w:jc w:val="both"/>
        <w:rPr>
          <w:lang w:val="en-IN"/>
        </w:rPr>
      </w:pPr>
      <w:r w:rsidRPr="00C93305">
        <w:rPr>
          <w:rStyle w:val="EndnoteReference"/>
          <w:b w:val="0"/>
          <w:color w:val="auto"/>
        </w:rPr>
        <w:endnoteRef/>
      </w:r>
      <w:r w:rsidRPr="00487E72">
        <w:t xml:space="preserve"> Robert Channick, </w:t>
      </w:r>
      <w:r>
        <w:t>“</w:t>
      </w:r>
      <w:r w:rsidRPr="009F1DA7">
        <w:t>Sears Lawsuit Alleges Store Sales to Benefit CEO</w:t>
      </w:r>
      <w:r w:rsidRPr="00487E72">
        <w:t>,</w:t>
      </w:r>
      <w:r>
        <w:t>”</w:t>
      </w:r>
      <w:r w:rsidRPr="00487E72">
        <w:t xml:space="preserve"> </w:t>
      </w:r>
      <w:r w:rsidRPr="00487E72">
        <w:rPr>
          <w:i/>
        </w:rPr>
        <w:t>Chicago Tribune</w:t>
      </w:r>
      <w:r w:rsidRPr="00487E72">
        <w:t>, June 1, 2015, accessed May 21, 2017, www.chicagotribune.com/business/ct-sears-0602-biz-20150601-story.html.</w:t>
      </w:r>
    </w:p>
  </w:endnote>
  <w:endnote w:id="40">
    <w:p w14:paraId="13BBBD9E" w14:textId="3C2958D6" w:rsidR="00C121B8" w:rsidRPr="00487E72" w:rsidRDefault="00C121B8" w:rsidP="00C93305">
      <w:pPr>
        <w:pStyle w:val="Footnote"/>
        <w:jc w:val="both"/>
      </w:pPr>
      <w:r w:rsidRPr="00C93305">
        <w:rPr>
          <w:rStyle w:val="EndnoteReference"/>
          <w:b w:val="0"/>
          <w:color w:val="auto"/>
        </w:rPr>
        <w:endnoteRef/>
      </w:r>
      <w:r w:rsidRPr="00487E72">
        <w:t xml:space="preserve"> Hayley Peterson, </w:t>
      </w:r>
      <w:r>
        <w:t>“</w:t>
      </w:r>
      <w:r w:rsidRPr="00487E72">
        <w:t>Inside Sears</w:t>
      </w:r>
      <w:r>
        <w:t>’</w:t>
      </w:r>
      <w:r w:rsidRPr="00487E72">
        <w:t xml:space="preserve"> </w:t>
      </w:r>
      <w:r>
        <w:t>D</w:t>
      </w:r>
      <w:r w:rsidRPr="00487E72">
        <w:t xml:space="preserve">eath </w:t>
      </w:r>
      <w:r>
        <w:t>S</w:t>
      </w:r>
      <w:r w:rsidRPr="00487E72">
        <w:t>piral:</w:t>
      </w:r>
      <w:r>
        <w:t>,” op. cit.</w:t>
      </w:r>
    </w:p>
  </w:endnote>
  <w:endnote w:id="41">
    <w:p w14:paraId="1C6F49D5" w14:textId="5515FCD2" w:rsidR="00C121B8" w:rsidRPr="00C93305" w:rsidRDefault="00C121B8" w:rsidP="00C93305">
      <w:pPr>
        <w:pStyle w:val="Footnote"/>
        <w:jc w:val="both"/>
        <w:rPr>
          <w:rStyle w:val="EndnoteReference"/>
          <w:b w:val="0"/>
          <w:vertAlign w:val="baseline"/>
        </w:rPr>
      </w:pPr>
      <w:r w:rsidRPr="00C93305">
        <w:rPr>
          <w:rStyle w:val="EndnoteReference"/>
          <w:b w:val="0"/>
          <w:color w:val="auto"/>
        </w:rPr>
        <w:endnoteRef/>
      </w:r>
      <w:r w:rsidRPr="00C93305">
        <w:rPr>
          <w:rStyle w:val="EndnoteReference"/>
          <w:b w:val="0"/>
          <w:vertAlign w:val="baseline"/>
        </w:rPr>
        <w:t xml:space="preserve"> </w:t>
      </w:r>
      <w:r w:rsidRPr="00C93305">
        <w:rPr>
          <w:rStyle w:val="EndnoteReference"/>
          <w:b w:val="0"/>
          <w:color w:val="000000" w:themeColor="text1"/>
          <w:vertAlign w:val="baseline"/>
        </w:rPr>
        <w:t>“Sears Holdings Corporation Completes Partial Spin-Off Of Its Interest In Sears Canada Inc.,” Sears Holding Corporation, accessed May 21, 2017, https://searsholdings.com/press-releases/pr/298</w:t>
      </w:r>
      <w:r>
        <w:rPr>
          <w:color w:val="000000" w:themeColor="text1"/>
        </w:rPr>
        <w:t>.</w:t>
      </w:r>
    </w:p>
  </w:endnote>
  <w:endnote w:id="42">
    <w:p w14:paraId="24660A67" w14:textId="0A6AA931" w:rsidR="00C121B8" w:rsidRPr="00B9683F" w:rsidRDefault="00C121B8" w:rsidP="00C93305">
      <w:pPr>
        <w:pStyle w:val="Footnote"/>
        <w:jc w:val="both"/>
        <w:rPr>
          <w:lang w:val="en-US"/>
        </w:rPr>
      </w:pPr>
      <w:r w:rsidRPr="00C93305">
        <w:rPr>
          <w:rStyle w:val="EndnoteReference"/>
          <w:b w:val="0"/>
          <w:color w:val="auto"/>
        </w:rPr>
        <w:endnoteRef/>
      </w:r>
      <w:r w:rsidRPr="00C93305">
        <w:rPr>
          <w:b/>
        </w:rPr>
        <w:t xml:space="preserve"> </w:t>
      </w:r>
      <w:r w:rsidRPr="000968A8">
        <w:t xml:space="preserve">Sophia Harris, “$509M paid to Sears Canada shareholders could be subject of court case,” CBC, November 08, 2018, accessed Nov 29, 2018, </w:t>
      </w:r>
      <w:r>
        <w:t>www</w:t>
      </w:r>
      <w:r w:rsidRPr="000968A8">
        <w:t>.cbc.ca/news/business/sears-canada-eddie-lampert-dividends-shareholders-1.4896425</w:t>
      </w:r>
      <w:r>
        <w:t>.</w:t>
      </w:r>
    </w:p>
  </w:endnote>
  <w:endnote w:id="43">
    <w:p w14:paraId="79A9C723" w14:textId="21F3F052" w:rsidR="00C121B8" w:rsidRPr="00B9683F" w:rsidRDefault="00C121B8" w:rsidP="00C93305">
      <w:pPr>
        <w:pStyle w:val="Footnote"/>
        <w:jc w:val="both"/>
        <w:rPr>
          <w:lang w:val="en-US"/>
        </w:rPr>
      </w:pPr>
      <w:r w:rsidRPr="00C93305">
        <w:rPr>
          <w:rStyle w:val="EndnoteReference"/>
          <w:b w:val="0"/>
          <w:color w:val="auto"/>
        </w:rPr>
        <w:endnoteRef/>
      </w:r>
      <w:r w:rsidRPr="00C93305">
        <w:rPr>
          <w:b/>
          <w:lang w:val="en-US"/>
        </w:rPr>
        <w:t xml:space="preserve"> </w:t>
      </w:r>
      <w:r>
        <w:rPr>
          <w:rFonts w:eastAsia="Helvetica"/>
          <w:lang w:val="en-US"/>
        </w:rPr>
        <w:t>“</w:t>
      </w:r>
      <w:r w:rsidRPr="00A021B9">
        <w:rPr>
          <w:rFonts w:eastAsia="Helvetica"/>
          <w:lang w:val="en-US"/>
        </w:rPr>
        <w:t>Sears Canada Is Still Losing Money, but Online Offers a Bright Spot</w:t>
      </w:r>
      <w:r w:rsidRPr="00AF439C">
        <w:rPr>
          <w:rFonts w:eastAsia="Helvetica"/>
          <w:lang w:val="en-US"/>
        </w:rPr>
        <w:t>,</w:t>
      </w:r>
      <w:r>
        <w:rPr>
          <w:rFonts w:eastAsia="Helvetica"/>
          <w:lang w:val="en-US"/>
        </w:rPr>
        <w:t>”</w:t>
      </w:r>
      <w:r w:rsidRPr="00AF439C">
        <w:rPr>
          <w:rFonts w:eastAsia="Helvetica"/>
          <w:lang w:val="en-US"/>
        </w:rPr>
        <w:t xml:space="preserve"> </w:t>
      </w:r>
      <w:r>
        <w:rPr>
          <w:rFonts w:eastAsia="Helvetica"/>
          <w:lang w:val="en-US"/>
        </w:rPr>
        <w:t>Global News</w:t>
      </w:r>
      <w:r w:rsidRPr="00AF439C">
        <w:rPr>
          <w:rFonts w:eastAsia="Helvetica"/>
          <w:lang w:val="en-US"/>
        </w:rPr>
        <w:t xml:space="preserve">, </w:t>
      </w:r>
      <w:r>
        <w:rPr>
          <w:rFonts w:eastAsia="Helvetica"/>
          <w:lang w:val="en-US"/>
        </w:rPr>
        <w:t xml:space="preserve">May 20, 2015, </w:t>
      </w:r>
      <w:r w:rsidRPr="00AF439C">
        <w:rPr>
          <w:rFonts w:eastAsia="Helvetica"/>
          <w:lang w:val="en-US"/>
        </w:rPr>
        <w:t xml:space="preserve">accessed </w:t>
      </w:r>
      <w:r>
        <w:rPr>
          <w:rFonts w:eastAsia="Helvetica"/>
          <w:lang w:val="en-US"/>
        </w:rPr>
        <w:t>May</w:t>
      </w:r>
      <w:r w:rsidRPr="00AF439C">
        <w:rPr>
          <w:rFonts w:eastAsia="Helvetica"/>
          <w:lang w:val="en-US"/>
        </w:rPr>
        <w:t xml:space="preserve"> 2</w:t>
      </w:r>
      <w:r>
        <w:rPr>
          <w:rFonts w:eastAsia="Helvetica"/>
          <w:lang w:val="en-US"/>
        </w:rPr>
        <w:t>8</w:t>
      </w:r>
      <w:r w:rsidRPr="00AF439C">
        <w:rPr>
          <w:rFonts w:eastAsia="Helvetica"/>
          <w:lang w:val="en-US"/>
        </w:rPr>
        <w:t>, 201</w:t>
      </w:r>
      <w:r>
        <w:rPr>
          <w:rFonts w:eastAsia="Helvetica"/>
          <w:lang w:val="en-US"/>
        </w:rPr>
        <w:t>7</w:t>
      </w:r>
      <w:r w:rsidRPr="00AF439C">
        <w:rPr>
          <w:rFonts w:eastAsia="Helvetica"/>
          <w:lang w:val="en-US"/>
        </w:rPr>
        <w:t xml:space="preserve">, </w:t>
      </w:r>
      <w:r w:rsidRPr="00386CBD">
        <w:rPr>
          <w:rFonts w:eastAsia="Helvetica"/>
          <w:lang w:val="en-US"/>
        </w:rPr>
        <w:t>https://globalnews.ca/news/2007115/sears-canada-is-still-losing-money-but-online-offers-a-bright-spot</w:t>
      </w:r>
      <w:r>
        <w:rPr>
          <w:rFonts w:eastAsia="Helvetica"/>
          <w:lang w:val="en-US"/>
        </w:rPr>
        <w:t>.</w:t>
      </w:r>
    </w:p>
  </w:endnote>
  <w:endnote w:id="44">
    <w:p w14:paraId="014992FD" w14:textId="52F1D86C" w:rsidR="00C121B8" w:rsidRPr="00B9683F" w:rsidRDefault="00C121B8" w:rsidP="00C93305">
      <w:pPr>
        <w:pStyle w:val="Footnote"/>
        <w:jc w:val="both"/>
        <w:rPr>
          <w:lang w:val="en-US"/>
        </w:rPr>
      </w:pPr>
      <w:r w:rsidRPr="00C93305">
        <w:rPr>
          <w:rStyle w:val="EndnoteReference"/>
          <w:b w:val="0"/>
          <w:color w:val="auto"/>
        </w:rPr>
        <w:endnoteRef/>
      </w:r>
      <w:r>
        <w:t xml:space="preserve"> </w:t>
      </w:r>
      <w:r>
        <w:rPr>
          <w:lang w:val="en-US"/>
        </w:rPr>
        <w:t xml:space="preserve">Tiffany </w:t>
      </w:r>
      <w:r>
        <w:t xml:space="preserve">Hsu, op. cit. </w:t>
      </w:r>
    </w:p>
  </w:endnote>
  <w:endnote w:id="45">
    <w:p w14:paraId="7E989E64" w14:textId="04EF360B" w:rsidR="00C121B8" w:rsidRPr="00B9683F" w:rsidRDefault="00C121B8" w:rsidP="00C93305">
      <w:pPr>
        <w:pStyle w:val="Footnote"/>
        <w:jc w:val="both"/>
        <w:rPr>
          <w:lang w:val="en-US"/>
        </w:rPr>
      </w:pPr>
      <w:r w:rsidRPr="00C93305">
        <w:rPr>
          <w:rStyle w:val="EndnoteReference"/>
          <w:b w:val="0"/>
          <w:color w:val="auto"/>
        </w:rPr>
        <w:endnoteRef/>
      </w:r>
      <w:r w:rsidRPr="00C93305">
        <w:rPr>
          <w:b/>
        </w:rPr>
        <w:t xml:space="preserve"> </w:t>
      </w:r>
      <w:r>
        <w:t xml:space="preserve">Hayley Peterson, “Sears Sells Iconic Craftsman Brand for $900 Million,” </w:t>
      </w:r>
      <w:r w:rsidRPr="006E42DF">
        <w:rPr>
          <w:i/>
        </w:rPr>
        <w:t>Business Insider</w:t>
      </w:r>
      <w:r>
        <w:t xml:space="preserve">, January 5, 2017, accessed May 8, 2019, </w:t>
      </w:r>
      <w:r w:rsidRPr="00A56AA1">
        <w:t>www.businessinsider.com/sears-sells-craftsman-brand-for-900-million-2017-1</w:t>
      </w:r>
      <w:r>
        <w:t>.</w:t>
      </w:r>
    </w:p>
  </w:endnote>
  <w:endnote w:id="46">
    <w:p w14:paraId="40016228" w14:textId="67F909E7" w:rsidR="00C121B8" w:rsidRPr="00B9683F" w:rsidRDefault="00C121B8" w:rsidP="00C93305">
      <w:pPr>
        <w:pStyle w:val="Footnote"/>
        <w:jc w:val="both"/>
        <w:rPr>
          <w:lang w:val="en-US"/>
        </w:rPr>
      </w:pPr>
      <w:r w:rsidRPr="00C93305">
        <w:rPr>
          <w:rStyle w:val="EndnoteReference"/>
          <w:b w:val="0"/>
          <w:color w:val="auto"/>
        </w:rPr>
        <w:endnoteRef/>
      </w:r>
      <w:r w:rsidRPr="00C93305">
        <w:rPr>
          <w:b/>
        </w:rPr>
        <w:t xml:space="preserve"> </w:t>
      </w:r>
      <w:r>
        <w:rPr>
          <w:lang w:val="en-US"/>
        </w:rPr>
        <w:t>Michael Corkery</w:t>
      </w:r>
      <w:r w:rsidRPr="00AF439C">
        <w:rPr>
          <w:lang w:val="en-US"/>
        </w:rPr>
        <w:t xml:space="preserve">, </w:t>
      </w:r>
      <w:r>
        <w:rPr>
          <w:rFonts w:eastAsia="Helvetica"/>
          <w:lang w:val="en-US"/>
        </w:rPr>
        <w:t>“</w:t>
      </w:r>
      <w:r w:rsidRPr="00004553">
        <w:rPr>
          <w:rFonts w:eastAsia="Helvetica"/>
          <w:lang w:val="en-US"/>
        </w:rPr>
        <w:t>Sears, the Original Everything Store, Files for Bankruptcy</w:t>
      </w:r>
      <w:r w:rsidRPr="00AF439C">
        <w:rPr>
          <w:rFonts w:eastAsia="Helvetica"/>
          <w:lang w:val="en-US"/>
        </w:rPr>
        <w:t>,</w:t>
      </w:r>
      <w:r>
        <w:rPr>
          <w:rFonts w:eastAsia="Helvetica"/>
          <w:lang w:val="en-US"/>
        </w:rPr>
        <w:t>”</w:t>
      </w:r>
      <w:r w:rsidRPr="00AF439C">
        <w:rPr>
          <w:rFonts w:eastAsia="Helvetica"/>
          <w:lang w:val="en-US"/>
        </w:rPr>
        <w:t xml:space="preserve"> </w:t>
      </w:r>
      <w:r w:rsidRPr="006E42DF">
        <w:rPr>
          <w:rFonts w:eastAsia="Helvetica"/>
          <w:i/>
          <w:lang w:val="en-US"/>
        </w:rPr>
        <w:t>New York Times</w:t>
      </w:r>
      <w:r w:rsidRPr="00AF439C">
        <w:rPr>
          <w:rFonts w:eastAsia="Helvetica"/>
          <w:lang w:val="en-US"/>
        </w:rPr>
        <w:t>,</w:t>
      </w:r>
      <w:r>
        <w:rPr>
          <w:rFonts w:eastAsia="Helvetica"/>
          <w:lang w:val="en-US"/>
        </w:rPr>
        <w:t xml:space="preserve"> October 14, 2018,</w:t>
      </w:r>
      <w:r w:rsidRPr="00AF439C">
        <w:rPr>
          <w:rFonts w:eastAsia="Helvetica"/>
          <w:lang w:val="en-US"/>
        </w:rPr>
        <w:t xml:space="preserve"> accessed Nov</w:t>
      </w:r>
      <w:r>
        <w:rPr>
          <w:rFonts w:eastAsia="Helvetica"/>
          <w:lang w:val="en-US"/>
        </w:rPr>
        <w:t>ember</w:t>
      </w:r>
      <w:r w:rsidRPr="00AF439C">
        <w:rPr>
          <w:rFonts w:eastAsia="Helvetica"/>
          <w:lang w:val="en-US"/>
        </w:rPr>
        <w:t xml:space="preserve"> 29, 2018, </w:t>
      </w:r>
      <w:r w:rsidRPr="00004553">
        <w:rPr>
          <w:rFonts w:eastAsia="Helvetica"/>
          <w:lang w:val="en-US"/>
        </w:rPr>
        <w:t>www.nytimes.com/2018/10/14/business/sears-bankruptcy-filing-chapter-11.html</w:t>
      </w:r>
      <w:r>
        <w:rPr>
          <w:rFonts w:eastAsia="Helvetica"/>
          <w:lang w:val="en-US"/>
        </w:rPr>
        <w:t>.</w:t>
      </w:r>
    </w:p>
  </w:endnote>
  <w:endnote w:id="47">
    <w:p w14:paraId="101F7944" w14:textId="110D6A93" w:rsidR="00C121B8" w:rsidRPr="00487E72" w:rsidRDefault="00C121B8" w:rsidP="00C93305">
      <w:pPr>
        <w:pStyle w:val="Footnote"/>
        <w:jc w:val="both"/>
      </w:pPr>
      <w:r w:rsidRPr="00C93305">
        <w:rPr>
          <w:rStyle w:val="EndnoteReference"/>
          <w:b w:val="0"/>
          <w:color w:val="auto"/>
        </w:rPr>
        <w:endnoteRef/>
      </w:r>
      <w:r w:rsidRPr="00C93305">
        <w:rPr>
          <w:b/>
        </w:rPr>
        <w:t xml:space="preserve"> </w:t>
      </w:r>
      <w:r w:rsidRPr="00487E72">
        <w:t xml:space="preserve">Hayley Peterson, </w:t>
      </w:r>
      <w:r>
        <w:t>“</w:t>
      </w:r>
      <w:r w:rsidRPr="00487E72">
        <w:t>Inside Sears</w:t>
      </w:r>
      <w:r>
        <w:t>’</w:t>
      </w:r>
      <w:r w:rsidRPr="00487E72">
        <w:t xml:space="preserve"> </w:t>
      </w:r>
      <w:r>
        <w:t>D</w:t>
      </w:r>
      <w:r w:rsidRPr="00487E72">
        <w:t xml:space="preserve">eath </w:t>
      </w:r>
      <w:r>
        <w:t>S</w:t>
      </w:r>
      <w:r w:rsidRPr="00487E72">
        <w:t>piral:</w:t>
      </w:r>
      <w:r>
        <w:t>,” op. cit.</w:t>
      </w:r>
      <w:r w:rsidRPr="00487E72">
        <w:t xml:space="preserve"> </w:t>
      </w:r>
    </w:p>
  </w:endnote>
  <w:endnote w:id="48">
    <w:p w14:paraId="227BEC4A" w14:textId="57FDCED0" w:rsidR="00C121B8" w:rsidRPr="004326A5" w:rsidRDefault="00C121B8" w:rsidP="00C93305">
      <w:pPr>
        <w:pStyle w:val="Footnote"/>
        <w:jc w:val="both"/>
        <w:rPr>
          <w:spacing w:val="-4"/>
          <w:kern w:val="17"/>
          <w:lang w:val="en-IN"/>
        </w:rPr>
      </w:pPr>
      <w:r w:rsidRPr="004326A5">
        <w:rPr>
          <w:rStyle w:val="EndnoteReference"/>
          <w:b w:val="0"/>
          <w:color w:val="auto"/>
          <w:spacing w:val="-4"/>
          <w:kern w:val="17"/>
        </w:rPr>
        <w:endnoteRef/>
      </w:r>
      <w:r w:rsidRPr="004326A5">
        <w:rPr>
          <w:spacing w:val="-4"/>
          <w:kern w:val="17"/>
        </w:rPr>
        <w:t xml:space="preserve"> Lauren Coleman-Lochner, “Sears Crowning Lampert Defies Critics of Stalled Comeback,” Bloomberg, January 9, 2013, accessed May 21, 2017, www.bloomberg.com/news/articles/2013-01-08/sears-names-edward-lampert-ceo-as-d-ambrosio-steps-down.</w:t>
      </w:r>
    </w:p>
  </w:endnote>
  <w:endnote w:id="49">
    <w:p w14:paraId="4F7E898A" w14:textId="6FE6CBCF" w:rsidR="00C121B8" w:rsidRPr="0030487D" w:rsidRDefault="00C121B8" w:rsidP="00C93305">
      <w:pPr>
        <w:pStyle w:val="Footnote"/>
        <w:jc w:val="both"/>
      </w:pPr>
      <w:r w:rsidRPr="00C93305">
        <w:rPr>
          <w:rStyle w:val="EndnoteReference"/>
          <w:b w:val="0"/>
          <w:color w:val="auto"/>
        </w:rPr>
        <w:endnoteRef/>
      </w:r>
      <w:r w:rsidRPr="00487E72">
        <w:rPr>
          <w:rFonts w:ascii="Times" w:hAnsi="Times"/>
          <w:sz w:val="18"/>
          <w:szCs w:val="18"/>
        </w:rPr>
        <w:t xml:space="preserve"> </w:t>
      </w:r>
      <w:r w:rsidRPr="0030487D">
        <w:t xml:space="preserve">Sears Holdings Corporation, </w:t>
      </w:r>
      <w:r>
        <w:rPr>
          <w:rFonts w:eastAsia="Helvetica"/>
        </w:rPr>
        <w:t>“</w:t>
      </w:r>
      <w:r w:rsidRPr="0030487D">
        <w:rPr>
          <w:rFonts w:eastAsia="Helvetica"/>
        </w:rPr>
        <w:t xml:space="preserve">Sears Holdings Announces Steps </w:t>
      </w:r>
      <w:r>
        <w:rPr>
          <w:rFonts w:eastAsia="Helvetica"/>
        </w:rPr>
        <w:t>t</w:t>
      </w:r>
      <w:r w:rsidRPr="0030487D">
        <w:rPr>
          <w:rFonts w:eastAsia="Helvetica"/>
        </w:rPr>
        <w:t>o Enhance Liquidity, Stabilize Operating Performance</w:t>
      </w:r>
      <w:r w:rsidRPr="0030487D">
        <w:t>,</w:t>
      </w:r>
      <w:r>
        <w:rPr>
          <w:rFonts w:eastAsia="Helvetica"/>
        </w:rPr>
        <w:t>”</w:t>
      </w:r>
      <w:r w:rsidRPr="0030487D">
        <w:t xml:space="preserve"> </w:t>
      </w:r>
      <w:r>
        <w:t>press release</w:t>
      </w:r>
      <w:r w:rsidRPr="0030487D">
        <w:t>, January 5, 2017, accessed April 7, 2017, https://searsholdings.com/press-releases/pr/2024</w:t>
      </w:r>
      <w:r>
        <w:t>.</w:t>
      </w:r>
    </w:p>
  </w:endnote>
  <w:endnote w:id="50">
    <w:p w14:paraId="2E475AC6" w14:textId="1520731A" w:rsidR="00C121B8" w:rsidRPr="0030487D" w:rsidRDefault="00C121B8" w:rsidP="00C93305">
      <w:pPr>
        <w:pStyle w:val="Footnote"/>
        <w:jc w:val="both"/>
      </w:pPr>
      <w:r w:rsidRPr="00C93305">
        <w:rPr>
          <w:rStyle w:val="EndnoteReference"/>
          <w:b w:val="0"/>
          <w:color w:val="auto"/>
        </w:rPr>
        <w:endnoteRef/>
      </w:r>
      <w:r w:rsidRPr="00487E72">
        <w:rPr>
          <w:rFonts w:ascii="Times" w:hAnsi="Times"/>
          <w:sz w:val="18"/>
          <w:szCs w:val="18"/>
        </w:rPr>
        <w:t xml:space="preserve"> </w:t>
      </w:r>
      <w:r w:rsidRPr="0030487D">
        <w:t>Sears Holding</w:t>
      </w:r>
      <w:r>
        <w:t>s</w:t>
      </w:r>
      <w:r w:rsidRPr="0030487D">
        <w:t xml:space="preserve"> Corporation, </w:t>
      </w:r>
      <w:r>
        <w:t>“</w:t>
      </w:r>
      <w:r w:rsidRPr="0030487D">
        <w:t xml:space="preserve">Sears Holdings Outlines Next Phase </w:t>
      </w:r>
      <w:r>
        <w:t>o</w:t>
      </w:r>
      <w:r w:rsidRPr="0030487D">
        <w:t>f Its Strategic Transformation,</w:t>
      </w:r>
      <w:r>
        <w:t>”</w:t>
      </w:r>
      <w:r w:rsidRPr="0030487D">
        <w:t xml:space="preserve"> </w:t>
      </w:r>
      <w:r>
        <w:t>press release</w:t>
      </w:r>
      <w:r w:rsidRPr="0030487D">
        <w:t>, February 10, 2017, accessed May 4, 2017, http://searsholdings.com/press-releases/pr/2030.</w:t>
      </w:r>
    </w:p>
  </w:endnote>
  <w:endnote w:id="51">
    <w:p w14:paraId="02721934" w14:textId="42ACCB88" w:rsidR="00C121B8" w:rsidRPr="0030487D" w:rsidRDefault="00C121B8" w:rsidP="00C93305">
      <w:pPr>
        <w:pStyle w:val="Footnote"/>
        <w:jc w:val="both"/>
      </w:pPr>
      <w:r w:rsidRPr="00C93305">
        <w:rPr>
          <w:rStyle w:val="EndnoteReference"/>
          <w:b w:val="0"/>
          <w:color w:val="auto"/>
        </w:rPr>
        <w:endnoteRef/>
      </w:r>
      <w:r w:rsidRPr="00487E72">
        <w:rPr>
          <w:rFonts w:ascii="Times" w:hAnsi="Times"/>
          <w:sz w:val="18"/>
          <w:szCs w:val="18"/>
        </w:rPr>
        <w:t xml:space="preserve"> </w:t>
      </w:r>
      <w:r w:rsidRPr="0030487D">
        <w:t>Moody</w:t>
      </w:r>
      <w:r>
        <w:t>’</w:t>
      </w:r>
      <w:r w:rsidRPr="0030487D">
        <w:t>s Investor Service,</w:t>
      </w:r>
      <w:r>
        <w:t xml:space="preserve"> op. cit.</w:t>
      </w:r>
    </w:p>
  </w:endnote>
  <w:endnote w:id="52">
    <w:p w14:paraId="7924F683" w14:textId="3EF3F0FB" w:rsidR="00C121B8" w:rsidRDefault="00C121B8" w:rsidP="00C93305">
      <w:pPr>
        <w:pStyle w:val="Footnote"/>
        <w:jc w:val="both"/>
      </w:pPr>
      <w:r w:rsidRPr="00C93305">
        <w:rPr>
          <w:rStyle w:val="EndnoteReference"/>
          <w:b w:val="0"/>
          <w:color w:val="auto"/>
        </w:rPr>
        <w:endnoteRef/>
      </w:r>
      <w:r w:rsidRPr="00C93305">
        <w:rPr>
          <w:b/>
        </w:rPr>
        <w:t xml:space="preserve"> </w:t>
      </w:r>
      <w:r>
        <w:t xml:space="preserve">A rating of CC implied a “very high level of credit risk.” The Recovery Rating (RR) scale indicated the expected recovery of an obligation in the case of default, insolvency, or liquidation, with recovery ranked on a scale from 1 (best recovery) to 6 (poor to no recovery). Fitch Ratings, </w:t>
      </w:r>
      <w:r w:rsidRPr="006E42DF">
        <w:rPr>
          <w:i/>
        </w:rPr>
        <w:t>Rating Definitions</w:t>
      </w:r>
      <w:r>
        <w:t xml:space="preserve">, 2019, 21–24, accessed May 8, 2019, </w:t>
      </w:r>
      <w:r w:rsidRPr="00242187">
        <w:t>www.fitchratings.com/site/definitions</w:t>
      </w:r>
      <w:r>
        <w:t xml:space="preserve">. </w:t>
      </w:r>
    </w:p>
  </w:endnote>
  <w:endnote w:id="53">
    <w:p w14:paraId="751479D1" w14:textId="3EFE24CA" w:rsidR="00C121B8" w:rsidRPr="001358C5" w:rsidRDefault="00C121B8" w:rsidP="00C93305">
      <w:pPr>
        <w:pStyle w:val="Footnote"/>
        <w:jc w:val="both"/>
        <w:rPr>
          <w:lang w:val="en-US"/>
        </w:rPr>
      </w:pPr>
      <w:r w:rsidRPr="00C93305">
        <w:rPr>
          <w:rStyle w:val="EndnoteReference"/>
          <w:b w:val="0"/>
          <w:color w:val="auto"/>
        </w:rPr>
        <w:endnoteRef/>
      </w:r>
      <w:r>
        <w:t xml:space="preserve"> </w:t>
      </w:r>
      <w:r w:rsidRPr="001358C5">
        <w:t>EBITDA = earnings before interest, taxes, depreciation, and amortization.</w:t>
      </w:r>
    </w:p>
  </w:endnote>
  <w:endnote w:id="54">
    <w:p w14:paraId="6E3D8700" w14:textId="2F70AAD8" w:rsidR="00C121B8" w:rsidRPr="0030487D" w:rsidRDefault="00C121B8" w:rsidP="00C93305">
      <w:pPr>
        <w:pStyle w:val="Footnote"/>
        <w:jc w:val="both"/>
      </w:pPr>
      <w:r w:rsidRPr="00C93305">
        <w:rPr>
          <w:rStyle w:val="EndnoteReference"/>
          <w:b w:val="0"/>
          <w:color w:val="auto"/>
        </w:rPr>
        <w:endnoteRef/>
      </w:r>
      <w:r w:rsidRPr="00487E72">
        <w:rPr>
          <w:rFonts w:ascii="Times" w:hAnsi="Times"/>
          <w:sz w:val="18"/>
          <w:szCs w:val="18"/>
        </w:rPr>
        <w:t xml:space="preserve"> </w:t>
      </w:r>
      <w:r w:rsidRPr="0030487D">
        <w:t xml:space="preserve">Fitch Ratings, </w:t>
      </w:r>
      <w:r>
        <w:t>“</w:t>
      </w:r>
      <w:r w:rsidRPr="0030487D">
        <w:t xml:space="preserve">Fitch Affirms Sears Holdings at </w:t>
      </w:r>
      <w:r>
        <w:t>‘</w:t>
      </w:r>
      <w:r w:rsidRPr="0030487D">
        <w:t>CC</w:t>
      </w:r>
      <w:r>
        <w:t>’</w:t>
      </w:r>
      <w:r w:rsidRPr="0030487D">
        <w:t xml:space="preserve">; Downgrades Senior Unsecured Notes to </w:t>
      </w:r>
      <w:r>
        <w:t>‘</w:t>
      </w:r>
      <w:r w:rsidRPr="0030487D">
        <w:t>C/RR6</w:t>
      </w:r>
      <w:r>
        <w:t>,’”</w:t>
      </w:r>
      <w:r w:rsidRPr="0030487D">
        <w:t xml:space="preserve"> </w:t>
      </w:r>
      <w:r>
        <w:t>press release</w:t>
      </w:r>
      <w:r w:rsidRPr="0030487D">
        <w:t>, January 25, 2017, accessed April 29, 2017, www.fitchratings.com/site/pr/1018117.</w:t>
      </w:r>
    </w:p>
  </w:endnote>
  <w:endnote w:id="55">
    <w:p w14:paraId="49710429" w14:textId="1056FC42" w:rsidR="00C121B8" w:rsidRPr="00487E72" w:rsidRDefault="00C121B8" w:rsidP="00C93305">
      <w:pPr>
        <w:pStyle w:val="Footnote"/>
        <w:jc w:val="both"/>
        <w:rPr>
          <w:lang w:val="en-IN"/>
        </w:rPr>
      </w:pPr>
      <w:r w:rsidRPr="00C93305">
        <w:rPr>
          <w:rStyle w:val="EndnoteReference"/>
          <w:b w:val="0"/>
          <w:color w:val="auto"/>
        </w:rPr>
        <w:endnoteRef/>
      </w:r>
      <w:r w:rsidRPr="00487E72">
        <w:t xml:space="preserve"> Paula Rosenblum, </w:t>
      </w:r>
      <w:r>
        <w:t>“</w:t>
      </w:r>
      <w:r w:rsidRPr="00487E72">
        <w:t>Edward Lampert: Sears</w:t>
      </w:r>
      <w:r>
        <w:t>’</w:t>
      </w:r>
      <w:r w:rsidRPr="00487E72">
        <w:t xml:space="preserve"> Troubles Are Everyone</w:t>
      </w:r>
      <w:r>
        <w:t>’</w:t>
      </w:r>
      <w:r w:rsidRPr="00487E72">
        <w:t xml:space="preserve">s Fault </w:t>
      </w:r>
      <w:r>
        <w:t>b</w:t>
      </w:r>
      <w:r w:rsidRPr="00487E72">
        <w:t>ut Mine,</w:t>
      </w:r>
      <w:r>
        <w:t>”</w:t>
      </w:r>
      <w:r w:rsidRPr="00487E72">
        <w:t xml:space="preserve"> </w:t>
      </w:r>
      <w:r w:rsidRPr="00487E72">
        <w:rPr>
          <w:i/>
        </w:rPr>
        <w:t>Forbes</w:t>
      </w:r>
      <w:r w:rsidRPr="00487E72">
        <w:t>, May 10, 2017, accessed May 21, 2017, www.forbes.com/sites/paularosenblum/2017/05/10/sears-ceo-our-companys-troubles-are-everyones-fault-but-mine/#3769b70776b1.</w:t>
      </w:r>
    </w:p>
  </w:endnote>
  <w:endnote w:id="56">
    <w:p w14:paraId="0FB97EBA" w14:textId="27455E65" w:rsidR="00C121B8" w:rsidRPr="00487E72" w:rsidRDefault="00C121B8" w:rsidP="00C93305">
      <w:pPr>
        <w:pStyle w:val="Footnote"/>
        <w:jc w:val="both"/>
      </w:pPr>
      <w:r w:rsidRPr="00C93305">
        <w:rPr>
          <w:rStyle w:val="EndnoteReference"/>
          <w:b w:val="0"/>
          <w:color w:val="auto"/>
        </w:rPr>
        <w:endnoteRef/>
      </w:r>
      <w:r w:rsidRPr="00487E72">
        <w:t xml:space="preserve"> Hayley Peterson, </w:t>
      </w:r>
      <w:r>
        <w:t>“</w:t>
      </w:r>
      <w:r w:rsidRPr="00487E72">
        <w:t>Inside Sears</w:t>
      </w:r>
      <w:r>
        <w:t>’</w:t>
      </w:r>
      <w:r w:rsidRPr="00487E72">
        <w:t xml:space="preserve"> </w:t>
      </w:r>
      <w:r>
        <w:t>D</w:t>
      </w:r>
      <w:r w:rsidRPr="00487E72">
        <w:t xml:space="preserve">eath </w:t>
      </w:r>
      <w:r>
        <w:t>S</w:t>
      </w:r>
      <w:r w:rsidRPr="00487E72">
        <w:t>piral:</w:t>
      </w:r>
      <w:r>
        <w:t>,” op. cit.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DA1862" w14:textId="77777777" w:rsidR="00C121B8" w:rsidRDefault="00C121B8" w:rsidP="00D75295">
      <w:r>
        <w:separator/>
      </w:r>
    </w:p>
  </w:footnote>
  <w:footnote w:type="continuationSeparator" w:id="0">
    <w:p w14:paraId="1641F916" w14:textId="77777777" w:rsidR="00C121B8" w:rsidRDefault="00C121B8"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36715" w14:textId="62DD1077" w:rsidR="00C121B8" w:rsidRPr="00C92CC4" w:rsidRDefault="00C121B8"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567AC">
      <w:rPr>
        <w:rFonts w:ascii="Arial" w:hAnsi="Arial"/>
        <w:b/>
        <w:noProof/>
      </w:rPr>
      <w:t>15</w:t>
    </w:r>
    <w:r>
      <w:rPr>
        <w:rFonts w:ascii="Arial" w:hAnsi="Arial"/>
        <w:b/>
      </w:rPr>
      <w:fldChar w:fldCharType="end"/>
    </w:r>
    <w:r>
      <w:rPr>
        <w:rFonts w:ascii="Arial" w:hAnsi="Arial"/>
        <w:b/>
      </w:rPr>
      <w:tab/>
      <w:t>9B19B008</w:t>
    </w:r>
  </w:p>
  <w:p w14:paraId="2F967230" w14:textId="77777777" w:rsidR="00C121B8" w:rsidRDefault="00C121B8" w:rsidP="00D13667">
    <w:pPr>
      <w:pStyle w:val="Header"/>
      <w:tabs>
        <w:tab w:val="clear" w:pos="4680"/>
      </w:tabs>
      <w:rPr>
        <w:sz w:val="18"/>
        <w:szCs w:val="18"/>
      </w:rPr>
    </w:pPr>
  </w:p>
  <w:p w14:paraId="39A761F2" w14:textId="77777777" w:rsidR="00C121B8" w:rsidRPr="00C92CC4" w:rsidRDefault="00C121B8"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464C9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2BA48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483E8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9C91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D6DF7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74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47A98A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40FC6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4019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323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0955A05"/>
    <w:multiLevelType w:val="hybridMultilevel"/>
    <w:tmpl w:val="9A6CC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7"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8E11AF"/>
    <w:multiLevelType w:val="hybridMultilevel"/>
    <w:tmpl w:val="445AA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34"/>
  </w:num>
  <w:num w:numId="3">
    <w:abstractNumId w:val="32"/>
  </w:num>
  <w:num w:numId="4">
    <w:abstractNumId w:val="14"/>
  </w:num>
  <w:num w:numId="5">
    <w:abstractNumId w:val="26"/>
  </w:num>
  <w:num w:numId="6">
    <w:abstractNumId w:val="30"/>
  </w:num>
  <w:num w:numId="7">
    <w:abstractNumId w:val="23"/>
  </w:num>
  <w:num w:numId="8">
    <w:abstractNumId w:val="31"/>
  </w:num>
  <w:num w:numId="9">
    <w:abstractNumId w:val="11"/>
  </w:num>
  <w:num w:numId="10">
    <w:abstractNumId w:val="18"/>
  </w:num>
  <w:num w:numId="11">
    <w:abstractNumId w:val="12"/>
  </w:num>
  <w:num w:numId="12">
    <w:abstractNumId w:val="36"/>
  </w:num>
  <w:num w:numId="13">
    <w:abstractNumId w:val="15"/>
  </w:num>
  <w:num w:numId="14">
    <w:abstractNumId w:val="29"/>
  </w:num>
  <w:num w:numId="15">
    <w:abstractNumId w:val="37"/>
  </w:num>
  <w:num w:numId="16">
    <w:abstractNumId w:val="17"/>
  </w:num>
  <w:num w:numId="17">
    <w:abstractNumId w:val="25"/>
  </w:num>
  <w:num w:numId="18">
    <w:abstractNumId w:val="16"/>
  </w:num>
  <w:num w:numId="19">
    <w:abstractNumId w:val="20"/>
  </w:num>
  <w:num w:numId="20">
    <w:abstractNumId w:val="35"/>
  </w:num>
  <w:num w:numId="21">
    <w:abstractNumId w:val="27"/>
  </w:num>
  <w:num w:numId="22">
    <w:abstractNumId w:val="28"/>
  </w:num>
  <w:num w:numId="23">
    <w:abstractNumId w:val="10"/>
  </w:num>
  <w:num w:numId="24">
    <w:abstractNumId w:val="13"/>
  </w:num>
  <w:num w:numId="25">
    <w:abstractNumId w:val="38"/>
  </w:num>
  <w:num w:numId="26">
    <w:abstractNumId w:val="39"/>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3"/>
  </w:num>
  <w:num w:numId="39">
    <w:abstractNumId w:val="24"/>
  </w:num>
  <w:num w:numId="40">
    <w:abstractNumId w:val="22"/>
  </w:num>
  <w:num w:numId="41">
    <w:abstractNumId w:val="4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trackedChanges" w:enforcement="0"/>
  <w:defaultTabStop w:val="720"/>
  <w:characterSpacingControl w:val="doNotCompress"/>
  <w:hdrShapeDefaults>
    <o:shapedefaults v:ext="edit" spidmax="10241"/>
  </w:hdrShapeDefaults>
  <w:footnotePr>
    <w:numFmt w:val="chicago"/>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4553"/>
    <w:rsid w:val="000070FC"/>
    <w:rsid w:val="00013360"/>
    <w:rsid w:val="00016759"/>
    <w:rsid w:val="00020971"/>
    <w:rsid w:val="00020B1D"/>
    <w:rsid w:val="000216CE"/>
    <w:rsid w:val="00022021"/>
    <w:rsid w:val="00024ED4"/>
    <w:rsid w:val="00025DC7"/>
    <w:rsid w:val="00035F09"/>
    <w:rsid w:val="000448D9"/>
    <w:rsid w:val="00044ECC"/>
    <w:rsid w:val="000531D3"/>
    <w:rsid w:val="0005646B"/>
    <w:rsid w:val="000567AC"/>
    <w:rsid w:val="000732DF"/>
    <w:rsid w:val="0008102D"/>
    <w:rsid w:val="00094C0E"/>
    <w:rsid w:val="000968A8"/>
    <w:rsid w:val="000B03AC"/>
    <w:rsid w:val="000B5C85"/>
    <w:rsid w:val="000B780E"/>
    <w:rsid w:val="000C09C1"/>
    <w:rsid w:val="000C37B3"/>
    <w:rsid w:val="000C443D"/>
    <w:rsid w:val="000D3813"/>
    <w:rsid w:val="000D7091"/>
    <w:rsid w:val="000E048C"/>
    <w:rsid w:val="000E2DFA"/>
    <w:rsid w:val="000F0C22"/>
    <w:rsid w:val="000F6B09"/>
    <w:rsid w:val="000F6FDC"/>
    <w:rsid w:val="00103220"/>
    <w:rsid w:val="00104567"/>
    <w:rsid w:val="00104896"/>
    <w:rsid w:val="00104916"/>
    <w:rsid w:val="00104AA7"/>
    <w:rsid w:val="00126BAA"/>
    <w:rsid w:val="0012732D"/>
    <w:rsid w:val="001358C5"/>
    <w:rsid w:val="00143F25"/>
    <w:rsid w:val="00146555"/>
    <w:rsid w:val="00151B23"/>
    <w:rsid w:val="00152682"/>
    <w:rsid w:val="00154FC9"/>
    <w:rsid w:val="001756D1"/>
    <w:rsid w:val="00176C75"/>
    <w:rsid w:val="0019241A"/>
    <w:rsid w:val="001A22D1"/>
    <w:rsid w:val="001A68A4"/>
    <w:rsid w:val="001A752D"/>
    <w:rsid w:val="001A757E"/>
    <w:rsid w:val="001B5032"/>
    <w:rsid w:val="001B544F"/>
    <w:rsid w:val="001C7777"/>
    <w:rsid w:val="001E24D8"/>
    <w:rsid w:val="001E364F"/>
    <w:rsid w:val="001E4C8E"/>
    <w:rsid w:val="001F32DD"/>
    <w:rsid w:val="001F4222"/>
    <w:rsid w:val="0020211C"/>
    <w:rsid w:val="00203AA1"/>
    <w:rsid w:val="00204513"/>
    <w:rsid w:val="00213E98"/>
    <w:rsid w:val="0022124D"/>
    <w:rsid w:val="0023081A"/>
    <w:rsid w:val="00242187"/>
    <w:rsid w:val="0024231D"/>
    <w:rsid w:val="00245382"/>
    <w:rsid w:val="00250245"/>
    <w:rsid w:val="002609B8"/>
    <w:rsid w:val="00265CF4"/>
    <w:rsid w:val="002869B2"/>
    <w:rsid w:val="00287CFF"/>
    <w:rsid w:val="0029376C"/>
    <w:rsid w:val="002938C3"/>
    <w:rsid w:val="002A2AEC"/>
    <w:rsid w:val="002A5EE3"/>
    <w:rsid w:val="002E07CC"/>
    <w:rsid w:val="002F460C"/>
    <w:rsid w:val="002F48D6"/>
    <w:rsid w:val="002F7E65"/>
    <w:rsid w:val="0030487D"/>
    <w:rsid w:val="00317391"/>
    <w:rsid w:val="003173CA"/>
    <w:rsid w:val="00326216"/>
    <w:rsid w:val="0033293B"/>
    <w:rsid w:val="00336580"/>
    <w:rsid w:val="003456D6"/>
    <w:rsid w:val="0035060E"/>
    <w:rsid w:val="00354899"/>
    <w:rsid w:val="00354DFB"/>
    <w:rsid w:val="00355FD6"/>
    <w:rsid w:val="00360AAA"/>
    <w:rsid w:val="00364A5C"/>
    <w:rsid w:val="00373FB1"/>
    <w:rsid w:val="00386CBD"/>
    <w:rsid w:val="00396C76"/>
    <w:rsid w:val="003B283D"/>
    <w:rsid w:val="003B30D8"/>
    <w:rsid w:val="003B682A"/>
    <w:rsid w:val="003B7EF2"/>
    <w:rsid w:val="003C2993"/>
    <w:rsid w:val="003C3FA4"/>
    <w:rsid w:val="003D0BA1"/>
    <w:rsid w:val="003E20B2"/>
    <w:rsid w:val="003F2B0C"/>
    <w:rsid w:val="003F71BD"/>
    <w:rsid w:val="003F7E36"/>
    <w:rsid w:val="004000E2"/>
    <w:rsid w:val="004064CB"/>
    <w:rsid w:val="004105B2"/>
    <w:rsid w:val="00412900"/>
    <w:rsid w:val="004138D7"/>
    <w:rsid w:val="004221E4"/>
    <w:rsid w:val="00426567"/>
    <w:rsid w:val="004273F8"/>
    <w:rsid w:val="004274DB"/>
    <w:rsid w:val="004326A5"/>
    <w:rsid w:val="004355A3"/>
    <w:rsid w:val="00436086"/>
    <w:rsid w:val="004365BF"/>
    <w:rsid w:val="00441291"/>
    <w:rsid w:val="00443F33"/>
    <w:rsid w:val="00446546"/>
    <w:rsid w:val="00452769"/>
    <w:rsid w:val="00465348"/>
    <w:rsid w:val="00466BC4"/>
    <w:rsid w:val="00475C02"/>
    <w:rsid w:val="004B1CCB"/>
    <w:rsid w:val="004B2053"/>
    <w:rsid w:val="004B36B5"/>
    <w:rsid w:val="004B6156"/>
    <w:rsid w:val="004B632F"/>
    <w:rsid w:val="004D3FB1"/>
    <w:rsid w:val="004D6F21"/>
    <w:rsid w:val="004D73A5"/>
    <w:rsid w:val="004E3A88"/>
    <w:rsid w:val="005160F1"/>
    <w:rsid w:val="00523CE1"/>
    <w:rsid w:val="005245A6"/>
    <w:rsid w:val="00524F2F"/>
    <w:rsid w:val="00527E5C"/>
    <w:rsid w:val="00532CF5"/>
    <w:rsid w:val="00532D10"/>
    <w:rsid w:val="005356B6"/>
    <w:rsid w:val="005376F7"/>
    <w:rsid w:val="00552016"/>
    <w:rsid w:val="005528CB"/>
    <w:rsid w:val="00566771"/>
    <w:rsid w:val="0057338E"/>
    <w:rsid w:val="00581E2E"/>
    <w:rsid w:val="00582D9B"/>
    <w:rsid w:val="00584F15"/>
    <w:rsid w:val="00591102"/>
    <w:rsid w:val="00592B22"/>
    <w:rsid w:val="0059514B"/>
    <w:rsid w:val="005A07FE"/>
    <w:rsid w:val="005A1B0F"/>
    <w:rsid w:val="005A4147"/>
    <w:rsid w:val="005B1040"/>
    <w:rsid w:val="005E14A7"/>
    <w:rsid w:val="005F3F59"/>
    <w:rsid w:val="006163F7"/>
    <w:rsid w:val="00622359"/>
    <w:rsid w:val="00627C63"/>
    <w:rsid w:val="00630AD6"/>
    <w:rsid w:val="0063350B"/>
    <w:rsid w:val="0064662C"/>
    <w:rsid w:val="00652606"/>
    <w:rsid w:val="00653DAE"/>
    <w:rsid w:val="00664F70"/>
    <w:rsid w:val="006671DF"/>
    <w:rsid w:val="006927C8"/>
    <w:rsid w:val="006946EE"/>
    <w:rsid w:val="006A0538"/>
    <w:rsid w:val="006A4008"/>
    <w:rsid w:val="006A58A9"/>
    <w:rsid w:val="006A606D"/>
    <w:rsid w:val="006B42D0"/>
    <w:rsid w:val="006C002B"/>
    <w:rsid w:val="006C0371"/>
    <w:rsid w:val="006C08B6"/>
    <w:rsid w:val="006C0B1A"/>
    <w:rsid w:val="006C243C"/>
    <w:rsid w:val="006C3DA5"/>
    <w:rsid w:val="006C6065"/>
    <w:rsid w:val="006C6128"/>
    <w:rsid w:val="006C685D"/>
    <w:rsid w:val="006C7F9F"/>
    <w:rsid w:val="006D7DAD"/>
    <w:rsid w:val="006E2352"/>
    <w:rsid w:val="006E2F6D"/>
    <w:rsid w:val="006E42DF"/>
    <w:rsid w:val="006E58F6"/>
    <w:rsid w:val="006E77E1"/>
    <w:rsid w:val="006F131D"/>
    <w:rsid w:val="006F556B"/>
    <w:rsid w:val="007009CA"/>
    <w:rsid w:val="00711642"/>
    <w:rsid w:val="007116FD"/>
    <w:rsid w:val="00712CFD"/>
    <w:rsid w:val="007507C6"/>
    <w:rsid w:val="00751E0B"/>
    <w:rsid w:val="00752BCD"/>
    <w:rsid w:val="00752EC2"/>
    <w:rsid w:val="00761409"/>
    <w:rsid w:val="00766DA1"/>
    <w:rsid w:val="007745F1"/>
    <w:rsid w:val="00780D94"/>
    <w:rsid w:val="007866A6"/>
    <w:rsid w:val="00790BD6"/>
    <w:rsid w:val="007A130D"/>
    <w:rsid w:val="007B195A"/>
    <w:rsid w:val="007C078F"/>
    <w:rsid w:val="007C5749"/>
    <w:rsid w:val="007D048A"/>
    <w:rsid w:val="007D1A2D"/>
    <w:rsid w:val="007D4102"/>
    <w:rsid w:val="007D4125"/>
    <w:rsid w:val="007E285C"/>
    <w:rsid w:val="007E3457"/>
    <w:rsid w:val="007F43B7"/>
    <w:rsid w:val="007F64E2"/>
    <w:rsid w:val="00806380"/>
    <w:rsid w:val="00821FFC"/>
    <w:rsid w:val="008271CA"/>
    <w:rsid w:val="008467D5"/>
    <w:rsid w:val="0084740E"/>
    <w:rsid w:val="00874275"/>
    <w:rsid w:val="00885DD2"/>
    <w:rsid w:val="008A4DC4"/>
    <w:rsid w:val="008B438C"/>
    <w:rsid w:val="008C2480"/>
    <w:rsid w:val="008D06CA"/>
    <w:rsid w:val="008D39C6"/>
    <w:rsid w:val="008D3A46"/>
    <w:rsid w:val="008E1540"/>
    <w:rsid w:val="009067A4"/>
    <w:rsid w:val="00930885"/>
    <w:rsid w:val="00933D68"/>
    <w:rsid w:val="009340DB"/>
    <w:rsid w:val="0094618C"/>
    <w:rsid w:val="00951A70"/>
    <w:rsid w:val="00952ED1"/>
    <w:rsid w:val="00954EF1"/>
    <w:rsid w:val="00955380"/>
    <w:rsid w:val="0095684B"/>
    <w:rsid w:val="00972498"/>
    <w:rsid w:val="0097481F"/>
    <w:rsid w:val="00974CC6"/>
    <w:rsid w:val="00976AD4"/>
    <w:rsid w:val="0098763C"/>
    <w:rsid w:val="0099272E"/>
    <w:rsid w:val="00995547"/>
    <w:rsid w:val="009958D6"/>
    <w:rsid w:val="0099745D"/>
    <w:rsid w:val="009A312F"/>
    <w:rsid w:val="009A5348"/>
    <w:rsid w:val="009B0AB7"/>
    <w:rsid w:val="009B61D2"/>
    <w:rsid w:val="009C76D5"/>
    <w:rsid w:val="009D04DF"/>
    <w:rsid w:val="009D05BF"/>
    <w:rsid w:val="009E16B0"/>
    <w:rsid w:val="009F1DA7"/>
    <w:rsid w:val="009F3D65"/>
    <w:rsid w:val="009F6FBA"/>
    <w:rsid w:val="009F7AA4"/>
    <w:rsid w:val="00A021B9"/>
    <w:rsid w:val="00A05594"/>
    <w:rsid w:val="00A07ED3"/>
    <w:rsid w:val="00A10AD7"/>
    <w:rsid w:val="00A143BA"/>
    <w:rsid w:val="00A20648"/>
    <w:rsid w:val="00A3661B"/>
    <w:rsid w:val="00A45D36"/>
    <w:rsid w:val="00A50F3D"/>
    <w:rsid w:val="00A54B77"/>
    <w:rsid w:val="00A559DB"/>
    <w:rsid w:val="00A56160"/>
    <w:rsid w:val="00A569EA"/>
    <w:rsid w:val="00A56AA1"/>
    <w:rsid w:val="00A64E27"/>
    <w:rsid w:val="00A86096"/>
    <w:rsid w:val="00A87EB6"/>
    <w:rsid w:val="00A90949"/>
    <w:rsid w:val="00A97C4F"/>
    <w:rsid w:val="00AC7CAC"/>
    <w:rsid w:val="00AD02F5"/>
    <w:rsid w:val="00AF35FC"/>
    <w:rsid w:val="00AF5556"/>
    <w:rsid w:val="00B03639"/>
    <w:rsid w:val="00B0652A"/>
    <w:rsid w:val="00B070F3"/>
    <w:rsid w:val="00B1414D"/>
    <w:rsid w:val="00B27972"/>
    <w:rsid w:val="00B27C58"/>
    <w:rsid w:val="00B32816"/>
    <w:rsid w:val="00B40937"/>
    <w:rsid w:val="00B423EF"/>
    <w:rsid w:val="00B43F82"/>
    <w:rsid w:val="00B453DE"/>
    <w:rsid w:val="00B508DA"/>
    <w:rsid w:val="00B61015"/>
    <w:rsid w:val="00B7249B"/>
    <w:rsid w:val="00B72597"/>
    <w:rsid w:val="00B901F9"/>
    <w:rsid w:val="00B9683F"/>
    <w:rsid w:val="00B97D8C"/>
    <w:rsid w:val="00BA1812"/>
    <w:rsid w:val="00BA32FC"/>
    <w:rsid w:val="00BA4B5B"/>
    <w:rsid w:val="00BB2648"/>
    <w:rsid w:val="00BB5FC7"/>
    <w:rsid w:val="00BB6472"/>
    <w:rsid w:val="00BC6597"/>
    <w:rsid w:val="00BD5015"/>
    <w:rsid w:val="00BD6EFB"/>
    <w:rsid w:val="00C110CD"/>
    <w:rsid w:val="00C121B8"/>
    <w:rsid w:val="00C1584D"/>
    <w:rsid w:val="00C15BE2"/>
    <w:rsid w:val="00C173F9"/>
    <w:rsid w:val="00C25733"/>
    <w:rsid w:val="00C3182D"/>
    <w:rsid w:val="00C32B01"/>
    <w:rsid w:val="00C3447F"/>
    <w:rsid w:val="00C372E4"/>
    <w:rsid w:val="00C478E4"/>
    <w:rsid w:val="00C5069A"/>
    <w:rsid w:val="00C60B30"/>
    <w:rsid w:val="00C662EF"/>
    <w:rsid w:val="00C67102"/>
    <w:rsid w:val="00C71C2D"/>
    <w:rsid w:val="00C81491"/>
    <w:rsid w:val="00C81676"/>
    <w:rsid w:val="00C82F10"/>
    <w:rsid w:val="00C85C5D"/>
    <w:rsid w:val="00C92C23"/>
    <w:rsid w:val="00C92CC4"/>
    <w:rsid w:val="00C93305"/>
    <w:rsid w:val="00CA049B"/>
    <w:rsid w:val="00CA0AFB"/>
    <w:rsid w:val="00CA2CE1"/>
    <w:rsid w:val="00CA3976"/>
    <w:rsid w:val="00CA50E3"/>
    <w:rsid w:val="00CA61F3"/>
    <w:rsid w:val="00CA757B"/>
    <w:rsid w:val="00CB2586"/>
    <w:rsid w:val="00CB3719"/>
    <w:rsid w:val="00CC1787"/>
    <w:rsid w:val="00CC182C"/>
    <w:rsid w:val="00CC2E12"/>
    <w:rsid w:val="00CD0824"/>
    <w:rsid w:val="00CD2908"/>
    <w:rsid w:val="00CE516D"/>
    <w:rsid w:val="00D0322E"/>
    <w:rsid w:val="00D03A82"/>
    <w:rsid w:val="00D13667"/>
    <w:rsid w:val="00D15344"/>
    <w:rsid w:val="00D23F57"/>
    <w:rsid w:val="00D31BEC"/>
    <w:rsid w:val="00D35ED0"/>
    <w:rsid w:val="00D429E1"/>
    <w:rsid w:val="00D436B7"/>
    <w:rsid w:val="00D52A13"/>
    <w:rsid w:val="00D63150"/>
    <w:rsid w:val="00D636BA"/>
    <w:rsid w:val="00D64A32"/>
    <w:rsid w:val="00D64EFC"/>
    <w:rsid w:val="00D65508"/>
    <w:rsid w:val="00D74967"/>
    <w:rsid w:val="00D75295"/>
    <w:rsid w:val="00D76CE9"/>
    <w:rsid w:val="00D97F12"/>
    <w:rsid w:val="00DA2A7C"/>
    <w:rsid w:val="00DA6095"/>
    <w:rsid w:val="00DB42E7"/>
    <w:rsid w:val="00DC0930"/>
    <w:rsid w:val="00DC6C9A"/>
    <w:rsid w:val="00DC6DC6"/>
    <w:rsid w:val="00DC721F"/>
    <w:rsid w:val="00DE01A6"/>
    <w:rsid w:val="00DE75FE"/>
    <w:rsid w:val="00DE7A98"/>
    <w:rsid w:val="00DF266B"/>
    <w:rsid w:val="00DF32C2"/>
    <w:rsid w:val="00DF4D4A"/>
    <w:rsid w:val="00E02724"/>
    <w:rsid w:val="00E40D20"/>
    <w:rsid w:val="00E471A7"/>
    <w:rsid w:val="00E635CF"/>
    <w:rsid w:val="00E8622C"/>
    <w:rsid w:val="00E91B37"/>
    <w:rsid w:val="00EB2123"/>
    <w:rsid w:val="00EC22E7"/>
    <w:rsid w:val="00EC68A6"/>
    <w:rsid w:val="00EC6E0A"/>
    <w:rsid w:val="00ED4E18"/>
    <w:rsid w:val="00EE1F37"/>
    <w:rsid w:val="00EF47E1"/>
    <w:rsid w:val="00F00F68"/>
    <w:rsid w:val="00F0159C"/>
    <w:rsid w:val="00F04CEC"/>
    <w:rsid w:val="00F05632"/>
    <w:rsid w:val="00F105B7"/>
    <w:rsid w:val="00F13220"/>
    <w:rsid w:val="00F145B1"/>
    <w:rsid w:val="00F17A21"/>
    <w:rsid w:val="00F211E5"/>
    <w:rsid w:val="00F36701"/>
    <w:rsid w:val="00F37B27"/>
    <w:rsid w:val="00F46556"/>
    <w:rsid w:val="00F50E91"/>
    <w:rsid w:val="00F5377C"/>
    <w:rsid w:val="00F54B25"/>
    <w:rsid w:val="00F57D29"/>
    <w:rsid w:val="00F61E17"/>
    <w:rsid w:val="00F70054"/>
    <w:rsid w:val="00F90E41"/>
    <w:rsid w:val="00F96201"/>
    <w:rsid w:val="00FC7262"/>
    <w:rsid w:val="00FD0B18"/>
    <w:rsid w:val="00FD2FAD"/>
    <w:rsid w:val="00FE4DCF"/>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640F334"/>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C6C9A"/>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DC6C9A"/>
    <w:pPr>
      <w:keepNext/>
    </w:pPr>
    <w:rPr>
      <w:rFonts w:ascii="Arial" w:hAnsi="Arial" w:cs="Arial"/>
      <w:b/>
      <w:caps/>
      <w:sz w:val="20"/>
      <w:szCs w:val="20"/>
    </w:rPr>
  </w:style>
  <w:style w:type="character" w:customStyle="1" w:styleId="Casehead1Char">
    <w:name w:val="Casehead 1 Char"/>
    <w:basedOn w:val="BodyTextMainChar"/>
    <w:link w:val="Casehead1"/>
    <w:rsid w:val="00DC6C9A"/>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A143BA"/>
    <w:rPr>
      <w:b/>
      <w:color w:val="FF0000"/>
      <w:vertAlign w:val="superscript"/>
    </w:rPr>
  </w:style>
  <w:style w:type="paragraph" w:customStyle="1" w:styleId="Footnote">
    <w:name w:val="Footnote"/>
    <w:basedOn w:val="FootnoteText"/>
    <w:link w:val="FootnoteChar"/>
    <w:qFormat/>
    <w:rsid w:val="00874275"/>
    <w:rPr>
      <w:rFonts w:ascii="Arial" w:hAnsi="Arial" w:cs="Arial"/>
      <w:sz w:val="17"/>
      <w:szCs w:val="17"/>
    </w:rPr>
  </w:style>
  <w:style w:type="character" w:customStyle="1" w:styleId="FootnoteChar">
    <w:name w:val="Footnote Char"/>
    <w:basedOn w:val="FootnoteTextChar"/>
    <w:link w:val="Footnote"/>
    <w:rsid w:val="00874275"/>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DC6C9A"/>
    <w:pPr>
      <w:keepNext/>
      <w:jc w:val="center"/>
    </w:pPr>
    <w:rPr>
      <w:rFonts w:ascii="Arial" w:hAnsi="Arial" w:cs="Arial"/>
      <w:b/>
      <w:caps/>
      <w:sz w:val="20"/>
      <w:szCs w:val="20"/>
    </w:rPr>
  </w:style>
  <w:style w:type="character" w:customStyle="1" w:styleId="ExhibitHeadingChar">
    <w:name w:val="Exhibit Heading Char"/>
    <w:basedOn w:val="BodyTextMainChar"/>
    <w:link w:val="ExhibitHeading"/>
    <w:rsid w:val="00DC6C9A"/>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paragraph" w:styleId="EndnoteText">
    <w:name w:val="endnote text"/>
    <w:basedOn w:val="Normal"/>
    <w:link w:val="EndnoteTextChar"/>
    <w:uiPriority w:val="99"/>
    <w:unhideWhenUsed/>
    <w:rsid w:val="006671DF"/>
  </w:style>
  <w:style w:type="character" w:customStyle="1" w:styleId="EndnoteTextChar">
    <w:name w:val="Endnote Text Char"/>
    <w:basedOn w:val="DefaultParagraphFont"/>
    <w:link w:val="EndnoteText"/>
    <w:uiPriority w:val="99"/>
    <w:rsid w:val="006671DF"/>
    <w:rPr>
      <w:rFonts w:ascii="Times New Roman" w:eastAsia="Times New Roman" w:hAnsi="Times New Roman" w:cs="Times New Roman"/>
      <w:sz w:val="20"/>
      <w:szCs w:val="20"/>
      <w:lang w:val="en-GB"/>
    </w:rPr>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table" w:customStyle="1" w:styleId="IVEYTable">
    <w:name w:val="IVEY Table"/>
    <w:basedOn w:val="TableNormal"/>
    <w:uiPriority w:val="99"/>
    <w:rsid w:val="00443F33"/>
    <w:pPr>
      <w:spacing w:after="0" w:line="240" w:lineRule="auto"/>
    </w:pPr>
    <w:rPr>
      <w:rFonts w:ascii="Arial" w:hAnsi="Arial"/>
      <w:sz w:val="18"/>
    </w:rPr>
    <w:tblPr>
      <w:jc w:val="center"/>
      <w:tblBorders>
        <w:top w:val="single" w:sz="4" w:space="0" w:color="auto"/>
        <w:bottom w:val="single" w:sz="4" w:space="0" w:color="auto"/>
      </w:tblBorders>
    </w:tblPr>
    <w:trPr>
      <w:jc w:val="center"/>
    </w:trPr>
    <w:tcPr>
      <w:vAlign w:val="center"/>
    </w:tcPr>
    <w:tblStylePr w:type="firstRow">
      <w:tblPr/>
      <w:tcPr>
        <w:tcBorders>
          <w:bottom w:val="single" w:sz="4" w:space="0" w:color="auto"/>
        </w:tcBorders>
      </w:tcPr>
    </w:tblStylePr>
  </w:style>
  <w:style w:type="character" w:styleId="EndnoteReference">
    <w:name w:val="endnote reference"/>
    <w:uiPriority w:val="99"/>
    <w:unhideWhenUsed/>
    <w:qFormat/>
    <w:rsid w:val="00DC6C9A"/>
    <w:rPr>
      <w:b/>
      <w:color w:val="FF0000"/>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TableGrid1">
    <w:name w:val="Table Grid1"/>
    <w:basedOn w:val="TableNormal"/>
    <w:next w:val="TableGrid"/>
    <w:uiPriority w:val="59"/>
    <w:rsid w:val="0030487D"/>
    <w:pPr>
      <w:spacing w:after="0" w:line="240" w:lineRule="auto"/>
    </w:pPr>
    <w:rPr>
      <w:rFonts w:ascii="Calibri" w:eastAsia="SimSun" w:hAnsi="Calibri"/>
      <w:lang w:val="en-SG" w:eastAsia="en-SG"/>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F145B1"/>
    <w:pPr>
      <w:spacing w:after="0" w:line="240" w:lineRule="auto"/>
    </w:pPr>
    <w:rPr>
      <w:rFonts w:eastAsiaTheme="minorEastAsia"/>
      <w:lang w:val="en-SG" w:eastAsia="en-SG"/>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26717">
      <w:bodyDiv w:val="1"/>
      <w:marLeft w:val="0"/>
      <w:marRight w:val="0"/>
      <w:marTop w:val="0"/>
      <w:marBottom w:val="0"/>
      <w:divBdr>
        <w:top w:val="none" w:sz="0" w:space="0" w:color="auto"/>
        <w:left w:val="none" w:sz="0" w:space="0" w:color="auto"/>
        <w:bottom w:val="none" w:sz="0" w:space="0" w:color="auto"/>
        <w:right w:val="none" w:sz="0" w:space="0" w:color="auto"/>
      </w:divBdr>
    </w:div>
    <w:div w:id="151606335">
      <w:bodyDiv w:val="1"/>
      <w:marLeft w:val="0"/>
      <w:marRight w:val="0"/>
      <w:marTop w:val="0"/>
      <w:marBottom w:val="0"/>
      <w:divBdr>
        <w:top w:val="none" w:sz="0" w:space="0" w:color="auto"/>
        <w:left w:val="none" w:sz="0" w:space="0" w:color="auto"/>
        <w:bottom w:val="none" w:sz="0" w:space="0" w:color="auto"/>
        <w:right w:val="none" w:sz="0" w:space="0" w:color="auto"/>
      </w:divBdr>
    </w:div>
    <w:div w:id="179005351">
      <w:bodyDiv w:val="1"/>
      <w:marLeft w:val="0"/>
      <w:marRight w:val="0"/>
      <w:marTop w:val="0"/>
      <w:marBottom w:val="0"/>
      <w:divBdr>
        <w:top w:val="none" w:sz="0" w:space="0" w:color="auto"/>
        <w:left w:val="none" w:sz="0" w:space="0" w:color="auto"/>
        <w:bottom w:val="none" w:sz="0" w:space="0" w:color="auto"/>
        <w:right w:val="none" w:sz="0" w:space="0" w:color="auto"/>
      </w:divBdr>
    </w:div>
    <w:div w:id="251398908">
      <w:bodyDiv w:val="1"/>
      <w:marLeft w:val="0"/>
      <w:marRight w:val="0"/>
      <w:marTop w:val="0"/>
      <w:marBottom w:val="0"/>
      <w:divBdr>
        <w:top w:val="none" w:sz="0" w:space="0" w:color="auto"/>
        <w:left w:val="none" w:sz="0" w:space="0" w:color="auto"/>
        <w:bottom w:val="none" w:sz="0" w:space="0" w:color="auto"/>
        <w:right w:val="none" w:sz="0" w:space="0" w:color="auto"/>
      </w:divBdr>
    </w:div>
    <w:div w:id="407532183">
      <w:bodyDiv w:val="1"/>
      <w:marLeft w:val="0"/>
      <w:marRight w:val="0"/>
      <w:marTop w:val="0"/>
      <w:marBottom w:val="0"/>
      <w:divBdr>
        <w:top w:val="none" w:sz="0" w:space="0" w:color="auto"/>
        <w:left w:val="none" w:sz="0" w:space="0" w:color="auto"/>
        <w:bottom w:val="none" w:sz="0" w:space="0" w:color="auto"/>
        <w:right w:val="none" w:sz="0" w:space="0" w:color="auto"/>
      </w:divBdr>
    </w:div>
    <w:div w:id="493841745">
      <w:bodyDiv w:val="1"/>
      <w:marLeft w:val="0"/>
      <w:marRight w:val="0"/>
      <w:marTop w:val="0"/>
      <w:marBottom w:val="0"/>
      <w:divBdr>
        <w:top w:val="none" w:sz="0" w:space="0" w:color="auto"/>
        <w:left w:val="none" w:sz="0" w:space="0" w:color="auto"/>
        <w:bottom w:val="none" w:sz="0" w:space="0" w:color="auto"/>
        <w:right w:val="none" w:sz="0" w:space="0" w:color="auto"/>
      </w:divBdr>
    </w:div>
    <w:div w:id="506485043">
      <w:bodyDiv w:val="1"/>
      <w:marLeft w:val="0"/>
      <w:marRight w:val="0"/>
      <w:marTop w:val="0"/>
      <w:marBottom w:val="0"/>
      <w:divBdr>
        <w:top w:val="none" w:sz="0" w:space="0" w:color="auto"/>
        <w:left w:val="none" w:sz="0" w:space="0" w:color="auto"/>
        <w:bottom w:val="none" w:sz="0" w:space="0" w:color="auto"/>
        <w:right w:val="none" w:sz="0" w:space="0" w:color="auto"/>
      </w:divBdr>
    </w:div>
    <w:div w:id="612129761">
      <w:bodyDiv w:val="1"/>
      <w:marLeft w:val="0"/>
      <w:marRight w:val="0"/>
      <w:marTop w:val="0"/>
      <w:marBottom w:val="0"/>
      <w:divBdr>
        <w:top w:val="none" w:sz="0" w:space="0" w:color="auto"/>
        <w:left w:val="none" w:sz="0" w:space="0" w:color="auto"/>
        <w:bottom w:val="none" w:sz="0" w:space="0" w:color="auto"/>
        <w:right w:val="none" w:sz="0" w:space="0" w:color="auto"/>
      </w:divBdr>
    </w:div>
    <w:div w:id="771630058">
      <w:bodyDiv w:val="1"/>
      <w:marLeft w:val="0"/>
      <w:marRight w:val="0"/>
      <w:marTop w:val="0"/>
      <w:marBottom w:val="0"/>
      <w:divBdr>
        <w:top w:val="none" w:sz="0" w:space="0" w:color="auto"/>
        <w:left w:val="none" w:sz="0" w:space="0" w:color="auto"/>
        <w:bottom w:val="none" w:sz="0" w:space="0" w:color="auto"/>
        <w:right w:val="none" w:sz="0" w:space="0" w:color="auto"/>
      </w:divBdr>
    </w:div>
    <w:div w:id="783966561">
      <w:bodyDiv w:val="1"/>
      <w:marLeft w:val="0"/>
      <w:marRight w:val="0"/>
      <w:marTop w:val="0"/>
      <w:marBottom w:val="0"/>
      <w:divBdr>
        <w:top w:val="none" w:sz="0" w:space="0" w:color="auto"/>
        <w:left w:val="none" w:sz="0" w:space="0" w:color="auto"/>
        <w:bottom w:val="none" w:sz="0" w:space="0" w:color="auto"/>
        <w:right w:val="none" w:sz="0" w:space="0" w:color="auto"/>
      </w:divBdr>
    </w:div>
    <w:div w:id="788940523">
      <w:bodyDiv w:val="1"/>
      <w:marLeft w:val="0"/>
      <w:marRight w:val="0"/>
      <w:marTop w:val="0"/>
      <w:marBottom w:val="0"/>
      <w:divBdr>
        <w:top w:val="none" w:sz="0" w:space="0" w:color="auto"/>
        <w:left w:val="none" w:sz="0" w:space="0" w:color="auto"/>
        <w:bottom w:val="none" w:sz="0" w:space="0" w:color="auto"/>
        <w:right w:val="none" w:sz="0" w:space="0" w:color="auto"/>
      </w:divBdr>
    </w:div>
    <w:div w:id="888954408">
      <w:bodyDiv w:val="1"/>
      <w:marLeft w:val="0"/>
      <w:marRight w:val="0"/>
      <w:marTop w:val="0"/>
      <w:marBottom w:val="0"/>
      <w:divBdr>
        <w:top w:val="none" w:sz="0" w:space="0" w:color="auto"/>
        <w:left w:val="none" w:sz="0" w:space="0" w:color="auto"/>
        <w:bottom w:val="none" w:sz="0" w:space="0" w:color="auto"/>
        <w:right w:val="none" w:sz="0" w:space="0" w:color="auto"/>
      </w:divBdr>
    </w:div>
    <w:div w:id="895504510">
      <w:bodyDiv w:val="1"/>
      <w:marLeft w:val="0"/>
      <w:marRight w:val="0"/>
      <w:marTop w:val="0"/>
      <w:marBottom w:val="0"/>
      <w:divBdr>
        <w:top w:val="none" w:sz="0" w:space="0" w:color="auto"/>
        <w:left w:val="none" w:sz="0" w:space="0" w:color="auto"/>
        <w:bottom w:val="none" w:sz="0" w:space="0" w:color="auto"/>
        <w:right w:val="none" w:sz="0" w:space="0" w:color="auto"/>
      </w:divBdr>
    </w:div>
    <w:div w:id="1087577427">
      <w:bodyDiv w:val="1"/>
      <w:marLeft w:val="0"/>
      <w:marRight w:val="0"/>
      <w:marTop w:val="0"/>
      <w:marBottom w:val="0"/>
      <w:divBdr>
        <w:top w:val="none" w:sz="0" w:space="0" w:color="auto"/>
        <w:left w:val="none" w:sz="0" w:space="0" w:color="auto"/>
        <w:bottom w:val="none" w:sz="0" w:space="0" w:color="auto"/>
        <w:right w:val="none" w:sz="0" w:space="0" w:color="auto"/>
      </w:divBdr>
    </w:div>
    <w:div w:id="1091895600">
      <w:bodyDiv w:val="1"/>
      <w:marLeft w:val="0"/>
      <w:marRight w:val="0"/>
      <w:marTop w:val="0"/>
      <w:marBottom w:val="0"/>
      <w:divBdr>
        <w:top w:val="none" w:sz="0" w:space="0" w:color="auto"/>
        <w:left w:val="none" w:sz="0" w:space="0" w:color="auto"/>
        <w:bottom w:val="none" w:sz="0" w:space="0" w:color="auto"/>
        <w:right w:val="none" w:sz="0" w:space="0" w:color="auto"/>
      </w:divBdr>
    </w:div>
    <w:div w:id="1208179679">
      <w:bodyDiv w:val="1"/>
      <w:marLeft w:val="0"/>
      <w:marRight w:val="0"/>
      <w:marTop w:val="0"/>
      <w:marBottom w:val="0"/>
      <w:divBdr>
        <w:top w:val="none" w:sz="0" w:space="0" w:color="auto"/>
        <w:left w:val="none" w:sz="0" w:space="0" w:color="auto"/>
        <w:bottom w:val="none" w:sz="0" w:space="0" w:color="auto"/>
        <w:right w:val="none" w:sz="0" w:space="0" w:color="auto"/>
      </w:divBdr>
    </w:div>
    <w:div w:id="1210144459">
      <w:bodyDiv w:val="1"/>
      <w:marLeft w:val="0"/>
      <w:marRight w:val="0"/>
      <w:marTop w:val="0"/>
      <w:marBottom w:val="0"/>
      <w:divBdr>
        <w:top w:val="none" w:sz="0" w:space="0" w:color="auto"/>
        <w:left w:val="none" w:sz="0" w:space="0" w:color="auto"/>
        <w:bottom w:val="none" w:sz="0" w:space="0" w:color="auto"/>
        <w:right w:val="none" w:sz="0" w:space="0" w:color="auto"/>
      </w:divBdr>
    </w:div>
    <w:div w:id="1414203411">
      <w:bodyDiv w:val="1"/>
      <w:marLeft w:val="0"/>
      <w:marRight w:val="0"/>
      <w:marTop w:val="0"/>
      <w:marBottom w:val="0"/>
      <w:divBdr>
        <w:top w:val="none" w:sz="0" w:space="0" w:color="auto"/>
        <w:left w:val="none" w:sz="0" w:space="0" w:color="auto"/>
        <w:bottom w:val="none" w:sz="0" w:space="0" w:color="auto"/>
        <w:right w:val="none" w:sz="0" w:space="0" w:color="auto"/>
      </w:divBdr>
    </w:div>
    <w:div w:id="1503660348">
      <w:bodyDiv w:val="1"/>
      <w:marLeft w:val="0"/>
      <w:marRight w:val="0"/>
      <w:marTop w:val="0"/>
      <w:marBottom w:val="0"/>
      <w:divBdr>
        <w:top w:val="none" w:sz="0" w:space="0" w:color="auto"/>
        <w:left w:val="none" w:sz="0" w:space="0" w:color="auto"/>
        <w:bottom w:val="none" w:sz="0" w:space="0" w:color="auto"/>
        <w:right w:val="none" w:sz="0" w:space="0" w:color="auto"/>
      </w:divBdr>
    </w:div>
    <w:div w:id="1509053677">
      <w:bodyDiv w:val="1"/>
      <w:marLeft w:val="0"/>
      <w:marRight w:val="0"/>
      <w:marTop w:val="0"/>
      <w:marBottom w:val="0"/>
      <w:divBdr>
        <w:top w:val="none" w:sz="0" w:space="0" w:color="auto"/>
        <w:left w:val="none" w:sz="0" w:space="0" w:color="auto"/>
        <w:bottom w:val="none" w:sz="0" w:space="0" w:color="auto"/>
        <w:right w:val="none" w:sz="0" w:space="0" w:color="auto"/>
      </w:divBdr>
    </w:div>
    <w:div w:id="1572082304">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04342930">
      <w:bodyDiv w:val="1"/>
      <w:marLeft w:val="0"/>
      <w:marRight w:val="0"/>
      <w:marTop w:val="0"/>
      <w:marBottom w:val="0"/>
      <w:divBdr>
        <w:top w:val="none" w:sz="0" w:space="0" w:color="auto"/>
        <w:left w:val="none" w:sz="0" w:space="0" w:color="auto"/>
        <w:bottom w:val="none" w:sz="0" w:space="0" w:color="auto"/>
        <w:right w:val="none" w:sz="0" w:space="0" w:color="auto"/>
      </w:divBdr>
    </w:div>
    <w:div w:id="1642420448">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A000001lzbX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veypubs.my.salesforce.com/003A000001lzbXZ" TargetMode="External"/><Relationship Id="rId4" Type="http://schemas.openxmlformats.org/officeDocument/2006/relationships/settings" Target="settings.xml"/><Relationship Id="rId9" Type="http://schemas.openxmlformats.org/officeDocument/2006/relationships/hyperlink" Target="https://iveypubs.my.salesforce.com/003A000001LWFa2" TargetMode="Externa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s://www.referenceforbusiness.com/history2/88/Sears-Roebuck-and-Co.html"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UtkarshGoel\Documents\Sears%20-%20Sinking%20in%20Bankruptcy\Sears%20Holdings%20Corporation%20-%20Financials%20(FY2011-12%20to%20FY2016-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'Stock Prices vis-a-vis NASDAQ'!$B$1</c:f>
              <c:strCache>
                <c:ptCount val="1"/>
                <c:pt idx="0">
                  <c:v>SHLD Share Price ($)</c:v>
                </c:pt>
              </c:strCache>
            </c:strRef>
          </c:tx>
          <c:spPr>
            <a:ln w="28575" cap="rnd">
              <a:solidFill>
                <a:sysClr val="window" lastClr="FFFFFF">
                  <a:lumMod val="65000"/>
                </a:sysClr>
              </a:solidFill>
              <a:round/>
            </a:ln>
            <a:effectLst/>
          </c:spPr>
          <c:marker>
            <c:symbol val="none"/>
          </c:marker>
          <c:cat>
            <c:numRef>
              <c:f>'Stock Prices vis-a-vis NASDAQ'!$A$2:$A$23</c:f>
              <c:numCache>
                <c:formatCode>[$-409]d\-mmm\-yy;@</c:formatCode>
                <c:ptCount val="22"/>
                <c:pt idx="0">
                  <c:v>40909</c:v>
                </c:pt>
                <c:pt idx="1">
                  <c:v>41000</c:v>
                </c:pt>
                <c:pt idx="2">
                  <c:v>41091</c:v>
                </c:pt>
                <c:pt idx="3">
                  <c:v>41183</c:v>
                </c:pt>
                <c:pt idx="4">
                  <c:v>41275</c:v>
                </c:pt>
                <c:pt idx="5">
                  <c:v>41365</c:v>
                </c:pt>
                <c:pt idx="6">
                  <c:v>41456</c:v>
                </c:pt>
                <c:pt idx="7">
                  <c:v>41548</c:v>
                </c:pt>
                <c:pt idx="8">
                  <c:v>41640</c:v>
                </c:pt>
                <c:pt idx="9">
                  <c:v>41730</c:v>
                </c:pt>
                <c:pt idx="10">
                  <c:v>41821</c:v>
                </c:pt>
                <c:pt idx="11">
                  <c:v>41913</c:v>
                </c:pt>
                <c:pt idx="12">
                  <c:v>42005</c:v>
                </c:pt>
                <c:pt idx="13">
                  <c:v>42095</c:v>
                </c:pt>
                <c:pt idx="14">
                  <c:v>42186</c:v>
                </c:pt>
                <c:pt idx="15">
                  <c:v>42278</c:v>
                </c:pt>
                <c:pt idx="16">
                  <c:v>42370</c:v>
                </c:pt>
                <c:pt idx="17">
                  <c:v>42461</c:v>
                </c:pt>
                <c:pt idx="18">
                  <c:v>42552</c:v>
                </c:pt>
                <c:pt idx="19">
                  <c:v>42644</c:v>
                </c:pt>
                <c:pt idx="20">
                  <c:v>42736</c:v>
                </c:pt>
                <c:pt idx="21">
                  <c:v>42826</c:v>
                </c:pt>
              </c:numCache>
            </c:numRef>
          </c:cat>
          <c:val>
            <c:numRef>
              <c:f>'Stock Prices vis-a-vis NASDAQ'!$B$2:$B$23</c:f>
              <c:numCache>
                <c:formatCode>_(* #,##0.000_);_(* \(#,##0.000\);_(* "-"??_);_(@_)</c:formatCode>
                <c:ptCount val="22"/>
                <c:pt idx="0">
                  <c:v>31.805609</c:v>
                </c:pt>
                <c:pt idx="1">
                  <c:v>40.591019000000003</c:v>
                </c:pt>
                <c:pt idx="2">
                  <c:v>37.353096000000001</c:v>
                </c:pt>
                <c:pt idx="3">
                  <c:v>47.300842000000003</c:v>
                </c:pt>
                <c:pt idx="4">
                  <c:v>35.436005000000002</c:v>
                </c:pt>
                <c:pt idx="5">
                  <c:v>38.749405000000003</c:v>
                </c:pt>
                <c:pt idx="6">
                  <c:v>34.568031000000012</c:v>
                </c:pt>
                <c:pt idx="7">
                  <c:v>43.836491000000002</c:v>
                </c:pt>
                <c:pt idx="8">
                  <c:v>27.45064</c:v>
                </c:pt>
                <c:pt idx="9">
                  <c:v>40.803516000000002</c:v>
                </c:pt>
                <c:pt idx="10">
                  <c:v>35.531937000000013</c:v>
                </c:pt>
                <c:pt idx="11">
                  <c:v>32.881354999999999</c:v>
                </c:pt>
                <c:pt idx="12">
                  <c:v>31.84</c:v>
                </c:pt>
                <c:pt idx="13">
                  <c:v>39.939999</c:v>
                </c:pt>
                <c:pt idx="14">
                  <c:v>21.549999</c:v>
                </c:pt>
                <c:pt idx="15">
                  <c:v>23.370000999999991</c:v>
                </c:pt>
                <c:pt idx="16">
                  <c:v>16.950001</c:v>
                </c:pt>
                <c:pt idx="17">
                  <c:v>16.379999000000009</c:v>
                </c:pt>
                <c:pt idx="18">
                  <c:v>15.41</c:v>
                </c:pt>
                <c:pt idx="19">
                  <c:v>11.11</c:v>
                </c:pt>
                <c:pt idx="20">
                  <c:v>6.98</c:v>
                </c:pt>
                <c:pt idx="21">
                  <c:v>10.220000000000001</c:v>
                </c:pt>
              </c:numCache>
            </c:numRef>
          </c:val>
          <c:smooth val="0"/>
          <c:extLst>
            <c:ext xmlns:c16="http://schemas.microsoft.com/office/drawing/2014/chart" uri="{C3380CC4-5D6E-409C-BE32-E72D297353CC}">
              <c16:uniqueId val="{00000000-3EF7-4965-BEE7-E23232C2759C}"/>
            </c:ext>
          </c:extLst>
        </c:ser>
        <c:dLbls>
          <c:showLegendKey val="0"/>
          <c:showVal val="0"/>
          <c:showCatName val="0"/>
          <c:showSerName val="0"/>
          <c:showPercent val="0"/>
          <c:showBubbleSize val="0"/>
        </c:dLbls>
        <c:marker val="1"/>
        <c:smooth val="0"/>
        <c:axId val="-1727845712"/>
        <c:axId val="-1727989664"/>
      </c:lineChart>
      <c:lineChart>
        <c:grouping val="standard"/>
        <c:varyColors val="0"/>
        <c:ser>
          <c:idx val="1"/>
          <c:order val="1"/>
          <c:tx>
            <c:strRef>
              <c:f>'Stock Prices vis-a-vis NASDAQ'!$C$1</c:f>
              <c:strCache>
                <c:ptCount val="1"/>
                <c:pt idx="0">
                  <c:v>NASDAQ Composite Index Value ($)</c:v>
                </c:pt>
              </c:strCache>
            </c:strRef>
          </c:tx>
          <c:spPr>
            <a:ln w="28575" cap="rnd">
              <a:solidFill>
                <a:sysClr val="windowText" lastClr="000000"/>
              </a:solidFill>
              <a:round/>
            </a:ln>
            <a:effectLst/>
          </c:spPr>
          <c:marker>
            <c:symbol val="none"/>
          </c:marker>
          <c:cat>
            <c:numRef>
              <c:f>'Stock Prices vis-a-vis NASDAQ'!$A$2:$A$23</c:f>
              <c:numCache>
                <c:formatCode>[$-409]d\-mmm\-yy;@</c:formatCode>
                <c:ptCount val="22"/>
                <c:pt idx="0">
                  <c:v>40909</c:v>
                </c:pt>
                <c:pt idx="1">
                  <c:v>41000</c:v>
                </c:pt>
                <c:pt idx="2">
                  <c:v>41091</c:v>
                </c:pt>
                <c:pt idx="3">
                  <c:v>41183</c:v>
                </c:pt>
                <c:pt idx="4">
                  <c:v>41275</c:v>
                </c:pt>
                <c:pt idx="5">
                  <c:v>41365</c:v>
                </c:pt>
                <c:pt idx="6">
                  <c:v>41456</c:v>
                </c:pt>
                <c:pt idx="7">
                  <c:v>41548</c:v>
                </c:pt>
                <c:pt idx="8">
                  <c:v>41640</c:v>
                </c:pt>
                <c:pt idx="9">
                  <c:v>41730</c:v>
                </c:pt>
                <c:pt idx="10">
                  <c:v>41821</c:v>
                </c:pt>
                <c:pt idx="11">
                  <c:v>41913</c:v>
                </c:pt>
                <c:pt idx="12">
                  <c:v>42005</c:v>
                </c:pt>
                <c:pt idx="13">
                  <c:v>42095</c:v>
                </c:pt>
                <c:pt idx="14">
                  <c:v>42186</c:v>
                </c:pt>
                <c:pt idx="15">
                  <c:v>42278</c:v>
                </c:pt>
                <c:pt idx="16">
                  <c:v>42370</c:v>
                </c:pt>
                <c:pt idx="17">
                  <c:v>42461</c:v>
                </c:pt>
                <c:pt idx="18">
                  <c:v>42552</c:v>
                </c:pt>
                <c:pt idx="19">
                  <c:v>42644</c:v>
                </c:pt>
                <c:pt idx="20">
                  <c:v>42736</c:v>
                </c:pt>
                <c:pt idx="21">
                  <c:v>42826</c:v>
                </c:pt>
              </c:numCache>
            </c:numRef>
          </c:cat>
          <c:val>
            <c:numRef>
              <c:f>'Stock Prices vis-a-vis NASDAQ'!$C$2:$C$23</c:f>
              <c:numCache>
                <c:formatCode>_(* #,##0.000_);_(* \(#,##0.000\);_(* "-"??_);_(@_)</c:formatCode>
                <c:ptCount val="22"/>
                <c:pt idx="0">
                  <c:v>2813.8400879999999</c:v>
                </c:pt>
                <c:pt idx="1">
                  <c:v>3046.360107</c:v>
                </c:pt>
                <c:pt idx="2">
                  <c:v>2939.5200199999999</c:v>
                </c:pt>
                <c:pt idx="3">
                  <c:v>2977.2299800000001</c:v>
                </c:pt>
                <c:pt idx="4">
                  <c:v>3142.1298830000001</c:v>
                </c:pt>
                <c:pt idx="5">
                  <c:v>3328.790039</c:v>
                </c:pt>
                <c:pt idx="6">
                  <c:v>3626.3701169999999</c:v>
                </c:pt>
                <c:pt idx="7">
                  <c:v>3919.709961</c:v>
                </c:pt>
                <c:pt idx="8">
                  <c:v>4103.8798829999996</c:v>
                </c:pt>
                <c:pt idx="9">
                  <c:v>4114.5600590000004</c:v>
                </c:pt>
                <c:pt idx="10">
                  <c:v>4369.7700199999999</c:v>
                </c:pt>
                <c:pt idx="11">
                  <c:v>4630.7402339999999</c:v>
                </c:pt>
                <c:pt idx="12">
                  <c:v>4635.2402339999999</c:v>
                </c:pt>
                <c:pt idx="13">
                  <c:v>4941.419922</c:v>
                </c:pt>
                <c:pt idx="14">
                  <c:v>5128.2797849999988</c:v>
                </c:pt>
                <c:pt idx="15">
                  <c:v>5053.75</c:v>
                </c:pt>
                <c:pt idx="16">
                  <c:v>4613.9501950000003</c:v>
                </c:pt>
                <c:pt idx="17">
                  <c:v>4775.3598629999997</c:v>
                </c:pt>
                <c:pt idx="18">
                  <c:v>5162.1298829999996</c:v>
                </c:pt>
                <c:pt idx="19">
                  <c:v>5189.1401370000003</c:v>
                </c:pt>
                <c:pt idx="20">
                  <c:v>5614.7900390000004</c:v>
                </c:pt>
                <c:pt idx="21">
                  <c:v>6047.6098629999997</c:v>
                </c:pt>
              </c:numCache>
            </c:numRef>
          </c:val>
          <c:smooth val="0"/>
          <c:extLst>
            <c:ext xmlns:c16="http://schemas.microsoft.com/office/drawing/2014/chart" uri="{C3380CC4-5D6E-409C-BE32-E72D297353CC}">
              <c16:uniqueId val="{00000001-3EF7-4965-BEE7-E23232C2759C}"/>
            </c:ext>
          </c:extLst>
        </c:ser>
        <c:dLbls>
          <c:showLegendKey val="0"/>
          <c:showVal val="0"/>
          <c:showCatName val="0"/>
          <c:showSerName val="0"/>
          <c:showPercent val="0"/>
          <c:showBubbleSize val="0"/>
        </c:dLbls>
        <c:marker val="1"/>
        <c:smooth val="0"/>
        <c:axId val="-1727519072"/>
        <c:axId val="-1744809648"/>
      </c:lineChart>
      <c:dateAx>
        <c:axId val="-1727845712"/>
        <c:scaling>
          <c:orientation val="minMax"/>
        </c:scaling>
        <c:delete val="0"/>
        <c:axPos val="b"/>
        <c:numFmt formatCode="yyyy\-mm\-dd"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7989664"/>
        <c:crosses val="autoZero"/>
        <c:auto val="1"/>
        <c:lblOffset val="100"/>
        <c:baseTimeUnit val="months"/>
      </c:dateAx>
      <c:valAx>
        <c:axId val="-1727989664"/>
        <c:scaling>
          <c:orientation val="minMax"/>
        </c:scaling>
        <c:delete val="0"/>
        <c:axPos val="l"/>
        <c:majorGridlines>
          <c:spPr>
            <a:ln w="9525" cap="flat" cmpd="sng" algn="ctr">
              <a:solidFill>
                <a:schemeClr val="tx1">
                  <a:lumMod val="15000"/>
                  <a:lumOff val="85000"/>
                </a:schemeClr>
              </a:solidFill>
              <a:round/>
            </a:ln>
            <a:effectLst/>
          </c:spPr>
        </c:majorGridlines>
        <c:title>
          <c:tx>
            <c:strRef>
              <c:f>'Stock Prices vis-a-vis NASDAQ'!$B$1</c:f>
              <c:strCache>
                <c:ptCount val="1"/>
                <c:pt idx="0">
                  <c:v>SHLD Share Price ($)</c:v>
                </c:pt>
              </c:strCache>
            </c:strRef>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0_);_(* \(#,##0.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7845712"/>
        <c:crosses val="autoZero"/>
        <c:crossBetween val="between"/>
      </c:valAx>
      <c:valAx>
        <c:axId val="-1744809648"/>
        <c:scaling>
          <c:orientation val="minMax"/>
        </c:scaling>
        <c:delete val="0"/>
        <c:axPos val="r"/>
        <c:title>
          <c:tx>
            <c:strRef>
              <c:f>'Stock Prices vis-a-vis NASDAQ'!$C$1</c:f>
              <c:strCache>
                <c:ptCount val="1"/>
                <c:pt idx="0">
                  <c:v>NASDAQ Composite Index Value ($)</c:v>
                </c:pt>
              </c:strCache>
            </c:strRef>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0_);_(* \(#,##0.000\);_(* &quot;-&quot;??_);_(@_)"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7519072"/>
        <c:crosses val="max"/>
        <c:crossBetween val="between"/>
      </c:valAx>
      <c:dateAx>
        <c:axId val="-1727519072"/>
        <c:scaling>
          <c:orientation val="minMax"/>
        </c:scaling>
        <c:delete val="1"/>
        <c:axPos val="b"/>
        <c:numFmt formatCode="[$-409]d\-mmm\-yy;@" sourceLinked="1"/>
        <c:majorTickMark val="out"/>
        <c:minorTickMark val="none"/>
        <c:tickLblPos val="nextTo"/>
        <c:crossAx val="-1744809648"/>
        <c:crosses val="autoZero"/>
        <c:auto val="1"/>
        <c:lblOffset val="100"/>
        <c:baseTimeUnit val="months"/>
      </c:date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49698-457B-44D6-976B-264DF8F9E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5338</Words>
  <Characters>30428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Shareef, Huma</cp:lastModifiedBy>
  <cp:revision>2</cp:revision>
  <cp:lastPrinted>2019-07-15T13:30:00Z</cp:lastPrinted>
  <dcterms:created xsi:type="dcterms:W3CDTF">2019-10-07T17:27:00Z</dcterms:created>
  <dcterms:modified xsi:type="dcterms:W3CDTF">2019-10-07T17:27:00Z</dcterms:modified>
</cp:coreProperties>
</file>