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FB5D6" w14:textId="7AB8F3EC" w:rsidR="00BE6AB4" w:rsidRPr="000C0E72" w:rsidRDefault="000C0E72" w:rsidP="00C02410">
      <w:pPr>
        <w:pBdr>
          <w:bottom w:val="single" w:sz="18" w:space="1" w:color="auto"/>
        </w:pBdr>
        <w:tabs>
          <w:tab w:val="left" w:pos="-1440"/>
          <w:tab w:val="left" w:pos="-720"/>
          <w:tab w:val="left" w:pos="1"/>
        </w:tabs>
        <w:jc w:val="both"/>
        <w:rPr>
          <w:rFonts w:ascii="Arial" w:hAnsi="Arial"/>
          <w:b/>
          <w:noProof/>
          <w:sz w:val="24"/>
          <w:lang w:val="en-CA" w:eastAsia="en-CA"/>
        </w:rPr>
      </w:pPr>
      <w:r w:rsidRPr="000C0E72">
        <w:rPr>
          <w:rFonts w:ascii="Arial" w:hAnsi="Arial"/>
          <w:b/>
          <w:noProof/>
          <w:sz w:val="24"/>
          <w:lang w:val="en-CA" w:eastAsia="en-CA"/>
        </w:rPr>
        <w:drawing>
          <wp:inline distT="0" distB="0" distL="0" distR="0" wp14:anchorId="4D0520F7" wp14:editId="58CE7B2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7158C3E" w:rsidR="00C02410" w:rsidRPr="000C0E72" w:rsidRDefault="000C0E72" w:rsidP="00C02410">
      <w:pPr>
        <w:pStyle w:val="ProductNumber"/>
        <w:rPr>
          <w:lang w:val="en-CA"/>
        </w:rPr>
      </w:pPr>
      <w:r w:rsidRPr="000C0E72">
        <w:rPr>
          <w:lang w:val="en-CA"/>
        </w:rPr>
        <w:t>9B19B</w:t>
      </w:r>
      <w:r w:rsidR="001A6122">
        <w:rPr>
          <w:lang w:val="en-CA"/>
        </w:rPr>
        <w:t>013</w:t>
      </w:r>
    </w:p>
    <w:p w14:paraId="4E057522" w14:textId="7A113CB1" w:rsidR="00D75295" w:rsidRPr="000C0E72" w:rsidRDefault="00D75295" w:rsidP="00D75295">
      <w:pPr>
        <w:jc w:val="right"/>
        <w:rPr>
          <w:rFonts w:ascii="Arial" w:hAnsi="Arial"/>
          <w:b/>
          <w:lang w:val="en-CA"/>
        </w:rPr>
      </w:pPr>
    </w:p>
    <w:p w14:paraId="02524312" w14:textId="77777777" w:rsidR="001901C0" w:rsidRPr="000C0E72" w:rsidRDefault="001901C0" w:rsidP="00D75295">
      <w:pPr>
        <w:jc w:val="right"/>
        <w:rPr>
          <w:rFonts w:ascii="Arial" w:hAnsi="Arial"/>
          <w:b/>
          <w:lang w:val="en-CA"/>
        </w:rPr>
      </w:pPr>
    </w:p>
    <w:p w14:paraId="2F03D26A" w14:textId="6B0D6AC6" w:rsidR="00013360" w:rsidRPr="000C0E72" w:rsidRDefault="0070149E" w:rsidP="00013360">
      <w:pPr>
        <w:pStyle w:val="CaseTitle"/>
        <w:spacing w:after="0" w:line="240" w:lineRule="auto"/>
        <w:rPr>
          <w:sz w:val="20"/>
          <w:szCs w:val="20"/>
          <w:lang w:val="en-CA"/>
        </w:rPr>
      </w:pPr>
      <w:r w:rsidRPr="000C0E72">
        <w:rPr>
          <w:lang w:val="en-CA"/>
        </w:rPr>
        <w:t>Macmet Engineering Limited: An In-Depth Cost Analysis</w:t>
      </w:r>
      <w:r w:rsidRPr="000C0E72" w:rsidDel="0070149E">
        <w:rPr>
          <w:lang w:val="en-CA"/>
        </w:rPr>
        <w:t xml:space="preserve"> </w:t>
      </w:r>
    </w:p>
    <w:p w14:paraId="40ABF6FD" w14:textId="77777777" w:rsidR="00CA3976" w:rsidRPr="000C0E72" w:rsidRDefault="00CA3976" w:rsidP="00013360">
      <w:pPr>
        <w:pStyle w:val="CaseTitle"/>
        <w:spacing w:after="0" w:line="240" w:lineRule="auto"/>
        <w:rPr>
          <w:sz w:val="20"/>
          <w:szCs w:val="20"/>
          <w:lang w:val="en-CA"/>
        </w:rPr>
      </w:pPr>
    </w:p>
    <w:p w14:paraId="202F1085" w14:textId="77777777" w:rsidR="00013360" w:rsidRPr="000C0E72" w:rsidRDefault="00013360" w:rsidP="00013360">
      <w:pPr>
        <w:pStyle w:val="CaseTitle"/>
        <w:spacing w:after="0" w:line="240" w:lineRule="auto"/>
        <w:rPr>
          <w:sz w:val="20"/>
          <w:szCs w:val="20"/>
          <w:lang w:val="en-CA"/>
        </w:rPr>
      </w:pPr>
    </w:p>
    <w:p w14:paraId="58B0C73F" w14:textId="5B1C3330" w:rsidR="00086B26" w:rsidRPr="000C0E72" w:rsidRDefault="00BE6AB4" w:rsidP="00086B26">
      <w:pPr>
        <w:pStyle w:val="StyleCopyrightStatementAfter0ptBottomSinglesolidline1"/>
        <w:rPr>
          <w:lang w:val="en-CA"/>
        </w:rPr>
      </w:pPr>
      <w:r w:rsidRPr="000C0E72">
        <w:rPr>
          <w:lang w:val="en-CA"/>
        </w:rPr>
        <w:t xml:space="preserve">Pooja </w:t>
      </w:r>
      <w:proofErr w:type="spellStart"/>
      <w:r w:rsidRPr="000C0E72">
        <w:rPr>
          <w:lang w:val="en-CA"/>
        </w:rPr>
        <w:t>Krishen</w:t>
      </w:r>
      <w:proofErr w:type="spellEnd"/>
      <w:r w:rsidRPr="000C0E72">
        <w:rPr>
          <w:lang w:val="en-CA"/>
        </w:rPr>
        <w:t xml:space="preserve"> </w:t>
      </w:r>
      <w:r w:rsidR="00086B26" w:rsidRPr="000C0E72">
        <w:rPr>
          <w:lang w:val="en-CA"/>
        </w:rPr>
        <w:t xml:space="preserve">wrote this case </w:t>
      </w:r>
      <w:r w:rsidRPr="000C0E72">
        <w:rPr>
          <w:lang w:val="en-CA"/>
        </w:rPr>
        <w:t xml:space="preserve">under the supervision of Ian Dunn </w:t>
      </w:r>
      <w:r w:rsidR="00086B26" w:rsidRPr="000C0E72">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4FA2660" w:rsidR="00086B26" w:rsidRPr="000C0E72" w:rsidRDefault="00086B26" w:rsidP="00086B26">
      <w:pPr>
        <w:pStyle w:val="StyleCopyrightStatementAfter0ptBottomSinglesolidline1"/>
        <w:rPr>
          <w:lang w:val="en-CA"/>
        </w:rPr>
      </w:pPr>
    </w:p>
    <w:p w14:paraId="1C219C39" w14:textId="77777777" w:rsidR="000C0E72" w:rsidRPr="000C0E72" w:rsidRDefault="000C0E72" w:rsidP="000C0E72">
      <w:pPr>
        <w:pStyle w:val="StyleStyleCopyrightStatementAfter0ptBottomSinglesolid"/>
        <w:rPr>
          <w:rFonts w:cs="Arial"/>
          <w:color w:val="FFFFFF" w:themeColor="background1"/>
          <w:szCs w:val="16"/>
          <w:lang w:val="en-CA"/>
        </w:rPr>
      </w:pPr>
      <w:r w:rsidRPr="000C0E72">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0C0E72">
        <w:rPr>
          <w:rFonts w:cs="Arial"/>
          <w:color w:val="FFFFFF" w:themeColor="background1"/>
          <w:szCs w:val="16"/>
          <w:lang w:val="en-CA"/>
        </w:rPr>
        <w:t>i1v2e5y5pubs</w:t>
      </w:r>
    </w:p>
    <w:p w14:paraId="65A8668F" w14:textId="77777777" w:rsidR="000C0E72" w:rsidRPr="000C0E72" w:rsidRDefault="000C0E72" w:rsidP="000C0E72">
      <w:pPr>
        <w:pStyle w:val="StyleStyleCopyrightStatementAfter0ptBottomSinglesolid"/>
        <w:rPr>
          <w:rFonts w:cs="Arial"/>
          <w:color w:val="FFFFFF" w:themeColor="background1"/>
          <w:szCs w:val="16"/>
          <w:lang w:val="en-CA"/>
        </w:rPr>
      </w:pPr>
    </w:p>
    <w:p w14:paraId="3922E14F" w14:textId="67E88FB0" w:rsidR="00751E0B" w:rsidRPr="000C0E72" w:rsidRDefault="000C0E72" w:rsidP="00A323B0">
      <w:pPr>
        <w:pStyle w:val="StyleStyleCopyrightStatementAfter0ptBottomSinglesolid"/>
        <w:rPr>
          <w:rFonts w:cs="Arial"/>
          <w:color w:val="FFFFFF" w:themeColor="background1"/>
          <w:szCs w:val="16"/>
          <w:lang w:val="en-CA"/>
        </w:rPr>
      </w:pPr>
      <w:r w:rsidRPr="000C0E72">
        <w:rPr>
          <w:rFonts w:cs="Arial"/>
          <w:iCs w:val="0"/>
          <w:color w:val="auto"/>
          <w:szCs w:val="16"/>
          <w:lang w:val="en-CA"/>
        </w:rPr>
        <w:t>Copyright © 2019, Ivey Business School Foundation</w:t>
      </w:r>
      <w:r w:rsidR="00A323B0" w:rsidRPr="000C0E72">
        <w:rPr>
          <w:rFonts w:cs="Arial"/>
          <w:iCs w:val="0"/>
          <w:color w:val="auto"/>
          <w:szCs w:val="16"/>
          <w:lang w:val="en-CA"/>
        </w:rPr>
        <w:tab/>
      </w:r>
      <w:r w:rsidR="00BE6AB4" w:rsidRPr="000C0E72">
        <w:rPr>
          <w:rFonts w:cs="Arial"/>
          <w:iCs w:val="0"/>
          <w:color w:val="auto"/>
          <w:szCs w:val="16"/>
          <w:lang w:val="en-CA"/>
        </w:rPr>
        <w:t>Version: 2019-0</w:t>
      </w:r>
      <w:r w:rsidR="001A6122">
        <w:rPr>
          <w:rFonts w:cs="Arial"/>
          <w:iCs w:val="0"/>
          <w:color w:val="auto"/>
          <w:szCs w:val="16"/>
          <w:lang w:val="en-CA"/>
        </w:rPr>
        <w:t>9-</w:t>
      </w:r>
      <w:r w:rsidR="00E9662F">
        <w:rPr>
          <w:rFonts w:cs="Arial"/>
          <w:iCs w:val="0"/>
          <w:color w:val="auto"/>
          <w:szCs w:val="16"/>
          <w:lang w:val="en-CA"/>
        </w:rPr>
        <w:t>20</w:t>
      </w:r>
    </w:p>
    <w:p w14:paraId="0A2A54E4" w14:textId="61ABCF67" w:rsidR="00751E0B" w:rsidRPr="000C0E72" w:rsidRDefault="00751E0B" w:rsidP="00751E0B">
      <w:pPr>
        <w:pStyle w:val="StyleCopyrightStatementAfter0ptBottomSinglesolidline1"/>
        <w:rPr>
          <w:rFonts w:ascii="Times New Roman" w:hAnsi="Times New Roman"/>
          <w:sz w:val="20"/>
          <w:lang w:val="en-CA"/>
        </w:rPr>
      </w:pPr>
    </w:p>
    <w:p w14:paraId="1740900A" w14:textId="77777777" w:rsidR="00BE6AB4" w:rsidRPr="000C0E72" w:rsidRDefault="00BE6AB4" w:rsidP="00751E0B">
      <w:pPr>
        <w:pStyle w:val="StyleCopyrightStatementAfter0ptBottomSinglesolidline1"/>
        <w:rPr>
          <w:rFonts w:ascii="Times New Roman" w:hAnsi="Times New Roman"/>
          <w:sz w:val="20"/>
          <w:lang w:val="en-CA"/>
        </w:rPr>
      </w:pPr>
    </w:p>
    <w:p w14:paraId="1F374B39" w14:textId="7CC61A6C" w:rsidR="00BE6AB4" w:rsidRPr="000C0E72" w:rsidRDefault="00BE6AB4" w:rsidP="00BE6AB4">
      <w:pPr>
        <w:pStyle w:val="BodyTextMain"/>
        <w:rPr>
          <w:lang w:val="en-CA"/>
        </w:rPr>
      </w:pPr>
      <w:r w:rsidRPr="000C0E72">
        <w:rPr>
          <w:lang w:val="en-CA"/>
        </w:rPr>
        <w:t xml:space="preserve">It was mid-December </w:t>
      </w:r>
      <w:r w:rsidR="00D76354" w:rsidRPr="000C0E72">
        <w:rPr>
          <w:lang w:val="en-CA"/>
        </w:rPr>
        <w:t xml:space="preserve">in </w:t>
      </w:r>
      <w:r w:rsidRPr="000C0E72">
        <w:rPr>
          <w:lang w:val="en-CA"/>
        </w:rPr>
        <w:t>2017</w:t>
      </w:r>
      <w:r w:rsidR="00D76354" w:rsidRPr="000C0E72">
        <w:rPr>
          <w:lang w:val="en-CA"/>
        </w:rPr>
        <w:t>,</w:t>
      </w:r>
      <w:r w:rsidRPr="000C0E72">
        <w:rPr>
          <w:lang w:val="en-CA"/>
        </w:rPr>
        <w:t xml:space="preserve"> and </w:t>
      </w:r>
      <w:r w:rsidR="00D76354" w:rsidRPr="000C0E72">
        <w:rPr>
          <w:lang w:val="en-CA"/>
        </w:rPr>
        <w:t>P. K.</w:t>
      </w:r>
      <w:r w:rsidRPr="000C0E72">
        <w:rPr>
          <w:lang w:val="en-CA"/>
        </w:rPr>
        <w:t xml:space="preserve"> </w:t>
      </w:r>
      <w:proofErr w:type="spellStart"/>
      <w:r w:rsidRPr="000C0E72">
        <w:rPr>
          <w:lang w:val="en-CA"/>
        </w:rPr>
        <w:t>Madappa</w:t>
      </w:r>
      <w:proofErr w:type="spellEnd"/>
      <w:r w:rsidRPr="000C0E72">
        <w:rPr>
          <w:lang w:val="en-CA"/>
        </w:rPr>
        <w:t xml:space="preserve">, </w:t>
      </w:r>
      <w:r w:rsidR="00D76354" w:rsidRPr="000C0E72">
        <w:rPr>
          <w:lang w:val="en-CA"/>
        </w:rPr>
        <w:t>managing director</w:t>
      </w:r>
      <w:r w:rsidRPr="000C0E72">
        <w:rPr>
          <w:lang w:val="en-CA"/>
        </w:rPr>
        <w:t xml:space="preserve"> of </w:t>
      </w:r>
      <w:proofErr w:type="spellStart"/>
      <w:r w:rsidR="00D76354" w:rsidRPr="000C0E72">
        <w:rPr>
          <w:lang w:val="en-CA"/>
        </w:rPr>
        <w:t>Macmet</w:t>
      </w:r>
      <w:proofErr w:type="spellEnd"/>
      <w:r w:rsidR="00D76354" w:rsidRPr="000C0E72">
        <w:rPr>
          <w:lang w:val="en-CA"/>
        </w:rPr>
        <w:t xml:space="preserve"> </w:t>
      </w:r>
      <w:r w:rsidRPr="000C0E72">
        <w:rPr>
          <w:lang w:val="en-CA"/>
        </w:rPr>
        <w:t>Engineering Limited (</w:t>
      </w:r>
      <w:proofErr w:type="spellStart"/>
      <w:r w:rsidR="00D76354" w:rsidRPr="000C0E72">
        <w:rPr>
          <w:lang w:val="en-CA"/>
        </w:rPr>
        <w:t>Macmet</w:t>
      </w:r>
      <w:proofErr w:type="spellEnd"/>
      <w:r w:rsidRPr="000C0E72">
        <w:rPr>
          <w:lang w:val="en-CA"/>
        </w:rPr>
        <w:t xml:space="preserve">), located in </w:t>
      </w:r>
      <w:r w:rsidR="00D76354" w:rsidRPr="000C0E72">
        <w:rPr>
          <w:lang w:val="en-CA"/>
        </w:rPr>
        <w:t>Kolkata</w:t>
      </w:r>
      <w:r w:rsidRPr="000C0E72">
        <w:rPr>
          <w:lang w:val="en-CA"/>
        </w:rPr>
        <w:t xml:space="preserve">, India, was preparing for </w:t>
      </w:r>
      <w:r w:rsidR="00D76354" w:rsidRPr="000C0E72">
        <w:rPr>
          <w:lang w:val="en-CA"/>
        </w:rPr>
        <w:t xml:space="preserve">an </w:t>
      </w:r>
      <w:r w:rsidRPr="000C0E72">
        <w:rPr>
          <w:lang w:val="en-CA"/>
        </w:rPr>
        <w:t>upcoming negotiation with client Coastal P</w:t>
      </w:r>
      <w:r w:rsidR="0070149E" w:rsidRPr="000C0E72">
        <w:rPr>
          <w:lang w:val="en-CA"/>
        </w:rPr>
        <w:t>rojects</w:t>
      </w:r>
      <w:r w:rsidRPr="000C0E72">
        <w:rPr>
          <w:lang w:val="en-CA"/>
        </w:rPr>
        <w:t xml:space="preserve"> Limited (CPL). CPL had submitted a project proposal for the supply and </w:t>
      </w:r>
      <w:bookmarkStart w:id="0" w:name="_GoBack"/>
      <w:bookmarkEnd w:id="0"/>
      <w:r w:rsidRPr="000C0E72">
        <w:rPr>
          <w:lang w:val="en-CA"/>
        </w:rPr>
        <w:t>installation of a water filtration system</w:t>
      </w:r>
      <w:r w:rsidR="00ED42D4" w:rsidRPr="000C0E72">
        <w:rPr>
          <w:lang w:val="en-CA"/>
        </w:rPr>
        <w:t>,</w:t>
      </w:r>
      <w:r w:rsidRPr="000C0E72">
        <w:rPr>
          <w:lang w:val="en-CA"/>
        </w:rPr>
        <w:t xml:space="preserve"> and </w:t>
      </w:r>
      <w:proofErr w:type="spellStart"/>
      <w:r w:rsidRPr="000C0E72">
        <w:rPr>
          <w:lang w:val="en-CA"/>
        </w:rPr>
        <w:t>Madappa</w:t>
      </w:r>
      <w:proofErr w:type="spellEnd"/>
      <w:r w:rsidRPr="000C0E72">
        <w:rPr>
          <w:lang w:val="en-CA"/>
        </w:rPr>
        <w:t xml:space="preserve"> wanted to conduct an in-depth cost analysis to determine a competitive bid for </w:t>
      </w:r>
      <w:proofErr w:type="spellStart"/>
      <w:r w:rsidR="00ED42D4" w:rsidRPr="000C0E72">
        <w:rPr>
          <w:lang w:val="en-CA"/>
        </w:rPr>
        <w:t>Macmet</w:t>
      </w:r>
      <w:proofErr w:type="spellEnd"/>
      <w:r w:rsidRPr="000C0E72">
        <w:rPr>
          <w:lang w:val="en-CA"/>
        </w:rPr>
        <w:t xml:space="preserve"> to win the project.</w:t>
      </w:r>
    </w:p>
    <w:p w14:paraId="274D88E0" w14:textId="77777777" w:rsidR="00BE6AB4" w:rsidRPr="000C0E72" w:rsidRDefault="00BE6AB4" w:rsidP="00BE6AB4">
      <w:pPr>
        <w:pStyle w:val="BodyTextMain"/>
        <w:rPr>
          <w:lang w:val="en-CA"/>
        </w:rPr>
      </w:pPr>
    </w:p>
    <w:p w14:paraId="6488B192" w14:textId="2DA65019" w:rsidR="00BE6AB4" w:rsidRPr="000C0E72" w:rsidRDefault="00BE6AB4" w:rsidP="00BE6AB4">
      <w:pPr>
        <w:pStyle w:val="BodyTextMain"/>
        <w:rPr>
          <w:lang w:val="en-CA"/>
        </w:rPr>
      </w:pPr>
      <w:r w:rsidRPr="000C0E72">
        <w:rPr>
          <w:lang w:val="en-CA"/>
        </w:rPr>
        <w:t xml:space="preserve">In the past, bids were made based on a </w:t>
      </w:r>
      <w:r w:rsidR="00ED42D4" w:rsidRPr="000C0E72">
        <w:rPr>
          <w:lang w:val="en-CA"/>
        </w:rPr>
        <w:t>full-cost</w:t>
      </w:r>
      <w:r w:rsidRPr="000C0E72">
        <w:rPr>
          <w:lang w:val="en-CA"/>
        </w:rPr>
        <w:t xml:space="preserve"> basis; however, </w:t>
      </w:r>
      <w:proofErr w:type="spellStart"/>
      <w:r w:rsidRPr="000C0E72">
        <w:rPr>
          <w:lang w:val="en-CA"/>
        </w:rPr>
        <w:t>Madappa</w:t>
      </w:r>
      <w:proofErr w:type="spellEnd"/>
      <w:r w:rsidRPr="000C0E72">
        <w:rPr>
          <w:lang w:val="en-CA"/>
        </w:rPr>
        <w:t xml:space="preserve"> wanted to take current industry and competitive trends into consideration to see if a bid based on a </w:t>
      </w:r>
      <w:r w:rsidR="00ED42D4" w:rsidRPr="000C0E72">
        <w:rPr>
          <w:lang w:val="en-CA"/>
        </w:rPr>
        <w:t>direct-cost</w:t>
      </w:r>
      <w:r w:rsidRPr="000C0E72">
        <w:rPr>
          <w:lang w:val="en-CA"/>
        </w:rPr>
        <w:t xml:space="preserve"> basis would be necessary to secure this particular project. He had to work quickly</w:t>
      </w:r>
      <w:r w:rsidR="00ED42D4" w:rsidRPr="000C0E72">
        <w:rPr>
          <w:lang w:val="en-CA"/>
        </w:rPr>
        <w:t>,</w:t>
      </w:r>
      <w:r w:rsidRPr="000C0E72">
        <w:rPr>
          <w:lang w:val="en-CA"/>
        </w:rPr>
        <w:t xml:space="preserve"> as competitors would be bidding on the project as well. It was important that </w:t>
      </w:r>
      <w:proofErr w:type="spellStart"/>
      <w:r w:rsidR="00ED42D4" w:rsidRPr="000C0E72">
        <w:rPr>
          <w:lang w:val="en-CA"/>
        </w:rPr>
        <w:t>Macmet</w:t>
      </w:r>
      <w:proofErr w:type="spellEnd"/>
      <w:r w:rsidRPr="000C0E72">
        <w:rPr>
          <w:lang w:val="en-CA"/>
        </w:rPr>
        <w:t xml:space="preserve"> take on projects that were ultimately profitable for the company. </w:t>
      </w:r>
    </w:p>
    <w:p w14:paraId="6B1110B8" w14:textId="77777777" w:rsidR="00BE6AB4" w:rsidRPr="000C0E72" w:rsidRDefault="00BE6AB4" w:rsidP="00BE6AB4">
      <w:pPr>
        <w:pStyle w:val="BodyTextMain"/>
        <w:rPr>
          <w:lang w:val="en-CA"/>
        </w:rPr>
      </w:pPr>
    </w:p>
    <w:p w14:paraId="08BB4527" w14:textId="77777777" w:rsidR="00BE6AB4" w:rsidRPr="000C0E72" w:rsidRDefault="00BE6AB4" w:rsidP="00BE6AB4">
      <w:pPr>
        <w:pStyle w:val="Casehead1"/>
        <w:rPr>
          <w:rFonts w:ascii="Times New Roman" w:hAnsi="Times New Roman" w:cs="Times New Roman"/>
          <w:b w:val="0"/>
          <w:sz w:val="22"/>
          <w:szCs w:val="22"/>
          <w:lang w:val="en-CA"/>
        </w:rPr>
      </w:pPr>
    </w:p>
    <w:p w14:paraId="1358A8A3" w14:textId="7BA492CF" w:rsidR="00BE6AB4" w:rsidRPr="000C0E72" w:rsidRDefault="00CF5EEF" w:rsidP="00BE6AB4">
      <w:pPr>
        <w:pStyle w:val="Casehead1"/>
        <w:rPr>
          <w:lang w:val="en-CA"/>
        </w:rPr>
      </w:pPr>
      <w:r w:rsidRPr="000C0E72">
        <w:rPr>
          <w:lang w:val="en-CA"/>
        </w:rPr>
        <w:t xml:space="preserve">the </w:t>
      </w:r>
      <w:r w:rsidR="00963E68">
        <w:rPr>
          <w:lang w:val="en-CA"/>
        </w:rPr>
        <w:t>material-handling</w:t>
      </w:r>
      <w:r w:rsidRPr="000C0E72">
        <w:rPr>
          <w:lang w:val="en-CA"/>
        </w:rPr>
        <w:t xml:space="preserve"> equipment manufacturing industry</w:t>
      </w:r>
    </w:p>
    <w:p w14:paraId="4B4A22EC" w14:textId="77777777" w:rsidR="00BE6AB4" w:rsidRPr="000C0E72" w:rsidRDefault="00BE6AB4" w:rsidP="00BE6AB4">
      <w:pPr>
        <w:pStyle w:val="Casehead1"/>
        <w:rPr>
          <w:rFonts w:ascii="Times New Roman" w:hAnsi="Times New Roman" w:cs="Times New Roman"/>
          <w:b w:val="0"/>
          <w:sz w:val="22"/>
          <w:szCs w:val="22"/>
          <w:lang w:val="en-CA"/>
        </w:rPr>
      </w:pPr>
    </w:p>
    <w:p w14:paraId="762A89ED" w14:textId="0A928F4B" w:rsidR="00BE6AB4" w:rsidRPr="001A6122" w:rsidRDefault="00BE6AB4" w:rsidP="00BE6AB4">
      <w:pPr>
        <w:pStyle w:val="BodyTextMain"/>
        <w:rPr>
          <w:spacing w:val="-2"/>
          <w:kern w:val="22"/>
          <w:lang w:val="en-CA"/>
        </w:rPr>
      </w:pPr>
      <w:r w:rsidRPr="001A6122">
        <w:rPr>
          <w:spacing w:val="-2"/>
          <w:kern w:val="22"/>
          <w:lang w:val="en-CA"/>
        </w:rPr>
        <w:t xml:space="preserve">In India, the </w:t>
      </w:r>
      <w:r w:rsidR="00CF5EEF" w:rsidRPr="001A6122">
        <w:rPr>
          <w:spacing w:val="-2"/>
          <w:kern w:val="22"/>
          <w:lang w:val="en-CA"/>
        </w:rPr>
        <w:t>material</w:t>
      </w:r>
      <w:r w:rsidR="00963E68">
        <w:rPr>
          <w:spacing w:val="-2"/>
          <w:kern w:val="22"/>
          <w:lang w:val="en-CA"/>
        </w:rPr>
        <w:t>-</w:t>
      </w:r>
      <w:r w:rsidR="00CF5EEF" w:rsidRPr="001A6122">
        <w:rPr>
          <w:spacing w:val="-2"/>
          <w:kern w:val="22"/>
          <w:lang w:val="en-CA"/>
        </w:rPr>
        <w:t>handling</w:t>
      </w:r>
      <w:r w:rsidRPr="001A6122">
        <w:rPr>
          <w:spacing w:val="-2"/>
          <w:kern w:val="22"/>
          <w:lang w:val="en-CA"/>
        </w:rPr>
        <w:t xml:space="preserve"> equipment (MHE) manufacturing industry was </w:t>
      </w:r>
      <w:r w:rsidR="00CF5EEF" w:rsidRPr="001A6122">
        <w:rPr>
          <w:spacing w:val="-2"/>
          <w:kern w:val="22"/>
          <w:lang w:val="en-CA"/>
        </w:rPr>
        <w:t xml:space="preserve">growing </w:t>
      </w:r>
      <w:r w:rsidRPr="001A6122">
        <w:rPr>
          <w:spacing w:val="-2"/>
          <w:kern w:val="22"/>
          <w:lang w:val="en-CA"/>
        </w:rPr>
        <w:t xml:space="preserve">rapidly. The MHE market primarily consisted of forklift and crane manufacturers, who accounted for 63 per cent of </w:t>
      </w:r>
      <w:r w:rsidR="00165D17" w:rsidRPr="001A6122">
        <w:rPr>
          <w:spacing w:val="-2"/>
          <w:kern w:val="22"/>
          <w:lang w:val="en-CA"/>
        </w:rPr>
        <w:t xml:space="preserve">the </w:t>
      </w:r>
      <w:r w:rsidRPr="001A6122">
        <w:rPr>
          <w:spacing w:val="-2"/>
          <w:kern w:val="22"/>
          <w:lang w:val="en-CA"/>
        </w:rPr>
        <w:t>industry market share, with all other MHE manufacturers comprising the remaining 37 per cent.</w:t>
      </w:r>
      <w:r w:rsidRPr="001A6122">
        <w:rPr>
          <w:rStyle w:val="FootnoteReference"/>
          <w:spacing w:val="-2"/>
          <w:kern w:val="22"/>
          <w:lang w:val="en-CA"/>
        </w:rPr>
        <w:footnoteReference w:id="1"/>
      </w:r>
      <w:r w:rsidRPr="001A6122">
        <w:rPr>
          <w:spacing w:val="-2"/>
          <w:kern w:val="22"/>
          <w:lang w:val="en-CA"/>
        </w:rPr>
        <w:t xml:space="preserve"> A number of these other manufacturers, including </w:t>
      </w:r>
      <w:proofErr w:type="spellStart"/>
      <w:r w:rsidR="00ED42D4" w:rsidRPr="001A6122">
        <w:rPr>
          <w:spacing w:val="-2"/>
          <w:kern w:val="22"/>
          <w:lang w:val="en-CA"/>
        </w:rPr>
        <w:t>Macmet</w:t>
      </w:r>
      <w:proofErr w:type="spellEnd"/>
      <w:r w:rsidRPr="001A6122">
        <w:rPr>
          <w:spacing w:val="-2"/>
          <w:kern w:val="22"/>
          <w:lang w:val="en-CA"/>
        </w:rPr>
        <w:t>, designed and constructed transportation systems, such as conveyors, to move bulk materials including metals, cement, steel, and power across various distances. The MHE industry was projected to grow at a compound annual growth rate of 10 per cent between 2016 and 2022.</w:t>
      </w:r>
      <w:r w:rsidRPr="001A6122">
        <w:rPr>
          <w:rStyle w:val="FootnoteReference"/>
          <w:spacing w:val="-2"/>
          <w:kern w:val="22"/>
          <w:lang w:val="en-CA"/>
        </w:rPr>
        <w:footnoteReference w:id="2"/>
      </w:r>
      <w:r w:rsidRPr="001A6122">
        <w:rPr>
          <w:spacing w:val="-2"/>
          <w:kern w:val="22"/>
          <w:lang w:val="en-CA"/>
        </w:rPr>
        <w:t xml:space="preserve"> The government of India was further incentivizing the manufacturing industry by abating foreign direct investment regulations as well as lowering the tax rate for manufacturers whose profit exceeded US$38.8 million.</w:t>
      </w:r>
      <w:r w:rsidRPr="001A6122">
        <w:rPr>
          <w:rStyle w:val="FootnoteReference"/>
          <w:spacing w:val="-2"/>
          <w:kern w:val="22"/>
          <w:lang w:val="en-CA"/>
        </w:rPr>
        <w:footnoteReference w:id="3"/>
      </w:r>
    </w:p>
    <w:p w14:paraId="0F1515F9" w14:textId="77777777" w:rsidR="00CD0B2B" w:rsidRDefault="00CD0B2B" w:rsidP="00BE6AB4">
      <w:pPr>
        <w:pStyle w:val="BodyTextMain"/>
        <w:rPr>
          <w:lang w:val="en-CA"/>
        </w:rPr>
      </w:pPr>
    </w:p>
    <w:p w14:paraId="16592F72" w14:textId="36F8ABD4" w:rsidR="00BE6AB4" w:rsidRPr="000C0E72" w:rsidRDefault="00BE6AB4" w:rsidP="00BE6AB4">
      <w:pPr>
        <w:pStyle w:val="BodyTextMain"/>
        <w:rPr>
          <w:lang w:val="en-CA"/>
        </w:rPr>
      </w:pPr>
      <w:r w:rsidRPr="000C0E72">
        <w:rPr>
          <w:lang w:val="en-CA"/>
        </w:rPr>
        <w:t xml:space="preserve">The </w:t>
      </w:r>
      <w:r w:rsidR="00165D17" w:rsidRPr="000C0E72">
        <w:rPr>
          <w:lang w:val="en-CA"/>
        </w:rPr>
        <w:t xml:space="preserve">easing </w:t>
      </w:r>
      <w:r w:rsidRPr="000C0E72">
        <w:rPr>
          <w:lang w:val="en-CA"/>
        </w:rPr>
        <w:t xml:space="preserve">of foreign investment regulations had lowered the barriers to entry </w:t>
      </w:r>
      <w:r w:rsidR="0005595B" w:rsidRPr="000C0E72">
        <w:rPr>
          <w:lang w:val="en-CA"/>
        </w:rPr>
        <w:t xml:space="preserve">into </w:t>
      </w:r>
      <w:r w:rsidRPr="000C0E72">
        <w:rPr>
          <w:lang w:val="en-CA"/>
        </w:rPr>
        <w:t xml:space="preserve">the MHE industry. As a result, international companies </w:t>
      </w:r>
      <w:r w:rsidR="00165D17" w:rsidRPr="000C0E72">
        <w:rPr>
          <w:lang w:val="en-CA"/>
        </w:rPr>
        <w:t xml:space="preserve">from Europe and other parts of Asia </w:t>
      </w:r>
      <w:r w:rsidRPr="000C0E72">
        <w:rPr>
          <w:lang w:val="en-CA"/>
        </w:rPr>
        <w:t xml:space="preserve">had entered the market. Prior to this, the industry </w:t>
      </w:r>
      <w:r w:rsidR="00244F53" w:rsidRPr="000C0E72">
        <w:rPr>
          <w:lang w:val="en-CA"/>
        </w:rPr>
        <w:t xml:space="preserve">had </w:t>
      </w:r>
      <w:r w:rsidRPr="000C0E72">
        <w:rPr>
          <w:lang w:val="en-CA"/>
        </w:rPr>
        <w:t xml:space="preserve">already </w:t>
      </w:r>
      <w:r w:rsidR="00244F53" w:rsidRPr="000C0E72">
        <w:rPr>
          <w:lang w:val="en-CA"/>
        </w:rPr>
        <w:t xml:space="preserve">been </w:t>
      </w:r>
      <w:r w:rsidRPr="000C0E72">
        <w:rPr>
          <w:lang w:val="en-CA"/>
        </w:rPr>
        <w:t>highly fragmented</w:t>
      </w:r>
      <w:r w:rsidR="00244F53" w:rsidRPr="000C0E72">
        <w:rPr>
          <w:lang w:val="en-CA"/>
        </w:rPr>
        <w:t>,</w:t>
      </w:r>
      <w:r w:rsidRPr="000C0E72">
        <w:rPr>
          <w:lang w:val="en-CA"/>
        </w:rPr>
        <w:t xml:space="preserve"> with upwards of 300 </w:t>
      </w:r>
      <w:r w:rsidR="00244F53" w:rsidRPr="000C0E72">
        <w:rPr>
          <w:lang w:val="en-CA"/>
        </w:rPr>
        <w:t>moderately sized</w:t>
      </w:r>
      <w:r w:rsidRPr="000C0E72">
        <w:rPr>
          <w:lang w:val="en-CA"/>
        </w:rPr>
        <w:t xml:space="preserve"> competitors vying </w:t>
      </w:r>
      <w:r w:rsidRPr="000C0E72">
        <w:rPr>
          <w:lang w:val="en-CA"/>
        </w:rPr>
        <w:lastRenderedPageBreak/>
        <w:t xml:space="preserve">for projects. There were numerous small companies operating as well. These smaller players tended to specialize in one or two specific </w:t>
      </w:r>
      <w:r w:rsidR="00165D17" w:rsidRPr="000C0E72">
        <w:rPr>
          <w:lang w:val="en-CA"/>
        </w:rPr>
        <w:t xml:space="preserve">material </w:t>
      </w:r>
      <w:r w:rsidRPr="000C0E72">
        <w:rPr>
          <w:lang w:val="en-CA"/>
        </w:rPr>
        <w:t>systems. The vast number of companies in the industry made a bidding process necessary to win client orders. Due to international companies’ brand recognition and higher operating costs, starting bids tended to be higher</w:t>
      </w:r>
      <w:r w:rsidR="0070149E" w:rsidRPr="000C0E72">
        <w:rPr>
          <w:lang w:val="en-CA"/>
        </w:rPr>
        <w:t xml:space="preserve"> than regional companies (not international)</w:t>
      </w:r>
      <w:r w:rsidRPr="000C0E72">
        <w:rPr>
          <w:lang w:val="en-CA"/>
        </w:rPr>
        <w:t>; therefore, the</w:t>
      </w:r>
      <w:r w:rsidR="0070149E" w:rsidRPr="000C0E72">
        <w:rPr>
          <w:lang w:val="en-CA"/>
        </w:rPr>
        <w:t>se international companies’</w:t>
      </w:r>
      <w:r w:rsidR="00CD0B2B">
        <w:rPr>
          <w:lang w:val="en-CA"/>
        </w:rPr>
        <w:t xml:space="preserve"> </w:t>
      </w:r>
      <w:r w:rsidRPr="000C0E72">
        <w:rPr>
          <w:lang w:val="en-CA"/>
        </w:rPr>
        <w:t>offerings were typically accessible to larger clients.</w:t>
      </w:r>
    </w:p>
    <w:p w14:paraId="767DF6C9" w14:textId="77777777" w:rsidR="00BE6AB4" w:rsidRPr="000C0E72" w:rsidRDefault="00BE6AB4" w:rsidP="00BE6AB4">
      <w:pPr>
        <w:pStyle w:val="BodyTextMain"/>
        <w:rPr>
          <w:lang w:val="en-CA"/>
        </w:rPr>
      </w:pPr>
    </w:p>
    <w:p w14:paraId="59717D12" w14:textId="7CE4AA98" w:rsidR="00BE6AB4" w:rsidRPr="000C0E72" w:rsidRDefault="00BE6AB4" w:rsidP="00BE6AB4">
      <w:pPr>
        <w:pStyle w:val="BodyTextMain"/>
        <w:rPr>
          <w:lang w:val="en-CA"/>
        </w:rPr>
      </w:pPr>
      <w:r w:rsidRPr="000C0E72">
        <w:rPr>
          <w:lang w:val="en-CA"/>
        </w:rPr>
        <w:t>Global demand for steel had dropped over the past five years, evidenced through iron ore commodity prices falling by 12.4 per cent from 2012 to 2017.</w:t>
      </w:r>
      <w:r w:rsidRPr="000C0E72">
        <w:rPr>
          <w:rStyle w:val="FootnoteReference"/>
          <w:lang w:val="en-CA"/>
        </w:rPr>
        <w:footnoteReference w:id="4"/>
      </w:r>
      <w:r w:rsidR="00672626" w:rsidRPr="000C0E72">
        <w:rPr>
          <w:lang w:val="en-CA"/>
        </w:rPr>
        <w:t xml:space="preserve"> </w:t>
      </w:r>
      <w:r w:rsidRPr="000C0E72">
        <w:rPr>
          <w:lang w:val="en-CA"/>
        </w:rPr>
        <w:t>Despite this, in 2017, India was the third-largest producer of steel in the world due to its abundance of iron ore. In the same year, the country’s steel production increased by almost six per cent to over 100 million tons.</w:t>
      </w:r>
      <w:r w:rsidRPr="000C0E72">
        <w:rPr>
          <w:rStyle w:val="FootnoteReference"/>
          <w:lang w:val="en-CA"/>
        </w:rPr>
        <w:footnoteReference w:id="5"/>
      </w:r>
      <w:r w:rsidRPr="000C0E72">
        <w:rPr>
          <w:lang w:val="en-CA"/>
        </w:rPr>
        <w:t xml:space="preserve"> Between 2013 and 2017, government infrastructure spending in the construction sector in India increased from 7.4 per cent to </w:t>
      </w:r>
      <w:r w:rsidR="00672626" w:rsidRPr="000C0E72">
        <w:rPr>
          <w:lang w:val="en-CA"/>
        </w:rPr>
        <w:t>9</w:t>
      </w:r>
      <w:r w:rsidR="00CD0B2B">
        <w:rPr>
          <w:lang w:val="en-CA"/>
        </w:rPr>
        <w:t>.0</w:t>
      </w:r>
      <w:r w:rsidRPr="000C0E72">
        <w:rPr>
          <w:lang w:val="en-CA"/>
        </w:rPr>
        <w:t xml:space="preserve"> per cent of India’s gross domestic product.</w:t>
      </w:r>
      <w:r w:rsidRPr="000C0E72">
        <w:rPr>
          <w:rStyle w:val="FootnoteReference"/>
          <w:lang w:val="en-CA"/>
        </w:rPr>
        <w:footnoteReference w:id="6"/>
      </w:r>
    </w:p>
    <w:p w14:paraId="71D805B6" w14:textId="77777777" w:rsidR="00BE6AB4" w:rsidRPr="000C0E72" w:rsidRDefault="00BE6AB4" w:rsidP="00BE6AB4">
      <w:pPr>
        <w:pStyle w:val="BodyTextMain"/>
        <w:rPr>
          <w:lang w:val="en-CA"/>
        </w:rPr>
      </w:pPr>
    </w:p>
    <w:p w14:paraId="075FFFB9" w14:textId="5B65AB84" w:rsidR="00BE6AB4" w:rsidRPr="000C0E72" w:rsidRDefault="00BE6AB4" w:rsidP="00BE6AB4">
      <w:pPr>
        <w:pStyle w:val="BodyTextMain"/>
        <w:rPr>
          <w:lang w:val="en-CA"/>
        </w:rPr>
      </w:pPr>
      <w:r w:rsidRPr="000C0E72">
        <w:rPr>
          <w:lang w:val="en-CA"/>
        </w:rPr>
        <w:t xml:space="preserve">A multitude of </w:t>
      </w:r>
      <w:r w:rsidR="001044F4" w:rsidRPr="000C0E72">
        <w:rPr>
          <w:lang w:val="en-CA"/>
        </w:rPr>
        <w:t xml:space="preserve">material </w:t>
      </w:r>
      <w:r w:rsidRPr="000C0E72">
        <w:rPr>
          <w:lang w:val="en-CA"/>
        </w:rPr>
        <w:t xml:space="preserve">transport systems were available </w:t>
      </w:r>
      <w:r w:rsidR="00E25CD6" w:rsidRPr="000C0E72">
        <w:rPr>
          <w:lang w:val="en-CA"/>
        </w:rPr>
        <w:t>to suit</w:t>
      </w:r>
      <w:r w:rsidRPr="000C0E72">
        <w:rPr>
          <w:lang w:val="en-CA"/>
        </w:rPr>
        <w:t xml:space="preserve"> customers’ diverse needs. These systems included </w:t>
      </w:r>
      <w:r w:rsidR="001044F4" w:rsidRPr="000C0E72">
        <w:rPr>
          <w:lang w:val="en-CA"/>
        </w:rPr>
        <w:t>overland-troughed</w:t>
      </w:r>
      <w:r w:rsidRPr="000C0E72">
        <w:rPr>
          <w:lang w:val="en-CA"/>
        </w:rPr>
        <w:t xml:space="preserve"> and pipe conveyors, which transported materials across long distances, </w:t>
      </w:r>
      <w:r w:rsidR="001044F4" w:rsidRPr="000C0E72">
        <w:rPr>
          <w:lang w:val="en-CA"/>
        </w:rPr>
        <w:t>and</w:t>
      </w:r>
      <w:r w:rsidRPr="000C0E72">
        <w:rPr>
          <w:lang w:val="en-CA"/>
        </w:rPr>
        <w:t xml:space="preserve"> shuttle conveyors and travelling hoppers, which were typically seen within manufacturing facilities to transport </w:t>
      </w:r>
      <w:r w:rsidR="001044F4" w:rsidRPr="000C0E72">
        <w:rPr>
          <w:lang w:val="en-CA"/>
        </w:rPr>
        <w:t xml:space="preserve">material </w:t>
      </w:r>
      <w:r w:rsidRPr="000C0E72">
        <w:rPr>
          <w:lang w:val="en-CA"/>
        </w:rPr>
        <w:t xml:space="preserve">shorter distances. It was also possible to move </w:t>
      </w:r>
      <w:r w:rsidR="001044F4" w:rsidRPr="000C0E72">
        <w:rPr>
          <w:lang w:val="en-CA"/>
        </w:rPr>
        <w:t xml:space="preserve">material </w:t>
      </w:r>
      <w:r w:rsidRPr="000C0E72">
        <w:rPr>
          <w:lang w:val="en-CA"/>
        </w:rPr>
        <w:t>from ground level to a higher elevation using a system called a surface feeder. The ability to offer many of these options and tailor them to meet specific customer needs was critical to winning bids.</w:t>
      </w:r>
    </w:p>
    <w:p w14:paraId="08E1FF34" w14:textId="77777777" w:rsidR="00BE6AB4" w:rsidRPr="000C0E72" w:rsidRDefault="00BE6AB4" w:rsidP="00BE6AB4">
      <w:pPr>
        <w:pStyle w:val="BodyTextMain"/>
        <w:rPr>
          <w:lang w:val="en-CA"/>
        </w:rPr>
      </w:pPr>
    </w:p>
    <w:p w14:paraId="61081AB2" w14:textId="77777777" w:rsidR="00BE6AB4" w:rsidRPr="000C0E72" w:rsidRDefault="00BE6AB4" w:rsidP="00BE6AB4">
      <w:pPr>
        <w:pStyle w:val="Casehead1"/>
        <w:rPr>
          <w:rFonts w:ascii="Times New Roman" w:hAnsi="Times New Roman" w:cs="Times New Roman"/>
          <w:b w:val="0"/>
          <w:sz w:val="22"/>
          <w:szCs w:val="22"/>
          <w:lang w:val="en-CA"/>
        </w:rPr>
      </w:pPr>
    </w:p>
    <w:p w14:paraId="0EF51055" w14:textId="6671BACC" w:rsidR="00BE6AB4" w:rsidRPr="000C0E72" w:rsidRDefault="00D76354" w:rsidP="00BE6AB4">
      <w:pPr>
        <w:pStyle w:val="Casehead1"/>
        <w:rPr>
          <w:lang w:val="en-CA"/>
        </w:rPr>
      </w:pPr>
      <w:r w:rsidRPr="000C0E72">
        <w:rPr>
          <w:lang w:val="en-CA"/>
        </w:rPr>
        <w:t>Macmet</w:t>
      </w:r>
      <w:r w:rsidR="007F6E13" w:rsidRPr="000C0E72">
        <w:rPr>
          <w:lang w:val="en-CA"/>
        </w:rPr>
        <w:t xml:space="preserve"> engineering limited</w:t>
      </w:r>
    </w:p>
    <w:p w14:paraId="6A805568" w14:textId="77777777" w:rsidR="00BE6AB4" w:rsidRPr="000C0E72" w:rsidRDefault="00BE6AB4" w:rsidP="00BE6AB4">
      <w:pPr>
        <w:pStyle w:val="Casehead1"/>
        <w:rPr>
          <w:rFonts w:ascii="Times New Roman" w:hAnsi="Times New Roman" w:cs="Times New Roman"/>
          <w:b w:val="0"/>
          <w:sz w:val="22"/>
          <w:szCs w:val="22"/>
          <w:lang w:val="en-CA"/>
        </w:rPr>
      </w:pPr>
    </w:p>
    <w:p w14:paraId="58597064" w14:textId="7F0E906F" w:rsidR="00BE6AB4" w:rsidRPr="000C0E72" w:rsidRDefault="00ED42D4" w:rsidP="00BE6AB4">
      <w:pPr>
        <w:pStyle w:val="BodyTextMain"/>
        <w:tabs>
          <w:tab w:val="left" w:pos="4820"/>
        </w:tabs>
        <w:rPr>
          <w:lang w:val="en-CA"/>
        </w:rPr>
      </w:pPr>
      <w:proofErr w:type="spellStart"/>
      <w:r w:rsidRPr="000C0E72">
        <w:rPr>
          <w:lang w:val="en-CA"/>
        </w:rPr>
        <w:t>Macmet</w:t>
      </w:r>
      <w:proofErr w:type="spellEnd"/>
      <w:r w:rsidR="00BE6AB4" w:rsidRPr="000C0E72">
        <w:rPr>
          <w:lang w:val="en-CA"/>
        </w:rPr>
        <w:t xml:space="preserve"> was </w:t>
      </w:r>
      <w:r w:rsidR="007F6E13" w:rsidRPr="000C0E72">
        <w:rPr>
          <w:lang w:val="en-CA"/>
        </w:rPr>
        <w:t xml:space="preserve">founded </w:t>
      </w:r>
      <w:r w:rsidR="00BE6AB4" w:rsidRPr="000C0E72">
        <w:rPr>
          <w:lang w:val="en-CA"/>
        </w:rPr>
        <w:t xml:space="preserve">in 1974 in </w:t>
      </w:r>
      <w:r w:rsidR="007F6E13" w:rsidRPr="000C0E72">
        <w:rPr>
          <w:lang w:val="en-CA"/>
        </w:rPr>
        <w:t>Kolkata</w:t>
      </w:r>
      <w:r w:rsidR="00BE6AB4" w:rsidRPr="000C0E72">
        <w:rPr>
          <w:lang w:val="en-CA"/>
        </w:rPr>
        <w:t xml:space="preserve">, India. Over the past two decades, it had established itself as a leader in supplying and installing </w:t>
      </w:r>
      <w:r w:rsidR="00963E68">
        <w:rPr>
          <w:lang w:val="en-CA"/>
        </w:rPr>
        <w:t>material-handling</w:t>
      </w:r>
      <w:r w:rsidR="00BE6AB4" w:rsidRPr="000C0E72">
        <w:rPr>
          <w:lang w:val="en-CA"/>
        </w:rPr>
        <w:t xml:space="preserve"> systems and </w:t>
      </w:r>
      <w:r w:rsidR="006A2A21" w:rsidRPr="000C0E72">
        <w:rPr>
          <w:lang w:val="en-CA"/>
        </w:rPr>
        <w:t>water</w:t>
      </w:r>
      <w:r w:rsidR="00E25CD6" w:rsidRPr="000C0E72">
        <w:rPr>
          <w:lang w:val="en-CA"/>
        </w:rPr>
        <w:t xml:space="preserve"> </w:t>
      </w:r>
      <w:r w:rsidR="006A2A21" w:rsidRPr="000C0E72">
        <w:rPr>
          <w:lang w:val="en-CA"/>
        </w:rPr>
        <w:t>screening</w:t>
      </w:r>
      <w:r w:rsidR="00BE6AB4" w:rsidRPr="000C0E72">
        <w:rPr>
          <w:lang w:val="en-CA"/>
        </w:rPr>
        <w:t xml:space="preserve"> equipment. </w:t>
      </w:r>
      <w:proofErr w:type="spellStart"/>
      <w:r w:rsidRPr="000C0E72">
        <w:rPr>
          <w:lang w:val="en-CA"/>
        </w:rPr>
        <w:t>Macmet</w:t>
      </w:r>
      <w:proofErr w:type="spellEnd"/>
      <w:r w:rsidR="00BE6AB4" w:rsidRPr="000C0E72">
        <w:rPr>
          <w:lang w:val="en-CA"/>
        </w:rPr>
        <w:t xml:space="preserve"> had successfully installed over 1,000 conveyors and </w:t>
      </w:r>
      <w:r w:rsidR="007F6E13" w:rsidRPr="000C0E72">
        <w:rPr>
          <w:lang w:val="en-CA"/>
        </w:rPr>
        <w:t xml:space="preserve">more than </w:t>
      </w:r>
      <w:r w:rsidR="00BE6AB4" w:rsidRPr="000C0E72">
        <w:rPr>
          <w:lang w:val="en-CA"/>
        </w:rPr>
        <w:t xml:space="preserve">100 water filtration systems across India. Additionally, it was responsible for supplying a 21-kilometre conveyor to </w:t>
      </w:r>
      <w:proofErr w:type="spellStart"/>
      <w:r w:rsidR="007F6E13" w:rsidRPr="000C0E72">
        <w:rPr>
          <w:lang w:val="en-CA"/>
        </w:rPr>
        <w:t>HeidelbergCement</w:t>
      </w:r>
      <w:proofErr w:type="spellEnd"/>
      <w:r w:rsidR="00BE6AB4" w:rsidRPr="000C0E72">
        <w:rPr>
          <w:lang w:val="en-CA"/>
        </w:rPr>
        <w:t xml:space="preserve"> India</w:t>
      </w:r>
      <w:r w:rsidR="007F6E13" w:rsidRPr="000C0E72">
        <w:rPr>
          <w:lang w:val="en-CA"/>
        </w:rPr>
        <w:t xml:space="preserve"> Limited</w:t>
      </w:r>
      <w:r w:rsidR="00B022BE" w:rsidRPr="000C0E72">
        <w:rPr>
          <w:lang w:val="en-CA"/>
        </w:rPr>
        <w:t xml:space="preserve"> that was</w:t>
      </w:r>
      <w:r w:rsidR="00BE6AB4" w:rsidRPr="000C0E72">
        <w:rPr>
          <w:lang w:val="en-CA"/>
        </w:rPr>
        <w:t xml:space="preserve"> capable of transporting limestone at 1,000 tons per hour (</w:t>
      </w:r>
      <w:r w:rsidR="00E25CD6" w:rsidRPr="000C0E72">
        <w:rPr>
          <w:lang w:val="en-CA"/>
        </w:rPr>
        <w:t xml:space="preserve">see </w:t>
      </w:r>
      <w:r w:rsidR="00BE6AB4" w:rsidRPr="000C0E72">
        <w:rPr>
          <w:lang w:val="en-CA"/>
        </w:rPr>
        <w:t>Exhibit 1).</w:t>
      </w:r>
      <w:r w:rsidR="00BE6AB4" w:rsidRPr="000C0E72">
        <w:rPr>
          <w:rStyle w:val="FootnoteReference"/>
          <w:lang w:val="en-CA"/>
        </w:rPr>
        <w:footnoteReference w:id="7"/>
      </w:r>
      <w:r w:rsidR="00BE6AB4" w:rsidRPr="000C0E72">
        <w:rPr>
          <w:lang w:val="en-CA"/>
        </w:rPr>
        <w:t xml:space="preserve"> In 2017, </w:t>
      </w:r>
      <w:proofErr w:type="spellStart"/>
      <w:r w:rsidRPr="000C0E72">
        <w:rPr>
          <w:lang w:val="en-CA"/>
        </w:rPr>
        <w:t>Macmet</w:t>
      </w:r>
      <w:proofErr w:type="spellEnd"/>
      <w:r w:rsidR="00BE6AB4" w:rsidRPr="000C0E72">
        <w:rPr>
          <w:lang w:val="en-CA"/>
        </w:rPr>
        <w:t xml:space="preserve"> was executing the world’s longest </w:t>
      </w:r>
      <w:r w:rsidR="00B022BE" w:rsidRPr="000C0E72">
        <w:rPr>
          <w:lang w:val="en-CA"/>
        </w:rPr>
        <w:t>pipe conveyor system</w:t>
      </w:r>
      <w:r w:rsidR="00BE6AB4" w:rsidRPr="000C0E72">
        <w:rPr>
          <w:lang w:val="en-CA"/>
        </w:rPr>
        <w:t xml:space="preserve"> for one of India’s leading steel companies. </w:t>
      </w:r>
      <w:proofErr w:type="spellStart"/>
      <w:r w:rsidR="004A60CE" w:rsidRPr="000C0E72">
        <w:rPr>
          <w:lang w:val="en-CA"/>
        </w:rPr>
        <w:t>Macmet</w:t>
      </w:r>
      <w:proofErr w:type="spellEnd"/>
      <w:r w:rsidR="00BE6AB4" w:rsidRPr="000C0E72">
        <w:rPr>
          <w:lang w:val="en-CA"/>
        </w:rPr>
        <w:t xml:space="preserve"> had developed a strong reputation and was continuously looking for opportunities to install systems globally. There were discussions about Mitsubishi Hitachi Power Systems </w:t>
      </w:r>
      <w:r w:rsidR="004A60CE" w:rsidRPr="000C0E72">
        <w:rPr>
          <w:lang w:val="en-CA"/>
        </w:rPr>
        <w:t xml:space="preserve">Ltd. </w:t>
      </w:r>
      <w:r w:rsidR="00BE6AB4" w:rsidRPr="000C0E72">
        <w:rPr>
          <w:lang w:val="en-CA"/>
        </w:rPr>
        <w:t xml:space="preserve">considering </w:t>
      </w:r>
      <w:proofErr w:type="spellStart"/>
      <w:r w:rsidRPr="000C0E72">
        <w:rPr>
          <w:lang w:val="en-CA"/>
        </w:rPr>
        <w:t>Macmet</w:t>
      </w:r>
      <w:proofErr w:type="spellEnd"/>
      <w:r w:rsidR="00BE6AB4" w:rsidRPr="000C0E72">
        <w:rPr>
          <w:lang w:val="en-CA"/>
        </w:rPr>
        <w:t xml:space="preserve"> to supply a system in Kenya in early 2018. </w:t>
      </w:r>
    </w:p>
    <w:p w14:paraId="7A397E99" w14:textId="77777777" w:rsidR="00BE6AB4" w:rsidRPr="000C0E72" w:rsidRDefault="00BE6AB4" w:rsidP="00BE6AB4">
      <w:pPr>
        <w:pStyle w:val="BodyTextMain"/>
        <w:tabs>
          <w:tab w:val="left" w:pos="4820"/>
        </w:tabs>
        <w:rPr>
          <w:lang w:val="en-CA"/>
        </w:rPr>
      </w:pPr>
    </w:p>
    <w:p w14:paraId="0ABA9E5C" w14:textId="3E8DC789" w:rsidR="00BE6AB4" w:rsidRPr="000C0E72" w:rsidRDefault="00BE6AB4" w:rsidP="00BE6AB4">
      <w:pPr>
        <w:pStyle w:val="BodyTextMain"/>
        <w:tabs>
          <w:tab w:val="left" w:pos="4820"/>
        </w:tabs>
        <w:rPr>
          <w:lang w:val="en-CA"/>
        </w:rPr>
      </w:pPr>
      <w:r w:rsidRPr="000C0E72">
        <w:rPr>
          <w:lang w:val="en-CA"/>
        </w:rPr>
        <w:t xml:space="preserve">With a </w:t>
      </w:r>
      <w:r w:rsidR="00593F55" w:rsidRPr="000C0E72">
        <w:rPr>
          <w:lang w:val="en-CA"/>
        </w:rPr>
        <w:t>bachelor of commerce</w:t>
      </w:r>
      <w:r w:rsidRPr="000C0E72">
        <w:rPr>
          <w:lang w:val="en-CA"/>
        </w:rPr>
        <w:t xml:space="preserve"> from St. Xavier’s College</w:t>
      </w:r>
      <w:r w:rsidR="00593F55" w:rsidRPr="000C0E72">
        <w:rPr>
          <w:lang w:val="en-CA"/>
        </w:rPr>
        <w:t>,</w:t>
      </w:r>
      <w:r w:rsidRPr="000C0E72">
        <w:rPr>
          <w:lang w:val="en-CA"/>
        </w:rPr>
        <w:t xml:space="preserve"> </w:t>
      </w:r>
      <w:r w:rsidR="00593F55" w:rsidRPr="000C0E72">
        <w:rPr>
          <w:lang w:val="en-CA"/>
        </w:rPr>
        <w:t>Kolkata</w:t>
      </w:r>
      <w:r w:rsidRPr="000C0E72">
        <w:rPr>
          <w:lang w:val="en-CA"/>
        </w:rPr>
        <w:t xml:space="preserve">, managerial experience at Citibank, a </w:t>
      </w:r>
      <w:r w:rsidR="00917C18" w:rsidRPr="000C0E72">
        <w:rPr>
          <w:lang w:val="en-CA"/>
        </w:rPr>
        <w:t>chartered accountant</w:t>
      </w:r>
      <w:r w:rsidRPr="000C0E72">
        <w:rPr>
          <w:lang w:val="en-CA"/>
        </w:rPr>
        <w:t xml:space="preserve"> designation, and </w:t>
      </w:r>
      <w:r w:rsidR="00917C18" w:rsidRPr="000C0E72">
        <w:rPr>
          <w:lang w:val="en-CA"/>
        </w:rPr>
        <w:t>an MBA</w:t>
      </w:r>
      <w:r w:rsidRPr="000C0E72">
        <w:rPr>
          <w:lang w:val="en-CA"/>
        </w:rPr>
        <w:t xml:space="preserve"> in </w:t>
      </w:r>
      <w:r w:rsidR="00917C18" w:rsidRPr="000C0E72">
        <w:rPr>
          <w:lang w:val="en-CA"/>
        </w:rPr>
        <w:t>finance and entrepreneurship</w:t>
      </w:r>
      <w:r w:rsidRPr="000C0E72">
        <w:rPr>
          <w:lang w:val="en-CA"/>
        </w:rPr>
        <w:t xml:space="preserve"> from the Simon Business School at the University of Rochester, </w:t>
      </w:r>
      <w:proofErr w:type="spellStart"/>
      <w:r w:rsidRPr="000C0E72">
        <w:rPr>
          <w:lang w:val="en-CA"/>
        </w:rPr>
        <w:t>Madappa</w:t>
      </w:r>
      <w:proofErr w:type="spellEnd"/>
      <w:r w:rsidRPr="000C0E72">
        <w:rPr>
          <w:lang w:val="en-CA"/>
        </w:rPr>
        <w:t xml:space="preserve"> succeeded his father as </w:t>
      </w:r>
      <w:r w:rsidR="00917C18" w:rsidRPr="000C0E72">
        <w:rPr>
          <w:lang w:val="en-CA"/>
        </w:rPr>
        <w:t>managing director</w:t>
      </w:r>
      <w:r w:rsidRPr="000C0E72">
        <w:rPr>
          <w:lang w:val="en-CA"/>
        </w:rPr>
        <w:t xml:space="preserve"> of </w:t>
      </w:r>
      <w:proofErr w:type="spellStart"/>
      <w:r w:rsidR="00ED42D4" w:rsidRPr="000C0E72">
        <w:rPr>
          <w:lang w:val="en-CA"/>
        </w:rPr>
        <w:t>Macmet</w:t>
      </w:r>
      <w:proofErr w:type="spellEnd"/>
      <w:r w:rsidRPr="000C0E72">
        <w:rPr>
          <w:lang w:val="en-CA"/>
        </w:rPr>
        <w:t xml:space="preserve"> in 1990</w:t>
      </w:r>
      <w:r w:rsidR="00917C18" w:rsidRPr="000C0E72">
        <w:rPr>
          <w:lang w:val="en-CA"/>
        </w:rPr>
        <w:t xml:space="preserve"> and</w:t>
      </w:r>
      <w:r w:rsidRPr="000C0E72">
        <w:rPr>
          <w:lang w:val="en-CA"/>
        </w:rPr>
        <w:t xml:space="preserve"> led </w:t>
      </w:r>
      <w:proofErr w:type="spellStart"/>
      <w:r w:rsidR="00ED42D4" w:rsidRPr="000C0E72">
        <w:rPr>
          <w:lang w:val="en-CA"/>
        </w:rPr>
        <w:t>Macmet</w:t>
      </w:r>
      <w:proofErr w:type="spellEnd"/>
      <w:r w:rsidRPr="000C0E72">
        <w:rPr>
          <w:lang w:val="en-CA"/>
        </w:rPr>
        <w:t xml:space="preserve"> through its transition from an information technologies service company into the </w:t>
      </w:r>
      <w:r w:rsidR="00963E68">
        <w:rPr>
          <w:lang w:val="en-CA"/>
        </w:rPr>
        <w:t>material-handling</w:t>
      </w:r>
      <w:r w:rsidRPr="000C0E72">
        <w:rPr>
          <w:lang w:val="en-CA"/>
        </w:rPr>
        <w:t xml:space="preserve"> leader it </w:t>
      </w:r>
      <w:r w:rsidR="00917C18" w:rsidRPr="000C0E72">
        <w:rPr>
          <w:lang w:val="en-CA"/>
        </w:rPr>
        <w:t>had become</w:t>
      </w:r>
      <w:r w:rsidRPr="000C0E72">
        <w:rPr>
          <w:lang w:val="en-CA"/>
        </w:rPr>
        <w:t xml:space="preserve">. </w:t>
      </w:r>
      <w:proofErr w:type="spellStart"/>
      <w:r w:rsidR="00ED42D4" w:rsidRPr="000C0E72">
        <w:rPr>
          <w:lang w:val="en-CA"/>
        </w:rPr>
        <w:t>Macmet</w:t>
      </w:r>
      <w:proofErr w:type="spellEnd"/>
      <w:r w:rsidRPr="000C0E72">
        <w:rPr>
          <w:lang w:val="en-CA"/>
        </w:rPr>
        <w:t xml:space="preserve"> operated in </w:t>
      </w:r>
      <w:r w:rsidR="00917C18" w:rsidRPr="000C0E72">
        <w:rPr>
          <w:lang w:val="en-CA"/>
        </w:rPr>
        <w:t xml:space="preserve">Kolkata </w:t>
      </w:r>
      <w:r w:rsidRPr="000C0E72">
        <w:rPr>
          <w:lang w:val="en-CA"/>
        </w:rPr>
        <w:t>out of a 22,145</w:t>
      </w:r>
      <w:r w:rsidR="00917C18" w:rsidRPr="000C0E72">
        <w:rPr>
          <w:lang w:val="en-CA"/>
        </w:rPr>
        <w:t>-</w:t>
      </w:r>
      <w:r w:rsidRPr="000C0E72">
        <w:rPr>
          <w:lang w:val="en-CA"/>
        </w:rPr>
        <w:t>square-</w:t>
      </w:r>
      <w:r w:rsidR="005A0D14" w:rsidRPr="000C0E72">
        <w:rPr>
          <w:lang w:val="en-CA"/>
        </w:rPr>
        <w:t xml:space="preserve">metre </w:t>
      </w:r>
      <w:r w:rsidRPr="000C0E72">
        <w:rPr>
          <w:lang w:val="en-CA"/>
        </w:rPr>
        <w:t xml:space="preserve">production facility and office </w:t>
      </w:r>
      <w:r w:rsidR="004E60C8" w:rsidRPr="000C0E72">
        <w:rPr>
          <w:lang w:val="en-CA"/>
        </w:rPr>
        <w:t xml:space="preserve">and had </w:t>
      </w:r>
      <w:r w:rsidRPr="000C0E72">
        <w:rPr>
          <w:lang w:val="en-CA"/>
        </w:rPr>
        <w:t>approximately 200 employees.</w:t>
      </w:r>
    </w:p>
    <w:p w14:paraId="247CFE4A" w14:textId="77777777" w:rsidR="006159C5" w:rsidRDefault="006159C5" w:rsidP="00BE6AB4">
      <w:pPr>
        <w:pStyle w:val="BodyTextMain"/>
        <w:tabs>
          <w:tab w:val="left" w:pos="4820"/>
        </w:tabs>
        <w:rPr>
          <w:lang w:val="en-CA"/>
        </w:rPr>
      </w:pPr>
    </w:p>
    <w:p w14:paraId="7676ADD4" w14:textId="070FF606" w:rsidR="00BE6AB4" w:rsidRPr="000C0E72" w:rsidRDefault="00BE6AB4" w:rsidP="00BE6AB4">
      <w:pPr>
        <w:pStyle w:val="BodyTextMain"/>
        <w:tabs>
          <w:tab w:val="left" w:pos="4820"/>
        </w:tabs>
        <w:rPr>
          <w:lang w:val="en-CA"/>
        </w:rPr>
      </w:pPr>
      <w:r w:rsidRPr="000C0E72">
        <w:rPr>
          <w:lang w:val="en-CA"/>
        </w:rPr>
        <w:t xml:space="preserve">The majority of </w:t>
      </w:r>
      <w:proofErr w:type="spellStart"/>
      <w:r w:rsidR="00ED42D4" w:rsidRPr="000C0E72">
        <w:rPr>
          <w:lang w:val="en-CA"/>
        </w:rPr>
        <w:t>Macmet</w:t>
      </w:r>
      <w:r w:rsidRPr="000C0E72">
        <w:rPr>
          <w:lang w:val="en-CA"/>
        </w:rPr>
        <w:t>’s</w:t>
      </w:r>
      <w:proofErr w:type="spellEnd"/>
      <w:r w:rsidRPr="000C0E72">
        <w:rPr>
          <w:lang w:val="en-CA"/>
        </w:rPr>
        <w:t xml:space="preserve"> customers came from the power, steel, cement, and mining industries. Projects were custom</w:t>
      </w:r>
      <w:r w:rsidR="00444338" w:rsidRPr="000C0E72">
        <w:rPr>
          <w:lang w:val="en-CA"/>
        </w:rPr>
        <w:t>,</w:t>
      </w:r>
      <w:r w:rsidRPr="000C0E72">
        <w:rPr>
          <w:lang w:val="en-CA"/>
        </w:rPr>
        <w:t xml:space="preserve"> as a variety of factors needed to be considered in order to put a successful </w:t>
      </w:r>
      <w:r w:rsidR="00963E68">
        <w:rPr>
          <w:lang w:val="en-CA"/>
        </w:rPr>
        <w:t>material-handling</w:t>
      </w:r>
      <w:r w:rsidR="000E6C5E" w:rsidRPr="000C0E72">
        <w:rPr>
          <w:lang w:val="en-CA"/>
        </w:rPr>
        <w:t xml:space="preserve"> </w:t>
      </w:r>
      <w:r w:rsidRPr="000C0E72">
        <w:rPr>
          <w:lang w:val="en-CA"/>
        </w:rPr>
        <w:t xml:space="preserve">system in place. Some of these factors included the type of </w:t>
      </w:r>
      <w:r w:rsidR="00444338" w:rsidRPr="000C0E72">
        <w:rPr>
          <w:lang w:val="en-CA"/>
        </w:rPr>
        <w:t xml:space="preserve">material </w:t>
      </w:r>
      <w:r w:rsidRPr="000C0E72">
        <w:rPr>
          <w:lang w:val="en-CA"/>
        </w:rPr>
        <w:t xml:space="preserve">being transported </w:t>
      </w:r>
      <w:r w:rsidR="00DD1B89" w:rsidRPr="000C0E72">
        <w:rPr>
          <w:lang w:val="en-CA"/>
        </w:rPr>
        <w:t xml:space="preserve">as well as the </w:t>
      </w:r>
      <w:r w:rsidR="00DD1B89" w:rsidRPr="000C0E72">
        <w:rPr>
          <w:lang w:val="en-CA"/>
        </w:rPr>
        <w:lastRenderedPageBreak/>
        <w:t xml:space="preserve">transportation </w:t>
      </w:r>
      <w:r w:rsidRPr="000C0E72">
        <w:rPr>
          <w:lang w:val="en-CA"/>
        </w:rPr>
        <w:t xml:space="preserve">distance, </w:t>
      </w:r>
      <w:r w:rsidR="0070149E" w:rsidRPr="000C0E72">
        <w:rPr>
          <w:lang w:val="en-CA"/>
        </w:rPr>
        <w:t xml:space="preserve">the transportation </w:t>
      </w:r>
      <w:r w:rsidRPr="000C0E72">
        <w:rPr>
          <w:lang w:val="en-CA"/>
        </w:rPr>
        <w:t xml:space="preserve">direction, and </w:t>
      </w:r>
      <w:r w:rsidR="0070149E" w:rsidRPr="000C0E72">
        <w:rPr>
          <w:lang w:val="en-CA"/>
        </w:rPr>
        <w:t xml:space="preserve">the </w:t>
      </w:r>
      <w:r w:rsidRPr="000C0E72">
        <w:rPr>
          <w:lang w:val="en-CA"/>
        </w:rPr>
        <w:t>location</w:t>
      </w:r>
      <w:r w:rsidR="0070149E" w:rsidRPr="000C0E72">
        <w:rPr>
          <w:lang w:val="en-CA"/>
        </w:rPr>
        <w:t xml:space="preserve"> to which the material was being brought</w:t>
      </w:r>
      <w:r w:rsidRPr="000C0E72">
        <w:rPr>
          <w:lang w:val="en-CA"/>
        </w:rPr>
        <w:t>. Maintaining strong client relationships was critical</w:t>
      </w:r>
      <w:r w:rsidR="00DD1B89" w:rsidRPr="000C0E72">
        <w:rPr>
          <w:lang w:val="en-CA"/>
        </w:rPr>
        <w:t>,</w:t>
      </w:r>
      <w:r w:rsidRPr="000C0E72">
        <w:rPr>
          <w:lang w:val="en-CA"/>
        </w:rPr>
        <w:t xml:space="preserve"> as </w:t>
      </w:r>
      <w:proofErr w:type="spellStart"/>
      <w:r w:rsidR="00ED42D4" w:rsidRPr="000C0E72">
        <w:rPr>
          <w:lang w:val="en-CA"/>
        </w:rPr>
        <w:t>Macmet</w:t>
      </w:r>
      <w:proofErr w:type="spellEnd"/>
      <w:r w:rsidRPr="000C0E72">
        <w:rPr>
          <w:lang w:val="en-CA"/>
        </w:rPr>
        <w:t xml:space="preserve"> continued to service systems for clients after the initial supply and installation process was complete. As transporting bulk materials could quickly become costly, customers valued system designs that lowered operating costs. </w:t>
      </w:r>
      <w:proofErr w:type="spellStart"/>
      <w:r w:rsidR="00ED42D4" w:rsidRPr="000C0E72">
        <w:rPr>
          <w:lang w:val="en-CA"/>
        </w:rPr>
        <w:t>Macmet</w:t>
      </w:r>
      <w:proofErr w:type="spellEnd"/>
      <w:r w:rsidRPr="000C0E72">
        <w:rPr>
          <w:lang w:val="en-CA"/>
        </w:rPr>
        <w:t xml:space="preserve"> bore this in mind throughout the design process. Quality, timeliness, and price were important considerations for clients. </w:t>
      </w:r>
      <w:proofErr w:type="spellStart"/>
      <w:r w:rsidR="00DD1B89" w:rsidRPr="000C0E72">
        <w:rPr>
          <w:lang w:val="en-CA"/>
        </w:rPr>
        <w:t>Macmet’s</w:t>
      </w:r>
      <w:proofErr w:type="spellEnd"/>
      <w:r w:rsidR="00DD1B89" w:rsidRPr="000C0E72">
        <w:rPr>
          <w:lang w:val="en-CA"/>
        </w:rPr>
        <w:t xml:space="preserve"> </w:t>
      </w:r>
      <w:r w:rsidRPr="000C0E72">
        <w:rPr>
          <w:lang w:val="en-CA"/>
        </w:rPr>
        <w:t xml:space="preserve">sales for </w:t>
      </w:r>
      <w:r w:rsidR="00D0762B" w:rsidRPr="000C0E72">
        <w:rPr>
          <w:lang w:val="en-CA"/>
        </w:rPr>
        <w:t xml:space="preserve">the first </w:t>
      </w:r>
      <w:r w:rsidR="006159C5">
        <w:rPr>
          <w:lang w:val="en-CA"/>
        </w:rPr>
        <w:t>11</w:t>
      </w:r>
      <w:r w:rsidR="00D0762B" w:rsidRPr="000C0E72">
        <w:rPr>
          <w:lang w:val="en-CA"/>
        </w:rPr>
        <w:t xml:space="preserve"> months of </w:t>
      </w:r>
      <w:r w:rsidR="00963E68">
        <w:rPr>
          <w:lang w:val="en-CA"/>
        </w:rPr>
        <w:t>F</w:t>
      </w:r>
      <w:r w:rsidRPr="000C0E72">
        <w:rPr>
          <w:lang w:val="en-CA"/>
        </w:rPr>
        <w:t xml:space="preserve">iscal </w:t>
      </w:r>
      <w:r w:rsidR="00963E68">
        <w:rPr>
          <w:lang w:val="en-CA"/>
        </w:rPr>
        <w:t xml:space="preserve">Year </w:t>
      </w:r>
      <w:r w:rsidRPr="000C0E72">
        <w:rPr>
          <w:lang w:val="en-CA"/>
        </w:rPr>
        <w:t>2017</w:t>
      </w:r>
      <w:r w:rsidR="006159C5">
        <w:rPr>
          <w:lang w:val="en-CA"/>
        </w:rPr>
        <w:t xml:space="preserve"> </w:t>
      </w:r>
      <w:r w:rsidR="00DD1B89" w:rsidRPr="000C0E72">
        <w:rPr>
          <w:lang w:val="en-CA"/>
        </w:rPr>
        <w:t>totalled</w:t>
      </w:r>
      <w:r w:rsidRPr="000C0E72">
        <w:rPr>
          <w:lang w:val="en-CA"/>
        </w:rPr>
        <w:t xml:space="preserve"> $12,982,350.</w:t>
      </w:r>
    </w:p>
    <w:p w14:paraId="41F7966D" w14:textId="77777777" w:rsidR="00BE6AB4" w:rsidRPr="001A6122" w:rsidRDefault="00BE6AB4" w:rsidP="00BE6AB4">
      <w:pPr>
        <w:pStyle w:val="Casehead1"/>
        <w:rPr>
          <w:rFonts w:ascii="Times New Roman" w:hAnsi="Times New Roman" w:cs="Times New Roman"/>
          <w:b w:val="0"/>
          <w:sz w:val="14"/>
          <w:szCs w:val="14"/>
          <w:lang w:val="en-CA"/>
        </w:rPr>
      </w:pPr>
    </w:p>
    <w:p w14:paraId="5252A98A" w14:textId="77777777" w:rsidR="00BE6AB4" w:rsidRPr="001A6122" w:rsidRDefault="00BE6AB4" w:rsidP="00BE6AB4">
      <w:pPr>
        <w:pStyle w:val="Casehead2"/>
        <w:rPr>
          <w:rFonts w:ascii="Times New Roman" w:hAnsi="Times New Roman" w:cs="Times New Roman"/>
          <w:b w:val="0"/>
          <w:sz w:val="14"/>
          <w:szCs w:val="14"/>
          <w:lang w:val="en-CA"/>
        </w:rPr>
      </w:pPr>
    </w:p>
    <w:p w14:paraId="483EFA16" w14:textId="77777777" w:rsidR="00BE6AB4" w:rsidRPr="000C0E72" w:rsidRDefault="00BE6AB4" w:rsidP="00BE6AB4">
      <w:pPr>
        <w:pStyle w:val="Casehead2"/>
        <w:rPr>
          <w:lang w:val="en-CA"/>
        </w:rPr>
      </w:pPr>
      <w:r w:rsidRPr="000C0E72">
        <w:rPr>
          <w:lang w:val="en-CA"/>
        </w:rPr>
        <w:t xml:space="preserve">Sales Process </w:t>
      </w:r>
    </w:p>
    <w:p w14:paraId="330CE77F" w14:textId="77777777" w:rsidR="00BE6AB4" w:rsidRPr="001A6122" w:rsidRDefault="00BE6AB4" w:rsidP="00BE6AB4">
      <w:pPr>
        <w:pStyle w:val="Casehead1"/>
        <w:rPr>
          <w:rFonts w:ascii="Times New Roman" w:hAnsi="Times New Roman" w:cs="Times New Roman"/>
          <w:b w:val="0"/>
          <w:sz w:val="14"/>
          <w:szCs w:val="14"/>
          <w:lang w:val="en-CA"/>
        </w:rPr>
      </w:pPr>
    </w:p>
    <w:p w14:paraId="1119D43F" w14:textId="0CB8007E" w:rsidR="00BE6AB4" w:rsidRPr="000C0E72" w:rsidRDefault="00BE6AB4" w:rsidP="00BE6AB4">
      <w:pPr>
        <w:pStyle w:val="BodyTextMain"/>
        <w:rPr>
          <w:lang w:val="en-CA"/>
        </w:rPr>
      </w:pPr>
      <w:bookmarkStart w:id="1" w:name="_Hlk517845275"/>
      <w:r w:rsidRPr="000C0E72">
        <w:rPr>
          <w:lang w:val="en-CA"/>
        </w:rPr>
        <w:t xml:space="preserve">The sales process </w:t>
      </w:r>
      <w:r w:rsidR="007927CA" w:rsidRPr="000C0E72">
        <w:rPr>
          <w:lang w:val="en-CA"/>
        </w:rPr>
        <w:t xml:space="preserve">began </w:t>
      </w:r>
      <w:r w:rsidRPr="000C0E72">
        <w:rPr>
          <w:lang w:val="en-CA"/>
        </w:rPr>
        <w:t>when a client submitted a project proposal</w:t>
      </w:r>
      <w:r w:rsidR="007927CA" w:rsidRPr="000C0E72">
        <w:rPr>
          <w:lang w:val="en-CA"/>
        </w:rPr>
        <w:t>, including</w:t>
      </w:r>
      <w:r w:rsidRPr="000C0E72">
        <w:rPr>
          <w:lang w:val="en-CA"/>
        </w:rPr>
        <w:t xml:space="preserve"> </w:t>
      </w:r>
      <w:r w:rsidR="007927CA" w:rsidRPr="000C0E72">
        <w:rPr>
          <w:lang w:val="en-CA"/>
        </w:rPr>
        <w:t xml:space="preserve">the necessary system specifications, </w:t>
      </w:r>
      <w:r w:rsidRPr="000C0E72">
        <w:rPr>
          <w:lang w:val="en-CA"/>
        </w:rPr>
        <w:t xml:space="preserve">to a sales representative. Next, the project team underwent a cost analysis to determine the cost of designing, planning, and constructing the system. These costs included direct materials and labour costs as well as allocations for overhead. Once the cost analysis was complete, a bid was submitted to the client among multiple bids from other competitors. If the client decided to proceed with </w:t>
      </w:r>
      <w:proofErr w:type="spellStart"/>
      <w:r w:rsidR="00ED42D4" w:rsidRPr="000C0E72">
        <w:rPr>
          <w:lang w:val="en-CA"/>
        </w:rPr>
        <w:t>Macmet</w:t>
      </w:r>
      <w:proofErr w:type="spellEnd"/>
      <w:r w:rsidRPr="000C0E72">
        <w:rPr>
          <w:lang w:val="en-CA"/>
        </w:rPr>
        <w:t>, work on the project</w:t>
      </w:r>
      <w:bookmarkEnd w:id="1"/>
      <w:r w:rsidR="009F07A9" w:rsidRPr="000C0E72">
        <w:rPr>
          <w:lang w:val="en-CA"/>
        </w:rPr>
        <w:t xml:space="preserve"> would commence</w:t>
      </w:r>
      <w:r w:rsidRPr="000C0E72">
        <w:rPr>
          <w:lang w:val="en-CA"/>
        </w:rPr>
        <w:t>.</w:t>
      </w:r>
    </w:p>
    <w:p w14:paraId="26F037F3" w14:textId="77777777" w:rsidR="00BE6AB4" w:rsidRPr="001A6122" w:rsidRDefault="00BE6AB4" w:rsidP="00BE6AB4">
      <w:pPr>
        <w:pStyle w:val="Casehead1"/>
        <w:rPr>
          <w:rFonts w:ascii="Times New Roman" w:hAnsi="Times New Roman" w:cs="Times New Roman"/>
          <w:b w:val="0"/>
          <w:sz w:val="14"/>
          <w:szCs w:val="14"/>
          <w:lang w:val="en-CA"/>
        </w:rPr>
      </w:pPr>
    </w:p>
    <w:p w14:paraId="689F2E8E" w14:textId="77777777" w:rsidR="00BE6AB4" w:rsidRPr="001A6122" w:rsidRDefault="00BE6AB4" w:rsidP="00BE6AB4">
      <w:pPr>
        <w:pStyle w:val="Casehead1"/>
        <w:rPr>
          <w:rFonts w:ascii="Times New Roman" w:hAnsi="Times New Roman" w:cs="Times New Roman"/>
          <w:b w:val="0"/>
          <w:sz w:val="14"/>
          <w:szCs w:val="14"/>
          <w:lang w:val="en-CA"/>
        </w:rPr>
      </w:pPr>
    </w:p>
    <w:p w14:paraId="3DC9F027" w14:textId="77777777" w:rsidR="00BE6AB4" w:rsidRPr="000C0E72" w:rsidRDefault="00BE6AB4" w:rsidP="00BE6AB4">
      <w:pPr>
        <w:pStyle w:val="Casehead1"/>
        <w:rPr>
          <w:lang w:val="en-CA"/>
        </w:rPr>
      </w:pPr>
      <w:r w:rsidRPr="000C0E72">
        <w:rPr>
          <w:lang w:val="en-CA"/>
        </w:rPr>
        <w:t>THE PROJECT</w:t>
      </w:r>
    </w:p>
    <w:p w14:paraId="070ED799" w14:textId="77777777" w:rsidR="00BE6AB4" w:rsidRPr="001A6122" w:rsidRDefault="00BE6AB4" w:rsidP="00BE6AB4">
      <w:pPr>
        <w:pStyle w:val="Casehead1"/>
        <w:rPr>
          <w:rFonts w:ascii="Times New Roman" w:hAnsi="Times New Roman" w:cs="Times New Roman"/>
          <w:b w:val="0"/>
          <w:sz w:val="14"/>
          <w:szCs w:val="14"/>
          <w:lang w:val="en-CA"/>
        </w:rPr>
      </w:pPr>
    </w:p>
    <w:p w14:paraId="5F71AA60" w14:textId="11224EE0" w:rsidR="00BE6AB4" w:rsidRPr="000C0E72" w:rsidRDefault="00BE6AB4" w:rsidP="00BE6AB4">
      <w:pPr>
        <w:pStyle w:val="BodyTextMain"/>
        <w:rPr>
          <w:lang w:val="en-CA"/>
        </w:rPr>
      </w:pPr>
      <w:r w:rsidRPr="000C0E72">
        <w:rPr>
          <w:lang w:val="en-CA"/>
        </w:rPr>
        <w:t xml:space="preserve">CPL, a large power supply company located in </w:t>
      </w:r>
      <w:proofErr w:type="spellStart"/>
      <w:r w:rsidRPr="000C0E72">
        <w:rPr>
          <w:lang w:val="en-CA"/>
        </w:rPr>
        <w:t>Anantapur</w:t>
      </w:r>
      <w:proofErr w:type="spellEnd"/>
      <w:r w:rsidRPr="000C0E72">
        <w:rPr>
          <w:lang w:val="en-CA"/>
        </w:rPr>
        <w:t xml:space="preserve">, India, had submitted a proposal to </w:t>
      </w:r>
      <w:proofErr w:type="spellStart"/>
      <w:r w:rsidR="00ED42D4" w:rsidRPr="000C0E72">
        <w:rPr>
          <w:lang w:val="en-CA"/>
        </w:rPr>
        <w:t>Macmet</w:t>
      </w:r>
      <w:proofErr w:type="spellEnd"/>
      <w:r w:rsidRPr="000C0E72">
        <w:rPr>
          <w:lang w:val="en-CA"/>
        </w:rPr>
        <w:t xml:space="preserve"> for the supply and installation of a water filtration system. CPL was a first-time customer for </w:t>
      </w:r>
      <w:proofErr w:type="spellStart"/>
      <w:r w:rsidR="00ED42D4" w:rsidRPr="000C0E72">
        <w:rPr>
          <w:lang w:val="en-CA"/>
        </w:rPr>
        <w:t>Macmet</w:t>
      </w:r>
      <w:proofErr w:type="spellEnd"/>
      <w:r w:rsidRPr="000C0E72">
        <w:rPr>
          <w:lang w:val="en-CA"/>
        </w:rPr>
        <w:t xml:space="preserve">. Given the nature of the systems provided, repeat supply and installation business was not very common; however, </w:t>
      </w:r>
      <w:proofErr w:type="spellStart"/>
      <w:r w:rsidR="00ED42D4" w:rsidRPr="000C0E72">
        <w:rPr>
          <w:lang w:val="en-CA"/>
        </w:rPr>
        <w:t>Macmet</w:t>
      </w:r>
      <w:proofErr w:type="spellEnd"/>
      <w:r w:rsidRPr="000C0E72">
        <w:rPr>
          <w:lang w:val="en-CA"/>
        </w:rPr>
        <w:t xml:space="preserve"> provided </w:t>
      </w:r>
      <w:r w:rsidR="009F07A9" w:rsidRPr="000C0E72">
        <w:rPr>
          <w:lang w:val="en-CA"/>
        </w:rPr>
        <w:t xml:space="preserve">customers with </w:t>
      </w:r>
      <w:r w:rsidRPr="000C0E72">
        <w:rPr>
          <w:lang w:val="en-CA"/>
        </w:rPr>
        <w:t xml:space="preserve">ongoing maintenance of installed </w:t>
      </w:r>
      <w:r w:rsidR="009F07A9" w:rsidRPr="000C0E72">
        <w:rPr>
          <w:lang w:val="en-CA"/>
        </w:rPr>
        <w:t>systems</w:t>
      </w:r>
      <w:r w:rsidRPr="000C0E72">
        <w:rPr>
          <w:lang w:val="en-CA"/>
        </w:rPr>
        <w:t xml:space="preserve">. A variety of expenses were budgeted for the project based on similar </w:t>
      </w:r>
      <w:r w:rsidR="009F07A9" w:rsidRPr="000C0E72">
        <w:rPr>
          <w:lang w:val="en-CA"/>
        </w:rPr>
        <w:t xml:space="preserve">past </w:t>
      </w:r>
      <w:r w:rsidRPr="000C0E72">
        <w:rPr>
          <w:lang w:val="en-CA"/>
        </w:rPr>
        <w:t xml:space="preserve">projects. The CPL project was expected to </w:t>
      </w:r>
      <w:r w:rsidR="00917779" w:rsidRPr="000C0E72">
        <w:rPr>
          <w:lang w:val="en-CA"/>
        </w:rPr>
        <w:t xml:space="preserve">make up </w:t>
      </w:r>
      <w:r w:rsidRPr="000C0E72">
        <w:rPr>
          <w:lang w:val="en-CA"/>
        </w:rPr>
        <w:t xml:space="preserve">at least 10.5 per cent of </w:t>
      </w:r>
      <w:r w:rsidR="00662D11" w:rsidRPr="000C0E72">
        <w:rPr>
          <w:lang w:val="en-CA"/>
        </w:rPr>
        <w:t xml:space="preserve">the </w:t>
      </w:r>
      <w:r w:rsidR="00917779" w:rsidRPr="000C0E72">
        <w:rPr>
          <w:lang w:val="en-CA"/>
        </w:rPr>
        <w:t>total</w:t>
      </w:r>
      <w:r w:rsidRPr="000C0E72">
        <w:rPr>
          <w:lang w:val="en-CA"/>
        </w:rPr>
        <w:t xml:space="preserve"> sa</w:t>
      </w:r>
      <w:r w:rsidR="00662D11" w:rsidRPr="000C0E72">
        <w:rPr>
          <w:lang w:val="en-CA"/>
        </w:rPr>
        <w:t>les</w:t>
      </w:r>
      <w:r w:rsidR="00917779" w:rsidRPr="000C0E72">
        <w:rPr>
          <w:lang w:val="en-CA"/>
        </w:rPr>
        <w:t xml:space="preserve"> for fiscal 2017</w:t>
      </w:r>
      <w:r w:rsidRPr="000C0E72">
        <w:rPr>
          <w:lang w:val="en-CA"/>
        </w:rPr>
        <w:t xml:space="preserve">. </w:t>
      </w:r>
    </w:p>
    <w:p w14:paraId="26A1FBA5" w14:textId="77777777" w:rsidR="00BE6AB4" w:rsidRPr="001A6122" w:rsidRDefault="00BE6AB4" w:rsidP="00BE6AB4">
      <w:pPr>
        <w:pStyle w:val="BodyTextMain"/>
        <w:rPr>
          <w:sz w:val="14"/>
          <w:szCs w:val="14"/>
          <w:lang w:val="en-CA"/>
        </w:rPr>
      </w:pPr>
    </w:p>
    <w:p w14:paraId="2F3FA975" w14:textId="722290F7" w:rsidR="00BE6AB4" w:rsidRPr="000C0E72" w:rsidRDefault="00BE6AB4" w:rsidP="00BE6AB4">
      <w:pPr>
        <w:pStyle w:val="BodyTextMain"/>
        <w:rPr>
          <w:lang w:val="en-CA"/>
        </w:rPr>
      </w:pPr>
      <w:r w:rsidRPr="000C0E72">
        <w:rPr>
          <w:lang w:val="en-CA"/>
        </w:rPr>
        <w:t xml:space="preserve">The raw materials required to build the water filtration system, </w:t>
      </w:r>
      <w:r w:rsidR="00FB5F3C" w:rsidRPr="000C0E72">
        <w:rPr>
          <w:lang w:val="en-CA"/>
        </w:rPr>
        <w:t xml:space="preserve">including cement and steel, </w:t>
      </w:r>
      <w:r w:rsidRPr="000C0E72">
        <w:rPr>
          <w:lang w:val="en-CA"/>
        </w:rPr>
        <w:t xml:space="preserve">amounted to $627,563. Many of these materials had to be manufactured </w:t>
      </w:r>
      <w:r w:rsidR="00FB5F3C" w:rsidRPr="000C0E72">
        <w:rPr>
          <w:lang w:val="en-CA"/>
        </w:rPr>
        <w:t xml:space="preserve">in-house </w:t>
      </w:r>
      <w:r w:rsidRPr="000C0E72">
        <w:rPr>
          <w:lang w:val="en-CA"/>
        </w:rPr>
        <w:t>into parts</w:t>
      </w:r>
      <w:r w:rsidR="00FB5F3C" w:rsidRPr="000C0E72">
        <w:rPr>
          <w:lang w:val="en-CA"/>
        </w:rPr>
        <w:t xml:space="preserve"> </w:t>
      </w:r>
      <w:r w:rsidRPr="000C0E72">
        <w:rPr>
          <w:lang w:val="en-CA"/>
        </w:rPr>
        <w:t xml:space="preserve">prior to being transported to the project site. Due to the sheer size of projects and </w:t>
      </w:r>
      <w:r w:rsidR="00FB5F3C" w:rsidRPr="000C0E72">
        <w:rPr>
          <w:lang w:val="en-CA"/>
        </w:rPr>
        <w:t xml:space="preserve">the </w:t>
      </w:r>
      <w:r w:rsidRPr="000C0E72">
        <w:rPr>
          <w:lang w:val="en-CA"/>
        </w:rPr>
        <w:t xml:space="preserve">large quantity of materials necessary to bring projects to fruition, raw materials typically comprised the majority of </w:t>
      </w:r>
      <w:r w:rsidR="00FB5F3C" w:rsidRPr="000C0E72">
        <w:rPr>
          <w:lang w:val="en-CA"/>
        </w:rPr>
        <w:t>project costs</w:t>
      </w:r>
      <w:r w:rsidRPr="000C0E72">
        <w:rPr>
          <w:lang w:val="en-CA"/>
        </w:rPr>
        <w:t xml:space="preserve">. The factory vehicles used throughout the manufacturing process were maintained annually, with the maintenance fee split across all of </w:t>
      </w:r>
      <w:proofErr w:type="spellStart"/>
      <w:r w:rsidR="00ED42D4" w:rsidRPr="000C0E72">
        <w:rPr>
          <w:lang w:val="en-CA"/>
        </w:rPr>
        <w:t>Macmet</w:t>
      </w:r>
      <w:r w:rsidRPr="000C0E72">
        <w:rPr>
          <w:lang w:val="en-CA"/>
        </w:rPr>
        <w:t>’s</w:t>
      </w:r>
      <w:proofErr w:type="spellEnd"/>
      <w:r w:rsidRPr="000C0E72">
        <w:rPr>
          <w:lang w:val="en-CA"/>
        </w:rPr>
        <w:t xml:space="preserve"> projects according to percentage of sales. Factory vehicle maintenance expenses for the year </w:t>
      </w:r>
      <w:r w:rsidR="00FB5F3C" w:rsidRPr="000C0E72">
        <w:rPr>
          <w:lang w:val="en-CA"/>
        </w:rPr>
        <w:t>totalled</w:t>
      </w:r>
      <w:r w:rsidRPr="000C0E72">
        <w:rPr>
          <w:lang w:val="en-CA"/>
        </w:rPr>
        <w:t xml:space="preserve"> $34,829.</w:t>
      </w:r>
    </w:p>
    <w:p w14:paraId="3854B00B" w14:textId="77777777" w:rsidR="00BE6AB4" w:rsidRPr="001A6122" w:rsidRDefault="00BE6AB4" w:rsidP="00BE6AB4">
      <w:pPr>
        <w:pStyle w:val="BodyTextMain"/>
        <w:rPr>
          <w:sz w:val="14"/>
          <w:szCs w:val="14"/>
          <w:lang w:val="en-CA"/>
        </w:rPr>
      </w:pPr>
    </w:p>
    <w:p w14:paraId="23F254DD" w14:textId="08E487B9" w:rsidR="00BE6AB4" w:rsidRPr="000C0E72" w:rsidRDefault="00BE6AB4" w:rsidP="00BE6AB4">
      <w:pPr>
        <w:pStyle w:val="BodyTextMain"/>
        <w:rPr>
          <w:lang w:val="en-CA"/>
        </w:rPr>
      </w:pPr>
      <w:r w:rsidRPr="000C0E72">
        <w:rPr>
          <w:lang w:val="en-CA"/>
        </w:rPr>
        <w:t xml:space="preserve">Rent was allocated based on </w:t>
      </w:r>
      <w:r w:rsidR="003E2127" w:rsidRPr="000C0E72">
        <w:rPr>
          <w:lang w:val="en-CA"/>
        </w:rPr>
        <w:t xml:space="preserve">the </w:t>
      </w:r>
      <w:r w:rsidRPr="000C0E72">
        <w:rPr>
          <w:lang w:val="en-CA"/>
        </w:rPr>
        <w:t xml:space="preserve">square footage of the factory </w:t>
      </w:r>
      <w:r w:rsidR="003E2127" w:rsidRPr="000C0E72">
        <w:rPr>
          <w:lang w:val="en-CA"/>
        </w:rPr>
        <w:t xml:space="preserve">that was </w:t>
      </w:r>
      <w:r w:rsidRPr="000C0E72">
        <w:rPr>
          <w:lang w:val="en-CA"/>
        </w:rPr>
        <w:t xml:space="preserve">occupied for each project. </w:t>
      </w:r>
      <w:proofErr w:type="spellStart"/>
      <w:r w:rsidR="00ED42D4" w:rsidRPr="000C0E72">
        <w:rPr>
          <w:lang w:val="en-CA"/>
        </w:rPr>
        <w:t>Macmet</w:t>
      </w:r>
      <w:r w:rsidRPr="000C0E72">
        <w:rPr>
          <w:lang w:val="en-CA"/>
        </w:rPr>
        <w:t>’s</w:t>
      </w:r>
      <w:proofErr w:type="spellEnd"/>
      <w:r w:rsidRPr="000C0E72">
        <w:rPr>
          <w:lang w:val="en-CA"/>
        </w:rPr>
        <w:t xml:space="preserve"> annual rent </w:t>
      </w:r>
      <w:r w:rsidR="003E2127" w:rsidRPr="000C0E72">
        <w:rPr>
          <w:lang w:val="en-CA"/>
        </w:rPr>
        <w:t>totalled</w:t>
      </w:r>
      <w:r w:rsidRPr="000C0E72">
        <w:rPr>
          <w:lang w:val="en-CA"/>
        </w:rPr>
        <w:t xml:space="preserve"> $185,000. The CPL project </w:t>
      </w:r>
      <w:r w:rsidR="003E2127" w:rsidRPr="000C0E72">
        <w:rPr>
          <w:lang w:val="en-CA"/>
        </w:rPr>
        <w:t xml:space="preserve">encompassed </w:t>
      </w:r>
      <w:r w:rsidRPr="000C0E72">
        <w:rPr>
          <w:lang w:val="en-CA"/>
        </w:rPr>
        <w:t xml:space="preserve">3,300 square </w:t>
      </w:r>
      <w:r w:rsidR="003E2127" w:rsidRPr="000C0E72">
        <w:rPr>
          <w:lang w:val="en-CA"/>
        </w:rPr>
        <w:t xml:space="preserve">metres </w:t>
      </w:r>
      <w:r w:rsidRPr="000C0E72">
        <w:rPr>
          <w:lang w:val="en-CA"/>
        </w:rPr>
        <w:t>of space</w:t>
      </w:r>
      <w:r w:rsidR="003E2127" w:rsidRPr="000C0E72">
        <w:rPr>
          <w:lang w:val="en-CA"/>
        </w:rPr>
        <w:t>,</w:t>
      </w:r>
      <w:r w:rsidRPr="000C0E72">
        <w:rPr>
          <w:lang w:val="en-CA"/>
        </w:rPr>
        <w:t xml:space="preserve"> 37 per cent of </w:t>
      </w:r>
      <w:r w:rsidR="003E2127" w:rsidRPr="000C0E72">
        <w:rPr>
          <w:lang w:val="en-CA"/>
        </w:rPr>
        <w:t>which</w:t>
      </w:r>
      <w:r w:rsidRPr="000C0E72">
        <w:rPr>
          <w:lang w:val="en-CA"/>
        </w:rPr>
        <w:t xml:space="preserve"> was used for production-related activities. Rent associated with the office space was expensed through overhead office infrastructure expenditures. Additionally, projects required the use of specialized machinery. This machinery incurred </w:t>
      </w:r>
      <w:r w:rsidR="003E2127" w:rsidRPr="000C0E72">
        <w:rPr>
          <w:lang w:val="en-CA"/>
        </w:rPr>
        <w:t xml:space="preserve">repair </w:t>
      </w:r>
      <w:r w:rsidRPr="000C0E72">
        <w:rPr>
          <w:lang w:val="en-CA"/>
        </w:rPr>
        <w:t xml:space="preserve">and maintenance costs of $92,257 in fiscal 2017, which </w:t>
      </w:r>
      <w:proofErr w:type="spellStart"/>
      <w:r w:rsidR="00ED42D4" w:rsidRPr="000C0E72">
        <w:rPr>
          <w:lang w:val="en-CA"/>
        </w:rPr>
        <w:t>Macmet</w:t>
      </w:r>
      <w:proofErr w:type="spellEnd"/>
      <w:r w:rsidRPr="000C0E72">
        <w:rPr>
          <w:lang w:val="en-CA"/>
        </w:rPr>
        <w:t xml:space="preserve"> split </w:t>
      </w:r>
      <w:r w:rsidR="005D7F8A" w:rsidRPr="000C0E72">
        <w:rPr>
          <w:lang w:val="en-CA"/>
        </w:rPr>
        <w:t>among</w:t>
      </w:r>
      <w:r w:rsidRPr="000C0E72">
        <w:rPr>
          <w:lang w:val="en-CA"/>
        </w:rPr>
        <w:t xml:space="preserve"> all projects based on sales. Power charges of $10,285 were also incurred for running the production machinery for the CPL project, specifically.</w:t>
      </w:r>
      <w:r w:rsidR="00295A5B" w:rsidRPr="000C0E72">
        <w:rPr>
          <w:lang w:val="en-CA"/>
        </w:rPr>
        <w:t xml:space="preserve"> </w:t>
      </w:r>
      <w:r w:rsidRPr="000C0E72">
        <w:rPr>
          <w:lang w:val="en-CA"/>
        </w:rPr>
        <w:t xml:space="preserve"> </w:t>
      </w:r>
    </w:p>
    <w:p w14:paraId="22AE64F9" w14:textId="77777777" w:rsidR="00BE6AB4" w:rsidRPr="001A6122" w:rsidRDefault="00BE6AB4" w:rsidP="00BE6AB4">
      <w:pPr>
        <w:pStyle w:val="BodyTextMain"/>
        <w:rPr>
          <w:sz w:val="14"/>
          <w:szCs w:val="14"/>
          <w:lang w:val="en-CA"/>
        </w:rPr>
      </w:pPr>
    </w:p>
    <w:p w14:paraId="17647143" w14:textId="54ED1B36" w:rsidR="00BE6AB4" w:rsidRDefault="00BE6AB4" w:rsidP="00BE6AB4">
      <w:pPr>
        <w:pStyle w:val="BodyTextMain"/>
        <w:rPr>
          <w:lang w:val="en-CA"/>
        </w:rPr>
      </w:pPr>
      <w:r w:rsidRPr="000C0E72">
        <w:rPr>
          <w:lang w:val="en-CA"/>
        </w:rPr>
        <w:t xml:space="preserve">Inward and outward transportation expenses cost $14,560 and $18,790, respectively. Inward transportation expenses pertained to moving the construction materials required to build the water filtration system to the project site, while outward transportation expenses accounted for hauling excess materials and debris </w:t>
      </w:r>
      <w:r w:rsidR="005441B4" w:rsidRPr="000C0E72">
        <w:rPr>
          <w:lang w:val="en-CA"/>
        </w:rPr>
        <w:t xml:space="preserve">off-site </w:t>
      </w:r>
      <w:r w:rsidRPr="000C0E72">
        <w:rPr>
          <w:lang w:val="en-CA"/>
        </w:rPr>
        <w:t>throughout the construction process. These expenses included wages for the vehicle drivers. Fuel costs for the transport vehicles were $6,965</w:t>
      </w:r>
      <w:r w:rsidR="004C2B11" w:rsidRPr="000C0E72">
        <w:rPr>
          <w:lang w:val="en-CA"/>
        </w:rPr>
        <w:t>,</w:t>
      </w:r>
      <w:r w:rsidRPr="000C0E72">
        <w:rPr>
          <w:lang w:val="en-CA"/>
        </w:rPr>
        <w:t xml:space="preserve"> in addition to the inward and outward transportation expenses. </w:t>
      </w:r>
    </w:p>
    <w:p w14:paraId="2739C242" w14:textId="77777777" w:rsidR="001A6122" w:rsidRPr="001A6122" w:rsidRDefault="001A6122" w:rsidP="00BE6AB4">
      <w:pPr>
        <w:pStyle w:val="BodyTextMain"/>
        <w:rPr>
          <w:sz w:val="14"/>
          <w:szCs w:val="14"/>
          <w:lang w:val="en-CA"/>
        </w:rPr>
      </w:pPr>
    </w:p>
    <w:p w14:paraId="27D1D992" w14:textId="2735DAC5" w:rsidR="00BE6AB4" w:rsidRPr="000C0E72" w:rsidRDefault="00BE6AB4" w:rsidP="00BE6AB4">
      <w:pPr>
        <w:pStyle w:val="BodyTextMain"/>
        <w:rPr>
          <w:lang w:val="en-CA"/>
        </w:rPr>
      </w:pPr>
      <w:r w:rsidRPr="000C0E72">
        <w:rPr>
          <w:lang w:val="en-CA"/>
        </w:rPr>
        <w:t>Once the parts had been manufactured and transported to the project site, installation took place. These expenses amounted to $22,500 for the CPL project. Installation expenses varied substantially between projects</w:t>
      </w:r>
      <w:r w:rsidR="00985247" w:rsidRPr="000C0E72">
        <w:rPr>
          <w:lang w:val="en-CA"/>
        </w:rPr>
        <w:t>,</w:t>
      </w:r>
      <w:r w:rsidRPr="000C0E72">
        <w:rPr>
          <w:lang w:val="en-CA"/>
        </w:rPr>
        <w:t xml:space="preserve"> given the custom nature of each system as well as the location, which often dictated how difficult the system would be to install. As such, installation expenses were only incurred on a per-project basis.</w:t>
      </w:r>
      <w:r w:rsidR="00295A5B" w:rsidRPr="000C0E72">
        <w:rPr>
          <w:lang w:val="en-CA"/>
        </w:rPr>
        <w:t xml:space="preserve"> </w:t>
      </w:r>
    </w:p>
    <w:p w14:paraId="365D9C8A" w14:textId="0CFD2B2A" w:rsidR="00BE6AB4" w:rsidRPr="000C0E72" w:rsidRDefault="00ED42D4" w:rsidP="00BE6AB4">
      <w:pPr>
        <w:pStyle w:val="BodyTextMain"/>
        <w:rPr>
          <w:lang w:val="en-CA"/>
        </w:rPr>
      </w:pPr>
      <w:proofErr w:type="spellStart"/>
      <w:r w:rsidRPr="000C0E72">
        <w:rPr>
          <w:lang w:val="en-CA"/>
        </w:rPr>
        <w:lastRenderedPageBreak/>
        <w:t>Macmet</w:t>
      </w:r>
      <w:proofErr w:type="spellEnd"/>
      <w:r w:rsidR="00BE6AB4" w:rsidRPr="000C0E72">
        <w:rPr>
          <w:lang w:val="en-CA"/>
        </w:rPr>
        <w:t xml:space="preserve"> incurred significant insurance expenses to cover the wide array of business risks inherent in its operations. It had two insurance policies</w:t>
      </w:r>
      <w:r w:rsidR="00985247" w:rsidRPr="000C0E72">
        <w:rPr>
          <w:lang w:val="en-CA"/>
        </w:rPr>
        <w:t>—</w:t>
      </w:r>
      <w:r w:rsidR="00BE6AB4" w:rsidRPr="000C0E72">
        <w:rPr>
          <w:lang w:val="en-CA"/>
        </w:rPr>
        <w:t>one to cover manufacturing and project-related risks</w:t>
      </w:r>
      <w:r w:rsidR="00985247" w:rsidRPr="000C0E72">
        <w:rPr>
          <w:lang w:val="en-CA"/>
        </w:rPr>
        <w:t>, and</w:t>
      </w:r>
      <w:r w:rsidR="00BE6AB4" w:rsidRPr="000C0E72">
        <w:rPr>
          <w:lang w:val="en-CA"/>
        </w:rPr>
        <w:t xml:space="preserve"> a second to cover its sales and administrative operations. Administrative-related insurance was expensed through office infrastructure expenses. Insurance was billed to the company annually, and management allocated a portion of the production-related expense to each project on the basis of size, risk, and length of time to completion. The portion of the expense allocated to the CPL project was $9,480.</w:t>
      </w:r>
    </w:p>
    <w:p w14:paraId="404B37A5" w14:textId="77777777" w:rsidR="00BE6AB4" w:rsidRPr="000C0E72" w:rsidRDefault="00BE6AB4" w:rsidP="00BE6AB4">
      <w:pPr>
        <w:pStyle w:val="BodyTextMain"/>
        <w:rPr>
          <w:lang w:val="en-CA"/>
        </w:rPr>
      </w:pPr>
    </w:p>
    <w:p w14:paraId="20A282CB" w14:textId="0C2F231B" w:rsidR="00BE6AB4" w:rsidRPr="000C0E72" w:rsidRDefault="00BE6AB4" w:rsidP="00BE6AB4">
      <w:pPr>
        <w:pStyle w:val="BodyTextMain"/>
        <w:rPr>
          <w:spacing w:val="-2"/>
          <w:kern w:val="22"/>
          <w:lang w:val="en-CA"/>
        </w:rPr>
      </w:pPr>
      <w:r w:rsidRPr="000C0E72">
        <w:rPr>
          <w:spacing w:val="-2"/>
          <w:kern w:val="22"/>
          <w:lang w:val="en-CA"/>
        </w:rPr>
        <w:t xml:space="preserve">Wages for the workers assigned to the CPL project </w:t>
      </w:r>
      <w:r w:rsidR="00FC34A1" w:rsidRPr="000C0E72">
        <w:rPr>
          <w:spacing w:val="-2"/>
          <w:kern w:val="22"/>
          <w:lang w:val="en-CA"/>
        </w:rPr>
        <w:t>totalled</w:t>
      </w:r>
      <w:r w:rsidRPr="000C0E72">
        <w:rPr>
          <w:spacing w:val="-2"/>
          <w:kern w:val="22"/>
          <w:lang w:val="en-CA"/>
        </w:rPr>
        <w:t xml:space="preserve"> $100,264. These workers included factory personnel responsible for manufacturing the project parts</w:t>
      </w:r>
      <w:r w:rsidR="00FC34A1" w:rsidRPr="000C0E72">
        <w:rPr>
          <w:spacing w:val="-2"/>
          <w:kern w:val="22"/>
          <w:lang w:val="en-CA"/>
        </w:rPr>
        <w:t>,</w:t>
      </w:r>
      <w:r w:rsidRPr="000C0E72">
        <w:rPr>
          <w:spacing w:val="-2"/>
          <w:kern w:val="22"/>
          <w:lang w:val="en-CA"/>
        </w:rPr>
        <w:t xml:space="preserve"> as well as the site crew, </w:t>
      </w:r>
      <w:r w:rsidR="00FC34A1" w:rsidRPr="000C0E72">
        <w:rPr>
          <w:spacing w:val="-2"/>
          <w:kern w:val="22"/>
          <w:lang w:val="en-CA"/>
        </w:rPr>
        <w:t xml:space="preserve">who were </w:t>
      </w:r>
      <w:r w:rsidRPr="000C0E72">
        <w:rPr>
          <w:spacing w:val="-2"/>
          <w:kern w:val="22"/>
          <w:lang w:val="en-CA"/>
        </w:rPr>
        <w:t xml:space="preserve">in charge of preparation and assembly. In addition to waged workers, </w:t>
      </w:r>
      <w:proofErr w:type="spellStart"/>
      <w:r w:rsidR="00ED42D4" w:rsidRPr="000C0E72">
        <w:rPr>
          <w:spacing w:val="-2"/>
          <w:kern w:val="22"/>
          <w:lang w:val="en-CA"/>
        </w:rPr>
        <w:t>Macmet</w:t>
      </w:r>
      <w:proofErr w:type="spellEnd"/>
      <w:r w:rsidRPr="000C0E72">
        <w:rPr>
          <w:spacing w:val="-2"/>
          <w:kern w:val="22"/>
          <w:lang w:val="en-CA"/>
        </w:rPr>
        <w:t xml:space="preserve"> employed factory staff. Factory staff consisted exclusively of managers overseeing production and manufacturing processes. </w:t>
      </w:r>
      <w:r w:rsidR="00FC34A1" w:rsidRPr="000C0E72">
        <w:rPr>
          <w:spacing w:val="-2"/>
          <w:kern w:val="22"/>
          <w:lang w:val="en-CA"/>
        </w:rPr>
        <w:t>For the CPL project</w:t>
      </w:r>
      <w:r w:rsidR="008569A5" w:rsidRPr="000C0E72">
        <w:rPr>
          <w:spacing w:val="-2"/>
          <w:kern w:val="22"/>
          <w:lang w:val="en-CA"/>
        </w:rPr>
        <w:t>,</w:t>
      </w:r>
      <w:r w:rsidR="00FC34A1" w:rsidRPr="000C0E72">
        <w:rPr>
          <w:spacing w:val="-2"/>
          <w:kern w:val="22"/>
          <w:lang w:val="en-CA"/>
        </w:rPr>
        <w:t xml:space="preserve"> specifically, they </w:t>
      </w:r>
      <w:r w:rsidRPr="000C0E72">
        <w:rPr>
          <w:spacing w:val="-2"/>
          <w:kern w:val="22"/>
          <w:lang w:val="en-CA"/>
        </w:rPr>
        <w:t xml:space="preserve">were paid a total of $46,241 and </w:t>
      </w:r>
      <w:r w:rsidR="00FC34A1" w:rsidRPr="000C0E72">
        <w:rPr>
          <w:spacing w:val="-2"/>
          <w:kern w:val="22"/>
          <w:lang w:val="en-CA"/>
        </w:rPr>
        <w:t xml:space="preserve">were </w:t>
      </w:r>
      <w:r w:rsidRPr="000C0E72">
        <w:rPr>
          <w:spacing w:val="-2"/>
          <w:kern w:val="22"/>
          <w:lang w:val="en-CA"/>
        </w:rPr>
        <w:t xml:space="preserve">also provided benefits in the amount of $4,589. </w:t>
      </w:r>
    </w:p>
    <w:p w14:paraId="15807506" w14:textId="77777777" w:rsidR="00BE6AB4" w:rsidRPr="000C0E72" w:rsidRDefault="00BE6AB4" w:rsidP="00BE6AB4">
      <w:pPr>
        <w:pStyle w:val="BodyTextMain"/>
        <w:rPr>
          <w:lang w:val="en-CA"/>
        </w:rPr>
      </w:pPr>
    </w:p>
    <w:p w14:paraId="7C162165" w14:textId="4D95D240" w:rsidR="00BE6AB4" w:rsidRPr="000C0E72" w:rsidRDefault="00BE6AB4" w:rsidP="00BE6AB4">
      <w:pPr>
        <w:pStyle w:val="BodyTextMain"/>
        <w:rPr>
          <w:lang w:val="en-CA"/>
        </w:rPr>
      </w:pPr>
      <w:r w:rsidRPr="000C0E72">
        <w:rPr>
          <w:lang w:val="en-CA"/>
        </w:rPr>
        <w:t xml:space="preserve">Annual sales and promotion expenses of $15,351 were incurred by </w:t>
      </w:r>
      <w:proofErr w:type="spellStart"/>
      <w:r w:rsidR="00ED42D4" w:rsidRPr="000C0E72">
        <w:rPr>
          <w:lang w:val="en-CA"/>
        </w:rPr>
        <w:t>Macmet</w:t>
      </w:r>
      <w:proofErr w:type="spellEnd"/>
      <w:r w:rsidRPr="000C0E72">
        <w:rPr>
          <w:lang w:val="en-CA"/>
        </w:rPr>
        <w:t>, $560</w:t>
      </w:r>
      <w:r w:rsidR="00EB7015" w:rsidRPr="000C0E72">
        <w:rPr>
          <w:lang w:val="en-CA"/>
        </w:rPr>
        <w:t xml:space="preserve"> of which</w:t>
      </w:r>
      <w:r w:rsidRPr="000C0E72">
        <w:rPr>
          <w:lang w:val="en-CA"/>
        </w:rPr>
        <w:t xml:space="preserve"> </w:t>
      </w:r>
      <w:r w:rsidR="00EB7015" w:rsidRPr="000C0E72">
        <w:rPr>
          <w:lang w:val="en-CA"/>
        </w:rPr>
        <w:t xml:space="preserve">was </w:t>
      </w:r>
      <w:r w:rsidRPr="000C0E72">
        <w:rPr>
          <w:lang w:val="en-CA"/>
        </w:rPr>
        <w:t xml:space="preserve">related to the CPL project. These direct selling expenses </w:t>
      </w:r>
      <w:r w:rsidR="00EB7015" w:rsidRPr="000C0E72">
        <w:rPr>
          <w:lang w:val="en-CA"/>
        </w:rPr>
        <w:t xml:space="preserve">consisted </w:t>
      </w:r>
      <w:r w:rsidRPr="000C0E72">
        <w:rPr>
          <w:lang w:val="en-CA"/>
        </w:rPr>
        <w:t xml:space="preserve">of the costs associated with obtaining projects and were directly attributable to specific jobs. Additionally, $6,234 was allocated to travel expenses for the sales associates working on the CPL project. </w:t>
      </w:r>
    </w:p>
    <w:p w14:paraId="780C2510" w14:textId="77777777" w:rsidR="00BE6AB4" w:rsidRPr="000C0E72" w:rsidRDefault="00BE6AB4" w:rsidP="00BE6AB4">
      <w:pPr>
        <w:pStyle w:val="BodyTextMain"/>
        <w:rPr>
          <w:lang w:val="en-CA"/>
        </w:rPr>
      </w:pPr>
    </w:p>
    <w:p w14:paraId="04F6BCF2" w14:textId="54726EA0" w:rsidR="00BE6AB4" w:rsidRPr="000C0E72" w:rsidRDefault="00BE6AB4" w:rsidP="00BE6AB4">
      <w:pPr>
        <w:pStyle w:val="BodyTextMain"/>
        <w:rPr>
          <w:lang w:val="en-CA"/>
        </w:rPr>
      </w:pPr>
      <w:r w:rsidRPr="000C0E72">
        <w:rPr>
          <w:lang w:val="en-CA"/>
        </w:rPr>
        <w:t xml:space="preserve">Several other miscellaneous expenses were incurred annually and split evenly </w:t>
      </w:r>
      <w:r w:rsidR="005E263D" w:rsidRPr="000C0E72">
        <w:rPr>
          <w:lang w:val="en-CA"/>
        </w:rPr>
        <w:t xml:space="preserve">among </w:t>
      </w:r>
      <w:r w:rsidRPr="000C0E72">
        <w:rPr>
          <w:lang w:val="en-CA"/>
        </w:rPr>
        <w:t xml:space="preserve">all of </w:t>
      </w:r>
      <w:proofErr w:type="spellStart"/>
      <w:r w:rsidR="00ED42D4" w:rsidRPr="000C0E72">
        <w:rPr>
          <w:lang w:val="en-CA"/>
        </w:rPr>
        <w:t>Macmet</w:t>
      </w:r>
      <w:r w:rsidRPr="000C0E72">
        <w:rPr>
          <w:lang w:val="en-CA"/>
        </w:rPr>
        <w:t>’s</w:t>
      </w:r>
      <w:proofErr w:type="spellEnd"/>
      <w:r w:rsidRPr="000C0E72">
        <w:rPr>
          <w:lang w:val="en-CA"/>
        </w:rPr>
        <w:t xml:space="preserve"> active projects (</w:t>
      </w:r>
      <w:r w:rsidR="005D7F8A" w:rsidRPr="000C0E72">
        <w:rPr>
          <w:lang w:val="en-CA"/>
        </w:rPr>
        <w:t xml:space="preserve">see </w:t>
      </w:r>
      <w:r w:rsidRPr="000C0E72">
        <w:rPr>
          <w:lang w:val="en-CA"/>
        </w:rPr>
        <w:t xml:space="preserve">Exhibit 2). These expenses consisted solely of general and administrative charges, selling expenses, and financing charges and were allocated to projects as a percentage of sales. Additionally, </w:t>
      </w:r>
      <w:proofErr w:type="spellStart"/>
      <w:r w:rsidR="00ED42D4" w:rsidRPr="000C0E72">
        <w:rPr>
          <w:lang w:val="en-CA"/>
        </w:rPr>
        <w:t>Macmet</w:t>
      </w:r>
      <w:proofErr w:type="spellEnd"/>
      <w:r w:rsidRPr="000C0E72">
        <w:rPr>
          <w:lang w:val="en-CA"/>
        </w:rPr>
        <w:t xml:space="preserve"> had allocated $112,545 of management expenses to the CPL project.</w:t>
      </w:r>
    </w:p>
    <w:p w14:paraId="08BB3336" w14:textId="77777777" w:rsidR="00BE6AB4" w:rsidRPr="000C0E72" w:rsidRDefault="00BE6AB4" w:rsidP="00BE6AB4">
      <w:pPr>
        <w:pStyle w:val="BodyTextMain"/>
        <w:rPr>
          <w:lang w:val="en-CA"/>
        </w:rPr>
      </w:pPr>
    </w:p>
    <w:p w14:paraId="10A840F0" w14:textId="70C50921" w:rsidR="00BE6AB4" w:rsidRPr="000C0E72" w:rsidRDefault="00BE6AB4" w:rsidP="00BE6AB4">
      <w:pPr>
        <w:pStyle w:val="BodyTextMain"/>
        <w:rPr>
          <w:lang w:val="en-CA"/>
        </w:rPr>
      </w:pPr>
      <w:r w:rsidRPr="000C0E72">
        <w:rPr>
          <w:lang w:val="en-CA"/>
        </w:rPr>
        <w:t>Sales overhead and office infrastructure expenses were quoted annually (</w:t>
      </w:r>
      <w:r w:rsidR="00722344" w:rsidRPr="000C0E72">
        <w:rPr>
          <w:lang w:val="en-CA"/>
        </w:rPr>
        <w:t xml:space="preserve">see </w:t>
      </w:r>
      <w:r w:rsidRPr="000C0E72">
        <w:rPr>
          <w:lang w:val="en-CA"/>
        </w:rPr>
        <w:t xml:space="preserve">Exhibit 3). To allocate sales overhead, management used sales hours. For the CPL project, 1,600 hours were budgeted. Total sales hours for 2017 </w:t>
      </w:r>
      <w:r w:rsidR="004B7178" w:rsidRPr="000C0E72">
        <w:rPr>
          <w:lang w:val="en-CA"/>
        </w:rPr>
        <w:t xml:space="preserve">was </w:t>
      </w:r>
      <w:r w:rsidRPr="000C0E72">
        <w:rPr>
          <w:lang w:val="en-CA"/>
        </w:rPr>
        <w:t xml:space="preserve">estimated </w:t>
      </w:r>
      <w:r w:rsidR="004B7178" w:rsidRPr="000C0E72">
        <w:rPr>
          <w:lang w:val="en-CA"/>
        </w:rPr>
        <w:t>at</w:t>
      </w:r>
      <w:r w:rsidRPr="000C0E72">
        <w:rPr>
          <w:lang w:val="en-CA"/>
        </w:rPr>
        <w:t xml:space="preserve"> 28,000 hours. Finally, office infrastructure expenses were allocated on the basis of area occupied. Office infrastructure expenses consisted of office-related rent, utilities, general insurance, administrative salaries, and maintenance costs pertaining to the facility </w:t>
      </w:r>
      <w:r w:rsidR="00722344" w:rsidRPr="000C0E72">
        <w:rPr>
          <w:lang w:val="en-CA"/>
        </w:rPr>
        <w:t>and</w:t>
      </w:r>
      <w:r w:rsidRPr="000C0E72">
        <w:rPr>
          <w:lang w:val="en-CA"/>
        </w:rPr>
        <w:t xml:space="preserve"> office equipment. </w:t>
      </w:r>
      <w:proofErr w:type="spellStart"/>
      <w:r w:rsidRPr="000C0E72">
        <w:rPr>
          <w:lang w:val="en-CA"/>
        </w:rPr>
        <w:t>Madappa</w:t>
      </w:r>
      <w:proofErr w:type="spellEnd"/>
      <w:r w:rsidRPr="000C0E72">
        <w:rPr>
          <w:lang w:val="en-CA"/>
        </w:rPr>
        <w:t xml:space="preserve"> hoped to meet a net profit margin target </w:t>
      </w:r>
      <w:r w:rsidR="00722344" w:rsidRPr="000C0E72">
        <w:rPr>
          <w:lang w:val="en-CA"/>
        </w:rPr>
        <w:t xml:space="preserve">of </w:t>
      </w:r>
      <w:r w:rsidRPr="000C0E72">
        <w:rPr>
          <w:lang w:val="en-CA"/>
        </w:rPr>
        <w:t xml:space="preserve">between 10 to 20 </w:t>
      </w:r>
      <w:r w:rsidR="00722344" w:rsidRPr="000C0E72">
        <w:rPr>
          <w:lang w:val="en-CA"/>
        </w:rPr>
        <w:t>per cent</w:t>
      </w:r>
      <w:r w:rsidRPr="000C0E72">
        <w:rPr>
          <w:lang w:val="en-CA"/>
        </w:rPr>
        <w:t xml:space="preserve">. </w:t>
      </w:r>
    </w:p>
    <w:p w14:paraId="21CFF202" w14:textId="77777777" w:rsidR="00BE6AB4" w:rsidRPr="000C0E72" w:rsidRDefault="00BE6AB4" w:rsidP="00BE6AB4">
      <w:pPr>
        <w:pStyle w:val="BodyTextMain"/>
        <w:rPr>
          <w:lang w:val="en-CA"/>
        </w:rPr>
      </w:pPr>
    </w:p>
    <w:p w14:paraId="418400C2" w14:textId="77777777" w:rsidR="00BE6AB4" w:rsidRPr="000C0E72" w:rsidRDefault="00BE6AB4" w:rsidP="00BE6AB4">
      <w:pPr>
        <w:pStyle w:val="Casehead1"/>
        <w:rPr>
          <w:rFonts w:ascii="Times New Roman" w:hAnsi="Times New Roman" w:cs="Times New Roman"/>
          <w:b w:val="0"/>
          <w:sz w:val="22"/>
          <w:szCs w:val="22"/>
          <w:lang w:val="en-CA"/>
        </w:rPr>
      </w:pPr>
    </w:p>
    <w:p w14:paraId="001DD7A4" w14:textId="77777777" w:rsidR="00BE6AB4" w:rsidRPr="000C0E72" w:rsidRDefault="00BE6AB4" w:rsidP="00BE6AB4">
      <w:pPr>
        <w:pStyle w:val="Casehead1"/>
        <w:rPr>
          <w:lang w:val="en-CA"/>
        </w:rPr>
      </w:pPr>
      <w:r w:rsidRPr="000C0E72">
        <w:rPr>
          <w:lang w:val="en-CA"/>
        </w:rPr>
        <w:t>Required</w:t>
      </w:r>
    </w:p>
    <w:p w14:paraId="13E654CB" w14:textId="77777777" w:rsidR="00BE6AB4" w:rsidRPr="000C0E72" w:rsidRDefault="00BE6AB4" w:rsidP="00BE6AB4">
      <w:pPr>
        <w:pStyle w:val="BodyTextMain"/>
        <w:rPr>
          <w:lang w:val="en-CA"/>
        </w:rPr>
      </w:pPr>
    </w:p>
    <w:p w14:paraId="064FBBA7" w14:textId="4F68F7F7" w:rsidR="00BE6AB4" w:rsidRPr="000C0E72" w:rsidRDefault="00BE6AB4" w:rsidP="00BE6AB4">
      <w:pPr>
        <w:pStyle w:val="BodyTextMain"/>
        <w:rPr>
          <w:lang w:val="en-CA"/>
        </w:rPr>
      </w:pPr>
      <w:proofErr w:type="spellStart"/>
      <w:r w:rsidRPr="000C0E72">
        <w:rPr>
          <w:lang w:val="en-CA"/>
        </w:rPr>
        <w:t>Madappa</w:t>
      </w:r>
      <w:proofErr w:type="spellEnd"/>
      <w:r w:rsidRPr="000C0E72">
        <w:rPr>
          <w:lang w:val="en-CA"/>
        </w:rPr>
        <w:t xml:space="preserve"> sat down to determine the direct cost, absorption cost, and full cost of the CPL project. </w:t>
      </w:r>
      <w:r w:rsidR="009B4EB0" w:rsidRPr="000C0E72">
        <w:rPr>
          <w:lang w:val="en-CA"/>
        </w:rPr>
        <w:t xml:space="preserve">Based </w:t>
      </w:r>
      <w:r w:rsidRPr="000C0E72">
        <w:rPr>
          <w:lang w:val="en-CA"/>
        </w:rPr>
        <w:t>on industry trends and competitive pressures</w:t>
      </w:r>
      <w:r w:rsidR="009B4EB0" w:rsidRPr="000C0E72">
        <w:rPr>
          <w:lang w:val="en-CA"/>
        </w:rPr>
        <w:t>, he wondered how competitive of a bid he needed to negotiate</w:t>
      </w:r>
      <w:r w:rsidRPr="000C0E72">
        <w:rPr>
          <w:lang w:val="en-CA"/>
        </w:rPr>
        <w:t xml:space="preserve"> in order to get CPL to choose </w:t>
      </w:r>
      <w:proofErr w:type="spellStart"/>
      <w:r w:rsidR="00ED42D4" w:rsidRPr="000C0E72">
        <w:rPr>
          <w:lang w:val="en-CA"/>
        </w:rPr>
        <w:t>Macmet</w:t>
      </w:r>
      <w:proofErr w:type="spellEnd"/>
      <w:r w:rsidRPr="000C0E72">
        <w:rPr>
          <w:lang w:val="en-CA"/>
        </w:rPr>
        <w:t xml:space="preserve">. </w:t>
      </w:r>
    </w:p>
    <w:p w14:paraId="2C183161" w14:textId="26928DB7" w:rsidR="00BE6AB4" w:rsidRPr="000C0E72" w:rsidRDefault="00BE6AB4">
      <w:pPr>
        <w:spacing w:after="200" w:line="276" w:lineRule="auto"/>
        <w:rPr>
          <w:rFonts w:ascii="Arial" w:hAnsi="Arial" w:cs="Arial"/>
          <w:b/>
          <w:caps/>
          <w:lang w:val="en-CA"/>
        </w:rPr>
      </w:pPr>
      <w:r w:rsidRPr="000C0E72">
        <w:rPr>
          <w:lang w:val="en-CA"/>
        </w:rPr>
        <w:br w:type="page"/>
      </w:r>
    </w:p>
    <w:p w14:paraId="521B7438" w14:textId="183D9F6D" w:rsidR="00BE6AB4" w:rsidRPr="000C0E72" w:rsidRDefault="00BE6AB4" w:rsidP="00833244">
      <w:pPr>
        <w:pStyle w:val="ExhibitHeading"/>
        <w:rPr>
          <w:lang w:val="en-CA"/>
        </w:rPr>
      </w:pPr>
      <w:r w:rsidRPr="000C0E72">
        <w:rPr>
          <w:lang w:val="en-CA"/>
        </w:rPr>
        <w:lastRenderedPageBreak/>
        <w:t xml:space="preserve">EXHIBIT 1: </w:t>
      </w:r>
      <w:r w:rsidR="00046C25" w:rsidRPr="000C0E72">
        <w:rPr>
          <w:lang w:val="en-CA"/>
        </w:rPr>
        <w:t>overland-troughed</w:t>
      </w:r>
      <w:r w:rsidRPr="000C0E72">
        <w:rPr>
          <w:lang w:val="en-CA"/>
        </w:rPr>
        <w:t xml:space="preserve"> BELT CONVEYOR </w:t>
      </w:r>
    </w:p>
    <w:p w14:paraId="2A37147B" w14:textId="656E2E61" w:rsidR="00BE6AB4" w:rsidRPr="000C0E72" w:rsidRDefault="00BE6AB4" w:rsidP="000C0E72">
      <w:pPr>
        <w:rPr>
          <w:rFonts w:ascii="Arial" w:hAnsi="Arial" w:cs="Arial"/>
          <w:b/>
          <w:caps/>
          <w:lang w:val="en-CA"/>
        </w:rPr>
      </w:pPr>
    </w:p>
    <w:p w14:paraId="1E196FD4" w14:textId="77777777" w:rsidR="00BE6AB4" w:rsidRPr="000C0E72" w:rsidRDefault="00BE6AB4" w:rsidP="00BE6AB4">
      <w:pPr>
        <w:jc w:val="center"/>
        <w:rPr>
          <w:rFonts w:ascii="Arial" w:hAnsi="Arial" w:cs="Arial"/>
          <w:b/>
          <w:caps/>
          <w:lang w:val="en-CA"/>
        </w:rPr>
      </w:pPr>
      <w:r w:rsidRPr="000C0E72">
        <w:rPr>
          <w:rFonts w:ascii="Arial" w:hAnsi="Arial" w:cs="Arial"/>
          <w:b/>
          <w:caps/>
          <w:noProof/>
          <w:lang w:val="en-CA" w:eastAsia="en-CA"/>
        </w:rPr>
        <w:drawing>
          <wp:inline distT="0" distB="0" distL="0" distR="0" wp14:anchorId="646BD4D2" wp14:editId="17D05F1F">
            <wp:extent cx="5737860" cy="1813560"/>
            <wp:effectExtent l="0" t="0" r="0" b="0"/>
            <wp:docPr id="1" name="Picture 1" descr="http://www.macmet.co.in/img_macmet/material-intr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met.co.in/img_macmet/material-intro-01.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1795" t="3842" r="1646" b="13011"/>
                    <a:stretch/>
                  </pic:blipFill>
                  <pic:spPr bwMode="auto">
                    <a:xfrm>
                      <a:off x="0" y="0"/>
                      <a:ext cx="5739088" cy="1813948"/>
                    </a:xfrm>
                    <a:prstGeom prst="rect">
                      <a:avLst/>
                    </a:prstGeom>
                    <a:noFill/>
                    <a:ln>
                      <a:noFill/>
                    </a:ln>
                    <a:extLst>
                      <a:ext uri="{53640926-AAD7-44D8-BBD7-CCE9431645EC}">
                        <a14:shadowObscured xmlns:a14="http://schemas.microsoft.com/office/drawing/2010/main"/>
                      </a:ext>
                    </a:extLst>
                  </pic:spPr>
                </pic:pic>
              </a:graphicData>
            </a:graphic>
          </wp:inline>
        </w:drawing>
      </w:r>
    </w:p>
    <w:p w14:paraId="4F4463F6" w14:textId="5D99E07C" w:rsidR="00BE6AB4" w:rsidRPr="000C0E72" w:rsidRDefault="00BE6AB4" w:rsidP="000C0E72">
      <w:pPr>
        <w:rPr>
          <w:rFonts w:ascii="Arial" w:hAnsi="Arial" w:cs="Arial"/>
          <w:b/>
          <w:caps/>
          <w:lang w:val="en-CA"/>
        </w:rPr>
      </w:pPr>
    </w:p>
    <w:p w14:paraId="0DBBAC90" w14:textId="7582B15F" w:rsidR="00BE6AB4" w:rsidRPr="000C0E72" w:rsidRDefault="00BE6AB4" w:rsidP="00BE6AB4">
      <w:pPr>
        <w:rPr>
          <w:rFonts w:ascii="Arial" w:hAnsi="Arial" w:cs="Arial"/>
          <w:b/>
          <w:caps/>
          <w:sz w:val="17"/>
          <w:szCs w:val="17"/>
          <w:lang w:val="en-CA"/>
        </w:rPr>
      </w:pPr>
      <w:r w:rsidRPr="000C0E72">
        <w:rPr>
          <w:rFonts w:ascii="Arial" w:hAnsi="Arial" w:cs="Arial"/>
          <w:sz w:val="17"/>
          <w:szCs w:val="17"/>
          <w:lang w:val="en-CA"/>
        </w:rPr>
        <w:t xml:space="preserve">Source: </w:t>
      </w:r>
      <w:r w:rsidR="00046C25" w:rsidRPr="000C0E72">
        <w:rPr>
          <w:rFonts w:ascii="Arial" w:hAnsi="Arial" w:cs="Arial"/>
          <w:sz w:val="17"/>
          <w:szCs w:val="17"/>
          <w:lang w:val="en-CA"/>
        </w:rPr>
        <w:t xml:space="preserve">“Introduction,” </w:t>
      </w:r>
      <w:proofErr w:type="spellStart"/>
      <w:r w:rsidR="00046C25" w:rsidRPr="000C0E72">
        <w:rPr>
          <w:rFonts w:ascii="Arial" w:hAnsi="Arial" w:cs="Arial"/>
          <w:sz w:val="17"/>
          <w:szCs w:val="17"/>
          <w:lang w:val="en-CA"/>
        </w:rPr>
        <w:t>Macmet</w:t>
      </w:r>
      <w:proofErr w:type="spellEnd"/>
      <w:r w:rsidR="00046C25" w:rsidRPr="000C0E72">
        <w:rPr>
          <w:rFonts w:ascii="Arial" w:hAnsi="Arial" w:cs="Arial"/>
          <w:sz w:val="17"/>
          <w:szCs w:val="17"/>
          <w:lang w:val="en-CA"/>
        </w:rPr>
        <w:t xml:space="preserve"> </w:t>
      </w:r>
      <w:r w:rsidR="00FA77F4" w:rsidRPr="000C0E72">
        <w:rPr>
          <w:rFonts w:ascii="Arial" w:hAnsi="Arial" w:cs="Arial"/>
          <w:sz w:val="17"/>
          <w:szCs w:val="17"/>
          <w:lang w:val="en-CA"/>
        </w:rPr>
        <w:t xml:space="preserve">Engineering Limited, accessed </w:t>
      </w:r>
      <w:r w:rsidR="00D0762B" w:rsidRPr="000C0E72">
        <w:rPr>
          <w:rFonts w:ascii="Arial" w:hAnsi="Arial" w:cs="Arial"/>
          <w:sz w:val="17"/>
          <w:szCs w:val="17"/>
          <w:lang w:val="en-CA"/>
        </w:rPr>
        <w:t>June 6, 2018</w:t>
      </w:r>
      <w:r w:rsidR="00FA77F4" w:rsidRPr="000C0E72">
        <w:rPr>
          <w:rFonts w:ascii="Arial" w:hAnsi="Arial" w:cs="Arial"/>
          <w:sz w:val="17"/>
          <w:szCs w:val="17"/>
          <w:lang w:val="en-CA"/>
        </w:rPr>
        <w:t xml:space="preserve">, </w:t>
      </w:r>
      <w:r w:rsidRPr="000C0E72">
        <w:rPr>
          <w:rFonts w:ascii="Arial" w:hAnsi="Arial" w:cs="Arial"/>
          <w:sz w:val="17"/>
          <w:szCs w:val="17"/>
          <w:lang w:val="en-CA"/>
        </w:rPr>
        <w:t>www.</w:t>
      </w:r>
      <w:r w:rsidR="00D76354" w:rsidRPr="000C0E72">
        <w:rPr>
          <w:rFonts w:ascii="Arial" w:hAnsi="Arial" w:cs="Arial"/>
          <w:sz w:val="17"/>
          <w:szCs w:val="17"/>
          <w:lang w:val="en-CA"/>
        </w:rPr>
        <w:t>Macmet</w:t>
      </w:r>
      <w:r w:rsidRPr="000C0E72">
        <w:rPr>
          <w:rFonts w:ascii="Arial" w:hAnsi="Arial" w:cs="Arial"/>
          <w:sz w:val="17"/>
          <w:szCs w:val="17"/>
          <w:lang w:val="en-CA"/>
        </w:rPr>
        <w:t>.co.in/</w:t>
      </w:r>
      <w:r w:rsidR="00D76354" w:rsidRPr="000C0E72">
        <w:rPr>
          <w:rFonts w:ascii="Arial" w:hAnsi="Arial" w:cs="Arial"/>
          <w:sz w:val="17"/>
          <w:szCs w:val="17"/>
          <w:lang w:val="en-CA"/>
        </w:rPr>
        <w:t>Macmet</w:t>
      </w:r>
      <w:r w:rsidRPr="000C0E72">
        <w:rPr>
          <w:rFonts w:ascii="Arial" w:hAnsi="Arial" w:cs="Arial"/>
          <w:sz w:val="17"/>
          <w:szCs w:val="17"/>
          <w:lang w:val="en-CA"/>
        </w:rPr>
        <w:t>-conveyors/</w:t>
      </w:r>
      <w:r w:rsidR="00D76354" w:rsidRPr="000C0E72">
        <w:rPr>
          <w:rFonts w:ascii="Arial" w:hAnsi="Arial" w:cs="Arial"/>
          <w:sz w:val="17"/>
          <w:szCs w:val="17"/>
          <w:lang w:val="en-CA"/>
        </w:rPr>
        <w:t>Macmet</w:t>
      </w:r>
      <w:r w:rsidRPr="000C0E72">
        <w:rPr>
          <w:rFonts w:ascii="Arial" w:hAnsi="Arial" w:cs="Arial"/>
          <w:sz w:val="17"/>
          <w:szCs w:val="17"/>
          <w:lang w:val="en-CA"/>
        </w:rPr>
        <w:t>_conveyors.html.</w:t>
      </w:r>
    </w:p>
    <w:p w14:paraId="73D7BBC5" w14:textId="529B4752" w:rsidR="00BE6AB4" w:rsidRPr="000C0E72" w:rsidRDefault="00BE6AB4" w:rsidP="00BE6AB4">
      <w:pPr>
        <w:pStyle w:val="ExhibitText"/>
        <w:rPr>
          <w:lang w:val="en-CA"/>
        </w:rPr>
      </w:pPr>
    </w:p>
    <w:p w14:paraId="2A0BE437" w14:textId="77777777" w:rsidR="00BE6AB4" w:rsidRPr="000C0E72" w:rsidRDefault="00BE6AB4" w:rsidP="00BE6AB4">
      <w:pPr>
        <w:pStyle w:val="ExhibitText"/>
        <w:rPr>
          <w:lang w:val="en-CA"/>
        </w:rPr>
      </w:pPr>
    </w:p>
    <w:p w14:paraId="364B5BE5" w14:textId="25053A7D" w:rsidR="00BE6AB4" w:rsidRPr="000C0E72" w:rsidRDefault="00BE6AB4" w:rsidP="00BE6AB4">
      <w:pPr>
        <w:jc w:val="center"/>
        <w:rPr>
          <w:rFonts w:ascii="Arial" w:hAnsi="Arial" w:cs="Arial"/>
          <w:b/>
          <w:lang w:val="en-CA"/>
        </w:rPr>
      </w:pPr>
      <w:r w:rsidRPr="000C0E72">
        <w:rPr>
          <w:rFonts w:ascii="Arial" w:hAnsi="Arial" w:cs="Arial"/>
          <w:b/>
          <w:lang w:val="en-CA"/>
        </w:rPr>
        <w:t>EXHIBIT 2: MISCELLANEOUS COMPANY COSTS</w:t>
      </w:r>
      <w:r w:rsidR="00AB6A20">
        <w:rPr>
          <w:rFonts w:ascii="Arial" w:hAnsi="Arial" w:cs="Arial"/>
          <w:b/>
          <w:lang w:val="en-CA"/>
        </w:rPr>
        <w:t xml:space="preserve"> (US$)</w:t>
      </w:r>
    </w:p>
    <w:p w14:paraId="20F538B9" w14:textId="28D5D31E" w:rsidR="00BE6AB4" w:rsidRPr="000C0E72" w:rsidRDefault="00BE6AB4" w:rsidP="00BE6AB4">
      <w:pPr>
        <w:jc w:val="center"/>
        <w:rPr>
          <w:rFonts w:ascii="Arial" w:hAnsi="Arial" w:cs="Arial"/>
          <w:b/>
          <w:caps/>
          <w:lang w:val="en-CA"/>
        </w:rPr>
      </w:pPr>
    </w:p>
    <w:tbl>
      <w:tblPr>
        <w:tblStyle w:val="TableGrid1"/>
        <w:tblW w:w="6051" w:type="dxa"/>
        <w:tblInd w:w="1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1695"/>
      </w:tblGrid>
      <w:tr w:rsidR="00BE6AB4" w:rsidRPr="000C0E72" w14:paraId="0FDFCDD1" w14:textId="77777777" w:rsidTr="00101A66">
        <w:trPr>
          <w:trHeight w:val="244"/>
        </w:trPr>
        <w:tc>
          <w:tcPr>
            <w:tcW w:w="4356" w:type="dxa"/>
          </w:tcPr>
          <w:p w14:paraId="7A8DD204" w14:textId="5D2E78DD" w:rsidR="00BE6AB4" w:rsidRPr="000C0E72" w:rsidRDefault="00BE6AB4" w:rsidP="00BE6AB4">
            <w:pPr>
              <w:rPr>
                <w:rFonts w:ascii="Arial" w:hAnsi="Arial" w:cs="Arial"/>
                <w:b/>
                <w:lang w:val="en-CA"/>
              </w:rPr>
            </w:pPr>
            <w:r w:rsidRPr="000C0E72">
              <w:rPr>
                <w:rFonts w:ascii="Arial" w:hAnsi="Arial" w:cs="Arial"/>
                <w:b/>
                <w:lang w:val="en-CA"/>
              </w:rPr>
              <w:t xml:space="preserve">Miscellaneous </w:t>
            </w:r>
            <w:r w:rsidR="00390B07" w:rsidRPr="000C0E72">
              <w:rPr>
                <w:rFonts w:ascii="Arial" w:hAnsi="Arial" w:cs="Arial"/>
                <w:b/>
                <w:lang w:val="en-CA"/>
              </w:rPr>
              <w:t>expenses</w:t>
            </w:r>
          </w:p>
        </w:tc>
        <w:tc>
          <w:tcPr>
            <w:tcW w:w="1695" w:type="dxa"/>
          </w:tcPr>
          <w:p w14:paraId="2DBEE83A" w14:textId="77777777" w:rsidR="00BE6AB4" w:rsidRPr="000C0E72" w:rsidRDefault="00BE6AB4" w:rsidP="00BE6AB4">
            <w:pPr>
              <w:tabs>
                <w:tab w:val="left" w:pos="120"/>
                <w:tab w:val="right" w:pos="1350"/>
              </w:tabs>
              <w:rPr>
                <w:rFonts w:ascii="Arial" w:hAnsi="Arial" w:cs="Arial"/>
                <w:b/>
                <w:caps/>
                <w:lang w:val="en-CA"/>
              </w:rPr>
            </w:pPr>
          </w:p>
        </w:tc>
      </w:tr>
      <w:tr w:rsidR="00BE6AB4" w:rsidRPr="000C0E72" w14:paraId="6418145C" w14:textId="77777777" w:rsidTr="00101A66">
        <w:trPr>
          <w:trHeight w:val="255"/>
        </w:trPr>
        <w:tc>
          <w:tcPr>
            <w:tcW w:w="4356" w:type="dxa"/>
          </w:tcPr>
          <w:p w14:paraId="17E78F1D"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Office maintenance</w:t>
            </w:r>
          </w:p>
        </w:tc>
        <w:tc>
          <w:tcPr>
            <w:tcW w:w="1695" w:type="dxa"/>
          </w:tcPr>
          <w:p w14:paraId="296A0A40" w14:textId="2C3EEE14"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r>
            <w:r w:rsidR="00295A5B" w:rsidRPr="000C0E72">
              <w:rPr>
                <w:rFonts w:ascii="Arial" w:hAnsi="Arial" w:cs="Arial"/>
                <w:lang w:val="en-CA"/>
              </w:rPr>
              <w:t xml:space="preserve">    </w:t>
            </w:r>
            <w:r w:rsidRPr="000C0E72">
              <w:rPr>
                <w:rFonts w:ascii="Arial" w:hAnsi="Arial" w:cs="Arial"/>
                <w:lang w:val="en-CA"/>
              </w:rPr>
              <w:t xml:space="preserve"> 34,286</w:t>
            </w:r>
          </w:p>
        </w:tc>
      </w:tr>
      <w:tr w:rsidR="00BE6AB4" w:rsidRPr="000C0E72" w14:paraId="2195E680" w14:textId="77777777" w:rsidTr="00101A66">
        <w:trPr>
          <w:trHeight w:val="255"/>
        </w:trPr>
        <w:tc>
          <w:tcPr>
            <w:tcW w:w="4356" w:type="dxa"/>
          </w:tcPr>
          <w:p w14:paraId="0AD208D5"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Car hire charges</w:t>
            </w:r>
          </w:p>
        </w:tc>
        <w:tc>
          <w:tcPr>
            <w:tcW w:w="1695" w:type="dxa"/>
          </w:tcPr>
          <w:p w14:paraId="36A98D13" w14:textId="77777777"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18,000</w:t>
            </w:r>
          </w:p>
        </w:tc>
      </w:tr>
      <w:tr w:rsidR="00BE6AB4" w:rsidRPr="000C0E72" w14:paraId="6D03581D" w14:textId="77777777" w:rsidTr="00101A66">
        <w:trPr>
          <w:trHeight w:val="255"/>
        </w:trPr>
        <w:tc>
          <w:tcPr>
            <w:tcW w:w="4356" w:type="dxa"/>
          </w:tcPr>
          <w:p w14:paraId="0EB872C0"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Postage charges</w:t>
            </w:r>
          </w:p>
        </w:tc>
        <w:tc>
          <w:tcPr>
            <w:tcW w:w="1695" w:type="dxa"/>
          </w:tcPr>
          <w:p w14:paraId="5516F6B5" w14:textId="77777777"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4,343</w:t>
            </w:r>
          </w:p>
        </w:tc>
      </w:tr>
      <w:tr w:rsidR="00BE6AB4" w:rsidRPr="000C0E72" w14:paraId="7D0DC2DB" w14:textId="77777777" w:rsidTr="00101A66">
        <w:trPr>
          <w:trHeight w:val="255"/>
        </w:trPr>
        <w:tc>
          <w:tcPr>
            <w:tcW w:w="4356" w:type="dxa"/>
          </w:tcPr>
          <w:p w14:paraId="345852FD"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Telephone charges</w:t>
            </w:r>
          </w:p>
        </w:tc>
        <w:tc>
          <w:tcPr>
            <w:tcW w:w="1695" w:type="dxa"/>
          </w:tcPr>
          <w:p w14:paraId="3B747087" w14:textId="77777777"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4,448</w:t>
            </w:r>
          </w:p>
        </w:tc>
      </w:tr>
      <w:tr w:rsidR="00BE6AB4" w:rsidRPr="000C0E72" w14:paraId="0E7F0E6A" w14:textId="77777777" w:rsidTr="00101A66">
        <w:trPr>
          <w:trHeight w:val="267"/>
        </w:trPr>
        <w:tc>
          <w:tcPr>
            <w:tcW w:w="4356" w:type="dxa"/>
          </w:tcPr>
          <w:p w14:paraId="13F94745" w14:textId="5ADF93F2" w:rsidR="00BE6AB4" w:rsidRPr="000C0E72" w:rsidRDefault="00BE6AB4" w:rsidP="00BE6AB4">
            <w:pPr>
              <w:ind w:firstLine="414"/>
              <w:jc w:val="both"/>
              <w:rPr>
                <w:rFonts w:ascii="Arial" w:hAnsi="Arial" w:cs="Arial"/>
                <w:lang w:val="en-CA"/>
              </w:rPr>
            </w:pPr>
            <w:r w:rsidRPr="000C0E72">
              <w:rPr>
                <w:rFonts w:ascii="Arial" w:hAnsi="Arial" w:cs="Arial"/>
                <w:lang w:val="en-CA"/>
              </w:rPr>
              <w:t xml:space="preserve">Printing and </w:t>
            </w:r>
            <w:r w:rsidR="00390B07" w:rsidRPr="000C0E72">
              <w:rPr>
                <w:rFonts w:ascii="Arial" w:hAnsi="Arial" w:cs="Arial"/>
                <w:lang w:val="en-CA"/>
              </w:rPr>
              <w:t>stationery</w:t>
            </w:r>
          </w:p>
        </w:tc>
        <w:tc>
          <w:tcPr>
            <w:tcW w:w="1695" w:type="dxa"/>
          </w:tcPr>
          <w:p w14:paraId="5D2FD158" w14:textId="77777777"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3,048</w:t>
            </w:r>
          </w:p>
        </w:tc>
      </w:tr>
      <w:tr w:rsidR="00BE6AB4" w:rsidRPr="000C0E72" w14:paraId="7EFD7583" w14:textId="77777777" w:rsidTr="00101A66">
        <w:trPr>
          <w:trHeight w:val="255"/>
        </w:trPr>
        <w:tc>
          <w:tcPr>
            <w:tcW w:w="4356" w:type="dxa"/>
          </w:tcPr>
          <w:p w14:paraId="3B58AC22"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Advertisement expenses</w:t>
            </w:r>
          </w:p>
        </w:tc>
        <w:tc>
          <w:tcPr>
            <w:tcW w:w="1695" w:type="dxa"/>
          </w:tcPr>
          <w:p w14:paraId="53D073F6" w14:textId="77777777"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12,190</w:t>
            </w:r>
          </w:p>
        </w:tc>
      </w:tr>
      <w:tr w:rsidR="00BE6AB4" w:rsidRPr="000C0E72" w14:paraId="5EDA82DB" w14:textId="77777777" w:rsidTr="00101A66">
        <w:trPr>
          <w:trHeight w:val="255"/>
        </w:trPr>
        <w:tc>
          <w:tcPr>
            <w:tcW w:w="4356" w:type="dxa"/>
          </w:tcPr>
          <w:p w14:paraId="5C9217ED"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Legal expenses</w:t>
            </w:r>
          </w:p>
        </w:tc>
        <w:tc>
          <w:tcPr>
            <w:tcW w:w="1695" w:type="dxa"/>
          </w:tcPr>
          <w:p w14:paraId="6BACCA51" w14:textId="77777777"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80,952</w:t>
            </w:r>
          </w:p>
        </w:tc>
      </w:tr>
      <w:tr w:rsidR="00BE6AB4" w:rsidRPr="000C0E72" w14:paraId="7B0FDC2C" w14:textId="77777777" w:rsidTr="00101A66">
        <w:trPr>
          <w:trHeight w:val="255"/>
        </w:trPr>
        <w:tc>
          <w:tcPr>
            <w:tcW w:w="4356" w:type="dxa"/>
          </w:tcPr>
          <w:p w14:paraId="7FDAE817" w14:textId="77777777" w:rsidR="00BE6AB4" w:rsidRPr="000C0E72" w:rsidRDefault="00BE6AB4" w:rsidP="00BE6AB4">
            <w:pPr>
              <w:ind w:firstLine="414"/>
              <w:jc w:val="both"/>
              <w:rPr>
                <w:rFonts w:ascii="Arial" w:hAnsi="Arial" w:cs="Arial"/>
                <w:lang w:val="en-CA"/>
              </w:rPr>
            </w:pPr>
            <w:r w:rsidRPr="000C0E72">
              <w:rPr>
                <w:rFonts w:ascii="Arial" w:hAnsi="Arial" w:cs="Arial"/>
                <w:lang w:val="en-CA"/>
              </w:rPr>
              <w:t>Finance charges</w:t>
            </w:r>
          </w:p>
        </w:tc>
        <w:tc>
          <w:tcPr>
            <w:tcW w:w="1695" w:type="dxa"/>
          </w:tcPr>
          <w:p w14:paraId="0C06C713" w14:textId="77777777" w:rsidR="00BE6AB4" w:rsidRPr="000C0E72" w:rsidRDefault="00BE6AB4" w:rsidP="00BE6AB4">
            <w:pPr>
              <w:tabs>
                <w:tab w:val="left" w:pos="120"/>
                <w:tab w:val="right" w:pos="1350"/>
              </w:tabs>
              <w:rPr>
                <w:rFonts w:ascii="Arial" w:hAnsi="Arial" w:cs="Arial"/>
                <w:u w:val="single"/>
                <w:lang w:val="en-CA"/>
              </w:rPr>
            </w:pPr>
            <w:r w:rsidRPr="000C0E72">
              <w:rPr>
                <w:rFonts w:ascii="Arial" w:hAnsi="Arial" w:cs="Arial"/>
                <w:u w:val="single"/>
                <w:lang w:val="en-CA"/>
              </w:rPr>
              <w:tab/>
            </w:r>
            <w:r w:rsidRPr="000C0E72">
              <w:rPr>
                <w:rFonts w:ascii="Arial" w:hAnsi="Arial" w:cs="Arial"/>
                <w:u w:val="single"/>
                <w:lang w:val="en-CA"/>
              </w:rPr>
              <w:tab/>
              <w:t>78,095</w:t>
            </w:r>
          </w:p>
        </w:tc>
      </w:tr>
      <w:tr w:rsidR="00BE6AB4" w:rsidRPr="000C0E72" w14:paraId="01CD0538" w14:textId="77777777" w:rsidTr="00101A66">
        <w:trPr>
          <w:trHeight w:val="255"/>
        </w:trPr>
        <w:tc>
          <w:tcPr>
            <w:tcW w:w="4356" w:type="dxa"/>
          </w:tcPr>
          <w:p w14:paraId="2A7E6DA3" w14:textId="77777777" w:rsidR="00BE6AB4" w:rsidRPr="000C0E72" w:rsidRDefault="00BE6AB4" w:rsidP="00BE6AB4">
            <w:pPr>
              <w:rPr>
                <w:rFonts w:ascii="Arial" w:hAnsi="Arial" w:cs="Arial"/>
                <w:b/>
                <w:lang w:val="en-CA"/>
              </w:rPr>
            </w:pPr>
            <w:r w:rsidRPr="000C0E72">
              <w:rPr>
                <w:rFonts w:ascii="Arial" w:hAnsi="Arial" w:cs="Arial"/>
                <w:b/>
                <w:lang w:val="en-CA"/>
              </w:rPr>
              <w:t>Total</w:t>
            </w:r>
          </w:p>
        </w:tc>
        <w:tc>
          <w:tcPr>
            <w:tcW w:w="1695" w:type="dxa"/>
          </w:tcPr>
          <w:p w14:paraId="4F40BE30" w14:textId="0540461E" w:rsidR="00BE6AB4" w:rsidRPr="000C0E72" w:rsidRDefault="00BE6AB4" w:rsidP="00BE6AB4">
            <w:pPr>
              <w:tabs>
                <w:tab w:val="left" w:pos="120"/>
                <w:tab w:val="right" w:pos="1350"/>
              </w:tabs>
              <w:rPr>
                <w:rFonts w:ascii="Arial" w:hAnsi="Arial" w:cs="Arial"/>
                <w:lang w:val="en-CA"/>
              </w:rPr>
            </w:pPr>
            <w:r w:rsidRPr="000C0E72">
              <w:rPr>
                <w:rFonts w:ascii="Arial" w:hAnsi="Arial" w:cs="Arial"/>
                <w:lang w:val="en-CA"/>
              </w:rPr>
              <w:tab/>
            </w:r>
            <w:r w:rsidRPr="000C0E72">
              <w:rPr>
                <w:rFonts w:ascii="Arial" w:hAnsi="Arial" w:cs="Arial"/>
                <w:lang w:val="en-CA"/>
              </w:rPr>
              <w:tab/>
              <w:t>235,362</w:t>
            </w:r>
          </w:p>
        </w:tc>
      </w:tr>
    </w:tbl>
    <w:p w14:paraId="314DD74A" w14:textId="77777777" w:rsidR="00BE6AB4" w:rsidRPr="000C0E72" w:rsidRDefault="00BE6AB4" w:rsidP="00BE6AB4">
      <w:pPr>
        <w:pStyle w:val="ExhibitText"/>
        <w:rPr>
          <w:lang w:val="en-CA"/>
        </w:rPr>
      </w:pPr>
    </w:p>
    <w:p w14:paraId="1248F03B" w14:textId="77777777" w:rsidR="00BE6AB4" w:rsidRPr="000C0E72" w:rsidRDefault="00BE6AB4" w:rsidP="00BE6AB4">
      <w:pPr>
        <w:pStyle w:val="ExhibitText"/>
        <w:rPr>
          <w:i/>
          <w:lang w:val="en-CA"/>
        </w:rPr>
      </w:pPr>
    </w:p>
    <w:p w14:paraId="1334B059" w14:textId="77777777" w:rsidR="00BE6AB4" w:rsidRPr="000C0E72" w:rsidRDefault="00BE6AB4" w:rsidP="001A6122">
      <w:pPr>
        <w:pStyle w:val="Footnote"/>
        <w:rPr>
          <w:lang w:val="en-CA"/>
        </w:rPr>
      </w:pPr>
      <w:r w:rsidRPr="000C0E72">
        <w:rPr>
          <w:lang w:val="en-CA"/>
        </w:rPr>
        <w:t>Source: Company files.</w:t>
      </w:r>
    </w:p>
    <w:p w14:paraId="675E008D" w14:textId="77777777" w:rsidR="00BE6AB4" w:rsidRPr="000C0E72" w:rsidRDefault="00BE6AB4" w:rsidP="00BE6AB4">
      <w:pPr>
        <w:pStyle w:val="ExhibitText"/>
        <w:rPr>
          <w:lang w:val="en-CA"/>
        </w:rPr>
      </w:pPr>
    </w:p>
    <w:p w14:paraId="113DBD90" w14:textId="2E14E39B" w:rsidR="00BE6AB4" w:rsidRPr="000C0E72" w:rsidRDefault="00BE6AB4" w:rsidP="00BE6AB4">
      <w:pPr>
        <w:pStyle w:val="ExhibitText"/>
        <w:rPr>
          <w:lang w:val="en-CA"/>
        </w:rPr>
      </w:pPr>
    </w:p>
    <w:p w14:paraId="089E06E5" w14:textId="77777777" w:rsidR="00BE6AB4" w:rsidRPr="000C0E72" w:rsidRDefault="00BE6AB4" w:rsidP="00BE6AB4">
      <w:pPr>
        <w:jc w:val="center"/>
        <w:rPr>
          <w:rFonts w:ascii="Arial" w:hAnsi="Arial" w:cs="Arial"/>
          <w:b/>
          <w:caps/>
          <w:lang w:val="en-CA"/>
        </w:rPr>
      </w:pPr>
      <w:r w:rsidRPr="000C0E72">
        <w:rPr>
          <w:rFonts w:ascii="Arial" w:hAnsi="Arial" w:cs="Arial"/>
          <w:b/>
          <w:caps/>
          <w:lang w:val="en-CA"/>
        </w:rPr>
        <w:t>EXHIBIT 3: ANNUAL OVERHEAD EXPENSES</w:t>
      </w:r>
    </w:p>
    <w:p w14:paraId="6075C338" w14:textId="73845BF9" w:rsidR="00BE6AB4" w:rsidRPr="000C0E72" w:rsidRDefault="00BE6AB4" w:rsidP="00BE6AB4">
      <w:pPr>
        <w:pStyle w:val="ExhibitText"/>
        <w:rPr>
          <w:lang w:val="en-CA"/>
        </w:rPr>
      </w:pPr>
    </w:p>
    <w:tbl>
      <w:tblPr>
        <w:tblStyle w:val="TableGrid1"/>
        <w:tblW w:w="0" w:type="auto"/>
        <w:jc w:val="center"/>
        <w:tblLook w:val="04A0" w:firstRow="1" w:lastRow="0" w:firstColumn="1" w:lastColumn="0" w:noHBand="0" w:noVBand="1"/>
      </w:tblPr>
      <w:tblGrid>
        <w:gridCol w:w="2972"/>
        <w:gridCol w:w="2126"/>
      </w:tblGrid>
      <w:tr w:rsidR="00BE6AB4" w:rsidRPr="000C0E72" w14:paraId="358B516A" w14:textId="77777777" w:rsidTr="00833244">
        <w:trPr>
          <w:trHeight w:val="340"/>
          <w:jc w:val="center"/>
        </w:trPr>
        <w:tc>
          <w:tcPr>
            <w:tcW w:w="2972" w:type="dxa"/>
            <w:vAlign w:val="center"/>
          </w:tcPr>
          <w:p w14:paraId="20CF2B5D" w14:textId="77777777" w:rsidR="00BE6AB4" w:rsidRPr="000C0E72" w:rsidRDefault="00BE6AB4" w:rsidP="00833244">
            <w:pPr>
              <w:rPr>
                <w:rFonts w:ascii="Arial" w:hAnsi="Arial" w:cs="Arial"/>
                <w:b/>
                <w:lang w:val="en-CA"/>
              </w:rPr>
            </w:pPr>
            <w:r w:rsidRPr="000C0E72">
              <w:rPr>
                <w:rFonts w:ascii="Arial" w:hAnsi="Arial" w:cs="Arial"/>
                <w:b/>
                <w:lang w:val="en-CA"/>
              </w:rPr>
              <w:t>Overhead item</w:t>
            </w:r>
          </w:p>
        </w:tc>
        <w:tc>
          <w:tcPr>
            <w:tcW w:w="2126" w:type="dxa"/>
            <w:vAlign w:val="center"/>
          </w:tcPr>
          <w:p w14:paraId="46BF5777" w14:textId="77777777" w:rsidR="00BE6AB4" w:rsidRPr="000C0E72" w:rsidRDefault="00BE6AB4" w:rsidP="006F3711">
            <w:pPr>
              <w:jc w:val="center"/>
              <w:rPr>
                <w:rFonts w:ascii="Arial" w:hAnsi="Arial" w:cs="Arial"/>
                <w:b/>
                <w:lang w:val="en-CA"/>
              </w:rPr>
            </w:pPr>
            <w:r w:rsidRPr="000C0E72">
              <w:rPr>
                <w:rFonts w:ascii="Arial" w:hAnsi="Arial" w:cs="Arial"/>
                <w:b/>
                <w:lang w:val="en-CA"/>
              </w:rPr>
              <w:t>Annual expense</w:t>
            </w:r>
          </w:p>
        </w:tc>
      </w:tr>
      <w:tr w:rsidR="00BE6AB4" w:rsidRPr="000C0E72" w14:paraId="5BD071D2" w14:textId="77777777" w:rsidTr="00833244">
        <w:trPr>
          <w:trHeight w:val="340"/>
          <w:jc w:val="center"/>
        </w:trPr>
        <w:tc>
          <w:tcPr>
            <w:tcW w:w="2972" w:type="dxa"/>
            <w:tcBorders>
              <w:bottom w:val="single" w:sz="4" w:space="0" w:color="auto"/>
            </w:tcBorders>
            <w:vAlign w:val="center"/>
          </w:tcPr>
          <w:p w14:paraId="3CBF198A" w14:textId="77777777" w:rsidR="00BE6AB4" w:rsidRPr="000C0E72" w:rsidRDefault="00BE6AB4" w:rsidP="00833244">
            <w:pPr>
              <w:rPr>
                <w:rFonts w:ascii="Arial" w:hAnsi="Arial" w:cs="Arial"/>
                <w:lang w:val="en-CA"/>
              </w:rPr>
            </w:pPr>
            <w:r w:rsidRPr="000C0E72">
              <w:rPr>
                <w:rFonts w:ascii="Arial" w:hAnsi="Arial" w:cs="Arial"/>
                <w:lang w:val="en-CA"/>
              </w:rPr>
              <w:t>Sales overhead</w:t>
            </w:r>
          </w:p>
        </w:tc>
        <w:tc>
          <w:tcPr>
            <w:tcW w:w="2126" w:type="dxa"/>
            <w:tcBorders>
              <w:bottom w:val="single" w:sz="4" w:space="0" w:color="auto"/>
            </w:tcBorders>
            <w:vAlign w:val="center"/>
          </w:tcPr>
          <w:p w14:paraId="0A43884C" w14:textId="77777777" w:rsidR="00BE6AB4" w:rsidRPr="000C0E72" w:rsidRDefault="00BE6AB4" w:rsidP="00833244">
            <w:pPr>
              <w:jc w:val="right"/>
              <w:rPr>
                <w:rFonts w:ascii="Arial" w:hAnsi="Arial" w:cs="Arial"/>
                <w:lang w:val="en-CA"/>
              </w:rPr>
            </w:pPr>
            <w:r w:rsidRPr="000C0E72">
              <w:rPr>
                <w:rFonts w:ascii="Arial" w:hAnsi="Arial" w:cs="Arial"/>
                <w:lang w:val="en-CA"/>
              </w:rPr>
              <w:t>$465,950</w:t>
            </w:r>
          </w:p>
        </w:tc>
      </w:tr>
      <w:tr w:rsidR="00BE6AB4" w:rsidRPr="000C0E72" w14:paraId="03E77325" w14:textId="77777777" w:rsidTr="00833244">
        <w:trPr>
          <w:trHeight w:val="340"/>
          <w:jc w:val="center"/>
        </w:trPr>
        <w:tc>
          <w:tcPr>
            <w:tcW w:w="2972" w:type="dxa"/>
            <w:tcBorders>
              <w:bottom w:val="single" w:sz="4" w:space="0" w:color="auto"/>
            </w:tcBorders>
            <w:vAlign w:val="center"/>
          </w:tcPr>
          <w:p w14:paraId="66AB778D" w14:textId="4E3B922A" w:rsidR="00BE6AB4" w:rsidRPr="000C0E72" w:rsidRDefault="00BE6AB4" w:rsidP="00833244">
            <w:pPr>
              <w:rPr>
                <w:rFonts w:ascii="Arial" w:hAnsi="Arial" w:cs="Arial"/>
                <w:lang w:val="en-CA"/>
              </w:rPr>
            </w:pPr>
            <w:r w:rsidRPr="000C0E72">
              <w:rPr>
                <w:rFonts w:ascii="Arial" w:hAnsi="Arial" w:cs="Arial"/>
                <w:lang w:val="en-CA"/>
              </w:rPr>
              <w:t xml:space="preserve">Office </w:t>
            </w:r>
            <w:r w:rsidR="00390B07" w:rsidRPr="000C0E72">
              <w:rPr>
                <w:rFonts w:ascii="Arial" w:hAnsi="Arial" w:cs="Arial"/>
                <w:lang w:val="en-CA"/>
              </w:rPr>
              <w:t xml:space="preserve">infrastructure </w:t>
            </w:r>
            <w:r w:rsidRPr="000C0E72">
              <w:rPr>
                <w:rFonts w:ascii="Arial" w:hAnsi="Arial" w:cs="Arial"/>
                <w:lang w:val="en-CA"/>
              </w:rPr>
              <w:t>expenses</w:t>
            </w:r>
          </w:p>
        </w:tc>
        <w:tc>
          <w:tcPr>
            <w:tcW w:w="2126" w:type="dxa"/>
            <w:tcBorders>
              <w:bottom w:val="single" w:sz="4" w:space="0" w:color="auto"/>
            </w:tcBorders>
            <w:vAlign w:val="center"/>
          </w:tcPr>
          <w:p w14:paraId="5B165C80" w14:textId="77777777" w:rsidR="00BE6AB4" w:rsidRPr="000C0E72" w:rsidRDefault="00BE6AB4" w:rsidP="00833244">
            <w:pPr>
              <w:jc w:val="right"/>
              <w:rPr>
                <w:rFonts w:ascii="Arial" w:hAnsi="Arial" w:cs="Arial"/>
                <w:lang w:val="en-CA"/>
              </w:rPr>
            </w:pPr>
            <w:r w:rsidRPr="000C0E72">
              <w:rPr>
                <w:rFonts w:ascii="Arial" w:hAnsi="Arial" w:cs="Arial"/>
                <w:lang w:val="en-CA"/>
              </w:rPr>
              <w:t>$270,182</w:t>
            </w:r>
          </w:p>
        </w:tc>
      </w:tr>
    </w:tbl>
    <w:p w14:paraId="62F581EE" w14:textId="3B53BA5C" w:rsidR="00BE6AB4" w:rsidRPr="000C0E72" w:rsidRDefault="00BE6AB4" w:rsidP="00BE6AB4">
      <w:pPr>
        <w:pStyle w:val="ExhibitText"/>
        <w:rPr>
          <w:lang w:val="en-CA"/>
        </w:rPr>
      </w:pPr>
    </w:p>
    <w:p w14:paraId="7F86760D" w14:textId="77777777" w:rsidR="00BE6AB4" w:rsidRPr="000C0E72" w:rsidRDefault="00BE6AB4" w:rsidP="00BE6AB4">
      <w:pPr>
        <w:jc w:val="both"/>
        <w:rPr>
          <w:rFonts w:ascii="Arial" w:hAnsi="Arial" w:cs="Arial"/>
          <w:sz w:val="17"/>
          <w:szCs w:val="17"/>
          <w:lang w:val="en-CA"/>
        </w:rPr>
      </w:pPr>
      <w:r w:rsidRPr="000C0E72">
        <w:rPr>
          <w:rFonts w:ascii="Arial" w:hAnsi="Arial" w:cs="Arial"/>
          <w:sz w:val="17"/>
          <w:szCs w:val="17"/>
          <w:lang w:val="en-CA"/>
        </w:rPr>
        <w:t>Source: Company files.</w:t>
      </w:r>
    </w:p>
    <w:p w14:paraId="5F537713" w14:textId="77777777" w:rsidR="00B87DC0" w:rsidRPr="000C0E72" w:rsidRDefault="00B87DC0" w:rsidP="002B40FF">
      <w:pPr>
        <w:pStyle w:val="Casehead1"/>
        <w:rPr>
          <w:lang w:val="en-CA"/>
        </w:rPr>
      </w:pPr>
    </w:p>
    <w:sectPr w:rsidR="00B87DC0" w:rsidRPr="000C0E72"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74B067" w16cid:durableId="20ACF736"/>
  <w16cid:commentId w16cid:paraId="20977FCF" w16cid:durableId="20D1A7F8"/>
  <w16cid:commentId w16cid:paraId="0AF982C0" w16cid:durableId="20D180A0"/>
  <w16cid:commentId w16cid:paraId="36578496" w16cid:durableId="20D1F4D9"/>
  <w16cid:commentId w16cid:paraId="1066EB6F" w16cid:durableId="20D1F4FC"/>
  <w16cid:commentId w16cid:paraId="1EF01C03" w16cid:durableId="20D193FD"/>
  <w16cid:commentId w16cid:paraId="5121EDED" w16cid:durableId="20D19479"/>
  <w16cid:commentId w16cid:paraId="43D94A54" w16cid:durableId="20ACF737"/>
  <w16cid:commentId w16cid:paraId="01B08A6F" w16cid:durableId="20D1A5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490C5" w14:textId="77777777" w:rsidR="00BB3CBD" w:rsidRDefault="00BB3CBD" w:rsidP="00D75295">
      <w:r>
        <w:separator/>
      </w:r>
    </w:p>
  </w:endnote>
  <w:endnote w:type="continuationSeparator" w:id="0">
    <w:p w14:paraId="0C65DF8F" w14:textId="77777777" w:rsidR="00BB3CBD" w:rsidRDefault="00BB3CB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16343" w14:textId="77777777" w:rsidR="00BB3CBD" w:rsidRDefault="00BB3CBD" w:rsidP="00D75295">
      <w:r>
        <w:separator/>
      </w:r>
    </w:p>
  </w:footnote>
  <w:footnote w:type="continuationSeparator" w:id="0">
    <w:p w14:paraId="114489E5" w14:textId="77777777" w:rsidR="00BB3CBD" w:rsidRDefault="00BB3CBD" w:rsidP="00D75295">
      <w:r>
        <w:continuationSeparator/>
      </w:r>
    </w:p>
  </w:footnote>
  <w:footnote w:id="1">
    <w:p w14:paraId="3BDEB796" w14:textId="6CF4E2AB" w:rsidR="00BE6AB4" w:rsidRPr="00295A5B" w:rsidRDefault="00BE6AB4" w:rsidP="00BE6AB4">
      <w:pPr>
        <w:pStyle w:val="Footnote"/>
        <w:rPr>
          <w:lang w:val="en-GB"/>
        </w:rPr>
      </w:pPr>
      <w:r w:rsidRPr="00295A5B">
        <w:rPr>
          <w:rStyle w:val="FootnoteReference"/>
          <w:lang w:val="en-GB"/>
        </w:rPr>
        <w:footnoteRef/>
      </w:r>
      <w:r w:rsidRPr="00295A5B">
        <w:rPr>
          <w:lang w:val="en-GB"/>
        </w:rPr>
        <w:t xml:space="preserve"> </w:t>
      </w:r>
      <w:r w:rsidR="000D0A2D">
        <w:rPr>
          <w:lang w:val="en-GB"/>
        </w:rPr>
        <w:t>“</w:t>
      </w:r>
      <w:r w:rsidR="000D0A2D" w:rsidRPr="000D0A2D">
        <w:rPr>
          <w:lang w:val="en-GB"/>
        </w:rPr>
        <w:t xml:space="preserve">Demand Runs High in India’s Materials Handling Industry </w:t>
      </w:r>
      <w:r w:rsidRPr="00295A5B">
        <w:rPr>
          <w:lang w:val="en-GB"/>
        </w:rPr>
        <w:t>Wisconsin Economic Development Corporation,</w:t>
      </w:r>
      <w:r w:rsidR="000D0A2D">
        <w:rPr>
          <w:lang w:val="en-GB"/>
        </w:rPr>
        <w:t xml:space="preserve">” </w:t>
      </w:r>
      <w:r w:rsidRPr="00295A5B">
        <w:rPr>
          <w:lang w:val="en-GB"/>
        </w:rPr>
        <w:t xml:space="preserve">Wisconsin Economic Development Corporation, December 2017, accessed June 18, 2018, https://wedc.org/export/market-intelligence/posts/demand-runs-high-indias-materials-handling-industry. </w:t>
      </w:r>
    </w:p>
  </w:footnote>
  <w:footnote w:id="2">
    <w:p w14:paraId="6A35D12F" w14:textId="51C6F0D9" w:rsidR="00BE6AB4" w:rsidRPr="00295A5B" w:rsidRDefault="00BE6AB4" w:rsidP="00BE6AB4">
      <w:pPr>
        <w:pStyle w:val="Footnote"/>
        <w:rPr>
          <w:lang w:val="en-GB"/>
        </w:rPr>
      </w:pPr>
      <w:r w:rsidRPr="00295A5B">
        <w:rPr>
          <w:rStyle w:val="FootnoteReference"/>
          <w:lang w:val="en-GB"/>
        </w:rPr>
        <w:footnoteRef/>
      </w:r>
      <w:r w:rsidRPr="00295A5B">
        <w:rPr>
          <w:lang w:val="en-GB"/>
        </w:rPr>
        <w:t xml:space="preserve"> </w:t>
      </w:r>
      <w:r w:rsidR="00F63D06">
        <w:rPr>
          <w:lang w:val="en-GB"/>
        </w:rPr>
        <w:t>Ibid.</w:t>
      </w:r>
    </w:p>
  </w:footnote>
  <w:footnote w:id="3">
    <w:p w14:paraId="2DA6E65F" w14:textId="2462FF5E" w:rsidR="00BE6AB4" w:rsidRPr="00295A5B" w:rsidRDefault="00BE6AB4" w:rsidP="00BE6AB4">
      <w:pPr>
        <w:pStyle w:val="Footnote"/>
        <w:rPr>
          <w:lang w:val="en-GB"/>
        </w:rPr>
      </w:pPr>
      <w:r w:rsidRPr="00295A5B">
        <w:rPr>
          <w:rStyle w:val="FootnoteReference"/>
          <w:lang w:val="en-GB"/>
        </w:rPr>
        <w:footnoteRef/>
      </w:r>
      <w:r w:rsidR="00F63D06">
        <w:rPr>
          <w:lang w:val="en-GB"/>
        </w:rPr>
        <w:t xml:space="preserve"> Ibid</w:t>
      </w:r>
      <w:r w:rsidR="00CF5EEF">
        <w:rPr>
          <w:lang w:val="en-GB"/>
        </w:rPr>
        <w:t xml:space="preserve">; </w:t>
      </w:r>
      <w:r w:rsidR="00CF5EEF" w:rsidRPr="00295A5B">
        <w:rPr>
          <w:lang w:val="en-GB"/>
        </w:rPr>
        <w:t>“Manufacturing Sector in India,” India Brand Equity Foundation, April 2018, accessed June 18, 2018, www.ibef.org/industry/manufacturing-sector-india.aspx</w:t>
      </w:r>
      <w:r w:rsidR="00DD1B89">
        <w:rPr>
          <w:lang w:val="en-GB"/>
        </w:rPr>
        <w:t xml:space="preserve">; all dollar amounts are in US dollars unless otherwise specified. </w:t>
      </w:r>
      <w:r w:rsidRPr="00295A5B">
        <w:rPr>
          <w:lang w:val="en-GB"/>
        </w:rPr>
        <w:t xml:space="preserve"> </w:t>
      </w:r>
    </w:p>
  </w:footnote>
  <w:footnote w:id="4">
    <w:p w14:paraId="1F760BC1" w14:textId="1E95500B" w:rsidR="00BE6AB4" w:rsidRPr="001A6122" w:rsidRDefault="00BE6AB4" w:rsidP="00BE6AB4">
      <w:pPr>
        <w:pStyle w:val="Footnote"/>
        <w:rPr>
          <w:spacing w:val="-6"/>
          <w:kern w:val="17"/>
          <w:lang w:val="en-GB"/>
        </w:rPr>
      </w:pPr>
      <w:r w:rsidRPr="001A6122">
        <w:rPr>
          <w:rStyle w:val="FootnoteReference"/>
          <w:spacing w:val="-6"/>
          <w:kern w:val="17"/>
          <w:lang w:val="en-GB"/>
        </w:rPr>
        <w:footnoteRef/>
      </w:r>
      <w:r w:rsidRPr="001A6122">
        <w:rPr>
          <w:spacing w:val="-6"/>
          <w:kern w:val="17"/>
          <w:lang w:val="en-GB"/>
        </w:rPr>
        <w:t xml:space="preserve"> Iron ore was the core component used in steel manufacturing</w:t>
      </w:r>
      <w:r w:rsidR="00672626" w:rsidRPr="001A6122">
        <w:rPr>
          <w:spacing w:val="-6"/>
          <w:kern w:val="17"/>
          <w:lang w:val="en-GB"/>
        </w:rPr>
        <w:t xml:space="preserve">; </w:t>
      </w:r>
      <w:r w:rsidR="002A0B24" w:rsidRPr="001A6122">
        <w:rPr>
          <w:spacing w:val="-6"/>
          <w:kern w:val="17"/>
          <w:lang w:val="en-GB"/>
        </w:rPr>
        <w:t xml:space="preserve">“Global Iron Ore Mining Industry – Market Research Report,” </w:t>
      </w:r>
      <w:r w:rsidR="00202BB4" w:rsidRPr="001A6122">
        <w:rPr>
          <w:spacing w:val="-6"/>
          <w:kern w:val="17"/>
          <w:lang w:val="en-GB"/>
        </w:rPr>
        <w:t xml:space="preserve">IBISWorld, </w:t>
      </w:r>
      <w:r w:rsidR="00672626" w:rsidRPr="001A6122">
        <w:rPr>
          <w:spacing w:val="-6"/>
          <w:kern w:val="17"/>
          <w:lang w:val="en-GB"/>
        </w:rPr>
        <w:t>November 2017, accessed June 18, 2018, www.ibisworld.com/industry-trends/global-industry-reports/mining/iron-ore-mining.html.</w:t>
      </w:r>
    </w:p>
  </w:footnote>
  <w:footnote w:id="5">
    <w:p w14:paraId="37C64037" w14:textId="14F1A0E2" w:rsidR="00BE6AB4" w:rsidRPr="00295A5B" w:rsidRDefault="00BE6AB4" w:rsidP="00BE6AB4">
      <w:pPr>
        <w:pStyle w:val="Footnote"/>
        <w:rPr>
          <w:lang w:val="en-GB"/>
        </w:rPr>
      </w:pPr>
      <w:r w:rsidRPr="00295A5B">
        <w:rPr>
          <w:rStyle w:val="FootnoteReference"/>
          <w:lang w:val="en-GB"/>
        </w:rPr>
        <w:footnoteRef/>
      </w:r>
      <w:r w:rsidR="000C0E72">
        <w:rPr>
          <w:lang w:val="en-GB"/>
        </w:rPr>
        <w:t> </w:t>
      </w:r>
      <w:r w:rsidRPr="00295A5B">
        <w:rPr>
          <w:lang w:val="en-GB"/>
        </w:rPr>
        <w:t>“</w:t>
      </w:r>
      <w:r w:rsidR="00C87A16" w:rsidRPr="00C87A16">
        <w:rPr>
          <w:lang w:val="en-GB"/>
        </w:rPr>
        <w:t>Iron &amp; Steel Industry in India</w:t>
      </w:r>
      <w:r w:rsidRPr="00295A5B">
        <w:rPr>
          <w:lang w:val="en-GB"/>
        </w:rPr>
        <w:t xml:space="preserve">,” India Brand Equity Foundation, April 2018, accessed June 18, 2018, www.ibef.org/industry/steel.aspx. </w:t>
      </w:r>
    </w:p>
  </w:footnote>
  <w:footnote w:id="6">
    <w:p w14:paraId="4B9A4FE0" w14:textId="04EB6E6D" w:rsidR="00BE6AB4" w:rsidRPr="000C0E72" w:rsidRDefault="00BE6AB4" w:rsidP="00BE6AB4">
      <w:pPr>
        <w:pStyle w:val="Footnote"/>
        <w:rPr>
          <w:spacing w:val="-6"/>
          <w:kern w:val="17"/>
          <w:lang w:val="en-GB"/>
        </w:rPr>
      </w:pPr>
      <w:r w:rsidRPr="000C0E72">
        <w:rPr>
          <w:rStyle w:val="FootnoteReference"/>
          <w:spacing w:val="-6"/>
          <w:kern w:val="17"/>
          <w:lang w:val="en-GB"/>
        </w:rPr>
        <w:footnoteRef/>
      </w:r>
      <w:r w:rsidRPr="000C0E72">
        <w:rPr>
          <w:spacing w:val="-6"/>
          <w:kern w:val="17"/>
          <w:lang w:val="en-GB"/>
        </w:rPr>
        <w:t xml:space="preserve"> “</w:t>
      </w:r>
      <w:r w:rsidR="00543966" w:rsidRPr="000C0E72">
        <w:rPr>
          <w:spacing w:val="-6"/>
          <w:kern w:val="17"/>
          <w:lang w:val="en-GB"/>
        </w:rPr>
        <w:t>Share of Construction Sector Infrastructure Spending as a Part of India’s Gross Domestic Product (GDP) from FY 2008 to FY 2017</w:t>
      </w:r>
      <w:r w:rsidRPr="000C0E72">
        <w:rPr>
          <w:spacing w:val="-6"/>
          <w:kern w:val="17"/>
          <w:lang w:val="en-GB"/>
        </w:rPr>
        <w:t xml:space="preserve">,” Statista, accessed June 18, 2018, www.statista.com/statistics/726485/india-share-of-construction-infrastructure-spending-in-gdp. </w:t>
      </w:r>
    </w:p>
  </w:footnote>
  <w:footnote w:id="7">
    <w:p w14:paraId="79F732AB" w14:textId="77777777" w:rsidR="00BE6AB4" w:rsidRPr="00295A5B" w:rsidRDefault="00BE6AB4" w:rsidP="00BE6AB4">
      <w:pPr>
        <w:pStyle w:val="Footnote"/>
        <w:rPr>
          <w:lang w:val="en-GB"/>
        </w:rPr>
      </w:pPr>
      <w:r w:rsidRPr="00295A5B">
        <w:rPr>
          <w:rStyle w:val="FootnoteReference"/>
          <w:lang w:val="en-GB"/>
        </w:rPr>
        <w:footnoteRef/>
      </w:r>
      <w:r w:rsidRPr="00295A5B">
        <w:rPr>
          <w:lang w:val="en-GB"/>
        </w:rPr>
        <w:t xml:space="preserve"> This cross-country troughed conveyor system was the largest conveyor system operating in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6B2519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3E68">
      <w:rPr>
        <w:rFonts w:ascii="Arial" w:hAnsi="Arial"/>
        <w:b/>
        <w:noProof/>
      </w:rPr>
      <w:t>2</w:t>
    </w:r>
    <w:r>
      <w:rPr>
        <w:rFonts w:ascii="Arial" w:hAnsi="Arial"/>
        <w:b/>
      </w:rPr>
      <w:fldChar w:fldCharType="end"/>
    </w:r>
    <w:r>
      <w:rPr>
        <w:rFonts w:ascii="Arial" w:hAnsi="Arial"/>
        <w:b/>
      </w:rPr>
      <w:tab/>
    </w:r>
    <w:r w:rsidR="001A6122">
      <w:rPr>
        <w:rFonts w:ascii="Arial" w:hAnsi="Arial"/>
        <w:b/>
      </w:rPr>
      <w:t>9B19B013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46C25"/>
    <w:rsid w:val="000531D3"/>
    <w:rsid w:val="0005595B"/>
    <w:rsid w:val="0005646B"/>
    <w:rsid w:val="000615D1"/>
    <w:rsid w:val="000640FB"/>
    <w:rsid w:val="0008102D"/>
    <w:rsid w:val="00086B26"/>
    <w:rsid w:val="00094C0E"/>
    <w:rsid w:val="000A146D"/>
    <w:rsid w:val="000A3122"/>
    <w:rsid w:val="000C0E72"/>
    <w:rsid w:val="000D0A2D"/>
    <w:rsid w:val="000D2A2F"/>
    <w:rsid w:val="000D7091"/>
    <w:rsid w:val="000E6C5E"/>
    <w:rsid w:val="000F0C22"/>
    <w:rsid w:val="000F6B09"/>
    <w:rsid w:val="000F6FDC"/>
    <w:rsid w:val="001044F4"/>
    <w:rsid w:val="00104567"/>
    <w:rsid w:val="00104916"/>
    <w:rsid w:val="00104AA7"/>
    <w:rsid w:val="0012732D"/>
    <w:rsid w:val="00143F25"/>
    <w:rsid w:val="00152682"/>
    <w:rsid w:val="00154FC9"/>
    <w:rsid w:val="00165D17"/>
    <w:rsid w:val="001901C0"/>
    <w:rsid w:val="0019241A"/>
    <w:rsid w:val="00192A18"/>
    <w:rsid w:val="001A22D1"/>
    <w:rsid w:val="001A6122"/>
    <w:rsid w:val="001A752D"/>
    <w:rsid w:val="001A757E"/>
    <w:rsid w:val="001B5032"/>
    <w:rsid w:val="001C7777"/>
    <w:rsid w:val="001D344B"/>
    <w:rsid w:val="001E364F"/>
    <w:rsid w:val="001F4222"/>
    <w:rsid w:val="00202BB4"/>
    <w:rsid w:val="00203AA1"/>
    <w:rsid w:val="00213E98"/>
    <w:rsid w:val="00230150"/>
    <w:rsid w:val="0023081A"/>
    <w:rsid w:val="00233111"/>
    <w:rsid w:val="00244F53"/>
    <w:rsid w:val="0024628A"/>
    <w:rsid w:val="00265FA8"/>
    <w:rsid w:val="00295A5B"/>
    <w:rsid w:val="002A0B24"/>
    <w:rsid w:val="002B40FF"/>
    <w:rsid w:val="002C4E29"/>
    <w:rsid w:val="002E0103"/>
    <w:rsid w:val="002F460C"/>
    <w:rsid w:val="002F48D6"/>
    <w:rsid w:val="00317391"/>
    <w:rsid w:val="00326216"/>
    <w:rsid w:val="00336257"/>
    <w:rsid w:val="00336580"/>
    <w:rsid w:val="00354899"/>
    <w:rsid w:val="00355FD6"/>
    <w:rsid w:val="00364A5C"/>
    <w:rsid w:val="00373FB1"/>
    <w:rsid w:val="00390B07"/>
    <w:rsid w:val="00396C76"/>
    <w:rsid w:val="003B30D8"/>
    <w:rsid w:val="003B7EF2"/>
    <w:rsid w:val="003C3FA4"/>
    <w:rsid w:val="003D0BA1"/>
    <w:rsid w:val="003E2127"/>
    <w:rsid w:val="003F2B0C"/>
    <w:rsid w:val="004105B2"/>
    <w:rsid w:val="0041145A"/>
    <w:rsid w:val="00412900"/>
    <w:rsid w:val="004221E4"/>
    <w:rsid w:val="004273F8"/>
    <w:rsid w:val="004355A3"/>
    <w:rsid w:val="00444338"/>
    <w:rsid w:val="00446546"/>
    <w:rsid w:val="00452769"/>
    <w:rsid w:val="00454FA7"/>
    <w:rsid w:val="00465348"/>
    <w:rsid w:val="004979A5"/>
    <w:rsid w:val="004A25E0"/>
    <w:rsid w:val="004A60CE"/>
    <w:rsid w:val="004B1CCB"/>
    <w:rsid w:val="004B632F"/>
    <w:rsid w:val="004B7178"/>
    <w:rsid w:val="004C2AA4"/>
    <w:rsid w:val="004C2B11"/>
    <w:rsid w:val="004D3FB1"/>
    <w:rsid w:val="004D6F21"/>
    <w:rsid w:val="004D73A5"/>
    <w:rsid w:val="004E60C8"/>
    <w:rsid w:val="005160F1"/>
    <w:rsid w:val="00524F2F"/>
    <w:rsid w:val="00526D25"/>
    <w:rsid w:val="00527E5C"/>
    <w:rsid w:val="00532CF5"/>
    <w:rsid w:val="00543966"/>
    <w:rsid w:val="005441B4"/>
    <w:rsid w:val="005528CB"/>
    <w:rsid w:val="00566771"/>
    <w:rsid w:val="00581E2E"/>
    <w:rsid w:val="00584F15"/>
    <w:rsid w:val="00593F55"/>
    <w:rsid w:val="0059514B"/>
    <w:rsid w:val="005A0D14"/>
    <w:rsid w:val="005A1B0F"/>
    <w:rsid w:val="005B4CE6"/>
    <w:rsid w:val="005B5EFE"/>
    <w:rsid w:val="005D7F8A"/>
    <w:rsid w:val="005E263D"/>
    <w:rsid w:val="005E5C4E"/>
    <w:rsid w:val="006159C5"/>
    <w:rsid w:val="006163F7"/>
    <w:rsid w:val="00627C63"/>
    <w:rsid w:val="0063350B"/>
    <w:rsid w:val="00644C75"/>
    <w:rsid w:val="00652606"/>
    <w:rsid w:val="00662D11"/>
    <w:rsid w:val="00672626"/>
    <w:rsid w:val="006946EE"/>
    <w:rsid w:val="006A2A21"/>
    <w:rsid w:val="006A58A9"/>
    <w:rsid w:val="006A606D"/>
    <w:rsid w:val="006C0371"/>
    <w:rsid w:val="006C08B6"/>
    <w:rsid w:val="006C0B1A"/>
    <w:rsid w:val="006C6065"/>
    <w:rsid w:val="006C7F9F"/>
    <w:rsid w:val="006E2F6D"/>
    <w:rsid w:val="006E58F6"/>
    <w:rsid w:val="006E77E1"/>
    <w:rsid w:val="006E7C7A"/>
    <w:rsid w:val="006F131D"/>
    <w:rsid w:val="006F3711"/>
    <w:rsid w:val="0070149E"/>
    <w:rsid w:val="00711642"/>
    <w:rsid w:val="00722344"/>
    <w:rsid w:val="007310D4"/>
    <w:rsid w:val="007507C6"/>
    <w:rsid w:val="00751E0B"/>
    <w:rsid w:val="00752BCD"/>
    <w:rsid w:val="00766DA1"/>
    <w:rsid w:val="00780D94"/>
    <w:rsid w:val="007866A6"/>
    <w:rsid w:val="007927CA"/>
    <w:rsid w:val="007A130D"/>
    <w:rsid w:val="007A5C28"/>
    <w:rsid w:val="007D1A2D"/>
    <w:rsid w:val="007D32E6"/>
    <w:rsid w:val="007D4102"/>
    <w:rsid w:val="007E54A7"/>
    <w:rsid w:val="007F43B7"/>
    <w:rsid w:val="007F6E13"/>
    <w:rsid w:val="00821FFC"/>
    <w:rsid w:val="008271CA"/>
    <w:rsid w:val="00833244"/>
    <w:rsid w:val="008467D5"/>
    <w:rsid w:val="008569A5"/>
    <w:rsid w:val="008A4DC4"/>
    <w:rsid w:val="008B438C"/>
    <w:rsid w:val="008D06CA"/>
    <w:rsid w:val="008D3A46"/>
    <w:rsid w:val="008D50DE"/>
    <w:rsid w:val="008E588A"/>
    <w:rsid w:val="008F2385"/>
    <w:rsid w:val="009067A4"/>
    <w:rsid w:val="00917779"/>
    <w:rsid w:val="00917C18"/>
    <w:rsid w:val="00930885"/>
    <w:rsid w:val="00933D68"/>
    <w:rsid w:val="009340DB"/>
    <w:rsid w:val="0093428C"/>
    <w:rsid w:val="0094618C"/>
    <w:rsid w:val="0095684B"/>
    <w:rsid w:val="00963E68"/>
    <w:rsid w:val="00972498"/>
    <w:rsid w:val="0097481F"/>
    <w:rsid w:val="00974CC6"/>
    <w:rsid w:val="00976AD4"/>
    <w:rsid w:val="00985247"/>
    <w:rsid w:val="00995547"/>
    <w:rsid w:val="009A312F"/>
    <w:rsid w:val="009A5348"/>
    <w:rsid w:val="009B0AB7"/>
    <w:rsid w:val="009B4EB0"/>
    <w:rsid w:val="009C76D5"/>
    <w:rsid w:val="009F07A9"/>
    <w:rsid w:val="009F7AA4"/>
    <w:rsid w:val="00A10AD7"/>
    <w:rsid w:val="00A26E38"/>
    <w:rsid w:val="00A323B0"/>
    <w:rsid w:val="00A559DB"/>
    <w:rsid w:val="00A569EA"/>
    <w:rsid w:val="00A640D4"/>
    <w:rsid w:val="00A676A0"/>
    <w:rsid w:val="00A82574"/>
    <w:rsid w:val="00AB6A20"/>
    <w:rsid w:val="00AF35FC"/>
    <w:rsid w:val="00AF5556"/>
    <w:rsid w:val="00B022BE"/>
    <w:rsid w:val="00B03639"/>
    <w:rsid w:val="00B0652A"/>
    <w:rsid w:val="00B40937"/>
    <w:rsid w:val="00B423EF"/>
    <w:rsid w:val="00B453DE"/>
    <w:rsid w:val="00B62497"/>
    <w:rsid w:val="00B656B1"/>
    <w:rsid w:val="00B72597"/>
    <w:rsid w:val="00B87DC0"/>
    <w:rsid w:val="00B901F9"/>
    <w:rsid w:val="00BB3CBD"/>
    <w:rsid w:val="00BC4D98"/>
    <w:rsid w:val="00BD6EFB"/>
    <w:rsid w:val="00BE3DF5"/>
    <w:rsid w:val="00BE6AB4"/>
    <w:rsid w:val="00BF5EAB"/>
    <w:rsid w:val="00C02410"/>
    <w:rsid w:val="00C1584D"/>
    <w:rsid w:val="00C15BE2"/>
    <w:rsid w:val="00C3447F"/>
    <w:rsid w:val="00C44714"/>
    <w:rsid w:val="00C67102"/>
    <w:rsid w:val="00C81491"/>
    <w:rsid w:val="00C81676"/>
    <w:rsid w:val="00C85C5D"/>
    <w:rsid w:val="00C87A16"/>
    <w:rsid w:val="00C92CC4"/>
    <w:rsid w:val="00CA0AFB"/>
    <w:rsid w:val="00CA2CE1"/>
    <w:rsid w:val="00CA3976"/>
    <w:rsid w:val="00CA50E3"/>
    <w:rsid w:val="00CA757B"/>
    <w:rsid w:val="00CC1787"/>
    <w:rsid w:val="00CC182C"/>
    <w:rsid w:val="00CD0824"/>
    <w:rsid w:val="00CD0B2B"/>
    <w:rsid w:val="00CD2908"/>
    <w:rsid w:val="00CF5EEF"/>
    <w:rsid w:val="00D03A82"/>
    <w:rsid w:val="00D0762B"/>
    <w:rsid w:val="00D13667"/>
    <w:rsid w:val="00D15344"/>
    <w:rsid w:val="00D21A14"/>
    <w:rsid w:val="00D23F57"/>
    <w:rsid w:val="00D27B81"/>
    <w:rsid w:val="00D31BEC"/>
    <w:rsid w:val="00D63150"/>
    <w:rsid w:val="00D636BA"/>
    <w:rsid w:val="00D64A32"/>
    <w:rsid w:val="00D64EFC"/>
    <w:rsid w:val="00D75295"/>
    <w:rsid w:val="00D76354"/>
    <w:rsid w:val="00D76CE9"/>
    <w:rsid w:val="00D97F12"/>
    <w:rsid w:val="00DA6095"/>
    <w:rsid w:val="00DB42E7"/>
    <w:rsid w:val="00DC09D8"/>
    <w:rsid w:val="00DD1B89"/>
    <w:rsid w:val="00DE01A6"/>
    <w:rsid w:val="00DE7A98"/>
    <w:rsid w:val="00DF32C2"/>
    <w:rsid w:val="00E139BF"/>
    <w:rsid w:val="00E25CD6"/>
    <w:rsid w:val="00E34E8F"/>
    <w:rsid w:val="00E471A7"/>
    <w:rsid w:val="00E635CF"/>
    <w:rsid w:val="00E9662F"/>
    <w:rsid w:val="00EB1E3B"/>
    <w:rsid w:val="00EB7015"/>
    <w:rsid w:val="00EC66E4"/>
    <w:rsid w:val="00EC6E0A"/>
    <w:rsid w:val="00ED42D4"/>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63D06"/>
    <w:rsid w:val="00F91BC7"/>
    <w:rsid w:val="00F96201"/>
    <w:rsid w:val="00FA1BBC"/>
    <w:rsid w:val="00FA77F4"/>
    <w:rsid w:val="00FB5F3C"/>
    <w:rsid w:val="00FC34A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BE6AB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1D41-1FE0-4143-9585-8867AAD6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2019-09-13T17:08:00Z</dcterms:created>
  <dcterms:modified xsi:type="dcterms:W3CDTF">2019-09-20T13:32:00Z</dcterms:modified>
</cp:coreProperties>
</file>